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AA" w:rsidRPr="00BB77AA" w:rsidRDefault="00BB77AA" w:rsidP="00BB77AA">
      <w:pPr>
        <w:spacing w:after="0" w:line="360" w:lineRule="auto"/>
        <w:jc w:val="center"/>
        <w:rPr>
          <w:rFonts w:ascii="Arial" w:eastAsia="Calibri" w:hAnsi="Arial" w:cs="Arial"/>
          <w:b/>
          <w:sz w:val="24"/>
          <w:szCs w:val="24"/>
          <w:lang w:val="en-GB"/>
        </w:rPr>
      </w:pPr>
      <w:r w:rsidRPr="00BB77AA">
        <w:rPr>
          <w:rFonts w:ascii="Arial" w:eastAsia="Calibri" w:hAnsi="Arial" w:cs="Arial"/>
          <w:b/>
          <w:noProof/>
          <w:sz w:val="24"/>
          <w:szCs w:val="24"/>
          <w:lang w:val="en-GB" w:eastAsia="en-GB"/>
        </w:rPr>
        <mc:AlternateContent>
          <mc:Choice Requires="wps">
            <w:drawing>
              <wp:anchor distT="0" distB="0" distL="114300" distR="114300" simplePos="0" relativeHeight="251660288" behindDoc="0" locked="0" layoutInCell="1" allowOverlap="1" wp14:anchorId="3544243F" wp14:editId="122F53A4">
                <wp:simplePos x="0" y="0"/>
                <wp:positionH relativeFrom="column">
                  <wp:posOffset>4324350</wp:posOffset>
                </wp:positionH>
                <wp:positionV relativeFrom="paragraph">
                  <wp:posOffset>9525</wp:posOffset>
                </wp:positionV>
                <wp:extent cx="15621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7AA" w:rsidRDefault="00BB77AA" w:rsidP="00BB77AA">
                            <w:pPr>
                              <w:jc w:val="center"/>
                            </w:pPr>
                          </w:p>
                          <w:p w:rsidR="00BB77AA" w:rsidRDefault="00BB77AA" w:rsidP="00BB7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44243F" id="_x0000_t202" coordsize="21600,21600" o:spt="202" path="m,l,21600r21600,l21600,xe">
                <v:stroke joinstyle="miter"/>
                <v:path gradientshapeok="t" o:connecttype="rect"/>
              </v:shapetype>
              <v:shape id="Text Box 3" o:spid="_x0000_s1026" type="#_x0000_t202" style="position:absolute;left:0;text-align:left;margin-left:340.5pt;margin-top:.75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0Y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" stroked="f">
                <v:textbox>
                  <w:txbxContent>
                    <w:p w:rsidR="00BB77AA" w:rsidRDefault="00BB77AA" w:rsidP="00BB77AA">
                      <w:pPr>
                        <w:jc w:val="center"/>
                      </w:pPr>
                    </w:p>
                    <w:p w:rsidR="00BB77AA" w:rsidRDefault="00BB77AA" w:rsidP="00BB77AA"/>
                  </w:txbxContent>
                </v:textbox>
              </v:shape>
            </w:pict>
          </mc:Fallback>
        </mc:AlternateContent>
      </w:r>
      <w:r w:rsidRPr="00BB77AA">
        <w:rPr>
          <w:rFonts w:ascii="Arial" w:eastAsia="Calibri"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3CA86A62" wp14:editId="2406071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B77AA" w:rsidRDefault="00BB77AA" w:rsidP="00BB7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A86A62" id="Text Box 2" o:spid="_x0000_s1027"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" strokecolor="white">
                <v:textbox>
                  <w:txbxContent>
                    <w:p w:rsidR="00BB77AA" w:rsidRDefault="00BB77AA" w:rsidP="00BB77AA"/>
                  </w:txbxContent>
                </v:textbox>
              </v:shape>
            </w:pict>
          </mc:Fallback>
        </mc:AlternateContent>
      </w:r>
      <w:r w:rsidRPr="00BB77AA">
        <w:rPr>
          <w:rFonts w:ascii="Arial" w:eastAsia="Calibri" w:hAnsi="Arial" w:cs="Arial"/>
          <w:b/>
          <w:sz w:val="24"/>
          <w:szCs w:val="24"/>
          <w:lang w:val="en-GB"/>
        </w:rPr>
        <w:t>REPUBLIC OF NAMIBIA</w:t>
      </w:r>
    </w:p>
    <w:p w:rsidR="00BB77AA" w:rsidRPr="00BB77AA" w:rsidRDefault="00BB77AA" w:rsidP="00BB77AA">
      <w:pPr>
        <w:spacing w:after="0" w:line="360" w:lineRule="auto"/>
        <w:jc w:val="center"/>
        <w:rPr>
          <w:rFonts w:ascii="Calibri" w:eastAsia="Calibri" w:hAnsi="Calibri" w:cs="Times New Roman"/>
          <w:b/>
          <w:sz w:val="24"/>
          <w:szCs w:val="24"/>
          <w:lang w:val="en-GB"/>
        </w:rPr>
      </w:pPr>
      <w:r w:rsidRPr="00BB77AA">
        <w:rPr>
          <w:rFonts w:ascii="Calibri" w:eastAsia="Calibri" w:hAnsi="Calibri" w:cs="Times New Roman"/>
          <w:b/>
          <w:noProof/>
          <w:sz w:val="24"/>
          <w:szCs w:val="24"/>
          <w:lang w:val="en-GB" w:eastAsia="en-GB"/>
        </w:rPr>
        <w:drawing>
          <wp:inline distT="0" distB="0" distL="0" distR="0" wp14:anchorId="164B073A" wp14:editId="5760F7F0">
            <wp:extent cx="1272540" cy="1325880"/>
            <wp:effectExtent l="0" t="0" r="381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p w:rsidR="00BB77AA" w:rsidRPr="00BB77AA" w:rsidRDefault="00BB77AA" w:rsidP="00BB77AA">
      <w:pPr>
        <w:spacing w:after="0" w:line="360" w:lineRule="auto"/>
        <w:jc w:val="center"/>
        <w:rPr>
          <w:rFonts w:ascii="Arial" w:eastAsia="Calibri" w:hAnsi="Arial" w:cs="Arial"/>
          <w:b/>
          <w:sz w:val="24"/>
          <w:szCs w:val="24"/>
          <w:lang w:val="en-GB"/>
        </w:rPr>
      </w:pPr>
    </w:p>
    <w:p w:rsidR="00BB77AA" w:rsidRPr="00BB77AA" w:rsidRDefault="00BB77AA" w:rsidP="00BB77AA">
      <w:pPr>
        <w:spacing w:after="0" w:line="360" w:lineRule="auto"/>
        <w:jc w:val="center"/>
        <w:rPr>
          <w:rFonts w:ascii="Arial" w:eastAsia="Calibri" w:hAnsi="Arial" w:cs="Arial"/>
          <w:bCs/>
          <w:sz w:val="24"/>
          <w:szCs w:val="24"/>
          <w:lang w:val="en-GB"/>
        </w:rPr>
      </w:pPr>
      <w:r w:rsidRPr="00BB77AA">
        <w:rPr>
          <w:rFonts w:ascii="Arial" w:eastAsia="Calibri" w:hAnsi="Arial" w:cs="Arial"/>
          <w:b/>
          <w:sz w:val="24"/>
          <w:szCs w:val="24"/>
          <w:lang w:val="en-GB"/>
        </w:rPr>
        <w:t>HIGH COURT OF NAMIBIA</w:t>
      </w:r>
      <w:r w:rsidR="003C1736">
        <w:rPr>
          <w:rFonts w:ascii="Arial" w:eastAsia="Calibri" w:hAnsi="Arial" w:cs="Arial"/>
          <w:b/>
          <w:sz w:val="24"/>
          <w:szCs w:val="24"/>
          <w:lang w:val="en-GB"/>
        </w:rPr>
        <w:t>,</w:t>
      </w:r>
      <w:r w:rsidRPr="00BB77AA">
        <w:rPr>
          <w:rFonts w:ascii="Arial" w:eastAsia="Calibri" w:hAnsi="Arial" w:cs="Arial"/>
          <w:b/>
          <w:sz w:val="24"/>
          <w:szCs w:val="24"/>
          <w:lang w:val="en-GB"/>
        </w:rPr>
        <w:t xml:space="preserve"> MAIN DIVISION, WINDHOEK</w:t>
      </w:r>
    </w:p>
    <w:p w:rsidR="00BB77AA" w:rsidRPr="00BB77AA" w:rsidRDefault="00BB77AA" w:rsidP="00BB77AA">
      <w:pPr>
        <w:spacing w:after="0" w:line="360" w:lineRule="auto"/>
        <w:jc w:val="center"/>
        <w:rPr>
          <w:rFonts w:ascii="Arial" w:eastAsia="Calibri" w:hAnsi="Arial" w:cs="Arial"/>
          <w:b/>
          <w:sz w:val="24"/>
          <w:szCs w:val="24"/>
          <w:lang w:val="en-GB"/>
        </w:rPr>
      </w:pPr>
      <w:r w:rsidRPr="00BB77AA">
        <w:rPr>
          <w:rFonts w:ascii="Arial" w:eastAsia="Calibri" w:hAnsi="Arial" w:cs="Arial"/>
          <w:b/>
          <w:sz w:val="24"/>
          <w:szCs w:val="24"/>
          <w:lang w:val="en-GB"/>
        </w:rPr>
        <w:t>RULING</w:t>
      </w:r>
      <w:r>
        <w:rPr>
          <w:rFonts w:ascii="Arial" w:eastAsia="Calibri" w:hAnsi="Arial" w:cs="Arial"/>
          <w:b/>
          <w:sz w:val="24"/>
          <w:szCs w:val="24"/>
          <w:lang w:val="en-GB"/>
        </w:rPr>
        <w:t xml:space="preserve"> ON RULE 108 AND RESCISSION APPLICATION</w:t>
      </w:r>
    </w:p>
    <w:p w:rsidR="00BB77AA" w:rsidRPr="00BB77AA" w:rsidRDefault="00BB77AA" w:rsidP="00BB77AA">
      <w:pPr>
        <w:spacing w:after="0" w:line="360" w:lineRule="auto"/>
        <w:jc w:val="center"/>
        <w:rPr>
          <w:rFonts w:ascii="Arial" w:eastAsia="Calibri" w:hAnsi="Arial" w:cs="Arial"/>
          <w:b/>
          <w:sz w:val="24"/>
          <w:szCs w:val="24"/>
          <w:lang w:val="en-GB"/>
        </w:rPr>
      </w:pP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p>
    <w:p w:rsidR="00BB77AA" w:rsidRPr="00BB77AA" w:rsidRDefault="00BB77AA" w:rsidP="00BB77AA">
      <w:pPr>
        <w:spacing w:after="0" w:line="360" w:lineRule="auto"/>
        <w:ind w:left="3600"/>
        <w:jc w:val="right"/>
        <w:rPr>
          <w:rFonts w:ascii="Arial" w:eastAsia="Calibri" w:hAnsi="Arial" w:cs="Arial"/>
          <w:sz w:val="24"/>
          <w:szCs w:val="24"/>
          <w:lang w:val="en-GB"/>
        </w:rPr>
      </w:pPr>
      <w:r w:rsidRPr="00BB77AA">
        <w:rPr>
          <w:rFonts w:ascii="Arial" w:eastAsia="Calibri" w:hAnsi="Arial" w:cs="Arial"/>
          <w:sz w:val="24"/>
          <w:szCs w:val="24"/>
          <w:lang w:val="en-GB"/>
        </w:rPr>
        <w:t xml:space="preserve">Case no.: </w:t>
      </w:r>
      <w:r w:rsidRPr="00530978">
        <w:rPr>
          <w:rFonts w:ascii="Arial" w:hAnsi="Arial" w:cs="Arial"/>
          <w:bCs/>
          <w:sz w:val="24"/>
          <w:szCs w:val="24"/>
        </w:rPr>
        <w:t>HC-MD-CIV-ACT-</w:t>
      </w:r>
      <w:r>
        <w:rPr>
          <w:rFonts w:ascii="Arial" w:hAnsi="Arial" w:cs="Arial"/>
          <w:bCs/>
          <w:sz w:val="24"/>
          <w:szCs w:val="24"/>
        </w:rPr>
        <w:t>CON-2021</w:t>
      </w:r>
      <w:r w:rsidRPr="00530978">
        <w:rPr>
          <w:rFonts w:ascii="Arial" w:hAnsi="Arial" w:cs="Arial"/>
          <w:bCs/>
          <w:sz w:val="24"/>
          <w:szCs w:val="24"/>
        </w:rPr>
        <w:t>/0</w:t>
      </w:r>
      <w:r>
        <w:rPr>
          <w:rFonts w:ascii="Arial" w:hAnsi="Arial" w:cs="Arial"/>
          <w:bCs/>
          <w:sz w:val="24"/>
          <w:szCs w:val="24"/>
        </w:rPr>
        <w:t>3649</w:t>
      </w:r>
      <w:r w:rsidRPr="00530978">
        <w:rPr>
          <w:rFonts w:ascii="Arial" w:hAnsi="Arial" w:cs="Arial"/>
          <w:b/>
          <w:sz w:val="24"/>
          <w:szCs w:val="24"/>
        </w:rPr>
        <w:t xml:space="preserve">                                 </w:t>
      </w:r>
      <w:r w:rsidRPr="00530978">
        <w:rPr>
          <w:rFonts w:ascii="Arial" w:hAnsi="Arial" w:cs="Arial"/>
          <w:bCs/>
          <w:sz w:val="24"/>
          <w:szCs w:val="24"/>
        </w:rPr>
        <w:t xml:space="preserve">  </w:t>
      </w:r>
      <w:r w:rsidRPr="00530978">
        <w:rPr>
          <w:rFonts w:ascii="Arial" w:hAnsi="Arial" w:cs="Arial"/>
          <w:sz w:val="24"/>
          <w:szCs w:val="24"/>
        </w:rPr>
        <w:t xml:space="preserve"> </w:t>
      </w:r>
    </w:p>
    <w:p w:rsidR="00BB77AA" w:rsidRPr="00BB77AA" w:rsidRDefault="00BB77AA" w:rsidP="00BB77AA">
      <w:pPr>
        <w:spacing w:after="0" w:line="360" w:lineRule="auto"/>
        <w:jc w:val="both"/>
        <w:rPr>
          <w:rFonts w:ascii="Arial" w:eastAsia="Calibri" w:hAnsi="Arial" w:cs="Arial"/>
          <w:sz w:val="24"/>
          <w:szCs w:val="24"/>
          <w:lang w:val="en-GB"/>
        </w:rPr>
      </w:pPr>
      <w:r w:rsidRPr="00BB77AA">
        <w:rPr>
          <w:rFonts w:ascii="Arial" w:eastAsia="Calibri" w:hAnsi="Arial" w:cs="Arial"/>
          <w:sz w:val="24"/>
          <w:szCs w:val="24"/>
          <w:lang w:val="en-GB"/>
        </w:rPr>
        <w:t>In the matter between:</w:t>
      </w:r>
    </w:p>
    <w:p w:rsidR="00BB77AA" w:rsidRPr="00BB77AA" w:rsidRDefault="00BB77AA" w:rsidP="00BB77AA">
      <w:pPr>
        <w:spacing w:after="0" w:line="360" w:lineRule="auto"/>
        <w:jc w:val="both"/>
        <w:rPr>
          <w:rFonts w:ascii="Arial" w:eastAsia="Calibri" w:hAnsi="Arial" w:cs="Arial"/>
          <w:sz w:val="24"/>
          <w:szCs w:val="24"/>
          <w:lang w:val="en-GB"/>
        </w:rPr>
      </w:pPr>
    </w:p>
    <w:p w:rsidR="00BB77AA" w:rsidRDefault="00BB77AA" w:rsidP="00BB77AA">
      <w:pPr>
        <w:spacing w:after="0" w:line="360" w:lineRule="auto"/>
        <w:ind w:left="2160" w:hanging="2160"/>
        <w:jc w:val="both"/>
        <w:rPr>
          <w:rFonts w:ascii="Arial" w:eastAsia="Calibri" w:hAnsi="Arial" w:cs="Arial"/>
          <w:b/>
          <w:iCs/>
          <w:sz w:val="24"/>
          <w:szCs w:val="24"/>
          <w:lang w:val="en-ZA"/>
        </w:rPr>
      </w:pPr>
      <w:r w:rsidRPr="00BB77AA">
        <w:rPr>
          <w:rFonts w:ascii="Arial" w:eastAsia="Calibri" w:hAnsi="Arial" w:cs="Arial"/>
          <w:b/>
          <w:iCs/>
          <w:sz w:val="24"/>
          <w:szCs w:val="24"/>
          <w:lang w:val="en-ZA"/>
        </w:rPr>
        <w:t xml:space="preserve">STANDARD BANK NAMIBIA LIMITED          </w:t>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Pr="00BB77AA">
        <w:rPr>
          <w:rFonts w:ascii="Arial" w:eastAsia="Calibri" w:hAnsi="Arial" w:cs="Arial"/>
          <w:b/>
          <w:iCs/>
          <w:sz w:val="24"/>
          <w:szCs w:val="24"/>
          <w:lang w:val="en-ZA"/>
        </w:rPr>
        <w:t>APPLICANT</w:t>
      </w:r>
    </w:p>
    <w:p w:rsidR="00BB77AA" w:rsidRPr="00BB77AA" w:rsidRDefault="00BB77AA" w:rsidP="00BB77AA">
      <w:pPr>
        <w:spacing w:after="0" w:line="360" w:lineRule="auto"/>
        <w:ind w:left="2160" w:hanging="2160"/>
        <w:jc w:val="both"/>
        <w:rPr>
          <w:rFonts w:ascii="Arial" w:eastAsia="Calibri" w:hAnsi="Arial" w:cs="Arial"/>
          <w:b/>
          <w:iCs/>
          <w:sz w:val="24"/>
          <w:szCs w:val="24"/>
          <w:lang w:val="en-ZA"/>
        </w:rPr>
      </w:pPr>
    </w:p>
    <w:p w:rsidR="00BB77AA" w:rsidRPr="00BB77AA" w:rsidRDefault="00BB77AA" w:rsidP="00BB77AA">
      <w:pPr>
        <w:spacing w:after="0" w:line="360" w:lineRule="auto"/>
        <w:ind w:left="2160" w:hanging="2160"/>
        <w:jc w:val="both"/>
        <w:rPr>
          <w:rFonts w:ascii="Arial" w:eastAsia="Calibri" w:hAnsi="Arial" w:cs="Arial"/>
          <w:iCs/>
          <w:sz w:val="24"/>
          <w:szCs w:val="24"/>
          <w:lang w:val="en-ZA"/>
        </w:rPr>
      </w:pPr>
      <w:r w:rsidRPr="00BB77AA">
        <w:rPr>
          <w:rFonts w:ascii="Arial" w:eastAsia="Calibri" w:hAnsi="Arial" w:cs="Arial"/>
          <w:iCs/>
          <w:sz w:val="24"/>
          <w:szCs w:val="24"/>
          <w:lang w:val="en-ZA"/>
        </w:rPr>
        <w:t>and</w:t>
      </w:r>
    </w:p>
    <w:p w:rsidR="00BB77AA" w:rsidRPr="00BB77AA" w:rsidRDefault="00BB77AA" w:rsidP="00BB77AA">
      <w:pPr>
        <w:spacing w:after="0" w:line="360" w:lineRule="auto"/>
        <w:ind w:left="2160" w:hanging="2160"/>
        <w:jc w:val="both"/>
        <w:rPr>
          <w:rFonts w:ascii="Arial" w:eastAsia="Calibri" w:hAnsi="Arial" w:cs="Arial"/>
          <w:b/>
          <w:iCs/>
          <w:sz w:val="24"/>
          <w:szCs w:val="24"/>
          <w:lang w:val="en-ZA"/>
        </w:rPr>
      </w:pPr>
    </w:p>
    <w:p w:rsidR="00BB77AA" w:rsidRPr="00BB77AA" w:rsidRDefault="00BB77AA" w:rsidP="00B62D3A">
      <w:pPr>
        <w:spacing w:after="0" w:line="360" w:lineRule="auto"/>
        <w:ind w:left="2160" w:hanging="2160"/>
        <w:rPr>
          <w:rFonts w:ascii="Arial" w:eastAsia="Calibri" w:hAnsi="Arial" w:cs="Arial"/>
          <w:b/>
          <w:iCs/>
          <w:sz w:val="24"/>
          <w:szCs w:val="24"/>
          <w:lang w:val="en-ZA"/>
        </w:rPr>
      </w:pPr>
      <w:r w:rsidRPr="00BB77AA">
        <w:rPr>
          <w:rFonts w:ascii="Arial" w:eastAsia="Calibri" w:hAnsi="Arial" w:cs="Arial"/>
          <w:b/>
          <w:iCs/>
          <w:sz w:val="24"/>
          <w:szCs w:val="24"/>
          <w:lang w:val="en-ZA"/>
        </w:rPr>
        <w:t>MONARCH CAR SALE</w:t>
      </w:r>
      <w:r w:rsidR="00B62D3A">
        <w:rPr>
          <w:rFonts w:ascii="Arial" w:eastAsia="Calibri" w:hAnsi="Arial" w:cs="Arial"/>
          <w:b/>
          <w:iCs/>
          <w:sz w:val="24"/>
          <w:szCs w:val="24"/>
          <w:lang w:val="en-ZA"/>
        </w:rPr>
        <w:t>S AND PANEL BEATING CC</w:t>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t xml:space="preserve">    </w:t>
      </w:r>
      <w:r w:rsidRPr="00BB77AA">
        <w:rPr>
          <w:rFonts w:ascii="Arial" w:eastAsia="Calibri" w:hAnsi="Arial" w:cs="Arial"/>
          <w:b/>
          <w:iCs/>
          <w:sz w:val="24"/>
          <w:szCs w:val="24"/>
          <w:lang w:val="en-ZA"/>
        </w:rPr>
        <w:t>FIRST RESPONDENT</w:t>
      </w:r>
    </w:p>
    <w:p w:rsidR="00BB77AA" w:rsidRDefault="00BB77AA" w:rsidP="00B62D3A">
      <w:pPr>
        <w:spacing w:after="0" w:line="360" w:lineRule="auto"/>
        <w:ind w:left="2160" w:hanging="2160"/>
        <w:jc w:val="center"/>
        <w:rPr>
          <w:rFonts w:ascii="Arial" w:eastAsia="Calibri" w:hAnsi="Arial" w:cs="Arial"/>
          <w:b/>
          <w:iCs/>
          <w:sz w:val="24"/>
          <w:szCs w:val="24"/>
          <w:lang w:val="en-ZA"/>
        </w:rPr>
      </w:pPr>
      <w:r w:rsidRPr="00BB77AA">
        <w:rPr>
          <w:rFonts w:ascii="Arial" w:eastAsia="Calibri" w:hAnsi="Arial" w:cs="Arial"/>
          <w:b/>
          <w:iCs/>
          <w:sz w:val="24"/>
          <w:szCs w:val="24"/>
          <w:lang w:val="en-ZA"/>
        </w:rPr>
        <w:t xml:space="preserve">PAUL EDWARD DOYLE             </w:t>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00B62D3A">
        <w:rPr>
          <w:rFonts w:ascii="Arial" w:eastAsia="Calibri" w:hAnsi="Arial" w:cs="Arial"/>
          <w:b/>
          <w:iCs/>
          <w:sz w:val="24"/>
          <w:szCs w:val="24"/>
          <w:lang w:val="en-ZA"/>
        </w:rPr>
        <w:tab/>
      </w:r>
      <w:r w:rsidRPr="00BB77AA">
        <w:rPr>
          <w:rFonts w:ascii="Arial" w:eastAsia="Calibri" w:hAnsi="Arial" w:cs="Arial"/>
          <w:b/>
          <w:iCs/>
          <w:sz w:val="24"/>
          <w:szCs w:val="24"/>
          <w:lang w:val="en-ZA"/>
        </w:rPr>
        <w:t>SECOND RESPONDENT</w:t>
      </w:r>
    </w:p>
    <w:p w:rsidR="00BB77AA" w:rsidRDefault="00BB77AA" w:rsidP="00B62D3A">
      <w:pPr>
        <w:spacing w:after="0" w:line="360" w:lineRule="auto"/>
        <w:ind w:left="2160" w:hanging="2160"/>
        <w:rPr>
          <w:rFonts w:ascii="Arial" w:eastAsia="Calibri" w:hAnsi="Arial" w:cs="Arial"/>
          <w:b/>
          <w:iCs/>
          <w:sz w:val="24"/>
          <w:szCs w:val="24"/>
          <w:lang w:val="en-ZA"/>
        </w:rPr>
      </w:pPr>
      <w:r w:rsidRPr="00BB77AA">
        <w:rPr>
          <w:rFonts w:ascii="Arial" w:eastAsia="Calibri" w:hAnsi="Arial" w:cs="Arial"/>
          <w:b/>
          <w:iCs/>
          <w:sz w:val="24"/>
          <w:szCs w:val="24"/>
          <w:lang w:val="en-ZA"/>
        </w:rPr>
        <w:t xml:space="preserve">COMMUNARD TWENTY THREE CC                             </w:t>
      </w:r>
      <w:r w:rsidR="00B62D3A">
        <w:rPr>
          <w:rFonts w:ascii="Arial" w:eastAsia="Calibri" w:hAnsi="Arial" w:cs="Arial"/>
          <w:b/>
          <w:iCs/>
          <w:sz w:val="24"/>
          <w:szCs w:val="24"/>
          <w:lang w:val="en-ZA"/>
        </w:rPr>
        <w:tab/>
        <w:t xml:space="preserve">    </w:t>
      </w:r>
      <w:r w:rsidRPr="00BB77AA">
        <w:rPr>
          <w:rFonts w:ascii="Arial" w:eastAsia="Calibri" w:hAnsi="Arial" w:cs="Arial"/>
          <w:b/>
          <w:iCs/>
          <w:sz w:val="24"/>
          <w:szCs w:val="24"/>
          <w:lang w:val="en-ZA"/>
        </w:rPr>
        <w:t>THIRD RESPONDENT</w:t>
      </w:r>
    </w:p>
    <w:p w:rsidR="00BB77AA" w:rsidRPr="00BB77AA" w:rsidRDefault="00BB77AA" w:rsidP="00BB77AA">
      <w:pPr>
        <w:spacing w:after="0" w:line="360" w:lineRule="auto"/>
        <w:ind w:left="2160" w:hanging="2160"/>
        <w:jc w:val="both"/>
        <w:rPr>
          <w:rFonts w:ascii="Arial" w:eastAsia="Calibri" w:hAnsi="Arial" w:cs="Arial"/>
          <w:b/>
          <w:iCs/>
          <w:sz w:val="24"/>
          <w:szCs w:val="24"/>
          <w:lang w:val="en-ZA"/>
        </w:rPr>
      </w:pPr>
    </w:p>
    <w:p w:rsidR="00BB77AA" w:rsidRPr="00BB77AA" w:rsidRDefault="00BB77AA" w:rsidP="00BB77AA">
      <w:pPr>
        <w:spacing w:after="0" w:line="360" w:lineRule="auto"/>
        <w:ind w:left="2160" w:hanging="2335"/>
        <w:jc w:val="both"/>
        <w:rPr>
          <w:rFonts w:ascii="Arial" w:eastAsia="Calibri" w:hAnsi="Arial" w:cs="Arial"/>
          <w:sz w:val="24"/>
          <w:szCs w:val="24"/>
          <w:lang w:val="en-GB"/>
        </w:rPr>
      </w:pPr>
      <w:r w:rsidRPr="00BB77AA">
        <w:rPr>
          <w:rFonts w:ascii="Arial" w:eastAsia="Calibri" w:hAnsi="Arial" w:cs="Arial"/>
          <w:b/>
          <w:sz w:val="24"/>
          <w:szCs w:val="24"/>
          <w:lang w:val="en-GB"/>
        </w:rPr>
        <w:t xml:space="preserve">  Neutral citation:</w:t>
      </w:r>
      <w:r w:rsidRPr="00BB77AA">
        <w:rPr>
          <w:rFonts w:ascii="Arial" w:eastAsia="Calibri" w:hAnsi="Arial" w:cs="Arial"/>
          <w:b/>
          <w:sz w:val="24"/>
          <w:szCs w:val="24"/>
          <w:lang w:val="en-GB"/>
        </w:rPr>
        <w:tab/>
      </w:r>
      <w:r>
        <w:rPr>
          <w:rFonts w:ascii="Arial" w:hAnsi="Arial" w:cs="Arial"/>
          <w:i/>
          <w:sz w:val="24"/>
          <w:szCs w:val="24"/>
        </w:rPr>
        <w:t xml:space="preserve">Standard Bank Namibia Ltd v Monarch Car Sales and Panel Beating CC </w:t>
      </w:r>
      <w:r w:rsidRPr="00530978">
        <w:rPr>
          <w:rFonts w:ascii="Arial" w:hAnsi="Arial" w:cs="Arial"/>
          <w:iCs/>
          <w:sz w:val="24"/>
          <w:szCs w:val="24"/>
        </w:rPr>
        <w:t>(HC-MD-CIV-ACT-</w:t>
      </w:r>
      <w:r>
        <w:rPr>
          <w:rFonts w:ascii="Arial" w:hAnsi="Arial" w:cs="Arial"/>
          <w:iCs/>
          <w:sz w:val="24"/>
          <w:szCs w:val="24"/>
        </w:rPr>
        <w:t>CON-2021</w:t>
      </w:r>
      <w:r w:rsidRPr="00530978">
        <w:rPr>
          <w:rFonts w:ascii="Arial" w:hAnsi="Arial" w:cs="Arial"/>
          <w:iCs/>
          <w:sz w:val="24"/>
          <w:szCs w:val="24"/>
        </w:rPr>
        <w:t>/0</w:t>
      </w:r>
      <w:r>
        <w:rPr>
          <w:rFonts w:ascii="Arial" w:hAnsi="Arial" w:cs="Arial"/>
          <w:iCs/>
          <w:sz w:val="24"/>
          <w:szCs w:val="24"/>
        </w:rPr>
        <w:t>3649) [2023</w:t>
      </w:r>
      <w:r w:rsidRPr="00530978">
        <w:rPr>
          <w:rFonts w:ascii="Arial" w:hAnsi="Arial" w:cs="Arial"/>
          <w:iCs/>
          <w:sz w:val="24"/>
          <w:szCs w:val="24"/>
        </w:rPr>
        <w:t xml:space="preserve">] NAHCMD </w:t>
      </w:r>
      <w:r w:rsidR="009963EE">
        <w:rPr>
          <w:rFonts w:ascii="Arial" w:hAnsi="Arial" w:cs="Arial"/>
          <w:iCs/>
          <w:sz w:val="24"/>
          <w:szCs w:val="24"/>
        </w:rPr>
        <w:t>492</w:t>
      </w:r>
      <w:r w:rsidRPr="00530978">
        <w:rPr>
          <w:rFonts w:ascii="Arial" w:hAnsi="Arial" w:cs="Arial"/>
          <w:iCs/>
          <w:sz w:val="24"/>
          <w:szCs w:val="24"/>
        </w:rPr>
        <w:t xml:space="preserve"> (</w:t>
      </w:r>
      <w:r>
        <w:rPr>
          <w:rFonts w:ascii="Arial" w:hAnsi="Arial" w:cs="Arial"/>
          <w:iCs/>
          <w:sz w:val="24"/>
          <w:szCs w:val="24"/>
        </w:rPr>
        <w:t>1</w:t>
      </w:r>
      <w:r w:rsidR="00C20405">
        <w:rPr>
          <w:rFonts w:ascii="Arial" w:hAnsi="Arial" w:cs="Arial"/>
          <w:iCs/>
          <w:sz w:val="24"/>
          <w:szCs w:val="24"/>
        </w:rPr>
        <w:t>0</w:t>
      </w:r>
      <w:r w:rsidR="00A732D7">
        <w:rPr>
          <w:rFonts w:ascii="Arial" w:hAnsi="Arial" w:cs="Arial"/>
          <w:iCs/>
          <w:sz w:val="24"/>
          <w:szCs w:val="24"/>
        </w:rPr>
        <w:t xml:space="preserve"> August</w:t>
      </w:r>
      <w:r>
        <w:rPr>
          <w:rFonts w:ascii="Arial" w:hAnsi="Arial" w:cs="Arial"/>
          <w:iCs/>
          <w:sz w:val="24"/>
          <w:szCs w:val="24"/>
        </w:rPr>
        <w:t xml:space="preserve"> 2023</w:t>
      </w:r>
      <w:r w:rsidRPr="00530978">
        <w:rPr>
          <w:rFonts w:ascii="Arial" w:hAnsi="Arial" w:cs="Arial"/>
          <w:iCs/>
          <w:sz w:val="24"/>
          <w:szCs w:val="24"/>
        </w:rPr>
        <w:t>)</w:t>
      </w:r>
    </w:p>
    <w:p w:rsidR="00BB77AA" w:rsidRPr="00BB77AA" w:rsidRDefault="00BB77AA" w:rsidP="00BB77AA">
      <w:pPr>
        <w:spacing w:after="0" w:line="360" w:lineRule="auto"/>
        <w:ind w:left="2160" w:hanging="2160"/>
        <w:jc w:val="both"/>
        <w:rPr>
          <w:rFonts w:ascii="Arial" w:eastAsia="Calibri" w:hAnsi="Arial" w:cs="Arial"/>
          <w:sz w:val="24"/>
          <w:szCs w:val="24"/>
          <w:lang w:val="en-GB"/>
        </w:rPr>
      </w:pPr>
    </w:p>
    <w:p w:rsidR="00BB77AA" w:rsidRPr="00BB77AA" w:rsidRDefault="00BB77AA" w:rsidP="00BB77AA">
      <w:pPr>
        <w:spacing w:after="0" w:line="360" w:lineRule="auto"/>
        <w:ind w:left="1440" w:hanging="1440"/>
        <w:jc w:val="both"/>
        <w:rPr>
          <w:rFonts w:ascii="Arial" w:eastAsia="Calibri" w:hAnsi="Arial" w:cs="Arial"/>
          <w:b/>
          <w:i/>
          <w:sz w:val="24"/>
          <w:szCs w:val="24"/>
          <w:lang w:val="en-GB"/>
        </w:rPr>
      </w:pPr>
      <w:r w:rsidRPr="00BB77AA">
        <w:rPr>
          <w:rFonts w:ascii="Arial" w:eastAsia="Calibri" w:hAnsi="Arial" w:cs="Arial"/>
          <w:b/>
          <w:sz w:val="24"/>
          <w:szCs w:val="24"/>
          <w:lang w:val="en-GB"/>
        </w:rPr>
        <w:t>Coram:</w:t>
      </w:r>
      <w:r w:rsidRPr="00BB77AA">
        <w:rPr>
          <w:rFonts w:ascii="Arial" w:eastAsia="Calibri" w:hAnsi="Arial" w:cs="Arial"/>
          <w:sz w:val="24"/>
          <w:szCs w:val="24"/>
          <w:lang w:val="en-GB"/>
        </w:rPr>
        <w:tab/>
      </w:r>
      <w:r w:rsidRPr="00BB77AA">
        <w:rPr>
          <w:rFonts w:ascii="Arial" w:eastAsia="Calibri" w:hAnsi="Arial" w:cs="Arial"/>
          <w:sz w:val="24"/>
          <w:szCs w:val="24"/>
          <w:lang w:val="en-GB"/>
        </w:rPr>
        <w:tab/>
        <w:t>SIBEYA J</w:t>
      </w:r>
    </w:p>
    <w:p w:rsidR="00BB77AA" w:rsidRPr="00BB77AA" w:rsidRDefault="00BB77AA" w:rsidP="00BB77AA">
      <w:pPr>
        <w:spacing w:after="0" w:line="360" w:lineRule="auto"/>
        <w:ind w:left="2160" w:hanging="2160"/>
        <w:rPr>
          <w:rFonts w:ascii="Arial" w:eastAsia="Calibri" w:hAnsi="Arial" w:cs="Arial"/>
          <w:b/>
          <w:sz w:val="24"/>
          <w:szCs w:val="24"/>
          <w:lang w:val="en-GB"/>
        </w:rPr>
      </w:pPr>
      <w:r w:rsidRPr="00BB77AA">
        <w:rPr>
          <w:rFonts w:ascii="Arial" w:eastAsia="Calibri" w:hAnsi="Arial" w:cs="Arial"/>
          <w:b/>
          <w:bCs/>
          <w:sz w:val="24"/>
          <w:szCs w:val="24"/>
          <w:lang w:val="en-GB"/>
        </w:rPr>
        <w:t>Heard</w:t>
      </w:r>
      <w:r w:rsidRPr="00BB77AA">
        <w:rPr>
          <w:rFonts w:ascii="Arial" w:eastAsia="Calibri" w:hAnsi="Arial" w:cs="Arial"/>
          <w:b/>
          <w:sz w:val="24"/>
          <w:szCs w:val="24"/>
          <w:lang w:val="en-GB"/>
        </w:rPr>
        <w:t>:</w:t>
      </w:r>
      <w:r w:rsidRPr="00BB77AA">
        <w:rPr>
          <w:rFonts w:ascii="Arial" w:eastAsia="Calibri" w:hAnsi="Arial" w:cs="Arial"/>
          <w:b/>
          <w:sz w:val="24"/>
          <w:szCs w:val="24"/>
          <w:lang w:val="en-GB"/>
        </w:rPr>
        <w:tab/>
        <w:t xml:space="preserve">21 July </w:t>
      </w:r>
      <w:r w:rsidRPr="00BB77AA">
        <w:rPr>
          <w:rFonts w:ascii="Arial" w:eastAsia="Calibri" w:hAnsi="Arial" w:cs="Arial"/>
          <w:b/>
          <w:sz w:val="24"/>
          <w:szCs w:val="24"/>
          <w:lang w:val="en-ZA"/>
        </w:rPr>
        <w:t>2023</w:t>
      </w:r>
    </w:p>
    <w:p w:rsidR="00BB77AA" w:rsidRPr="00BB77AA" w:rsidRDefault="00BB77AA" w:rsidP="00BB77AA">
      <w:pPr>
        <w:spacing w:after="0" w:line="360" w:lineRule="auto"/>
        <w:jc w:val="both"/>
        <w:rPr>
          <w:rFonts w:ascii="Arial" w:eastAsia="Calibri" w:hAnsi="Arial" w:cs="Arial"/>
          <w:b/>
          <w:bCs/>
          <w:sz w:val="24"/>
          <w:szCs w:val="24"/>
          <w:lang w:val="en-GB"/>
        </w:rPr>
      </w:pPr>
      <w:r w:rsidRPr="00BB77AA">
        <w:rPr>
          <w:rFonts w:ascii="Arial" w:eastAsia="Calibri" w:hAnsi="Arial" w:cs="Arial"/>
          <w:b/>
          <w:bCs/>
          <w:sz w:val="24"/>
          <w:szCs w:val="24"/>
          <w:lang w:val="en-GB"/>
        </w:rPr>
        <w:t>Delivered</w:t>
      </w:r>
      <w:r w:rsidRPr="00BB77AA">
        <w:rPr>
          <w:rFonts w:ascii="Arial" w:eastAsia="Calibri" w:hAnsi="Arial" w:cs="Arial"/>
          <w:b/>
          <w:sz w:val="24"/>
          <w:szCs w:val="24"/>
          <w:lang w:val="en-GB"/>
        </w:rPr>
        <w:t>:</w:t>
      </w:r>
      <w:r w:rsidRPr="00BB77AA">
        <w:rPr>
          <w:rFonts w:ascii="Arial" w:eastAsia="Calibri" w:hAnsi="Arial" w:cs="Arial"/>
          <w:b/>
          <w:sz w:val="24"/>
          <w:szCs w:val="24"/>
          <w:lang w:val="en-GB"/>
        </w:rPr>
        <w:tab/>
      </w:r>
      <w:r w:rsidRPr="00BB77AA">
        <w:rPr>
          <w:rFonts w:ascii="Arial" w:eastAsia="Calibri" w:hAnsi="Arial" w:cs="Arial"/>
          <w:b/>
          <w:sz w:val="24"/>
          <w:szCs w:val="24"/>
          <w:lang w:val="en-GB"/>
        </w:rPr>
        <w:tab/>
      </w:r>
      <w:r w:rsidR="00C20405">
        <w:rPr>
          <w:rFonts w:ascii="Arial" w:eastAsia="Calibri" w:hAnsi="Arial" w:cs="Arial"/>
          <w:b/>
          <w:sz w:val="24"/>
          <w:szCs w:val="24"/>
          <w:lang w:val="en-GB"/>
        </w:rPr>
        <w:t>10</w:t>
      </w:r>
      <w:r w:rsidR="00A732D7">
        <w:rPr>
          <w:rFonts w:ascii="Arial" w:eastAsia="Calibri" w:hAnsi="Arial" w:cs="Arial"/>
          <w:b/>
          <w:sz w:val="24"/>
          <w:szCs w:val="24"/>
          <w:lang w:val="en-GB"/>
        </w:rPr>
        <w:t xml:space="preserve"> August</w:t>
      </w:r>
      <w:r w:rsidRPr="00BB77AA">
        <w:rPr>
          <w:rFonts w:ascii="Arial" w:eastAsia="Calibri" w:hAnsi="Arial" w:cs="Arial"/>
          <w:b/>
          <w:sz w:val="24"/>
          <w:szCs w:val="24"/>
          <w:lang w:val="en-GB"/>
        </w:rPr>
        <w:t xml:space="preserve"> </w:t>
      </w:r>
      <w:r w:rsidRPr="00BB77AA">
        <w:rPr>
          <w:rFonts w:ascii="Arial" w:eastAsia="Calibri" w:hAnsi="Arial" w:cs="Arial"/>
          <w:b/>
          <w:sz w:val="24"/>
          <w:szCs w:val="24"/>
          <w:lang w:val="en-ZA"/>
        </w:rPr>
        <w:t>2023</w:t>
      </w:r>
    </w:p>
    <w:p w:rsidR="00BB77AA" w:rsidRPr="00BB77AA" w:rsidRDefault="00BB77AA" w:rsidP="00BB77AA">
      <w:pPr>
        <w:spacing w:line="360" w:lineRule="auto"/>
        <w:jc w:val="both"/>
        <w:rPr>
          <w:rFonts w:ascii="Arial" w:eastAsia="Calibri" w:hAnsi="Arial" w:cs="Arial"/>
          <w:b/>
          <w:sz w:val="24"/>
          <w:szCs w:val="24"/>
          <w:lang w:val="en-GB"/>
        </w:rPr>
      </w:pPr>
    </w:p>
    <w:p w:rsidR="00BB77AA" w:rsidRDefault="00BB77AA" w:rsidP="00B62D3A">
      <w:pPr>
        <w:spacing w:after="0" w:line="360" w:lineRule="auto"/>
        <w:jc w:val="both"/>
        <w:rPr>
          <w:rFonts w:ascii="Arial" w:hAnsi="Arial" w:cs="Arial"/>
          <w:sz w:val="24"/>
        </w:rPr>
      </w:pPr>
      <w:r w:rsidRPr="00BB77AA">
        <w:rPr>
          <w:rFonts w:ascii="Arial" w:hAnsi="Arial" w:cs="Arial"/>
          <w:b/>
          <w:sz w:val="24"/>
        </w:rPr>
        <w:lastRenderedPageBreak/>
        <w:t>Flynote:</w:t>
      </w:r>
      <w:r w:rsidRPr="00BB77AA">
        <w:rPr>
          <w:rFonts w:ascii="Arial" w:hAnsi="Arial" w:cs="Arial"/>
          <w:b/>
          <w:sz w:val="24"/>
        </w:rPr>
        <w:tab/>
      </w:r>
      <w:r w:rsidR="00211FE8" w:rsidRPr="00211FE8">
        <w:rPr>
          <w:rFonts w:ascii="Arial" w:hAnsi="Arial" w:cs="Arial"/>
          <w:sz w:val="24"/>
        </w:rPr>
        <w:t>Civil procedure</w:t>
      </w:r>
      <w:r w:rsidR="00412E75">
        <w:rPr>
          <w:rFonts w:ascii="Arial" w:hAnsi="Arial" w:cs="Arial"/>
          <w:sz w:val="24"/>
        </w:rPr>
        <w:t xml:space="preserve"> – Rules of Court – Rescission of default judgment – Rule 108 application – Service of summons where a party moved from the </w:t>
      </w:r>
      <w:r w:rsidR="00412E75" w:rsidRPr="00412E75">
        <w:rPr>
          <w:rFonts w:ascii="Arial" w:hAnsi="Arial" w:cs="Arial"/>
          <w:i/>
          <w:sz w:val="24"/>
        </w:rPr>
        <w:t xml:space="preserve">domicilium citandi et executandi </w:t>
      </w:r>
      <w:r w:rsidR="00412E75">
        <w:rPr>
          <w:rFonts w:ascii="Arial" w:hAnsi="Arial" w:cs="Arial"/>
          <w:sz w:val="24"/>
        </w:rPr>
        <w:t>addre</w:t>
      </w:r>
      <w:r w:rsidR="00C20405">
        <w:rPr>
          <w:rFonts w:ascii="Arial" w:hAnsi="Arial" w:cs="Arial"/>
          <w:sz w:val="24"/>
        </w:rPr>
        <w:t>ss and failed to inform the applicant</w:t>
      </w:r>
      <w:r w:rsidR="00412E75">
        <w:rPr>
          <w:rFonts w:ascii="Arial" w:hAnsi="Arial" w:cs="Arial"/>
          <w:sz w:val="24"/>
        </w:rPr>
        <w:t xml:space="preserve"> thereof – Sale in execution where the property is not a primary home – Whether settlement negotiations suspend the filing of pleadings.</w:t>
      </w:r>
    </w:p>
    <w:p w:rsidR="00C20405" w:rsidRPr="00BB77AA" w:rsidRDefault="00C20405" w:rsidP="00B62D3A">
      <w:pPr>
        <w:spacing w:after="0" w:line="360" w:lineRule="auto"/>
        <w:jc w:val="both"/>
        <w:rPr>
          <w:rFonts w:ascii="Arial" w:hAnsi="Arial" w:cs="Arial"/>
          <w:b/>
          <w:sz w:val="24"/>
        </w:rPr>
      </w:pPr>
    </w:p>
    <w:p w:rsidR="00412E75" w:rsidRDefault="00BB77AA" w:rsidP="00B62D3A">
      <w:pPr>
        <w:tabs>
          <w:tab w:val="left" w:pos="720"/>
          <w:tab w:val="left" w:pos="2268"/>
        </w:tabs>
        <w:spacing w:after="0" w:line="360" w:lineRule="auto"/>
        <w:jc w:val="both"/>
        <w:rPr>
          <w:rFonts w:ascii="Arial" w:eastAsia="Times New Roman" w:hAnsi="Arial" w:cs="Arial"/>
          <w:sz w:val="24"/>
          <w:szCs w:val="24"/>
          <w:lang w:val="en-ZA"/>
        </w:rPr>
      </w:pPr>
      <w:r w:rsidRPr="00BB77AA">
        <w:rPr>
          <w:rFonts w:ascii="Arial" w:eastAsia="Calibri" w:hAnsi="Arial" w:cs="Arial"/>
          <w:b/>
          <w:sz w:val="24"/>
          <w:szCs w:val="24"/>
          <w:lang w:val="en-GB"/>
        </w:rPr>
        <w:t>Summary:</w:t>
      </w:r>
      <w:r w:rsidRPr="00BB77AA">
        <w:rPr>
          <w:rFonts w:ascii="Arial" w:eastAsia="Calibri" w:hAnsi="Arial" w:cs="Arial"/>
          <w:sz w:val="24"/>
          <w:szCs w:val="24"/>
          <w:lang w:val="en-GB"/>
        </w:rPr>
        <w:t xml:space="preserve"> </w:t>
      </w:r>
      <w:r w:rsidR="00C20405">
        <w:rPr>
          <w:rFonts w:ascii="Arial" w:eastAsia="Calibri" w:hAnsi="Arial" w:cs="Arial"/>
          <w:sz w:val="24"/>
          <w:szCs w:val="24"/>
          <w:lang w:val="en-GB"/>
        </w:rPr>
        <w:t>The matter</w:t>
      </w:r>
      <w:r w:rsidR="00412E75">
        <w:rPr>
          <w:rFonts w:ascii="Arial" w:eastAsia="Calibri" w:hAnsi="Arial" w:cs="Arial"/>
          <w:sz w:val="24"/>
          <w:szCs w:val="24"/>
          <w:lang w:val="en-GB"/>
        </w:rPr>
        <w:t xml:space="preserve"> before court for determination </w:t>
      </w:r>
      <w:r w:rsidR="00C20405">
        <w:rPr>
          <w:rFonts w:ascii="Arial" w:eastAsia="Calibri" w:hAnsi="Arial" w:cs="Arial"/>
          <w:sz w:val="24"/>
          <w:szCs w:val="24"/>
          <w:lang w:val="en-GB"/>
        </w:rPr>
        <w:t xml:space="preserve">involves two applications, namely: the </w:t>
      </w:r>
      <w:r w:rsidR="00412E75">
        <w:rPr>
          <w:rFonts w:ascii="Arial" w:eastAsia="Times New Roman" w:hAnsi="Arial" w:cs="Arial"/>
          <w:sz w:val="24"/>
          <w:szCs w:val="24"/>
          <w:lang w:val="en-ZA"/>
        </w:rPr>
        <w:t xml:space="preserve">application </w:t>
      </w:r>
      <w:r w:rsidR="00C20405">
        <w:rPr>
          <w:rFonts w:ascii="Arial" w:eastAsia="Times New Roman" w:hAnsi="Arial" w:cs="Arial"/>
          <w:sz w:val="24"/>
          <w:szCs w:val="24"/>
          <w:lang w:val="en-ZA"/>
        </w:rPr>
        <w:t xml:space="preserve">brought in </w:t>
      </w:r>
      <w:r w:rsidR="00412E75">
        <w:rPr>
          <w:rFonts w:ascii="Arial" w:eastAsia="Times New Roman" w:hAnsi="Arial" w:cs="Arial"/>
          <w:sz w:val="24"/>
          <w:szCs w:val="24"/>
          <w:lang w:val="en-ZA"/>
        </w:rPr>
        <w:t>terms of rule 108 of the</w:t>
      </w:r>
      <w:r w:rsidR="00C20405">
        <w:rPr>
          <w:rFonts w:ascii="Arial" w:eastAsia="Times New Roman" w:hAnsi="Arial" w:cs="Arial"/>
          <w:sz w:val="24"/>
          <w:szCs w:val="24"/>
          <w:lang w:val="en-ZA"/>
        </w:rPr>
        <w:t xml:space="preserve"> High Court Rules and </w:t>
      </w:r>
      <w:r w:rsidR="00412E75">
        <w:rPr>
          <w:rFonts w:ascii="Arial" w:eastAsia="Times New Roman" w:hAnsi="Arial" w:cs="Arial"/>
          <w:sz w:val="24"/>
          <w:szCs w:val="24"/>
          <w:lang w:val="en-ZA"/>
        </w:rPr>
        <w:t xml:space="preserve">a </w:t>
      </w:r>
      <w:r w:rsidR="00412E75" w:rsidRPr="00992E4B">
        <w:rPr>
          <w:rFonts w:ascii="Arial" w:eastAsia="Times New Roman" w:hAnsi="Arial" w:cs="Arial"/>
          <w:sz w:val="24"/>
          <w:szCs w:val="24"/>
          <w:lang w:val="en-ZA"/>
        </w:rPr>
        <w:t xml:space="preserve">rescission </w:t>
      </w:r>
      <w:r w:rsidR="00C20405">
        <w:rPr>
          <w:rFonts w:ascii="Arial" w:eastAsia="Times New Roman" w:hAnsi="Arial" w:cs="Arial"/>
          <w:sz w:val="24"/>
          <w:szCs w:val="24"/>
          <w:lang w:val="en-ZA"/>
        </w:rPr>
        <w:t xml:space="preserve">application </w:t>
      </w:r>
      <w:r w:rsidR="00412E75" w:rsidRPr="00992E4B">
        <w:rPr>
          <w:rFonts w:ascii="Arial" w:eastAsia="Times New Roman" w:hAnsi="Arial" w:cs="Arial"/>
          <w:sz w:val="24"/>
          <w:szCs w:val="24"/>
          <w:lang w:val="en-ZA"/>
        </w:rPr>
        <w:t>of the default judgment on whic</w:t>
      </w:r>
      <w:r w:rsidR="00412E75">
        <w:rPr>
          <w:rFonts w:ascii="Arial" w:eastAsia="Times New Roman" w:hAnsi="Arial" w:cs="Arial"/>
          <w:sz w:val="24"/>
          <w:szCs w:val="24"/>
          <w:lang w:val="en-ZA"/>
        </w:rPr>
        <w:t>h the rule 108 application finds its strength</w:t>
      </w:r>
      <w:r w:rsidR="00412E75" w:rsidRPr="00992E4B">
        <w:rPr>
          <w:rFonts w:ascii="Arial" w:eastAsia="Times New Roman" w:hAnsi="Arial" w:cs="Arial"/>
          <w:sz w:val="24"/>
          <w:szCs w:val="24"/>
          <w:lang w:val="en-ZA"/>
        </w:rPr>
        <w:t>.</w:t>
      </w:r>
    </w:p>
    <w:p w:rsidR="00412E75" w:rsidRDefault="00412E75" w:rsidP="00412E75">
      <w:pPr>
        <w:tabs>
          <w:tab w:val="left" w:pos="720"/>
          <w:tab w:val="left" w:pos="2268"/>
        </w:tabs>
        <w:spacing w:after="0" w:line="360" w:lineRule="auto"/>
        <w:jc w:val="both"/>
        <w:rPr>
          <w:rFonts w:ascii="Arial" w:eastAsia="Times New Roman" w:hAnsi="Arial" w:cs="Arial"/>
          <w:sz w:val="24"/>
          <w:szCs w:val="24"/>
          <w:lang w:val="en-ZA"/>
        </w:rPr>
      </w:pPr>
    </w:p>
    <w:p w:rsidR="00412E75" w:rsidRDefault="00412E75" w:rsidP="00412E75">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Initially this matter served before court for an application by the applicant to declare immovable properties specially executable in terms of rule 108, subsequent to a default judgment being granted against the respondents. While the application was due to be heard, the respondents filed an application for rescission of the </w:t>
      </w:r>
      <w:r w:rsidR="00C20405">
        <w:rPr>
          <w:rFonts w:ascii="Arial" w:eastAsia="Times New Roman" w:hAnsi="Arial" w:cs="Arial"/>
          <w:sz w:val="24"/>
          <w:szCs w:val="24"/>
          <w:lang w:val="en-ZA"/>
        </w:rPr>
        <w:t xml:space="preserve">aforesaid </w:t>
      </w:r>
      <w:r w:rsidRPr="00992E4B">
        <w:rPr>
          <w:rFonts w:ascii="Arial" w:eastAsia="Times New Roman" w:hAnsi="Arial" w:cs="Arial"/>
          <w:sz w:val="24"/>
          <w:szCs w:val="24"/>
          <w:lang w:val="en-ZA"/>
        </w:rPr>
        <w:t>default judgment</w:t>
      </w:r>
      <w:r w:rsidR="00C20405">
        <w:rPr>
          <w:rFonts w:ascii="Arial" w:eastAsia="Times New Roman" w:hAnsi="Arial" w:cs="Arial"/>
          <w:sz w:val="24"/>
          <w:szCs w:val="24"/>
          <w:lang w:val="en-ZA"/>
        </w:rPr>
        <w:t xml:space="preserve">. </w:t>
      </w:r>
      <w:r w:rsidRPr="00992E4B">
        <w:rPr>
          <w:rFonts w:ascii="Arial" w:eastAsia="Times New Roman" w:hAnsi="Arial" w:cs="Arial"/>
          <w:sz w:val="24"/>
          <w:szCs w:val="24"/>
          <w:lang w:val="en-ZA"/>
        </w:rPr>
        <w:t xml:space="preserve">The rule 108 application is opposed by the respondents while the applicant on the other hand opposes the rescission application. The said applications were heard jointly.  </w:t>
      </w:r>
    </w:p>
    <w:p w:rsidR="00BB77AA" w:rsidRDefault="00BB77AA" w:rsidP="00BB77AA">
      <w:pPr>
        <w:spacing w:after="0" w:line="360" w:lineRule="auto"/>
        <w:jc w:val="both"/>
        <w:rPr>
          <w:rFonts w:ascii="Arial" w:eastAsia="Times New Roman" w:hAnsi="Arial" w:cs="Arial"/>
          <w:sz w:val="24"/>
          <w:szCs w:val="24"/>
          <w:lang w:val="en-ZA"/>
        </w:rPr>
      </w:pPr>
    </w:p>
    <w:p w:rsidR="00BB77AA" w:rsidRDefault="00074AB9" w:rsidP="00074AB9">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The respondents raised the issue of </w:t>
      </w:r>
      <w:r w:rsidR="00C20405">
        <w:rPr>
          <w:rFonts w:ascii="Arial" w:eastAsia="Calibri" w:hAnsi="Arial" w:cs="Arial"/>
          <w:sz w:val="24"/>
          <w:szCs w:val="24"/>
          <w:lang w:val="en-GB"/>
        </w:rPr>
        <w:t xml:space="preserve">lack of proper </w:t>
      </w:r>
      <w:r>
        <w:rPr>
          <w:rFonts w:ascii="Arial" w:eastAsia="Calibri" w:hAnsi="Arial" w:cs="Arial"/>
          <w:sz w:val="24"/>
          <w:szCs w:val="24"/>
          <w:lang w:val="en-GB"/>
        </w:rPr>
        <w:t xml:space="preserve">service </w:t>
      </w:r>
      <w:r w:rsidR="00C20405">
        <w:rPr>
          <w:rFonts w:ascii="Arial" w:eastAsia="Calibri" w:hAnsi="Arial" w:cs="Arial"/>
          <w:sz w:val="24"/>
          <w:szCs w:val="24"/>
          <w:lang w:val="en-GB"/>
        </w:rPr>
        <w:t xml:space="preserve">of processes </w:t>
      </w:r>
      <w:r>
        <w:rPr>
          <w:rFonts w:ascii="Arial" w:eastAsia="Calibri" w:hAnsi="Arial" w:cs="Arial"/>
          <w:sz w:val="24"/>
          <w:szCs w:val="24"/>
          <w:lang w:val="en-GB"/>
        </w:rPr>
        <w:t>as well as the fact that there were ongoing settlement negotiations</w:t>
      </w:r>
      <w:r w:rsidR="00C20405">
        <w:rPr>
          <w:rFonts w:ascii="Arial" w:eastAsia="Calibri" w:hAnsi="Arial" w:cs="Arial"/>
          <w:sz w:val="24"/>
          <w:szCs w:val="24"/>
          <w:lang w:val="en-GB"/>
        </w:rPr>
        <w:t xml:space="preserve"> between the parties</w:t>
      </w:r>
      <w:r>
        <w:rPr>
          <w:rFonts w:ascii="Arial" w:eastAsia="Calibri" w:hAnsi="Arial" w:cs="Arial"/>
          <w:sz w:val="24"/>
          <w:szCs w:val="24"/>
          <w:lang w:val="en-GB"/>
        </w:rPr>
        <w:t>.</w:t>
      </w:r>
    </w:p>
    <w:p w:rsidR="00074AB9" w:rsidRDefault="00074AB9" w:rsidP="00074AB9">
      <w:pPr>
        <w:spacing w:after="0" w:line="360" w:lineRule="auto"/>
        <w:jc w:val="both"/>
        <w:rPr>
          <w:rFonts w:ascii="Arial" w:eastAsia="Calibri" w:hAnsi="Arial" w:cs="Arial"/>
          <w:sz w:val="24"/>
          <w:szCs w:val="24"/>
          <w:lang w:val="en-GB"/>
        </w:rPr>
      </w:pPr>
    </w:p>
    <w:p w:rsidR="00074AB9" w:rsidRDefault="00074AB9" w:rsidP="00B62D3A">
      <w:pPr>
        <w:spacing w:after="0" w:line="360" w:lineRule="auto"/>
        <w:jc w:val="both"/>
        <w:rPr>
          <w:rFonts w:ascii="Arial" w:eastAsia="Times New Roman" w:hAnsi="Arial" w:cs="Arial"/>
          <w:sz w:val="24"/>
          <w:szCs w:val="24"/>
          <w:lang w:val="en-ZA"/>
        </w:rPr>
      </w:pPr>
      <w:r w:rsidRPr="00074AB9">
        <w:rPr>
          <w:rFonts w:ascii="Arial" w:eastAsia="Times New Roman" w:hAnsi="Arial" w:cs="Arial"/>
          <w:i/>
          <w:sz w:val="24"/>
          <w:szCs w:val="24"/>
          <w:lang w:val="en-ZA"/>
        </w:rPr>
        <w:t>Held</w:t>
      </w:r>
      <w:r w:rsidR="00C20405">
        <w:rPr>
          <w:rFonts w:ascii="Arial" w:eastAsia="Times New Roman" w:hAnsi="Arial" w:cs="Arial"/>
          <w:sz w:val="24"/>
          <w:szCs w:val="24"/>
          <w:lang w:val="en-ZA"/>
        </w:rPr>
        <w:t>: w</w:t>
      </w:r>
      <w:r>
        <w:rPr>
          <w:rFonts w:ascii="Arial" w:eastAsia="Times New Roman" w:hAnsi="Arial" w:cs="Arial"/>
          <w:sz w:val="24"/>
          <w:szCs w:val="24"/>
          <w:lang w:val="en-ZA"/>
        </w:rPr>
        <w:t xml:space="preserve">here a party has chosen a </w:t>
      </w:r>
      <w:r w:rsidRPr="00074AB9">
        <w:rPr>
          <w:rFonts w:ascii="Arial" w:eastAsia="Times New Roman" w:hAnsi="Arial" w:cs="Arial"/>
          <w:i/>
          <w:sz w:val="24"/>
          <w:szCs w:val="24"/>
          <w:lang w:val="en-ZA"/>
        </w:rPr>
        <w:t>domicilium</w:t>
      </w:r>
      <w:r>
        <w:rPr>
          <w:rFonts w:ascii="Arial" w:eastAsia="Times New Roman" w:hAnsi="Arial" w:cs="Arial"/>
          <w:sz w:val="24"/>
          <w:szCs w:val="24"/>
          <w:lang w:val="en-ZA"/>
        </w:rPr>
        <w:t xml:space="preserve"> for purposes of service and such party is served on the said address, even though the party does not regard that address as his or her </w:t>
      </w:r>
      <w:r w:rsidRPr="00074AB9">
        <w:rPr>
          <w:rFonts w:ascii="Arial" w:eastAsia="Times New Roman" w:hAnsi="Arial" w:cs="Arial"/>
          <w:i/>
          <w:sz w:val="24"/>
          <w:szCs w:val="24"/>
          <w:lang w:val="en-ZA"/>
        </w:rPr>
        <w:t>domiclium</w:t>
      </w:r>
      <w:r>
        <w:rPr>
          <w:rFonts w:ascii="Arial" w:eastAsia="Times New Roman" w:hAnsi="Arial" w:cs="Arial"/>
          <w:sz w:val="24"/>
          <w:szCs w:val="24"/>
          <w:lang w:val="en-ZA"/>
        </w:rPr>
        <w:t xml:space="preserve"> anymore, it remains proper service</w:t>
      </w:r>
      <w:r w:rsidR="00C20405">
        <w:rPr>
          <w:rFonts w:ascii="Arial" w:eastAsia="Times New Roman" w:hAnsi="Arial" w:cs="Arial"/>
          <w:sz w:val="24"/>
          <w:szCs w:val="24"/>
          <w:lang w:val="en-ZA"/>
        </w:rPr>
        <w:t xml:space="preserve"> for as long as such address remains his or her unchanged chosen </w:t>
      </w:r>
      <w:r w:rsidR="00C20405" w:rsidRPr="00C20405">
        <w:rPr>
          <w:rFonts w:ascii="Arial" w:eastAsia="Times New Roman" w:hAnsi="Arial" w:cs="Arial"/>
          <w:i/>
          <w:sz w:val="24"/>
          <w:szCs w:val="24"/>
          <w:lang w:val="en-ZA"/>
        </w:rPr>
        <w:t>domicilum</w:t>
      </w:r>
      <w:r>
        <w:rPr>
          <w:rFonts w:ascii="Arial" w:eastAsia="Times New Roman" w:hAnsi="Arial" w:cs="Arial"/>
          <w:sz w:val="24"/>
          <w:szCs w:val="24"/>
          <w:lang w:val="en-ZA"/>
        </w:rPr>
        <w:t>.</w:t>
      </w:r>
    </w:p>
    <w:p w:rsidR="00ED6875" w:rsidRDefault="00ED6875" w:rsidP="00B62D3A">
      <w:pPr>
        <w:spacing w:after="0" w:line="360" w:lineRule="auto"/>
        <w:jc w:val="both"/>
        <w:rPr>
          <w:rFonts w:ascii="Arial" w:eastAsia="Times New Roman" w:hAnsi="Arial" w:cs="Arial"/>
          <w:sz w:val="24"/>
          <w:szCs w:val="24"/>
          <w:lang w:val="en-ZA"/>
        </w:rPr>
      </w:pPr>
    </w:p>
    <w:p w:rsidR="00074AB9" w:rsidRDefault="00074AB9" w:rsidP="00B62D3A">
      <w:pPr>
        <w:spacing w:after="0" w:line="360" w:lineRule="auto"/>
        <w:jc w:val="both"/>
        <w:rPr>
          <w:rFonts w:ascii="Arial" w:eastAsia="Times New Roman" w:hAnsi="Arial" w:cs="Arial"/>
          <w:sz w:val="24"/>
          <w:szCs w:val="24"/>
          <w:lang w:val="en-ZA"/>
        </w:rPr>
      </w:pPr>
      <w:r w:rsidRPr="00074AB9">
        <w:rPr>
          <w:rFonts w:ascii="Arial" w:eastAsia="Times New Roman" w:hAnsi="Arial" w:cs="Arial"/>
          <w:i/>
          <w:sz w:val="24"/>
          <w:szCs w:val="24"/>
          <w:lang w:val="en-ZA"/>
        </w:rPr>
        <w:t>Held that</w:t>
      </w:r>
      <w:r w:rsidR="00C20405">
        <w:rPr>
          <w:rFonts w:ascii="Arial" w:eastAsia="Times New Roman" w:hAnsi="Arial" w:cs="Arial"/>
          <w:sz w:val="24"/>
          <w:szCs w:val="24"/>
          <w:lang w:val="en-ZA"/>
        </w:rPr>
        <w:t xml:space="preserve">: </w:t>
      </w:r>
      <w:r>
        <w:rPr>
          <w:rFonts w:ascii="Arial" w:eastAsia="Times New Roman" w:hAnsi="Arial" w:cs="Arial"/>
          <w:sz w:val="24"/>
          <w:szCs w:val="24"/>
          <w:lang w:val="en-ZA"/>
        </w:rPr>
        <w:t>settlement negotiations do not suspend the filing of pleadings.</w:t>
      </w:r>
    </w:p>
    <w:p w:rsidR="00ED6875" w:rsidRDefault="00ED6875" w:rsidP="00B62D3A">
      <w:pPr>
        <w:spacing w:after="0" w:line="360" w:lineRule="auto"/>
        <w:jc w:val="both"/>
        <w:rPr>
          <w:rFonts w:ascii="Arial" w:eastAsia="Times New Roman" w:hAnsi="Arial" w:cs="Arial"/>
          <w:sz w:val="24"/>
          <w:szCs w:val="24"/>
          <w:lang w:val="en-ZA"/>
        </w:rPr>
      </w:pPr>
    </w:p>
    <w:p w:rsidR="00074AB9" w:rsidRDefault="006B18E4" w:rsidP="00BB77AA">
      <w:pPr>
        <w:spacing w:line="360" w:lineRule="auto"/>
        <w:jc w:val="both"/>
        <w:rPr>
          <w:rFonts w:ascii="Arial" w:eastAsia="Times New Roman" w:hAnsi="Arial" w:cs="Arial"/>
          <w:sz w:val="24"/>
          <w:szCs w:val="24"/>
          <w:lang w:val="en-ZA"/>
        </w:rPr>
      </w:pPr>
      <w:r w:rsidRPr="006B18E4">
        <w:rPr>
          <w:rFonts w:ascii="Arial" w:eastAsia="Times New Roman" w:hAnsi="Arial" w:cs="Arial"/>
          <w:i/>
          <w:sz w:val="24"/>
          <w:szCs w:val="24"/>
          <w:lang w:val="en-ZA"/>
        </w:rPr>
        <w:t>Held further that</w:t>
      </w:r>
      <w:r>
        <w:rPr>
          <w:rFonts w:ascii="Arial" w:eastAsia="Times New Roman" w:hAnsi="Arial" w:cs="Arial"/>
          <w:sz w:val="24"/>
          <w:szCs w:val="24"/>
          <w:lang w:val="en-ZA"/>
        </w:rPr>
        <w:t>: the property in question is not a primary home and it is property used as a warehouse for panel beating a</w:t>
      </w:r>
      <w:r w:rsidR="00C20405">
        <w:rPr>
          <w:rFonts w:ascii="Arial" w:eastAsia="Times New Roman" w:hAnsi="Arial" w:cs="Arial"/>
          <w:sz w:val="24"/>
          <w:szCs w:val="24"/>
          <w:lang w:val="en-ZA"/>
        </w:rPr>
        <w:t>nd spray painting of vehicles, nevertheless, t</w:t>
      </w:r>
      <w:r>
        <w:rPr>
          <w:rFonts w:ascii="Arial" w:eastAsia="Times New Roman" w:hAnsi="Arial" w:cs="Arial"/>
          <w:sz w:val="24"/>
          <w:szCs w:val="24"/>
          <w:lang w:val="en-ZA"/>
        </w:rPr>
        <w:t xml:space="preserve">he court in exercising its judicial oversight already postponed the matter </w:t>
      </w:r>
      <w:r w:rsidR="00ED6875">
        <w:rPr>
          <w:rFonts w:ascii="Arial" w:eastAsia="Times New Roman" w:hAnsi="Arial" w:cs="Arial"/>
          <w:sz w:val="24"/>
          <w:szCs w:val="24"/>
          <w:lang w:val="en-ZA"/>
        </w:rPr>
        <w:t>f</w:t>
      </w:r>
      <w:r w:rsidR="00FD0214">
        <w:rPr>
          <w:rFonts w:ascii="Arial" w:eastAsia="Times New Roman" w:hAnsi="Arial" w:cs="Arial"/>
          <w:sz w:val="24"/>
          <w:szCs w:val="24"/>
          <w:lang w:val="en-ZA"/>
        </w:rPr>
        <w:t xml:space="preserve">or months </w:t>
      </w:r>
      <w:r>
        <w:rPr>
          <w:rFonts w:ascii="Arial" w:eastAsia="Times New Roman" w:hAnsi="Arial" w:cs="Arial"/>
          <w:sz w:val="24"/>
          <w:szCs w:val="24"/>
          <w:lang w:val="en-ZA"/>
        </w:rPr>
        <w:t>to a</w:t>
      </w:r>
      <w:r w:rsidR="00ED6875">
        <w:rPr>
          <w:rFonts w:ascii="Arial" w:eastAsia="Times New Roman" w:hAnsi="Arial" w:cs="Arial"/>
          <w:sz w:val="24"/>
          <w:szCs w:val="24"/>
          <w:lang w:val="en-ZA"/>
        </w:rPr>
        <w:t xml:space="preserve">fford </w:t>
      </w:r>
      <w:r>
        <w:rPr>
          <w:rFonts w:ascii="Arial" w:eastAsia="Times New Roman" w:hAnsi="Arial" w:cs="Arial"/>
          <w:sz w:val="24"/>
          <w:szCs w:val="24"/>
          <w:lang w:val="en-ZA"/>
        </w:rPr>
        <w:t xml:space="preserve">the </w:t>
      </w:r>
      <w:r>
        <w:rPr>
          <w:rFonts w:ascii="Arial" w:eastAsia="Times New Roman" w:hAnsi="Arial" w:cs="Arial"/>
          <w:sz w:val="24"/>
          <w:szCs w:val="24"/>
          <w:lang w:val="en-ZA"/>
        </w:rPr>
        <w:lastRenderedPageBreak/>
        <w:t xml:space="preserve">respondents </w:t>
      </w:r>
      <w:r w:rsidR="00ED6875">
        <w:rPr>
          <w:rFonts w:ascii="Arial" w:eastAsia="Times New Roman" w:hAnsi="Arial" w:cs="Arial"/>
          <w:sz w:val="24"/>
          <w:szCs w:val="24"/>
          <w:lang w:val="en-ZA"/>
        </w:rPr>
        <w:t xml:space="preserve">time </w:t>
      </w:r>
      <w:r>
        <w:rPr>
          <w:rFonts w:ascii="Arial" w:eastAsia="Times New Roman" w:hAnsi="Arial" w:cs="Arial"/>
          <w:sz w:val="24"/>
          <w:szCs w:val="24"/>
          <w:lang w:val="en-ZA"/>
        </w:rPr>
        <w:t>to service the debt owed to the applicant</w:t>
      </w:r>
      <w:r w:rsidR="00FD0214">
        <w:rPr>
          <w:rFonts w:ascii="Arial" w:eastAsia="Times New Roman" w:hAnsi="Arial" w:cs="Arial"/>
          <w:sz w:val="24"/>
          <w:szCs w:val="24"/>
          <w:lang w:val="en-ZA"/>
        </w:rPr>
        <w:t xml:space="preserve"> without success</w:t>
      </w:r>
      <w:r>
        <w:rPr>
          <w:rFonts w:ascii="Arial" w:eastAsia="Times New Roman" w:hAnsi="Arial" w:cs="Arial"/>
          <w:sz w:val="24"/>
          <w:szCs w:val="24"/>
          <w:lang w:val="en-ZA"/>
        </w:rPr>
        <w:t xml:space="preserve">. </w:t>
      </w:r>
      <w:r w:rsidR="00FD0214">
        <w:rPr>
          <w:rFonts w:ascii="Arial" w:eastAsia="Times New Roman" w:hAnsi="Arial" w:cs="Arial"/>
          <w:sz w:val="24"/>
          <w:szCs w:val="24"/>
          <w:lang w:val="en-ZA"/>
        </w:rPr>
        <w:t xml:space="preserve">No satisfactory reasons were presented why the </w:t>
      </w:r>
      <w:r>
        <w:rPr>
          <w:rFonts w:ascii="Arial" w:eastAsia="Times New Roman" w:hAnsi="Arial" w:cs="Arial"/>
          <w:sz w:val="24"/>
          <w:szCs w:val="24"/>
          <w:lang w:val="en-ZA"/>
        </w:rPr>
        <w:t xml:space="preserve">property </w:t>
      </w:r>
      <w:r w:rsidR="00FD0214">
        <w:rPr>
          <w:rFonts w:ascii="Arial" w:eastAsia="Times New Roman" w:hAnsi="Arial" w:cs="Arial"/>
          <w:sz w:val="24"/>
          <w:szCs w:val="24"/>
          <w:lang w:val="en-ZA"/>
        </w:rPr>
        <w:t xml:space="preserve">should not </w:t>
      </w:r>
      <w:r>
        <w:rPr>
          <w:rFonts w:ascii="Arial" w:eastAsia="Times New Roman" w:hAnsi="Arial" w:cs="Arial"/>
          <w:sz w:val="24"/>
          <w:szCs w:val="24"/>
          <w:lang w:val="en-ZA"/>
        </w:rPr>
        <w:t>be declared specially executable.</w:t>
      </w:r>
    </w:p>
    <w:p w:rsidR="00ED6875" w:rsidRPr="00BB77AA" w:rsidRDefault="00ED6875" w:rsidP="00BB77AA">
      <w:pPr>
        <w:spacing w:line="360" w:lineRule="auto"/>
        <w:jc w:val="both"/>
        <w:rPr>
          <w:rFonts w:ascii="Arial" w:eastAsia="Times New Roman" w:hAnsi="Arial" w:cs="Arial"/>
          <w:sz w:val="24"/>
          <w:szCs w:val="24"/>
          <w:lang w:val="en-ZA"/>
        </w:rPr>
      </w:pPr>
    </w:p>
    <w:p w:rsidR="00BB77AA" w:rsidRPr="00BB77AA" w:rsidRDefault="00BB77AA" w:rsidP="00BB77AA">
      <w:pPr>
        <w:pBdr>
          <w:top w:val="single" w:sz="4" w:space="1" w:color="auto"/>
        </w:pBdr>
        <w:spacing w:after="0" w:line="240" w:lineRule="auto"/>
        <w:jc w:val="both"/>
        <w:rPr>
          <w:rFonts w:ascii="Arial" w:eastAsia="Calibri" w:hAnsi="Arial" w:cs="Arial"/>
          <w:bCs/>
          <w:sz w:val="24"/>
          <w:szCs w:val="24"/>
          <w:lang w:val="en-GB"/>
        </w:rPr>
      </w:pPr>
    </w:p>
    <w:p w:rsidR="00BB77AA" w:rsidRPr="00BB77AA" w:rsidRDefault="00BB77AA" w:rsidP="00BB77AA">
      <w:pPr>
        <w:spacing w:after="0" w:line="276" w:lineRule="auto"/>
        <w:jc w:val="center"/>
        <w:rPr>
          <w:rFonts w:ascii="Arial" w:eastAsia="Calibri" w:hAnsi="Arial" w:cs="Arial"/>
          <w:b/>
          <w:sz w:val="24"/>
          <w:szCs w:val="24"/>
          <w:lang w:val="en-GB"/>
        </w:rPr>
      </w:pPr>
      <w:r w:rsidRPr="00BB77AA">
        <w:rPr>
          <w:rFonts w:ascii="Arial" w:eastAsia="Calibri" w:hAnsi="Arial" w:cs="Arial"/>
          <w:b/>
          <w:sz w:val="24"/>
          <w:szCs w:val="24"/>
          <w:lang w:val="en-GB"/>
        </w:rPr>
        <w:t xml:space="preserve">ORDER </w:t>
      </w:r>
    </w:p>
    <w:p w:rsidR="00BB77AA" w:rsidRPr="00BB77AA" w:rsidRDefault="00BB77AA" w:rsidP="00BB77AA">
      <w:pPr>
        <w:pBdr>
          <w:bottom w:val="single" w:sz="4" w:space="1" w:color="auto"/>
        </w:pBdr>
        <w:spacing w:after="0" w:line="276" w:lineRule="auto"/>
        <w:jc w:val="both"/>
        <w:rPr>
          <w:rFonts w:ascii="Arial" w:eastAsia="Times New Roman" w:hAnsi="Arial" w:cs="Arial"/>
          <w:sz w:val="24"/>
          <w:szCs w:val="24"/>
          <w:lang w:val="en-GB"/>
        </w:rPr>
      </w:pPr>
    </w:p>
    <w:p w:rsidR="003C1736" w:rsidRPr="00BB77AA" w:rsidRDefault="003C1736" w:rsidP="00BB77AA">
      <w:pPr>
        <w:spacing w:after="0" w:line="276" w:lineRule="auto"/>
        <w:jc w:val="both"/>
        <w:rPr>
          <w:rFonts w:ascii="Arial" w:eastAsia="Times New Roman" w:hAnsi="Arial" w:cs="Arial"/>
          <w:sz w:val="24"/>
          <w:szCs w:val="24"/>
          <w:lang w:val="en-GB"/>
        </w:rPr>
      </w:pPr>
    </w:p>
    <w:p w:rsidR="00BB77AA" w:rsidRDefault="00BB77AA" w:rsidP="00BB77AA">
      <w:pPr>
        <w:numPr>
          <w:ilvl w:val="0"/>
          <w:numId w:val="3"/>
        </w:numPr>
        <w:spacing w:after="0" w:line="360" w:lineRule="auto"/>
        <w:jc w:val="both"/>
        <w:rPr>
          <w:rFonts w:ascii="Arial" w:hAnsi="Arial" w:cs="Arial"/>
          <w:sz w:val="24"/>
          <w:szCs w:val="24"/>
        </w:rPr>
      </w:pPr>
      <w:r>
        <w:rPr>
          <w:rFonts w:ascii="Arial" w:hAnsi="Arial" w:cs="Arial"/>
          <w:sz w:val="24"/>
          <w:szCs w:val="24"/>
        </w:rPr>
        <w:t xml:space="preserve">The respondents’ application for rescission of the default judgment, filed on 21 April 2023 is dismissed. </w:t>
      </w:r>
    </w:p>
    <w:p w:rsidR="00BB77AA" w:rsidRDefault="00BB77AA" w:rsidP="00BB77AA">
      <w:pPr>
        <w:numPr>
          <w:ilvl w:val="0"/>
          <w:numId w:val="3"/>
        </w:numPr>
        <w:spacing w:after="0" w:line="360" w:lineRule="auto"/>
        <w:jc w:val="both"/>
        <w:rPr>
          <w:rFonts w:ascii="Arial" w:hAnsi="Arial" w:cs="Arial"/>
          <w:sz w:val="24"/>
          <w:szCs w:val="24"/>
        </w:rPr>
      </w:pPr>
      <w:r>
        <w:rPr>
          <w:rFonts w:ascii="Arial" w:hAnsi="Arial" w:cs="Arial"/>
          <w:sz w:val="24"/>
          <w:szCs w:val="24"/>
        </w:rPr>
        <w:t>The following immovable properties:</w:t>
      </w:r>
    </w:p>
    <w:p w:rsidR="00BB77AA" w:rsidRDefault="00BB77AA" w:rsidP="00BB77AA">
      <w:pPr>
        <w:spacing w:after="0" w:line="360" w:lineRule="auto"/>
        <w:ind w:left="720"/>
        <w:jc w:val="both"/>
        <w:rPr>
          <w:rFonts w:ascii="Arial" w:hAnsi="Arial" w:cs="Arial"/>
          <w:sz w:val="24"/>
          <w:szCs w:val="24"/>
        </w:rPr>
      </w:pP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CERTAIN:           ERF 108 (A PORTION OF ERF NO. 95) LAFRENZ </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SITUATE:            IN THE MUNICIPALITY OF WINDHOEK</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                            REGISTRATION DIVISION “K”, KHOMAS REGION </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MEASURING:     912 (NINE ONE TWO) SQUARE METERS</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HELD BY:            DEED OF TRANSFER NO T 7371/2006</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SUBJECT:           TO THE CONDITIONS CONTAINED THEREIN</w:t>
      </w:r>
    </w:p>
    <w:p w:rsidR="00BB77AA" w:rsidRDefault="00BB77AA" w:rsidP="00BB77AA">
      <w:pPr>
        <w:spacing w:after="0" w:line="360" w:lineRule="auto"/>
        <w:ind w:left="720"/>
        <w:jc w:val="both"/>
        <w:rPr>
          <w:rFonts w:ascii="Arial" w:hAnsi="Arial" w:cs="Arial"/>
          <w:sz w:val="24"/>
          <w:szCs w:val="24"/>
        </w:rPr>
      </w:pP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AND </w:t>
      </w:r>
    </w:p>
    <w:p w:rsidR="00BB77AA" w:rsidRDefault="00BB77AA" w:rsidP="00BB77AA">
      <w:pPr>
        <w:spacing w:after="0" w:line="360" w:lineRule="auto"/>
        <w:ind w:left="720"/>
        <w:jc w:val="both"/>
        <w:rPr>
          <w:rFonts w:ascii="Arial" w:hAnsi="Arial" w:cs="Arial"/>
          <w:sz w:val="24"/>
          <w:szCs w:val="24"/>
        </w:rPr>
      </w:pP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CERTAIN:           ERF 109 (A PORTION OF ERF NO. 95) LAFRENZ </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SITUATE:            IN THE MUNICIPALITY OF WINDHOEK</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                            REGISTRATION DIVISION “K”, KHOMAS REGION </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MEASURING:     1161 (ONE ONE SIX ONE) SQUARE METERS</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HELD BY:            DEED OF TRANSFER NO T 7371/2006</w:t>
      </w: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SUBJECT:           TO THE CONDITIONS CONTAINED THEREIN</w:t>
      </w:r>
    </w:p>
    <w:p w:rsidR="00BB77AA" w:rsidRDefault="00BB77AA" w:rsidP="00BB77AA">
      <w:pPr>
        <w:spacing w:after="0" w:line="360" w:lineRule="auto"/>
        <w:ind w:left="720"/>
        <w:jc w:val="both"/>
        <w:rPr>
          <w:rFonts w:ascii="Arial" w:hAnsi="Arial" w:cs="Arial"/>
          <w:sz w:val="24"/>
          <w:szCs w:val="24"/>
        </w:rPr>
      </w:pPr>
    </w:p>
    <w:p w:rsidR="00BB77AA" w:rsidRDefault="00BB77AA" w:rsidP="00BB77AA">
      <w:pPr>
        <w:spacing w:after="0" w:line="360" w:lineRule="auto"/>
        <w:ind w:left="720"/>
        <w:jc w:val="both"/>
        <w:rPr>
          <w:rFonts w:ascii="Arial" w:hAnsi="Arial" w:cs="Arial"/>
          <w:sz w:val="24"/>
          <w:szCs w:val="24"/>
        </w:rPr>
      </w:pPr>
      <w:r>
        <w:rPr>
          <w:rFonts w:ascii="Arial" w:hAnsi="Arial" w:cs="Arial"/>
          <w:sz w:val="24"/>
          <w:szCs w:val="24"/>
        </w:rPr>
        <w:t xml:space="preserve">are declared specially executable. </w:t>
      </w:r>
    </w:p>
    <w:p w:rsidR="00BB77AA" w:rsidRDefault="00BB77AA" w:rsidP="00BB77AA">
      <w:pPr>
        <w:spacing w:after="0" w:line="360" w:lineRule="auto"/>
        <w:ind w:left="720"/>
        <w:jc w:val="both"/>
        <w:rPr>
          <w:rFonts w:ascii="Arial" w:hAnsi="Arial" w:cs="Arial"/>
          <w:sz w:val="24"/>
          <w:szCs w:val="24"/>
        </w:rPr>
      </w:pPr>
    </w:p>
    <w:p w:rsidR="00BB77AA" w:rsidRDefault="00BB77AA" w:rsidP="00BB77AA">
      <w:pPr>
        <w:numPr>
          <w:ilvl w:val="0"/>
          <w:numId w:val="3"/>
        </w:numPr>
        <w:spacing w:after="0" w:line="360" w:lineRule="auto"/>
        <w:jc w:val="both"/>
        <w:rPr>
          <w:rFonts w:ascii="Arial" w:hAnsi="Arial" w:cs="Arial"/>
          <w:sz w:val="24"/>
          <w:szCs w:val="24"/>
        </w:rPr>
      </w:pPr>
      <w:r>
        <w:rPr>
          <w:rFonts w:ascii="Arial" w:hAnsi="Arial" w:cs="Arial"/>
          <w:sz w:val="24"/>
          <w:szCs w:val="24"/>
        </w:rPr>
        <w:lastRenderedPageBreak/>
        <w:t>The respondents must, jointly and severally, the one paying the other to be absolved, pay the applicant’s costs of suit regarding the rule 108 application and the applicant’s costs for opposing the rescission application on a party-party scale.</w:t>
      </w:r>
    </w:p>
    <w:p w:rsidR="00BB77AA" w:rsidRDefault="00BB77AA" w:rsidP="00BB77AA">
      <w:pPr>
        <w:spacing w:after="0" w:line="360" w:lineRule="auto"/>
        <w:ind w:left="720"/>
        <w:jc w:val="both"/>
        <w:rPr>
          <w:rFonts w:ascii="Arial" w:hAnsi="Arial" w:cs="Arial"/>
          <w:sz w:val="24"/>
          <w:szCs w:val="24"/>
        </w:rPr>
      </w:pPr>
    </w:p>
    <w:p w:rsidR="00BB77AA" w:rsidRPr="006E690C" w:rsidRDefault="00BB77AA" w:rsidP="006E690C">
      <w:pPr>
        <w:pStyle w:val="ListParagraph"/>
        <w:numPr>
          <w:ilvl w:val="0"/>
          <w:numId w:val="3"/>
        </w:numPr>
        <w:spacing w:after="0" w:line="240" w:lineRule="auto"/>
        <w:jc w:val="both"/>
        <w:rPr>
          <w:rFonts w:ascii="Arial" w:hAnsi="Arial" w:cs="Arial"/>
          <w:sz w:val="24"/>
          <w:szCs w:val="24"/>
        </w:rPr>
      </w:pPr>
      <w:r w:rsidRPr="006E690C">
        <w:rPr>
          <w:rFonts w:ascii="Arial" w:hAnsi="Arial" w:cs="Arial"/>
          <w:sz w:val="24"/>
          <w:szCs w:val="24"/>
        </w:rPr>
        <w:t>The matter is regarded as finalised and removed from the roll.</w:t>
      </w:r>
    </w:p>
    <w:p w:rsidR="00BB77AA" w:rsidRPr="00BB77AA" w:rsidRDefault="00BB77AA" w:rsidP="00BB77AA">
      <w:pPr>
        <w:spacing w:after="0" w:line="240" w:lineRule="auto"/>
        <w:jc w:val="both"/>
        <w:rPr>
          <w:rFonts w:ascii="Arial" w:eastAsia="Times New Roman" w:hAnsi="Arial" w:cs="Arial"/>
          <w:sz w:val="24"/>
          <w:szCs w:val="24"/>
          <w:lang w:val="en-GB"/>
        </w:rPr>
      </w:pPr>
    </w:p>
    <w:p w:rsidR="00BB77AA" w:rsidRPr="00BB77AA" w:rsidRDefault="00BB77AA" w:rsidP="00BB77AA">
      <w:pPr>
        <w:pBdr>
          <w:top w:val="single" w:sz="4" w:space="1" w:color="auto"/>
        </w:pBdr>
        <w:spacing w:after="0" w:line="240" w:lineRule="auto"/>
        <w:jc w:val="center"/>
        <w:rPr>
          <w:rFonts w:ascii="Arial" w:eastAsia="Calibri" w:hAnsi="Arial" w:cs="Arial"/>
          <w:b/>
          <w:sz w:val="24"/>
          <w:szCs w:val="24"/>
          <w:lang w:val="en-GB"/>
        </w:rPr>
      </w:pPr>
    </w:p>
    <w:p w:rsidR="00BB77AA" w:rsidRPr="00BB77AA" w:rsidRDefault="00BB77AA" w:rsidP="00BB77AA">
      <w:pPr>
        <w:spacing w:after="0" w:line="360" w:lineRule="auto"/>
        <w:ind w:left="1440" w:hanging="1440"/>
        <w:jc w:val="center"/>
        <w:rPr>
          <w:rFonts w:ascii="Arial" w:eastAsia="Calibri" w:hAnsi="Arial" w:cs="Arial"/>
          <w:b/>
          <w:sz w:val="24"/>
          <w:szCs w:val="24"/>
          <w:lang w:val="en-GB"/>
        </w:rPr>
      </w:pPr>
      <w:r w:rsidRPr="00BB77AA">
        <w:rPr>
          <w:rFonts w:ascii="Arial" w:eastAsia="Calibri" w:hAnsi="Arial" w:cs="Arial"/>
          <w:b/>
          <w:sz w:val="24"/>
          <w:szCs w:val="24"/>
          <w:lang w:val="en-GB"/>
        </w:rPr>
        <w:t>RULING</w:t>
      </w:r>
    </w:p>
    <w:p w:rsidR="00BB77AA" w:rsidRPr="00BB77AA" w:rsidRDefault="00BB77AA" w:rsidP="00BB77AA">
      <w:pPr>
        <w:pBdr>
          <w:bottom w:val="single" w:sz="4" w:space="1" w:color="auto"/>
        </w:pBdr>
        <w:spacing w:after="0" w:line="240" w:lineRule="auto"/>
        <w:jc w:val="both"/>
        <w:rPr>
          <w:rFonts w:ascii="Arial" w:eastAsia="Calibri" w:hAnsi="Arial" w:cs="Arial"/>
          <w:sz w:val="24"/>
          <w:szCs w:val="24"/>
          <w:lang w:val="en-GB"/>
        </w:rPr>
      </w:pPr>
    </w:p>
    <w:p w:rsidR="00BB77AA" w:rsidRPr="00BB77AA" w:rsidRDefault="00BB77AA" w:rsidP="00BB77AA">
      <w:pPr>
        <w:spacing w:after="0" w:line="360" w:lineRule="auto"/>
        <w:ind w:left="1440" w:hanging="1440"/>
        <w:jc w:val="both"/>
        <w:rPr>
          <w:rFonts w:ascii="Arial" w:eastAsia="Calibri" w:hAnsi="Arial" w:cs="Arial"/>
          <w:sz w:val="24"/>
          <w:szCs w:val="24"/>
          <w:lang w:val="en-GB"/>
        </w:rPr>
      </w:pPr>
    </w:p>
    <w:p w:rsidR="00BB77AA" w:rsidRPr="00BB77AA" w:rsidRDefault="00BB77AA" w:rsidP="00BB77AA">
      <w:pPr>
        <w:spacing w:after="0" w:line="360" w:lineRule="auto"/>
        <w:jc w:val="both"/>
        <w:rPr>
          <w:rFonts w:ascii="Arial" w:eastAsia="Calibri" w:hAnsi="Arial" w:cs="Arial"/>
          <w:sz w:val="24"/>
          <w:szCs w:val="24"/>
          <w:lang w:val="en-GB"/>
        </w:rPr>
      </w:pPr>
      <w:r w:rsidRPr="00BB77AA">
        <w:rPr>
          <w:rFonts w:ascii="Arial" w:eastAsia="Calibri" w:hAnsi="Arial" w:cs="Arial"/>
          <w:sz w:val="24"/>
          <w:szCs w:val="24"/>
          <w:lang w:val="en-GB"/>
        </w:rPr>
        <w:t>SIBEYA J:</w:t>
      </w:r>
    </w:p>
    <w:p w:rsidR="00BB77AA" w:rsidRPr="00BB77AA" w:rsidRDefault="00BB77AA" w:rsidP="00BB77AA">
      <w:pPr>
        <w:spacing w:after="0" w:line="360" w:lineRule="auto"/>
        <w:jc w:val="both"/>
        <w:rPr>
          <w:rFonts w:ascii="Arial" w:eastAsia="Calibri" w:hAnsi="Arial" w:cs="Arial"/>
          <w:sz w:val="24"/>
          <w:szCs w:val="24"/>
          <w:lang w:val="en-GB"/>
        </w:rPr>
      </w:pPr>
    </w:p>
    <w:p w:rsidR="00BB77AA" w:rsidRPr="00BB77AA" w:rsidRDefault="00BB77AA" w:rsidP="00BB77AA">
      <w:pPr>
        <w:spacing w:after="0" w:line="360" w:lineRule="auto"/>
        <w:jc w:val="both"/>
        <w:rPr>
          <w:rFonts w:ascii="Arial" w:eastAsia="Times New Roman" w:hAnsi="Arial" w:cs="Arial"/>
          <w:bCs/>
          <w:sz w:val="24"/>
          <w:szCs w:val="24"/>
          <w:u w:val="single"/>
          <w:lang w:val="en-GB"/>
        </w:rPr>
      </w:pPr>
      <w:r w:rsidRPr="00BB77AA">
        <w:rPr>
          <w:rFonts w:ascii="Arial" w:eastAsia="Times New Roman" w:hAnsi="Arial" w:cs="Arial"/>
          <w:bCs/>
          <w:sz w:val="24"/>
          <w:szCs w:val="24"/>
          <w:u w:val="single"/>
          <w:lang w:val="en-GB"/>
        </w:rPr>
        <w:t>Introduction</w:t>
      </w:r>
    </w:p>
    <w:p w:rsidR="00BB77AA" w:rsidRPr="00BB77AA" w:rsidRDefault="00BB77AA" w:rsidP="00BB77AA">
      <w:pPr>
        <w:spacing w:after="0" w:line="360" w:lineRule="auto"/>
        <w:jc w:val="both"/>
        <w:rPr>
          <w:rFonts w:ascii="Arial" w:eastAsia="Times New Roman" w:hAnsi="Arial" w:cs="Arial"/>
          <w:bCs/>
          <w:sz w:val="24"/>
          <w:szCs w:val="24"/>
          <w:u w:val="single"/>
          <w:lang w:val="en-GB"/>
        </w:rPr>
      </w:pPr>
    </w:p>
    <w:p w:rsidR="00A732D7" w:rsidRDefault="00BB77AA" w:rsidP="00992E4B">
      <w:pPr>
        <w:tabs>
          <w:tab w:val="left" w:pos="720"/>
          <w:tab w:val="left" w:pos="2268"/>
        </w:tabs>
        <w:spacing w:after="0" w:line="360" w:lineRule="auto"/>
        <w:jc w:val="both"/>
        <w:rPr>
          <w:rFonts w:ascii="Arial" w:eastAsia="Times New Roman" w:hAnsi="Arial" w:cs="Arial"/>
          <w:sz w:val="24"/>
          <w:szCs w:val="24"/>
          <w:lang w:val="en-ZA"/>
        </w:rPr>
      </w:pPr>
      <w:r w:rsidRPr="00BB77AA">
        <w:rPr>
          <w:rFonts w:ascii="Arial" w:eastAsia="Times New Roman" w:hAnsi="Arial" w:cs="Arial"/>
          <w:sz w:val="24"/>
          <w:szCs w:val="24"/>
        </w:rPr>
        <w:t>[1]</w:t>
      </w:r>
      <w:r w:rsidR="00E5398A">
        <w:rPr>
          <w:rFonts w:ascii="Arial" w:eastAsia="Times New Roman" w:hAnsi="Arial" w:cs="Arial"/>
          <w:sz w:val="24"/>
          <w:szCs w:val="24"/>
        </w:rPr>
        <w:tab/>
      </w:r>
      <w:r w:rsidR="00A732D7">
        <w:rPr>
          <w:rFonts w:ascii="Arial" w:eastAsia="Times New Roman" w:hAnsi="Arial" w:cs="Arial"/>
          <w:sz w:val="24"/>
          <w:szCs w:val="24"/>
          <w:lang w:val="en-ZA"/>
        </w:rPr>
        <w:t xml:space="preserve">The court is faced with a two-in-one application. One </w:t>
      </w:r>
      <w:r w:rsidR="00A275BE">
        <w:rPr>
          <w:rFonts w:ascii="Arial" w:eastAsia="Times New Roman" w:hAnsi="Arial" w:cs="Arial"/>
          <w:sz w:val="24"/>
          <w:szCs w:val="24"/>
          <w:lang w:val="en-ZA"/>
        </w:rPr>
        <w:t xml:space="preserve">such application is an application is brought </w:t>
      </w:r>
      <w:r w:rsidR="00A732D7">
        <w:rPr>
          <w:rFonts w:ascii="Arial" w:eastAsia="Times New Roman" w:hAnsi="Arial" w:cs="Arial"/>
          <w:sz w:val="24"/>
          <w:szCs w:val="24"/>
          <w:lang w:val="en-ZA"/>
        </w:rPr>
        <w:t xml:space="preserve">in terms of rule 108 of the High Court Rules and the other </w:t>
      </w:r>
      <w:r w:rsidR="00A275BE">
        <w:rPr>
          <w:rFonts w:ascii="Arial" w:eastAsia="Times New Roman" w:hAnsi="Arial" w:cs="Arial"/>
          <w:sz w:val="24"/>
          <w:szCs w:val="24"/>
          <w:lang w:val="en-ZA"/>
        </w:rPr>
        <w:t xml:space="preserve">is </w:t>
      </w:r>
      <w:r w:rsidR="00A732D7">
        <w:rPr>
          <w:rFonts w:ascii="Arial" w:eastAsia="Times New Roman" w:hAnsi="Arial" w:cs="Arial"/>
          <w:sz w:val="24"/>
          <w:szCs w:val="24"/>
          <w:lang w:val="en-ZA"/>
        </w:rPr>
        <w:t>a</w:t>
      </w:r>
      <w:r w:rsidR="00A275BE">
        <w:rPr>
          <w:rFonts w:ascii="Arial" w:eastAsia="Times New Roman" w:hAnsi="Arial" w:cs="Arial"/>
          <w:sz w:val="24"/>
          <w:szCs w:val="24"/>
          <w:lang w:val="en-ZA"/>
        </w:rPr>
        <w:t>n</w:t>
      </w:r>
      <w:r w:rsidR="00A732D7">
        <w:rPr>
          <w:rFonts w:ascii="Arial" w:eastAsia="Times New Roman" w:hAnsi="Arial" w:cs="Arial"/>
          <w:sz w:val="24"/>
          <w:szCs w:val="24"/>
          <w:lang w:val="en-ZA"/>
        </w:rPr>
        <w:t xml:space="preserve"> </w:t>
      </w:r>
      <w:r w:rsidR="00A275BE">
        <w:rPr>
          <w:rFonts w:ascii="Arial" w:eastAsia="Times New Roman" w:hAnsi="Arial" w:cs="Arial"/>
          <w:sz w:val="24"/>
          <w:szCs w:val="24"/>
          <w:lang w:val="en-ZA"/>
        </w:rPr>
        <w:t xml:space="preserve">application for </w:t>
      </w:r>
      <w:r w:rsidR="00A732D7" w:rsidRPr="00992E4B">
        <w:rPr>
          <w:rFonts w:ascii="Arial" w:eastAsia="Times New Roman" w:hAnsi="Arial" w:cs="Arial"/>
          <w:sz w:val="24"/>
          <w:szCs w:val="24"/>
          <w:lang w:val="en-ZA"/>
        </w:rPr>
        <w:t>rescission of the default judgment on whic</w:t>
      </w:r>
      <w:r w:rsidR="00A732D7">
        <w:rPr>
          <w:rFonts w:ascii="Arial" w:eastAsia="Times New Roman" w:hAnsi="Arial" w:cs="Arial"/>
          <w:sz w:val="24"/>
          <w:szCs w:val="24"/>
          <w:lang w:val="en-ZA"/>
        </w:rPr>
        <w:t>h the rule 108 application finds its strength</w:t>
      </w:r>
      <w:r w:rsidR="00A732D7" w:rsidRPr="00992E4B">
        <w:rPr>
          <w:rFonts w:ascii="Arial" w:eastAsia="Times New Roman" w:hAnsi="Arial" w:cs="Arial"/>
          <w:sz w:val="24"/>
          <w:szCs w:val="24"/>
          <w:lang w:val="en-ZA"/>
        </w:rPr>
        <w:t>.</w:t>
      </w:r>
    </w:p>
    <w:p w:rsidR="00FD0214" w:rsidRDefault="00FD0214" w:rsidP="00992E4B">
      <w:pPr>
        <w:tabs>
          <w:tab w:val="left" w:pos="720"/>
          <w:tab w:val="left" w:pos="2268"/>
        </w:tabs>
        <w:spacing w:after="0" w:line="360" w:lineRule="auto"/>
        <w:jc w:val="both"/>
        <w:rPr>
          <w:rFonts w:ascii="Arial" w:eastAsia="Times New Roman" w:hAnsi="Arial" w:cs="Arial"/>
          <w:sz w:val="24"/>
          <w:szCs w:val="24"/>
          <w:lang w:val="en-ZA"/>
        </w:rPr>
      </w:pPr>
    </w:p>
    <w:p w:rsidR="00412E75" w:rsidRPr="00074AB9" w:rsidRDefault="009F1A95"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w:t>
      </w:r>
      <w:r w:rsidR="00E5398A">
        <w:rPr>
          <w:rFonts w:ascii="Arial" w:eastAsia="Times New Roman" w:hAnsi="Arial" w:cs="Arial"/>
          <w:sz w:val="24"/>
          <w:szCs w:val="24"/>
          <w:lang w:val="en-ZA"/>
        </w:rPr>
        <w:tab/>
      </w:r>
      <w:r w:rsidR="00992E4B" w:rsidRPr="00992E4B">
        <w:rPr>
          <w:rFonts w:ascii="Arial" w:eastAsia="Times New Roman" w:hAnsi="Arial" w:cs="Arial"/>
          <w:sz w:val="24"/>
          <w:szCs w:val="24"/>
          <w:lang w:val="en-ZA"/>
        </w:rPr>
        <w:t>Initially this matter served before court for an application by the applicant to declare immovable properties specially executable in terms of rule 108, subsequent to a default judgment being granted against the respondents. While the application was due to be heard, the respondents filed an application for res</w:t>
      </w:r>
      <w:r w:rsidR="00763B67">
        <w:rPr>
          <w:rFonts w:ascii="Arial" w:eastAsia="Times New Roman" w:hAnsi="Arial" w:cs="Arial"/>
          <w:sz w:val="24"/>
          <w:szCs w:val="24"/>
          <w:lang w:val="en-ZA"/>
        </w:rPr>
        <w:t xml:space="preserve">cission of the default judgment, </w:t>
      </w:r>
      <w:r w:rsidR="00992E4B" w:rsidRPr="00992E4B">
        <w:rPr>
          <w:rFonts w:ascii="Arial" w:eastAsia="Times New Roman" w:hAnsi="Arial" w:cs="Arial"/>
          <w:sz w:val="24"/>
          <w:szCs w:val="24"/>
          <w:lang w:val="en-ZA"/>
        </w:rPr>
        <w:t xml:space="preserve">the basis on which the rule 108 application stems. The rule 108 application is opposed by the respondents while the applicant on the other hand opposes the rescission application. The said applications were heard jointly.  </w:t>
      </w:r>
    </w:p>
    <w:p w:rsidR="003C1736" w:rsidRDefault="003C1736" w:rsidP="00992E4B">
      <w:pPr>
        <w:tabs>
          <w:tab w:val="left" w:pos="720"/>
          <w:tab w:val="left" w:pos="2268"/>
        </w:tabs>
        <w:spacing w:after="0" w:line="360" w:lineRule="auto"/>
        <w:jc w:val="both"/>
        <w:rPr>
          <w:rFonts w:ascii="Arial" w:eastAsia="Times New Roman" w:hAnsi="Arial" w:cs="Arial"/>
          <w:sz w:val="24"/>
          <w:szCs w:val="24"/>
          <w:u w:val="single"/>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r w:rsidRPr="00992E4B">
        <w:rPr>
          <w:rFonts w:ascii="Arial" w:eastAsia="Times New Roman" w:hAnsi="Arial" w:cs="Arial"/>
          <w:sz w:val="24"/>
          <w:szCs w:val="24"/>
          <w:u w:val="single"/>
          <w:lang w:val="en-ZA"/>
        </w:rPr>
        <w:t xml:space="preserve">Parties and their </w:t>
      </w:r>
      <w:r w:rsidR="00412E75">
        <w:rPr>
          <w:rFonts w:ascii="Arial" w:eastAsia="Times New Roman" w:hAnsi="Arial" w:cs="Arial"/>
          <w:sz w:val="24"/>
          <w:szCs w:val="24"/>
          <w:u w:val="single"/>
          <w:lang w:val="en-ZA"/>
        </w:rPr>
        <w:t>r</w:t>
      </w:r>
      <w:r w:rsidRPr="00992E4B">
        <w:rPr>
          <w:rFonts w:ascii="Arial" w:eastAsia="Times New Roman" w:hAnsi="Arial" w:cs="Arial"/>
          <w:sz w:val="24"/>
          <w:szCs w:val="24"/>
          <w:u w:val="single"/>
          <w:lang w:val="en-ZA"/>
        </w:rPr>
        <w:t>epresentation</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A732D7">
        <w:rPr>
          <w:rFonts w:ascii="Arial" w:eastAsia="Times New Roman" w:hAnsi="Arial" w:cs="Arial"/>
          <w:sz w:val="24"/>
          <w:szCs w:val="24"/>
          <w:lang w:val="en-ZA"/>
        </w:rPr>
        <w:t>3</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The applicant is Standard Bank of Namibia Limited, a banking institution with limited liability duly registered and incorporated according to the banking laws and company laws of the Republic. The applicant shall be referred to as ‘the bank’.</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lastRenderedPageBreak/>
        <w:t>[</w:t>
      </w:r>
      <w:r w:rsidR="00A732D7">
        <w:rPr>
          <w:rFonts w:ascii="Arial" w:eastAsia="Times New Roman" w:hAnsi="Arial" w:cs="Arial"/>
          <w:sz w:val="24"/>
          <w:szCs w:val="24"/>
          <w:lang w:val="en-ZA"/>
        </w:rPr>
        <w:t>4</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The first respondent is Monarch Car Sales and Panel Beating CC, a close corporation registered and incorporated in terms of the Close Corporations Act 26 of 1998. The first respondent shall be referred to as ‘Monarch’.</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5</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The second respondent is Mr Paul Edward Doyle, an adult male businessman.</w:t>
      </w:r>
      <w:r w:rsidR="00A732D7">
        <w:rPr>
          <w:rFonts w:ascii="Arial" w:eastAsia="Times New Roman" w:hAnsi="Arial" w:cs="Arial"/>
          <w:sz w:val="24"/>
          <w:szCs w:val="24"/>
          <w:lang w:val="en-ZA"/>
        </w:rPr>
        <w:t xml:space="preserve"> He shall be referred to as </w:t>
      </w:r>
      <w:r w:rsidR="00763B67">
        <w:rPr>
          <w:rFonts w:ascii="Arial" w:eastAsia="Times New Roman" w:hAnsi="Arial" w:cs="Arial"/>
          <w:sz w:val="24"/>
          <w:szCs w:val="24"/>
          <w:lang w:val="en-ZA"/>
        </w:rPr>
        <w:t>‘</w:t>
      </w:r>
      <w:r w:rsidR="00A732D7">
        <w:rPr>
          <w:rFonts w:ascii="Arial" w:eastAsia="Times New Roman" w:hAnsi="Arial" w:cs="Arial"/>
          <w:sz w:val="24"/>
          <w:szCs w:val="24"/>
          <w:lang w:val="en-ZA"/>
        </w:rPr>
        <w:t>Mr Dolye</w:t>
      </w:r>
      <w:r w:rsidR="00763B67">
        <w:rPr>
          <w:rFonts w:ascii="Arial" w:eastAsia="Times New Roman" w:hAnsi="Arial" w:cs="Arial"/>
          <w:sz w:val="24"/>
          <w:szCs w:val="24"/>
          <w:lang w:val="en-ZA"/>
        </w:rPr>
        <w:t>’</w:t>
      </w:r>
      <w:r w:rsidR="00A732D7">
        <w:rPr>
          <w:rFonts w:ascii="Arial" w:eastAsia="Times New Roman" w:hAnsi="Arial" w:cs="Arial"/>
          <w:sz w:val="24"/>
          <w:szCs w:val="24"/>
          <w:lang w:val="en-ZA"/>
        </w:rPr>
        <w:t>.</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6</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The third respondent is Communard Twenty Three CC, a close corporation duly registered and incorporated in terms of the Close Corporations Act with its chosen </w:t>
      </w:r>
      <w:r w:rsidRPr="00412E75">
        <w:rPr>
          <w:rFonts w:ascii="Arial" w:eastAsia="Times New Roman" w:hAnsi="Arial" w:cs="Arial"/>
          <w:i/>
          <w:sz w:val="24"/>
          <w:szCs w:val="24"/>
          <w:lang w:val="en-ZA"/>
        </w:rPr>
        <w:t>domicilium citandi et executandi</w:t>
      </w:r>
      <w:r w:rsidRPr="00992E4B">
        <w:rPr>
          <w:rFonts w:ascii="Arial" w:eastAsia="Times New Roman" w:hAnsi="Arial" w:cs="Arial"/>
          <w:sz w:val="24"/>
          <w:szCs w:val="24"/>
          <w:lang w:val="en-ZA"/>
        </w:rPr>
        <w:t xml:space="preserve"> at Erf 108 and 109 Lafrenz, Windhoek. The third respondent shall be referred to as ‘Communard’.</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7</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Where reference is made to the first, second and th</w:t>
      </w:r>
      <w:r w:rsidR="00A732D7">
        <w:rPr>
          <w:rFonts w:ascii="Arial" w:eastAsia="Times New Roman" w:hAnsi="Arial" w:cs="Arial"/>
          <w:sz w:val="24"/>
          <w:szCs w:val="24"/>
          <w:lang w:val="en-ZA"/>
        </w:rPr>
        <w:t>ird respondents jointly, they shall be referred to as ‘the respondents’</w:t>
      </w:r>
      <w:r w:rsidRPr="00992E4B">
        <w:rPr>
          <w:rFonts w:ascii="Arial" w:eastAsia="Times New Roman" w:hAnsi="Arial" w:cs="Arial"/>
          <w:sz w:val="24"/>
          <w:szCs w:val="24"/>
          <w:lang w:val="en-ZA"/>
        </w:rPr>
        <w:t xml:space="preserve">, however, </w:t>
      </w:r>
      <w:r w:rsidR="00A732D7">
        <w:rPr>
          <w:rFonts w:ascii="Arial" w:eastAsia="Times New Roman" w:hAnsi="Arial" w:cs="Arial"/>
          <w:sz w:val="24"/>
          <w:szCs w:val="24"/>
          <w:lang w:val="en-ZA"/>
        </w:rPr>
        <w:t xml:space="preserve">where reference is </w:t>
      </w:r>
      <w:r w:rsidRPr="00992E4B">
        <w:rPr>
          <w:rFonts w:ascii="Arial" w:eastAsia="Times New Roman" w:hAnsi="Arial" w:cs="Arial"/>
          <w:sz w:val="24"/>
          <w:szCs w:val="24"/>
          <w:lang w:val="en-ZA"/>
        </w:rPr>
        <w:t xml:space="preserve">made to both the applicant and the respondents, they shall be referred to as, </w:t>
      </w:r>
      <w:r w:rsidR="00A732D7">
        <w:rPr>
          <w:rFonts w:ascii="Arial" w:eastAsia="Times New Roman" w:hAnsi="Arial" w:cs="Arial"/>
          <w:sz w:val="24"/>
          <w:szCs w:val="24"/>
          <w:lang w:val="en-ZA"/>
        </w:rPr>
        <w:t>‘</w:t>
      </w:r>
      <w:r w:rsidRPr="00992E4B">
        <w:rPr>
          <w:rFonts w:ascii="Arial" w:eastAsia="Times New Roman" w:hAnsi="Arial" w:cs="Arial"/>
          <w:sz w:val="24"/>
          <w:szCs w:val="24"/>
          <w:lang w:val="en-ZA"/>
        </w:rPr>
        <w:t xml:space="preserve">the parties’.  </w:t>
      </w:r>
    </w:p>
    <w:p w:rsidR="00074AB9" w:rsidRPr="00992E4B" w:rsidRDefault="00074AB9"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8</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Ms Omoregie appears for the applicant</w:t>
      </w:r>
      <w:r w:rsidR="00763B67">
        <w:rPr>
          <w:rFonts w:ascii="Arial" w:eastAsia="Times New Roman" w:hAnsi="Arial" w:cs="Arial"/>
          <w:sz w:val="24"/>
          <w:szCs w:val="24"/>
          <w:lang w:val="en-ZA"/>
        </w:rPr>
        <w:t>,</w:t>
      </w:r>
      <w:r w:rsidRPr="00992E4B">
        <w:rPr>
          <w:rFonts w:ascii="Arial" w:eastAsia="Times New Roman" w:hAnsi="Arial" w:cs="Arial"/>
          <w:sz w:val="24"/>
          <w:szCs w:val="24"/>
          <w:lang w:val="en-ZA"/>
        </w:rPr>
        <w:t xml:space="preserve"> while Mr Doyle appears in person for the respondents.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r w:rsidRPr="00992E4B">
        <w:rPr>
          <w:rFonts w:ascii="Arial" w:eastAsia="Times New Roman" w:hAnsi="Arial" w:cs="Arial"/>
          <w:sz w:val="24"/>
          <w:szCs w:val="24"/>
          <w:u w:val="single"/>
          <w:lang w:val="en-ZA"/>
        </w:rPr>
        <w:t>Background</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9</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On 24 September 2021, the applicant instituted action proceedings against the respondents for a claim sound in money for outstanding loan repayments following a loan that was advanced to the respondents. The loan agreement for the amount of N$ 3,5 million was concluded on 20 August 2019, between the bank and Monarch duly represented by Mr Doyle. Monarch failed to effect payment and by 18 February 2021, the outstanding amount was N$ 3 776 857,88.</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10</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Mr Doyle bound himself as surety and co-principal debtor, in </w:t>
      </w:r>
      <w:r w:rsidRPr="00704587">
        <w:rPr>
          <w:rFonts w:ascii="Arial" w:eastAsia="Times New Roman" w:hAnsi="Arial" w:cs="Arial"/>
          <w:i/>
          <w:sz w:val="24"/>
          <w:szCs w:val="24"/>
          <w:lang w:val="en-ZA"/>
        </w:rPr>
        <w:t>solidium</w:t>
      </w:r>
      <w:r w:rsidRPr="00992E4B">
        <w:rPr>
          <w:rFonts w:ascii="Arial" w:eastAsia="Times New Roman" w:hAnsi="Arial" w:cs="Arial"/>
          <w:sz w:val="24"/>
          <w:szCs w:val="24"/>
          <w:lang w:val="en-ZA"/>
        </w:rPr>
        <w:t xml:space="preserve"> with Monarch for Monarch’s indebtedness to the bank.</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lastRenderedPageBreak/>
        <w:t>[</w:t>
      </w:r>
      <w:r w:rsidR="00E5398A">
        <w:rPr>
          <w:rFonts w:ascii="Arial" w:eastAsia="Times New Roman" w:hAnsi="Arial" w:cs="Arial"/>
          <w:sz w:val="24"/>
          <w:szCs w:val="24"/>
          <w:lang w:val="en-ZA"/>
        </w:rPr>
        <w:t>11</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Communard registered a mortgage bond for Monarch’s indebtedness to the bank for whatever cause arising including future and contingent indebtedness. Communard is the holder of a First Mortgage Bond, over immovable properties Erf 108 and 109, Lafrenz, Windhoek. The said mortgage bond was registered as security by Communard for Monarch’s existing, future or contingent indebtedness to the bank.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12</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The combined summons were served on the respondents at their chosen </w:t>
      </w:r>
      <w:r w:rsidRPr="00E5398A">
        <w:rPr>
          <w:rFonts w:ascii="Arial" w:eastAsia="Times New Roman" w:hAnsi="Arial" w:cs="Arial"/>
          <w:i/>
          <w:sz w:val="24"/>
          <w:szCs w:val="24"/>
          <w:lang w:val="en-ZA"/>
        </w:rPr>
        <w:t>domicilium citandi et executandi</w:t>
      </w:r>
      <w:r w:rsidRPr="00992E4B">
        <w:rPr>
          <w:rFonts w:ascii="Arial" w:eastAsia="Times New Roman" w:hAnsi="Arial" w:cs="Arial"/>
          <w:sz w:val="24"/>
          <w:szCs w:val="24"/>
          <w:lang w:val="en-ZA"/>
        </w:rPr>
        <w:t xml:space="preserve"> or registered address. The respondents never defended the action, as a result, the matter was set down for an application for default judgment. On 16 November 2021, the court, in chambers and in the absence of the parties, granted a default judgment in favour of the applicant</w:t>
      </w:r>
      <w:r w:rsidR="00704587">
        <w:rPr>
          <w:rFonts w:ascii="Arial" w:eastAsia="Times New Roman" w:hAnsi="Arial" w:cs="Arial"/>
          <w:sz w:val="24"/>
          <w:szCs w:val="24"/>
          <w:lang w:val="en-ZA"/>
        </w:rPr>
        <w:t xml:space="preserve"> against the respondents, jointly and severally, the one paying the other to be absolved</w:t>
      </w:r>
      <w:r w:rsidRPr="00992E4B">
        <w:rPr>
          <w:rFonts w:ascii="Arial" w:eastAsia="Times New Roman" w:hAnsi="Arial" w:cs="Arial"/>
          <w:sz w:val="24"/>
          <w:szCs w:val="24"/>
          <w:lang w:val="en-ZA"/>
        </w:rPr>
        <w:t>. The applicant, during November 2021, obtained the writ of executio</w:t>
      </w:r>
      <w:r w:rsidR="00704587">
        <w:rPr>
          <w:rFonts w:ascii="Arial" w:eastAsia="Times New Roman" w:hAnsi="Arial" w:cs="Arial"/>
          <w:sz w:val="24"/>
          <w:szCs w:val="24"/>
          <w:lang w:val="en-ZA"/>
        </w:rPr>
        <w:t>n against movable properties of</w:t>
      </w:r>
      <w:r w:rsidRPr="00992E4B">
        <w:rPr>
          <w:rFonts w:ascii="Arial" w:eastAsia="Times New Roman" w:hAnsi="Arial" w:cs="Arial"/>
          <w:sz w:val="24"/>
          <w:szCs w:val="24"/>
          <w:lang w:val="en-ZA"/>
        </w:rPr>
        <w:t xml:space="preserve"> the respondents.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13</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An attempt to execute the judgment on the movable properties of Communard was made on 22 April 2022 and the Deputy Sheriff filed a </w:t>
      </w:r>
      <w:r w:rsidRPr="00992E4B">
        <w:rPr>
          <w:rFonts w:ascii="Arial" w:eastAsia="Times New Roman" w:hAnsi="Arial" w:cs="Arial"/>
          <w:i/>
          <w:sz w:val="24"/>
          <w:szCs w:val="24"/>
          <w:lang w:val="en-ZA"/>
        </w:rPr>
        <w:t>nulla bona</w:t>
      </w:r>
      <w:r w:rsidRPr="00992E4B">
        <w:rPr>
          <w:rFonts w:ascii="Arial" w:eastAsia="Times New Roman" w:hAnsi="Arial" w:cs="Arial"/>
          <w:sz w:val="24"/>
          <w:szCs w:val="24"/>
          <w:lang w:val="en-ZA"/>
        </w:rPr>
        <w:t xml:space="preserve"> re</w:t>
      </w:r>
      <w:r w:rsidR="00E5398A">
        <w:rPr>
          <w:rFonts w:ascii="Arial" w:eastAsia="Times New Roman" w:hAnsi="Arial" w:cs="Arial"/>
          <w:sz w:val="24"/>
          <w:szCs w:val="24"/>
          <w:lang w:val="en-ZA"/>
        </w:rPr>
        <w:t>turn for there being</w:t>
      </w:r>
      <w:r w:rsidRPr="00992E4B">
        <w:rPr>
          <w:rFonts w:ascii="Arial" w:eastAsia="Times New Roman" w:hAnsi="Arial" w:cs="Arial"/>
          <w:sz w:val="24"/>
          <w:szCs w:val="24"/>
          <w:lang w:val="en-ZA"/>
        </w:rPr>
        <w:t xml:space="preserve"> no movable properties to satisfy the judgment debt. A rule 108 application to declare the bonded properties</w:t>
      </w:r>
      <w:r w:rsidR="00E5398A">
        <w:rPr>
          <w:rFonts w:ascii="Arial" w:eastAsia="Times New Roman" w:hAnsi="Arial" w:cs="Arial"/>
          <w:sz w:val="24"/>
          <w:szCs w:val="24"/>
          <w:lang w:val="en-ZA"/>
        </w:rPr>
        <w:t>,</w:t>
      </w:r>
      <w:r w:rsidRPr="00992E4B">
        <w:rPr>
          <w:rFonts w:ascii="Arial" w:eastAsia="Times New Roman" w:hAnsi="Arial" w:cs="Arial"/>
          <w:sz w:val="24"/>
          <w:szCs w:val="24"/>
          <w:lang w:val="en-ZA"/>
        </w:rPr>
        <w:t xml:space="preserve"> Erf 108 and 109</w:t>
      </w:r>
      <w:r w:rsidR="00E5398A">
        <w:rPr>
          <w:rFonts w:ascii="Arial" w:eastAsia="Times New Roman" w:hAnsi="Arial" w:cs="Arial"/>
          <w:sz w:val="24"/>
          <w:szCs w:val="24"/>
          <w:lang w:val="en-ZA"/>
        </w:rPr>
        <w:t>,</w:t>
      </w:r>
      <w:r w:rsidRPr="00992E4B">
        <w:rPr>
          <w:rFonts w:ascii="Arial" w:eastAsia="Times New Roman" w:hAnsi="Arial" w:cs="Arial"/>
          <w:sz w:val="24"/>
          <w:szCs w:val="24"/>
          <w:lang w:val="en-ZA"/>
        </w:rPr>
        <w:t xml:space="preserve"> specially executable was served on Communard on 14 July 2022 and </w:t>
      </w:r>
      <w:r w:rsidR="00704587">
        <w:rPr>
          <w:rFonts w:ascii="Arial" w:eastAsia="Times New Roman" w:hAnsi="Arial" w:cs="Arial"/>
          <w:sz w:val="24"/>
          <w:szCs w:val="24"/>
          <w:lang w:val="en-ZA"/>
        </w:rPr>
        <w:t xml:space="preserve">the rule 108 application </w:t>
      </w:r>
      <w:r w:rsidRPr="00992E4B">
        <w:rPr>
          <w:rFonts w:ascii="Arial" w:eastAsia="Times New Roman" w:hAnsi="Arial" w:cs="Arial"/>
          <w:sz w:val="24"/>
          <w:szCs w:val="24"/>
          <w:lang w:val="en-ZA"/>
        </w:rPr>
        <w:t>subsequent</w:t>
      </w:r>
      <w:r w:rsidR="00704587">
        <w:rPr>
          <w:rFonts w:ascii="Arial" w:eastAsia="Times New Roman" w:hAnsi="Arial" w:cs="Arial"/>
          <w:sz w:val="24"/>
          <w:szCs w:val="24"/>
          <w:lang w:val="en-ZA"/>
        </w:rPr>
        <w:t>ly launched</w:t>
      </w:r>
      <w:r w:rsidRPr="00992E4B">
        <w:rPr>
          <w:rFonts w:ascii="Arial" w:eastAsia="Times New Roman" w:hAnsi="Arial" w:cs="Arial"/>
          <w:sz w:val="24"/>
          <w:szCs w:val="24"/>
          <w:lang w:val="en-ZA"/>
        </w:rPr>
        <w:t>.</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14</w:t>
      </w:r>
      <w:r w:rsidRPr="00992E4B">
        <w:rPr>
          <w:rFonts w:ascii="Arial" w:eastAsia="Times New Roman" w:hAnsi="Arial" w:cs="Arial"/>
          <w:sz w:val="24"/>
          <w:szCs w:val="24"/>
          <w:lang w:val="en-ZA"/>
        </w:rPr>
        <w:t>]</w:t>
      </w:r>
      <w:r w:rsidR="00E5398A">
        <w:rPr>
          <w:rFonts w:ascii="Arial" w:eastAsia="Times New Roman" w:hAnsi="Arial" w:cs="Arial"/>
          <w:sz w:val="24"/>
          <w:szCs w:val="24"/>
          <w:lang w:val="en-ZA"/>
        </w:rPr>
        <w:tab/>
      </w:r>
      <w:r w:rsidRPr="00992E4B">
        <w:rPr>
          <w:rFonts w:ascii="Arial" w:eastAsia="Times New Roman" w:hAnsi="Arial" w:cs="Arial"/>
          <w:sz w:val="24"/>
          <w:szCs w:val="24"/>
          <w:lang w:val="en-ZA"/>
        </w:rPr>
        <w:t xml:space="preserve">On 11 November 2022, the respondents opposed the rule 108 application. The parties were ordered to file answering and replying affidavits and the matter was postponed to 15 February 2023 for hearing of the application. The hearing was rescheduled to 9 March 2023. On 9 March 2023, Mr Doyle, acting for the respondents, requested a postponement of the matter for about three months in order to service the debt. As a result, the matter was postponed to 29 June 2023 for hearing. </w:t>
      </w:r>
    </w:p>
    <w:p w:rsidR="00704587" w:rsidRDefault="00704587"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15</w:t>
      </w: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ab/>
      </w:r>
      <w:r w:rsidRPr="00992E4B">
        <w:rPr>
          <w:rFonts w:ascii="Arial" w:eastAsia="Times New Roman" w:hAnsi="Arial" w:cs="Arial"/>
          <w:sz w:val="24"/>
          <w:szCs w:val="24"/>
          <w:lang w:val="en-ZA"/>
        </w:rPr>
        <w:t xml:space="preserve">In the interim, on 21 April 2023, </w:t>
      </w:r>
      <w:r w:rsidR="00C459B5">
        <w:rPr>
          <w:rFonts w:ascii="Arial" w:eastAsia="Times New Roman" w:hAnsi="Arial" w:cs="Arial"/>
          <w:sz w:val="24"/>
          <w:szCs w:val="24"/>
          <w:lang w:val="en-ZA"/>
        </w:rPr>
        <w:t xml:space="preserve">shy of just two months after seeking a postponement to service the debt, </w:t>
      </w:r>
      <w:r w:rsidRPr="00992E4B">
        <w:rPr>
          <w:rFonts w:ascii="Arial" w:eastAsia="Times New Roman" w:hAnsi="Arial" w:cs="Arial"/>
          <w:sz w:val="24"/>
          <w:szCs w:val="24"/>
          <w:lang w:val="en-ZA"/>
        </w:rPr>
        <w:t xml:space="preserve">the respondents filed an application for rescission of the judgment delivered on 16 November 2021. I, therefore, consider it prudent to </w:t>
      </w:r>
      <w:r w:rsidRPr="00992E4B">
        <w:rPr>
          <w:rFonts w:ascii="Arial" w:eastAsia="Times New Roman" w:hAnsi="Arial" w:cs="Arial"/>
          <w:sz w:val="24"/>
          <w:szCs w:val="24"/>
          <w:lang w:val="en-ZA"/>
        </w:rPr>
        <w:lastRenderedPageBreak/>
        <w:t xml:space="preserve">address the application for rescission of judgment first as </w:t>
      </w:r>
      <w:r w:rsidR="00704587">
        <w:rPr>
          <w:rFonts w:ascii="Arial" w:eastAsia="Times New Roman" w:hAnsi="Arial" w:cs="Arial"/>
          <w:sz w:val="24"/>
          <w:szCs w:val="24"/>
          <w:lang w:val="en-ZA"/>
        </w:rPr>
        <w:t xml:space="preserve">its success has the capacity to </w:t>
      </w:r>
      <w:r w:rsidRPr="00992E4B">
        <w:rPr>
          <w:rFonts w:ascii="Arial" w:eastAsia="Times New Roman" w:hAnsi="Arial" w:cs="Arial"/>
          <w:sz w:val="24"/>
          <w:szCs w:val="24"/>
          <w:lang w:val="en-ZA"/>
        </w:rPr>
        <w:t>dispos</w:t>
      </w:r>
      <w:r w:rsidR="00704587">
        <w:rPr>
          <w:rFonts w:ascii="Arial" w:eastAsia="Times New Roman" w:hAnsi="Arial" w:cs="Arial"/>
          <w:sz w:val="24"/>
          <w:szCs w:val="24"/>
          <w:lang w:val="en-ZA"/>
        </w:rPr>
        <w:t>e</w:t>
      </w:r>
      <w:r w:rsidRPr="00992E4B">
        <w:rPr>
          <w:rFonts w:ascii="Arial" w:eastAsia="Times New Roman" w:hAnsi="Arial" w:cs="Arial"/>
          <w:sz w:val="24"/>
          <w:szCs w:val="24"/>
          <w:lang w:val="en-ZA"/>
        </w:rPr>
        <w:t xml:space="preserve"> the rule 108 application.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r w:rsidRPr="00992E4B">
        <w:rPr>
          <w:rFonts w:ascii="Arial" w:eastAsia="Times New Roman" w:hAnsi="Arial" w:cs="Arial"/>
          <w:sz w:val="24"/>
          <w:szCs w:val="24"/>
          <w:u w:val="single"/>
          <w:lang w:val="en-ZA"/>
        </w:rPr>
        <w:t xml:space="preserve">The rescission application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C459B5"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[16</w:t>
      </w:r>
      <w:r w:rsidR="00992E4B" w:rsidRPr="00992E4B">
        <w:rPr>
          <w:rFonts w:ascii="Arial" w:eastAsia="Times New Roman" w:hAnsi="Arial" w:cs="Arial"/>
          <w:sz w:val="24"/>
          <w:szCs w:val="24"/>
          <w:lang w:val="en-ZA"/>
        </w:rPr>
        <w:t>]</w:t>
      </w:r>
      <w:r>
        <w:rPr>
          <w:rFonts w:ascii="Arial" w:eastAsia="Times New Roman" w:hAnsi="Arial" w:cs="Arial"/>
          <w:sz w:val="24"/>
          <w:szCs w:val="24"/>
          <w:lang w:val="en-ZA"/>
        </w:rPr>
        <w:tab/>
      </w:r>
      <w:r w:rsidR="00992E4B" w:rsidRPr="00992E4B">
        <w:rPr>
          <w:rFonts w:ascii="Arial" w:eastAsia="Times New Roman" w:hAnsi="Arial" w:cs="Arial"/>
          <w:sz w:val="24"/>
          <w:szCs w:val="24"/>
          <w:lang w:val="en-ZA"/>
        </w:rPr>
        <w:t>In the application for rescission of judgment, the respondents seek the following relief:</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704587" w:rsidRDefault="00992E4B" w:rsidP="00704587">
      <w:pPr>
        <w:pStyle w:val="ListParagraph"/>
        <w:numPr>
          <w:ilvl w:val="0"/>
          <w:numId w:val="5"/>
        </w:numPr>
        <w:tabs>
          <w:tab w:val="left" w:pos="720"/>
          <w:tab w:val="left" w:pos="2268"/>
        </w:tabs>
        <w:spacing w:after="0" w:line="360" w:lineRule="auto"/>
        <w:jc w:val="both"/>
        <w:rPr>
          <w:rFonts w:ascii="Arial" w:eastAsia="Times New Roman" w:hAnsi="Arial" w:cs="Arial"/>
          <w:sz w:val="24"/>
          <w:szCs w:val="24"/>
          <w:lang w:val="en-ZA"/>
        </w:rPr>
      </w:pPr>
      <w:r w:rsidRPr="00704587">
        <w:rPr>
          <w:rFonts w:ascii="Arial" w:eastAsia="Times New Roman" w:hAnsi="Arial" w:cs="Arial"/>
          <w:sz w:val="24"/>
          <w:szCs w:val="24"/>
          <w:lang w:val="en-ZA"/>
        </w:rPr>
        <w:t>Condoning the late filing of the application for rescission of judgment;</w:t>
      </w:r>
    </w:p>
    <w:p w:rsidR="00992E4B" w:rsidRPr="00992E4B" w:rsidRDefault="00992E4B" w:rsidP="00992E4B">
      <w:pPr>
        <w:numPr>
          <w:ilvl w:val="0"/>
          <w:numId w:val="5"/>
        </w:num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Rescinding the judgment of 16 November 2021 and staying its execution;</w:t>
      </w:r>
    </w:p>
    <w:p w:rsidR="00992E4B" w:rsidRPr="00992E4B" w:rsidRDefault="00992E4B" w:rsidP="00992E4B">
      <w:pPr>
        <w:numPr>
          <w:ilvl w:val="0"/>
          <w:numId w:val="5"/>
        </w:num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Costs of suit.</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17</w:t>
      </w: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ab/>
      </w:r>
      <w:r w:rsidRPr="00992E4B">
        <w:rPr>
          <w:rFonts w:ascii="Arial" w:eastAsia="Times New Roman" w:hAnsi="Arial" w:cs="Arial"/>
          <w:sz w:val="24"/>
          <w:szCs w:val="24"/>
          <w:lang w:val="en-ZA"/>
        </w:rPr>
        <w:t>Mr Doyle deposed to the founding affidavit in support of the rescission application and sta</w:t>
      </w:r>
      <w:r w:rsidR="00151C06">
        <w:rPr>
          <w:rFonts w:ascii="Arial" w:eastAsia="Times New Roman" w:hAnsi="Arial" w:cs="Arial"/>
          <w:sz w:val="24"/>
          <w:szCs w:val="24"/>
          <w:lang w:val="en-ZA"/>
        </w:rPr>
        <w:t xml:space="preserve">ted that he is a sole </w:t>
      </w:r>
      <w:r w:rsidRPr="00992E4B">
        <w:rPr>
          <w:rFonts w:ascii="Arial" w:eastAsia="Times New Roman" w:hAnsi="Arial" w:cs="Arial"/>
          <w:sz w:val="24"/>
          <w:szCs w:val="24"/>
          <w:lang w:val="en-ZA"/>
        </w:rPr>
        <w:t xml:space="preserve">member of both Monarch and Communard. He </w:t>
      </w:r>
      <w:r w:rsidR="00151C06">
        <w:rPr>
          <w:rFonts w:ascii="Arial" w:eastAsia="Times New Roman" w:hAnsi="Arial" w:cs="Arial"/>
          <w:sz w:val="24"/>
          <w:szCs w:val="24"/>
          <w:lang w:val="en-ZA"/>
        </w:rPr>
        <w:t xml:space="preserve">further </w:t>
      </w:r>
      <w:r w:rsidRPr="00992E4B">
        <w:rPr>
          <w:rFonts w:ascii="Arial" w:eastAsia="Times New Roman" w:hAnsi="Arial" w:cs="Arial"/>
          <w:sz w:val="24"/>
          <w:szCs w:val="24"/>
          <w:lang w:val="en-ZA"/>
        </w:rPr>
        <w:t xml:space="preserve">stated that he had on numerous occasions engaged the bank on </w:t>
      </w:r>
      <w:r w:rsidR="00151C06">
        <w:rPr>
          <w:rFonts w:ascii="Arial" w:eastAsia="Times New Roman" w:hAnsi="Arial" w:cs="Arial"/>
          <w:sz w:val="24"/>
          <w:szCs w:val="24"/>
          <w:lang w:val="en-ZA"/>
        </w:rPr>
        <w:t xml:space="preserve">ways </w:t>
      </w:r>
      <w:r w:rsidRPr="00992E4B">
        <w:rPr>
          <w:rFonts w:ascii="Arial" w:eastAsia="Times New Roman" w:hAnsi="Arial" w:cs="Arial"/>
          <w:sz w:val="24"/>
          <w:szCs w:val="24"/>
          <w:lang w:val="en-ZA"/>
        </w:rPr>
        <w:t xml:space="preserve">to service the outstanding debt. He says that the bank was aware of his plans to sell Erf 108 and 109 (the property) to a private buyer in order to pay the debt. He </w:t>
      </w:r>
      <w:r w:rsidR="00151C06">
        <w:rPr>
          <w:rFonts w:ascii="Arial" w:eastAsia="Times New Roman" w:hAnsi="Arial" w:cs="Arial"/>
          <w:sz w:val="24"/>
          <w:szCs w:val="24"/>
          <w:lang w:val="en-ZA"/>
        </w:rPr>
        <w:t xml:space="preserve">further </w:t>
      </w:r>
      <w:r w:rsidRPr="00992E4B">
        <w:rPr>
          <w:rFonts w:ascii="Arial" w:eastAsia="Times New Roman" w:hAnsi="Arial" w:cs="Arial"/>
          <w:sz w:val="24"/>
          <w:szCs w:val="24"/>
          <w:lang w:val="en-ZA"/>
        </w:rPr>
        <w:t xml:space="preserve">states he obtained the property about 21 years </w:t>
      </w:r>
      <w:r w:rsidR="00151C06">
        <w:rPr>
          <w:rFonts w:ascii="Arial" w:eastAsia="Times New Roman" w:hAnsi="Arial" w:cs="Arial"/>
          <w:sz w:val="24"/>
          <w:szCs w:val="24"/>
          <w:lang w:val="en-ZA"/>
        </w:rPr>
        <w:t xml:space="preserve">prior </w:t>
      </w:r>
      <w:r w:rsidRPr="00992E4B">
        <w:rPr>
          <w:rFonts w:ascii="Arial" w:eastAsia="Times New Roman" w:hAnsi="Arial" w:cs="Arial"/>
          <w:sz w:val="24"/>
          <w:szCs w:val="24"/>
          <w:lang w:val="en-ZA"/>
        </w:rPr>
        <w:t>and was trading on the property as a panel beater and spray painter. Mr Doyle states that during October 2021, he found a purchaser, a certain Mr Ak</w:t>
      </w:r>
      <w:r w:rsidR="001D09B1">
        <w:rPr>
          <w:rFonts w:ascii="Arial" w:eastAsia="Times New Roman" w:hAnsi="Arial" w:cs="Arial"/>
          <w:sz w:val="24"/>
          <w:szCs w:val="24"/>
          <w:lang w:val="en-ZA"/>
        </w:rPr>
        <w:t>i</w:t>
      </w:r>
      <w:r w:rsidRPr="00992E4B">
        <w:rPr>
          <w:rFonts w:ascii="Arial" w:eastAsia="Times New Roman" w:hAnsi="Arial" w:cs="Arial"/>
          <w:sz w:val="24"/>
          <w:szCs w:val="24"/>
          <w:lang w:val="en-ZA"/>
        </w:rPr>
        <w:t>nin, who intended to purchase the property for N$ 6,5 million and who is also a client of the bank. This purchase and sale of the property did not materialise. He further alleges that t</w:t>
      </w:r>
      <w:r w:rsidR="001D09B1">
        <w:rPr>
          <w:rFonts w:ascii="Arial" w:eastAsia="Times New Roman" w:hAnsi="Arial" w:cs="Arial"/>
          <w:sz w:val="24"/>
          <w:szCs w:val="24"/>
          <w:lang w:val="en-ZA"/>
        </w:rPr>
        <w:t>he impact of COVID-19 took its to</w:t>
      </w:r>
      <w:r w:rsidRPr="00992E4B">
        <w:rPr>
          <w:rFonts w:ascii="Arial" w:eastAsia="Times New Roman" w:hAnsi="Arial" w:cs="Arial"/>
          <w:sz w:val="24"/>
          <w:szCs w:val="24"/>
          <w:lang w:val="en-ZA"/>
        </w:rPr>
        <w:t xml:space="preserve">ll on him.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18</w:t>
      </w:r>
      <w:r w:rsidRPr="00992E4B">
        <w:rPr>
          <w:rFonts w:ascii="Arial" w:eastAsia="Times New Roman" w:hAnsi="Arial" w:cs="Arial"/>
          <w:sz w:val="24"/>
          <w:szCs w:val="24"/>
          <w:lang w:val="en-ZA"/>
        </w:rPr>
        <w:t>]</w:t>
      </w:r>
      <w:r w:rsidR="00C459B5">
        <w:rPr>
          <w:rFonts w:ascii="Arial" w:eastAsia="Times New Roman" w:hAnsi="Arial" w:cs="Arial"/>
          <w:sz w:val="24"/>
          <w:szCs w:val="24"/>
          <w:lang w:val="en-ZA"/>
        </w:rPr>
        <w:tab/>
      </w:r>
      <w:r w:rsidR="00863434">
        <w:rPr>
          <w:rFonts w:ascii="Arial" w:eastAsia="Times New Roman" w:hAnsi="Arial" w:cs="Arial"/>
          <w:sz w:val="24"/>
          <w:szCs w:val="24"/>
          <w:lang w:val="en-ZA"/>
        </w:rPr>
        <w:t>Mr Doyle stated</w:t>
      </w:r>
      <w:r w:rsidRPr="00992E4B">
        <w:rPr>
          <w:rFonts w:ascii="Arial" w:eastAsia="Times New Roman" w:hAnsi="Arial" w:cs="Arial"/>
          <w:sz w:val="24"/>
          <w:szCs w:val="24"/>
          <w:lang w:val="en-ZA"/>
        </w:rPr>
        <w:t xml:space="preserve"> in the founding affidavit that:</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151C06" w:rsidRDefault="00992E4B" w:rsidP="00992E4B">
      <w:pPr>
        <w:tabs>
          <w:tab w:val="left" w:pos="720"/>
          <w:tab w:val="left" w:pos="2268"/>
        </w:tabs>
        <w:spacing w:after="0" w:line="360" w:lineRule="auto"/>
        <w:jc w:val="both"/>
        <w:rPr>
          <w:rFonts w:ascii="Arial" w:eastAsia="Times New Roman" w:hAnsi="Arial" w:cs="Arial"/>
          <w:lang w:val="en-ZA"/>
        </w:rPr>
      </w:pPr>
      <w:r w:rsidRPr="00151C06">
        <w:rPr>
          <w:rFonts w:ascii="Arial" w:eastAsia="Times New Roman" w:hAnsi="Arial" w:cs="Arial"/>
          <w:lang w:val="en-ZA"/>
        </w:rPr>
        <w:t xml:space="preserve">        ‘14. It is not a matter that I do not owe the Respondent, but I say that I would have serviced my debt and the Respondent would not have to take legal action against me.’</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1D09B1">
        <w:rPr>
          <w:rFonts w:ascii="Arial" w:eastAsia="Times New Roman" w:hAnsi="Arial" w:cs="Arial"/>
          <w:sz w:val="24"/>
          <w:szCs w:val="24"/>
          <w:lang w:val="en-ZA"/>
        </w:rPr>
        <w:t>19</w:t>
      </w:r>
      <w:r w:rsidRPr="00992E4B">
        <w:rPr>
          <w:rFonts w:ascii="Arial" w:eastAsia="Times New Roman" w:hAnsi="Arial" w:cs="Arial"/>
          <w:sz w:val="24"/>
          <w:szCs w:val="24"/>
          <w:lang w:val="en-ZA"/>
        </w:rPr>
        <w:t>]</w:t>
      </w:r>
      <w:r w:rsidR="001D09B1">
        <w:rPr>
          <w:rFonts w:ascii="Arial" w:eastAsia="Times New Roman" w:hAnsi="Arial" w:cs="Arial"/>
          <w:sz w:val="24"/>
          <w:szCs w:val="24"/>
          <w:lang w:val="en-ZA"/>
        </w:rPr>
        <w:tab/>
      </w:r>
      <w:r w:rsidRPr="00992E4B">
        <w:rPr>
          <w:rFonts w:ascii="Arial" w:eastAsia="Times New Roman" w:hAnsi="Arial" w:cs="Arial"/>
          <w:sz w:val="24"/>
          <w:szCs w:val="24"/>
          <w:lang w:val="en-ZA"/>
        </w:rPr>
        <w:t>Mr Doyle complains that the bank rushed to obtain default judgment while the parties were engaged in negotiations on how the debt could be se</w:t>
      </w:r>
      <w:r w:rsidR="00151C06">
        <w:rPr>
          <w:rFonts w:ascii="Arial" w:eastAsia="Times New Roman" w:hAnsi="Arial" w:cs="Arial"/>
          <w:sz w:val="24"/>
          <w:szCs w:val="24"/>
          <w:lang w:val="en-ZA"/>
        </w:rPr>
        <w:t>rviced</w:t>
      </w:r>
      <w:r w:rsidRPr="00992E4B">
        <w:rPr>
          <w:rFonts w:ascii="Arial" w:eastAsia="Times New Roman" w:hAnsi="Arial" w:cs="Arial"/>
          <w:sz w:val="24"/>
          <w:szCs w:val="24"/>
          <w:lang w:val="en-ZA"/>
        </w:rPr>
        <w:t xml:space="preserve">.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lastRenderedPageBreak/>
        <w:t>[</w:t>
      </w:r>
      <w:r w:rsidR="001D09B1">
        <w:rPr>
          <w:rFonts w:ascii="Arial" w:eastAsia="Times New Roman" w:hAnsi="Arial" w:cs="Arial"/>
          <w:sz w:val="24"/>
          <w:szCs w:val="24"/>
          <w:lang w:val="en-ZA"/>
        </w:rPr>
        <w:t>20</w:t>
      </w:r>
      <w:r w:rsidRPr="00992E4B">
        <w:rPr>
          <w:rFonts w:ascii="Arial" w:eastAsia="Times New Roman" w:hAnsi="Arial" w:cs="Arial"/>
          <w:sz w:val="24"/>
          <w:szCs w:val="24"/>
          <w:lang w:val="en-ZA"/>
        </w:rPr>
        <w:t>]</w:t>
      </w:r>
      <w:r w:rsidR="001D09B1">
        <w:rPr>
          <w:rFonts w:ascii="Arial" w:eastAsia="Times New Roman" w:hAnsi="Arial" w:cs="Arial"/>
          <w:sz w:val="24"/>
          <w:szCs w:val="24"/>
          <w:lang w:val="en-ZA"/>
        </w:rPr>
        <w:tab/>
      </w:r>
      <w:r w:rsidR="00863434">
        <w:rPr>
          <w:rFonts w:ascii="Arial" w:eastAsia="Times New Roman" w:hAnsi="Arial" w:cs="Arial"/>
          <w:sz w:val="24"/>
          <w:szCs w:val="24"/>
          <w:lang w:val="en-ZA"/>
        </w:rPr>
        <w:t>Mr Doyle further stated</w:t>
      </w:r>
      <w:r w:rsidRPr="00992E4B">
        <w:rPr>
          <w:rFonts w:ascii="Arial" w:eastAsia="Times New Roman" w:hAnsi="Arial" w:cs="Arial"/>
          <w:sz w:val="24"/>
          <w:szCs w:val="24"/>
          <w:lang w:val="en-ZA"/>
        </w:rPr>
        <w:t xml:space="preserve"> that the returns of service of the summons reveal that Monarch was served at c/o P M Strauss, 1191 Nelson Mandela Avenue which was the address of Conradie &amp; Damaseb Legal Practitioners</w:t>
      </w:r>
      <w:r w:rsidR="00151C06">
        <w:rPr>
          <w:rFonts w:ascii="Arial" w:eastAsia="Times New Roman" w:hAnsi="Arial" w:cs="Arial"/>
          <w:sz w:val="24"/>
          <w:szCs w:val="24"/>
          <w:lang w:val="en-ZA"/>
        </w:rPr>
        <w:t>,</w:t>
      </w:r>
      <w:r w:rsidRPr="00992E4B">
        <w:rPr>
          <w:rFonts w:ascii="Arial" w:eastAsia="Times New Roman" w:hAnsi="Arial" w:cs="Arial"/>
          <w:sz w:val="24"/>
          <w:szCs w:val="24"/>
          <w:lang w:val="en-ZA"/>
        </w:rPr>
        <w:t xml:space="preserve"> and the</w:t>
      </w:r>
      <w:r w:rsidR="00151C06">
        <w:rPr>
          <w:rFonts w:ascii="Arial" w:eastAsia="Times New Roman" w:hAnsi="Arial" w:cs="Arial"/>
          <w:sz w:val="24"/>
          <w:szCs w:val="24"/>
          <w:lang w:val="en-ZA"/>
        </w:rPr>
        <w:t xml:space="preserve"> legal practitioners </w:t>
      </w:r>
      <w:r w:rsidRPr="00992E4B">
        <w:rPr>
          <w:rFonts w:ascii="Arial" w:eastAsia="Times New Roman" w:hAnsi="Arial" w:cs="Arial"/>
          <w:sz w:val="24"/>
          <w:szCs w:val="24"/>
          <w:lang w:val="en-ZA"/>
        </w:rPr>
        <w:t>moved from the address in 2012. The return of service of summons in respect of Mr Doyle provides that service was effected on 7 October 2021 at 95 Flamink Street, Hochland Park. Mr</w:t>
      </w:r>
      <w:r w:rsidR="00863434">
        <w:rPr>
          <w:rFonts w:ascii="Arial" w:eastAsia="Times New Roman" w:hAnsi="Arial" w:cs="Arial"/>
          <w:sz w:val="24"/>
          <w:szCs w:val="24"/>
          <w:lang w:val="en-ZA"/>
        </w:rPr>
        <w:t xml:space="preserve"> Doyle stated</w:t>
      </w:r>
      <w:r w:rsidRPr="00992E4B">
        <w:rPr>
          <w:rFonts w:ascii="Arial" w:eastAsia="Times New Roman" w:hAnsi="Arial" w:cs="Arial"/>
          <w:sz w:val="24"/>
          <w:szCs w:val="24"/>
          <w:lang w:val="en-ZA"/>
        </w:rPr>
        <w:t xml:space="preserve"> that he resided at the said address</w:t>
      </w:r>
      <w:r w:rsidR="00151C06">
        <w:rPr>
          <w:rFonts w:ascii="Arial" w:eastAsia="Times New Roman" w:hAnsi="Arial" w:cs="Arial"/>
          <w:sz w:val="24"/>
          <w:szCs w:val="24"/>
          <w:lang w:val="en-ZA"/>
        </w:rPr>
        <w:t>,</w:t>
      </w:r>
      <w:r w:rsidRPr="00992E4B">
        <w:rPr>
          <w:rFonts w:ascii="Arial" w:eastAsia="Times New Roman" w:hAnsi="Arial" w:cs="Arial"/>
          <w:sz w:val="24"/>
          <w:szCs w:val="24"/>
          <w:lang w:val="en-ZA"/>
        </w:rPr>
        <w:t xml:space="preserve"> but sold the property in 2019 and never resided there ever since. Mr Doyle further stated that the return of service regarding Communard shows that summons were served on the property on 7 October 2021. He deposed further that he resided in South Africa from February 2021 in search for better work opportunities.  </w:t>
      </w:r>
    </w:p>
    <w:p w:rsidR="00151C06" w:rsidRPr="00992E4B" w:rsidRDefault="00151C06"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1D09B1">
        <w:rPr>
          <w:rFonts w:ascii="Arial" w:eastAsia="Times New Roman" w:hAnsi="Arial" w:cs="Arial"/>
          <w:sz w:val="24"/>
          <w:szCs w:val="24"/>
          <w:lang w:val="en-ZA"/>
        </w:rPr>
        <w:t>21</w:t>
      </w:r>
      <w:r w:rsidR="00863434">
        <w:rPr>
          <w:rFonts w:ascii="Arial" w:eastAsia="Times New Roman" w:hAnsi="Arial" w:cs="Arial"/>
          <w:sz w:val="24"/>
          <w:szCs w:val="24"/>
          <w:lang w:val="en-ZA"/>
        </w:rPr>
        <w:t>]     Mr Doyle stated</w:t>
      </w:r>
      <w:r w:rsidRPr="00992E4B">
        <w:rPr>
          <w:rFonts w:ascii="Arial" w:eastAsia="Times New Roman" w:hAnsi="Arial" w:cs="Arial"/>
          <w:sz w:val="24"/>
          <w:szCs w:val="24"/>
          <w:lang w:val="en-ZA"/>
        </w:rPr>
        <w:t xml:space="preserve"> further that he learnt of the default judgment for the first time on 19 June 2022. He states further that, as a layperson, he thought he defended the m</w:t>
      </w:r>
      <w:r w:rsidR="00863434">
        <w:rPr>
          <w:rFonts w:ascii="Arial" w:eastAsia="Times New Roman" w:hAnsi="Arial" w:cs="Arial"/>
          <w:sz w:val="24"/>
          <w:szCs w:val="24"/>
          <w:lang w:val="en-ZA"/>
        </w:rPr>
        <w:t>ain claim, but only came to realise</w:t>
      </w:r>
      <w:r w:rsidRPr="00992E4B">
        <w:rPr>
          <w:rFonts w:ascii="Arial" w:eastAsia="Times New Roman" w:hAnsi="Arial" w:cs="Arial"/>
          <w:sz w:val="24"/>
          <w:szCs w:val="24"/>
          <w:lang w:val="en-ZA"/>
        </w:rPr>
        <w:t xml:space="preserve"> later that he was opposing the rule 108 application as the judgment was already granted in the main action. He further states that he only manag</w:t>
      </w:r>
      <w:r w:rsidR="00863434">
        <w:rPr>
          <w:rFonts w:ascii="Arial" w:eastAsia="Times New Roman" w:hAnsi="Arial" w:cs="Arial"/>
          <w:sz w:val="24"/>
          <w:szCs w:val="24"/>
          <w:lang w:val="en-ZA"/>
        </w:rPr>
        <w:t>ed to secure the amount of N$ 5</w:t>
      </w:r>
      <w:r w:rsidRPr="00992E4B">
        <w:rPr>
          <w:rFonts w:ascii="Arial" w:eastAsia="Times New Roman" w:hAnsi="Arial" w:cs="Arial"/>
          <w:sz w:val="24"/>
          <w:szCs w:val="24"/>
          <w:lang w:val="en-ZA"/>
        </w:rPr>
        <w:t>000 in April 2023 in order to launch the r</w:t>
      </w:r>
      <w:r w:rsidR="00863434">
        <w:rPr>
          <w:rFonts w:ascii="Arial" w:eastAsia="Times New Roman" w:hAnsi="Arial" w:cs="Arial"/>
          <w:sz w:val="24"/>
          <w:szCs w:val="24"/>
          <w:lang w:val="en-ZA"/>
        </w:rPr>
        <w:t>escission application. He stated</w:t>
      </w:r>
      <w:r w:rsidRPr="00992E4B">
        <w:rPr>
          <w:rFonts w:ascii="Arial" w:eastAsia="Times New Roman" w:hAnsi="Arial" w:cs="Arial"/>
          <w:sz w:val="24"/>
          <w:szCs w:val="24"/>
          <w:lang w:val="en-ZA"/>
        </w:rPr>
        <w:t xml:space="preserve"> further that he </w:t>
      </w:r>
      <w:r w:rsidR="00863434">
        <w:rPr>
          <w:rFonts w:ascii="Arial" w:eastAsia="Times New Roman" w:hAnsi="Arial" w:cs="Arial"/>
          <w:sz w:val="24"/>
          <w:szCs w:val="24"/>
          <w:lang w:val="en-ZA"/>
        </w:rPr>
        <w:t>commenced t</w:t>
      </w:r>
      <w:r w:rsidRPr="00992E4B">
        <w:rPr>
          <w:rFonts w:ascii="Arial" w:eastAsia="Times New Roman" w:hAnsi="Arial" w:cs="Arial"/>
          <w:sz w:val="24"/>
          <w:szCs w:val="24"/>
          <w:lang w:val="en-ZA"/>
        </w:rPr>
        <w:t>o work on the rescission application on 11 April 2023.</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4A2806">
        <w:rPr>
          <w:rFonts w:ascii="Arial" w:eastAsia="Times New Roman" w:hAnsi="Arial" w:cs="Arial"/>
          <w:sz w:val="24"/>
          <w:szCs w:val="24"/>
          <w:lang w:val="en-ZA"/>
        </w:rPr>
        <w:t>22</w:t>
      </w:r>
      <w:r w:rsidRPr="00992E4B">
        <w:rPr>
          <w:rFonts w:ascii="Arial" w:eastAsia="Times New Roman" w:hAnsi="Arial" w:cs="Arial"/>
          <w:sz w:val="24"/>
          <w:szCs w:val="24"/>
          <w:lang w:val="en-ZA"/>
        </w:rPr>
        <w:t>]</w:t>
      </w:r>
      <w:r w:rsidR="004A2806">
        <w:rPr>
          <w:rFonts w:ascii="Arial" w:eastAsia="Times New Roman" w:hAnsi="Arial" w:cs="Arial"/>
          <w:sz w:val="24"/>
          <w:szCs w:val="24"/>
          <w:lang w:val="en-ZA"/>
        </w:rPr>
        <w:tab/>
      </w:r>
      <w:r w:rsidRPr="00992E4B">
        <w:rPr>
          <w:rFonts w:ascii="Arial" w:eastAsia="Times New Roman" w:hAnsi="Arial" w:cs="Arial"/>
          <w:sz w:val="24"/>
          <w:szCs w:val="24"/>
          <w:lang w:val="en-ZA"/>
        </w:rPr>
        <w:t xml:space="preserve">Mr Doyle argued that the delay to file the rescission application, if found to exist, should be condoned for reasons stated above and the judgement of 16 November 2021 be rescinded.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23</w:t>
      </w: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ab/>
        <w:t xml:space="preserve">The </w:t>
      </w:r>
      <w:r w:rsidR="008C02E3">
        <w:rPr>
          <w:rFonts w:ascii="Arial" w:eastAsia="Times New Roman" w:hAnsi="Arial" w:cs="Arial"/>
          <w:sz w:val="24"/>
          <w:szCs w:val="24"/>
          <w:lang w:val="en-ZA"/>
        </w:rPr>
        <w:t>bank</w:t>
      </w:r>
      <w:r w:rsidR="005D6ABA">
        <w:rPr>
          <w:rFonts w:ascii="Arial" w:eastAsia="Times New Roman" w:hAnsi="Arial" w:cs="Arial"/>
          <w:sz w:val="24"/>
          <w:szCs w:val="24"/>
          <w:lang w:val="en-ZA"/>
        </w:rPr>
        <w:t xml:space="preserve"> contends that</w:t>
      </w:r>
      <w:r w:rsidRPr="00992E4B">
        <w:rPr>
          <w:rFonts w:ascii="Arial" w:eastAsia="Times New Roman" w:hAnsi="Arial" w:cs="Arial"/>
          <w:sz w:val="24"/>
          <w:szCs w:val="24"/>
          <w:lang w:val="en-ZA"/>
        </w:rPr>
        <w:t xml:space="preserve"> the rescission application is brought in terms of rule 16. Rule 16 requires that a rescission application must be brought within 20 days of becoming aware of the default judgment. In </w:t>
      </w:r>
      <w:r w:rsidRPr="00992E4B">
        <w:rPr>
          <w:rFonts w:ascii="Arial" w:eastAsia="Times New Roman" w:hAnsi="Arial" w:cs="Arial"/>
          <w:i/>
          <w:sz w:val="24"/>
          <w:szCs w:val="24"/>
          <w:lang w:val="en-ZA"/>
        </w:rPr>
        <w:t>casu</w:t>
      </w:r>
      <w:r w:rsidRPr="00992E4B">
        <w:rPr>
          <w:rFonts w:ascii="Arial" w:eastAsia="Times New Roman" w:hAnsi="Arial" w:cs="Arial"/>
          <w:sz w:val="24"/>
          <w:szCs w:val="24"/>
          <w:lang w:val="en-ZA"/>
        </w:rPr>
        <w:t xml:space="preserve">, the </w:t>
      </w:r>
      <w:r w:rsidR="008C02E3">
        <w:rPr>
          <w:rFonts w:ascii="Arial" w:eastAsia="Times New Roman" w:hAnsi="Arial" w:cs="Arial"/>
          <w:sz w:val="24"/>
          <w:szCs w:val="24"/>
          <w:lang w:val="en-ZA"/>
        </w:rPr>
        <w:t>bank</w:t>
      </w:r>
      <w:r w:rsidRPr="00992E4B">
        <w:rPr>
          <w:rFonts w:ascii="Arial" w:eastAsia="Times New Roman" w:hAnsi="Arial" w:cs="Arial"/>
          <w:sz w:val="24"/>
          <w:szCs w:val="24"/>
          <w:lang w:val="en-ZA"/>
        </w:rPr>
        <w:t xml:space="preserve"> contends that the respondents do not comply with the 20 day rule and their application for condonation do not provide a reasonable explanation and reasonable prospects of success.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24</w:t>
      </w: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ab/>
      </w:r>
      <w:r w:rsidRPr="00992E4B">
        <w:rPr>
          <w:rFonts w:ascii="Arial" w:eastAsia="Times New Roman" w:hAnsi="Arial" w:cs="Arial"/>
          <w:sz w:val="24"/>
          <w:szCs w:val="24"/>
          <w:lang w:val="en-ZA"/>
        </w:rPr>
        <w:t>M</w:t>
      </w:r>
      <w:r w:rsidR="005D6ABA">
        <w:rPr>
          <w:rFonts w:ascii="Arial" w:eastAsia="Times New Roman" w:hAnsi="Arial" w:cs="Arial"/>
          <w:sz w:val="24"/>
          <w:szCs w:val="24"/>
          <w:lang w:val="en-ZA"/>
        </w:rPr>
        <w:t xml:space="preserve">s Omoregie </w:t>
      </w:r>
      <w:r w:rsidRPr="00992E4B">
        <w:rPr>
          <w:rFonts w:ascii="Arial" w:eastAsia="Times New Roman" w:hAnsi="Arial" w:cs="Arial"/>
          <w:sz w:val="24"/>
          <w:szCs w:val="24"/>
          <w:lang w:val="en-ZA"/>
        </w:rPr>
        <w:t xml:space="preserve">argued that </w:t>
      </w:r>
      <w:r w:rsidR="008C02E3">
        <w:rPr>
          <w:rFonts w:ascii="Arial" w:eastAsia="Times New Roman" w:hAnsi="Arial" w:cs="Arial"/>
          <w:sz w:val="24"/>
          <w:szCs w:val="24"/>
          <w:lang w:val="en-ZA"/>
        </w:rPr>
        <w:t xml:space="preserve">the fact that Mr Doyle is a lay litigant does not exempt him from complying with the rules of court. She argued that </w:t>
      </w:r>
      <w:r w:rsidRPr="00992E4B">
        <w:rPr>
          <w:rFonts w:ascii="Arial" w:eastAsia="Times New Roman" w:hAnsi="Arial" w:cs="Arial"/>
          <w:sz w:val="24"/>
          <w:szCs w:val="24"/>
          <w:lang w:val="en-ZA"/>
        </w:rPr>
        <w:t>lay litigants</w:t>
      </w:r>
      <w:r w:rsidR="008C02E3">
        <w:rPr>
          <w:rFonts w:ascii="Arial" w:eastAsia="Times New Roman" w:hAnsi="Arial" w:cs="Arial"/>
          <w:sz w:val="24"/>
          <w:szCs w:val="24"/>
          <w:lang w:val="en-ZA"/>
        </w:rPr>
        <w:t>,</w:t>
      </w:r>
      <w:r w:rsidRPr="00992E4B">
        <w:rPr>
          <w:rFonts w:ascii="Arial" w:eastAsia="Times New Roman" w:hAnsi="Arial" w:cs="Arial"/>
          <w:sz w:val="24"/>
          <w:szCs w:val="24"/>
          <w:lang w:val="en-ZA"/>
        </w:rPr>
        <w:t xml:space="preserve"> </w:t>
      </w:r>
      <w:r w:rsidR="008C02E3">
        <w:rPr>
          <w:rFonts w:ascii="Arial" w:eastAsia="Times New Roman" w:hAnsi="Arial" w:cs="Arial"/>
          <w:sz w:val="24"/>
          <w:szCs w:val="24"/>
          <w:lang w:val="en-ZA"/>
        </w:rPr>
        <w:t xml:space="preserve">just like legal </w:t>
      </w:r>
      <w:r w:rsidR="008C02E3">
        <w:rPr>
          <w:rFonts w:ascii="Arial" w:eastAsia="Times New Roman" w:hAnsi="Arial" w:cs="Arial"/>
          <w:sz w:val="24"/>
          <w:szCs w:val="24"/>
          <w:lang w:val="en-ZA"/>
        </w:rPr>
        <w:lastRenderedPageBreak/>
        <w:t xml:space="preserve">practitioners, are obliged to comply with the </w:t>
      </w:r>
      <w:r w:rsidRPr="00992E4B">
        <w:rPr>
          <w:rFonts w:ascii="Arial" w:eastAsia="Times New Roman" w:hAnsi="Arial" w:cs="Arial"/>
          <w:sz w:val="24"/>
          <w:szCs w:val="24"/>
          <w:lang w:val="en-ZA"/>
        </w:rPr>
        <w:t xml:space="preserve">rules of court. </w:t>
      </w:r>
      <w:r w:rsidR="008C02E3">
        <w:rPr>
          <w:rFonts w:ascii="Arial" w:eastAsia="Times New Roman" w:hAnsi="Arial" w:cs="Arial"/>
          <w:sz w:val="24"/>
          <w:szCs w:val="24"/>
          <w:lang w:val="en-ZA"/>
        </w:rPr>
        <w:t>She</w:t>
      </w:r>
      <w:r w:rsidRPr="00992E4B">
        <w:rPr>
          <w:rFonts w:ascii="Arial" w:eastAsia="Times New Roman" w:hAnsi="Arial" w:cs="Arial"/>
          <w:sz w:val="24"/>
          <w:szCs w:val="24"/>
          <w:lang w:val="en-ZA"/>
        </w:rPr>
        <w:t xml:space="preserve"> referred to the Supreme Court decision of </w:t>
      </w:r>
      <w:r w:rsidRPr="00992E4B">
        <w:rPr>
          <w:rFonts w:ascii="Arial" w:eastAsia="Times New Roman" w:hAnsi="Arial" w:cs="Arial"/>
          <w:i/>
          <w:sz w:val="24"/>
          <w:szCs w:val="24"/>
          <w:lang w:val="en-ZA"/>
        </w:rPr>
        <w:t>Namrights Inc v Government of the Namibia and Others</w:t>
      </w:r>
      <w:r w:rsidRPr="00992E4B">
        <w:rPr>
          <w:rFonts w:ascii="Arial" w:eastAsia="Times New Roman" w:hAnsi="Arial" w:cs="Arial"/>
          <w:sz w:val="24"/>
          <w:szCs w:val="24"/>
          <w:lang w:val="en-ZA"/>
        </w:rPr>
        <w:t>,</w:t>
      </w:r>
      <w:r w:rsidRPr="00992E4B">
        <w:rPr>
          <w:rFonts w:ascii="Arial" w:eastAsia="Times New Roman" w:hAnsi="Arial" w:cs="Arial"/>
          <w:sz w:val="24"/>
          <w:szCs w:val="24"/>
          <w:vertAlign w:val="superscript"/>
          <w:lang w:val="en-ZA"/>
        </w:rPr>
        <w:footnoteReference w:id="1"/>
      </w:r>
      <w:r w:rsidRPr="00992E4B">
        <w:rPr>
          <w:rFonts w:ascii="Arial" w:eastAsia="Times New Roman" w:hAnsi="Arial" w:cs="Arial"/>
          <w:sz w:val="24"/>
          <w:szCs w:val="24"/>
          <w:lang w:val="en-ZA"/>
        </w:rPr>
        <w:t xml:space="preserve"> where it was remarked at para 17 that: “the rules apply equally to all”. </w:t>
      </w:r>
    </w:p>
    <w:p w:rsidR="00074AB9" w:rsidRPr="00992E4B" w:rsidRDefault="00074AB9"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25</w:t>
      </w: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ab/>
      </w:r>
      <w:r w:rsidRPr="00992E4B">
        <w:rPr>
          <w:rFonts w:ascii="Arial" w:eastAsia="Times New Roman" w:hAnsi="Arial" w:cs="Arial"/>
          <w:sz w:val="24"/>
          <w:szCs w:val="24"/>
          <w:lang w:val="en-ZA"/>
        </w:rPr>
        <w:t xml:space="preserve">The </w:t>
      </w:r>
      <w:r w:rsidR="008C02E3">
        <w:rPr>
          <w:rFonts w:ascii="Arial" w:eastAsia="Times New Roman" w:hAnsi="Arial" w:cs="Arial"/>
          <w:sz w:val="24"/>
          <w:szCs w:val="24"/>
          <w:lang w:val="en-ZA"/>
        </w:rPr>
        <w:t>bank</w:t>
      </w:r>
      <w:r w:rsidRPr="00992E4B">
        <w:rPr>
          <w:rFonts w:ascii="Arial" w:eastAsia="Times New Roman" w:hAnsi="Arial" w:cs="Arial"/>
          <w:sz w:val="24"/>
          <w:szCs w:val="24"/>
          <w:lang w:val="en-ZA"/>
        </w:rPr>
        <w:t xml:space="preserve"> states that</w:t>
      </w:r>
      <w:r w:rsidR="008C02E3">
        <w:rPr>
          <w:rFonts w:ascii="Arial" w:eastAsia="Times New Roman" w:hAnsi="Arial" w:cs="Arial"/>
          <w:sz w:val="24"/>
          <w:szCs w:val="24"/>
          <w:lang w:val="en-ZA"/>
        </w:rPr>
        <w:t>,</w:t>
      </w:r>
      <w:r w:rsidRPr="00992E4B">
        <w:rPr>
          <w:rFonts w:ascii="Arial" w:eastAsia="Times New Roman" w:hAnsi="Arial" w:cs="Arial"/>
          <w:sz w:val="24"/>
          <w:szCs w:val="24"/>
          <w:lang w:val="en-ZA"/>
        </w:rPr>
        <w:t xml:space="preserve"> in respect of </w:t>
      </w:r>
      <w:r w:rsidR="005D6ABA">
        <w:rPr>
          <w:rFonts w:ascii="Arial" w:eastAsia="Times New Roman" w:hAnsi="Arial" w:cs="Arial"/>
          <w:sz w:val="24"/>
          <w:szCs w:val="24"/>
          <w:lang w:val="en-ZA"/>
        </w:rPr>
        <w:t xml:space="preserve">the </w:t>
      </w:r>
      <w:r w:rsidRPr="00992E4B">
        <w:rPr>
          <w:rFonts w:ascii="Arial" w:eastAsia="Times New Roman" w:hAnsi="Arial" w:cs="Arial"/>
          <w:sz w:val="24"/>
          <w:szCs w:val="24"/>
          <w:lang w:val="en-ZA"/>
        </w:rPr>
        <w:t xml:space="preserve">summons, Monarch chose as its </w:t>
      </w:r>
      <w:r w:rsidRPr="00992E4B">
        <w:rPr>
          <w:rFonts w:ascii="Arial" w:eastAsia="Times New Roman" w:hAnsi="Arial" w:cs="Arial"/>
          <w:i/>
          <w:sz w:val="24"/>
          <w:szCs w:val="24"/>
          <w:lang w:val="en-ZA"/>
        </w:rPr>
        <w:t>domicilium citandi et executandi</w:t>
      </w:r>
      <w:r w:rsidRPr="00992E4B">
        <w:rPr>
          <w:rFonts w:ascii="Arial" w:eastAsia="Times New Roman" w:hAnsi="Arial" w:cs="Arial"/>
          <w:sz w:val="24"/>
          <w:szCs w:val="24"/>
          <w:lang w:val="en-ZA"/>
        </w:rPr>
        <w:t>, the property that is mortgaged, Erf 108</w:t>
      </w:r>
      <w:r w:rsidR="005D6ABA">
        <w:rPr>
          <w:rFonts w:ascii="Arial" w:eastAsia="Times New Roman" w:hAnsi="Arial" w:cs="Arial"/>
          <w:sz w:val="24"/>
          <w:szCs w:val="24"/>
          <w:lang w:val="en-ZA"/>
        </w:rPr>
        <w:t xml:space="preserve"> and 109</w:t>
      </w:r>
      <w:r w:rsidRPr="00992E4B">
        <w:rPr>
          <w:rFonts w:ascii="Arial" w:eastAsia="Times New Roman" w:hAnsi="Arial" w:cs="Arial"/>
          <w:sz w:val="24"/>
          <w:szCs w:val="24"/>
          <w:lang w:val="en-ZA"/>
        </w:rPr>
        <w:t xml:space="preserve">, Lafrenz. The combined summons together with the particulars of claim were </w:t>
      </w:r>
      <w:r w:rsidR="008C02E3">
        <w:rPr>
          <w:rFonts w:ascii="Arial" w:eastAsia="Times New Roman" w:hAnsi="Arial" w:cs="Arial"/>
          <w:sz w:val="24"/>
          <w:szCs w:val="24"/>
          <w:lang w:val="en-ZA"/>
        </w:rPr>
        <w:t xml:space="preserve">served </w:t>
      </w:r>
      <w:r w:rsidR="005D6ABA">
        <w:rPr>
          <w:rFonts w:ascii="Arial" w:eastAsia="Times New Roman" w:hAnsi="Arial" w:cs="Arial"/>
          <w:sz w:val="24"/>
          <w:szCs w:val="24"/>
          <w:lang w:val="en-ZA"/>
        </w:rPr>
        <w:t>at</w:t>
      </w:r>
      <w:r w:rsidRPr="00992E4B">
        <w:rPr>
          <w:rFonts w:ascii="Arial" w:eastAsia="Times New Roman" w:hAnsi="Arial" w:cs="Arial"/>
          <w:sz w:val="24"/>
          <w:szCs w:val="24"/>
          <w:lang w:val="en-ZA"/>
        </w:rPr>
        <w:t xml:space="preserve"> Monarch’s chosen </w:t>
      </w:r>
      <w:r w:rsidRPr="00992E4B">
        <w:rPr>
          <w:rFonts w:ascii="Arial" w:eastAsia="Times New Roman" w:hAnsi="Arial" w:cs="Arial"/>
          <w:i/>
          <w:sz w:val="24"/>
          <w:szCs w:val="24"/>
          <w:lang w:val="en-ZA"/>
        </w:rPr>
        <w:t>domicilium citandi et executandi</w:t>
      </w:r>
      <w:r w:rsidRPr="00992E4B">
        <w:rPr>
          <w:rFonts w:ascii="Arial" w:eastAsia="Times New Roman" w:hAnsi="Arial" w:cs="Arial"/>
          <w:sz w:val="24"/>
          <w:szCs w:val="24"/>
          <w:lang w:val="en-ZA"/>
        </w:rPr>
        <w:t>. Under para 20 of the Deed o</w:t>
      </w:r>
      <w:r w:rsidR="005D6ABA">
        <w:rPr>
          <w:rFonts w:ascii="Arial" w:eastAsia="Times New Roman" w:hAnsi="Arial" w:cs="Arial"/>
          <w:sz w:val="24"/>
          <w:szCs w:val="24"/>
          <w:lang w:val="en-ZA"/>
        </w:rPr>
        <w:t>f Suretyship, Mr Doyle chose</w:t>
      </w:r>
      <w:r w:rsidRPr="00992E4B">
        <w:rPr>
          <w:rFonts w:ascii="Arial" w:eastAsia="Times New Roman" w:hAnsi="Arial" w:cs="Arial"/>
          <w:sz w:val="24"/>
          <w:szCs w:val="24"/>
          <w:lang w:val="en-ZA"/>
        </w:rPr>
        <w:t xml:space="preserve"> Flamink Street, Hochland Park as his </w:t>
      </w:r>
      <w:r w:rsidRPr="00992E4B">
        <w:rPr>
          <w:rFonts w:ascii="Arial" w:eastAsia="Times New Roman" w:hAnsi="Arial" w:cs="Arial"/>
          <w:i/>
          <w:sz w:val="24"/>
          <w:szCs w:val="24"/>
          <w:lang w:val="en-ZA"/>
        </w:rPr>
        <w:t>domicilium citandi et executandi</w:t>
      </w:r>
      <w:r w:rsidRPr="00992E4B">
        <w:rPr>
          <w:rFonts w:ascii="Arial" w:eastAsia="Times New Roman" w:hAnsi="Arial" w:cs="Arial"/>
          <w:sz w:val="24"/>
          <w:szCs w:val="24"/>
          <w:lang w:val="en-ZA"/>
        </w:rPr>
        <w:t xml:space="preserve"> and that is wh</w:t>
      </w:r>
      <w:r w:rsidR="005D6ABA">
        <w:rPr>
          <w:rFonts w:ascii="Arial" w:eastAsia="Times New Roman" w:hAnsi="Arial" w:cs="Arial"/>
          <w:sz w:val="24"/>
          <w:szCs w:val="24"/>
          <w:lang w:val="en-ZA"/>
        </w:rPr>
        <w:t>ere the summons were served. Ms Omo</w:t>
      </w:r>
      <w:r w:rsidRPr="00992E4B">
        <w:rPr>
          <w:rFonts w:ascii="Arial" w:eastAsia="Times New Roman" w:hAnsi="Arial" w:cs="Arial"/>
          <w:sz w:val="24"/>
          <w:szCs w:val="24"/>
          <w:lang w:val="en-ZA"/>
        </w:rPr>
        <w:t>regie argued that</w:t>
      </w:r>
      <w:r w:rsidR="005D6ABA">
        <w:rPr>
          <w:rFonts w:ascii="Arial" w:eastAsia="Times New Roman" w:hAnsi="Arial" w:cs="Arial"/>
          <w:sz w:val="24"/>
          <w:szCs w:val="24"/>
          <w:lang w:val="en-ZA"/>
        </w:rPr>
        <w:t>,</w:t>
      </w:r>
      <w:r w:rsidRPr="00992E4B">
        <w:rPr>
          <w:rFonts w:ascii="Arial" w:eastAsia="Times New Roman" w:hAnsi="Arial" w:cs="Arial"/>
          <w:sz w:val="24"/>
          <w:szCs w:val="24"/>
          <w:lang w:val="en-ZA"/>
        </w:rPr>
        <w:t xml:space="preserve"> the fact that Mr Doyle is said to have sold his residential property subtracts nothing from the </w:t>
      </w:r>
      <w:r w:rsidR="008C02E3">
        <w:rPr>
          <w:rFonts w:ascii="Arial" w:eastAsia="Times New Roman" w:hAnsi="Arial" w:cs="Arial"/>
          <w:sz w:val="24"/>
          <w:szCs w:val="24"/>
          <w:lang w:val="en-ZA"/>
        </w:rPr>
        <w:t xml:space="preserve">said </w:t>
      </w:r>
      <w:r w:rsidRPr="00992E4B">
        <w:rPr>
          <w:rFonts w:ascii="Arial" w:eastAsia="Times New Roman" w:hAnsi="Arial" w:cs="Arial"/>
          <w:sz w:val="24"/>
          <w:szCs w:val="24"/>
          <w:lang w:val="en-ZA"/>
        </w:rPr>
        <w:t xml:space="preserve">service as he did not inform the bank of the change in the address. In respect of service on Communard, </w:t>
      </w:r>
      <w:r w:rsidR="005D6ABA">
        <w:rPr>
          <w:rFonts w:ascii="Arial" w:eastAsia="Times New Roman" w:hAnsi="Arial" w:cs="Arial"/>
          <w:sz w:val="24"/>
          <w:szCs w:val="24"/>
          <w:lang w:val="en-ZA"/>
        </w:rPr>
        <w:t xml:space="preserve">the </w:t>
      </w:r>
      <w:r w:rsidRPr="00992E4B">
        <w:rPr>
          <w:rFonts w:ascii="Arial" w:eastAsia="Times New Roman" w:hAnsi="Arial" w:cs="Arial"/>
          <w:sz w:val="24"/>
          <w:szCs w:val="24"/>
          <w:lang w:val="en-ZA"/>
        </w:rPr>
        <w:t>combined summons were served by affixing same to the main gate of the premi</w:t>
      </w:r>
      <w:r w:rsidR="008C02E3">
        <w:rPr>
          <w:rFonts w:ascii="Arial" w:eastAsia="Times New Roman" w:hAnsi="Arial" w:cs="Arial"/>
          <w:sz w:val="24"/>
          <w:szCs w:val="24"/>
          <w:lang w:val="en-ZA"/>
        </w:rPr>
        <w:t>ses of its</w:t>
      </w:r>
      <w:r w:rsidRPr="00992E4B">
        <w:rPr>
          <w:rFonts w:ascii="Arial" w:eastAsia="Times New Roman" w:hAnsi="Arial" w:cs="Arial"/>
          <w:sz w:val="24"/>
          <w:szCs w:val="24"/>
          <w:lang w:val="en-ZA"/>
        </w:rPr>
        <w:t xml:space="preserve"> registered address.</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D6ABA">
        <w:rPr>
          <w:rFonts w:ascii="Arial" w:eastAsia="Times New Roman" w:hAnsi="Arial" w:cs="Arial"/>
          <w:sz w:val="24"/>
          <w:szCs w:val="24"/>
          <w:lang w:val="en-ZA"/>
        </w:rPr>
        <w:t>26</w:t>
      </w:r>
      <w:r w:rsidR="00B62D3A">
        <w:rPr>
          <w:rFonts w:ascii="Arial" w:eastAsia="Times New Roman" w:hAnsi="Arial" w:cs="Arial"/>
          <w:sz w:val="24"/>
          <w:szCs w:val="24"/>
          <w:lang w:val="en-ZA"/>
        </w:rPr>
        <w:t>]</w:t>
      </w:r>
      <w:r w:rsidR="00B62D3A">
        <w:rPr>
          <w:rFonts w:ascii="Arial" w:eastAsia="Times New Roman" w:hAnsi="Arial" w:cs="Arial"/>
          <w:sz w:val="24"/>
          <w:szCs w:val="24"/>
          <w:lang w:val="en-ZA"/>
        </w:rPr>
        <w:tab/>
      </w:r>
      <w:r w:rsidR="005D6ABA">
        <w:rPr>
          <w:rFonts w:ascii="Arial" w:eastAsia="Times New Roman" w:hAnsi="Arial" w:cs="Arial"/>
          <w:sz w:val="24"/>
          <w:szCs w:val="24"/>
          <w:lang w:val="en-ZA"/>
        </w:rPr>
        <w:t>Ms Omo</w:t>
      </w:r>
      <w:r w:rsidRPr="00992E4B">
        <w:rPr>
          <w:rFonts w:ascii="Arial" w:eastAsia="Times New Roman" w:hAnsi="Arial" w:cs="Arial"/>
          <w:sz w:val="24"/>
          <w:szCs w:val="24"/>
          <w:lang w:val="en-ZA"/>
        </w:rPr>
        <w:t xml:space="preserve">regie argued that the rescission application together with the condonation application should fail as the </w:t>
      </w:r>
      <w:r w:rsidR="008C02E3">
        <w:rPr>
          <w:rFonts w:ascii="Arial" w:eastAsia="Times New Roman" w:hAnsi="Arial" w:cs="Arial"/>
          <w:sz w:val="24"/>
          <w:szCs w:val="24"/>
          <w:lang w:val="en-ZA"/>
        </w:rPr>
        <w:t>respondents were duty-</w:t>
      </w:r>
      <w:r w:rsidRPr="00992E4B">
        <w:rPr>
          <w:rFonts w:ascii="Arial" w:eastAsia="Times New Roman" w:hAnsi="Arial" w:cs="Arial"/>
          <w:sz w:val="24"/>
          <w:szCs w:val="24"/>
          <w:lang w:val="en-ZA"/>
        </w:rPr>
        <w:t xml:space="preserve">bound to inform the </w:t>
      </w:r>
      <w:r w:rsidR="008C02E3">
        <w:rPr>
          <w:rFonts w:ascii="Arial" w:eastAsia="Times New Roman" w:hAnsi="Arial" w:cs="Arial"/>
          <w:sz w:val="24"/>
          <w:szCs w:val="24"/>
          <w:lang w:val="en-ZA"/>
        </w:rPr>
        <w:t xml:space="preserve">bank </w:t>
      </w:r>
      <w:r w:rsidRPr="00992E4B">
        <w:rPr>
          <w:rFonts w:ascii="Arial" w:eastAsia="Times New Roman" w:hAnsi="Arial" w:cs="Arial"/>
          <w:sz w:val="24"/>
          <w:szCs w:val="24"/>
          <w:lang w:val="en-ZA"/>
        </w:rPr>
        <w:t>of any change</w:t>
      </w:r>
      <w:r w:rsidR="008C02E3">
        <w:rPr>
          <w:rFonts w:ascii="Arial" w:eastAsia="Times New Roman" w:hAnsi="Arial" w:cs="Arial"/>
          <w:sz w:val="24"/>
          <w:szCs w:val="24"/>
          <w:lang w:val="en-ZA"/>
        </w:rPr>
        <w:t xml:space="preserve"> in</w:t>
      </w:r>
      <w:r w:rsidRPr="00992E4B">
        <w:rPr>
          <w:rFonts w:ascii="Arial" w:eastAsia="Times New Roman" w:hAnsi="Arial" w:cs="Arial"/>
          <w:sz w:val="24"/>
          <w:szCs w:val="24"/>
          <w:lang w:val="en-ZA"/>
        </w:rPr>
        <w:t xml:space="preserve"> the address of service which the respondent</w:t>
      </w:r>
      <w:r w:rsidR="008C02E3">
        <w:rPr>
          <w:rFonts w:ascii="Arial" w:eastAsia="Times New Roman" w:hAnsi="Arial" w:cs="Arial"/>
          <w:sz w:val="24"/>
          <w:szCs w:val="24"/>
          <w:lang w:val="en-ZA"/>
        </w:rPr>
        <w:t>s</w:t>
      </w:r>
      <w:r w:rsidRPr="00992E4B">
        <w:rPr>
          <w:rFonts w:ascii="Arial" w:eastAsia="Times New Roman" w:hAnsi="Arial" w:cs="Arial"/>
          <w:sz w:val="24"/>
          <w:szCs w:val="24"/>
          <w:lang w:val="en-ZA"/>
        </w:rPr>
        <w:t xml:space="preserve"> failed to do. </w:t>
      </w:r>
    </w:p>
    <w:p w:rsidR="008C02E3" w:rsidRPr="00992E4B" w:rsidRDefault="008C02E3"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r w:rsidRPr="00992E4B">
        <w:rPr>
          <w:rFonts w:ascii="Arial" w:eastAsia="Times New Roman" w:hAnsi="Arial" w:cs="Arial"/>
          <w:sz w:val="24"/>
          <w:szCs w:val="24"/>
          <w:u w:val="single"/>
          <w:lang w:val="en-ZA"/>
        </w:rPr>
        <w:t xml:space="preserve">Analysis </w:t>
      </w:r>
    </w:p>
    <w:p w:rsidR="00992E4B" w:rsidRPr="00992E4B" w:rsidRDefault="00992E4B" w:rsidP="009A5DD2">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A5DD2">
      <w:pPr>
        <w:tabs>
          <w:tab w:val="left" w:pos="720"/>
          <w:tab w:val="left" w:pos="2268"/>
        </w:tabs>
        <w:spacing w:after="0" w:line="360" w:lineRule="auto"/>
        <w:jc w:val="both"/>
        <w:rPr>
          <w:rFonts w:ascii="Arial" w:eastAsia="Times New Roman" w:hAnsi="Arial" w:cs="Arial"/>
          <w:i/>
          <w:sz w:val="24"/>
          <w:szCs w:val="24"/>
          <w:lang w:val="en-ZA"/>
        </w:rPr>
      </w:pPr>
      <w:r w:rsidRPr="00992E4B">
        <w:rPr>
          <w:rFonts w:ascii="Arial" w:eastAsia="Times New Roman" w:hAnsi="Arial" w:cs="Arial"/>
          <w:i/>
          <w:sz w:val="24"/>
          <w:szCs w:val="24"/>
          <w:lang w:val="en-ZA"/>
        </w:rPr>
        <w:t>Service</w:t>
      </w:r>
    </w:p>
    <w:p w:rsidR="009A5DD2" w:rsidRDefault="009A5DD2" w:rsidP="009A5DD2">
      <w:pPr>
        <w:tabs>
          <w:tab w:val="left" w:pos="720"/>
          <w:tab w:val="left" w:pos="2268"/>
        </w:tabs>
        <w:spacing w:after="0" w:line="360" w:lineRule="auto"/>
        <w:jc w:val="both"/>
        <w:rPr>
          <w:rFonts w:ascii="Arial" w:eastAsia="Times New Roman" w:hAnsi="Arial" w:cs="Arial"/>
          <w:sz w:val="24"/>
          <w:szCs w:val="24"/>
          <w:lang w:val="en-ZA"/>
        </w:rPr>
      </w:pPr>
    </w:p>
    <w:p w:rsidR="00D95C58" w:rsidRDefault="00170C0B"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[27]</w:t>
      </w:r>
      <w:r>
        <w:rPr>
          <w:rFonts w:ascii="Arial" w:eastAsia="Times New Roman" w:hAnsi="Arial" w:cs="Arial"/>
          <w:sz w:val="24"/>
          <w:szCs w:val="24"/>
          <w:lang w:val="en-ZA"/>
        </w:rPr>
        <w:tab/>
      </w:r>
      <w:r w:rsidR="009A5DD2">
        <w:rPr>
          <w:rFonts w:ascii="Arial" w:eastAsia="Times New Roman" w:hAnsi="Arial" w:cs="Arial"/>
          <w:sz w:val="24"/>
          <w:szCs w:val="24"/>
          <w:lang w:val="en-ZA"/>
        </w:rPr>
        <w:t>The respondents raised service as an issue</w:t>
      </w:r>
      <w:r w:rsidR="008C02E3">
        <w:rPr>
          <w:rFonts w:ascii="Arial" w:eastAsia="Times New Roman" w:hAnsi="Arial" w:cs="Arial"/>
          <w:sz w:val="24"/>
          <w:szCs w:val="24"/>
          <w:lang w:val="en-ZA"/>
        </w:rPr>
        <w:t>. A</w:t>
      </w:r>
      <w:r w:rsidR="009A5DD2">
        <w:rPr>
          <w:rFonts w:ascii="Arial" w:eastAsia="Times New Roman" w:hAnsi="Arial" w:cs="Arial"/>
          <w:sz w:val="24"/>
          <w:szCs w:val="24"/>
          <w:lang w:val="en-ZA"/>
        </w:rPr>
        <w:t>ccording to Mr Doyle he was unaware of the service of the summons on him</w:t>
      </w:r>
      <w:r w:rsidR="005B6A47">
        <w:rPr>
          <w:rFonts w:ascii="Arial" w:eastAsia="Times New Roman" w:hAnsi="Arial" w:cs="Arial"/>
          <w:sz w:val="24"/>
          <w:szCs w:val="24"/>
          <w:lang w:val="en-ZA"/>
        </w:rPr>
        <w:t xml:space="preserve"> and the other respondents.</w:t>
      </w:r>
      <w:r w:rsidR="009A5DD2">
        <w:rPr>
          <w:rFonts w:ascii="Arial" w:eastAsia="Times New Roman" w:hAnsi="Arial" w:cs="Arial"/>
          <w:sz w:val="24"/>
          <w:szCs w:val="24"/>
          <w:lang w:val="en-ZA"/>
        </w:rPr>
        <w:t xml:space="preserve"> </w:t>
      </w:r>
      <w:r w:rsidR="005B6A47">
        <w:rPr>
          <w:rFonts w:ascii="Arial" w:eastAsia="Times New Roman" w:hAnsi="Arial" w:cs="Arial"/>
          <w:sz w:val="24"/>
          <w:szCs w:val="24"/>
          <w:lang w:val="en-ZA"/>
        </w:rPr>
        <w:t>The</w:t>
      </w:r>
      <w:r w:rsidR="009A5DD2">
        <w:rPr>
          <w:rFonts w:ascii="Arial" w:eastAsia="Times New Roman" w:hAnsi="Arial" w:cs="Arial"/>
          <w:sz w:val="24"/>
          <w:szCs w:val="24"/>
          <w:lang w:val="en-ZA"/>
        </w:rPr>
        <w:t xml:space="preserve"> respondents were </w:t>
      </w:r>
      <w:r w:rsidR="005B6A47">
        <w:rPr>
          <w:rFonts w:ascii="Arial" w:eastAsia="Times New Roman" w:hAnsi="Arial" w:cs="Arial"/>
          <w:sz w:val="24"/>
          <w:szCs w:val="24"/>
          <w:lang w:val="en-ZA"/>
        </w:rPr>
        <w:t xml:space="preserve">properly </w:t>
      </w:r>
      <w:r w:rsidR="009A5DD2">
        <w:rPr>
          <w:rFonts w:ascii="Arial" w:eastAsia="Times New Roman" w:hAnsi="Arial" w:cs="Arial"/>
          <w:sz w:val="24"/>
          <w:szCs w:val="24"/>
          <w:lang w:val="en-ZA"/>
        </w:rPr>
        <w:t>served on the</w:t>
      </w:r>
      <w:r w:rsidR="005B6A47">
        <w:rPr>
          <w:rFonts w:ascii="Arial" w:eastAsia="Times New Roman" w:hAnsi="Arial" w:cs="Arial"/>
          <w:sz w:val="24"/>
          <w:szCs w:val="24"/>
          <w:lang w:val="en-ZA"/>
        </w:rPr>
        <w:t>ir</w:t>
      </w:r>
      <w:r w:rsidR="009A5DD2">
        <w:rPr>
          <w:rFonts w:ascii="Arial" w:eastAsia="Times New Roman" w:hAnsi="Arial" w:cs="Arial"/>
          <w:sz w:val="24"/>
          <w:szCs w:val="24"/>
          <w:lang w:val="en-ZA"/>
        </w:rPr>
        <w:t xml:space="preserve"> chosen </w:t>
      </w:r>
      <w:r w:rsidR="009A5DD2" w:rsidRPr="00074AB9">
        <w:rPr>
          <w:rFonts w:ascii="Arial" w:eastAsia="Times New Roman" w:hAnsi="Arial" w:cs="Arial"/>
          <w:i/>
          <w:sz w:val="24"/>
          <w:szCs w:val="24"/>
          <w:lang w:val="en-ZA"/>
        </w:rPr>
        <w:t>domicilium</w:t>
      </w:r>
      <w:r w:rsidR="009A5DD2">
        <w:rPr>
          <w:rFonts w:ascii="Arial" w:eastAsia="Times New Roman" w:hAnsi="Arial" w:cs="Arial"/>
          <w:sz w:val="24"/>
          <w:szCs w:val="24"/>
          <w:lang w:val="en-ZA"/>
        </w:rPr>
        <w:t xml:space="preserve"> addresses and</w:t>
      </w:r>
      <w:r w:rsidR="005B6A47">
        <w:rPr>
          <w:rFonts w:ascii="Arial" w:eastAsia="Times New Roman" w:hAnsi="Arial" w:cs="Arial"/>
          <w:sz w:val="24"/>
          <w:szCs w:val="24"/>
          <w:lang w:val="en-ZA"/>
        </w:rPr>
        <w:t xml:space="preserve"> the respondents </w:t>
      </w:r>
      <w:r w:rsidR="00D95C58">
        <w:rPr>
          <w:rFonts w:ascii="Arial" w:eastAsia="Times New Roman" w:hAnsi="Arial" w:cs="Arial"/>
          <w:sz w:val="24"/>
          <w:szCs w:val="24"/>
          <w:lang w:val="en-ZA"/>
        </w:rPr>
        <w:t xml:space="preserve">cannot escape that fact. </w:t>
      </w:r>
    </w:p>
    <w:p w:rsidR="00D95C58" w:rsidRDefault="00D95C58" w:rsidP="00992E4B">
      <w:pPr>
        <w:tabs>
          <w:tab w:val="left" w:pos="720"/>
          <w:tab w:val="left" w:pos="2268"/>
        </w:tabs>
        <w:spacing w:after="0" w:line="360" w:lineRule="auto"/>
        <w:jc w:val="both"/>
        <w:rPr>
          <w:rFonts w:ascii="Arial" w:eastAsia="Times New Roman" w:hAnsi="Arial" w:cs="Arial"/>
          <w:sz w:val="24"/>
          <w:szCs w:val="24"/>
          <w:lang w:val="en-ZA"/>
        </w:rPr>
      </w:pPr>
    </w:p>
    <w:p w:rsidR="00170C0B" w:rsidRDefault="00170C0B" w:rsidP="00170C0B">
      <w:pPr>
        <w:pStyle w:val="BodyText"/>
        <w:spacing w:line="360" w:lineRule="auto"/>
        <w:jc w:val="both"/>
        <w:rPr>
          <w:rFonts w:ascii="Arial" w:hAnsi="Arial" w:cs="Arial"/>
        </w:rPr>
      </w:pPr>
      <w:r>
        <w:rPr>
          <w:rFonts w:ascii="Arial" w:hAnsi="Arial" w:cs="Arial"/>
          <w:lang w:val="en-ZA"/>
        </w:rPr>
        <w:lastRenderedPageBreak/>
        <w:t>[28]</w:t>
      </w:r>
      <w:r>
        <w:rPr>
          <w:rFonts w:ascii="Arial" w:hAnsi="Arial" w:cs="Arial"/>
          <w:lang w:val="en-ZA"/>
        </w:rPr>
        <w:tab/>
      </w:r>
      <w:r w:rsidR="00D95C58">
        <w:rPr>
          <w:rFonts w:ascii="Arial" w:hAnsi="Arial" w:cs="Arial"/>
          <w:lang w:val="en-ZA"/>
        </w:rPr>
        <w:t xml:space="preserve">In </w:t>
      </w:r>
      <w:r w:rsidRPr="006B28E5">
        <w:rPr>
          <w:rFonts w:ascii="Arial" w:hAnsi="Arial" w:cs="Arial"/>
          <w:bCs/>
          <w:i/>
          <w:iCs/>
        </w:rPr>
        <w:t>First National Bank of Namibia v Nan Von Schach</w:t>
      </w:r>
      <w:r w:rsidR="008C02E3">
        <w:rPr>
          <w:rFonts w:ascii="Arial" w:hAnsi="Arial" w:cs="Arial"/>
          <w:bCs/>
          <w:i/>
          <w:iCs/>
        </w:rPr>
        <w:t>,</w:t>
      </w:r>
      <w:r>
        <w:rPr>
          <w:rStyle w:val="FootnoteReference"/>
          <w:rFonts w:ascii="Arial" w:hAnsi="Arial" w:cs="Arial"/>
          <w:bCs/>
          <w:i/>
          <w:iCs/>
        </w:rPr>
        <w:footnoteReference w:id="2"/>
      </w:r>
      <w:r w:rsidRPr="006B28E5">
        <w:rPr>
          <w:rFonts w:ascii="Arial" w:hAnsi="Arial" w:cs="Arial"/>
          <w:bCs/>
        </w:rPr>
        <w:t xml:space="preserve"> </w:t>
      </w:r>
      <w:r w:rsidRPr="006B28E5">
        <w:rPr>
          <w:rFonts w:ascii="Arial" w:hAnsi="Arial" w:cs="Arial"/>
        </w:rPr>
        <w:t>Ueitele J</w:t>
      </w:r>
      <w:r>
        <w:rPr>
          <w:rFonts w:ascii="Arial" w:hAnsi="Arial" w:cs="Arial"/>
          <w:lang w:val="en-ZA"/>
        </w:rPr>
        <w:t xml:space="preserve"> upheld a decision of </w:t>
      </w:r>
      <w:r w:rsidRPr="006B28E5">
        <w:rPr>
          <w:rFonts w:ascii="Arial" w:hAnsi="Arial" w:cs="Arial"/>
          <w:i/>
        </w:rPr>
        <w:t>MLN Extreme Safety Wear CC v Rockstar Footwear (Pty) Ltd</w:t>
      </w:r>
      <w:r>
        <w:rPr>
          <w:rStyle w:val="FootnoteReference"/>
          <w:rFonts w:ascii="Arial" w:hAnsi="Arial" w:cs="Arial"/>
          <w:i/>
        </w:rPr>
        <w:footnoteReference w:id="3"/>
      </w:r>
      <w:r w:rsidRPr="006B28E5">
        <w:rPr>
          <w:rFonts w:ascii="Arial" w:hAnsi="Arial" w:cs="Arial"/>
          <w:i/>
        </w:rPr>
        <w:t xml:space="preserve"> </w:t>
      </w:r>
      <w:r w:rsidRPr="00170C0B">
        <w:rPr>
          <w:rFonts w:ascii="Arial" w:hAnsi="Arial" w:cs="Arial"/>
        </w:rPr>
        <w:t>and stated the following:</w:t>
      </w:r>
    </w:p>
    <w:p w:rsidR="00170C0B" w:rsidRPr="00170C0B" w:rsidRDefault="00170C0B" w:rsidP="00170C0B">
      <w:pPr>
        <w:pStyle w:val="BodyText"/>
        <w:spacing w:line="360" w:lineRule="auto"/>
        <w:jc w:val="both"/>
        <w:rPr>
          <w:rFonts w:ascii="Arial" w:hAnsi="Arial" w:cs="Arial"/>
        </w:rPr>
      </w:pPr>
    </w:p>
    <w:p w:rsidR="00170C0B" w:rsidRPr="00170C0B" w:rsidRDefault="00170C0B" w:rsidP="00170C0B">
      <w:pPr>
        <w:pStyle w:val="BodyText"/>
        <w:spacing w:line="360" w:lineRule="auto"/>
        <w:ind w:firstLine="720"/>
        <w:jc w:val="both"/>
        <w:rPr>
          <w:rFonts w:ascii="Arial" w:hAnsi="Arial" w:cs="Arial"/>
          <w:sz w:val="22"/>
          <w:shd w:val="clear" w:color="auto" w:fill="FFFFFF"/>
        </w:rPr>
      </w:pPr>
      <w:r>
        <w:rPr>
          <w:rFonts w:ascii="Arial" w:hAnsi="Arial" w:cs="Arial"/>
          <w:sz w:val="22"/>
        </w:rPr>
        <w:t>‘</w:t>
      </w:r>
      <w:r w:rsidRPr="00170C0B">
        <w:rPr>
          <w:rFonts w:ascii="Arial" w:hAnsi="Arial" w:cs="Arial"/>
          <w:sz w:val="22"/>
        </w:rPr>
        <w:t>[34]</w:t>
      </w:r>
      <w:r w:rsidRPr="00170C0B">
        <w:rPr>
          <w:rFonts w:ascii="Arial" w:hAnsi="Arial" w:cs="Arial"/>
          <w:sz w:val="22"/>
        </w:rPr>
        <w:tab/>
        <w:t>… the defendant</w:t>
      </w:r>
      <w:r w:rsidRPr="00170C0B">
        <w:rPr>
          <w:rFonts w:ascii="Arial" w:hAnsi="Arial" w:cs="Arial"/>
          <w:sz w:val="22"/>
          <w:shd w:val="clear" w:color="auto" w:fill="FFFFFF"/>
        </w:rPr>
        <w:t xml:space="preserve"> did not enter an appearance to defend after summons. The service of summons was effected by affixing it on the principal door at the </w:t>
      </w:r>
      <w:r w:rsidRPr="00170C0B">
        <w:rPr>
          <w:rStyle w:val="Emphasis"/>
          <w:rFonts w:ascii="Arial" w:hAnsi="Arial" w:cs="Arial"/>
          <w:sz w:val="22"/>
          <w:shd w:val="clear" w:color="auto" w:fill="FFFFFF"/>
        </w:rPr>
        <w:t>domicilium citandi</w:t>
      </w:r>
      <w:r w:rsidRPr="00170C0B">
        <w:rPr>
          <w:rFonts w:ascii="Arial" w:hAnsi="Arial" w:cs="Arial"/>
          <w:sz w:val="22"/>
          <w:shd w:val="clear" w:color="auto" w:fill="FFFFFF"/>
        </w:rPr>
        <w:t xml:space="preserve"> that was chosen by applicant himself. Applicant however, contended that summons were served at a place which he had left three months prior to the service of summons. He, therefore, did not have knowledge of it. The Court held that the correct legal position is that it is proper service if it is effected at the previous </w:t>
      </w:r>
      <w:r w:rsidRPr="00170C0B">
        <w:rPr>
          <w:rStyle w:val="Emphasis"/>
          <w:rFonts w:ascii="Arial" w:hAnsi="Arial" w:cs="Arial"/>
          <w:sz w:val="22"/>
          <w:shd w:val="clear" w:color="auto" w:fill="FFFFFF"/>
        </w:rPr>
        <w:t>domicilium citandi</w:t>
      </w:r>
      <w:r w:rsidRPr="00170C0B">
        <w:rPr>
          <w:rFonts w:ascii="Arial" w:hAnsi="Arial" w:cs="Arial"/>
          <w:sz w:val="22"/>
          <w:shd w:val="clear" w:color="auto" w:fill="FFFFFF"/>
        </w:rPr>
        <w:t> even where change in </w:t>
      </w:r>
      <w:r w:rsidRPr="00170C0B">
        <w:rPr>
          <w:rStyle w:val="Emphasis"/>
          <w:rFonts w:ascii="Arial" w:hAnsi="Arial" w:cs="Arial"/>
          <w:sz w:val="22"/>
          <w:shd w:val="clear" w:color="auto" w:fill="FFFFFF"/>
        </w:rPr>
        <w:t>domicilium</w:t>
      </w:r>
      <w:r w:rsidRPr="00170C0B">
        <w:rPr>
          <w:rFonts w:ascii="Arial" w:hAnsi="Arial" w:cs="Arial"/>
          <w:sz w:val="22"/>
          <w:shd w:val="clear" w:color="auto" w:fill="FFFFFF"/>
        </w:rPr>
        <w:t> was not brought to the plaintiff’s attention.</w:t>
      </w:r>
      <w:r>
        <w:rPr>
          <w:rFonts w:ascii="Arial" w:hAnsi="Arial" w:cs="Arial"/>
          <w:sz w:val="22"/>
          <w:shd w:val="clear" w:color="auto" w:fill="FFFFFF"/>
        </w:rPr>
        <w:t xml:space="preserve">’ </w:t>
      </w:r>
    </w:p>
    <w:p w:rsidR="009A5DD2" w:rsidRDefault="009A5DD2" w:rsidP="00992E4B">
      <w:pPr>
        <w:tabs>
          <w:tab w:val="left" w:pos="720"/>
          <w:tab w:val="left" w:pos="2268"/>
        </w:tabs>
        <w:spacing w:after="0" w:line="360" w:lineRule="auto"/>
        <w:jc w:val="both"/>
        <w:rPr>
          <w:rFonts w:ascii="Arial" w:eastAsia="Times New Roman" w:hAnsi="Arial" w:cs="Arial"/>
          <w:sz w:val="24"/>
          <w:szCs w:val="24"/>
          <w:lang w:val="en-ZA"/>
        </w:rPr>
      </w:pPr>
    </w:p>
    <w:p w:rsidR="00170C0B" w:rsidRDefault="00170C0B"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[29]</w:t>
      </w:r>
      <w:r>
        <w:rPr>
          <w:rFonts w:ascii="Arial" w:eastAsia="Times New Roman" w:hAnsi="Arial" w:cs="Arial"/>
          <w:sz w:val="24"/>
          <w:szCs w:val="24"/>
          <w:lang w:val="en-ZA"/>
        </w:rPr>
        <w:tab/>
        <w:t xml:space="preserve">From the above excerpt, it is clear that where a party has chosen a </w:t>
      </w:r>
      <w:r w:rsidRPr="00074AB9">
        <w:rPr>
          <w:rFonts w:ascii="Arial" w:eastAsia="Times New Roman" w:hAnsi="Arial" w:cs="Arial"/>
          <w:i/>
          <w:sz w:val="24"/>
          <w:szCs w:val="24"/>
          <w:lang w:val="en-ZA"/>
        </w:rPr>
        <w:t>domicilium</w:t>
      </w:r>
      <w:r>
        <w:rPr>
          <w:rFonts w:ascii="Arial" w:eastAsia="Times New Roman" w:hAnsi="Arial" w:cs="Arial"/>
          <w:sz w:val="24"/>
          <w:szCs w:val="24"/>
          <w:lang w:val="en-ZA"/>
        </w:rPr>
        <w:t xml:space="preserve"> for purposes of service and such party is served on the said address, even though the party does not regard that address as his or her </w:t>
      </w:r>
      <w:r w:rsidRPr="00074AB9">
        <w:rPr>
          <w:rFonts w:ascii="Arial" w:eastAsia="Times New Roman" w:hAnsi="Arial" w:cs="Arial"/>
          <w:i/>
          <w:sz w:val="24"/>
          <w:szCs w:val="24"/>
          <w:lang w:val="en-ZA"/>
        </w:rPr>
        <w:t>domic</w:t>
      </w:r>
      <w:r w:rsidR="009C72C6">
        <w:rPr>
          <w:rFonts w:ascii="Arial" w:eastAsia="Times New Roman" w:hAnsi="Arial" w:cs="Arial"/>
          <w:i/>
          <w:sz w:val="24"/>
          <w:szCs w:val="24"/>
          <w:lang w:val="en-ZA"/>
        </w:rPr>
        <w:t>i</w:t>
      </w:r>
      <w:r w:rsidRPr="00074AB9">
        <w:rPr>
          <w:rFonts w:ascii="Arial" w:eastAsia="Times New Roman" w:hAnsi="Arial" w:cs="Arial"/>
          <w:i/>
          <w:sz w:val="24"/>
          <w:szCs w:val="24"/>
          <w:lang w:val="en-ZA"/>
        </w:rPr>
        <w:t>lium</w:t>
      </w:r>
      <w:r>
        <w:rPr>
          <w:rFonts w:ascii="Arial" w:eastAsia="Times New Roman" w:hAnsi="Arial" w:cs="Arial"/>
          <w:sz w:val="24"/>
          <w:szCs w:val="24"/>
          <w:lang w:val="en-ZA"/>
        </w:rPr>
        <w:t xml:space="preserve"> anymore, it remains proper service</w:t>
      </w:r>
      <w:r w:rsidR="009C72C6">
        <w:rPr>
          <w:rFonts w:ascii="Arial" w:eastAsia="Times New Roman" w:hAnsi="Arial" w:cs="Arial"/>
          <w:sz w:val="24"/>
          <w:szCs w:val="24"/>
          <w:lang w:val="en-ZA"/>
        </w:rPr>
        <w:t xml:space="preserve"> where the change in address was not communicated to the other party</w:t>
      </w:r>
      <w:r>
        <w:rPr>
          <w:rFonts w:ascii="Arial" w:eastAsia="Times New Roman" w:hAnsi="Arial" w:cs="Arial"/>
          <w:sz w:val="24"/>
          <w:szCs w:val="24"/>
          <w:lang w:val="en-ZA"/>
        </w:rPr>
        <w:t xml:space="preserve">. With </w:t>
      </w:r>
      <w:r w:rsidR="009C72C6">
        <w:rPr>
          <w:rFonts w:ascii="Arial" w:eastAsia="Times New Roman" w:hAnsi="Arial" w:cs="Arial"/>
          <w:sz w:val="24"/>
          <w:szCs w:val="24"/>
          <w:lang w:val="en-ZA"/>
        </w:rPr>
        <w:t>that being said, the respondent</w:t>
      </w:r>
      <w:r>
        <w:rPr>
          <w:rFonts w:ascii="Arial" w:eastAsia="Times New Roman" w:hAnsi="Arial" w:cs="Arial"/>
          <w:sz w:val="24"/>
          <w:szCs w:val="24"/>
          <w:lang w:val="en-ZA"/>
        </w:rPr>
        <w:t>s</w:t>
      </w:r>
      <w:r w:rsidR="009C72C6">
        <w:rPr>
          <w:rFonts w:ascii="Arial" w:eastAsia="Times New Roman" w:hAnsi="Arial" w:cs="Arial"/>
          <w:sz w:val="24"/>
          <w:szCs w:val="24"/>
          <w:lang w:val="en-ZA"/>
        </w:rPr>
        <w:t>’</w:t>
      </w:r>
      <w:r>
        <w:rPr>
          <w:rFonts w:ascii="Arial" w:eastAsia="Times New Roman" w:hAnsi="Arial" w:cs="Arial"/>
          <w:sz w:val="24"/>
          <w:szCs w:val="24"/>
          <w:lang w:val="en-ZA"/>
        </w:rPr>
        <w:t xml:space="preserve"> argument of not being aware of the summons </w:t>
      </w:r>
      <w:r w:rsidR="009C72C6">
        <w:rPr>
          <w:rFonts w:ascii="Arial" w:eastAsia="Times New Roman" w:hAnsi="Arial" w:cs="Arial"/>
          <w:sz w:val="24"/>
          <w:szCs w:val="24"/>
          <w:lang w:val="en-ZA"/>
        </w:rPr>
        <w:t xml:space="preserve">constitutes </w:t>
      </w:r>
      <w:r>
        <w:rPr>
          <w:rFonts w:ascii="Arial" w:eastAsia="Times New Roman" w:hAnsi="Arial" w:cs="Arial"/>
          <w:sz w:val="24"/>
          <w:szCs w:val="24"/>
          <w:lang w:val="en-ZA"/>
        </w:rPr>
        <w:t>a non-iss</w:t>
      </w:r>
      <w:r w:rsidR="009C72C6">
        <w:rPr>
          <w:rFonts w:ascii="Arial" w:eastAsia="Times New Roman" w:hAnsi="Arial" w:cs="Arial"/>
          <w:sz w:val="24"/>
          <w:szCs w:val="24"/>
          <w:lang w:val="en-ZA"/>
        </w:rPr>
        <w:t>ue as the respondents were duty-</w:t>
      </w:r>
      <w:r>
        <w:rPr>
          <w:rFonts w:ascii="Arial" w:eastAsia="Times New Roman" w:hAnsi="Arial" w:cs="Arial"/>
          <w:sz w:val="24"/>
          <w:szCs w:val="24"/>
          <w:lang w:val="en-ZA"/>
        </w:rPr>
        <w:t xml:space="preserve">bound to inform the applicant of any change in their </w:t>
      </w:r>
      <w:r w:rsidRPr="009C72C6">
        <w:rPr>
          <w:rFonts w:ascii="Arial" w:eastAsia="Times New Roman" w:hAnsi="Arial" w:cs="Arial"/>
          <w:i/>
          <w:sz w:val="24"/>
          <w:szCs w:val="24"/>
          <w:lang w:val="en-ZA"/>
        </w:rPr>
        <w:t>domicilium</w:t>
      </w:r>
      <w:r>
        <w:rPr>
          <w:rFonts w:ascii="Arial" w:eastAsia="Times New Roman" w:hAnsi="Arial" w:cs="Arial"/>
          <w:sz w:val="24"/>
          <w:szCs w:val="24"/>
          <w:lang w:val="en-ZA"/>
        </w:rPr>
        <w:t xml:space="preserve"> address.</w:t>
      </w:r>
      <w:r w:rsidR="00432B5A">
        <w:rPr>
          <w:rFonts w:ascii="Arial" w:eastAsia="Times New Roman" w:hAnsi="Arial" w:cs="Arial"/>
          <w:sz w:val="24"/>
          <w:szCs w:val="24"/>
          <w:lang w:val="en-ZA"/>
        </w:rPr>
        <w:t xml:space="preserve"> I will for that reason not labour on this subject any further.</w:t>
      </w:r>
    </w:p>
    <w:p w:rsidR="003C1736" w:rsidRDefault="003C1736" w:rsidP="00992E4B">
      <w:pPr>
        <w:tabs>
          <w:tab w:val="left" w:pos="720"/>
          <w:tab w:val="left" w:pos="2268"/>
        </w:tabs>
        <w:spacing w:after="0" w:line="360" w:lineRule="auto"/>
        <w:jc w:val="both"/>
        <w:rPr>
          <w:rFonts w:ascii="Arial" w:eastAsia="Times New Roman" w:hAnsi="Arial" w:cs="Arial"/>
          <w:i/>
          <w:sz w:val="24"/>
          <w:szCs w:val="24"/>
          <w:lang w:val="en-ZA"/>
        </w:rPr>
      </w:pPr>
    </w:p>
    <w:p w:rsidR="001D09B1" w:rsidRDefault="001D09B1" w:rsidP="00992E4B">
      <w:pPr>
        <w:tabs>
          <w:tab w:val="left" w:pos="720"/>
          <w:tab w:val="left" w:pos="2268"/>
        </w:tabs>
        <w:spacing w:after="0" w:line="360" w:lineRule="auto"/>
        <w:jc w:val="both"/>
        <w:rPr>
          <w:rFonts w:ascii="Arial" w:eastAsia="Times New Roman" w:hAnsi="Arial" w:cs="Arial"/>
          <w:i/>
          <w:sz w:val="24"/>
          <w:szCs w:val="24"/>
          <w:lang w:val="en-ZA"/>
        </w:rPr>
      </w:pPr>
      <w:r>
        <w:rPr>
          <w:rFonts w:ascii="Arial" w:eastAsia="Times New Roman" w:hAnsi="Arial" w:cs="Arial"/>
          <w:i/>
          <w:sz w:val="24"/>
          <w:szCs w:val="24"/>
          <w:lang w:val="en-ZA"/>
        </w:rPr>
        <w:t>Settlement</w:t>
      </w:r>
      <w:r w:rsidR="00432B5A">
        <w:rPr>
          <w:rFonts w:ascii="Arial" w:eastAsia="Times New Roman" w:hAnsi="Arial" w:cs="Arial"/>
          <w:i/>
          <w:sz w:val="24"/>
          <w:szCs w:val="24"/>
          <w:lang w:val="en-ZA"/>
        </w:rPr>
        <w:t xml:space="preserve"> negotiations</w:t>
      </w:r>
      <w:r>
        <w:rPr>
          <w:rFonts w:ascii="Arial" w:eastAsia="Times New Roman" w:hAnsi="Arial" w:cs="Arial"/>
          <w:i/>
          <w:sz w:val="24"/>
          <w:szCs w:val="24"/>
          <w:lang w:val="en-ZA"/>
        </w:rPr>
        <w:t xml:space="preserve"> vs </w:t>
      </w:r>
      <w:r w:rsidR="00432B5A">
        <w:rPr>
          <w:rFonts w:ascii="Arial" w:eastAsia="Times New Roman" w:hAnsi="Arial" w:cs="Arial"/>
          <w:i/>
          <w:sz w:val="24"/>
          <w:szCs w:val="24"/>
          <w:lang w:val="en-ZA"/>
        </w:rPr>
        <w:t>suspension of pleadings</w:t>
      </w:r>
    </w:p>
    <w:p w:rsidR="00432B5A" w:rsidRDefault="00432B5A" w:rsidP="00432B5A">
      <w:pPr>
        <w:pStyle w:val="BodyText"/>
        <w:spacing w:line="360" w:lineRule="auto"/>
        <w:jc w:val="both"/>
        <w:rPr>
          <w:rFonts w:ascii="Arial" w:hAnsi="Arial" w:cs="Arial"/>
          <w:lang w:val="en-ZA"/>
        </w:rPr>
      </w:pPr>
    </w:p>
    <w:p w:rsidR="00432B5A" w:rsidRPr="007C5370" w:rsidRDefault="00535A17" w:rsidP="00432B5A">
      <w:pPr>
        <w:pStyle w:val="BodyText"/>
        <w:spacing w:line="360" w:lineRule="auto"/>
        <w:jc w:val="both"/>
        <w:rPr>
          <w:rFonts w:ascii="Arial" w:hAnsi="Arial" w:cs="Arial"/>
          <w:lang w:val="en-ZA"/>
        </w:rPr>
      </w:pPr>
      <w:r>
        <w:rPr>
          <w:rFonts w:ascii="Arial" w:hAnsi="Arial" w:cs="Arial"/>
          <w:lang w:val="en-ZA"/>
        </w:rPr>
        <w:t>[30]</w:t>
      </w:r>
      <w:r>
        <w:rPr>
          <w:rFonts w:ascii="Arial" w:hAnsi="Arial" w:cs="Arial"/>
          <w:lang w:val="en-ZA"/>
        </w:rPr>
        <w:tab/>
      </w:r>
      <w:r w:rsidR="00432B5A">
        <w:rPr>
          <w:rFonts w:ascii="Arial" w:hAnsi="Arial" w:cs="Arial"/>
          <w:lang w:val="en-ZA"/>
        </w:rPr>
        <w:t>In a recent judgment</w:t>
      </w:r>
      <w:r w:rsidR="007C5370">
        <w:rPr>
          <w:rStyle w:val="FootnoteReference"/>
          <w:rFonts w:ascii="Arial" w:hAnsi="Arial" w:cs="Arial"/>
          <w:lang w:val="en-ZA"/>
        </w:rPr>
        <w:footnoteReference w:id="4"/>
      </w:r>
      <w:r w:rsidR="00432B5A">
        <w:rPr>
          <w:rFonts w:ascii="Arial" w:hAnsi="Arial" w:cs="Arial"/>
          <w:lang w:val="en-ZA"/>
        </w:rPr>
        <w:t>,</w:t>
      </w:r>
      <w:r w:rsidR="009C72C6">
        <w:rPr>
          <w:rFonts w:ascii="Arial" w:hAnsi="Arial" w:cs="Arial"/>
          <w:lang w:val="en-ZA"/>
        </w:rPr>
        <w:t xml:space="preserve"> a passage was cited from </w:t>
      </w:r>
      <w:r w:rsidR="007C5370" w:rsidRPr="00311FE4">
        <w:rPr>
          <w:rFonts w:ascii="Arial" w:hAnsi="Arial" w:cs="Arial"/>
          <w:i/>
        </w:rPr>
        <w:t>Bergmann v Commercial Bank of Namibia Ltd</w:t>
      </w:r>
      <w:r w:rsidR="007C5370">
        <w:rPr>
          <w:rStyle w:val="FootnoteReference"/>
          <w:rFonts w:ascii="Arial" w:hAnsi="Arial" w:cs="Arial"/>
          <w:i/>
        </w:rPr>
        <w:footnoteReference w:id="5"/>
      </w:r>
      <w:r w:rsidR="007C5370">
        <w:rPr>
          <w:rFonts w:ascii="Arial" w:hAnsi="Arial" w:cs="Arial"/>
          <w:i/>
        </w:rPr>
        <w:t xml:space="preserve"> </w:t>
      </w:r>
      <w:r w:rsidR="007C5370">
        <w:rPr>
          <w:rFonts w:ascii="Arial" w:hAnsi="Arial" w:cs="Arial"/>
        </w:rPr>
        <w:t>where the following was stated:</w:t>
      </w:r>
    </w:p>
    <w:p w:rsidR="00432B5A" w:rsidRDefault="00432B5A" w:rsidP="00432B5A">
      <w:pPr>
        <w:pStyle w:val="BodyText"/>
        <w:spacing w:line="360" w:lineRule="auto"/>
        <w:jc w:val="both"/>
        <w:rPr>
          <w:rFonts w:ascii="Arial" w:hAnsi="Arial" w:cs="Arial"/>
          <w:sz w:val="22"/>
          <w:szCs w:val="22"/>
        </w:rPr>
      </w:pPr>
      <w:r w:rsidRPr="00010371">
        <w:rPr>
          <w:rFonts w:ascii="Arial" w:hAnsi="Arial" w:cs="Arial"/>
          <w:sz w:val="22"/>
          <w:szCs w:val="22"/>
        </w:rPr>
        <w:t xml:space="preserve">  </w:t>
      </w:r>
    </w:p>
    <w:p w:rsidR="00432B5A" w:rsidRPr="00010371" w:rsidRDefault="00432B5A" w:rsidP="00432B5A">
      <w:pPr>
        <w:pStyle w:val="BodyText"/>
        <w:spacing w:line="360" w:lineRule="auto"/>
        <w:jc w:val="both"/>
        <w:rPr>
          <w:rFonts w:ascii="Arial" w:hAnsi="Arial" w:cs="Arial"/>
          <w:sz w:val="22"/>
          <w:szCs w:val="22"/>
        </w:rPr>
      </w:pPr>
      <w:r w:rsidRPr="00010371">
        <w:rPr>
          <w:rFonts w:ascii="Arial" w:hAnsi="Arial" w:cs="Arial"/>
          <w:sz w:val="22"/>
          <w:szCs w:val="22"/>
        </w:rPr>
        <w:lastRenderedPageBreak/>
        <w:t xml:space="preserve"> </w:t>
      </w:r>
      <w:r w:rsidR="007C5370">
        <w:rPr>
          <w:rFonts w:ascii="Arial" w:hAnsi="Arial" w:cs="Arial"/>
          <w:sz w:val="22"/>
          <w:szCs w:val="22"/>
        </w:rPr>
        <w:tab/>
      </w:r>
      <w:r w:rsidRPr="00010371">
        <w:rPr>
          <w:rFonts w:ascii="Arial" w:hAnsi="Arial" w:cs="Arial"/>
          <w:sz w:val="22"/>
          <w:szCs w:val="22"/>
        </w:rPr>
        <w:t xml:space="preserve">‘It often happens that, whilst pleadings are being exchanged or whilst execution procedures are under way, the litigating parties attempt to negotiate a settlement of their disputes or some arrangement regarding payment of the judgment debt in instalments. The existence of such negotiations does not </w:t>
      </w:r>
      <w:r w:rsidRPr="00010371">
        <w:rPr>
          <w:rFonts w:ascii="Arial" w:hAnsi="Arial" w:cs="Arial"/>
          <w:i/>
          <w:sz w:val="22"/>
          <w:szCs w:val="22"/>
        </w:rPr>
        <w:t>ipso facto</w:t>
      </w:r>
      <w:r w:rsidRPr="00010371">
        <w:rPr>
          <w:rFonts w:ascii="Arial" w:hAnsi="Arial" w:cs="Arial"/>
          <w:sz w:val="22"/>
          <w:szCs w:val="22"/>
        </w:rPr>
        <w:t xml:space="preserve"> suspend the further</w:t>
      </w:r>
      <w:r>
        <w:rPr>
          <w:rFonts w:ascii="Arial" w:hAnsi="Arial" w:cs="Arial"/>
          <w:sz w:val="22"/>
          <w:szCs w:val="22"/>
        </w:rPr>
        <w:t xml:space="preserve"> </w:t>
      </w:r>
      <w:r w:rsidRPr="00010371">
        <w:rPr>
          <w:rFonts w:ascii="Arial" w:hAnsi="Arial" w:cs="Arial"/>
          <w:sz w:val="22"/>
          <w:szCs w:val="22"/>
        </w:rPr>
        <w:t>exchange of pleadings or stay the execution proceedings. That will only be the effect if there is an express or implied agreement between the parties to that effect.’</w:t>
      </w:r>
    </w:p>
    <w:p w:rsidR="00432B5A" w:rsidRDefault="00432B5A" w:rsidP="00992E4B">
      <w:pPr>
        <w:tabs>
          <w:tab w:val="left" w:pos="720"/>
          <w:tab w:val="left" w:pos="2268"/>
        </w:tabs>
        <w:spacing w:after="0" w:line="360" w:lineRule="auto"/>
        <w:jc w:val="both"/>
        <w:rPr>
          <w:rFonts w:ascii="Arial" w:eastAsia="Times New Roman" w:hAnsi="Arial" w:cs="Arial"/>
          <w:sz w:val="24"/>
          <w:szCs w:val="24"/>
          <w:lang w:val="en-ZA"/>
        </w:rPr>
      </w:pPr>
    </w:p>
    <w:p w:rsidR="007C5370" w:rsidRPr="00432B5A" w:rsidRDefault="00535A17"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[31]</w:t>
      </w:r>
      <w:r>
        <w:rPr>
          <w:rFonts w:ascii="Arial" w:eastAsia="Times New Roman" w:hAnsi="Arial" w:cs="Arial"/>
          <w:sz w:val="24"/>
          <w:szCs w:val="24"/>
          <w:lang w:val="en-ZA"/>
        </w:rPr>
        <w:tab/>
      </w:r>
      <w:r w:rsidR="007C5370">
        <w:rPr>
          <w:rFonts w:ascii="Arial" w:eastAsia="Times New Roman" w:hAnsi="Arial" w:cs="Arial"/>
          <w:sz w:val="24"/>
          <w:szCs w:val="24"/>
          <w:lang w:val="en-ZA"/>
        </w:rPr>
        <w:t xml:space="preserve">The court in the </w:t>
      </w:r>
      <w:r w:rsidR="007C5370" w:rsidRPr="007C5370">
        <w:rPr>
          <w:rFonts w:ascii="Arial" w:eastAsia="Times New Roman" w:hAnsi="Arial" w:cs="Arial"/>
          <w:i/>
          <w:sz w:val="24"/>
          <w:szCs w:val="24"/>
          <w:lang w:val="en-ZA"/>
        </w:rPr>
        <w:t>Bergmann</w:t>
      </w:r>
      <w:r w:rsidR="007C5370">
        <w:rPr>
          <w:rFonts w:ascii="Arial" w:eastAsia="Times New Roman" w:hAnsi="Arial" w:cs="Arial"/>
          <w:sz w:val="24"/>
          <w:szCs w:val="24"/>
          <w:lang w:val="en-ZA"/>
        </w:rPr>
        <w:t xml:space="preserve"> matter made it very clear that it is settled law that the settlement negotiations do not suspend the filing of pleadings. The </w:t>
      </w:r>
      <w:r>
        <w:rPr>
          <w:rFonts w:ascii="Arial" w:eastAsia="Times New Roman" w:hAnsi="Arial" w:cs="Arial"/>
          <w:sz w:val="24"/>
          <w:szCs w:val="24"/>
          <w:lang w:val="en-ZA"/>
        </w:rPr>
        <w:t>fact that Mr Doyle</w:t>
      </w:r>
      <w:r w:rsidR="007C5370">
        <w:rPr>
          <w:rFonts w:ascii="Arial" w:eastAsia="Times New Roman" w:hAnsi="Arial" w:cs="Arial"/>
          <w:sz w:val="24"/>
          <w:szCs w:val="24"/>
          <w:lang w:val="en-ZA"/>
        </w:rPr>
        <w:t xml:space="preserve"> mentions that there were settlement negotiations and that the applicant proceeded with the def</w:t>
      </w:r>
      <w:r>
        <w:rPr>
          <w:rFonts w:ascii="Arial" w:eastAsia="Times New Roman" w:hAnsi="Arial" w:cs="Arial"/>
          <w:sz w:val="24"/>
          <w:szCs w:val="24"/>
          <w:lang w:val="en-ZA"/>
        </w:rPr>
        <w:t>ault judgment even though the parties were in the process of settlement nego</w:t>
      </w:r>
      <w:r w:rsidR="009C72C6">
        <w:rPr>
          <w:rFonts w:ascii="Arial" w:eastAsia="Times New Roman" w:hAnsi="Arial" w:cs="Arial"/>
          <w:sz w:val="24"/>
          <w:szCs w:val="24"/>
          <w:lang w:val="en-ZA"/>
        </w:rPr>
        <w:t xml:space="preserve">tiations does not clothe the respondents with the authority or permission not to file pleadings. Simply put settlement negotiations do not stay or suspend the filing of pleadings unless agreed to by the parties and ordered by the court.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i/>
          <w:sz w:val="24"/>
          <w:szCs w:val="24"/>
          <w:lang w:val="en-ZA"/>
        </w:rPr>
      </w:pPr>
      <w:r w:rsidRPr="00992E4B">
        <w:rPr>
          <w:rFonts w:ascii="Arial" w:eastAsia="Times New Roman" w:hAnsi="Arial" w:cs="Arial"/>
          <w:i/>
          <w:sz w:val="24"/>
          <w:szCs w:val="24"/>
          <w:lang w:val="en-ZA"/>
        </w:rPr>
        <w:t>Primary residence</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535A17"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35A17">
        <w:rPr>
          <w:rFonts w:ascii="Arial" w:eastAsia="Times New Roman" w:hAnsi="Arial" w:cs="Arial"/>
          <w:sz w:val="24"/>
          <w:szCs w:val="24"/>
          <w:lang w:val="en-ZA"/>
        </w:rPr>
        <w:t>32</w:t>
      </w:r>
      <w:r w:rsidRPr="00992E4B">
        <w:rPr>
          <w:rFonts w:ascii="Arial" w:eastAsia="Times New Roman" w:hAnsi="Arial" w:cs="Arial"/>
          <w:sz w:val="24"/>
          <w:szCs w:val="24"/>
          <w:lang w:val="en-ZA"/>
        </w:rPr>
        <w:t>]</w:t>
      </w:r>
      <w:r w:rsidRPr="00992E4B">
        <w:rPr>
          <w:rFonts w:ascii="Arial" w:eastAsia="Times New Roman" w:hAnsi="Arial" w:cs="Arial"/>
          <w:sz w:val="24"/>
          <w:szCs w:val="24"/>
          <w:lang w:val="en-ZA"/>
        </w:rPr>
        <w:tab/>
        <w:t>In terms of Rule 108 (2):</w:t>
      </w:r>
    </w:p>
    <w:p w:rsidR="00652D63" w:rsidRPr="00992E4B" w:rsidRDefault="00652D63"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652D63" w:rsidRDefault="00535A17" w:rsidP="00992E4B">
      <w:pPr>
        <w:tabs>
          <w:tab w:val="left" w:pos="720"/>
          <w:tab w:val="left" w:pos="2268"/>
        </w:tabs>
        <w:spacing w:after="0" w:line="360" w:lineRule="auto"/>
        <w:jc w:val="both"/>
        <w:rPr>
          <w:rFonts w:ascii="Arial" w:eastAsia="Times New Roman" w:hAnsi="Arial" w:cs="Arial"/>
          <w:lang w:val="en-ZA"/>
        </w:rPr>
      </w:pPr>
      <w:r>
        <w:rPr>
          <w:rFonts w:ascii="Arial" w:eastAsia="Times New Roman" w:hAnsi="Arial" w:cs="Arial"/>
          <w:sz w:val="24"/>
          <w:szCs w:val="24"/>
          <w:lang w:val="en-ZA"/>
        </w:rPr>
        <w:tab/>
      </w:r>
      <w:r w:rsidR="00992E4B" w:rsidRPr="00652D63">
        <w:rPr>
          <w:rFonts w:ascii="Arial" w:eastAsia="Times New Roman" w:hAnsi="Arial" w:cs="Arial"/>
          <w:lang w:val="en-ZA"/>
        </w:rPr>
        <w:t xml:space="preserve">‘If the immovable property sought to be attached is the primary home of the execution debtor or is leased to a third party as home the court may not declare that property to be specially executable unless – </w:t>
      </w: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r w:rsidRPr="00652D63">
        <w:rPr>
          <w:rFonts w:ascii="Arial" w:eastAsia="Times New Roman" w:hAnsi="Arial" w:cs="Arial"/>
          <w:lang w:val="en-ZA"/>
        </w:rPr>
        <w:t xml:space="preserve">(a) the execution creditor has by means of personal service effected by the deputy sheriff given notice on Form 24 to the execution debtor that application will be made to the court for an order declaring the property executable and calling on the execution debtor to provide reasons to the court why such an order should not be granted; </w:t>
      </w: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r w:rsidRPr="00652D63">
        <w:rPr>
          <w:rFonts w:ascii="Arial" w:eastAsia="Times New Roman" w:hAnsi="Arial" w:cs="Arial"/>
          <w:lang w:val="en-ZA"/>
        </w:rPr>
        <w:t xml:space="preserve">(b) the execution creditor has caused the notice referred to in paragraph (a) to be served personally on any lessee of the property so sought to be declared executable; and </w:t>
      </w: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p>
    <w:p w:rsidR="00992E4B" w:rsidRPr="00652D63" w:rsidRDefault="00992E4B" w:rsidP="00992E4B">
      <w:pPr>
        <w:tabs>
          <w:tab w:val="left" w:pos="720"/>
          <w:tab w:val="left" w:pos="2268"/>
        </w:tabs>
        <w:spacing w:after="0" w:line="360" w:lineRule="auto"/>
        <w:jc w:val="both"/>
        <w:rPr>
          <w:rFonts w:ascii="Arial" w:eastAsia="Times New Roman" w:hAnsi="Arial" w:cs="Arial"/>
          <w:lang w:val="en-ZA"/>
        </w:rPr>
      </w:pPr>
      <w:r w:rsidRPr="00652D63">
        <w:rPr>
          <w:rFonts w:ascii="Arial" w:eastAsia="Times New Roman" w:hAnsi="Arial" w:cs="Arial"/>
          <w:lang w:val="en-ZA"/>
        </w:rPr>
        <w:t xml:space="preserve">(c) the court so orders, having considered all the relevant circumstances with specific reference to less drastic measures than sale in execution of the primary home under attachment, which </w:t>
      </w:r>
      <w:r w:rsidRPr="00652D63">
        <w:rPr>
          <w:rFonts w:ascii="Arial" w:eastAsia="Times New Roman" w:hAnsi="Arial" w:cs="Arial"/>
          <w:lang w:val="en-ZA"/>
        </w:rPr>
        <w:lastRenderedPageBreak/>
        <w:t>measures may include attachment of an alternative immovable property to the immovable property serving as the primary home of the execution debtor or any third party making claim thereto’.</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w:t>
      </w:r>
      <w:r w:rsidR="00535A17">
        <w:rPr>
          <w:rFonts w:ascii="Arial" w:eastAsia="Times New Roman" w:hAnsi="Arial" w:cs="Arial"/>
          <w:sz w:val="24"/>
          <w:szCs w:val="24"/>
          <w:lang w:val="en-ZA"/>
        </w:rPr>
        <w:t>33</w:t>
      </w:r>
      <w:r w:rsidR="00652D63">
        <w:rPr>
          <w:rFonts w:ascii="Arial" w:eastAsia="Times New Roman" w:hAnsi="Arial" w:cs="Arial"/>
          <w:sz w:val="24"/>
          <w:szCs w:val="24"/>
          <w:lang w:val="en-ZA"/>
        </w:rPr>
        <w:t>]</w:t>
      </w:r>
      <w:r w:rsidR="00652D63">
        <w:rPr>
          <w:rFonts w:ascii="Arial" w:eastAsia="Times New Roman" w:hAnsi="Arial" w:cs="Arial"/>
          <w:sz w:val="24"/>
          <w:szCs w:val="24"/>
          <w:lang w:val="en-ZA"/>
        </w:rPr>
        <w:tab/>
        <w:t>Namibian</w:t>
      </w:r>
      <w:r w:rsidRPr="00992E4B">
        <w:rPr>
          <w:rFonts w:ascii="Arial" w:eastAsia="Times New Roman" w:hAnsi="Arial" w:cs="Arial"/>
          <w:sz w:val="24"/>
          <w:szCs w:val="24"/>
          <w:lang w:val="en-ZA"/>
        </w:rPr>
        <w:t xml:space="preserve"> judicial oversight </w:t>
      </w:r>
      <w:r w:rsidR="00652D63">
        <w:rPr>
          <w:rFonts w:ascii="Arial" w:eastAsia="Times New Roman" w:hAnsi="Arial" w:cs="Arial"/>
          <w:sz w:val="24"/>
          <w:szCs w:val="24"/>
          <w:lang w:val="en-ZA"/>
        </w:rPr>
        <w:t xml:space="preserve">in rule 108 applications </w:t>
      </w:r>
      <w:r w:rsidRPr="00992E4B">
        <w:rPr>
          <w:rFonts w:ascii="Arial" w:eastAsia="Times New Roman" w:hAnsi="Arial" w:cs="Arial"/>
          <w:sz w:val="24"/>
          <w:szCs w:val="24"/>
          <w:lang w:val="en-ZA"/>
        </w:rPr>
        <w:t>takes the form that, if a property is a primary home, the court must be satisfied that there are no less drastic alternatives to a sale in execution. Although the onus rests on the judgment debtor to present the relevant evidence of less drastic measures, where the judgment debtor fails to do so</w:t>
      </w:r>
      <w:r w:rsidR="00652D63">
        <w:rPr>
          <w:rFonts w:ascii="Arial" w:eastAsia="Times New Roman" w:hAnsi="Arial" w:cs="Arial"/>
          <w:sz w:val="24"/>
          <w:szCs w:val="24"/>
          <w:lang w:val="en-ZA"/>
        </w:rPr>
        <w:t>,</w:t>
      </w:r>
      <w:r w:rsidRPr="00992E4B">
        <w:rPr>
          <w:rFonts w:ascii="Arial" w:eastAsia="Times New Roman" w:hAnsi="Arial" w:cs="Arial"/>
          <w:sz w:val="24"/>
          <w:szCs w:val="24"/>
          <w:lang w:val="en-ZA"/>
        </w:rPr>
        <w:t xml:space="preserve"> it does not relieve the court of its obligation to inquire into the availability of less drastic alternatives.</w:t>
      </w:r>
      <w:r w:rsidRPr="00992E4B">
        <w:rPr>
          <w:rFonts w:ascii="Arial" w:eastAsia="Times New Roman" w:hAnsi="Arial" w:cs="Arial"/>
          <w:sz w:val="24"/>
          <w:szCs w:val="24"/>
          <w:vertAlign w:val="superscript"/>
          <w:lang w:val="en-ZA"/>
        </w:rPr>
        <w:footnoteReference w:id="6"/>
      </w:r>
    </w:p>
    <w:p w:rsidR="004363DE" w:rsidRDefault="004363DE" w:rsidP="00992E4B">
      <w:pPr>
        <w:tabs>
          <w:tab w:val="left" w:pos="720"/>
          <w:tab w:val="left" w:pos="2268"/>
        </w:tabs>
        <w:spacing w:after="0" w:line="360" w:lineRule="auto"/>
        <w:jc w:val="both"/>
        <w:rPr>
          <w:rFonts w:ascii="Arial" w:eastAsia="Times New Roman" w:hAnsi="Arial" w:cs="Arial"/>
          <w:sz w:val="24"/>
          <w:szCs w:val="24"/>
          <w:lang w:val="en-ZA"/>
        </w:rPr>
      </w:pPr>
    </w:p>
    <w:p w:rsidR="004363DE" w:rsidRDefault="004363DE"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[34]</w:t>
      </w:r>
      <w:r>
        <w:rPr>
          <w:rFonts w:ascii="Arial" w:eastAsia="Times New Roman" w:hAnsi="Arial" w:cs="Arial"/>
          <w:sz w:val="24"/>
          <w:szCs w:val="24"/>
          <w:lang w:val="en-ZA"/>
        </w:rPr>
        <w:tab/>
        <w:t xml:space="preserve">In the matter before </w:t>
      </w:r>
      <w:r w:rsidR="00697826">
        <w:rPr>
          <w:rFonts w:ascii="Arial" w:eastAsia="Times New Roman" w:hAnsi="Arial" w:cs="Arial"/>
          <w:sz w:val="24"/>
          <w:szCs w:val="24"/>
          <w:lang w:val="en-ZA"/>
        </w:rPr>
        <w:t>court,</w:t>
      </w:r>
      <w:r>
        <w:rPr>
          <w:rFonts w:ascii="Arial" w:eastAsia="Times New Roman" w:hAnsi="Arial" w:cs="Arial"/>
          <w:sz w:val="24"/>
          <w:szCs w:val="24"/>
          <w:lang w:val="en-ZA"/>
        </w:rPr>
        <w:t xml:space="preserve"> the property in question is not a </w:t>
      </w:r>
      <w:r w:rsidR="00697826">
        <w:rPr>
          <w:rFonts w:ascii="Arial" w:eastAsia="Times New Roman" w:hAnsi="Arial" w:cs="Arial"/>
          <w:sz w:val="24"/>
          <w:szCs w:val="24"/>
          <w:lang w:val="en-ZA"/>
        </w:rPr>
        <w:t xml:space="preserve">primary home and it is </w:t>
      </w:r>
      <w:r>
        <w:rPr>
          <w:rFonts w:ascii="Arial" w:eastAsia="Times New Roman" w:hAnsi="Arial" w:cs="Arial"/>
          <w:sz w:val="24"/>
          <w:szCs w:val="24"/>
          <w:lang w:val="en-ZA"/>
        </w:rPr>
        <w:t xml:space="preserve">used as a warehouse for panel beating and spray painting of vehicles. The court in exercising its judicial oversight already postponed the matter </w:t>
      </w:r>
      <w:r w:rsidR="00697826">
        <w:rPr>
          <w:rFonts w:ascii="Arial" w:eastAsia="Times New Roman" w:hAnsi="Arial" w:cs="Arial"/>
          <w:sz w:val="24"/>
          <w:szCs w:val="24"/>
          <w:lang w:val="en-ZA"/>
        </w:rPr>
        <w:t xml:space="preserve">for a period of three months, and on the respondents’ request, </w:t>
      </w:r>
      <w:r>
        <w:rPr>
          <w:rFonts w:ascii="Arial" w:eastAsia="Times New Roman" w:hAnsi="Arial" w:cs="Arial"/>
          <w:sz w:val="24"/>
          <w:szCs w:val="24"/>
          <w:lang w:val="en-ZA"/>
        </w:rPr>
        <w:t xml:space="preserve">to allow the respondents to service the debt owed to the </w:t>
      </w:r>
      <w:r w:rsidR="00697826">
        <w:rPr>
          <w:rFonts w:ascii="Arial" w:eastAsia="Times New Roman" w:hAnsi="Arial" w:cs="Arial"/>
          <w:sz w:val="24"/>
          <w:szCs w:val="24"/>
          <w:lang w:val="en-ZA"/>
        </w:rPr>
        <w:t>bank</w:t>
      </w:r>
      <w:r>
        <w:rPr>
          <w:rFonts w:ascii="Arial" w:eastAsia="Times New Roman" w:hAnsi="Arial" w:cs="Arial"/>
          <w:sz w:val="24"/>
          <w:szCs w:val="24"/>
          <w:lang w:val="en-ZA"/>
        </w:rPr>
        <w:t xml:space="preserve">, even though the property is not a primary home. </w:t>
      </w:r>
      <w:r w:rsidR="00697826">
        <w:rPr>
          <w:rFonts w:ascii="Arial" w:eastAsia="Times New Roman" w:hAnsi="Arial" w:cs="Arial"/>
          <w:sz w:val="24"/>
          <w:szCs w:val="24"/>
          <w:lang w:val="en-ZA"/>
        </w:rPr>
        <w:t xml:space="preserve">No justifiable reasons were presented to the court in order for the property not to be declared specially executable. </w:t>
      </w:r>
      <w:r w:rsidR="006B18E4">
        <w:rPr>
          <w:rFonts w:ascii="Arial" w:eastAsia="Times New Roman" w:hAnsi="Arial" w:cs="Arial"/>
          <w:sz w:val="24"/>
          <w:szCs w:val="24"/>
          <w:lang w:val="en-ZA"/>
        </w:rPr>
        <w:t xml:space="preserve"> </w:t>
      </w:r>
    </w:p>
    <w:p w:rsidR="004363DE" w:rsidRDefault="004363DE" w:rsidP="00992E4B">
      <w:pPr>
        <w:tabs>
          <w:tab w:val="left" w:pos="720"/>
          <w:tab w:val="left" w:pos="2268"/>
        </w:tabs>
        <w:spacing w:after="0" w:line="360" w:lineRule="auto"/>
        <w:jc w:val="both"/>
        <w:rPr>
          <w:rFonts w:ascii="Arial" w:eastAsia="Times New Roman" w:hAnsi="Arial" w:cs="Arial"/>
          <w:sz w:val="24"/>
          <w:szCs w:val="24"/>
          <w:lang w:val="en-ZA"/>
        </w:rPr>
      </w:pPr>
    </w:p>
    <w:p w:rsidR="004363DE" w:rsidRPr="004363DE" w:rsidRDefault="004363DE" w:rsidP="00992E4B">
      <w:pPr>
        <w:tabs>
          <w:tab w:val="left" w:pos="720"/>
          <w:tab w:val="left" w:pos="2268"/>
        </w:tabs>
        <w:spacing w:after="0" w:line="360" w:lineRule="auto"/>
        <w:jc w:val="both"/>
        <w:rPr>
          <w:rFonts w:ascii="Arial" w:eastAsia="Times New Roman" w:hAnsi="Arial" w:cs="Arial"/>
          <w:sz w:val="24"/>
          <w:szCs w:val="24"/>
          <w:u w:val="single"/>
          <w:lang w:val="en-ZA"/>
        </w:rPr>
      </w:pPr>
      <w:r w:rsidRPr="004363DE">
        <w:rPr>
          <w:rFonts w:ascii="Arial" w:eastAsia="Times New Roman" w:hAnsi="Arial" w:cs="Arial"/>
          <w:sz w:val="24"/>
          <w:szCs w:val="24"/>
          <w:u w:val="single"/>
          <w:lang w:val="en-ZA"/>
        </w:rPr>
        <w:t>Conclusion</w:t>
      </w:r>
    </w:p>
    <w:p w:rsidR="004363DE" w:rsidRDefault="004363DE" w:rsidP="00992E4B">
      <w:pPr>
        <w:tabs>
          <w:tab w:val="left" w:pos="720"/>
          <w:tab w:val="left" w:pos="2268"/>
        </w:tabs>
        <w:spacing w:after="0" w:line="360" w:lineRule="auto"/>
        <w:jc w:val="both"/>
        <w:rPr>
          <w:rFonts w:ascii="Arial" w:eastAsia="Times New Roman" w:hAnsi="Arial" w:cs="Arial"/>
          <w:sz w:val="24"/>
          <w:szCs w:val="24"/>
          <w:lang w:val="en-ZA"/>
        </w:rPr>
      </w:pPr>
    </w:p>
    <w:p w:rsidR="004363DE" w:rsidRPr="00992E4B" w:rsidRDefault="004363DE"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[35]</w:t>
      </w:r>
      <w:r>
        <w:rPr>
          <w:rFonts w:ascii="Arial" w:eastAsia="Times New Roman" w:hAnsi="Arial" w:cs="Arial"/>
          <w:sz w:val="24"/>
          <w:szCs w:val="24"/>
          <w:lang w:val="en-ZA"/>
        </w:rPr>
        <w:tab/>
        <w:t xml:space="preserve">The respondents failed to satisfy the court that </w:t>
      </w:r>
      <w:r w:rsidR="00211FE8" w:rsidRPr="00992E4B">
        <w:rPr>
          <w:rFonts w:ascii="Arial" w:eastAsia="Times New Roman" w:hAnsi="Arial" w:cs="Arial"/>
          <w:sz w:val="24"/>
          <w:szCs w:val="24"/>
          <w:lang w:val="en-ZA"/>
        </w:rPr>
        <w:t>less drastic alternatives</w:t>
      </w:r>
      <w:r w:rsidR="00211FE8">
        <w:rPr>
          <w:rFonts w:ascii="Arial" w:eastAsia="Times New Roman" w:hAnsi="Arial" w:cs="Arial"/>
          <w:sz w:val="24"/>
          <w:szCs w:val="24"/>
          <w:lang w:val="en-ZA"/>
        </w:rPr>
        <w:t xml:space="preserve"> exist to avoid a sale in execution. </w:t>
      </w:r>
      <w:r w:rsidR="00697826">
        <w:rPr>
          <w:rFonts w:ascii="Arial" w:eastAsia="Times New Roman" w:hAnsi="Arial" w:cs="Arial"/>
          <w:sz w:val="24"/>
          <w:szCs w:val="24"/>
          <w:lang w:val="en-ZA"/>
        </w:rPr>
        <w:t xml:space="preserve">The respondents further failed to establish merit to rescind the default judgment. </w:t>
      </w:r>
      <w:r w:rsidR="00211FE8">
        <w:rPr>
          <w:rFonts w:ascii="Arial" w:eastAsia="Times New Roman" w:hAnsi="Arial" w:cs="Arial"/>
          <w:sz w:val="24"/>
          <w:szCs w:val="24"/>
          <w:lang w:val="en-ZA"/>
        </w:rPr>
        <w:t xml:space="preserve">The concessions made by Mr Doyle that the respondents acknowledge </w:t>
      </w:r>
      <w:r w:rsidR="00697826">
        <w:rPr>
          <w:rFonts w:ascii="Arial" w:eastAsia="Times New Roman" w:hAnsi="Arial" w:cs="Arial"/>
          <w:sz w:val="24"/>
          <w:szCs w:val="24"/>
          <w:lang w:val="en-ZA"/>
        </w:rPr>
        <w:t xml:space="preserve">their </w:t>
      </w:r>
      <w:r w:rsidR="00211FE8">
        <w:rPr>
          <w:rFonts w:ascii="Arial" w:eastAsia="Times New Roman" w:hAnsi="Arial" w:cs="Arial"/>
          <w:sz w:val="24"/>
          <w:szCs w:val="24"/>
          <w:lang w:val="en-ZA"/>
        </w:rPr>
        <w:t xml:space="preserve">indebtedness to the </w:t>
      </w:r>
      <w:r w:rsidR="00697826">
        <w:rPr>
          <w:rFonts w:ascii="Arial" w:eastAsia="Times New Roman" w:hAnsi="Arial" w:cs="Arial"/>
          <w:sz w:val="24"/>
          <w:szCs w:val="24"/>
          <w:lang w:val="en-ZA"/>
        </w:rPr>
        <w:t xml:space="preserve">bank, and the fact that the respondents were served with summons at their chosen domicilium, </w:t>
      </w:r>
      <w:r w:rsidR="00211FE8">
        <w:rPr>
          <w:rFonts w:ascii="Arial" w:eastAsia="Times New Roman" w:hAnsi="Arial" w:cs="Arial"/>
          <w:sz w:val="24"/>
          <w:szCs w:val="24"/>
          <w:lang w:val="en-ZA"/>
        </w:rPr>
        <w:t xml:space="preserve">are </w:t>
      </w:r>
      <w:r w:rsidR="00697826">
        <w:rPr>
          <w:rFonts w:ascii="Arial" w:eastAsia="Times New Roman" w:hAnsi="Arial" w:cs="Arial"/>
          <w:sz w:val="24"/>
          <w:szCs w:val="24"/>
          <w:lang w:val="en-ZA"/>
        </w:rPr>
        <w:t xml:space="preserve">reasons </w:t>
      </w:r>
      <w:r w:rsidR="00211FE8">
        <w:rPr>
          <w:rFonts w:ascii="Arial" w:eastAsia="Times New Roman" w:hAnsi="Arial" w:cs="Arial"/>
          <w:sz w:val="24"/>
          <w:szCs w:val="24"/>
          <w:lang w:val="en-ZA"/>
        </w:rPr>
        <w:t xml:space="preserve">enough to </w:t>
      </w:r>
      <w:r w:rsidR="00697826">
        <w:rPr>
          <w:rFonts w:ascii="Arial" w:eastAsia="Times New Roman" w:hAnsi="Arial" w:cs="Arial"/>
          <w:sz w:val="24"/>
          <w:szCs w:val="24"/>
          <w:lang w:val="en-ZA"/>
        </w:rPr>
        <w:t xml:space="preserve">demonstrate </w:t>
      </w:r>
      <w:r w:rsidR="00211FE8">
        <w:rPr>
          <w:rFonts w:ascii="Arial" w:eastAsia="Times New Roman" w:hAnsi="Arial" w:cs="Arial"/>
          <w:sz w:val="24"/>
          <w:szCs w:val="24"/>
          <w:lang w:val="en-ZA"/>
        </w:rPr>
        <w:t xml:space="preserve">that there is no </w:t>
      </w:r>
      <w:r w:rsidR="00697826">
        <w:rPr>
          <w:rFonts w:ascii="Arial" w:eastAsia="Times New Roman" w:hAnsi="Arial" w:cs="Arial"/>
          <w:sz w:val="24"/>
          <w:szCs w:val="24"/>
          <w:lang w:val="en-ZA"/>
        </w:rPr>
        <w:t xml:space="preserve">basis </w:t>
      </w:r>
      <w:r w:rsidR="00211FE8">
        <w:rPr>
          <w:rFonts w:ascii="Arial" w:eastAsia="Times New Roman" w:hAnsi="Arial" w:cs="Arial"/>
          <w:sz w:val="24"/>
          <w:szCs w:val="24"/>
          <w:lang w:val="en-ZA"/>
        </w:rPr>
        <w:t>for the court to rescind the default judgment.</w:t>
      </w:r>
    </w:p>
    <w:p w:rsid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B62D3A" w:rsidRDefault="00B62D3A" w:rsidP="00992E4B">
      <w:pPr>
        <w:tabs>
          <w:tab w:val="left" w:pos="720"/>
          <w:tab w:val="left" w:pos="2268"/>
        </w:tabs>
        <w:spacing w:after="0" w:line="360" w:lineRule="auto"/>
        <w:jc w:val="both"/>
        <w:rPr>
          <w:rFonts w:ascii="Arial" w:eastAsia="Times New Roman" w:hAnsi="Arial" w:cs="Arial"/>
          <w:sz w:val="24"/>
          <w:szCs w:val="24"/>
          <w:lang w:val="en-ZA"/>
        </w:rPr>
      </w:pPr>
    </w:p>
    <w:p w:rsidR="00B62D3A" w:rsidRPr="00992E4B" w:rsidRDefault="00B62D3A"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r w:rsidRPr="00992E4B">
        <w:rPr>
          <w:rFonts w:ascii="Arial" w:eastAsia="Times New Roman" w:hAnsi="Arial" w:cs="Arial"/>
          <w:sz w:val="24"/>
          <w:szCs w:val="24"/>
          <w:u w:val="single"/>
          <w:lang w:val="en-ZA"/>
        </w:rPr>
        <w:lastRenderedPageBreak/>
        <w:t>Order</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u w:val="single"/>
          <w:lang w:val="en-ZA"/>
        </w:rPr>
      </w:pPr>
    </w:p>
    <w:p w:rsidR="00992E4B" w:rsidRPr="00992E4B" w:rsidRDefault="00B62D3A" w:rsidP="00992E4B">
      <w:pPr>
        <w:tabs>
          <w:tab w:val="left" w:pos="720"/>
          <w:tab w:val="left" w:pos="2268"/>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ZA"/>
        </w:rPr>
        <w:t>[20]</w:t>
      </w:r>
      <w:r>
        <w:rPr>
          <w:rFonts w:ascii="Arial" w:eastAsia="Times New Roman" w:hAnsi="Arial" w:cs="Arial"/>
          <w:sz w:val="24"/>
          <w:szCs w:val="24"/>
          <w:lang w:val="en-ZA"/>
        </w:rPr>
        <w:tab/>
      </w:r>
      <w:r w:rsidR="00992E4B" w:rsidRPr="00992E4B">
        <w:rPr>
          <w:rFonts w:ascii="Arial" w:eastAsia="Times New Roman" w:hAnsi="Arial" w:cs="Arial"/>
          <w:sz w:val="24"/>
          <w:szCs w:val="24"/>
          <w:lang w:val="en-ZA"/>
        </w:rPr>
        <w:t xml:space="preserve">In the result, it is ordered that: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rPr>
      </w:pPr>
      <w:r w:rsidRPr="00992E4B">
        <w:rPr>
          <w:rFonts w:ascii="Arial" w:eastAsia="Times New Roman" w:hAnsi="Arial" w:cs="Arial"/>
          <w:sz w:val="24"/>
          <w:szCs w:val="24"/>
          <w:lang w:val="en-ZA"/>
        </w:rPr>
        <w:t xml:space="preserve"> </w:t>
      </w:r>
      <w:r w:rsidRPr="00992E4B">
        <w:rPr>
          <w:rFonts w:ascii="Arial" w:eastAsia="Times New Roman" w:hAnsi="Arial" w:cs="Arial"/>
          <w:sz w:val="24"/>
          <w:szCs w:val="24"/>
        </w:rPr>
        <w:t xml:space="preserve"> </w:t>
      </w:r>
    </w:p>
    <w:p w:rsidR="00992E4B" w:rsidRPr="00992E4B" w:rsidRDefault="00992E4B" w:rsidP="00992E4B">
      <w:pPr>
        <w:numPr>
          <w:ilvl w:val="0"/>
          <w:numId w:val="4"/>
        </w:num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The respondents’ application for rescission of the default judgment, filed on 21 April 2023 is dismissed.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numPr>
          <w:ilvl w:val="0"/>
          <w:numId w:val="4"/>
        </w:num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The following immovable properties:</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CERTAIN:           ERF 108 (A PORTION OF ERF NO. 95) LAFRENZ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SITUATE:            IN THE MUNICIPALITY OF WINDHOEK</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                            REGISTRATION DIVISION “K”, KHOMAS REGION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MEASURING:     912 (NINE ONE TWO) SQUARE METERS</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HELD BY:            DEED OF TRANSFER NO T 7371/2006</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SUBJECT:           TO THE CONDITIONS CONTAINED THEREIN</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AND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CERTAIN:           ERF 109 (A PORTION OF ERF NO. 95) LAFRENZ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SITUATE:            IN THE MUNICIPALITY OF WINDHOEK</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                            REGISTRATION DIVISION “K”, KHOMAS REGION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MEASURING:     1161 (ONE ONE SIX ONE) SQUARE METERS</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HELD BY:            DEED OF TRANSFER NO T 7371/2006</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SUBJECT:           TO THE CONDITIONS CONTAINED THEREIN</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r w:rsidRPr="00992E4B">
        <w:rPr>
          <w:rFonts w:ascii="Arial" w:eastAsia="Times New Roman" w:hAnsi="Arial" w:cs="Arial"/>
          <w:sz w:val="24"/>
          <w:szCs w:val="24"/>
          <w:lang w:val="en-ZA"/>
        </w:rPr>
        <w:t xml:space="preserve">are declared specially executable. </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B62D3A" w:rsidRDefault="00992E4B" w:rsidP="00B62D3A">
      <w:pPr>
        <w:pStyle w:val="ListParagraph"/>
        <w:numPr>
          <w:ilvl w:val="0"/>
          <w:numId w:val="4"/>
        </w:numPr>
        <w:tabs>
          <w:tab w:val="left" w:pos="720"/>
          <w:tab w:val="left" w:pos="2268"/>
        </w:tabs>
        <w:spacing w:after="0" w:line="360" w:lineRule="auto"/>
        <w:jc w:val="both"/>
        <w:rPr>
          <w:rFonts w:ascii="Arial" w:eastAsia="Times New Roman" w:hAnsi="Arial" w:cs="Arial"/>
          <w:sz w:val="24"/>
          <w:szCs w:val="24"/>
          <w:lang w:val="en-ZA"/>
        </w:rPr>
      </w:pPr>
      <w:r w:rsidRPr="00B62D3A">
        <w:rPr>
          <w:rFonts w:ascii="Arial" w:eastAsia="Times New Roman" w:hAnsi="Arial" w:cs="Arial"/>
          <w:sz w:val="24"/>
          <w:szCs w:val="24"/>
          <w:lang w:val="en-ZA"/>
        </w:rPr>
        <w:t>The respondents must, jointly and severally, the one paying the other to be absolved, pay the applicant’s costs of suit regarding the rule 108 application and the applicant’s costs for opposing the rescission application on a party party scale.</w:t>
      </w:r>
    </w:p>
    <w:p w:rsidR="00992E4B" w:rsidRPr="00992E4B" w:rsidRDefault="00992E4B" w:rsidP="00992E4B">
      <w:pPr>
        <w:tabs>
          <w:tab w:val="left" w:pos="720"/>
          <w:tab w:val="left" w:pos="2268"/>
        </w:tabs>
        <w:spacing w:after="0" w:line="360" w:lineRule="auto"/>
        <w:jc w:val="both"/>
        <w:rPr>
          <w:rFonts w:ascii="Arial" w:eastAsia="Times New Roman" w:hAnsi="Arial" w:cs="Arial"/>
          <w:sz w:val="24"/>
          <w:szCs w:val="24"/>
          <w:lang w:val="en-ZA"/>
        </w:rPr>
      </w:pPr>
    </w:p>
    <w:p w:rsidR="00992E4B" w:rsidRPr="00B62D3A" w:rsidRDefault="00992E4B" w:rsidP="00B62D3A">
      <w:pPr>
        <w:pStyle w:val="ListParagraph"/>
        <w:numPr>
          <w:ilvl w:val="0"/>
          <w:numId w:val="4"/>
        </w:numPr>
        <w:tabs>
          <w:tab w:val="left" w:pos="720"/>
          <w:tab w:val="left" w:pos="2268"/>
        </w:tabs>
        <w:spacing w:after="0" w:line="360" w:lineRule="auto"/>
        <w:jc w:val="both"/>
        <w:rPr>
          <w:rFonts w:ascii="Arial" w:eastAsia="Times New Roman" w:hAnsi="Arial" w:cs="Arial"/>
          <w:sz w:val="24"/>
          <w:szCs w:val="24"/>
          <w:lang w:val="en-ZA"/>
        </w:rPr>
      </w:pPr>
      <w:bookmarkStart w:id="0" w:name="_GoBack"/>
      <w:bookmarkEnd w:id="0"/>
      <w:r w:rsidRPr="00B62D3A">
        <w:rPr>
          <w:rFonts w:ascii="Arial" w:eastAsia="Times New Roman" w:hAnsi="Arial" w:cs="Arial"/>
          <w:sz w:val="24"/>
          <w:szCs w:val="24"/>
          <w:lang w:val="en-ZA"/>
        </w:rPr>
        <w:lastRenderedPageBreak/>
        <w:t xml:space="preserve">The matter is regarded as finalised and removed from the roll. </w:t>
      </w:r>
    </w:p>
    <w:p w:rsidR="00BB77AA" w:rsidRPr="00BB77AA" w:rsidRDefault="00BB77AA" w:rsidP="00992E4B">
      <w:pPr>
        <w:tabs>
          <w:tab w:val="left" w:pos="720"/>
          <w:tab w:val="left" w:pos="2268"/>
        </w:tabs>
        <w:spacing w:after="0" w:line="360" w:lineRule="auto"/>
        <w:jc w:val="both"/>
        <w:rPr>
          <w:rFonts w:ascii="Times New Roman" w:eastAsia="Times New Roman" w:hAnsi="Times New Roman" w:cs="Times New Roman"/>
          <w:sz w:val="24"/>
          <w:szCs w:val="24"/>
          <w:lang w:val="en-GB" w:eastAsia="en-GB"/>
        </w:rPr>
      </w:pPr>
    </w:p>
    <w:p w:rsidR="00BB77AA" w:rsidRPr="00BB77AA" w:rsidRDefault="00BB77AA" w:rsidP="00BB77AA">
      <w:pPr>
        <w:spacing w:after="0" w:line="360" w:lineRule="auto"/>
        <w:ind w:left="1571"/>
        <w:jc w:val="both"/>
        <w:rPr>
          <w:rFonts w:ascii="Times New Roman" w:eastAsia="Times New Roman" w:hAnsi="Times New Roman" w:cs="Times New Roman"/>
          <w:sz w:val="24"/>
          <w:szCs w:val="24"/>
          <w:lang w:val="en-GB" w:eastAsia="en-GB"/>
        </w:rPr>
      </w:pPr>
    </w:p>
    <w:p w:rsidR="00BB77AA" w:rsidRPr="00BB77AA" w:rsidRDefault="00BB77AA" w:rsidP="00BB77AA">
      <w:pPr>
        <w:spacing w:after="0" w:line="360" w:lineRule="auto"/>
        <w:jc w:val="both"/>
        <w:rPr>
          <w:rFonts w:ascii="Arial" w:eastAsia="Times New Roman" w:hAnsi="Arial" w:cs="Arial"/>
          <w:bCs/>
          <w:sz w:val="24"/>
          <w:szCs w:val="24"/>
          <w:lang w:val="en-GB"/>
        </w:rPr>
      </w:pPr>
    </w:p>
    <w:p w:rsidR="00BB77AA" w:rsidRPr="00BB77AA" w:rsidRDefault="00BB77AA" w:rsidP="00BB77AA">
      <w:pPr>
        <w:spacing w:after="0" w:line="360" w:lineRule="auto"/>
        <w:jc w:val="right"/>
        <w:rPr>
          <w:rFonts w:ascii="Arial" w:eastAsia="Calibri" w:hAnsi="Arial" w:cs="Arial"/>
          <w:sz w:val="24"/>
          <w:szCs w:val="24"/>
          <w:lang w:val="en-GB"/>
        </w:rPr>
      </w:pPr>
      <w:r w:rsidRPr="00BB77AA">
        <w:rPr>
          <w:rFonts w:ascii="Arial" w:eastAsia="Calibri" w:hAnsi="Arial" w:cs="Arial"/>
          <w:sz w:val="24"/>
          <w:szCs w:val="24"/>
          <w:lang w:val="en-GB"/>
        </w:rPr>
        <w:t>_____________</w:t>
      </w:r>
    </w:p>
    <w:p w:rsidR="00BB77AA" w:rsidRPr="00BB77AA" w:rsidRDefault="00BB77AA" w:rsidP="00BB77AA">
      <w:pPr>
        <w:spacing w:after="0" w:line="360" w:lineRule="auto"/>
        <w:jc w:val="right"/>
        <w:rPr>
          <w:rFonts w:ascii="Arial" w:eastAsia="Calibri" w:hAnsi="Arial" w:cs="Arial"/>
          <w:sz w:val="24"/>
          <w:szCs w:val="24"/>
          <w:lang w:val="en-GB"/>
        </w:rPr>
      </w:pPr>
      <w:r w:rsidRPr="00BB77AA">
        <w:rPr>
          <w:rFonts w:ascii="Arial" w:eastAsia="Calibri" w:hAnsi="Arial" w:cs="Arial"/>
          <w:sz w:val="24"/>
          <w:szCs w:val="24"/>
          <w:lang w:val="en-GB"/>
        </w:rPr>
        <w:t>O S Sibeya</w:t>
      </w:r>
    </w:p>
    <w:p w:rsidR="00BB77AA" w:rsidRPr="00BB77AA" w:rsidRDefault="00BB77AA" w:rsidP="00BB77AA">
      <w:pPr>
        <w:spacing w:after="0" w:line="360" w:lineRule="auto"/>
        <w:jc w:val="right"/>
        <w:rPr>
          <w:rFonts w:ascii="Arial" w:eastAsia="Calibri" w:hAnsi="Arial" w:cs="Arial"/>
          <w:sz w:val="24"/>
          <w:szCs w:val="24"/>
          <w:lang w:val="en-GB"/>
        </w:rPr>
      </w:pPr>
      <w:r w:rsidRPr="00BB77AA">
        <w:rPr>
          <w:rFonts w:ascii="Arial" w:eastAsia="Calibri" w:hAnsi="Arial" w:cs="Arial"/>
          <w:sz w:val="24"/>
          <w:szCs w:val="24"/>
          <w:lang w:val="en-GB"/>
        </w:rPr>
        <w:t xml:space="preserve"> Judge</w:t>
      </w:r>
    </w:p>
    <w:p w:rsidR="00BB77AA" w:rsidRPr="00BB77AA" w:rsidRDefault="00BB77AA" w:rsidP="00BB77AA">
      <w:pPr>
        <w:spacing w:after="0" w:line="360" w:lineRule="auto"/>
        <w:jc w:val="both"/>
        <w:rPr>
          <w:rFonts w:ascii="Arial" w:eastAsia="Times New Roman" w:hAnsi="Arial" w:cs="Arial"/>
          <w:bCs/>
          <w:sz w:val="24"/>
          <w:szCs w:val="24"/>
          <w:lang w:val="en-GB"/>
        </w:rPr>
      </w:pPr>
    </w:p>
    <w:p w:rsidR="00BB77AA" w:rsidRPr="00BB77AA" w:rsidRDefault="00BB77AA" w:rsidP="00BB77AA">
      <w:pPr>
        <w:spacing w:after="0" w:line="360" w:lineRule="auto"/>
        <w:rPr>
          <w:rFonts w:ascii="Arial" w:eastAsia="Calibri" w:hAnsi="Arial" w:cs="Arial"/>
          <w:sz w:val="24"/>
          <w:szCs w:val="24"/>
          <w:lang w:val="en-GB"/>
        </w:rPr>
      </w:pPr>
      <w:r w:rsidRPr="00BB77AA">
        <w:rPr>
          <w:rFonts w:ascii="Arial" w:eastAsia="Calibri" w:hAnsi="Arial" w:cs="Arial"/>
          <w:sz w:val="24"/>
          <w:szCs w:val="24"/>
          <w:lang w:val="en-GB"/>
        </w:rPr>
        <w:br w:type="page"/>
      </w:r>
      <w:r w:rsidRPr="00BB77AA">
        <w:rPr>
          <w:rFonts w:ascii="Arial" w:eastAsia="Calibri" w:hAnsi="Arial" w:cs="Arial"/>
          <w:sz w:val="24"/>
          <w:szCs w:val="24"/>
          <w:lang w:val="en-GB"/>
        </w:rPr>
        <w:lastRenderedPageBreak/>
        <w:t>APPEARANCES</w:t>
      </w:r>
    </w:p>
    <w:p w:rsidR="00BB77AA" w:rsidRPr="00BB77AA" w:rsidRDefault="00BB77AA" w:rsidP="00BB77AA">
      <w:pPr>
        <w:spacing w:after="0" w:line="360" w:lineRule="auto"/>
        <w:rPr>
          <w:rFonts w:ascii="Arial" w:eastAsia="Calibri" w:hAnsi="Arial" w:cs="Arial"/>
          <w:sz w:val="24"/>
          <w:szCs w:val="24"/>
          <w:lang w:val="en-GB"/>
        </w:rPr>
      </w:pPr>
    </w:p>
    <w:p w:rsidR="00BB77AA" w:rsidRPr="00BB77AA" w:rsidRDefault="00F43A6E" w:rsidP="00BB77AA">
      <w:pPr>
        <w:spacing w:after="0" w:line="360" w:lineRule="auto"/>
        <w:rPr>
          <w:rFonts w:ascii="Arial" w:eastAsia="Calibri" w:hAnsi="Arial" w:cs="Arial"/>
          <w:sz w:val="24"/>
          <w:szCs w:val="24"/>
          <w:lang w:val="en-ZA"/>
        </w:rPr>
      </w:pPr>
      <w:r>
        <w:rPr>
          <w:rFonts w:ascii="Arial" w:eastAsia="Calibri" w:hAnsi="Arial" w:cs="Arial"/>
          <w:sz w:val="24"/>
          <w:szCs w:val="24"/>
          <w:lang w:val="en-GB"/>
        </w:rPr>
        <w:t>APPLICANT</w:t>
      </w:r>
      <w:r w:rsidR="00BB77AA" w:rsidRPr="00BB77AA">
        <w:rPr>
          <w:rFonts w:ascii="Arial" w:eastAsia="Calibri" w:hAnsi="Arial" w:cs="Arial"/>
          <w:sz w:val="24"/>
          <w:szCs w:val="24"/>
          <w:lang w:val="en-GB"/>
        </w:rPr>
        <w:t>:</w:t>
      </w:r>
      <w:r>
        <w:rPr>
          <w:rFonts w:ascii="Arial" w:eastAsia="Calibri" w:hAnsi="Arial" w:cs="Arial"/>
          <w:sz w:val="24"/>
          <w:szCs w:val="24"/>
          <w:lang w:val="en-GB"/>
        </w:rPr>
        <w:tab/>
      </w:r>
      <w:r w:rsidR="00BB77AA" w:rsidRPr="00BB77AA">
        <w:rPr>
          <w:rFonts w:ascii="Arial" w:eastAsia="Calibri" w:hAnsi="Arial" w:cs="Arial"/>
          <w:sz w:val="24"/>
          <w:szCs w:val="24"/>
          <w:lang w:val="en-GB"/>
        </w:rPr>
        <w:tab/>
      </w:r>
      <w:r w:rsidR="00BB77AA" w:rsidRPr="00BB77AA">
        <w:rPr>
          <w:rFonts w:ascii="Arial" w:eastAsia="Calibri" w:hAnsi="Arial" w:cs="Arial"/>
          <w:sz w:val="24"/>
          <w:szCs w:val="24"/>
          <w:lang w:val="en-GB"/>
        </w:rPr>
        <w:tab/>
      </w:r>
      <w:r w:rsidR="00BB77AA" w:rsidRPr="00BB77AA">
        <w:rPr>
          <w:rFonts w:ascii="Arial" w:eastAsia="Calibri" w:hAnsi="Arial" w:cs="Arial"/>
          <w:sz w:val="24"/>
          <w:szCs w:val="24"/>
          <w:lang w:val="en-GB"/>
        </w:rPr>
        <w:tab/>
      </w:r>
      <w:r w:rsidR="00211FE8">
        <w:rPr>
          <w:rFonts w:ascii="Arial" w:eastAsia="Calibri" w:hAnsi="Arial" w:cs="Arial"/>
          <w:sz w:val="24"/>
          <w:szCs w:val="24"/>
          <w:lang w:val="en-ZA"/>
        </w:rPr>
        <w:t>E Omoregie</w:t>
      </w:r>
    </w:p>
    <w:p w:rsidR="00F43A6E" w:rsidRDefault="00F43A6E" w:rsidP="00BB77AA">
      <w:pPr>
        <w:spacing w:after="0" w:line="360" w:lineRule="auto"/>
        <w:ind w:left="3600"/>
        <w:rPr>
          <w:rFonts w:ascii="Arial" w:eastAsia="Calibri" w:hAnsi="Arial" w:cs="Arial"/>
          <w:sz w:val="24"/>
          <w:szCs w:val="24"/>
          <w:lang w:val="en-ZA"/>
        </w:rPr>
      </w:pPr>
      <w:r>
        <w:rPr>
          <w:rFonts w:ascii="Arial" w:eastAsia="Calibri" w:hAnsi="Arial" w:cs="Arial"/>
          <w:sz w:val="24"/>
          <w:szCs w:val="24"/>
          <w:lang w:val="en-ZA"/>
        </w:rPr>
        <w:t>LorentzAngula Inc</w:t>
      </w:r>
      <w:r w:rsidR="00BB77AA" w:rsidRPr="00BB77AA">
        <w:rPr>
          <w:rFonts w:ascii="Arial" w:eastAsia="Calibri" w:hAnsi="Arial" w:cs="Arial"/>
          <w:sz w:val="24"/>
          <w:szCs w:val="24"/>
          <w:lang w:val="en-ZA"/>
        </w:rPr>
        <w:t>,</w:t>
      </w:r>
    </w:p>
    <w:p w:rsidR="00BB77AA" w:rsidRPr="00BB77AA" w:rsidRDefault="00BB77AA" w:rsidP="00BB77AA">
      <w:pPr>
        <w:spacing w:after="0" w:line="360" w:lineRule="auto"/>
        <w:ind w:left="3600"/>
        <w:rPr>
          <w:rFonts w:ascii="Arial" w:eastAsia="Calibri" w:hAnsi="Arial" w:cs="Arial"/>
          <w:sz w:val="24"/>
          <w:szCs w:val="24"/>
        </w:rPr>
      </w:pPr>
      <w:r w:rsidRPr="00BB77AA">
        <w:rPr>
          <w:rFonts w:ascii="Arial" w:eastAsia="Calibri" w:hAnsi="Arial" w:cs="Arial"/>
          <w:sz w:val="24"/>
          <w:szCs w:val="24"/>
        </w:rPr>
        <w:t>Windhoek</w:t>
      </w:r>
    </w:p>
    <w:p w:rsidR="00BB77AA" w:rsidRPr="00BB77AA" w:rsidRDefault="00BB77AA" w:rsidP="00BB77AA">
      <w:pPr>
        <w:spacing w:after="0" w:line="360" w:lineRule="auto"/>
        <w:ind w:left="2880" w:firstLine="720"/>
        <w:rPr>
          <w:rFonts w:ascii="Arial" w:eastAsia="Calibri" w:hAnsi="Arial" w:cs="Arial"/>
          <w:sz w:val="24"/>
          <w:szCs w:val="24"/>
          <w:lang w:val="en-GB"/>
        </w:rPr>
      </w:pPr>
    </w:p>
    <w:p w:rsidR="00BB77AA" w:rsidRPr="00BB77AA" w:rsidRDefault="00BB77AA" w:rsidP="00BB77AA">
      <w:pPr>
        <w:spacing w:after="0" w:line="360" w:lineRule="auto"/>
        <w:rPr>
          <w:rFonts w:ascii="Arial" w:eastAsia="Calibri" w:hAnsi="Arial" w:cs="Arial"/>
          <w:sz w:val="24"/>
          <w:szCs w:val="24"/>
          <w:lang w:val="en-GB"/>
        </w:rPr>
      </w:pPr>
      <w:r w:rsidRPr="00BB77AA">
        <w:rPr>
          <w:rFonts w:ascii="Arial" w:eastAsia="Calibri" w:hAnsi="Arial" w:cs="Arial"/>
          <w:sz w:val="24"/>
          <w:szCs w:val="24"/>
          <w:lang w:val="en-GB"/>
        </w:rPr>
        <w:t>RESPONDENT</w:t>
      </w:r>
      <w:r w:rsidR="00F43A6E">
        <w:rPr>
          <w:rFonts w:ascii="Arial" w:eastAsia="Calibri" w:hAnsi="Arial" w:cs="Arial"/>
          <w:sz w:val="24"/>
          <w:szCs w:val="24"/>
          <w:lang w:val="en-GB"/>
        </w:rPr>
        <w:t>S</w:t>
      </w:r>
      <w:r w:rsidRPr="00BB77AA">
        <w:rPr>
          <w:rFonts w:ascii="Arial" w:eastAsia="Calibri" w:hAnsi="Arial" w:cs="Arial"/>
          <w:sz w:val="24"/>
          <w:szCs w:val="24"/>
          <w:lang w:val="en-GB"/>
        </w:rPr>
        <w:t>:</w:t>
      </w:r>
      <w:r w:rsidRPr="00BB77AA">
        <w:rPr>
          <w:rFonts w:ascii="Arial" w:eastAsia="Calibri" w:hAnsi="Arial" w:cs="Arial"/>
          <w:sz w:val="24"/>
          <w:szCs w:val="24"/>
          <w:lang w:val="en-GB"/>
        </w:rPr>
        <w:tab/>
      </w:r>
      <w:r w:rsidRPr="00BB77AA">
        <w:rPr>
          <w:rFonts w:ascii="Arial" w:eastAsia="Calibri" w:hAnsi="Arial" w:cs="Arial"/>
          <w:sz w:val="24"/>
          <w:szCs w:val="24"/>
          <w:lang w:val="en-GB"/>
        </w:rPr>
        <w:tab/>
      </w:r>
      <w:r w:rsidR="00211FE8">
        <w:rPr>
          <w:rFonts w:ascii="Arial" w:eastAsia="Calibri" w:hAnsi="Arial" w:cs="Arial"/>
          <w:sz w:val="24"/>
          <w:szCs w:val="24"/>
          <w:lang w:val="en-GB"/>
        </w:rPr>
        <w:tab/>
        <w:t>P E Doyle</w:t>
      </w:r>
    </w:p>
    <w:p w:rsidR="00BB77AA" w:rsidRPr="00BB77AA" w:rsidRDefault="00BB77AA" w:rsidP="00BB77AA">
      <w:pPr>
        <w:spacing w:after="0" w:line="360" w:lineRule="auto"/>
        <w:rPr>
          <w:rFonts w:ascii="Arial" w:eastAsia="Calibri" w:hAnsi="Arial" w:cs="Arial"/>
          <w:sz w:val="24"/>
          <w:szCs w:val="24"/>
          <w:lang w:val="en-GB"/>
        </w:rPr>
      </w:pPr>
      <w:r w:rsidRPr="00BB77AA">
        <w:rPr>
          <w:rFonts w:ascii="Arial" w:eastAsia="Calibri" w:hAnsi="Arial" w:cs="Arial"/>
          <w:sz w:val="24"/>
          <w:szCs w:val="24"/>
          <w:lang w:val="en-GB"/>
        </w:rPr>
        <w:tab/>
      </w:r>
      <w:r w:rsidRPr="00BB77AA">
        <w:rPr>
          <w:rFonts w:ascii="Arial" w:eastAsia="Calibri" w:hAnsi="Arial" w:cs="Arial"/>
          <w:sz w:val="24"/>
          <w:szCs w:val="24"/>
          <w:lang w:val="en-GB"/>
        </w:rPr>
        <w:tab/>
      </w:r>
      <w:r w:rsidRPr="00BB77AA">
        <w:rPr>
          <w:rFonts w:ascii="Arial" w:eastAsia="Calibri" w:hAnsi="Arial" w:cs="Arial"/>
          <w:sz w:val="24"/>
          <w:szCs w:val="24"/>
          <w:lang w:val="en-GB"/>
        </w:rPr>
        <w:tab/>
      </w:r>
      <w:r w:rsidRPr="00BB77AA">
        <w:rPr>
          <w:rFonts w:ascii="Arial" w:eastAsia="Calibri" w:hAnsi="Arial" w:cs="Arial"/>
          <w:sz w:val="24"/>
          <w:szCs w:val="24"/>
          <w:lang w:val="en-GB"/>
        </w:rPr>
        <w:tab/>
      </w:r>
      <w:r w:rsidRPr="00BB77AA">
        <w:rPr>
          <w:rFonts w:ascii="Arial" w:eastAsia="Calibri" w:hAnsi="Arial" w:cs="Arial"/>
          <w:sz w:val="24"/>
          <w:szCs w:val="24"/>
          <w:lang w:val="en-GB"/>
        </w:rPr>
        <w:tab/>
      </w:r>
      <w:r w:rsidR="00211FE8">
        <w:rPr>
          <w:rFonts w:ascii="Arial" w:eastAsia="Calibri" w:hAnsi="Arial" w:cs="Arial"/>
          <w:sz w:val="24"/>
          <w:szCs w:val="24"/>
          <w:lang w:val="en-GB"/>
        </w:rPr>
        <w:t>In person</w:t>
      </w:r>
    </w:p>
    <w:p w:rsidR="00BB77AA" w:rsidRPr="00BB77AA" w:rsidRDefault="00BB77AA" w:rsidP="00BB77AA">
      <w:pPr>
        <w:spacing w:after="0" w:line="360" w:lineRule="auto"/>
        <w:rPr>
          <w:rFonts w:ascii="Arial" w:eastAsia="Calibri" w:hAnsi="Arial" w:cs="Arial"/>
          <w:sz w:val="24"/>
          <w:szCs w:val="24"/>
          <w:lang w:val="en-GB"/>
        </w:rPr>
      </w:pPr>
    </w:p>
    <w:p w:rsidR="00BB77AA" w:rsidRPr="00BB77AA" w:rsidRDefault="00BB77AA" w:rsidP="00BB77AA">
      <w:pPr>
        <w:spacing w:after="0" w:line="360" w:lineRule="auto"/>
        <w:rPr>
          <w:rFonts w:ascii="Arial" w:eastAsia="Calibri" w:hAnsi="Arial" w:cs="Arial"/>
          <w:sz w:val="24"/>
          <w:szCs w:val="24"/>
          <w:lang w:val="en-GB"/>
        </w:rPr>
      </w:pPr>
      <w:r w:rsidRPr="00BB77AA">
        <w:rPr>
          <w:rFonts w:ascii="Arial" w:eastAsia="Calibri" w:hAnsi="Arial" w:cs="Arial"/>
          <w:sz w:val="24"/>
          <w:szCs w:val="24"/>
          <w:lang w:val="en-GB"/>
        </w:rPr>
        <w:tab/>
      </w:r>
      <w:r w:rsidRPr="00BB77AA">
        <w:rPr>
          <w:rFonts w:ascii="Arial" w:eastAsia="Calibri" w:hAnsi="Arial" w:cs="Arial"/>
          <w:sz w:val="24"/>
          <w:szCs w:val="24"/>
          <w:lang w:val="en-GB"/>
        </w:rPr>
        <w:tab/>
      </w:r>
    </w:p>
    <w:p w:rsidR="00BB77AA" w:rsidRPr="00BB77AA" w:rsidRDefault="00BB77AA" w:rsidP="00BB77AA">
      <w:pPr>
        <w:spacing w:after="0" w:line="360" w:lineRule="auto"/>
        <w:jc w:val="both"/>
        <w:rPr>
          <w:rFonts w:ascii="Arial" w:eastAsia="Times New Roman" w:hAnsi="Arial" w:cs="Arial"/>
          <w:bCs/>
          <w:sz w:val="24"/>
          <w:szCs w:val="24"/>
          <w:lang w:val="en-GB"/>
        </w:rPr>
      </w:pPr>
    </w:p>
    <w:p w:rsidR="00BB77AA" w:rsidRPr="00BB77AA" w:rsidRDefault="00BB77AA" w:rsidP="00BB77AA">
      <w:pPr>
        <w:spacing w:after="200" w:line="360" w:lineRule="auto"/>
        <w:jc w:val="both"/>
        <w:rPr>
          <w:rFonts w:ascii="Calibri" w:eastAsia="Calibri" w:hAnsi="Calibri" w:cs="Times New Roman"/>
          <w:lang w:val="en-GB"/>
        </w:rPr>
      </w:pPr>
    </w:p>
    <w:p w:rsidR="000C1FC7" w:rsidRDefault="000C1FC7"/>
    <w:sectPr w:rsidR="000C1FC7" w:rsidSect="009C51B7">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9E" w:rsidRDefault="0048379E" w:rsidP="00BB77AA">
      <w:pPr>
        <w:spacing w:after="0" w:line="240" w:lineRule="auto"/>
      </w:pPr>
      <w:r>
        <w:separator/>
      </w:r>
    </w:p>
  </w:endnote>
  <w:endnote w:type="continuationSeparator" w:id="0">
    <w:p w:rsidR="0048379E" w:rsidRDefault="0048379E" w:rsidP="00BB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9E" w:rsidRDefault="0048379E" w:rsidP="00BB77AA">
      <w:pPr>
        <w:spacing w:after="0" w:line="240" w:lineRule="auto"/>
      </w:pPr>
      <w:r>
        <w:separator/>
      </w:r>
    </w:p>
  </w:footnote>
  <w:footnote w:type="continuationSeparator" w:id="0">
    <w:p w:rsidR="0048379E" w:rsidRDefault="0048379E" w:rsidP="00BB77AA">
      <w:pPr>
        <w:spacing w:after="0" w:line="240" w:lineRule="auto"/>
      </w:pPr>
      <w:r>
        <w:continuationSeparator/>
      </w:r>
    </w:p>
  </w:footnote>
  <w:footnote w:id="1">
    <w:p w:rsidR="00992E4B" w:rsidRPr="006F6FA8" w:rsidRDefault="00992E4B" w:rsidP="00992E4B">
      <w:pPr>
        <w:pStyle w:val="FootnoteText"/>
        <w:rPr>
          <w:rFonts w:ascii="Arial" w:hAnsi="Arial" w:cs="Arial"/>
          <w:lang w:val="en-US"/>
        </w:rPr>
      </w:pPr>
      <w:r w:rsidRPr="006F6FA8">
        <w:rPr>
          <w:rStyle w:val="FootnoteReference"/>
          <w:rFonts w:ascii="Arial" w:hAnsi="Arial" w:cs="Arial"/>
        </w:rPr>
        <w:footnoteRef/>
      </w:r>
      <w:r w:rsidRPr="006F6FA8">
        <w:rPr>
          <w:rFonts w:ascii="Arial" w:hAnsi="Arial" w:cs="Arial"/>
        </w:rPr>
        <w:t xml:space="preserve"> </w:t>
      </w:r>
      <w:r w:rsidRPr="006F6FA8">
        <w:rPr>
          <w:rFonts w:ascii="Arial" w:hAnsi="Arial" w:cs="Arial"/>
          <w:i/>
          <w:lang w:val="en-US"/>
        </w:rPr>
        <w:t>Namrights Inc v Government of Namibia and</w:t>
      </w:r>
      <w:r w:rsidRPr="006F6FA8">
        <w:rPr>
          <w:rFonts w:ascii="Arial" w:hAnsi="Arial" w:cs="Arial"/>
          <w:lang w:val="en-US"/>
        </w:rPr>
        <w:t xml:space="preserve"> </w:t>
      </w:r>
      <w:r w:rsidRPr="006F6FA8">
        <w:rPr>
          <w:rFonts w:ascii="Arial" w:hAnsi="Arial" w:cs="Arial"/>
          <w:i/>
          <w:lang w:val="en-US"/>
        </w:rPr>
        <w:t>Others</w:t>
      </w:r>
      <w:r w:rsidRPr="006F6FA8">
        <w:rPr>
          <w:rFonts w:ascii="Arial" w:hAnsi="Arial" w:cs="Arial"/>
          <w:lang w:val="en-US"/>
        </w:rPr>
        <w:t xml:space="preserve"> (SA 87/2019) [2023] NASC 12 (28 April 2023) para 17.</w:t>
      </w:r>
    </w:p>
  </w:footnote>
  <w:footnote w:id="2">
    <w:p w:rsidR="00170C0B" w:rsidRPr="006B18E4" w:rsidRDefault="00170C0B">
      <w:pPr>
        <w:pStyle w:val="FootnoteText"/>
        <w:rPr>
          <w:rFonts w:ascii="Arial" w:hAnsi="Arial" w:cs="Arial"/>
          <w:lang w:val="en-US"/>
        </w:rPr>
      </w:pPr>
      <w:r w:rsidRPr="006B18E4">
        <w:rPr>
          <w:rStyle w:val="FootnoteReference"/>
          <w:rFonts w:ascii="Arial" w:hAnsi="Arial" w:cs="Arial"/>
        </w:rPr>
        <w:footnoteRef/>
      </w:r>
      <w:r w:rsidRPr="006B18E4">
        <w:rPr>
          <w:rFonts w:ascii="Arial" w:hAnsi="Arial" w:cs="Arial"/>
        </w:rPr>
        <w:t xml:space="preserve"> </w:t>
      </w:r>
      <w:r w:rsidRPr="006B18E4">
        <w:rPr>
          <w:rFonts w:ascii="Arial" w:hAnsi="Arial" w:cs="Arial"/>
          <w:bCs/>
          <w:i/>
          <w:iCs/>
          <w:lang w:val="en-US"/>
        </w:rPr>
        <w:t>First National Bank of Namibia v Nan Von Schach</w:t>
      </w:r>
      <w:r w:rsidRPr="006B18E4">
        <w:rPr>
          <w:rFonts w:ascii="Arial" w:hAnsi="Arial" w:cs="Arial"/>
          <w:bCs/>
          <w:lang w:val="en-US"/>
        </w:rPr>
        <w:t xml:space="preserve"> (</w:t>
      </w:r>
      <w:r w:rsidRPr="006B18E4">
        <w:rPr>
          <w:rFonts w:ascii="Arial" w:hAnsi="Arial" w:cs="Arial"/>
          <w:lang w:val="en-US"/>
        </w:rPr>
        <w:t>HC-MD-CIV-ACT-CON-2020/02921) [2021] NAHCMD 493 (26 October 2021).</w:t>
      </w:r>
    </w:p>
  </w:footnote>
  <w:footnote w:id="3">
    <w:p w:rsidR="00170C0B" w:rsidRPr="00170C0B" w:rsidRDefault="00170C0B">
      <w:pPr>
        <w:pStyle w:val="FootnoteText"/>
        <w:rPr>
          <w:lang w:val="en-US"/>
        </w:rPr>
      </w:pPr>
      <w:r w:rsidRPr="006B18E4">
        <w:rPr>
          <w:rStyle w:val="FootnoteReference"/>
          <w:rFonts w:ascii="Arial" w:hAnsi="Arial" w:cs="Arial"/>
        </w:rPr>
        <w:footnoteRef/>
      </w:r>
      <w:r w:rsidRPr="006B18E4">
        <w:rPr>
          <w:rFonts w:ascii="Arial" w:hAnsi="Arial" w:cs="Arial"/>
        </w:rPr>
        <w:t xml:space="preserve"> </w:t>
      </w:r>
      <w:r w:rsidRPr="006B18E4">
        <w:rPr>
          <w:rFonts w:ascii="Arial" w:hAnsi="Arial" w:cs="Arial"/>
          <w:i/>
        </w:rPr>
        <w:t>MLN Extreme Safety Wear CC v Rockstar Footwear (Pty) Ltd</w:t>
      </w:r>
      <w:r w:rsidRPr="006B18E4">
        <w:rPr>
          <w:rFonts w:ascii="Arial" w:hAnsi="Arial" w:cs="Arial"/>
        </w:rPr>
        <w:t xml:space="preserve"> (I351/2013) [2014] NAHCMD 49 (14 February 2014).</w:t>
      </w:r>
    </w:p>
  </w:footnote>
  <w:footnote w:id="4">
    <w:p w:rsidR="007C5370" w:rsidRPr="007C5370" w:rsidRDefault="007C5370">
      <w:pPr>
        <w:pStyle w:val="FootnoteText"/>
      </w:pPr>
      <w:r>
        <w:rPr>
          <w:rStyle w:val="FootnoteReference"/>
        </w:rPr>
        <w:footnoteRef/>
      </w:r>
      <w:r>
        <w:t xml:space="preserve"> </w:t>
      </w:r>
      <w:r w:rsidRPr="007C5370">
        <w:rPr>
          <w:rFonts w:ascii="Arial" w:hAnsi="Arial" w:cs="Arial"/>
          <w:i/>
          <w:lang w:val="en-ZA"/>
        </w:rPr>
        <w:t xml:space="preserve">!Naruseb v Standard Bank of Namibia Limited and Another </w:t>
      </w:r>
      <w:r w:rsidRPr="007C5370">
        <w:rPr>
          <w:rFonts w:ascii="Arial" w:hAnsi="Arial" w:cs="Arial"/>
          <w:lang w:val="en-ZA"/>
        </w:rPr>
        <w:t>(</w:t>
      </w:r>
      <w:r w:rsidRPr="007C5370">
        <w:rPr>
          <w:rFonts w:ascii="Arial" w:hAnsi="Arial" w:cs="Arial"/>
        </w:rPr>
        <w:t>HC-MD-CIV-MOT-GEN-2023/00136</w:t>
      </w:r>
      <w:r w:rsidRPr="007C5370">
        <w:rPr>
          <w:rFonts w:ascii="Arial" w:hAnsi="Arial" w:cs="Arial"/>
          <w:lang w:val="en-ZA"/>
        </w:rPr>
        <w:t>)</w:t>
      </w:r>
      <w:r w:rsidRPr="007C5370">
        <w:rPr>
          <w:rFonts w:ascii="Arial" w:hAnsi="Arial" w:cs="Arial"/>
          <w:b/>
          <w:lang w:val="en-ZA"/>
        </w:rPr>
        <w:t xml:space="preserve"> </w:t>
      </w:r>
      <w:r w:rsidRPr="007C5370">
        <w:rPr>
          <w:rFonts w:ascii="Arial" w:hAnsi="Arial" w:cs="Arial"/>
          <w:lang w:val="en-ZA"/>
        </w:rPr>
        <w:t>[2023] NAHCMD 156 (26 March 2023)</w:t>
      </w:r>
      <w:r w:rsidR="009C72C6">
        <w:rPr>
          <w:rFonts w:ascii="Arial" w:hAnsi="Arial" w:cs="Arial"/>
          <w:lang w:val="en-ZA"/>
        </w:rPr>
        <w:t xml:space="preserve"> para 23.</w:t>
      </w:r>
    </w:p>
  </w:footnote>
  <w:footnote w:id="5">
    <w:p w:rsidR="007C5370" w:rsidRPr="007C5370" w:rsidRDefault="007C5370">
      <w:pPr>
        <w:pStyle w:val="FootnoteText"/>
        <w:rPr>
          <w:lang w:val="en-US"/>
        </w:rPr>
      </w:pPr>
      <w:r>
        <w:rPr>
          <w:rStyle w:val="FootnoteReference"/>
        </w:rPr>
        <w:footnoteRef/>
      </w:r>
      <w:r>
        <w:t xml:space="preserve"> </w:t>
      </w:r>
      <w:r w:rsidRPr="00F901D0">
        <w:rPr>
          <w:rFonts w:ascii="Arial" w:hAnsi="Arial" w:cs="Arial"/>
          <w:i/>
        </w:rPr>
        <w:t>Bergmann v Commercial Bank of Namibia Ltd</w:t>
      </w:r>
      <w:r w:rsidRPr="00F901D0">
        <w:rPr>
          <w:rFonts w:ascii="Arial" w:hAnsi="Arial" w:cs="Arial"/>
        </w:rPr>
        <w:t xml:space="preserve"> </w:t>
      </w:r>
      <w:r w:rsidR="00535A17">
        <w:rPr>
          <w:rFonts w:ascii="Arial" w:hAnsi="Arial" w:cs="Arial"/>
        </w:rPr>
        <w:t>2001 NR 48 (HC) at 50.</w:t>
      </w:r>
    </w:p>
  </w:footnote>
  <w:footnote w:id="6">
    <w:p w:rsidR="00992E4B" w:rsidRPr="00414568" w:rsidRDefault="00992E4B" w:rsidP="00992E4B">
      <w:pPr>
        <w:pStyle w:val="FootnoteText"/>
        <w:jc w:val="both"/>
        <w:rPr>
          <w:lang w:val="en-US"/>
        </w:rPr>
      </w:pPr>
      <w:r>
        <w:rPr>
          <w:rStyle w:val="FootnoteReference"/>
        </w:rPr>
        <w:footnoteRef/>
      </w:r>
      <w:r>
        <w:t xml:space="preserve"> </w:t>
      </w:r>
      <w:r w:rsidRPr="00414568">
        <w:rPr>
          <w:rFonts w:ascii="Arial" w:hAnsi="Arial" w:cs="Arial"/>
          <w:i/>
          <w:shd w:val="clear" w:color="auto" w:fill="FFFFFF"/>
        </w:rPr>
        <w:t>Kisilipile v First National Bank of Namibia Limited</w:t>
      </w:r>
      <w:r w:rsidRPr="00414568">
        <w:rPr>
          <w:rFonts w:ascii="Arial" w:hAnsi="Arial" w:cs="Arial"/>
          <w:shd w:val="clear" w:color="auto" w:fill="FFFFFF"/>
        </w:rPr>
        <w:t xml:space="preserve"> (SA 65 of 2019) [2021] NASC 52 (25 August 2021)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08694"/>
      <w:docPartObj>
        <w:docPartGallery w:val="Page Numbers (Top of Page)"/>
        <w:docPartUnique/>
      </w:docPartObj>
    </w:sdtPr>
    <w:sdtEndPr>
      <w:rPr>
        <w:noProof/>
      </w:rPr>
    </w:sdtEndPr>
    <w:sdtContent>
      <w:p w:rsidR="00F67E43" w:rsidRDefault="0049170D">
        <w:pPr>
          <w:pStyle w:val="Header"/>
          <w:jc w:val="right"/>
        </w:pPr>
        <w:r>
          <w:fldChar w:fldCharType="begin"/>
        </w:r>
        <w:r>
          <w:instrText xml:space="preserve"> PAGE   \* MERGEFORMAT </w:instrText>
        </w:r>
        <w:r>
          <w:fldChar w:fldCharType="separate"/>
        </w:r>
        <w:r w:rsidR="00B62D3A">
          <w:rPr>
            <w:noProof/>
          </w:rPr>
          <w:t>15</w:t>
        </w:r>
        <w:r>
          <w:rPr>
            <w:noProof/>
          </w:rPr>
          <w:fldChar w:fldCharType="end"/>
        </w:r>
      </w:p>
    </w:sdtContent>
  </w:sdt>
  <w:p w:rsidR="00F67E43" w:rsidRDefault="00483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09F"/>
    <w:multiLevelType w:val="hybridMultilevel"/>
    <w:tmpl w:val="480C7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B41F10"/>
    <w:multiLevelType w:val="hybridMultilevel"/>
    <w:tmpl w:val="6BF8AA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D1131"/>
    <w:multiLevelType w:val="hybridMultilevel"/>
    <w:tmpl w:val="C21C2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F96E6B"/>
    <w:multiLevelType w:val="hybridMultilevel"/>
    <w:tmpl w:val="FC92F2AE"/>
    <w:lvl w:ilvl="0" w:tplc="AD3C6426">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DA7A0F"/>
    <w:multiLevelType w:val="hybridMultilevel"/>
    <w:tmpl w:val="1C8202DE"/>
    <w:lvl w:ilvl="0" w:tplc="79B800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A"/>
    <w:rsid w:val="00074AB9"/>
    <w:rsid w:val="000C1FC7"/>
    <w:rsid w:val="00151C06"/>
    <w:rsid w:val="00170C0B"/>
    <w:rsid w:val="001D09B1"/>
    <w:rsid w:val="00211FE8"/>
    <w:rsid w:val="003C1736"/>
    <w:rsid w:val="00412E75"/>
    <w:rsid w:val="004305E8"/>
    <w:rsid w:val="00432B5A"/>
    <w:rsid w:val="004363DE"/>
    <w:rsid w:val="0048379E"/>
    <w:rsid w:val="0049170D"/>
    <w:rsid w:val="004A2806"/>
    <w:rsid w:val="00535A17"/>
    <w:rsid w:val="005B6A47"/>
    <w:rsid w:val="005C1E04"/>
    <w:rsid w:val="005D6ABA"/>
    <w:rsid w:val="00652D63"/>
    <w:rsid w:val="00697826"/>
    <w:rsid w:val="006B18E4"/>
    <w:rsid w:val="006E690C"/>
    <w:rsid w:val="00704587"/>
    <w:rsid w:val="00763B67"/>
    <w:rsid w:val="007C5370"/>
    <w:rsid w:val="00811DE7"/>
    <w:rsid w:val="00863434"/>
    <w:rsid w:val="008C02E3"/>
    <w:rsid w:val="00992E4B"/>
    <w:rsid w:val="009963EE"/>
    <w:rsid w:val="009A5DD2"/>
    <w:rsid w:val="009C72C6"/>
    <w:rsid w:val="009F1A95"/>
    <w:rsid w:val="00A275BE"/>
    <w:rsid w:val="00A732D7"/>
    <w:rsid w:val="00B62D3A"/>
    <w:rsid w:val="00BB77AA"/>
    <w:rsid w:val="00BF4C65"/>
    <w:rsid w:val="00C20405"/>
    <w:rsid w:val="00C459B5"/>
    <w:rsid w:val="00D95C58"/>
    <w:rsid w:val="00E5398A"/>
    <w:rsid w:val="00ED6875"/>
    <w:rsid w:val="00F30265"/>
    <w:rsid w:val="00F43A6E"/>
    <w:rsid w:val="00F742B7"/>
    <w:rsid w:val="00F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B77A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BB77AA"/>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BB77AA"/>
    <w:rPr>
      <w:vertAlign w:val="superscript"/>
    </w:rPr>
  </w:style>
  <w:style w:type="paragraph" w:styleId="Header">
    <w:name w:val="header"/>
    <w:basedOn w:val="Normal"/>
    <w:link w:val="HeaderChar"/>
    <w:uiPriority w:val="99"/>
    <w:unhideWhenUsed/>
    <w:rsid w:val="00BB77AA"/>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BB77AA"/>
    <w:rPr>
      <w:rFonts w:ascii="Calibri" w:eastAsia="Calibri" w:hAnsi="Calibri" w:cs="Times New Roman"/>
      <w:lang w:val="en-GB"/>
    </w:rPr>
  </w:style>
  <w:style w:type="paragraph" w:styleId="BodyText">
    <w:name w:val="Body Text"/>
    <w:basedOn w:val="Normal"/>
    <w:link w:val="BodyTextChar"/>
    <w:rsid w:val="00170C0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70C0B"/>
    <w:rPr>
      <w:rFonts w:ascii="Times New Roman" w:eastAsia="Times New Roman" w:hAnsi="Times New Roman" w:cs="Times New Roman"/>
      <w:sz w:val="24"/>
      <w:szCs w:val="24"/>
      <w:lang w:val="en-GB"/>
    </w:rPr>
  </w:style>
  <w:style w:type="character" w:styleId="Emphasis">
    <w:name w:val="Emphasis"/>
    <w:uiPriority w:val="20"/>
    <w:qFormat/>
    <w:rsid w:val="00170C0B"/>
    <w:rPr>
      <w:i/>
      <w:iCs/>
    </w:rPr>
  </w:style>
  <w:style w:type="paragraph" w:styleId="ListParagraph">
    <w:name w:val="List Paragraph"/>
    <w:basedOn w:val="Normal"/>
    <w:uiPriority w:val="34"/>
    <w:qFormat/>
    <w:rsid w:val="006E690C"/>
    <w:pPr>
      <w:ind w:left="720"/>
      <w:contextualSpacing/>
    </w:pPr>
  </w:style>
  <w:style w:type="paragraph" w:styleId="BalloonText">
    <w:name w:val="Balloon Text"/>
    <w:basedOn w:val="Normal"/>
    <w:link w:val="BalloonTextChar"/>
    <w:uiPriority w:val="99"/>
    <w:semiHidden/>
    <w:unhideWhenUsed/>
    <w:rsid w:val="00B6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B77A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BB77AA"/>
    <w:rPr>
      <w:rFonts w:ascii="Calibri" w:eastAsia="Calibri" w:hAnsi="Calibri" w:cs="Times New Roman"/>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BB77AA"/>
    <w:rPr>
      <w:vertAlign w:val="superscript"/>
    </w:rPr>
  </w:style>
  <w:style w:type="paragraph" w:styleId="Header">
    <w:name w:val="header"/>
    <w:basedOn w:val="Normal"/>
    <w:link w:val="HeaderChar"/>
    <w:uiPriority w:val="99"/>
    <w:unhideWhenUsed/>
    <w:rsid w:val="00BB77AA"/>
    <w:pPr>
      <w:tabs>
        <w:tab w:val="center" w:pos="4680"/>
        <w:tab w:val="right" w:pos="9360"/>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BB77AA"/>
    <w:rPr>
      <w:rFonts w:ascii="Calibri" w:eastAsia="Calibri" w:hAnsi="Calibri" w:cs="Times New Roman"/>
      <w:lang w:val="en-GB"/>
    </w:rPr>
  </w:style>
  <w:style w:type="paragraph" w:styleId="BodyText">
    <w:name w:val="Body Text"/>
    <w:basedOn w:val="Normal"/>
    <w:link w:val="BodyTextChar"/>
    <w:rsid w:val="00170C0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70C0B"/>
    <w:rPr>
      <w:rFonts w:ascii="Times New Roman" w:eastAsia="Times New Roman" w:hAnsi="Times New Roman" w:cs="Times New Roman"/>
      <w:sz w:val="24"/>
      <w:szCs w:val="24"/>
      <w:lang w:val="en-GB"/>
    </w:rPr>
  </w:style>
  <w:style w:type="character" w:styleId="Emphasis">
    <w:name w:val="Emphasis"/>
    <w:uiPriority w:val="20"/>
    <w:qFormat/>
    <w:rsid w:val="00170C0B"/>
    <w:rPr>
      <w:i/>
      <w:iCs/>
    </w:rPr>
  </w:style>
  <w:style w:type="paragraph" w:styleId="ListParagraph">
    <w:name w:val="List Paragraph"/>
    <w:basedOn w:val="Normal"/>
    <w:uiPriority w:val="34"/>
    <w:qFormat/>
    <w:rsid w:val="006E690C"/>
    <w:pPr>
      <w:ind w:left="720"/>
      <w:contextualSpacing/>
    </w:pPr>
  </w:style>
  <w:style w:type="paragraph" w:styleId="BalloonText">
    <w:name w:val="Balloon Text"/>
    <w:basedOn w:val="Normal"/>
    <w:link w:val="BalloonTextChar"/>
    <w:uiPriority w:val="99"/>
    <w:semiHidden/>
    <w:unhideWhenUsed/>
    <w:rsid w:val="00B62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2023-08-09T18:30:00+00:00</Judgment_x0020_Date>
    <Year xmlns="c1afb1bd-f2fb-40fd-9abb-aea55b4d7662">2023</Year>
  </documentManagement>
</p:properties>
</file>

<file path=customXml/itemProps1.xml><?xml version="1.0" encoding="utf-8"?>
<ds:datastoreItem xmlns:ds="http://schemas.openxmlformats.org/officeDocument/2006/customXml" ds:itemID="{2D509315-7989-4276-91DF-55A5AE449820}"/>
</file>

<file path=customXml/itemProps2.xml><?xml version="1.0" encoding="utf-8"?>
<ds:datastoreItem xmlns:ds="http://schemas.openxmlformats.org/officeDocument/2006/customXml" ds:itemID="{221C4528-6894-4F9D-A989-0A1C6B1879DD}"/>
</file>

<file path=customXml/itemProps3.xml><?xml version="1.0" encoding="utf-8"?>
<ds:datastoreItem xmlns:ds="http://schemas.openxmlformats.org/officeDocument/2006/customXml" ds:itemID="{7A09A9AE-A4D2-4CB0-A31B-4247E7DF8B21}"/>
</file>

<file path=customXml/itemProps4.xml><?xml version="1.0" encoding="utf-8"?>
<ds:datastoreItem xmlns:ds="http://schemas.openxmlformats.org/officeDocument/2006/customXml" ds:itemID="{B3009918-7AB1-4586-81A2-4471F5F4E280}"/>
</file>

<file path=docProps/app.xml><?xml version="1.0" encoding="utf-8"?>
<Properties xmlns="http://schemas.openxmlformats.org/officeDocument/2006/extended-properties" xmlns:vt="http://schemas.openxmlformats.org/officeDocument/2006/docPropsVTypes">
  <Template>Normal</Template>
  <TotalTime>0</TotalTime>
  <Pages>15</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Bank Namibia v Monarch Car Sales and Panel Beating (HC-MD-CIV-ACT-CON-2021-03649) [2023] NAHCMD 492 (10 August 2023)</dc:title>
  <dc:creator>Pafnutia Booysen</dc:creator>
  <cp:lastModifiedBy>Ndeyapo Nakashimba</cp:lastModifiedBy>
  <cp:revision>2</cp:revision>
  <cp:lastPrinted>2023-08-10T12:18:00Z</cp:lastPrinted>
  <dcterms:created xsi:type="dcterms:W3CDTF">2023-08-10T12:19:00Z</dcterms:created>
  <dcterms:modified xsi:type="dcterms:W3CDTF">2023-08-10T12:19:00Z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