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01B7" w14:textId="77777777" w:rsidR="00DC489D" w:rsidRPr="001D6B3F" w:rsidRDefault="00DC489D" w:rsidP="007A6C9F">
      <w:pPr>
        <w:spacing w:after="0" w:line="360" w:lineRule="auto"/>
        <w:jc w:val="center"/>
        <w:rPr>
          <w:b/>
          <w:bCs/>
          <w:lang w:val="en-ZA"/>
        </w:rPr>
      </w:pPr>
      <w:r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1AA5166C">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59FFCDFE" w14:textId="77777777" w:rsidR="00DC489D" w:rsidRPr="001D6B3F" w:rsidRDefault="00DC489D" w:rsidP="007A6C9F">
      <w:pPr>
        <w:spacing w:after="0" w:line="360" w:lineRule="auto"/>
        <w:jc w:val="center"/>
        <w:rPr>
          <w:lang w:val="en-ZA"/>
        </w:rPr>
      </w:pPr>
      <w:r w:rsidRPr="001D6B3F">
        <w:rPr>
          <w:b/>
          <w:bCs/>
        </w:rPr>
        <w:t>HIGH COURT OF NAMIBIA MAIN DIVISION, WINDHOEK</w:t>
      </w:r>
    </w:p>
    <w:p w14:paraId="458E6C2E" w14:textId="77777777" w:rsidR="00DC489D" w:rsidRPr="001D6B3F" w:rsidRDefault="00DC489D" w:rsidP="007A6C9F">
      <w:pPr>
        <w:spacing w:after="0" w:line="360" w:lineRule="auto"/>
        <w:jc w:val="center"/>
        <w:rPr>
          <w:b/>
          <w:bCs/>
          <w:lang w:val="en-ZA"/>
        </w:rPr>
      </w:pPr>
    </w:p>
    <w:p w14:paraId="748F077E" w14:textId="4D98BAB9" w:rsidR="0005042A" w:rsidRDefault="0005042A" w:rsidP="007A6C9F">
      <w:pPr>
        <w:spacing w:after="0" w:line="360" w:lineRule="auto"/>
        <w:jc w:val="center"/>
        <w:rPr>
          <w:b/>
        </w:rPr>
      </w:pPr>
      <w:r>
        <w:rPr>
          <w:b/>
        </w:rPr>
        <w:t>RULING ON SUMMARY JUDGMENT</w:t>
      </w:r>
    </w:p>
    <w:p w14:paraId="6F0FB05E" w14:textId="77777777" w:rsidR="0005042A" w:rsidRPr="0005042A" w:rsidRDefault="0005042A" w:rsidP="007A6C9F">
      <w:pPr>
        <w:spacing w:after="0" w:line="360" w:lineRule="auto"/>
        <w:jc w:val="center"/>
        <w:rPr>
          <w:b/>
        </w:rPr>
      </w:pPr>
    </w:p>
    <w:p w14:paraId="7F99B005" w14:textId="26E24D7A" w:rsidR="00DC489D" w:rsidRPr="0005042A" w:rsidRDefault="0005042A" w:rsidP="0005042A">
      <w:pPr>
        <w:spacing w:after="0" w:line="360" w:lineRule="auto"/>
        <w:jc w:val="center"/>
        <w:rPr>
          <w:b/>
        </w:rPr>
      </w:pPr>
      <w:r>
        <w:rPr>
          <w:b/>
        </w:rPr>
        <w:t>PRACTICE DIRECTION</w:t>
      </w:r>
      <w:r w:rsidRPr="0005042A">
        <w:rPr>
          <w:b/>
        </w:rPr>
        <w:t xml:space="preserve"> 61</w:t>
      </w:r>
    </w:p>
    <w:tbl>
      <w:tblPr>
        <w:tblStyle w:val="TableGrid"/>
        <w:tblW w:w="10476" w:type="dxa"/>
        <w:tblInd w:w="-275" w:type="dxa"/>
        <w:tblLook w:val="04A0" w:firstRow="1" w:lastRow="0" w:firstColumn="1" w:lastColumn="0" w:noHBand="0" w:noVBand="1"/>
      </w:tblPr>
      <w:tblGrid>
        <w:gridCol w:w="4770"/>
        <w:gridCol w:w="1596"/>
        <w:gridCol w:w="4110"/>
      </w:tblGrid>
      <w:tr w:rsidR="001D6B3F" w:rsidRPr="001D6B3F" w14:paraId="641B103E" w14:textId="77777777" w:rsidTr="000517D9">
        <w:trPr>
          <w:trHeight w:val="744"/>
        </w:trPr>
        <w:tc>
          <w:tcPr>
            <w:tcW w:w="6366" w:type="dxa"/>
            <w:gridSpan w:val="2"/>
            <w:vMerge w:val="restart"/>
          </w:tcPr>
          <w:p w14:paraId="4602A288"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Title:</w:t>
            </w:r>
          </w:p>
          <w:p w14:paraId="7EFF4AD8" w14:textId="1E6FD42D" w:rsidR="002031DC" w:rsidRPr="005163E0" w:rsidRDefault="002031DC" w:rsidP="002031DC">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bCs/>
                <w:color w:val="auto"/>
                <w:sz w:val="24"/>
                <w:szCs w:val="24"/>
                <w:lang w:val="en-US"/>
              </w:rPr>
              <w:t xml:space="preserve">First National Bank of Namibia Ltd                    </w:t>
            </w:r>
            <w:r w:rsidR="0005042A">
              <w:rPr>
                <w:rFonts w:ascii="Arial" w:hAnsi="Arial"/>
                <w:bCs/>
                <w:color w:val="auto"/>
                <w:sz w:val="24"/>
                <w:szCs w:val="24"/>
                <w:lang w:val="en-US"/>
              </w:rPr>
              <w:t xml:space="preserve">     </w:t>
            </w:r>
            <w:r>
              <w:rPr>
                <w:rFonts w:ascii="Arial" w:hAnsi="Arial" w:cs="Arial"/>
                <w:bCs/>
                <w:color w:val="auto"/>
                <w:sz w:val="24"/>
                <w:szCs w:val="24"/>
                <w:lang w:val="en-US"/>
              </w:rPr>
              <w:t>Plaintiff</w:t>
            </w:r>
          </w:p>
          <w:p w14:paraId="6E2218D7" w14:textId="7ADCAB69" w:rsidR="004F1FD3" w:rsidRPr="005163E0" w:rsidRDefault="004F1FD3" w:rsidP="007A6C9F">
            <w:pPr>
              <w:pStyle w:val="Body"/>
              <w:keepNext/>
              <w:tabs>
                <w:tab w:val="right" w:pos="9000"/>
              </w:tabs>
              <w:spacing w:line="360" w:lineRule="auto"/>
              <w:jc w:val="both"/>
              <w:outlineLvl w:val="3"/>
              <w:rPr>
                <w:rFonts w:ascii="Arial" w:hAnsi="Arial" w:cs="Arial"/>
                <w:bCs/>
                <w:color w:val="auto"/>
                <w:sz w:val="24"/>
                <w:szCs w:val="24"/>
                <w:lang w:val="en-US"/>
              </w:rPr>
            </w:pPr>
          </w:p>
          <w:p w14:paraId="2D1FDD5A" w14:textId="77777777" w:rsidR="004F1FD3" w:rsidRPr="001D6B3F" w:rsidRDefault="006F59B4" w:rsidP="007A6C9F">
            <w:pPr>
              <w:pStyle w:val="Body"/>
              <w:keepNext/>
              <w:tabs>
                <w:tab w:val="right" w:pos="9000"/>
              </w:tabs>
              <w:spacing w:line="360" w:lineRule="auto"/>
              <w:jc w:val="both"/>
              <w:outlineLvl w:val="3"/>
              <w:rPr>
                <w:rFonts w:ascii="Arial" w:hAnsi="Arial" w:cs="Arial"/>
                <w:bCs/>
                <w:color w:val="auto"/>
                <w:sz w:val="24"/>
                <w:szCs w:val="24"/>
                <w:lang w:val="en-US"/>
              </w:rPr>
            </w:pPr>
            <w:r w:rsidRPr="001D6B3F">
              <w:rPr>
                <w:rFonts w:ascii="Arial" w:hAnsi="Arial" w:cs="Arial"/>
                <w:bCs/>
                <w:color w:val="auto"/>
                <w:sz w:val="24"/>
                <w:szCs w:val="24"/>
                <w:lang w:val="en-US"/>
              </w:rPr>
              <w:t>and</w:t>
            </w:r>
          </w:p>
          <w:p w14:paraId="432B845C" w14:textId="77777777" w:rsidR="0005042A" w:rsidRDefault="0005042A" w:rsidP="007A6C9F">
            <w:pPr>
              <w:pStyle w:val="Body"/>
              <w:keepNext/>
              <w:tabs>
                <w:tab w:val="right" w:pos="9000"/>
              </w:tabs>
              <w:spacing w:line="360" w:lineRule="auto"/>
              <w:jc w:val="both"/>
              <w:outlineLvl w:val="3"/>
              <w:rPr>
                <w:rFonts w:ascii="Arial" w:hAnsi="Arial"/>
                <w:bCs/>
                <w:color w:val="auto"/>
                <w:sz w:val="24"/>
                <w:szCs w:val="24"/>
                <w:lang w:val="en-US"/>
              </w:rPr>
            </w:pPr>
          </w:p>
          <w:p w14:paraId="7651C42F" w14:textId="51F52550" w:rsidR="007B3B1A" w:rsidRDefault="002031DC"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bCs/>
                <w:color w:val="auto"/>
                <w:sz w:val="24"/>
                <w:szCs w:val="24"/>
                <w:lang w:val="en-US"/>
              </w:rPr>
              <w:t xml:space="preserve">Gunther Farming Enterprises (Pty) Ltd         </w:t>
            </w:r>
            <w:r w:rsidR="00D5791B">
              <w:rPr>
                <w:rFonts w:ascii="Arial" w:hAnsi="Arial"/>
                <w:bCs/>
                <w:color w:val="auto"/>
                <w:sz w:val="24"/>
                <w:szCs w:val="24"/>
                <w:lang w:val="en-US"/>
              </w:rPr>
              <w:t>1</w:t>
            </w:r>
            <w:r w:rsidR="00D5791B" w:rsidRPr="00D5791B">
              <w:rPr>
                <w:rFonts w:ascii="Arial" w:hAnsi="Arial"/>
                <w:bCs/>
                <w:color w:val="auto"/>
                <w:sz w:val="24"/>
                <w:szCs w:val="24"/>
                <w:vertAlign w:val="superscript"/>
                <w:lang w:val="en-US"/>
              </w:rPr>
              <w:t>st</w:t>
            </w:r>
            <w:r w:rsidR="00D5791B">
              <w:rPr>
                <w:rFonts w:ascii="Arial" w:hAnsi="Arial"/>
                <w:bCs/>
                <w:color w:val="auto"/>
                <w:sz w:val="24"/>
                <w:szCs w:val="24"/>
                <w:lang w:val="en-US"/>
              </w:rPr>
              <w:t xml:space="preserve"> </w:t>
            </w:r>
            <w:r w:rsidR="000517D9">
              <w:rPr>
                <w:rFonts w:ascii="Arial" w:hAnsi="Arial" w:cs="Arial"/>
                <w:bCs/>
                <w:color w:val="auto"/>
                <w:sz w:val="24"/>
                <w:szCs w:val="24"/>
                <w:lang w:val="en-US"/>
              </w:rPr>
              <w:t>Defendant</w:t>
            </w:r>
          </w:p>
          <w:p w14:paraId="78626C64" w14:textId="19F14DD0" w:rsidR="00D5791B" w:rsidRDefault="002031DC"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Erastus </w:t>
            </w:r>
            <w:proofErr w:type="spellStart"/>
            <w:r>
              <w:rPr>
                <w:rFonts w:ascii="Arial" w:hAnsi="Arial"/>
                <w:bCs/>
                <w:color w:val="auto"/>
                <w:sz w:val="24"/>
                <w:szCs w:val="24"/>
                <w:lang w:val="en-US"/>
              </w:rPr>
              <w:t>Hafeni</w:t>
            </w:r>
            <w:proofErr w:type="spellEnd"/>
            <w:r>
              <w:rPr>
                <w:rFonts w:ascii="Arial" w:hAnsi="Arial"/>
                <w:bCs/>
                <w:color w:val="auto"/>
                <w:sz w:val="24"/>
                <w:szCs w:val="24"/>
                <w:lang w:val="en-US"/>
              </w:rPr>
              <w:t xml:space="preserve"> </w:t>
            </w:r>
            <w:proofErr w:type="spellStart"/>
            <w:r>
              <w:rPr>
                <w:rFonts w:ascii="Arial" w:hAnsi="Arial"/>
                <w:bCs/>
                <w:color w:val="auto"/>
                <w:sz w:val="24"/>
                <w:szCs w:val="24"/>
                <w:lang w:val="en-US"/>
              </w:rPr>
              <w:t>Haitengela</w:t>
            </w:r>
            <w:proofErr w:type="spellEnd"/>
            <w:r>
              <w:rPr>
                <w:rFonts w:ascii="Arial" w:hAnsi="Arial"/>
                <w:bCs/>
                <w:color w:val="auto"/>
                <w:sz w:val="24"/>
                <w:szCs w:val="24"/>
                <w:lang w:val="en-US"/>
              </w:rPr>
              <w:t xml:space="preserve"> </w:t>
            </w:r>
            <w:r w:rsidR="0005042A">
              <w:rPr>
                <w:rFonts w:ascii="Arial" w:hAnsi="Arial"/>
                <w:bCs/>
                <w:color w:val="auto"/>
                <w:sz w:val="24"/>
                <w:szCs w:val="24"/>
                <w:lang w:val="en-US"/>
              </w:rPr>
              <w:t xml:space="preserve">                           </w:t>
            </w:r>
            <w:r w:rsidR="00D5791B">
              <w:rPr>
                <w:rFonts w:ascii="Arial" w:hAnsi="Arial"/>
                <w:bCs/>
                <w:color w:val="auto"/>
                <w:sz w:val="24"/>
                <w:szCs w:val="24"/>
                <w:lang w:val="en-US"/>
              </w:rPr>
              <w:t>2</w:t>
            </w:r>
            <w:r w:rsidR="00D5791B" w:rsidRPr="00D5791B">
              <w:rPr>
                <w:rFonts w:ascii="Arial" w:hAnsi="Arial"/>
                <w:bCs/>
                <w:color w:val="auto"/>
                <w:sz w:val="24"/>
                <w:szCs w:val="24"/>
                <w:vertAlign w:val="superscript"/>
                <w:lang w:val="en-US"/>
              </w:rPr>
              <w:t>nd</w:t>
            </w:r>
            <w:r w:rsidR="00D5791B">
              <w:rPr>
                <w:rFonts w:ascii="Arial" w:hAnsi="Arial"/>
                <w:bCs/>
                <w:color w:val="auto"/>
                <w:sz w:val="24"/>
                <w:szCs w:val="24"/>
                <w:lang w:val="en-US"/>
              </w:rPr>
              <w:t xml:space="preserve"> Defendant</w:t>
            </w:r>
          </w:p>
          <w:p w14:paraId="3A7B993E" w14:textId="52C30C79" w:rsidR="005163E0" w:rsidRPr="001D6B3F" w:rsidRDefault="002031DC" w:rsidP="007A6C9F">
            <w:pPr>
              <w:pStyle w:val="Body"/>
              <w:keepNext/>
              <w:tabs>
                <w:tab w:val="right" w:pos="9000"/>
              </w:tabs>
              <w:spacing w:line="360" w:lineRule="auto"/>
              <w:jc w:val="both"/>
              <w:outlineLvl w:val="3"/>
              <w:rPr>
                <w:rFonts w:ascii="Arial" w:hAnsi="Arial"/>
                <w:bCs/>
                <w:color w:val="auto"/>
                <w:sz w:val="24"/>
                <w:szCs w:val="24"/>
                <w:lang w:val="en-US"/>
              </w:rPr>
            </w:pPr>
            <w:proofErr w:type="spellStart"/>
            <w:r>
              <w:rPr>
                <w:rFonts w:ascii="Arial" w:hAnsi="Arial"/>
                <w:bCs/>
                <w:color w:val="auto"/>
                <w:sz w:val="24"/>
                <w:szCs w:val="24"/>
                <w:lang w:val="en-US"/>
              </w:rPr>
              <w:t>Roburst</w:t>
            </w:r>
            <w:proofErr w:type="spellEnd"/>
            <w:r>
              <w:rPr>
                <w:rFonts w:ascii="Arial" w:hAnsi="Arial"/>
                <w:bCs/>
                <w:color w:val="auto"/>
                <w:sz w:val="24"/>
                <w:szCs w:val="24"/>
                <w:lang w:val="en-US"/>
              </w:rPr>
              <w:t xml:space="preserve"> Investments Corporation (Pty) Ltd   </w:t>
            </w:r>
            <w:r w:rsidR="00DA6297">
              <w:rPr>
                <w:rFonts w:ascii="Arial" w:hAnsi="Arial"/>
                <w:bCs/>
                <w:color w:val="auto"/>
                <w:sz w:val="24"/>
                <w:szCs w:val="24"/>
                <w:lang w:val="en-US"/>
              </w:rPr>
              <w:t>3</w:t>
            </w:r>
            <w:r w:rsidR="00DA6297" w:rsidRPr="00DA6297">
              <w:rPr>
                <w:rFonts w:ascii="Arial" w:hAnsi="Arial"/>
                <w:bCs/>
                <w:color w:val="auto"/>
                <w:sz w:val="24"/>
                <w:szCs w:val="24"/>
                <w:vertAlign w:val="superscript"/>
                <w:lang w:val="en-US"/>
              </w:rPr>
              <w:t>rd</w:t>
            </w:r>
            <w:r w:rsidR="00DA6297">
              <w:rPr>
                <w:rFonts w:ascii="Arial" w:hAnsi="Arial"/>
                <w:bCs/>
                <w:color w:val="auto"/>
                <w:sz w:val="24"/>
                <w:szCs w:val="24"/>
                <w:lang w:val="en-US"/>
              </w:rPr>
              <w:t xml:space="preserve"> Defendant</w:t>
            </w:r>
          </w:p>
        </w:tc>
        <w:tc>
          <w:tcPr>
            <w:tcW w:w="4110"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1E583069" w:rsidR="009C2E53" w:rsidRPr="001D6B3F" w:rsidRDefault="000519A2" w:rsidP="007A6C9F">
            <w:pPr>
              <w:spacing w:line="360" w:lineRule="auto"/>
              <w:jc w:val="both"/>
              <w:rPr>
                <w:rFonts w:ascii="Arial" w:hAnsi="Arial" w:cs="Arial"/>
                <w:b/>
                <w:sz w:val="24"/>
                <w:szCs w:val="24"/>
              </w:rPr>
            </w:pPr>
            <w:r w:rsidRPr="001D6B3F">
              <w:rPr>
                <w:rFonts w:ascii="Arial" w:eastAsia="Arial" w:hAnsi="Arial" w:cs="Arial"/>
                <w:sz w:val="24"/>
                <w:szCs w:val="24"/>
                <w:lang w:val="en-US"/>
              </w:rPr>
              <w:t>HC-MD-CIV-</w:t>
            </w:r>
            <w:r w:rsidR="000517D9">
              <w:rPr>
                <w:rFonts w:ascii="Arial" w:eastAsia="Arial" w:hAnsi="Arial" w:cs="Arial"/>
                <w:sz w:val="24"/>
                <w:szCs w:val="24"/>
                <w:lang w:val="en-US"/>
              </w:rPr>
              <w:t>ACT</w:t>
            </w:r>
            <w:r w:rsidRPr="001D6B3F">
              <w:rPr>
                <w:rFonts w:ascii="Arial" w:eastAsia="Arial" w:hAnsi="Arial" w:cs="Arial"/>
                <w:sz w:val="24"/>
                <w:szCs w:val="24"/>
                <w:lang w:val="en-US"/>
              </w:rPr>
              <w:t>-</w:t>
            </w:r>
            <w:r w:rsidR="002031DC">
              <w:rPr>
                <w:rFonts w:ascii="Arial" w:eastAsia="Arial" w:hAnsi="Arial" w:cs="Arial"/>
                <w:sz w:val="24"/>
                <w:szCs w:val="24"/>
                <w:lang w:val="en-US"/>
              </w:rPr>
              <w:t>CON</w:t>
            </w:r>
            <w:r w:rsidRPr="001D6B3F">
              <w:rPr>
                <w:rFonts w:ascii="Arial" w:eastAsia="Arial" w:hAnsi="Arial" w:cs="Arial"/>
                <w:sz w:val="24"/>
                <w:szCs w:val="24"/>
                <w:lang w:val="en-US"/>
              </w:rPr>
              <w:t>-20</w:t>
            </w:r>
            <w:r w:rsidR="00DA6297">
              <w:rPr>
                <w:rFonts w:ascii="Arial" w:eastAsia="Arial" w:hAnsi="Arial" w:cs="Arial"/>
                <w:sz w:val="24"/>
                <w:szCs w:val="24"/>
                <w:lang w:val="en-US"/>
              </w:rPr>
              <w:t>2</w:t>
            </w:r>
            <w:r w:rsidR="002031DC">
              <w:rPr>
                <w:rFonts w:ascii="Arial" w:eastAsia="Arial" w:hAnsi="Arial" w:cs="Arial"/>
                <w:sz w:val="24"/>
                <w:szCs w:val="24"/>
                <w:lang w:val="en-US"/>
              </w:rPr>
              <w:t>2</w:t>
            </w:r>
            <w:r w:rsidRPr="001D6B3F">
              <w:rPr>
                <w:rFonts w:ascii="Arial" w:eastAsia="Arial" w:hAnsi="Arial" w:cs="Arial"/>
                <w:sz w:val="24"/>
                <w:szCs w:val="24"/>
                <w:lang w:val="en-US"/>
              </w:rPr>
              <w:t>/0</w:t>
            </w:r>
            <w:r w:rsidR="002031DC">
              <w:rPr>
                <w:rFonts w:ascii="Arial" w:eastAsia="Arial" w:hAnsi="Arial" w:cs="Arial"/>
                <w:sz w:val="24"/>
                <w:szCs w:val="24"/>
                <w:lang w:val="en-US"/>
              </w:rPr>
              <w:t>3235</w:t>
            </w:r>
          </w:p>
        </w:tc>
      </w:tr>
      <w:tr w:rsidR="001D6B3F" w:rsidRPr="001D6B3F" w14:paraId="60B08CD8" w14:textId="77777777" w:rsidTr="000517D9">
        <w:trPr>
          <w:trHeight w:val="794"/>
        </w:trPr>
        <w:tc>
          <w:tcPr>
            <w:tcW w:w="6366"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110"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77777777" w:rsidR="009C2E53" w:rsidRPr="001D6B3F" w:rsidRDefault="005C2B5B" w:rsidP="007A6C9F">
            <w:pPr>
              <w:spacing w:line="360" w:lineRule="auto"/>
              <w:jc w:val="both"/>
              <w:rPr>
                <w:rFonts w:ascii="Arial" w:hAnsi="Arial" w:cs="Arial"/>
                <w:sz w:val="24"/>
                <w:szCs w:val="24"/>
              </w:rPr>
            </w:pPr>
            <w:r w:rsidRPr="001D6B3F">
              <w:rPr>
                <w:rFonts w:ascii="Arial" w:hAnsi="Arial" w:cs="Arial"/>
                <w:sz w:val="24"/>
                <w:szCs w:val="24"/>
              </w:rPr>
              <w:t>High Court, Main Division</w:t>
            </w:r>
          </w:p>
        </w:tc>
      </w:tr>
      <w:tr w:rsidR="001D6B3F" w:rsidRPr="001D6B3F" w14:paraId="4F87EA28" w14:textId="77777777" w:rsidTr="000517D9">
        <w:trPr>
          <w:trHeight w:val="645"/>
        </w:trPr>
        <w:tc>
          <w:tcPr>
            <w:tcW w:w="6366"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4F81645B" w:rsidR="009C2E53" w:rsidRPr="001D6B3F" w:rsidRDefault="0005042A" w:rsidP="007A6C9F">
            <w:pPr>
              <w:spacing w:line="360" w:lineRule="auto"/>
              <w:jc w:val="both"/>
              <w:rPr>
                <w:rFonts w:ascii="Arial" w:hAnsi="Arial" w:cs="Arial"/>
                <w:sz w:val="24"/>
                <w:szCs w:val="24"/>
              </w:rPr>
            </w:pPr>
            <w:proofErr w:type="spellStart"/>
            <w:r w:rsidRPr="001D6B3F">
              <w:rPr>
                <w:rFonts w:ascii="Arial" w:hAnsi="Arial" w:cs="Arial"/>
                <w:sz w:val="24"/>
                <w:szCs w:val="24"/>
                <w:lang w:val="en-US"/>
              </w:rPr>
              <w:t>Honourable</w:t>
            </w:r>
            <w:proofErr w:type="spellEnd"/>
            <w:r w:rsidRPr="001D6B3F">
              <w:rPr>
                <w:rFonts w:ascii="Arial" w:hAnsi="Arial" w:cs="Arial"/>
                <w:sz w:val="24"/>
                <w:szCs w:val="24"/>
                <w:lang w:val="en-US"/>
              </w:rPr>
              <w:t xml:space="preserve"> Justice Coleman</w:t>
            </w:r>
          </w:p>
        </w:tc>
        <w:tc>
          <w:tcPr>
            <w:tcW w:w="4110" w:type="dxa"/>
          </w:tcPr>
          <w:p w14:paraId="6714132E" w14:textId="77777777" w:rsidR="009C2E53"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Heard</w:t>
            </w:r>
            <w:r w:rsidR="009C2E53" w:rsidRPr="001D6B3F">
              <w:rPr>
                <w:rFonts w:ascii="Arial" w:hAnsi="Arial" w:cs="Arial"/>
                <w:b/>
                <w:sz w:val="24"/>
                <w:szCs w:val="24"/>
              </w:rPr>
              <w:t>:</w:t>
            </w:r>
          </w:p>
          <w:p w14:paraId="0830B477" w14:textId="7822F70C" w:rsidR="009C2E53" w:rsidRPr="001D6B3F" w:rsidRDefault="00554726" w:rsidP="007A6C9F">
            <w:pPr>
              <w:spacing w:line="360" w:lineRule="auto"/>
              <w:rPr>
                <w:rFonts w:ascii="Arial" w:hAnsi="Arial" w:cs="Arial"/>
                <w:sz w:val="24"/>
                <w:szCs w:val="24"/>
              </w:rPr>
            </w:pPr>
            <w:r>
              <w:rPr>
                <w:rFonts w:ascii="Arial" w:hAnsi="Arial"/>
                <w:bCs/>
                <w:sz w:val="24"/>
                <w:szCs w:val="24"/>
                <w:lang w:val="en-US"/>
              </w:rPr>
              <w:t>2</w:t>
            </w:r>
            <w:r w:rsidR="00DA6297">
              <w:rPr>
                <w:rFonts w:ascii="Arial" w:hAnsi="Arial"/>
                <w:bCs/>
                <w:sz w:val="24"/>
                <w:szCs w:val="24"/>
                <w:lang w:val="en-US"/>
              </w:rPr>
              <w:t>1</w:t>
            </w:r>
            <w:r>
              <w:rPr>
                <w:rFonts w:ascii="Arial" w:hAnsi="Arial"/>
                <w:bCs/>
                <w:sz w:val="24"/>
                <w:szCs w:val="24"/>
                <w:lang w:val="en-US"/>
              </w:rPr>
              <w:t xml:space="preserve"> </w:t>
            </w:r>
            <w:r w:rsidR="00DA6297">
              <w:rPr>
                <w:rFonts w:ascii="Arial" w:hAnsi="Arial"/>
                <w:bCs/>
                <w:sz w:val="24"/>
                <w:szCs w:val="24"/>
                <w:lang w:val="en-US"/>
              </w:rPr>
              <w:t>July</w:t>
            </w:r>
            <w:r w:rsidR="000519A2" w:rsidRPr="001D6B3F">
              <w:rPr>
                <w:rFonts w:ascii="Arial" w:hAnsi="Arial"/>
                <w:bCs/>
                <w:sz w:val="24"/>
                <w:szCs w:val="24"/>
                <w:lang w:val="en-US"/>
              </w:rPr>
              <w:t xml:space="preserve"> </w:t>
            </w:r>
            <w:r w:rsidR="00827401" w:rsidRPr="001D6B3F">
              <w:rPr>
                <w:rFonts w:ascii="Arial" w:hAnsi="Arial"/>
                <w:bCs/>
                <w:sz w:val="24"/>
                <w:szCs w:val="24"/>
                <w:lang w:val="en-US"/>
              </w:rPr>
              <w:t>202</w:t>
            </w:r>
            <w:r>
              <w:rPr>
                <w:rFonts w:ascii="Arial" w:hAnsi="Arial"/>
                <w:bCs/>
                <w:sz w:val="24"/>
                <w:szCs w:val="24"/>
                <w:lang w:val="en-US"/>
              </w:rPr>
              <w:t>3</w:t>
            </w:r>
          </w:p>
        </w:tc>
      </w:tr>
      <w:tr w:rsidR="001D6B3F" w:rsidRPr="001D6B3F" w14:paraId="3DB3B0AC" w14:textId="77777777" w:rsidTr="000517D9">
        <w:trPr>
          <w:trHeight w:val="588"/>
        </w:trPr>
        <w:tc>
          <w:tcPr>
            <w:tcW w:w="6366"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110" w:type="dxa"/>
          </w:tcPr>
          <w:p w14:paraId="1FFFF7B5" w14:textId="6EAA7EE7" w:rsidR="00EF5666" w:rsidRPr="001D6B3F" w:rsidRDefault="0005042A" w:rsidP="007A6C9F">
            <w:pPr>
              <w:spacing w:line="360" w:lineRule="auto"/>
              <w:jc w:val="both"/>
              <w:rPr>
                <w:rFonts w:ascii="Arial" w:hAnsi="Arial" w:cs="Arial"/>
                <w:b/>
                <w:sz w:val="24"/>
                <w:szCs w:val="24"/>
              </w:rPr>
            </w:pPr>
            <w:r>
              <w:rPr>
                <w:rFonts w:ascii="Arial" w:hAnsi="Arial" w:cs="Arial"/>
                <w:b/>
                <w:sz w:val="24"/>
                <w:szCs w:val="24"/>
              </w:rPr>
              <w:t>Reasons</w:t>
            </w:r>
            <w:r w:rsidR="006A3ED5" w:rsidRPr="001D6B3F">
              <w:rPr>
                <w:rFonts w:ascii="Arial" w:hAnsi="Arial" w:cs="Arial"/>
                <w:b/>
                <w:sz w:val="24"/>
                <w:szCs w:val="24"/>
              </w:rPr>
              <w:t>:</w:t>
            </w:r>
          </w:p>
          <w:p w14:paraId="0A7821C1" w14:textId="0C5111F9" w:rsidR="00CC0F00" w:rsidRPr="001D6B3F" w:rsidRDefault="00DA6297" w:rsidP="007A6C9F">
            <w:pPr>
              <w:spacing w:line="360" w:lineRule="auto"/>
              <w:jc w:val="both"/>
              <w:rPr>
                <w:rFonts w:ascii="Arial" w:hAnsi="Arial"/>
                <w:bCs/>
                <w:sz w:val="24"/>
                <w:szCs w:val="24"/>
                <w:lang w:val="en-US"/>
              </w:rPr>
            </w:pPr>
            <w:r>
              <w:rPr>
                <w:rFonts w:ascii="Arial" w:hAnsi="Arial"/>
                <w:bCs/>
                <w:sz w:val="24"/>
                <w:szCs w:val="24"/>
                <w:lang w:val="en-US"/>
              </w:rPr>
              <w:t>10</w:t>
            </w:r>
            <w:r w:rsidR="00554726">
              <w:rPr>
                <w:rFonts w:ascii="Arial" w:hAnsi="Arial"/>
                <w:bCs/>
                <w:sz w:val="24"/>
                <w:szCs w:val="24"/>
                <w:lang w:val="en-US"/>
              </w:rPr>
              <w:t xml:space="preserve"> </w:t>
            </w:r>
            <w:r>
              <w:rPr>
                <w:rFonts w:ascii="Arial" w:hAnsi="Arial"/>
                <w:bCs/>
                <w:sz w:val="24"/>
                <w:szCs w:val="24"/>
                <w:lang w:val="en-US"/>
              </w:rPr>
              <w:t>August</w:t>
            </w:r>
            <w:r w:rsidR="005163E0">
              <w:rPr>
                <w:rFonts w:ascii="Arial" w:hAnsi="Arial"/>
                <w:bCs/>
                <w:sz w:val="24"/>
                <w:szCs w:val="24"/>
                <w:lang w:val="en-US"/>
              </w:rPr>
              <w:t xml:space="preserve"> 202</w:t>
            </w:r>
            <w:r w:rsidR="000517D9">
              <w:rPr>
                <w:rFonts w:ascii="Arial" w:hAnsi="Arial"/>
                <w:bCs/>
                <w:sz w:val="24"/>
                <w:szCs w:val="24"/>
                <w:lang w:val="en-US"/>
              </w:rPr>
              <w:t>3</w:t>
            </w:r>
          </w:p>
        </w:tc>
      </w:tr>
      <w:tr w:rsidR="001D6B3F" w:rsidRPr="001D6B3F" w14:paraId="1BD5D522" w14:textId="77777777" w:rsidTr="00004108">
        <w:trPr>
          <w:trHeight w:val="710"/>
        </w:trPr>
        <w:tc>
          <w:tcPr>
            <w:tcW w:w="10476" w:type="dxa"/>
            <w:gridSpan w:val="3"/>
          </w:tcPr>
          <w:p w14:paraId="318D7BDF" w14:textId="19A096C5" w:rsidR="009C2E53" w:rsidRPr="0005042A" w:rsidRDefault="0005042A" w:rsidP="001B4271">
            <w:pPr>
              <w:spacing w:line="360" w:lineRule="auto"/>
              <w:ind w:left="2160" w:hanging="2160"/>
              <w:jc w:val="both"/>
            </w:pPr>
            <w:r w:rsidRPr="001D6B3F">
              <w:rPr>
                <w:rFonts w:ascii="Arial" w:hAnsi="Arial" w:cs="Arial"/>
                <w:b/>
                <w:sz w:val="24"/>
                <w:szCs w:val="24"/>
              </w:rPr>
              <w:t>Neutral citation:</w:t>
            </w:r>
            <w:r>
              <w:rPr>
                <w:rFonts w:ascii="Arial" w:hAnsi="Arial" w:cs="Arial"/>
                <w:b/>
                <w:sz w:val="24"/>
                <w:szCs w:val="24"/>
              </w:rPr>
              <w:tab/>
            </w:r>
            <w:r w:rsidRPr="002031DC">
              <w:rPr>
                <w:rFonts w:ascii="Arial" w:hAnsi="Arial"/>
                <w:bCs/>
                <w:i/>
                <w:iCs/>
                <w:sz w:val="24"/>
                <w:szCs w:val="24"/>
                <w:lang w:val="en-US"/>
              </w:rPr>
              <w:t>First National Bank of Namibia Ltd</w:t>
            </w:r>
            <w:r w:rsidRPr="001D6B3F">
              <w:rPr>
                <w:rFonts w:ascii="Arial" w:hAnsi="Arial"/>
                <w:bCs/>
                <w:i/>
                <w:iCs/>
                <w:sz w:val="24"/>
                <w:szCs w:val="24"/>
                <w:lang w:val="en-US"/>
              </w:rPr>
              <w:t xml:space="preserve"> </w:t>
            </w:r>
            <w:r>
              <w:rPr>
                <w:rFonts w:ascii="Arial" w:hAnsi="Arial"/>
                <w:bCs/>
                <w:i/>
                <w:iCs/>
                <w:sz w:val="24"/>
                <w:szCs w:val="24"/>
                <w:lang w:val="en-US"/>
              </w:rPr>
              <w:t xml:space="preserve"> </w:t>
            </w:r>
            <w:r w:rsidRPr="001D6B3F">
              <w:rPr>
                <w:rFonts w:ascii="Arial" w:hAnsi="Arial"/>
                <w:bCs/>
                <w:i/>
                <w:iCs/>
                <w:sz w:val="24"/>
                <w:szCs w:val="24"/>
                <w:lang w:val="en-US"/>
              </w:rPr>
              <w:t xml:space="preserve">v </w:t>
            </w:r>
            <w:r w:rsidRPr="002031DC">
              <w:rPr>
                <w:rFonts w:ascii="Arial" w:hAnsi="Arial"/>
                <w:bCs/>
                <w:i/>
                <w:iCs/>
                <w:sz w:val="24"/>
                <w:szCs w:val="24"/>
                <w:lang w:val="en-US"/>
              </w:rPr>
              <w:t>Gunther Farming Enterprises (Pty) Ltd</w:t>
            </w:r>
            <w:r>
              <w:rPr>
                <w:rFonts w:ascii="Arial" w:hAnsi="Arial"/>
                <w:bCs/>
                <w:i/>
                <w:iCs/>
                <w:sz w:val="24"/>
                <w:szCs w:val="24"/>
                <w:lang w:val="en-US"/>
              </w:rPr>
              <w:t xml:space="preserve"> and others </w:t>
            </w:r>
            <w:r>
              <w:rPr>
                <w:rFonts w:ascii="Arial" w:hAnsi="Arial"/>
                <w:bCs/>
                <w:iCs/>
                <w:sz w:val="24"/>
                <w:szCs w:val="24"/>
                <w:lang w:val="en-US"/>
              </w:rPr>
              <w:t>(</w:t>
            </w:r>
            <w:r w:rsidRPr="001D6B3F">
              <w:rPr>
                <w:rFonts w:ascii="Arial" w:eastAsia="Arial" w:hAnsi="Arial" w:cs="Arial"/>
                <w:sz w:val="24"/>
                <w:szCs w:val="24"/>
                <w:lang w:val="en-US"/>
              </w:rPr>
              <w:t>HC-MD-CIV-</w:t>
            </w:r>
            <w:r>
              <w:rPr>
                <w:rFonts w:ascii="Arial" w:eastAsia="Arial" w:hAnsi="Arial" w:cs="Arial"/>
                <w:sz w:val="24"/>
                <w:szCs w:val="24"/>
                <w:lang w:val="en-US"/>
              </w:rPr>
              <w:t>ACT</w:t>
            </w:r>
            <w:r w:rsidRPr="001D6B3F">
              <w:rPr>
                <w:rFonts w:ascii="Arial" w:eastAsia="Arial" w:hAnsi="Arial" w:cs="Arial"/>
                <w:sz w:val="24"/>
                <w:szCs w:val="24"/>
                <w:lang w:val="en-US"/>
              </w:rPr>
              <w:t>-</w:t>
            </w:r>
            <w:r>
              <w:rPr>
                <w:rFonts w:ascii="Arial" w:eastAsia="Arial" w:hAnsi="Arial" w:cs="Arial"/>
                <w:sz w:val="24"/>
                <w:szCs w:val="24"/>
                <w:lang w:val="en-US"/>
              </w:rPr>
              <w:t>CON</w:t>
            </w:r>
            <w:r w:rsidRPr="001D6B3F">
              <w:rPr>
                <w:rFonts w:ascii="Arial" w:eastAsia="Arial" w:hAnsi="Arial" w:cs="Arial"/>
                <w:sz w:val="24"/>
                <w:szCs w:val="24"/>
                <w:lang w:val="en-US"/>
              </w:rPr>
              <w:t>-20</w:t>
            </w:r>
            <w:r>
              <w:rPr>
                <w:rFonts w:ascii="Arial" w:eastAsia="Arial" w:hAnsi="Arial" w:cs="Arial"/>
                <w:sz w:val="24"/>
                <w:szCs w:val="24"/>
                <w:lang w:val="en-US"/>
              </w:rPr>
              <w:t>22</w:t>
            </w:r>
            <w:r w:rsidRPr="001D6B3F">
              <w:rPr>
                <w:rFonts w:ascii="Arial" w:eastAsia="Arial" w:hAnsi="Arial" w:cs="Arial"/>
                <w:sz w:val="24"/>
                <w:szCs w:val="24"/>
                <w:lang w:val="en-US"/>
              </w:rPr>
              <w:t>/0</w:t>
            </w:r>
            <w:r>
              <w:rPr>
                <w:rFonts w:ascii="Arial" w:eastAsia="Arial" w:hAnsi="Arial" w:cs="Arial"/>
                <w:sz w:val="24"/>
                <w:szCs w:val="24"/>
                <w:lang w:val="en-US"/>
              </w:rPr>
              <w:t>3235</w:t>
            </w:r>
            <w:r w:rsidR="00CA0EB5">
              <w:rPr>
                <w:rFonts w:ascii="Arial" w:eastAsia="Arial" w:hAnsi="Arial" w:cs="Arial"/>
                <w:sz w:val="24"/>
                <w:szCs w:val="24"/>
                <w:lang w:val="en-US"/>
              </w:rPr>
              <w:t>)</w:t>
            </w:r>
            <w:bookmarkStart w:id="0" w:name="_GoBack"/>
            <w:bookmarkEnd w:id="0"/>
            <w:r>
              <w:rPr>
                <w:rFonts w:ascii="Arial" w:eastAsia="Arial" w:hAnsi="Arial" w:cs="Arial"/>
                <w:sz w:val="24"/>
                <w:szCs w:val="24"/>
                <w:lang w:val="en-US"/>
              </w:rPr>
              <w:t xml:space="preserve"> </w:t>
            </w:r>
            <w:r w:rsidRPr="001D6B3F">
              <w:rPr>
                <w:rFonts w:ascii="Arial" w:hAnsi="Arial"/>
                <w:bCs/>
                <w:iCs/>
                <w:sz w:val="24"/>
                <w:szCs w:val="24"/>
                <w:lang w:val="en-US"/>
              </w:rPr>
              <w:t>[202</w:t>
            </w:r>
            <w:r>
              <w:rPr>
                <w:rFonts w:ascii="Arial" w:hAnsi="Arial"/>
                <w:bCs/>
                <w:iCs/>
                <w:sz w:val="24"/>
                <w:szCs w:val="24"/>
                <w:lang w:val="en-US"/>
              </w:rPr>
              <w:t>3</w:t>
            </w:r>
            <w:r w:rsidRPr="001D6B3F">
              <w:rPr>
                <w:rFonts w:ascii="Arial" w:hAnsi="Arial"/>
                <w:bCs/>
                <w:iCs/>
                <w:sz w:val="24"/>
                <w:szCs w:val="24"/>
                <w:lang w:val="en-US"/>
              </w:rPr>
              <w:t xml:space="preserve">] NAHCMD </w:t>
            </w:r>
            <w:r w:rsidR="001B4271">
              <w:rPr>
                <w:rFonts w:ascii="Arial" w:hAnsi="Arial"/>
                <w:bCs/>
                <w:iCs/>
                <w:sz w:val="24"/>
                <w:szCs w:val="24"/>
                <w:lang w:val="en-US"/>
              </w:rPr>
              <w:t>494</w:t>
            </w:r>
            <w:r w:rsidRPr="001D6B3F">
              <w:rPr>
                <w:rFonts w:ascii="Arial" w:hAnsi="Arial"/>
                <w:bCs/>
                <w:iCs/>
                <w:sz w:val="24"/>
                <w:szCs w:val="24"/>
                <w:lang w:val="en-US"/>
              </w:rPr>
              <w:t xml:space="preserve"> (</w:t>
            </w:r>
            <w:r>
              <w:rPr>
                <w:rFonts w:ascii="Arial" w:hAnsi="Arial"/>
                <w:bCs/>
                <w:iCs/>
                <w:sz w:val="24"/>
                <w:szCs w:val="24"/>
                <w:lang w:val="en-US"/>
              </w:rPr>
              <w:t xml:space="preserve">10 August </w:t>
            </w:r>
            <w:r w:rsidRPr="001D6B3F">
              <w:rPr>
                <w:rFonts w:ascii="Arial" w:hAnsi="Arial"/>
                <w:bCs/>
                <w:iCs/>
                <w:sz w:val="24"/>
                <w:szCs w:val="24"/>
                <w:lang w:val="en-US"/>
              </w:rPr>
              <w:t>202</w:t>
            </w:r>
            <w:r>
              <w:rPr>
                <w:rFonts w:ascii="Arial" w:hAnsi="Arial"/>
                <w:bCs/>
                <w:iCs/>
                <w:sz w:val="24"/>
                <w:szCs w:val="24"/>
                <w:lang w:val="en-US"/>
              </w:rPr>
              <w:t>3</w:t>
            </w:r>
            <w:r w:rsidRPr="001D6B3F">
              <w:rPr>
                <w:rFonts w:ascii="Arial" w:hAnsi="Arial"/>
                <w:bCs/>
                <w:iCs/>
                <w:sz w:val="24"/>
                <w:szCs w:val="24"/>
                <w:lang w:val="en-US"/>
              </w:rPr>
              <w:t>)</w:t>
            </w:r>
          </w:p>
        </w:tc>
      </w:tr>
      <w:tr w:rsidR="001D6B3F" w:rsidRPr="001D6B3F" w14:paraId="542E1039" w14:textId="77777777" w:rsidTr="00004108">
        <w:tc>
          <w:tcPr>
            <w:tcW w:w="10476" w:type="dxa"/>
            <w:gridSpan w:val="3"/>
          </w:tcPr>
          <w:p w14:paraId="755E38E3" w14:textId="77777777" w:rsidR="009C2E53" w:rsidRPr="001D6B3F" w:rsidRDefault="002150D0" w:rsidP="007A6C9F">
            <w:pPr>
              <w:tabs>
                <w:tab w:val="left" w:pos="2100"/>
              </w:tabs>
              <w:spacing w:line="360" w:lineRule="auto"/>
              <w:jc w:val="both"/>
              <w:rPr>
                <w:rFonts w:ascii="Arial" w:hAnsi="Arial" w:cs="Arial"/>
                <w:b/>
                <w:sz w:val="24"/>
                <w:szCs w:val="24"/>
              </w:rPr>
            </w:pPr>
            <w:r w:rsidRPr="001D6B3F">
              <w:rPr>
                <w:rFonts w:ascii="Arial" w:hAnsi="Arial" w:cs="Arial"/>
                <w:b/>
                <w:sz w:val="24"/>
                <w:szCs w:val="24"/>
              </w:rPr>
              <w:t>O</w:t>
            </w:r>
            <w:r w:rsidR="009C2E53" w:rsidRPr="001D6B3F">
              <w:rPr>
                <w:rFonts w:ascii="Arial" w:hAnsi="Arial" w:cs="Arial"/>
                <w:b/>
                <w:sz w:val="24"/>
                <w:szCs w:val="24"/>
              </w:rPr>
              <w:t>rder:</w:t>
            </w:r>
            <w:r w:rsidR="0083558F" w:rsidRPr="001D6B3F">
              <w:rPr>
                <w:rFonts w:ascii="Arial" w:hAnsi="Arial" w:cs="Arial"/>
                <w:b/>
                <w:sz w:val="24"/>
                <w:szCs w:val="24"/>
              </w:rPr>
              <w:tab/>
            </w:r>
          </w:p>
          <w:p w14:paraId="164D5FFF" w14:textId="77777777" w:rsidR="002524E6" w:rsidRDefault="002524E6" w:rsidP="00DA6297">
            <w:pPr>
              <w:pBdr>
                <w:top w:val="nil"/>
                <w:left w:val="nil"/>
                <w:bottom w:val="nil"/>
                <w:right w:val="nil"/>
                <w:between w:val="nil"/>
                <w:bar w:val="nil"/>
              </w:pBdr>
              <w:spacing w:line="360" w:lineRule="auto"/>
              <w:jc w:val="both"/>
            </w:pPr>
          </w:p>
          <w:p w14:paraId="4DFD38BB" w14:textId="7B1BC2A8" w:rsidR="0056301B" w:rsidRDefault="0056301B" w:rsidP="0005042A">
            <w:pPr>
              <w:pStyle w:val="ListParagraph"/>
              <w:numPr>
                <w:ilvl w:val="0"/>
                <w:numId w:val="29"/>
              </w:numPr>
              <w:pBdr>
                <w:top w:val="nil"/>
                <w:left w:val="nil"/>
                <w:bottom w:val="nil"/>
                <w:right w:val="nil"/>
                <w:between w:val="nil"/>
                <w:bar w:val="nil"/>
              </w:pBdr>
              <w:spacing w:line="360" w:lineRule="auto"/>
              <w:ind w:left="1126" w:hanging="567"/>
              <w:jc w:val="both"/>
              <w:rPr>
                <w:rFonts w:ascii="Arial" w:hAnsi="Arial" w:cs="Arial"/>
                <w:sz w:val="24"/>
                <w:szCs w:val="24"/>
              </w:rPr>
            </w:pPr>
            <w:r w:rsidRPr="00F336D4">
              <w:rPr>
                <w:rFonts w:ascii="Arial" w:hAnsi="Arial" w:cs="Arial"/>
                <w:sz w:val="24"/>
                <w:szCs w:val="24"/>
              </w:rPr>
              <w:t xml:space="preserve">The </w:t>
            </w:r>
            <w:r>
              <w:rPr>
                <w:rFonts w:ascii="Arial" w:hAnsi="Arial" w:cs="Arial"/>
                <w:sz w:val="24"/>
                <w:szCs w:val="24"/>
              </w:rPr>
              <w:t xml:space="preserve">first, second and third </w:t>
            </w:r>
            <w:r w:rsidRPr="00F336D4">
              <w:rPr>
                <w:rFonts w:ascii="Arial" w:hAnsi="Arial" w:cs="Arial"/>
                <w:sz w:val="24"/>
                <w:szCs w:val="24"/>
              </w:rPr>
              <w:t>defendants are order</w:t>
            </w:r>
            <w:r w:rsidR="0005042A">
              <w:rPr>
                <w:rFonts w:ascii="Arial" w:hAnsi="Arial" w:cs="Arial"/>
                <w:sz w:val="24"/>
                <w:szCs w:val="24"/>
              </w:rPr>
              <w:t>ed to pay the plaintiff N$</w:t>
            </w:r>
            <w:r>
              <w:rPr>
                <w:rFonts w:ascii="Arial" w:hAnsi="Arial" w:cs="Arial"/>
                <w:sz w:val="24"/>
                <w:szCs w:val="24"/>
              </w:rPr>
              <w:t>10 083 643</w:t>
            </w:r>
            <w:proofErr w:type="gramStart"/>
            <w:r>
              <w:rPr>
                <w:rFonts w:ascii="Arial" w:hAnsi="Arial" w:cs="Arial"/>
                <w:sz w:val="24"/>
                <w:szCs w:val="24"/>
              </w:rPr>
              <w:t>,95</w:t>
            </w:r>
            <w:proofErr w:type="gramEnd"/>
            <w:r>
              <w:rPr>
                <w:rFonts w:ascii="Arial" w:hAnsi="Arial" w:cs="Arial"/>
                <w:sz w:val="24"/>
                <w:szCs w:val="24"/>
              </w:rPr>
              <w:t>, jointly and severally, the one paying the other to be absolved.</w:t>
            </w:r>
          </w:p>
          <w:p w14:paraId="2CB3739C" w14:textId="77777777" w:rsidR="0005042A" w:rsidRDefault="0005042A" w:rsidP="0005042A">
            <w:pPr>
              <w:pStyle w:val="ListParagraph"/>
              <w:pBdr>
                <w:top w:val="nil"/>
                <w:left w:val="nil"/>
                <w:bottom w:val="nil"/>
                <w:right w:val="nil"/>
                <w:between w:val="nil"/>
                <w:bar w:val="nil"/>
              </w:pBdr>
              <w:spacing w:line="360" w:lineRule="auto"/>
              <w:ind w:left="1126" w:hanging="567"/>
              <w:jc w:val="both"/>
              <w:rPr>
                <w:rFonts w:ascii="Arial" w:hAnsi="Arial" w:cs="Arial"/>
                <w:sz w:val="24"/>
                <w:szCs w:val="24"/>
              </w:rPr>
            </w:pPr>
          </w:p>
          <w:p w14:paraId="06764C3B" w14:textId="3CE9D503" w:rsidR="0056301B" w:rsidRDefault="0056301B" w:rsidP="0005042A">
            <w:pPr>
              <w:pStyle w:val="ListParagraph"/>
              <w:numPr>
                <w:ilvl w:val="0"/>
                <w:numId w:val="29"/>
              </w:numPr>
              <w:pBdr>
                <w:top w:val="nil"/>
                <w:left w:val="nil"/>
                <w:bottom w:val="nil"/>
                <w:right w:val="nil"/>
                <w:between w:val="nil"/>
                <w:bar w:val="nil"/>
              </w:pBdr>
              <w:spacing w:line="360" w:lineRule="auto"/>
              <w:ind w:left="1126" w:hanging="567"/>
              <w:jc w:val="both"/>
              <w:rPr>
                <w:rFonts w:ascii="Arial" w:hAnsi="Arial" w:cs="Arial"/>
                <w:sz w:val="24"/>
                <w:szCs w:val="24"/>
              </w:rPr>
            </w:pPr>
            <w:r>
              <w:rPr>
                <w:rFonts w:ascii="Arial" w:hAnsi="Arial" w:cs="Arial"/>
                <w:sz w:val="24"/>
                <w:szCs w:val="24"/>
              </w:rPr>
              <w:t xml:space="preserve">Interest is payable on the above amount at plaintiff’s applicable rate </w:t>
            </w:r>
            <w:r w:rsidR="0005042A">
              <w:rPr>
                <w:rFonts w:ascii="Arial" w:hAnsi="Arial" w:cs="Arial"/>
                <w:sz w:val="24"/>
                <w:szCs w:val="24"/>
              </w:rPr>
              <w:t>from time to time, currently 11,75 per cent</w:t>
            </w:r>
            <w:r>
              <w:rPr>
                <w:rFonts w:ascii="Arial" w:hAnsi="Arial" w:cs="Arial"/>
                <w:sz w:val="24"/>
                <w:szCs w:val="24"/>
              </w:rPr>
              <w:t xml:space="preserve"> (prime rate of 10</w:t>
            </w:r>
            <w:r w:rsidR="00841CEC">
              <w:rPr>
                <w:rFonts w:ascii="Arial" w:hAnsi="Arial" w:cs="Arial"/>
                <w:sz w:val="24"/>
                <w:szCs w:val="24"/>
              </w:rPr>
              <w:t>,75 per cent</w:t>
            </w:r>
            <w:r w:rsidR="0005042A">
              <w:rPr>
                <w:rFonts w:ascii="Arial" w:hAnsi="Arial" w:cs="Arial"/>
                <w:sz w:val="24"/>
                <w:szCs w:val="24"/>
              </w:rPr>
              <w:t xml:space="preserve"> plus 1,</w:t>
            </w:r>
            <w:r w:rsidR="00841CEC">
              <w:rPr>
                <w:rFonts w:ascii="Arial" w:hAnsi="Arial" w:cs="Arial"/>
                <w:sz w:val="24"/>
                <w:szCs w:val="24"/>
              </w:rPr>
              <w:t>00 per cent</w:t>
            </w:r>
            <w:r>
              <w:rPr>
                <w:rFonts w:ascii="Arial" w:hAnsi="Arial" w:cs="Arial"/>
                <w:sz w:val="24"/>
                <w:szCs w:val="24"/>
              </w:rPr>
              <w:t>) per year as from 16 January 2022 until date of payment, calculated on the daily balance and compounded monthly in arrears.</w:t>
            </w:r>
          </w:p>
          <w:p w14:paraId="6D9949DC" w14:textId="77777777" w:rsidR="0005042A" w:rsidRDefault="0005042A" w:rsidP="0005042A">
            <w:pPr>
              <w:pStyle w:val="ListParagraph"/>
              <w:pBdr>
                <w:top w:val="nil"/>
                <w:left w:val="nil"/>
                <w:bottom w:val="nil"/>
                <w:right w:val="nil"/>
                <w:between w:val="nil"/>
                <w:bar w:val="nil"/>
              </w:pBdr>
              <w:spacing w:line="360" w:lineRule="auto"/>
              <w:ind w:left="400"/>
              <w:jc w:val="both"/>
              <w:rPr>
                <w:rFonts w:ascii="Arial" w:hAnsi="Arial" w:cs="Arial"/>
                <w:sz w:val="24"/>
                <w:szCs w:val="24"/>
              </w:rPr>
            </w:pPr>
          </w:p>
          <w:p w14:paraId="0357354D" w14:textId="6DF3E39F" w:rsidR="0056301B" w:rsidRDefault="0056301B" w:rsidP="0005042A">
            <w:pPr>
              <w:pStyle w:val="ListParagraph"/>
              <w:numPr>
                <w:ilvl w:val="0"/>
                <w:numId w:val="29"/>
              </w:numPr>
              <w:pBdr>
                <w:top w:val="nil"/>
                <w:left w:val="nil"/>
                <w:bottom w:val="nil"/>
                <w:right w:val="nil"/>
                <w:between w:val="nil"/>
                <w:bar w:val="nil"/>
              </w:pBdr>
              <w:spacing w:line="360" w:lineRule="auto"/>
              <w:ind w:left="1126" w:hanging="567"/>
              <w:jc w:val="both"/>
              <w:rPr>
                <w:rFonts w:ascii="Arial" w:hAnsi="Arial" w:cs="Arial"/>
                <w:sz w:val="24"/>
                <w:szCs w:val="24"/>
              </w:rPr>
            </w:pPr>
            <w:r>
              <w:rPr>
                <w:rFonts w:ascii="Arial" w:hAnsi="Arial" w:cs="Arial"/>
                <w:sz w:val="24"/>
                <w:szCs w:val="24"/>
              </w:rPr>
              <w:t xml:space="preserve">The following immovable properties are declared </w:t>
            </w:r>
            <w:r w:rsidR="0005042A">
              <w:rPr>
                <w:rFonts w:ascii="Arial" w:hAnsi="Arial" w:cs="Arial"/>
                <w:sz w:val="24"/>
                <w:szCs w:val="24"/>
              </w:rPr>
              <w:t xml:space="preserve">specially </w:t>
            </w:r>
            <w:r>
              <w:rPr>
                <w:rFonts w:ascii="Arial" w:hAnsi="Arial" w:cs="Arial"/>
                <w:sz w:val="24"/>
                <w:szCs w:val="24"/>
              </w:rPr>
              <w:t>executable</w:t>
            </w:r>
            <w:r w:rsidR="0005042A">
              <w:rPr>
                <w:rFonts w:ascii="Arial" w:hAnsi="Arial" w:cs="Arial"/>
                <w:sz w:val="24"/>
                <w:szCs w:val="24"/>
              </w:rPr>
              <w:t>, to wit</w:t>
            </w:r>
            <w:r>
              <w:rPr>
                <w:rFonts w:ascii="Arial" w:hAnsi="Arial" w:cs="Arial"/>
                <w:sz w:val="24"/>
                <w:szCs w:val="24"/>
              </w:rPr>
              <w:t>:</w:t>
            </w:r>
          </w:p>
          <w:p w14:paraId="7B66F6B8" w14:textId="77777777" w:rsidR="0005042A" w:rsidRDefault="0005042A" w:rsidP="0005042A">
            <w:pPr>
              <w:pStyle w:val="ListParagraph"/>
              <w:pBdr>
                <w:top w:val="nil"/>
                <w:left w:val="nil"/>
                <w:bottom w:val="nil"/>
                <w:right w:val="nil"/>
                <w:between w:val="nil"/>
                <w:bar w:val="nil"/>
              </w:pBdr>
              <w:spacing w:line="360" w:lineRule="auto"/>
              <w:ind w:left="400"/>
              <w:jc w:val="both"/>
              <w:rPr>
                <w:rFonts w:ascii="Arial" w:hAnsi="Arial" w:cs="Arial"/>
                <w:sz w:val="24"/>
                <w:szCs w:val="24"/>
              </w:rPr>
            </w:pPr>
          </w:p>
          <w:p w14:paraId="026CE0B9" w14:textId="1C65E71D" w:rsidR="0005042A" w:rsidRPr="00841CEC" w:rsidRDefault="00841CEC" w:rsidP="0008168A">
            <w:pPr>
              <w:spacing w:line="360" w:lineRule="auto"/>
              <w:ind w:left="1126"/>
              <w:jc w:val="both"/>
              <w:rPr>
                <w:rFonts w:ascii="Arial" w:hAnsi="Arial" w:cs="Arial"/>
                <w:sz w:val="24"/>
                <w:szCs w:val="24"/>
                <w:lang w:val="en-US"/>
              </w:rPr>
            </w:pPr>
            <w:r>
              <w:rPr>
                <w:rFonts w:ascii="Arial" w:hAnsi="Arial" w:cs="Arial"/>
                <w:sz w:val="24"/>
                <w:szCs w:val="24"/>
                <w:lang w:val="en-US"/>
              </w:rPr>
              <w:t>CERTAIN: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r w:rsidR="0005042A" w:rsidRPr="00841CEC">
              <w:rPr>
                <w:rFonts w:ascii="Arial" w:hAnsi="Arial" w:cs="Arial"/>
                <w:sz w:val="24"/>
                <w:szCs w:val="24"/>
              </w:rPr>
              <w:t>Remaining Extent of the farm BUBUS No. 213</w:t>
            </w:r>
          </w:p>
          <w:p w14:paraId="25F5BCE0" w14:textId="45EAA0B2" w:rsidR="0005042A" w:rsidRPr="00841CEC" w:rsidRDefault="0005042A" w:rsidP="0008168A">
            <w:pPr>
              <w:spacing w:line="360" w:lineRule="auto"/>
              <w:ind w:left="1126"/>
              <w:jc w:val="both"/>
              <w:rPr>
                <w:rFonts w:ascii="Arial" w:hAnsi="Arial" w:cs="Arial"/>
                <w:sz w:val="24"/>
                <w:szCs w:val="24"/>
                <w:lang w:val="en-US"/>
              </w:rPr>
            </w:pPr>
            <w:r w:rsidRPr="00841CEC">
              <w:rPr>
                <w:rFonts w:ascii="Arial" w:hAnsi="Arial" w:cs="Arial"/>
                <w:sz w:val="24"/>
                <w:szCs w:val="24"/>
                <w:lang w:val="en-US"/>
              </w:rPr>
              <w:t>REGISTRATION DIVISION:</w:t>
            </w:r>
            <w:r w:rsidRPr="00841CEC">
              <w:rPr>
                <w:rFonts w:ascii="Arial" w:hAnsi="Arial" w:cs="Arial"/>
                <w:sz w:val="24"/>
                <w:szCs w:val="24"/>
                <w:lang w:val="en-US"/>
              </w:rPr>
              <w:tab/>
            </w:r>
            <w:r w:rsidR="0008168A" w:rsidRPr="00841CEC">
              <w:rPr>
                <w:rFonts w:ascii="Arial" w:hAnsi="Arial" w:cs="Arial"/>
                <w:sz w:val="24"/>
                <w:szCs w:val="24"/>
                <w:lang w:val="en-US"/>
              </w:rPr>
              <w:t xml:space="preserve">         </w:t>
            </w:r>
            <w:r w:rsidRPr="00841CEC">
              <w:rPr>
                <w:rFonts w:ascii="Arial" w:hAnsi="Arial" w:cs="Arial"/>
                <w:sz w:val="24"/>
                <w:szCs w:val="24"/>
              </w:rPr>
              <w:t xml:space="preserve">“B”, </w:t>
            </w:r>
            <w:proofErr w:type="spellStart"/>
            <w:r w:rsidRPr="00841CEC">
              <w:rPr>
                <w:rFonts w:ascii="Arial" w:hAnsi="Arial" w:cs="Arial"/>
                <w:sz w:val="24"/>
                <w:szCs w:val="24"/>
              </w:rPr>
              <w:t>Otjozondjupa</w:t>
            </w:r>
            <w:proofErr w:type="spellEnd"/>
            <w:r w:rsidRPr="00841CEC">
              <w:rPr>
                <w:rFonts w:ascii="Arial" w:hAnsi="Arial" w:cs="Arial"/>
                <w:sz w:val="24"/>
                <w:szCs w:val="24"/>
              </w:rPr>
              <w:t xml:space="preserve"> Region</w:t>
            </w:r>
          </w:p>
          <w:p w14:paraId="5F5BA289" w14:textId="407C1DC6" w:rsidR="0005042A" w:rsidRPr="00841CEC" w:rsidRDefault="0005042A" w:rsidP="0008168A">
            <w:pPr>
              <w:spacing w:line="360" w:lineRule="auto"/>
              <w:ind w:left="1126"/>
              <w:jc w:val="both"/>
              <w:rPr>
                <w:rFonts w:ascii="Arial" w:hAnsi="Arial" w:cs="Arial"/>
                <w:sz w:val="24"/>
                <w:szCs w:val="24"/>
                <w:lang w:val="en-US"/>
              </w:rPr>
            </w:pPr>
            <w:r w:rsidRPr="00841CEC">
              <w:rPr>
                <w:rFonts w:ascii="Arial" w:hAnsi="Arial" w:cs="Arial"/>
                <w:sz w:val="24"/>
                <w:szCs w:val="24"/>
                <w:lang w:val="en-US"/>
              </w:rPr>
              <w:t>MEASURING:</w:t>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lang w:val="en-US"/>
              </w:rPr>
              <w:tab/>
            </w:r>
            <w:r w:rsidR="0008168A" w:rsidRPr="00841CEC">
              <w:rPr>
                <w:rFonts w:ascii="Arial" w:hAnsi="Arial" w:cs="Arial"/>
                <w:sz w:val="24"/>
                <w:szCs w:val="24"/>
                <w:lang w:val="en-US"/>
              </w:rPr>
              <w:t xml:space="preserve">         </w:t>
            </w:r>
            <w:r w:rsidRPr="00841CEC">
              <w:rPr>
                <w:rFonts w:ascii="Arial" w:hAnsi="Arial" w:cs="Arial"/>
                <w:sz w:val="24"/>
                <w:szCs w:val="24"/>
              </w:rPr>
              <w:t xml:space="preserve">3061,8848 </w:t>
            </w:r>
            <w:r w:rsidR="00841CEC">
              <w:rPr>
                <w:rFonts w:ascii="Arial" w:hAnsi="Arial" w:cs="Arial"/>
                <w:sz w:val="24"/>
                <w:szCs w:val="24"/>
              </w:rPr>
              <w:t xml:space="preserve"> </w:t>
            </w:r>
            <w:r w:rsidRPr="00841CEC">
              <w:rPr>
                <w:rFonts w:ascii="Arial" w:hAnsi="Arial" w:cs="Arial"/>
                <w:sz w:val="24"/>
                <w:szCs w:val="24"/>
              </w:rPr>
              <w:t>Hectares</w:t>
            </w:r>
          </w:p>
          <w:p w14:paraId="59774559" w14:textId="77777777" w:rsidR="0005042A" w:rsidRPr="00841CEC" w:rsidRDefault="0005042A" w:rsidP="0008168A">
            <w:pPr>
              <w:spacing w:line="360" w:lineRule="auto"/>
              <w:ind w:left="1126"/>
              <w:jc w:val="both"/>
              <w:rPr>
                <w:rFonts w:ascii="Arial" w:hAnsi="Arial" w:cs="Arial"/>
                <w:sz w:val="24"/>
                <w:szCs w:val="24"/>
                <w:lang w:val="en-US"/>
              </w:rPr>
            </w:pPr>
            <w:r w:rsidRPr="00841CEC">
              <w:rPr>
                <w:rFonts w:ascii="Arial" w:hAnsi="Arial" w:cs="Arial"/>
                <w:sz w:val="24"/>
                <w:szCs w:val="24"/>
                <w:lang w:val="en-US"/>
              </w:rPr>
              <w:t>HELD BY:</w:t>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rPr>
              <w:t>Deed of Transfer No. T95/2005</w:t>
            </w:r>
          </w:p>
          <w:p w14:paraId="209A4C26" w14:textId="20511C25" w:rsidR="0005042A" w:rsidRPr="00841CEC" w:rsidRDefault="0005042A" w:rsidP="0008168A">
            <w:pPr>
              <w:spacing w:line="360" w:lineRule="auto"/>
              <w:ind w:left="1126"/>
              <w:jc w:val="both"/>
              <w:rPr>
                <w:rFonts w:ascii="Arial" w:hAnsi="Arial" w:cs="Arial"/>
                <w:sz w:val="24"/>
                <w:szCs w:val="24"/>
                <w:lang w:val="en-US"/>
              </w:rPr>
            </w:pPr>
            <w:r w:rsidRPr="00841CEC">
              <w:rPr>
                <w:rFonts w:ascii="Arial" w:hAnsi="Arial" w:cs="Arial"/>
                <w:sz w:val="24"/>
                <w:szCs w:val="24"/>
                <w:lang w:val="en-US"/>
              </w:rPr>
              <w:t>SUBJECT TO THE CONDITIONS CONTAINED THEREIN.</w:t>
            </w:r>
          </w:p>
          <w:p w14:paraId="5A680001" w14:textId="77777777" w:rsidR="0005042A" w:rsidRDefault="0005042A" w:rsidP="0008168A">
            <w:pPr>
              <w:spacing w:line="360" w:lineRule="auto"/>
              <w:ind w:left="1126"/>
              <w:jc w:val="both"/>
              <w:rPr>
                <w:rFonts w:ascii="Arial" w:hAnsi="Arial" w:cs="Arial"/>
                <w:b/>
                <w:sz w:val="24"/>
                <w:szCs w:val="24"/>
                <w:lang w:val="en-US"/>
              </w:rPr>
            </w:pPr>
          </w:p>
          <w:p w14:paraId="62D51B06" w14:textId="54EDD51B" w:rsidR="0005042A" w:rsidRPr="00841CEC" w:rsidRDefault="0005042A" w:rsidP="0008168A">
            <w:pPr>
              <w:spacing w:line="360" w:lineRule="auto"/>
              <w:ind w:left="1126"/>
              <w:jc w:val="both"/>
              <w:rPr>
                <w:rFonts w:ascii="Arial" w:hAnsi="Arial" w:cs="Arial"/>
                <w:sz w:val="24"/>
                <w:szCs w:val="24"/>
                <w:lang w:val="en-US"/>
              </w:rPr>
            </w:pPr>
            <w:r w:rsidRPr="00841CEC">
              <w:rPr>
                <w:rFonts w:ascii="Arial" w:hAnsi="Arial" w:cs="Arial"/>
                <w:sz w:val="24"/>
                <w:szCs w:val="24"/>
                <w:lang w:val="en-US"/>
              </w:rPr>
              <w:t>CERTAIN:</w:t>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rPr>
              <w:t>Farm OMBUJOM</w:t>
            </w:r>
            <w:r w:rsidR="00841CEC">
              <w:rPr>
                <w:rFonts w:ascii="Arial" w:hAnsi="Arial" w:cs="Arial"/>
                <w:sz w:val="24"/>
                <w:szCs w:val="24"/>
              </w:rPr>
              <w:t>B</w:t>
            </w:r>
            <w:r w:rsidRPr="00841CEC">
              <w:rPr>
                <w:rFonts w:ascii="Arial" w:hAnsi="Arial" w:cs="Arial"/>
                <w:sz w:val="24"/>
                <w:szCs w:val="24"/>
              </w:rPr>
              <w:t>AERE NORD No. 6</w:t>
            </w:r>
          </w:p>
          <w:p w14:paraId="247AAE44" w14:textId="59DBB104" w:rsidR="0005042A" w:rsidRPr="00841CEC" w:rsidRDefault="0005042A" w:rsidP="0008168A">
            <w:pPr>
              <w:spacing w:line="360" w:lineRule="auto"/>
              <w:ind w:left="1126"/>
              <w:jc w:val="both"/>
              <w:rPr>
                <w:rFonts w:ascii="Arial" w:hAnsi="Arial" w:cs="Arial"/>
                <w:sz w:val="24"/>
                <w:szCs w:val="24"/>
                <w:lang w:val="en-US"/>
              </w:rPr>
            </w:pPr>
            <w:r w:rsidRPr="00841CEC">
              <w:rPr>
                <w:rFonts w:ascii="Arial" w:hAnsi="Arial" w:cs="Arial"/>
                <w:sz w:val="24"/>
                <w:szCs w:val="24"/>
                <w:lang w:val="en-US"/>
              </w:rPr>
              <w:t>REGISTRATION DIVISION:</w:t>
            </w:r>
            <w:r w:rsidRPr="00841CEC">
              <w:rPr>
                <w:rFonts w:ascii="Arial" w:hAnsi="Arial" w:cs="Arial"/>
                <w:sz w:val="24"/>
                <w:szCs w:val="24"/>
                <w:lang w:val="en-US"/>
              </w:rPr>
              <w:tab/>
            </w:r>
            <w:r w:rsidR="0008168A" w:rsidRPr="00841CEC">
              <w:rPr>
                <w:rFonts w:ascii="Arial" w:hAnsi="Arial" w:cs="Arial"/>
                <w:sz w:val="24"/>
                <w:szCs w:val="24"/>
                <w:lang w:val="en-US"/>
              </w:rPr>
              <w:t xml:space="preserve">         </w:t>
            </w:r>
            <w:r w:rsidRPr="00841CEC">
              <w:rPr>
                <w:rFonts w:ascii="Arial" w:hAnsi="Arial" w:cs="Arial"/>
                <w:sz w:val="24"/>
                <w:szCs w:val="24"/>
              </w:rPr>
              <w:t xml:space="preserve">“H”, </w:t>
            </w:r>
            <w:proofErr w:type="spellStart"/>
            <w:r w:rsidRPr="00841CEC">
              <w:rPr>
                <w:rFonts w:ascii="Arial" w:hAnsi="Arial" w:cs="Arial"/>
                <w:sz w:val="24"/>
                <w:szCs w:val="24"/>
              </w:rPr>
              <w:t>Erongo</w:t>
            </w:r>
            <w:proofErr w:type="spellEnd"/>
            <w:r w:rsidRPr="00841CEC">
              <w:rPr>
                <w:rFonts w:ascii="Arial" w:hAnsi="Arial" w:cs="Arial"/>
                <w:sz w:val="24"/>
                <w:szCs w:val="24"/>
              </w:rPr>
              <w:t xml:space="preserve"> Region</w:t>
            </w:r>
          </w:p>
          <w:p w14:paraId="117C2E90" w14:textId="5C22DCC3" w:rsidR="0005042A" w:rsidRPr="00841CEC" w:rsidRDefault="0005042A" w:rsidP="0008168A">
            <w:pPr>
              <w:spacing w:line="360" w:lineRule="auto"/>
              <w:ind w:left="1126"/>
              <w:jc w:val="both"/>
              <w:rPr>
                <w:rFonts w:ascii="Arial" w:hAnsi="Arial" w:cs="Arial"/>
                <w:sz w:val="24"/>
                <w:szCs w:val="24"/>
                <w:lang w:val="en-US"/>
              </w:rPr>
            </w:pPr>
            <w:r w:rsidRPr="00841CEC">
              <w:rPr>
                <w:rFonts w:ascii="Arial" w:hAnsi="Arial" w:cs="Arial"/>
                <w:sz w:val="24"/>
                <w:szCs w:val="24"/>
                <w:lang w:val="en-US"/>
              </w:rPr>
              <w:t>MEASURING:</w:t>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lang w:val="en-US"/>
              </w:rPr>
              <w:tab/>
            </w:r>
            <w:r w:rsidR="0008168A" w:rsidRPr="00841CEC">
              <w:rPr>
                <w:rFonts w:ascii="Arial" w:hAnsi="Arial" w:cs="Arial"/>
                <w:sz w:val="24"/>
                <w:szCs w:val="24"/>
                <w:lang w:val="en-US"/>
              </w:rPr>
              <w:t xml:space="preserve">         </w:t>
            </w:r>
            <w:r w:rsidRPr="00841CEC">
              <w:rPr>
                <w:rFonts w:ascii="Arial" w:hAnsi="Arial" w:cs="Arial"/>
                <w:sz w:val="24"/>
                <w:szCs w:val="24"/>
              </w:rPr>
              <w:t>5031,1137 Hectares</w:t>
            </w:r>
          </w:p>
          <w:p w14:paraId="64130534" w14:textId="77777777" w:rsidR="0005042A" w:rsidRPr="00841CEC" w:rsidRDefault="0005042A" w:rsidP="0008168A">
            <w:pPr>
              <w:spacing w:line="360" w:lineRule="auto"/>
              <w:ind w:left="1126"/>
              <w:jc w:val="both"/>
              <w:rPr>
                <w:rFonts w:ascii="Arial" w:hAnsi="Arial" w:cs="Arial"/>
                <w:sz w:val="24"/>
                <w:szCs w:val="24"/>
                <w:lang w:val="en-US"/>
              </w:rPr>
            </w:pPr>
            <w:r w:rsidRPr="00841CEC">
              <w:rPr>
                <w:rFonts w:ascii="Arial" w:hAnsi="Arial" w:cs="Arial"/>
                <w:sz w:val="24"/>
                <w:szCs w:val="24"/>
                <w:lang w:val="en-US"/>
              </w:rPr>
              <w:t>HELD BY:</w:t>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lang w:val="en-US"/>
              </w:rPr>
              <w:tab/>
            </w:r>
            <w:r w:rsidRPr="00841CEC">
              <w:rPr>
                <w:rFonts w:ascii="Arial" w:hAnsi="Arial" w:cs="Arial"/>
                <w:sz w:val="24"/>
                <w:szCs w:val="24"/>
              </w:rPr>
              <w:t>Deed of Transfer No. T4423/1995</w:t>
            </w:r>
          </w:p>
          <w:p w14:paraId="48BB9340" w14:textId="77777777" w:rsidR="0005042A" w:rsidRPr="00841CEC" w:rsidRDefault="0005042A" w:rsidP="0008168A">
            <w:pPr>
              <w:spacing w:line="360" w:lineRule="auto"/>
              <w:ind w:left="1126"/>
              <w:jc w:val="both"/>
              <w:rPr>
                <w:lang w:val="en-US"/>
              </w:rPr>
            </w:pPr>
            <w:r w:rsidRPr="00841CEC">
              <w:rPr>
                <w:rFonts w:ascii="Arial" w:hAnsi="Arial" w:cs="Arial"/>
                <w:sz w:val="24"/>
                <w:szCs w:val="24"/>
                <w:lang w:val="en-US"/>
              </w:rPr>
              <w:t>SUBJECT TO THE CONDITIONS CONTAINED THEREIN.</w:t>
            </w:r>
          </w:p>
          <w:p w14:paraId="4F4E15AE" w14:textId="77777777" w:rsidR="0005042A" w:rsidRDefault="0005042A" w:rsidP="0056301B">
            <w:pPr>
              <w:pStyle w:val="ListParagraph"/>
              <w:pBdr>
                <w:top w:val="nil"/>
                <w:left w:val="nil"/>
                <w:bottom w:val="nil"/>
                <w:right w:val="nil"/>
                <w:between w:val="nil"/>
                <w:bar w:val="nil"/>
              </w:pBdr>
              <w:spacing w:line="360" w:lineRule="auto"/>
              <w:ind w:left="1120"/>
              <w:jc w:val="both"/>
              <w:rPr>
                <w:rFonts w:ascii="Arial" w:hAnsi="Arial" w:cs="Arial"/>
                <w:sz w:val="24"/>
                <w:szCs w:val="24"/>
              </w:rPr>
            </w:pPr>
          </w:p>
          <w:p w14:paraId="3DA2DE6C" w14:textId="77777777" w:rsidR="0008168A" w:rsidRDefault="0005042A" w:rsidP="0008168A">
            <w:pPr>
              <w:pStyle w:val="ListParagraph"/>
              <w:numPr>
                <w:ilvl w:val="0"/>
                <w:numId w:val="29"/>
              </w:numPr>
              <w:pBdr>
                <w:top w:val="nil"/>
                <w:left w:val="nil"/>
                <w:bottom w:val="nil"/>
                <w:right w:val="nil"/>
                <w:between w:val="nil"/>
                <w:bar w:val="nil"/>
              </w:pBdr>
              <w:spacing w:line="360" w:lineRule="auto"/>
              <w:ind w:left="1126" w:hanging="567"/>
              <w:jc w:val="both"/>
              <w:rPr>
                <w:rFonts w:ascii="Arial" w:hAnsi="Arial" w:cs="Arial"/>
                <w:sz w:val="24"/>
                <w:szCs w:val="24"/>
              </w:rPr>
            </w:pPr>
            <w:r>
              <w:rPr>
                <w:rFonts w:ascii="Arial" w:hAnsi="Arial" w:cs="Arial"/>
                <w:sz w:val="24"/>
                <w:szCs w:val="24"/>
              </w:rPr>
              <w:t>The d</w:t>
            </w:r>
            <w:r w:rsidR="0056301B" w:rsidRPr="0056301B">
              <w:rPr>
                <w:rFonts w:ascii="Arial" w:hAnsi="Arial" w:cs="Arial"/>
                <w:sz w:val="24"/>
                <w:szCs w:val="24"/>
              </w:rPr>
              <w:t xml:space="preserve">efendants are ordered to pay </w:t>
            </w:r>
            <w:r>
              <w:rPr>
                <w:rFonts w:ascii="Arial" w:hAnsi="Arial" w:cs="Arial"/>
                <w:sz w:val="24"/>
                <w:szCs w:val="24"/>
              </w:rPr>
              <w:t xml:space="preserve">the </w:t>
            </w:r>
            <w:r w:rsidR="0056301B" w:rsidRPr="0056301B">
              <w:rPr>
                <w:rFonts w:ascii="Arial" w:hAnsi="Arial" w:cs="Arial"/>
                <w:sz w:val="24"/>
                <w:szCs w:val="24"/>
              </w:rPr>
              <w:t>plaint</w:t>
            </w:r>
            <w:r w:rsidR="0056301B">
              <w:rPr>
                <w:rFonts w:ascii="Arial" w:hAnsi="Arial" w:cs="Arial"/>
                <w:sz w:val="24"/>
                <w:szCs w:val="24"/>
              </w:rPr>
              <w:t>i</w:t>
            </w:r>
            <w:r w:rsidR="0056301B" w:rsidRPr="0056301B">
              <w:rPr>
                <w:rFonts w:ascii="Arial" w:hAnsi="Arial" w:cs="Arial"/>
                <w:sz w:val="24"/>
                <w:szCs w:val="24"/>
              </w:rPr>
              <w:t>ff’s costs of suit on the attorney and client scale, such costs to include one instructing and one instructed counsel.</w:t>
            </w:r>
          </w:p>
          <w:p w14:paraId="7CC33615" w14:textId="77777777" w:rsidR="0008168A" w:rsidRDefault="0008168A" w:rsidP="0008168A">
            <w:pPr>
              <w:pStyle w:val="ListParagraph"/>
              <w:pBdr>
                <w:top w:val="nil"/>
                <w:left w:val="nil"/>
                <w:bottom w:val="nil"/>
                <w:right w:val="nil"/>
                <w:between w:val="nil"/>
                <w:bar w:val="nil"/>
              </w:pBdr>
              <w:spacing w:line="360" w:lineRule="auto"/>
              <w:ind w:left="1126"/>
              <w:jc w:val="both"/>
              <w:rPr>
                <w:rFonts w:ascii="Arial" w:hAnsi="Arial" w:cs="Arial"/>
                <w:sz w:val="24"/>
                <w:szCs w:val="24"/>
              </w:rPr>
            </w:pPr>
          </w:p>
          <w:p w14:paraId="29C70C42" w14:textId="49B600C8" w:rsidR="0005042A" w:rsidRPr="00841CEC" w:rsidRDefault="0056301B" w:rsidP="00841CEC">
            <w:pPr>
              <w:pStyle w:val="ListParagraph"/>
              <w:numPr>
                <w:ilvl w:val="0"/>
                <w:numId w:val="29"/>
              </w:numPr>
              <w:pBdr>
                <w:top w:val="nil"/>
                <w:left w:val="nil"/>
                <w:bottom w:val="nil"/>
                <w:right w:val="nil"/>
                <w:between w:val="nil"/>
                <w:bar w:val="nil"/>
              </w:pBdr>
              <w:spacing w:line="360" w:lineRule="auto"/>
              <w:ind w:left="1126" w:hanging="567"/>
              <w:jc w:val="both"/>
              <w:rPr>
                <w:rFonts w:ascii="Arial" w:hAnsi="Arial" w:cs="Arial"/>
                <w:sz w:val="28"/>
                <w:szCs w:val="24"/>
              </w:rPr>
            </w:pPr>
            <w:r w:rsidRPr="0008168A">
              <w:rPr>
                <w:rFonts w:ascii="Arial" w:hAnsi="Arial" w:cs="Arial"/>
                <w:sz w:val="24"/>
              </w:rPr>
              <w:t>The matter</w:t>
            </w:r>
            <w:r w:rsidR="0005042A" w:rsidRPr="0008168A">
              <w:rPr>
                <w:rFonts w:ascii="Arial" w:hAnsi="Arial" w:cs="Arial"/>
                <w:sz w:val="24"/>
              </w:rPr>
              <w:t xml:space="preserve"> is removed from the roll and regarded as finalised.</w:t>
            </w:r>
          </w:p>
        </w:tc>
      </w:tr>
      <w:tr w:rsidR="001D6B3F" w:rsidRPr="001D6B3F" w14:paraId="2BD02CF8" w14:textId="77777777" w:rsidTr="00004108">
        <w:tc>
          <w:tcPr>
            <w:tcW w:w="10476" w:type="dxa"/>
            <w:gridSpan w:val="3"/>
          </w:tcPr>
          <w:p w14:paraId="06314928" w14:textId="314A4661" w:rsidR="009C2E53" w:rsidRPr="001D6B3F" w:rsidRDefault="005163E0" w:rsidP="007A6C9F">
            <w:pPr>
              <w:spacing w:line="360" w:lineRule="auto"/>
              <w:jc w:val="both"/>
              <w:rPr>
                <w:rFonts w:ascii="Arial" w:hAnsi="Arial" w:cs="Arial"/>
                <w:b/>
                <w:sz w:val="24"/>
                <w:szCs w:val="24"/>
              </w:rPr>
            </w:pPr>
            <w:r>
              <w:rPr>
                <w:rFonts w:ascii="Arial" w:hAnsi="Arial" w:cs="Arial"/>
                <w:b/>
                <w:sz w:val="24"/>
                <w:szCs w:val="24"/>
              </w:rPr>
              <w:lastRenderedPageBreak/>
              <w:t>R</w:t>
            </w:r>
            <w:r w:rsidR="00554726">
              <w:rPr>
                <w:rFonts w:ascii="Arial" w:hAnsi="Arial" w:cs="Arial"/>
                <w:b/>
                <w:sz w:val="24"/>
                <w:szCs w:val="24"/>
              </w:rPr>
              <w:t>easons</w:t>
            </w:r>
            <w:r w:rsidR="009C2E53" w:rsidRPr="001D6B3F">
              <w:rPr>
                <w:rFonts w:ascii="Arial" w:hAnsi="Arial" w:cs="Arial"/>
                <w:b/>
                <w:sz w:val="24"/>
                <w:szCs w:val="24"/>
              </w:rPr>
              <w:t>:</w:t>
            </w:r>
          </w:p>
        </w:tc>
      </w:tr>
      <w:tr w:rsidR="001D6B3F" w:rsidRPr="001D6B3F" w14:paraId="108B7EFD" w14:textId="77777777" w:rsidTr="00004108">
        <w:tc>
          <w:tcPr>
            <w:tcW w:w="10476" w:type="dxa"/>
            <w:gridSpan w:val="3"/>
          </w:tcPr>
          <w:p w14:paraId="6648CA40" w14:textId="77777777" w:rsidR="00841CEC" w:rsidRDefault="00841CEC" w:rsidP="0005042A">
            <w:pPr>
              <w:spacing w:line="360" w:lineRule="auto"/>
              <w:jc w:val="both"/>
              <w:rPr>
                <w:rFonts w:ascii="Arial" w:hAnsi="Arial" w:cs="Arial"/>
                <w:sz w:val="24"/>
                <w:szCs w:val="24"/>
                <w:lang w:val="af-ZA"/>
              </w:rPr>
            </w:pPr>
          </w:p>
          <w:p w14:paraId="51CC97A1" w14:textId="503F12EA" w:rsidR="0005042A" w:rsidRDefault="0005042A" w:rsidP="0005042A">
            <w:pPr>
              <w:spacing w:line="360" w:lineRule="auto"/>
              <w:jc w:val="both"/>
              <w:rPr>
                <w:lang w:val="af-ZA"/>
              </w:rPr>
            </w:pPr>
            <w:r w:rsidRPr="00620B70">
              <w:rPr>
                <w:rFonts w:ascii="Arial" w:hAnsi="Arial" w:cs="Arial"/>
                <w:sz w:val="24"/>
                <w:szCs w:val="24"/>
                <w:lang w:val="af-ZA"/>
              </w:rPr>
              <w:t>COLEMAN J:</w:t>
            </w:r>
          </w:p>
          <w:p w14:paraId="30E1D1E2" w14:textId="77777777" w:rsidR="0005042A" w:rsidRPr="002819E1" w:rsidRDefault="0005042A" w:rsidP="0005042A">
            <w:pPr>
              <w:spacing w:line="360" w:lineRule="auto"/>
              <w:jc w:val="both"/>
              <w:rPr>
                <w:rFonts w:ascii="Arial" w:hAnsi="Arial" w:cs="Arial"/>
                <w:sz w:val="24"/>
                <w:szCs w:val="24"/>
                <w:lang w:val="af-ZA"/>
              </w:rPr>
            </w:pPr>
          </w:p>
          <w:p w14:paraId="623D8F22" w14:textId="77777777" w:rsidR="0005042A" w:rsidRDefault="0005042A" w:rsidP="0005042A">
            <w:pPr>
              <w:pBdr>
                <w:top w:val="nil"/>
                <w:left w:val="nil"/>
                <w:bottom w:val="nil"/>
                <w:right w:val="nil"/>
                <w:between w:val="nil"/>
                <w:bar w:val="nil"/>
              </w:pBdr>
              <w:spacing w:line="360" w:lineRule="auto"/>
              <w:jc w:val="both"/>
              <w:rPr>
                <w:rFonts w:eastAsia="Arial"/>
                <w:u w:val="single"/>
                <w:bdr w:val="nil"/>
                <w:lang w:eastAsia="en-GB"/>
              </w:rPr>
            </w:pPr>
            <w:r w:rsidRPr="00620B70">
              <w:rPr>
                <w:rFonts w:ascii="Arial" w:eastAsia="Arial" w:hAnsi="Arial" w:cs="Arial"/>
                <w:sz w:val="24"/>
                <w:szCs w:val="24"/>
                <w:u w:val="single"/>
                <w:bdr w:val="nil"/>
                <w:lang w:eastAsia="en-GB"/>
              </w:rPr>
              <w:t>Introduction</w:t>
            </w:r>
          </w:p>
          <w:p w14:paraId="6EA908DB" w14:textId="77777777" w:rsidR="0005042A" w:rsidRPr="00620B70" w:rsidRDefault="0005042A" w:rsidP="0005042A">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p>
          <w:p w14:paraId="65C59CE9" w14:textId="1FEB0EA7" w:rsidR="0005042A" w:rsidRDefault="0005042A" w:rsidP="0005042A">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color w:val="auto"/>
                <w:sz w:val="24"/>
                <w:szCs w:val="24"/>
                <w:lang w:val="en-US"/>
              </w:rPr>
              <w:t>This is an application for sum</w:t>
            </w:r>
            <w:r w:rsidR="0008168A">
              <w:rPr>
                <w:rFonts w:ascii="Arial" w:hAnsi="Arial" w:cs="Arial"/>
                <w:color w:val="auto"/>
                <w:sz w:val="24"/>
                <w:szCs w:val="24"/>
                <w:lang w:val="en-US"/>
              </w:rPr>
              <w:t>mary judgment for payment of N$10 083 643,</w:t>
            </w:r>
            <w:r>
              <w:rPr>
                <w:rFonts w:ascii="Arial" w:hAnsi="Arial" w:cs="Arial"/>
                <w:color w:val="auto"/>
                <w:sz w:val="24"/>
                <w:szCs w:val="24"/>
                <w:lang w:val="en-US"/>
              </w:rPr>
              <w:t>95</w:t>
            </w:r>
            <w:r w:rsidR="0008168A">
              <w:rPr>
                <w:rFonts w:ascii="Arial" w:hAnsi="Arial" w:cs="Arial"/>
                <w:color w:val="auto"/>
                <w:sz w:val="24"/>
                <w:szCs w:val="24"/>
                <w:lang w:val="en-US"/>
              </w:rPr>
              <w:t>,</w:t>
            </w:r>
            <w:r>
              <w:rPr>
                <w:rFonts w:ascii="Arial" w:hAnsi="Arial" w:cs="Arial"/>
                <w:color w:val="auto"/>
                <w:sz w:val="24"/>
                <w:szCs w:val="24"/>
                <w:lang w:val="en-US"/>
              </w:rPr>
              <w:t xml:space="preserve"> plus </w:t>
            </w:r>
            <w:r>
              <w:rPr>
                <w:rFonts w:ascii="Arial" w:hAnsi="Arial" w:cs="Arial"/>
                <w:color w:val="auto"/>
                <w:sz w:val="24"/>
                <w:szCs w:val="24"/>
                <w:lang w:val="en-US"/>
              </w:rPr>
              <w:lastRenderedPageBreak/>
              <w:t>interest and declaring two farms executable,</w:t>
            </w:r>
            <w:r w:rsidR="0008168A">
              <w:rPr>
                <w:rFonts w:ascii="Arial" w:hAnsi="Arial" w:cs="Arial"/>
                <w:color w:val="auto"/>
                <w:sz w:val="24"/>
                <w:szCs w:val="24"/>
                <w:lang w:val="en-US"/>
              </w:rPr>
              <w:t xml:space="preserve"> together with</w:t>
            </w:r>
            <w:r>
              <w:rPr>
                <w:rFonts w:ascii="Arial" w:hAnsi="Arial" w:cs="Arial"/>
                <w:color w:val="auto"/>
                <w:sz w:val="24"/>
                <w:szCs w:val="24"/>
                <w:lang w:val="en-US"/>
              </w:rPr>
              <w:t xml:space="preserve"> costs on an attorney and client scale</w:t>
            </w:r>
            <w:r w:rsidRPr="00620B70">
              <w:rPr>
                <w:rFonts w:ascii="Arial" w:hAnsi="Arial" w:cs="Arial"/>
                <w:color w:val="auto"/>
                <w:sz w:val="24"/>
                <w:szCs w:val="24"/>
                <w:lang w:val="en-US"/>
              </w:rPr>
              <w:t xml:space="preserve">. </w:t>
            </w:r>
            <w:r>
              <w:rPr>
                <w:rFonts w:ascii="Arial" w:hAnsi="Arial" w:cs="Arial"/>
                <w:color w:val="auto"/>
                <w:sz w:val="24"/>
                <w:szCs w:val="24"/>
                <w:lang w:val="en-US"/>
              </w:rPr>
              <w:t xml:space="preserve"> I will refer to the parties as</w:t>
            </w:r>
            <w:r w:rsidR="0008168A">
              <w:rPr>
                <w:rFonts w:ascii="Arial" w:hAnsi="Arial" w:cs="Arial"/>
                <w:color w:val="auto"/>
                <w:sz w:val="24"/>
                <w:szCs w:val="24"/>
                <w:lang w:val="en-US"/>
              </w:rPr>
              <w:t xml:space="preserve"> the</w:t>
            </w:r>
            <w:r>
              <w:rPr>
                <w:rFonts w:ascii="Arial" w:hAnsi="Arial" w:cs="Arial"/>
                <w:color w:val="auto"/>
                <w:sz w:val="24"/>
                <w:szCs w:val="24"/>
                <w:lang w:val="en-US"/>
              </w:rPr>
              <w:t xml:space="preserve"> plaintiff and </w:t>
            </w:r>
            <w:r w:rsidR="0008168A">
              <w:rPr>
                <w:rFonts w:ascii="Arial" w:hAnsi="Arial" w:cs="Arial"/>
                <w:color w:val="auto"/>
                <w:sz w:val="24"/>
                <w:szCs w:val="24"/>
                <w:lang w:val="en-US"/>
              </w:rPr>
              <w:t xml:space="preserve">the </w:t>
            </w:r>
            <w:r>
              <w:rPr>
                <w:rFonts w:ascii="Arial" w:hAnsi="Arial" w:cs="Arial"/>
                <w:color w:val="auto"/>
                <w:sz w:val="24"/>
                <w:szCs w:val="24"/>
                <w:lang w:val="en-US"/>
              </w:rPr>
              <w:t>1</w:t>
            </w:r>
            <w:r w:rsidRPr="0085426A">
              <w:rPr>
                <w:rFonts w:ascii="Arial" w:hAnsi="Arial" w:cs="Arial"/>
                <w:color w:val="auto"/>
                <w:sz w:val="24"/>
                <w:szCs w:val="24"/>
                <w:vertAlign w:val="superscript"/>
                <w:lang w:val="en-US"/>
              </w:rPr>
              <w:t>st</w:t>
            </w:r>
            <w:r>
              <w:rPr>
                <w:rFonts w:ascii="Arial" w:hAnsi="Arial" w:cs="Arial"/>
                <w:color w:val="auto"/>
                <w:sz w:val="24"/>
                <w:szCs w:val="24"/>
                <w:lang w:val="en-US"/>
              </w:rPr>
              <w:t>, 2</w:t>
            </w:r>
            <w:r w:rsidRPr="0085426A">
              <w:rPr>
                <w:rFonts w:ascii="Arial" w:hAnsi="Arial" w:cs="Arial"/>
                <w:color w:val="auto"/>
                <w:sz w:val="24"/>
                <w:szCs w:val="24"/>
                <w:vertAlign w:val="superscript"/>
                <w:lang w:val="en-US"/>
              </w:rPr>
              <w:t>nd</w:t>
            </w:r>
            <w:r>
              <w:rPr>
                <w:rFonts w:ascii="Arial" w:hAnsi="Arial" w:cs="Arial"/>
                <w:color w:val="auto"/>
                <w:sz w:val="24"/>
                <w:szCs w:val="24"/>
                <w:lang w:val="en-US"/>
              </w:rPr>
              <w:t xml:space="preserve"> or 3</w:t>
            </w:r>
            <w:r w:rsidRPr="0085426A">
              <w:rPr>
                <w:rFonts w:ascii="Arial" w:hAnsi="Arial" w:cs="Arial"/>
                <w:color w:val="auto"/>
                <w:sz w:val="24"/>
                <w:szCs w:val="24"/>
                <w:vertAlign w:val="superscript"/>
                <w:lang w:val="en-US"/>
              </w:rPr>
              <w:t>rd</w:t>
            </w:r>
            <w:r w:rsidR="0008168A">
              <w:rPr>
                <w:rFonts w:ascii="Arial" w:hAnsi="Arial" w:cs="Arial"/>
                <w:color w:val="auto"/>
                <w:sz w:val="24"/>
                <w:szCs w:val="24"/>
                <w:lang w:val="en-US"/>
              </w:rPr>
              <w:t xml:space="preserve"> defendants.</w:t>
            </w:r>
          </w:p>
          <w:p w14:paraId="69219173" w14:textId="77777777" w:rsidR="0005042A" w:rsidRDefault="0005042A" w:rsidP="0005042A">
            <w:pPr>
              <w:pStyle w:val="Body"/>
              <w:spacing w:line="360" w:lineRule="auto"/>
              <w:jc w:val="both"/>
              <w:rPr>
                <w:rFonts w:ascii="Arial" w:hAnsi="Arial" w:cs="Arial"/>
                <w:color w:val="auto"/>
                <w:sz w:val="24"/>
                <w:szCs w:val="24"/>
                <w:lang w:val="en-US"/>
              </w:rPr>
            </w:pPr>
          </w:p>
          <w:p w14:paraId="47D5DDD1" w14:textId="77777777" w:rsidR="0005042A" w:rsidRDefault="0005042A" w:rsidP="0005042A">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t>Pertinent facts</w:t>
            </w:r>
          </w:p>
          <w:p w14:paraId="72AB6A1F" w14:textId="77777777" w:rsidR="0005042A" w:rsidRPr="002819E1" w:rsidRDefault="0005042A" w:rsidP="0005042A">
            <w:pPr>
              <w:pStyle w:val="Body"/>
              <w:spacing w:line="360" w:lineRule="auto"/>
              <w:jc w:val="both"/>
              <w:rPr>
                <w:rFonts w:ascii="Arial" w:hAnsi="Arial" w:cs="Arial"/>
                <w:color w:val="auto"/>
                <w:sz w:val="24"/>
                <w:szCs w:val="24"/>
                <w:u w:val="single"/>
                <w:lang w:val="en-US"/>
              </w:rPr>
            </w:pPr>
          </w:p>
          <w:p w14:paraId="3513273D" w14:textId="68157C56" w:rsidR="0005042A" w:rsidRDefault="0008168A" w:rsidP="0005042A">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color w:val="auto"/>
                <w:sz w:val="24"/>
                <w:szCs w:val="24"/>
                <w:lang w:val="en-US"/>
              </w:rPr>
              <w:t>The p</w:t>
            </w:r>
            <w:r w:rsidR="0005042A" w:rsidRPr="002819E1">
              <w:rPr>
                <w:rFonts w:ascii="Arial" w:hAnsi="Arial" w:cs="Arial"/>
                <w:color w:val="auto"/>
                <w:sz w:val="24"/>
                <w:szCs w:val="24"/>
                <w:lang w:val="en-US"/>
              </w:rPr>
              <w:t xml:space="preserve">laintiff’s claim is based on a loan agreement with </w:t>
            </w:r>
            <w:r>
              <w:rPr>
                <w:rFonts w:ascii="Arial" w:hAnsi="Arial" w:cs="Arial"/>
                <w:color w:val="auto"/>
                <w:sz w:val="24"/>
                <w:szCs w:val="24"/>
                <w:lang w:val="en-US"/>
              </w:rPr>
              <w:t xml:space="preserve">the </w:t>
            </w:r>
            <w:r w:rsidR="0005042A" w:rsidRPr="002819E1">
              <w:rPr>
                <w:rFonts w:ascii="Arial" w:hAnsi="Arial" w:cs="Arial"/>
                <w:color w:val="auto"/>
                <w:sz w:val="24"/>
                <w:szCs w:val="24"/>
                <w:lang w:val="en-US"/>
              </w:rPr>
              <w:t>1</w:t>
            </w:r>
            <w:r w:rsidR="0005042A" w:rsidRPr="002819E1">
              <w:rPr>
                <w:rFonts w:ascii="Arial" w:hAnsi="Arial" w:cs="Arial"/>
                <w:color w:val="auto"/>
                <w:sz w:val="24"/>
                <w:szCs w:val="24"/>
                <w:vertAlign w:val="superscript"/>
                <w:lang w:val="en-US"/>
              </w:rPr>
              <w:t>st</w:t>
            </w:r>
            <w:r w:rsidR="0005042A" w:rsidRPr="002819E1">
              <w:rPr>
                <w:rFonts w:ascii="Arial" w:hAnsi="Arial" w:cs="Arial"/>
                <w:color w:val="auto"/>
                <w:sz w:val="24"/>
                <w:szCs w:val="24"/>
                <w:lang w:val="en-US"/>
              </w:rPr>
              <w:t xml:space="preserve"> defendant. It is </w:t>
            </w:r>
            <w:r>
              <w:rPr>
                <w:rFonts w:ascii="Arial" w:hAnsi="Arial" w:cs="Arial"/>
                <w:color w:val="auto"/>
                <w:sz w:val="24"/>
                <w:szCs w:val="24"/>
                <w:lang w:val="en-US"/>
              </w:rPr>
              <w:t xml:space="preserve">the </w:t>
            </w:r>
            <w:r w:rsidR="0005042A" w:rsidRPr="002819E1">
              <w:rPr>
                <w:rFonts w:ascii="Arial" w:hAnsi="Arial" w:cs="Arial"/>
                <w:color w:val="auto"/>
                <w:sz w:val="24"/>
                <w:szCs w:val="24"/>
                <w:lang w:val="en-US"/>
              </w:rPr>
              <w:t>plaintiff’s case that the parties initially entered into a loan agreement on or about 24 September 2015 and allegedly agreed to restructure it because</w:t>
            </w:r>
            <w:r>
              <w:rPr>
                <w:rFonts w:ascii="Arial" w:hAnsi="Arial" w:cs="Arial"/>
                <w:color w:val="auto"/>
                <w:sz w:val="24"/>
                <w:szCs w:val="24"/>
                <w:lang w:val="en-US"/>
              </w:rPr>
              <w:t xml:space="preserve"> the</w:t>
            </w:r>
            <w:r w:rsidR="0005042A" w:rsidRPr="002819E1">
              <w:rPr>
                <w:rFonts w:ascii="Arial" w:hAnsi="Arial" w:cs="Arial"/>
                <w:color w:val="auto"/>
                <w:sz w:val="24"/>
                <w:szCs w:val="24"/>
                <w:lang w:val="en-US"/>
              </w:rPr>
              <w:t xml:space="preserve"> 1</w:t>
            </w:r>
            <w:r w:rsidR="0005042A" w:rsidRPr="002819E1">
              <w:rPr>
                <w:rFonts w:ascii="Arial" w:hAnsi="Arial" w:cs="Arial"/>
                <w:color w:val="auto"/>
                <w:sz w:val="24"/>
                <w:szCs w:val="24"/>
                <w:vertAlign w:val="superscript"/>
                <w:lang w:val="en-US"/>
              </w:rPr>
              <w:t>st</w:t>
            </w:r>
            <w:r w:rsidR="0005042A" w:rsidRPr="002819E1">
              <w:rPr>
                <w:rFonts w:ascii="Arial" w:hAnsi="Arial" w:cs="Arial"/>
                <w:color w:val="auto"/>
                <w:sz w:val="24"/>
                <w:szCs w:val="24"/>
                <w:lang w:val="en-US"/>
              </w:rPr>
              <w:t xml:space="preserve"> defendant had fallen into arrears on the loan. A new loan agreement was entered into on or about 29 April 2021. The alleged purpose of the new loan </w:t>
            </w:r>
            <w:r>
              <w:rPr>
                <w:rFonts w:ascii="Arial" w:hAnsi="Arial" w:cs="Arial"/>
                <w:color w:val="auto"/>
                <w:sz w:val="24"/>
                <w:szCs w:val="24"/>
                <w:lang w:val="en-US"/>
              </w:rPr>
              <w:t>was to pay N$</w:t>
            </w:r>
            <w:r w:rsidR="0005042A" w:rsidRPr="002819E1">
              <w:rPr>
                <w:rFonts w:ascii="Arial" w:hAnsi="Arial" w:cs="Arial"/>
                <w:color w:val="auto"/>
                <w:sz w:val="24"/>
                <w:szCs w:val="24"/>
                <w:lang w:val="en-US"/>
              </w:rPr>
              <w:t xml:space="preserve">9 500 000 on the outstanding debt in respect of the 2015 loan. </w:t>
            </w:r>
            <w:r>
              <w:rPr>
                <w:rFonts w:ascii="Arial" w:hAnsi="Arial" w:cs="Arial"/>
                <w:color w:val="auto"/>
                <w:sz w:val="24"/>
                <w:szCs w:val="24"/>
                <w:lang w:val="en-US"/>
              </w:rPr>
              <w:t>The p</w:t>
            </w:r>
            <w:r w:rsidR="0005042A" w:rsidRPr="002819E1">
              <w:rPr>
                <w:rFonts w:ascii="Arial" w:hAnsi="Arial" w:cs="Arial"/>
                <w:color w:val="auto"/>
                <w:sz w:val="24"/>
                <w:szCs w:val="24"/>
                <w:lang w:val="en-US"/>
              </w:rPr>
              <w:t>laintiff alleges the defendants are in breach of the 2021 loan agreement in that they failed to make payments as agreed. A certificate of</w:t>
            </w:r>
            <w:r>
              <w:rPr>
                <w:rFonts w:ascii="Arial" w:hAnsi="Arial" w:cs="Arial"/>
                <w:color w:val="auto"/>
                <w:sz w:val="24"/>
                <w:szCs w:val="24"/>
                <w:lang w:val="en-US"/>
              </w:rPr>
              <w:t xml:space="preserve"> indebtedness reflecting the amount of N$</w:t>
            </w:r>
            <w:r w:rsidR="0005042A" w:rsidRPr="002819E1">
              <w:rPr>
                <w:rFonts w:ascii="Arial" w:hAnsi="Arial" w:cs="Arial"/>
                <w:color w:val="auto"/>
                <w:sz w:val="24"/>
                <w:szCs w:val="24"/>
                <w:lang w:val="en-US"/>
              </w:rPr>
              <w:t>10 083 643</w:t>
            </w:r>
            <w:proofErr w:type="gramStart"/>
            <w:r w:rsidR="0005042A" w:rsidRPr="002819E1">
              <w:rPr>
                <w:rFonts w:ascii="Arial" w:hAnsi="Arial" w:cs="Arial"/>
                <w:color w:val="auto"/>
                <w:sz w:val="24"/>
                <w:szCs w:val="24"/>
                <w:lang w:val="en-US"/>
              </w:rPr>
              <w:t>,95</w:t>
            </w:r>
            <w:proofErr w:type="gramEnd"/>
            <w:r w:rsidR="0005042A" w:rsidRPr="002819E1">
              <w:rPr>
                <w:rFonts w:ascii="Arial" w:hAnsi="Arial" w:cs="Arial"/>
                <w:color w:val="auto"/>
                <w:sz w:val="24"/>
                <w:szCs w:val="24"/>
                <w:lang w:val="en-US"/>
              </w:rPr>
              <w:t xml:space="preserve"> is annex</w:t>
            </w:r>
            <w:r w:rsidR="0005042A">
              <w:rPr>
                <w:rFonts w:ascii="Arial" w:hAnsi="Arial" w:cs="Arial"/>
                <w:color w:val="auto"/>
                <w:sz w:val="24"/>
                <w:szCs w:val="24"/>
                <w:lang w:val="en-US"/>
              </w:rPr>
              <w:t>ed to the particulars of claim.</w:t>
            </w:r>
          </w:p>
          <w:p w14:paraId="3AD5324A" w14:textId="77777777" w:rsidR="0005042A" w:rsidRDefault="0005042A" w:rsidP="0005042A">
            <w:pPr>
              <w:pStyle w:val="Body"/>
              <w:spacing w:line="360" w:lineRule="auto"/>
              <w:jc w:val="both"/>
              <w:rPr>
                <w:rFonts w:ascii="Arial" w:hAnsi="Arial" w:cs="Arial"/>
                <w:color w:val="auto"/>
                <w:sz w:val="24"/>
                <w:szCs w:val="24"/>
                <w:lang w:val="en-US"/>
              </w:rPr>
            </w:pPr>
          </w:p>
          <w:p w14:paraId="1FF726A3" w14:textId="7FE47F63" w:rsidR="0005042A" w:rsidRDefault="0008168A" w:rsidP="0005042A">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The 2</w:t>
            </w:r>
            <w:r w:rsidRPr="0008168A">
              <w:rPr>
                <w:rFonts w:ascii="Arial" w:hAnsi="Arial" w:cs="Arial"/>
                <w:sz w:val="24"/>
                <w:szCs w:val="24"/>
                <w:vertAlign w:val="superscript"/>
              </w:rPr>
              <w:t>nd</w:t>
            </w:r>
            <w:r>
              <w:rPr>
                <w:rFonts w:ascii="Arial" w:hAnsi="Arial" w:cs="Arial"/>
                <w:sz w:val="24"/>
                <w:szCs w:val="24"/>
              </w:rPr>
              <w:t xml:space="preserve"> </w:t>
            </w:r>
            <w:r w:rsidR="0005042A" w:rsidRPr="002819E1">
              <w:rPr>
                <w:rFonts w:ascii="Arial" w:hAnsi="Arial" w:cs="Arial"/>
                <w:sz w:val="24"/>
                <w:szCs w:val="24"/>
              </w:rPr>
              <w:t>and 3</w:t>
            </w:r>
            <w:r w:rsidR="0005042A" w:rsidRPr="002819E1">
              <w:rPr>
                <w:rFonts w:ascii="Arial" w:hAnsi="Arial" w:cs="Arial"/>
                <w:sz w:val="24"/>
                <w:szCs w:val="24"/>
                <w:vertAlign w:val="superscript"/>
              </w:rPr>
              <w:t>rd</w:t>
            </w:r>
            <w:r w:rsidR="0005042A" w:rsidRPr="002819E1">
              <w:rPr>
                <w:rFonts w:ascii="Arial" w:hAnsi="Arial" w:cs="Arial"/>
                <w:sz w:val="24"/>
                <w:szCs w:val="24"/>
              </w:rPr>
              <w:t xml:space="preserve"> defendants signed as sureties for </w:t>
            </w:r>
            <w:r>
              <w:rPr>
                <w:rFonts w:ascii="Arial" w:hAnsi="Arial" w:cs="Arial"/>
                <w:sz w:val="24"/>
                <w:szCs w:val="24"/>
              </w:rPr>
              <w:t xml:space="preserve">the </w:t>
            </w:r>
            <w:r w:rsidR="0005042A" w:rsidRPr="002819E1">
              <w:rPr>
                <w:rFonts w:ascii="Arial" w:hAnsi="Arial" w:cs="Arial"/>
                <w:sz w:val="24"/>
                <w:szCs w:val="24"/>
              </w:rPr>
              <w:t>1</w:t>
            </w:r>
            <w:r w:rsidR="0005042A" w:rsidRPr="002819E1">
              <w:rPr>
                <w:rFonts w:ascii="Arial" w:hAnsi="Arial" w:cs="Arial"/>
                <w:sz w:val="24"/>
                <w:szCs w:val="24"/>
                <w:vertAlign w:val="superscript"/>
              </w:rPr>
              <w:t>st</w:t>
            </w:r>
            <w:r w:rsidR="0005042A" w:rsidRPr="002819E1">
              <w:rPr>
                <w:rFonts w:ascii="Arial" w:hAnsi="Arial" w:cs="Arial"/>
                <w:sz w:val="24"/>
                <w:szCs w:val="24"/>
              </w:rPr>
              <w:t xml:space="preserve"> defendant’s liability to</w:t>
            </w:r>
            <w:r>
              <w:rPr>
                <w:rFonts w:ascii="Arial" w:hAnsi="Arial" w:cs="Arial"/>
                <w:sz w:val="24"/>
                <w:szCs w:val="24"/>
              </w:rPr>
              <w:t xml:space="preserve"> the</w:t>
            </w:r>
            <w:r w:rsidR="0005042A" w:rsidRPr="002819E1">
              <w:rPr>
                <w:rFonts w:ascii="Arial" w:hAnsi="Arial" w:cs="Arial"/>
                <w:sz w:val="24"/>
                <w:szCs w:val="24"/>
              </w:rPr>
              <w:t xml:space="preserve"> plaintiff. Two properties were mortgaged in favour of </w:t>
            </w:r>
            <w:r>
              <w:rPr>
                <w:rFonts w:ascii="Arial" w:hAnsi="Arial" w:cs="Arial"/>
                <w:sz w:val="24"/>
                <w:szCs w:val="24"/>
              </w:rPr>
              <w:t xml:space="preserve">the </w:t>
            </w:r>
            <w:r w:rsidR="0005042A" w:rsidRPr="002819E1">
              <w:rPr>
                <w:rFonts w:ascii="Arial" w:hAnsi="Arial" w:cs="Arial"/>
                <w:sz w:val="24"/>
                <w:szCs w:val="24"/>
              </w:rPr>
              <w:t>plaintiff as security for</w:t>
            </w:r>
            <w:r>
              <w:rPr>
                <w:rFonts w:ascii="Arial" w:hAnsi="Arial" w:cs="Arial"/>
                <w:sz w:val="24"/>
                <w:szCs w:val="24"/>
              </w:rPr>
              <w:t xml:space="preserve"> the</w:t>
            </w:r>
            <w:r w:rsidR="0005042A" w:rsidRPr="002819E1">
              <w:rPr>
                <w:rFonts w:ascii="Arial" w:hAnsi="Arial" w:cs="Arial"/>
                <w:sz w:val="24"/>
                <w:szCs w:val="24"/>
              </w:rPr>
              <w:t xml:space="preserve"> 1</w:t>
            </w:r>
            <w:r w:rsidR="0005042A" w:rsidRPr="002819E1">
              <w:rPr>
                <w:rFonts w:ascii="Arial" w:hAnsi="Arial" w:cs="Arial"/>
                <w:sz w:val="24"/>
                <w:szCs w:val="24"/>
                <w:vertAlign w:val="superscript"/>
              </w:rPr>
              <w:t>st</w:t>
            </w:r>
            <w:r w:rsidR="0005042A" w:rsidRPr="002819E1">
              <w:rPr>
                <w:rFonts w:ascii="Arial" w:hAnsi="Arial" w:cs="Arial"/>
                <w:sz w:val="24"/>
                <w:szCs w:val="24"/>
              </w:rPr>
              <w:t xml:space="preserve"> defendant’s liability. One pr</w:t>
            </w:r>
            <w:r w:rsidR="00841CEC">
              <w:rPr>
                <w:rFonts w:ascii="Arial" w:hAnsi="Arial" w:cs="Arial"/>
                <w:sz w:val="24"/>
                <w:szCs w:val="24"/>
              </w:rPr>
              <w:t xml:space="preserve">operty, Farm </w:t>
            </w:r>
            <w:proofErr w:type="spellStart"/>
            <w:r w:rsidR="00841CEC">
              <w:rPr>
                <w:rFonts w:ascii="Arial" w:hAnsi="Arial" w:cs="Arial"/>
                <w:sz w:val="24"/>
                <w:szCs w:val="24"/>
              </w:rPr>
              <w:t>Ombujombaere</w:t>
            </w:r>
            <w:proofErr w:type="spellEnd"/>
            <w:r w:rsidR="00841CEC">
              <w:rPr>
                <w:rFonts w:ascii="Arial" w:hAnsi="Arial" w:cs="Arial"/>
                <w:sz w:val="24"/>
                <w:szCs w:val="24"/>
              </w:rPr>
              <w:t xml:space="preserve"> Nord n</w:t>
            </w:r>
            <w:r w:rsidR="0005042A" w:rsidRPr="002819E1">
              <w:rPr>
                <w:rFonts w:ascii="Arial" w:hAnsi="Arial" w:cs="Arial"/>
                <w:sz w:val="24"/>
                <w:szCs w:val="24"/>
              </w:rPr>
              <w:t xml:space="preserve">o. 6, is owned by </w:t>
            </w:r>
            <w:r>
              <w:rPr>
                <w:rFonts w:ascii="Arial" w:hAnsi="Arial" w:cs="Arial"/>
                <w:sz w:val="24"/>
                <w:szCs w:val="24"/>
              </w:rPr>
              <w:t xml:space="preserve">the </w:t>
            </w:r>
            <w:r w:rsidR="0005042A" w:rsidRPr="002819E1">
              <w:rPr>
                <w:rFonts w:ascii="Arial" w:hAnsi="Arial" w:cs="Arial"/>
                <w:sz w:val="24"/>
                <w:szCs w:val="24"/>
              </w:rPr>
              <w:t>1</w:t>
            </w:r>
            <w:r w:rsidR="0005042A" w:rsidRPr="002819E1">
              <w:rPr>
                <w:rFonts w:ascii="Arial" w:hAnsi="Arial" w:cs="Arial"/>
                <w:sz w:val="24"/>
                <w:szCs w:val="24"/>
                <w:vertAlign w:val="superscript"/>
              </w:rPr>
              <w:t>st</w:t>
            </w:r>
            <w:r w:rsidR="0005042A" w:rsidRPr="002819E1">
              <w:rPr>
                <w:rFonts w:ascii="Arial" w:hAnsi="Arial" w:cs="Arial"/>
                <w:sz w:val="24"/>
                <w:szCs w:val="24"/>
              </w:rPr>
              <w:t xml:space="preserve"> defendant and the other, Rema</w:t>
            </w:r>
            <w:r w:rsidR="00841CEC">
              <w:rPr>
                <w:rFonts w:ascii="Arial" w:hAnsi="Arial" w:cs="Arial"/>
                <w:sz w:val="24"/>
                <w:szCs w:val="24"/>
              </w:rPr>
              <w:t xml:space="preserve">ining Extent of the farm </w:t>
            </w:r>
            <w:proofErr w:type="spellStart"/>
            <w:r w:rsidR="00841CEC">
              <w:rPr>
                <w:rFonts w:ascii="Arial" w:hAnsi="Arial" w:cs="Arial"/>
                <w:sz w:val="24"/>
                <w:szCs w:val="24"/>
              </w:rPr>
              <w:t>Bubus</w:t>
            </w:r>
            <w:proofErr w:type="spellEnd"/>
            <w:r w:rsidR="00841CEC">
              <w:rPr>
                <w:rFonts w:ascii="Arial" w:hAnsi="Arial" w:cs="Arial"/>
                <w:sz w:val="24"/>
                <w:szCs w:val="24"/>
              </w:rPr>
              <w:t xml:space="preserve"> n</w:t>
            </w:r>
            <w:r w:rsidR="0005042A" w:rsidRPr="002819E1">
              <w:rPr>
                <w:rFonts w:ascii="Arial" w:hAnsi="Arial" w:cs="Arial"/>
                <w:sz w:val="24"/>
                <w:szCs w:val="24"/>
              </w:rPr>
              <w:t xml:space="preserve">o. 213, is owned by </w:t>
            </w:r>
            <w:r>
              <w:rPr>
                <w:rFonts w:ascii="Arial" w:hAnsi="Arial" w:cs="Arial"/>
                <w:sz w:val="24"/>
                <w:szCs w:val="24"/>
              </w:rPr>
              <w:t xml:space="preserve">the </w:t>
            </w:r>
            <w:r w:rsidR="0005042A" w:rsidRPr="002819E1">
              <w:rPr>
                <w:rFonts w:ascii="Arial" w:hAnsi="Arial" w:cs="Arial"/>
                <w:sz w:val="24"/>
                <w:szCs w:val="24"/>
              </w:rPr>
              <w:t>2</w:t>
            </w:r>
            <w:r w:rsidR="0005042A" w:rsidRPr="002819E1">
              <w:rPr>
                <w:rFonts w:ascii="Arial" w:hAnsi="Arial" w:cs="Arial"/>
                <w:sz w:val="24"/>
                <w:szCs w:val="24"/>
                <w:vertAlign w:val="superscript"/>
              </w:rPr>
              <w:t>nd</w:t>
            </w:r>
            <w:r w:rsidR="0005042A" w:rsidRPr="002819E1">
              <w:rPr>
                <w:rFonts w:ascii="Arial" w:hAnsi="Arial" w:cs="Arial"/>
                <w:sz w:val="24"/>
                <w:szCs w:val="24"/>
              </w:rPr>
              <w:t xml:space="preserve"> defendant. Neither the </w:t>
            </w:r>
            <w:proofErr w:type="spellStart"/>
            <w:r w:rsidR="0005042A" w:rsidRPr="002819E1">
              <w:rPr>
                <w:rFonts w:ascii="Arial" w:hAnsi="Arial" w:cs="Arial"/>
                <w:sz w:val="24"/>
                <w:szCs w:val="24"/>
              </w:rPr>
              <w:t>suretyships</w:t>
            </w:r>
            <w:proofErr w:type="spellEnd"/>
            <w:r w:rsidR="0005042A" w:rsidRPr="002819E1">
              <w:rPr>
                <w:rFonts w:ascii="Arial" w:hAnsi="Arial" w:cs="Arial"/>
                <w:sz w:val="24"/>
                <w:szCs w:val="24"/>
              </w:rPr>
              <w:t>, nor the mortgages are disputed. Notice in terms of rule 108(2</w:t>
            </w:r>
            <w:proofErr w:type="gramStart"/>
            <w:r w:rsidR="0005042A" w:rsidRPr="002819E1">
              <w:rPr>
                <w:rFonts w:ascii="Arial" w:hAnsi="Arial" w:cs="Arial"/>
                <w:sz w:val="24"/>
                <w:szCs w:val="24"/>
              </w:rPr>
              <w:t>)(</w:t>
            </w:r>
            <w:proofErr w:type="gramEnd"/>
            <w:r w:rsidR="0005042A" w:rsidRPr="0008168A">
              <w:rPr>
                <w:rFonts w:ascii="Arial" w:hAnsi="Arial" w:cs="Arial"/>
                <w:i/>
                <w:sz w:val="24"/>
                <w:szCs w:val="24"/>
              </w:rPr>
              <w:t>a</w:t>
            </w:r>
            <w:r w:rsidR="00841CEC">
              <w:rPr>
                <w:rFonts w:ascii="Arial" w:hAnsi="Arial" w:cs="Arial"/>
                <w:sz w:val="24"/>
                <w:szCs w:val="24"/>
              </w:rPr>
              <w:t>) of the Rules of C</w:t>
            </w:r>
            <w:r w:rsidR="0005042A" w:rsidRPr="002819E1">
              <w:rPr>
                <w:rFonts w:ascii="Arial" w:hAnsi="Arial" w:cs="Arial"/>
                <w:sz w:val="24"/>
                <w:szCs w:val="24"/>
              </w:rPr>
              <w:t>ourt is given in the particulars of claim.</w:t>
            </w:r>
          </w:p>
          <w:p w14:paraId="67920850" w14:textId="77777777" w:rsidR="0005042A" w:rsidRDefault="0005042A" w:rsidP="0005042A">
            <w:pPr>
              <w:pStyle w:val="ListParagraph"/>
              <w:rPr>
                <w:rFonts w:ascii="Arial" w:hAnsi="Arial" w:cs="Arial"/>
                <w:lang w:val="en-US"/>
              </w:rPr>
            </w:pPr>
          </w:p>
          <w:p w14:paraId="6855E1BE" w14:textId="7BF7E3BC" w:rsidR="0005042A" w:rsidRDefault="0005042A" w:rsidP="0005042A">
            <w:pPr>
              <w:pStyle w:val="Body"/>
              <w:numPr>
                <w:ilvl w:val="0"/>
                <w:numId w:val="34"/>
              </w:numPr>
              <w:spacing w:line="360" w:lineRule="auto"/>
              <w:ind w:left="0" w:firstLine="0"/>
              <w:jc w:val="both"/>
              <w:rPr>
                <w:rFonts w:ascii="Arial" w:hAnsi="Arial" w:cs="Arial"/>
                <w:color w:val="auto"/>
                <w:sz w:val="24"/>
                <w:szCs w:val="24"/>
                <w:lang w:val="en-US"/>
              </w:rPr>
            </w:pPr>
            <w:r w:rsidRPr="002819E1">
              <w:rPr>
                <w:rFonts w:ascii="Arial" w:hAnsi="Arial" w:cs="Arial"/>
                <w:color w:val="auto"/>
                <w:sz w:val="24"/>
                <w:szCs w:val="24"/>
                <w:lang w:val="en-US"/>
              </w:rPr>
              <w:t xml:space="preserve">The defendants, by virtue of an affidavit deposed to by </w:t>
            </w:r>
            <w:r w:rsidR="0008168A">
              <w:rPr>
                <w:rFonts w:ascii="Arial" w:hAnsi="Arial" w:cs="Arial"/>
                <w:color w:val="auto"/>
                <w:sz w:val="24"/>
                <w:szCs w:val="24"/>
                <w:lang w:val="en-US"/>
              </w:rPr>
              <w:t xml:space="preserve">the </w:t>
            </w:r>
            <w:r w:rsidRPr="002819E1">
              <w:rPr>
                <w:rFonts w:ascii="Arial" w:hAnsi="Arial" w:cs="Arial"/>
                <w:color w:val="auto"/>
                <w:sz w:val="24"/>
                <w:szCs w:val="24"/>
                <w:lang w:val="en-US"/>
              </w:rPr>
              <w:t>2</w:t>
            </w:r>
            <w:r w:rsidRPr="002819E1">
              <w:rPr>
                <w:rFonts w:ascii="Arial" w:hAnsi="Arial" w:cs="Arial"/>
                <w:color w:val="auto"/>
                <w:sz w:val="24"/>
                <w:szCs w:val="24"/>
                <w:vertAlign w:val="superscript"/>
                <w:lang w:val="en-US"/>
              </w:rPr>
              <w:t>nd</w:t>
            </w:r>
            <w:r w:rsidRPr="002819E1">
              <w:rPr>
                <w:rFonts w:ascii="Arial" w:hAnsi="Arial" w:cs="Arial"/>
                <w:color w:val="auto"/>
                <w:sz w:val="24"/>
                <w:szCs w:val="24"/>
                <w:lang w:val="en-US"/>
              </w:rPr>
              <w:t xml:space="preserve"> defendant, resist the application for summary judgment. Significantly, the opposing affidavit does not deal with the merits of the application in terms of rule 108. For example, there is no evidence before me whether or not the properties are primary homes and if less drastic measures </w:t>
            </w:r>
            <w:r w:rsidR="00841CEC">
              <w:rPr>
                <w:rFonts w:ascii="Arial" w:hAnsi="Arial" w:cs="Arial"/>
                <w:color w:val="auto"/>
                <w:sz w:val="24"/>
                <w:szCs w:val="24"/>
                <w:lang w:val="en-US"/>
              </w:rPr>
              <w:t xml:space="preserve">other </w:t>
            </w:r>
            <w:r w:rsidRPr="002819E1">
              <w:rPr>
                <w:rFonts w:ascii="Arial" w:hAnsi="Arial" w:cs="Arial"/>
                <w:color w:val="auto"/>
                <w:sz w:val="24"/>
                <w:szCs w:val="24"/>
                <w:lang w:val="en-US"/>
              </w:rPr>
              <w:t>than the sale in execution of these properties exist.</w:t>
            </w:r>
          </w:p>
          <w:p w14:paraId="41C21974" w14:textId="77777777" w:rsidR="0005042A" w:rsidRDefault="0005042A" w:rsidP="0005042A">
            <w:pPr>
              <w:pStyle w:val="ListParagraph"/>
              <w:rPr>
                <w:rFonts w:ascii="Arial" w:hAnsi="Arial" w:cs="Arial"/>
              </w:rPr>
            </w:pPr>
          </w:p>
          <w:p w14:paraId="4E575267" w14:textId="19180809" w:rsidR="0005042A" w:rsidRPr="002819E1" w:rsidRDefault="0005042A" w:rsidP="0005042A">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In their defence, the defendants firstly contend that </w:t>
            </w:r>
            <w:r w:rsidR="0008168A">
              <w:rPr>
                <w:rFonts w:ascii="Arial" w:hAnsi="Arial" w:cs="Arial"/>
                <w:sz w:val="24"/>
                <w:szCs w:val="24"/>
              </w:rPr>
              <w:t xml:space="preserve">the </w:t>
            </w:r>
            <w:r>
              <w:rPr>
                <w:rFonts w:ascii="Arial" w:hAnsi="Arial" w:cs="Arial"/>
                <w:sz w:val="24"/>
                <w:szCs w:val="24"/>
              </w:rPr>
              <w:t xml:space="preserve">plaintiff should not be permitted to take a second bite at the cherry by, after </w:t>
            </w:r>
            <w:r w:rsidR="0008168A">
              <w:rPr>
                <w:rFonts w:ascii="Arial" w:hAnsi="Arial" w:cs="Arial"/>
                <w:sz w:val="24"/>
                <w:szCs w:val="24"/>
              </w:rPr>
              <w:t xml:space="preserve">the </w:t>
            </w:r>
            <w:r>
              <w:rPr>
                <w:rFonts w:ascii="Arial" w:hAnsi="Arial" w:cs="Arial"/>
                <w:sz w:val="24"/>
                <w:szCs w:val="24"/>
              </w:rPr>
              <w:t xml:space="preserve">defendants disclosed their defences under rule 32(9), when the first summary judgment was contemplated, amending its particulars of claim and then pursuing a second summary judgment application. Secondly, </w:t>
            </w:r>
            <w:r w:rsidR="0008168A">
              <w:rPr>
                <w:rFonts w:ascii="Arial" w:hAnsi="Arial" w:cs="Arial"/>
                <w:sz w:val="24"/>
                <w:szCs w:val="24"/>
              </w:rPr>
              <w:t xml:space="preserve">the </w:t>
            </w:r>
            <w:r>
              <w:rPr>
                <w:rFonts w:ascii="Arial" w:hAnsi="Arial" w:cs="Arial"/>
                <w:sz w:val="24"/>
                <w:szCs w:val="24"/>
              </w:rPr>
              <w:t xml:space="preserve">defendants contest liability for the loan amount and challenge the ‘restructuring’ based, amongst others, on the two </w:t>
            </w:r>
            <w:r>
              <w:rPr>
                <w:rFonts w:ascii="Arial" w:hAnsi="Arial" w:cs="Arial"/>
                <w:sz w:val="24"/>
                <w:szCs w:val="24"/>
              </w:rPr>
              <w:lastRenderedPageBreak/>
              <w:t>loan agreemen</w:t>
            </w:r>
            <w:r w:rsidR="00841CEC">
              <w:rPr>
                <w:rFonts w:ascii="Arial" w:hAnsi="Arial" w:cs="Arial"/>
                <w:sz w:val="24"/>
                <w:szCs w:val="24"/>
              </w:rPr>
              <w:t xml:space="preserve">ts that have dissimilar terms. </w:t>
            </w:r>
            <w:r>
              <w:rPr>
                <w:rFonts w:ascii="Arial" w:hAnsi="Arial" w:cs="Arial"/>
                <w:sz w:val="24"/>
                <w:szCs w:val="24"/>
              </w:rPr>
              <w:t xml:space="preserve">Finally, </w:t>
            </w:r>
            <w:r w:rsidR="0008168A">
              <w:rPr>
                <w:rFonts w:ascii="Arial" w:hAnsi="Arial" w:cs="Arial"/>
                <w:sz w:val="24"/>
                <w:szCs w:val="24"/>
              </w:rPr>
              <w:t xml:space="preserve">the </w:t>
            </w:r>
            <w:r>
              <w:rPr>
                <w:rFonts w:ascii="Arial" w:hAnsi="Arial" w:cs="Arial"/>
                <w:sz w:val="24"/>
                <w:szCs w:val="24"/>
              </w:rPr>
              <w:t>defendants challenge the constitutionality of rule 108. This challenge turned into a general challenge of all the rules of court during argument.</w:t>
            </w:r>
          </w:p>
          <w:p w14:paraId="07011C67" w14:textId="77777777" w:rsidR="0005042A" w:rsidRPr="002819E1" w:rsidRDefault="0005042A" w:rsidP="0005042A">
            <w:pPr>
              <w:pStyle w:val="Body"/>
              <w:spacing w:line="360" w:lineRule="auto"/>
              <w:jc w:val="both"/>
              <w:rPr>
                <w:rFonts w:ascii="Arial" w:hAnsi="Arial" w:cs="Arial"/>
                <w:color w:val="auto"/>
                <w:sz w:val="24"/>
                <w:szCs w:val="24"/>
                <w:lang w:val="en-US"/>
              </w:rPr>
            </w:pPr>
          </w:p>
          <w:p w14:paraId="50AB4CDF" w14:textId="77777777" w:rsidR="0005042A" w:rsidRDefault="0005042A" w:rsidP="0005042A">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t>Conclusion</w:t>
            </w:r>
          </w:p>
          <w:p w14:paraId="56B0DC5B" w14:textId="77777777" w:rsidR="0005042A" w:rsidRPr="002819E1" w:rsidRDefault="0005042A" w:rsidP="0005042A">
            <w:pPr>
              <w:pStyle w:val="Body"/>
              <w:spacing w:line="360" w:lineRule="auto"/>
              <w:jc w:val="both"/>
              <w:rPr>
                <w:rFonts w:ascii="Arial" w:hAnsi="Arial" w:cs="Arial"/>
                <w:color w:val="auto"/>
                <w:sz w:val="24"/>
                <w:szCs w:val="24"/>
                <w:u w:val="single"/>
                <w:lang w:val="en-US"/>
              </w:rPr>
            </w:pPr>
          </w:p>
          <w:p w14:paraId="5A0264A0" w14:textId="77777777" w:rsidR="0005042A" w:rsidRPr="002819E1" w:rsidRDefault="0005042A" w:rsidP="0005042A">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I considered all the facts and submissions on behalf of the parties and will address only those that I consider relevant for the purposes of my conclusions herein.</w:t>
            </w:r>
          </w:p>
          <w:p w14:paraId="28DB389A" w14:textId="77777777" w:rsidR="0005042A" w:rsidRPr="002819E1" w:rsidRDefault="0005042A" w:rsidP="0005042A">
            <w:pPr>
              <w:pStyle w:val="Body"/>
              <w:spacing w:line="360" w:lineRule="auto"/>
              <w:jc w:val="both"/>
              <w:rPr>
                <w:rFonts w:ascii="Arial" w:hAnsi="Arial" w:cs="Arial"/>
                <w:color w:val="auto"/>
                <w:sz w:val="24"/>
                <w:szCs w:val="24"/>
                <w:lang w:val="en-US"/>
              </w:rPr>
            </w:pPr>
          </w:p>
          <w:p w14:paraId="7D1723B0" w14:textId="219E2D2E" w:rsidR="0005042A" w:rsidRPr="002819E1" w:rsidRDefault="0005042A" w:rsidP="0005042A">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As far as the submissions in respect of the second summary judgment is concerned (the ‘second bite a</w:t>
            </w:r>
            <w:r w:rsidR="00841CEC">
              <w:rPr>
                <w:rFonts w:ascii="Arial" w:hAnsi="Arial" w:cs="Arial"/>
                <w:sz w:val="24"/>
                <w:szCs w:val="24"/>
              </w:rPr>
              <w:t>t the cherry’), rule 60 of the Rules of C</w:t>
            </w:r>
            <w:r>
              <w:rPr>
                <w:rFonts w:ascii="Arial" w:hAnsi="Arial" w:cs="Arial"/>
                <w:sz w:val="24"/>
                <w:szCs w:val="24"/>
              </w:rPr>
              <w:t xml:space="preserve">ourt, which provides for summary judgment, does not prescribe a time period within which summary </w:t>
            </w:r>
            <w:r w:rsidR="0008168A">
              <w:rPr>
                <w:rFonts w:ascii="Arial" w:hAnsi="Arial" w:cs="Arial"/>
                <w:sz w:val="24"/>
                <w:szCs w:val="24"/>
              </w:rPr>
              <w:t xml:space="preserve">judgment should be applied for. </w:t>
            </w:r>
            <w:r>
              <w:rPr>
                <w:rFonts w:ascii="Arial" w:hAnsi="Arial" w:cs="Arial"/>
                <w:sz w:val="24"/>
                <w:szCs w:val="24"/>
              </w:rPr>
              <w:t>Rule 60(4) grants the managing judge jurisdiction to give directions regarding the adjudication of an ap</w:t>
            </w:r>
            <w:r w:rsidR="0008168A">
              <w:rPr>
                <w:rFonts w:ascii="Arial" w:hAnsi="Arial" w:cs="Arial"/>
                <w:sz w:val="24"/>
                <w:szCs w:val="24"/>
              </w:rPr>
              <w:t>plication for summary judgment.</w:t>
            </w:r>
            <w:r>
              <w:rPr>
                <w:rFonts w:ascii="Arial" w:hAnsi="Arial" w:cs="Arial"/>
                <w:sz w:val="24"/>
                <w:szCs w:val="24"/>
              </w:rPr>
              <w:t xml:space="preserve"> I could </w:t>
            </w:r>
            <w:r w:rsidR="00841CEC">
              <w:rPr>
                <w:rFonts w:ascii="Arial" w:hAnsi="Arial" w:cs="Arial"/>
                <w:sz w:val="24"/>
                <w:szCs w:val="24"/>
              </w:rPr>
              <w:t>not find anything</w:t>
            </w:r>
            <w:r>
              <w:rPr>
                <w:rFonts w:ascii="Arial" w:hAnsi="Arial" w:cs="Arial"/>
                <w:sz w:val="24"/>
                <w:szCs w:val="24"/>
              </w:rPr>
              <w:t xml:space="preserve"> in the rules that places a limitation on the </w:t>
            </w:r>
            <w:r w:rsidR="0008168A">
              <w:rPr>
                <w:rFonts w:ascii="Arial" w:hAnsi="Arial" w:cs="Arial"/>
                <w:sz w:val="24"/>
                <w:szCs w:val="24"/>
              </w:rPr>
              <w:t xml:space="preserve">process the plaintiff adopted. </w:t>
            </w:r>
            <w:r>
              <w:rPr>
                <w:rFonts w:ascii="Arial" w:hAnsi="Arial" w:cs="Arial"/>
                <w:sz w:val="24"/>
                <w:szCs w:val="24"/>
              </w:rPr>
              <w:t xml:space="preserve">At best for </w:t>
            </w:r>
            <w:r w:rsidR="0008168A">
              <w:rPr>
                <w:rFonts w:ascii="Arial" w:hAnsi="Arial" w:cs="Arial"/>
                <w:sz w:val="24"/>
                <w:szCs w:val="24"/>
              </w:rPr>
              <w:t xml:space="preserve">the </w:t>
            </w:r>
            <w:r>
              <w:rPr>
                <w:rFonts w:ascii="Arial" w:hAnsi="Arial" w:cs="Arial"/>
                <w:sz w:val="24"/>
                <w:szCs w:val="24"/>
              </w:rPr>
              <w:t>defendants</w:t>
            </w:r>
            <w:r w:rsidR="003F2501">
              <w:rPr>
                <w:rFonts w:ascii="Arial" w:hAnsi="Arial" w:cs="Arial"/>
                <w:sz w:val="24"/>
                <w:szCs w:val="24"/>
              </w:rPr>
              <w:t>, the irregular proceeding</w:t>
            </w:r>
            <w:r w:rsidR="00841CEC">
              <w:rPr>
                <w:rFonts w:ascii="Arial" w:hAnsi="Arial" w:cs="Arial"/>
                <w:sz w:val="24"/>
                <w:szCs w:val="24"/>
              </w:rPr>
              <w:t>s</w:t>
            </w:r>
            <w:r>
              <w:rPr>
                <w:rFonts w:ascii="Arial" w:hAnsi="Arial" w:cs="Arial"/>
                <w:sz w:val="24"/>
                <w:szCs w:val="24"/>
              </w:rPr>
              <w:t xml:space="preserve"> provision in terms of rule 61 may</w:t>
            </w:r>
            <w:r w:rsidR="0008168A">
              <w:rPr>
                <w:rFonts w:ascii="Arial" w:hAnsi="Arial" w:cs="Arial"/>
                <w:sz w:val="24"/>
                <w:szCs w:val="24"/>
              </w:rPr>
              <w:t xml:space="preserve"> have availed them.</w:t>
            </w:r>
            <w:r>
              <w:rPr>
                <w:rFonts w:ascii="Arial" w:hAnsi="Arial" w:cs="Arial"/>
                <w:sz w:val="24"/>
                <w:szCs w:val="24"/>
              </w:rPr>
              <w:t xml:space="preserve"> However, I do not understand </w:t>
            </w:r>
            <w:r w:rsidR="0008168A">
              <w:rPr>
                <w:rFonts w:ascii="Arial" w:hAnsi="Arial" w:cs="Arial"/>
                <w:sz w:val="24"/>
                <w:szCs w:val="24"/>
              </w:rPr>
              <w:t xml:space="preserve">the </w:t>
            </w:r>
            <w:r>
              <w:rPr>
                <w:rFonts w:ascii="Arial" w:hAnsi="Arial" w:cs="Arial"/>
                <w:sz w:val="24"/>
                <w:szCs w:val="24"/>
              </w:rPr>
              <w:t>defendants to contend that they have been prejudiced in this process. In my view</w:t>
            </w:r>
            <w:r w:rsidR="0008168A">
              <w:rPr>
                <w:rFonts w:ascii="Arial" w:hAnsi="Arial" w:cs="Arial"/>
                <w:sz w:val="24"/>
                <w:szCs w:val="24"/>
              </w:rPr>
              <w:t>,</w:t>
            </w:r>
            <w:r>
              <w:rPr>
                <w:rFonts w:ascii="Arial" w:hAnsi="Arial" w:cs="Arial"/>
                <w:sz w:val="24"/>
                <w:szCs w:val="24"/>
              </w:rPr>
              <w:t xml:space="preserve"> this is not a good point. </w:t>
            </w:r>
          </w:p>
          <w:p w14:paraId="7BC11C88" w14:textId="77777777" w:rsidR="0005042A" w:rsidRPr="002819E1" w:rsidRDefault="0005042A" w:rsidP="0005042A">
            <w:pPr>
              <w:pStyle w:val="Body"/>
              <w:spacing w:line="360" w:lineRule="auto"/>
              <w:jc w:val="both"/>
              <w:rPr>
                <w:rFonts w:ascii="Arial" w:hAnsi="Arial" w:cs="Arial"/>
                <w:color w:val="auto"/>
                <w:sz w:val="24"/>
                <w:szCs w:val="24"/>
                <w:lang w:val="en-US"/>
              </w:rPr>
            </w:pPr>
          </w:p>
          <w:p w14:paraId="3A708884" w14:textId="0D13896F" w:rsidR="0005042A" w:rsidRPr="002819E1" w:rsidRDefault="0005042A" w:rsidP="0005042A">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In the opposing affidavit on behalf of the defendants</w:t>
            </w:r>
            <w:r w:rsidR="0008168A">
              <w:rPr>
                <w:rFonts w:ascii="Arial" w:hAnsi="Arial" w:cs="Arial"/>
                <w:sz w:val="24"/>
                <w:szCs w:val="24"/>
              </w:rPr>
              <w:t>,</w:t>
            </w:r>
            <w:r>
              <w:rPr>
                <w:rFonts w:ascii="Arial" w:hAnsi="Arial" w:cs="Arial"/>
                <w:sz w:val="24"/>
                <w:szCs w:val="24"/>
              </w:rPr>
              <w:t xml:space="preserve"> the deponent contends that the 2021 loan agreement has different ter</w:t>
            </w:r>
            <w:r w:rsidR="0008168A">
              <w:rPr>
                <w:rFonts w:ascii="Arial" w:hAnsi="Arial" w:cs="Arial"/>
                <w:sz w:val="24"/>
                <w:szCs w:val="24"/>
              </w:rPr>
              <w:t>ms than the 2015 loan agreement</w:t>
            </w:r>
            <w:r>
              <w:rPr>
                <w:rFonts w:ascii="Arial" w:hAnsi="Arial" w:cs="Arial"/>
                <w:sz w:val="24"/>
                <w:szCs w:val="24"/>
              </w:rPr>
              <w:t xml:space="preserve"> and the defendants deny having received the ‘new’ loan. It is also denied that</w:t>
            </w:r>
            <w:r w:rsidR="0008168A">
              <w:rPr>
                <w:rFonts w:ascii="Arial" w:hAnsi="Arial" w:cs="Arial"/>
                <w:sz w:val="24"/>
                <w:szCs w:val="24"/>
              </w:rPr>
              <w:t xml:space="preserve"> a restructuring occurred here.</w:t>
            </w:r>
            <w:r>
              <w:rPr>
                <w:rFonts w:ascii="Arial" w:hAnsi="Arial" w:cs="Arial"/>
                <w:sz w:val="24"/>
                <w:szCs w:val="24"/>
              </w:rPr>
              <w:t xml:space="preserve"> During argument</w:t>
            </w:r>
            <w:r w:rsidR="0008168A">
              <w:rPr>
                <w:rFonts w:ascii="Arial" w:hAnsi="Arial" w:cs="Arial"/>
                <w:sz w:val="24"/>
                <w:szCs w:val="24"/>
              </w:rPr>
              <w:t>,</w:t>
            </w:r>
            <w:r>
              <w:rPr>
                <w:rFonts w:ascii="Arial" w:hAnsi="Arial" w:cs="Arial"/>
                <w:sz w:val="24"/>
                <w:szCs w:val="24"/>
              </w:rPr>
              <w:t xml:space="preserve"> Mr </w:t>
            </w:r>
            <w:proofErr w:type="spellStart"/>
            <w:r>
              <w:rPr>
                <w:rFonts w:ascii="Arial" w:hAnsi="Arial" w:cs="Arial"/>
                <w:sz w:val="24"/>
                <w:szCs w:val="24"/>
              </w:rPr>
              <w:t>Amoomo</w:t>
            </w:r>
            <w:proofErr w:type="spellEnd"/>
            <w:r>
              <w:rPr>
                <w:rFonts w:ascii="Arial" w:hAnsi="Arial" w:cs="Arial"/>
                <w:sz w:val="24"/>
                <w:szCs w:val="24"/>
              </w:rPr>
              <w:t>, who appeared for the defendants, also argued that there is a difference between a restructuring agreement and a loan agreement. He was critical of paragraph 18 of the particulars of claim which alleges that the plaintiff and</w:t>
            </w:r>
            <w:r w:rsidR="0008168A">
              <w:rPr>
                <w:rFonts w:ascii="Arial" w:hAnsi="Arial" w:cs="Arial"/>
                <w:sz w:val="24"/>
                <w:szCs w:val="24"/>
              </w:rPr>
              <w:t xml:space="preserve"> the</w:t>
            </w:r>
            <w:r>
              <w:rPr>
                <w:rFonts w:ascii="Arial" w:hAnsi="Arial" w:cs="Arial"/>
                <w:sz w:val="24"/>
                <w:szCs w:val="24"/>
              </w:rPr>
              <w:t xml:space="preserve"> 1</w:t>
            </w:r>
            <w:r w:rsidRPr="002819E1">
              <w:rPr>
                <w:rFonts w:ascii="Arial" w:hAnsi="Arial" w:cs="Arial"/>
                <w:sz w:val="24"/>
                <w:szCs w:val="24"/>
                <w:vertAlign w:val="superscript"/>
              </w:rPr>
              <w:t>st</w:t>
            </w:r>
            <w:r>
              <w:rPr>
                <w:rFonts w:ascii="Arial" w:hAnsi="Arial" w:cs="Arial"/>
                <w:sz w:val="24"/>
                <w:szCs w:val="24"/>
              </w:rPr>
              <w:t xml:space="preserve"> defendant orally agreed on a restructuring without setting out the terms.</w:t>
            </w:r>
          </w:p>
          <w:p w14:paraId="0A31F437" w14:textId="77777777" w:rsidR="0005042A" w:rsidRPr="002819E1" w:rsidRDefault="0005042A" w:rsidP="0005042A">
            <w:pPr>
              <w:pStyle w:val="Body"/>
              <w:spacing w:line="360" w:lineRule="auto"/>
              <w:jc w:val="both"/>
              <w:rPr>
                <w:rFonts w:ascii="Arial" w:hAnsi="Arial" w:cs="Arial"/>
                <w:color w:val="auto"/>
                <w:sz w:val="24"/>
                <w:szCs w:val="24"/>
                <w:lang w:val="en-US"/>
              </w:rPr>
            </w:pPr>
          </w:p>
          <w:p w14:paraId="3972A7AA" w14:textId="4494A650" w:rsidR="0005042A" w:rsidRPr="002819E1" w:rsidRDefault="0005042A" w:rsidP="0005042A">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In my view</w:t>
            </w:r>
            <w:r w:rsidR="0008168A">
              <w:rPr>
                <w:rFonts w:ascii="Arial" w:hAnsi="Arial" w:cs="Arial"/>
                <w:sz w:val="24"/>
                <w:szCs w:val="24"/>
              </w:rPr>
              <w:t>,</w:t>
            </w:r>
            <w:r>
              <w:rPr>
                <w:rFonts w:ascii="Arial" w:hAnsi="Arial" w:cs="Arial"/>
                <w:sz w:val="24"/>
                <w:szCs w:val="24"/>
              </w:rPr>
              <w:t xml:space="preserve"> there is no substance in Mr </w:t>
            </w:r>
            <w:proofErr w:type="spellStart"/>
            <w:r>
              <w:rPr>
                <w:rFonts w:ascii="Arial" w:hAnsi="Arial" w:cs="Arial"/>
                <w:sz w:val="24"/>
                <w:szCs w:val="24"/>
              </w:rPr>
              <w:t>Amoomo’s</w:t>
            </w:r>
            <w:proofErr w:type="spellEnd"/>
            <w:r>
              <w:rPr>
                <w:rFonts w:ascii="Arial" w:hAnsi="Arial" w:cs="Arial"/>
                <w:sz w:val="24"/>
                <w:szCs w:val="24"/>
              </w:rPr>
              <w:t xml:space="preserve"> submissions. </w:t>
            </w:r>
            <w:r w:rsidR="0008168A">
              <w:rPr>
                <w:rFonts w:ascii="Arial" w:hAnsi="Arial" w:cs="Arial"/>
                <w:sz w:val="24"/>
                <w:szCs w:val="24"/>
              </w:rPr>
              <w:t>The p</w:t>
            </w:r>
            <w:r w:rsidR="00841CEC">
              <w:rPr>
                <w:rFonts w:ascii="Arial" w:hAnsi="Arial" w:cs="Arial"/>
                <w:sz w:val="24"/>
                <w:szCs w:val="24"/>
              </w:rPr>
              <w:t>laintiff’s case is simple;</w:t>
            </w:r>
            <w:r>
              <w:rPr>
                <w:rFonts w:ascii="Arial" w:hAnsi="Arial" w:cs="Arial"/>
                <w:sz w:val="24"/>
                <w:szCs w:val="24"/>
              </w:rPr>
              <w:t xml:space="preserve"> </w:t>
            </w:r>
            <w:r w:rsidR="0008168A">
              <w:rPr>
                <w:rFonts w:ascii="Arial" w:hAnsi="Arial" w:cs="Arial"/>
                <w:sz w:val="24"/>
                <w:szCs w:val="24"/>
              </w:rPr>
              <w:t xml:space="preserve">the </w:t>
            </w:r>
            <w:r>
              <w:rPr>
                <w:rFonts w:ascii="Arial" w:hAnsi="Arial" w:cs="Arial"/>
                <w:sz w:val="24"/>
                <w:szCs w:val="24"/>
              </w:rPr>
              <w:t>1</w:t>
            </w:r>
            <w:r w:rsidRPr="002819E1">
              <w:rPr>
                <w:rFonts w:ascii="Arial" w:hAnsi="Arial" w:cs="Arial"/>
                <w:sz w:val="24"/>
                <w:szCs w:val="24"/>
                <w:vertAlign w:val="superscript"/>
              </w:rPr>
              <w:t>st</w:t>
            </w:r>
            <w:r>
              <w:rPr>
                <w:rFonts w:ascii="Arial" w:hAnsi="Arial" w:cs="Arial"/>
                <w:sz w:val="24"/>
                <w:szCs w:val="24"/>
              </w:rPr>
              <w:t xml:space="preserve"> defendant got a loan from</w:t>
            </w:r>
            <w:r w:rsidR="0008168A">
              <w:rPr>
                <w:rFonts w:ascii="Arial" w:hAnsi="Arial" w:cs="Arial"/>
                <w:sz w:val="24"/>
                <w:szCs w:val="24"/>
              </w:rPr>
              <w:t xml:space="preserve"> the</w:t>
            </w:r>
            <w:r>
              <w:rPr>
                <w:rFonts w:ascii="Arial" w:hAnsi="Arial" w:cs="Arial"/>
                <w:sz w:val="24"/>
                <w:szCs w:val="24"/>
              </w:rPr>
              <w:t xml:space="preserve"> plaintiff in 2015. It ran into arrears and it was agreed that the loan should be restructured. In order to </w:t>
            </w:r>
            <w:proofErr w:type="gramStart"/>
            <w:r>
              <w:rPr>
                <w:rFonts w:ascii="Arial" w:hAnsi="Arial" w:cs="Arial"/>
                <w:sz w:val="24"/>
                <w:szCs w:val="24"/>
              </w:rPr>
              <w:t>effect</w:t>
            </w:r>
            <w:proofErr w:type="gramEnd"/>
            <w:r>
              <w:rPr>
                <w:rFonts w:ascii="Arial" w:hAnsi="Arial" w:cs="Arial"/>
                <w:sz w:val="24"/>
                <w:szCs w:val="24"/>
              </w:rPr>
              <w:t xml:space="preserve"> the restructuring</w:t>
            </w:r>
            <w:r w:rsidR="0008168A">
              <w:rPr>
                <w:rFonts w:ascii="Arial" w:hAnsi="Arial" w:cs="Arial"/>
                <w:sz w:val="24"/>
                <w:szCs w:val="24"/>
              </w:rPr>
              <w:t>,</w:t>
            </w:r>
            <w:r>
              <w:rPr>
                <w:rFonts w:ascii="Arial" w:hAnsi="Arial" w:cs="Arial"/>
                <w:sz w:val="24"/>
                <w:szCs w:val="24"/>
              </w:rPr>
              <w:t xml:space="preserve"> a new loan agreement was entered into in 2021. The money advanced in terms of this new loan agreement </w:t>
            </w:r>
            <w:r>
              <w:rPr>
                <w:rFonts w:ascii="Arial" w:hAnsi="Arial" w:cs="Arial"/>
                <w:sz w:val="24"/>
                <w:szCs w:val="24"/>
              </w:rPr>
              <w:lastRenderedPageBreak/>
              <w:t>was used to pay the 2</w:t>
            </w:r>
            <w:r w:rsidR="0008168A">
              <w:rPr>
                <w:rFonts w:ascii="Arial" w:hAnsi="Arial" w:cs="Arial"/>
                <w:sz w:val="24"/>
                <w:szCs w:val="24"/>
              </w:rPr>
              <w:t xml:space="preserve">015 loan which was in arrears. </w:t>
            </w:r>
            <w:r>
              <w:rPr>
                <w:rFonts w:ascii="Arial" w:hAnsi="Arial" w:cs="Arial"/>
                <w:sz w:val="24"/>
                <w:szCs w:val="24"/>
              </w:rPr>
              <w:t>The</w:t>
            </w:r>
            <w:r w:rsidR="0008168A">
              <w:rPr>
                <w:rFonts w:ascii="Arial" w:hAnsi="Arial" w:cs="Arial"/>
                <w:sz w:val="24"/>
                <w:szCs w:val="24"/>
              </w:rPr>
              <w:t xml:space="preserve"> terms of the ‘restructuring’ are</w:t>
            </w:r>
            <w:r>
              <w:rPr>
                <w:rFonts w:ascii="Arial" w:hAnsi="Arial" w:cs="Arial"/>
                <w:sz w:val="24"/>
                <w:szCs w:val="24"/>
              </w:rPr>
              <w:t xml:space="preserve"> neither here nor there. It does not constitute </w:t>
            </w:r>
            <w:r w:rsidR="0008168A">
              <w:rPr>
                <w:rFonts w:ascii="Arial" w:hAnsi="Arial" w:cs="Arial"/>
                <w:sz w:val="24"/>
                <w:szCs w:val="24"/>
              </w:rPr>
              <w:t xml:space="preserve">the </w:t>
            </w:r>
            <w:r>
              <w:rPr>
                <w:rFonts w:ascii="Arial" w:hAnsi="Arial" w:cs="Arial"/>
                <w:sz w:val="24"/>
                <w:szCs w:val="24"/>
              </w:rPr>
              <w:t xml:space="preserve">plaintiff’s cause of action. The allegations in paragraph 18 of the particulars of claim relating to restructuring are simply part of the narrative. The 2021 loan agreement is being enforced here. I am satisfied that </w:t>
            </w:r>
            <w:r w:rsidR="0008168A">
              <w:rPr>
                <w:rFonts w:ascii="Arial" w:hAnsi="Arial" w:cs="Arial"/>
                <w:sz w:val="24"/>
                <w:szCs w:val="24"/>
              </w:rPr>
              <w:t xml:space="preserve">the </w:t>
            </w:r>
            <w:r>
              <w:rPr>
                <w:rFonts w:ascii="Arial" w:hAnsi="Arial" w:cs="Arial"/>
                <w:sz w:val="24"/>
                <w:szCs w:val="24"/>
              </w:rPr>
              <w:t xml:space="preserve">plaintiff made out a case for summary judgment in respect of the loan and </w:t>
            </w:r>
            <w:r w:rsidR="0008168A">
              <w:rPr>
                <w:rFonts w:ascii="Arial" w:hAnsi="Arial" w:cs="Arial"/>
                <w:sz w:val="24"/>
                <w:szCs w:val="24"/>
              </w:rPr>
              <w:t xml:space="preserve">the </w:t>
            </w:r>
            <w:r>
              <w:rPr>
                <w:rFonts w:ascii="Arial" w:hAnsi="Arial" w:cs="Arial"/>
                <w:sz w:val="24"/>
                <w:szCs w:val="24"/>
              </w:rPr>
              <w:t xml:space="preserve">defendants did not disclose a </w:t>
            </w:r>
            <w:r w:rsidRPr="002819E1">
              <w:rPr>
                <w:rFonts w:ascii="Arial" w:hAnsi="Arial" w:cs="Arial"/>
                <w:i/>
                <w:iCs/>
                <w:sz w:val="24"/>
                <w:szCs w:val="24"/>
              </w:rPr>
              <w:t xml:space="preserve">bona fide </w:t>
            </w:r>
            <w:r>
              <w:rPr>
                <w:rFonts w:ascii="Arial" w:hAnsi="Arial" w:cs="Arial"/>
                <w:sz w:val="24"/>
                <w:szCs w:val="24"/>
              </w:rPr>
              <w:t>defence.</w:t>
            </w:r>
          </w:p>
          <w:p w14:paraId="7E96FBBF" w14:textId="77777777" w:rsidR="0005042A" w:rsidRPr="002819E1" w:rsidRDefault="0005042A" w:rsidP="0005042A">
            <w:pPr>
              <w:pStyle w:val="Body"/>
              <w:spacing w:line="360" w:lineRule="auto"/>
              <w:jc w:val="both"/>
              <w:rPr>
                <w:rFonts w:ascii="Arial" w:hAnsi="Arial" w:cs="Arial"/>
                <w:color w:val="auto"/>
                <w:sz w:val="24"/>
                <w:szCs w:val="24"/>
                <w:lang w:val="en-US"/>
              </w:rPr>
            </w:pPr>
          </w:p>
          <w:p w14:paraId="0144CA2C" w14:textId="7E47D980" w:rsidR="0005042A" w:rsidRPr="002819E1" w:rsidRDefault="0005042A" w:rsidP="0005042A">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I am not going to entertain </w:t>
            </w:r>
            <w:r w:rsidR="0008168A">
              <w:rPr>
                <w:rFonts w:ascii="Arial" w:hAnsi="Arial" w:cs="Arial"/>
                <w:sz w:val="24"/>
                <w:szCs w:val="24"/>
              </w:rPr>
              <w:t xml:space="preserve">the </w:t>
            </w:r>
            <w:r>
              <w:rPr>
                <w:rFonts w:ascii="Arial" w:hAnsi="Arial" w:cs="Arial"/>
                <w:sz w:val="24"/>
                <w:szCs w:val="24"/>
              </w:rPr>
              <w:t>defendants’ constitutional points since this matter can</w:t>
            </w:r>
            <w:r w:rsidR="0008168A">
              <w:rPr>
                <w:rFonts w:ascii="Arial" w:hAnsi="Arial" w:cs="Arial"/>
                <w:sz w:val="24"/>
                <w:szCs w:val="24"/>
              </w:rPr>
              <w:t>,</w:t>
            </w:r>
            <w:r>
              <w:rPr>
                <w:rFonts w:ascii="Arial" w:hAnsi="Arial" w:cs="Arial"/>
                <w:sz w:val="24"/>
                <w:szCs w:val="24"/>
              </w:rPr>
              <w:t xml:space="preserve"> in my view</w:t>
            </w:r>
            <w:r w:rsidR="0008168A">
              <w:rPr>
                <w:rFonts w:ascii="Arial" w:hAnsi="Arial" w:cs="Arial"/>
                <w:sz w:val="24"/>
                <w:szCs w:val="24"/>
              </w:rPr>
              <w:t>,</w:t>
            </w:r>
            <w:r>
              <w:rPr>
                <w:rFonts w:ascii="Arial" w:hAnsi="Arial" w:cs="Arial"/>
                <w:sz w:val="24"/>
                <w:szCs w:val="24"/>
              </w:rPr>
              <w:t xml:space="preserve"> be decided on the merits and the constitutional issue would not afford </w:t>
            </w:r>
            <w:r w:rsidR="0008168A">
              <w:rPr>
                <w:rFonts w:ascii="Arial" w:hAnsi="Arial" w:cs="Arial"/>
                <w:sz w:val="24"/>
                <w:szCs w:val="24"/>
              </w:rPr>
              <w:t xml:space="preserve">the </w:t>
            </w:r>
            <w:r>
              <w:rPr>
                <w:rFonts w:ascii="Arial" w:hAnsi="Arial" w:cs="Arial"/>
                <w:sz w:val="24"/>
                <w:szCs w:val="24"/>
              </w:rPr>
              <w:t>defendants a defence. In addition, the Constitution is not a blunt instrument. It sh</w:t>
            </w:r>
            <w:r w:rsidR="0008168A">
              <w:rPr>
                <w:rFonts w:ascii="Arial" w:hAnsi="Arial" w:cs="Arial"/>
                <w:sz w:val="24"/>
                <w:szCs w:val="24"/>
              </w:rPr>
              <w:t>ould be utilis</w:t>
            </w:r>
            <w:r>
              <w:rPr>
                <w:rFonts w:ascii="Arial" w:hAnsi="Arial" w:cs="Arial"/>
                <w:sz w:val="24"/>
                <w:szCs w:val="24"/>
              </w:rPr>
              <w:t>ed as a scalpel.</w:t>
            </w:r>
          </w:p>
          <w:p w14:paraId="470CB028" w14:textId="77777777" w:rsidR="0005042A" w:rsidRPr="002819E1" w:rsidRDefault="0005042A" w:rsidP="0005042A">
            <w:pPr>
              <w:pStyle w:val="Body"/>
              <w:spacing w:line="360" w:lineRule="auto"/>
              <w:jc w:val="both"/>
              <w:rPr>
                <w:rFonts w:ascii="Arial" w:hAnsi="Arial" w:cs="Arial"/>
                <w:color w:val="auto"/>
                <w:sz w:val="24"/>
                <w:szCs w:val="24"/>
                <w:lang w:val="en-US"/>
              </w:rPr>
            </w:pPr>
          </w:p>
          <w:p w14:paraId="4CCED4E2" w14:textId="40C2416C" w:rsidR="0005042A" w:rsidRPr="002819E1" w:rsidRDefault="0008168A" w:rsidP="0005042A">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The d</w:t>
            </w:r>
            <w:r w:rsidR="0005042A">
              <w:rPr>
                <w:rFonts w:ascii="Arial" w:hAnsi="Arial" w:cs="Arial"/>
                <w:sz w:val="24"/>
                <w:szCs w:val="24"/>
              </w:rPr>
              <w:t>efendants chose not to put facts before the court to determine the requirements of rule 108. In my view</w:t>
            </w:r>
            <w:r>
              <w:rPr>
                <w:rFonts w:ascii="Arial" w:hAnsi="Arial" w:cs="Arial"/>
                <w:sz w:val="24"/>
                <w:szCs w:val="24"/>
              </w:rPr>
              <w:t>,</w:t>
            </w:r>
            <w:r w:rsidR="0005042A">
              <w:rPr>
                <w:rFonts w:ascii="Arial" w:hAnsi="Arial" w:cs="Arial"/>
                <w:sz w:val="24"/>
                <w:szCs w:val="24"/>
              </w:rPr>
              <w:t xml:space="preserve"> it amounts to a waiver of the protection afforded by the rule. According to the opposing affidavit</w:t>
            </w:r>
            <w:r>
              <w:rPr>
                <w:rFonts w:ascii="Arial" w:hAnsi="Arial" w:cs="Arial"/>
                <w:sz w:val="24"/>
                <w:szCs w:val="24"/>
              </w:rPr>
              <w:t>,</w:t>
            </w:r>
            <w:r w:rsidR="0005042A">
              <w:rPr>
                <w:rFonts w:ascii="Arial" w:hAnsi="Arial" w:cs="Arial"/>
                <w:sz w:val="24"/>
                <w:szCs w:val="24"/>
              </w:rPr>
              <w:t xml:space="preserve"> the deponent (</w:t>
            </w:r>
            <w:r>
              <w:rPr>
                <w:rFonts w:ascii="Arial" w:hAnsi="Arial" w:cs="Arial"/>
                <w:sz w:val="24"/>
                <w:szCs w:val="24"/>
              </w:rPr>
              <w:t xml:space="preserve">the </w:t>
            </w:r>
            <w:r w:rsidR="0005042A">
              <w:rPr>
                <w:rFonts w:ascii="Arial" w:hAnsi="Arial" w:cs="Arial"/>
                <w:sz w:val="24"/>
                <w:szCs w:val="24"/>
              </w:rPr>
              <w:t>2</w:t>
            </w:r>
            <w:r w:rsidR="0005042A" w:rsidRPr="002819E1">
              <w:rPr>
                <w:rFonts w:ascii="Arial" w:hAnsi="Arial" w:cs="Arial"/>
                <w:sz w:val="24"/>
                <w:szCs w:val="24"/>
                <w:vertAlign w:val="superscript"/>
              </w:rPr>
              <w:t>nd</w:t>
            </w:r>
            <w:r w:rsidR="0005042A">
              <w:rPr>
                <w:rFonts w:ascii="Arial" w:hAnsi="Arial" w:cs="Arial"/>
                <w:sz w:val="24"/>
                <w:szCs w:val="24"/>
              </w:rPr>
              <w:t xml:space="preserve"> defendant) resides in </w:t>
            </w:r>
            <w:proofErr w:type="spellStart"/>
            <w:r w:rsidR="0005042A">
              <w:rPr>
                <w:rFonts w:ascii="Arial" w:hAnsi="Arial" w:cs="Arial"/>
                <w:sz w:val="24"/>
                <w:szCs w:val="24"/>
              </w:rPr>
              <w:t>Brakwater</w:t>
            </w:r>
            <w:proofErr w:type="spellEnd"/>
            <w:r w:rsidR="0005042A">
              <w:rPr>
                <w:rFonts w:ascii="Arial" w:hAnsi="Arial" w:cs="Arial"/>
                <w:sz w:val="24"/>
                <w:szCs w:val="24"/>
              </w:rPr>
              <w:t xml:space="preserve">, not on any of the farms. There is no evidence before me that either of the farms is a primary home. As mentioned above there is also no indication of less drastic measures than sale in execution of the farms.   </w:t>
            </w:r>
            <w:r>
              <w:rPr>
                <w:rFonts w:ascii="Arial" w:hAnsi="Arial" w:cs="Arial"/>
                <w:sz w:val="24"/>
                <w:szCs w:val="24"/>
              </w:rPr>
              <w:t>There are therefore no less drastic measures</w:t>
            </w:r>
            <w:r w:rsidR="0005042A">
              <w:rPr>
                <w:rFonts w:ascii="Arial" w:hAnsi="Arial" w:cs="Arial"/>
                <w:sz w:val="24"/>
                <w:szCs w:val="24"/>
              </w:rPr>
              <w:t xml:space="preserve"> before me for the rule 108 application.</w:t>
            </w:r>
          </w:p>
          <w:p w14:paraId="35C9CC0D" w14:textId="77777777" w:rsidR="0005042A" w:rsidRPr="002819E1" w:rsidRDefault="0005042A" w:rsidP="0005042A">
            <w:pPr>
              <w:pStyle w:val="Body"/>
              <w:spacing w:line="360" w:lineRule="auto"/>
              <w:jc w:val="both"/>
              <w:rPr>
                <w:rFonts w:ascii="Arial" w:hAnsi="Arial" w:cs="Arial"/>
                <w:color w:val="auto"/>
                <w:sz w:val="24"/>
                <w:szCs w:val="24"/>
                <w:lang w:val="en-US"/>
              </w:rPr>
            </w:pPr>
          </w:p>
          <w:p w14:paraId="19A5E26C" w14:textId="7043382A" w:rsidR="0005042A" w:rsidRPr="002819E1" w:rsidRDefault="0005042A" w:rsidP="0005042A">
            <w:pPr>
              <w:pStyle w:val="Body"/>
              <w:numPr>
                <w:ilvl w:val="0"/>
                <w:numId w:val="34"/>
              </w:numPr>
              <w:spacing w:line="360" w:lineRule="auto"/>
              <w:ind w:left="0" w:firstLine="0"/>
              <w:jc w:val="both"/>
              <w:rPr>
                <w:rFonts w:ascii="Arial" w:hAnsi="Arial" w:cs="Arial"/>
                <w:color w:val="auto"/>
                <w:sz w:val="24"/>
                <w:szCs w:val="24"/>
                <w:lang w:val="en-US"/>
              </w:rPr>
            </w:pPr>
            <w:r w:rsidRPr="00F336D4">
              <w:rPr>
                <w:rFonts w:ascii="Arial" w:hAnsi="Arial" w:cs="Arial"/>
                <w:sz w:val="24"/>
                <w:szCs w:val="24"/>
              </w:rPr>
              <w:t>Accordingly</w:t>
            </w:r>
            <w:r w:rsidR="00322B3E">
              <w:rPr>
                <w:rFonts w:ascii="Arial" w:hAnsi="Arial" w:cs="Arial"/>
                <w:sz w:val="24"/>
                <w:szCs w:val="24"/>
              </w:rPr>
              <w:t>,</w:t>
            </w:r>
            <w:r w:rsidRPr="00F336D4">
              <w:rPr>
                <w:rFonts w:ascii="Arial" w:hAnsi="Arial" w:cs="Arial"/>
                <w:sz w:val="24"/>
                <w:szCs w:val="24"/>
              </w:rPr>
              <w:t xml:space="preserve"> I make the follow</w:t>
            </w:r>
            <w:r w:rsidR="00322B3E">
              <w:rPr>
                <w:rFonts w:ascii="Arial" w:hAnsi="Arial" w:cs="Arial"/>
                <w:sz w:val="24"/>
                <w:szCs w:val="24"/>
              </w:rPr>
              <w:t>ing</w:t>
            </w:r>
            <w:r w:rsidRPr="00F336D4">
              <w:rPr>
                <w:rFonts w:ascii="Arial" w:hAnsi="Arial" w:cs="Arial"/>
                <w:sz w:val="24"/>
                <w:szCs w:val="24"/>
              </w:rPr>
              <w:t xml:space="preserve"> order</w:t>
            </w:r>
            <w:r>
              <w:rPr>
                <w:rFonts w:ascii="Arial" w:hAnsi="Arial" w:cs="Arial"/>
                <w:sz w:val="24"/>
                <w:szCs w:val="24"/>
              </w:rPr>
              <w:t>:</w:t>
            </w:r>
          </w:p>
          <w:p w14:paraId="0BEBF898" w14:textId="77777777" w:rsidR="0005042A" w:rsidRDefault="0005042A" w:rsidP="0005042A">
            <w:pPr>
              <w:spacing w:line="360" w:lineRule="auto"/>
            </w:pPr>
          </w:p>
          <w:p w14:paraId="001B59B6" w14:textId="522CBCAF" w:rsidR="0008168A" w:rsidRDefault="0008168A" w:rsidP="0008168A">
            <w:pPr>
              <w:pStyle w:val="ListParagraph"/>
              <w:numPr>
                <w:ilvl w:val="0"/>
                <w:numId w:val="35"/>
              </w:numPr>
              <w:pBdr>
                <w:top w:val="nil"/>
                <w:left w:val="nil"/>
                <w:bottom w:val="nil"/>
                <w:right w:val="nil"/>
                <w:between w:val="nil"/>
                <w:bar w:val="nil"/>
              </w:pBdr>
              <w:spacing w:line="360" w:lineRule="auto"/>
              <w:ind w:left="1126" w:hanging="567"/>
              <w:jc w:val="both"/>
              <w:rPr>
                <w:rFonts w:ascii="Arial" w:hAnsi="Arial" w:cs="Arial"/>
                <w:sz w:val="24"/>
                <w:szCs w:val="24"/>
              </w:rPr>
            </w:pPr>
            <w:r w:rsidRPr="00F336D4">
              <w:rPr>
                <w:rFonts w:ascii="Arial" w:hAnsi="Arial" w:cs="Arial"/>
                <w:sz w:val="24"/>
                <w:szCs w:val="24"/>
              </w:rPr>
              <w:t xml:space="preserve">The </w:t>
            </w:r>
            <w:r>
              <w:rPr>
                <w:rFonts w:ascii="Arial" w:hAnsi="Arial" w:cs="Arial"/>
                <w:sz w:val="24"/>
                <w:szCs w:val="24"/>
              </w:rPr>
              <w:t xml:space="preserve">first, second and third </w:t>
            </w:r>
            <w:r w:rsidRPr="00F336D4">
              <w:rPr>
                <w:rFonts w:ascii="Arial" w:hAnsi="Arial" w:cs="Arial"/>
                <w:sz w:val="24"/>
                <w:szCs w:val="24"/>
              </w:rPr>
              <w:t>defendants are order</w:t>
            </w:r>
            <w:r>
              <w:rPr>
                <w:rFonts w:ascii="Arial" w:hAnsi="Arial" w:cs="Arial"/>
                <w:sz w:val="24"/>
                <w:szCs w:val="24"/>
              </w:rPr>
              <w:t>ed to pay the plaintiff N$10 083 643</w:t>
            </w:r>
            <w:proofErr w:type="gramStart"/>
            <w:r>
              <w:rPr>
                <w:rFonts w:ascii="Arial" w:hAnsi="Arial" w:cs="Arial"/>
                <w:sz w:val="24"/>
                <w:szCs w:val="24"/>
              </w:rPr>
              <w:t>,95</w:t>
            </w:r>
            <w:proofErr w:type="gramEnd"/>
            <w:r>
              <w:rPr>
                <w:rFonts w:ascii="Arial" w:hAnsi="Arial" w:cs="Arial"/>
                <w:sz w:val="24"/>
                <w:szCs w:val="24"/>
              </w:rPr>
              <w:t>, jointly and severally, the one paying the other to be absolved.</w:t>
            </w:r>
          </w:p>
          <w:p w14:paraId="344D4E12" w14:textId="77777777" w:rsidR="0008168A" w:rsidRDefault="0008168A" w:rsidP="0008168A">
            <w:pPr>
              <w:pStyle w:val="ListParagraph"/>
              <w:pBdr>
                <w:top w:val="nil"/>
                <w:left w:val="nil"/>
                <w:bottom w:val="nil"/>
                <w:right w:val="nil"/>
                <w:between w:val="nil"/>
                <w:bar w:val="nil"/>
              </w:pBdr>
              <w:spacing w:line="360" w:lineRule="auto"/>
              <w:ind w:left="1126" w:hanging="567"/>
              <w:jc w:val="both"/>
              <w:rPr>
                <w:rFonts w:ascii="Arial" w:hAnsi="Arial" w:cs="Arial"/>
                <w:sz w:val="24"/>
                <w:szCs w:val="24"/>
              </w:rPr>
            </w:pPr>
          </w:p>
          <w:p w14:paraId="14B8CFCD" w14:textId="64CF9FCB" w:rsidR="0008168A" w:rsidRDefault="0008168A" w:rsidP="0008168A">
            <w:pPr>
              <w:pStyle w:val="ListParagraph"/>
              <w:numPr>
                <w:ilvl w:val="0"/>
                <w:numId w:val="35"/>
              </w:numPr>
              <w:pBdr>
                <w:top w:val="nil"/>
                <w:left w:val="nil"/>
                <w:bottom w:val="nil"/>
                <w:right w:val="nil"/>
                <w:between w:val="nil"/>
                <w:bar w:val="nil"/>
              </w:pBdr>
              <w:spacing w:line="360" w:lineRule="auto"/>
              <w:ind w:left="1126" w:hanging="567"/>
              <w:jc w:val="both"/>
              <w:rPr>
                <w:rFonts w:ascii="Arial" w:hAnsi="Arial" w:cs="Arial"/>
                <w:sz w:val="24"/>
                <w:szCs w:val="24"/>
              </w:rPr>
            </w:pPr>
            <w:r>
              <w:rPr>
                <w:rFonts w:ascii="Arial" w:hAnsi="Arial" w:cs="Arial"/>
                <w:sz w:val="24"/>
                <w:szCs w:val="24"/>
              </w:rPr>
              <w:t>Interest is payable on the above amount at plaintiff’s applicable rate from time to time, currently 11,7</w:t>
            </w:r>
            <w:r w:rsidR="00322B3E">
              <w:rPr>
                <w:rFonts w:ascii="Arial" w:hAnsi="Arial" w:cs="Arial"/>
                <w:sz w:val="24"/>
                <w:szCs w:val="24"/>
              </w:rPr>
              <w:t>5 per cent (prime rate of 10,75 per cent plus 1,00 per cent</w:t>
            </w:r>
            <w:r>
              <w:rPr>
                <w:rFonts w:ascii="Arial" w:hAnsi="Arial" w:cs="Arial"/>
                <w:sz w:val="24"/>
                <w:szCs w:val="24"/>
              </w:rPr>
              <w:t>) per year as from 16 January 2022 until date of payment, calculated on the daily balance and compounded monthly in arrears.</w:t>
            </w:r>
          </w:p>
          <w:p w14:paraId="1108A35F" w14:textId="77777777" w:rsidR="0008168A" w:rsidRDefault="0008168A" w:rsidP="0008168A">
            <w:pPr>
              <w:pStyle w:val="ListParagraph"/>
              <w:pBdr>
                <w:top w:val="nil"/>
                <w:left w:val="nil"/>
                <w:bottom w:val="nil"/>
                <w:right w:val="nil"/>
                <w:between w:val="nil"/>
                <w:bar w:val="nil"/>
              </w:pBdr>
              <w:spacing w:line="360" w:lineRule="auto"/>
              <w:ind w:left="400"/>
              <w:jc w:val="both"/>
              <w:rPr>
                <w:rFonts w:ascii="Arial" w:hAnsi="Arial" w:cs="Arial"/>
                <w:sz w:val="24"/>
                <w:szCs w:val="24"/>
              </w:rPr>
            </w:pPr>
          </w:p>
          <w:p w14:paraId="13703A52" w14:textId="77777777" w:rsidR="0008168A" w:rsidRDefault="0008168A" w:rsidP="0008168A">
            <w:pPr>
              <w:pStyle w:val="ListParagraph"/>
              <w:numPr>
                <w:ilvl w:val="0"/>
                <w:numId w:val="35"/>
              </w:numPr>
              <w:pBdr>
                <w:top w:val="nil"/>
                <w:left w:val="nil"/>
                <w:bottom w:val="nil"/>
                <w:right w:val="nil"/>
                <w:between w:val="nil"/>
                <w:bar w:val="nil"/>
              </w:pBdr>
              <w:spacing w:line="360" w:lineRule="auto"/>
              <w:ind w:left="1126" w:hanging="567"/>
              <w:jc w:val="both"/>
              <w:rPr>
                <w:rFonts w:ascii="Arial" w:hAnsi="Arial" w:cs="Arial"/>
                <w:sz w:val="24"/>
                <w:szCs w:val="24"/>
              </w:rPr>
            </w:pPr>
            <w:r>
              <w:rPr>
                <w:rFonts w:ascii="Arial" w:hAnsi="Arial" w:cs="Arial"/>
                <w:sz w:val="24"/>
                <w:szCs w:val="24"/>
              </w:rPr>
              <w:t>The following immovable properties are declared specially executable, to wit:</w:t>
            </w:r>
          </w:p>
          <w:p w14:paraId="537A2837" w14:textId="77777777" w:rsidR="0008168A" w:rsidRDefault="0008168A" w:rsidP="0008168A">
            <w:pPr>
              <w:pStyle w:val="ListParagraph"/>
              <w:pBdr>
                <w:top w:val="nil"/>
                <w:left w:val="nil"/>
                <w:bottom w:val="nil"/>
                <w:right w:val="nil"/>
                <w:between w:val="nil"/>
                <w:bar w:val="nil"/>
              </w:pBdr>
              <w:spacing w:line="360" w:lineRule="auto"/>
              <w:ind w:left="400"/>
              <w:jc w:val="both"/>
              <w:rPr>
                <w:rFonts w:ascii="Arial" w:hAnsi="Arial" w:cs="Arial"/>
                <w:sz w:val="24"/>
                <w:szCs w:val="24"/>
              </w:rPr>
            </w:pPr>
          </w:p>
          <w:p w14:paraId="1065AA50" w14:textId="09A6A10C" w:rsidR="0008168A" w:rsidRPr="00322B3E" w:rsidRDefault="00322B3E" w:rsidP="0008168A">
            <w:pPr>
              <w:spacing w:line="360" w:lineRule="auto"/>
              <w:ind w:left="1126"/>
              <w:jc w:val="both"/>
              <w:rPr>
                <w:rFonts w:ascii="Arial" w:hAnsi="Arial" w:cs="Arial"/>
                <w:sz w:val="24"/>
                <w:szCs w:val="24"/>
                <w:lang w:val="en-US"/>
              </w:rPr>
            </w:pPr>
            <w:r w:rsidRPr="00322B3E">
              <w:rPr>
                <w:rFonts w:ascii="Arial" w:hAnsi="Arial" w:cs="Arial"/>
                <w:sz w:val="24"/>
                <w:szCs w:val="24"/>
                <w:lang w:val="en-US"/>
              </w:rPr>
              <w:t>CERTAIN:</w:t>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lang w:val="en-US"/>
              </w:rPr>
              <w:tab/>
              <w:t xml:space="preserve">         </w:t>
            </w:r>
            <w:r w:rsidR="0008168A" w:rsidRPr="00322B3E">
              <w:rPr>
                <w:rFonts w:ascii="Arial" w:hAnsi="Arial" w:cs="Arial"/>
                <w:sz w:val="24"/>
                <w:szCs w:val="24"/>
              </w:rPr>
              <w:t>Remaining Extent of the farm BUBUS No. 213</w:t>
            </w:r>
          </w:p>
          <w:p w14:paraId="27437ADB" w14:textId="77777777" w:rsidR="0008168A" w:rsidRPr="00322B3E" w:rsidRDefault="0008168A" w:rsidP="0008168A">
            <w:pPr>
              <w:spacing w:line="360" w:lineRule="auto"/>
              <w:ind w:left="1126"/>
              <w:jc w:val="both"/>
              <w:rPr>
                <w:rFonts w:ascii="Arial" w:hAnsi="Arial" w:cs="Arial"/>
                <w:sz w:val="24"/>
                <w:szCs w:val="24"/>
                <w:lang w:val="en-US"/>
              </w:rPr>
            </w:pPr>
            <w:r w:rsidRPr="00322B3E">
              <w:rPr>
                <w:rFonts w:ascii="Arial" w:hAnsi="Arial" w:cs="Arial"/>
                <w:sz w:val="24"/>
                <w:szCs w:val="24"/>
                <w:lang w:val="en-US"/>
              </w:rPr>
              <w:lastRenderedPageBreak/>
              <w:t>REGISTRATION DIVISION:</w:t>
            </w:r>
            <w:r w:rsidRPr="00322B3E">
              <w:rPr>
                <w:rFonts w:ascii="Arial" w:hAnsi="Arial" w:cs="Arial"/>
                <w:sz w:val="24"/>
                <w:szCs w:val="24"/>
                <w:lang w:val="en-US"/>
              </w:rPr>
              <w:tab/>
              <w:t xml:space="preserve">         </w:t>
            </w:r>
            <w:r w:rsidRPr="00322B3E">
              <w:rPr>
                <w:rFonts w:ascii="Arial" w:hAnsi="Arial" w:cs="Arial"/>
                <w:sz w:val="24"/>
                <w:szCs w:val="24"/>
              </w:rPr>
              <w:t xml:space="preserve">“B”, </w:t>
            </w:r>
            <w:proofErr w:type="spellStart"/>
            <w:r w:rsidRPr="00322B3E">
              <w:rPr>
                <w:rFonts w:ascii="Arial" w:hAnsi="Arial" w:cs="Arial"/>
                <w:sz w:val="24"/>
                <w:szCs w:val="24"/>
              </w:rPr>
              <w:t>Otjozondjupa</w:t>
            </w:r>
            <w:proofErr w:type="spellEnd"/>
            <w:r w:rsidRPr="00322B3E">
              <w:rPr>
                <w:rFonts w:ascii="Arial" w:hAnsi="Arial" w:cs="Arial"/>
                <w:sz w:val="24"/>
                <w:szCs w:val="24"/>
              </w:rPr>
              <w:t xml:space="preserve"> Region</w:t>
            </w:r>
          </w:p>
          <w:p w14:paraId="62CCFB73" w14:textId="587D0753" w:rsidR="0008168A" w:rsidRPr="00322B3E" w:rsidRDefault="0008168A" w:rsidP="0008168A">
            <w:pPr>
              <w:spacing w:line="360" w:lineRule="auto"/>
              <w:ind w:left="1126"/>
              <w:jc w:val="both"/>
              <w:rPr>
                <w:rFonts w:ascii="Arial" w:hAnsi="Arial" w:cs="Arial"/>
                <w:sz w:val="24"/>
                <w:szCs w:val="24"/>
                <w:lang w:val="en-US"/>
              </w:rPr>
            </w:pPr>
            <w:r w:rsidRPr="00322B3E">
              <w:rPr>
                <w:rFonts w:ascii="Arial" w:hAnsi="Arial" w:cs="Arial"/>
                <w:sz w:val="24"/>
                <w:szCs w:val="24"/>
                <w:lang w:val="en-US"/>
              </w:rPr>
              <w:t>MEASURING:</w:t>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lang w:val="en-US"/>
              </w:rPr>
              <w:tab/>
              <w:t xml:space="preserve">         </w:t>
            </w:r>
            <w:r w:rsidRPr="00322B3E">
              <w:rPr>
                <w:rFonts w:ascii="Arial" w:hAnsi="Arial" w:cs="Arial"/>
                <w:sz w:val="24"/>
                <w:szCs w:val="24"/>
              </w:rPr>
              <w:t>3061,8848 Hectares</w:t>
            </w:r>
          </w:p>
          <w:p w14:paraId="6CD74716" w14:textId="77777777" w:rsidR="0008168A" w:rsidRPr="00322B3E" w:rsidRDefault="0008168A" w:rsidP="0008168A">
            <w:pPr>
              <w:spacing w:line="360" w:lineRule="auto"/>
              <w:ind w:left="1126"/>
              <w:jc w:val="both"/>
              <w:rPr>
                <w:rFonts w:ascii="Arial" w:hAnsi="Arial" w:cs="Arial"/>
                <w:sz w:val="24"/>
                <w:szCs w:val="24"/>
                <w:lang w:val="en-US"/>
              </w:rPr>
            </w:pPr>
            <w:r w:rsidRPr="00322B3E">
              <w:rPr>
                <w:rFonts w:ascii="Arial" w:hAnsi="Arial" w:cs="Arial"/>
                <w:sz w:val="24"/>
                <w:szCs w:val="24"/>
                <w:lang w:val="en-US"/>
              </w:rPr>
              <w:t>HELD BY:</w:t>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rPr>
              <w:t>Deed of Transfer No. T95/2005</w:t>
            </w:r>
          </w:p>
          <w:p w14:paraId="3777B965" w14:textId="63E9592F" w:rsidR="0008168A" w:rsidRPr="00322B3E" w:rsidRDefault="0008168A" w:rsidP="0008168A">
            <w:pPr>
              <w:spacing w:line="360" w:lineRule="auto"/>
              <w:ind w:left="1126"/>
              <w:jc w:val="both"/>
              <w:rPr>
                <w:rFonts w:ascii="Arial" w:hAnsi="Arial" w:cs="Arial"/>
                <w:sz w:val="24"/>
                <w:szCs w:val="24"/>
                <w:lang w:val="en-US"/>
              </w:rPr>
            </w:pPr>
            <w:r w:rsidRPr="00322B3E">
              <w:rPr>
                <w:rFonts w:ascii="Arial" w:hAnsi="Arial" w:cs="Arial"/>
                <w:sz w:val="24"/>
                <w:szCs w:val="24"/>
                <w:lang w:val="en-US"/>
              </w:rPr>
              <w:t>SUBJECT TO THE CONDITIONS CONTAINED THEREIN.</w:t>
            </w:r>
          </w:p>
          <w:p w14:paraId="07103940" w14:textId="77777777" w:rsidR="0008168A" w:rsidRPr="00322B3E" w:rsidRDefault="0008168A" w:rsidP="0008168A">
            <w:pPr>
              <w:spacing w:line="360" w:lineRule="auto"/>
              <w:ind w:left="1126"/>
              <w:jc w:val="both"/>
              <w:rPr>
                <w:rFonts w:ascii="Arial" w:hAnsi="Arial" w:cs="Arial"/>
                <w:sz w:val="24"/>
                <w:szCs w:val="24"/>
                <w:lang w:val="en-US"/>
              </w:rPr>
            </w:pPr>
          </w:p>
          <w:p w14:paraId="147112C3" w14:textId="4F8EDD4F" w:rsidR="0008168A" w:rsidRPr="00322B3E" w:rsidRDefault="0008168A" w:rsidP="0008168A">
            <w:pPr>
              <w:spacing w:line="360" w:lineRule="auto"/>
              <w:ind w:left="1126"/>
              <w:jc w:val="both"/>
              <w:rPr>
                <w:rFonts w:ascii="Arial" w:hAnsi="Arial" w:cs="Arial"/>
                <w:sz w:val="24"/>
                <w:szCs w:val="24"/>
                <w:lang w:val="en-US"/>
              </w:rPr>
            </w:pPr>
            <w:r w:rsidRPr="00322B3E">
              <w:rPr>
                <w:rFonts w:ascii="Arial" w:hAnsi="Arial" w:cs="Arial"/>
                <w:sz w:val="24"/>
                <w:szCs w:val="24"/>
                <w:lang w:val="en-US"/>
              </w:rPr>
              <w:t>CERTAIN:</w:t>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rPr>
              <w:t>Farm OMBUJOM</w:t>
            </w:r>
            <w:r w:rsidR="00322B3E" w:rsidRPr="00322B3E">
              <w:rPr>
                <w:rFonts w:ascii="Arial" w:hAnsi="Arial" w:cs="Arial"/>
                <w:sz w:val="24"/>
                <w:szCs w:val="24"/>
              </w:rPr>
              <w:t>B</w:t>
            </w:r>
            <w:r w:rsidRPr="00322B3E">
              <w:rPr>
                <w:rFonts w:ascii="Arial" w:hAnsi="Arial" w:cs="Arial"/>
                <w:sz w:val="24"/>
                <w:szCs w:val="24"/>
              </w:rPr>
              <w:t>AERE NORD No. 6</w:t>
            </w:r>
          </w:p>
          <w:p w14:paraId="50E97365" w14:textId="77777777" w:rsidR="0008168A" w:rsidRPr="00322B3E" w:rsidRDefault="0008168A" w:rsidP="0008168A">
            <w:pPr>
              <w:spacing w:line="360" w:lineRule="auto"/>
              <w:ind w:left="1126"/>
              <w:jc w:val="both"/>
              <w:rPr>
                <w:rFonts w:ascii="Arial" w:hAnsi="Arial" w:cs="Arial"/>
                <w:sz w:val="24"/>
                <w:szCs w:val="24"/>
                <w:lang w:val="en-US"/>
              </w:rPr>
            </w:pPr>
            <w:r w:rsidRPr="00322B3E">
              <w:rPr>
                <w:rFonts w:ascii="Arial" w:hAnsi="Arial" w:cs="Arial"/>
                <w:sz w:val="24"/>
                <w:szCs w:val="24"/>
                <w:lang w:val="en-US"/>
              </w:rPr>
              <w:t>REGISTRATION DIVISION:</w:t>
            </w:r>
            <w:r w:rsidRPr="00322B3E">
              <w:rPr>
                <w:rFonts w:ascii="Arial" w:hAnsi="Arial" w:cs="Arial"/>
                <w:sz w:val="24"/>
                <w:szCs w:val="24"/>
                <w:lang w:val="en-US"/>
              </w:rPr>
              <w:tab/>
              <w:t xml:space="preserve">          </w:t>
            </w:r>
            <w:r w:rsidRPr="00322B3E">
              <w:rPr>
                <w:rFonts w:ascii="Arial" w:hAnsi="Arial" w:cs="Arial"/>
                <w:sz w:val="24"/>
                <w:szCs w:val="24"/>
              </w:rPr>
              <w:t xml:space="preserve">“H”, </w:t>
            </w:r>
            <w:proofErr w:type="spellStart"/>
            <w:r w:rsidRPr="00322B3E">
              <w:rPr>
                <w:rFonts w:ascii="Arial" w:hAnsi="Arial" w:cs="Arial"/>
                <w:sz w:val="24"/>
                <w:szCs w:val="24"/>
              </w:rPr>
              <w:t>Erongo</w:t>
            </w:r>
            <w:proofErr w:type="spellEnd"/>
            <w:r w:rsidRPr="00322B3E">
              <w:rPr>
                <w:rFonts w:ascii="Arial" w:hAnsi="Arial" w:cs="Arial"/>
                <w:sz w:val="24"/>
                <w:szCs w:val="24"/>
              </w:rPr>
              <w:t xml:space="preserve"> Region</w:t>
            </w:r>
          </w:p>
          <w:p w14:paraId="26FCB825" w14:textId="77777777" w:rsidR="0008168A" w:rsidRPr="00322B3E" w:rsidRDefault="0008168A" w:rsidP="0008168A">
            <w:pPr>
              <w:spacing w:line="360" w:lineRule="auto"/>
              <w:ind w:left="1126"/>
              <w:jc w:val="both"/>
              <w:rPr>
                <w:rFonts w:ascii="Arial" w:hAnsi="Arial" w:cs="Arial"/>
                <w:sz w:val="24"/>
                <w:szCs w:val="24"/>
                <w:lang w:val="en-US"/>
              </w:rPr>
            </w:pPr>
            <w:r w:rsidRPr="00322B3E">
              <w:rPr>
                <w:rFonts w:ascii="Arial" w:hAnsi="Arial" w:cs="Arial"/>
                <w:sz w:val="24"/>
                <w:szCs w:val="24"/>
                <w:lang w:val="en-US"/>
              </w:rPr>
              <w:t>MEASURING:</w:t>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lang w:val="en-US"/>
              </w:rPr>
              <w:tab/>
              <w:t xml:space="preserve">          </w:t>
            </w:r>
            <w:r w:rsidRPr="00322B3E">
              <w:rPr>
                <w:rFonts w:ascii="Arial" w:hAnsi="Arial" w:cs="Arial"/>
                <w:sz w:val="24"/>
                <w:szCs w:val="24"/>
              </w:rPr>
              <w:t>5031,1137 Hectares</w:t>
            </w:r>
          </w:p>
          <w:p w14:paraId="48311DBC" w14:textId="77777777" w:rsidR="0008168A" w:rsidRPr="00322B3E" w:rsidRDefault="0008168A" w:rsidP="0008168A">
            <w:pPr>
              <w:spacing w:line="360" w:lineRule="auto"/>
              <w:ind w:left="1126"/>
              <w:jc w:val="both"/>
              <w:rPr>
                <w:rFonts w:ascii="Arial" w:hAnsi="Arial" w:cs="Arial"/>
                <w:sz w:val="24"/>
                <w:szCs w:val="24"/>
                <w:lang w:val="en-US"/>
              </w:rPr>
            </w:pPr>
            <w:r w:rsidRPr="00322B3E">
              <w:rPr>
                <w:rFonts w:ascii="Arial" w:hAnsi="Arial" w:cs="Arial"/>
                <w:sz w:val="24"/>
                <w:szCs w:val="24"/>
                <w:lang w:val="en-US"/>
              </w:rPr>
              <w:t>HELD BY:</w:t>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lang w:val="en-US"/>
              </w:rPr>
              <w:tab/>
            </w:r>
            <w:r w:rsidRPr="00322B3E">
              <w:rPr>
                <w:rFonts w:ascii="Arial" w:hAnsi="Arial" w:cs="Arial"/>
                <w:sz w:val="24"/>
                <w:szCs w:val="24"/>
              </w:rPr>
              <w:t>Deed of Transfer No. T4423/1995</w:t>
            </w:r>
          </w:p>
          <w:p w14:paraId="1F4E9B47" w14:textId="77777777" w:rsidR="0008168A" w:rsidRPr="00322B3E" w:rsidRDefault="0008168A" w:rsidP="0008168A">
            <w:pPr>
              <w:spacing w:line="360" w:lineRule="auto"/>
              <w:ind w:left="1126"/>
              <w:jc w:val="both"/>
              <w:rPr>
                <w:lang w:val="en-US"/>
              </w:rPr>
            </w:pPr>
            <w:r w:rsidRPr="00322B3E">
              <w:rPr>
                <w:rFonts w:ascii="Arial" w:hAnsi="Arial" w:cs="Arial"/>
                <w:sz w:val="24"/>
                <w:szCs w:val="24"/>
                <w:lang w:val="en-US"/>
              </w:rPr>
              <w:t>SUBJECT TO THE CONDITIONS CONTAINED THEREIN.</w:t>
            </w:r>
          </w:p>
          <w:p w14:paraId="25A7AE70" w14:textId="77777777" w:rsidR="0008168A" w:rsidRDefault="0008168A" w:rsidP="0008168A">
            <w:pPr>
              <w:pStyle w:val="ListParagraph"/>
              <w:pBdr>
                <w:top w:val="nil"/>
                <w:left w:val="nil"/>
                <w:bottom w:val="nil"/>
                <w:right w:val="nil"/>
                <w:between w:val="nil"/>
                <w:bar w:val="nil"/>
              </w:pBdr>
              <w:spacing w:line="360" w:lineRule="auto"/>
              <w:ind w:left="1120"/>
              <w:jc w:val="both"/>
              <w:rPr>
                <w:rFonts w:ascii="Arial" w:hAnsi="Arial" w:cs="Arial"/>
                <w:sz w:val="24"/>
                <w:szCs w:val="24"/>
              </w:rPr>
            </w:pPr>
          </w:p>
          <w:p w14:paraId="2CDBC8A5" w14:textId="77777777" w:rsidR="0008168A" w:rsidRDefault="0008168A" w:rsidP="0008168A">
            <w:pPr>
              <w:pStyle w:val="ListParagraph"/>
              <w:numPr>
                <w:ilvl w:val="0"/>
                <w:numId w:val="35"/>
              </w:numPr>
              <w:pBdr>
                <w:top w:val="nil"/>
                <w:left w:val="nil"/>
                <w:bottom w:val="nil"/>
                <w:right w:val="nil"/>
                <w:between w:val="nil"/>
                <w:bar w:val="nil"/>
              </w:pBdr>
              <w:spacing w:line="360" w:lineRule="auto"/>
              <w:ind w:left="1126" w:hanging="567"/>
              <w:jc w:val="both"/>
              <w:rPr>
                <w:rFonts w:ascii="Arial" w:hAnsi="Arial" w:cs="Arial"/>
                <w:sz w:val="24"/>
                <w:szCs w:val="24"/>
              </w:rPr>
            </w:pPr>
            <w:r>
              <w:rPr>
                <w:rFonts w:ascii="Arial" w:hAnsi="Arial" w:cs="Arial"/>
                <w:sz w:val="24"/>
                <w:szCs w:val="24"/>
              </w:rPr>
              <w:t>The d</w:t>
            </w:r>
            <w:r w:rsidRPr="0056301B">
              <w:rPr>
                <w:rFonts w:ascii="Arial" w:hAnsi="Arial" w:cs="Arial"/>
                <w:sz w:val="24"/>
                <w:szCs w:val="24"/>
              </w:rPr>
              <w:t xml:space="preserve">efendants are ordered to pay </w:t>
            </w:r>
            <w:r>
              <w:rPr>
                <w:rFonts w:ascii="Arial" w:hAnsi="Arial" w:cs="Arial"/>
                <w:sz w:val="24"/>
                <w:szCs w:val="24"/>
              </w:rPr>
              <w:t xml:space="preserve">the </w:t>
            </w:r>
            <w:r w:rsidRPr="0056301B">
              <w:rPr>
                <w:rFonts w:ascii="Arial" w:hAnsi="Arial" w:cs="Arial"/>
                <w:sz w:val="24"/>
                <w:szCs w:val="24"/>
              </w:rPr>
              <w:t>plaint</w:t>
            </w:r>
            <w:r>
              <w:rPr>
                <w:rFonts w:ascii="Arial" w:hAnsi="Arial" w:cs="Arial"/>
                <w:sz w:val="24"/>
                <w:szCs w:val="24"/>
              </w:rPr>
              <w:t>i</w:t>
            </w:r>
            <w:r w:rsidRPr="0056301B">
              <w:rPr>
                <w:rFonts w:ascii="Arial" w:hAnsi="Arial" w:cs="Arial"/>
                <w:sz w:val="24"/>
                <w:szCs w:val="24"/>
              </w:rPr>
              <w:t>ff’s costs of suit on the attorney and client scale, such costs to include one instructing and one instructed counsel.</w:t>
            </w:r>
          </w:p>
          <w:p w14:paraId="06AD2023" w14:textId="77777777" w:rsidR="0008168A" w:rsidRDefault="0008168A" w:rsidP="0008168A">
            <w:pPr>
              <w:pStyle w:val="ListParagraph"/>
              <w:pBdr>
                <w:top w:val="nil"/>
                <w:left w:val="nil"/>
                <w:bottom w:val="nil"/>
                <w:right w:val="nil"/>
                <w:between w:val="nil"/>
                <w:bar w:val="nil"/>
              </w:pBdr>
              <w:spacing w:line="360" w:lineRule="auto"/>
              <w:ind w:left="1126"/>
              <w:jc w:val="both"/>
              <w:rPr>
                <w:rFonts w:ascii="Arial" w:hAnsi="Arial" w:cs="Arial"/>
                <w:sz w:val="24"/>
                <w:szCs w:val="24"/>
              </w:rPr>
            </w:pPr>
          </w:p>
          <w:p w14:paraId="3AB6890D" w14:textId="77777777" w:rsidR="0008168A" w:rsidRPr="0008168A" w:rsidRDefault="0008168A" w:rsidP="0008168A">
            <w:pPr>
              <w:pStyle w:val="ListParagraph"/>
              <w:numPr>
                <w:ilvl w:val="0"/>
                <w:numId w:val="35"/>
              </w:numPr>
              <w:pBdr>
                <w:top w:val="nil"/>
                <w:left w:val="nil"/>
                <w:bottom w:val="nil"/>
                <w:right w:val="nil"/>
                <w:between w:val="nil"/>
                <w:bar w:val="nil"/>
              </w:pBdr>
              <w:spacing w:line="360" w:lineRule="auto"/>
              <w:ind w:left="1126" w:hanging="567"/>
              <w:jc w:val="both"/>
              <w:rPr>
                <w:rFonts w:ascii="Arial" w:hAnsi="Arial" w:cs="Arial"/>
                <w:sz w:val="28"/>
                <w:szCs w:val="24"/>
              </w:rPr>
            </w:pPr>
            <w:r w:rsidRPr="0008168A">
              <w:rPr>
                <w:rFonts w:ascii="Arial" w:hAnsi="Arial" w:cs="Arial"/>
                <w:sz w:val="24"/>
              </w:rPr>
              <w:t>The matter is removed from the roll and regarded as finalised.</w:t>
            </w:r>
          </w:p>
          <w:p w14:paraId="50881B48" w14:textId="47A372A0" w:rsidR="001A0DD0" w:rsidRPr="0008168A" w:rsidRDefault="001A0DD0" w:rsidP="0008168A">
            <w:pPr>
              <w:pBdr>
                <w:top w:val="nil"/>
                <w:left w:val="nil"/>
                <w:bottom w:val="nil"/>
                <w:right w:val="nil"/>
                <w:between w:val="nil"/>
                <w:bar w:val="nil"/>
              </w:pBdr>
              <w:spacing w:line="360" w:lineRule="auto"/>
              <w:jc w:val="both"/>
            </w:pPr>
          </w:p>
        </w:tc>
      </w:tr>
      <w:tr w:rsidR="001D6B3F" w:rsidRPr="001D6B3F" w14:paraId="669CD305" w14:textId="77777777" w:rsidTr="00004108">
        <w:tc>
          <w:tcPr>
            <w:tcW w:w="4770" w:type="dxa"/>
          </w:tcPr>
          <w:p w14:paraId="52935D9E" w14:textId="584F0219" w:rsidR="009C2E53" w:rsidRPr="001D6B3F" w:rsidRDefault="00BD2804" w:rsidP="007A6C9F">
            <w:pPr>
              <w:spacing w:line="360" w:lineRule="auto"/>
              <w:jc w:val="center"/>
              <w:rPr>
                <w:rFonts w:ascii="Arial" w:hAnsi="Arial" w:cs="Arial"/>
                <w:b/>
                <w:sz w:val="24"/>
                <w:szCs w:val="24"/>
              </w:rPr>
            </w:pPr>
            <w:r>
              <w:rPr>
                <w:rFonts w:ascii="Arial" w:hAnsi="Arial" w:cs="Arial"/>
                <w:b/>
                <w:sz w:val="24"/>
                <w:szCs w:val="24"/>
              </w:rPr>
              <w:lastRenderedPageBreak/>
              <w:t>Judge’s Signature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004108">
        <w:trPr>
          <w:trHeight w:val="1114"/>
        </w:trPr>
        <w:tc>
          <w:tcPr>
            <w:tcW w:w="4770" w:type="dxa"/>
          </w:tcPr>
          <w:p w14:paraId="295864EC" w14:textId="77777777" w:rsidR="009C2E53" w:rsidRPr="001D6B3F" w:rsidRDefault="009C2E53" w:rsidP="007A6C9F">
            <w:pPr>
              <w:spacing w:line="360" w:lineRule="auto"/>
              <w:jc w:val="both"/>
              <w:rPr>
                <w:rFonts w:ascii="Arial" w:hAnsi="Arial" w:cs="Arial"/>
                <w:sz w:val="24"/>
                <w:szCs w:val="24"/>
              </w:rPr>
            </w:pPr>
          </w:p>
          <w:p w14:paraId="3F24801C" w14:textId="77777777" w:rsidR="006541D3" w:rsidRPr="001D6B3F" w:rsidRDefault="006541D3" w:rsidP="007A6C9F">
            <w:pPr>
              <w:spacing w:line="360" w:lineRule="auto"/>
              <w:jc w:val="both"/>
              <w:rPr>
                <w:rFonts w:ascii="Arial" w:hAnsi="Arial" w:cs="Arial"/>
                <w:sz w:val="24"/>
                <w:szCs w:val="24"/>
              </w:rPr>
            </w:pPr>
          </w:p>
          <w:p w14:paraId="76538BDC" w14:textId="77777777" w:rsidR="00767C2D" w:rsidRPr="001D6B3F" w:rsidRDefault="00767C2D" w:rsidP="007A6C9F">
            <w:pPr>
              <w:spacing w:line="360" w:lineRule="auto"/>
              <w:jc w:val="both"/>
              <w:rPr>
                <w:rFonts w:ascii="Arial" w:hAnsi="Arial" w:cs="Arial"/>
                <w:sz w:val="24"/>
                <w:szCs w:val="24"/>
              </w:rPr>
            </w:pPr>
          </w:p>
          <w:p w14:paraId="7E296104" w14:textId="77777777" w:rsidR="009C2E53" w:rsidRPr="001D6B3F" w:rsidRDefault="009C2E53" w:rsidP="007A6C9F">
            <w:pPr>
              <w:spacing w:line="360" w:lineRule="auto"/>
              <w:jc w:val="both"/>
              <w:rPr>
                <w:rFonts w:ascii="Arial" w:hAnsi="Arial" w:cs="Arial"/>
                <w:sz w:val="24"/>
                <w:szCs w:val="24"/>
              </w:rPr>
            </w:pPr>
          </w:p>
        </w:tc>
        <w:tc>
          <w:tcPr>
            <w:tcW w:w="5706" w:type="dxa"/>
            <w:gridSpan w:val="2"/>
          </w:tcPr>
          <w:p w14:paraId="147BDE73" w14:textId="75F17566" w:rsidR="009C2E53" w:rsidRPr="001D6B3F" w:rsidRDefault="009C2E53" w:rsidP="007A6C9F">
            <w:pPr>
              <w:spacing w:line="360" w:lineRule="auto"/>
              <w:jc w:val="both"/>
              <w:rPr>
                <w:rFonts w:ascii="Arial" w:hAnsi="Arial" w:cs="Arial"/>
                <w:sz w:val="24"/>
                <w:szCs w:val="24"/>
              </w:rPr>
            </w:pP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Counsel:</w:t>
            </w:r>
          </w:p>
        </w:tc>
      </w:tr>
      <w:tr w:rsidR="001D6B3F" w:rsidRPr="001D6B3F" w14:paraId="7F087206" w14:textId="77777777" w:rsidTr="00004108">
        <w:tc>
          <w:tcPr>
            <w:tcW w:w="4770" w:type="dxa"/>
          </w:tcPr>
          <w:p w14:paraId="4A75B42C" w14:textId="734D2446" w:rsidR="009C2E53" w:rsidRPr="001D6B3F" w:rsidRDefault="004026D2" w:rsidP="007A6C9F">
            <w:pPr>
              <w:spacing w:line="360" w:lineRule="auto"/>
              <w:jc w:val="center"/>
              <w:rPr>
                <w:rFonts w:ascii="Arial" w:hAnsi="Arial" w:cs="Arial"/>
                <w:b/>
                <w:sz w:val="24"/>
                <w:szCs w:val="24"/>
              </w:rPr>
            </w:pPr>
            <w:r>
              <w:rPr>
                <w:rFonts w:ascii="Arial" w:hAnsi="Arial" w:cs="Arial"/>
                <w:b/>
                <w:sz w:val="24"/>
                <w:szCs w:val="24"/>
              </w:rPr>
              <w:t>Plaintiff</w:t>
            </w:r>
          </w:p>
        </w:tc>
        <w:tc>
          <w:tcPr>
            <w:tcW w:w="5706" w:type="dxa"/>
            <w:gridSpan w:val="2"/>
          </w:tcPr>
          <w:p w14:paraId="208DE7F5" w14:textId="142CED82" w:rsidR="009C2E53" w:rsidRPr="001D6B3F" w:rsidRDefault="00DC6364" w:rsidP="007A6C9F">
            <w:pPr>
              <w:spacing w:line="360" w:lineRule="auto"/>
              <w:jc w:val="center"/>
              <w:rPr>
                <w:rFonts w:ascii="Arial" w:hAnsi="Arial" w:cs="Arial"/>
                <w:b/>
                <w:sz w:val="24"/>
                <w:szCs w:val="24"/>
              </w:rPr>
            </w:pPr>
            <w:r w:rsidRPr="001D6B3F">
              <w:rPr>
                <w:rFonts w:ascii="Arial" w:hAnsi="Arial" w:cs="Arial"/>
                <w:b/>
                <w:sz w:val="24"/>
                <w:szCs w:val="24"/>
              </w:rPr>
              <w:t xml:space="preserve"> </w:t>
            </w:r>
            <w:r w:rsidR="004026D2">
              <w:rPr>
                <w:rFonts w:ascii="Arial" w:hAnsi="Arial" w:cs="Arial"/>
                <w:b/>
                <w:sz w:val="24"/>
                <w:szCs w:val="24"/>
              </w:rPr>
              <w:t>Defendant</w:t>
            </w:r>
            <w:r w:rsidR="003C36C7">
              <w:rPr>
                <w:rFonts w:ascii="Arial" w:hAnsi="Arial" w:cs="Arial"/>
                <w:b/>
                <w:sz w:val="24"/>
                <w:szCs w:val="24"/>
              </w:rPr>
              <w:t>s</w:t>
            </w:r>
          </w:p>
        </w:tc>
      </w:tr>
      <w:tr w:rsidR="001D6B3F" w:rsidRPr="001D6B3F" w14:paraId="4A32A77D" w14:textId="77777777" w:rsidTr="00143B2D">
        <w:trPr>
          <w:trHeight w:val="989"/>
        </w:trPr>
        <w:tc>
          <w:tcPr>
            <w:tcW w:w="4770" w:type="dxa"/>
          </w:tcPr>
          <w:p w14:paraId="020B5016" w14:textId="77777777" w:rsidR="00AB71DC" w:rsidRPr="001D6B3F" w:rsidRDefault="00AB71DC" w:rsidP="007A6C9F">
            <w:pPr>
              <w:pStyle w:val="Body"/>
              <w:tabs>
                <w:tab w:val="left" w:pos="1394"/>
                <w:tab w:val="left" w:pos="2528"/>
                <w:tab w:val="left" w:pos="3780"/>
              </w:tabs>
              <w:spacing w:line="360" w:lineRule="auto"/>
              <w:rPr>
                <w:rFonts w:ascii="Arial" w:hAnsi="Arial" w:cs="Arial"/>
                <w:color w:val="auto"/>
                <w:sz w:val="24"/>
                <w:szCs w:val="24"/>
                <w:lang w:val="de-DE"/>
              </w:rPr>
            </w:pPr>
          </w:p>
          <w:p w14:paraId="714005D0" w14:textId="77777777" w:rsidR="0008168A" w:rsidRDefault="0008168A" w:rsidP="003C36C7">
            <w:pPr>
              <w:pStyle w:val="Body"/>
              <w:spacing w:line="360" w:lineRule="auto"/>
              <w:jc w:val="center"/>
              <w:rPr>
                <w:rFonts w:ascii="Arial" w:hAnsi="Arial" w:cs="Arial"/>
                <w:sz w:val="24"/>
                <w:szCs w:val="24"/>
              </w:rPr>
            </w:pPr>
            <w:r>
              <w:rPr>
                <w:rFonts w:ascii="Arial" w:hAnsi="Arial" w:cs="Arial"/>
                <w:sz w:val="24"/>
                <w:szCs w:val="24"/>
              </w:rPr>
              <w:t>PCI Barnard</w:t>
            </w:r>
          </w:p>
          <w:p w14:paraId="5DCE9B11" w14:textId="77777777" w:rsidR="003C36C7" w:rsidRDefault="0008168A" w:rsidP="0008168A">
            <w:pPr>
              <w:pStyle w:val="Body"/>
              <w:spacing w:line="360" w:lineRule="auto"/>
              <w:jc w:val="center"/>
              <w:rPr>
                <w:rFonts w:ascii="Arial" w:hAnsi="Arial" w:cs="Arial"/>
                <w:sz w:val="24"/>
                <w:szCs w:val="24"/>
              </w:rPr>
            </w:pPr>
            <w:r>
              <w:rPr>
                <w:rFonts w:ascii="Arial" w:hAnsi="Arial" w:cs="Arial"/>
                <w:sz w:val="24"/>
                <w:szCs w:val="24"/>
              </w:rPr>
              <w:t>I</w:t>
            </w:r>
            <w:r w:rsidR="00861DB3">
              <w:rPr>
                <w:rFonts w:ascii="Arial" w:hAnsi="Arial" w:cs="Arial"/>
                <w:sz w:val="24"/>
                <w:szCs w:val="24"/>
              </w:rPr>
              <w:t>nstructed by</w:t>
            </w:r>
            <w:r w:rsidR="003C36C7">
              <w:rPr>
                <w:rFonts w:ascii="Arial" w:hAnsi="Arial" w:cs="Arial"/>
                <w:sz w:val="24"/>
                <w:szCs w:val="24"/>
              </w:rPr>
              <w:t xml:space="preserve"> </w:t>
            </w:r>
            <w:r>
              <w:rPr>
                <w:rFonts w:ascii="Arial" w:hAnsi="Arial" w:cs="Arial"/>
                <w:sz w:val="24"/>
                <w:szCs w:val="24"/>
              </w:rPr>
              <w:t xml:space="preserve"> </w:t>
            </w:r>
            <w:r w:rsidR="00861DB3">
              <w:rPr>
                <w:rFonts w:ascii="Arial" w:hAnsi="Arial" w:cs="Arial"/>
                <w:sz w:val="24"/>
                <w:szCs w:val="24"/>
              </w:rPr>
              <w:t xml:space="preserve">Du </w:t>
            </w:r>
            <w:proofErr w:type="spellStart"/>
            <w:r w:rsidR="00861DB3">
              <w:rPr>
                <w:rFonts w:ascii="Arial" w:hAnsi="Arial" w:cs="Arial"/>
                <w:sz w:val="24"/>
                <w:szCs w:val="24"/>
              </w:rPr>
              <w:t>Pisani</w:t>
            </w:r>
            <w:proofErr w:type="spellEnd"/>
            <w:r w:rsidR="00861DB3">
              <w:rPr>
                <w:rFonts w:ascii="Arial" w:hAnsi="Arial" w:cs="Arial"/>
                <w:sz w:val="24"/>
                <w:szCs w:val="24"/>
              </w:rPr>
              <w:t xml:space="preserve"> </w:t>
            </w:r>
            <w:r w:rsidR="00BD2804">
              <w:rPr>
                <w:rFonts w:ascii="Arial" w:hAnsi="Arial" w:cs="Arial"/>
                <w:sz w:val="24"/>
                <w:szCs w:val="24"/>
              </w:rPr>
              <w:t>Legal Practitioners</w:t>
            </w:r>
            <w:r>
              <w:rPr>
                <w:rFonts w:ascii="Arial" w:hAnsi="Arial" w:cs="Arial"/>
                <w:sz w:val="24"/>
                <w:szCs w:val="24"/>
              </w:rPr>
              <w:t>, Windhoek</w:t>
            </w:r>
          </w:p>
          <w:p w14:paraId="710D9D96" w14:textId="3468E0BA" w:rsidR="00322B3E" w:rsidRPr="001D6B3F" w:rsidRDefault="00322B3E" w:rsidP="0008168A">
            <w:pPr>
              <w:pStyle w:val="Body"/>
              <w:spacing w:line="360" w:lineRule="auto"/>
              <w:jc w:val="center"/>
              <w:rPr>
                <w:rFonts w:ascii="Arial" w:hAnsi="Arial" w:cs="Arial"/>
                <w:sz w:val="24"/>
                <w:szCs w:val="24"/>
              </w:rPr>
            </w:pPr>
          </w:p>
        </w:tc>
        <w:tc>
          <w:tcPr>
            <w:tcW w:w="5706" w:type="dxa"/>
            <w:gridSpan w:val="2"/>
          </w:tcPr>
          <w:p w14:paraId="32636BDE" w14:textId="77777777" w:rsidR="00AB71DC" w:rsidRPr="001D6B3F" w:rsidRDefault="00AB71DC" w:rsidP="007A6C9F">
            <w:pPr>
              <w:pStyle w:val="Body"/>
              <w:spacing w:line="360" w:lineRule="auto"/>
              <w:ind w:left="2520" w:hanging="2520"/>
              <w:jc w:val="both"/>
              <w:rPr>
                <w:rFonts w:ascii="Arial" w:hAnsi="Arial" w:cs="Arial"/>
                <w:color w:val="auto"/>
                <w:sz w:val="24"/>
                <w:szCs w:val="24"/>
                <w:lang w:val="en-US"/>
              </w:rPr>
            </w:pPr>
          </w:p>
          <w:p w14:paraId="03A587EB" w14:textId="77777777" w:rsidR="0008168A" w:rsidRDefault="0008168A" w:rsidP="0008168A">
            <w:pPr>
              <w:spacing w:line="360" w:lineRule="auto"/>
              <w:jc w:val="center"/>
              <w:rPr>
                <w:rFonts w:ascii="Arial" w:hAnsi="Arial" w:cs="Arial"/>
                <w:sz w:val="24"/>
                <w:szCs w:val="24"/>
              </w:rPr>
            </w:pPr>
            <w:r>
              <w:rPr>
                <w:rFonts w:ascii="Arial" w:eastAsia="Arial Unicode MS" w:hAnsi="Arial" w:cs="Arial"/>
                <w:sz w:val="24"/>
                <w:szCs w:val="24"/>
                <w:u w:color="000000"/>
                <w:bdr w:val="nil"/>
                <w:lang w:val="en-US" w:eastAsia="en-GB"/>
              </w:rPr>
              <w:t>K A</w:t>
            </w:r>
            <w:proofErr w:type="spellStart"/>
            <w:r>
              <w:rPr>
                <w:rFonts w:ascii="Arial" w:hAnsi="Arial" w:cs="Arial"/>
                <w:sz w:val="24"/>
                <w:szCs w:val="24"/>
              </w:rPr>
              <w:t>moomo</w:t>
            </w:r>
            <w:proofErr w:type="spellEnd"/>
          </w:p>
          <w:p w14:paraId="1E8AB446" w14:textId="4A32F796" w:rsidR="009C2E53" w:rsidRPr="001D6B3F" w:rsidRDefault="0008168A" w:rsidP="0008168A">
            <w:pPr>
              <w:spacing w:line="360" w:lineRule="auto"/>
              <w:jc w:val="center"/>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Kadhila</w:t>
            </w:r>
            <w:proofErr w:type="spellEnd"/>
            <w:r>
              <w:rPr>
                <w:rFonts w:ascii="Arial" w:hAnsi="Arial" w:cs="Arial"/>
                <w:sz w:val="24"/>
                <w:szCs w:val="24"/>
              </w:rPr>
              <w:t xml:space="preserve"> </w:t>
            </w:r>
            <w:proofErr w:type="spellStart"/>
            <w:r>
              <w:rPr>
                <w:rFonts w:ascii="Arial" w:hAnsi="Arial" w:cs="Arial"/>
                <w:sz w:val="24"/>
                <w:szCs w:val="24"/>
              </w:rPr>
              <w:t>Amoomo</w:t>
            </w:r>
            <w:proofErr w:type="spellEnd"/>
            <w:r>
              <w:rPr>
                <w:rFonts w:ascii="Arial" w:hAnsi="Arial" w:cs="Arial"/>
                <w:sz w:val="24"/>
                <w:szCs w:val="24"/>
              </w:rPr>
              <w:t xml:space="preserve"> </w:t>
            </w:r>
            <w:r w:rsidR="00BD2804">
              <w:rPr>
                <w:rFonts w:ascii="Arial" w:hAnsi="Arial" w:cs="Arial"/>
                <w:sz w:val="24"/>
                <w:szCs w:val="24"/>
              </w:rPr>
              <w:t>Legal Practitioners</w:t>
            </w:r>
            <w:r>
              <w:rPr>
                <w:rFonts w:ascii="Arial" w:hAnsi="Arial" w:cs="Arial"/>
                <w:sz w:val="24"/>
                <w:szCs w:val="24"/>
              </w:rPr>
              <w:t>, Windhoek</w:t>
            </w:r>
          </w:p>
        </w:tc>
      </w:tr>
    </w:tbl>
    <w:p w14:paraId="145039E2" w14:textId="77777777" w:rsidR="009C2E53" w:rsidRPr="001D6B3F" w:rsidRDefault="009C2E53" w:rsidP="00EF1256">
      <w:pPr>
        <w:spacing w:after="0" w:line="360" w:lineRule="auto"/>
        <w:jc w:val="both"/>
      </w:pPr>
    </w:p>
    <w:sectPr w:rsidR="009C2E53" w:rsidRPr="001D6B3F" w:rsidSect="0092145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5B476" w14:textId="77777777" w:rsidR="0099654E" w:rsidRDefault="0099654E" w:rsidP="009C2E53">
      <w:pPr>
        <w:spacing w:after="0" w:line="240" w:lineRule="auto"/>
      </w:pPr>
      <w:r>
        <w:separator/>
      </w:r>
    </w:p>
  </w:endnote>
  <w:endnote w:type="continuationSeparator" w:id="0">
    <w:p w14:paraId="51D62DD4" w14:textId="77777777" w:rsidR="0099654E" w:rsidRDefault="0099654E"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A631" w14:textId="77777777" w:rsidR="0099654E" w:rsidRDefault="0099654E" w:rsidP="009C2E53">
      <w:pPr>
        <w:spacing w:after="0" w:line="240" w:lineRule="auto"/>
      </w:pPr>
      <w:r>
        <w:separator/>
      </w:r>
    </w:p>
  </w:footnote>
  <w:footnote w:type="continuationSeparator" w:id="0">
    <w:p w14:paraId="5533747A" w14:textId="77777777" w:rsidR="0099654E" w:rsidRDefault="0099654E" w:rsidP="009C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4228"/>
      <w:docPartObj>
        <w:docPartGallery w:val="Page Numbers (Top of Page)"/>
        <w:docPartUnique/>
      </w:docPartObj>
    </w:sdtPr>
    <w:sdtEndPr>
      <w:rPr>
        <w:noProof/>
      </w:rPr>
    </w:sdtEndPr>
    <w:sdtContent>
      <w:p w14:paraId="05CAB710" w14:textId="77777777" w:rsidR="00921456" w:rsidRPr="00186A43" w:rsidRDefault="00921456">
        <w:pPr>
          <w:pStyle w:val="Header"/>
          <w:jc w:val="right"/>
        </w:pPr>
        <w:r w:rsidRPr="00186A43">
          <w:fldChar w:fldCharType="begin"/>
        </w:r>
        <w:r w:rsidRPr="00186A43">
          <w:instrText xml:space="preserve"> PAGE   \* MERGEFORMAT </w:instrText>
        </w:r>
        <w:r w:rsidRPr="00186A43">
          <w:fldChar w:fldCharType="separate"/>
        </w:r>
        <w:r w:rsidR="00CA0EB5">
          <w:rPr>
            <w:noProof/>
          </w:rPr>
          <w:t>6</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31B"/>
    <w:multiLevelType w:val="hybridMultilevel"/>
    <w:tmpl w:val="2A2EAC72"/>
    <w:lvl w:ilvl="0" w:tplc="1CDA59D8">
      <w:start w:val="1"/>
      <w:numFmt w:val="decimal"/>
      <w:lvlText w:val="%1."/>
      <w:lvlJc w:val="left"/>
      <w:pPr>
        <w:ind w:left="400" w:hanging="360"/>
      </w:pPr>
      <w:rPr>
        <w:rFonts w:ascii="Arial" w:hAnsi="Arial" w:cs="Arial" w:hint="default"/>
        <w:sz w:val="24"/>
      </w:rPr>
    </w:lvl>
    <w:lvl w:ilvl="1" w:tplc="08090019">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060151"/>
    <w:multiLevelType w:val="multilevel"/>
    <w:tmpl w:val="95E27E26"/>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29742A3"/>
    <w:multiLevelType w:val="hybridMultilevel"/>
    <w:tmpl w:val="2A2EAC72"/>
    <w:lvl w:ilvl="0" w:tplc="1CDA59D8">
      <w:start w:val="1"/>
      <w:numFmt w:val="decimal"/>
      <w:lvlText w:val="%1."/>
      <w:lvlJc w:val="left"/>
      <w:pPr>
        <w:ind w:left="400" w:hanging="360"/>
      </w:pPr>
      <w:rPr>
        <w:rFonts w:ascii="Arial" w:hAnsi="Arial" w:cs="Arial" w:hint="default"/>
        <w:sz w:val="24"/>
      </w:rPr>
    </w:lvl>
    <w:lvl w:ilvl="1" w:tplc="08090019">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2">
    <w:nsid w:val="29E748B6"/>
    <w:multiLevelType w:val="hybridMultilevel"/>
    <w:tmpl w:val="C928A57E"/>
    <w:lvl w:ilvl="0" w:tplc="DBA62ADC">
      <w:start w:val="1"/>
      <w:numFmt w:val="lowerLetter"/>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13">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33FA"/>
    <w:multiLevelType w:val="hybridMultilevel"/>
    <w:tmpl w:val="2EF4A836"/>
    <w:lvl w:ilvl="0" w:tplc="DB945E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8944E5F"/>
    <w:multiLevelType w:val="hybridMultilevel"/>
    <w:tmpl w:val="332C92F2"/>
    <w:lvl w:ilvl="0" w:tplc="441694E8">
      <w:start w:val="1"/>
      <w:numFmt w:val="decimal"/>
      <w:lvlText w:val="%1."/>
      <w:lvlJc w:val="left"/>
      <w:pPr>
        <w:ind w:left="1080" w:hanging="360"/>
      </w:pPr>
      <w:rPr>
        <w:rFonts w:asciiTheme="minorHAnsi" w:hAnsiTheme="minorHAns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38B5DE0"/>
    <w:multiLevelType w:val="multilevel"/>
    <w:tmpl w:val="0BFC282C"/>
    <w:numStyleLink w:val="ImportedStyle1"/>
  </w:abstractNum>
  <w:abstractNum w:abstractNumId="20">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F539B0"/>
    <w:multiLevelType w:val="hybridMultilevel"/>
    <w:tmpl w:val="A4780330"/>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F92A0D"/>
    <w:multiLevelType w:val="hybridMultilevel"/>
    <w:tmpl w:val="16CAB464"/>
    <w:lvl w:ilvl="0" w:tplc="FFFFFFFF">
      <w:start w:val="1"/>
      <w:numFmt w:val="decimal"/>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33">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4"/>
  </w:num>
  <w:num w:numId="2">
    <w:abstractNumId w:val="0"/>
  </w:num>
  <w:num w:numId="3">
    <w:abstractNumId w:val="4"/>
  </w:num>
  <w:num w:numId="4">
    <w:abstractNumId w:val="23"/>
  </w:num>
  <w:num w:numId="5">
    <w:abstractNumId w:val="22"/>
  </w:num>
  <w:num w:numId="6">
    <w:abstractNumId w:val="16"/>
  </w:num>
  <w:num w:numId="7">
    <w:abstractNumId w:val="10"/>
  </w:num>
  <w:num w:numId="8">
    <w:abstractNumId w:val="31"/>
  </w:num>
  <w:num w:numId="9">
    <w:abstractNumId w:val="15"/>
  </w:num>
  <w:num w:numId="10">
    <w:abstractNumId w:val="34"/>
  </w:num>
  <w:num w:numId="11">
    <w:abstractNumId w:val="27"/>
  </w:num>
  <w:num w:numId="12">
    <w:abstractNumId w:val="6"/>
  </w:num>
  <w:num w:numId="13">
    <w:abstractNumId w:val="21"/>
  </w:num>
  <w:num w:numId="14">
    <w:abstractNumId w:val="30"/>
  </w:num>
  <w:num w:numId="15">
    <w:abstractNumId w:val="33"/>
  </w:num>
  <w:num w:numId="16">
    <w:abstractNumId w:val="9"/>
  </w:num>
  <w:num w:numId="17">
    <w:abstractNumId w:val="8"/>
  </w:num>
  <w:num w:numId="18">
    <w:abstractNumId w:val="19"/>
  </w:num>
  <w:num w:numId="19">
    <w:abstractNumId w:val="17"/>
  </w:num>
  <w:num w:numId="20">
    <w:abstractNumId w:val="20"/>
  </w:num>
  <w:num w:numId="21">
    <w:abstractNumId w:val="5"/>
  </w:num>
  <w:num w:numId="22">
    <w:abstractNumId w:val="13"/>
  </w:num>
  <w:num w:numId="23">
    <w:abstractNumId w:val="29"/>
  </w:num>
  <w:num w:numId="24">
    <w:abstractNumId w:val="3"/>
  </w:num>
  <w:num w:numId="25">
    <w:abstractNumId w:val="25"/>
  </w:num>
  <w:num w:numId="26">
    <w:abstractNumId w:val="2"/>
  </w:num>
  <w:num w:numId="27">
    <w:abstractNumId w:val="28"/>
  </w:num>
  <w:num w:numId="28">
    <w:abstractNumId w:val="18"/>
  </w:num>
  <w:num w:numId="29">
    <w:abstractNumId w:val="11"/>
  </w:num>
  <w:num w:numId="30">
    <w:abstractNumId w:val="14"/>
  </w:num>
  <w:num w:numId="31">
    <w:abstractNumId w:val="32"/>
  </w:num>
  <w:num w:numId="32">
    <w:abstractNumId w:val="7"/>
  </w:num>
  <w:num w:numId="33">
    <w:abstractNumId w:val="12"/>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3"/>
    <w:rsid w:val="00004108"/>
    <w:rsid w:val="00004E1C"/>
    <w:rsid w:val="0001446E"/>
    <w:rsid w:val="000151DD"/>
    <w:rsid w:val="00025639"/>
    <w:rsid w:val="00025D47"/>
    <w:rsid w:val="00027317"/>
    <w:rsid w:val="00034287"/>
    <w:rsid w:val="00037066"/>
    <w:rsid w:val="000424AD"/>
    <w:rsid w:val="0005042A"/>
    <w:rsid w:val="000517D9"/>
    <w:rsid w:val="000519A2"/>
    <w:rsid w:val="00060136"/>
    <w:rsid w:val="000672C0"/>
    <w:rsid w:val="000736B6"/>
    <w:rsid w:val="000742B3"/>
    <w:rsid w:val="0008168A"/>
    <w:rsid w:val="000817FE"/>
    <w:rsid w:val="000837AE"/>
    <w:rsid w:val="00093110"/>
    <w:rsid w:val="00094B6B"/>
    <w:rsid w:val="00096F9F"/>
    <w:rsid w:val="00097233"/>
    <w:rsid w:val="000A193C"/>
    <w:rsid w:val="000A2690"/>
    <w:rsid w:val="000A2C5F"/>
    <w:rsid w:val="000B2A0C"/>
    <w:rsid w:val="000B2FEC"/>
    <w:rsid w:val="000B33EE"/>
    <w:rsid w:val="000C0916"/>
    <w:rsid w:val="000C61B9"/>
    <w:rsid w:val="000C665C"/>
    <w:rsid w:val="000D0405"/>
    <w:rsid w:val="000D1FDC"/>
    <w:rsid w:val="000D4D37"/>
    <w:rsid w:val="000E775F"/>
    <w:rsid w:val="000F6149"/>
    <w:rsid w:val="0010178E"/>
    <w:rsid w:val="0010758D"/>
    <w:rsid w:val="00107F84"/>
    <w:rsid w:val="00116A1A"/>
    <w:rsid w:val="0013278F"/>
    <w:rsid w:val="00137D18"/>
    <w:rsid w:val="00142FF4"/>
    <w:rsid w:val="00143B2D"/>
    <w:rsid w:val="0014516C"/>
    <w:rsid w:val="00154A5A"/>
    <w:rsid w:val="001624C1"/>
    <w:rsid w:val="001704E1"/>
    <w:rsid w:val="001779B3"/>
    <w:rsid w:val="001844BF"/>
    <w:rsid w:val="00186A43"/>
    <w:rsid w:val="001A0DD0"/>
    <w:rsid w:val="001A5C0F"/>
    <w:rsid w:val="001B0AC2"/>
    <w:rsid w:val="001B27F4"/>
    <w:rsid w:val="001B4271"/>
    <w:rsid w:val="001C4DB1"/>
    <w:rsid w:val="001C7592"/>
    <w:rsid w:val="001D2A5E"/>
    <w:rsid w:val="001D51E3"/>
    <w:rsid w:val="001D6B3F"/>
    <w:rsid w:val="001E267B"/>
    <w:rsid w:val="001E704F"/>
    <w:rsid w:val="001F058C"/>
    <w:rsid w:val="002031DC"/>
    <w:rsid w:val="00210099"/>
    <w:rsid w:val="002120B7"/>
    <w:rsid w:val="0021222B"/>
    <w:rsid w:val="002150D0"/>
    <w:rsid w:val="002158A2"/>
    <w:rsid w:val="00222BB5"/>
    <w:rsid w:val="00225D4A"/>
    <w:rsid w:val="0023037A"/>
    <w:rsid w:val="00236038"/>
    <w:rsid w:val="00241358"/>
    <w:rsid w:val="002478E9"/>
    <w:rsid w:val="002524E6"/>
    <w:rsid w:val="00257708"/>
    <w:rsid w:val="00267876"/>
    <w:rsid w:val="00280EA1"/>
    <w:rsid w:val="002828CA"/>
    <w:rsid w:val="00284B5E"/>
    <w:rsid w:val="00287260"/>
    <w:rsid w:val="00297DDA"/>
    <w:rsid w:val="002A1B18"/>
    <w:rsid w:val="002C6EF9"/>
    <w:rsid w:val="002C7062"/>
    <w:rsid w:val="002D0858"/>
    <w:rsid w:val="002D15B0"/>
    <w:rsid w:val="002D1DC3"/>
    <w:rsid w:val="002D269C"/>
    <w:rsid w:val="002D5299"/>
    <w:rsid w:val="002D6C03"/>
    <w:rsid w:val="002E66C4"/>
    <w:rsid w:val="002E779F"/>
    <w:rsid w:val="002F00E2"/>
    <w:rsid w:val="003058A9"/>
    <w:rsid w:val="00315844"/>
    <w:rsid w:val="00322B3E"/>
    <w:rsid w:val="00324AA6"/>
    <w:rsid w:val="00333FE2"/>
    <w:rsid w:val="0034027A"/>
    <w:rsid w:val="00341784"/>
    <w:rsid w:val="00342991"/>
    <w:rsid w:val="00351E67"/>
    <w:rsid w:val="00387CE2"/>
    <w:rsid w:val="00390CAF"/>
    <w:rsid w:val="0039792A"/>
    <w:rsid w:val="003A526C"/>
    <w:rsid w:val="003B0C0D"/>
    <w:rsid w:val="003C36C7"/>
    <w:rsid w:val="003D5992"/>
    <w:rsid w:val="003E72DC"/>
    <w:rsid w:val="003E7B95"/>
    <w:rsid w:val="003F2501"/>
    <w:rsid w:val="00402207"/>
    <w:rsid w:val="004026D2"/>
    <w:rsid w:val="00413140"/>
    <w:rsid w:val="004144C1"/>
    <w:rsid w:val="00415ECC"/>
    <w:rsid w:val="00422E74"/>
    <w:rsid w:val="00425504"/>
    <w:rsid w:val="00430B52"/>
    <w:rsid w:val="004317EE"/>
    <w:rsid w:val="004344CE"/>
    <w:rsid w:val="00434726"/>
    <w:rsid w:val="00435A41"/>
    <w:rsid w:val="004366B2"/>
    <w:rsid w:val="00451B47"/>
    <w:rsid w:val="00456486"/>
    <w:rsid w:val="00457481"/>
    <w:rsid w:val="004754F8"/>
    <w:rsid w:val="00477431"/>
    <w:rsid w:val="00481062"/>
    <w:rsid w:val="00485708"/>
    <w:rsid w:val="004861BA"/>
    <w:rsid w:val="004871A9"/>
    <w:rsid w:val="004878D3"/>
    <w:rsid w:val="00487903"/>
    <w:rsid w:val="004907F9"/>
    <w:rsid w:val="00491EAE"/>
    <w:rsid w:val="004B2FE6"/>
    <w:rsid w:val="004B53A5"/>
    <w:rsid w:val="004D065E"/>
    <w:rsid w:val="004F1FD3"/>
    <w:rsid w:val="00505F77"/>
    <w:rsid w:val="005078CC"/>
    <w:rsid w:val="005163E0"/>
    <w:rsid w:val="005216C7"/>
    <w:rsid w:val="00526AE0"/>
    <w:rsid w:val="00545657"/>
    <w:rsid w:val="005508CE"/>
    <w:rsid w:val="00554726"/>
    <w:rsid w:val="005603F6"/>
    <w:rsid w:val="0056301B"/>
    <w:rsid w:val="00565BB8"/>
    <w:rsid w:val="00567834"/>
    <w:rsid w:val="00585F20"/>
    <w:rsid w:val="0059672C"/>
    <w:rsid w:val="005A1127"/>
    <w:rsid w:val="005A563B"/>
    <w:rsid w:val="005A6186"/>
    <w:rsid w:val="005A6CAD"/>
    <w:rsid w:val="005B2317"/>
    <w:rsid w:val="005B4252"/>
    <w:rsid w:val="005B6AF5"/>
    <w:rsid w:val="005C2B5B"/>
    <w:rsid w:val="005C6BBF"/>
    <w:rsid w:val="005C7CE9"/>
    <w:rsid w:val="005F15B0"/>
    <w:rsid w:val="0061062B"/>
    <w:rsid w:val="00610D63"/>
    <w:rsid w:val="00612016"/>
    <w:rsid w:val="00613617"/>
    <w:rsid w:val="00615C9E"/>
    <w:rsid w:val="00616F75"/>
    <w:rsid w:val="00620B70"/>
    <w:rsid w:val="00623D17"/>
    <w:rsid w:val="0062691A"/>
    <w:rsid w:val="006336AA"/>
    <w:rsid w:val="00635F3C"/>
    <w:rsid w:val="006412F6"/>
    <w:rsid w:val="00645A84"/>
    <w:rsid w:val="0065102F"/>
    <w:rsid w:val="00651263"/>
    <w:rsid w:val="006535B8"/>
    <w:rsid w:val="006541D3"/>
    <w:rsid w:val="006647C4"/>
    <w:rsid w:val="00670308"/>
    <w:rsid w:val="00681908"/>
    <w:rsid w:val="0068252C"/>
    <w:rsid w:val="00687169"/>
    <w:rsid w:val="00690F37"/>
    <w:rsid w:val="00696D63"/>
    <w:rsid w:val="006A3ED5"/>
    <w:rsid w:val="006A6F0A"/>
    <w:rsid w:val="006A70AE"/>
    <w:rsid w:val="006B1FAF"/>
    <w:rsid w:val="006C7B26"/>
    <w:rsid w:val="006D1B3B"/>
    <w:rsid w:val="006D56F0"/>
    <w:rsid w:val="006E333C"/>
    <w:rsid w:val="006F061A"/>
    <w:rsid w:val="006F0D59"/>
    <w:rsid w:val="006F4187"/>
    <w:rsid w:val="006F46F0"/>
    <w:rsid w:val="006F59B4"/>
    <w:rsid w:val="0070040A"/>
    <w:rsid w:val="00702353"/>
    <w:rsid w:val="0071150C"/>
    <w:rsid w:val="00732ACD"/>
    <w:rsid w:val="00743DD5"/>
    <w:rsid w:val="00747D74"/>
    <w:rsid w:val="007575C3"/>
    <w:rsid w:val="00757C37"/>
    <w:rsid w:val="00761719"/>
    <w:rsid w:val="00762FA5"/>
    <w:rsid w:val="00763F15"/>
    <w:rsid w:val="00767C2D"/>
    <w:rsid w:val="007769C4"/>
    <w:rsid w:val="0078556A"/>
    <w:rsid w:val="00785A19"/>
    <w:rsid w:val="00786210"/>
    <w:rsid w:val="007869DA"/>
    <w:rsid w:val="00790EA0"/>
    <w:rsid w:val="007A0885"/>
    <w:rsid w:val="007A1297"/>
    <w:rsid w:val="007A47D1"/>
    <w:rsid w:val="007A6C9F"/>
    <w:rsid w:val="007B3B1A"/>
    <w:rsid w:val="007C269A"/>
    <w:rsid w:val="007C332D"/>
    <w:rsid w:val="007C3A10"/>
    <w:rsid w:val="007D16A2"/>
    <w:rsid w:val="007E02B3"/>
    <w:rsid w:val="007E07B7"/>
    <w:rsid w:val="007E4920"/>
    <w:rsid w:val="0080430F"/>
    <w:rsid w:val="00806035"/>
    <w:rsid w:val="00816185"/>
    <w:rsid w:val="00827401"/>
    <w:rsid w:val="00830251"/>
    <w:rsid w:val="008305AC"/>
    <w:rsid w:val="0083558F"/>
    <w:rsid w:val="00836BD1"/>
    <w:rsid w:val="00841CEC"/>
    <w:rsid w:val="008423D7"/>
    <w:rsid w:val="00844048"/>
    <w:rsid w:val="0085426A"/>
    <w:rsid w:val="008565EB"/>
    <w:rsid w:val="008606C6"/>
    <w:rsid w:val="00860CCB"/>
    <w:rsid w:val="00860DD8"/>
    <w:rsid w:val="00861DB3"/>
    <w:rsid w:val="008663D6"/>
    <w:rsid w:val="008673E6"/>
    <w:rsid w:val="00892829"/>
    <w:rsid w:val="008967AD"/>
    <w:rsid w:val="008A0762"/>
    <w:rsid w:val="008A08AC"/>
    <w:rsid w:val="008A538A"/>
    <w:rsid w:val="008B5105"/>
    <w:rsid w:val="008D19DA"/>
    <w:rsid w:val="008E45D1"/>
    <w:rsid w:val="008F25A9"/>
    <w:rsid w:val="008F5DB4"/>
    <w:rsid w:val="008F6970"/>
    <w:rsid w:val="00902E6F"/>
    <w:rsid w:val="00903018"/>
    <w:rsid w:val="0091528B"/>
    <w:rsid w:val="00915353"/>
    <w:rsid w:val="00921456"/>
    <w:rsid w:val="009263CF"/>
    <w:rsid w:val="00927307"/>
    <w:rsid w:val="00932CE7"/>
    <w:rsid w:val="0093629F"/>
    <w:rsid w:val="0094700D"/>
    <w:rsid w:val="00947477"/>
    <w:rsid w:val="00950801"/>
    <w:rsid w:val="009541BC"/>
    <w:rsid w:val="00955D5B"/>
    <w:rsid w:val="00960DF5"/>
    <w:rsid w:val="009709CA"/>
    <w:rsid w:val="00977B79"/>
    <w:rsid w:val="0098376D"/>
    <w:rsid w:val="00985AEF"/>
    <w:rsid w:val="009953E1"/>
    <w:rsid w:val="0099654E"/>
    <w:rsid w:val="009A0698"/>
    <w:rsid w:val="009A546A"/>
    <w:rsid w:val="009B4064"/>
    <w:rsid w:val="009C0E21"/>
    <w:rsid w:val="009C2E53"/>
    <w:rsid w:val="009C7F33"/>
    <w:rsid w:val="009E14BF"/>
    <w:rsid w:val="009E2727"/>
    <w:rsid w:val="009E2E4C"/>
    <w:rsid w:val="009E5A4E"/>
    <w:rsid w:val="009F5E08"/>
    <w:rsid w:val="00A1092D"/>
    <w:rsid w:val="00A13E17"/>
    <w:rsid w:val="00A21FEC"/>
    <w:rsid w:val="00A23D7A"/>
    <w:rsid w:val="00A323D3"/>
    <w:rsid w:val="00A4043F"/>
    <w:rsid w:val="00A425A3"/>
    <w:rsid w:val="00A42F85"/>
    <w:rsid w:val="00A46E6E"/>
    <w:rsid w:val="00A6384C"/>
    <w:rsid w:val="00A64F72"/>
    <w:rsid w:val="00A67C72"/>
    <w:rsid w:val="00A71593"/>
    <w:rsid w:val="00A74743"/>
    <w:rsid w:val="00A74B21"/>
    <w:rsid w:val="00A842FE"/>
    <w:rsid w:val="00A87B0D"/>
    <w:rsid w:val="00A910C6"/>
    <w:rsid w:val="00A91A42"/>
    <w:rsid w:val="00A97F7A"/>
    <w:rsid w:val="00AA273F"/>
    <w:rsid w:val="00AA5692"/>
    <w:rsid w:val="00AB05C3"/>
    <w:rsid w:val="00AB620F"/>
    <w:rsid w:val="00AB71DC"/>
    <w:rsid w:val="00AD0B95"/>
    <w:rsid w:val="00AD7322"/>
    <w:rsid w:val="00AE74DE"/>
    <w:rsid w:val="00AF5CB7"/>
    <w:rsid w:val="00AF6F03"/>
    <w:rsid w:val="00AF7F00"/>
    <w:rsid w:val="00B00FB8"/>
    <w:rsid w:val="00B02BBA"/>
    <w:rsid w:val="00B054C7"/>
    <w:rsid w:val="00B100A9"/>
    <w:rsid w:val="00B10272"/>
    <w:rsid w:val="00B150A5"/>
    <w:rsid w:val="00B1705C"/>
    <w:rsid w:val="00B24EBD"/>
    <w:rsid w:val="00B250A0"/>
    <w:rsid w:val="00B34271"/>
    <w:rsid w:val="00B45749"/>
    <w:rsid w:val="00B51EC6"/>
    <w:rsid w:val="00B70021"/>
    <w:rsid w:val="00B7088E"/>
    <w:rsid w:val="00B72EF0"/>
    <w:rsid w:val="00B83D2B"/>
    <w:rsid w:val="00B86B6C"/>
    <w:rsid w:val="00B9293D"/>
    <w:rsid w:val="00B96167"/>
    <w:rsid w:val="00B977BB"/>
    <w:rsid w:val="00BA0064"/>
    <w:rsid w:val="00BA30AF"/>
    <w:rsid w:val="00BA5110"/>
    <w:rsid w:val="00BA589D"/>
    <w:rsid w:val="00BB389F"/>
    <w:rsid w:val="00BB4C55"/>
    <w:rsid w:val="00BC175B"/>
    <w:rsid w:val="00BD1D47"/>
    <w:rsid w:val="00BD2804"/>
    <w:rsid w:val="00BE299F"/>
    <w:rsid w:val="00BE2D9E"/>
    <w:rsid w:val="00BE4D00"/>
    <w:rsid w:val="00BE51C3"/>
    <w:rsid w:val="00BF01F9"/>
    <w:rsid w:val="00C03CC7"/>
    <w:rsid w:val="00C04427"/>
    <w:rsid w:val="00C07E77"/>
    <w:rsid w:val="00C110A8"/>
    <w:rsid w:val="00C132D3"/>
    <w:rsid w:val="00C268A6"/>
    <w:rsid w:val="00C27546"/>
    <w:rsid w:val="00C605F1"/>
    <w:rsid w:val="00C82668"/>
    <w:rsid w:val="00C9626D"/>
    <w:rsid w:val="00CA0EB5"/>
    <w:rsid w:val="00CA1D70"/>
    <w:rsid w:val="00CA686A"/>
    <w:rsid w:val="00CA718B"/>
    <w:rsid w:val="00CB18E2"/>
    <w:rsid w:val="00CB34EB"/>
    <w:rsid w:val="00CC0F00"/>
    <w:rsid w:val="00CC1C2A"/>
    <w:rsid w:val="00CD1FEB"/>
    <w:rsid w:val="00CE7562"/>
    <w:rsid w:val="00CF2C83"/>
    <w:rsid w:val="00CF776D"/>
    <w:rsid w:val="00D16B8B"/>
    <w:rsid w:val="00D20765"/>
    <w:rsid w:val="00D27B89"/>
    <w:rsid w:val="00D30791"/>
    <w:rsid w:val="00D3707E"/>
    <w:rsid w:val="00D40C32"/>
    <w:rsid w:val="00D40C34"/>
    <w:rsid w:val="00D41E73"/>
    <w:rsid w:val="00D54141"/>
    <w:rsid w:val="00D5791B"/>
    <w:rsid w:val="00D66539"/>
    <w:rsid w:val="00D66F00"/>
    <w:rsid w:val="00D70077"/>
    <w:rsid w:val="00D76531"/>
    <w:rsid w:val="00D824EC"/>
    <w:rsid w:val="00D9033A"/>
    <w:rsid w:val="00D9575E"/>
    <w:rsid w:val="00DA37E5"/>
    <w:rsid w:val="00DA5986"/>
    <w:rsid w:val="00DA6297"/>
    <w:rsid w:val="00DB74B4"/>
    <w:rsid w:val="00DC3422"/>
    <w:rsid w:val="00DC489D"/>
    <w:rsid w:val="00DC6364"/>
    <w:rsid w:val="00DD344A"/>
    <w:rsid w:val="00DE1496"/>
    <w:rsid w:val="00DE769E"/>
    <w:rsid w:val="00DF1513"/>
    <w:rsid w:val="00E148A8"/>
    <w:rsid w:val="00E3091C"/>
    <w:rsid w:val="00E42D42"/>
    <w:rsid w:val="00E51483"/>
    <w:rsid w:val="00E644B8"/>
    <w:rsid w:val="00E6536C"/>
    <w:rsid w:val="00E65ECF"/>
    <w:rsid w:val="00E8057B"/>
    <w:rsid w:val="00E81E4F"/>
    <w:rsid w:val="00E96C11"/>
    <w:rsid w:val="00EA38E7"/>
    <w:rsid w:val="00EA73CD"/>
    <w:rsid w:val="00EC1212"/>
    <w:rsid w:val="00ED3037"/>
    <w:rsid w:val="00ED65C4"/>
    <w:rsid w:val="00EE6EEE"/>
    <w:rsid w:val="00EF1256"/>
    <w:rsid w:val="00EF19BD"/>
    <w:rsid w:val="00EF4AE3"/>
    <w:rsid w:val="00EF5666"/>
    <w:rsid w:val="00EF706E"/>
    <w:rsid w:val="00F0028E"/>
    <w:rsid w:val="00F047A9"/>
    <w:rsid w:val="00F275ED"/>
    <w:rsid w:val="00F30215"/>
    <w:rsid w:val="00F336D4"/>
    <w:rsid w:val="00F359A1"/>
    <w:rsid w:val="00F4643D"/>
    <w:rsid w:val="00F5745F"/>
    <w:rsid w:val="00F63DB3"/>
    <w:rsid w:val="00F70E67"/>
    <w:rsid w:val="00F7230F"/>
    <w:rsid w:val="00F771BA"/>
    <w:rsid w:val="00F779BA"/>
    <w:rsid w:val="00F80FED"/>
    <w:rsid w:val="00F82631"/>
    <w:rsid w:val="00F952CA"/>
    <w:rsid w:val="00F97DB8"/>
    <w:rsid w:val="00FC026A"/>
    <w:rsid w:val="00FC28F3"/>
    <w:rsid w:val="00FD659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2023-08-09T18:30:00+00:00</Judgment_x0020_Date>
    <Year xmlns="c1afb1bd-f2fb-40fd-9abb-aea55b4d7662">2023</Year>
  </documentManagement>
</p:properties>
</file>

<file path=customXml/itemProps1.xml><?xml version="1.0" encoding="utf-8"?>
<ds:datastoreItem xmlns:ds="http://schemas.openxmlformats.org/officeDocument/2006/customXml" ds:itemID="{49B47F95-C339-435C-BE52-5E5982D1B754}"/>
</file>

<file path=customXml/itemProps2.xml><?xml version="1.0" encoding="utf-8"?>
<ds:datastoreItem xmlns:ds="http://schemas.openxmlformats.org/officeDocument/2006/customXml" ds:itemID="{8BB092A4-6C1E-469A-B473-1190D45791E0}"/>
</file>

<file path=customXml/itemProps3.xml><?xml version="1.0" encoding="utf-8"?>
<ds:datastoreItem xmlns:ds="http://schemas.openxmlformats.org/officeDocument/2006/customXml" ds:itemID="{95A1FEF9-A251-486E-AD2D-B6F10D12E43C}"/>
</file>

<file path=customXml/itemProps4.xml><?xml version="1.0" encoding="utf-8"?>
<ds:datastoreItem xmlns:ds="http://schemas.openxmlformats.org/officeDocument/2006/customXml" ds:itemID="{E6ED0A04-24A4-4ACB-A5B0-0DD78D5627EF}"/>
</file>

<file path=docProps/app.xml><?xml version="1.0" encoding="utf-8"?>
<Properties xmlns="http://schemas.openxmlformats.org/officeDocument/2006/extended-properties" xmlns:vt="http://schemas.openxmlformats.org/officeDocument/2006/docPropsVTypes">
  <Template>Normal</Template>
  <TotalTime>425</TotalTime>
  <Pages>6</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FNB Namibia Ltd  v Gunther Farming Enterprises (HC-MD-CIV-ACT-CON-2022-03235) [2023] NAHCMD 494 (10 August 2023)</dc:title>
  <dc:subject/>
  <dc:creator>Prinsloo Hannelie</dc:creator>
  <cp:keywords/>
  <dc:description/>
  <cp:lastModifiedBy>Dean-Marlo Titus</cp:lastModifiedBy>
  <cp:revision>9</cp:revision>
  <cp:lastPrinted>2023-08-10T11:42:00Z</cp:lastPrinted>
  <dcterms:created xsi:type="dcterms:W3CDTF">2023-07-26T06:29:00Z</dcterms:created>
  <dcterms:modified xsi:type="dcterms:W3CDTF">2023-08-10T11:43:00Z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