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bookmarkStart w:id="0" w:name="_GoBack"/>
      <w:bookmarkEnd w:id="0"/>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E1151" w:rsidRDefault="008459A2" w:rsidP="00B40844">
      <w:pPr>
        <w:spacing w:after="0" w:line="360" w:lineRule="auto"/>
        <w:jc w:val="center"/>
        <w:rPr>
          <w:rFonts w:ascii="Arial" w:hAnsi="Arial" w:cs="Arial"/>
          <w:b/>
          <w:sz w:val="24"/>
          <w:szCs w:val="24"/>
          <w:lang w:val="en-US"/>
        </w:rPr>
      </w:pPr>
      <w:r>
        <w:rPr>
          <w:rFonts w:ascii="Arial" w:hAnsi="Arial" w:cs="Arial"/>
          <w:b/>
          <w:sz w:val="24"/>
          <w:szCs w:val="24"/>
          <w:lang w:val="en-US"/>
        </w:rPr>
        <w:t>RULING</w:t>
      </w:r>
    </w:p>
    <w:p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rsidR="00B40844" w:rsidRPr="002E1151" w:rsidRDefault="00B40844" w:rsidP="00B40844">
      <w:pPr>
        <w:spacing w:after="0" w:line="360" w:lineRule="auto"/>
        <w:jc w:val="both"/>
        <w:rPr>
          <w:rFonts w:ascii="Arial" w:hAnsi="Arial" w:cs="Arial"/>
          <w:sz w:val="12"/>
          <w:szCs w:val="12"/>
        </w:rPr>
      </w:pPr>
    </w:p>
    <w:tbl>
      <w:tblPr>
        <w:tblStyle w:val="TableGrid"/>
        <w:tblW w:w="10490" w:type="dxa"/>
        <w:tblInd w:w="-572" w:type="dxa"/>
        <w:tblLook w:val="04A0" w:firstRow="1" w:lastRow="0" w:firstColumn="1" w:lastColumn="0" w:noHBand="0" w:noVBand="1"/>
      </w:tblPr>
      <w:tblGrid>
        <w:gridCol w:w="5067"/>
        <w:gridCol w:w="1312"/>
        <w:gridCol w:w="4111"/>
      </w:tblGrid>
      <w:tr w:rsidR="00CA7995" w:rsidRPr="00CA7995" w:rsidTr="005C4C93">
        <w:trPr>
          <w:trHeight w:val="1271"/>
        </w:trPr>
        <w:tc>
          <w:tcPr>
            <w:tcW w:w="6379"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B40844" w:rsidRDefault="008459A2" w:rsidP="00AA6017">
            <w:pPr>
              <w:jc w:val="both"/>
              <w:rPr>
                <w:rFonts w:ascii="Arial" w:hAnsi="Arial" w:cs="Arial"/>
                <w:sz w:val="24"/>
                <w:szCs w:val="24"/>
              </w:rPr>
            </w:pPr>
            <w:r>
              <w:rPr>
                <w:rFonts w:ascii="Arial" w:hAnsi="Arial" w:cs="Arial"/>
                <w:sz w:val="24"/>
                <w:szCs w:val="24"/>
              </w:rPr>
              <w:t>CRESTA PANDU (PTY) LTD</w:t>
            </w:r>
          </w:p>
          <w:p w:rsidR="008459A2" w:rsidRDefault="008459A2" w:rsidP="00AA6017">
            <w:pPr>
              <w:jc w:val="both"/>
              <w:rPr>
                <w:rFonts w:ascii="Arial" w:hAnsi="Arial" w:cs="Arial"/>
                <w:sz w:val="24"/>
                <w:szCs w:val="24"/>
              </w:rPr>
            </w:pPr>
            <w:r>
              <w:rPr>
                <w:rFonts w:ascii="Arial" w:hAnsi="Arial" w:cs="Arial"/>
                <w:sz w:val="24"/>
                <w:szCs w:val="24"/>
              </w:rPr>
              <w:t>T/A CITY CENTRE BUILDING</w:t>
            </w:r>
            <w:r w:rsidRPr="00CA7995">
              <w:rPr>
                <w:rFonts w:ascii="Arial" w:hAnsi="Arial" w:cs="Arial"/>
                <w:sz w:val="24"/>
                <w:szCs w:val="24"/>
              </w:rPr>
              <w:tab/>
            </w:r>
            <w:r w:rsidRPr="00CA7995">
              <w:rPr>
                <w:rFonts w:ascii="Arial" w:hAnsi="Arial" w:cs="Arial"/>
                <w:sz w:val="24"/>
                <w:szCs w:val="24"/>
              </w:rPr>
              <w:tab/>
            </w:r>
            <w:r>
              <w:rPr>
                <w:rFonts w:ascii="Arial" w:hAnsi="Arial" w:cs="Arial"/>
                <w:sz w:val="24"/>
                <w:szCs w:val="24"/>
              </w:rPr>
              <w:t xml:space="preserve">  </w:t>
            </w:r>
            <w:r w:rsidR="005C4C93">
              <w:rPr>
                <w:rFonts w:ascii="Arial" w:hAnsi="Arial" w:cs="Arial"/>
                <w:sz w:val="24"/>
                <w:szCs w:val="24"/>
              </w:rPr>
              <w:t xml:space="preserve">  </w:t>
            </w:r>
            <w:r>
              <w:rPr>
                <w:rFonts w:ascii="Arial" w:hAnsi="Arial" w:cs="Arial"/>
                <w:sz w:val="24"/>
                <w:szCs w:val="24"/>
              </w:rPr>
              <w:t xml:space="preserve"> </w:t>
            </w:r>
            <w:r w:rsidR="00E3689F">
              <w:rPr>
                <w:rFonts w:ascii="Arial" w:hAnsi="Arial" w:cs="Arial"/>
                <w:sz w:val="24"/>
                <w:szCs w:val="24"/>
              </w:rPr>
              <w:t xml:space="preserve">   </w:t>
            </w:r>
            <w:r>
              <w:rPr>
                <w:rFonts w:ascii="Arial" w:hAnsi="Arial" w:cs="Arial"/>
                <w:sz w:val="24"/>
                <w:szCs w:val="24"/>
              </w:rPr>
              <w:t xml:space="preserve"> </w:t>
            </w:r>
            <w:r w:rsidR="005C4C93">
              <w:rPr>
                <w:rFonts w:ascii="Arial" w:hAnsi="Arial" w:cs="Arial"/>
                <w:sz w:val="24"/>
                <w:szCs w:val="24"/>
              </w:rPr>
              <w:t>PLAINTIFF</w:t>
            </w:r>
          </w:p>
          <w:p w:rsidR="008459A2" w:rsidRDefault="008459A2" w:rsidP="00E3689F">
            <w:pPr>
              <w:spacing w:line="360" w:lineRule="auto"/>
              <w:jc w:val="both"/>
              <w:rPr>
                <w:rFonts w:ascii="Arial" w:hAnsi="Arial" w:cs="Arial"/>
                <w:sz w:val="24"/>
                <w:szCs w:val="24"/>
              </w:rPr>
            </w:pPr>
          </w:p>
          <w:p w:rsidR="008459A2" w:rsidRDefault="008459A2" w:rsidP="00E3689F">
            <w:pPr>
              <w:spacing w:line="360" w:lineRule="auto"/>
              <w:jc w:val="both"/>
              <w:rPr>
                <w:rFonts w:ascii="Arial" w:hAnsi="Arial" w:cs="Arial"/>
                <w:sz w:val="24"/>
                <w:szCs w:val="24"/>
              </w:rPr>
            </w:pPr>
            <w:r>
              <w:rPr>
                <w:rFonts w:ascii="Arial" w:hAnsi="Arial" w:cs="Arial"/>
                <w:sz w:val="24"/>
                <w:szCs w:val="24"/>
              </w:rPr>
              <w:t>and</w:t>
            </w:r>
          </w:p>
          <w:p w:rsidR="008459A2" w:rsidRDefault="008459A2" w:rsidP="00E3689F">
            <w:pPr>
              <w:spacing w:line="360" w:lineRule="auto"/>
              <w:jc w:val="both"/>
              <w:rPr>
                <w:rFonts w:ascii="Arial" w:hAnsi="Arial" w:cs="Arial"/>
                <w:sz w:val="24"/>
                <w:szCs w:val="24"/>
              </w:rPr>
            </w:pPr>
          </w:p>
          <w:p w:rsidR="008459A2" w:rsidRDefault="008459A2" w:rsidP="00AA6017">
            <w:pPr>
              <w:jc w:val="both"/>
              <w:rPr>
                <w:rFonts w:ascii="Arial" w:hAnsi="Arial" w:cs="Arial"/>
                <w:sz w:val="24"/>
                <w:szCs w:val="24"/>
              </w:rPr>
            </w:pPr>
            <w:r>
              <w:rPr>
                <w:rFonts w:ascii="Arial" w:hAnsi="Arial" w:cs="Arial"/>
                <w:sz w:val="24"/>
                <w:szCs w:val="24"/>
              </w:rPr>
              <w:t>ANNE AND JUSTIN INVESTMENTS</w:t>
            </w:r>
          </w:p>
          <w:p w:rsidR="008459A2" w:rsidRDefault="008459A2" w:rsidP="00E3689F">
            <w:pPr>
              <w:spacing w:line="360" w:lineRule="auto"/>
              <w:jc w:val="both"/>
              <w:rPr>
                <w:rFonts w:ascii="Arial" w:hAnsi="Arial" w:cs="Arial"/>
                <w:sz w:val="24"/>
                <w:szCs w:val="24"/>
              </w:rPr>
            </w:pPr>
            <w:r>
              <w:rPr>
                <w:rFonts w:ascii="Arial" w:hAnsi="Arial" w:cs="Arial"/>
                <w:sz w:val="24"/>
                <w:szCs w:val="24"/>
              </w:rPr>
              <w:t>CC T/A A &amp; J CAFÉ</w:t>
            </w:r>
            <w:r w:rsidRPr="00CA7995">
              <w:rPr>
                <w:rFonts w:ascii="Arial" w:hAnsi="Arial" w:cs="Arial"/>
                <w:sz w:val="24"/>
                <w:szCs w:val="24"/>
              </w:rPr>
              <w:tab/>
            </w:r>
            <w:r w:rsidRPr="00CA7995">
              <w:rPr>
                <w:rFonts w:ascii="Arial" w:hAnsi="Arial" w:cs="Arial"/>
                <w:sz w:val="24"/>
                <w:szCs w:val="24"/>
              </w:rPr>
              <w:tab/>
            </w:r>
            <w:r w:rsidRPr="00CA7995">
              <w:rPr>
                <w:rFonts w:ascii="Arial" w:hAnsi="Arial" w:cs="Arial"/>
                <w:sz w:val="24"/>
                <w:szCs w:val="24"/>
              </w:rPr>
              <w:tab/>
            </w:r>
            <w:r w:rsidR="00E3689F">
              <w:rPr>
                <w:rFonts w:ascii="Arial" w:hAnsi="Arial" w:cs="Arial"/>
                <w:sz w:val="24"/>
                <w:szCs w:val="24"/>
              </w:rPr>
              <w:t xml:space="preserve"> </w:t>
            </w:r>
            <w:r w:rsidR="005C4C93">
              <w:rPr>
                <w:rFonts w:ascii="Arial" w:hAnsi="Arial" w:cs="Arial"/>
                <w:sz w:val="24"/>
                <w:szCs w:val="24"/>
              </w:rPr>
              <w:t xml:space="preserve">   </w:t>
            </w:r>
            <w:r w:rsidR="00E3689F">
              <w:rPr>
                <w:rFonts w:ascii="Arial" w:hAnsi="Arial" w:cs="Arial"/>
                <w:sz w:val="24"/>
                <w:szCs w:val="24"/>
              </w:rPr>
              <w:t xml:space="preserve"> </w:t>
            </w:r>
            <w:r>
              <w:rPr>
                <w:rFonts w:ascii="Arial" w:hAnsi="Arial" w:cs="Arial"/>
                <w:sz w:val="24"/>
                <w:szCs w:val="24"/>
              </w:rPr>
              <w:t xml:space="preserve">FIRST </w:t>
            </w:r>
            <w:r w:rsidR="005C4C93">
              <w:rPr>
                <w:rFonts w:ascii="Arial" w:hAnsi="Arial" w:cs="Arial"/>
                <w:sz w:val="24"/>
                <w:szCs w:val="24"/>
              </w:rPr>
              <w:t>DEFENDANT</w:t>
            </w:r>
          </w:p>
          <w:p w:rsidR="008459A2" w:rsidRDefault="008459A2" w:rsidP="00E3689F">
            <w:pPr>
              <w:jc w:val="both"/>
              <w:rPr>
                <w:rFonts w:ascii="Arial" w:hAnsi="Arial" w:cs="Arial"/>
                <w:sz w:val="24"/>
                <w:szCs w:val="24"/>
              </w:rPr>
            </w:pPr>
            <w:r>
              <w:rPr>
                <w:rFonts w:ascii="Arial" w:hAnsi="Arial" w:cs="Arial"/>
                <w:sz w:val="24"/>
                <w:szCs w:val="24"/>
              </w:rPr>
              <w:t>ANNA MAGANO NDAGWEDHA</w:t>
            </w:r>
          </w:p>
          <w:p w:rsidR="008459A2" w:rsidRDefault="008459A2" w:rsidP="00E3689F">
            <w:pPr>
              <w:spacing w:line="360" w:lineRule="auto"/>
              <w:jc w:val="both"/>
              <w:rPr>
                <w:rFonts w:ascii="Arial" w:hAnsi="Arial" w:cs="Arial"/>
                <w:sz w:val="24"/>
                <w:szCs w:val="24"/>
              </w:rPr>
            </w:pPr>
            <w:r>
              <w:rPr>
                <w:rFonts w:ascii="Arial" w:hAnsi="Arial" w:cs="Arial"/>
                <w:sz w:val="24"/>
                <w:szCs w:val="24"/>
              </w:rPr>
              <w:t>IPANGELWA</w:t>
            </w:r>
            <w:r w:rsidRPr="00CA7995">
              <w:rPr>
                <w:rFonts w:ascii="Arial" w:hAnsi="Arial" w:cs="Arial"/>
                <w:sz w:val="24"/>
                <w:szCs w:val="24"/>
              </w:rPr>
              <w:tab/>
            </w:r>
            <w:r w:rsidRPr="00CA7995">
              <w:rPr>
                <w:rFonts w:ascii="Arial" w:hAnsi="Arial" w:cs="Arial"/>
                <w:sz w:val="24"/>
                <w:szCs w:val="24"/>
              </w:rPr>
              <w:tab/>
            </w:r>
            <w:r w:rsidRPr="00CA7995">
              <w:rPr>
                <w:rFonts w:ascii="Arial" w:hAnsi="Arial" w:cs="Arial"/>
                <w:sz w:val="24"/>
                <w:szCs w:val="24"/>
              </w:rPr>
              <w:tab/>
            </w:r>
            <w:r w:rsidR="005C4C93" w:rsidRPr="00CA7995">
              <w:rPr>
                <w:rFonts w:ascii="Arial" w:hAnsi="Arial" w:cs="Arial"/>
                <w:sz w:val="24"/>
                <w:szCs w:val="24"/>
              </w:rPr>
              <w:tab/>
            </w:r>
            <w:r>
              <w:rPr>
                <w:rFonts w:ascii="Arial" w:hAnsi="Arial" w:cs="Arial"/>
                <w:sz w:val="24"/>
                <w:szCs w:val="24"/>
              </w:rPr>
              <w:t xml:space="preserve">SECOND </w:t>
            </w:r>
            <w:r w:rsidR="005C4C93">
              <w:rPr>
                <w:rFonts w:ascii="Arial" w:hAnsi="Arial" w:cs="Arial"/>
                <w:sz w:val="24"/>
                <w:szCs w:val="24"/>
              </w:rPr>
              <w:t>DEFENDANT</w:t>
            </w:r>
          </w:p>
          <w:p w:rsidR="008459A2" w:rsidRPr="00015DC1" w:rsidRDefault="008459A2" w:rsidP="005C4C93">
            <w:pPr>
              <w:spacing w:line="360" w:lineRule="auto"/>
              <w:jc w:val="both"/>
              <w:rPr>
                <w:rFonts w:ascii="Arial" w:hAnsi="Arial" w:cs="Arial"/>
                <w:sz w:val="24"/>
                <w:szCs w:val="24"/>
              </w:rPr>
            </w:pPr>
            <w:r>
              <w:rPr>
                <w:rFonts w:ascii="Arial" w:hAnsi="Arial" w:cs="Arial"/>
                <w:sz w:val="24"/>
                <w:szCs w:val="24"/>
              </w:rPr>
              <w:t>JUSTINA VALINDI</w:t>
            </w:r>
            <w:r w:rsidRPr="00CA7995">
              <w:rPr>
                <w:rFonts w:ascii="Arial" w:hAnsi="Arial" w:cs="Arial"/>
                <w:sz w:val="24"/>
                <w:szCs w:val="24"/>
              </w:rPr>
              <w:tab/>
            </w:r>
            <w:r w:rsidRPr="00CA7995">
              <w:rPr>
                <w:rFonts w:ascii="Arial" w:hAnsi="Arial" w:cs="Arial"/>
                <w:sz w:val="24"/>
                <w:szCs w:val="24"/>
              </w:rPr>
              <w:tab/>
            </w:r>
            <w:r w:rsidR="005C4C93" w:rsidRPr="00CA7995">
              <w:rPr>
                <w:rFonts w:ascii="Arial" w:hAnsi="Arial" w:cs="Arial"/>
                <w:sz w:val="24"/>
                <w:szCs w:val="24"/>
              </w:rPr>
              <w:tab/>
            </w:r>
            <w:r w:rsidR="005C4C93">
              <w:rPr>
                <w:rFonts w:ascii="Arial" w:hAnsi="Arial" w:cs="Arial"/>
                <w:sz w:val="24"/>
                <w:szCs w:val="24"/>
              </w:rPr>
              <w:t xml:space="preserve"> </w:t>
            </w:r>
            <w:r w:rsidR="00E3689F">
              <w:rPr>
                <w:rFonts w:ascii="Arial" w:hAnsi="Arial" w:cs="Arial"/>
                <w:sz w:val="24"/>
                <w:szCs w:val="24"/>
              </w:rPr>
              <w:t xml:space="preserve">   </w:t>
            </w:r>
            <w:r>
              <w:rPr>
                <w:rFonts w:ascii="Arial" w:hAnsi="Arial" w:cs="Arial"/>
                <w:sz w:val="24"/>
                <w:szCs w:val="24"/>
              </w:rPr>
              <w:t xml:space="preserve">THIRD </w:t>
            </w:r>
            <w:r w:rsidR="005C4C93">
              <w:rPr>
                <w:rFonts w:ascii="Arial" w:hAnsi="Arial" w:cs="Arial"/>
                <w:sz w:val="24"/>
                <w:szCs w:val="24"/>
              </w:rPr>
              <w:t>DEFENDANT</w:t>
            </w:r>
          </w:p>
        </w:tc>
        <w:tc>
          <w:tcPr>
            <w:tcW w:w="4111" w:type="dxa"/>
          </w:tcPr>
          <w:p w:rsidR="00B40844" w:rsidRPr="008459A2" w:rsidRDefault="00B40844" w:rsidP="00937C89">
            <w:pPr>
              <w:spacing w:line="360" w:lineRule="auto"/>
              <w:jc w:val="both"/>
              <w:rPr>
                <w:rFonts w:ascii="Arial" w:hAnsi="Arial" w:cs="Arial"/>
                <w:b/>
                <w:sz w:val="24"/>
                <w:szCs w:val="24"/>
              </w:rPr>
            </w:pPr>
            <w:r w:rsidRPr="008459A2">
              <w:rPr>
                <w:rFonts w:ascii="Arial" w:hAnsi="Arial" w:cs="Arial"/>
                <w:b/>
                <w:sz w:val="24"/>
                <w:szCs w:val="24"/>
              </w:rPr>
              <w:t>Case No:</w:t>
            </w:r>
          </w:p>
          <w:p w:rsidR="00B40844" w:rsidRPr="008459A2" w:rsidRDefault="008459A2" w:rsidP="00937C89">
            <w:pPr>
              <w:spacing w:line="360" w:lineRule="auto"/>
              <w:jc w:val="both"/>
              <w:rPr>
                <w:rFonts w:ascii="Arial" w:hAnsi="Arial" w:cs="Arial"/>
                <w:sz w:val="24"/>
                <w:szCs w:val="24"/>
                <w:shd w:val="clear" w:color="auto" w:fill="FFFFFF"/>
              </w:rPr>
            </w:pPr>
            <w:r w:rsidRPr="008459A2">
              <w:rPr>
                <w:rFonts w:ascii="Arial" w:hAnsi="Arial" w:cs="Arial"/>
                <w:sz w:val="24"/>
                <w:szCs w:val="24"/>
                <w:shd w:val="clear" w:color="auto" w:fill="FFFFFF"/>
              </w:rPr>
              <w:t>HC-MD-CIV-ACT-CON-2022/05431</w:t>
            </w:r>
          </w:p>
        </w:tc>
      </w:tr>
      <w:tr w:rsidR="00CA7995" w:rsidRPr="00CA7995" w:rsidTr="00E3689F">
        <w:trPr>
          <w:trHeight w:val="968"/>
        </w:trPr>
        <w:tc>
          <w:tcPr>
            <w:tcW w:w="6379" w:type="dxa"/>
            <w:gridSpan w:val="2"/>
            <w:vMerge/>
          </w:tcPr>
          <w:p w:rsidR="00B40844" w:rsidRPr="00015DC1" w:rsidRDefault="00B40844" w:rsidP="00937C89">
            <w:pPr>
              <w:spacing w:line="360" w:lineRule="auto"/>
              <w:jc w:val="both"/>
              <w:rPr>
                <w:rFonts w:ascii="Arial" w:hAnsi="Arial" w:cs="Arial"/>
                <w:sz w:val="24"/>
                <w:szCs w:val="24"/>
              </w:rPr>
            </w:pPr>
          </w:p>
        </w:tc>
        <w:tc>
          <w:tcPr>
            <w:tcW w:w="4111" w:type="dxa"/>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rsidTr="00E3689F">
        <w:trPr>
          <w:trHeight w:val="804"/>
        </w:trPr>
        <w:tc>
          <w:tcPr>
            <w:tcW w:w="6379"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8459A2">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8459A2">
              <w:rPr>
                <w:rFonts w:ascii="Arial" w:hAnsi="Arial" w:cs="Arial"/>
                <w:sz w:val="24"/>
                <w:szCs w:val="24"/>
              </w:rPr>
              <w:t>PARKER</w:t>
            </w:r>
            <w:r w:rsidRPr="00015DC1">
              <w:rPr>
                <w:rFonts w:ascii="Arial" w:hAnsi="Arial" w:cs="Arial"/>
                <w:sz w:val="24"/>
                <w:szCs w:val="24"/>
              </w:rPr>
              <w:t xml:space="preserve">, </w:t>
            </w:r>
            <w:r w:rsidR="008459A2">
              <w:rPr>
                <w:rFonts w:ascii="Arial" w:hAnsi="Arial" w:cs="Arial"/>
                <w:sz w:val="24"/>
                <w:szCs w:val="24"/>
              </w:rPr>
              <w:t>ACTING</w:t>
            </w:r>
          </w:p>
        </w:tc>
        <w:tc>
          <w:tcPr>
            <w:tcW w:w="4111"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346B7A" w:rsidP="00E3689F">
            <w:pPr>
              <w:spacing w:line="360" w:lineRule="auto"/>
              <w:jc w:val="both"/>
              <w:rPr>
                <w:rFonts w:ascii="Arial" w:hAnsi="Arial" w:cs="Arial"/>
                <w:sz w:val="24"/>
                <w:szCs w:val="24"/>
              </w:rPr>
            </w:pPr>
            <w:r>
              <w:rPr>
                <w:rFonts w:ascii="Arial" w:hAnsi="Arial" w:cs="Arial"/>
                <w:sz w:val="24"/>
                <w:szCs w:val="24"/>
              </w:rPr>
              <w:t>2</w:t>
            </w:r>
            <w:r w:rsidR="00E3689F">
              <w:rPr>
                <w:rFonts w:ascii="Arial" w:hAnsi="Arial" w:cs="Arial"/>
                <w:sz w:val="24"/>
                <w:szCs w:val="24"/>
              </w:rPr>
              <w:t>7</w:t>
            </w:r>
            <w:r>
              <w:rPr>
                <w:rFonts w:ascii="Arial" w:hAnsi="Arial" w:cs="Arial"/>
                <w:sz w:val="24"/>
                <w:szCs w:val="24"/>
              </w:rPr>
              <w:t xml:space="preserve"> JULY</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rsidTr="00E3689F">
        <w:trPr>
          <w:trHeight w:val="832"/>
        </w:trPr>
        <w:tc>
          <w:tcPr>
            <w:tcW w:w="6379" w:type="dxa"/>
            <w:gridSpan w:val="2"/>
            <w:vMerge/>
          </w:tcPr>
          <w:p w:rsidR="00B40844" w:rsidRPr="00015DC1" w:rsidRDefault="00B40844" w:rsidP="00937C89">
            <w:pPr>
              <w:spacing w:line="360" w:lineRule="auto"/>
              <w:jc w:val="both"/>
              <w:rPr>
                <w:rFonts w:ascii="Arial" w:hAnsi="Arial" w:cs="Arial"/>
                <w:b/>
                <w:sz w:val="24"/>
                <w:szCs w:val="24"/>
              </w:rPr>
            </w:pPr>
          </w:p>
        </w:tc>
        <w:tc>
          <w:tcPr>
            <w:tcW w:w="4111"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2E1151" w:rsidP="00C2633E">
            <w:pPr>
              <w:spacing w:line="360" w:lineRule="auto"/>
              <w:jc w:val="both"/>
              <w:rPr>
                <w:rFonts w:ascii="Arial" w:hAnsi="Arial" w:cs="Arial"/>
                <w:b/>
                <w:sz w:val="24"/>
                <w:szCs w:val="24"/>
              </w:rPr>
            </w:pPr>
            <w:r>
              <w:rPr>
                <w:rFonts w:ascii="Arial" w:hAnsi="Arial" w:cs="Arial"/>
                <w:sz w:val="24"/>
                <w:szCs w:val="24"/>
              </w:rPr>
              <w:t>1</w:t>
            </w:r>
            <w:r w:rsidR="00E3689F">
              <w:rPr>
                <w:rFonts w:ascii="Arial" w:hAnsi="Arial" w:cs="Arial"/>
                <w:sz w:val="24"/>
                <w:szCs w:val="24"/>
              </w:rPr>
              <w:t>6</w:t>
            </w:r>
            <w:r>
              <w:rPr>
                <w:rFonts w:ascii="Arial" w:hAnsi="Arial" w:cs="Arial"/>
                <w:sz w:val="24"/>
                <w:szCs w:val="24"/>
              </w:rPr>
              <w:t xml:space="preserve"> AUGUST</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rsidTr="00E3689F">
        <w:trPr>
          <w:trHeight w:val="876"/>
        </w:trPr>
        <w:tc>
          <w:tcPr>
            <w:tcW w:w="10490" w:type="dxa"/>
            <w:gridSpan w:val="3"/>
          </w:tcPr>
          <w:p w:rsidR="00B40844" w:rsidRPr="00CA7995" w:rsidRDefault="00B40844" w:rsidP="00E3689F">
            <w:pPr>
              <w:spacing w:line="360" w:lineRule="auto"/>
              <w:jc w:val="both"/>
              <w:rPr>
                <w:rFonts w:ascii="Arial" w:hAnsi="Arial" w:cs="Arial"/>
                <w:sz w:val="24"/>
                <w:szCs w:val="24"/>
              </w:rPr>
            </w:pPr>
            <w:r w:rsidRPr="00CA7995">
              <w:rPr>
                <w:rFonts w:ascii="Arial" w:hAnsi="Arial" w:cs="Arial"/>
                <w:b/>
                <w:sz w:val="24"/>
                <w:szCs w:val="24"/>
              </w:rPr>
              <w:t>Neutral citation:</w:t>
            </w:r>
            <w:r w:rsidRPr="00E3689F">
              <w:rPr>
                <w:rFonts w:ascii="Arial" w:hAnsi="Arial" w:cs="Arial"/>
                <w:sz w:val="24"/>
                <w:szCs w:val="24"/>
              </w:rPr>
              <w:t xml:space="preserve"> </w:t>
            </w:r>
            <w:r w:rsidR="00E3689F">
              <w:rPr>
                <w:rFonts w:ascii="Arial" w:hAnsi="Arial" w:cs="Arial"/>
                <w:i/>
                <w:sz w:val="24"/>
                <w:szCs w:val="24"/>
              </w:rPr>
              <w:t>Cresta Pandu (Pty) Ltd t/a City Centre Building</w:t>
            </w:r>
            <w:r w:rsidR="00346B7A">
              <w:rPr>
                <w:rFonts w:ascii="Arial" w:hAnsi="Arial" w:cs="Arial"/>
                <w:i/>
                <w:sz w:val="24"/>
                <w:szCs w:val="24"/>
              </w:rPr>
              <w:t xml:space="preserve"> </w:t>
            </w:r>
            <w:r w:rsidR="00015DC1">
              <w:rPr>
                <w:rFonts w:ascii="Arial" w:hAnsi="Arial" w:cs="Arial"/>
                <w:i/>
                <w:sz w:val="24"/>
                <w:szCs w:val="24"/>
              </w:rPr>
              <w:t xml:space="preserve">v </w:t>
            </w:r>
            <w:r w:rsidR="00E3689F">
              <w:rPr>
                <w:rFonts w:ascii="Arial" w:hAnsi="Arial" w:cs="Arial"/>
                <w:i/>
                <w:sz w:val="24"/>
                <w:szCs w:val="24"/>
              </w:rPr>
              <w:t>Anne and Justin Investments CC t/a A &amp; J Cafe</w:t>
            </w:r>
            <w:r w:rsidR="00346B7A">
              <w:rPr>
                <w:rFonts w:ascii="Arial" w:hAnsi="Arial" w:cs="Arial"/>
                <w:i/>
                <w:sz w:val="24"/>
                <w:szCs w:val="24"/>
              </w:rPr>
              <w:t xml:space="preserve"> </w:t>
            </w:r>
            <w:r w:rsidRPr="00CA7995">
              <w:rPr>
                <w:rFonts w:ascii="Arial" w:hAnsi="Arial" w:cs="Arial"/>
                <w:sz w:val="24"/>
                <w:szCs w:val="24"/>
              </w:rPr>
              <w:t>(</w:t>
            </w:r>
            <w:r w:rsidR="00E3689F" w:rsidRPr="008459A2">
              <w:rPr>
                <w:rFonts w:ascii="Arial" w:hAnsi="Arial" w:cs="Arial"/>
                <w:sz w:val="24"/>
                <w:szCs w:val="24"/>
                <w:shd w:val="clear" w:color="auto" w:fill="FFFFFF"/>
              </w:rPr>
              <w:t>HC-MD-CIV-ACT-CON-2022/05431</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00E3391F">
              <w:rPr>
                <w:rFonts w:ascii="Arial" w:hAnsi="Arial" w:cs="Arial"/>
                <w:sz w:val="24"/>
                <w:szCs w:val="24"/>
              </w:rPr>
              <w:t>] NAHCMD 504</w:t>
            </w:r>
            <w:r w:rsidRPr="00CA7995">
              <w:rPr>
                <w:rFonts w:ascii="Arial" w:hAnsi="Arial" w:cs="Arial"/>
                <w:sz w:val="24"/>
                <w:szCs w:val="24"/>
              </w:rPr>
              <w:t xml:space="preserve"> (</w:t>
            </w:r>
            <w:r w:rsidR="002E1151">
              <w:rPr>
                <w:rFonts w:ascii="Arial" w:hAnsi="Arial" w:cs="Arial"/>
                <w:sz w:val="24"/>
                <w:szCs w:val="24"/>
              </w:rPr>
              <w:t>1</w:t>
            </w:r>
            <w:r w:rsidR="00E3689F">
              <w:rPr>
                <w:rFonts w:ascii="Arial" w:hAnsi="Arial" w:cs="Arial"/>
                <w:sz w:val="24"/>
                <w:szCs w:val="24"/>
              </w:rPr>
              <w:t>6</w:t>
            </w:r>
            <w:r w:rsidR="002E1151">
              <w:rPr>
                <w:rFonts w:ascii="Arial" w:hAnsi="Arial" w:cs="Arial"/>
                <w:sz w:val="24"/>
                <w:szCs w:val="24"/>
              </w:rPr>
              <w:t xml:space="preserve"> August</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rsidTr="00E3689F">
        <w:tc>
          <w:tcPr>
            <w:tcW w:w="10490" w:type="dxa"/>
            <w:gridSpan w:val="3"/>
          </w:tcPr>
          <w:p w:rsidR="006F35AC" w:rsidRDefault="006F35AC" w:rsidP="00CA7995">
            <w:pPr>
              <w:spacing w:line="360" w:lineRule="auto"/>
              <w:jc w:val="both"/>
              <w:rPr>
                <w:rFonts w:ascii="Arial" w:hAnsi="Arial" w:cs="Arial"/>
              </w:rPr>
            </w:pPr>
          </w:p>
          <w:p w:rsidR="00B40844" w:rsidRPr="00127391" w:rsidRDefault="00B40844" w:rsidP="00CA7995">
            <w:pPr>
              <w:spacing w:line="360" w:lineRule="auto"/>
              <w:jc w:val="both"/>
              <w:rPr>
                <w:rFonts w:ascii="Arial" w:hAnsi="Arial" w:cs="Arial"/>
                <w:b/>
                <w:sz w:val="24"/>
                <w:szCs w:val="24"/>
              </w:rPr>
            </w:pPr>
            <w:r w:rsidRPr="00127391">
              <w:rPr>
                <w:rFonts w:ascii="Arial" w:hAnsi="Arial" w:cs="Arial"/>
                <w:b/>
                <w:sz w:val="24"/>
                <w:szCs w:val="24"/>
              </w:rPr>
              <w:t>IT IS ORDERED THAT:</w:t>
            </w:r>
          </w:p>
          <w:p w:rsidR="00B40844" w:rsidRPr="002E1151" w:rsidRDefault="00B40844" w:rsidP="00CA7995">
            <w:pPr>
              <w:spacing w:line="360" w:lineRule="auto"/>
              <w:jc w:val="both"/>
              <w:rPr>
                <w:rFonts w:ascii="Arial" w:hAnsi="Arial" w:cs="Arial"/>
              </w:rPr>
            </w:pPr>
          </w:p>
          <w:p w:rsidR="002E1151" w:rsidRPr="00BF2EE0" w:rsidRDefault="00BF2EE0" w:rsidP="002E1151">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BF2EE0">
              <w:rPr>
                <w:rFonts w:ascii="Arial" w:hAnsi="Arial" w:cs="Arial"/>
              </w:rPr>
              <w:t>Judgment for the plaintiff as against the first, second and third respondents (defendants), jointly and severally, the one paying, the other to be absolved for:</w:t>
            </w:r>
          </w:p>
          <w:p w:rsidR="002E1151" w:rsidRDefault="002E1151" w:rsidP="002E1151">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p>
          <w:p w:rsidR="00BF2EE0" w:rsidRDefault="00BF2EE0" w:rsidP="00BF2EE0">
            <w:pPr>
              <w:pStyle w:val="NormalWeb"/>
              <w:shd w:val="clear" w:color="auto" w:fill="FFFFFF"/>
              <w:tabs>
                <w:tab w:val="left" w:pos="602"/>
                <w:tab w:val="left" w:pos="1026"/>
              </w:tabs>
              <w:spacing w:before="0" w:beforeAutospacing="0" w:after="0" w:afterAutospacing="0" w:line="360" w:lineRule="auto"/>
              <w:ind w:left="1026" w:hanging="567"/>
              <w:jc w:val="both"/>
              <w:rPr>
                <w:rFonts w:ascii="Arial" w:hAnsi="Arial" w:cs="Arial"/>
                <w:lang w:val="en-US"/>
              </w:rPr>
            </w:pPr>
            <w:r>
              <w:rPr>
                <w:rFonts w:ascii="Arial" w:hAnsi="Arial" w:cs="Arial"/>
                <w:lang w:val="en-US"/>
              </w:rPr>
              <w:t>(a)</w:t>
            </w:r>
            <w:r w:rsidRPr="00CA7995">
              <w:rPr>
                <w:rFonts w:ascii="Arial" w:hAnsi="Arial" w:cs="Arial"/>
              </w:rPr>
              <w:tab/>
            </w:r>
            <w:r w:rsidRPr="00636177">
              <w:rPr>
                <w:rFonts w:ascii="Arial" w:hAnsi="Arial" w:cs="Arial"/>
              </w:rPr>
              <w:t>Payment in the amount of N$286 017.53, plus interest on the sa</w:t>
            </w:r>
            <w:r w:rsidR="00992898">
              <w:rPr>
                <w:rFonts w:ascii="Arial" w:hAnsi="Arial" w:cs="Arial"/>
              </w:rPr>
              <w:t>i</w:t>
            </w:r>
            <w:r w:rsidRPr="00636177">
              <w:rPr>
                <w:rFonts w:ascii="Arial" w:hAnsi="Arial" w:cs="Arial"/>
              </w:rPr>
              <w:t>d amount at the rate per annum of prime plus 5 per cent as charged by First National Bank from 14 December 2022 to the date of full and final payment</w:t>
            </w:r>
            <w:r>
              <w:rPr>
                <w:rFonts w:ascii="Arial" w:hAnsi="Arial" w:cs="Arial"/>
              </w:rPr>
              <w:t>.</w:t>
            </w:r>
          </w:p>
          <w:p w:rsidR="00BF2EE0" w:rsidRDefault="00BF2EE0" w:rsidP="00BF2EE0">
            <w:pPr>
              <w:pStyle w:val="NormalWeb"/>
              <w:shd w:val="clear" w:color="auto" w:fill="FFFFFF"/>
              <w:tabs>
                <w:tab w:val="left" w:pos="602"/>
              </w:tabs>
              <w:spacing w:before="0" w:beforeAutospacing="0" w:after="0" w:afterAutospacing="0" w:line="360" w:lineRule="auto"/>
              <w:ind w:left="459"/>
              <w:jc w:val="both"/>
              <w:rPr>
                <w:rFonts w:ascii="Arial" w:hAnsi="Arial" w:cs="Arial"/>
                <w:lang w:val="en-US"/>
              </w:rPr>
            </w:pPr>
          </w:p>
          <w:p w:rsidR="00BF2EE0" w:rsidRDefault="00BF2EE0" w:rsidP="00BF2EE0">
            <w:pPr>
              <w:pStyle w:val="NormalWeb"/>
              <w:shd w:val="clear" w:color="auto" w:fill="FFFFFF"/>
              <w:tabs>
                <w:tab w:val="left" w:pos="602"/>
                <w:tab w:val="left" w:pos="1026"/>
              </w:tabs>
              <w:spacing w:before="0" w:beforeAutospacing="0" w:after="0" w:afterAutospacing="0" w:line="360" w:lineRule="auto"/>
              <w:ind w:left="459"/>
              <w:jc w:val="both"/>
              <w:rPr>
                <w:rFonts w:ascii="Arial" w:hAnsi="Arial" w:cs="Arial"/>
                <w:lang w:val="en-US"/>
              </w:rPr>
            </w:pPr>
            <w:r>
              <w:rPr>
                <w:rFonts w:ascii="Arial" w:hAnsi="Arial" w:cs="Arial"/>
                <w:lang w:val="en-US"/>
              </w:rPr>
              <w:lastRenderedPageBreak/>
              <w:t>(b)</w:t>
            </w:r>
            <w:r w:rsidRPr="00CA7995">
              <w:rPr>
                <w:rFonts w:ascii="Arial" w:hAnsi="Arial" w:cs="Arial"/>
              </w:rPr>
              <w:tab/>
            </w:r>
            <w:r w:rsidRPr="00636177">
              <w:rPr>
                <w:rFonts w:ascii="Arial" w:hAnsi="Arial" w:cs="Arial"/>
              </w:rPr>
              <w:t>Costs of suit on the attorney (legal practitioner) and own client scale</w:t>
            </w:r>
            <w:r>
              <w:rPr>
                <w:rFonts w:ascii="Arial" w:hAnsi="Arial" w:cs="Arial"/>
              </w:rPr>
              <w:t>.</w:t>
            </w:r>
          </w:p>
          <w:p w:rsidR="00BF2EE0" w:rsidRPr="00BF2EE0" w:rsidRDefault="00BF2EE0" w:rsidP="002E1151">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p>
          <w:p w:rsidR="00B40844" w:rsidRPr="00BF2EE0" w:rsidRDefault="00BF2EE0" w:rsidP="00346B7A">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636177">
              <w:rPr>
                <w:rFonts w:ascii="Arial" w:hAnsi="Arial" w:cs="Arial"/>
              </w:rPr>
              <w:t>The matter is finalised and removed from the roll</w:t>
            </w:r>
            <w:r w:rsidR="00D034F4" w:rsidRPr="00BF2EE0">
              <w:rPr>
                <w:rFonts w:ascii="Arial" w:hAnsi="Arial" w:cs="Arial"/>
                <w:lang w:val="en-US"/>
              </w:rPr>
              <w:t>.</w:t>
            </w:r>
          </w:p>
          <w:p w:rsidR="00D034F4" w:rsidRPr="00BF2EE0" w:rsidRDefault="00D034F4" w:rsidP="00BF2EE0">
            <w:pPr>
              <w:pStyle w:val="NormalWeb"/>
              <w:shd w:val="clear" w:color="auto" w:fill="FFFFFF"/>
              <w:tabs>
                <w:tab w:val="left" w:pos="602"/>
              </w:tabs>
              <w:spacing w:before="0" w:beforeAutospacing="0" w:after="0" w:afterAutospacing="0" w:line="360" w:lineRule="auto"/>
              <w:ind w:left="34"/>
              <w:jc w:val="both"/>
              <w:rPr>
                <w:rFonts w:ascii="Arial" w:hAnsi="Arial" w:cs="Arial"/>
              </w:rPr>
            </w:pPr>
          </w:p>
        </w:tc>
      </w:tr>
      <w:tr w:rsidR="00CA7995" w:rsidRPr="00CA7995" w:rsidTr="00E3689F">
        <w:trPr>
          <w:trHeight w:val="558"/>
        </w:trPr>
        <w:tc>
          <w:tcPr>
            <w:tcW w:w="10490" w:type="dxa"/>
            <w:gridSpan w:val="3"/>
          </w:tcPr>
          <w:p w:rsidR="00705A2C" w:rsidRPr="00CA7995" w:rsidRDefault="006F35AC"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REASONS</w:t>
            </w:r>
            <w:r w:rsidR="00B40844" w:rsidRPr="00CA7995">
              <w:rPr>
                <w:rFonts w:ascii="Arial" w:hAnsi="Arial" w:cs="Arial"/>
                <w:b/>
                <w:sz w:val="24"/>
                <w:szCs w:val="24"/>
              </w:rPr>
              <w:t>:</w:t>
            </w:r>
          </w:p>
        </w:tc>
      </w:tr>
      <w:tr w:rsidR="00CA7995" w:rsidRPr="00CA7995" w:rsidTr="00E3689F">
        <w:tc>
          <w:tcPr>
            <w:tcW w:w="10490" w:type="dxa"/>
            <w:gridSpan w:val="3"/>
          </w:tcPr>
          <w:p w:rsidR="00833B9D" w:rsidRDefault="00833B9D" w:rsidP="001B494D">
            <w:pPr>
              <w:spacing w:line="360" w:lineRule="auto"/>
              <w:rPr>
                <w:rFonts w:ascii="Arial" w:hAnsi="Arial" w:cs="Arial"/>
                <w:sz w:val="24"/>
                <w:szCs w:val="24"/>
                <w:u w:val="single"/>
              </w:rPr>
            </w:pPr>
          </w:p>
          <w:p w:rsidR="00B40844" w:rsidRPr="005C4C93"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5C4C93" w:rsidRPr="005C4C93">
              <w:rPr>
                <w:rFonts w:ascii="Arial" w:hAnsi="Arial" w:cs="Arial"/>
                <w:sz w:val="24"/>
                <w:szCs w:val="24"/>
              </w:rPr>
              <w:t>In this appl</w:t>
            </w:r>
            <w:r w:rsidR="00992898">
              <w:rPr>
                <w:rFonts w:ascii="Arial" w:hAnsi="Arial" w:cs="Arial"/>
                <w:sz w:val="24"/>
                <w:szCs w:val="24"/>
              </w:rPr>
              <w:t>ication for summary judgment, D</w:t>
            </w:r>
            <w:r w:rsidR="005C4C93">
              <w:rPr>
                <w:rFonts w:ascii="Arial" w:hAnsi="Arial" w:cs="Arial"/>
                <w:sz w:val="24"/>
                <w:szCs w:val="24"/>
              </w:rPr>
              <w:t>r</w:t>
            </w:r>
            <w:r w:rsidR="005C4C93" w:rsidRPr="005C4C93">
              <w:rPr>
                <w:rFonts w:ascii="Arial" w:hAnsi="Arial" w:cs="Arial"/>
                <w:sz w:val="24"/>
                <w:szCs w:val="24"/>
              </w:rPr>
              <w:t xml:space="preserve"> Died</w:t>
            </w:r>
            <w:r w:rsidR="005C4C93">
              <w:rPr>
                <w:rFonts w:ascii="Arial" w:hAnsi="Arial" w:cs="Arial"/>
                <w:sz w:val="24"/>
                <w:szCs w:val="24"/>
              </w:rPr>
              <w:t>e</w:t>
            </w:r>
            <w:r w:rsidR="005C4C93" w:rsidRPr="005C4C93">
              <w:rPr>
                <w:rFonts w:ascii="Arial" w:hAnsi="Arial" w:cs="Arial"/>
                <w:sz w:val="24"/>
                <w:szCs w:val="24"/>
              </w:rPr>
              <w:t>ricks represents the plaintiff (the applicant), and Ms Chinsembu represents the first, second and third defendants (the respondents). In the particulars of claim, the plaintiff alleges that the first defendant (the first respondent in the instant application), a close corporation, breached a material term of the lease agreement entered between the applicant and the first respondent on 11 June 2019. It is crucial to note at this juncture that the lease was to run for five years, that is, from 1 December 2019 to 30 November 2024. Several addendums were added to the lease agreement</w:t>
            </w:r>
            <w:r w:rsidR="00346B7A" w:rsidRPr="005C4C93">
              <w:rPr>
                <w:rFonts w:ascii="Arial" w:hAnsi="Arial" w:cs="Arial"/>
                <w:sz w:val="24"/>
                <w:szCs w:val="24"/>
                <w:lang w:val="en-US"/>
              </w:rPr>
              <w:t>.</w:t>
            </w:r>
          </w:p>
          <w:p w:rsidR="00FC2237" w:rsidRPr="005C4C93" w:rsidRDefault="00FC2237" w:rsidP="00ED76B2">
            <w:pPr>
              <w:tabs>
                <w:tab w:val="left" w:pos="729"/>
              </w:tabs>
              <w:spacing w:line="360" w:lineRule="auto"/>
              <w:jc w:val="both"/>
              <w:rPr>
                <w:rFonts w:ascii="Arial" w:eastAsia="Times New Roman" w:hAnsi="Arial" w:cs="Arial"/>
                <w:sz w:val="24"/>
                <w:szCs w:val="24"/>
                <w:lang w:val="en-US"/>
              </w:rPr>
            </w:pPr>
          </w:p>
          <w:p w:rsidR="00FC2237" w:rsidRPr="005C4C93" w:rsidRDefault="00672C76" w:rsidP="009F773F">
            <w:pPr>
              <w:spacing w:line="360" w:lineRule="auto"/>
              <w:ind w:left="23" w:hanging="23"/>
              <w:jc w:val="both"/>
              <w:rPr>
                <w:rFonts w:ascii="Arial" w:hAnsi="Arial" w:cs="Arial"/>
                <w:sz w:val="24"/>
                <w:szCs w:val="24"/>
              </w:rPr>
            </w:pPr>
            <w:r w:rsidRPr="005C4C93">
              <w:rPr>
                <w:rFonts w:ascii="Arial" w:hAnsi="Arial" w:cs="Arial"/>
                <w:sz w:val="24"/>
                <w:szCs w:val="24"/>
              </w:rPr>
              <w:t>[2]</w:t>
            </w:r>
            <w:r w:rsidR="000A6E7F" w:rsidRPr="005C4C93">
              <w:rPr>
                <w:rFonts w:ascii="Arial" w:hAnsi="Arial" w:cs="Arial"/>
                <w:sz w:val="24"/>
                <w:szCs w:val="24"/>
              </w:rPr>
              <w:tab/>
            </w:r>
            <w:r w:rsidR="005C4C93" w:rsidRPr="005C4C93">
              <w:rPr>
                <w:rFonts w:ascii="Arial" w:hAnsi="Arial" w:cs="Arial"/>
                <w:sz w:val="24"/>
                <w:szCs w:val="24"/>
              </w:rPr>
              <w:t>The factual allegation relied on by the applicant for the breach is this: ‘The first defendant failed and/or neglected to pay the full monthly rental and operating amounts, monthly services charges (electricity and water), penalty charges, and interest during the period 1 December 2019 to December 2022 in the amount of N$286 017.53’</w:t>
            </w:r>
            <w:r w:rsidR="00B96254">
              <w:rPr>
                <w:rFonts w:ascii="Arial" w:hAnsi="Arial" w:cs="Arial"/>
                <w:sz w:val="24"/>
                <w:szCs w:val="24"/>
                <w:lang w:val="en-US"/>
              </w:rPr>
              <w:t>.</w:t>
            </w:r>
          </w:p>
          <w:p w:rsidR="00224808" w:rsidRPr="005C4C93" w:rsidRDefault="00224808" w:rsidP="009F773F">
            <w:pPr>
              <w:spacing w:line="360" w:lineRule="auto"/>
              <w:ind w:left="23" w:hanging="23"/>
              <w:jc w:val="both"/>
              <w:rPr>
                <w:rFonts w:ascii="Arial" w:hAnsi="Arial" w:cs="Arial"/>
                <w:sz w:val="24"/>
                <w:szCs w:val="24"/>
              </w:rPr>
            </w:pPr>
          </w:p>
          <w:p w:rsidR="006678D1" w:rsidRPr="005C4C93" w:rsidRDefault="002D20C5" w:rsidP="009F773F">
            <w:pPr>
              <w:spacing w:line="360" w:lineRule="auto"/>
              <w:ind w:left="23" w:hanging="23"/>
              <w:jc w:val="both"/>
              <w:rPr>
                <w:rFonts w:ascii="Arial" w:hAnsi="Arial" w:cs="Arial"/>
                <w:sz w:val="24"/>
                <w:szCs w:val="24"/>
              </w:rPr>
            </w:pPr>
            <w:r w:rsidRPr="005C4C93">
              <w:rPr>
                <w:rFonts w:ascii="Arial" w:hAnsi="Arial" w:cs="Arial"/>
                <w:sz w:val="24"/>
                <w:szCs w:val="24"/>
              </w:rPr>
              <w:t>[3]</w:t>
            </w:r>
            <w:r w:rsidRPr="005C4C93">
              <w:rPr>
                <w:rFonts w:ascii="Arial" w:hAnsi="Arial" w:cs="Arial"/>
                <w:sz w:val="24"/>
                <w:szCs w:val="24"/>
              </w:rPr>
              <w:tab/>
            </w:r>
            <w:r w:rsidR="005C4C93" w:rsidRPr="005C4C93">
              <w:rPr>
                <w:rFonts w:ascii="Arial" w:hAnsi="Arial" w:cs="Arial"/>
                <w:sz w:val="24"/>
                <w:szCs w:val="24"/>
              </w:rPr>
              <w:t>The factual allegation relied on in respect of the second and third respondents is that each one of them stood as an individual surety of the first respondent. Thus, the applicant claims on a deed of suretyship against the first and second respondents</w:t>
            </w:r>
            <w:r w:rsidR="00346B7A" w:rsidRPr="005C4C93">
              <w:rPr>
                <w:rFonts w:ascii="Arial" w:hAnsi="Arial" w:cs="Arial"/>
                <w:sz w:val="24"/>
                <w:szCs w:val="24"/>
                <w:lang w:val="en-US"/>
              </w:rPr>
              <w:t>.</w:t>
            </w:r>
          </w:p>
          <w:p w:rsidR="006678D1" w:rsidRPr="005C4C93" w:rsidRDefault="006678D1" w:rsidP="009F773F">
            <w:pPr>
              <w:spacing w:line="360" w:lineRule="auto"/>
              <w:ind w:left="23" w:hanging="23"/>
              <w:jc w:val="both"/>
              <w:rPr>
                <w:rFonts w:ascii="Arial" w:hAnsi="Arial" w:cs="Arial"/>
                <w:sz w:val="24"/>
                <w:szCs w:val="24"/>
              </w:rPr>
            </w:pPr>
          </w:p>
          <w:p w:rsidR="00224808" w:rsidRPr="005C4C93" w:rsidRDefault="00816D42" w:rsidP="009F773F">
            <w:pPr>
              <w:spacing w:line="360" w:lineRule="auto"/>
              <w:ind w:left="23" w:hanging="23"/>
              <w:jc w:val="both"/>
              <w:rPr>
                <w:rFonts w:ascii="Arial" w:hAnsi="Arial" w:cs="Arial"/>
                <w:sz w:val="24"/>
                <w:szCs w:val="24"/>
                <w:lang w:val="en-US"/>
              </w:rPr>
            </w:pPr>
            <w:r w:rsidRPr="005C4C93">
              <w:rPr>
                <w:rFonts w:ascii="Arial" w:hAnsi="Arial" w:cs="Arial"/>
                <w:sz w:val="24"/>
                <w:szCs w:val="24"/>
              </w:rPr>
              <w:t>[4]</w:t>
            </w:r>
            <w:r w:rsidRPr="005C4C93">
              <w:rPr>
                <w:rFonts w:ascii="Arial" w:hAnsi="Arial" w:cs="Arial"/>
                <w:sz w:val="24"/>
                <w:szCs w:val="24"/>
              </w:rPr>
              <w:tab/>
            </w:r>
            <w:r w:rsidR="005C4C93" w:rsidRPr="005C4C93">
              <w:rPr>
                <w:rFonts w:ascii="Arial" w:hAnsi="Arial" w:cs="Arial"/>
                <w:sz w:val="24"/>
                <w:szCs w:val="24"/>
              </w:rPr>
              <w:t>In the instant application, what have the respondents, who are sued jointly and severally and represented by one counsel, placed before the c</w:t>
            </w:r>
            <w:r w:rsidR="00992898">
              <w:rPr>
                <w:rFonts w:ascii="Arial" w:hAnsi="Arial" w:cs="Arial"/>
                <w:sz w:val="24"/>
                <w:szCs w:val="24"/>
              </w:rPr>
              <w:t>ourt to resist summary judgment?</w:t>
            </w:r>
            <w:r w:rsidR="005C4C93" w:rsidRPr="005C4C93">
              <w:rPr>
                <w:rFonts w:ascii="Arial" w:hAnsi="Arial" w:cs="Arial"/>
                <w:sz w:val="24"/>
                <w:szCs w:val="24"/>
              </w:rPr>
              <w:t xml:space="preserve"> It is the following</w:t>
            </w:r>
            <w:r w:rsidR="00346B7A" w:rsidRPr="005C4C93">
              <w:rPr>
                <w:rFonts w:ascii="Arial" w:hAnsi="Arial" w:cs="Arial"/>
                <w:sz w:val="24"/>
                <w:szCs w:val="24"/>
                <w:lang w:val="en-US"/>
              </w:rPr>
              <w:t>.</w:t>
            </w:r>
          </w:p>
          <w:p w:rsidR="007A69B7" w:rsidRPr="005C4C93" w:rsidRDefault="007A69B7" w:rsidP="009F773F">
            <w:pPr>
              <w:spacing w:line="360" w:lineRule="auto"/>
              <w:ind w:left="23" w:hanging="23"/>
              <w:jc w:val="both"/>
              <w:rPr>
                <w:rFonts w:ascii="Arial" w:hAnsi="Arial" w:cs="Arial"/>
                <w:sz w:val="24"/>
                <w:szCs w:val="24"/>
                <w:lang w:val="en-US"/>
              </w:rPr>
            </w:pPr>
          </w:p>
          <w:p w:rsidR="007A69B7" w:rsidRPr="005C4C93" w:rsidRDefault="007A69B7" w:rsidP="009F773F">
            <w:pPr>
              <w:spacing w:line="360" w:lineRule="auto"/>
              <w:ind w:left="23" w:hanging="23"/>
              <w:jc w:val="both"/>
              <w:rPr>
                <w:rFonts w:ascii="Arial" w:hAnsi="Arial" w:cs="Arial"/>
                <w:sz w:val="24"/>
                <w:szCs w:val="24"/>
                <w:lang w:val="en-US"/>
              </w:rPr>
            </w:pPr>
            <w:r w:rsidRPr="005C4C93">
              <w:rPr>
                <w:rFonts w:ascii="Arial" w:hAnsi="Arial" w:cs="Arial"/>
                <w:sz w:val="24"/>
                <w:szCs w:val="24"/>
                <w:lang w:val="en-US"/>
              </w:rPr>
              <w:t>[5]</w:t>
            </w:r>
            <w:r w:rsidRPr="005C4C93">
              <w:rPr>
                <w:rFonts w:ascii="Arial" w:hAnsi="Arial" w:cs="Arial"/>
                <w:sz w:val="24"/>
                <w:szCs w:val="24"/>
              </w:rPr>
              <w:tab/>
            </w:r>
            <w:r w:rsidR="005C4C93" w:rsidRPr="005C4C93">
              <w:rPr>
                <w:rFonts w:ascii="Arial" w:hAnsi="Arial" w:cs="Arial"/>
                <w:sz w:val="24"/>
                <w:szCs w:val="24"/>
              </w:rPr>
              <w:t>Before considering what the respondents have placed before the court, it is of great importance to note this. What the respondents have placed before the court does not in substance include an uncoloured denial of first defendant’s indebtedness to the applicant. A complaint that the amount claimed is ‘exorbitant’ is not a categorical, uncoloured denia</w:t>
            </w:r>
            <w:r w:rsidR="00992898">
              <w:rPr>
                <w:rFonts w:ascii="Arial" w:hAnsi="Arial" w:cs="Arial"/>
                <w:sz w:val="24"/>
                <w:szCs w:val="24"/>
              </w:rPr>
              <w:t>l of indebtedness. As D</w:t>
            </w:r>
            <w:r w:rsidR="005C4C93" w:rsidRPr="005C4C93">
              <w:rPr>
                <w:rFonts w:ascii="Arial" w:hAnsi="Arial" w:cs="Arial"/>
                <w:sz w:val="24"/>
                <w:szCs w:val="24"/>
              </w:rPr>
              <w:t>r Diedericks put it, the respondents do not say, we are not indebted to you: We have paid the rentals</w:t>
            </w:r>
            <w:r w:rsidRPr="005C4C93">
              <w:rPr>
                <w:rFonts w:ascii="Arial" w:hAnsi="Arial" w:cs="Arial"/>
                <w:sz w:val="24"/>
                <w:szCs w:val="24"/>
              </w:rPr>
              <w:t>.</w:t>
            </w:r>
          </w:p>
          <w:p w:rsidR="007A69B7" w:rsidRPr="005C4C93" w:rsidRDefault="007A69B7" w:rsidP="009F773F">
            <w:pPr>
              <w:spacing w:line="360" w:lineRule="auto"/>
              <w:ind w:left="23" w:hanging="23"/>
              <w:jc w:val="both"/>
              <w:rPr>
                <w:rFonts w:ascii="Arial" w:hAnsi="Arial" w:cs="Arial"/>
                <w:sz w:val="24"/>
                <w:szCs w:val="24"/>
                <w:lang w:val="en-US"/>
              </w:rPr>
            </w:pPr>
          </w:p>
          <w:p w:rsidR="007A69B7" w:rsidRPr="005C4C93" w:rsidRDefault="007A69B7" w:rsidP="009F773F">
            <w:pPr>
              <w:spacing w:line="360" w:lineRule="auto"/>
              <w:ind w:left="23" w:hanging="23"/>
              <w:jc w:val="both"/>
              <w:rPr>
                <w:rFonts w:ascii="Arial" w:hAnsi="Arial" w:cs="Arial"/>
                <w:sz w:val="24"/>
                <w:szCs w:val="24"/>
              </w:rPr>
            </w:pPr>
            <w:r w:rsidRPr="005C4C93">
              <w:rPr>
                <w:rFonts w:ascii="Arial" w:hAnsi="Arial" w:cs="Arial"/>
                <w:sz w:val="24"/>
                <w:szCs w:val="24"/>
                <w:lang w:val="en-US"/>
              </w:rPr>
              <w:lastRenderedPageBreak/>
              <w:t>[6]</w:t>
            </w:r>
            <w:r w:rsidRPr="005C4C93">
              <w:rPr>
                <w:rFonts w:ascii="Arial" w:hAnsi="Arial" w:cs="Arial"/>
                <w:sz w:val="24"/>
                <w:szCs w:val="24"/>
              </w:rPr>
              <w:tab/>
            </w:r>
            <w:r w:rsidR="00992898">
              <w:rPr>
                <w:rFonts w:ascii="Arial" w:hAnsi="Arial" w:cs="Arial"/>
                <w:sz w:val="24"/>
                <w:szCs w:val="24"/>
              </w:rPr>
              <w:t>D</w:t>
            </w:r>
            <w:r w:rsidR="005C4C93" w:rsidRPr="005C4C93">
              <w:rPr>
                <w:rFonts w:ascii="Arial" w:hAnsi="Arial" w:cs="Arial"/>
                <w:sz w:val="24"/>
                <w:szCs w:val="24"/>
              </w:rPr>
              <w:t>r Diedericks submission has force, and it is valid. I proceed to consider what the respondents have placed before the court to resist summary judgment which are substantially and primarily points of law</w:t>
            </w:r>
            <w:r w:rsidR="009C1846" w:rsidRPr="005C4C93">
              <w:rPr>
                <w:rFonts w:ascii="Arial" w:hAnsi="Arial" w:cs="Arial"/>
                <w:sz w:val="24"/>
                <w:szCs w:val="24"/>
              </w:rPr>
              <w:t>.</w:t>
            </w:r>
          </w:p>
          <w:p w:rsidR="009C1846" w:rsidRPr="005C4C93" w:rsidRDefault="009C1846" w:rsidP="009F773F">
            <w:pPr>
              <w:spacing w:line="360" w:lineRule="auto"/>
              <w:ind w:left="23" w:hanging="23"/>
              <w:jc w:val="both"/>
              <w:rPr>
                <w:rFonts w:ascii="Arial" w:hAnsi="Arial" w:cs="Arial"/>
                <w:sz w:val="24"/>
                <w:szCs w:val="24"/>
              </w:rPr>
            </w:pPr>
          </w:p>
          <w:p w:rsidR="009C1846" w:rsidRPr="005C4C93" w:rsidRDefault="009C1846" w:rsidP="009F773F">
            <w:pPr>
              <w:spacing w:line="360" w:lineRule="auto"/>
              <w:ind w:left="23" w:hanging="23"/>
              <w:jc w:val="both"/>
              <w:rPr>
                <w:rFonts w:ascii="Arial" w:hAnsi="Arial" w:cs="Arial"/>
                <w:sz w:val="24"/>
                <w:szCs w:val="24"/>
                <w:lang w:val="en-US"/>
              </w:rPr>
            </w:pPr>
            <w:r w:rsidRPr="005C4C93">
              <w:rPr>
                <w:rFonts w:ascii="Arial" w:hAnsi="Arial" w:cs="Arial"/>
                <w:sz w:val="24"/>
                <w:szCs w:val="24"/>
              </w:rPr>
              <w:t>[7]</w:t>
            </w:r>
            <w:r w:rsidRPr="005C4C93">
              <w:rPr>
                <w:rFonts w:ascii="Arial" w:hAnsi="Arial" w:cs="Arial"/>
                <w:sz w:val="24"/>
                <w:szCs w:val="24"/>
              </w:rPr>
              <w:tab/>
            </w:r>
            <w:r w:rsidR="005C4C93" w:rsidRPr="005C4C93">
              <w:rPr>
                <w:rFonts w:ascii="Arial" w:hAnsi="Arial" w:cs="Arial"/>
                <w:sz w:val="24"/>
                <w:szCs w:val="24"/>
              </w:rPr>
              <w:t xml:space="preserve">The first point of law is that the debt has prescribed in terms of s 11 of the Prescription Act 68 of 1969. Ms Chinsembu’s argument flows in this way: Part of the applicant’s claim became due on 1 December 2022. The applicant only instituted the action against the respondents on </w:t>
            </w:r>
            <w:r w:rsidR="005C4C93">
              <w:rPr>
                <w:rFonts w:ascii="Arial" w:hAnsi="Arial" w:cs="Arial"/>
                <w:sz w:val="24"/>
                <w:szCs w:val="24"/>
              </w:rPr>
              <w:br/>
            </w:r>
            <w:r w:rsidR="005C4C93" w:rsidRPr="005C4C93">
              <w:rPr>
                <w:rFonts w:ascii="Arial" w:hAnsi="Arial" w:cs="Arial"/>
                <w:sz w:val="24"/>
                <w:szCs w:val="24"/>
              </w:rPr>
              <w:t>14 December 2022. Therefore, any monthly rental and incidental charges and interest thereon on any date before 14 December 2022 has prescribed</w:t>
            </w:r>
            <w:r w:rsidR="00B16A04" w:rsidRPr="005C4C93">
              <w:rPr>
                <w:rFonts w:ascii="Arial" w:hAnsi="Arial" w:cs="Arial"/>
                <w:sz w:val="24"/>
                <w:szCs w:val="24"/>
              </w:rPr>
              <w:t>.</w:t>
            </w:r>
          </w:p>
          <w:p w:rsidR="00B16A04" w:rsidRPr="005C4C93" w:rsidRDefault="00B16A04" w:rsidP="009F773F">
            <w:pPr>
              <w:spacing w:line="360" w:lineRule="auto"/>
              <w:ind w:left="23" w:hanging="23"/>
              <w:jc w:val="both"/>
              <w:rPr>
                <w:rFonts w:ascii="Arial" w:hAnsi="Arial" w:cs="Arial"/>
                <w:sz w:val="24"/>
                <w:szCs w:val="24"/>
                <w:lang w:val="en-US"/>
              </w:rPr>
            </w:pPr>
          </w:p>
          <w:p w:rsidR="00B16A04" w:rsidRPr="005C4C93" w:rsidRDefault="00B16A04" w:rsidP="009F773F">
            <w:pPr>
              <w:spacing w:line="360" w:lineRule="auto"/>
              <w:ind w:left="23" w:hanging="23"/>
              <w:jc w:val="both"/>
              <w:rPr>
                <w:rFonts w:ascii="Arial" w:hAnsi="Arial" w:cs="Arial"/>
                <w:sz w:val="24"/>
                <w:szCs w:val="24"/>
                <w:lang w:val="en-US"/>
              </w:rPr>
            </w:pPr>
            <w:r w:rsidRPr="005C4C93">
              <w:rPr>
                <w:rFonts w:ascii="Arial" w:hAnsi="Arial" w:cs="Arial"/>
                <w:sz w:val="24"/>
                <w:szCs w:val="24"/>
                <w:lang w:val="en-US"/>
              </w:rPr>
              <w:t>[8]</w:t>
            </w:r>
            <w:r w:rsidRPr="005C4C93">
              <w:rPr>
                <w:rFonts w:ascii="Arial" w:hAnsi="Arial" w:cs="Arial"/>
                <w:sz w:val="24"/>
                <w:szCs w:val="24"/>
              </w:rPr>
              <w:tab/>
            </w:r>
            <w:r w:rsidR="005C4C93" w:rsidRPr="005C4C93">
              <w:rPr>
                <w:rFonts w:ascii="Arial" w:hAnsi="Arial" w:cs="Arial"/>
                <w:sz w:val="24"/>
                <w:szCs w:val="24"/>
              </w:rPr>
              <w:t>Ms Chinsembu’s argument, though superficially attracted, has no merit. First, the rental and incidental amounts for December 2019 were paid on 20 December 2019. This makes the sweeping statement by Ms Chinsembu</w:t>
            </w:r>
            <w:r w:rsidR="00992898">
              <w:rPr>
                <w:rFonts w:ascii="Arial" w:hAnsi="Arial" w:cs="Arial"/>
                <w:sz w:val="24"/>
                <w:szCs w:val="24"/>
              </w:rPr>
              <w:t xml:space="preserve"> of nonsignificance. Second, and</w:t>
            </w:r>
            <w:r w:rsidR="005C4C93" w:rsidRPr="005C4C93">
              <w:rPr>
                <w:rFonts w:ascii="Arial" w:hAnsi="Arial" w:cs="Arial"/>
                <w:sz w:val="24"/>
                <w:szCs w:val="24"/>
              </w:rPr>
              <w:t xml:space="preserve"> more important, prescription does not begin to run when the </w:t>
            </w:r>
            <w:r w:rsidR="005C4C93" w:rsidRPr="005C4C93">
              <w:rPr>
                <w:rFonts w:ascii="Arial" w:hAnsi="Arial" w:cs="Arial"/>
                <w:i/>
                <w:iCs/>
                <w:sz w:val="24"/>
                <w:szCs w:val="24"/>
              </w:rPr>
              <w:t>mora</w:t>
            </w:r>
            <w:r w:rsidR="005C4C93" w:rsidRPr="005C4C93">
              <w:rPr>
                <w:rFonts w:ascii="Arial" w:hAnsi="Arial" w:cs="Arial"/>
                <w:sz w:val="24"/>
                <w:szCs w:val="24"/>
              </w:rPr>
              <w:t xml:space="preserve"> was continuing.</w:t>
            </w:r>
            <w:r w:rsidR="005C4C93" w:rsidRPr="005C4C93">
              <w:rPr>
                <w:rStyle w:val="FootnoteReference"/>
                <w:rFonts w:ascii="Arial" w:hAnsi="Arial" w:cs="Arial"/>
                <w:sz w:val="24"/>
                <w:szCs w:val="24"/>
              </w:rPr>
              <w:footnoteReference w:id="1"/>
            </w:r>
            <w:r w:rsidR="005C4C93" w:rsidRPr="005C4C93">
              <w:rPr>
                <w:rFonts w:ascii="Arial" w:hAnsi="Arial" w:cs="Arial"/>
                <w:sz w:val="24"/>
                <w:szCs w:val="24"/>
              </w:rPr>
              <w:t xml:space="preserve"> As in December 2022, the breach was continuing as respects the unpaid rentals and the incidental charges. Prescription would have to begin to run after December 2022; and the applicants instituted the action in December 2022. The result is that the plea of prescription is not well taken. It is rejected. I pass to consider the next point which concerns revenue stamps</w:t>
            </w:r>
            <w:r w:rsidR="009018D4" w:rsidRPr="005C4C93">
              <w:rPr>
                <w:rFonts w:ascii="Arial" w:hAnsi="Arial" w:cs="Arial"/>
                <w:sz w:val="24"/>
                <w:szCs w:val="24"/>
              </w:rPr>
              <w:t>.</w:t>
            </w:r>
          </w:p>
          <w:p w:rsidR="00346B7A" w:rsidRPr="00AD153B" w:rsidRDefault="00346B7A" w:rsidP="009F773F">
            <w:pPr>
              <w:spacing w:line="360" w:lineRule="auto"/>
              <w:ind w:left="23" w:hanging="23"/>
              <w:jc w:val="both"/>
              <w:rPr>
                <w:rFonts w:ascii="Arial" w:hAnsi="Arial" w:cs="Arial"/>
                <w:sz w:val="24"/>
                <w:szCs w:val="24"/>
                <w:lang w:val="en-US"/>
              </w:rPr>
            </w:pPr>
          </w:p>
          <w:p w:rsidR="00024F0E" w:rsidRPr="00AD153B" w:rsidRDefault="007A69B7" w:rsidP="009F773F">
            <w:pPr>
              <w:spacing w:line="360" w:lineRule="auto"/>
              <w:ind w:left="23" w:hanging="23"/>
              <w:jc w:val="both"/>
              <w:rPr>
                <w:rFonts w:ascii="Arial" w:hAnsi="Arial" w:cs="Arial"/>
                <w:sz w:val="24"/>
                <w:szCs w:val="24"/>
                <w:lang w:val="en-US"/>
              </w:rPr>
            </w:pPr>
            <w:r w:rsidRPr="00AD153B">
              <w:rPr>
                <w:rFonts w:ascii="Arial" w:hAnsi="Arial" w:cs="Arial"/>
                <w:sz w:val="24"/>
                <w:szCs w:val="24"/>
                <w:lang w:val="en-US"/>
              </w:rPr>
              <w:t>[</w:t>
            </w:r>
            <w:r w:rsidR="00B16A04" w:rsidRPr="00AD153B">
              <w:rPr>
                <w:rFonts w:ascii="Arial" w:hAnsi="Arial" w:cs="Arial"/>
                <w:sz w:val="24"/>
                <w:szCs w:val="24"/>
                <w:lang w:val="en-US"/>
              </w:rPr>
              <w:t>9</w:t>
            </w:r>
            <w:r w:rsidR="00812772" w:rsidRPr="00AD153B">
              <w:rPr>
                <w:rFonts w:ascii="Arial" w:hAnsi="Arial" w:cs="Arial"/>
                <w:sz w:val="24"/>
                <w:szCs w:val="24"/>
                <w:lang w:val="en-US"/>
              </w:rPr>
              <w:t>]</w:t>
            </w:r>
            <w:r w:rsidR="002B5BB9" w:rsidRPr="00AD153B">
              <w:rPr>
                <w:rFonts w:ascii="Arial" w:hAnsi="Arial" w:cs="Arial"/>
                <w:sz w:val="24"/>
                <w:szCs w:val="24"/>
              </w:rPr>
              <w:tab/>
            </w:r>
            <w:r w:rsidR="00B96254" w:rsidRPr="00AD153B">
              <w:rPr>
                <w:rFonts w:ascii="Arial" w:hAnsi="Arial" w:cs="Arial"/>
                <w:sz w:val="24"/>
                <w:szCs w:val="24"/>
              </w:rPr>
              <w:t xml:space="preserve">The respondents take the point that the addendums are invalid on the sole ground that revenue stamps were not affixed to or stamped on them as required by the Stamp Duties Act 15 of 1993. </w:t>
            </w:r>
            <w:r w:rsidR="0044104F">
              <w:rPr>
                <w:rFonts w:ascii="Arial" w:hAnsi="Arial" w:cs="Arial"/>
                <w:sz w:val="24"/>
                <w:szCs w:val="24"/>
              </w:rPr>
              <w:t>D</w:t>
            </w:r>
            <w:r w:rsidR="00AD153B" w:rsidRPr="00AD153B">
              <w:rPr>
                <w:rFonts w:ascii="Arial" w:hAnsi="Arial" w:cs="Arial"/>
                <w:sz w:val="24"/>
                <w:szCs w:val="24"/>
              </w:rPr>
              <w:t>r</w:t>
            </w:r>
            <w:r w:rsidR="00B96254" w:rsidRPr="00AD153B">
              <w:rPr>
                <w:rFonts w:ascii="Arial" w:hAnsi="Arial" w:cs="Arial"/>
                <w:sz w:val="24"/>
                <w:szCs w:val="24"/>
              </w:rPr>
              <w:t xml:space="preserve"> Diedericks answered that the fact that the revenue stamps were not stamped on the addendums when they were settled does not on that fact a</w:t>
            </w:r>
            <w:r w:rsidR="0044104F">
              <w:rPr>
                <w:rFonts w:ascii="Arial" w:hAnsi="Arial" w:cs="Arial"/>
                <w:sz w:val="24"/>
                <w:szCs w:val="24"/>
              </w:rPr>
              <w:t>lone make the addendums invalid. I</w:t>
            </w:r>
            <w:r w:rsidR="00B96254" w:rsidRPr="00AD153B">
              <w:rPr>
                <w:rFonts w:ascii="Arial" w:hAnsi="Arial" w:cs="Arial"/>
                <w:sz w:val="24"/>
                <w:szCs w:val="24"/>
              </w:rPr>
              <w:t>n 1918 the Supreme Court rejected the argument that when a document was not stamped with a revenue stamp it would lead to a nullity of the document</w:t>
            </w:r>
            <w:r w:rsidR="00B96254" w:rsidRPr="00AD153B">
              <w:rPr>
                <w:rStyle w:val="FootnoteReference"/>
                <w:rFonts w:ascii="Arial" w:hAnsi="Arial" w:cs="Arial"/>
                <w:sz w:val="24"/>
                <w:szCs w:val="24"/>
              </w:rPr>
              <w:footnoteReference w:id="2"/>
            </w:r>
            <w:r w:rsidR="00AD153B" w:rsidRPr="00AD153B">
              <w:rPr>
                <w:rFonts w:ascii="Arial" w:hAnsi="Arial" w:cs="Arial"/>
                <w:sz w:val="24"/>
                <w:szCs w:val="24"/>
              </w:rPr>
              <w:t>,</w:t>
            </w:r>
            <w:r w:rsidR="00B96254" w:rsidRPr="00AD153B">
              <w:rPr>
                <w:rFonts w:ascii="Arial" w:hAnsi="Arial" w:cs="Arial"/>
                <w:sz w:val="24"/>
                <w:szCs w:val="24"/>
              </w:rPr>
              <w:t xml:space="preserve"> as Ms Chinsembu argued. The Supreme Court rejected such argument in </w:t>
            </w:r>
            <w:r w:rsidR="00B96254" w:rsidRPr="00AD153B">
              <w:rPr>
                <w:rFonts w:ascii="Arial" w:hAnsi="Arial" w:cs="Arial"/>
                <w:i/>
                <w:iCs/>
                <w:sz w:val="24"/>
                <w:szCs w:val="24"/>
              </w:rPr>
              <w:t>Denker v Ameib Rhino Sanctuary (Pty) Ltd</w:t>
            </w:r>
            <w:r w:rsidR="00B96254" w:rsidRPr="00AD153B">
              <w:rPr>
                <w:rFonts w:ascii="Arial" w:hAnsi="Arial" w:cs="Arial"/>
                <w:sz w:val="24"/>
                <w:szCs w:val="24"/>
              </w:rPr>
              <w:t>. I proceed to consi</w:t>
            </w:r>
            <w:r w:rsidR="0044104F">
              <w:rPr>
                <w:rFonts w:ascii="Arial" w:hAnsi="Arial" w:cs="Arial"/>
                <w:sz w:val="24"/>
                <w:szCs w:val="24"/>
              </w:rPr>
              <w:t>der the last point which relates</w:t>
            </w:r>
            <w:r w:rsidR="00B96254" w:rsidRPr="00AD153B">
              <w:rPr>
                <w:rFonts w:ascii="Arial" w:hAnsi="Arial" w:cs="Arial"/>
                <w:sz w:val="24"/>
                <w:szCs w:val="24"/>
              </w:rPr>
              <w:t xml:space="preserve"> to the suretyship of the second and third respondents.</w:t>
            </w:r>
          </w:p>
          <w:p w:rsidR="00346B7A" w:rsidRPr="00AD153B" w:rsidRDefault="00346B7A" w:rsidP="00346B7A">
            <w:pPr>
              <w:spacing w:line="360" w:lineRule="auto"/>
              <w:ind w:left="23" w:hanging="23"/>
              <w:jc w:val="both"/>
              <w:rPr>
                <w:rFonts w:ascii="Arial" w:hAnsi="Arial" w:cs="Arial"/>
                <w:sz w:val="24"/>
                <w:szCs w:val="24"/>
                <w:lang w:val="en-US"/>
              </w:rPr>
            </w:pPr>
          </w:p>
          <w:p w:rsidR="00672C76" w:rsidRPr="00AD153B" w:rsidRDefault="00812772" w:rsidP="009719BD">
            <w:pPr>
              <w:spacing w:line="360" w:lineRule="auto"/>
              <w:ind w:left="23" w:hanging="23"/>
              <w:jc w:val="both"/>
              <w:rPr>
                <w:rFonts w:ascii="Arial" w:hAnsi="Arial" w:cs="Arial"/>
                <w:sz w:val="24"/>
                <w:szCs w:val="24"/>
              </w:rPr>
            </w:pPr>
            <w:r w:rsidRPr="00AD153B">
              <w:rPr>
                <w:rFonts w:ascii="Arial" w:hAnsi="Arial" w:cs="Arial"/>
                <w:sz w:val="24"/>
                <w:szCs w:val="24"/>
                <w:lang w:val="en-US"/>
              </w:rPr>
              <w:t>[</w:t>
            </w:r>
            <w:r w:rsidR="009719BD" w:rsidRPr="00AD153B">
              <w:rPr>
                <w:rFonts w:ascii="Arial" w:hAnsi="Arial" w:cs="Arial"/>
                <w:sz w:val="24"/>
                <w:szCs w:val="24"/>
                <w:lang w:val="en-US"/>
              </w:rPr>
              <w:t>10</w:t>
            </w:r>
            <w:r w:rsidRPr="00AD153B">
              <w:rPr>
                <w:rFonts w:ascii="Arial" w:hAnsi="Arial" w:cs="Arial"/>
                <w:sz w:val="24"/>
                <w:szCs w:val="24"/>
                <w:lang w:val="en-US"/>
              </w:rPr>
              <w:t>]</w:t>
            </w:r>
            <w:r w:rsidRPr="00AD153B">
              <w:rPr>
                <w:rFonts w:ascii="Arial" w:hAnsi="Arial" w:cs="Arial"/>
                <w:sz w:val="24"/>
                <w:szCs w:val="24"/>
              </w:rPr>
              <w:tab/>
            </w:r>
            <w:r w:rsidR="00AD153B" w:rsidRPr="00AD153B">
              <w:rPr>
                <w:rFonts w:ascii="Arial" w:hAnsi="Arial" w:cs="Arial"/>
                <w:sz w:val="24"/>
                <w:szCs w:val="24"/>
              </w:rPr>
              <w:t xml:space="preserve">There is a deed of surety filed of record. The introductory part of the deed contains the name and particulars of the third respondent, and it is signed by the second respondent. The lease provides for suretyship; and it provides that a surety will bind himself or herself irrevocably and </w:t>
            </w:r>
            <w:r w:rsidR="00AD153B" w:rsidRPr="00AD153B">
              <w:rPr>
                <w:rFonts w:ascii="Arial" w:hAnsi="Arial" w:cs="Arial"/>
                <w:i/>
                <w:iCs/>
                <w:sz w:val="24"/>
                <w:szCs w:val="24"/>
              </w:rPr>
              <w:t>in rem suam</w:t>
            </w:r>
            <w:r w:rsidR="00AD153B" w:rsidRPr="00AD153B">
              <w:rPr>
                <w:rFonts w:ascii="Arial" w:hAnsi="Arial" w:cs="Arial"/>
                <w:sz w:val="24"/>
                <w:szCs w:val="24"/>
              </w:rPr>
              <w:t xml:space="preserve"> as surety for a co-principal debtor in respect of the lease. It is a term of the lease agreement that the deed of suretyship forms part of the agreement</w:t>
            </w:r>
            <w:r w:rsidR="00F639A4" w:rsidRPr="00AD153B">
              <w:rPr>
                <w:rFonts w:ascii="Arial" w:hAnsi="Arial" w:cs="Arial"/>
                <w:sz w:val="24"/>
                <w:szCs w:val="24"/>
                <w:lang w:val="en-US"/>
              </w:rPr>
              <w:t>.</w:t>
            </w:r>
          </w:p>
          <w:p w:rsidR="00A13B88" w:rsidRPr="00BF2EE0" w:rsidRDefault="00A13B88" w:rsidP="00F639A4">
            <w:pPr>
              <w:spacing w:line="360" w:lineRule="auto"/>
              <w:jc w:val="both"/>
              <w:rPr>
                <w:rFonts w:ascii="Arial" w:hAnsi="Arial" w:cs="Arial"/>
                <w:sz w:val="24"/>
                <w:szCs w:val="24"/>
              </w:rPr>
            </w:pPr>
          </w:p>
          <w:p w:rsidR="00F639A4" w:rsidRPr="00BF2EE0" w:rsidRDefault="00C06EB4" w:rsidP="00F639A4">
            <w:pPr>
              <w:tabs>
                <w:tab w:val="left" w:pos="729"/>
              </w:tabs>
              <w:spacing w:line="360" w:lineRule="auto"/>
              <w:jc w:val="both"/>
              <w:rPr>
                <w:rFonts w:ascii="Arial" w:hAnsi="Arial" w:cs="Arial"/>
                <w:sz w:val="24"/>
                <w:szCs w:val="24"/>
                <w:lang w:val="en-US"/>
              </w:rPr>
            </w:pPr>
            <w:r w:rsidRPr="00BF2EE0">
              <w:rPr>
                <w:rFonts w:ascii="Arial" w:hAnsi="Arial" w:cs="Arial"/>
                <w:sz w:val="24"/>
                <w:szCs w:val="24"/>
              </w:rPr>
              <w:t>[</w:t>
            </w:r>
            <w:r w:rsidR="000E5171" w:rsidRPr="00BF2EE0">
              <w:rPr>
                <w:rFonts w:ascii="Arial" w:hAnsi="Arial" w:cs="Arial"/>
                <w:sz w:val="24"/>
                <w:szCs w:val="24"/>
              </w:rPr>
              <w:t>11</w:t>
            </w:r>
            <w:r w:rsidR="00B40844" w:rsidRPr="00BF2EE0">
              <w:rPr>
                <w:rFonts w:ascii="Arial" w:hAnsi="Arial" w:cs="Arial"/>
                <w:sz w:val="24"/>
                <w:szCs w:val="24"/>
              </w:rPr>
              <w:t>]</w:t>
            </w:r>
            <w:r w:rsidR="00B40844" w:rsidRPr="00BF2EE0">
              <w:rPr>
                <w:rFonts w:ascii="Arial" w:hAnsi="Arial" w:cs="Arial"/>
                <w:sz w:val="24"/>
                <w:szCs w:val="24"/>
              </w:rPr>
              <w:tab/>
            </w:r>
            <w:r w:rsidR="00BF2EE0" w:rsidRPr="00BF2EE0">
              <w:rPr>
                <w:rFonts w:ascii="Arial" w:hAnsi="Arial" w:cs="Arial"/>
                <w:sz w:val="24"/>
                <w:szCs w:val="24"/>
              </w:rPr>
              <w:t>The second respondent concedes that she signed the deed of suretyship. The third respondent does not deny that she is a surety; except that she avers that she did not sign it</w:t>
            </w:r>
            <w:r w:rsidR="003367C2">
              <w:rPr>
                <w:rFonts w:ascii="Arial" w:hAnsi="Arial" w:cs="Arial"/>
                <w:sz w:val="24"/>
                <w:szCs w:val="24"/>
              </w:rPr>
              <w:t>,</w:t>
            </w:r>
            <w:r w:rsidR="00BF2EE0" w:rsidRPr="00BF2EE0">
              <w:rPr>
                <w:rFonts w:ascii="Arial" w:hAnsi="Arial" w:cs="Arial"/>
                <w:sz w:val="24"/>
                <w:szCs w:val="24"/>
              </w:rPr>
              <w:t xml:space="preserve"> even though h</w:t>
            </w:r>
            <w:r w:rsidR="003367C2">
              <w:rPr>
                <w:rFonts w:ascii="Arial" w:hAnsi="Arial" w:cs="Arial"/>
                <w:sz w:val="24"/>
                <w:szCs w:val="24"/>
              </w:rPr>
              <w:t>er particulars appear</w:t>
            </w:r>
            <w:r w:rsidR="00BF2EE0" w:rsidRPr="00BF2EE0">
              <w:rPr>
                <w:rFonts w:ascii="Arial" w:hAnsi="Arial" w:cs="Arial"/>
                <w:sz w:val="24"/>
                <w:szCs w:val="24"/>
              </w:rPr>
              <w:t xml:space="preserve"> at the beginning of the deed. In the lease agreement it is indicated that the second and third respondents a</w:t>
            </w:r>
            <w:r w:rsidR="003367C2">
              <w:rPr>
                <w:rFonts w:ascii="Arial" w:hAnsi="Arial" w:cs="Arial"/>
                <w:sz w:val="24"/>
                <w:szCs w:val="24"/>
              </w:rPr>
              <w:t>re the sureties. Clause 26.1 (</w:t>
            </w:r>
            <w:r w:rsidR="00BF2EE0" w:rsidRPr="00BF2EE0">
              <w:rPr>
                <w:rFonts w:ascii="Arial" w:hAnsi="Arial" w:cs="Arial"/>
                <w:sz w:val="24"/>
                <w:szCs w:val="24"/>
              </w:rPr>
              <w:t>titled ‘suretyship’) of the lease agreement and clause E.1 of the deed of suretyship make it clear that each co-surety intends to contract separately and ‘hereby bind myself’ and not jointly. That being the case, the deed is valid in respect of each signatory</w:t>
            </w:r>
            <w:r w:rsidR="003367C2">
              <w:rPr>
                <w:rFonts w:ascii="Arial" w:hAnsi="Arial" w:cs="Arial"/>
                <w:sz w:val="24"/>
                <w:szCs w:val="24"/>
              </w:rPr>
              <w:t>,</w:t>
            </w:r>
            <w:r w:rsidR="00BF2EE0" w:rsidRPr="00BF2EE0">
              <w:rPr>
                <w:rFonts w:ascii="Arial" w:hAnsi="Arial" w:cs="Arial"/>
                <w:sz w:val="24"/>
                <w:szCs w:val="24"/>
              </w:rPr>
              <w:t xml:space="preserve"> irrespective of whether the other co-sureties have signed.</w:t>
            </w:r>
            <w:r w:rsidR="00BF2EE0" w:rsidRPr="00BF2EE0">
              <w:rPr>
                <w:rStyle w:val="FootnoteReference"/>
                <w:rFonts w:ascii="Arial" w:hAnsi="Arial" w:cs="Arial"/>
                <w:sz w:val="24"/>
                <w:szCs w:val="24"/>
              </w:rPr>
              <w:footnoteReference w:id="3"/>
            </w:r>
            <w:r w:rsidR="00BF2EE0" w:rsidRPr="00BF2EE0">
              <w:rPr>
                <w:rFonts w:ascii="Arial" w:hAnsi="Arial" w:cs="Arial"/>
                <w:sz w:val="24"/>
                <w:szCs w:val="24"/>
              </w:rPr>
              <w:t xml:space="preserve"> Thus, in the instant matter, the signature of the second respondent binds the third respondent. The result is that the point taken by the second and third respondents has no merit and it is rejected</w:t>
            </w:r>
            <w:r w:rsidR="000307BF" w:rsidRPr="00BF2EE0">
              <w:rPr>
                <w:rFonts w:ascii="Arial" w:hAnsi="Arial" w:cs="Arial"/>
                <w:sz w:val="24"/>
                <w:szCs w:val="24"/>
                <w:lang w:val="en-US"/>
              </w:rPr>
              <w:t>.</w:t>
            </w:r>
          </w:p>
          <w:p w:rsidR="009D1768" w:rsidRPr="00BF2EE0" w:rsidRDefault="009D1768" w:rsidP="00F639A4">
            <w:pPr>
              <w:tabs>
                <w:tab w:val="left" w:pos="729"/>
              </w:tabs>
              <w:spacing w:line="360" w:lineRule="auto"/>
              <w:jc w:val="both"/>
              <w:rPr>
                <w:rFonts w:ascii="Arial" w:eastAsia="Times New Roman" w:hAnsi="Arial" w:cs="Arial"/>
                <w:sz w:val="24"/>
                <w:szCs w:val="24"/>
                <w:lang w:val="en-US"/>
              </w:rPr>
            </w:pPr>
          </w:p>
          <w:p w:rsidR="000E5171" w:rsidRPr="00BF2EE0" w:rsidRDefault="000E5171" w:rsidP="00F639A4">
            <w:pPr>
              <w:tabs>
                <w:tab w:val="left" w:pos="729"/>
              </w:tabs>
              <w:spacing w:line="360" w:lineRule="auto"/>
              <w:jc w:val="both"/>
              <w:rPr>
                <w:rFonts w:ascii="Arial" w:hAnsi="Arial" w:cs="Arial"/>
                <w:sz w:val="24"/>
                <w:szCs w:val="24"/>
              </w:rPr>
            </w:pPr>
            <w:r w:rsidRPr="00BF2EE0">
              <w:rPr>
                <w:rFonts w:ascii="Arial" w:eastAsia="Times New Roman" w:hAnsi="Arial" w:cs="Arial"/>
                <w:sz w:val="24"/>
                <w:szCs w:val="24"/>
                <w:lang w:val="en-US"/>
              </w:rPr>
              <w:t>[12]</w:t>
            </w:r>
            <w:r w:rsidRPr="00BF2EE0">
              <w:rPr>
                <w:rFonts w:ascii="Arial" w:hAnsi="Arial" w:cs="Arial"/>
                <w:sz w:val="24"/>
                <w:szCs w:val="24"/>
              </w:rPr>
              <w:tab/>
            </w:r>
            <w:r w:rsidR="00BF2EE0" w:rsidRPr="00BF2EE0">
              <w:rPr>
                <w:rFonts w:ascii="Arial" w:hAnsi="Arial" w:cs="Arial"/>
                <w:sz w:val="24"/>
                <w:szCs w:val="24"/>
              </w:rPr>
              <w:t>I have found that the first respondent does not deny its indebtedness to the applicant. And I have rejected all the legal points taken by the second and third respondents as having no merit</w:t>
            </w:r>
            <w:r w:rsidRPr="00BF2EE0">
              <w:rPr>
                <w:rFonts w:ascii="Arial" w:hAnsi="Arial" w:cs="Arial"/>
                <w:sz w:val="24"/>
                <w:szCs w:val="24"/>
              </w:rPr>
              <w:t>.</w:t>
            </w:r>
          </w:p>
          <w:p w:rsidR="005C4C93" w:rsidRPr="00BF2EE0" w:rsidRDefault="005C4C93" w:rsidP="00F639A4">
            <w:pPr>
              <w:tabs>
                <w:tab w:val="left" w:pos="729"/>
              </w:tabs>
              <w:spacing w:line="360" w:lineRule="auto"/>
              <w:jc w:val="both"/>
              <w:rPr>
                <w:rFonts w:ascii="Arial" w:hAnsi="Arial" w:cs="Arial"/>
                <w:sz w:val="24"/>
                <w:szCs w:val="24"/>
              </w:rPr>
            </w:pPr>
          </w:p>
          <w:p w:rsidR="005C4C93" w:rsidRPr="00BF2EE0" w:rsidRDefault="005C4C93" w:rsidP="00F639A4">
            <w:pPr>
              <w:tabs>
                <w:tab w:val="left" w:pos="729"/>
              </w:tabs>
              <w:spacing w:line="360" w:lineRule="auto"/>
              <w:jc w:val="both"/>
              <w:rPr>
                <w:rFonts w:ascii="Arial" w:hAnsi="Arial" w:cs="Arial"/>
                <w:sz w:val="24"/>
                <w:szCs w:val="24"/>
              </w:rPr>
            </w:pPr>
            <w:r w:rsidRPr="00BF2EE0">
              <w:rPr>
                <w:rFonts w:ascii="Arial" w:hAnsi="Arial" w:cs="Arial"/>
                <w:sz w:val="24"/>
                <w:szCs w:val="24"/>
              </w:rPr>
              <w:t>[13]</w:t>
            </w:r>
            <w:r w:rsidRPr="00BF2EE0">
              <w:rPr>
                <w:rFonts w:ascii="Arial" w:hAnsi="Arial" w:cs="Arial"/>
                <w:sz w:val="24"/>
                <w:szCs w:val="24"/>
              </w:rPr>
              <w:tab/>
            </w:r>
            <w:r w:rsidR="00BF2EE0" w:rsidRPr="00BF2EE0">
              <w:rPr>
                <w:rFonts w:ascii="Arial" w:hAnsi="Arial" w:cs="Arial"/>
                <w:sz w:val="24"/>
                <w:szCs w:val="24"/>
              </w:rPr>
              <w:t xml:space="preserve">Based on these reasons, I come to the resolute and ineluctable conclusion that the respondents have not placed any factual material before the court to establish that they have a bona fide defence which is good in </w:t>
            </w:r>
            <w:r w:rsidR="003367C2">
              <w:rPr>
                <w:rFonts w:ascii="Arial" w:hAnsi="Arial" w:cs="Arial"/>
                <w:sz w:val="24"/>
                <w:szCs w:val="24"/>
              </w:rPr>
              <w:t>l</w:t>
            </w:r>
            <w:r w:rsidR="00BF2EE0" w:rsidRPr="00BF2EE0">
              <w:rPr>
                <w:rFonts w:ascii="Arial" w:hAnsi="Arial" w:cs="Arial"/>
                <w:sz w:val="24"/>
                <w:szCs w:val="24"/>
              </w:rPr>
              <w:t>aw; neither have they raised a triable issue and, thus, ‘sufficiently placing in doubt that the applicant’s claim is unanswerable’.</w:t>
            </w:r>
            <w:r w:rsidR="00BF2EE0" w:rsidRPr="00BF2EE0">
              <w:rPr>
                <w:rStyle w:val="FootnoteReference"/>
                <w:rFonts w:ascii="Arial" w:hAnsi="Arial" w:cs="Arial"/>
                <w:sz w:val="24"/>
                <w:szCs w:val="24"/>
              </w:rPr>
              <w:footnoteReference w:id="4"/>
            </w:r>
          </w:p>
          <w:p w:rsidR="005C4C93" w:rsidRPr="00BF2EE0" w:rsidRDefault="005C4C93" w:rsidP="00F639A4">
            <w:pPr>
              <w:tabs>
                <w:tab w:val="left" w:pos="729"/>
              </w:tabs>
              <w:spacing w:line="360" w:lineRule="auto"/>
              <w:jc w:val="both"/>
              <w:rPr>
                <w:rFonts w:ascii="Arial" w:hAnsi="Arial" w:cs="Arial"/>
                <w:sz w:val="24"/>
                <w:szCs w:val="24"/>
              </w:rPr>
            </w:pPr>
          </w:p>
          <w:p w:rsidR="005C4C93" w:rsidRPr="00BF2EE0" w:rsidRDefault="005C4C93" w:rsidP="00F639A4">
            <w:pPr>
              <w:tabs>
                <w:tab w:val="left" w:pos="729"/>
              </w:tabs>
              <w:spacing w:line="360" w:lineRule="auto"/>
              <w:jc w:val="both"/>
              <w:rPr>
                <w:rFonts w:ascii="Arial" w:hAnsi="Arial" w:cs="Arial"/>
                <w:sz w:val="24"/>
                <w:szCs w:val="24"/>
              </w:rPr>
            </w:pPr>
            <w:r w:rsidRPr="00BF2EE0">
              <w:rPr>
                <w:rFonts w:ascii="Arial" w:hAnsi="Arial" w:cs="Arial"/>
                <w:sz w:val="24"/>
                <w:szCs w:val="24"/>
              </w:rPr>
              <w:t>[14]</w:t>
            </w:r>
            <w:r w:rsidRPr="00BF2EE0">
              <w:rPr>
                <w:rFonts w:ascii="Arial" w:hAnsi="Arial" w:cs="Arial"/>
                <w:sz w:val="24"/>
                <w:szCs w:val="24"/>
              </w:rPr>
              <w:tab/>
            </w:r>
            <w:r w:rsidR="00BF2EE0" w:rsidRPr="00BF2EE0">
              <w:rPr>
                <w:rFonts w:ascii="Arial" w:hAnsi="Arial" w:cs="Arial"/>
                <w:sz w:val="24"/>
                <w:szCs w:val="24"/>
              </w:rPr>
              <w:t>From the bad points of law raised by the respondents, it appears to me that the delivery of notice was done solely as a mere delaying tactic, amounting to an abuse of the process of the court.</w:t>
            </w:r>
            <w:r w:rsidR="00BF2EE0" w:rsidRPr="00BF2EE0">
              <w:rPr>
                <w:rStyle w:val="FootnoteReference"/>
                <w:rFonts w:ascii="Arial" w:hAnsi="Arial" w:cs="Arial"/>
                <w:sz w:val="24"/>
                <w:szCs w:val="24"/>
              </w:rPr>
              <w:footnoteReference w:id="5"/>
            </w:r>
          </w:p>
          <w:p w:rsidR="005C4C93" w:rsidRPr="00BF2EE0" w:rsidRDefault="005C4C93" w:rsidP="00F639A4">
            <w:pPr>
              <w:tabs>
                <w:tab w:val="left" w:pos="729"/>
              </w:tabs>
              <w:spacing w:line="360" w:lineRule="auto"/>
              <w:jc w:val="both"/>
              <w:rPr>
                <w:rFonts w:ascii="Arial" w:hAnsi="Arial" w:cs="Arial"/>
                <w:sz w:val="24"/>
                <w:szCs w:val="24"/>
              </w:rPr>
            </w:pPr>
          </w:p>
          <w:p w:rsidR="005C4C93" w:rsidRPr="00BF2EE0" w:rsidRDefault="005C4C93" w:rsidP="00F639A4">
            <w:pPr>
              <w:tabs>
                <w:tab w:val="left" w:pos="729"/>
              </w:tabs>
              <w:spacing w:line="360" w:lineRule="auto"/>
              <w:jc w:val="both"/>
              <w:rPr>
                <w:rFonts w:ascii="Arial" w:hAnsi="Arial" w:cs="Arial"/>
                <w:sz w:val="24"/>
                <w:szCs w:val="24"/>
              </w:rPr>
            </w:pPr>
            <w:r w:rsidRPr="00BF2EE0">
              <w:rPr>
                <w:rFonts w:ascii="Arial" w:hAnsi="Arial" w:cs="Arial"/>
                <w:sz w:val="24"/>
                <w:szCs w:val="24"/>
              </w:rPr>
              <w:t>[15]</w:t>
            </w:r>
            <w:r w:rsidRPr="00BF2EE0">
              <w:rPr>
                <w:rFonts w:ascii="Arial" w:hAnsi="Arial" w:cs="Arial"/>
                <w:sz w:val="24"/>
                <w:szCs w:val="24"/>
              </w:rPr>
              <w:tab/>
            </w:r>
            <w:r w:rsidR="00BF2EE0" w:rsidRPr="00BF2EE0">
              <w:rPr>
                <w:rFonts w:ascii="Arial" w:hAnsi="Arial" w:cs="Arial"/>
                <w:sz w:val="24"/>
                <w:szCs w:val="24"/>
              </w:rPr>
              <w:t>In the result, I conclude that the applicant has made o</w:t>
            </w:r>
            <w:r w:rsidR="00BF2EE0">
              <w:rPr>
                <w:rFonts w:ascii="Arial" w:hAnsi="Arial" w:cs="Arial"/>
                <w:sz w:val="24"/>
                <w:szCs w:val="24"/>
              </w:rPr>
              <w:t>ut a case for summary judgment.</w:t>
            </w:r>
          </w:p>
          <w:p w:rsidR="00BF2EE0" w:rsidRDefault="00BF2EE0" w:rsidP="00BF2EE0">
            <w:pPr>
              <w:tabs>
                <w:tab w:val="left" w:pos="729"/>
              </w:tabs>
              <w:spacing w:line="360" w:lineRule="auto"/>
              <w:jc w:val="both"/>
              <w:rPr>
                <w:rFonts w:ascii="Arial" w:eastAsia="Times New Roman" w:hAnsi="Arial" w:cs="Arial"/>
                <w:sz w:val="24"/>
                <w:szCs w:val="24"/>
                <w:lang w:val="en-US"/>
              </w:rPr>
            </w:pPr>
          </w:p>
          <w:p w:rsidR="00457F77" w:rsidRDefault="00457F77" w:rsidP="00BF2EE0">
            <w:pPr>
              <w:tabs>
                <w:tab w:val="left" w:pos="729"/>
              </w:tabs>
              <w:spacing w:line="360" w:lineRule="auto"/>
              <w:jc w:val="both"/>
              <w:rPr>
                <w:rFonts w:ascii="Arial" w:eastAsia="Times New Roman" w:hAnsi="Arial" w:cs="Arial"/>
                <w:sz w:val="24"/>
                <w:szCs w:val="24"/>
                <w:lang w:val="en-US"/>
              </w:rPr>
            </w:pPr>
          </w:p>
          <w:p w:rsidR="00457F77" w:rsidRPr="00F639A4" w:rsidRDefault="00457F77" w:rsidP="00BF2EE0">
            <w:pPr>
              <w:tabs>
                <w:tab w:val="left" w:pos="729"/>
              </w:tabs>
              <w:spacing w:line="360" w:lineRule="auto"/>
              <w:jc w:val="both"/>
              <w:rPr>
                <w:rFonts w:ascii="Arial" w:eastAsia="Times New Roman" w:hAnsi="Arial" w:cs="Arial"/>
                <w:sz w:val="24"/>
                <w:szCs w:val="24"/>
                <w:lang w:val="en-US"/>
              </w:rPr>
            </w:pPr>
          </w:p>
        </w:tc>
      </w:tr>
      <w:tr w:rsidR="00CA7995" w:rsidRPr="00CA7995" w:rsidTr="00457F77">
        <w:trPr>
          <w:trHeight w:val="580"/>
        </w:trPr>
        <w:tc>
          <w:tcPr>
            <w:tcW w:w="5067" w:type="dxa"/>
            <w:vAlign w:val="center"/>
          </w:tcPr>
          <w:p w:rsidR="00B40844" w:rsidRPr="00CA7995" w:rsidRDefault="00B40844" w:rsidP="00BF2EE0">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vAlign w:val="center"/>
          </w:tcPr>
          <w:p w:rsidR="00B40844" w:rsidRPr="00CA7995" w:rsidRDefault="00B40844" w:rsidP="00BF2EE0">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E3689F">
        <w:trPr>
          <w:trHeight w:val="1114"/>
        </w:trPr>
        <w:tc>
          <w:tcPr>
            <w:tcW w:w="5067" w:type="dxa"/>
          </w:tcPr>
          <w:p w:rsidR="00B40844" w:rsidRPr="00CA7995" w:rsidRDefault="00B40844" w:rsidP="00937C89">
            <w:pPr>
              <w:spacing w:line="360" w:lineRule="auto"/>
              <w:jc w:val="both"/>
              <w:rPr>
                <w:rFonts w:ascii="Arial" w:hAnsi="Arial" w:cs="Arial"/>
                <w:sz w:val="24"/>
                <w:szCs w:val="24"/>
              </w:rPr>
            </w:pPr>
          </w:p>
          <w:p w:rsidR="00B40844" w:rsidRDefault="00B40844" w:rsidP="00937C89">
            <w:pPr>
              <w:spacing w:line="360" w:lineRule="auto"/>
              <w:jc w:val="both"/>
              <w:rPr>
                <w:rFonts w:ascii="Arial" w:hAnsi="Arial" w:cs="Arial"/>
                <w:sz w:val="24"/>
                <w:szCs w:val="24"/>
              </w:rPr>
            </w:pPr>
          </w:p>
          <w:p w:rsidR="00BF2EE0" w:rsidRPr="00CA7995" w:rsidRDefault="00BF2EE0"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BF2EE0">
        <w:trPr>
          <w:trHeight w:val="617"/>
        </w:trPr>
        <w:tc>
          <w:tcPr>
            <w:tcW w:w="10490" w:type="dxa"/>
            <w:gridSpan w:val="3"/>
            <w:vAlign w:val="center"/>
          </w:tcPr>
          <w:p w:rsidR="00B40844" w:rsidRPr="00CA7995" w:rsidRDefault="00B40844" w:rsidP="00BF2EE0">
            <w:pPr>
              <w:spacing w:line="360" w:lineRule="auto"/>
              <w:jc w:val="center"/>
              <w:rPr>
                <w:rFonts w:ascii="Arial" w:hAnsi="Arial" w:cs="Arial"/>
                <w:b/>
                <w:sz w:val="24"/>
                <w:szCs w:val="24"/>
              </w:rPr>
            </w:pPr>
            <w:r w:rsidRPr="00CA7995">
              <w:rPr>
                <w:rFonts w:ascii="Arial" w:hAnsi="Arial" w:cs="Arial"/>
                <w:b/>
                <w:sz w:val="24"/>
                <w:szCs w:val="24"/>
              </w:rPr>
              <w:lastRenderedPageBreak/>
              <w:t>Counsel:</w:t>
            </w:r>
          </w:p>
        </w:tc>
      </w:tr>
      <w:tr w:rsidR="00CA7995" w:rsidRPr="00CA7995" w:rsidTr="00457F77">
        <w:trPr>
          <w:trHeight w:val="514"/>
        </w:trPr>
        <w:tc>
          <w:tcPr>
            <w:tcW w:w="5067" w:type="dxa"/>
            <w:vAlign w:val="center"/>
          </w:tcPr>
          <w:p w:rsidR="00B40844" w:rsidRPr="00CA7995" w:rsidRDefault="005C4C93" w:rsidP="00457F77">
            <w:pPr>
              <w:spacing w:line="360" w:lineRule="auto"/>
              <w:jc w:val="center"/>
              <w:rPr>
                <w:rFonts w:ascii="Arial" w:hAnsi="Arial" w:cs="Arial"/>
                <w:b/>
                <w:sz w:val="24"/>
                <w:szCs w:val="24"/>
              </w:rPr>
            </w:pPr>
            <w:r>
              <w:rPr>
                <w:rFonts w:ascii="Arial" w:hAnsi="Arial" w:cs="Arial"/>
                <w:b/>
                <w:sz w:val="24"/>
                <w:szCs w:val="24"/>
              </w:rPr>
              <w:t>Plaintiff</w:t>
            </w:r>
          </w:p>
        </w:tc>
        <w:tc>
          <w:tcPr>
            <w:tcW w:w="5423" w:type="dxa"/>
            <w:gridSpan w:val="2"/>
            <w:vAlign w:val="center"/>
          </w:tcPr>
          <w:p w:rsidR="00B40844" w:rsidRPr="00CA7995" w:rsidRDefault="005C4C93" w:rsidP="00457F77">
            <w:pPr>
              <w:spacing w:line="360" w:lineRule="auto"/>
              <w:jc w:val="center"/>
              <w:rPr>
                <w:rFonts w:ascii="Arial" w:hAnsi="Arial" w:cs="Arial"/>
                <w:b/>
                <w:sz w:val="24"/>
                <w:szCs w:val="24"/>
              </w:rPr>
            </w:pPr>
            <w:r>
              <w:rPr>
                <w:rFonts w:ascii="Arial" w:hAnsi="Arial" w:cs="Arial"/>
                <w:b/>
                <w:sz w:val="24"/>
                <w:szCs w:val="24"/>
              </w:rPr>
              <w:t>Defendants</w:t>
            </w:r>
          </w:p>
        </w:tc>
      </w:tr>
      <w:tr w:rsidR="00CA7995" w:rsidRPr="00CA7995" w:rsidTr="00E3689F">
        <w:tc>
          <w:tcPr>
            <w:tcW w:w="5067" w:type="dxa"/>
          </w:tcPr>
          <w:p w:rsidR="00E3689F" w:rsidRPr="00E3689F" w:rsidRDefault="00E3689F" w:rsidP="00E3689F">
            <w:pPr>
              <w:spacing w:line="360" w:lineRule="auto"/>
              <w:jc w:val="center"/>
              <w:rPr>
                <w:rFonts w:ascii="Arial" w:hAnsi="Arial" w:cs="Arial"/>
                <w:sz w:val="24"/>
                <w:szCs w:val="24"/>
              </w:rPr>
            </w:pPr>
            <w:r w:rsidRPr="00E3689F">
              <w:rPr>
                <w:rFonts w:ascii="Arial" w:hAnsi="Arial" w:cs="Arial"/>
                <w:sz w:val="24"/>
                <w:szCs w:val="24"/>
              </w:rPr>
              <w:t>J DIEDERICKS</w:t>
            </w:r>
          </w:p>
          <w:p w:rsidR="00E3689F" w:rsidRPr="006D3712" w:rsidRDefault="00E3689F" w:rsidP="00E3689F">
            <w:pPr>
              <w:spacing w:line="360" w:lineRule="auto"/>
              <w:jc w:val="center"/>
              <w:rPr>
                <w:rFonts w:ascii="Arial" w:hAnsi="Arial" w:cs="Arial"/>
                <w:sz w:val="24"/>
                <w:szCs w:val="24"/>
              </w:rPr>
            </w:pPr>
            <w:r w:rsidRPr="006D3712">
              <w:rPr>
                <w:rFonts w:ascii="Arial" w:hAnsi="Arial" w:cs="Arial"/>
                <w:sz w:val="24"/>
                <w:szCs w:val="24"/>
              </w:rPr>
              <w:t>instructed by</w:t>
            </w:r>
          </w:p>
          <w:p w:rsidR="00E3689F" w:rsidRDefault="00E3689F" w:rsidP="00E3689F">
            <w:pPr>
              <w:spacing w:line="360" w:lineRule="auto"/>
              <w:jc w:val="center"/>
              <w:rPr>
                <w:rFonts w:ascii="Arial" w:hAnsi="Arial" w:cs="Arial"/>
                <w:sz w:val="24"/>
                <w:szCs w:val="24"/>
              </w:rPr>
            </w:pPr>
            <w:r w:rsidRPr="00E3689F">
              <w:rPr>
                <w:rFonts w:ascii="Arial" w:hAnsi="Arial" w:cs="Arial"/>
                <w:sz w:val="24"/>
                <w:szCs w:val="24"/>
              </w:rPr>
              <w:t>Isaacks &amp; Associates Inc.</w:t>
            </w:r>
          </w:p>
          <w:p w:rsidR="00F639A4" w:rsidRPr="00D034F4" w:rsidRDefault="00BF2EE0" w:rsidP="00BF2EE0">
            <w:pPr>
              <w:spacing w:line="360" w:lineRule="auto"/>
              <w:jc w:val="center"/>
              <w:rPr>
                <w:rFonts w:ascii="Arial" w:hAnsi="Arial" w:cs="Arial"/>
                <w:sz w:val="24"/>
                <w:szCs w:val="24"/>
              </w:rPr>
            </w:pPr>
            <w:r>
              <w:rPr>
                <w:rFonts w:ascii="Arial" w:hAnsi="Arial" w:cs="Arial"/>
                <w:sz w:val="24"/>
                <w:szCs w:val="24"/>
              </w:rPr>
              <w:t>Windhoek</w:t>
            </w:r>
          </w:p>
        </w:tc>
        <w:tc>
          <w:tcPr>
            <w:tcW w:w="5423" w:type="dxa"/>
            <w:gridSpan w:val="2"/>
          </w:tcPr>
          <w:p w:rsidR="00B40844" w:rsidRPr="00E3689F" w:rsidRDefault="006D3712" w:rsidP="00346B7A">
            <w:pPr>
              <w:spacing w:line="360" w:lineRule="auto"/>
              <w:jc w:val="center"/>
              <w:rPr>
                <w:rFonts w:ascii="Arial" w:hAnsi="Arial" w:cs="Arial"/>
                <w:sz w:val="24"/>
                <w:szCs w:val="24"/>
              </w:rPr>
            </w:pPr>
            <w:r>
              <w:rPr>
                <w:rFonts w:ascii="Arial" w:hAnsi="Arial" w:cs="Arial"/>
                <w:sz w:val="24"/>
                <w:szCs w:val="24"/>
              </w:rPr>
              <w:t>W</w:t>
            </w:r>
            <w:r w:rsidR="00E3689F" w:rsidRPr="00E3689F">
              <w:rPr>
                <w:rFonts w:ascii="Arial" w:hAnsi="Arial" w:cs="Arial"/>
                <w:sz w:val="24"/>
                <w:szCs w:val="24"/>
              </w:rPr>
              <w:t xml:space="preserve"> CHINSEMBU</w:t>
            </w:r>
          </w:p>
          <w:p w:rsidR="00481A0D" w:rsidRPr="00E3689F" w:rsidRDefault="006D3712" w:rsidP="00346B7A">
            <w:pPr>
              <w:spacing w:line="360" w:lineRule="auto"/>
              <w:jc w:val="center"/>
              <w:rPr>
                <w:rFonts w:ascii="Arial" w:hAnsi="Arial" w:cs="Arial"/>
                <w:sz w:val="24"/>
                <w:szCs w:val="24"/>
              </w:rPr>
            </w:pPr>
            <w:r>
              <w:rPr>
                <w:rFonts w:ascii="Arial" w:hAnsi="Arial" w:cs="Arial"/>
                <w:sz w:val="24"/>
                <w:szCs w:val="24"/>
              </w:rPr>
              <w:t xml:space="preserve">Of </w:t>
            </w:r>
            <w:r w:rsidR="00E3689F" w:rsidRPr="00E3689F">
              <w:rPr>
                <w:rFonts w:ascii="Arial" w:hAnsi="Arial" w:cs="Arial"/>
                <w:sz w:val="24"/>
                <w:szCs w:val="24"/>
              </w:rPr>
              <w:t>Henry Shimutwikeni &amp; Co Inc</w:t>
            </w:r>
            <w:r w:rsidR="000E5171" w:rsidRPr="00E3689F">
              <w:rPr>
                <w:rFonts w:ascii="Arial" w:hAnsi="Arial" w:cs="Arial"/>
                <w:sz w:val="24"/>
                <w:szCs w:val="24"/>
              </w:rPr>
              <w:t>.</w:t>
            </w:r>
          </w:p>
          <w:p w:rsidR="000E5171" w:rsidRPr="00E3689F" w:rsidRDefault="00BF2EE0" w:rsidP="00346B7A">
            <w:pPr>
              <w:spacing w:line="360" w:lineRule="auto"/>
              <w:jc w:val="center"/>
              <w:rPr>
                <w:rFonts w:ascii="Arial" w:hAnsi="Arial" w:cs="Arial"/>
                <w:sz w:val="24"/>
                <w:szCs w:val="24"/>
              </w:rPr>
            </w:pPr>
            <w:r>
              <w:rPr>
                <w:rFonts w:ascii="Arial" w:hAnsi="Arial" w:cs="Arial"/>
                <w:sz w:val="24"/>
                <w:szCs w:val="24"/>
              </w:rPr>
              <w:t>Windhoek</w:t>
            </w:r>
          </w:p>
        </w:tc>
      </w:tr>
    </w:tbl>
    <w:p w:rsidR="00B845CF" w:rsidRPr="00883004" w:rsidRDefault="00B845CF" w:rsidP="00883004">
      <w:pPr>
        <w:jc w:val="both"/>
        <w:rPr>
          <w:rFonts w:ascii="Arial" w:hAnsi="Arial" w:cs="Arial"/>
          <w:sz w:val="24"/>
          <w:szCs w:val="24"/>
        </w:rPr>
      </w:pPr>
    </w:p>
    <w:sectPr w:rsidR="00B845CF" w:rsidRPr="00883004" w:rsidSect="00816D42">
      <w:headerReference w:type="default" r:id="rId9"/>
      <w:footerReference w:type="default" r:id="rId10"/>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FD" w:rsidRDefault="002D00FD" w:rsidP="00B40844">
      <w:pPr>
        <w:spacing w:after="0" w:line="240" w:lineRule="auto"/>
      </w:pPr>
      <w:r>
        <w:separator/>
      </w:r>
    </w:p>
  </w:endnote>
  <w:endnote w:type="continuationSeparator" w:id="0">
    <w:p w:rsidR="002D00FD" w:rsidRDefault="002D00FD"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FD" w:rsidRDefault="002D00FD" w:rsidP="00B40844">
      <w:pPr>
        <w:spacing w:after="0" w:line="240" w:lineRule="auto"/>
      </w:pPr>
      <w:r>
        <w:separator/>
      </w:r>
    </w:p>
  </w:footnote>
  <w:footnote w:type="continuationSeparator" w:id="0">
    <w:p w:rsidR="002D00FD" w:rsidRDefault="002D00FD" w:rsidP="00B40844">
      <w:pPr>
        <w:spacing w:after="0" w:line="240" w:lineRule="auto"/>
      </w:pPr>
      <w:r>
        <w:continuationSeparator/>
      </w:r>
    </w:p>
  </w:footnote>
  <w:footnote w:id="1">
    <w:p w:rsidR="005C4C93" w:rsidRPr="005C4C93" w:rsidRDefault="005C4C93" w:rsidP="005C4C93">
      <w:pPr>
        <w:pStyle w:val="FootnoteText"/>
        <w:jc w:val="both"/>
        <w:rPr>
          <w:rFonts w:ascii="Arial" w:hAnsi="Arial" w:cs="Arial"/>
          <w:lang w:val="en-US"/>
        </w:rPr>
      </w:pPr>
      <w:r w:rsidRPr="005C4C93">
        <w:rPr>
          <w:rStyle w:val="FootnoteReference"/>
          <w:rFonts w:ascii="Arial" w:hAnsi="Arial" w:cs="Arial"/>
        </w:rPr>
        <w:footnoteRef/>
      </w:r>
      <w:r w:rsidRPr="005C4C93">
        <w:rPr>
          <w:rFonts w:ascii="Arial" w:hAnsi="Arial" w:cs="Arial"/>
        </w:rPr>
        <w:t xml:space="preserve"> </w:t>
      </w:r>
      <w:r w:rsidRPr="005C4C93">
        <w:rPr>
          <w:rFonts w:ascii="Arial" w:hAnsi="Arial" w:cs="Arial"/>
          <w:i/>
          <w:iCs/>
          <w:lang w:val="en-US"/>
        </w:rPr>
        <w:t>Katjivena and Others v Prime Minister of the Republic of Namibia</w:t>
      </w:r>
      <w:r w:rsidRPr="005C4C93">
        <w:rPr>
          <w:rFonts w:ascii="Arial" w:hAnsi="Arial" w:cs="Arial"/>
          <w:lang w:val="en-US"/>
        </w:rPr>
        <w:t xml:space="preserve"> 2016 (3) NR 903 (HC).</w:t>
      </w:r>
    </w:p>
  </w:footnote>
  <w:footnote w:id="2">
    <w:p w:rsidR="00B96254" w:rsidRPr="00AD153B" w:rsidRDefault="00B96254" w:rsidP="00AD153B">
      <w:pPr>
        <w:pStyle w:val="FootnoteText"/>
        <w:jc w:val="both"/>
        <w:rPr>
          <w:rFonts w:ascii="Arial" w:hAnsi="Arial" w:cs="Arial"/>
          <w:lang w:val="en-US"/>
        </w:rPr>
      </w:pPr>
      <w:r w:rsidRPr="00AD153B">
        <w:rPr>
          <w:rStyle w:val="FootnoteReference"/>
          <w:rFonts w:ascii="Arial" w:hAnsi="Arial" w:cs="Arial"/>
        </w:rPr>
        <w:footnoteRef/>
      </w:r>
      <w:r w:rsidRPr="00AD153B">
        <w:rPr>
          <w:rFonts w:ascii="Arial" w:hAnsi="Arial" w:cs="Arial"/>
        </w:rPr>
        <w:t xml:space="preserve"> </w:t>
      </w:r>
      <w:r w:rsidRPr="00AD153B">
        <w:rPr>
          <w:rFonts w:ascii="Arial" w:hAnsi="Arial" w:cs="Arial"/>
          <w:i/>
          <w:iCs/>
          <w:lang w:val="en-US"/>
        </w:rPr>
        <w:t>Denker v Ameib Rhino Sanctuary (Pty) Ltd and Others</w:t>
      </w:r>
      <w:r w:rsidRPr="00AD153B">
        <w:rPr>
          <w:rFonts w:ascii="Arial" w:hAnsi="Arial" w:cs="Arial"/>
          <w:lang w:val="en-US"/>
        </w:rPr>
        <w:t xml:space="preserve"> </w:t>
      </w:r>
      <w:r w:rsidR="003E59FF">
        <w:rPr>
          <w:rFonts w:ascii="Arial" w:hAnsi="Arial" w:cs="Arial"/>
          <w:lang w:val="en-US"/>
        </w:rPr>
        <w:t>2017</w:t>
      </w:r>
      <w:r w:rsidR="00D258E1">
        <w:rPr>
          <w:rFonts w:ascii="Arial" w:hAnsi="Arial" w:cs="Arial"/>
          <w:lang w:val="en-US"/>
        </w:rPr>
        <w:t xml:space="preserve"> </w:t>
      </w:r>
      <w:r w:rsidRPr="00AD153B">
        <w:rPr>
          <w:rFonts w:ascii="Arial" w:hAnsi="Arial" w:cs="Arial"/>
          <w:lang w:val="en-US"/>
        </w:rPr>
        <w:t>(4) NR 1173 (SC).</w:t>
      </w:r>
    </w:p>
  </w:footnote>
  <w:footnote w:id="3">
    <w:p w:rsidR="00BF2EE0" w:rsidRPr="00BF2EE0" w:rsidRDefault="00BF2EE0" w:rsidP="00BF2EE0">
      <w:pPr>
        <w:pStyle w:val="FootnoteText"/>
        <w:jc w:val="both"/>
        <w:rPr>
          <w:rFonts w:ascii="Arial" w:hAnsi="Arial" w:cs="Arial"/>
          <w:lang w:val="en-US"/>
        </w:rPr>
      </w:pPr>
      <w:r w:rsidRPr="00BF2EE0">
        <w:rPr>
          <w:rStyle w:val="FootnoteReference"/>
          <w:rFonts w:ascii="Arial" w:hAnsi="Arial" w:cs="Arial"/>
        </w:rPr>
        <w:footnoteRef/>
      </w:r>
      <w:r w:rsidRPr="00BF2EE0">
        <w:rPr>
          <w:rFonts w:ascii="Arial" w:hAnsi="Arial" w:cs="Arial"/>
        </w:rPr>
        <w:t xml:space="preserve"> </w:t>
      </w:r>
      <w:r w:rsidRPr="00BF2EE0">
        <w:rPr>
          <w:rFonts w:ascii="Arial" w:hAnsi="Arial" w:cs="Arial"/>
          <w:lang w:val="en-US"/>
        </w:rPr>
        <w:t xml:space="preserve">RH Christie </w:t>
      </w:r>
      <w:r w:rsidRPr="002C458C">
        <w:rPr>
          <w:rFonts w:ascii="Arial" w:hAnsi="Arial" w:cs="Arial"/>
          <w:i/>
          <w:lang w:val="en-US"/>
        </w:rPr>
        <w:t>The Law of Contract in South Africa</w:t>
      </w:r>
      <w:r w:rsidRPr="00BF2EE0">
        <w:rPr>
          <w:rFonts w:ascii="Arial" w:hAnsi="Arial" w:cs="Arial"/>
          <w:lang w:val="en-US"/>
        </w:rPr>
        <w:t xml:space="preserve"> 3 ed (1996) at 139.</w:t>
      </w:r>
    </w:p>
  </w:footnote>
  <w:footnote w:id="4">
    <w:p w:rsidR="00BF2EE0" w:rsidRPr="00BF2EE0" w:rsidRDefault="00BF2EE0" w:rsidP="00BF2EE0">
      <w:pPr>
        <w:pStyle w:val="FootnoteText"/>
        <w:jc w:val="both"/>
        <w:rPr>
          <w:rFonts w:ascii="Arial" w:hAnsi="Arial" w:cs="Arial"/>
          <w:lang w:val="en-US"/>
        </w:rPr>
      </w:pPr>
      <w:r w:rsidRPr="00BF2EE0">
        <w:rPr>
          <w:rStyle w:val="FootnoteReference"/>
          <w:rFonts w:ascii="Arial" w:hAnsi="Arial" w:cs="Arial"/>
        </w:rPr>
        <w:footnoteRef/>
      </w:r>
      <w:r w:rsidRPr="00BF2EE0">
        <w:rPr>
          <w:rFonts w:ascii="Arial" w:hAnsi="Arial" w:cs="Arial"/>
        </w:rPr>
        <w:t xml:space="preserve"> </w:t>
      </w:r>
      <w:r w:rsidRPr="00BF2EE0">
        <w:rPr>
          <w:rFonts w:ascii="Arial" w:hAnsi="Arial" w:cs="Arial"/>
          <w:i/>
          <w:iCs/>
          <w:lang w:val="en-US"/>
        </w:rPr>
        <w:t>Redial Truss Industries (Pty) Ltd v Aquatan (Pty) Ltd</w:t>
      </w:r>
      <w:r w:rsidRPr="00BF2EE0">
        <w:rPr>
          <w:rFonts w:ascii="Arial" w:hAnsi="Arial" w:cs="Arial"/>
          <w:lang w:val="en-US"/>
        </w:rPr>
        <w:t xml:space="preserve"> [2019] NASC (10 April 2019) para 37.</w:t>
      </w:r>
    </w:p>
  </w:footnote>
  <w:footnote w:id="5">
    <w:p w:rsidR="00BF2EE0" w:rsidRPr="00BF2EE0" w:rsidRDefault="00BF2EE0" w:rsidP="00BF2EE0">
      <w:pPr>
        <w:pStyle w:val="FootnoteText"/>
        <w:jc w:val="both"/>
        <w:rPr>
          <w:rFonts w:ascii="Arial" w:hAnsi="Arial" w:cs="Arial"/>
          <w:lang w:val="en-US"/>
        </w:rPr>
      </w:pPr>
      <w:r w:rsidRPr="00BF2EE0">
        <w:rPr>
          <w:rStyle w:val="FootnoteReference"/>
          <w:rFonts w:ascii="Arial" w:hAnsi="Arial" w:cs="Arial"/>
        </w:rPr>
        <w:footnoteRef/>
      </w:r>
      <w:r w:rsidRPr="00BF2EE0">
        <w:rPr>
          <w:rFonts w:ascii="Arial" w:hAnsi="Arial" w:cs="Arial"/>
        </w:rPr>
        <w:t xml:space="preserve"> </w:t>
      </w:r>
      <w:r w:rsidRPr="00BF2EE0">
        <w:rPr>
          <w:rFonts w:ascii="Arial" w:hAnsi="Arial" w:cs="Arial"/>
          <w:i/>
          <w:iCs/>
          <w:lang w:val="en-US"/>
        </w:rPr>
        <w:t>First National Bank of Namibia v Yeung Tai Foodstuff &amp; Trading CC</w:t>
      </w:r>
      <w:r w:rsidRPr="00BF2EE0">
        <w:rPr>
          <w:rFonts w:ascii="Arial" w:hAnsi="Arial" w:cs="Arial"/>
          <w:lang w:val="en-US"/>
        </w:rPr>
        <w:t xml:space="preserve"> </w:t>
      </w:r>
      <w:r w:rsidR="003367C2">
        <w:rPr>
          <w:rFonts w:ascii="Arial" w:hAnsi="Arial" w:cs="Arial"/>
          <w:lang w:val="en-US"/>
        </w:rPr>
        <w:t xml:space="preserve">[2022] NAHCMD 143 (28 March 2022) </w:t>
      </w:r>
      <w:r w:rsidRPr="00BF2EE0">
        <w:rPr>
          <w:rFonts w:ascii="Arial" w:hAnsi="Arial" w:cs="Arial"/>
          <w:lang w:val="en-US"/>
        </w:rPr>
        <w:t>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49738"/>
      <w:docPartObj>
        <w:docPartGallery w:val="Page Numbers (Top of Page)"/>
        <w:docPartUnique/>
      </w:docPartObj>
    </w:sdtPr>
    <w:sdtEndPr>
      <w:rPr>
        <w:noProof/>
      </w:rPr>
    </w:sdtEndPr>
    <w:sdtContent>
      <w:p w:rsidR="000302C5" w:rsidRDefault="000302C5">
        <w:pPr>
          <w:pStyle w:val="Header"/>
          <w:jc w:val="right"/>
        </w:pPr>
        <w:r>
          <w:fldChar w:fldCharType="begin"/>
        </w:r>
        <w:r>
          <w:instrText xml:space="preserve"> PAGE   \* MERGEFORMAT </w:instrText>
        </w:r>
        <w:r>
          <w:fldChar w:fldCharType="separate"/>
        </w:r>
        <w:r w:rsidR="00E314BA">
          <w:rPr>
            <w:noProof/>
          </w:rPr>
          <w:t>5</w:t>
        </w:r>
        <w:r>
          <w:rPr>
            <w:noProof/>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2FFE7242"/>
    <w:lvl w:ilvl="0" w:tplc="C6F4F8B8">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302C5"/>
    <w:rsid w:val="000307BF"/>
    <w:rsid w:val="00030A66"/>
    <w:rsid w:val="00052806"/>
    <w:rsid w:val="00053646"/>
    <w:rsid w:val="0006472B"/>
    <w:rsid w:val="00072DED"/>
    <w:rsid w:val="000929C5"/>
    <w:rsid w:val="000A5883"/>
    <w:rsid w:val="000A6E7F"/>
    <w:rsid w:val="000B631E"/>
    <w:rsid w:val="000C65B1"/>
    <w:rsid w:val="000E5171"/>
    <w:rsid w:val="000F39A3"/>
    <w:rsid w:val="000F681E"/>
    <w:rsid w:val="00116AFB"/>
    <w:rsid w:val="0011768F"/>
    <w:rsid w:val="001223B7"/>
    <w:rsid w:val="00124C63"/>
    <w:rsid w:val="0012642A"/>
    <w:rsid w:val="00127391"/>
    <w:rsid w:val="00147969"/>
    <w:rsid w:val="00152FEA"/>
    <w:rsid w:val="0018718C"/>
    <w:rsid w:val="001A4504"/>
    <w:rsid w:val="001B3825"/>
    <w:rsid w:val="001B494D"/>
    <w:rsid w:val="001B5727"/>
    <w:rsid w:val="001D15FC"/>
    <w:rsid w:val="001D6E3B"/>
    <w:rsid w:val="001E097B"/>
    <w:rsid w:val="001F1975"/>
    <w:rsid w:val="00200E53"/>
    <w:rsid w:val="002124D3"/>
    <w:rsid w:val="0021762B"/>
    <w:rsid w:val="00217744"/>
    <w:rsid w:val="00224808"/>
    <w:rsid w:val="00225C54"/>
    <w:rsid w:val="002317B0"/>
    <w:rsid w:val="0023549A"/>
    <w:rsid w:val="00236F6F"/>
    <w:rsid w:val="00241115"/>
    <w:rsid w:val="002411C1"/>
    <w:rsid w:val="002536EA"/>
    <w:rsid w:val="002547AC"/>
    <w:rsid w:val="00276736"/>
    <w:rsid w:val="002865F4"/>
    <w:rsid w:val="002A4AA3"/>
    <w:rsid w:val="002B38E0"/>
    <w:rsid w:val="002B397D"/>
    <w:rsid w:val="002B5BB9"/>
    <w:rsid w:val="002C1EF6"/>
    <w:rsid w:val="002C458C"/>
    <w:rsid w:val="002D00FD"/>
    <w:rsid w:val="002D0359"/>
    <w:rsid w:val="002D20C5"/>
    <w:rsid w:val="002E1151"/>
    <w:rsid w:val="002E123F"/>
    <w:rsid w:val="002E738E"/>
    <w:rsid w:val="002F0692"/>
    <w:rsid w:val="00312E51"/>
    <w:rsid w:val="0031523D"/>
    <w:rsid w:val="00322F39"/>
    <w:rsid w:val="00323AAF"/>
    <w:rsid w:val="00323E22"/>
    <w:rsid w:val="003367C2"/>
    <w:rsid w:val="00340EA6"/>
    <w:rsid w:val="00346B7A"/>
    <w:rsid w:val="00371B8F"/>
    <w:rsid w:val="003750B1"/>
    <w:rsid w:val="0038382D"/>
    <w:rsid w:val="00387B29"/>
    <w:rsid w:val="003917AF"/>
    <w:rsid w:val="003A06B6"/>
    <w:rsid w:val="003A18AD"/>
    <w:rsid w:val="003B09B0"/>
    <w:rsid w:val="003C2574"/>
    <w:rsid w:val="003D165C"/>
    <w:rsid w:val="003D3059"/>
    <w:rsid w:val="003E59FF"/>
    <w:rsid w:val="00404B70"/>
    <w:rsid w:val="00412278"/>
    <w:rsid w:val="00425832"/>
    <w:rsid w:val="00426C60"/>
    <w:rsid w:val="00431A65"/>
    <w:rsid w:val="004352E5"/>
    <w:rsid w:val="004358E2"/>
    <w:rsid w:val="00436C2B"/>
    <w:rsid w:val="00440F37"/>
    <w:rsid w:val="0044104F"/>
    <w:rsid w:val="00457F77"/>
    <w:rsid w:val="00463486"/>
    <w:rsid w:val="004665B1"/>
    <w:rsid w:val="00466B36"/>
    <w:rsid w:val="0047086B"/>
    <w:rsid w:val="00474C2A"/>
    <w:rsid w:val="00475B7A"/>
    <w:rsid w:val="00481A0D"/>
    <w:rsid w:val="004907E4"/>
    <w:rsid w:val="004936A7"/>
    <w:rsid w:val="004A2D48"/>
    <w:rsid w:val="004B6C36"/>
    <w:rsid w:val="004C646F"/>
    <w:rsid w:val="004F4867"/>
    <w:rsid w:val="00503F36"/>
    <w:rsid w:val="005234D3"/>
    <w:rsid w:val="00535E24"/>
    <w:rsid w:val="00535F29"/>
    <w:rsid w:val="00536EFF"/>
    <w:rsid w:val="005408B2"/>
    <w:rsid w:val="005629DA"/>
    <w:rsid w:val="00574E13"/>
    <w:rsid w:val="00594F6C"/>
    <w:rsid w:val="005A4D90"/>
    <w:rsid w:val="005B62A0"/>
    <w:rsid w:val="005C0E24"/>
    <w:rsid w:val="005C21D7"/>
    <w:rsid w:val="005C3354"/>
    <w:rsid w:val="005C4C93"/>
    <w:rsid w:val="005D543C"/>
    <w:rsid w:val="005E066D"/>
    <w:rsid w:val="005F325C"/>
    <w:rsid w:val="005F32EB"/>
    <w:rsid w:val="005F7C83"/>
    <w:rsid w:val="00610BF1"/>
    <w:rsid w:val="006115E2"/>
    <w:rsid w:val="00622B72"/>
    <w:rsid w:val="0063103D"/>
    <w:rsid w:val="00641331"/>
    <w:rsid w:val="00646C86"/>
    <w:rsid w:val="006678D1"/>
    <w:rsid w:val="00672C76"/>
    <w:rsid w:val="00683F2E"/>
    <w:rsid w:val="00695745"/>
    <w:rsid w:val="006976D9"/>
    <w:rsid w:val="006A0BA4"/>
    <w:rsid w:val="006A3F29"/>
    <w:rsid w:val="006B7521"/>
    <w:rsid w:val="006C7E32"/>
    <w:rsid w:val="006D0991"/>
    <w:rsid w:val="006D264B"/>
    <w:rsid w:val="006D3712"/>
    <w:rsid w:val="006D7450"/>
    <w:rsid w:val="006E0FD4"/>
    <w:rsid w:val="006F35AC"/>
    <w:rsid w:val="00702C62"/>
    <w:rsid w:val="00703171"/>
    <w:rsid w:val="00705A2C"/>
    <w:rsid w:val="00713CFF"/>
    <w:rsid w:val="00716E66"/>
    <w:rsid w:val="00736DA4"/>
    <w:rsid w:val="00746C0C"/>
    <w:rsid w:val="00766C68"/>
    <w:rsid w:val="0078274D"/>
    <w:rsid w:val="007853D8"/>
    <w:rsid w:val="00786525"/>
    <w:rsid w:val="0078697D"/>
    <w:rsid w:val="007947F2"/>
    <w:rsid w:val="007950C8"/>
    <w:rsid w:val="007A69B7"/>
    <w:rsid w:val="007D0765"/>
    <w:rsid w:val="007D0792"/>
    <w:rsid w:val="007D5FD0"/>
    <w:rsid w:val="007D6C74"/>
    <w:rsid w:val="007F68C4"/>
    <w:rsid w:val="008006A3"/>
    <w:rsid w:val="00800856"/>
    <w:rsid w:val="0080541A"/>
    <w:rsid w:val="00812409"/>
    <w:rsid w:val="00812772"/>
    <w:rsid w:val="00813E24"/>
    <w:rsid w:val="00816D42"/>
    <w:rsid w:val="00816D5D"/>
    <w:rsid w:val="00821A0C"/>
    <w:rsid w:val="008275AC"/>
    <w:rsid w:val="00833B9D"/>
    <w:rsid w:val="00835300"/>
    <w:rsid w:val="00840ECC"/>
    <w:rsid w:val="008459A2"/>
    <w:rsid w:val="00870397"/>
    <w:rsid w:val="00882F73"/>
    <w:rsid w:val="00883004"/>
    <w:rsid w:val="00890A20"/>
    <w:rsid w:val="00892D9A"/>
    <w:rsid w:val="00895C5D"/>
    <w:rsid w:val="008A1447"/>
    <w:rsid w:val="008A21E1"/>
    <w:rsid w:val="008B4C24"/>
    <w:rsid w:val="008B4F50"/>
    <w:rsid w:val="008C2200"/>
    <w:rsid w:val="008E0730"/>
    <w:rsid w:val="008E6175"/>
    <w:rsid w:val="008F59A0"/>
    <w:rsid w:val="009018D4"/>
    <w:rsid w:val="00905359"/>
    <w:rsid w:val="009279BE"/>
    <w:rsid w:val="00937C89"/>
    <w:rsid w:val="00956B2A"/>
    <w:rsid w:val="009719BD"/>
    <w:rsid w:val="009733A9"/>
    <w:rsid w:val="009919F6"/>
    <w:rsid w:val="00992898"/>
    <w:rsid w:val="00992E0B"/>
    <w:rsid w:val="00997C11"/>
    <w:rsid w:val="009A7A59"/>
    <w:rsid w:val="009C1846"/>
    <w:rsid w:val="009C35C9"/>
    <w:rsid w:val="009C6F3F"/>
    <w:rsid w:val="009D1768"/>
    <w:rsid w:val="009D27E8"/>
    <w:rsid w:val="009F1C92"/>
    <w:rsid w:val="009F773F"/>
    <w:rsid w:val="00A10691"/>
    <w:rsid w:val="00A10E40"/>
    <w:rsid w:val="00A13B88"/>
    <w:rsid w:val="00A15CD1"/>
    <w:rsid w:val="00A22E0F"/>
    <w:rsid w:val="00A26B7B"/>
    <w:rsid w:val="00A3327E"/>
    <w:rsid w:val="00A50F13"/>
    <w:rsid w:val="00A5520F"/>
    <w:rsid w:val="00A66511"/>
    <w:rsid w:val="00A75ED6"/>
    <w:rsid w:val="00A81112"/>
    <w:rsid w:val="00A901DF"/>
    <w:rsid w:val="00AA3ECB"/>
    <w:rsid w:val="00AA6017"/>
    <w:rsid w:val="00AB08C4"/>
    <w:rsid w:val="00AD0B66"/>
    <w:rsid w:val="00AD153B"/>
    <w:rsid w:val="00AD1CEC"/>
    <w:rsid w:val="00AD6E6A"/>
    <w:rsid w:val="00AD72DD"/>
    <w:rsid w:val="00AE0F2B"/>
    <w:rsid w:val="00B01B6C"/>
    <w:rsid w:val="00B121EA"/>
    <w:rsid w:val="00B16601"/>
    <w:rsid w:val="00B16A04"/>
    <w:rsid w:val="00B40844"/>
    <w:rsid w:val="00B433BD"/>
    <w:rsid w:val="00B46BB5"/>
    <w:rsid w:val="00B47800"/>
    <w:rsid w:val="00B5067C"/>
    <w:rsid w:val="00B50C99"/>
    <w:rsid w:val="00B56457"/>
    <w:rsid w:val="00B56E34"/>
    <w:rsid w:val="00B5737E"/>
    <w:rsid w:val="00B61AC7"/>
    <w:rsid w:val="00B74BBB"/>
    <w:rsid w:val="00B75ACC"/>
    <w:rsid w:val="00B76C1F"/>
    <w:rsid w:val="00B808CB"/>
    <w:rsid w:val="00B845CF"/>
    <w:rsid w:val="00B90DA5"/>
    <w:rsid w:val="00B92DE7"/>
    <w:rsid w:val="00B9407E"/>
    <w:rsid w:val="00B96254"/>
    <w:rsid w:val="00BB13F4"/>
    <w:rsid w:val="00BB3273"/>
    <w:rsid w:val="00BC5931"/>
    <w:rsid w:val="00BE31AD"/>
    <w:rsid w:val="00BF2EE0"/>
    <w:rsid w:val="00C02E2D"/>
    <w:rsid w:val="00C033C2"/>
    <w:rsid w:val="00C04F28"/>
    <w:rsid w:val="00C06EB4"/>
    <w:rsid w:val="00C2633E"/>
    <w:rsid w:val="00C327A6"/>
    <w:rsid w:val="00C4587F"/>
    <w:rsid w:val="00C54752"/>
    <w:rsid w:val="00C73D5D"/>
    <w:rsid w:val="00C82B7B"/>
    <w:rsid w:val="00CA7995"/>
    <w:rsid w:val="00CC3220"/>
    <w:rsid w:val="00CC57E3"/>
    <w:rsid w:val="00CC7431"/>
    <w:rsid w:val="00CD62C0"/>
    <w:rsid w:val="00D034F4"/>
    <w:rsid w:val="00D07DE6"/>
    <w:rsid w:val="00D113DD"/>
    <w:rsid w:val="00D15FF5"/>
    <w:rsid w:val="00D24453"/>
    <w:rsid w:val="00D25285"/>
    <w:rsid w:val="00D258E1"/>
    <w:rsid w:val="00D30D4D"/>
    <w:rsid w:val="00D37DAA"/>
    <w:rsid w:val="00D5070E"/>
    <w:rsid w:val="00D52F48"/>
    <w:rsid w:val="00D547B6"/>
    <w:rsid w:val="00D562F3"/>
    <w:rsid w:val="00D6224D"/>
    <w:rsid w:val="00D655E8"/>
    <w:rsid w:val="00D70B13"/>
    <w:rsid w:val="00D803A8"/>
    <w:rsid w:val="00D80947"/>
    <w:rsid w:val="00D95D76"/>
    <w:rsid w:val="00D960EA"/>
    <w:rsid w:val="00DB3B82"/>
    <w:rsid w:val="00DB5AA2"/>
    <w:rsid w:val="00DD2A57"/>
    <w:rsid w:val="00DD76E7"/>
    <w:rsid w:val="00DE2167"/>
    <w:rsid w:val="00DE6BDE"/>
    <w:rsid w:val="00DE6D49"/>
    <w:rsid w:val="00DF7C91"/>
    <w:rsid w:val="00E0573A"/>
    <w:rsid w:val="00E221FD"/>
    <w:rsid w:val="00E26787"/>
    <w:rsid w:val="00E314BA"/>
    <w:rsid w:val="00E3391F"/>
    <w:rsid w:val="00E3689F"/>
    <w:rsid w:val="00E41BE5"/>
    <w:rsid w:val="00E533BE"/>
    <w:rsid w:val="00E62DB3"/>
    <w:rsid w:val="00E71E94"/>
    <w:rsid w:val="00E7426D"/>
    <w:rsid w:val="00E8184C"/>
    <w:rsid w:val="00E8438C"/>
    <w:rsid w:val="00E85DF8"/>
    <w:rsid w:val="00E96F9E"/>
    <w:rsid w:val="00EA2DE2"/>
    <w:rsid w:val="00EB1AE0"/>
    <w:rsid w:val="00ED5B76"/>
    <w:rsid w:val="00ED7008"/>
    <w:rsid w:val="00ED76B2"/>
    <w:rsid w:val="00EF184A"/>
    <w:rsid w:val="00EF2FFD"/>
    <w:rsid w:val="00F0235A"/>
    <w:rsid w:val="00F05272"/>
    <w:rsid w:val="00F05CAB"/>
    <w:rsid w:val="00F0783D"/>
    <w:rsid w:val="00F1221A"/>
    <w:rsid w:val="00F17C62"/>
    <w:rsid w:val="00F365B2"/>
    <w:rsid w:val="00F639A4"/>
    <w:rsid w:val="00F65529"/>
    <w:rsid w:val="00F65903"/>
    <w:rsid w:val="00F72231"/>
    <w:rsid w:val="00F7691A"/>
    <w:rsid w:val="00F820E9"/>
    <w:rsid w:val="00F82EDF"/>
    <w:rsid w:val="00F835E3"/>
    <w:rsid w:val="00F92D04"/>
    <w:rsid w:val="00F9321A"/>
    <w:rsid w:val="00F938EC"/>
    <w:rsid w:val="00FA2278"/>
    <w:rsid w:val="00FB2295"/>
    <w:rsid w:val="00FB2E9E"/>
    <w:rsid w:val="00FB5F14"/>
    <w:rsid w:val="00FC2237"/>
    <w:rsid w:val="00FC6F2E"/>
    <w:rsid w:val="00FD1619"/>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2023-08-15T18:30:00+00:00</Judgment_x0020_Date>
    <Year xmlns="c1afb1bd-f2fb-40fd-9abb-aea55b4d7662">2023</Year>
  </documentManagement>
</p:properties>
</file>

<file path=customXml/itemProps1.xml><?xml version="1.0" encoding="utf-8"?>
<ds:datastoreItem xmlns:ds="http://schemas.openxmlformats.org/officeDocument/2006/customXml" ds:itemID="{D36BE996-05BE-445D-9F51-073514F6DCF1}"/>
</file>

<file path=customXml/itemProps2.xml><?xml version="1.0" encoding="utf-8"?>
<ds:datastoreItem xmlns:ds="http://schemas.openxmlformats.org/officeDocument/2006/customXml" ds:itemID="{1F479E76-B321-4EB6-8AD7-B5E15FAA6256}"/>
</file>

<file path=customXml/itemProps3.xml><?xml version="1.0" encoding="utf-8"?>
<ds:datastoreItem xmlns:ds="http://schemas.openxmlformats.org/officeDocument/2006/customXml" ds:itemID="{B2E030A9-6E51-4766-B70A-6714521F1CD2}"/>
</file>

<file path=customXml/itemProps4.xml><?xml version="1.0" encoding="utf-8"?>
<ds:datastoreItem xmlns:ds="http://schemas.openxmlformats.org/officeDocument/2006/customXml" ds:itemID="{45E9D3E4-6B95-4BB6-8E15-B29867FA3A14}"/>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Cresta Pandu (Pty) Ltd v Anne and Justin Investments CC (HC-MD-CIV-ACT-CON-202205431) [2023] NAHCMD 504 (16 August 2023)</dc:title>
  <dc:subject/>
  <dc:creator>shomany keister</dc:creator>
  <cp:keywords/>
  <dc:description/>
  <cp:lastModifiedBy>Lusia Simon</cp:lastModifiedBy>
  <cp:revision>2</cp:revision>
  <cp:lastPrinted>2023-08-15T06:29:00Z</cp:lastPrinted>
  <dcterms:created xsi:type="dcterms:W3CDTF">2023-08-16T13:36:00Z</dcterms:created>
  <dcterms:modified xsi:type="dcterms:W3CDTF">2023-08-16T13:36:00Z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