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001B7" w14:textId="77777777" w:rsidR="00DC489D" w:rsidRPr="001D6B3F" w:rsidRDefault="00DC489D" w:rsidP="007A6C9F">
      <w:pPr>
        <w:spacing w:after="0" w:line="360" w:lineRule="auto"/>
        <w:jc w:val="center"/>
        <w:rPr>
          <w:b/>
          <w:bCs/>
          <w:lang w:val="en-ZA"/>
        </w:rPr>
      </w:pPr>
      <w:r w:rsidRPr="001D6B3F">
        <w:rPr>
          <w:b/>
          <w:bCs/>
        </w:rPr>
        <w:t>REPUBLIC OF NAMIBIA</w:t>
      </w:r>
    </w:p>
    <w:p w14:paraId="4E3ECB08" w14:textId="77777777" w:rsidR="00DC489D" w:rsidRPr="001D6B3F" w:rsidRDefault="00DC489D" w:rsidP="007A6C9F">
      <w:pPr>
        <w:spacing w:after="0" w:line="360" w:lineRule="auto"/>
        <w:jc w:val="center"/>
        <w:rPr>
          <w:b/>
          <w:bCs/>
          <w:lang w:val="en-ZA"/>
        </w:rPr>
      </w:pPr>
      <w:r w:rsidRPr="001D6B3F">
        <w:rPr>
          <w:b/>
          <w:noProof/>
        </w:rPr>
        <w:drawing>
          <wp:inline distT="0" distB="0" distL="0" distR="0" wp14:anchorId="64C953EA" wp14:editId="1AA5166C">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59FFCDFE" w14:textId="77777777" w:rsidR="00DC489D" w:rsidRPr="001D6B3F" w:rsidRDefault="00DC489D" w:rsidP="007A6C9F">
      <w:pPr>
        <w:spacing w:after="0" w:line="360" w:lineRule="auto"/>
        <w:jc w:val="center"/>
        <w:rPr>
          <w:lang w:val="en-ZA"/>
        </w:rPr>
      </w:pPr>
      <w:r w:rsidRPr="001D6B3F">
        <w:rPr>
          <w:b/>
          <w:bCs/>
        </w:rPr>
        <w:t>HIGH COURT OF NAMIBIA MAIN DIVISION, WINDHOEK</w:t>
      </w:r>
    </w:p>
    <w:p w14:paraId="458E6C2E" w14:textId="77777777" w:rsidR="00DC489D" w:rsidRPr="001D6B3F" w:rsidRDefault="00DC489D" w:rsidP="007A6C9F">
      <w:pPr>
        <w:spacing w:after="0" w:line="360" w:lineRule="auto"/>
        <w:jc w:val="center"/>
        <w:rPr>
          <w:b/>
          <w:bCs/>
          <w:lang w:val="en-ZA"/>
        </w:rPr>
      </w:pPr>
    </w:p>
    <w:p w14:paraId="03D8F190" w14:textId="6C15B100" w:rsidR="009C2E53" w:rsidRPr="00AB5154" w:rsidRDefault="00AB5154" w:rsidP="007A6C9F">
      <w:pPr>
        <w:spacing w:after="0" w:line="360" w:lineRule="auto"/>
        <w:jc w:val="center"/>
        <w:rPr>
          <w:b/>
        </w:rPr>
      </w:pPr>
      <w:r>
        <w:rPr>
          <w:b/>
        </w:rPr>
        <w:t>RULING ON SECURITY OF COSTS</w:t>
      </w:r>
    </w:p>
    <w:p w14:paraId="34B7D46A" w14:textId="77777777" w:rsidR="000519A2" w:rsidRPr="001D6B3F" w:rsidRDefault="000519A2" w:rsidP="007A6C9F">
      <w:pPr>
        <w:spacing w:after="0" w:line="360" w:lineRule="auto"/>
        <w:jc w:val="center"/>
      </w:pPr>
    </w:p>
    <w:p w14:paraId="0B5CBBB4" w14:textId="4BBC3EA3" w:rsidR="000519A2" w:rsidRPr="001D6B3F" w:rsidRDefault="00AB5154" w:rsidP="007A6C9F">
      <w:pPr>
        <w:spacing w:after="0" w:line="360" w:lineRule="auto"/>
        <w:jc w:val="center"/>
        <w:rPr>
          <w:b/>
        </w:rPr>
      </w:pPr>
      <w:r>
        <w:rPr>
          <w:b/>
        </w:rPr>
        <w:t>PRACTICE DIRECTION 61</w:t>
      </w:r>
    </w:p>
    <w:p w14:paraId="7F99B005" w14:textId="77777777" w:rsidR="00DC489D" w:rsidRPr="001D6B3F" w:rsidRDefault="00DC489D" w:rsidP="007A6C9F">
      <w:pPr>
        <w:spacing w:after="0" w:line="360" w:lineRule="auto"/>
        <w:jc w:val="center"/>
      </w:pPr>
    </w:p>
    <w:tbl>
      <w:tblPr>
        <w:tblStyle w:val="TableGrid"/>
        <w:tblW w:w="10476" w:type="dxa"/>
        <w:tblInd w:w="-275" w:type="dxa"/>
        <w:tblLook w:val="04A0" w:firstRow="1" w:lastRow="0" w:firstColumn="1" w:lastColumn="0" w:noHBand="0" w:noVBand="1"/>
      </w:tblPr>
      <w:tblGrid>
        <w:gridCol w:w="4770"/>
        <w:gridCol w:w="1596"/>
        <w:gridCol w:w="4110"/>
      </w:tblGrid>
      <w:tr w:rsidR="001D6B3F" w:rsidRPr="001D6B3F" w14:paraId="641B103E" w14:textId="77777777" w:rsidTr="000517D9">
        <w:trPr>
          <w:trHeight w:val="744"/>
        </w:trPr>
        <w:tc>
          <w:tcPr>
            <w:tcW w:w="6366" w:type="dxa"/>
            <w:gridSpan w:val="2"/>
            <w:vMerge w:val="restart"/>
          </w:tcPr>
          <w:p w14:paraId="4602A288"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Title:</w:t>
            </w:r>
          </w:p>
          <w:p w14:paraId="6E2218D7" w14:textId="78834456" w:rsidR="004F1FD3" w:rsidRPr="005163E0" w:rsidRDefault="009E230A" w:rsidP="007A6C9F">
            <w:pPr>
              <w:pStyle w:val="Body"/>
              <w:keepNext/>
              <w:tabs>
                <w:tab w:val="right" w:pos="9000"/>
              </w:tabs>
              <w:spacing w:line="360" w:lineRule="auto"/>
              <w:jc w:val="both"/>
              <w:outlineLvl w:val="3"/>
              <w:rPr>
                <w:rFonts w:ascii="Arial" w:hAnsi="Arial" w:cs="Arial"/>
                <w:bCs/>
                <w:color w:val="auto"/>
                <w:sz w:val="24"/>
                <w:szCs w:val="24"/>
                <w:lang w:val="en-US"/>
              </w:rPr>
            </w:pPr>
            <w:r>
              <w:rPr>
                <w:rFonts w:ascii="Arial" w:hAnsi="Arial"/>
                <w:bCs/>
                <w:color w:val="auto"/>
                <w:sz w:val="24"/>
                <w:szCs w:val="24"/>
                <w:lang w:val="en-US"/>
              </w:rPr>
              <w:t>KEJ Road Safety Services CC</w:t>
            </w:r>
            <w:r w:rsidR="002031DC">
              <w:rPr>
                <w:rFonts w:ascii="Arial" w:hAnsi="Arial"/>
                <w:bCs/>
                <w:color w:val="auto"/>
                <w:sz w:val="24"/>
                <w:szCs w:val="24"/>
                <w:lang w:val="en-US"/>
              </w:rPr>
              <w:t xml:space="preserve">                    </w:t>
            </w:r>
            <w:r w:rsidR="00AB5154">
              <w:rPr>
                <w:rFonts w:ascii="Arial" w:hAnsi="Arial"/>
                <w:bCs/>
                <w:color w:val="auto"/>
                <w:sz w:val="24"/>
                <w:szCs w:val="24"/>
                <w:lang w:val="en-US"/>
              </w:rPr>
              <w:t xml:space="preserve">            </w:t>
            </w:r>
            <w:r w:rsidR="002031DC">
              <w:rPr>
                <w:rFonts w:ascii="Arial" w:hAnsi="Arial" w:cs="Arial"/>
                <w:bCs/>
                <w:color w:val="auto"/>
                <w:sz w:val="24"/>
                <w:szCs w:val="24"/>
                <w:lang w:val="en-US"/>
              </w:rPr>
              <w:t>Plaintiff</w:t>
            </w:r>
            <w:r w:rsidR="000519A2" w:rsidRPr="001D6B3F">
              <w:rPr>
                <w:rFonts w:ascii="Arial" w:hAnsi="Arial" w:cs="Arial"/>
                <w:bCs/>
                <w:color w:val="auto"/>
                <w:sz w:val="24"/>
                <w:szCs w:val="24"/>
                <w:lang w:val="en-US"/>
              </w:rPr>
              <w:t xml:space="preserve">                              </w:t>
            </w:r>
          </w:p>
          <w:p w14:paraId="12D4A0E6" w14:textId="77777777" w:rsidR="00AB5154" w:rsidRDefault="00AB5154" w:rsidP="007A6C9F">
            <w:pPr>
              <w:pStyle w:val="Body"/>
              <w:keepNext/>
              <w:tabs>
                <w:tab w:val="right" w:pos="9000"/>
              </w:tabs>
              <w:spacing w:line="360" w:lineRule="auto"/>
              <w:jc w:val="both"/>
              <w:outlineLvl w:val="3"/>
              <w:rPr>
                <w:rFonts w:ascii="Arial" w:hAnsi="Arial" w:cs="Arial"/>
                <w:bCs/>
                <w:color w:val="auto"/>
                <w:sz w:val="24"/>
                <w:szCs w:val="24"/>
                <w:lang w:val="en-US"/>
              </w:rPr>
            </w:pPr>
          </w:p>
          <w:p w14:paraId="2D1FDD5A" w14:textId="77777777" w:rsidR="004F1FD3" w:rsidRPr="001D6B3F" w:rsidRDefault="006F59B4" w:rsidP="007A6C9F">
            <w:pPr>
              <w:pStyle w:val="Body"/>
              <w:keepNext/>
              <w:tabs>
                <w:tab w:val="right" w:pos="9000"/>
              </w:tabs>
              <w:spacing w:line="360" w:lineRule="auto"/>
              <w:jc w:val="both"/>
              <w:outlineLvl w:val="3"/>
              <w:rPr>
                <w:rFonts w:ascii="Arial" w:hAnsi="Arial" w:cs="Arial"/>
                <w:bCs/>
                <w:color w:val="auto"/>
                <w:sz w:val="24"/>
                <w:szCs w:val="24"/>
                <w:lang w:val="en-US"/>
              </w:rPr>
            </w:pPr>
            <w:r w:rsidRPr="001D6B3F">
              <w:rPr>
                <w:rFonts w:ascii="Arial" w:hAnsi="Arial" w:cs="Arial"/>
                <w:bCs/>
                <w:color w:val="auto"/>
                <w:sz w:val="24"/>
                <w:szCs w:val="24"/>
                <w:lang w:val="en-US"/>
              </w:rPr>
              <w:t>and</w:t>
            </w:r>
          </w:p>
          <w:p w14:paraId="022D5E37" w14:textId="77777777" w:rsidR="00AB5154" w:rsidRDefault="00AB5154" w:rsidP="007A6C9F">
            <w:pPr>
              <w:pStyle w:val="Body"/>
              <w:keepNext/>
              <w:tabs>
                <w:tab w:val="right" w:pos="9000"/>
              </w:tabs>
              <w:spacing w:line="360" w:lineRule="auto"/>
              <w:jc w:val="both"/>
              <w:outlineLvl w:val="3"/>
              <w:rPr>
                <w:rFonts w:ascii="Arial" w:hAnsi="Arial"/>
                <w:bCs/>
                <w:color w:val="auto"/>
                <w:sz w:val="24"/>
                <w:szCs w:val="24"/>
                <w:lang w:val="en-US"/>
              </w:rPr>
            </w:pPr>
          </w:p>
          <w:p w14:paraId="7651C42F" w14:textId="579A994B" w:rsidR="007B3B1A" w:rsidRDefault="009E230A" w:rsidP="007A6C9F">
            <w:pPr>
              <w:pStyle w:val="Body"/>
              <w:keepNext/>
              <w:tabs>
                <w:tab w:val="right" w:pos="9000"/>
              </w:tabs>
              <w:spacing w:line="360" w:lineRule="auto"/>
              <w:jc w:val="both"/>
              <w:outlineLvl w:val="3"/>
              <w:rPr>
                <w:rFonts w:ascii="Arial" w:hAnsi="Arial" w:cs="Arial"/>
                <w:bCs/>
                <w:color w:val="auto"/>
                <w:sz w:val="24"/>
                <w:szCs w:val="24"/>
                <w:lang w:val="en-US"/>
              </w:rPr>
            </w:pPr>
            <w:r>
              <w:rPr>
                <w:rFonts w:ascii="Arial" w:hAnsi="Arial"/>
                <w:bCs/>
                <w:color w:val="auto"/>
                <w:sz w:val="24"/>
                <w:szCs w:val="24"/>
                <w:lang w:val="en-US"/>
              </w:rPr>
              <w:t>Roads Authority of Na</w:t>
            </w:r>
            <w:r w:rsidR="000559BB">
              <w:rPr>
                <w:rFonts w:ascii="Arial" w:hAnsi="Arial"/>
                <w:bCs/>
                <w:color w:val="auto"/>
                <w:sz w:val="24"/>
                <w:szCs w:val="24"/>
                <w:lang w:val="en-US"/>
              </w:rPr>
              <w:t>mibia</w:t>
            </w:r>
            <w:r w:rsidR="00AB5154">
              <w:rPr>
                <w:rFonts w:ascii="Arial" w:hAnsi="Arial"/>
                <w:bCs/>
                <w:color w:val="auto"/>
                <w:sz w:val="24"/>
                <w:szCs w:val="24"/>
                <w:lang w:val="en-US"/>
              </w:rPr>
              <w:t xml:space="preserve">                      </w:t>
            </w:r>
            <w:r w:rsidR="000559BB">
              <w:rPr>
                <w:rFonts w:ascii="Arial" w:hAnsi="Arial"/>
                <w:bCs/>
                <w:color w:val="auto"/>
                <w:sz w:val="24"/>
                <w:szCs w:val="24"/>
                <w:lang w:val="en-US"/>
              </w:rPr>
              <w:t xml:space="preserve"> </w:t>
            </w:r>
            <w:r w:rsidR="00AB5154">
              <w:rPr>
                <w:rFonts w:ascii="Arial" w:hAnsi="Arial"/>
                <w:bCs/>
                <w:color w:val="auto"/>
                <w:sz w:val="24"/>
                <w:szCs w:val="24"/>
                <w:lang w:val="en-US"/>
              </w:rPr>
              <w:t xml:space="preserve">First </w:t>
            </w:r>
            <w:r w:rsidR="000517D9">
              <w:rPr>
                <w:rFonts w:ascii="Arial" w:hAnsi="Arial" w:cs="Arial"/>
                <w:bCs/>
                <w:color w:val="auto"/>
                <w:sz w:val="24"/>
                <w:szCs w:val="24"/>
                <w:lang w:val="en-US"/>
              </w:rPr>
              <w:t>Defendant</w:t>
            </w:r>
          </w:p>
          <w:p w14:paraId="3A7B993E" w14:textId="5A06F2B9" w:rsidR="005163E0" w:rsidRPr="001D6B3F" w:rsidRDefault="009E230A" w:rsidP="000559BB">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Road Fund Admin</w:t>
            </w:r>
            <w:r w:rsidR="00AB5154">
              <w:rPr>
                <w:rFonts w:ascii="Arial" w:hAnsi="Arial"/>
                <w:bCs/>
                <w:color w:val="auto"/>
                <w:sz w:val="24"/>
                <w:szCs w:val="24"/>
                <w:lang w:val="en-US"/>
              </w:rPr>
              <w:t xml:space="preserve">istration                   </w:t>
            </w:r>
            <w:r w:rsidR="000559BB">
              <w:rPr>
                <w:rFonts w:ascii="Arial" w:hAnsi="Arial"/>
                <w:bCs/>
                <w:color w:val="auto"/>
                <w:sz w:val="24"/>
                <w:szCs w:val="24"/>
                <w:lang w:val="en-US"/>
              </w:rPr>
              <w:t xml:space="preserve"> </w:t>
            </w:r>
            <w:r w:rsidR="00AB5154">
              <w:rPr>
                <w:rFonts w:ascii="Arial" w:hAnsi="Arial"/>
                <w:bCs/>
                <w:color w:val="auto"/>
                <w:sz w:val="24"/>
                <w:szCs w:val="24"/>
                <w:lang w:val="en-US"/>
              </w:rPr>
              <w:t xml:space="preserve">Second </w:t>
            </w:r>
            <w:r w:rsidR="00D5791B">
              <w:rPr>
                <w:rFonts w:ascii="Arial" w:hAnsi="Arial"/>
                <w:bCs/>
                <w:color w:val="auto"/>
                <w:sz w:val="24"/>
                <w:szCs w:val="24"/>
                <w:lang w:val="en-US"/>
              </w:rPr>
              <w:t>Defendant</w:t>
            </w:r>
          </w:p>
        </w:tc>
        <w:tc>
          <w:tcPr>
            <w:tcW w:w="4110" w:type="dxa"/>
          </w:tcPr>
          <w:p w14:paraId="32B2A74E"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No:</w:t>
            </w:r>
          </w:p>
          <w:p w14:paraId="0AC935A1" w14:textId="2B69B877" w:rsidR="009C2E53" w:rsidRPr="001D6B3F" w:rsidRDefault="000519A2" w:rsidP="007A6C9F">
            <w:pPr>
              <w:spacing w:line="360" w:lineRule="auto"/>
              <w:jc w:val="both"/>
              <w:rPr>
                <w:rFonts w:ascii="Arial" w:hAnsi="Arial" w:cs="Arial"/>
                <w:b/>
                <w:sz w:val="24"/>
                <w:szCs w:val="24"/>
              </w:rPr>
            </w:pPr>
            <w:r w:rsidRPr="001D6B3F">
              <w:rPr>
                <w:rFonts w:ascii="Arial" w:eastAsia="Arial" w:hAnsi="Arial" w:cs="Arial"/>
                <w:sz w:val="24"/>
                <w:szCs w:val="24"/>
                <w:lang w:val="en-US"/>
              </w:rPr>
              <w:t>HC-MD-CIV-</w:t>
            </w:r>
            <w:r w:rsidR="000517D9">
              <w:rPr>
                <w:rFonts w:ascii="Arial" w:eastAsia="Arial" w:hAnsi="Arial" w:cs="Arial"/>
                <w:sz w:val="24"/>
                <w:szCs w:val="24"/>
                <w:lang w:val="en-US"/>
              </w:rPr>
              <w:t>ACT</w:t>
            </w:r>
            <w:r w:rsidRPr="001D6B3F">
              <w:rPr>
                <w:rFonts w:ascii="Arial" w:eastAsia="Arial" w:hAnsi="Arial" w:cs="Arial"/>
                <w:sz w:val="24"/>
                <w:szCs w:val="24"/>
                <w:lang w:val="en-US"/>
              </w:rPr>
              <w:t>-</w:t>
            </w:r>
            <w:r w:rsidR="002031DC">
              <w:rPr>
                <w:rFonts w:ascii="Arial" w:eastAsia="Arial" w:hAnsi="Arial" w:cs="Arial"/>
                <w:sz w:val="24"/>
                <w:szCs w:val="24"/>
                <w:lang w:val="en-US"/>
              </w:rPr>
              <w:t>CON</w:t>
            </w:r>
            <w:r w:rsidRPr="001D6B3F">
              <w:rPr>
                <w:rFonts w:ascii="Arial" w:eastAsia="Arial" w:hAnsi="Arial" w:cs="Arial"/>
                <w:sz w:val="24"/>
                <w:szCs w:val="24"/>
                <w:lang w:val="en-US"/>
              </w:rPr>
              <w:t>-20</w:t>
            </w:r>
            <w:r w:rsidR="00DA6297">
              <w:rPr>
                <w:rFonts w:ascii="Arial" w:eastAsia="Arial" w:hAnsi="Arial" w:cs="Arial"/>
                <w:sz w:val="24"/>
                <w:szCs w:val="24"/>
                <w:lang w:val="en-US"/>
              </w:rPr>
              <w:t>2</w:t>
            </w:r>
            <w:r w:rsidR="002031DC">
              <w:rPr>
                <w:rFonts w:ascii="Arial" w:eastAsia="Arial" w:hAnsi="Arial" w:cs="Arial"/>
                <w:sz w:val="24"/>
                <w:szCs w:val="24"/>
                <w:lang w:val="en-US"/>
              </w:rPr>
              <w:t>2</w:t>
            </w:r>
            <w:r w:rsidRPr="001D6B3F">
              <w:rPr>
                <w:rFonts w:ascii="Arial" w:eastAsia="Arial" w:hAnsi="Arial" w:cs="Arial"/>
                <w:sz w:val="24"/>
                <w:szCs w:val="24"/>
                <w:lang w:val="en-US"/>
              </w:rPr>
              <w:t>/0</w:t>
            </w:r>
            <w:r w:rsidR="009E230A">
              <w:rPr>
                <w:rFonts w:ascii="Arial" w:eastAsia="Arial" w:hAnsi="Arial" w:cs="Arial"/>
                <w:sz w:val="24"/>
                <w:szCs w:val="24"/>
                <w:lang w:val="en-US"/>
              </w:rPr>
              <w:t>0028</w:t>
            </w:r>
          </w:p>
        </w:tc>
      </w:tr>
      <w:tr w:rsidR="001D6B3F" w:rsidRPr="001D6B3F" w14:paraId="60B08CD8" w14:textId="77777777" w:rsidTr="000517D9">
        <w:trPr>
          <w:trHeight w:val="794"/>
        </w:trPr>
        <w:tc>
          <w:tcPr>
            <w:tcW w:w="6366" w:type="dxa"/>
            <w:gridSpan w:val="2"/>
            <w:vMerge/>
          </w:tcPr>
          <w:p w14:paraId="7D4B018C" w14:textId="77777777" w:rsidR="009C2E53" w:rsidRPr="001D6B3F" w:rsidRDefault="009C2E53" w:rsidP="007A6C9F">
            <w:pPr>
              <w:spacing w:line="360" w:lineRule="auto"/>
              <w:jc w:val="both"/>
              <w:rPr>
                <w:rFonts w:ascii="Arial" w:hAnsi="Arial" w:cs="Arial"/>
                <w:sz w:val="24"/>
                <w:szCs w:val="24"/>
              </w:rPr>
            </w:pPr>
          </w:p>
        </w:tc>
        <w:tc>
          <w:tcPr>
            <w:tcW w:w="4110" w:type="dxa"/>
          </w:tcPr>
          <w:p w14:paraId="41874EB2"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Division of Court:</w:t>
            </w:r>
          </w:p>
          <w:p w14:paraId="7EE2DFCC" w14:textId="77777777" w:rsidR="009C2E53" w:rsidRPr="001D6B3F" w:rsidRDefault="005C2B5B" w:rsidP="007A6C9F">
            <w:pPr>
              <w:spacing w:line="360" w:lineRule="auto"/>
              <w:jc w:val="both"/>
              <w:rPr>
                <w:rFonts w:ascii="Arial" w:hAnsi="Arial" w:cs="Arial"/>
                <w:sz w:val="24"/>
                <w:szCs w:val="24"/>
              </w:rPr>
            </w:pPr>
            <w:r w:rsidRPr="001D6B3F">
              <w:rPr>
                <w:rFonts w:ascii="Arial" w:hAnsi="Arial" w:cs="Arial"/>
                <w:sz w:val="24"/>
                <w:szCs w:val="24"/>
              </w:rPr>
              <w:t>High Court, Main Division</w:t>
            </w:r>
          </w:p>
        </w:tc>
      </w:tr>
      <w:tr w:rsidR="001D6B3F" w:rsidRPr="001D6B3F" w14:paraId="4F87EA28" w14:textId="77777777" w:rsidTr="000517D9">
        <w:trPr>
          <w:trHeight w:val="645"/>
        </w:trPr>
        <w:tc>
          <w:tcPr>
            <w:tcW w:w="6366" w:type="dxa"/>
            <w:gridSpan w:val="2"/>
            <w:vMerge w:val="restart"/>
          </w:tcPr>
          <w:p w14:paraId="70181E7F" w14:textId="77777777" w:rsidR="009C2E53" w:rsidRPr="001D6B3F" w:rsidRDefault="005C2B5B" w:rsidP="007A6C9F">
            <w:pPr>
              <w:spacing w:line="360" w:lineRule="auto"/>
              <w:jc w:val="both"/>
              <w:rPr>
                <w:rFonts w:ascii="Arial" w:hAnsi="Arial" w:cs="Arial"/>
                <w:b/>
                <w:sz w:val="24"/>
                <w:szCs w:val="24"/>
              </w:rPr>
            </w:pPr>
            <w:r w:rsidRPr="001D6B3F">
              <w:rPr>
                <w:rFonts w:ascii="Arial" w:hAnsi="Arial" w:cs="Arial"/>
                <w:b/>
                <w:sz w:val="24"/>
                <w:szCs w:val="24"/>
              </w:rPr>
              <w:t>Coram</w:t>
            </w:r>
            <w:r w:rsidR="009C2E53" w:rsidRPr="001D6B3F">
              <w:rPr>
                <w:rFonts w:ascii="Arial" w:hAnsi="Arial" w:cs="Arial"/>
                <w:b/>
                <w:sz w:val="24"/>
                <w:szCs w:val="24"/>
              </w:rPr>
              <w:t>:</w:t>
            </w:r>
          </w:p>
          <w:p w14:paraId="6856DAC8" w14:textId="3B550A15" w:rsidR="009C2E53" w:rsidRPr="001D6B3F" w:rsidRDefault="00AB5154" w:rsidP="007A6C9F">
            <w:pPr>
              <w:spacing w:line="360" w:lineRule="auto"/>
              <w:jc w:val="both"/>
              <w:rPr>
                <w:rFonts w:ascii="Arial" w:hAnsi="Arial" w:cs="Arial"/>
                <w:sz w:val="24"/>
                <w:szCs w:val="24"/>
              </w:rPr>
            </w:pPr>
            <w:proofErr w:type="spellStart"/>
            <w:r>
              <w:rPr>
                <w:rFonts w:ascii="Arial" w:hAnsi="Arial" w:cs="Arial"/>
                <w:sz w:val="24"/>
                <w:szCs w:val="24"/>
                <w:lang w:val="en-US"/>
              </w:rPr>
              <w:t>Honourable</w:t>
            </w:r>
            <w:proofErr w:type="spellEnd"/>
            <w:r>
              <w:rPr>
                <w:rFonts w:ascii="Arial" w:hAnsi="Arial" w:cs="Arial"/>
                <w:sz w:val="24"/>
                <w:szCs w:val="24"/>
                <w:lang w:val="en-US"/>
              </w:rPr>
              <w:t xml:space="preserve"> Justice Coleman</w:t>
            </w:r>
          </w:p>
        </w:tc>
        <w:tc>
          <w:tcPr>
            <w:tcW w:w="4110" w:type="dxa"/>
          </w:tcPr>
          <w:p w14:paraId="6714132E" w14:textId="77777777" w:rsidR="009C2E53" w:rsidRPr="001D6B3F" w:rsidRDefault="00827401" w:rsidP="007A6C9F">
            <w:pPr>
              <w:spacing w:line="360" w:lineRule="auto"/>
              <w:jc w:val="both"/>
              <w:rPr>
                <w:rFonts w:ascii="Arial" w:hAnsi="Arial" w:cs="Arial"/>
                <w:b/>
                <w:sz w:val="24"/>
                <w:szCs w:val="24"/>
              </w:rPr>
            </w:pPr>
            <w:r w:rsidRPr="001D6B3F">
              <w:rPr>
                <w:rFonts w:ascii="Arial" w:hAnsi="Arial" w:cs="Arial"/>
                <w:b/>
                <w:sz w:val="24"/>
                <w:szCs w:val="24"/>
              </w:rPr>
              <w:t>Heard</w:t>
            </w:r>
            <w:r w:rsidR="009C2E53" w:rsidRPr="001D6B3F">
              <w:rPr>
                <w:rFonts w:ascii="Arial" w:hAnsi="Arial" w:cs="Arial"/>
                <w:b/>
                <w:sz w:val="24"/>
                <w:szCs w:val="24"/>
              </w:rPr>
              <w:t>:</w:t>
            </w:r>
          </w:p>
          <w:p w14:paraId="0830B477" w14:textId="3DD796AB" w:rsidR="009C2E53" w:rsidRPr="001D6B3F" w:rsidRDefault="009E230A" w:rsidP="007A6C9F">
            <w:pPr>
              <w:spacing w:line="360" w:lineRule="auto"/>
              <w:rPr>
                <w:rFonts w:ascii="Arial" w:hAnsi="Arial" w:cs="Arial"/>
                <w:sz w:val="24"/>
                <w:szCs w:val="24"/>
              </w:rPr>
            </w:pPr>
            <w:r>
              <w:rPr>
                <w:rFonts w:ascii="Arial" w:hAnsi="Arial"/>
                <w:bCs/>
                <w:sz w:val="24"/>
                <w:szCs w:val="24"/>
                <w:lang w:val="en-US"/>
              </w:rPr>
              <w:t>4 August.</w:t>
            </w:r>
            <w:r w:rsidR="000519A2" w:rsidRPr="001D6B3F">
              <w:rPr>
                <w:rFonts w:ascii="Arial" w:hAnsi="Arial"/>
                <w:bCs/>
                <w:sz w:val="24"/>
                <w:szCs w:val="24"/>
                <w:lang w:val="en-US"/>
              </w:rPr>
              <w:t xml:space="preserve"> </w:t>
            </w:r>
            <w:r w:rsidR="00827401" w:rsidRPr="001D6B3F">
              <w:rPr>
                <w:rFonts w:ascii="Arial" w:hAnsi="Arial"/>
                <w:bCs/>
                <w:sz w:val="24"/>
                <w:szCs w:val="24"/>
                <w:lang w:val="en-US"/>
              </w:rPr>
              <w:t>202</w:t>
            </w:r>
            <w:r w:rsidR="00554726">
              <w:rPr>
                <w:rFonts w:ascii="Arial" w:hAnsi="Arial"/>
                <w:bCs/>
                <w:sz w:val="24"/>
                <w:szCs w:val="24"/>
                <w:lang w:val="en-US"/>
              </w:rPr>
              <w:t>3</w:t>
            </w:r>
          </w:p>
        </w:tc>
      </w:tr>
      <w:tr w:rsidR="001D6B3F" w:rsidRPr="001D6B3F" w14:paraId="3DB3B0AC" w14:textId="77777777" w:rsidTr="000517D9">
        <w:trPr>
          <w:trHeight w:val="588"/>
        </w:trPr>
        <w:tc>
          <w:tcPr>
            <w:tcW w:w="6366" w:type="dxa"/>
            <w:gridSpan w:val="2"/>
            <w:vMerge/>
          </w:tcPr>
          <w:p w14:paraId="2C2EF1D3" w14:textId="77777777" w:rsidR="009C2E53" w:rsidRPr="001D6B3F" w:rsidRDefault="009C2E53" w:rsidP="007A6C9F">
            <w:pPr>
              <w:spacing w:line="360" w:lineRule="auto"/>
              <w:jc w:val="both"/>
              <w:rPr>
                <w:rFonts w:ascii="Arial" w:hAnsi="Arial" w:cs="Arial"/>
                <w:b/>
                <w:sz w:val="24"/>
                <w:szCs w:val="24"/>
              </w:rPr>
            </w:pPr>
          </w:p>
        </w:tc>
        <w:tc>
          <w:tcPr>
            <w:tcW w:w="4110" w:type="dxa"/>
          </w:tcPr>
          <w:p w14:paraId="1FFFF7B5" w14:textId="74E90AB1" w:rsidR="00EF5666" w:rsidRPr="001D6B3F" w:rsidRDefault="000559BB" w:rsidP="007A6C9F">
            <w:pPr>
              <w:spacing w:line="360" w:lineRule="auto"/>
              <w:jc w:val="both"/>
              <w:rPr>
                <w:rFonts w:ascii="Arial" w:hAnsi="Arial" w:cs="Arial"/>
                <w:b/>
                <w:sz w:val="24"/>
                <w:szCs w:val="24"/>
              </w:rPr>
            </w:pPr>
            <w:r>
              <w:rPr>
                <w:rFonts w:ascii="Arial" w:hAnsi="Arial" w:cs="Arial"/>
                <w:b/>
                <w:sz w:val="24"/>
                <w:szCs w:val="24"/>
              </w:rPr>
              <w:t>Delivered</w:t>
            </w:r>
            <w:r w:rsidR="006A3ED5" w:rsidRPr="001D6B3F">
              <w:rPr>
                <w:rFonts w:ascii="Arial" w:hAnsi="Arial" w:cs="Arial"/>
                <w:b/>
                <w:sz w:val="24"/>
                <w:szCs w:val="24"/>
              </w:rPr>
              <w:t>:</w:t>
            </w:r>
          </w:p>
          <w:p w14:paraId="0A7821C1" w14:textId="4E3BC006" w:rsidR="00CC0F00" w:rsidRPr="001D6B3F" w:rsidRDefault="00DA6297" w:rsidP="007A6C9F">
            <w:pPr>
              <w:spacing w:line="360" w:lineRule="auto"/>
              <w:jc w:val="both"/>
              <w:rPr>
                <w:rFonts w:ascii="Arial" w:hAnsi="Arial"/>
                <w:bCs/>
                <w:sz w:val="24"/>
                <w:szCs w:val="24"/>
                <w:lang w:val="en-US"/>
              </w:rPr>
            </w:pPr>
            <w:r>
              <w:rPr>
                <w:rFonts w:ascii="Arial" w:hAnsi="Arial"/>
                <w:bCs/>
                <w:sz w:val="24"/>
                <w:szCs w:val="24"/>
                <w:lang w:val="en-US"/>
              </w:rPr>
              <w:t>1</w:t>
            </w:r>
            <w:r w:rsidR="009E230A">
              <w:rPr>
                <w:rFonts w:ascii="Arial" w:hAnsi="Arial"/>
                <w:bCs/>
                <w:sz w:val="24"/>
                <w:szCs w:val="24"/>
                <w:lang w:val="en-US"/>
              </w:rPr>
              <w:t>7</w:t>
            </w:r>
            <w:r w:rsidR="00554726">
              <w:rPr>
                <w:rFonts w:ascii="Arial" w:hAnsi="Arial"/>
                <w:bCs/>
                <w:sz w:val="24"/>
                <w:szCs w:val="24"/>
                <w:lang w:val="en-US"/>
              </w:rPr>
              <w:t xml:space="preserve"> </w:t>
            </w:r>
            <w:r>
              <w:rPr>
                <w:rFonts w:ascii="Arial" w:hAnsi="Arial"/>
                <w:bCs/>
                <w:sz w:val="24"/>
                <w:szCs w:val="24"/>
                <w:lang w:val="en-US"/>
              </w:rPr>
              <w:t>August</w:t>
            </w:r>
            <w:r w:rsidR="005163E0">
              <w:rPr>
                <w:rFonts w:ascii="Arial" w:hAnsi="Arial"/>
                <w:bCs/>
                <w:sz w:val="24"/>
                <w:szCs w:val="24"/>
                <w:lang w:val="en-US"/>
              </w:rPr>
              <w:t xml:space="preserve"> 202</w:t>
            </w:r>
            <w:r w:rsidR="000517D9">
              <w:rPr>
                <w:rFonts w:ascii="Arial" w:hAnsi="Arial"/>
                <w:bCs/>
                <w:sz w:val="24"/>
                <w:szCs w:val="24"/>
                <w:lang w:val="en-US"/>
              </w:rPr>
              <w:t>3</w:t>
            </w:r>
          </w:p>
        </w:tc>
      </w:tr>
      <w:tr w:rsidR="001D6B3F" w:rsidRPr="001D6B3F" w14:paraId="1BD5D522" w14:textId="77777777" w:rsidTr="00004108">
        <w:trPr>
          <w:trHeight w:val="710"/>
        </w:trPr>
        <w:tc>
          <w:tcPr>
            <w:tcW w:w="10476" w:type="dxa"/>
            <w:gridSpan w:val="3"/>
          </w:tcPr>
          <w:p w14:paraId="318D7BDF" w14:textId="2FC920D5" w:rsidR="009C2E53" w:rsidRPr="00AB5154" w:rsidRDefault="00AB5154" w:rsidP="00565AF6">
            <w:pPr>
              <w:spacing w:line="360" w:lineRule="auto"/>
              <w:ind w:left="2160" w:hanging="2160"/>
              <w:jc w:val="both"/>
            </w:pPr>
            <w:r w:rsidRPr="001D6B3F">
              <w:rPr>
                <w:rFonts w:ascii="Arial" w:hAnsi="Arial" w:cs="Arial"/>
                <w:b/>
                <w:sz w:val="24"/>
                <w:szCs w:val="24"/>
              </w:rPr>
              <w:t>Neutral citation:</w:t>
            </w:r>
            <w:r>
              <w:rPr>
                <w:rFonts w:ascii="Arial" w:hAnsi="Arial" w:cs="Arial"/>
                <w:b/>
                <w:sz w:val="24"/>
                <w:szCs w:val="24"/>
              </w:rPr>
              <w:tab/>
            </w:r>
            <w:r>
              <w:rPr>
                <w:rFonts w:ascii="Arial" w:hAnsi="Arial"/>
                <w:bCs/>
                <w:i/>
                <w:iCs/>
                <w:sz w:val="24"/>
                <w:szCs w:val="24"/>
                <w:lang w:val="en-US"/>
              </w:rPr>
              <w:t xml:space="preserve">KEJ Road Safety Services CC </w:t>
            </w:r>
            <w:r w:rsidRPr="001D6B3F">
              <w:rPr>
                <w:rFonts w:ascii="Arial" w:hAnsi="Arial"/>
                <w:bCs/>
                <w:i/>
                <w:iCs/>
                <w:sz w:val="24"/>
                <w:szCs w:val="24"/>
                <w:lang w:val="en-US"/>
              </w:rPr>
              <w:t xml:space="preserve">v </w:t>
            </w:r>
            <w:r>
              <w:rPr>
                <w:rFonts w:ascii="Arial" w:hAnsi="Arial"/>
                <w:bCs/>
                <w:i/>
                <w:iCs/>
                <w:sz w:val="24"/>
                <w:szCs w:val="24"/>
                <w:lang w:val="en-US"/>
              </w:rPr>
              <w:t xml:space="preserve">Roads Authority of Namibia </w:t>
            </w:r>
            <w:r>
              <w:rPr>
                <w:rFonts w:ascii="Arial" w:hAnsi="Arial"/>
                <w:bCs/>
                <w:iCs/>
                <w:sz w:val="24"/>
                <w:szCs w:val="24"/>
                <w:lang w:val="en-US"/>
              </w:rPr>
              <w:t>(</w:t>
            </w:r>
            <w:r w:rsidRPr="001D6B3F">
              <w:rPr>
                <w:rFonts w:ascii="Arial" w:eastAsia="Arial" w:hAnsi="Arial" w:cs="Arial"/>
                <w:sz w:val="24"/>
                <w:szCs w:val="24"/>
                <w:lang w:val="en-US"/>
              </w:rPr>
              <w:t>HC-MD-CIV-</w:t>
            </w:r>
            <w:r>
              <w:rPr>
                <w:rFonts w:ascii="Arial" w:eastAsia="Arial" w:hAnsi="Arial" w:cs="Arial"/>
                <w:sz w:val="24"/>
                <w:szCs w:val="24"/>
                <w:lang w:val="en-US"/>
              </w:rPr>
              <w:t>ACT</w:t>
            </w:r>
            <w:r w:rsidRPr="001D6B3F">
              <w:rPr>
                <w:rFonts w:ascii="Arial" w:eastAsia="Arial" w:hAnsi="Arial" w:cs="Arial"/>
                <w:sz w:val="24"/>
                <w:szCs w:val="24"/>
                <w:lang w:val="en-US"/>
              </w:rPr>
              <w:t>-</w:t>
            </w:r>
            <w:r>
              <w:rPr>
                <w:rFonts w:ascii="Arial" w:eastAsia="Arial" w:hAnsi="Arial" w:cs="Arial"/>
                <w:sz w:val="24"/>
                <w:szCs w:val="24"/>
                <w:lang w:val="en-US"/>
              </w:rPr>
              <w:t>CON</w:t>
            </w:r>
            <w:r w:rsidRPr="001D6B3F">
              <w:rPr>
                <w:rFonts w:ascii="Arial" w:eastAsia="Arial" w:hAnsi="Arial" w:cs="Arial"/>
                <w:sz w:val="24"/>
                <w:szCs w:val="24"/>
                <w:lang w:val="en-US"/>
              </w:rPr>
              <w:t>-20</w:t>
            </w:r>
            <w:r>
              <w:rPr>
                <w:rFonts w:ascii="Arial" w:eastAsia="Arial" w:hAnsi="Arial" w:cs="Arial"/>
                <w:sz w:val="24"/>
                <w:szCs w:val="24"/>
                <w:lang w:val="en-US"/>
              </w:rPr>
              <w:t>22</w:t>
            </w:r>
            <w:r w:rsidRPr="001D6B3F">
              <w:rPr>
                <w:rFonts w:ascii="Arial" w:eastAsia="Arial" w:hAnsi="Arial" w:cs="Arial"/>
                <w:sz w:val="24"/>
                <w:szCs w:val="24"/>
                <w:lang w:val="en-US"/>
              </w:rPr>
              <w:t>/0</w:t>
            </w:r>
            <w:r>
              <w:rPr>
                <w:rFonts w:ascii="Arial" w:eastAsia="Arial" w:hAnsi="Arial" w:cs="Arial"/>
                <w:sz w:val="24"/>
                <w:szCs w:val="24"/>
                <w:lang w:val="en-US"/>
              </w:rPr>
              <w:t xml:space="preserve">0028) </w:t>
            </w:r>
            <w:r w:rsidRPr="001D6B3F">
              <w:rPr>
                <w:rFonts w:ascii="Arial" w:hAnsi="Arial"/>
                <w:bCs/>
                <w:iCs/>
                <w:sz w:val="24"/>
                <w:szCs w:val="24"/>
                <w:lang w:val="en-US"/>
              </w:rPr>
              <w:t>[202</w:t>
            </w:r>
            <w:r>
              <w:rPr>
                <w:rFonts w:ascii="Arial" w:hAnsi="Arial"/>
                <w:bCs/>
                <w:iCs/>
                <w:sz w:val="24"/>
                <w:szCs w:val="24"/>
                <w:lang w:val="en-US"/>
              </w:rPr>
              <w:t>3</w:t>
            </w:r>
            <w:r w:rsidRPr="001D6B3F">
              <w:rPr>
                <w:rFonts w:ascii="Arial" w:hAnsi="Arial"/>
                <w:bCs/>
                <w:iCs/>
                <w:sz w:val="24"/>
                <w:szCs w:val="24"/>
                <w:lang w:val="en-US"/>
              </w:rPr>
              <w:t xml:space="preserve">] NAHCMD </w:t>
            </w:r>
            <w:r w:rsidR="00565AF6">
              <w:rPr>
                <w:rFonts w:ascii="Arial" w:hAnsi="Arial"/>
                <w:bCs/>
                <w:iCs/>
                <w:sz w:val="24"/>
                <w:szCs w:val="24"/>
                <w:lang w:val="en-US"/>
              </w:rPr>
              <w:t>506</w:t>
            </w:r>
            <w:r w:rsidRPr="001D6B3F">
              <w:rPr>
                <w:rFonts w:ascii="Arial" w:hAnsi="Arial"/>
                <w:bCs/>
                <w:iCs/>
                <w:sz w:val="24"/>
                <w:szCs w:val="24"/>
                <w:lang w:val="en-US"/>
              </w:rPr>
              <w:t xml:space="preserve"> (</w:t>
            </w:r>
            <w:r>
              <w:rPr>
                <w:rFonts w:ascii="Arial" w:hAnsi="Arial"/>
                <w:bCs/>
                <w:iCs/>
                <w:sz w:val="24"/>
                <w:szCs w:val="24"/>
                <w:lang w:val="en-US"/>
              </w:rPr>
              <w:t xml:space="preserve">17 August </w:t>
            </w:r>
            <w:r w:rsidRPr="001D6B3F">
              <w:rPr>
                <w:rFonts w:ascii="Arial" w:hAnsi="Arial"/>
                <w:bCs/>
                <w:iCs/>
                <w:sz w:val="24"/>
                <w:szCs w:val="24"/>
                <w:lang w:val="en-US"/>
              </w:rPr>
              <w:t>202</w:t>
            </w:r>
            <w:r>
              <w:rPr>
                <w:rFonts w:ascii="Arial" w:hAnsi="Arial"/>
                <w:bCs/>
                <w:iCs/>
                <w:sz w:val="24"/>
                <w:szCs w:val="24"/>
                <w:lang w:val="en-US"/>
              </w:rPr>
              <w:t>3</w:t>
            </w:r>
            <w:r w:rsidRPr="001D6B3F">
              <w:rPr>
                <w:rFonts w:ascii="Arial" w:hAnsi="Arial"/>
                <w:bCs/>
                <w:iCs/>
                <w:sz w:val="24"/>
                <w:szCs w:val="24"/>
                <w:lang w:val="en-US"/>
              </w:rPr>
              <w:t>)</w:t>
            </w:r>
          </w:p>
        </w:tc>
      </w:tr>
      <w:tr w:rsidR="001D6B3F" w:rsidRPr="001D6B3F" w14:paraId="542E1039" w14:textId="77777777" w:rsidTr="00004108">
        <w:tc>
          <w:tcPr>
            <w:tcW w:w="10476" w:type="dxa"/>
            <w:gridSpan w:val="3"/>
          </w:tcPr>
          <w:p w14:paraId="164D5FFF" w14:textId="194794E6" w:rsidR="002524E6" w:rsidRDefault="002150D0" w:rsidP="009E230A">
            <w:pPr>
              <w:tabs>
                <w:tab w:val="left" w:pos="2100"/>
              </w:tabs>
              <w:spacing w:line="360" w:lineRule="auto"/>
              <w:jc w:val="both"/>
              <w:rPr>
                <w:rFonts w:ascii="Arial" w:hAnsi="Arial" w:cs="Arial"/>
                <w:b/>
                <w:sz w:val="24"/>
                <w:szCs w:val="24"/>
              </w:rPr>
            </w:pPr>
            <w:r w:rsidRPr="001D6B3F">
              <w:rPr>
                <w:rFonts w:ascii="Arial" w:hAnsi="Arial" w:cs="Arial"/>
                <w:b/>
                <w:sz w:val="24"/>
                <w:szCs w:val="24"/>
              </w:rPr>
              <w:t>O</w:t>
            </w:r>
            <w:r w:rsidR="009C2E53" w:rsidRPr="001D6B3F">
              <w:rPr>
                <w:rFonts w:ascii="Arial" w:hAnsi="Arial" w:cs="Arial"/>
                <w:b/>
                <w:sz w:val="24"/>
                <w:szCs w:val="24"/>
              </w:rPr>
              <w:t>rder:</w:t>
            </w:r>
            <w:r w:rsidR="0083558F" w:rsidRPr="001D6B3F">
              <w:rPr>
                <w:rFonts w:ascii="Arial" w:hAnsi="Arial" w:cs="Arial"/>
                <w:b/>
                <w:sz w:val="24"/>
                <w:szCs w:val="24"/>
              </w:rPr>
              <w:tab/>
            </w:r>
          </w:p>
          <w:p w14:paraId="54F3D491" w14:textId="77777777" w:rsidR="00946DBB" w:rsidRDefault="00946DBB" w:rsidP="009E230A">
            <w:pPr>
              <w:tabs>
                <w:tab w:val="left" w:pos="2100"/>
              </w:tabs>
              <w:spacing w:line="360" w:lineRule="auto"/>
              <w:jc w:val="both"/>
              <w:rPr>
                <w:rFonts w:ascii="Arial" w:hAnsi="Arial" w:cs="Arial"/>
                <w:b/>
                <w:sz w:val="24"/>
                <w:szCs w:val="24"/>
              </w:rPr>
            </w:pPr>
          </w:p>
          <w:p w14:paraId="1CD7B883" w14:textId="77777777" w:rsidR="00AB5154" w:rsidRPr="00AB5154" w:rsidRDefault="00AB5154" w:rsidP="00AB5154">
            <w:pPr>
              <w:pStyle w:val="ListParagraph"/>
              <w:numPr>
                <w:ilvl w:val="0"/>
                <w:numId w:val="29"/>
              </w:numPr>
              <w:pBdr>
                <w:top w:val="nil"/>
                <w:left w:val="nil"/>
                <w:bottom w:val="nil"/>
                <w:right w:val="nil"/>
                <w:between w:val="nil"/>
                <w:bar w:val="nil"/>
              </w:pBdr>
              <w:spacing w:after="160" w:line="360" w:lineRule="auto"/>
              <w:ind w:left="1134" w:hanging="567"/>
              <w:jc w:val="both"/>
              <w:rPr>
                <w:rFonts w:ascii="Arial" w:hAnsi="Arial" w:cs="Arial"/>
                <w:sz w:val="24"/>
                <w:szCs w:val="24"/>
              </w:rPr>
            </w:pPr>
            <w:r w:rsidRPr="00AB5154">
              <w:rPr>
                <w:rFonts w:ascii="Arial" w:hAnsi="Arial" w:cs="Arial"/>
                <w:sz w:val="24"/>
                <w:szCs w:val="24"/>
              </w:rPr>
              <w:t xml:space="preserve">The plaintiff is ordered to furnish security for the second defendant’s costs in the form of a bond of security for costs, or in such form as required by the Registrar of this Court, in the sum of N$150 000, within ten days from the </w:t>
            </w:r>
            <w:bookmarkStart w:id="0" w:name="_GoBack"/>
            <w:bookmarkEnd w:id="0"/>
            <w:r w:rsidRPr="00AB5154">
              <w:rPr>
                <w:rFonts w:ascii="Arial" w:hAnsi="Arial" w:cs="Arial"/>
                <w:sz w:val="24"/>
                <w:szCs w:val="24"/>
              </w:rPr>
              <w:t>date of this order.</w:t>
            </w:r>
          </w:p>
          <w:p w14:paraId="1ACE4006" w14:textId="77777777" w:rsidR="00AB5154" w:rsidRPr="00AB5154" w:rsidRDefault="00AB5154" w:rsidP="00AB5154">
            <w:pPr>
              <w:pStyle w:val="ListParagraph"/>
              <w:pBdr>
                <w:top w:val="nil"/>
                <w:left w:val="nil"/>
                <w:bottom w:val="nil"/>
                <w:right w:val="nil"/>
                <w:between w:val="nil"/>
                <w:bar w:val="nil"/>
              </w:pBdr>
              <w:spacing w:line="360" w:lineRule="auto"/>
              <w:ind w:left="1134"/>
              <w:jc w:val="both"/>
              <w:rPr>
                <w:rFonts w:ascii="Arial" w:hAnsi="Arial" w:cs="Arial"/>
                <w:sz w:val="24"/>
                <w:szCs w:val="24"/>
              </w:rPr>
            </w:pPr>
          </w:p>
          <w:p w14:paraId="757AF620" w14:textId="77777777" w:rsidR="00AB5154" w:rsidRPr="00AB5154" w:rsidRDefault="00AB5154" w:rsidP="00AB5154">
            <w:pPr>
              <w:pStyle w:val="ListParagraph"/>
              <w:numPr>
                <w:ilvl w:val="0"/>
                <w:numId w:val="29"/>
              </w:numPr>
              <w:pBdr>
                <w:top w:val="nil"/>
                <w:left w:val="nil"/>
                <w:bottom w:val="nil"/>
                <w:right w:val="nil"/>
                <w:between w:val="nil"/>
                <w:bar w:val="nil"/>
              </w:pBdr>
              <w:spacing w:after="160" w:line="360" w:lineRule="auto"/>
              <w:ind w:left="1134" w:hanging="567"/>
              <w:jc w:val="both"/>
              <w:rPr>
                <w:rFonts w:ascii="Arial" w:hAnsi="Arial" w:cs="Arial"/>
                <w:sz w:val="24"/>
                <w:szCs w:val="24"/>
              </w:rPr>
            </w:pPr>
            <w:r w:rsidRPr="00AB5154">
              <w:rPr>
                <w:rFonts w:ascii="Arial" w:hAnsi="Arial" w:cs="Arial"/>
                <w:sz w:val="24"/>
                <w:szCs w:val="24"/>
              </w:rPr>
              <w:t>The matter is stayed pending the furnishing of the security.</w:t>
            </w:r>
          </w:p>
          <w:p w14:paraId="09412290" w14:textId="77777777" w:rsidR="00AB5154" w:rsidRPr="00AB5154" w:rsidRDefault="00AB5154" w:rsidP="00AB5154">
            <w:pPr>
              <w:pStyle w:val="ListParagraph"/>
              <w:pBdr>
                <w:top w:val="nil"/>
                <w:left w:val="nil"/>
                <w:bottom w:val="nil"/>
                <w:right w:val="nil"/>
                <w:between w:val="nil"/>
                <w:bar w:val="nil"/>
              </w:pBdr>
              <w:spacing w:line="360" w:lineRule="auto"/>
              <w:ind w:left="1134"/>
              <w:jc w:val="both"/>
              <w:rPr>
                <w:rFonts w:ascii="Arial" w:hAnsi="Arial" w:cs="Arial"/>
                <w:sz w:val="24"/>
                <w:szCs w:val="24"/>
              </w:rPr>
            </w:pPr>
          </w:p>
          <w:p w14:paraId="22D7A862" w14:textId="77777777" w:rsidR="00AB5154" w:rsidRPr="00AB5154" w:rsidRDefault="00AB5154" w:rsidP="00AB5154">
            <w:pPr>
              <w:pStyle w:val="ListParagraph"/>
              <w:numPr>
                <w:ilvl w:val="0"/>
                <w:numId w:val="29"/>
              </w:numPr>
              <w:pBdr>
                <w:top w:val="nil"/>
                <w:left w:val="nil"/>
                <w:bottom w:val="nil"/>
                <w:right w:val="nil"/>
                <w:between w:val="nil"/>
                <w:bar w:val="nil"/>
              </w:pBdr>
              <w:spacing w:after="160" w:line="360" w:lineRule="auto"/>
              <w:ind w:left="1134" w:hanging="567"/>
              <w:jc w:val="both"/>
              <w:rPr>
                <w:rFonts w:ascii="Arial" w:hAnsi="Arial" w:cs="Arial"/>
                <w:sz w:val="24"/>
                <w:szCs w:val="24"/>
              </w:rPr>
            </w:pPr>
            <w:r w:rsidRPr="00AB5154">
              <w:rPr>
                <w:rFonts w:ascii="Arial" w:hAnsi="Arial" w:cs="Arial"/>
                <w:sz w:val="24"/>
                <w:szCs w:val="24"/>
              </w:rPr>
              <w:t>The plaintiff is ordered to pay the second defendant’s costs and rule 32(11) of the rules of court does not apply.</w:t>
            </w:r>
          </w:p>
          <w:p w14:paraId="466388AD" w14:textId="77777777" w:rsidR="00AB5154" w:rsidRPr="00AB5154" w:rsidRDefault="00AB5154" w:rsidP="00AB5154">
            <w:pPr>
              <w:pStyle w:val="ListParagraph"/>
              <w:pBdr>
                <w:top w:val="nil"/>
                <w:left w:val="nil"/>
                <w:bottom w:val="nil"/>
                <w:right w:val="nil"/>
                <w:between w:val="nil"/>
                <w:bar w:val="nil"/>
              </w:pBdr>
              <w:spacing w:line="360" w:lineRule="auto"/>
              <w:ind w:left="1134"/>
              <w:jc w:val="both"/>
              <w:rPr>
                <w:rFonts w:ascii="Arial" w:hAnsi="Arial" w:cs="Arial"/>
                <w:sz w:val="24"/>
                <w:szCs w:val="24"/>
              </w:rPr>
            </w:pPr>
          </w:p>
          <w:p w14:paraId="737F1CDA" w14:textId="77777777" w:rsidR="00AB5154" w:rsidRPr="00AB5154" w:rsidRDefault="00AB5154" w:rsidP="00AB5154">
            <w:pPr>
              <w:pStyle w:val="ListParagraph"/>
              <w:numPr>
                <w:ilvl w:val="0"/>
                <w:numId w:val="29"/>
              </w:numPr>
              <w:pBdr>
                <w:top w:val="nil"/>
                <w:left w:val="nil"/>
                <w:bottom w:val="nil"/>
                <w:right w:val="nil"/>
                <w:between w:val="nil"/>
                <w:bar w:val="nil"/>
              </w:pBdr>
              <w:spacing w:after="160" w:line="360" w:lineRule="auto"/>
              <w:ind w:left="1134" w:hanging="567"/>
              <w:jc w:val="both"/>
              <w:rPr>
                <w:rFonts w:ascii="Arial" w:hAnsi="Arial" w:cs="Arial"/>
                <w:sz w:val="24"/>
                <w:szCs w:val="24"/>
              </w:rPr>
            </w:pPr>
            <w:r w:rsidRPr="00AB5154">
              <w:rPr>
                <w:rFonts w:ascii="Arial" w:hAnsi="Arial" w:cs="Arial"/>
                <w:sz w:val="24"/>
                <w:szCs w:val="24"/>
              </w:rPr>
              <w:t xml:space="preserve">The matter is postponed to </w:t>
            </w:r>
            <w:r w:rsidRPr="00AB5154">
              <w:rPr>
                <w:rFonts w:ascii="Arial" w:hAnsi="Arial" w:cs="Arial"/>
                <w:b/>
                <w:bCs/>
                <w:sz w:val="24"/>
                <w:szCs w:val="24"/>
              </w:rPr>
              <w:t xml:space="preserve">21 September 2023 </w:t>
            </w:r>
            <w:r w:rsidRPr="000559BB">
              <w:rPr>
                <w:rFonts w:ascii="Arial" w:hAnsi="Arial" w:cs="Arial"/>
                <w:bCs/>
                <w:sz w:val="24"/>
                <w:szCs w:val="24"/>
              </w:rPr>
              <w:t>at</w:t>
            </w:r>
            <w:r w:rsidRPr="00AB5154">
              <w:rPr>
                <w:rFonts w:ascii="Arial" w:hAnsi="Arial" w:cs="Arial"/>
                <w:b/>
                <w:bCs/>
                <w:sz w:val="24"/>
                <w:szCs w:val="24"/>
              </w:rPr>
              <w:t xml:space="preserve"> 15:00</w:t>
            </w:r>
            <w:r w:rsidRPr="00AB5154">
              <w:rPr>
                <w:rFonts w:ascii="Arial" w:hAnsi="Arial" w:cs="Arial"/>
                <w:sz w:val="24"/>
                <w:szCs w:val="24"/>
              </w:rPr>
              <w:t xml:space="preserve"> for a status hearing.</w:t>
            </w:r>
          </w:p>
          <w:p w14:paraId="6E82C663" w14:textId="77777777" w:rsidR="00AB5154" w:rsidRPr="00AB5154" w:rsidRDefault="00AB5154" w:rsidP="00AB5154">
            <w:pPr>
              <w:pStyle w:val="ListParagraph"/>
              <w:rPr>
                <w:rFonts w:ascii="Arial" w:hAnsi="Arial" w:cs="Arial"/>
                <w:sz w:val="24"/>
                <w:szCs w:val="24"/>
              </w:rPr>
            </w:pPr>
          </w:p>
          <w:p w14:paraId="2A01B316" w14:textId="77777777" w:rsidR="00AB5154" w:rsidRPr="00AB5154" w:rsidRDefault="00AB5154" w:rsidP="00AB5154">
            <w:pPr>
              <w:pStyle w:val="ListParagraph"/>
              <w:numPr>
                <w:ilvl w:val="0"/>
                <w:numId w:val="29"/>
              </w:numPr>
              <w:pBdr>
                <w:top w:val="nil"/>
                <w:left w:val="nil"/>
                <w:bottom w:val="nil"/>
                <w:right w:val="nil"/>
                <w:between w:val="nil"/>
                <w:bar w:val="nil"/>
              </w:pBdr>
              <w:spacing w:after="160" w:line="360" w:lineRule="auto"/>
              <w:ind w:left="1134" w:hanging="567"/>
              <w:jc w:val="both"/>
              <w:rPr>
                <w:rFonts w:ascii="Arial" w:hAnsi="Arial" w:cs="Arial"/>
                <w:sz w:val="24"/>
                <w:szCs w:val="24"/>
              </w:rPr>
            </w:pPr>
            <w:r w:rsidRPr="00AB5154">
              <w:rPr>
                <w:rFonts w:ascii="Arial" w:hAnsi="Arial" w:cs="Arial"/>
                <w:sz w:val="24"/>
                <w:szCs w:val="24"/>
              </w:rPr>
              <w:t xml:space="preserve">The parties must deliver a joint status report on or before </w:t>
            </w:r>
            <w:r w:rsidRPr="00AB5154">
              <w:rPr>
                <w:rFonts w:ascii="Arial" w:hAnsi="Arial" w:cs="Arial"/>
                <w:b/>
                <w:sz w:val="24"/>
                <w:szCs w:val="24"/>
              </w:rPr>
              <w:t>14 September 2023</w:t>
            </w:r>
            <w:r w:rsidRPr="00AB5154">
              <w:rPr>
                <w:rFonts w:ascii="Arial" w:hAnsi="Arial" w:cs="Arial"/>
                <w:sz w:val="24"/>
                <w:szCs w:val="24"/>
              </w:rPr>
              <w:t>.</w:t>
            </w:r>
          </w:p>
          <w:p w14:paraId="29C70C42" w14:textId="273539B2" w:rsidR="00DA6297" w:rsidRPr="00AB5154" w:rsidRDefault="00DA6297" w:rsidP="00AB5154">
            <w:pPr>
              <w:pBdr>
                <w:top w:val="nil"/>
                <w:left w:val="nil"/>
                <w:bottom w:val="nil"/>
                <w:right w:val="nil"/>
                <w:between w:val="nil"/>
                <w:bar w:val="nil"/>
              </w:pBdr>
              <w:spacing w:line="360" w:lineRule="auto"/>
              <w:jc w:val="both"/>
            </w:pPr>
          </w:p>
        </w:tc>
      </w:tr>
      <w:tr w:rsidR="001D6B3F" w:rsidRPr="001D6B3F" w14:paraId="2BD02CF8" w14:textId="77777777" w:rsidTr="00004108">
        <w:tc>
          <w:tcPr>
            <w:tcW w:w="10476" w:type="dxa"/>
            <w:gridSpan w:val="3"/>
          </w:tcPr>
          <w:p w14:paraId="06314928" w14:textId="314A4661" w:rsidR="009C2E53" w:rsidRPr="001D6B3F" w:rsidRDefault="005163E0" w:rsidP="007A6C9F">
            <w:pPr>
              <w:spacing w:line="360" w:lineRule="auto"/>
              <w:jc w:val="both"/>
              <w:rPr>
                <w:rFonts w:ascii="Arial" w:hAnsi="Arial" w:cs="Arial"/>
                <w:b/>
                <w:sz w:val="24"/>
                <w:szCs w:val="24"/>
              </w:rPr>
            </w:pPr>
            <w:r>
              <w:rPr>
                <w:rFonts w:ascii="Arial" w:hAnsi="Arial" w:cs="Arial"/>
                <w:b/>
                <w:sz w:val="24"/>
                <w:szCs w:val="24"/>
              </w:rPr>
              <w:lastRenderedPageBreak/>
              <w:t>R</w:t>
            </w:r>
            <w:r w:rsidR="00554726">
              <w:rPr>
                <w:rFonts w:ascii="Arial" w:hAnsi="Arial" w:cs="Arial"/>
                <w:b/>
                <w:sz w:val="24"/>
                <w:szCs w:val="24"/>
              </w:rPr>
              <w:t>easons</w:t>
            </w:r>
            <w:r w:rsidR="009C2E53" w:rsidRPr="001D6B3F">
              <w:rPr>
                <w:rFonts w:ascii="Arial" w:hAnsi="Arial" w:cs="Arial"/>
                <w:b/>
                <w:sz w:val="24"/>
                <w:szCs w:val="24"/>
              </w:rPr>
              <w:t>:</w:t>
            </w:r>
          </w:p>
        </w:tc>
      </w:tr>
      <w:tr w:rsidR="001D6B3F" w:rsidRPr="001D6B3F" w14:paraId="108B7EFD" w14:textId="77777777" w:rsidTr="00004108">
        <w:tc>
          <w:tcPr>
            <w:tcW w:w="10476" w:type="dxa"/>
            <w:gridSpan w:val="3"/>
          </w:tcPr>
          <w:p w14:paraId="6C59EABA" w14:textId="77777777" w:rsidR="00CF2C83" w:rsidRPr="00620B70" w:rsidRDefault="00CF2C83" w:rsidP="007A6C9F">
            <w:pPr>
              <w:spacing w:line="360" w:lineRule="auto"/>
              <w:jc w:val="both"/>
              <w:rPr>
                <w:rFonts w:ascii="Arial" w:hAnsi="Arial" w:cs="Arial"/>
                <w:sz w:val="24"/>
                <w:szCs w:val="24"/>
              </w:rPr>
            </w:pPr>
          </w:p>
          <w:p w14:paraId="05D10258" w14:textId="77777777" w:rsidR="00AB5154" w:rsidRPr="00620B70" w:rsidRDefault="00AB5154" w:rsidP="00AB5154">
            <w:pPr>
              <w:spacing w:line="360" w:lineRule="auto"/>
              <w:jc w:val="both"/>
              <w:rPr>
                <w:rFonts w:ascii="Arial" w:hAnsi="Arial" w:cs="Arial"/>
                <w:sz w:val="24"/>
                <w:szCs w:val="24"/>
                <w:lang w:val="af-ZA"/>
              </w:rPr>
            </w:pPr>
            <w:r w:rsidRPr="00620B70">
              <w:rPr>
                <w:rFonts w:ascii="Arial" w:hAnsi="Arial" w:cs="Arial"/>
                <w:sz w:val="24"/>
                <w:szCs w:val="24"/>
                <w:lang w:val="af-ZA"/>
              </w:rPr>
              <w:t>COLEMAN J:</w:t>
            </w:r>
          </w:p>
          <w:p w14:paraId="3E53A935" w14:textId="77777777" w:rsidR="00AB5154" w:rsidRPr="00620B70" w:rsidRDefault="00AB5154" w:rsidP="00AB5154">
            <w:pPr>
              <w:pStyle w:val="Body"/>
              <w:spacing w:line="360" w:lineRule="auto"/>
              <w:ind w:left="1440" w:hanging="1440"/>
              <w:jc w:val="both"/>
              <w:rPr>
                <w:rFonts w:ascii="Arial" w:hAnsi="Arial" w:cs="Arial"/>
                <w:color w:val="auto"/>
                <w:sz w:val="24"/>
                <w:szCs w:val="24"/>
              </w:rPr>
            </w:pPr>
            <w:r w:rsidRPr="00620B70">
              <w:rPr>
                <w:rFonts w:ascii="Arial" w:hAnsi="Arial" w:cs="Arial"/>
                <w:color w:val="auto"/>
                <w:sz w:val="24"/>
                <w:szCs w:val="24"/>
              </w:rPr>
              <w:t xml:space="preserve"> </w:t>
            </w:r>
          </w:p>
          <w:p w14:paraId="2A8F3BC9" w14:textId="77777777" w:rsidR="00AB5154" w:rsidRPr="00620B70" w:rsidRDefault="00AB5154" w:rsidP="00AB5154">
            <w:pPr>
              <w:pBdr>
                <w:top w:val="nil"/>
                <w:left w:val="nil"/>
                <w:bottom w:val="nil"/>
                <w:right w:val="nil"/>
                <w:between w:val="nil"/>
                <w:bar w:val="nil"/>
              </w:pBdr>
              <w:spacing w:line="360" w:lineRule="auto"/>
              <w:jc w:val="both"/>
              <w:rPr>
                <w:rFonts w:ascii="Arial" w:eastAsia="Arial" w:hAnsi="Arial" w:cs="Arial"/>
                <w:sz w:val="24"/>
                <w:szCs w:val="24"/>
                <w:u w:val="single"/>
                <w:bdr w:val="nil"/>
                <w:lang w:eastAsia="en-GB"/>
              </w:rPr>
            </w:pPr>
            <w:r w:rsidRPr="00620B70">
              <w:rPr>
                <w:rFonts w:ascii="Arial" w:eastAsia="Arial" w:hAnsi="Arial" w:cs="Arial"/>
                <w:sz w:val="24"/>
                <w:szCs w:val="24"/>
                <w:u w:val="single"/>
                <w:bdr w:val="nil"/>
                <w:lang w:eastAsia="en-GB"/>
              </w:rPr>
              <w:t>Introduction</w:t>
            </w:r>
          </w:p>
          <w:p w14:paraId="53F54637" w14:textId="77777777" w:rsidR="00AB5154" w:rsidRPr="00620B70" w:rsidRDefault="00AB5154" w:rsidP="00AB5154">
            <w:pPr>
              <w:pBdr>
                <w:top w:val="nil"/>
                <w:left w:val="nil"/>
                <w:bottom w:val="nil"/>
                <w:right w:val="nil"/>
                <w:between w:val="nil"/>
                <w:bar w:val="nil"/>
              </w:pBdr>
              <w:spacing w:line="360" w:lineRule="auto"/>
              <w:jc w:val="both"/>
              <w:rPr>
                <w:rFonts w:ascii="Arial" w:eastAsia="Arial" w:hAnsi="Arial" w:cs="Arial"/>
                <w:sz w:val="24"/>
                <w:szCs w:val="24"/>
                <w:u w:val="single"/>
                <w:bdr w:val="nil"/>
                <w:lang w:eastAsia="en-GB"/>
              </w:rPr>
            </w:pPr>
          </w:p>
          <w:p w14:paraId="03938EAA" w14:textId="781A8A08" w:rsidR="00AB5154" w:rsidRDefault="00AB5154" w:rsidP="00AB5154">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color w:val="auto"/>
                <w:sz w:val="24"/>
                <w:szCs w:val="24"/>
                <w:lang w:val="en-US"/>
              </w:rPr>
              <w:t xml:space="preserve">This is an application by </w:t>
            </w:r>
            <w:r w:rsidR="00946DBB">
              <w:rPr>
                <w:rFonts w:ascii="Arial" w:hAnsi="Arial" w:cs="Arial"/>
                <w:color w:val="auto"/>
                <w:sz w:val="24"/>
                <w:szCs w:val="24"/>
                <w:lang w:val="en-US"/>
              </w:rPr>
              <w:t xml:space="preserve">the </w:t>
            </w:r>
            <w:r>
              <w:rPr>
                <w:rFonts w:ascii="Arial" w:hAnsi="Arial" w:cs="Arial"/>
                <w:color w:val="auto"/>
                <w:sz w:val="24"/>
                <w:szCs w:val="24"/>
                <w:lang w:val="en-US"/>
              </w:rPr>
              <w:t>second defendant that</w:t>
            </w:r>
            <w:r w:rsidR="00946DBB">
              <w:rPr>
                <w:rFonts w:ascii="Arial" w:hAnsi="Arial" w:cs="Arial"/>
                <w:color w:val="auto"/>
                <w:sz w:val="24"/>
                <w:szCs w:val="24"/>
                <w:lang w:val="en-US"/>
              </w:rPr>
              <w:t xml:space="preserve"> the</w:t>
            </w:r>
            <w:r>
              <w:rPr>
                <w:rFonts w:ascii="Arial" w:hAnsi="Arial" w:cs="Arial"/>
                <w:color w:val="auto"/>
                <w:sz w:val="24"/>
                <w:szCs w:val="24"/>
                <w:lang w:val="en-US"/>
              </w:rPr>
              <w:t xml:space="preserve"> plaintiff puts up security for costs in the main action. I will refer to the parties as cited in the main action.</w:t>
            </w:r>
          </w:p>
          <w:p w14:paraId="4ED4CBB3" w14:textId="77777777" w:rsidR="00AB5154" w:rsidRDefault="00AB5154" w:rsidP="00AB5154">
            <w:pPr>
              <w:pStyle w:val="Body"/>
              <w:spacing w:line="360" w:lineRule="auto"/>
              <w:jc w:val="both"/>
              <w:rPr>
                <w:rFonts w:ascii="Arial" w:hAnsi="Arial" w:cs="Arial"/>
                <w:color w:val="auto"/>
                <w:sz w:val="24"/>
                <w:szCs w:val="24"/>
                <w:lang w:val="en-US"/>
              </w:rPr>
            </w:pPr>
          </w:p>
          <w:p w14:paraId="549777DB" w14:textId="77777777" w:rsidR="00AB5154" w:rsidRPr="00D114BD" w:rsidRDefault="00AB5154" w:rsidP="00AB5154">
            <w:pPr>
              <w:pStyle w:val="Body"/>
              <w:spacing w:line="360" w:lineRule="auto"/>
              <w:jc w:val="both"/>
              <w:rPr>
                <w:rFonts w:ascii="Arial" w:hAnsi="Arial" w:cs="Arial"/>
                <w:color w:val="auto"/>
                <w:sz w:val="24"/>
                <w:szCs w:val="24"/>
                <w:u w:val="single"/>
                <w:lang w:val="en-US"/>
              </w:rPr>
            </w:pPr>
            <w:r>
              <w:rPr>
                <w:rFonts w:ascii="Arial" w:hAnsi="Arial" w:cs="Arial"/>
                <w:color w:val="auto"/>
                <w:sz w:val="24"/>
                <w:szCs w:val="24"/>
                <w:u w:val="single"/>
                <w:lang w:val="en-US"/>
              </w:rPr>
              <w:t>Pertinent facts</w:t>
            </w:r>
          </w:p>
          <w:p w14:paraId="51DDE0A1" w14:textId="77777777" w:rsidR="00AB5154" w:rsidRDefault="00AB5154" w:rsidP="00AB5154">
            <w:pPr>
              <w:pStyle w:val="Body"/>
              <w:spacing w:line="360" w:lineRule="auto"/>
              <w:jc w:val="both"/>
              <w:rPr>
                <w:rFonts w:ascii="Arial" w:hAnsi="Arial" w:cs="Arial"/>
                <w:color w:val="auto"/>
                <w:sz w:val="24"/>
                <w:szCs w:val="24"/>
                <w:lang w:val="en-US"/>
              </w:rPr>
            </w:pPr>
          </w:p>
          <w:p w14:paraId="47FF52AF" w14:textId="5E2A822F" w:rsidR="00AB5154" w:rsidRDefault="00AB5154" w:rsidP="00AB5154">
            <w:pPr>
              <w:pStyle w:val="Body"/>
              <w:numPr>
                <w:ilvl w:val="0"/>
                <w:numId w:val="34"/>
              </w:numPr>
              <w:spacing w:line="360" w:lineRule="auto"/>
              <w:ind w:left="0" w:firstLine="0"/>
              <w:jc w:val="both"/>
              <w:rPr>
                <w:rFonts w:ascii="Arial" w:hAnsi="Arial" w:cs="Arial"/>
                <w:color w:val="auto"/>
                <w:sz w:val="24"/>
                <w:szCs w:val="24"/>
                <w:lang w:val="en-US"/>
              </w:rPr>
            </w:pPr>
            <w:r w:rsidRPr="00D114BD">
              <w:rPr>
                <w:rFonts w:ascii="Arial" w:hAnsi="Arial" w:cs="Arial"/>
                <w:color w:val="auto"/>
                <w:sz w:val="24"/>
                <w:szCs w:val="24"/>
                <w:lang w:val="en-US"/>
              </w:rPr>
              <w:t>On or about 11 January 2022</w:t>
            </w:r>
            <w:r w:rsidR="00946DBB">
              <w:rPr>
                <w:rFonts w:ascii="Arial" w:hAnsi="Arial" w:cs="Arial"/>
                <w:color w:val="auto"/>
                <w:sz w:val="24"/>
                <w:szCs w:val="24"/>
                <w:lang w:val="en-US"/>
              </w:rPr>
              <w:t xml:space="preserve"> the</w:t>
            </w:r>
            <w:r w:rsidRPr="00D114BD">
              <w:rPr>
                <w:rFonts w:ascii="Arial" w:hAnsi="Arial" w:cs="Arial"/>
                <w:color w:val="auto"/>
                <w:sz w:val="24"/>
                <w:szCs w:val="24"/>
                <w:lang w:val="en-US"/>
              </w:rPr>
              <w:t xml:space="preserve"> plaintiff caused summons to be issued against </w:t>
            </w:r>
            <w:r w:rsidR="00946DBB">
              <w:rPr>
                <w:rFonts w:ascii="Arial" w:hAnsi="Arial" w:cs="Arial"/>
                <w:color w:val="auto"/>
                <w:sz w:val="24"/>
                <w:szCs w:val="24"/>
                <w:lang w:val="en-US"/>
              </w:rPr>
              <w:t>the defendants. The p</w:t>
            </w:r>
            <w:r w:rsidRPr="00D114BD">
              <w:rPr>
                <w:rFonts w:ascii="Arial" w:hAnsi="Arial" w:cs="Arial"/>
                <w:color w:val="auto"/>
                <w:sz w:val="24"/>
                <w:szCs w:val="24"/>
                <w:lang w:val="en-US"/>
              </w:rPr>
              <w:t>laintiff claims what amounts to two mandamuses and, in the alternative</w:t>
            </w:r>
            <w:r w:rsidR="00946DBB">
              <w:rPr>
                <w:rFonts w:ascii="Arial" w:hAnsi="Arial" w:cs="Arial"/>
                <w:color w:val="auto"/>
                <w:sz w:val="24"/>
                <w:szCs w:val="24"/>
                <w:lang w:val="en-US"/>
              </w:rPr>
              <w:t>, a claim for ‘no less than’ N$4 000 000</w:t>
            </w:r>
            <w:r w:rsidRPr="00D114BD">
              <w:rPr>
                <w:rFonts w:ascii="Arial" w:hAnsi="Arial" w:cs="Arial"/>
                <w:color w:val="auto"/>
                <w:sz w:val="24"/>
                <w:szCs w:val="24"/>
                <w:lang w:val="en-US"/>
              </w:rPr>
              <w:t xml:space="preserve"> as damages for the alleged breach of contract. The alleged breaches appear to be a breach of non-disclosure undertakin</w:t>
            </w:r>
            <w:r>
              <w:rPr>
                <w:rFonts w:ascii="Arial" w:hAnsi="Arial" w:cs="Arial"/>
                <w:color w:val="auto"/>
                <w:sz w:val="24"/>
                <w:szCs w:val="24"/>
                <w:lang w:val="en-US"/>
              </w:rPr>
              <w:t>gs and copyright infringements.</w:t>
            </w:r>
          </w:p>
          <w:p w14:paraId="2913E761" w14:textId="77777777" w:rsidR="00AB5154" w:rsidRDefault="00AB5154" w:rsidP="00AB5154">
            <w:pPr>
              <w:pStyle w:val="Body"/>
              <w:spacing w:line="360" w:lineRule="auto"/>
              <w:jc w:val="both"/>
              <w:rPr>
                <w:rFonts w:ascii="Arial" w:hAnsi="Arial" w:cs="Arial"/>
                <w:color w:val="auto"/>
                <w:sz w:val="24"/>
                <w:szCs w:val="24"/>
                <w:lang w:val="en-US"/>
              </w:rPr>
            </w:pPr>
          </w:p>
          <w:p w14:paraId="7BA04BFA" w14:textId="046B6192" w:rsidR="00AB5154" w:rsidRPr="00D114BD" w:rsidRDefault="00946DBB" w:rsidP="00AB5154">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 xml:space="preserve">The </w:t>
            </w:r>
            <w:proofErr w:type="spellStart"/>
            <w:r w:rsidR="00AB5154" w:rsidRPr="00D114BD">
              <w:rPr>
                <w:rFonts w:ascii="Arial" w:hAnsi="Arial" w:cs="Arial"/>
                <w:sz w:val="24"/>
                <w:szCs w:val="24"/>
              </w:rPr>
              <w:t>laintiff</w:t>
            </w:r>
            <w:proofErr w:type="spellEnd"/>
            <w:r w:rsidR="00AB5154" w:rsidRPr="00D114BD">
              <w:rPr>
                <w:rFonts w:ascii="Arial" w:hAnsi="Arial" w:cs="Arial"/>
                <w:sz w:val="24"/>
                <w:szCs w:val="24"/>
              </w:rPr>
              <w:t xml:space="preserve"> is a close corporation incorporated and registered in terms of the Close Corporations Act, 1988 (</w:t>
            </w:r>
            <w:r>
              <w:rPr>
                <w:rFonts w:ascii="Arial" w:hAnsi="Arial" w:cs="Arial"/>
                <w:sz w:val="24"/>
                <w:szCs w:val="24"/>
              </w:rPr>
              <w:t>‘</w:t>
            </w:r>
            <w:r w:rsidR="00AB5154" w:rsidRPr="00D114BD">
              <w:rPr>
                <w:rFonts w:ascii="Arial" w:hAnsi="Arial" w:cs="Arial"/>
                <w:sz w:val="24"/>
                <w:szCs w:val="24"/>
              </w:rPr>
              <w:t>the Act</w:t>
            </w:r>
            <w:r>
              <w:rPr>
                <w:rFonts w:ascii="Arial" w:hAnsi="Arial" w:cs="Arial"/>
                <w:sz w:val="24"/>
                <w:szCs w:val="24"/>
              </w:rPr>
              <w:t>’</w:t>
            </w:r>
            <w:r w:rsidR="00AB5154" w:rsidRPr="00D114BD">
              <w:rPr>
                <w:rFonts w:ascii="Arial" w:hAnsi="Arial" w:cs="Arial"/>
                <w:sz w:val="24"/>
                <w:szCs w:val="24"/>
              </w:rPr>
              <w:t>) in Namibia</w:t>
            </w:r>
            <w:r>
              <w:rPr>
                <w:rFonts w:ascii="Arial" w:hAnsi="Arial" w:cs="Arial"/>
                <w:sz w:val="24"/>
                <w:szCs w:val="24"/>
              </w:rPr>
              <w:t xml:space="preserve">. </w:t>
            </w:r>
            <w:r w:rsidR="00AB5154" w:rsidRPr="00D114BD">
              <w:rPr>
                <w:rFonts w:ascii="Arial" w:hAnsi="Arial" w:cs="Arial"/>
                <w:sz w:val="24"/>
                <w:szCs w:val="24"/>
              </w:rPr>
              <w:t xml:space="preserve">On 22 July 2022 </w:t>
            </w:r>
            <w:r>
              <w:rPr>
                <w:rFonts w:ascii="Arial" w:hAnsi="Arial" w:cs="Arial"/>
                <w:sz w:val="24"/>
                <w:szCs w:val="24"/>
              </w:rPr>
              <w:t xml:space="preserve">the </w:t>
            </w:r>
            <w:r w:rsidR="00AB5154" w:rsidRPr="00D114BD">
              <w:rPr>
                <w:rFonts w:ascii="Arial" w:hAnsi="Arial" w:cs="Arial"/>
                <w:sz w:val="24"/>
                <w:szCs w:val="24"/>
              </w:rPr>
              <w:t>seco</w:t>
            </w:r>
            <w:r>
              <w:rPr>
                <w:rFonts w:ascii="Arial" w:hAnsi="Arial" w:cs="Arial"/>
                <w:sz w:val="24"/>
                <w:szCs w:val="24"/>
              </w:rPr>
              <w:t>nd defendant gave notice under r</w:t>
            </w:r>
            <w:r w:rsidR="00AB5154" w:rsidRPr="00D114BD">
              <w:rPr>
                <w:rFonts w:ascii="Arial" w:hAnsi="Arial" w:cs="Arial"/>
                <w:sz w:val="24"/>
                <w:szCs w:val="24"/>
              </w:rPr>
              <w:t xml:space="preserve">ule 59 that it claims </w:t>
            </w:r>
            <w:r>
              <w:rPr>
                <w:rFonts w:ascii="Arial" w:hAnsi="Arial" w:cs="Arial"/>
                <w:sz w:val="24"/>
                <w:szCs w:val="24"/>
              </w:rPr>
              <w:t>N$</w:t>
            </w:r>
            <w:r w:rsidR="00AB5154" w:rsidRPr="00D114BD">
              <w:rPr>
                <w:rFonts w:ascii="Arial" w:hAnsi="Arial" w:cs="Arial"/>
                <w:sz w:val="24"/>
                <w:szCs w:val="24"/>
              </w:rPr>
              <w:t xml:space="preserve">350 000 security for costs to be put up by </w:t>
            </w:r>
            <w:r>
              <w:rPr>
                <w:rFonts w:ascii="Arial" w:hAnsi="Arial" w:cs="Arial"/>
                <w:sz w:val="24"/>
                <w:szCs w:val="24"/>
              </w:rPr>
              <w:t xml:space="preserve">the </w:t>
            </w:r>
            <w:r w:rsidR="00AB5154" w:rsidRPr="00D114BD">
              <w:rPr>
                <w:rFonts w:ascii="Arial" w:hAnsi="Arial" w:cs="Arial"/>
                <w:sz w:val="24"/>
                <w:szCs w:val="24"/>
              </w:rPr>
              <w:t xml:space="preserve">plaintiff. The grounds articulated in the notice are that </w:t>
            </w:r>
            <w:r>
              <w:rPr>
                <w:rFonts w:ascii="Arial" w:hAnsi="Arial" w:cs="Arial"/>
                <w:sz w:val="24"/>
                <w:szCs w:val="24"/>
              </w:rPr>
              <w:t xml:space="preserve">the </w:t>
            </w:r>
            <w:r w:rsidR="00AB5154" w:rsidRPr="00D114BD">
              <w:rPr>
                <w:rFonts w:ascii="Arial" w:hAnsi="Arial" w:cs="Arial"/>
                <w:sz w:val="24"/>
                <w:szCs w:val="24"/>
              </w:rPr>
              <w:t xml:space="preserve">second defendant has a reasonable belief that </w:t>
            </w:r>
            <w:r>
              <w:rPr>
                <w:rFonts w:ascii="Arial" w:hAnsi="Arial" w:cs="Arial"/>
                <w:sz w:val="24"/>
                <w:szCs w:val="24"/>
              </w:rPr>
              <w:t xml:space="preserve">the </w:t>
            </w:r>
            <w:r w:rsidR="00AB5154" w:rsidRPr="00D114BD">
              <w:rPr>
                <w:rFonts w:ascii="Arial" w:hAnsi="Arial" w:cs="Arial"/>
                <w:sz w:val="24"/>
                <w:szCs w:val="24"/>
              </w:rPr>
              <w:t xml:space="preserve">plaintiff does not trade and does not have any realisable property or assets which may serve to </w:t>
            </w:r>
            <w:r w:rsidR="00AB5154" w:rsidRPr="00D114BD">
              <w:rPr>
                <w:rFonts w:ascii="Arial" w:hAnsi="Arial" w:cs="Arial"/>
                <w:sz w:val="24"/>
                <w:szCs w:val="24"/>
              </w:rPr>
              <w:lastRenderedPageBreak/>
              <w:t xml:space="preserve">satisfy any costs awarded in favour of </w:t>
            </w:r>
            <w:r>
              <w:rPr>
                <w:rFonts w:ascii="Arial" w:hAnsi="Arial" w:cs="Arial"/>
                <w:sz w:val="24"/>
                <w:szCs w:val="24"/>
              </w:rPr>
              <w:t xml:space="preserve">the </w:t>
            </w:r>
            <w:r w:rsidR="00AB5154" w:rsidRPr="00D114BD">
              <w:rPr>
                <w:rFonts w:ascii="Arial" w:hAnsi="Arial" w:cs="Arial"/>
                <w:sz w:val="24"/>
                <w:szCs w:val="24"/>
              </w:rPr>
              <w:t>s</w:t>
            </w:r>
            <w:r w:rsidR="00AB5154">
              <w:rPr>
                <w:rFonts w:ascii="Arial" w:hAnsi="Arial" w:cs="Arial"/>
                <w:sz w:val="24"/>
                <w:szCs w:val="24"/>
              </w:rPr>
              <w:t>econd defendant in this matter.</w:t>
            </w:r>
          </w:p>
          <w:p w14:paraId="4F8FAA8F" w14:textId="77777777" w:rsidR="00AB5154" w:rsidRDefault="00AB5154" w:rsidP="00AB5154">
            <w:pPr>
              <w:pStyle w:val="Body"/>
              <w:spacing w:line="360" w:lineRule="auto"/>
              <w:jc w:val="both"/>
              <w:rPr>
                <w:rFonts w:ascii="Arial" w:hAnsi="Arial" w:cs="Arial"/>
                <w:color w:val="auto"/>
                <w:sz w:val="24"/>
                <w:szCs w:val="24"/>
                <w:lang w:val="en-US"/>
              </w:rPr>
            </w:pPr>
          </w:p>
          <w:p w14:paraId="558F09CA" w14:textId="54352CF0" w:rsidR="00AB5154" w:rsidRDefault="00AB5154" w:rsidP="00AB5154">
            <w:pPr>
              <w:pStyle w:val="Body"/>
              <w:numPr>
                <w:ilvl w:val="0"/>
                <w:numId w:val="34"/>
              </w:numPr>
              <w:spacing w:line="360" w:lineRule="auto"/>
              <w:ind w:left="0" w:firstLine="0"/>
              <w:jc w:val="both"/>
              <w:rPr>
                <w:rFonts w:ascii="Arial" w:hAnsi="Arial" w:cs="Arial"/>
                <w:color w:val="auto"/>
                <w:sz w:val="24"/>
                <w:szCs w:val="24"/>
                <w:lang w:val="en-US"/>
              </w:rPr>
            </w:pPr>
            <w:r w:rsidRPr="00D114BD">
              <w:rPr>
                <w:rFonts w:ascii="Arial" w:hAnsi="Arial" w:cs="Arial"/>
                <w:color w:val="auto"/>
                <w:sz w:val="24"/>
                <w:szCs w:val="24"/>
                <w:lang w:val="en-US"/>
              </w:rPr>
              <w:t xml:space="preserve">The facts </w:t>
            </w:r>
            <w:r w:rsidR="00946DBB">
              <w:rPr>
                <w:rFonts w:ascii="Arial" w:hAnsi="Arial" w:cs="Arial"/>
                <w:color w:val="auto"/>
                <w:sz w:val="24"/>
                <w:szCs w:val="24"/>
                <w:lang w:val="en-US"/>
              </w:rPr>
              <w:t xml:space="preserve">that the </w:t>
            </w:r>
            <w:r w:rsidRPr="00D114BD">
              <w:rPr>
                <w:rFonts w:ascii="Arial" w:hAnsi="Arial" w:cs="Arial"/>
                <w:color w:val="auto"/>
                <w:sz w:val="24"/>
                <w:szCs w:val="24"/>
                <w:lang w:val="en-US"/>
              </w:rPr>
              <w:t xml:space="preserve">second defendant rely on for this belief are essentially, that </w:t>
            </w:r>
            <w:r w:rsidR="00946DBB">
              <w:rPr>
                <w:rFonts w:ascii="Arial" w:hAnsi="Arial" w:cs="Arial"/>
                <w:color w:val="auto"/>
                <w:sz w:val="24"/>
                <w:szCs w:val="24"/>
                <w:lang w:val="en-US"/>
              </w:rPr>
              <w:t xml:space="preserve">the </w:t>
            </w:r>
            <w:r w:rsidRPr="00D114BD">
              <w:rPr>
                <w:rFonts w:ascii="Arial" w:hAnsi="Arial" w:cs="Arial"/>
                <w:color w:val="auto"/>
                <w:sz w:val="24"/>
                <w:szCs w:val="24"/>
                <w:lang w:val="en-US"/>
              </w:rPr>
              <w:t>plaintiff had not paid its ann</w:t>
            </w:r>
            <w:r w:rsidR="00946DBB">
              <w:rPr>
                <w:rFonts w:ascii="Arial" w:hAnsi="Arial" w:cs="Arial"/>
                <w:color w:val="auto"/>
                <w:sz w:val="24"/>
                <w:szCs w:val="24"/>
                <w:lang w:val="en-US"/>
              </w:rPr>
              <w:t>ual BIPA duties for over ten</w:t>
            </w:r>
            <w:r w:rsidRPr="00D114BD">
              <w:rPr>
                <w:rFonts w:ascii="Arial" w:hAnsi="Arial" w:cs="Arial"/>
                <w:color w:val="auto"/>
                <w:sz w:val="24"/>
                <w:szCs w:val="24"/>
                <w:lang w:val="en-US"/>
              </w:rPr>
              <w:t xml:space="preserve"> years, its accounting officer is not in good standi</w:t>
            </w:r>
            <w:r w:rsidR="00946DBB">
              <w:rPr>
                <w:rFonts w:ascii="Arial" w:hAnsi="Arial" w:cs="Arial"/>
                <w:color w:val="auto"/>
                <w:sz w:val="24"/>
                <w:szCs w:val="24"/>
                <w:lang w:val="en-US"/>
              </w:rPr>
              <w:t xml:space="preserve">ng with his professional </w:t>
            </w:r>
            <w:proofErr w:type="spellStart"/>
            <w:r w:rsidR="00946DBB">
              <w:rPr>
                <w:rFonts w:ascii="Arial" w:hAnsi="Arial" w:cs="Arial"/>
                <w:color w:val="auto"/>
                <w:sz w:val="24"/>
                <w:szCs w:val="24"/>
                <w:lang w:val="en-US"/>
              </w:rPr>
              <w:t>organis</w:t>
            </w:r>
            <w:r w:rsidRPr="00D114BD">
              <w:rPr>
                <w:rFonts w:ascii="Arial" w:hAnsi="Arial" w:cs="Arial"/>
                <w:color w:val="auto"/>
                <w:sz w:val="24"/>
                <w:szCs w:val="24"/>
                <w:lang w:val="en-US"/>
              </w:rPr>
              <w:t>ation</w:t>
            </w:r>
            <w:proofErr w:type="spellEnd"/>
            <w:r w:rsidRPr="00D114BD">
              <w:rPr>
                <w:rFonts w:ascii="Arial" w:hAnsi="Arial" w:cs="Arial"/>
                <w:color w:val="auto"/>
                <w:sz w:val="24"/>
                <w:szCs w:val="24"/>
                <w:lang w:val="en-US"/>
              </w:rPr>
              <w:t>, no record of any assets could be found, its registered address is a residential address with no apparent ties to</w:t>
            </w:r>
            <w:r w:rsidR="00946DBB">
              <w:rPr>
                <w:rFonts w:ascii="Arial" w:hAnsi="Arial" w:cs="Arial"/>
                <w:color w:val="auto"/>
                <w:sz w:val="24"/>
                <w:szCs w:val="24"/>
                <w:lang w:val="en-US"/>
              </w:rPr>
              <w:t xml:space="preserve"> the</w:t>
            </w:r>
            <w:r w:rsidRPr="00D114BD">
              <w:rPr>
                <w:rFonts w:ascii="Arial" w:hAnsi="Arial" w:cs="Arial"/>
                <w:color w:val="auto"/>
                <w:sz w:val="24"/>
                <w:szCs w:val="24"/>
                <w:lang w:val="en-US"/>
              </w:rPr>
              <w:t xml:space="preserve"> plaintiff, the principal place of business cited in the particulars of claim - Quantum house - apparently does not exist and no financial statements were provided despite requests</w:t>
            </w:r>
            <w:r w:rsidR="00946DBB">
              <w:rPr>
                <w:rFonts w:ascii="Arial" w:hAnsi="Arial" w:cs="Arial"/>
                <w:color w:val="auto"/>
                <w:sz w:val="24"/>
                <w:szCs w:val="24"/>
                <w:lang w:val="en-US"/>
              </w:rPr>
              <w:t>.</w:t>
            </w:r>
          </w:p>
          <w:p w14:paraId="6B775C0D" w14:textId="77777777" w:rsidR="00AB5154" w:rsidRDefault="00AB5154" w:rsidP="00AB5154">
            <w:pPr>
              <w:pStyle w:val="Body"/>
              <w:spacing w:line="360" w:lineRule="auto"/>
              <w:jc w:val="both"/>
              <w:rPr>
                <w:rFonts w:ascii="Arial" w:hAnsi="Arial" w:cs="Arial"/>
                <w:color w:val="auto"/>
                <w:sz w:val="24"/>
                <w:szCs w:val="24"/>
                <w:lang w:val="en-US"/>
              </w:rPr>
            </w:pPr>
          </w:p>
          <w:p w14:paraId="5D135E79" w14:textId="233D6BF8" w:rsidR="00AB5154" w:rsidRPr="00D114BD" w:rsidRDefault="00AB5154" w:rsidP="00AB5154">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 xml:space="preserve">In its answering affidavit </w:t>
            </w:r>
            <w:r w:rsidR="00946DBB">
              <w:rPr>
                <w:rFonts w:ascii="Arial" w:hAnsi="Arial" w:cs="Arial"/>
                <w:sz w:val="24"/>
                <w:szCs w:val="24"/>
              </w:rPr>
              <w:t xml:space="preserve">the </w:t>
            </w:r>
            <w:r>
              <w:rPr>
                <w:rFonts w:ascii="Arial" w:hAnsi="Arial" w:cs="Arial"/>
                <w:sz w:val="24"/>
                <w:szCs w:val="24"/>
              </w:rPr>
              <w:t>plaintiff disputes many of these allegations but still failed to put up financial statements.</w:t>
            </w:r>
            <w:r w:rsidR="00946DBB">
              <w:rPr>
                <w:rFonts w:ascii="Arial" w:hAnsi="Arial" w:cs="Arial"/>
                <w:sz w:val="24"/>
                <w:szCs w:val="24"/>
              </w:rPr>
              <w:t xml:space="preserve"> </w:t>
            </w:r>
            <w:r>
              <w:rPr>
                <w:rFonts w:ascii="Arial" w:hAnsi="Arial" w:cs="Arial"/>
                <w:sz w:val="24"/>
                <w:szCs w:val="24"/>
              </w:rPr>
              <w:t xml:space="preserve">It alleges that it owns sufficient realisable property to satisfy a potential costs order, being computers and other information technology hardware. Attempts by the second defendant’s legal practitioners to verify this did not come to fruition. </w:t>
            </w:r>
          </w:p>
          <w:p w14:paraId="4B1C3C9F" w14:textId="77777777" w:rsidR="00AB5154" w:rsidRPr="00D114BD" w:rsidRDefault="00AB5154" w:rsidP="00AB5154">
            <w:pPr>
              <w:pStyle w:val="Body"/>
              <w:spacing w:line="360" w:lineRule="auto"/>
              <w:jc w:val="both"/>
              <w:rPr>
                <w:rFonts w:ascii="Arial" w:hAnsi="Arial" w:cs="Arial"/>
                <w:color w:val="auto"/>
                <w:sz w:val="24"/>
                <w:szCs w:val="24"/>
                <w:lang w:val="en-US"/>
              </w:rPr>
            </w:pPr>
          </w:p>
          <w:p w14:paraId="154E727C" w14:textId="1A188814" w:rsidR="00AB5154" w:rsidRPr="00D114BD" w:rsidRDefault="00AB5154" w:rsidP="00AB5154">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 xml:space="preserve">In addition, on 23 June 2022 </w:t>
            </w:r>
            <w:r w:rsidR="00946DBB">
              <w:rPr>
                <w:rFonts w:ascii="Arial" w:hAnsi="Arial" w:cs="Arial"/>
                <w:sz w:val="24"/>
                <w:szCs w:val="24"/>
              </w:rPr>
              <w:t xml:space="preserve">the </w:t>
            </w:r>
            <w:r>
              <w:rPr>
                <w:rFonts w:ascii="Arial" w:hAnsi="Arial" w:cs="Arial"/>
                <w:sz w:val="24"/>
                <w:szCs w:val="24"/>
              </w:rPr>
              <w:t>plaintiff through its legal practitioners con</w:t>
            </w:r>
            <w:r w:rsidR="00946DBB">
              <w:rPr>
                <w:rFonts w:ascii="Arial" w:hAnsi="Arial" w:cs="Arial"/>
                <w:sz w:val="24"/>
                <w:szCs w:val="24"/>
              </w:rPr>
              <w:t>firmed that it would provide N$</w:t>
            </w:r>
            <w:r>
              <w:rPr>
                <w:rFonts w:ascii="Arial" w:hAnsi="Arial" w:cs="Arial"/>
                <w:sz w:val="24"/>
                <w:szCs w:val="24"/>
              </w:rPr>
              <w:t>150 000 as security for costs. However, on 18 October 2022</w:t>
            </w:r>
            <w:r w:rsidR="000559BB">
              <w:rPr>
                <w:rFonts w:ascii="Arial" w:hAnsi="Arial" w:cs="Arial"/>
                <w:sz w:val="24"/>
                <w:szCs w:val="24"/>
              </w:rPr>
              <w:t>,</w:t>
            </w:r>
            <w:r>
              <w:rPr>
                <w:rFonts w:ascii="Arial" w:hAnsi="Arial" w:cs="Arial"/>
                <w:sz w:val="24"/>
                <w:szCs w:val="24"/>
              </w:rPr>
              <w:t xml:space="preserve"> the legal practitioners changed their stance ostensib</w:t>
            </w:r>
            <w:r w:rsidR="00946DBB">
              <w:rPr>
                <w:rFonts w:ascii="Arial" w:hAnsi="Arial" w:cs="Arial"/>
                <w:sz w:val="24"/>
                <w:szCs w:val="24"/>
              </w:rPr>
              <w:t>ly following consultation with c</w:t>
            </w:r>
            <w:r>
              <w:rPr>
                <w:rFonts w:ascii="Arial" w:hAnsi="Arial" w:cs="Arial"/>
                <w:sz w:val="24"/>
                <w:szCs w:val="24"/>
              </w:rPr>
              <w:t>ounsel. This then resulted in a fully-fledged application where a founding affidavit comprising of 126 pages was filed followed by an answering affidavit and replying affidavit.</w:t>
            </w:r>
          </w:p>
          <w:p w14:paraId="7D8AC6E6" w14:textId="77777777" w:rsidR="00AB5154" w:rsidRDefault="00AB5154" w:rsidP="00AB5154">
            <w:pPr>
              <w:pStyle w:val="ListParagraph"/>
              <w:rPr>
                <w:rFonts w:ascii="Arial" w:hAnsi="Arial" w:cs="Arial"/>
                <w:lang w:val="en-US"/>
              </w:rPr>
            </w:pPr>
          </w:p>
          <w:p w14:paraId="4FFD6D2D" w14:textId="77777777" w:rsidR="00AB5154" w:rsidRPr="00D114BD" w:rsidRDefault="00AB5154" w:rsidP="00AB5154">
            <w:pPr>
              <w:pStyle w:val="Body"/>
              <w:spacing w:line="360" w:lineRule="auto"/>
              <w:jc w:val="both"/>
              <w:rPr>
                <w:rFonts w:ascii="Arial" w:hAnsi="Arial" w:cs="Arial"/>
                <w:color w:val="auto"/>
                <w:sz w:val="24"/>
                <w:szCs w:val="24"/>
                <w:u w:val="single"/>
                <w:lang w:val="en-US"/>
              </w:rPr>
            </w:pPr>
            <w:r>
              <w:rPr>
                <w:rFonts w:ascii="Arial" w:hAnsi="Arial" w:cs="Arial"/>
                <w:color w:val="auto"/>
                <w:sz w:val="24"/>
                <w:szCs w:val="24"/>
                <w:u w:val="single"/>
                <w:lang w:val="en-US"/>
              </w:rPr>
              <w:t>Conclusion</w:t>
            </w:r>
          </w:p>
          <w:p w14:paraId="4852287F" w14:textId="77777777" w:rsidR="00AB5154" w:rsidRPr="00D114BD" w:rsidRDefault="00AB5154" w:rsidP="00AB5154">
            <w:pPr>
              <w:pStyle w:val="Body"/>
              <w:spacing w:line="360" w:lineRule="auto"/>
              <w:jc w:val="both"/>
              <w:rPr>
                <w:rFonts w:ascii="Arial" w:hAnsi="Arial" w:cs="Arial"/>
                <w:color w:val="auto"/>
                <w:sz w:val="24"/>
                <w:szCs w:val="24"/>
                <w:lang w:val="en-US"/>
              </w:rPr>
            </w:pPr>
          </w:p>
          <w:p w14:paraId="12E85F1D" w14:textId="77777777" w:rsidR="00AB5154" w:rsidRPr="00D114BD" w:rsidRDefault="00AB5154" w:rsidP="00AB5154">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I considered all the facts and submissions on behalf of the parties and will address only those that I consider relevant for the purposes of my conclusions herein.</w:t>
            </w:r>
          </w:p>
          <w:p w14:paraId="7795A03E" w14:textId="77777777" w:rsidR="00AB5154" w:rsidRPr="00D114BD" w:rsidRDefault="00AB5154" w:rsidP="00AB5154">
            <w:pPr>
              <w:pStyle w:val="Body"/>
              <w:spacing w:line="360" w:lineRule="auto"/>
              <w:jc w:val="both"/>
              <w:rPr>
                <w:rFonts w:ascii="Arial" w:hAnsi="Arial" w:cs="Arial"/>
                <w:color w:val="auto"/>
                <w:sz w:val="24"/>
                <w:szCs w:val="24"/>
                <w:lang w:val="en-US"/>
              </w:rPr>
            </w:pPr>
          </w:p>
          <w:p w14:paraId="42315A04" w14:textId="77777777" w:rsidR="00AB5154" w:rsidRPr="00D114BD" w:rsidRDefault="00AB5154" w:rsidP="00AB5154">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Section 8 of the Act provides as follows:</w:t>
            </w:r>
          </w:p>
          <w:p w14:paraId="7A573014" w14:textId="77777777" w:rsidR="00AB5154" w:rsidRDefault="00AB5154" w:rsidP="00AB5154">
            <w:pPr>
              <w:pStyle w:val="Body"/>
              <w:spacing w:line="360" w:lineRule="auto"/>
              <w:jc w:val="both"/>
              <w:rPr>
                <w:rFonts w:ascii="Arial" w:hAnsi="Arial" w:cs="Arial"/>
                <w:sz w:val="24"/>
                <w:szCs w:val="24"/>
              </w:rPr>
            </w:pPr>
          </w:p>
          <w:p w14:paraId="515C5AEA" w14:textId="09C20F92" w:rsidR="00946DBB" w:rsidRPr="00946DBB" w:rsidRDefault="00946DBB" w:rsidP="00946DBB">
            <w:pPr>
              <w:pBdr>
                <w:top w:val="nil"/>
                <w:left w:val="nil"/>
                <w:bottom w:val="nil"/>
                <w:right w:val="nil"/>
                <w:between w:val="nil"/>
                <w:bar w:val="nil"/>
              </w:pBdr>
              <w:spacing w:line="360" w:lineRule="auto"/>
              <w:ind w:firstLine="720"/>
              <w:jc w:val="both"/>
              <w:rPr>
                <w:rFonts w:ascii="Arial" w:hAnsi="Arial" w:cs="Arial"/>
                <w:sz w:val="24"/>
                <w:szCs w:val="24"/>
              </w:rPr>
            </w:pPr>
            <w:r>
              <w:rPr>
                <w:rFonts w:ascii="Arial" w:hAnsi="Arial" w:cs="Arial"/>
              </w:rPr>
              <w:t>‘</w:t>
            </w:r>
            <w:r w:rsidRPr="00946DBB">
              <w:rPr>
                <w:rFonts w:ascii="Arial" w:hAnsi="Arial" w:cs="Arial"/>
              </w:rPr>
              <w:t xml:space="preserve">When a corporation in any legal proceedings is a plaintiff or applicant or brings a counterclaim or counter-application, the Court concerned may at any time during the proceedings </w:t>
            </w:r>
            <w:r w:rsidRPr="000559BB">
              <w:rPr>
                <w:rFonts w:ascii="Arial" w:hAnsi="Arial" w:cs="Arial"/>
                <w:bCs/>
                <w:u w:val="single"/>
              </w:rPr>
              <w:t>if it appears that there is reason to believe that the corporation</w:t>
            </w:r>
            <w:r w:rsidRPr="00946DBB">
              <w:rPr>
                <w:rFonts w:ascii="Arial" w:hAnsi="Arial" w:cs="Arial"/>
              </w:rPr>
              <w:t xml:space="preserve"> or, if it is being wound up, the liquidator thereof, </w:t>
            </w:r>
            <w:r w:rsidRPr="000559BB">
              <w:rPr>
                <w:rFonts w:ascii="Arial" w:hAnsi="Arial" w:cs="Arial"/>
                <w:bCs/>
                <w:u w:val="single"/>
              </w:rPr>
              <w:t>will be unable to pay the costs of the defendant</w:t>
            </w:r>
            <w:r w:rsidRPr="00946DBB">
              <w:rPr>
                <w:rFonts w:ascii="Arial" w:hAnsi="Arial" w:cs="Arial"/>
                <w:b/>
                <w:bCs/>
              </w:rPr>
              <w:t xml:space="preserve"> </w:t>
            </w:r>
            <w:r w:rsidRPr="00946DBB">
              <w:rPr>
                <w:rFonts w:ascii="Arial" w:hAnsi="Arial" w:cs="Arial"/>
              </w:rPr>
              <w:t>or respondent, or the defendant or respondent in reconvention, if he is successful in his defence, require security to be given for those costs, and may stay all proceedi</w:t>
            </w:r>
            <w:r>
              <w:rPr>
                <w:rFonts w:ascii="Arial" w:hAnsi="Arial" w:cs="Arial"/>
              </w:rPr>
              <w:t xml:space="preserve">ngs till </w:t>
            </w:r>
            <w:r>
              <w:rPr>
                <w:rFonts w:ascii="Arial" w:hAnsi="Arial" w:cs="Arial"/>
              </w:rPr>
              <w:lastRenderedPageBreak/>
              <w:t>the security is given.’</w:t>
            </w:r>
            <w:r w:rsidRPr="00946DBB">
              <w:rPr>
                <w:rFonts w:ascii="Arial" w:hAnsi="Arial" w:cs="Arial"/>
              </w:rPr>
              <w:t xml:space="preserve"> </w:t>
            </w:r>
            <w:r w:rsidRPr="00946DBB">
              <w:rPr>
                <w:rFonts w:ascii="Arial" w:hAnsi="Arial" w:cs="Arial"/>
                <w:sz w:val="24"/>
              </w:rPr>
              <w:t>(Emphasis added)</w:t>
            </w:r>
          </w:p>
          <w:p w14:paraId="0C59C42B" w14:textId="77777777" w:rsidR="00AB5154" w:rsidRPr="00D114BD" w:rsidRDefault="00AB5154" w:rsidP="00AB5154">
            <w:pPr>
              <w:pStyle w:val="Body"/>
              <w:spacing w:line="360" w:lineRule="auto"/>
              <w:jc w:val="both"/>
              <w:rPr>
                <w:rFonts w:ascii="Arial" w:hAnsi="Arial" w:cs="Arial"/>
                <w:color w:val="auto"/>
                <w:sz w:val="24"/>
                <w:szCs w:val="24"/>
                <w:lang w:val="en-US"/>
              </w:rPr>
            </w:pPr>
          </w:p>
          <w:p w14:paraId="6AC76B14" w14:textId="09904738" w:rsidR="00AB5154" w:rsidRPr="00D114BD" w:rsidRDefault="00AB5154" w:rsidP="00AB5154">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 xml:space="preserve">In my view the words </w:t>
            </w:r>
            <w:r w:rsidRPr="00D114BD">
              <w:rPr>
                <w:rFonts w:ascii="Arial" w:hAnsi="Arial" w:cs="Arial"/>
                <w:sz w:val="20"/>
                <w:szCs w:val="20"/>
              </w:rPr>
              <w:t>‘</w:t>
            </w:r>
            <w:r w:rsidRPr="00946DBB">
              <w:rPr>
                <w:rFonts w:ascii="Arial" w:hAnsi="Arial" w:cs="Arial"/>
                <w:sz w:val="24"/>
                <w:szCs w:val="20"/>
              </w:rPr>
              <w:t>…if it appears that there is reason to believe…</w:t>
            </w:r>
            <w:r>
              <w:rPr>
                <w:rFonts w:ascii="Arial" w:hAnsi="Arial" w:cs="Arial"/>
                <w:sz w:val="24"/>
                <w:szCs w:val="24"/>
              </w:rPr>
              <w:t>’</w:t>
            </w:r>
            <w:r w:rsidR="00946DBB">
              <w:rPr>
                <w:rFonts w:ascii="Arial" w:hAnsi="Arial" w:cs="Arial"/>
                <w:sz w:val="24"/>
                <w:szCs w:val="24"/>
              </w:rPr>
              <w:t xml:space="preserve"> indicate that the c</w:t>
            </w:r>
            <w:r>
              <w:rPr>
                <w:rFonts w:ascii="Arial" w:hAnsi="Arial" w:cs="Arial"/>
                <w:sz w:val="24"/>
                <w:szCs w:val="24"/>
              </w:rPr>
              <w:t>ourt’s decision in this context is informed with what is appare</w:t>
            </w:r>
            <w:r w:rsidR="00946DBB">
              <w:rPr>
                <w:rFonts w:ascii="Arial" w:hAnsi="Arial" w:cs="Arial"/>
                <w:sz w:val="24"/>
                <w:szCs w:val="24"/>
              </w:rPr>
              <w:t>nt rather than conclusive. The c</w:t>
            </w:r>
            <w:r>
              <w:rPr>
                <w:rFonts w:ascii="Arial" w:hAnsi="Arial" w:cs="Arial"/>
                <w:sz w:val="24"/>
                <w:szCs w:val="24"/>
              </w:rPr>
              <w:t xml:space="preserve">ourt’s discretion is triggered by a reason that appears to exist to believe that the plaintiff will be unable to pay </w:t>
            </w:r>
            <w:r w:rsidR="00946DBB">
              <w:rPr>
                <w:rFonts w:ascii="Arial" w:hAnsi="Arial" w:cs="Arial"/>
                <w:sz w:val="24"/>
                <w:szCs w:val="24"/>
              </w:rPr>
              <w:t xml:space="preserve">the second </w:t>
            </w:r>
            <w:r>
              <w:rPr>
                <w:rFonts w:ascii="Arial" w:hAnsi="Arial" w:cs="Arial"/>
                <w:sz w:val="24"/>
                <w:szCs w:val="24"/>
              </w:rPr>
              <w:t>defendant’s costs.</w:t>
            </w:r>
          </w:p>
          <w:p w14:paraId="7F63C6B6" w14:textId="77777777" w:rsidR="00AB5154" w:rsidRPr="00D114BD" w:rsidRDefault="00AB5154" w:rsidP="00AB5154">
            <w:pPr>
              <w:pStyle w:val="Body"/>
              <w:spacing w:line="360" w:lineRule="auto"/>
              <w:jc w:val="both"/>
              <w:rPr>
                <w:rFonts w:ascii="Arial" w:hAnsi="Arial" w:cs="Arial"/>
                <w:color w:val="auto"/>
                <w:sz w:val="24"/>
                <w:szCs w:val="24"/>
                <w:lang w:val="en-US"/>
              </w:rPr>
            </w:pPr>
          </w:p>
          <w:p w14:paraId="31CB3C6A" w14:textId="09738103" w:rsidR="00AB5154" w:rsidRPr="00D114BD" w:rsidRDefault="00AB5154" w:rsidP="00AB5154">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 xml:space="preserve">Close corporations are relatively loosely regulated corporate entities. One would expect that the bare minimum of compliance is adhered to. It appears that </w:t>
            </w:r>
            <w:r w:rsidR="00946DBB">
              <w:rPr>
                <w:rFonts w:ascii="Arial" w:hAnsi="Arial" w:cs="Arial"/>
                <w:sz w:val="24"/>
                <w:szCs w:val="24"/>
              </w:rPr>
              <w:t xml:space="preserve">the </w:t>
            </w:r>
            <w:r>
              <w:rPr>
                <w:rFonts w:ascii="Arial" w:hAnsi="Arial" w:cs="Arial"/>
                <w:sz w:val="24"/>
                <w:szCs w:val="24"/>
              </w:rPr>
              <w:t xml:space="preserve">plaintiff in this matter is tardy with its BIPA payments and does not have an accounting officer who is in good standing with his professional body. It also appears that the plaintiff does not have readily available financial statements. Apart from the unverified computers and other hardware </w:t>
            </w:r>
            <w:r w:rsidR="00946DBB">
              <w:rPr>
                <w:rFonts w:ascii="Arial" w:hAnsi="Arial" w:cs="Arial"/>
                <w:sz w:val="24"/>
                <w:szCs w:val="24"/>
              </w:rPr>
              <w:t xml:space="preserve">that the </w:t>
            </w:r>
            <w:r>
              <w:rPr>
                <w:rFonts w:ascii="Arial" w:hAnsi="Arial" w:cs="Arial"/>
                <w:sz w:val="24"/>
                <w:szCs w:val="24"/>
              </w:rPr>
              <w:t>plaintiff alleges it owns, it does not own any other property.</w:t>
            </w:r>
          </w:p>
          <w:p w14:paraId="5CD97191" w14:textId="77777777" w:rsidR="00AB5154" w:rsidRPr="00D114BD" w:rsidRDefault="00AB5154" w:rsidP="00AB5154">
            <w:pPr>
              <w:pStyle w:val="Body"/>
              <w:spacing w:line="360" w:lineRule="auto"/>
              <w:jc w:val="both"/>
              <w:rPr>
                <w:rFonts w:ascii="Arial" w:hAnsi="Arial" w:cs="Arial"/>
                <w:color w:val="auto"/>
                <w:sz w:val="24"/>
                <w:szCs w:val="24"/>
                <w:lang w:val="en-US"/>
              </w:rPr>
            </w:pPr>
          </w:p>
          <w:p w14:paraId="1CE6B752" w14:textId="3464CB2A" w:rsidR="00AB5154" w:rsidRPr="00D114BD" w:rsidRDefault="00AB5154" w:rsidP="00AB5154">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 xml:space="preserve">On the facts before me it appears that there is reason to believe that the plaintiff will be unable to pay </w:t>
            </w:r>
            <w:r w:rsidR="00946DBB">
              <w:rPr>
                <w:rFonts w:ascii="Arial" w:hAnsi="Arial" w:cs="Arial"/>
                <w:sz w:val="24"/>
                <w:szCs w:val="24"/>
              </w:rPr>
              <w:t xml:space="preserve">the </w:t>
            </w:r>
            <w:r>
              <w:rPr>
                <w:rFonts w:ascii="Arial" w:hAnsi="Arial" w:cs="Arial"/>
                <w:sz w:val="24"/>
                <w:szCs w:val="24"/>
              </w:rPr>
              <w:t>second defendant’s costs if it is successful in its defence. In addition,</w:t>
            </w:r>
            <w:r w:rsidR="00946DBB">
              <w:rPr>
                <w:rFonts w:ascii="Arial" w:hAnsi="Arial" w:cs="Arial"/>
                <w:sz w:val="24"/>
                <w:szCs w:val="24"/>
              </w:rPr>
              <w:t xml:space="preserve"> the</w:t>
            </w:r>
            <w:r>
              <w:rPr>
                <w:rFonts w:ascii="Arial" w:hAnsi="Arial" w:cs="Arial"/>
                <w:sz w:val="24"/>
                <w:szCs w:val="24"/>
              </w:rPr>
              <w:t xml:space="preserve"> second defendant has indicated that it intends to except to</w:t>
            </w:r>
            <w:r w:rsidR="00946DBB">
              <w:rPr>
                <w:rFonts w:ascii="Arial" w:hAnsi="Arial" w:cs="Arial"/>
                <w:sz w:val="24"/>
                <w:szCs w:val="24"/>
              </w:rPr>
              <w:t xml:space="preserve"> the</w:t>
            </w:r>
            <w:r>
              <w:rPr>
                <w:rFonts w:ascii="Arial" w:hAnsi="Arial" w:cs="Arial"/>
                <w:sz w:val="24"/>
                <w:szCs w:val="24"/>
              </w:rPr>
              <w:t xml:space="preserve"> plaintiff’s particulars of claim. In response </w:t>
            </w:r>
            <w:r w:rsidR="00946DBB">
              <w:rPr>
                <w:rFonts w:ascii="Arial" w:hAnsi="Arial" w:cs="Arial"/>
                <w:sz w:val="24"/>
                <w:szCs w:val="24"/>
              </w:rPr>
              <w:t xml:space="preserve">the </w:t>
            </w:r>
            <w:r>
              <w:rPr>
                <w:rFonts w:ascii="Arial" w:hAnsi="Arial" w:cs="Arial"/>
                <w:sz w:val="24"/>
                <w:szCs w:val="24"/>
              </w:rPr>
              <w:t xml:space="preserve">plaintiff sought to amend its particulars of claims, which normally can be taken as an acknowledgement of – at least – a problem with the particulars of claim. The notice of intention to amend is objected to. The amendment had not been resolved yet. In short, </w:t>
            </w:r>
            <w:r w:rsidR="00946DBB">
              <w:rPr>
                <w:rFonts w:ascii="Arial" w:hAnsi="Arial" w:cs="Arial"/>
                <w:sz w:val="24"/>
                <w:szCs w:val="24"/>
              </w:rPr>
              <w:t xml:space="preserve">the </w:t>
            </w:r>
            <w:r>
              <w:rPr>
                <w:rFonts w:ascii="Arial" w:hAnsi="Arial" w:cs="Arial"/>
                <w:sz w:val="24"/>
                <w:szCs w:val="24"/>
              </w:rPr>
              <w:t>plaintiff’s claim is clearly contentious at this point in time.</w:t>
            </w:r>
          </w:p>
          <w:p w14:paraId="5A1390FD" w14:textId="77777777" w:rsidR="00AB5154" w:rsidRPr="00D114BD" w:rsidRDefault="00AB5154" w:rsidP="00AB5154">
            <w:pPr>
              <w:pStyle w:val="Body"/>
              <w:spacing w:line="360" w:lineRule="auto"/>
              <w:jc w:val="both"/>
              <w:rPr>
                <w:rFonts w:ascii="Arial" w:hAnsi="Arial" w:cs="Arial"/>
                <w:color w:val="auto"/>
                <w:sz w:val="24"/>
                <w:szCs w:val="24"/>
                <w:lang w:val="en-US"/>
              </w:rPr>
            </w:pPr>
          </w:p>
          <w:p w14:paraId="3BAE2FB3" w14:textId="7315DE19" w:rsidR="00AB5154" w:rsidRPr="00D114BD" w:rsidRDefault="00AB5154" w:rsidP="00AB5154">
            <w:pPr>
              <w:pStyle w:val="Body"/>
              <w:numPr>
                <w:ilvl w:val="0"/>
                <w:numId w:val="34"/>
              </w:numPr>
              <w:spacing w:line="360" w:lineRule="auto"/>
              <w:ind w:left="0" w:firstLine="0"/>
              <w:jc w:val="both"/>
              <w:rPr>
                <w:rFonts w:ascii="Arial" w:hAnsi="Arial" w:cs="Arial"/>
                <w:color w:val="auto"/>
                <w:sz w:val="24"/>
                <w:szCs w:val="24"/>
                <w:lang w:val="en-US"/>
              </w:rPr>
            </w:pPr>
            <w:r>
              <w:rPr>
                <w:rFonts w:ascii="Arial" w:hAnsi="Arial" w:cs="Arial"/>
                <w:sz w:val="24"/>
                <w:szCs w:val="24"/>
              </w:rPr>
              <w:t xml:space="preserve">This matter had been turned into an unnecessary elaborate procedure. </w:t>
            </w:r>
            <w:r w:rsidR="00946DBB">
              <w:rPr>
                <w:rFonts w:ascii="Arial" w:hAnsi="Arial" w:cs="Arial"/>
                <w:sz w:val="24"/>
                <w:szCs w:val="24"/>
              </w:rPr>
              <w:t>The p</w:t>
            </w:r>
            <w:r>
              <w:rPr>
                <w:rFonts w:ascii="Arial" w:hAnsi="Arial" w:cs="Arial"/>
                <w:sz w:val="24"/>
                <w:szCs w:val="24"/>
              </w:rPr>
              <w:t xml:space="preserve">laintiff initially acknowledged liability for security </w:t>
            </w:r>
            <w:r w:rsidR="00946DBB">
              <w:rPr>
                <w:rFonts w:ascii="Arial" w:hAnsi="Arial" w:cs="Arial"/>
                <w:sz w:val="24"/>
                <w:szCs w:val="24"/>
              </w:rPr>
              <w:t xml:space="preserve">for costs and then withdrew it. </w:t>
            </w:r>
            <w:r>
              <w:rPr>
                <w:rFonts w:ascii="Arial" w:hAnsi="Arial" w:cs="Arial"/>
                <w:sz w:val="24"/>
                <w:szCs w:val="24"/>
              </w:rPr>
              <w:t xml:space="preserve">Instead of simply providing financial statements – assuming it exist – </w:t>
            </w:r>
            <w:r w:rsidR="00946DBB">
              <w:rPr>
                <w:rFonts w:ascii="Arial" w:hAnsi="Arial" w:cs="Arial"/>
                <w:sz w:val="24"/>
                <w:szCs w:val="24"/>
              </w:rPr>
              <w:t xml:space="preserve">the </w:t>
            </w:r>
            <w:r>
              <w:rPr>
                <w:rFonts w:ascii="Arial" w:hAnsi="Arial" w:cs="Arial"/>
                <w:sz w:val="24"/>
                <w:szCs w:val="24"/>
              </w:rPr>
              <w:t>plaintiff put up resistance to</w:t>
            </w:r>
            <w:r w:rsidR="00946DBB">
              <w:rPr>
                <w:rFonts w:ascii="Arial" w:hAnsi="Arial" w:cs="Arial"/>
                <w:sz w:val="24"/>
                <w:szCs w:val="24"/>
              </w:rPr>
              <w:t xml:space="preserve"> the</w:t>
            </w:r>
            <w:r>
              <w:rPr>
                <w:rFonts w:ascii="Arial" w:hAnsi="Arial" w:cs="Arial"/>
                <w:sz w:val="24"/>
                <w:szCs w:val="24"/>
              </w:rPr>
              <w:t xml:space="preserve"> second defendant’s requests for information, which necessitated this application. Therefore, I agree with </w:t>
            </w:r>
            <w:r w:rsidR="00946DBB">
              <w:rPr>
                <w:rFonts w:ascii="Arial" w:hAnsi="Arial" w:cs="Arial"/>
                <w:sz w:val="24"/>
                <w:szCs w:val="24"/>
              </w:rPr>
              <w:t xml:space="preserve">the </w:t>
            </w:r>
            <w:r>
              <w:rPr>
                <w:rFonts w:ascii="Arial" w:hAnsi="Arial" w:cs="Arial"/>
                <w:sz w:val="24"/>
                <w:szCs w:val="24"/>
              </w:rPr>
              <w:t>seco</w:t>
            </w:r>
            <w:r w:rsidR="00946DBB">
              <w:rPr>
                <w:rFonts w:ascii="Arial" w:hAnsi="Arial" w:cs="Arial"/>
                <w:sz w:val="24"/>
                <w:szCs w:val="24"/>
              </w:rPr>
              <w:t>nd defendant’s c</w:t>
            </w:r>
            <w:r>
              <w:rPr>
                <w:rFonts w:ascii="Arial" w:hAnsi="Arial" w:cs="Arial"/>
                <w:sz w:val="24"/>
                <w:szCs w:val="24"/>
              </w:rPr>
              <w:t>ounsel t</w:t>
            </w:r>
            <w:r w:rsidR="00946DBB">
              <w:rPr>
                <w:rFonts w:ascii="Arial" w:hAnsi="Arial" w:cs="Arial"/>
                <w:sz w:val="24"/>
                <w:szCs w:val="24"/>
              </w:rPr>
              <w:t>hat the limitation on costs in r</w:t>
            </w:r>
            <w:r>
              <w:rPr>
                <w:rFonts w:ascii="Arial" w:hAnsi="Arial" w:cs="Arial"/>
                <w:sz w:val="24"/>
                <w:szCs w:val="24"/>
              </w:rPr>
              <w:t>ule 32(11) should not apply here.</w:t>
            </w:r>
          </w:p>
          <w:p w14:paraId="2468AE2F" w14:textId="77777777" w:rsidR="00AB5154" w:rsidRPr="00D114BD" w:rsidRDefault="00AB5154" w:rsidP="00AB5154">
            <w:pPr>
              <w:pStyle w:val="Body"/>
              <w:spacing w:line="360" w:lineRule="auto"/>
              <w:jc w:val="both"/>
              <w:rPr>
                <w:rFonts w:ascii="Arial" w:hAnsi="Arial" w:cs="Arial"/>
                <w:color w:val="auto"/>
                <w:sz w:val="24"/>
                <w:szCs w:val="24"/>
                <w:lang w:val="en-US"/>
              </w:rPr>
            </w:pPr>
          </w:p>
          <w:p w14:paraId="5EEF17D7" w14:textId="292E99B7" w:rsidR="00AB5154" w:rsidRPr="00D114BD" w:rsidRDefault="00AB5154" w:rsidP="00AB5154">
            <w:pPr>
              <w:pStyle w:val="Body"/>
              <w:numPr>
                <w:ilvl w:val="0"/>
                <w:numId w:val="34"/>
              </w:numPr>
              <w:spacing w:line="360" w:lineRule="auto"/>
              <w:ind w:left="0" w:firstLine="0"/>
              <w:jc w:val="both"/>
              <w:rPr>
                <w:rFonts w:ascii="Arial" w:hAnsi="Arial" w:cs="Arial"/>
                <w:color w:val="auto"/>
                <w:sz w:val="24"/>
                <w:szCs w:val="24"/>
                <w:lang w:val="en-US"/>
              </w:rPr>
            </w:pPr>
            <w:r w:rsidRPr="00F336D4">
              <w:rPr>
                <w:rFonts w:ascii="Arial" w:hAnsi="Arial" w:cs="Arial"/>
                <w:sz w:val="24"/>
                <w:szCs w:val="24"/>
              </w:rPr>
              <w:t>Accordingly</w:t>
            </w:r>
            <w:r w:rsidR="00946DBB">
              <w:rPr>
                <w:rFonts w:ascii="Arial" w:hAnsi="Arial" w:cs="Arial"/>
                <w:sz w:val="24"/>
                <w:szCs w:val="24"/>
              </w:rPr>
              <w:t>,</w:t>
            </w:r>
            <w:r w:rsidRPr="00F336D4">
              <w:rPr>
                <w:rFonts w:ascii="Arial" w:hAnsi="Arial" w:cs="Arial"/>
                <w:sz w:val="24"/>
                <w:szCs w:val="24"/>
              </w:rPr>
              <w:t xml:space="preserve"> I make the follow</w:t>
            </w:r>
            <w:r>
              <w:rPr>
                <w:rFonts w:ascii="Arial" w:hAnsi="Arial" w:cs="Arial"/>
                <w:sz w:val="24"/>
                <w:szCs w:val="24"/>
              </w:rPr>
              <w:t>ing</w:t>
            </w:r>
            <w:r w:rsidRPr="00F336D4">
              <w:rPr>
                <w:rFonts w:ascii="Arial" w:hAnsi="Arial" w:cs="Arial"/>
                <w:sz w:val="24"/>
                <w:szCs w:val="24"/>
              </w:rPr>
              <w:t xml:space="preserve"> order</w:t>
            </w:r>
            <w:r>
              <w:rPr>
                <w:rFonts w:ascii="Arial" w:hAnsi="Arial" w:cs="Arial"/>
                <w:sz w:val="24"/>
                <w:szCs w:val="24"/>
              </w:rPr>
              <w:t>:</w:t>
            </w:r>
          </w:p>
          <w:p w14:paraId="41A2C153" w14:textId="77777777" w:rsidR="00AB5154" w:rsidRDefault="00AB5154" w:rsidP="00AB5154">
            <w:pPr>
              <w:pBdr>
                <w:top w:val="nil"/>
                <w:left w:val="nil"/>
                <w:bottom w:val="nil"/>
                <w:right w:val="nil"/>
                <w:between w:val="nil"/>
                <w:bar w:val="nil"/>
              </w:pBdr>
              <w:spacing w:line="360" w:lineRule="auto"/>
              <w:jc w:val="both"/>
            </w:pPr>
          </w:p>
          <w:p w14:paraId="1BDF5C34" w14:textId="77777777" w:rsidR="00AB5154" w:rsidRPr="00AB5154" w:rsidRDefault="00AB5154" w:rsidP="00AB5154">
            <w:pPr>
              <w:pStyle w:val="ListParagraph"/>
              <w:numPr>
                <w:ilvl w:val="0"/>
                <w:numId w:val="35"/>
              </w:numPr>
              <w:pBdr>
                <w:top w:val="nil"/>
                <w:left w:val="nil"/>
                <w:bottom w:val="nil"/>
                <w:right w:val="nil"/>
                <w:between w:val="nil"/>
                <w:bar w:val="nil"/>
              </w:pBdr>
              <w:spacing w:after="160" w:line="360" w:lineRule="auto"/>
              <w:ind w:left="1126" w:hanging="567"/>
              <w:jc w:val="both"/>
              <w:rPr>
                <w:rFonts w:ascii="Arial" w:hAnsi="Arial" w:cs="Arial"/>
                <w:sz w:val="24"/>
                <w:szCs w:val="24"/>
              </w:rPr>
            </w:pPr>
            <w:r w:rsidRPr="00AB5154">
              <w:rPr>
                <w:rFonts w:ascii="Arial" w:hAnsi="Arial" w:cs="Arial"/>
                <w:sz w:val="24"/>
                <w:szCs w:val="24"/>
              </w:rPr>
              <w:t xml:space="preserve">The plaintiff is ordered to furnish security for the second defendant’s costs in the form </w:t>
            </w:r>
            <w:r w:rsidRPr="00AB5154">
              <w:rPr>
                <w:rFonts w:ascii="Arial" w:hAnsi="Arial" w:cs="Arial"/>
                <w:sz w:val="24"/>
                <w:szCs w:val="24"/>
              </w:rPr>
              <w:lastRenderedPageBreak/>
              <w:t>of a bond of security for costs, or in such form as required by the Registrar of this Court, in the sum of N$150 000, within ten days from the date of this order.</w:t>
            </w:r>
          </w:p>
          <w:p w14:paraId="62E10291" w14:textId="77777777" w:rsidR="00AB5154" w:rsidRPr="00AB5154" w:rsidRDefault="00AB5154" w:rsidP="00AB5154">
            <w:pPr>
              <w:pStyle w:val="ListParagraph"/>
              <w:pBdr>
                <w:top w:val="nil"/>
                <w:left w:val="nil"/>
                <w:bottom w:val="nil"/>
                <w:right w:val="nil"/>
                <w:between w:val="nil"/>
                <w:bar w:val="nil"/>
              </w:pBdr>
              <w:spacing w:line="360" w:lineRule="auto"/>
              <w:ind w:left="1134"/>
              <w:jc w:val="both"/>
              <w:rPr>
                <w:rFonts w:ascii="Arial" w:hAnsi="Arial" w:cs="Arial"/>
                <w:sz w:val="24"/>
                <w:szCs w:val="24"/>
              </w:rPr>
            </w:pPr>
          </w:p>
          <w:p w14:paraId="6D2C600C" w14:textId="77777777" w:rsidR="00AB5154" w:rsidRPr="00AB5154" w:rsidRDefault="00AB5154" w:rsidP="00AB5154">
            <w:pPr>
              <w:pStyle w:val="ListParagraph"/>
              <w:numPr>
                <w:ilvl w:val="0"/>
                <w:numId w:val="35"/>
              </w:numPr>
              <w:pBdr>
                <w:top w:val="nil"/>
                <w:left w:val="nil"/>
                <w:bottom w:val="nil"/>
                <w:right w:val="nil"/>
                <w:between w:val="nil"/>
                <w:bar w:val="nil"/>
              </w:pBdr>
              <w:spacing w:after="160" w:line="360" w:lineRule="auto"/>
              <w:ind w:left="1134" w:hanging="567"/>
              <w:jc w:val="both"/>
              <w:rPr>
                <w:rFonts w:ascii="Arial" w:hAnsi="Arial" w:cs="Arial"/>
                <w:sz w:val="24"/>
                <w:szCs w:val="24"/>
              </w:rPr>
            </w:pPr>
            <w:r w:rsidRPr="00AB5154">
              <w:rPr>
                <w:rFonts w:ascii="Arial" w:hAnsi="Arial" w:cs="Arial"/>
                <w:sz w:val="24"/>
                <w:szCs w:val="24"/>
              </w:rPr>
              <w:t>The matter is stayed pending the furnishing of the security.</w:t>
            </w:r>
          </w:p>
          <w:p w14:paraId="5A6D915D" w14:textId="77777777" w:rsidR="00AB5154" w:rsidRPr="00AB5154" w:rsidRDefault="00AB5154" w:rsidP="00AB5154">
            <w:pPr>
              <w:pStyle w:val="ListParagraph"/>
              <w:pBdr>
                <w:top w:val="nil"/>
                <w:left w:val="nil"/>
                <w:bottom w:val="nil"/>
                <w:right w:val="nil"/>
                <w:between w:val="nil"/>
                <w:bar w:val="nil"/>
              </w:pBdr>
              <w:spacing w:line="360" w:lineRule="auto"/>
              <w:ind w:left="1134"/>
              <w:jc w:val="both"/>
              <w:rPr>
                <w:rFonts w:ascii="Arial" w:hAnsi="Arial" w:cs="Arial"/>
                <w:sz w:val="24"/>
                <w:szCs w:val="24"/>
              </w:rPr>
            </w:pPr>
          </w:p>
          <w:p w14:paraId="386E70EE" w14:textId="77777777" w:rsidR="00AB5154" w:rsidRPr="00AB5154" w:rsidRDefault="00AB5154" w:rsidP="00AB5154">
            <w:pPr>
              <w:pStyle w:val="ListParagraph"/>
              <w:numPr>
                <w:ilvl w:val="0"/>
                <w:numId w:val="35"/>
              </w:numPr>
              <w:pBdr>
                <w:top w:val="nil"/>
                <w:left w:val="nil"/>
                <w:bottom w:val="nil"/>
                <w:right w:val="nil"/>
                <w:between w:val="nil"/>
                <w:bar w:val="nil"/>
              </w:pBdr>
              <w:spacing w:after="160" w:line="360" w:lineRule="auto"/>
              <w:ind w:left="1134" w:hanging="567"/>
              <w:jc w:val="both"/>
              <w:rPr>
                <w:rFonts w:ascii="Arial" w:hAnsi="Arial" w:cs="Arial"/>
                <w:sz w:val="24"/>
                <w:szCs w:val="24"/>
              </w:rPr>
            </w:pPr>
            <w:r w:rsidRPr="00AB5154">
              <w:rPr>
                <w:rFonts w:ascii="Arial" w:hAnsi="Arial" w:cs="Arial"/>
                <w:sz w:val="24"/>
                <w:szCs w:val="24"/>
              </w:rPr>
              <w:t>The plaintiff is ordered to pay the second defendant’s costs and rule 32(11) of the rules of court does not apply.</w:t>
            </w:r>
          </w:p>
          <w:p w14:paraId="7FEF339F" w14:textId="77777777" w:rsidR="00AB5154" w:rsidRPr="00AB5154" w:rsidRDefault="00AB5154" w:rsidP="00AB5154">
            <w:pPr>
              <w:pStyle w:val="ListParagraph"/>
              <w:pBdr>
                <w:top w:val="nil"/>
                <w:left w:val="nil"/>
                <w:bottom w:val="nil"/>
                <w:right w:val="nil"/>
                <w:between w:val="nil"/>
                <w:bar w:val="nil"/>
              </w:pBdr>
              <w:spacing w:line="360" w:lineRule="auto"/>
              <w:ind w:left="1134"/>
              <w:jc w:val="both"/>
              <w:rPr>
                <w:rFonts w:ascii="Arial" w:hAnsi="Arial" w:cs="Arial"/>
                <w:sz w:val="24"/>
                <w:szCs w:val="24"/>
              </w:rPr>
            </w:pPr>
          </w:p>
          <w:p w14:paraId="169C60D0" w14:textId="77777777" w:rsidR="00AB5154" w:rsidRPr="00AB5154" w:rsidRDefault="00AB5154" w:rsidP="00AB5154">
            <w:pPr>
              <w:pStyle w:val="ListParagraph"/>
              <w:numPr>
                <w:ilvl w:val="0"/>
                <w:numId w:val="35"/>
              </w:numPr>
              <w:pBdr>
                <w:top w:val="nil"/>
                <w:left w:val="nil"/>
                <w:bottom w:val="nil"/>
                <w:right w:val="nil"/>
                <w:between w:val="nil"/>
                <w:bar w:val="nil"/>
              </w:pBdr>
              <w:spacing w:after="160" w:line="360" w:lineRule="auto"/>
              <w:ind w:left="1134" w:hanging="567"/>
              <w:jc w:val="both"/>
              <w:rPr>
                <w:rFonts w:ascii="Arial" w:hAnsi="Arial" w:cs="Arial"/>
                <w:sz w:val="24"/>
                <w:szCs w:val="24"/>
              </w:rPr>
            </w:pPr>
            <w:r w:rsidRPr="00AB5154">
              <w:rPr>
                <w:rFonts w:ascii="Arial" w:hAnsi="Arial" w:cs="Arial"/>
                <w:sz w:val="24"/>
                <w:szCs w:val="24"/>
              </w:rPr>
              <w:t xml:space="preserve">The matter is postponed to </w:t>
            </w:r>
            <w:r w:rsidRPr="00AB5154">
              <w:rPr>
                <w:rFonts w:ascii="Arial" w:hAnsi="Arial" w:cs="Arial"/>
                <w:b/>
                <w:bCs/>
                <w:sz w:val="24"/>
                <w:szCs w:val="24"/>
              </w:rPr>
              <w:t xml:space="preserve">21 September 2023 </w:t>
            </w:r>
            <w:r w:rsidRPr="000559BB">
              <w:rPr>
                <w:rFonts w:ascii="Arial" w:hAnsi="Arial" w:cs="Arial"/>
                <w:bCs/>
                <w:sz w:val="24"/>
                <w:szCs w:val="24"/>
              </w:rPr>
              <w:t>at</w:t>
            </w:r>
            <w:r w:rsidRPr="00AB5154">
              <w:rPr>
                <w:rFonts w:ascii="Arial" w:hAnsi="Arial" w:cs="Arial"/>
                <w:b/>
                <w:bCs/>
                <w:sz w:val="24"/>
                <w:szCs w:val="24"/>
              </w:rPr>
              <w:t xml:space="preserve"> 15:00</w:t>
            </w:r>
            <w:r w:rsidRPr="00AB5154">
              <w:rPr>
                <w:rFonts w:ascii="Arial" w:hAnsi="Arial" w:cs="Arial"/>
                <w:sz w:val="24"/>
                <w:szCs w:val="24"/>
              </w:rPr>
              <w:t xml:space="preserve"> for a status hearing.</w:t>
            </w:r>
          </w:p>
          <w:p w14:paraId="083ABD65" w14:textId="77777777" w:rsidR="00AB5154" w:rsidRPr="00AB5154" w:rsidRDefault="00AB5154" w:rsidP="00AB5154">
            <w:pPr>
              <w:pStyle w:val="ListParagraph"/>
              <w:rPr>
                <w:rFonts w:ascii="Arial" w:hAnsi="Arial" w:cs="Arial"/>
                <w:sz w:val="24"/>
                <w:szCs w:val="24"/>
              </w:rPr>
            </w:pPr>
          </w:p>
          <w:p w14:paraId="50807726" w14:textId="77777777" w:rsidR="00AB5154" w:rsidRPr="00AB5154" w:rsidRDefault="00AB5154" w:rsidP="00AB5154">
            <w:pPr>
              <w:pStyle w:val="ListParagraph"/>
              <w:numPr>
                <w:ilvl w:val="0"/>
                <w:numId w:val="35"/>
              </w:numPr>
              <w:pBdr>
                <w:top w:val="nil"/>
                <w:left w:val="nil"/>
                <w:bottom w:val="nil"/>
                <w:right w:val="nil"/>
                <w:between w:val="nil"/>
                <w:bar w:val="nil"/>
              </w:pBdr>
              <w:spacing w:after="160" w:line="360" w:lineRule="auto"/>
              <w:ind w:left="1134" w:hanging="567"/>
              <w:jc w:val="both"/>
              <w:rPr>
                <w:rFonts w:ascii="Arial" w:hAnsi="Arial" w:cs="Arial"/>
                <w:sz w:val="24"/>
                <w:szCs w:val="24"/>
              </w:rPr>
            </w:pPr>
            <w:r w:rsidRPr="00AB5154">
              <w:rPr>
                <w:rFonts w:ascii="Arial" w:hAnsi="Arial" w:cs="Arial"/>
                <w:sz w:val="24"/>
                <w:szCs w:val="24"/>
              </w:rPr>
              <w:t xml:space="preserve">The parties must deliver a joint status report on or before </w:t>
            </w:r>
            <w:r w:rsidRPr="00AB5154">
              <w:rPr>
                <w:rFonts w:ascii="Arial" w:hAnsi="Arial" w:cs="Arial"/>
                <w:b/>
                <w:sz w:val="24"/>
                <w:szCs w:val="24"/>
              </w:rPr>
              <w:t>14 September 2023</w:t>
            </w:r>
            <w:r w:rsidRPr="00AB5154">
              <w:rPr>
                <w:rFonts w:ascii="Arial" w:hAnsi="Arial" w:cs="Arial"/>
                <w:sz w:val="24"/>
                <w:szCs w:val="24"/>
              </w:rPr>
              <w:t>.</w:t>
            </w:r>
          </w:p>
          <w:p w14:paraId="50881B48" w14:textId="0868A795" w:rsidR="00AB5154" w:rsidRPr="00AB5154" w:rsidRDefault="00AB5154" w:rsidP="00AB5154">
            <w:pPr>
              <w:pBdr>
                <w:top w:val="nil"/>
                <w:left w:val="nil"/>
                <w:bottom w:val="nil"/>
                <w:right w:val="nil"/>
                <w:between w:val="nil"/>
                <w:bar w:val="nil"/>
              </w:pBdr>
              <w:spacing w:line="360" w:lineRule="auto"/>
              <w:jc w:val="both"/>
            </w:pPr>
          </w:p>
        </w:tc>
      </w:tr>
      <w:tr w:rsidR="001D6B3F" w:rsidRPr="001D6B3F" w14:paraId="669CD305" w14:textId="77777777" w:rsidTr="00004108">
        <w:tc>
          <w:tcPr>
            <w:tcW w:w="4770" w:type="dxa"/>
          </w:tcPr>
          <w:p w14:paraId="52935D9E" w14:textId="584F0219" w:rsidR="009C2E53" w:rsidRPr="001D6B3F" w:rsidRDefault="00BD2804" w:rsidP="007A6C9F">
            <w:pPr>
              <w:spacing w:line="360" w:lineRule="auto"/>
              <w:jc w:val="center"/>
              <w:rPr>
                <w:rFonts w:ascii="Arial" w:hAnsi="Arial" w:cs="Arial"/>
                <w:b/>
                <w:sz w:val="24"/>
                <w:szCs w:val="24"/>
              </w:rPr>
            </w:pPr>
            <w:r>
              <w:rPr>
                <w:rFonts w:ascii="Arial" w:hAnsi="Arial" w:cs="Arial"/>
                <w:b/>
                <w:sz w:val="24"/>
                <w:szCs w:val="24"/>
              </w:rPr>
              <w:lastRenderedPageBreak/>
              <w:t>Judge’s Signature</w:t>
            </w:r>
          </w:p>
        </w:tc>
        <w:tc>
          <w:tcPr>
            <w:tcW w:w="5706" w:type="dxa"/>
            <w:gridSpan w:val="2"/>
          </w:tcPr>
          <w:p w14:paraId="7A7B4897"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Note to the parties:</w:t>
            </w:r>
          </w:p>
        </w:tc>
      </w:tr>
      <w:tr w:rsidR="001D6B3F" w:rsidRPr="001D6B3F" w14:paraId="6F11AF53" w14:textId="77777777" w:rsidTr="00004108">
        <w:trPr>
          <w:trHeight w:val="1114"/>
        </w:trPr>
        <w:tc>
          <w:tcPr>
            <w:tcW w:w="4770" w:type="dxa"/>
          </w:tcPr>
          <w:p w14:paraId="295864EC" w14:textId="77777777" w:rsidR="009C2E53" w:rsidRPr="001D6B3F" w:rsidRDefault="009C2E53" w:rsidP="007A6C9F">
            <w:pPr>
              <w:spacing w:line="360" w:lineRule="auto"/>
              <w:jc w:val="both"/>
              <w:rPr>
                <w:rFonts w:ascii="Arial" w:hAnsi="Arial" w:cs="Arial"/>
                <w:sz w:val="24"/>
                <w:szCs w:val="24"/>
              </w:rPr>
            </w:pPr>
          </w:p>
          <w:p w14:paraId="3F24801C" w14:textId="77777777" w:rsidR="006541D3" w:rsidRPr="001D6B3F" w:rsidRDefault="006541D3" w:rsidP="007A6C9F">
            <w:pPr>
              <w:spacing w:line="360" w:lineRule="auto"/>
              <w:jc w:val="both"/>
              <w:rPr>
                <w:rFonts w:ascii="Arial" w:hAnsi="Arial" w:cs="Arial"/>
                <w:sz w:val="24"/>
                <w:szCs w:val="24"/>
              </w:rPr>
            </w:pPr>
          </w:p>
          <w:p w14:paraId="76538BDC" w14:textId="77777777" w:rsidR="00767C2D" w:rsidRPr="001D6B3F" w:rsidRDefault="00767C2D" w:rsidP="007A6C9F">
            <w:pPr>
              <w:spacing w:line="360" w:lineRule="auto"/>
              <w:jc w:val="both"/>
              <w:rPr>
                <w:rFonts w:ascii="Arial" w:hAnsi="Arial" w:cs="Arial"/>
                <w:sz w:val="24"/>
                <w:szCs w:val="24"/>
              </w:rPr>
            </w:pPr>
          </w:p>
          <w:p w14:paraId="7E296104" w14:textId="77777777" w:rsidR="009C2E53" w:rsidRPr="001D6B3F" w:rsidRDefault="009C2E53" w:rsidP="007A6C9F">
            <w:pPr>
              <w:spacing w:line="360" w:lineRule="auto"/>
              <w:jc w:val="both"/>
              <w:rPr>
                <w:rFonts w:ascii="Arial" w:hAnsi="Arial" w:cs="Arial"/>
                <w:sz w:val="24"/>
                <w:szCs w:val="24"/>
              </w:rPr>
            </w:pPr>
          </w:p>
        </w:tc>
        <w:tc>
          <w:tcPr>
            <w:tcW w:w="5706" w:type="dxa"/>
            <w:gridSpan w:val="2"/>
          </w:tcPr>
          <w:p w14:paraId="5821639B" w14:textId="77777777" w:rsidR="009C2E53" w:rsidRDefault="009C2E53" w:rsidP="000559BB">
            <w:pPr>
              <w:spacing w:line="360" w:lineRule="auto"/>
              <w:jc w:val="center"/>
              <w:rPr>
                <w:rFonts w:ascii="Arial" w:hAnsi="Arial" w:cs="Arial"/>
                <w:sz w:val="24"/>
                <w:szCs w:val="24"/>
              </w:rPr>
            </w:pPr>
          </w:p>
          <w:p w14:paraId="147BDE73" w14:textId="3248CB67" w:rsidR="000559BB" w:rsidRPr="001D6B3F" w:rsidRDefault="000559BB" w:rsidP="000559BB">
            <w:pPr>
              <w:spacing w:line="360" w:lineRule="auto"/>
              <w:jc w:val="center"/>
              <w:rPr>
                <w:rFonts w:ascii="Arial" w:hAnsi="Arial" w:cs="Arial"/>
                <w:sz w:val="24"/>
                <w:szCs w:val="24"/>
              </w:rPr>
            </w:pPr>
            <w:r>
              <w:rPr>
                <w:rFonts w:ascii="Arial" w:hAnsi="Arial" w:cs="Arial"/>
                <w:sz w:val="24"/>
                <w:szCs w:val="24"/>
              </w:rPr>
              <w:t>Not applicable.</w:t>
            </w:r>
          </w:p>
        </w:tc>
      </w:tr>
      <w:tr w:rsidR="001D6B3F" w:rsidRPr="001D6B3F" w14:paraId="0E0AAC03" w14:textId="77777777" w:rsidTr="00004108">
        <w:tc>
          <w:tcPr>
            <w:tcW w:w="10476" w:type="dxa"/>
            <w:gridSpan w:val="3"/>
          </w:tcPr>
          <w:p w14:paraId="14800348"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Counsel:</w:t>
            </w:r>
          </w:p>
        </w:tc>
      </w:tr>
      <w:tr w:rsidR="001D6B3F" w:rsidRPr="001D6B3F" w14:paraId="7F087206" w14:textId="77777777" w:rsidTr="00004108">
        <w:tc>
          <w:tcPr>
            <w:tcW w:w="4770" w:type="dxa"/>
          </w:tcPr>
          <w:p w14:paraId="4A75B42C" w14:textId="734D2446" w:rsidR="009C2E53" w:rsidRPr="001D6B3F" w:rsidRDefault="004026D2" w:rsidP="007A6C9F">
            <w:pPr>
              <w:spacing w:line="360" w:lineRule="auto"/>
              <w:jc w:val="center"/>
              <w:rPr>
                <w:rFonts w:ascii="Arial" w:hAnsi="Arial" w:cs="Arial"/>
                <w:b/>
                <w:sz w:val="24"/>
                <w:szCs w:val="24"/>
              </w:rPr>
            </w:pPr>
            <w:r>
              <w:rPr>
                <w:rFonts w:ascii="Arial" w:hAnsi="Arial" w:cs="Arial"/>
                <w:b/>
                <w:sz w:val="24"/>
                <w:szCs w:val="24"/>
              </w:rPr>
              <w:t>Plaintiff</w:t>
            </w:r>
          </w:p>
        </w:tc>
        <w:tc>
          <w:tcPr>
            <w:tcW w:w="5706" w:type="dxa"/>
            <w:gridSpan w:val="2"/>
          </w:tcPr>
          <w:p w14:paraId="208DE7F5" w14:textId="3472EE43" w:rsidR="009C2E53" w:rsidRPr="001D6B3F" w:rsidRDefault="00946DBB" w:rsidP="00946DBB">
            <w:pPr>
              <w:spacing w:line="360" w:lineRule="auto"/>
              <w:jc w:val="center"/>
              <w:rPr>
                <w:rFonts w:ascii="Arial" w:hAnsi="Arial" w:cs="Arial"/>
                <w:b/>
                <w:sz w:val="24"/>
                <w:szCs w:val="24"/>
              </w:rPr>
            </w:pPr>
            <w:r>
              <w:rPr>
                <w:rFonts w:ascii="Arial" w:hAnsi="Arial" w:cs="Arial"/>
                <w:b/>
                <w:sz w:val="24"/>
                <w:szCs w:val="24"/>
              </w:rPr>
              <w:t>Second d</w:t>
            </w:r>
            <w:r w:rsidR="004026D2">
              <w:rPr>
                <w:rFonts w:ascii="Arial" w:hAnsi="Arial" w:cs="Arial"/>
                <w:b/>
                <w:sz w:val="24"/>
                <w:szCs w:val="24"/>
              </w:rPr>
              <w:t>efendant</w:t>
            </w:r>
          </w:p>
        </w:tc>
      </w:tr>
      <w:tr w:rsidR="001D6B3F" w:rsidRPr="001D6B3F" w14:paraId="4A32A77D" w14:textId="77777777" w:rsidTr="00143B2D">
        <w:trPr>
          <w:trHeight w:val="989"/>
        </w:trPr>
        <w:tc>
          <w:tcPr>
            <w:tcW w:w="4770" w:type="dxa"/>
          </w:tcPr>
          <w:p w14:paraId="020B5016" w14:textId="77777777" w:rsidR="00AB71DC" w:rsidRPr="001D6B3F" w:rsidRDefault="00AB71DC" w:rsidP="007A6C9F">
            <w:pPr>
              <w:pStyle w:val="Body"/>
              <w:tabs>
                <w:tab w:val="left" w:pos="1394"/>
                <w:tab w:val="left" w:pos="2528"/>
                <w:tab w:val="left" w:pos="3780"/>
              </w:tabs>
              <w:spacing w:line="360" w:lineRule="auto"/>
              <w:rPr>
                <w:rFonts w:ascii="Arial" w:hAnsi="Arial" w:cs="Arial"/>
                <w:color w:val="auto"/>
                <w:sz w:val="24"/>
                <w:szCs w:val="24"/>
                <w:lang w:val="de-DE"/>
              </w:rPr>
            </w:pPr>
          </w:p>
          <w:p w14:paraId="1CFD5ACF" w14:textId="77777777" w:rsidR="00946DBB" w:rsidRDefault="00946DBB" w:rsidP="003C36C7">
            <w:pPr>
              <w:pStyle w:val="Body"/>
              <w:spacing w:line="360" w:lineRule="auto"/>
              <w:jc w:val="center"/>
              <w:rPr>
                <w:rFonts w:ascii="Arial" w:hAnsi="Arial" w:cs="Arial"/>
                <w:sz w:val="24"/>
                <w:szCs w:val="24"/>
              </w:rPr>
            </w:pPr>
            <w:r>
              <w:rPr>
                <w:rFonts w:ascii="Arial" w:hAnsi="Arial" w:cs="Arial"/>
                <w:sz w:val="24"/>
                <w:szCs w:val="24"/>
              </w:rPr>
              <w:t>TC</w:t>
            </w:r>
            <w:r w:rsidR="00861DB3">
              <w:rPr>
                <w:rFonts w:ascii="Arial" w:hAnsi="Arial" w:cs="Arial"/>
                <w:sz w:val="24"/>
                <w:szCs w:val="24"/>
              </w:rPr>
              <w:t xml:space="preserve"> </w:t>
            </w:r>
            <w:proofErr w:type="spellStart"/>
            <w:r w:rsidR="00294ED7">
              <w:rPr>
                <w:rFonts w:ascii="Arial" w:hAnsi="Arial" w:cs="Arial"/>
                <w:sz w:val="24"/>
                <w:szCs w:val="24"/>
              </w:rPr>
              <w:t>Phatela</w:t>
            </w:r>
            <w:proofErr w:type="spellEnd"/>
          </w:p>
          <w:p w14:paraId="3A292947" w14:textId="77777777" w:rsidR="003C36C7" w:rsidRDefault="00946DBB" w:rsidP="00946DBB">
            <w:pPr>
              <w:pStyle w:val="Body"/>
              <w:spacing w:line="360" w:lineRule="auto"/>
              <w:jc w:val="center"/>
              <w:rPr>
                <w:rFonts w:ascii="Arial" w:hAnsi="Arial" w:cs="Arial"/>
                <w:sz w:val="24"/>
                <w:szCs w:val="24"/>
              </w:rPr>
            </w:pPr>
            <w:r>
              <w:rPr>
                <w:rFonts w:ascii="Arial" w:hAnsi="Arial" w:cs="Arial"/>
                <w:sz w:val="24"/>
                <w:szCs w:val="24"/>
              </w:rPr>
              <w:t>I</w:t>
            </w:r>
            <w:r w:rsidR="00861DB3">
              <w:rPr>
                <w:rFonts w:ascii="Arial" w:hAnsi="Arial" w:cs="Arial"/>
                <w:sz w:val="24"/>
                <w:szCs w:val="24"/>
              </w:rPr>
              <w:t>nstructed by</w:t>
            </w:r>
            <w:r w:rsidR="003C36C7">
              <w:rPr>
                <w:rFonts w:ascii="Arial" w:hAnsi="Arial" w:cs="Arial"/>
                <w:sz w:val="24"/>
                <w:szCs w:val="24"/>
              </w:rPr>
              <w:t xml:space="preserve"> </w:t>
            </w:r>
            <w:proofErr w:type="spellStart"/>
            <w:r w:rsidR="00294ED7">
              <w:rPr>
                <w:rFonts w:ascii="Arial" w:hAnsi="Arial" w:cs="Arial"/>
                <w:sz w:val="24"/>
                <w:szCs w:val="24"/>
              </w:rPr>
              <w:t>Kadhila</w:t>
            </w:r>
            <w:proofErr w:type="spellEnd"/>
            <w:r w:rsidR="00294ED7">
              <w:rPr>
                <w:rFonts w:ascii="Arial" w:hAnsi="Arial" w:cs="Arial"/>
                <w:sz w:val="24"/>
                <w:szCs w:val="24"/>
              </w:rPr>
              <w:t xml:space="preserve"> </w:t>
            </w:r>
            <w:proofErr w:type="spellStart"/>
            <w:r w:rsidR="00294ED7">
              <w:rPr>
                <w:rFonts w:ascii="Arial" w:hAnsi="Arial" w:cs="Arial"/>
                <w:sz w:val="24"/>
                <w:szCs w:val="24"/>
              </w:rPr>
              <w:t>Amoomo</w:t>
            </w:r>
            <w:proofErr w:type="spellEnd"/>
            <w:r w:rsidR="00861DB3">
              <w:rPr>
                <w:rFonts w:ascii="Arial" w:hAnsi="Arial" w:cs="Arial"/>
                <w:sz w:val="24"/>
                <w:szCs w:val="24"/>
              </w:rPr>
              <w:t xml:space="preserve"> </w:t>
            </w:r>
            <w:r w:rsidR="00BD2804">
              <w:rPr>
                <w:rFonts w:ascii="Arial" w:hAnsi="Arial" w:cs="Arial"/>
                <w:sz w:val="24"/>
                <w:szCs w:val="24"/>
              </w:rPr>
              <w:t>Legal Practitioners</w:t>
            </w:r>
            <w:r>
              <w:rPr>
                <w:rFonts w:ascii="Arial" w:hAnsi="Arial" w:cs="Arial"/>
                <w:sz w:val="24"/>
                <w:szCs w:val="24"/>
              </w:rPr>
              <w:t>, Windhoek</w:t>
            </w:r>
          </w:p>
          <w:p w14:paraId="710D9D96" w14:textId="27752AB3" w:rsidR="000559BB" w:rsidRPr="001D6B3F" w:rsidRDefault="000559BB" w:rsidP="00946DBB">
            <w:pPr>
              <w:pStyle w:val="Body"/>
              <w:spacing w:line="360" w:lineRule="auto"/>
              <w:jc w:val="center"/>
              <w:rPr>
                <w:rFonts w:ascii="Arial" w:hAnsi="Arial" w:cs="Arial"/>
                <w:sz w:val="24"/>
                <w:szCs w:val="24"/>
              </w:rPr>
            </w:pPr>
          </w:p>
        </w:tc>
        <w:tc>
          <w:tcPr>
            <w:tcW w:w="5706" w:type="dxa"/>
            <w:gridSpan w:val="2"/>
          </w:tcPr>
          <w:p w14:paraId="32636BDE" w14:textId="77777777" w:rsidR="00AB71DC" w:rsidRPr="001D6B3F" w:rsidRDefault="00AB71DC" w:rsidP="007A6C9F">
            <w:pPr>
              <w:pStyle w:val="Body"/>
              <w:spacing w:line="360" w:lineRule="auto"/>
              <w:ind w:left="2520" w:hanging="2520"/>
              <w:jc w:val="both"/>
              <w:rPr>
                <w:rFonts w:ascii="Arial" w:hAnsi="Arial" w:cs="Arial"/>
                <w:color w:val="auto"/>
                <w:sz w:val="24"/>
                <w:szCs w:val="24"/>
                <w:lang w:val="en-US"/>
              </w:rPr>
            </w:pPr>
          </w:p>
          <w:p w14:paraId="3F7F1439" w14:textId="77777777" w:rsidR="00946DBB" w:rsidRDefault="00946DBB" w:rsidP="00EF1256">
            <w:pPr>
              <w:spacing w:line="360" w:lineRule="auto"/>
              <w:jc w:val="center"/>
              <w:rPr>
                <w:rFonts w:ascii="Arial" w:eastAsia="Arial Unicode MS" w:hAnsi="Arial" w:cs="Arial"/>
                <w:sz w:val="24"/>
                <w:szCs w:val="24"/>
                <w:u w:color="000000"/>
                <w:bdr w:val="nil"/>
                <w:lang w:val="en-US" w:eastAsia="en-GB"/>
              </w:rPr>
            </w:pPr>
            <w:r>
              <w:rPr>
                <w:rFonts w:ascii="Arial" w:eastAsia="Arial Unicode MS" w:hAnsi="Arial" w:cs="Arial"/>
                <w:sz w:val="24"/>
                <w:szCs w:val="24"/>
                <w:u w:color="000000"/>
                <w:bdr w:val="nil"/>
                <w:lang w:val="en-US" w:eastAsia="en-GB"/>
              </w:rPr>
              <w:t xml:space="preserve">S </w:t>
            </w:r>
            <w:proofErr w:type="spellStart"/>
            <w:r w:rsidR="00294ED7">
              <w:rPr>
                <w:rFonts w:ascii="Arial" w:eastAsia="Arial Unicode MS" w:hAnsi="Arial" w:cs="Arial"/>
                <w:sz w:val="24"/>
                <w:szCs w:val="24"/>
                <w:u w:color="000000"/>
                <w:bdr w:val="nil"/>
                <w:lang w:val="en-US" w:eastAsia="en-GB"/>
              </w:rPr>
              <w:t>Vlieghe</w:t>
            </w:r>
            <w:proofErr w:type="spellEnd"/>
          </w:p>
          <w:p w14:paraId="1E8AB446" w14:textId="27D9F74E" w:rsidR="009C2E53" w:rsidRPr="001D6B3F" w:rsidRDefault="00946DBB" w:rsidP="00946DBB">
            <w:pPr>
              <w:spacing w:line="360" w:lineRule="auto"/>
              <w:jc w:val="center"/>
              <w:rPr>
                <w:rFonts w:ascii="Arial" w:hAnsi="Arial" w:cs="Arial"/>
                <w:sz w:val="24"/>
                <w:szCs w:val="24"/>
              </w:rPr>
            </w:pPr>
            <w:r>
              <w:rPr>
                <w:rFonts w:ascii="Arial" w:eastAsia="Arial Unicode MS" w:hAnsi="Arial" w:cs="Arial"/>
                <w:sz w:val="24"/>
                <w:szCs w:val="24"/>
                <w:u w:color="000000"/>
                <w:bdr w:val="nil"/>
                <w:lang w:val="en-US" w:eastAsia="en-GB"/>
              </w:rPr>
              <w:t>O</w:t>
            </w:r>
            <w:r w:rsidR="005163E0">
              <w:rPr>
                <w:rFonts w:ascii="Arial" w:eastAsia="Arial Unicode MS" w:hAnsi="Arial" w:cs="Arial"/>
                <w:sz w:val="24"/>
                <w:szCs w:val="24"/>
                <w:u w:color="000000"/>
                <w:bdr w:val="nil"/>
                <w:lang w:val="en-US" w:eastAsia="en-GB"/>
              </w:rPr>
              <w:t>f</w:t>
            </w:r>
            <w:r>
              <w:rPr>
                <w:rFonts w:ascii="Arial" w:eastAsia="Arial Unicode MS" w:hAnsi="Arial" w:cs="Arial"/>
                <w:sz w:val="24"/>
                <w:szCs w:val="24"/>
                <w:u w:color="000000"/>
                <w:bdr w:val="nil"/>
                <w:lang w:val="en-US" w:eastAsia="en-GB"/>
              </w:rPr>
              <w:t xml:space="preserve"> </w:t>
            </w:r>
            <w:proofErr w:type="spellStart"/>
            <w:r>
              <w:rPr>
                <w:rFonts w:ascii="Arial" w:hAnsi="Arial" w:cs="Arial"/>
                <w:sz w:val="24"/>
                <w:szCs w:val="24"/>
              </w:rPr>
              <w:t>Koep</w:t>
            </w:r>
            <w:proofErr w:type="spellEnd"/>
            <w:r>
              <w:rPr>
                <w:rFonts w:ascii="Arial" w:hAnsi="Arial" w:cs="Arial"/>
                <w:sz w:val="24"/>
                <w:szCs w:val="24"/>
              </w:rPr>
              <w:t xml:space="preserve"> &amp; Partners, Windhoek</w:t>
            </w:r>
          </w:p>
        </w:tc>
      </w:tr>
    </w:tbl>
    <w:p w14:paraId="145039E2" w14:textId="77777777" w:rsidR="009C2E53" w:rsidRPr="001D6B3F" w:rsidRDefault="009C2E53" w:rsidP="00EF1256">
      <w:pPr>
        <w:spacing w:after="0" w:line="360" w:lineRule="auto"/>
        <w:jc w:val="both"/>
      </w:pPr>
    </w:p>
    <w:sectPr w:rsidR="009C2E53" w:rsidRPr="001D6B3F" w:rsidSect="0092145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4FA84" w14:textId="77777777" w:rsidR="007350E9" w:rsidRDefault="007350E9" w:rsidP="009C2E53">
      <w:pPr>
        <w:spacing w:after="0" w:line="240" w:lineRule="auto"/>
      </w:pPr>
      <w:r>
        <w:separator/>
      </w:r>
    </w:p>
  </w:endnote>
  <w:endnote w:type="continuationSeparator" w:id="0">
    <w:p w14:paraId="37934BCF" w14:textId="77777777" w:rsidR="007350E9" w:rsidRDefault="007350E9"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7234F" w14:textId="77777777" w:rsidR="007350E9" w:rsidRDefault="007350E9" w:rsidP="009C2E53">
      <w:pPr>
        <w:spacing w:after="0" w:line="240" w:lineRule="auto"/>
      </w:pPr>
      <w:r>
        <w:separator/>
      </w:r>
    </w:p>
  </w:footnote>
  <w:footnote w:type="continuationSeparator" w:id="0">
    <w:p w14:paraId="3D9CA228" w14:textId="77777777" w:rsidR="007350E9" w:rsidRDefault="007350E9" w:rsidP="009C2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874228"/>
      <w:docPartObj>
        <w:docPartGallery w:val="Page Numbers (Top of Page)"/>
        <w:docPartUnique/>
      </w:docPartObj>
    </w:sdtPr>
    <w:sdtEndPr>
      <w:rPr>
        <w:noProof/>
      </w:rPr>
    </w:sdtEndPr>
    <w:sdtContent>
      <w:p w14:paraId="05CAB710" w14:textId="77777777" w:rsidR="00921456" w:rsidRPr="00186A43" w:rsidRDefault="00921456">
        <w:pPr>
          <w:pStyle w:val="Header"/>
          <w:jc w:val="right"/>
        </w:pPr>
        <w:r w:rsidRPr="00186A43">
          <w:fldChar w:fldCharType="begin"/>
        </w:r>
        <w:r w:rsidRPr="00186A43">
          <w:instrText xml:space="preserve"> PAGE   \* MERGEFORMAT </w:instrText>
        </w:r>
        <w:r w:rsidRPr="00186A43">
          <w:fldChar w:fldCharType="separate"/>
        </w:r>
        <w:r w:rsidR="00565AF6">
          <w:rPr>
            <w:noProof/>
          </w:rPr>
          <w:t>2</w:t>
        </w:r>
        <w:r w:rsidRPr="00186A43">
          <w:rPr>
            <w:noProof/>
          </w:rPr>
          <w:fldChar w:fldCharType="end"/>
        </w:r>
      </w:p>
    </w:sdtContent>
  </w:sdt>
  <w:p w14:paraId="4CDD9004" w14:textId="77777777" w:rsidR="00921456" w:rsidRPr="00186A43"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2ED"/>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974E17"/>
    <w:multiLevelType w:val="hybridMultilevel"/>
    <w:tmpl w:val="0BFC282C"/>
    <w:lvl w:ilvl="0" w:tplc="FFFFFFFF">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33315"/>
    <w:multiLevelType w:val="hybridMultilevel"/>
    <w:tmpl w:val="9E9C4AEE"/>
    <w:lvl w:ilvl="0" w:tplc="537AE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973B1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060151"/>
    <w:multiLevelType w:val="multilevel"/>
    <w:tmpl w:val="95E27E26"/>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1C661A2A"/>
    <w:multiLevelType w:val="hybridMultilevel"/>
    <w:tmpl w:val="0BFC282C"/>
    <w:styleLink w:val="ImportedStyle1"/>
    <w:lvl w:ilvl="0" w:tplc="AE92CB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E7D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A466E8">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BAA5F7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466FD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F8AC9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A2A66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4E5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34AC3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0B859B1"/>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3A538B"/>
    <w:multiLevelType w:val="hybridMultilevel"/>
    <w:tmpl w:val="7040E2EA"/>
    <w:lvl w:ilvl="0" w:tplc="9E1651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29742A3"/>
    <w:multiLevelType w:val="hybridMultilevel"/>
    <w:tmpl w:val="16CAB464"/>
    <w:lvl w:ilvl="0" w:tplc="8D543254">
      <w:start w:val="1"/>
      <w:numFmt w:val="decimal"/>
      <w:lvlText w:val="%1."/>
      <w:lvlJc w:val="left"/>
      <w:pPr>
        <w:ind w:left="400" w:hanging="360"/>
      </w:pPr>
      <w:rPr>
        <w:rFonts w:hint="default"/>
      </w:rPr>
    </w:lvl>
    <w:lvl w:ilvl="1" w:tplc="08090019">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1">
    <w:nsid w:val="29E748B6"/>
    <w:multiLevelType w:val="hybridMultilevel"/>
    <w:tmpl w:val="C928A57E"/>
    <w:lvl w:ilvl="0" w:tplc="DBA62ADC">
      <w:start w:val="1"/>
      <w:numFmt w:val="lowerLetter"/>
      <w:lvlText w:val="%1."/>
      <w:lvlJc w:val="left"/>
      <w:pPr>
        <w:ind w:left="1480" w:hanging="360"/>
      </w:pPr>
      <w:rPr>
        <w:rFonts w:hint="default"/>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12">
    <w:nsid w:val="2C4F0883"/>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F933FA"/>
    <w:multiLevelType w:val="hybridMultilevel"/>
    <w:tmpl w:val="2EF4A836"/>
    <w:lvl w:ilvl="0" w:tplc="DB945EB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329A0BF3"/>
    <w:multiLevelType w:val="hybridMultilevel"/>
    <w:tmpl w:val="9CA60A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37FE4B0E"/>
    <w:multiLevelType w:val="hybridMultilevel"/>
    <w:tmpl w:val="1C44DE6A"/>
    <w:lvl w:ilvl="0" w:tplc="2DF2EE6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01487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944E5F"/>
    <w:multiLevelType w:val="hybridMultilevel"/>
    <w:tmpl w:val="332C92F2"/>
    <w:lvl w:ilvl="0" w:tplc="441694E8">
      <w:start w:val="1"/>
      <w:numFmt w:val="decimal"/>
      <w:lvlText w:val="%1."/>
      <w:lvlJc w:val="left"/>
      <w:pPr>
        <w:ind w:left="1080" w:hanging="360"/>
      </w:pPr>
      <w:rPr>
        <w:rFonts w:asciiTheme="minorHAnsi" w:hAnsiTheme="minorHAnsi"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38B5DE0"/>
    <w:multiLevelType w:val="multilevel"/>
    <w:tmpl w:val="0BFC282C"/>
    <w:numStyleLink w:val="ImportedStyle1"/>
  </w:abstractNum>
  <w:abstractNum w:abstractNumId="19">
    <w:nsid w:val="43DA3C2F"/>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DA7651"/>
    <w:multiLevelType w:val="hybridMultilevel"/>
    <w:tmpl w:val="8236D9A2"/>
    <w:lvl w:ilvl="0" w:tplc="202CB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A53BD5"/>
    <w:multiLevelType w:val="hybridMultilevel"/>
    <w:tmpl w:val="A4A86F12"/>
    <w:lvl w:ilvl="0" w:tplc="975644B0">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8C3A45"/>
    <w:multiLevelType w:val="hybridMultilevel"/>
    <w:tmpl w:val="D3DAE798"/>
    <w:lvl w:ilvl="0" w:tplc="7C1CD4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9C320C4"/>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B660941"/>
    <w:multiLevelType w:val="hybridMultilevel"/>
    <w:tmpl w:val="16CAB464"/>
    <w:lvl w:ilvl="0" w:tplc="8D543254">
      <w:start w:val="1"/>
      <w:numFmt w:val="decimal"/>
      <w:lvlText w:val="%1."/>
      <w:lvlJc w:val="left"/>
      <w:pPr>
        <w:ind w:left="400" w:hanging="360"/>
      </w:pPr>
      <w:rPr>
        <w:rFonts w:hint="default"/>
      </w:rPr>
    </w:lvl>
    <w:lvl w:ilvl="1" w:tplc="08090019">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8">
    <w:nsid w:val="6E16189F"/>
    <w:multiLevelType w:val="hybridMultilevel"/>
    <w:tmpl w:val="123611EC"/>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5EA5DBB"/>
    <w:multiLevelType w:val="hybridMultilevel"/>
    <w:tmpl w:val="58041394"/>
    <w:lvl w:ilvl="0" w:tplc="BBB80C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1A7003"/>
    <w:multiLevelType w:val="multilevel"/>
    <w:tmpl w:val="09FEC6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8F92A0D"/>
    <w:multiLevelType w:val="hybridMultilevel"/>
    <w:tmpl w:val="16CAB464"/>
    <w:lvl w:ilvl="0" w:tplc="FFFFFFFF">
      <w:start w:val="1"/>
      <w:numFmt w:val="decimal"/>
      <w:lvlText w:val="%1."/>
      <w:lvlJc w:val="left"/>
      <w:pPr>
        <w:ind w:left="400" w:hanging="360"/>
      </w:pPr>
      <w:rPr>
        <w:rFonts w:hint="default"/>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32">
    <w:nsid w:val="7DB310C5"/>
    <w:multiLevelType w:val="hybridMultilevel"/>
    <w:tmpl w:val="10D2A062"/>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9623DC"/>
    <w:multiLevelType w:val="hybridMultilevel"/>
    <w:tmpl w:val="A2DC6B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454FD8"/>
    <w:multiLevelType w:val="hybridMultilevel"/>
    <w:tmpl w:val="055E2F52"/>
    <w:lvl w:ilvl="0" w:tplc="202CB0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3"/>
  </w:num>
  <w:num w:numId="2">
    <w:abstractNumId w:val="0"/>
  </w:num>
  <w:num w:numId="3">
    <w:abstractNumId w:val="3"/>
  </w:num>
  <w:num w:numId="4">
    <w:abstractNumId w:val="22"/>
  </w:num>
  <w:num w:numId="5">
    <w:abstractNumId w:val="21"/>
  </w:num>
  <w:num w:numId="6">
    <w:abstractNumId w:val="15"/>
  </w:num>
  <w:num w:numId="7">
    <w:abstractNumId w:val="9"/>
  </w:num>
  <w:num w:numId="8">
    <w:abstractNumId w:val="30"/>
  </w:num>
  <w:num w:numId="9">
    <w:abstractNumId w:val="14"/>
  </w:num>
  <w:num w:numId="10">
    <w:abstractNumId w:val="34"/>
  </w:num>
  <w:num w:numId="11">
    <w:abstractNumId w:val="25"/>
  </w:num>
  <w:num w:numId="12">
    <w:abstractNumId w:val="5"/>
  </w:num>
  <w:num w:numId="13">
    <w:abstractNumId w:val="20"/>
  </w:num>
  <w:num w:numId="14">
    <w:abstractNumId w:val="29"/>
  </w:num>
  <w:num w:numId="15">
    <w:abstractNumId w:val="33"/>
  </w:num>
  <w:num w:numId="16">
    <w:abstractNumId w:val="8"/>
  </w:num>
  <w:num w:numId="17">
    <w:abstractNumId w:val="7"/>
  </w:num>
  <w:num w:numId="18">
    <w:abstractNumId w:val="18"/>
  </w:num>
  <w:num w:numId="19">
    <w:abstractNumId w:val="16"/>
  </w:num>
  <w:num w:numId="20">
    <w:abstractNumId w:val="19"/>
  </w:num>
  <w:num w:numId="21">
    <w:abstractNumId w:val="4"/>
  </w:num>
  <w:num w:numId="22">
    <w:abstractNumId w:val="12"/>
  </w:num>
  <w:num w:numId="23">
    <w:abstractNumId w:val="28"/>
  </w:num>
  <w:num w:numId="24">
    <w:abstractNumId w:val="2"/>
  </w:num>
  <w:num w:numId="25">
    <w:abstractNumId w:val="24"/>
  </w:num>
  <w:num w:numId="26">
    <w:abstractNumId w:val="1"/>
  </w:num>
  <w:num w:numId="27">
    <w:abstractNumId w:val="26"/>
  </w:num>
  <w:num w:numId="28">
    <w:abstractNumId w:val="17"/>
  </w:num>
  <w:num w:numId="29">
    <w:abstractNumId w:val="10"/>
  </w:num>
  <w:num w:numId="30">
    <w:abstractNumId w:val="13"/>
  </w:num>
  <w:num w:numId="31">
    <w:abstractNumId w:val="31"/>
  </w:num>
  <w:num w:numId="32">
    <w:abstractNumId w:val="6"/>
  </w:num>
  <w:num w:numId="33">
    <w:abstractNumId w:val="11"/>
  </w:num>
  <w:num w:numId="34">
    <w:abstractNumId w:val="3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53"/>
    <w:rsid w:val="00004108"/>
    <w:rsid w:val="00004E1C"/>
    <w:rsid w:val="0001446E"/>
    <w:rsid w:val="000151DD"/>
    <w:rsid w:val="00025639"/>
    <w:rsid w:val="00025819"/>
    <w:rsid w:val="00025D47"/>
    <w:rsid w:val="00027317"/>
    <w:rsid w:val="00034287"/>
    <w:rsid w:val="00037066"/>
    <w:rsid w:val="000424AD"/>
    <w:rsid w:val="000517D9"/>
    <w:rsid w:val="000519A2"/>
    <w:rsid w:val="000559BB"/>
    <w:rsid w:val="00060136"/>
    <w:rsid w:val="000672C0"/>
    <w:rsid w:val="000736B6"/>
    <w:rsid w:val="000742B3"/>
    <w:rsid w:val="000817FE"/>
    <w:rsid w:val="000837AE"/>
    <w:rsid w:val="00093110"/>
    <w:rsid w:val="00094B6B"/>
    <w:rsid w:val="00096F9F"/>
    <w:rsid w:val="00097233"/>
    <w:rsid w:val="000A193C"/>
    <w:rsid w:val="000A2690"/>
    <w:rsid w:val="000A2C5F"/>
    <w:rsid w:val="000B2A0C"/>
    <w:rsid w:val="000B2FEC"/>
    <w:rsid w:val="000B33EE"/>
    <w:rsid w:val="000C0916"/>
    <w:rsid w:val="000C61B9"/>
    <w:rsid w:val="000C665C"/>
    <w:rsid w:val="000D0405"/>
    <w:rsid w:val="000D1FDC"/>
    <w:rsid w:val="000D4D37"/>
    <w:rsid w:val="000E775F"/>
    <w:rsid w:val="000F6149"/>
    <w:rsid w:val="0010178E"/>
    <w:rsid w:val="0010758D"/>
    <w:rsid w:val="00107F84"/>
    <w:rsid w:val="00116A1A"/>
    <w:rsid w:val="00132669"/>
    <w:rsid w:val="0013278F"/>
    <w:rsid w:val="00137D18"/>
    <w:rsid w:val="00142FF4"/>
    <w:rsid w:val="00143B2D"/>
    <w:rsid w:val="0014516C"/>
    <w:rsid w:val="00154A5A"/>
    <w:rsid w:val="001624C1"/>
    <w:rsid w:val="001704E1"/>
    <w:rsid w:val="001770FA"/>
    <w:rsid w:val="001779B3"/>
    <w:rsid w:val="001844BF"/>
    <w:rsid w:val="00186A43"/>
    <w:rsid w:val="001A0DD0"/>
    <w:rsid w:val="001A5C0F"/>
    <w:rsid w:val="001B0AC2"/>
    <w:rsid w:val="001B27F4"/>
    <w:rsid w:val="001C4DB1"/>
    <w:rsid w:val="001C7592"/>
    <w:rsid w:val="001D2A5E"/>
    <w:rsid w:val="001D51E3"/>
    <w:rsid w:val="001D6B3F"/>
    <w:rsid w:val="001E267B"/>
    <w:rsid w:val="001E704F"/>
    <w:rsid w:val="001F058C"/>
    <w:rsid w:val="001F0F22"/>
    <w:rsid w:val="002031DC"/>
    <w:rsid w:val="00210099"/>
    <w:rsid w:val="002120B7"/>
    <w:rsid w:val="0021222B"/>
    <w:rsid w:val="002150D0"/>
    <w:rsid w:val="002158A2"/>
    <w:rsid w:val="00222BB5"/>
    <w:rsid w:val="00225D4A"/>
    <w:rsid w:val="0023037A"/>
    <w:rsid w:val="00236038"/>
    <w:rsid w:val="00241358"/>
    <w:rsid w:val="002478E9"/>
    <w:rsid w:val="002524E6"/>
    <w:rsid w:val="00257708"/>
    <w:rsid w:val="00267876"/>
    <w:rsid w:val="00280EA1"/>
    <w:rsid w:val="002828CA"/>
    <w:rsid w:val="00284B5E"/>
    <w:rsid w:val="00287260"/>
    <w:rsid w:val="00287E41"/>
    <w:rsid w:val="00294ED7"/>
    <w:rsid w:val="00297DDA"/>
    <w:rsid w:val="002A1B18"/>
    <w:rsid w:val="002C6EF9"/>
    <w:rsid w:val="002C7062"/>
    <w:rsid w:val="002D0858"/>
    <w:rsid w:val="002D15B0"/>
    <w:rsid w:val="002D1DC3"/>
    <w:rsid w:val="002D269C"/>
    <w:rsid w:val="002D5299"/>
    <w:rsid w:val="002D6C03"/>
    <w:rsid w:val="002E66C4"/>
    <w:rsid w:val="002E779F"/>
    <w:rsid w:val="002F00E2"/>
    <w:rsid w:val="002F3562"/>
    <w:rsid w:val="003058A9"/>
    <w:rsid w:val="00315844"/>
    <w:rsid w:val="00324AA6"/>
    <w:rsid w:val="00333FE2"/>
    <w:rsid w:val="0034027A"/>
    <w:rsid w:val="00341784"/>
    <w:rsid w:val="00342991"/>
    <w:rsid w:val="0034778E"/>
    <w:rsid w:val="00351E67"/>
    <w:rsid w:val="00387CE2"/>
    <w:rsid w:val="00390CAF"/>
    <w:rsid w:val="0039792A"/>
    <w:rsid w:val="003A526C"/>
    <w:rsid w:val="003B0C0D"/>
    <w:rsid w:val="003C36C7"/>
    <w:rsid w:val="003D5992"/>
    <w:rsid w:val="003E72DC"/>
    <w:rsid w:val="003E7B95"/>
    <w:rsid w:val="00402207"/>
    <w:rsid w:val="004026D2"/>
    <w:rsid w:val="00413140"/>
    <w:rsid w:val="004144C1"/>
    <w:rsid w:val="00415ECC"/>
    <w:rsid w:val="00422E74"/>
    <w:rsid w:val="00425504"/>
    <w:rsid w:val="00430B52"/>
    <w:rsid w:val="004317EE"/>
    <w:rsid w:val="004344CE"/>
    <w:rsid w:val="00434726"/>
    <w:rsid w:val="00435A41"/>
    <w:rsid w:val="004366B2"/>
    <w:rsid w:val="00451B47"/>
    <w:rsid w:val="00456486"/>
    <w:rsid w:val="00457481"/>
    <w:rsid w:val="004754F8"/>
    <w:rsid w:val="00477431"/>
    <w:rsid w:val="00481062"/>
    <w:rsid w:val="00485708"/>
    <w:rsid w:val="004861BA"/>
    <w:rsid w:val="004871A9"/>
    <w:rsid w:val="004878D3"/>
    <w:rsid w:val="00487903"/>
    <w:rsid w:val="004907F9"/>
    <w:rsid w:val="00491EAE"/>
    <w:rsid w:val="004B2FE6"/>
    <w:rsid w:val="004B53A5"/>
    <w:rsid w:val="004D065E"/>
    <w:rsid w:val="004D4C46"/>
    <w:rsid w:val="004F1FD3"/>
    <w:rsid w:val="00505F77"/>
    <w:rsid w:val="005078CC"/>
    <w:rsid w:val="005163E0"/>
    <w:rsid w:val="005216C7"/>
    <w:rsid w:val="00526AE0"/>
    <w:rsid w:val="00541FBD"/>
    <w:rsid w:val="00545657"/>
    <w:rsid w:val="005508CE"/>
    <w:rsid w:val="00554726"/>
    <w:rsid w:val="005603F6"/>
    <w:rsid w:val="0056301B"/>
    <w:rsid w:val="00565AF6"/>
    <w:rsid w:val="00565BB8"/>
    <w:rsid w:val="00567834"/>
    <w:rsid w:val="00585F20"/>
    <w:rsid w:val="0059672C"/>
    <w:rsid w:val="005A1127"/>
    <w:rsid w:val="005A563B"/>
    <w:rsid w:val="005A6186"/>
    <w:rsid w:val="005A6CAD"/>
    <w:rsid w:val="005B2317"/>
    <w:rsid w:val="005B4252"/>
    <w:rsid w:val="005B6AF5"/>
    <w:rsid w:val="005C2B5B"/>
    <w:rsid w:val="005C6BBF"/>
    <w:rsid w:val="005C7CE9"/>
    <w:rsid w:val="005F15B0"/>
    <w:rsid w:val="0061062B"/>
    <w:rsid w:val="00610D63"/>
    <w:rsid w:val="00612016"/>
    <w:rsid w:val="00613617"/>
    <w:rsid w:val="00615C9E"/>
    <w:rsid w:val="00616F75"/>
    <w:rsid w:val="00620B70"/>
    <w:rsid w:val="00623D17"/>
    <w:rsid w:val="0062691A"/>
    <w:rsid w:val="006336AA"/>
    <w:rsid w:val="00635F3C"/>
    <w:rsid w:val="006412F6"/>
    <w:rsid w:val="00645A84"/>
    <w:rsid w:val="00651263"/>
    <w:rsid w:val="006535B8"/>
    <w:rsid w:val="006541D3"/>
    <w:rsid w:val="006647C4"/>
    <w:rsid w:val="00670308"/>
    <w:rsid w:val="00681908"/>
    <w:rsid w:val="0068252C"/>
    <w:rsid w:val="00687169"/>
    <w:rsid w:val="00690F37"/>
    <w:rsid w:val="00696D63"/>
    <w:rsid w:val="006A3ED5"/>
    <w:rsid w:val="006A6F0A"/>
    <w:rsid w:val="006A70AE"/>
    <w:rsid w:val="006B1FAF"/>
    <w:rsid w:val="006D1B3B"/>
    <w:rsid w:val="006D56F0"/>
    <w:rsid w:val="006E333C"/>
    <w:rsid w:val="006F061A"/>
    <w:rsid w:val="006F0D59"/>
    <w:rsid w:val="006F4187"/>
    <w:rsid w:val="006F46F0"/>
    <w:rsid w:val="006F59B4"/>
    <w:rsid w:val="0070040A"/>
    <w:rsid w:val="00702353"/>
    <w:rsid w:val="0071150C"/>
    <w:rsid w:val="00732ACD"/>
    <w:rsid w:val="007350E9"/>
    <w:rsid w:val="00743DD5"/>
    <w:rsid w:val="00747D74"/>
    <w:rsid w:val="007575C3"/>
    <w:rsid w:val="00757C37"/>
    <w:rsid w:val="00761719"/>
    <w:rsid w:val="00762FA5"/>
    <w:rsid w:val="00763F15"/>
    <w:rsid w:val="00767C2D"/>
    <w:rsid w:val="007769C4"/>
    <w:rsid w:val="0078556A"/>
    <w:rsid w:val="00785A19"/>
    <w:rsid w:val="00786210"/>
    <w:rsid w:val="007869DA"/>
    <w:rsid w:val="00790EA0"/>
    <w:rsid w:val="007A0885"/>
    <w:rsid w:val="007A1297"/>
    <w:rsid w:val="007A47D1"/>
    <w:rsid w:val="007A6C9F"/>
    <w:rsid w:val="007B3B1A"/>
    <w:rsid w:val="007C269A"/>
    <w:rsid w:val="007C332D"/>
    <w:rsid w:val="007C3A10"/>
    <w:rsid w:val="007C4839"/>
    <w:rsid w:val="007D16A2"/>
    <w:rsid w:val="007E02B3"/>
    <w:rsid w:val="007E07B7"/>
    <w:rsid w:val="007E4920"/>
    <w:rsid w:val="00800AC1"/>
    <w:rsid w:val="0080430F"/>
    <w:rsid w:val="00806035"/>
    <w:rsid w:val="00816185"/>
    <w:rsid w:val="00827401"/>
    <w:rsid w:val="00830251"/>
    <w:rsid w:val="008305AC"/>
    <w:rsid w:val="0083558F"/>
    <w:rsid w:val="00836BD1"/>
    <w:rsid w:val="008423D7"/>
    <w:rsid w:val="00844048"/>
    <w:rsid w:val="00853431"/>
    <w:rsid w:val="0085426A"/>
    <w:rsid w:val="008551FE"/>
    <w:rsid w:val="008565EB"/>
    <w:rsid w:val="008606C6"/>
    <w:rsid w:val="00860CCB"/>
    <w:rsid w:val="00860DD8"/>
    <w:rsid w:val="00861DB3"/>
    <w:rsid w:val="008663D6"/>
    <w:rsid w:val="008673E6"/>
    <w:rsid w:val="00892829"/>
    <w:rsid w:val="008967AD"/>
    <w:rsid w:val="008A0762"/>
    <w:rsid w:val="008A08AC"/>
    <w:rsid w:val="008A538A"/>
    <w:rsid w:val="008B5105"/>
    <w:rsid w:val="008C57B8"/>
    <w:rsid w:val="008D19DA"/>
    <w:rsid w:val="008E45D1"/>
    <w:rsid w:val="008F25A9"/>
    <w:rsid w:val="008F5DB4"/>
    <w:rsid w:val="008F6970"/>
    <w:rsid w:val="00902E6F"/>
    <w:rsid w:val="00903018"/>
    <w:rsid w:val="0091528B"/>
    <w:rsid w:val="00915353"/>
    <w:rsid w:val="00921456"/>
    <w:rsid w:val="009263CF"/>
    <w:rsid w:val="00927307"/>
    <w:rsid w:val="00932CE7"/>
    <w:rsid w:val="0093629F"/>
    <w:rsid w:val="00946DBB"/>
    <w:rsid w:val="0094700D"/>
    <w:rsid w:val="00947477"/>
    <w:rsid w:val="00950801"/>
    <w:rsid w:val="009541BC"/>
    <w:rsid w:val="00955D5B"/>
    <w:rsid w:val="00960DF5"/>
    <w:rsid w:val="009709CA"/>
    <w:rsid w:val="00977B79"/>
    <w:rsid w:val="0098376D"/>
    <w:rsid w:val="00985AEF"/>
    <w:rsid w:val="009953E1"/>
    <w:rsid w:val="009A0698"/>
    <w:rsid w:val="009A546A"/>
    <w:rsid w:val="009B4064"/>
    <w:rsid w:val="009C0E21"/>
    <w:rsid w:val="009C2E53"/>
    <w:rsid w:val="009C7F33"/>
    <w:rsid w:val="009E14BF"/>
    <w:rsid w:val="009E230A"/>
    <w:rsid w:val="009E2727"/>
    <w:rsid w:val="009E2E4C"/>
    <w:rsid w:val="009E5A4E"/>
    <w:rsid w:val="009F5E08"/>
    <w:rsid w:val="00A1092D"/>
    <w:rsid w:val="00A13E17"/>
    <w:rsid w:val="00A21FEC"/>
    <w:rsid w:val="00A23D7A"/>
    <w:rsid w:val="00A323D3"/>
    <w:rsid w:val="00A4043F"/>
    <w:rsid w:val="00A410ED"/>
    <w:rsid w:val="00A425A3"/>
    <w:rsid w:val="00A42F85"/>
    <w:rsid w:val="00A46E6E"/>
    <w:rsid w:val="00A6384C"/>
    <w:rsid w:val="00A64F72"/>
    <w:rsid w:val="00A67C72"/>
    <w:rsid w:val="00A71593"/>
    <w:rsid w:val="00A74743"/>
    <w:rsid w:val="00A74B21"/>
    <w:rsid w:val="00A842FE"/>
    <w:rsid w:val="00A87B0D"/>
    <w:rsid w:val="00A910C6"/>
    <w:rsid w:val="00A91A42"/>
    <w:rsid w:val="00A97F7A"/>
    <w:rsid w:val="00AA273F"/>
    <w:rsid w:val="00AA5692"/>
    <w:rsid w:val="00AB05C3"/>
    <w:rsid w:val="00AB5154"/>
    <w:rsid w:val="00AB620F"/>
    <w:rsid w:val="00AB71DC"/>
    <w:rsid w:val="00AD0B95"/>
    <w:rsid w:val="00AD7322"/>
    <w:rsid w:val="00AE316C"/>
    <w:rsid w:val="00AE74DE"/>
    <w:rsid w:val="00AF5CB7"/>
    <w:rsid w:val="00AF6F03"/>
    <w:rsid w:val="00AF7F00"/>
    <w:rsid w:val="00B00FB8"/>
    <w:rsid w:val="00B02BBA"/>
    <w:rsid w:val="00B054C7"/>
    <w:rsid w:val="00B100A9"/>
    <w:rsid w:val="00B10272"/>
    <w:rsid w:val="00B150A5"/>
    <w:rsid w:val="00B1705C"/>
    <w:rsid w:val="00B24EBD"/>
    <w:rsid w:val="00B250A0"/>
    <w:rsid w:val="00B34271"/>
    <w:rsid w:val="00B45749"/>
    <w:rsid w:val="00B51EC6"/>
    <w:rsid w:val="00B70021"/>
    <w:rsid w:val="00B7088E"/>
    <w:rsid w:val="00B72EF0"/>
    <w:rsid w:val="00B83D2B"/>
    <w:rsid w:val="00B83DE6"/>
    <w:rsid w:val="00B86B6C"/>
    <w:rsid w:val="00B9293D"/>
    <w:rsid w:val="00B96167"/>
    <w:rsid w:val="00B977BB"/>
    <w:rsid w:val="00BA0064"/>
    <w:rsid w:val="00BA30AF"/>
    <w:rsid w:val="00BA5110"/>
    <w:rsid w:val="00BA589D"/>
    <w:rsid w:val="00BB389F"/>
    <w:rsid w:val="00BB4C55"/>
    <w:rsid w:val="00BC175B"/>
    <w:rsid w:val="00BD1D47"/>
    <w:rsid w:val="00BD2804"/>
    <w:rsid w:val="00BE299F"/>
    <w:rsid w:val="00BE2D9E"/>
    <w:rsid w:val="00BE4D00"/>
    <w:rsid w:val="00BE51C3"/>
    <w:rsid w:val="00BF01F9"/>
    <w:rsid w:val="00C03CC7"/>
    <w:rsid w:val="00C04427"/>
    <w:rsid w:val="00C07E77"/>
    <w:rsid w:val="00C110A8"/>
    <w:rsid w:val="00C132D3"/>
    <w:rsid w:val="00C268A6"/>
    <w:rsid w:val="00C27546"/>
    <w:rsid w:val="00C605F1"/>
    <w:rsid w:val="00C82668"/>
    <w:rsid w:val="00C9626D"/>
    <w:rsid w:val="00CA686A"/>
    <w:rsid w:val="00CA718B"/>
    <w:rsid w:val="00CB18E2"/>
    <w:rsid w:val="00CB34EB"/>
    <w:rsid w:val="00CC0F00"/>
    <w:rsid w:val="00CC1C2A"/>
    <w:rsid w:val="00CD1FEB"/>
    <w:rsid w:val="00CE7562"/>
    <w:rsid w:val="00CF2C83"/>
    <w:rsid w:val="00CF776D"/>
    <w:rsid w:val="00D16B8B"/>
    <w:rsid w:val="00D20765"/>
    <w:rsid w:val="00D27B89"/>
    <w:rsid w:val="00D30791"/>
    <w:rsid w:val="00D35A93"/>
    <w:rsid w:val="00D3707E"/>
    <w:rsid w:val="00D40C32"/>
    <w:rsid w:val="00D40C34"/>
    <w:rsid w:val="00D41E73"/>
    <w:rsid w:val="00D54141"/>
    <w:rsid w:val="00D5791B"/>
    <w:rsid w:val="00D66539"/>
    <w:rsid w:val="00D66F00"/>
    <w:rsid w:val="00D70077"/>
    <w:rsid w:val="00D76531"/>
    <w:rsid w:val="00D824EC"/>
    <w:rsid w:val="00D9033A"/>
    <w:rsid w:val="00D9575E"/>
    <w:rsid w:val="00DA37E5"/>
    <w:rsid w:val="00DA5986"/>
    <w:rsid w:val="00DA6297"/>
    <w:rsid w:val="00DB74B4"/>
    <w:rsid w:val="00DC3422"/>
    <w:rsid w:val="00DC489D"/>
    <w:rsid w:val="00DC6364"/>
    <w:rsid w:val="00DD344A"/>
    <w:rsid w:val="00DE1496"/>
    <w:rsid w:val="00DE769E"/>
    <w:rsid w:val="00DF1513"/>
    <w:rsid w:val="00E12E77"/>
    <w:rsid w:val="00E148A8"/>
    <w:rsid w:val="00E3091C"/>
    <w:rsid w:val="00E42D42"/>
    <w:rsid w:val="00E51483"/>
    <w:rsid w:val="00E5545B"/>
    <w:rsid w:val="00E644B8"/>
    <w:rsid w:val="00E6536C"/>
    <w:rsid w:val="00E65ECF"/>
    <w:rsid w:val="00E8057B"/>
    <w:rsid w:val="00E81E4F"/>
    <w:rsid w:val="00E96C11"/>
    <w:rsid w:val="00EA38E7"/>
    <w:rsid w:val="00EA73CD"/>
    <w:rsid w:val="00EB00D4"/>
    <w:rsid w:val="00EC1212"/>
    <w:rsid w:val="00ED3037"/>
    <w:rsid w:val="00ED65C4"/>
    <w:rsid w:val="00EE6EEE"/>
    <w:rsid w:val="00EF1256"/>
    <w:rsid w:val="00EF19BD"/>
    <w:rsid w:val="00EF4AE3"/>
    <w:rsid w:val="00EF5666"/>
    <w:rsid w:val="00EF706E"/>
    <w:rsid w:val="00F0028E"/>
    <w:rsid w:val="00F047A9"/>
    <w:rsid w:val="00F130DF"/>
    <w:rsid w:val="00F275ED"/>
    <w:rsid w:val="00F30215"/>
    <w:rsid w:val="00F336D4"/>
    <w:rsid w:val="00F359A1"/>
    <w:rsid w:val="00F4643D"/>
    <w:rsid w:val="00F5745F"/>
    <w:rsid w:val="00F63DB3"/>
    <w:rsid w:val="00F70E67"/>
    <w:rsid w:val="00F7230F"/>
    <w:rsid w:val="00F769CD"/>
    <w:rsid w:val="00F771BA"/>
    <w:rsid w:val="00F779BA"/>
    <w:rsid w:val="00F80FED"/>
    <w:rsid w:val="00F82631"/>
    <w:rsid w:val="00F94271"/>
    <w:rsid w:val="00F952CA"/>
    <w:rsid w:val="00F97DB8"/>
    <w:rsid w:val="00FC026A"/>
    <w:rsid w:val="00FC28F3"/>
    <w:rsid w:val="00FD6593"/>
    <w:rsid w:val="00FF0593"/>
    <w:rsid w:val="00FF162B"/>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2023-08-16T18:30:00+00:00</Judgment_x0020_Date>
    <Year xmlns="c1afb1bd-f2fb-40fd-9abb-aea55b4d7662">2023</Year>
  </documentManagement>
</p:properties>
</file>

<file path=customXml/itemProps1.xml><?xml version="1.0" encoding="utf-8"?>
<ds:datastoreItem xmlns:ds="http://schemas.openxmlformats.org/officeDocument/2006/customXml" ds:itemID="{09258CFC-F01A-4189-9086-356F77D7802B}"/>
</file>

<file path=customXml/itemProps2.xml><?xml version="1.0" encoding="utf-8"?>
<ds:datastoreItem xmlns:ds="http://schemas.openxmlformats.org/officeDocument/2006/customXml" ds:itemID="{D1FAE8FA-D38D-4A96-B8BC-57EC8A16216A}"/>
</file>

<file path=customXml/itemProps3.xml><?xml version="1.0" encoding="utf-8"?>
<ds:datastoreItem xmlns:ds="http://schemas.openxmlformats.org/officeDocument/2006/customXml" ds:itemID="{6B56BEF8-E621-4A6C-95AC-17BC05F31D36}"/>
</file>

<file path=customXml/itemProps4.xml><?xml version="1.0" encoding="utf-8"?>
<ds:datastoreItem xmlns:ds="http://schemas.openxmlformats.org/officeDocument/2006/customXml" ds:itemID="{0779CB28-109E-48E9-BB7E-75B00FAD247D}"/>
</file>

<file path=docProps/app.xml><?xml version="1.0" encoding="utf-8"?>
<Properties xmlns="http://schemas.openxmlformats.org/officeDocument/2006/extended-properties" xmlns:vt="http://schemas.openxmlformats.org/officeDocument/2006/docPropsVTypes">
  <Template>Normal</Template>
  <TotalTime>209</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KEJ Road Safety Services CC v Roads Authority of Namibia (HC-MD-CIV-ACT-CON-2022-00028) [2023] NAHCMD 506 (17 August 2023)</dc:title>
  <dc:subject/>
  <dc:creator>Prinsloo Hannelie</dc:creator>
  <cp:keywords/>
  <dc:description/>
  <cp:lastModifiedBy>Dean-Marlo Titus</cp:lastModifiedBy>
  <cp:revision>7</cp:revision>
  <cp:lastPrinted>2023-08-17T08:27:00Z</cp:lastPrinted>
  <dcterms:created xsi:type="dcterms:W3CDTF">2023-08-08T07:50:00Z</dcterms:created>
  <dcterms:modified xsi:type="dcterms:W3CDTF">2023-08-17T08:28:00Z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