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CE33" w14:textId="77777777" w:rsidR="00184C3A" w:rsidRPr="00077FC7" w:rsidRDefault="00184C3A" w:rsidP="00184C3A">
      <w:pPr>
        <w:spacing w:after="0" w:line="360" w:lineRule="auto"/>
        <w:jc w:val="center"/>
        <w:rPr>
          <w:rFonts w:ascii="Arial" w:hAnsi="Arial" w:cs="Arial"/>
          <w:b/>
          <w:sz w:val="24"/>
          <w:szCs w:val="24"/>
        </w:rPr>
      </w:pPr>
      <w:r w:rsidRPr="00077FC7">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47606414" wp14:editId="57EC1C52">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14:paraId="7EE33195" w14:textId="77777777" w:rsidR="007A3658" w:rsidRDefault="007A3658"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06414"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" strokecolor="white">
                <v:textbox>
                  <w:txbxContent>
                    <w:p w14:paraId="7EE33195" w14:textId="77777777" w:rsidR="007A3658" w:rsidRDefault="007A3658" w:rsidP="00184C3A">
                      <w:pPr>
                        <w:jc w:val="center"/>
                      </w:pPr>
                    </w:p>
                  </w:txbxContent>
                </v:textbox>
              </v:shape>
            </w:pict>
          </mc:Fallback>
        </mc:AlternateContent>
      </w:r>
      <w:r w:rsidR="00526DEF">
        <w:rPr>
          <w:rFonts w:ascii="Arial" w:hAnsi="Arial" w:cs="Arial"/>
          <w:b/>
          <w:sz w:val="24"/>
          <w:szCs w:val="24"/>
        </w:rPr>
        <w:t xml:space="preserve"> </w:t>
      </w:r>
      <w:r w:rsidRPr="00077FC7">
        <w:rPr>
          <w:rFonts w:ascii="Arial" w:hAnsi="Arial" w:cs="Arial"/>
          <w:b/>
          <w:sz w:val="24"/>
          <w:szCs w:val="24"/>
        </w:rPr>
        <w:t>REPUBLIC OF NAMIBIA</w:t>
      </w:r>
    </w:p>
    <w:p w14:paraId="0FCC6335" w14:textId="77777777" w:rsidR="00184C3A" w:rsidRPr="00077FC7" w:rsidRDefault="00184C3A" w:rsidP="00184C3A">
      <w:pPr>
        <w:spacing w:after="0" w:line="360" w:lineRule="auto"/>
        <w:jc w:val="center"/>
        <w:rPr>
          <w:rFonts w:ascii="Arial" w:hAnsi="Arial" w:cs="Arial"/>
          <w:b/>
          <w:sz w:val="28"/>
          <w:szCs w:val="32"/>
        </w:rPr>
      </w:pPr>
      <w:r w:rsidRPr="00077FC7">
        <w:rPr>
          <w:rFonts w:ascii="Arial" w:hAnsi="Arial" w:cs="Arial"/>
          <w:b/>
          <w:noProof/>
          <w:sz w:val="32"/>
          <w:szCs w:val="32"/>
          <w:lang w:val="en-ZA" w:eastAsia="en-ZA"/>
        </w:rPr>
        <w:drawing>
          <wp:inline distT="0" distB="0" distL="0" distR="0" wp14:anchorId="18075374" wp14:editId="6C193E9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2F06924A" w14:textId="77777777" w:rsidR="00184C3A" w:rsidRPr="00077FC7" w:rsidRDefault="006616D2" w:rsidP="00184C3A">
      <w:pPr>
        <w:spacing w:after="0" w:line="360" w:lineRule="auto"/>
        <w:jc w:val="center"/>
        <w:rPr>
          <w:rFonts w:ascii="Arial" w:hAnsi="Arial" w:cs="Arial"/>
          <w:bCs/>
          <w:sz w:val="24"/>
          <w:szCs w:val="24"/>
        </w:rPr>
      </w:pPr>
      <w:r>
        <w:rPr>
          <w:rFonts w:ascii="Arial" w:hAnsi="Arial" w:cs="Arial"/>
          <w:b/>
          <w:sz w:val="24"/>
          <w:szCs w:val="24"/>
        </w:rPr>
        <w:t>HIGH</w:t>
      </w:r>
      <w:r w:rsidR="000F5D13">
        <w:rPr>
          <w:rFonts w:ascii="Arial" w:hAnsi="Arial" w:cs="Arial"/>
          <w:b/>
          <w:sz w:val="24"/>
          <w:szCs w:val="24"/>
        </w:rPr>
        <w:t xml:space="preserve"> </w:t>
      </w:r>
      <w:r w:rsidR="00184C3A" w:rsidRPr="00077FC7">
        <w:rPr>
          <w:rFonts w:ascii="Arial" w:hAnsi="Arial" w:cs="Arial"/>
          <w:b/>
          <w:sz w:val="24"/>
          <w:szCs w:val="24"/>
        </w:rPr>
        <w:t>COURT OF NAMIBIA MAIN DIVISION, WINDHOEK</w:t>
      </w:r>
    </w:p>
    <w:p w14:paraId="2A26F6E7" w14:textId="77777777" w:rsidR="00184C3A" w:rsidRPr="00077FC7" w:rsidRDefault="00184C3A" w:rsidP="00184C3A">
      <w:pPr>
        <w:spacing w:after="0" w:line="360" w:lineRule="auto"/>
        <w:jc w:val="center"/>
        <w:rPr>
          <w:rFonts w:ascii="Arial" w:hAnsi="Arial" w:cs="Arial"/>
          <w:bCs/>
          <w:sz w:val="24"/>
          <w:szCs w:val="24"/>
        </w:rPr>
      </w:pPr>
    </w:p>
    <w:p w14:paraId="33DAC37A" w14:textId="77777777" w:rsidR="00184C3A" w:rsidRPr="00077FC7" w:rsidRDefault="00184C3A" w:rsidP="00184C3A">
      <w:pPr>
        <w:spacing w:after="0" w:line="360" w:lineRule="auto"/>
        <w:jc w:val="center"/>
        <w:rPr>
          <w:rFonts w:ascii="Arial" w:hAnsi="Arial" w:cs="Arial"/>
          <w:b/>
          <w:sz w:val="24"/>
          <w:szCs w:val="24"/>
        </w:rPr>
      </w:pPr>
      <w:r>
        <w:rPr>
          <w:rFonts w:ascii="Arial" w:hAnsi="Arial" w:cs="Arial"/>
          <w:b/>
          <w:sz w:val="24"/>
          <w:szCs w:val="24"/>
        </w:rPr>
        <w:t>JUDGMENT</w:t>
      </w:r>
    </w:p>
    <w:p w14:paraId="6A89E4B4" w14:textId="77777777" w:rsidR="00184C3A" w:rsidRPr="006E2B3B" w:rsidRDefault="00184C3A" w:rsidP="00184C3A">
      <w:pPr>
        <w:spacing w:after="0" w:line="360" w:lineRule="auto"/>
        <w:jc w:val="center"/>
        <w:rPr>
          <w:rFonts w:ascii="Arial" w:hAnsi="Arial" w:cs="Arial"/>
          <w:b/>
          <w:sz w:val="24"/>
          <w:szCs w:val="24"/>
        </w:rPr>
      </w:pPr>
    </w:p>
    <w:p w14:paraId="4717AEDF" w14:textId="77777777" w:rsidR="00F348BE" w:rsidRDefault="00184C3A" w:rsidP="00184C3A">
      <w:pPr>
        <w:tabs>
          <w:tab w:val="right" w:pos="9000"/>
        </w:tabs>
        <w:spacing w:after="0" w:line="360" w:lineRule="auto"/>
        <w:jc w:val="both"/>
        <w:rPr>
          <w:rFonts w:ascii="Arial" w:hAnsi="Arial" w:cs="Arial"/>
          <w:sz w:val="24"/>
          <w:szCs w:val="24"/>
        </w:rPr>
      </w:pPr>
      <w:r w:rsidRPr="006E2B3B">
        <w:rPr>
          <w:rFonts w:ascii="Arial" w:hAnsi="Arial" w:cs="Arial"/>
          <w:b/>
          <w:sz w:val="24"/>
          <w:szCs w:val="24"/>
        </w:rPr>
        <w:tab/>
      </w:r>
      <w:r w:rsidRPr="006E2B3B">
        <w:rPr>
          <w:rFonts w:ascii="Arial" w:hAnsi="Arial" w:cs="Arial"/>
          <w:sz w:val="24"/>
          <w:szCs w:val="24"/>
        </w:rPr>
        <w:t xml:space="preserve">Case </w:t>
      </w:r>
      <w:r w:rsidR="00082338">
        <w:rPr>
          <w:rFonts w:ascii="Arial" w:hAnsi="Arial" w:cs="Arial"/>
          <w:sz w:val="24"/>
          <w:szCs w:val="24"/>
        </w:rPr>
        <w:t>n</w:t>
      </w:r>
      <w:r w:rsidRPr="006E2B3B">
        <w:rPr>
          <w:rFonts w:ascii="Arial" w:hAnsi="Arial" w:cs="Arial"/>
          <w:sz w:val="24"/>
          <w:szCs w:val="24"/>
        </w:rPr>
        <w:t xml:space="preserve">o: </w:t>
      </w:r>
      <w:r w:rsidR="009758C6" w:rsidRPr="009758C6">
        <w:rPr>
          <w:rFonts w:ascii="Arial" w:hAnsi="Arial" w:cs="Arial"/>
          <w:sz w:val="24"/>
          <w:szCs w:val="24"/>
        </w:rPr>
        <w:t xml:space="preserve"> </w:t>
      </w:r>
      <w:r w:rsidR="00585174" w:rsidRPr="00585174">
        <w:rPr>
          <w:rFonts w:ascii="Arial" w:hAnsi="Arial" w:cs="Arial"/>
          <w:sz w:val="24"/>
          <w:szCs w:val="24"/>
        </w:rPr>
        <w:t>HC-MD-CIV-ACT-OTH-2022/01796</w:t>
      </w:r>
    </w:p>
    <w:p w14:paraId="729C86E9" w14:textId="77777777" w:rsidR="00184C3A" w:rsidRPr="007667D3" w:rsidRDefault="00184C3A" w:rsidP="007667D3">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14:paraId="79F09A0B" w14:textId="77777777" w:rsidR="00A612E9" w:rsidRDefault="00A612E9" w:rsidP="006C3AF0">
      <w:pPr>
        <w:spacing w:after="3" w:line="265" w:lineRule="auto"/>
        <w:ind w:left="33" w:right="25" w:hanging="10"/>
        <w:jc w:val="both"/>
        <w:rPr>
          <w:rFonts w:ascii="Arial" w:eastAsia="Arial Unicode MS" w:hAnsi="Arial" w:cs="Arial"/>
          <w:color w:val="000000"/>
          <w:sz w:val="24"/>
          <w:szCs w:val="24"/>
        </w:rPr>
      </w:pPr>
    </w:p>
    <w:p w14:paraId="1E528C83" w14:textId="77777777" w:rsidR="006C3AF0" w:rsidRPr="006C3AF0" w:rsidRDefault="00585174" w:rsidP="006C3AF0">
      <w:pPr>
        <w:spacing w:after="3" w:line="265" w:lineRule="auto"/>
        <w:ind w:left="33" w:right="25" w:hanging="10"/>
        <w:jc w:val="both"/>
        <w:rPr>
          <w:rFonts w:ascii="Arial" w:eastAsia="Arial Unicode MS" w:hAnsi="Arial" w:cs="Arial"/>
          <w:b/>
          <w:color w:val="000000"/>
          <w:sz w:val="24"/>
          <w:szCs w:val="24"/>
        </w:rPr>
      </w:pPr>
      <w:r w:rsidRPr="00585174">
        <w:rPr>
          <w:rFonts w:ascii="Arial" w:eastAsia="Arial Unicode MS" w:hAnsi="Arial" w:cs="Arial"/>
          <w:b/>
          <w:color w:val="000000"/>
          <w:sz w:val="24"/>
          <w:szCs w:val="24"/>
        </w:rPr>
        <w:t>HENNING ASMUS SEELENBINDER</w:t>
      </w:r>
      <w:r>
        <w:rPr>
          <w:rFonts w:ascii="Arial" w:eastAsia="Arial Unicode MS" w:hAnsi="Arial" w:cs="Arial"/>
          <w:b/>
          <w:color w:val="000000"/>
          <w:sz w:val="24"/>
          <w:szCs w:val="24"/>
        </w:rPr>
        <w:tab/>
      </w:r>
      <w:r w:rsidR="006C3AF0">
        <w:rPr>
          <w:rFonts w:ascii="Arial" w:eastAsia="Arial Unicode MS" w:hAnsi="Arial" w:cs="Arial"/>
          <w:b/>
          <w:color w:val="000000"/>
          <w:sz w:val="24"/>
          <w:szCs w:val="24"/>
        </w:rPr>
        <w:tab/>
      </w:r>
      <w:r w:rsidR="006C3AF0" w:rsidRPr="006C3AF0">
        <w:rPr>
          <w:rFonts w:ascii="Arial" w:eastAsia="Arial Unicode MS" w:hAnsi="Arial" w:cs="Arial"/>
          <w:b/>
          <w:color w:val="000000"/>
          <w:sz w:val="24"/>
          <w:szCs w:val="24"/>
        </w:rPr>
        <w:tab/>
      </w:r>
      <w:r w:rsidR="001525BC">
        <w:rPr>
          <w:rFonts w:ascii="Arial" w:eastAsia="Arial Unicode MS" w:hAnsi="Arial" w:cs="Arial"/>
          <w:b/>
          <w:color w:val="000000"/>
          <w:sz w:val="24"/>
          <w:szCs w:val="24"/>
        </w:rPr>
        <w:tab/>
      </w:r>
      <w:r w:rsidR="000F5D13">
        <w:rPr>
          <w:rFonts w:ascii="Arial" w:eastAsia="Arial Unicode MS" w:hAnsi="Arial" w:cs="Arial"/>
          <w:b/>
          <w:color w:val="000000"/>
          <w:sz w:val="24"/>
          <w:szCs w:val="24"/>
        </w:rPr>
        <w:tab/>
        <w:t xml:space="preserve">   </w:t>
      </w:r>
      <w:r>
        <w:rPr>
          <w:rFonts w:ascii="Arial" w:eastAsia="Arial Unicode MS" w:hAnsi="Arial" w:cs="Arial"/>
          <w:b/>
          <w:color w:val="000000"/>
          <w:sz w:val="24"/>
          <w:szCs w:val="24"/>
        </w:rPr>
        <w:t xml:space="preserve">  </w:t>
      </w:r>
      <w:r w:rsidR="001525BC">
        <w:rPr>
          <w:rFonts w:ascii="Arial" w:eastAsia="Arial Unicode MS" w:hAnsi="Arial" w:cs="Arial"/>
          <w:b/>
          <w:color w:val="000000"/>
          <w:sz w:val="24"/>
          <w:szCs w:val="24"/>
        </w:rPr>
        <w:t xml:space="preserve">   </w:t>
      </w:r>
      <w:r w:rsidR="00F348BE" w:rsidRPr="006C3AF0">
        <w:rPr>
          <w:rFonts w:ascii="Arial" w:eastAsia="Arial Unicode MS" w:hAnsi="Arial" w:cs="Arial"/>
          <w:b/>
          <w:color w:val="000000"/>
          <w:sz w:val="24"/>
          <w:szCs w:val="24"/>
        </w:rPr>
        <w:t xml:space="preserve"> </w:t>
      </w:r>
      <w:r w:rsidRPr="00585174">
        <w:rPr>
          <w:rFonts w:ascii="Arial" w:eastAsia="Arial Unicode MS" w:hAnsi="Arial" w:cs="Arial"/>
          <w:b/>
          <w:color w:val="000000"/>
          <w:sz w:val="24"/>
          <w:szCs w:val="24"/>
        </w:rPr>
        <w:t>PLAINTIFF</w:t>
      </w:r>
    </w:p>
    <w:p w14:paraId="5FE54273" w14:textId="77777777" w:rsidR="006C3AF0" w:rsidRPr="006C3AF0" w:rsidRDefault="006C3AF0" w:rsidP="006C3AF0">
      <w:pPr>
        <w:spacing w:after="3" w:line="265" w:lineRule="auto"/>
        <w:ind w:left="33" w:right="25" w:hanging="10"/>
        <w:jc w:val="both"/>
        <w:rPr>
          <w:rFonts w:ascii="Arial" w:eastAsia="Arial Unicode MS" w:hAnsi="Arial" w:cs="Arial"/>
          <w:color w:val="000000"/>
          <w:sz w:val="24"/>
          <w:szCs w:val="24"/>
        </w:rPr>
      </w:pPr>
    </w:p>
    <w:p w14:paraId="79330CD7" w14:textId="77777777" w:rsidR="006C3AF0" w:rsidRPr="006C3AF0" w:rsidRDefault="006C3AF0" w:rsidP="006C3AF0">
      <w:pPr>
        <w:spacing w:after="3" w:line="265" w:lineRule="auto"/>
        <w:ind w:left="33" w:right="25" w:hanging="10"/>
        <w:jc w:val="both"/>
        <w:rPr>
          <w:rFonts w:ascii="Arial" w:eastAsia="Arial Unicode MS" w:hAnsi="Arial" w:cs="Arial"/>
          <w:color w:val="000000"/>
          <w:sz w:val="24"/>
          <w:szCs w:val="24"/>
        </w:rPr>
      </w:pPr>
      <w:r w:rsidRPr="006C3AF0">
        <w:rPr>
          <w:rFonts w:ascii="Arial" w:eastAsia="Arial Unicode MS" w:hAnsi="Arial" w:cs="Arial"/>
          <w:color w:val="000000"/>
          <w:sz w:val="24"/>
          <w:szCs w:val="24"/>
        </w:rPr>
        <w:t>and</w:t>
      </w:r>
    </w:p>
    <w:p w14:paraId="368096DB" w14:textId="77777777" w:rsidR="006C3AF0" w:rsidRPr="006C3AF0" w:rsidRDefault="006C3AF0" w:rsidP="006C3AF0">
      <w:pPr>
        <w:spacing w:after="3" w:line="265" w:lineRule="auto"/>
        <w:ind w:left="33" w:right="25" w:hanging="10"/>
        <w:jc w:val="both"/>
        <w:rPr>
          <w:rFonts w:ascii="Arial" w:eastAsia="Arial Unicode MS" w:hAnsi="Arial" w:cs="Arial"/>
          <w:color w:val="000000"/>
          <w:sz w:val="24"/>
          <w:szCs w:val="24"/>
        </w:rPr>
      </w:pPr>
    </w:p>
    <w:p w14:paraId="7E28280C" w14:textId="77777777" w:rsidR="00585174" w:rsidRDefault="00585174" w:rsidP="00835F89">
      <w:pPr>
        <w:spacing w:after="3" w:line="480" w:lineRule="auto"/>
        <w:ind w:left="33" w:right="25" w:hanging="10"/>
        <w:jc w:val="both"/>
        <w:rPr>
          <w:rFonts w:ascii="Arial" w:eastAsia="Arial Unicode MS" w:hAnsi="Arial" w:cs="Arial"/>
          <w:b/>
          <w:color w:val="000000"/>
          <w:sz w:val="24"/>
          <w:szCs w:val="24"/>
        </w:rPr>
      </w:pPr>
      <w:r w:rsidRPr="00585174">
        <w:rPr>
          <w:rFonts w:ascii="Arial" w:eastAsia="Arial Unicode MS" w:hAnsi="Arial" w:cs="Arial"/>
          <w:b/>
          <w:color w:val="000000"/>
          <w:sz w:val="24"/>
          <w:szCs w:val="24"/>
        </w:rPr>
        <w:t>FISCHER SEELENBINDER ASSOCIATES CC</w:t>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sidR="00A612E9">
        <w:rPr>
          <w:rFonts w:ascii="Arial" w:eastAsia="Arial Unicode MS" w:hAnsi="Arial" w:cs="Arial"/>
          <w:b/>
          <w:color w:val="000000"/>
          <w:sz w:val="24"/>
          <w:szCs w:val="24"/>
        </w:rPr>
        <w:t xml:space="preserve"> </w:t>
      </w:r>
      <w:r>
        <w:rPr>
          <w:rFonts w:ascii="Arial" w:eastAsia="Arial Unicode MS" w:hAnsi="Arial" w:cs="Arial"/>
          <w:b/>
          <w:color w:val="000000"/>
          <w:sz w:val="24"/>
          <w:szCs w:val="24"/>
        </w:rPr>
        <w:t xml:space="preserve">  </w:t>
      </w:r>
      <w:r w:rsidR="00A612E9">
        <w:rPr>
          <w:rFonts w:ascii="Arial" w:eastAsia="Arial Unicode MS" w:hAnsi="Arial" w:cs="Arial"/>
          <w:b/>
          <w:color w:val="000000"/>
          <w:sz w:val="24"/>
          <w:szCs w:val="24"/>
        </w:rPr>
        <w:t xml:space="preserve">  </w:t>
      </w:r>
      <w:r w:rsidRPr="00585174">
        <w:rPr>
          <w:rFonts w:ascii="Arial" w:eastAsia="Arial Unicode MS" w:hAnsi="Arial" w:cs="Arial"/>
          <w:b/>
          <w:color w:val="000000"/>
          <w:sz w:val="24"/>
          <w:szCs w:val="24"/>
        </w:rPr>
        <w:t>DEFENDANT</w:t>
      </w:r>
    </w:p>
    <w:p w14:paraId="6595420D" w14:textId="77777777" w:rsidR="00FC4490" w:rsidRDefault="00FC4490" w:rsidP="006D32EE">
      <w:pPr>
        <w:spacing w:after="0" w:line="360" w:lineRule="auto"/>
        <w:ind w:hanging="2160"/>
        <w:jc w:val="both"/>
        <w:rPr>
          <w:rFonts w:ascii="Arial" w:hAnsi="Arial" w:cs="Arial"/>
          <w:b/>
          <w:sz w:val="24"/>
          <w:szCs w:val="24"/>
        </w:rPr>
      </w:pPr>
    </w:p>
    <w:p w14:paraId="2A13E9EE" w14:textId="77777777" w:rsidR="00184C3A" w:rsidRPr="00280F03" w:rsidRDefault="00184C3A" w:rsidP="002E2B32">
      <w:pPr>
        <w:spacing w:after="0" w:line="360" w:lineRule="auto"/>
        <w:ind w:left="2127" w:hanging="2127"/>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r w:rsidR="00585174" w:rsidRPr="00585174">
        <w:rPr>
          <w:rFonts w:ascii="Arial" w:hAnsi="Arial" w:cs="Arial"/>
          <w:i/>
          <w:sz w:val="24"/>
          <w:szCs w:val="24"/>
        </w:rPr>
        <w:t>Seelenbinder</w:t>
      </w:r>
      <w:r w:rsidR="00720245" w:rsidRPr="00835F89">
        <w:rPr>
          <w:rFonts w:ascii="Arial" w:eastAsia="Times New Roman" w:hAnsi="Arial" w:cs="Arial"/>
          <w:i/>
          <w:sz w:val="24"/>
          <w:szCs w:val="24"/>
          <w:lang w:eastAsia="en-GB"/>
        </w:rPr>
        <w:t xml:space="preserve"> </w:t>
      </w:r>
      <w:r w:rsidRPr="00D56390">
        <w:rPr>
          <w:rFonts w:ascii="Arial" w:eastAsia="Times New Roman" w:hAnsi="Arial" w:cs="Arial"/>
          <w:i/>
          <w:sz w:val="24"/>
          <w:szCs w:val="24"/>
          <w:lang w:eastAsia="en-GB"/>
        </w:rPr>
        <w:t xml:space="preserve">v </w:t>
      </w:r>
      <w:r w:rsidR="00585174" w:rsidRPr="00585174">
        <w:rPr>
          <w:rFonts w:ascii="Arial" w:eastAsia="Times New Roman" w:hAnsi="Arial" w:cs="Arial"/>
          <w:i/>
          <w:sz w:val="24"/>
          <w:szCs w:val="24"/>
          <w:lang w:eastAsia="en-GB"/>
        </w:rPr>
        <w:t xml:space="preserve">Fischer Seelenbinder Associates CC </w:t>
      </w:r>
      <w:r w:rsidR="009758C6">
        <w:rPr>
          <w:rFonts w:ascii="Arial" w:eastAsia="Times New Roman" w:hAnsi="Arial" w:cs="Arial"/>
          <w:sz w:val="24"/>
          <w:szCs w:val="24"/>
          <w:lang w:eastAsia="en-GB"/>
        </w:rPr>
        <w:t>(</w:t>
      </w:r>
      <w:r w:rsidR="00585174" w:rsidRPr="00585174">
        <w:rPr>
          <w:rFonts w:ascii="Arial" w:eastAsia="Times New Roman" w:hAnsi="Arial" w:cs="Arial"/>
          <w:sz w:val="24"/>
          <w:szCs w:val="24"/>
          <w:lang w:eastAsia="en-GB"/>
        </w:rPr>
        <w:t>HC-MD-CIV-ACT-OTH-2022/01796</w:t>
      </w:r>
      <w:r w:rsidRPr="00280F03">
        <w:rPr>
          <w:rFonts w:ascii="Arial" w:eastAsia="Times New Roman" w:hAnsi="Arial" w:cs="Arial"/>
          <w:sz w:val="24"/>
          <w:szCs w:val="24"/>
          <w:lang w:eastAsia="en-GB"/>
        </w:rPr>
        <w:t>) [202</w:t>
      </w:r>
      <w:r w:rsidR="00526DEF">
        <w:rPr>
          <w:rFonts w:ascii="Arial" w:eastAsia="Times New Roman" w:hAnsi="Arial" w:cs="Arial"/>
          <w:sz w:val="24"/>
          <w:szCs w:val="24"/>
          <w:lang w:eastAsia="en-GB"/>
        </w:rPr>
        <w:t>3</w:t>
      </w:r>
      <w:r w:rsidR="000F5D13">
        <w:rPr>
          <w:rFonts w:ascii="Arial" w:eastAsia="Times New Roman" w:hAnsi="Arial" w:cs="Arial"/>
          <w:sz w:val="24"/>
          <w:szCs w:val="24"/>
          <w:lang w:eastAsia="en-GB"/>
        </w:rPr>
        <w:t>] NA</w:t>
      </w:r>
      <w:r w:rsidR="00666E35">
        <w:rPr>
          <w:rFonts w:ascii="Arial" w:eastAsia="Times New Roman" w:hAnsi="Arial" w:cs="Arial"/>
          <w:sz w:val="24"/>
          <w:szCs w:val="24"/>
          <w:lang w:eastAsia="en-GB"/>
        </w:rPr>
        <w:t>H</w:t>
      </w:r>
      <w:r w:rsidRPr="00280F03">
        <w:rPr>
          <w:rFonts w:ascii="Arial" w:eastAsia="Times New Roman" w:hAnsi="Arial" w:cs="Arial"/>
          <w:sz w:val="24"/>
          <w:szCs w:val="24"/>
          <w:lang w:eastAsia="en-GB"/>
        </w:rPr>
        <w:t>CMD</w:t>
      </w:r>
      <w:r w:rsidR="006C3AF0">
        <w:rPr>
          <w:rFonts w:ascii="Arial" w:eastAsia="Times New Roman" w:hAnsi="Arial" w:cs="Arial"/>
          <w:sz w:val="24"/>
          <w:szCs w:val="24"/>
          <w:lang w:eastAsia="en-GB"/>
        </w:rPr>
        <w:t xml:space="preserve"> </w:t>
      </w:r>
      <w:r w:rsidR="00F02FD1">
        <w:rPr>
          <w:rFonts w:ascii="Arial" w:eastAsia="Times New Roman" w:hAnsi="Arial" w:cs="Arial"/>
          <w:sz w:val="24"/>
          <w:szCs w:val="24"/>
          <w:lang w:eastAsia="en-GB"/>
        </w:rPr>
        <w:t>NC 539</w:t>
      </w:r>
      <w:r w:rsidR="006C3AF0">
        <w:rPr>
          <w:rFonts w:ascii="Arial" w:eastAsia="Times New Roman" w:hAnsi="Arial" w:cs="Arial"/>
          <w:sz w:val="24"/>
          <w:szCs w:val="24"/>
          <w:lang w:eastAsia="en-GB"/>
        </w:rPr>
        <w:t xml:space="preserve"> (</w:t>
      </w:r>
      <w:r w:rsidR="00A96C1B">
        <w:rPr>
          <w:rFonts w:ascii="Arial" w:eastAsia="Times New Roman" w:hAnsi="Arial" w:cs="Arial"/>
          <w:sz w:val="24"/>
          <w:szCs w:val="24"/>
          <w:lang w:eastAsia="en-GB"/>
        </w:rPr>
        <w:t xml:space="preserve">1 September </w:t>
      </w:r>
      <w:r w:rsidR="00F348BE" w:rsidRPr="00F348BE">
        <w:rPr>
          <w:rFonts w:ascii="Arial" w:eastAsia="Times New Roman" w:hAnsi="Arial" w:cs="Arial"/>
          <w:sz w:val="24"/>
          <w:szCs w:val="24"/>
          <w:lang w:eastAsia="en-GB"/>
        </w:rPr>
        <w:t>202</w:t>
      </w:r>
      <w:r w:rsidR="00526DEF">
        <w:rPr>
          <w:rFonts w:ascii="Arial" w:eastAsia="Times New Roman" w:hAnsi="Arial" w:cs="Arial"/>
          <w:sz w:val="24"/>
          <w:szCs w:val="24"/>
          <w:lang w:eastAsia="en-GB"/>
        </w:rPr>
        <w:t>3</w:t>
      </w:r>
      <w:r w:rsidRPr="00280F03">
        <w:rPr>
          <w:rFonts w:ascii="Arial" w:eastAsia="Times New Roman" w:hAnsi="Arial" w:cs="Arial"/>
          <w:sz w:val="24"/>
          <w:szCs w:val="24"/>
          <w:lang w:eastAsia="en-GB"/>
        </w:rPr>
        <w:t>)</w:t>
      </w:r>
    </w:p>
    <w:p w14:paraId="590216F1" w14:textId="77777777" w:rsidR="00184C3A" w:rsidRPr="00077FC7" w:rsidRDefault="00184C3A" w:rsidP="00184C3A">
      <w:pPr>
        <w:spacing w:after="0" w:line="360" w:lineRule="auto"/>
        <w:jc w:val="both"/>
        <w:rPr>
          <w:rFonts w:ascii="Arial" w:hAnsi="Arial" w:cs="Arial"/>
          <w:sz w:val="24"/>
          <w:szCs w:val="24"/>
        </w:rPr>
      </w:pPr>
    </w:p>
    <w:p w14:paraId="40370054" w14:textId="77777777" w:rsidR="00184C3A" w:rsidRPr="00077FC7" w:rsidRDefault="00184C3A" w:rsidP="00184C3A">
      <w:pPr>
        <w:spacing w:after="0" w:line="480" w:lineRule="auto"/>
        <w:ind w:left="1440" w:hanging="1440"/>
        <w:jc w:val="both"/>
        <w:rPr>
          <w:rFonts w:ascii="Arial" w:hAnsi="Arial" w:cs="Arial"/>
          <w:b/>
          <w:i/>
          <w:sz w:val="24"/>
          <w:szCs w:val="24"/>
        </w:rPr>
      </w:pPr>
      <w:r w:rsidRPr="00077FC7">
        <w:rPr>
          <w:rFonts w:ascii="Arial" w:hAnsi="Arial" w:cs="Arial"/>
          <w:b/>
          <w:sz w:val="24"/>
          <w:szCs w:val="24"/>
        </w:rPr>
        <w:t>Coram:</w:t>
      </w:r>
      <w:r>
        <w:rPr>
          <w:rFonts w:ascii="Arial" w:hAnsi="Arial" w:cs="Arial"/>
          <w:sz w:val="24"/>
          <w:szCs w:val="24"/>
        </w:rPr>
        <w:tab/>
      </w:r>
      <w:r w:rsidR="009758C6">
        <w:rPr>
          <w:rFonts w:ascii="Arial" w:hAnsi="Arial" w:cs="Arial"/>
          <w:sz w:val="24"/>
          <w:szCs w:val="24"/>
        </w:rPr>
        <w:t>RAKOW</w:t>
      </w:r>
      <w:r>
        <w:rPr>
          <w:rFonts w:ascii="Arial" w:hAnsi="Arial" w:cs="Arial"/>
          <w:sz w:val="24"/>
          <w:szCs w:val="24"/>
        </w:rPr>
        <w:t xml:space="preserve"> </w:t>
      </w:r>
      <w:r w:rsidRPr="00077FC7">
        <w:rPr>
          <w:rFonts w:ascii="Arial" w:hAnsi="Arial" w:cs="Arial"/>
          <w:sz w:val="24"/>
          <w:szCs w:val="24"/>
        </w:rPr>
        <w:t>J</w:t>
      </w:r>
    </w:p>
    <w:p w14:paraId="19147C1F" w14:textId="77777777" w:rsidR="00184C3A" w:rsidRPr="00746204" w:rsidRDefault="00184C3A" w:rsidP="00184C3A">
      <w:pPr>
        <w:spacing w:after="0" w:line="240" w:lineRule="auto"/>
        <w:ind w:left="1440" w:hanging="1440"/>
        <w:jc w:val="both"/>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A612E9">
        <w:rPr>
          <w:rFonts w:ascii="Arial" w:hAnsi="Arial" w:cs="Arial"/>
          <w:b/>
          <w:sz w:val="24"/>
          <w:szCs w:val="24"/>
        </w:rPr>
        <w:t xml:space="preserve">9 </w:t>
      </w:r>
      <w:r w:rsidR="00585174">
        <w:rPr>
          <w:rFonts w:ascii="Arial" w:hAnsi="Arial" w:cs="Arial"/>
          <w:b/>
          <w:sz w:val="24"/>
          <w:szCs w:val="24"/>
        </w:rPr>
        <w:t>August</w:t>
      </w:r>
      <w:r w:rsidR="00B92DA4">
        <w:rPr>
          <w:rFonts w:ascii="Arial" w:hAnsi="Arial" w:cs="Arial"/>
          <w:b/>
          <w:sz w:val="24"/>
          <w:szCs w:val="24"/>
        </w:rPr>
        <w:t xml:space="preserve"> </w:t>
      </w:r>
      <w:r w:rsidR="00F348BE" w:rsidRPr="00F348BE">
        <w:rPr>
          <w:rFonts w:ascii="Arial" w:hAnsi="Arial" w:cs="Arial"/>
          <w:b/>
          <w:sz w:val="24"/>
          <w:szCs w:val="24"/>
        </w:rPr>
        <w:t>202</w:t>
      </w:r>
      <w:r w:rsidR="00526DEF">
        <w:rPr>
          <w:rFonts w:ascii="Arial" w:hAnsi="Arial" w:cs="Arial"/>
          <w:b/>
          <w:sz w:val="24"/>
          <w:szCs w:val="24"/>
        </w:rPr>
        <w:t>3</w:t>
      </w:r>
    </w:p>
    <w:p w14:paraId="41EA706D" w14:textId="77777777" w:rsidR="00184C3A" w:rsidRPr="00746204" w:rsidRDefault="00184C3A" w:rsidP="00184C3A">
      <w:pPr>
        <w:spacing w:after="0" w:line="240" w:lineRule="auto"/>
        <w:ind w:left="1440" w:hanging="1440"/>
        <w:jc w:val="both"/>
        <w:rPr>
          <w:rFonts w:ascii="Arial" w:hAnsi="Arial" w:cs="Arial"/>
          <w:b/>
          <w:sz w:val="24"/>
          <w:szCs w:val="24"/>
        </w:rPr>
      </w:pPr>
    </w:p>
    <w:p w14:paraId="59E7E428" w14:textId="77777777" w:rsidR="00184C3A" w:rsidRPr="00746204" w:rsidRDefault="00184C3A" w:rsidP="00184C3A">
      <w:pPr>
        <w:spacing w:after="0" w:line="240" w:lineRule="auto"/>
        <w:jc w:val="both"/>
        <w:rPr>
          <w:rFonts w:ascii="Arial" w:hAnsi="Arial" w:cs="Arial"/>
          <w:b/>
          <w:sz w:val="24"/>
          <w:szCs w:val="24"/>
        </w:rPr>
      </w:pPr>
      <w:r w:rsidRPr="00746204">
        <w:rPr>
          <w:rFonts w:ascii="Arial" w:hAnsi="Arial" w:cs="Arial"/>
          <w:b/>
          <w:bCs/>
          <w:sz w:val="24"/>
          <w:szCs w:val="24"/>
        </w:rPr>
        <w:t>Delivered</w:t>
      </w:r>
      <w:r w:rsidRPr="00746204">
        <w:rPr>
          <w:rFonts w:ascii="Arial" w:hAnsi="Arial" w:cs="Arial"/>
          <w:b/>
          <w:sz w:val="24"/>
          <w:szCs w:val="24"/>
        </w:rPr>
        <w:t>:</w:t>
      </w:r>
      <w:r w:rsidRPr="00746204">
        <w:rPr>
          <w:rFonts w:ascii="Arial" w:hAnsi="Arial" w:cs="Arial"/>
          <w:b/>
          <w:sz w:val="24"/>
          <w:szCs w:val="24"/>
        </w:rPr>
        <w:tab/>
      </w:r>
      <w:r w:rsidR="00A96C1B">
        <w:rPr>
          <w:rFonts w:ascii="Arial" w:hAnsi="Arial" w:cs="Arial"/>
          <w:b/>
          <w:sz w:val="24"/>
          <w:szCs w:val="24"/>
        </w:rPr>
        <w:t>1 September</w:t>
      </w:r>
      <w:r w:rsidR="00B92DA4">
        <w:rPr>
          <w:rFonts w:ascii="Arial" w:hAnsi="Arial" w:cs="Arial"/>
          <w:b/>
          <w:sz w:val="24"/>
          <w:szCs w:val="24"/>
        </w:rPr>
        <w:t xml:space="preserve"> </w:t>
      </w:r>
      <w:r w:rsidR="00F348BE" w:rsidRPr="00F348BE">
        <w:rPr>
          <w:rFonts w:ascii="Arial" w:hAnsi="Arial" w:cs="Arial"/>
          <w:b/>
          <w:sz w:val="24"/>
          <w:szCs w:val="24"/>
        </w:rPr>
        <w:t>202</w:t>
      </w:r>
      <w:r w:rsidR="00526DEF">
        <w:rPr>
          <w:rFonts w:ascii="Arial" w:hAnsi="Arial" w:cs="Arial"/>
          <w:b/>
          <w:sz w:val="24"/>
          <w:szCs w:val="24"/>
        </w:rPr>
        <w:t>3</w:t>
      </w:r>
    </w:p>
    <w:p w14:paraId="3028B537" w14:textId="77777777" w:rsidR="00184C3A" w:rsidRPr="008803AA" w:rsidRDefault="00184C3A" w:rsidP="00184C3A">
      <w:pPr>
        <w:spacing w:after="0" w:line="240" w:lineRule="auto"/>
        <w:jc w:val="both"/>
        <w:rPr>
          <w:rFonts w:ascii="Arial" w:hAnsi="Arial" w:cs="Arial"/>
          <w:sz w:val="24"/>
          <w:szCs w:val="24"/>
        </w:rPr>
      </w:pPr>
    </w:p>
    <w:p w14:paraId="24BCBAED" w14:textId="77777777" w:rsidR="00184C3A" w:rsidRPr="00077FC7" w:rsidRDefault="00184C3A" w:rsidP="00184C3A">
      <w:pPr>
        <w:spacing w:after="0" w:line="360" w:lineRule="auto"/>
        <w:jc w:val="both"/>
        <w:rPr>
          <w:rFonts w:ascii="Arial" w:hAnsi="Arial" w:cs="Arial"/>
          <w:b/>
          <w:sz w:val="24"/>
          <w:szCs w:val="24"/>
        </w:rPr>
      </w:pPr>
    </w:p>
    <w:p w14:paraId="775BD58F" w14:textId="77777777" w:rsidR="00184C3A" w:rsidRDefault="00184C3A" w:rsidP="00184C3A">
      <w:pPr>
        <w:spacing w:line="360" w:lineRule="auto"/>
        <w:jc w:val="both"/>
        <w:rPr>
          <w:rFonts w:ascii="Arial" w:hAnsi="Arial" w:cs="Arial"/>
          <w:sz w:val="24"/>
          <w:szCs w:val="24"/>
        </w:rPr>
      </w:pPr>
      <w:r w:rsidRPr="00D9070C">
        <w:rPr>
          <w:rFonts w:ascii="Arial" w:hAnsi="Arial" w:cs="Arial"/>
          <w:b/>
          <w:sz w:val="24"/>
          <w:szCs w:val="24"/>
        </w:rPr>
        <w:t>Flynote:</w:t>
      </w:r>
      <w:r w:rsidR="006414AA">
        <w:rPr>
          <w:rFonts w:ascii="Arial" w:hAnsi="Arial" w:cs="Arial"/>
          <w:sz w:val="24"/>
          <w:szCs w:val="24"/>
        </w:rPr>
        <w:tab/>
      </w:r>
      <w:r w:rsidR="00601614">
        <w:rPr>
          <w:rFonts w:ascii="Arial" w:hAnsi="Arial" w:cs="Arial"/>
          <w:sz w:val="24"/>
          <w:szCs w:val="24"/>
        </w:rPr>
        <w:t>Summary judgment application</w:t>
      </w:r>
      <w:r w:rsidR="006414AA">
        <w:rPr>
          <w:rFonts w:ascii="Arial" w:hAnsi="Arial" w:cs="Arial"/>
          <w:sz w:val="24"/>
          <w:szCs w:val="24"/>
        </w:rPr>
        <w:t xml:space="preserve"> –</w:t>
      </w:r>
      <w:r w:rsidR="00601614">
        <w:rPr>
          <w:rFonts w:ascii="Arial" w:hAnsi="Arial" w:cs="Arial"/>
          <w:sz w:val="24"/>
          <w:szCs w:val="24"/>
        </w:rPr>
        <w:t xml:space="preserve"> Rule 60(2)</w:t>
      </w:r>
      <w:r w:rsidR="006414AA" w:rsidRPr="006414AA">
        <w:rPr>
          <w:rFonts w:ascii="Arial" w:hAnsi="Arial" w:cs="Arial"/>
          <w:sz w:val="24"/>
          <w:szCs w:val="24"/>
        </w:rPr>
        <w:t xml:space="preserve"> </w:t>
      </w:r>
      <w:r w:rsidR="006414AA">
        <w:rPr>
          <w:rFonts w:ascii="Arial" w:hAnsi="Arial" w:cs="Arial"/>
          <w:sz w:val="24"/>
          <w:szCs w:val="24"/>
        </w:rPr>
        <w:t xml:space="preserve">– </w:t>
      </w:r>
      <w:r w:rsidR="00601614">
        <w:rPr>
          <w:rFonts w:ascii="Arial" w:hAnsi="Arial" w:cs="Arial"/>
          <w:sz w:val="24"/>
          <w:szCs w:val="24"/>
        </w:rPr>
        <w:t xml:space="preserve">No </w:t>
      </w:r>
      <w:r w:rsidR="006414AA" w:rsidRPr="006414AA">
        <w:rPr>
          <w:rFonts w:ascii="Arial" w:hAnsi="Arial" w:cs="Arial"/>
          <w:i/>
          <w:sz w:val="24"/>
          <w:szCs w:val="24"/>
        </w:rPr>
        <w:t>bona fide</w:t>
      </w:r>
      <w:r w:rsidR="006414AA">
        <w:rPr>
          <w:rFonts w:ascii="Arial" w:hAnsi="Arial" w:cs="Arial"/>
          <w:sz w:val="24"/>
          <w:szCs w:val="24"/>
        </w:rPr>
        <w:t xml:space="preserve"> defence –Must show that the defence was merely a delaying tactic – Defendant appears to have a defence which is </w:t>
      </w:r>
      <w:r w:rsidR="006414AA" w:rsidRPr="006414AA">
        <w:rPr>
          <w:rFonts w:ascii="Arial" w:hAnsi="Arial" w:cs="Arial"/>
          <w:i/>
          <w:sz w:val="24"/>
          <w:szCs w:val="24"/>
        </w:rPr>
        <w:t>bona fide</w:t>
      </w:r>
      <w:r w:rsidR="006414AA">
        <w:rPr>
          <w:rFonts w:ascii="Arial" w:hAnsi="Arial" w:cs="Arial"/>
          <w:sz w:val="24"/>
          <w:szCs w:val="24"/>
        </w:rPr>
        <w:t xml:space="preserve"> and good in law –</w:t>
      </w:r>
      <w:r w:rsidR="00DB4427">
        <w:rPr>
          <w:rFonts w:ascii="Arial" w:hAnsi="Arial" w:cs="Arial"/>
          <w:sz w:val="24"/>
          <w:szCs w:val="24"/>
        </w:rPr>
        <w:t xml:space="preserve"> </w:t>
      </w:r>
      <w:r w:rsidR="006414AA">
        <w:rPr>
          <w:rFonts w:ascii="Arial" w:hAnsi="Arial" w:cs="Arial"/>
          <w:sz w:val="24"/>
          <w:szCs w:val="24"/>
        </w:rPr>
        <w:t>Summary judgment dismissed.</w:t>
      </w:r>
    </w:p>
    <w:p w14:paraId="191CC962" w14:textId="77777777" w:rsidR="00585174" w:rsidRPr="00585174" w:rsidRDefault="00585174" w:rsidP="00585174">
      <w:pPr>
        <w:spacing w:after="0" w:line="360" w:lineRule="auto"/>
        <w:jc w:val="both"/>
        <w:rPr>
          <w:rFonts w:ascii="Arial" w:hAnsi="Arial" w:cs="Arial"/>
          <w:sz w:val="24"/>
          <w:szCs w:val="24"/>
        </w:rPr>
      </w:pPr>
    </w:p>
    <w:p w14:paraId="006686F4" w14:textId="77777777" w:rsidR="00601614" w:rsidRDefault="00184C3A" w:rsidP="00601614">
      <w:pPr>
        <w:spacing w:after="0" w:line="360" w:lineRule="auto"/>
        <w:jc w:val="both"/>
        <w:rPr>
          <w:rFonts w:ascii="Arial" w:hAnsi="Arial" w:cs="Arial"/>
          <w:sz w:val="24"/>
          <w:szCs w:val="24"/>
        </w:rPr>
      </w:pPr>
      <w:r w:rsidRPr="00D9070C">
        <w:rPr>
          <w:rFonts w:ascii="Arial" w:hAnsi="Arial" w:cs="Arial"/>
          <w:b/>
          <w:sz w:val="24"/>
          <w:szCs w:val="24"/>
        </w:rPr>
        <w:t>Summary:</w:t>
      </w:r>
      <w:r w:rsidRPr="007E6F34">
        <w:rPr>
          <w:rFonts w:ascii="Arial" w:hAnsi="Arial" w:cs="Arial"/>
          <w:sz w:val="24"/>
          <w:szCs w:val="24"/>
        </w:rPr>
        <w:tab/>
      </w:r>
      <w:r w:rsidR="00601614" w:rsidRPr="00AE7A4C">
        <w:rPr>
          <w:rFonts w:ascii="Arial" w:hAnsi="Arial" w:cs="Arial"/>
          <w:sz w:val="24"/>
          <w:szCs w:val="24"/>
        </w:rPr>
        <w:t>In case number A 217/2015</w:t>
      </w:r>
      <w:r w:rsidR="00082338">
        <w:rPr>
          <w:rFonts w:ascii="Arial" w:hAnsi="Arial" w:cs="Arial"/>
          <w:sz w:val="24"/>
          <w:szCs w:val="24"/>
        </w:rPr>
        <w:t>,</w:t>
      </w:r>
      <w:r w:rsidR="00601614" w:rsidRPr="00AE7A4C">
        <w:rPr>
          <w:rFonts w:ascii="Arial" w:hAnsi="Arial" w:cs="Arial"/>
          <w:sz w:val="24"/>
          <w:szCs w:val="24"/>
        </w:rPr>
        <w:t xml:space="preserve"> Fischer brought an application seeking an order that in terms of an agreement between Fischer and Seelenbinder, Fischer could request Seelenbinder to retire whereupon Seelenbinder would then have to retire. Fischer </w:t>
      </w:r>
      <w:r w:rsidR="00601614" w:rsidRPr="00AE7A4C">
        <w:rPr>
          <w:rFonts w:ascii="Arial" w:hAnsi="Arial" w:cs="Arial"/>
          <w:sz w:val="24"/>
          <w:szCs w:val="24"/>
        </w:rPr>
        <w:lastRenderedPageBreak/>
        <w:t xml:space="preserve">also sought an order that in terms of an agreement between Fischer and Seelenbinder, Fischer would not have to pay Seelenbinder any value for his 50% member’s interest in the CC upon retirement. Ueitele J held that Fischer could request Seelenbinder to retire but had to pay to Seelenbinder the value of his 50% member’s interest which Ueitele J ordered had to be determined by an independent referee as at the retirement date, which was a date in the past, which member’s interest would then be transferred to Fischer. The judgment was not appealed and binds the parties (10 November 2017). </w:t>
      </w:r>
    </w:p>
    <w:p w14:paraId="7853E3A7" w14:textId="77777777" w:rsidR="00601614" w:rsidRDefault="00601614" w:rsidP="00601614">
      <w:pPr>
        <w:spacing w:after="0" w:line="360" w:lineRule="auto"/>
        <w:jc w:val="both"/>
        <w:rPr>
          <w:rFonts w:ascii="Arial" w:hAnsi="Arial" w:cs="Arial"/>
          <w:sz w:val="24"/>
          <w:szCs w:val="24"/>
        </w:rPr>
      </w:pPr>
    </w:p>
    <w:p w14:paraId="45517388" w14:textId="77777777" w:rsidR="00601614" w:rsidRDefault="00601614" w:rsidP="00601614">
      <w:pPr>
        <w:spacing w:after="0" w:line="360" w:lineRule="auto"/>
        <w:jc w:val="both"/>
        <w:rPr>
          <w:rFonts w:ascii="Arial" w:hAnsi="Arial" w:cs="Arial"/>
          <w:sz w:val="24"/>
          <w:szCs w:val="24"/>
        </w:rPr>
      </w:pPr>
      <w:r w:rsidRPr="00AE7A4C">
        <w:rPr>
          <w:rFonts w:ascii="Arial" w:hAnsi="Arial" w:cs="Arial"/>
          <w:sz w:val="24"/>
          <w:szCs w:val="24"/>
        </w:rPr>
        <w:t>Fischer made payment to Seelenbinder and the parties finally parted ways. All that remains is this case where Seele</w:t>
      </w:r>
      <w:r>
        <w:rPr>
          <w:rFonts w:ascii="Arial" w:hAnsi="Arial" w:cs="Arial"/>
          <w:sz w:val="24"/>
          <w:szCs w:val="24"/>
        </w:rPr>
        <w:t xml:space="preserve">nbinder claims payment of N$285 </w:t>
      </w:r>
      <w:r w:rsidRPr="00AE7A4C">
        <w:rPr>
          <w:rFonts w:ascii="Arial" w:hAnsi="Arial" w:cs="Arial"/>
          <w:sz w:val="24"/>
          <w:szCs w:val="24"/>
        </w:rPr>
        <w:t>235.29 for his after tax income earned in the period 31 March 2016 – 10 November 2017; and the case in which Fisch</w:t>
      </w:r>
      <w:r>
        <w:rPr>
          <w:rFonts w:ascii="Arial" w:hAnsi="Arial" w:cs="Arial"/>
          <w:sz w:val="24"/>
          <w:szCs w:val="24"/>
        </w:rPr>
        <w:t xml:space="preserve">er claims the (remaining) N$148 </w:t>
      </w:r>
      <w:r w:rsidRPr="00AE7A4C">
        <w:rPr>
          <w:rFonts w:ascii="Arial" w:hAnsi="Arial" w:cs="Arial"/>
          <w:sz w:val="24"/>
          <w:szCs w:val="24"/>
        </w:rPr>
        <w:t xml:space="preserve">237.08. </w:t>
      </w:r>
    </w:p>
    <w:p w14:paraId="60CA05FD" w14:textId="77777777" w:rsidR="00601614" w:rsidRDefault="00601614" w:rsidP="00601614">
      <w:pPr>
        <w:spacing w:after="0" w:line="360" w:lineRule="auto"/>
        <w:jc w:val="both"/>
        <w:rPr>
          <w:rFonts w:ascii="Arial" w:hAnsi="Arial" w:cs="Arial"/>
          <w:sz w:val="24"/>
          <w:szCs w:val="24"/>
        </w:rPr>
      </w:pPr>
    </w:p>
    <w:p w14:paraId="4154B618" w14:textId="77777777" w:rsidR="00601614" w:rsidRDefault="00601614" w:rsidP="0093556C">
      <w:pPr>
        <w:spacing w:after="0" w:line="360" w:lineRule="auto"/>
        <w:jc w:val="both"/>
        <w:rPr>
          <w:rFonts w:ascii="Arial" w:hAnsi="Arial" w:cs="Arial"/>
          <w:sz w:val="24"/>
          <w:szCs w:val="24"/>
        </w:rPr>
      </w:pPr>
      <w:r w:rsidRPr="00AE7A4C">
        <w:rPr>
          <w:rFonts w:ascii="Arial" w:hAnsi="Arial" w:cs="Arial"/>
          <w:sz w:val="24"/>
          <w:szCs w:val="24"/>
        </w:rPr>
        <w:t>On 2 June 2022 Seelenbinder passed away and he has since been substituted by his executrix who is his wife, Baerbel Helene</w:t>
      </w:r>
      <w:r>
        <w:rPr>
          <w:rFonts w:ascii="Arial" w:hAnsi="Arial" w:cs="Arial"/>
          <w:sz w:val="24"/>
          <w:szCs w:val="24"/>
        </w:rPr>
        <w:t xml:space="preserve"> Brigitte Seelenbinder who also made the affidavit in support of the summary judgement application in this matter.</w:t>
      </w:r>
    </w:p>
    <w:p w14:paraId="69DA81DF" w14:textId="77777777" w:rsidR="0093556C" w:rsidRDefault="0093556C" w:rsidP="0093556C">
      <w:pPr>
        <w:spacing w:after="0" w:line="360" w:lineRule="auto"/>
        <w:jc w:val="both"/>
        <w:rPr>
          <w:rFonts w:ascii="Arial" w:hAnsi="Arial" w:cs="Arial"/>
          <w:sz w:val="24"/>
          <w:szCs w:val="24"/>
        </w:rPr>
      </w:pPr>
    </w:p>
    <w:p w14:paraId="7EB528F7" w14:textId="77777777" w:rsidR="0091514D" w:rsidRDefault="00601614" w:rsidP="0093556C">
      <w:pPr>
        <w:spacing w:after="0" w:line="360" w:lineRule="auto"/>
        <w:jc w:val="both"/>
        <w:rPr>
          <w:rFonts w:ascii="Arial" w:hAnsi="Arial" w:cs="Arial"/>
          <w:sz w:val="24"/>
          <w:szCs w:val="24"/>
        </w:rPr>
      </w:pPr>
      <w:r>
        <w:rPr>
          <w:rFonts w:ascii="Arial" w:hAnsi="Arial" w:cs="Arial"/>
          <w:sz w:val="24"/>
          <w:szCs w:val="24"/>
        </w:rPr>
        <w:t>H</w:t>
      </w:r>
      <w:r w:rsidR="005C2509">
        <w:rPr>
          <w:rFonts w:ascii="Arial" w:hAnsi="Arial" w:cs="Arial"/>
          <w:sz w:val="24"/>
          <w:szCs w:val="24"/>
        </w:rPr>
        <w:t>eld that:</w:t>
      </w:r>
      <w:r w:rsidR="005C2509" w:rsidRPr="005C2509">
        <w:rPr>
          <w:rFonts w:ascii="Arial" w:hAnsi="Arial" w:cs="Arial"/>
          <w:sz w:val="24"/>
          <w:szCs w:val="24"/>
        </w:rPr>
        <w:t xml:space="preserve"> </w:t>
      </w:r>
      <w:r w:rsidR="005C2509">
        <w:rPr>
          <w:rFonts w:ascii="Arial" w:hAnsi="Arial" w:cs="Arial"/>
          <w:sz w:val="24"/>
          <w:szCs w:val="24"/>
        </w:rPr>
        <w:t xml:space="preserve">it is </w:t>
      </w:r>
      <w:r w:rsidR="005C2509" w:rsidRPr="005C2509">
        <w:rPr>
          <w:rFonts w:ascii="Arial" w:hAnsi="Arial" w:cs="Arial"/>
          <w:sz w:val="24"/>
          <w:szCs w:val="24"/>
        </w:rPr>
        <w:t>clear that not only were there no proper engagement</w:t>
      </w:r>
      <w:r w:rsidR="00082338">
        <w:rPr>
          <w:rFonts w:ascii="Arial" w:hAnsi="Arial" w:cs="Arial"/>
          <w:sz w:val="24"/>
          <w:szCs w:val="24"/>
        </w:rPr>
        <w:t>s</w:t>
      </w:r>
      <w:r w:rsidR="005C2509" w:rsidRPr="005C2509">
        <w:rPr>
          <w:rFonts w:ascii="Arial" w:hAnsi="Arial" w:cs="Arial"/>
          <w:sz w:val="24"/>
          <w:szCs w:val="24"/>
        </w:rPr>
        <w:t xml:space="preserve"> under rule 32(9) of the High Court Rules</w:t>
      </w:r>
      <w:r w:rsidR="00082338">
        <w:rPr>
          <w:rFonts w:ascii="Arial" w:hAnsi="Arial" w:cs="Arial"/>
          <w:sz w:val="24"/>
          <w:szCs w:val="24"/>
        </w:rPr>
        <w:t>,</w:t>
      </w:r>
      <w:r w:rsidR="005C2509" w:rsidRPr="005C2509">
        <w:rPr>
          <w:rFonts w:ascii="Arial" w:hAnsi="Arial" w:cs="Arial"/>
          <w:sz w:val="24"/>
          <w:szCs w:val="24"/>
        </w:rPr>
        <w:t xml:space="preserve"> but the affidavit accompanying the summary judgment application does not show how the deponent had personal knowledge of the monies owed and how she obtained this information. </w:t>
      </w:r>
    </w:p>
    <w:p w14:paraId="06F18D96" w14:textId="77777777" w:rsidR="00184C3A" w:rsidRPr="00D9070C" w:rsidRDefault="00000000" w:rsidP="00184C3A">
      <w:pPr>
        <w:spacing w:line="360" w:lineRule="auto"/>
        <w:jc w:val="both"/>
        <w:rPr>
          <w:rFonts w:ascii="Arial" w:hAnsi="Arial" w:cs="Arial"/>
          <w:bCs/>
          <w:sz w:val="24"/>
          <w:szCs w:val="24"/>
        </w:rPr>
      </w:pPr>
      <w:r>
        <w:rPr>
          <w:rFonts w:ascii="Arial" w:hAnsi="Arial" w:cs="Arial"/>
          <w:bCs/>
          <w:sz w:val="24"/>
          <w:szCs w:val="24"/>
        </w:rPr>
        <w:pict w14:anchorId="1F8207B6">
          <v:rect id="_x0000_i1025" style="width:0;height:1.5pt" o:hralign="center" o:hrstd="t" o:hr="t" fillcolor="#a0a0a0" stroked="f"/>
        </w:pict>
      </w:r>
    </w:p>
    <w:p w14:paraId="7BD15EB9" w14:textId="77777777" w:rsidR="0026289D" w:rsidRPr="00D9070C" w:rsidRDefault="0026289D" w:rsidP="0026289D">
      <w:pPr>
        <w:spacing w:after="0" w:line="360" w:lineRule="auto"/>
        <w:jc w:val="center"/>
        <w:rPr>
          <w:rFonts w:ascii="Arial" w:hAnsi="Arial" w:cs="Arial"/>
          <w:b/>
          <w:bCs/>
          <w:sz w:val="24"/>
          <w:szCs w:val="24"/>
        </w:rPr>
      </w:pPr>
      <w:r>
        <w:rPr>
          <w:rFonts w:ascii="Arial" w:hAnsi="Arial" w:cs="Arial"/>
          <w:b/>
          <w:bCs/>
          <w:sz w:val="24"/>
          <w:szCs w:val="24"/>
        </w:rPr>
        <w:t>ORDER</w:t>
      </w:r>
    </w:p>
    <w:p w14:paraId="2A2BD7FE" w14:textId="77777777" w:rsidR="00184C3A" w:rsidRPr="00D9070C" w:rsidRDefault="00000000" w:rsidP="00184C3A">
      <w:pPr>
        <w:spacing w:after="0" w:line="360" w:lineRule="auto"/>
        <w:jc w:val="both"/>
        <w:rPr>
          <w:rFonts w:ascii="Arial" w:hAnsi="Arial" w:cs="Arial"/>
          <w:b/>
          <w:bCs/>
          <w:sz w:val="24"/>
          <w:szCs w:val="24"/>
        </w:rPr>
      </w:pPr>
      <w:r>
        <w:rPr>
          <w:rFonts w:ascii="Arial" w:hAnsi="Arial" w:cs="Arial"/>
          <w:bCs/>
          <w:sz w:val="24"/>
          <w:szCs w:val="24"/>
        </w:rPr>
        <w:pict w14:anchorId="5A6E8C16">
          <v:rect id="_x0000_i1026" style="width:0;height:1.5pt" o:hralign="center" o:hrstd="t" o:hr="t" fillcolor="#a0a0a0" stroked="f"/>
        </w:pict>
      </w:r>
    </w:p>
    <w:p w14:paraId="6F09FD9E" w14:textId="77777777" w:rsidR="0091514D" w:rsidRPr="00082338" w:rsidRDefault="0091514D" w:rsidP="00082338">
      <w:pPr>
        <w:spacing w:after="160" w:line="360" w:lineRule="auto"/>
        <w:jc w:val="both"/>
        <w:rPr>
          <w:rFonts w:ascii="Arial" w:hAnsi="Arial" w:cs="Arial"/>
          <w:sz w:val="24"/>
          <w:szCs w:val="24"/>
        </w:rPr>
      </w:pPr>
      <w:r w:rsidRPr="00082338">
        <w:rPr>
          <w:rFonts w:ascii="Arial" w:hAnsi="Arial" w:cs="Arial"/>
          <w:sz w:val="24"/>
          <w:szCs w:val="24"/>
        </w:rPr>
        <w:t>The summary judg</w:t>
      </w:r>
      <w:r w:rsidR="0026289D" w:rsidRPr="00082338">
        <w:rPr>
          <w:rFonts w:ascii="Arial" w:hAnsi="Arial" w:cs="Arial"/>
          <w:sz w:val="24"/>
          <w:szCs w:val="24"/>
        </w:rPr>
        <w:t>ment application is dismissed with costs, such costs to include the costs of one instructed and one instructing counsel.</w:t>
      </w:r>
    </w:p>
    <w:p w14:paraId="6D538823" w14:textId="77777777" w:rsidR="00184C3A" w:rsidRPr="00D9070C" w:rsidRDefault="00000000" w:rsidP="00184C3A">
      <w:pPr>
        <w:spacing w:after="0" w:line="360" w:lineRule="auto"/>
        <w:jc w:val="both"/>
        <w:rPr>
          <w:rFonts w:ascii="Arial" w:hAnsi="Arial" w:cs="Arial"/>
          <w:bCs/>
          <w:sz w:val="24"/>
          <w:szCs w:val="24"/>
        </w:rPr>
      </w:pPr>
      <w:r>
        <w:rPr>
          <w:rFonts w:ascii="Arial" w:hAnsi="Arial" w:cs="Arial"/>
          <w:bCs/>
          <w:sz w:val="24"/>
          <w:szCs w:val="24"/>
        </w:rPr>
        <w:pict w14:anchorId="5E00FFF5">
          <v:rect id="_x0000_i1027" style="width:0;height:1.5pt" o:hralign="center" o:hrstd="t" o:hr="t" fillcolor="#a0a0a0" stroked="f"/>
        </w:pict>
      </w:r>
    </w:p>
    <w:p w14:paraId="389A9CBA" w14:textId="77777777" w:rsidR="00184C3A" w:rsidRPr="00D9070C" w:rsidRDefault="00184C3A" w:rsidP="00184C3A">
      <w:pPr>
        <w:spacing w:after="0" w:line="360" w:lineRule="auto"/>
        <w:jc w:val="center"/>
        <w:rPr>
          <w:rFonts w:ascii="Arial" w:hAnsi="Arial" w:cs="Arial"/>
          <w:sz w:val="24"/>
          <w:szCs w:val="24"/>
        </w:rPr>
      </w:pPr>
      <w:r>
        <w:rPr>
          <w:rFonts w:ascii="Arial" w:hAnsi="Arial" w:cs="Arial"/>
          <w:b/>
          <w:sz w:val="24"/>
          <w:szCs w:val="24"/>
        </w:rPr>
        <w:t>JUDGMENT</w:t>
      </w:r>
    </w:p>
    <w:p w14:paraId="1E7B68B5" w14:textId="77777777" w:rsidR="00184C3A" w:rsidRPr="00D9070C" w:rsidRDefault="00000000" w:rsidP="00184C3A">
      <w:pPr>
        <w:spacing w:after="0" w:line="360" w:lineRule="auto"/>
        <w:jc w:val="both"/>
        <w:rPr>
          <w:rFonts w:ascii="Arial" w:hAnsi="Arial" w:cs="Arial"/>
          <w:b/>
          <w:sz w:val="24"/>
          <w:szCs w:val="24"/>
        </w:rPr>
      </w:pPr>
      <w:r>
        <w:rPr>
          <w:rFonts w:ascii="Arial" w:hAnsi="Arial" w:cs="Arial"/>
          <w:bCs/>
          <w:sz w:val="24"/>
          <w:szCs w:val="24"/>
        </w:rPr>
        <w:pict w14:anchorId="67683D48">
          <v:rect id="_x0000_i1028" style="width:0;height:1.5pt" o:hralign="center" o:hrstd="t" o:hr="t" fillcolor="#a0a0a0" stroked="f"/>
        </w:pict>
      </w:r>
    </w:p>
    <w:p w14:paraId="7F6CB91F" w14:textId="77777777" w:rsidR="00F3639A" w:rsidRDefault="00F3639A" w:rsidP="00184C3A">
      <w:pPr>
        <w:spacing w:after="0" w:line="360" w:lineRule="auto"/>
        <w:jc w:val="both"/>
        <w:rPr>
          <w:rFonts w:ascii="Arial" w:hAnsi="Arial" w:cs="Arial"/>
          <w:sz w:val="24"/>
          <w:szCs w:val="24"/>
        </w:rPr>
      </w:pPr>
    </w:p>
    <w:p w14:paraId="0906E482" w14:textId="77777777" w:rsidR="00184C3A" w:rsidRDefault="009758C6" w:rsidP="0091514D">
      <w:pPr>
        <w:spacing w:after="0" w:line="360" w:lineRule="auto"/>
        <w:jc w:val="both"/>
        <w:rPr>
          <w:rFonts w:ascii="Arial" w:hAnsi="Arial" w:cs="Arial"/>
          <w:sz w:val="24"/>
          <w:szCs w:val="24"/>
        </w:rPr>
      </w:pPr>
      <w:r w:rsidRPr="00F3639A">
        <w:rPr>
          <w:rFonts w:ascii="Arial" w:hAnsi="Arial" w:cs="Arial"/>
          <w:sz w:val="24"/>
          <w:szCs w:val="24"/>
        </w:rPr>
        <w:t>RAKOW</w:t>
      </w:r>
      <w:r w:rsidR="00184C3A" w:rsidRPr="00F3639A">
        <w:rPr>
          <w:rFonts w:ascii="Arial" w:hAnsi="Arial" w:cs="Arial"/>
          <w:sz w:val="24"/>
          <w:szCs w:val="24"/>
        </w:rPr>
        <w:t xml:space="preserve"> J</w:t>
      </w:r>
      <w:r w:rsidR="0091514D">
        <w:rPr>
          <w:rFonts w:ascii="Arial" w:hAnsi="Arial" w:cs="Arial"/>
          <w:sz w:val="24"/>
          <w:szCs w:val="24"/>
        </w:rPr>
        <w:t>:</w:t>
      </w:r>
    </w:p>
    <w:p w14:paraId="687907A5" w14:textId="77777777" w:rsidR="0091514D" w:rsidRDefault="0091514D" w:rsidP="0091514D">
      <w:pPr>
        <w:spacing w:after="0" w:line="360" w:lineRule="auto"/>
        <w:jc w:val="both"/>
        <w:rPr>
          <w:rFonts w:ascii="Arial" w:hAnsi="Arial" w:cs="Arial"/>
          <w:sz w:val="24"/>
          <w:szCs w:val="24"/>
        </w:rPr>
      </w:pPr>
    </w:p>
    <w:p w14:paraId="06273C88" w14:textId="77777777" w:rsidR="009758C6" w:rsidRDefault="00184C3A" w:rsidP="0091514D">
      <w:pPr>
        <w:spacing w:after="0" w:line="360" w:lineRule="auto"/>
        <w:jc w:val="both"/>
        <w:rPr>
          <w:rFonts w:ascii="Arial" w:hAnsi="Arial" w:cs="Arial"/>
          <w:sz w:val="24"/>
          <w:szCs w:val="24"/>
          <w:u w:val="single"/>
        </w:rPr>
      </w:pPr>
      <w:r w:rsidRPr="00564515">
        <w:rPr>
          <w:rFonts w:ascii="Arial" w:hAnsi="Arial" w:cs="Arial"/>
          <w:sz w:val="24"/>
          <w:szCs w:val="24"/>
          <w:u w:val="single"/>
        </w:rPr>
        <w:t>Introduction</w:t>
      </w:r>
    </w:p>
    <w:p w14:paraId="2A49DCFD" w14:textId="77777777" w:rsidR="0091514D" w:rsidRDefault="0091514D" w:rsidP="0091514D">
      <w:pPr>
        <w:spacing w:after="0" w:line="360" w:lineRule="auto"/>
        <w:jc w:val="both"/>
        <w:rPr>
          <w:rFonts w:ascii="Arial" w:hAnsi="Arial" w:cs="Arial"/>
          <w:sz w:val="24"/>
          <w:szCs w:val="24"/>
        </w:rPr>
      </w:pPr>
    </w:p>
    <w:p w14:paraId="6EAF967F" w14:textId="39AE7900" w:rsidR="0093556C" w:rsidRPr="00240696" w:rsidRDefault="00240696" w:rsidP="00240696">
      <w:pPr>
        <w:spacing w:after="0" w:line="360" w:lineRule="auto"/>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AE7A4C" w:rsidRPr="00240696">
        <w:rPr>
          <w:rFonts w:ascii="Arial" w:hAnsi="Arial" w:cs="Arial"/>
          <w:sz w:val="24"/>
          <w:szCs w:val="24"/>
        </w:rPr>
        <w:t>During these proceedings I will refer to the plaintiff as Seelenbinder and the defendant as the CC and its sole member will be referred to as Fischer.</w:t>
      </w:r>
      <w:r w:rsidR="0091514D" w:rsidRPr="00240696">
        <w:rPr>
          <w:rFonts w:ascii="Arial" w:hAnsi="Arial" w:cs="Arial"/>
          <w:sz w:val="24"/>
          <w:szCs w:val="24"/>
        </w:rPr>
        <w:t xml:space="preserve">  These parties have</w:t>
      </w:r>
      <w:r w:rsidR="00AE7A4C" w:rsidRPr="00240696">
        <w:rPr>
          <w:rFonts w:ascii="Arial" w:hAnsi="Arial" w:cs="Arial"/>
          <w:sz w:val="24"/>
          <w:szCs w:val="24"/>
        </w:rPr>
        <w:t xml:space="preserve"> a long history of litigating against one another in our courts and this could be summarized as follows:</w:t>
      </w:r>
    </w:p>
    <w:p w14:paraId="612D7601" w14:textId="77777777" w:rsidR="0093556C" w:rsidRDefault="0093556C" w:rsidP="0093556C">
      <w:pPr>
        <w:pStyle w:val="ListParagraph"/>
        <w:spacing w:after="0" w:line="360" w:lineRule="auto"/>
        <w:ind w:left="0"/>
        <w:jc w:val="both"/>
        <w:rPr>
          <w:rFonts w:ascii="Arial" w:hAnsi="Arial" w:cs="Arial"/>
          <w:sz w:val="24"/>
          <w:szCs w:val="24"/>
        </w:rPr>
      </w:pPr>
    </w:p>
    <w:p w14:paraId="2814E58C" w14:textId="71F3D59B" w:rsidR="0093556C" w:rsidRPr="00240696" w:rsidRDefault="00240696" w:rsidP="00240696">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AE7A4C" w:rsidRPr="00240696">
        <w:rPr>
          <w:rFonts w:ascii="Arial" w:hAnsi="Arial" w:cs="Arial"/>
          <w:sz w:val="24"/>
          <w:szCs w:val="24"/>
        </w:rPr>
        <w:t>In case number A 217/2015</w:t>
      </w:r>
      <w:r w:rsidR="00082338" w:rsidRPr="00240696">
        <w:rPr>
          <w:rFonts w:ascii="Arial" w:hAnsi="Arial" w:cs="Arial"/>
          <w:sz w:val="24"/>
          <w:szCs w:val="24"/>
        </w:rPr>
        <w:t>,</w:t>
      </w:r>
      <w:r w:rsidR="00AE7A4C" w:rsidRPr="00240696">
        <w:rPr>
          <w:rFonts w:ascii="Arial" w:hAnsi="Arial" w:cs="Arial"/>
          <w:sz w:val="24"/>
          <w:szCs w:val="24"/>
        </w:rPr>
        <w:t xml:space="preserve"> Fischer brought an application seeking an order that in terms of an agreement between Fischer and Seelenbinder, Fischer could request Seelenbinder to retire whereupon Seelenbinder would then have to retire. Fischer also sought an order that in terms of an agreement between Fischer and Seelenbinder, Fischer would not have to pay Seelenbinder any value for his 50% member’s interest in the CC upon retirement. Ueitele J held that Fischer could request Seelenbinder to retire but had to pay to Seelenbinder the value of his 50% member’s interest which Ueitele J ordered had to be determined by an independent referee as at the retirement date, which was a date in the past, which member’s interest would then be transferred to Fischer. The judgment was not appealed and binds the parties (10 November 2017). </w:t>
      </w:r>
    </w:p>
    <w:p w14:paraId="44B6F5E3" w14:textId="77777777" w:rsidR="0093556C" w:rsidRPr="0093556C" w:rsidRDefault="0093556C" w:rsidP="0093556C">
      <w:pPr>
        <w:pStyle w:val="ListParagraph"/>
        <w:rPr>
          <w:rFonts w:ascii="Arial" w:hAnsi="Arial" w:cs="Arial"/>
          <w:sz w:val="24"/>
          <w:szCs w:val="24"/>
        </w:rPr>
      </w:pPr>
    </w:p>
    <w:p w14:paraId="3A03F0FD" w14:textId="10E8720A" w:rsidR="0093556C" w:rsidRPr="00240696" w:rsidRDefault="00240696" w:rsidP="00240696">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AE7A4C" w:rsidRPr="00240696">
        <w:rPr>
          <w:rFonts w:ascii="Arial" w:hAnsi="Arial" w:cs="Arial"/>
          <w:sz w:val="24"/>
          <w:szCs w:val="24"/>
        </w:rPr>
        <w:t>In the period</w:t>
      </w:r>
      <w:r w:rsidR="00082338" w:rsidRPr="00240696">
        <w:rPr>
          <w:rFonts w:ascii="Arial" w:hAnsi="Arial" w:cs="Arial"/>
          <w:sz w:val="24"/>
          <w:szCs w:val="24"/>
        </w:rPr>
        <w:t xml:space="preserve"> after the retirement date being 31 March 2016, and the date o</w:t>
      </w:r>
      <w:r w:rsidR="00AE7A4C" w:rsidRPr="00240696">
        <w:rPr>
          <w:rFonts w:ascii="Arial" w:hAnsi="Arial" w:cs="Arial"/>
          <w:sz w:val="24"/>
          <w:szCs w:val="24"/>
        </w:rPr>
        <w:t xml:space="preserve">n which the judgment </w:t>
      </w:r>
      <w:r w:rsidR="00082338" w:rsidRPr="00240696">
        <w:rPr>
          <w:rFonts w:ascii="Arial" w:hAnsi="Arial" w:cs="Arial"/>
          <w:sz w:val="24"/>
          <w:szCs w:val="24"/>
        </w:rPr>
        <w:t xml:space="preserve">of Ueitele J was delivered, being </w:t>
      </w:r>
      <w:r w:rsidR="00AE7A4C" w:rsidRPr="00240696">
        <w:rPr>
          <w:rFonts w:ascii="Arial" w:hAnsi="Arial" w:cs="Arial"/>
          <w:sz w:val="24"/>
          <w:szCs w:val="24"/>
        </w:rPr>
        <w:t>10 November 2017, Seelenbinder continued to do work for the CC but he no longer received his monthly remuneration from the CC because Fischer, who was in charge of the finances, stopped paying it, with the result that he is owed his earnings. That is the subject of Seelenbinder’s claim in this case. The claim is for</w:t>
      </w:r>
      <w:r w:rsidR="0093556C" w:rsidRPr="00240696">
        <w:rPr>
          <w:rFonts w:ascii="Arial" w:hAnsi="Arial" w:cs="Arial"/>
          <w:sz w:val="24"/>
          <w:szCs w:val="24"/>
        </w:rPr>
        <w:t xml:space="preserve"> payment of the amount of N$285 </w:t>
      </w:r>
      <w:r w:rsidR="00AE7A4C" w:rsidRPr="00240696">
        <w:rPr>
          <w:rFonts w:ascii="Arial" w:hAnsi="Arial" w:cs="Arial"/>
          <w:sz w:val="24"/>
          <w:szCs w:val="24"/>
        </w:rPr>
        <w:t xml:space="preserve">235.29. </w:t>
      </w:r>
    </w:p>
    <w:p w14:paraId="4440E67D" w14:textId="77777777" w:rsidR="0093556C" w:rsidRPr="0093556C" w:rsidRDefault="0093556C" w:rsidP="0093556C">
      <w:pPr>
        <w:pStyle w:val="ListParagraph"/>
        <w:rPr>
          <w:rFonts w:ascii="Arial" w:hAnsi="Arial" w:cs="Arial"/>
          <w:sz w:val="24"/>
          <w:szCs w:val="24"/>
        </w:rPr>
      </w:pPr>
    </w:p>
    <w:p w14:paraId="08D71551" w14:textId="4AE945EB" w:rsidR="0093556C" w:rsidRPr="00240696" w:rsidRDefault="00240696" w:rsidP="00240696">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AE7A4C" w:rsidRPr="00240696">
        <w:rPr>
          <w:rFonts w:ascii="Arial" w:hAnsi="Arial" w:cs="Arial"/>
          <w:sz w:val="24"/>
          <w:szCs w:val="24"/>
        </w:rPr>
        <w:t>To enable Seelenbinder to continue to do work for the CC he continued to utilise his cubicle in the offices of the CC and made limited use of some of the services, such as the copier, etc. Fischer claims those expenses from Seelenbinder under case number HC-MD-CIV-ACT-OTH-2020/05086. Fischer’</w:t>
      </w:r>
      <w:r w:rsidR="0091514D" w:rsidRPr="00240696">
        <w:rPr>
          <w:rFonts w:ascii="Arial" w:hAnsi="Arial" w:cs="Arial"/>
          <w:sz w:val="24"/>
          <w:szCs w:val="24"/>
        </w:rPr>
        <w:t xml:space="preserve">s claim is for payment of N$177 </w:t>
      </w:r>
      <w:r w:rsidR="00AE7A4C" w:rsidRPr="00240696">
        <w:rPr>
          <w:rFonts w:ascii="Arial" w:hAnsi="Arial" w:cs="Arial"/>
          <w:sz w:val="24"/>
          <w:szCs w:val="24"/>
        </w:rPr>
        <w:t xml:space="preserve">487.14. </w:t>
      </w:r>
    </w:p>
    <w:p w14:paraId="3E5977FA" w14:textId="77777777" w:rsidR="0093556C" w:rsidRPr="0093556C" w:rsidRDefault="0093556C" w:rsidP="0093556C">
      <w:pPr>
        <w:pStyle w:val="ListParagraph"/>
        <w:rPr>
          <w:rFonts w:ascii="Arial" w:hAnsi="Arial" w:cs="Arial"/>
          <w:sz w:val="24"/>
          <w:szCs w:val="24"/>
        </w:rPr>
      </w:pPr>
    </w:p>
    <w:p w14:paraId="095C8A77" w14:textId="57F7B405" w:rsidR="0093556C" w:rsidRPr="00240696" w:rsidRDefault="00240696" w:rsidP="00240696">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AE7A4C" w:rsidRPr="00240696">
        <w:rPr>
          <w:rFonts w:ascii="Arial" w:hAnsi="Arial" w:cs="Arial"/>
          <w:sz w:val="24"/>
          <w:szCs w:val="24"/>
        </w:rPr>
        <w:t>In his amended plea</w:t>
      </w:r>
      <w:r w:rsidR="00082338" w:rsidRPr="00240696">
        <w:rPr>
          <w:rFonts w:ascii="Arial" w:hAnsi="Arial" w:cs="Arial"/>
          <w:sz w:val="24"/>
          <w:szCs w:val="24"/>
        </w:rPr>
        <w:t>,</w:t>
      </w:r>
      <w:r w:rsidR="00AE7A4C" w:rsidRPr="00240696">
        <w:rPr>
          <w:rFonts w:ascii="Arial" w:hAnsi="Arial" w:cs="Arial"/>
          <w:sz w:val="24"/>
          <w:szCs w:val="24"/>
        </w:rPr>
        <w:t xml:space="preserve"> Seelenbinder calculated his pro rata s</w:t>
      </w:r>
      <w:r w:rsidR="0091514D" w:rsidRPr="00240696">
        <w:rPr>
          <w:rFonts w:ascii="Arial" w:hAnsi="Arial" w:cs="Arial"/>
          <w:sz w:val="24"/>
          <w:szCs w:val="24"/>
        </w:rPr>
        <w:t xml:space="preserve">hare of the expenses to be N$29 </w:t>
      </w:r>
      <w:r w:rsidR="00AE7A4C" w:rsidRPr="00240696">
        <w:rPr>
          <w:rFonts w:ascii="Arial" w:hAnsi="Arial" w:cs="Arial"/>
          <w:sz w:val="24"/>
          <w:szCs w:val="24"/>
        </w:rPr>
        <w:t>250.06 and he made an unconditional tender to pay that amount which he has paid over to Fischer.</w:t>
      </w:r>
      <w:r w:rsidR="0091514D" w:rsidRPr="00240696">
        <w:rPr>
          <w:rFonts w:ascii="Arial" w:hAnsi="Arial" w:cs="Arial"/>
          <w:sz w:val="24"/>
          <w:szCs w:val="24"/>
        </w:rPr>
        <w:t xml:space="preserve"> That leaves an amount of N$148 </w:t>
      </w:r>
      <w:r w:rsidR="00AE7A4C" w:rsidRPr="00240696">
        <w:rPr>
          <w:rFonts w:ascii="Arial" w:hAnsi="Arial" w:cs="Arial"/>
          <w:sz w:val="24"/>
          <w:szCs w:val="24"/>
        </w:rPr>
        <w:t xml:space="preserve">237.08 in dispute in that case. That case is set down for trial for 16 – 20 October 2023. </w:t>
      </w:r>
    </w:p>
    <w:p w14:paraId="3E38A623" w14:textId="77777777" w:rsidR="0093556C" w:rsidRPr="0093556C" w:rsidRDefault="0093556C" w:rsidP="0093556C">
      <w:pPr>
        <w:pStyle w:val="ListParagraph"/>
        <w:rPr>
          <w:rFonts w:ascii="Arial" w:hAnsi="Arial" w:cs="Arial"/>
          <w:sz w:val="24"/>
          <w:szCs w:val="24"/>
        </w:rPr>
      </w:pPr>
    </w:p>
    <w:p w14:paraId="1E4A5B51" w14:textId="06C19D38" w:rsidR="0093556C" w:rsidRPr="00240696" w:rsidRDefault="00240696" w:rsidP="00240696">
      <w:pPr>
        <w:spacing w:after="0" w:line="360" w:lineRule="auto"/>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00AE7A4C" w:rsidRPr="00240696">
        <w:rPr>
          <w:rFonts w:ascii="Arial" w:hAnsi="Arial" w:cs="Arial"/>
          <w:sz w:val="24"/>
          <w:szCs w:val="24"/>
        </w:rPr>
        <w:t>After the retirement judgment</w:t>
      </w:r>
      <w:r w:rsidR="0091514D" w:rsidRPr="00240696">
        <w:rPr>
          <w:rFonts w:ascii="Arial" w:hAnsi="Arial" w:cs="Arial"/>
          <w:sz w:val="24"/>
          <w:szCs w:val="24"/>
        </w:rPr>
        <w:t>,</w:t>
      </w:r>
      <w:r w:rsidR="00AE7A4C" w:rsidRPr="00240696">
        <w:rPr>
          <w:rFonts w:ascii="Arial" w:hAnsi="Arial" w:cs="Arial"/>
          <w:sz w:val="24"/>
          <w:szCs w:val="24"/>
        </w:rPr>
        <w:t xml:space="preserve"> Fischer spoliated Seelenbinder</w:t>
      </w:r>
      <w:r w:rsidR="0091514D" w:rsidRPr="00240696">
        <w:rPr>
          <w:rFonts w:ascii="Arial" w:hAnsi="Arial" w:cs="Arial"/>
          <w:sz w:val="24"/>
          <w:szCs w:val="24"/>
        </w:rPr>
        <w:t>,</w:t>
      </w:r>
      <w:r w:rsidR="00AE7A4C" w:rsidRPr="00240696">
        <w:rPr>
          <w:rFonts w:ascii="Arial" w:hAnsi="Arial" w:cs="Arial"/>
          <w:sz w:val="24"/>
          <w:szCs w:val="24"/>
        </w:rPr>
        <w:t xml:space="preserve"> which resulted in case number HC-MD-CIV-MOT-GEN-2018/00128 where Masuku J ordered Fischer to return possessio</w:t>
      </w:r>
      <w:r w:rsidR="00082338" w:rsidRPr="00240696">
        <w:rPr>
          <w:rFonts w:ascii="Arial" w:hAnsi="Arial" w:cs="Arial"/>
          <w:sz w:val="24"/>
          <w:szCs w:val="24"/>
        </w:rPr>
        <w:t>n to Seelenbinder which he did on 21 May 2018</w:t>
      </w:r>
      <w:r w:rsidR="00AE7A4C" w:rsidRPr="00240696">
        <w:rPr>
          <w:rFonts w:ascii="Arial" w:hAnsi="Arial" w:cs="Arial"/>
          <w:sz w:val="24"/>
          <w:szCs w:val="24"/>
        </w:rPr>
        <w:t xml:space="preserve">. On appeal to </w:t>
      </w:r>
      <w:r w:rsidR="00082338" w:rsidRPr="00240696">
        <w:rPr>
          <w:rFonts w:ascii="Arial" w:hAnsi="Arial" w:cs="Arial"/>
          <w:sz w:val="24"/>
          <w:szCs w:val="24"/>
        </w:rPr>
        <w:t>it the Supreme Court upheld the</w:t>
      </w:r>
      <w:r w:rsidR="00AE7A4C" w:rsidRPr="00240696">
        <w:rPr>
          <w:rFonts w:ascii="Arial" w:hAnsi="Arial" w:cs="Arial"/>
          <w:sz w:val="24"/>
          <w:szCs w:val="24"/>
        </w:rPr>
        <w:t xml:space="preserve"> order in case number SA 31-2018 (8 June 2020). Fischer brought an eviction application under case number HC-MD-CIV-MOT-GEN-2018/00207 </w:t>
      </w:r>
      <w:r w:rsidR="00082338" w:rsidRPr="00240696">
        <w:rPr>
          <w:rFonts w:ascii="Arial" w:hAnsi="Arial" w:cs="Arial"/>
          <w:sz w:val="24"/>
          <w:szCs w:val="24"/>
        </w:rPr>
        <w:t>which was refused by Ueitele J on 27 November 2018</w:t>
      </w:r>
      <w:r w:rsidR="00AE7A4C" w:rsidRPr="00240696">
        <w:rPr>
          <w:rFonts w:ascii="Arial" w:hAnsi="Arial" w:cs="Arial"/>
          <w:sz w:val="24"/>
          <w:szCs w:val="24"/>
        </w:rPr>
        <w:t>. On appeal</w:t>
      </w:r>
      <w:r w:rsidR="00082338" w:rsidRPr="00240696">
        <w:rPr>
          <w:rFonts w:ascii="Arial" w:hAnsi="Arial" w:cs="Arial"/>
          <w:sz w:val="24"/>
          <w:szCs w:val="24"/>
        </w:rPr>
        <w:t xml:space="preserve">, </w:t>
      </w:r>
      <w:r w:rsidR="00AE7A4C" w:rsidRPr="00240696">
        <w:rPr>
          <w:rFonts w:ascii="Arial" w:hAnsi="Arial" w:cs="Arial"/>
          <w:sz w:val="24"/>
          <w:szCs w:val="24"/>
        </w:rPr>
        <w:t>the Supreme Court in case number SA 2-2019 found that the eviction order should have been granted and it then over</w:t>
      </w:r>
      <w:r w:rsidR="00082338" w:rsidRPr="00240696">
        <w:rPr>
          <w:rFonts w:ascii="Arial" w:hAnsi="Arial" w:cs="Arial"/>
          <w:sz w:val="24"/>
          <w:szCs w:val="24"/>
        </w:rPr>
        <w:t>turned Ueitele J’s order on 4 December 2020</w:t>
      </w:r>
      <w:r w:rsidR="00AE7A4C" w:rsidRPr="00240696">
        <w:rPr>
          <w:rFonts w:ascii="Arial" w:hAnsi="Arial" w:cs="Arial"/>
          <w:sz w:val="24"/>
          <w:szCs w:val="24"/>
        </w:rPr>
        <w:t xml:space="preserve">. </w:t>
      </w:r>
    </w:p>
    <w:p w14:paraId="259DFAA9" w14:textId="77777777" w:rsidR="0093556C" w:rsidRPr="0093556C" w:rsidRDefault="0093556C" w:rsidP="0093556C">
      <w:pPr>
        <w:pStyle w:val="ListParagraph"/>
        <w:rPr>
          <w:rFonts w:ascii="Arial" w:hAnsi="Arial" w:cs="Arial"/>
          <w:sz w:val="24"/>
          <w:szCs w:val="24"/>
        </w:rPr>
      </w:pPr>
    </w:p>
    <w:p w14:paraId="38A5DCC4" w14:textId="38C4A668" w:rsidR="0093556C" w:rsidRPr="00240696" w:rsidRDefault="00240696" w:rsidP="00240696">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AE7A4C" w:rsidRPr="00240696">
        <w:rPr>
          <w:rFonts w:ascii="Arial" w:hAnsi="Arial" w:cs="Arial"/>
          <w:sz w:val="24"/>
          <w:szCs w:val="24"/>
        </w:rPr>
        <w:t>While Seelenbinder remained in the office of the CC</w:t>
      </w:r>
      <w:r w:rsidR="00082338" w:rsidRPr="00240696">
        <w:rPr>
          <w:rFonts w:ascii="Arial" w:hAnsi="Arial" w:cs="Arial"/>
          <w:sz w:val="24"/>
          <w:szCs w:val="24"/>
        </w:rPr>
        <w:t>,</w:t>
      </w:r>
      <w:r w:rsidR="00AE7A4C" w:rsidRPr="00240696">
        <w:rPr>
          <w:rFonts w:ascii="Arial" w:hAnsi="Arial" w:cs="Arial"/>
          <w:sz w:val="24"/>
          <w:szCs w:val="24"/>
        </w:rPr>
        <w:t xml:space="preserve"> his loan account was determined b</w:t>
      </w:r>
      <w:r w:rsidR="0091514D" w:rsidRPr="00240696">
        <w:rPr>
          <w:rFonts w:ascii="Arial" w:hAnsi="Arial" w:cs="Arial"/>
          <w:sz w:val="24"/>
          <w:szCs w:val="24"/>
        </w:rPr>
        <w:t xml:space="preserve">y the CC’s accountant to be N$1 008 </w:t>
      </w:r>
      <w:r w:rsidR="00082338" w:rsidRPr="00240696">
        <w:rPr>
          <w:rFonts w:ascii="Arial" w:hAnsi="Arial" w:cs="Arial"/>
          <w:sz w:val="24"/>
          <w:szCs w:val="24"/>
        </w:rPr>
        <w:t>286</w:t>
      </w:r>
      <w:r w:rsidR="00AE7A4C" w:rsidRPr="00240696">
        <w:rPr>
          <w:rFonts w:ascii="Arial" w:hAnsi="Arial" w:cs="Arial"/>
          <w:sz w:val="24"/>
          <w:szCs w:val="24"/>
        </w:rPr>
        <w:t>. The appointed referee determine</w:t>
      </w:r>
      <w:r w:rsidR="0091514D" w:rsidRPr="00240696">
        <w:rPr>
          <w:rFonts w:ascii="Arial" w:hAnsi="Arial" w:cs="Arial"/>
          <w:sz w:val="24"/>
          <w:szCs w:val="24"/>
        </w:rPr>
        <w:t xml:space="preserve">d the value of the CC to be N$2 900 </w:t>
      </w:r>
      <w:r w:rsidR="009B0709" w:rsidRPr="00240696">
        <w:rPr>
          <w:rFonts w:ascii="Arial" w:hAnsi="Arial" w:cs="Arial"/>
          <w:sz w:val="24"/>
          <w:szCs w:val="24"/>
        </w:rPr>
        <w:t>000,</w:t>
      </w:r>
      <w:r w:rsidR="00AE7A4C" w:rsidRPr="00240696">
        <w:rPr>
          <w:rFonts w:ascii="Arial" w:hAnsi="Arial" w:cs="Arial"/>
          <w:sz w:val="24"/>
          <w:szCs w:val="24"/>
        </w:rPr>
        <w:t xml:space="preserve"> with th</w:t>
      </w:r>
      <w:r w:rsidR="0093556C" w:rsidRPr="00240696">
        <w:rPr>
          <w:rFonts w:ascii="Arial" w:hAnsi="Arial" w:cs="Arial"/>
          <w:sz w:val="24"/>
          <w:szCs w:val="24"/>
        </w:rPr>
        <w:t>e result that Seelenbinder’s 50 per cent</w:t>
      </w:r>
      <w:r w:rsidR="00AE7A4C" w:rsidRPr="00240696">
        <w:rPr>
          <w:rFonts w:ascii="Arial" w:hAnsi="Arial" w:cs="Arial"/>
          <w:sz w:val="24"/>
          <w:szCs w:val="24"/>
        </w:rPr>
        <w:t xml:space="preserve"> member’s interest therein</w:t>
      </w:r>
      <w:r w:rsidR="0091514D" w:rsidRPr="00240696">
        <w:rPr>
          <w:rFonts w:ascii="Arial" w:hAnsi="Arial" w:cs="Arial"/>
          <w:sz w:val="24"/>
          <w:szCs w:val="24"/>
        </w:rPr>
        <w:t xml:space="preserve"> was valued at N$1 450 </w:t>
      </w:r>
      <w:r w:rsidR="00082338" w:rsidRPr="00240696">
        <w:rPr>
          <w:rFonts w:ascii="Arial" w:hAnsi="Arial" w:cs="Arial"/>
          <w:sz w:val="24"/>
          <w:szCs w:val="24"/>
        </w:rPr>
        <w:t>000</w:t>
      </w:r>
      <w:r w:rsidR="00AE7A4C" w:rsidRPr="00240696">
        <w:rPr>
          <w:rFonts w:ascii="Arial" w:hAnsi="Arial" w:cs="Arial"/>
          <w:sz w:val="24"/>
          <w:szCs w:val="24"/>
        </w:rPr>
        <w:t xml:space="preserve">. Fischer challenged the above values in case number A 217/2015 and sought to set aside the writ of execution issued therefore under case number HC-MD-CIV-MOT-GEN-2019/00229. Miller </w:t>
      </w:r>
      <w:r w:rsidR="009B0709" w:rsidRPr="00240696">
        <w:rPr>
          <w:rFonts w:ascii="Arial" w:hAnsi="Arial" w:cs="Arial"/>
          <w:sz w:val="24"/>
          <w:szCs w:val="24"/>
        </w:rPr>
        <w:t xml:space="preserve">AJ dismissed both applications </w:t>
      </w:r>
      <w:r w:rsidR="00AE7A4C" w:rsidRPr="00240696">
        <w:rPr>
          <w:rFonts w:ascii="Arial" w:hAnsi="Arial" w:cs="Arial"/>
          <w:sz w:val="24"/>
          <w:szCs w:val="24"/>
        </w:rPr>
        <w:t>which were co</w:t>
      </w:r>
      <w:r w:rsidR="009B0709" w:rsidRPr="00240696">
        <w:rPr>
          <w:rFonts w:ascii="Arial" w:hAnsi="Arial" w:cs="Arial"/>
          <w:sz w:val="24"/>
          <w:szCs w:val="24"/>
        </w:rPr>
        <w:t xml:space="preserve">nsolidated and heard together on 8 November 2019. On appeal </w:t>
      </w:r>
      <w:r w:rsidR="00AE7A4C" w:rsidRPr="00240696">
        <w:rPr>
          <w:rFonts w:ascii="Arial" w:hAnsi="Arial" w:cs="Arial"/>
          <w:sz w:val="24"/>
          <w:szCs w:val="24"/>
        </w:rPr>
        <w:t>under case number SA 79-2019</w:t>
      </w:r>
      <w:r w:rsidR="00F120AF" w:rsidRPr="00240696">
        <w:rPr>
          <w:rFonts w:ascii="Arial" w:hAnsi="Arial" w:cs="Arial"/>
          <w:sz w:val="24"/>
          <w:szCs w:val="24"/>
        </w:rPr>
        <w:t>,</w:t>
      </w:r>
      <w:r w:rsidR="00AE7A4C" w:rsidRPr="00240696">
        <w:rPr>
          <w:rFonts w:ascii="Arial" w:hAnsi="Arial" w:cs="Arial"/>
          <w:sz w:val="24"/>
          <w:szCs w:val="24"/>
        </w:rPr>
        <w:t xml:space="preserve"> the Supreme Court </w:t>
      </w:r>
      <w:r w:rsidR="009B0709" w:rsidRPr="00240696">
        <w:rPr>
          <w:rFonts w:ascii="Arial" w:hAnsi="Arial" w:cs="Arial"/>
          <w:sz w:val="24"/>
          <w:szCs w:val="24"/>
        </w:rPr>
        <w:t>upheld the orders of Miller AJ on 12 November 2021</w:t>
      </w:r>
      <w:r w:rsidR="00AE7A4C" w:rsidRPr="00240696">
        <w:rPr>
          <w:rFonts w:ascii="Arial" w:hAnsi="Arial" w:cs="Arial"/>
          <w:sz w:val="24"/>
          <w:szCs w:val="24"/>
        </w:rPr>
        <w:t xml:space="preserve">. </w:t>
      </w:r>
    </w:p>
    <w:p w14:paraId="4E132DF5" w14:textId="77777777" w:rsidR="0093556C" w:rsidRPr="0093556C" w:rsidRDefault="0093556C" w:rsidP="0093556C">
      <w:pPr>
        <w:pStyle w:val="ListParagraph"/>
        <w:rPr>
          <w:rFonts w:ascii="Arial" w:hAnsi="Arial" w:cs="Arial"/>
          <w:sz w:val="24"/>
          <w:szCs w:val="24"/>
        </w:rPr>
      </w:pPr>
    </w:p>
    <w:p w14:paraId="50D6F947" w14:textId="77D61B80" w:rsidR="00E72FC6" w:rsidRPr="00240696" w:rsidRDefault="00240696" w:rsidP="00240696">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AE7A4C" w:rsidRPr="00240696">
        <w:rPr>
          <w:rFonts w:ascii="Arial" w:hAnsi="Arial" w:cs="Arial"/>
          <w:sz w:val="24"/>
          <w:szCs w:val="24"/>
        </w:rPr>
        <w:t>Fischer made payment to Seelenbinder and the parties finally parted ways. All that remains is this case</w:t>
      </w:r>
      <w:r w:rsidR="00F120AF" w:rsidRPr="00240696">
        <w:rPr>
          <w:rFonts w:ascii="Arial" w:hAnsi="Arial" w:cs="Arial"/>
          <w:sz w:val="24"/>
          <w:szCs w:val="24"/>
        </w:rPr>
        <w:t>,</w:t>
      </w:r>
      <w:r w:rsidR="00AE7A4C" w:rsidRPr="00240696">
        <w:rPr>
          <w:rFonts w:ascii="Arial" w:hAnsi="Arial" w:cs="Arial"/>
          <w:sz w:val="24"/>
          <w:szCs w:val="24"/>
        </w:rPr>
        <w:t xml:space="preserve"> where Seele</w:t>
      </w:r>
      <w:r w:rsidR="0091514D" w:rsidRPr="00240696">
        <w:rPr>
          <w:rFonts w:ascii="Arial" w:hAnsi="Arial" w:cs="Arial"/>
          <w:sz w:val="24"/>
          <w:szCs w:val="24"/>
        </w:rPr>
        <w:t xml:space="preserve">nbinder claims payment of N$285 </w:t>
      </w:r>
      <w:r w:rsidR="00AE7A4C" w:rsidRPr="00240696">
        <w:rPr>
          <w:rFonts w:ascii="Arial" w:hAnsi="Arial" w:cs="Arial"/>
          <w:sz w:val="24"/>
          <w:szCs w:val="24"/>
        </w:rPr>
        <w:t>235.29 for his after tax income earned in the period 31 March 2016 – 10 November 2017; and the case in which Fisch</w:t>
      </w:r>
      <w:r w:rsidR="0091514D" w:rsidRPr="00240696">
        <w:rPr>
          <w:rFonts w:ascii="Arial" w:hAnsi="Arial" w:cs="Arial"/>
          <w:sz w:val="24"/>
          <w:szCs w:val="24"/>
        </w:rPr>
        <w:t xml:space="preserve">er claims the (remaining) N$148 </w:t>
      </w:r>
      <w:r w:rsidR="00AE7A4C" w:rsidRPr="00240696">
        <w:rPr>
          <w:rFonts w:ascii="Arial" w:hAnsi="Arial" w:cs="Arial"/>
          <w:sz w:val="24"/>
          <w:szCs w:val="24"/>
        </w:rPr>
        <w:t xml:space="preserve">237.08. </w:t>
      </w:r>
    </w:p>
    <w:p w14:paraId="6225FA7F" w14:textId="77777777" w:rsidR="00E72FC6" w:rsidRPr="00E72FC6" w:rsidRDefault="00E72FC6" w:rsidP="00E72FC6">
      <w:pPr>
        <w:pStyle w:val="ListParagraph"/>
        <w:rPr>
          <w:rFonts w:ascii="Arial" w:hAnsi="Arial" w:cs="Arial"/>
          <w:sz w:val="24"/>
          <w:szCs w:val="24"/>
        </w:rPr>
      </w:pPr>
    </w:p>
    <w:p w14:paraId="6607D4F1" w14:textId="34693A76" w:rsidR="00184C3A" w:rsidRPr="00240696" w:rsidRDefault="00240696" w:rsidP="00240696">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AE7A4C" w:rsidRPr="00240696">
        <w:rPr>
          <w:rFonts w:ascii="Arial" w:hAnsi="Arial" w:cs="Arial"/>
          <w:sz w:val="24"/>
          <w:szCs w:val="24"/>
        </w:rPr>
        <w:t>On 2 June 2022</w:t>
      </w:r>
      <w:r w:rsidR="00F120AF" w:rsidRPr="00240696">
        <w:rPr>
          <w:rFonts w:ascii="Arial" w:hAnsi="Arial" w:cs="Arial"/>
          <w:sz w:val="24"/>
          <w:szCs w:val="24"/>
        </w:rPr>
        <w:t>,</w:t>
      </w:r>
      <w:r w:rsidR="00AE7A4C" w:rsidRPr="00240696">
        <w:rPr>
          <w:rFonts w:ascii="Arial" w:hAnsi="Arial" w:cs="Arial"/>
          <w:sz w:val="24"/>
          <w:szCs w:val="24"/>
        </w:rPr>
        <w:t xml:space="preserve"> Seelenbinder passed away and he has since been substituted by his executrix who is his wife, Baerbel Helene Brigitte Seelenbinder</w:t>
      </w:r>
      <w:r w:rsidR="00F120AF" w:rsidRPr="00240696">
        <w:rPr>
          <w:rFonts w:ascii="Arial" w:hAnsi="Arial" w:cs="Arial"/>
          <w:sz w:val="24"/>
          <w:szCs w:val="24"/>
        </w:rPr>
        <w:t>,</w:t>
      </w:r>
      <w:r w:rsidR="00AE7A4C" w:rsidRPr="00240696">
        <w:rPr>
          <w:rFonts w:ascii="Arial" w:hAnsi="Arial" w:cs="Arial"/>
          <w:sz w:val="24"/>
          <w:szCs w:val="24"/>
        </w:rPr>
        <w:t xml:space="preserve"> who also made the affidavit</w:t>
      </w:r>
      <w:r w:rsidR="00E72FC6" w:rsidRPr="00240696">
        <w:rPr>
          <w:rFonts w:ascii="Arial" w:hAnsi="Arial" w:cs="Arial"/>
          <w:sz w:val="24"/>
          <w:szCs w:val="24"/>
        </w:rPr>
        <w:t xml:space="preserve"> in support of the summary judg</w:t>
      </w:r>
      <w:r w:rsidR="00AE7A4C" w:rsidRPr="00240696">
        <w:rPr>
          <w:rFonts w:ascii="Arial" w:hAnsi="Arial" w:cs="Arial"/>
          <w:sz w:val="24"/>
          <w:szCs w:val="24"/>
        </w:rPr>
        <w:t>ment application in this matter.</w:t>
      </w:r>
    </w:p>
    <w:p w14:paraId="55811696" w14:textId="77777777" w:rsidR="00E72FC6" w:rsidRPr="00E72FC6" w:rsidRDefault="00E72FC6" w:rsidP="00E72FC6">
      <w:pPr>
        <w:pStyle w:val="ListParagraph"/>
        <w:spacing w:after="0" w:line="360" w:lineRule="auto"/>
        <w:ind w:left="0"/>
        <w:jc w:val="both"/>
        <w:rPr>
          <w:rFonts w:ascii="Arial" w:hAnsi="Arial" w:cs="Arial"/>
          <w:sz w:val="24"/>
          <w:szCs w:val="24"/>
        </w:rPr>
      </w:pPr>
    </w:p>
    <w:p w14:paraId="544C6E0E" w14:textId="77777777" w:rsidR="00E72FC6" w:rsidRDefault="00AE7A4C" w:rsidP="00E72FC6">
      <w:pPr>
        <w:spacing w:after="0" w:line="360" w:lineRule="auto"/>
        <w:jc w:val="both"/>
        <w:rPr>
          <w:rFonts w:ascii="Arial" w:hAnsi="Arial" w:cs="Arial"/>
          <w:sz w:val="24"/>
          <w:szCs w:val="24"/>
          <w:u w:val="single"/>
        </w:rPr>
      </w:pPr>
      <w:r w:rsidRPr="00AE7A4C">
        <w:rPr>
          <w:rFonts w:ascii="Arial" w:hAnsi="Arial" w:cs="Arial"/>
          <w:sz w:val="24"/>
          <w:szCs w:val="24"/>
          <w:u w:val="single"/>
        </w:rPr>
        <w:t>Particulars of claim</w:t>
      </w:r>
    </w:p>
    <w:p w14:paraId="1326E8B4" w14:textId="77777777" w:rsidR="00E72FC6" w:rsidRPr="00AE7A4C" w:rsidRDefault="00E72FC6" w:rsidP="00E72FC6">
      <w:pPr>
        <w:spacing w:after="0" w:line="360" w:lineRule="auto"/>
        <w:jc w:val="both"/>
        <w:rPr>
          <w:rFonts w:ascii="Arial" w:hAnsi="Arial" w:cs="Arial"/>
          <w:sz w:val="24"/>
          <w:szCs w:val="24"/>
          <w:u w:val="single"/>
        </w:rPr>
      </w:pPr>
    </w:p>
    <w:p w14:paraId="56B9FE28" w14:textId="2F6B931C" w:rsidR="00813DC5" w:rsidRPr="00240696" w:rsidRDefault="00240696" w:rsidP="00240696">
      <w:pPr>
        <w:spacing w:after="0" w:line="360" w:lineRule="auto"/>
        <w:jc w:val="both"/>
        <w:rPr>
          <w:rFonts w:ascii="Arial" w:hAnsi="Arial" w:cs="Arial"/>
          <w:sz w:val="24"/>
          <w:szCs w:val="24"/>
        </w:rPr>
      </w:pPr>
      <w:r w:rsidRPr="00E72FC6">
        <w:rPr>
          <w:rFonts w:ascii="Arial" w:hAnsi="Arial" w:cs="Arial"/>
          <w:sz w:val="24"/>
          <w:szCs w:val="24"/>
        </w:rPr>
        <w:t>[10]</w:t>
      </w:r>
      <w:r w:rsidRPr="00E72FC6">
        <w:rPr>
          <w:rFonts w:ascii="Arial" w:hAnsi="Arial" w:cs="Arial"/>
          <w:sz w:val="24"/>
          <w:szCs w:val="24"/>
        </w:rPr>
        <w:tab/>
      </w:r>
      <w:r w:rsidR="00813DC5" w:rsidRPr="00240696">
        <w:rPr>
          <w:rFonts w:ascii="Arial" w:hAnsi="Arial" w:cs="Arial"/>
          <w:sz w:val="24"/>
          <w:szCs w:val="24"/>
        </w:rPr>
        <w:t>The particulars of claim reads as follows:</w:t>
      </w:r>
    </w:p>
    <w:p w14:paraId="38582A49" w14:textId="77777777" w:rsidR="0091514D" w:rsidRDefault="0091514D" w:rsidP="0091514D">
      <w:pPr>
        <w:spacing w:after="0" w:line="360" w:lineRule="auto"/>
        <w:jc w:val="both"/>
        <w:rPr>
          <w:rFonts w:ascii="Arial" w:hAnsi="Arial" w:cs="Arial"/>
          <w:sz w:val="24"/>
          <w:szCs w:val="24"/>
        </w:rPr>
      </w:pPr>
    </w:p>
    <w:p w14:paraId="295AFF9F" w14:textId="77777777" w:rsidR="00130B17" w:rsidRDefault="0091514D" w:rsidP="00130B17">
      <w:pPr>
        <w:spacing w:after="0" w:line="360" w:lineRule="auto"/>
        <w:ind w:firstLine="720"/>
        <w:jc w:val="both"/>
        <w:rPr>
          <w:rFonts w:ascii="Arial" w:hAnsi="Arial" w:cs="Arial"/>
        </w:rPr>
      </w:pPr>
      <w:r w:rsidRPr="00F120AF">
        <w:rPr>
          <w:rFonts w:ascii="Arial" w:hAnsi="Arial" w:cs="Arial"/>
        </w:rPr>
        <w:t>‘</w:t>
      </w:r>
      <w:r w:rsidR="00813DC5" w:rsidRPr="00F120AF">
        <w:rPr>
          <w:rFonts w:ascii="Arial" w:hAnsi="Arial" w:cs="Arial"/>
        </w:rPr>
        <w:t>1.</w:t>
      </w:r>
      <w:r w:rsidR="00813DC5">
        <w:rPr>
          <w:rFonts w:ascii="Arial" w:hAnsi="Arial" w:cs="Arial"/>
          <w:sz w:val="24"/>
          <w:szCs w:val="24"/>
        </w:rPr>
        <w:tab/>
      </w:r>
      <w:r w:rsidR="00813DC5" w:rsidRPr="0091514D">
        <w:rPr>
          <w:rFonts w:ascii="Arial" w:hAnsi="Arial" w:cs="Arial"/>
        </w:rPr>
        <w:t>The plaintiff is Henning Asmus Seelenbinder, a major male retired civil engineer. Residing at 10B Bishops Close, Windhoek, Namibia.</w:t>
      </w:r>
    </w:p>
    <w:p w14:paraId="230D4D15" w14:textId="77777777" w:rsidR="00130B17" w:rsidRPr="0091514D" w:rsidRDefault="00130B17" w:rsidP="00130B17">
      <w:pPr>
        <w:spacing w:after="0" w:line="360" w:lineRule="auto"/>
        <w:ind w:firstLine="720"/>
        <w:jc w:val="both"/>
        <w:rPr>
          <w:rFonts w:ascii="Arial" w:hAnsi="Arial" w:cs="Arial"/>
        </w:rPr>
      </w:pPr>
    </w:p>
    <w:p w14:paraId="5052DBB2" w14:textId="77777777" w:rsidR="00813DC5" w:rsidRPr="0091514D" w:rsidRDefault="00813DC5" w:rsidP="0091514D">
      <w:pPr>
        <w:spacing w:line="360" w:lineRule="auto"/>
        <w:jc w:val="both"/>
        <w:rPr>
          <w:rFonts w:ascii="Arial" w:hAnsi="Arial" w:cs="Arial"/>
        </w:rPr>
      </w:pPr>
      <w:r w:rsidRPr="0091514D">
        <w:rPr>
          <w:rFonts w:ascii="Arial" w:hAnsi="Arial" w:cs="Arial"/>
        </w:rPr>
        <w:t>2.</w:t>
      </w:r>
      <w:r w:rsidRPr="0091514D">
        <w:rPr>
          <w:rFonts w:ascii="Arial" w:hAnsi="Arial" w:cs="Arial"/>
        </w:rPr>
        <w:tab/>
        <w:t>The defendant is Fischer Seelenbinder Associates CC, a close corporation duly registered under registration number CC/2003/3005, in terms of the Namibian close corporation laws</w:t>
      </w:r>
      <w:r w:rsidR="004212BF" w:rsidRPr="0091514D">
        <w:rPr>
          <w:rFonts w:ascii="Arial" w:hAnsi="Arial" w:cs="Arial"/>
        </w:rPr>
        <w:t>, with its principal place of business situated at 15 Bougain Villa Centre, Hebenstreit Street, Windhoek, Namibia.</w:t>
      </w:r>
    </w:p>
    <w:p w14:paraId="15C316EE" w14:textId="77777777" w:rsidR="004212BF" w:rsidRPr="0091514D" w:rsidRDefault="004212BF" w:rsidP="00184C3A">
      <w:pPr>
        <w:spacing w:line="360" w:lineRule="auto"/>
        <w:jc w:val="both"/>
        <w:rPr>
          <w:rFonts w:ascii="Arial" w:hAnsi="Arial" w:cs="Arial"/>
        </w:rPr>
      </w:pPr>
      <w:r w:rsidRPr="0091514D">
        <w:rPr>
          <w:rFonts w:ascii="Arial" w:hAnsi="Arial" w:cs="Arial"/>
        </w:rPr>
        <w:t>3.</w:t>
      </w:r>
      <w:r w:rsidRPr="0091514D">
        <w:rPr>
          <w:rFonts w:ascii="Arial" w:hAnsi="Arial" w:cs="Arial"/>
        </w:rPr>
        <w:tab/>
        <w:t>At all material times hereto the plaintiff was a 50% member of the defendant.</w:t>
      </w:r>
    </w:p>
    <w:p w14:paraId="78536513" w14:textId="77777777" w:rsidR="004212BF" w:rsidRPr="0091514D" w:rsidRDefault="004212BF" w:rsidP="00184C3A">
      <w:pPr>
        <w:spacing w:line="360" w:lineRule="auto"/>
        <w:jc w:val="both"/>
        <w:rPr>
          <w:rFonts w:ascii="Arial" w:hAnsi="Arial" w:cs="Arial"/>
        </w:rPr>
      </w:pPr>
      <w:r w:rsidRPr="0091514D">
        <w:rPr>
          <w:rFonts w:ascii="Arial" w:hAnsi="Arial" w:cs="Arial"/>
        </w:rPr>
        <w:t>4.</w:t>
      </w:r>
      <w:r w:rsidRPr="0091514D">
        <w:rPr>
          <w:rFonts w:ascii="Arial" w:hAnsi="Arial" w:cs="Arial"/>
        </w:rPr>
        <w:tab/>
        <w:t>On 17 November 2017 this Honourable Court gave judgement in case number A217/2015 in terms of which, inter alia, it was ordered that the defendant’s effective date of retirement as an active member of the defendant was 31 March 2016.  A copy of the judgement is annexed and marked “A”.</w:t>
      </w:r>
    </w:p>
    <w:p w14:paraId="32598815" w14:textId="77777777" w:rsidR="004212BF" w:rsidRPr="0091514D" w:rsidRDefault="004212BF" w:rsidP="00184C3A">
      <w:pPr>
        <w:spacing w:line="360" w:lineRule="auto"/>
        <w:jc w:val="both"/>
        <w:rPr>
          <w:rFonts w:ascii="Arial" w:hAnsi="Arial" w:cs="Arial"/>
        </w:rPr>
      </w:pPr>
      <w:r w:rsidRPr="0091514D">
        <w:rPr>
          <w:rFonts w:ascii="Arial" w:hAnsi="Arial" w:cs="Arial"/>
        </w:rPr>
        <w:t>5.</w:t>
      </w:r>
      <w:r w:rsidRPr="0091514D">
        <w:rPr>
          <w:rFonts w:ascii="Arial" w:hAnsi="Arial" w:cs="Arial"/>
        </w:rPr>
        <w:tab/>
        <w:t>During the period after the effective date of retirement until the date of the aforesaid judgement, ie April 2016 to November 2017, the plaintiff continued to generate income which was retained by the defendant and which became payable to the plaintiff as a result of the aforesaid judgement ( during this period plaintiff did not receive any income from defendant).</w:t>
      </w:r>
    </w:p>
    <w:p w14:paraId="2FC662F9" w14:textId="77777777" w:rsidR="004212BF" w:rsidRPr="0091514D" w:rsidRDefault="004212BF" w:rsidP="00184C3A">
      <w:pPr>
        <w:spacing w:line="360" w:lineRule="auto"/>
        <w:jc w:val="both"/>
        <w:rPr>
          <w:rFonts w:ascii="Arial" w:hAnsi="Arial" w:cs="Arial"/>
        </w:rPr>
      </w:pPr>
      <w:r w:rsidRPr="0091514D">
        <w:rPr>
          <w:rFonts w:ascii="Arial" w:hAnsi="Arial" w:cs="Arial"/>
        </w:rPr>
        <w:t>6.</w:t>
      </w:r>
      <w:r w:rsidRPr="0091514D">
        <w:rPr>
          <w:rFonts w:ascii="Arial" w:hAnsi="Arial" w:cs="Arial"/>
        </w:rPr>
        <w:tab/>
      </w:r>
      <w:r w:rsidR="00584F16" w:rsidRPr="0091514D">
        <w:rPr>
          <w:rFonts w:ascii="Arial" w:hAnsi="Arial" w:cs="Arial"/>
        </w:rPr>
        <w:t>The income generated by the plaintiff during the period April 2016 to November 2017 was in a total amount of N$285 235.29 (two hundred and eighty-five thousand two hundred and thirty-five Namibia Dollars and twenty-nine cents) (after tax).</w:t>
      </w:r>
    </w:p>
    <w:p w14:paraId="68CFC006" w14:textId="77777777" w:rsidR="00584F16" w:rsidRPr="0091514D" w:rsidRDefault="00584F16" w:rsidP="00184C3A">
      <w:pPr>
        <w:spacing w:line="360" w:lineRule="auto"/>
        <w:jc w:val="both"/>
        <w:rPr>
          <w:rFonts w:ascii="Arial" w:hAnsi="Arial" w:cs="Arial"/>
        </w:rPr>
      </w:pPr>
      <w:r w:rsidRPr="0091514D">
        <w:rPr>
          <w:rFonts w:ascii="Arial" w:hAnsi="Arial" w:cs="Arial"/>
        </w:rPr>
        <w:t>7.</w:t>
      </w:r>
      <w:r w:rsidRPr="0091514D">
        <w:rPr>
          <w:rFonts w:ascii="Arial" w:hAnsi="Arial" w:cs="Arial"/>
        </w:rPr>
        <w:tab/>
        <w:t>On 29 April 2019. The defendant, duly represented by its legal practitioner, in the letter annexed hereto and marked “B”, in writing acknowledged being liable to the plaintiff in an amount of N$285 235, 29(two hundred and eighty-five thousand two hundred and thirty-five Namibia Dollars and twenty-nine cents) in respect of project income (after tax)</w:t>
      </w:r>
      <w:r w:rsidR="00601614">
        <w:rPr>
          <w:rFonts w:ascii="Arial" w:hAnsi="Arial" w:cs="Arial"/>
        </w:rPr>
        <w:t xml:space="preserve"> generated by the plaintiff for</w:t>
      </w:r>
      <w:r w:rsidRPr="0091514D">
        <w:rPr>
          <w:rFonts w:ascii="Arial" w:hAnsi="Arial" w:cs="Arial"/>
        </w:rPr>
        <w:t xml:space="preserve"> the period April 2016 to November 2017.</w:t>
      </w:r>
    </w:p>
    <w:p w14:paraId="050690A8" w14:textId="77777777" w:rsidR="00E06714" w:rsidRPr="0091514D" w:rsidRDefault="00E06714" w:rsidP="00184C3A">
      <w:pPr>
        <w:spacing w:line="360" w:lineRule="auto"/>
        <w:jc w:val="both"/>
        <w:rPr>
          <w:rFonts w:ascii="Arial" w:hAnsi="Arial" w:cs="Arial"/>
        </w:rPr>
      </w:pPr>
      <w:r w:rsidRPr="0091514D">
        <w:rPr>
          <w:rFonts w:ascii="Arial" w:hAnsi="Arial" w:cs="Arial"/>
        </w:rPr>
        <w:t>8.</w:t>
      </w:r>
      <w:r w:rsidRPr="0091514D">
        <w:rPr>
          <w:rFonts w:ascii="Arial" w:hAnsi="Arial" w:cs="Arial"/>
        </w:rPr>
        <w:tab/>
        <w:t>Accordingly the aforesaid amount became due and payable with interest calculated from 30 April 2019.</w:t>
      </w:r>
    </w:p>
    <w:p w14:paraId="67E834C7" w14:textId="77777777" w:rsidR="00E06714" w:rsidRPr="0091514D" w:rsidRDefault="00E06714" w:rsidP="00184C3A">
      <w:pPr>
        <w:spacing w:line="360" w:lineRule="auto"/>
        <w:jc w:val="both"/>
        <w:rPr>
          <w:rFonts w:ascii="Arial" w:hAnsi="Arial" w:cs="Arial"/>
        </w:rPr>
      </w:pPr>
      <w:r w:rsidRPr="0091514D">
        <w:rPr>
          <w:rFonts w:ascii="Arial" w:hAnsi="Arial" w:cs="Arial"/>
        </w:rPr>
        <w:t>9.</w:t>
      </w:r>
      <w:r w:rsidRPr="0091514D">
        <w:rPr>
          <w:rFonts w:ascii="Arial" w:hAnsi="Arial" w:cs="Arial"/>
        </w:rPr>
        <w:tab/>
        <w:t>The defendant has not paid to the plaintiff the aforesaid amount or any portion thereof at all.</w:t>
      </w:r>
    </w:p>
    <w:p w14:paraId="523D9587" w14:textId="77777777" w:rsidR="00E06714" w:rsidRDefault="00E06714" w:rsidP="00130B17">
      <w:pPr>
        <w:spacing w:after="0" w:line="360" w:lineRule="auto"/>
        <w:jc w:val="both"/>
        <w:rPr>
          <w:rFonts w:ascii="Arial" w:hAnsi="Arial" w:cs="Arial"/>
        </w:rPr>
      </w:pPr>
      <w:r w:rsidRPr="0091514D">
        <w:rPr>
          <w:rFonts w:ascii="Arial" w:hAnsi="Arial" w:cs="Arial"/>
        </w:rPr>
        <w:t>10.</w:t>
      </w:r>
      <w:r w:rsidRPr="0091514D">
        <w:rPr>
          <w:rFonts w:ascii="Arial" w:hAnsi="Arial" w:cs="Arial"/>
        </w:rPr>
        <w:tab/>
        <w:t>In the premises the defendant is liable to the plaintiff for payment of the aforesaid amount plus interest calculated from 30 April 2019 at prescribed rate of interest.</w:t>
      </w:r>
      <w:r w:rsidR="0091514D">
        <w:rPr>
          <w:rFonts w:ascii="Arial" w:hAnsi="Arial" w:cs="Arial"/>
        </w:rPr>
        <w:t>’</w:t>
      </w:r>
    </w:p>
    <w:p w14:paraId="1F9E30B7" w14:textId="77777777" w:rsidR="00F120AF" w:rsidRPr="0091514D" w:rsidRDefault="00F120AF" w:rsidP="00130B17">
      <w:pPr>
        <w:spacing w:after="0" w:line="360" w:lineRule="auto"/>
        <w:jc w:val="both"/>
        <w:rPr>
          <w:rFonts w:ascii="Arial" w:hAnsi="Arial" w:cs="Arial"/>
        </w:rPr>
      </w:pPr>
    </w:p>
    <w:p w14:paraId="12BF99B3" w14:textId="77777777" w:rsidR="00184C3A" w:rsidRDefault="00130B17" w:rsidP="00130B17">
      <w:pPr>
        <w:spacing w:after="0" w:line="360" w:lineRule="auto"/>
        <w:jc w:val="both"/>
        <w:rPr>
          <w:rFonts w:ascii="Arial" w:hAnsi="Arial" w:cs="Arial"/>
          <w:sz w:val="24"/>
          <w:szCs w:val="24"/>
          <w:u w:val="single"/>
        </w:rPr>
      </w:pPr>
      <w:r>
        <w:rPr>
          <w:rFonts w:ascii="Arial" w:hAnsi="Arial" w:cs="Arial"/>
          <w:sz w:val="24"/>
          <w:szCs w:val="24"/>
          <w:u w:val="single"/>
        </w:rPr>
        <w:t>Application for summary judg</w:t>
      </w:r>
      <w:r w:rsidR="00613FBF" w:rsidRPr="00613FBF">
        <w:rPr>
          <w:rFonts w:ascii="Arial" w:hAnsi="Arial" w:cs="Arial"/>
          <w:sz w:val="24"/>
          <w:szCs w:val="24"/>
          <w:u w:val="single"/>
        </w:rPr>
        <w:t>ment</w:t>
      </w:r>
    </w:p>
    <w:p w14:paraId="5B782ADD" w14:textId="77777777" w:rsidR="00130B17" w:rsidRPr="00613FBF" w:rsidRDefault="00130B17" w:rsidP="00130B17">
      <w:pPr>
        <w:spacing w:after="0" w:line="360" w:lineRule="auto"/>
        <w:jc w:val="both"/>
        <w:rPr>
          <w:rFonts w:ascii="Arial" w:hAnsi="Arial" w:cs="Arial"/>
          <w:sz w:val="24"/>
          <w:szCs w:val="24"/>
          <w:u w:val="single"/>
        </w:rPr>
      </w:pPr>
    </w:p>
    <w:p w14:paraId="2C113B06" w14:textId="7A68BE4A" w:rsidR="00184C3A" w:rsidRPr="00240696" w:rsidRDefault="00240696" w:rsidP="00240696">
      <w:pPr>
        <w:spacing w:after="0" w:line="360" w:lineRule="auto"/>
        <w:jc w:val="both"/>
        <w:rPr>
          <w:rFonts w:ascii="Arial" w:hAnsi="Arial" w:cs="Arial"/>
          <w:sz w:val="24"/>
          <w:szCs w:val="24"/>
        </w:rPr>
      </w:pPr>
      <w:r w:rsidRPr="00E72FC6">
        <w:rPr>
          <w:rFonts w:ascii="Arial" w:hAnsi="Arial" w:cs="Arial"/>
          <w:sz w:val="24"/>
          <w:szCs w:val="24"/>
        </w:rPr>
        <w:t>[11]</w:t>
      </w:r>
      <w:r w:rsidRPr="00E72FC6">
        <w:rPr>
          <w:rFonts w:ascii="Arial" w:hAnsi="Arial" w:cs="Arial"/>
          <w:sz w:val="24"/>
          <w:szCs w:val="24"/>
        </w:rPr>
        <w:tab/>
      </w:r>
      <w:r w:rsidR="00613FBF" w:rsidRPr="00240696">
        <w:rPr>
          <w:rFonts w:ascii="Arial" w:hAnsi="Arial" w:cs="Arial"/>
          <w:sz w:val="24"/>
          <w:szCs w:val="24"/>
        </w:rPr>
        <w:t>The summ</w:t>
      </w:r>
      <w:r w:rsidR="00130B17" w:rsidRPr="00240696">
        <w:rPr>
          <w:rFonts w:ascii="Arial" w:hAnsi="Arial" w:cs="Arial"/>
          <w:sz w:val="24"/>
          <w:szCs w:val="24"/>
        </w:rPr>
        <w:t>ary judgment application sought</w:t>
      </w:r>
      <w:r w:rsidR="00613FBF" w:rsidRPr="00240696">
        <w:rPr>
          <w:rFonts w:ascii="Arial" w:hAnsi="Arial" w:cs="Arial"/>
          <w:sz w:val="24"/>
          <w:szCs w:val="24"/>
        </w:rPr>
        <w:t xml:space="preserve"> the following relief:</w:t>
      </w:r>
    </w:p>
    <w:p w14:paraId="2C122DBF" w14:textId="77777777" w:rsidR="00130B17" w:rsidRDefault="00130B17" w:rsidP="00130B17">
      <w:pPr>
        <w:spacing w:after="0" w:line="360" w:lineRule="auto"/>
        <w:jc w:val="both"/>
        <w:rPr>
          <w:rFonts w:ascii="Arial" w:hAnsi="Arial" w:cs="Arial"/>
          <w:sz w:val="24"/>
          <w:szCs w:val="24"/>
        </w:rPr>
      </w:pPr>
    </w:p>
    <w:p w14:paraId="5071C6B0" w14:textId="77777777" w:rsidR="00613FBF" w:rsidRPr="00130B17" w:rsidRDefault="00130B17" w:rsidP="00130B17">
      <w:pPr>
        <w:spacing w:after="0" w:line="360" w:lineRule="auto"/>
        <w:ind w:firstLine="720"/>
        <w:jc w:val="both"/>
        <w:rPr>
          <w:rFonts w:ascii="Arial" w:hAnsi="Arial" w:cs="Arial"/>
        </w:rPr>
      </w:pPr>
      <w:r w:rsidRPr="00130B17">
        <w:rPr>
          <w:rFonts w:ascii="Arial" w:hAnsi="Arial" w:cs="Arial"/>
        </w:rPr>
        <w:lastRenderedPageBreak/>
        <w:t>‘</w:t>
      </w:r>
      <w:r w:rsidR="00613FBF" w:rsidRPr="00130B17">
        <w:rPr>
          <w:rFonts w:ascii="Arial" w:hAnsi="Arial" w:cs="Arial"/>
        </w:rPr>
        <w:t>1.</w:t>
      </w:r>
      <w:r w:rsidR="00613FBF" w:rsidRPr="00130B17">
        <w:rPr>
          <w:rFonts w:ascii="Arial" w:hAnsi="Arial" w:cs="Arial"/>
        </w:rPr>
        <w:tab/>
      </w:r>
      <w:r>
        <w:rPr>
          <w:rFonts w:ascii="Arial" w:hAnsi="Arial" w:cs="Arial"/>
        </w:rPr>
        <w:t>Payment in the amount of NAD</w:t>
      </w:r>
      <w:r w:rsidR="00E72FC6">
        <w:rPr>
          <w:rFonts w:ascii="Arial" w:hAnsi="Arial" w:cs="Arial"/>
        </w:rPr>
        <w:t xml:space="preserve">285 </w:t>
      </w:r>
      <w:r w:rsidR="00613FBF" w:rsidRPr="00130B17">
        <w:rPr>
          <w:rFonts w:ascii="Arial" w:hAnsi="Arial" w:cs="Arial"/>
        </w:rPr>
        <w:t xml:space="preserve">235.29 (two hundred and eighty-five thousand two hundred and thirty-five Namibia Dollars and twenty-nine cents) (after tax) by the Defendant; </w:t>
      </w:r>
    </w:p>
    <w:p w14:paraId="37E020A9" w14:textId="77777777" w:rsidR="00613FBF" w:rsidRPr="00130B17" w:rsidRDefault="00613FBF" w:rsidP="00184C3A">
      <w:pPr>
        <w:spacing w:line="360" w:lineRule="auto"/>
        <w:jc w:val="both"/>
        <w:rPr>
          <w:rFonts w:ascii="Arial" w:hAnsi="Arial" w:cs="Arial"/>
        </w:rPr>
      </w:pPr>
      <w:r w:rsidRPr="00130B17">
        <w:rPr>
          <w:rFonts w:ascii="Arial" w:hAnsi="Arial" w:cs="Arial"/>
        </w:rPr>
        <w:t xml:space="preserve">2. Interest on the aforesaid amount, at a rate of 20% per annum from 30 April 2019, until date of final payment; </w:t>
      </w:r>
    </w:p>
    <w:p w14:paraId="2C51BB41" w14:textId="77777777" w:rsidR="00613FBF" w:rsidRPr="00130B17" w:rsidRDefault="00613FBF" w:rsidP="00184C3A">
      <w:pPr>
        <w:spacing w:line="360" w:lineRule="auto"/>
        <w:jc w:val="both"/>
        <w:rPr>
          <w:rFonts w:ascii="Arial" w:hAnsi="Arial" w:cs="Arial"/>
        </w:rPr>
      </w:pPr>
      <w:r w:rsidRPr="00130B17">
        <w:rPr>
          <w:rFonts w:ascii="Arial" w:hAnsi="Arial" w:cs="Arial"/>
        </w:rPr>
        <w:t xml:space="preserve">3. Cost of suit, including the cost of one instructing and one instructed counsel; and </w:t>
      </w:r>
    </w:p>
    <w:p w14:paraId="56896782" w14:textId="77777777" w:rsidR="00184C3A" w:rsidRDefault="00613FBF" w:rsidP="00130B17">
      <w:pPr>
        <w:spacing w:after="0" w:line="360" w:lineRule="auto"/>
        <w:jc w:val="both"/>
        <w:rPr>
          <w:rFonts w:ascii="Arial" w:hAnsi="Arial" w:cs="Arial"/>
        </w:rPr>
      </w:pPr>
      <w:r w:rsidRPr="00130B17">
        <w:rPr>
          <w:rFonts w:ascii="Arial" w:hAnsi="Arial" w:cs="Arial"/>
        </w:rPr>
        <w:t>4. Further and/or alternative relief.</w:t>
      </w:r>
      <w:r w:rsidR="00130B17" w:rsidRPr="00130B17">
        <w:rPr>
          <w:rFonts w:ascii="Arial" w:hAnsi="Arial" w:cs="Arial"/>
        </w:rPr>
        <w:t>’</w:t>
      </w:r>
    </w:p>
    <w:p w14:paraId="7054B739" w14:textId="77777777" w:rsidR="00130B17" w:rsidRPr="00130B17" w:rsidRDefault="00130B17" w:rsidP="00130B17">
      <w:pPr>
        <w:spacing w:after="0" w:line="360" w:lineRule="auto"/>
        <w:jc w:val="both"/>
        <w:rPr>
          <w:rFonts w:ascii="Arial" w:hAnsi="Arial" w:cs="Arial"/>
        </w:rPr>
      </w:pPr>
    </w:p>
    <w:p w14:paraId="7D05ED1B" w14:textId="3CD8A06E" w:rsidR="00E72FC6" w:rsidRPr="00240696" w:rsidRDefault="00240696" w:rsidP="00240696">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613FBF" w:rsidRPr="00240696">
        <w:rPr>
          <w:rFonts w:ascii="Arial" w:hAnsi="Arial" w:cs="Arial"/>
          <w:sz w:val="24"/>
          <w:szCs w:val="24"/>
        </w:rPr>
        <w:t xml:space="preserve">It was further supported by an affidavit of </w:t>
      </w:r>
      <w:r w:rsidR="0058324F" w:rsidRPr="00240696">
        <w:rPr>
          <w:rFonts w:ascii="Arial" w:hAnsi="Arial" w:cs="Arial"/>
          <w:sz w:val="24"/>
          <w:szCs w:val="24"/>
        </w:rPr>
        <w:t>Barbel Helene Brigitte Seelenbinder, who acted in her capacity as duly appointed executrix of the Estate of Late HA Seelenbinder</w:t>
      </w:r>
      <w:r w:rsidR="00F120AF" w:rsidRPr="00240696">
        <w:rPr>
          <w:rFonts w:ascii="Arial" w:hAnsi="Arial" w:cs="Arial"/>
          <w:sz w:val="24"/>
          <w:szCs w:val="24"/>
        </w:rPr>
        <w:t>,</w:t>
      </w:r>
      <w:r w:rsidR="0058324F" w:rsidRPr="00240696">
        <w:rPr>
          <w:rFonts w:ascii="Arial" w:hAnsi="Arial" w:cs="Arial"/>
          <w:sz w:val="24"/>
          <w:szCs w:val="24"/>
        </w:rPr>
        <w:t xml:space="preserve"> who passed away on 2 June 2022</w:t>
      </w:r>
      <w:r w:rsidR="00F120AF" w:rsidRPr="00240696">
        <w:rPr>
          <w:rFonts w:ascii="Arial" w:hAnsi="Arial" w:cs="Arial"/>
          <w:sz w:val="24"/>
          <w:szCs w:val="24"/>
        </w:rPr>
        <w:t>. S</w:t>
      </w:r>
      <w:r w:rsidR="0058324F" w:rsidRPr="00240696">
        <w:rPr>
          <w:rFonts w:ascii="Arial" w:hAnsi="Arial" w:cs="Arial"/>
          <w:sz w:val="24"/>
          <w:szCs w:val="24"/>
        </w:rPr>
        <w:t>he is duly authorized as such by the Master of the High Court</w:t>
      </w:r>
      <w:r w:rsidR="00130B17" w:rsidRPr="00240696">
        <w:rPr>
          <w:rFonts w:ascii="Arial" w:hAnsi="Arial" w:cs="Arial"/>
          <w:sz w:val="24"/>
          <w:szCs w:val="24"/>
        </w:rPr>
        <w:t>,</w:t>
      </w:r>
      <w:r w:rsidR="0058324F" w:rsidRPr="00240696">
        <w:rPr>
          <w:rFonts w:ascii="Arial" w:hAnsi="Arial" w:cs="Arial"/>
          <w:sz w:val="24"/>
          <w:szCs w:val="24"/>
        </w:rPr>
        <w:t xml:space="preserve"> in terms of Letter of Executorship No E 2005/2022.</w:t>
      </w:r>
    </w:p>
    <w:p w14:paraId="6766181F" w14:textId="77777777" w:rsidR="00E72FC6" w:rsidRDefault="00E72FC6" w:rsidP="00E72FC6">
      <w:pPr>
        <w:pStyle w:val="ListParagraph"/>
        <w:spacing w:after="0" w:line="360" w:lineRule="auto"/>
        <w:ind w:left="0"/>
        <w:jc w:val="both"/>
        <w:rPr>
          <w:rFonts w:ascii="Arial" w:hAnsi="Arial" w:cs="Arial"/>
          <w:sz w:val="24"/>
          <w:szCs w:val="24"/>
        </w:rPr>
      </w:pPr>
    </w:p>
    <w:p w14:paraId="52B84C14" w14:textId="44F0A958" w:rsidR="00E72FC6" w:rsidRPr="00240696" w:rsidRDefault="00240696" w:rsidP="00240696">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58324F" w:rsidRPr="00240696">
        <w:rPr>
          <w:rFonts w:ascii="Arial" w:hAnsi="Arial" w:cs="Arial"/>
          <w:sz w:val="24"/>
          <w:szCs w:val="24"/>
        </w:rPr>
        <w:t>She indicated in the affidavit that she can and do</w:t>
      </w:r>
      <w:r w:rsidR="00130B17" w:rsidRPr="00240696">
        <w:rPr>
          <w:rFonts w:ascii="Arial" w:hAnsi="Arial" w:cs="Arial"/>
          <w:sz w:val="24"/>
          <w:szCs w:val="24"/>
        </w:rPr>
        <w:t>es</w:t>
      </w:r>
      <w:r w:rsidR="0058324F" w:rsidRPr="00240696">
        <w:rPr>
          <w:rFonts w:ascii="Arial" w:hAnsi="Arial" w:cs="Arial"/>
          <w:sz w:val="24"/>
          <w:szCs w:val="24"/>
        </w:rPr>
        <w:t xml:space="preserve"> swear positively t</w:t>
      </w:r>
      <w:r w:rsidR="00130B17" w:rsidRPr="00240696">
        <w:rPr>
          <w:rFonts w:ascii="Arial" w:hAnsi="Arial" w:cs="Arial"/>
          <w:sz w:val="24"/>
          <w:szCs w:val="24"/>
        </w:rPr>
        <w:t>o the facts verifying that the respondent/defendant is indebted to the applicant/p</w:t>
      </w:r>
      <w:r w:rsidR="0058324F" w:rsidRPr="00240696">
        <w:rPr>
          <w:rFonts w:ascii="Arial" w:hAnsi="Arial" w:cs="Arial"/>
          <w:sz w:val="24"/>
          <w:szCs w:val="24"/>
        </w:rPr>
        <w:t>laintiff on the grounds set out in the plaintiff’s summons and particulars of claim in these proceedings together with interest and cost of suit as claimed therein.  She further ind</w:t>
      </w:r>
      <w:r w:rsidR="00130B17" w:rsidRPr="00240696">
        <w:rPr>
          <w:rFonts w:ascii="Arial" w:hAnsi="Arial" w:cs="Arial"/>
          <w:sz w:val="24"/>
          <w:szCs w:val="24"/>
        </w:rPr>
        <w:t>icated that in her opinion the respondent/d</w:t>
      </w:r>
      <w:r w:rsidR="00F120AF" w:rsidRPr="00240696">
        <w:rPr>
          <w:rFonts w:ascii="Arial" w:hAnsi="Arial" w:cs="Arial"/>
          <w:sz w:val="24"/>
          <w:szCs w:val="24"/>
        </w:rPr>
        <w:t xml:space="preserve">efendant has no </w:t>
      </w:r>
      <w:r w:rsidR="00F120AF" w:rsidRPr="00240696">
        <w:rPr>
          <w:rFonts w:ascii="Arial" w:hAnsi="Arial" w:cs="Arial"/>
          <w:i/>
          <w:sz w:val="24"/>
          <w:szCs w:val="24"/>
        </w:rPr>
        <w:t>bona</w:t>
      </w:r>
      <w:r w:rsidR="0058324F" w:rsidRPr="00240696">
        <w:rPr>
          <w:rFonts w:ascii="Arial" w:hAnsi="Arial" w:cs="Arial"/>
          <w:i/>
          <w:sz w:val="24"/>
          <w:szCs w:val="24"/>
        </w:rPr>
        <w:t xml:space="preserve"> fide</w:t>
      </w:r>
      <w:r w:rsidR="0058324F" w:rsidRPr="00240696">
        <w:rPr>
          <w:rFonts w:ascii="Arial" w:hAnsi="Arial" w:cs="Arial"/>
          <w:sz w:val="24"/>
          <w:szCs w:val="24"/>
        </w:rPr>
        <w:t xml:space="preserve"> defence to the action and delivered a notice of intention to defend solely for the purposes of delaying the action.</w:t>
      </w:r>
    </w:p>
    <w:p w14:paraId="034B8DE9" w14:textId="77777777" w:rsidR="00E72FC6" w:rsidRPr="00E72FC6" w:rsidRDefault="00E72FC6" w:rsidP="00E72FC6">
      <w:pPr>
        <w:pStyle w:val="ListParagraph"/>
        <w:rPr>
          <w:rFonts w:ascii="Arial" w:hAnsi="Arial" w:cs="Arial"/>
          <w:sz w:val="24"/>
          <w:szCs w:val="24"/>
        </w:rPr>
      </w:pPr>
    </w:p>
    <w:p w14:paraId="048FD3AD" w14:textId="141D2BF3" w:rsidR="00E72FC6" w:rsidRPr="00240696" w:rsidRDefault="00240696" w:rsidP="00240696">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536C29" w:rsidRPr="00240696">
        <w:rPr>
          <w:rFonts w:ascii="Arial" w:hAnsi="Arial" w:cs="Arial"/>
          <w:sz w:val="24"/>
          <w:szCs w:val="24"/>
        </w:rPr>
        <w:t>Fischer on the other hand opposed the application and filed an opposing affidavit in which he state</w:t>
      </w:r>
      <w:r w:rsidR="00F120AF" w:rsidRPr="00240696">
        <w:rPr>
          <w:rFonts w:ascii="Arial" w:hAnsi="Arial" w:cs="Arial"/>
          <w:sz w:val="24"/>
          <w:szCs w:val="24"/>
        </w:rPr>
        <w:t>s</w:t>
      </w:r>
      <w:r w:rsidR="00536C29" w:rsidRPr="00240696">
        <w:rPr>
          <w:rFonts w:ascii="Arial" w:hAnsi="Arial" w:cs="Arial"/>
          <w:sz w:val="24"/>
          <w:szCs w:val="24"/>
        </w:rPr>
        <w:t xml:space="preserve"> that he is the sole member of the defendant (CC) and as such</w:t>
      </w:r>
      <w:r w:rsidR="007C2455" w:rsidRPr="00240696">
        <w:rPr>
          <w:rFonts w:ascii="Arial" w:hAnsi="Arial" w:cs="Arial"/>
          <w:sz w:val="24"/>
          <w:szCs w:val="24"/>
        </w:rPr>
        <w:t>,</w:t>
      </w:r>
      <w:r w:rsidR="00536C29" w:rsidRPr="00240696">
        <w:rPr>
          <w:rFonts w:ascii="Arial" w:hAnsi="Arial" w:cs="Arial"/>
          <w:sz w:val="24"/>
          <w:szCs w:val="24"/>
        </w:rPr>
        <w:t xml:space="preserve"> duly authorized to oppose the summary judgment application on</w:t>
      </w:r>
      <w:r w:rsidR="007C2455" w:rsidRPr="00240696">
        <w:rPr>
          <w:rFonts w:ascii="Arial" w:hAnsi="Arial" w:cs="Arial"/>
          <w:sz w:val="24"/>
          <w:szCs w:val="24"/>
        </w:rPr>
        <w:t xml:space="preserve"> behalf of the defendant and is</w:t>
      </w:r>
      <w:r w:rsidR="00536C29" w:rsidRPr="00240696">
        <w:rPr>
          <w:rFonts w:ascii="Arial" w:hAnsi="Arial" w:cs="Arial"/>
          <w:sz w:val="24"/>
          <w:szCs w:val="24"/>
        </w:rPr>
        <w:t xml:space="preserve"> personally acquainted with the facts set out in the affidavit unless where the context indicat</w:t>
      </w:r>
      <w:r w:rsidR="00BF2A76" w:rsidRPr="00240696">
        <w:rPr>
          <w:rFonts w:ascii="Arial" w:hAnsi="Arial" w:cs="Arial"/>
          <w:sz w:val="24"/>
          <w:szCs w:val="24"/>
        </w:rPr>
        <w:t xml:space="preserve">es otherwise.  He read the allegations in the particulars of claim and annexures </w:t>
      </w:r>
      <w:r w:rsidR="007C2455" w:rsidRPr="00240696">
        <w:rPr>
          <w:rFonts w:ascii="Arial" w:hAnsi="Arial" w:cs="Arial"/>
          <w:sz w:val="24"/>
          <w:szCs w:val="24"/>
        </w:rPr>
        <w:t>thereto and denies</w:t>
      </w:r>
      <w:r w:rsidR="00BF2A76" w:rsidRPr="00240696">
        <w:rPr>
          <w:rFonts w:ascii="Arial" w:hAnsi="Arial" w:cs="Arial"/>
          <w:sz w:val="24"/>
          <w:szCs w:val="24"/>
        </w:rPr>
        <w:t xml:space="preserve"> the allegations in the affidavi</w:t>
      </w:r>
      <w:r w:rsidR="00130B17" w:rsidRPr="00240696">
        <w:rPr>
          <w:rFonts w:ascii="Arial" w:hAnsi="Arial" w:cs="Arial"/>
          <w:sz w:val="24"/>
          <w:szCs w:val="24"/>
        </w:rPr>
        <w:t>t accompanying the summary judg</w:t>
      </w:r>
      <w:r w:rsidR="00BF2A76" w:rsidRPr="00240696">
        <w:rPr>
          <w:rFonts w:ascii="Arial" w:hAnsi="Arial" w:cs="Arial"/>
          <w:sz w:val="24"/>
          <w:szCs w:val="24"/>
        </w:rPr>
        <w:t xml:space="preserve">ment application.  He further denied that the defendant does not have a </w:t>
      </w:r>
      <w:r w:rsidR="00BF2A76" w:rsidRPr="00240696">
        <w:rPr>
          <w:rFonts w:ascii="Arial" w:hAnsi="Arial" w:cs="Arial"/>
          <w:i/>
          <w:sz w:val="24"/>
          <w:szCs w:val="24"/>
        </w:rPr>
        <w:t>bone fide</w:t>
      </w:r>
      <w:r w:rsidR="00BF2A76" w:rsidRPr="00240696">
        <w:rPr>
          <w:rFonts w:ascii="Arial" w:hAnsi="Arial" w:cs="Arial"/>
          <w:sz w:val="24"/>
          <w:szCs w:val="24"/>
        </w:rPr>
        <w:t xml:space="preserve"> defence t</w:t>
      </w:r>
      <w:r w:rsidR="007C2455" w:rsidRPr="00240696">
        <w:rPr>
          <w:rFonts w:ascii="Arial" w:hAnsi="Arial" w:cs="Arial"/>
          <w:sz w:val="24"/>
          <w:szCs w:val="24"/>
        </w:rPr>
        <w:t>o the claims of the plaintiff and</w:t>
      </w:r>
      <w:r w:rsidR="00BF2A76" w:rsidRPr="00240696">
        <w:rPr>
          <w:rFonts w:ascii="Arial" w:hAnsi="Arial" w:cs="Arial"/>
          <w:sz w:val="24"/>
          <w:szCs w:val="24"/>
        </w:rPr>
        <w:t xml:space="preserve"> denies that appearance to defend was e</w:t>
      </w:r>
      <w:r w:rsidR="007C2455" w:rsidRPr="00240696">
        <w:rPr>
          <w:rFonts w:ascii="Arial" w:hAnsi="Arial" w:cs="Arial"/>
          <w:sz w:val="24"/>
          <w:szCs w:val="24"/>
        </w:rPr>
        <w:t>ntered solely for the purpose of</w:t>
      </w:r>
      <w:r w:rsidR="00BF2A76" w:rsidRPr="00240696">
        <w:rPr>
          <w:rFonts w:ascii="Arial" w:hAnsi="Arial" w:cs="Arial"/>
          <w:sz w:val="24"/>
          <w:szCs w:val="24"/>
        </w:rPr>
        <w:t xml:space="preserve"> delay</w:t>
      </w:r>
      <w:r w:rsidR="007C2455" w:rsidRPr="00240696">
        <w:rPr>
          <w:rFonts w:ascii="Arial" w:hAnsi="Arial" w:cs="Arial"/>
          <w:sz w:val="24"/>
          <w:szCs w:val="24"/>
        </w:rPr>
        <w:t>ing</w:t>
      </w:r>
      <w:r w:rsidR="00BF2A76" w:rsidRPr="00240696">
        <w:rPr>
          <w:rFonts w:ascii="Arial" w:hAnsi="Arial" w:cs="Arial"/>
          <w:sz w:val="24"/>
          <w:szCs w:val="24"/>
        </w:rPr>
        <w:t xml:space="preserve"> the action.</w:t>
      </w:r>
    </w:p>
    <w:p w14:paraId="1CB857E3" w14:textId="77777777" w:rsidR="00E72FC6" w:rsidRPr="00E72FC6" w:rsidRDefault="00E72FC6" w:rsidP="00E72FC6">
      <w:pPr>
        <w:pStyle w:val="ListParagraph"/>
        <w:rPr>
          <w:rFonts w:ascii="Arial" w:hAnsi="Arial" w:cs="Arial"/>
          <w:sz w:val="24"/>
          <w:szCs w:val="24"/>
        </w:rPr>
      </w:pPr>
    </w:p>
    <w:p w14:paraId="6710673C" w14:textId="2F712636" w:rsidR="00E72FC6" w:rsidRPr="00240696" w:rsidRDefault="00240696" w:rsidP="00240696">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091093" w:rsidRPr="00240696">
        <w:rPr>
          <w:rFonts w:ascii="Arial" w:hAnsi="Arial" w:cs="Arial"/>
          <w:sz w:val="24"/>
          <w:szCs w:val="24"/>
        </w:rPr>
        <w:t>Fis</w:t>
      </w:r>
      <w:r w:rsidR="007C2455" w:rsidRPr="00240696">
        <w:rPr>
          <w:rFonts w:ascii="Arial" w:hAnsi="Arial" w:cs="Arial"/>
          <w:sz w:val="24"/>
          <w:szCs w:val="24"/>
        </w:rPr>
        <w:t>c</w:t>
      </w:r>
      <w:r w:rsidR="00091093" w:rsidRPr="00240696">
        <w:rPr>
          <w:rFonts w:ascii="Arial" w:hAnsi="Arial" w:cs="Arial"/>
          <w:sz w:val="24"/>
          <w:szCs w:val="24"/>
        </w:rPr>
        <w:t>her further takes issue with the fact that the legal representative of Mr Seelinbinder did not engage</w:t>
      </w:r>
      <w:r w:rsidR="007C2455" w:rsidRPr="00240696">
        <w:rPr>
          <w:rFonts w:ascii="Arial" w:hAnsi="Arial" w:cs="Arial"/>
          <w:sz w:val="24"/>
          <w:szCs w:val="24"/>
        </w:rPr>
        <w:t xml:space="preserve"> him</w:t>
      </w:r>
      <w:r w:rsidR="00091093" w:rsidRPr="00240696">
        <w:rPr>
          <w:rFonts w:ascii="Arial" w:hAnsi="Arial" w:cs="Arial"/>
          <w:sz w:val="24"/>
          <w:szCs w:val="24"/>
        </w:rPr>
        <w:t xml:space="preserve"> in terms of rule 32(9) and 32(10) on </w:t>
      </w:r>
      <w:r w:rsidR="007C2455" w:rsidRPr="00240696">
        <w:rPr>
          <w:rFonts w:ascii="Arial" w:hAnsi="Arial" w:cs="Arial"/>
          <w:sz w:val="24"/>
          <w:szCs w:val="24"/>
        </w:rPr>
        <w:t xml:space="preserve">the </w:t>
      </w:r>
      <w:r w:rsidR="00091093" w:rsidRPr="00240696">
        <w:rPr>
          <w:rFonts w:ascii="Arial" w:hAnsi="Arial" w:cs="Arial"/>
          <w:sz w:val="24"/>
          <w:szCs w:val="24"/>
        </w:rPr>
        <w:t>time</w:t>
      </w:r>
      <w:r w:rsidR="00130B17" w:rsidRPr="00240696">
        <w:rPr>
          <w:rFonts w:ascii="Arial" w:hAnsi="Arial" w:cs="Arial"/>
          <w:sz w:val="24"/>
          <w:szCs w:val="24"/>
        </w:rPr>
        <w:t xml:space="preserve"> regarding the summary judg</w:t>
      </w:r>
      <w:r w:rsidR="00FA3061" w:rsidRPr="00240696">
        <w:rPr>
          <w:rFonts w:ascii="Arial" w:hAnsi="Arial" w:cs="Arial"/>
          <w:sz w:val="24"/>
          <w:szCs w:val="24"/>
        </w:rPr>
        <w:t xml:space="preserve">ment </w:t>
      </w:r>
      <w:r w:rsidR="00091093" w:rsidRPr="00240696">
        <w:rPr>
          <w:rFonts w:ascii="Arial" w:hAnsi="Arial" w:cs="Arial"/>
          <w:sz w:val="24"/>
          <w:szCs w:val="24"/>
        </w:rPr>
        <w:t xml:space="preserve">and when his office did so, it was not a proper engagement.  </w:t>
      </w:r>
      <w:r w:rsidR="00FA3061" w:rsidRPr="00240696">
        <w:rPr>
          <w:rFonts w:ascii="Arial" w:hAnsi="Arial" w:cs="Arial"/>
          <w:sz w:val="24"/>
          <w:szCs w:val="24"/>
        </w:rPr>
        <w:t xml:space="preserve">The </w:t>
      </w:r>
      <w:r w:rsidR="00526F35" w:rsidRPr="00240696">
        <w:rPr>
          <w:rFonts w:ascii="Arial" w:hAnsi="Arial" w:cs="Arial"/>
          <w:sz w:val="24"/>
          <w:szCs w:val="24"/>
        </w:rPr>
        <w:t xml:space="preserve">legal practitioner of the </w:t>
      </w:r>
      <w:r w:rsidR="00FA3061" w:rsidRPr="00240696">
        <w:rPr>
          <w:rFonts w:ascii="Arial" w:hAnsi="Arial" w:cs="Arial"/>
          <w:sz w:val="24"/>
          <w:szCs w:val="24"/>
        </w:rPr>
        <w:t xml:space="preserve">plaintiff had to </w:t>
      </w:r>
      <w:r w:rsidR="007C2455" w:rsidRPr="00240696">
        <w:rPr>
          <w:rFonts w:ascii="Arial" w:hAnsi="Arial" w:cs="Arial"/>
          <w:sz w:val="24"/>
          <w:szCs w:val="24"/>
        </w:rPr>
        <w:t>engage</w:t>
      </w:r>
      <w:r w:rsidR="00526F35" w:rsidRPr="00240696">
        <w:rPr>
          <w:rFonts w:ascii="Arial" w:hAnsi="Arial" w:cs="Arial"/>
          <w:sz w:val="24"/>
          <w:szCs w:val="24"/>
        </w:rPr>
        <w:t xml:space="preserve"> the legal practitioner of the defendant</w:t>
      </w:r>
      <w:r w:rsidR="007C2455" w:rsidRPr="00240696">
        <w:rPr>
          <w:rFonts w:ascii="Arial" w:hAnsi="Arial" w:cs="Arial"/>
          <w:sz w:val="24"/>
          <w:szCs w:val="24"/>
        </w:rPr>
        <w:t xml:space="preserve"> </w:t>
      </w:r>
      <w:r w:rsidR="00FA3061" w:rsidRPr="00240696">
        <w:rPr>
          <w:rFonts w:ascii="Arial" w:hAnsi="Arial" w:cs="Arial"/>
          <w:sz w:val="24"/>
          <w:szCs w:val="24"/>
        </w:rPr>
        <w:t>by 6 April 2023 in terms of the court order of 28 March 2023</w:t>
      </w:r>
      <w:r w:rsidR="00130B17" w:rsidRPr="00240696">
        <w:rPr>
          <w:rFonts w:ascii="Arial" w:hAnsi="Arial" w:cs="Arial"/>
          <w:sz w:val="24"/>
          <w:szCs w:val="24"/>
        </w:rPr>
        <w:t>.  It transpired that Mr</w:t>
      </w:r>
      <w:r w:rsidR="00C32046" w:rsidRPr="00240696">
        <w:rPr>
          <w:rFonts w:ascii="Arial" w:hAnsi="Arial" w:cs="Arial"/>
          <w:sz w:val="24"/>
          <w:szCs w:val="24"/>
        </w:rPr>
        <w:t xml:space="preserve"> Behrens</w:t>
      </w:r>
      <w:r w:rsidR="00130B17" w:rsidRPr="00240696">
        <w:rPr>
          <w:rFonts w:ascii="Arial" w:hAnsi="Arial" w:cs="Arial"/>
          <w:sz w:val="24"/>
          <w:szCs w:val="24"/>
        </w:rPr>
        <w:t>,</w:t>
      </w:r>
      <w:r w:rsidR="00C32046" w:rsidRPr="00240696">
        <w:rPr>
          <w:rFonts w:ascii="Arial" w:hAnsi="Arial" w:cs="Arial"/>
          <w:sz w:val="24"/>
          <w:szCs w:val="24"/>
        </w:rPr>
        <w:t xml:space="preserve"> </w:t>
      </w:r>
      <w:r w:rsidR="00C32046" w:rsidRPr="00240696">
        <w:rPr>
          <w:rFonts w:ascii="Arial" w:hAnsi="Arial" w:cs="Arial"/>
          <w:sz w:val="24"/>
          <w:szCs w:val="24"/>
        </w:rPr>
        <w:lastRenderedPageBreak/>
        <w:t xml:space="preserve">the legal practitioner of the defendant had been sick and out of office and only returned on 17 April 2023 and would then respond to the </w:t>
      </w:r>
      <w:r w:rsidR="00526F35" w:rsidRPr="00240696">
        <w:rPr>
          <w:rFonts w:ascii="Arial" w:hAnsi="Arial" w:cs="Arial"/>
          <w:sz w:val="24"/>
          <w:szCs w:val="24"/>
        </w:rPr>
        <w:t>rule 32 (9) engagement</w:t>
      </w:r>
      <w:r w:rsidR="00C32046" w:rsidRPr="00240696">
        <w:rPr>
          <w:rFonts w:ascii="Arial" w:hAnsi="Arial" w:cs="Arial"/>
          <w:sz w:val="24"/>
          <w:szCs w:val="24"/>
        </w:rPr>
        <w:t>.  The plaintiff’s legal practitioners then proceeded to file a rule 32(10) report without engaging with the defendant’s legal practitioners at all.</w:t>
      </w:r>
    </w:p>
    <w:p w14:paraId="7B555A33" w14:textId="77777777" w:rsidR="00E72FC6" w:rsidRPr="00E72FC6" w:rsidRDefault="00E72FC6" w:rsidP="00E72FC6">
      <w:pPr>
        <w:pStyle w:val="ListParagraph"/>
        <w:rPr>
          <w:rFonts w:ascii="Arial" w:hAnsi="Arial" w:cs="Arial"/>
          <w:sz w:val="24"/>
          <w:szCs w:val="24"/>
        </w:rPr>
      </w:pPr>
    </w:p>
    <w:p w14:paraId="1472402E" w14:textId="2B6B1B17" w:rsidR="00E72FC6" w:rsidRPr="00240696" w:rsidRDefault="00240696" w:rsidP="00240696">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C32046" w:rsidRPr="00240696">
        <w:rPr>
          <w:rFonts w:ascii="Arial" w:hAnsi="Arial" w:cs="Arial"/>
          <w:sz w:val="24"/>
          <w:szCs w:val="24"/>
        </w:rPr>
        <w:t>Fis</w:t>
      </w:r>
      <w:r w:rsidR="007C2455" w:rsidRPr="00240696">
        <w:rPr>
          <w:rFonts w:ascii="Arial" w:hAnsi="Arial" w:cs="Arial"/>
          <w:sz w:val="24"/>
          <w:szCs w:val="24"/>
        </w:rPr>
        <w:t>c</w:t>
      </w:r>
      <w:r w:rsidR="00C32046" w:rsidRPr="00240696">
        <w:rPr>
          <w:rFonts w:ascii="Arial" w:hAnsi="Arial" w:cs="Arial"/>
          <w:sz w:val="24"/>
          <w:szCs w:val="24"/>
        </w:rPr>
        <w:t>her denies that the pl</w:t>
      </w:r>
      <w:r w:rsidR="003B69F7" w:rsidRPr="00240696">
        <w:rPr>
          <w:rFonts w:ascii="Arial" w:hAnsi="Arial" w:cs="Arial"/>
          <w:sz w:val="24"/>
          <w:szCs w:val="24"/>
        </w:rPr>
        <w:t>aintiff has a cause of action as the plaintiff’s cause</w:t>
      </w:r>
      <w:r w:rsidR="00130B17" w:rsidRPr="00240696">
        <w:rPr>
          <w:rFonts w:ascii="Arial" w:hAnsi="Arial" w:cs="Arial"/>
          <w:sz w:val="24"/>
          <w:szCs w:val="24"/>
        </w:rPr>
        <w:t xml:space="preserve"> of action is based on the judg</w:t>
      </w:r>
      <w:r w:rsidR="003B69F7" w:rsidRPr="00240696">
        <w:rPr>
          <w:rFonts w:ascii="Arial" w:hAnsi="Arial" w:cs="Arial"/>
          <w:sz w:val="24"/>
          <w:szCs w:val="24"/>
        </w:rPr>
        <w:t>ment</w:t>
      </w:r>
      <w:r w:rsidR="00130B17" w:rsidRPr="00240696">
        <w:rPr>
          <w:rFonts w:ascii="Arial" w:hAnsi="Arial" w:cs="Arial"/>
          <w:sz w:val="24"/>
          <w:szCs w:val="24"/>
        </w:rPr>
        <w:t xml:space="preserve"> of 17 November 2017.  The judg</w:t>
      </w:r>
      <w:r w:rsidR="003B69F7" w:rsidRPr="00240696">
        <w:rPr>
          <w:rFonts w:ascii="Arial" w:hAnsi="Arial" w:cs="Arial"/>
          <w:sz w:val="24"/>
          <w:szCs w:val="24"/>
        </w:rPr>
        <w:t>ment pro</w:t>
      </w:r>
      <w:r w:rsidR="00526F35" w:rsidRPr="00240696">
        <w:rPr>
          <w:rFonts w:ascii="Arial" w:hAnsi="Arial" w:cs="Arial"/>
          <w:sz w:val="24"/>
          <w:szCs w:val="24"/>
        </w:rPr>
        <w:t xml:space="preserve">vides for the appointment of a </w:t>
      </w:r>
      <w:r w:rsidR="003B69F7" w:rsidRPr="00240696">
        <w:rPr>
          <w:rFonts w:ascii="Arial" w:hAnsi="Arial" w:cs="Arial"/>
          <w:sz w:val="24"/>
          <w:szCs w:val="24"/>
        </w:rPr>
        <w:t>receiver to do the valuation of the loan account and the value of the defendant up until 31 March 2016</w:t>
      </w:r>
      <w:r w:rsidR="007C2455" w:rsidRPr="00240696">
        <w:rPr>
          <w:rFonts w:ascii="Arial" w:hAnsi="Arial" w:cs="Arial"/>
          <w:sz w:val="24"/>
          <w:szCs w:val="24"/>
        </w:rPr>
        <w:t>,</w:t>
      </w:r>
      <w:r w:rsidR="003B69F7" w:rsidRPr="00240696">
        <w:rPr>
          <w:rFonts w:ascii="Arial" w:hAnsi="Arial" w:cs="Arial"/>
          <w:sz w:val="24"/>
          <w:szCs w:val="24"/>
        </w:rPr>
        <w:t xml:space="preserve"> but does not provide for the period 31 March 2016 to 17 Novembe</w:t>
      </w:r>
      <w:r w:rsidR="00130B17" w:rsidRPr="00240696">
        <w:rPr>
          <w:rFonts w:ascii="Arial" w:hAnsi="Arial" w:cs="Arial"/>
          <w:sz w:val="24"/>
          <w:szCs w:val="24"/>
        </w:rPr>
        <w:t>r 2017.  The Supreme Court judg</w:t>
      </w:r>
      <w:r w:rsidR="003B69F7" w:rsidRPr="00240696">
        <w:rPr>
          <w:rFonts w:ascii="Arial" w:hAnsi="Arial" w:cs="Arial"/>
          <w:sz w:val="24"/>
          <w:szCs w:val="24"/>
        </w:rPr>
        <w:t xml:space="preserve">ment of </w:t>
      </w:r>
      <w:r w:rsidR="003B69F7" w:rsidRPr="00240696">
        <w:rPr>
          <w:rFonts w:ascii="Arial" w:hAnsi="Arial" w:cs="Arial"/>
          <w:i/>
          <w:sz w:val="24"/>
          <w:szCs w:val="24"/>
        </w:rPr>
        <w:t>Fisher v Seelenbinder</w:t>
      </w:r>
      <w:r w:rsidR="003B69F7" w:rsidRPr="00240696">
        <w:rPr>
          <w:rFonts w:ascii="Arial" w:hAnsi="Arial" w:cs="Arial"/>
          <w:sz w:val="24"/>
          <w:szCs w:val="24"/>
        </w:rPr>
        <w:t xml:space="preserve"> </w:t>
      </w:r>
      <w:r w:rsidR="003B69F7" w:rsidRPr="00240696">
        <w:rPr>
          <w:rFonts w:ascii="Arial" w:hAnsi="Arial" w:cs="Arial"/>
          <w:i/>
          <w:sz w:val="24"/>
          <w:szCs w:val="24"/>
        </w:rPr>
        <w:t>and Another</w:t>
      </w:r>
      <w:r w:rsidR="003B69F7" w:rsidRPr="00240696">
        <w:rPr>
          <w:rFonts w:ascii="Arial" w:hAnsi="Arial" w:cs="Arial"/>
          <w:sz w:val="24"/>
          <w:szCs w:val="24"/>
        </w:rPr>
        <w:t xml:space="preserve"> 2021 (1) NR 35 (SC) found that inter alia “on retirement, Seelenbinder no longer had any rights to the offices in FSA so as to carry on the business of FSA”.  The plaintiff therefore</w:t>
      </w:r>
      <w:r w:rsidR="00822ED3" w:rsidRPr="00240696">
        <w:rPr>
          <w:rFonts w:ascii="Arial" w:hAnsi="Arial" w:cs="Arial"/>
          <w:sz w:val="24"/>
          <w:szCs w:val="24"/>
        </w:rPr>
        <w:t>,</w:t>
      </w:r>
      <w:r w:rsidR="003B69F7" w:rsidRPr="00240696">
        <w:rPr>
          <w:rFonts w:ascii="Arial" w:hAnsi="Arial" w:cs="Arial"/>
          <w:sz w:val="24"/>
          <w:szCs w:val="24"/>
        </w:rPr>
        <w:t xml:space="preserve"> did not disclose any cause of action in its particular</w:t>
      </w:r>
      <w:r w:rsidR="00130B17" w:rsidRPr="00240696">
        <w:rPr>
          <w:rFonts w:ascii="Arial" w:hAnsi="Arial" w:cs="Arial"/>
          <w:sz w:val="24"/>
          <w:szCs w:val="24"/>
        </w:rPr>
        <w:t>s of claim and the summary judg</w:t>
      </w:r>
      <w:r w:rsidR="003B69F7" w:rsidRPr="00240696">
        <w:rPr>
          <w:rFonts w:ascii="Arial" w:hAnsi="Arial" w:cs="Arial"/>
          <w:sz w:val="24"/>
          <w:szCs w:val="24"/>
        </w:rPr>
        <w:t>ment application should be dismissed.</w:t>
      </w:r>
    </w:p>
    <w:p w14:paraId="7E14DCAE" w14:textId="77777777" w:rsidR="00E72FC6" w:rsidRPr="00E72FC6" w:rsidRDefault="00E72FC6" w:rsidP="00E72FC6">
      <w:pPr>
        <w:pStyle w:val="ListParagraph"/>
        <w:rPr>
          <w:rFonts w:ascii="Arial" w:hAnsi="Arial" w:cs="Arial"/>
          <w:sz w:val="24"/>
          <w:szCs w:val="24"/>
        </w:rPr>
      </w:pPr>
    </w:p>
    <w:p w14:paraId="0162F35B" w14:textId="2A43C503" w:rsidR="00E72FC6" w:rsidRPr="00240696" w:rsidRDefault="00240696" w:rsidP="00240696">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2F10CB" w:rsidRPr="00240696">
        <w:rPr>
          <w:rFonts w:ascii="Arial" w:hAnsi="Arial" w:cs="Arial"/>
          <w:sz w:val="24"/>
          <w:szCs w:val="24"/>
        </w:rPr>
        <w:t xml:space="preserve">Fischer further alleges that the deponent of the affidavit on behalf of the plaintiff does not have personal knowledge of what was the nature </w:t>
      </w:r>
      <w:r w:rsidR="005E1950" w:rsidRPr="00240696">
        <w:rPr>
          <w:rFonts w:ascii="Arial" w:hAnsi="Arial" w:cs="Arial"/>
          <w:sz w:val="24"/>
          <w:szCs w:val="24"/>
        </w:rPr>
        <w:t xml:space="preserve">of the work </w:t>
      </w:r>
      <w:r w:rsidR="002F10CB" w:rsidRPr="00240696">
        <w:rPr>
          <w:rFonts w:ascii="Arial" w:hAnsi="Arial" w:cs="Arial"/>
          <w:sz w:val="24"/>
          <w:szCs w:val="24"/>
        </w:rPr>
        <w:t>or when the alleged work the late Seelenbinder did at the defendant, or how the amount was calculated, when it became due and she cannot verify the alleged facts set out in the particulars of claim or the amount claimed.</w:t>
      </w:r>
    </w:p>
    <w:p w14:paraId="4C1E8C27" w14:textId="77777777" w:rsidR="00E72FC6" w:rsidRPr="00E72FC6" w:rsidRDefault="00E72FC6" w:rsidP="00E72FC6">
      <w:pPr>
        <w:pStyle w:val="ListParagraph"/>
        <w:spacing w:line="360" w:lineRule="auto"/>
        <w:rPr>
          <w:rFonts w:ascii="Arial" w:hAnsi="Arial" w:cs="Arial"/>
          <w:sz w:val="24"/>
          <w:szCs w:val="24"/>
        </w:rPr>
      </w:pPr>
    </w:p>
    <w:p w14:paraId="4AF38072" w14:textId="190F2FB7" w:rsidR="00184C3A" w:rsidRPr="00240696" w:rsidRDefault="00240696" w:rsidP="00240696">
      <w:pPr>
        <w:spacing w:after="0" w:line="360" w:lineRule="auto"/>
        <w:jc w:val="both"/>
        <w:rPr>
          <w:rFonts w:ascii="Arial" w:hAnsi="Arial" w:cs="Arial"/>
          <w:sz w:val="24"/>
          <w:szCs w:val="24"/>
        </w:rPr>
      </w:pPr>
      <w:r w:rsidRPr="00E72FC6">
        <w:rPr>
          <w:rFonts w:ascii="Arial" w:hAnsi="Arial" w:cs="Arial"/>
          <w:sz w:val="24"/>
          <w:szCs w:val="24"/>
        </w:rPr>
        <w:t>[18]</w:t>
      </w:r>
      <w:r w:rsidRPr="00E72FC6">
        <w:rPr>
          <w:rFonts w:ascii="Arial" w:hAnsi="Arial" w:cs="Arial"/>
          <w:sz w:val="24"/>
          <w:szCs w:val="24"/>
        </w:rPr>
        <w:tab/>
      </w:r>
      <w:r w:rsidR="00B53979" w:rsidRPr="00240696">
        <w:rPr>
          <w:rFonts w:ascii="Arial" w:hAnsi="Arial" w:cs="Arial"/>
          <w:sz w:val="24"/>
          <w:szCs w:val="24"/>
        </w:rPr>
        <w:t>He also stated that s</w:t>
      </w:r>
      <w:r w:rsidR="002F10CB" w:rsidRPr="00240696">
        <w:rPr>
          <w:rFonts w:ascii="Arial" w:hAnsi="Arial" w:cs="Arial"/>
          <w:sz w:val="24"/>
          <w:szCs w:val="24"/>
        </w:rPr>
        <w:t xml:space="preserve">he was further not involved in the settlement negotiations between himself and the late Seelenbinder and she does not disclose on what basis she has personal knowledge.  </w:t>
      </w:r>
      <w:r w:rsidR="00B53979" w:rsidRPr="00240696">
        <w:rPr>
          <w:rFonts w:ascii="Arial" w:hAnsi="Arial" w:cs="Arial"/>
          <w:sz w:val="24"/>
          <w:szCs w:val="24"/>
        </w:rPr>
        <w:t>The context of the letter written by the legal practitioner of the defendant is never explained.  The letter seems to have been in response from a letter received from the plaintiff’s legal practitioner regarding the valua</w:t>
      </w:r>
      <w:r w:rsidR="00E72FC6" w:rsidRPr="00240696">
        <w:rPr>
          <w:rFonts w:ascii="Arial" w:hAnsi="Arial" w:cs="Arial"/>
          <w:sz w:val="24"/>
          <w:szCs w:val="24"/>
        </w:rPr>
        <w:t>tion of the loan account and 50 percent</w:t>
      </w:r>
      <w:r w:rsidR="00B53979" w:rsidRPr="00240696">
        <w:rPr>
          <w:rFonts w:ascii="Arial" w:hAnsi="Arial" w:cs="Arial"/>
          <w:sz w:val="24"/>
          <w:szCs w:val="24"/>
        </w:rPr>
        <w:t xml:space="preserve"> of the membership interest dated 26 March 2019.</w:t>
      </w:r>
    </w:p>
    <w:p w14:paraId="7A937744" w14:textId="77777777" w:rsidR="00E72FC6" w:rsidRDefault="00E72FC6" w:rsidP="00130B17">
      <w:pPr>
        <w:spacing w:after="0" w:line="360" w:lineRule="auto"/>
        <w:jc w:val="both"/>
        <w:rPr>
          <w:rFonts w:ascii="Arial" w:hAnsi="Arial" w:cs="Arial"/>
          <w:sz w:val="24"/>
          <w:szCs w:val="24"/>
          <w:u w:val="single"/>
        </w:rPr>
      </w:pPr>
    </w:p>
    <w:p w14:paraId="06537473" w14:textId="77777777" w:rsidR="00184C3A" w:rsidRDefault="0060014D" w:rsidP="00130B17">
      <w:pPr>
        <w:spacing w:after="0" w:line="360" w:lineRule="auto"/>
        <w:jc w:val="both"/>
        <w:rPr>
          <w:rFonts w:ascii="Arial" w:hAnsi="Arial" w:cs="Arial"/>
          <w:sz w:val="24"/>
          <w:szCs w:val="24"/>
          <w:u w:val="single"/>
        </w:rPr>
      </w:pPr>
      <w:r w:rsidRPr="0060014D">
        <w:rPr>
          <w:rFonts w:ascii="Arial" w:hAnsi="Arial" w:cs="Arial"/>
          <w:sz w:val="24"/>
          <w:szCs w:val="24"/>
          <w:u w:val="single"/>
        </w:rPr>
        <w:t>The content of the letter</w:t>
      </w:r>
    </w:p>
    <w:p w14:paraId="4AA72649" w14:textId="77777777" w:rsidR="00130B17" w:rsidRPr="0060014D" w:rsidRDefault="00130B17" w:rsidP="00130B17">
      <w:pPr>
        <w:spacing w:after="0" w:line="360" w:lineRule="auto"/>
        <w:jc w:val="both"/>
        <w:rPr>
          <w:rFonts w:ascii="Arial" w:hAnsi="Arial" w:cs="Arial"/>
          <w:sz w:val="24"/>
          <w:szCs w:val="24"/>
          <w:u w:val="single"/>
        </w:rPr>
      </w:pPr>
    </w:p>
    <w:p w14:paraId="09749571" w14:textId="5575F9DD" w:rsidR="0060014D" w:rsidRPr="00240696" w:rsidRDefault="00240696" w:rsidP="00240696">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60014D" w:rsidRPr="00240696">
        <w:rPr>
          <w:rFonts w:ascii="Arial" w:hAnsi="Arial" w:cs="Arial"/>
          <w:sz w:val="24"/>
          <w:szCs w:val="24"/>
        </w:rPr>
        <w:t>Fischer and the CC</w:t>
      </w:r>
      <w:r w:rsidR="005E1950" w:rsidRPr="00240696">
        <w:rPr>
          <w:rFonts w:ascii="Arial" w:hAnsi="Arial" w:cs="Arial"/>
          <w:sz w:val="24"/>
          <w:szCs w:val="24"/>
        </w:rPr>
        <w:t>’s legal practitioner</w:t>
      </w:r>
      <w:r w:rsidR="0060014D" w:rsidRPr="00240696">
        <w:rPr>
          <w:rFonts w:ascii="Arial" w:hAnsi="Arial" w:cs="Arial"/>
          <w:sz w:val="24"/>
          <w:szCs w:val="24"/>
        </w:rPr>
        <w:t xml:space="preserve"> wrote the following letter to the legal practitioner representing Seelenbinder, </w:t>
      </w:r>
      <w:r w:rsidR="005E1950" w:rsidRPr="00240696">
        <w:rPr>
          <w:rFonts w:ascii="Arial" w:hAnsi="Arial" w:cs="Arial"/>
          <w:sz w:val="24"/>
          <w:szCs w:val="24"/>
        </w:rPr>
        <w:t xml:space="preserve">at a time that </w:t>
      </w:r>
      <w:r w:rsidR="0060014D" w:rsidRPr="00240696">
        <w:rPr>
          <w:rFonts w:ascii="Arial" w:hAnsi="Arial" w:cs="Arial"/>
          <w:sz w:val="24"/>
          <w:szCs w:val="24"/>
        </w:rPr>
        <w:t>all that was in dispute between the part</w:t>
      </w:r>
      <w:r w:rsidR="00130B17" w:rsidRPr="00240696">
        <w:rPr>
          <w:rFonts w:ascii="Arial" w:hAnsi="Arial" w:cs="Arial"/>
          <w:sz w:val="24"/>
          <w:szCs w:val="24"/>
        </w:rPr>
        <w:t>ies was the valuation of the CC</w:t>
      </w:r>
      <w:r w:rsidR="005E1950" w:rsidRPr="00240696">
        <w:rPr>
          <w:rFonts w:ascii="Arial" w:hAnsi="Arial" w:cs="Arial"/>
          <w:sz w:val="24"/>
          <w:szCs w:val="24"/>
        </w:rPr>
        <w:t>.  And it is based on this letter that the plaintiff insists the amount owed to them is clarified</w:t>
      </w:r>
      <w:r w:rsidR="0060014D" w:rsidRPr="00240696">
        <w:rPr>
          <w:rFonts w:ascii="Arial" w:hAnsi="Arial" w:cs="Arial"/>
          <w:sz w:val="24"/>
          <w:szCs w:val="24"/>
        </w:rPr>
        <w:t xml:space="preserve">: </w:t>
      </w:r>
    </w:p>
    <w:p w14:paraId="5895B823" w14:textId="77777777" w:rsidR="00E72FC6" w:rsidRPr="00E72FC6" w:rsidRDefault="00E72FC6" w:rsidP="00E72FC6">
      <w:pPr>
        <w:pStyle w:val="ListParagraph"/>
        <w:spacing w:after="0" w:line="360" w:lineRule="auto"/>
        <w:ind w:left="0"/>
        <w:jc w:val="both"/>
        <w:rPr>
          <w:rFonts w:ascii="Arial" w:hAnsi="Arial" w:cs="Arial"/>
          <w:sz w:val="24"/>
          <w:szCs w:val="24"/>
        </w:rPr>
      </w:pPr>
    </w:p>
    <w:p w14:paraId="02C5F760" w14:textId="77777777" w:rsidR="0060014D" w:rsidRPr="0060014D" w:rsidRDefault="00130B17" w:rsidP="00184C3A">
      <w:pPr>
        <w:spacing w:line="360" w:lineRule="auto"/>
        <w:jc w:val="both"/>
        <w:rPr>
          <w:rFonts w:ascii="Arial" w:hAnsi="Arial" w:cs="Arial"/>
        </w:rPr>
      </w:pPr>
      <w:r>
        <w:rPr>
          <w:rFonts w:ascii="Arial" w:hAnsi="Arial" w:cs="Arial"/>
        </w:rPr>
        <w:t xml:space="preserve"> </w:t>
      </w:r>
      <w:r>
        <w:rPr>
          <w:rFonts w:ascii="Arial" w:hAnsi="Arial" w:cs="Arial"/>
        </w:rPr>
        <w:tab/>
        <w:t>‘</w:t>
      </w:r>
      <w:r w:rsidR="0060014D" w:rsidRPr="0060014D">
        <w:rPr>
          <w:rFonts w:ascii="Arial" w:hAnsi="Arial" w:cs="Arial"/>
        </w:rPr>
        <w:t xml:space="preserve">1. I refer to your letter dated 26 March 2019. I am instructed to reply as follows. </w:t>
      </w:r>
    </w:p>
    <w:p w14:paraId="7FAFDD7C" w14:textId="77777777" w:rsidR="0060014D" w:rsidRPr="0060014D" w:rsidRDefault="0060014D" w:rsidP="00184C3A">
      <w:pPr>
        <w:spacing w:line="360" w:lineRule="auto"/>
        <w:jc w:val="both"/>
        <w:rPr>
          <w:rFonts w:ascii="Arial" w:hAnsi="Arial" w:cs="Arial"/>
        </w:rPr>
      </w:pPr>
      <w:r w:rsidRPr="0060014D">
        <w:rPr>
          <w:rFonts w:ascii="Arial" w:hAnsi="Arial" w:cs="Arial"/>
        </w:rPr>
        <w:t xml:space="preserve">2. My client confirms that Mr. Seelenbinder’s loan account with FSA as at 31 March 2016 was N$ 1 008 286.00. Since then your client became indebted to FSA as follows: </w:t>
      </w:r>
    </w:p>
    <w:p w14:paraId="18D0E66C" w14:textId="77777777" w:rsidR="0060014D" w:rsidRPr="0060014D" w:rsidRDefault="0060014D" w:rsidP="00184C3A">
      <w:pPr>
        <w:spacing w:line="360" w:lineRule="auto"/>
        <w:jc w:val="both"/>
        <w:rPr>
          <w:rFonts w:ascii="Arial" w:hAnsi="Arial" w:cs="Arial"/>
        </w:rPr>
      </w:pPr>
      <w:r w:rsidRPr="0060014D">
        <w:rPr>
          <w:rFonts w:ascii="Arial" w:hAnsi="Arial" w:cs="Arial"/>
        </w:rPr>
        <w:t xml:space="preserve">a. Your client’s 50% of running costs from April 16 to Nov 17 N$593 329,83. </w:t>
      </w:r>
    </w:p>
    <w:p w14:paraId="212477E8" w14:textId="77777777" w:rsidR="0060014D" w:rsidRPr="0060014D" w:rsidRDefault="0060014D" w:rsidP="00184C3A">
      <w:pPr>
        <w:spacing w:line="360" w:lineRule="auto"/>
        <w:jc w:val="both"/>
        <w:rPr>
          <w:rFonts w:ascii="Arial" w:hAnsi="Arial" w:cs="Arial"/>
        </w:rPr>
      </w:pPr>
      <w:r w:rsidRPr="0060014D">
        <w:rPr>
          <w:rFonts w:ascii="Arial" w:hAnsi="Arial" w:cs="Arial"/>
        </w:rPr>
        <w:t xml:space="preserve">b. Your client’s direct private expenses from April 16 to Nov 17 N$269 889,60. </w:t>
      </w:r>
    </w:p>
    <w:p w14:paraId="0F18BB61" w14:textId="77777777" w:rsidR="0060014D" w:rsidRPr="0060014D" w:rsidRDefault="0060014D" w:rsidP="00184C3A">
      <w:pPr>
        <w:spacing w:line="360" w:lineRule="auto"/>
        <w:jc w:val="both"/>
        <w:rPr>
          <w:rFonts w:ascii="Arial" w:hAnsi="Arial" w:cs="Arial"/>
        </w:rPr>
      </w:pPr>
      <w:r w:rsidRPr="0060014D">
        <w:rPr>
          <w:rFonts w:ascii="Arial" w:hAnsi="Arial" w:cs="Arial"/>
        </w:rPr>
        <w:t xml:space="preserve">c. Your client’s portion of running costs from April 16 to Nov 17 N$190 685,11. </w:t>
      </w:r>
    </w:p>
    <w:p w14:paraId="42D91F47" w14:textId="77777777" w:rsidR="00184C3A" w:rsidRDefault="0060014D" w:rsidP="00184C3A">
      <w:pPr>
        <w:spacing w:line="360" w:lineRule="auto"/>
        <w:jc w:val="both"/>
        <w:rPr>
          <w:rFonts w:ascii="Arial" w:hAnsi="Arial" w:cs="Arial"/>
        </w:rPr>
      </w:pPr>
      <w:r w:rsidRPr="0060014D">
        <w:rPr>
          <w:rFonts w:ascii="Arial" w:hAnsi="Arial" w:cs="Arial"/>
        </w:rPr>
        <w:t>Mr. Seelenbinder’s generated project income (after tax) for the period April 16 to Nov 17 amounted to N$285 235,29. Having regard to the aforesaid, his loan account currently stands at N$ 239 616,78.</w:t>
      </w:r>
    </w:p>
    <w:p w14:paraId="1E91B29F" w14:textId="77777777" w:rsidR="0060014D" w:rsidRDefault="0060014D" w:rsidP="00184C3A">
      <w:pPr>
        <w:spacing w:line="360" w:lineRule="auto"/>
        <w:jc w:val="both"/>
        <w:rPr>
          <w:rFonts w:ascii="Arial" w:hAnsi="Arial" w:cs="Arial"/>
        </w:rPr>
      </w:pPr>
      <w:r w:rsidRPr="0060014D">
        <w:rPr>
          <w:rFonts w:ascii="Arial" w:hAnsi="Arial" w:cs="Arial"/>
        </w:rPr>
        <w:t>3. The appointed referee valued the close corporation at N$ 2,9 Million of which N$ 76 124 represents the net asset value and the balance goodwill. In its judgment the court held in regard to the written minutes “that the evidence demonstrated that the parties intended concluding contract, contract therefor valid”. These minutes included an agreement that no goodwill is payable between the founding memb</w:t>
      </w:r>
      <w:r>
        <w:rPr>
          <w:rFonts w:ascii="Arial" w:hAnsi="Arial" w:cs="Arial"/>
        </w:rPr>
        <w:t xml:space="preserve">ers of the close corporation. </w:t>
      </w:r>
    </w:p>
    <w:p w14:paraId="567E50B5" w14:textId="77777777" w:rsidR="0060014D" w:rsidRDefault="0060014D" w:rsidP="00184C3A">
      <w:pPr>
        <w:spacing w:line="360" w:lineRule="auto"/>
        <w:jc w:val="both"/>
        <w:rPr>
          <w:rFonts w:ascii="Arial" w:hAnsi="Arial" w:cs="Arial"/>
        </w:rPr>
      </w:pPr>
      <w:r w:rsidRPr="0060014D">
        <w:rPr>
          <w:rFonts w:ascii="Arial" w:hAnsi="Arial" w:cs="Arial"/>
        </w:rPr>
        <w:t xml:space="preserve">4. Having regard to the aforesaid, the value of your client’s 50% member’s interest is an amount of N$ 38 067,00. </w:t>
      </w:r>
    </w:p>
    <w:p w14:paraId="46EB0C84" w14:textId="77777777" w:rsidR="00130B17" w:rsidRDefault="0060014D" w:rsidP="00822ED3">
      <w:pPr>
        <w:spacing w:after="0" w:line="360" w:lineRule="auto"/>
        <w:jc w:val="both"/>
        <w:rPr>
          <w:rFonts w:ascii="Arial" w:hAnsi="Arial" w:cs="Arial"/>
        </w:rPr>
      </w:pPr>
      <w:r w:rsidRPr="0060014D">
        <w:rPr>
          <w:rFonts w:ascii="Arial" w:hAnsi="Arial" w:cs="Arial"/>
        </w:rPr>
        <w:t>5. My client, having regard to what is stated hereinbefore and having regard to the taxed legal costs of N$ 170 033,32, herewith tenders payment of an amount of N$ 107 650,43 against transfer of the member’s interest. The Financial Statements for March 2016 are still not signed by your client. This resulted in FSA not having any good standing with the Receiver of Revenue since and was not able to pa</w:t>
      </w:r>
      <w:r>
        <w:rPr>
          <w:rFonts w:ascii="Arial" w:hAnsi="Arial" w:cs="Arial"/>
        </w:rPr>
        <w:t xml:space="preserve">rticipate in any tenders since.’ </w:t>
      </w:r>
    </w:p>
    <w:p w14:paraId="424BF8D9" w14:textId="77777777" w:rsidR="00822ED3" w:rsidRPr="00822ED3" w:rsidRDefault="00822ED3" w:rsidP="00822ED3">
      <w:pPr>
        <w:spacing w:after="0" w:line="360" w:lineRule="auto"/>
        <w:jc w:val="both"/>
        <w:rPr>
          <w:rFonts w:ascii="Arial" w:hAnsi="Arial" w:cs="Arial"/>
        </w:rPr>
      </w:pPr>
    </w:p>
    <w:p w14:paraId="77966EF3" w14:textId="77777777" w:rsidR="00184C3A" w:rsidRDefault="0060014D" w:rsidP="00822ED3">
      <w:pPr>
        <w:spacing w:after="0" w:line="360" w:lineRule="auto"/>
        <w:jc w:val="both"/>
        <w:rPr>
          <w:rFonts w:ascii="Arial" w:hAnsi="Arial" w:cs="Arial"/>
          <w:sz w:val="24"/>
          <w:szCs w:val="24"/>
          <w:u w:val="single"/>
        </w:rPr>
      </w:pPr>
      <w:r w:rsidRPr="0060014D">
        <w:rPr>
          <w:rFonts w:ascii="Arial" w:hAnsi="Arial" w:cs="Arial"/>
          <w:sz w:val="24"/>
          <w:szCs w:val="24"/>
          <w:u w:val="single"/>
        </w:rPr>
        <w:t>The arguments</w:t>
      </w:r>
    </w:p>
    <w:p w14:paraId="612B637A" w14:textId="77777777" w:rsidR="00130B17" w:rsidRPr="0060014D" w:rsidRDefault="00130B17" w:rsidP="00130B17">
      <w:pPr>
        <w:spacing w:after="0" w:line="360" w:lineRule="auto"/>
        <w:jc w:val="both"/>
        <w:rPr>
          <w:rFonts w:ascii="Arial" w:hAnsi="Arial" w:cs="Arial"/>
          <w:sz w:val="24"/>
          <w:szCs w:val="24"/>
          <w:u w:val="single"/>
        </w:rPr>
      </w:pPr>
    </w:p>
    <w:p w14:paraId="58941B42" w14:textId="1E04AABF" w:rsidR="00E72FC6" w:rsidRPr="00240696" w:rsidRDefault="00240696" w:rsidP="00240696">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60014D" w:rsidRPr="00240696">
        <w:rPr>
          <w:rFonts w:ascii="Arial" w:hAnsi="Arial" w:cs="Arial"/>
          <w:sz w:val="24"/>
          <w:szCs w:val="24"/>
        </w:rPr>
        <w:t>On behalf of the plaintiff</w:t>
      </w:r>
      <w:r w:rsidR="00822ED3" w:rsidRPr="00240696">
        <w:rPr>
          <w:rFonts w:ascii="Arial" w:hAnsi="Arial" w:cs="Arial"/>
          <w:sz w:val="24"/>
          <w:szCs w:val="24"/>
        </w:rPr>
        <w:t>,</w:t>
      </w:r>
      <w:r w:rsidR="0060014D" w:rsidRPr="00240696">
        <w:rPr>
          <w:rFonts w:ascii="Arial" w:hAnsi="Arial" w:cs="Arial"/>
          <w:sz w:val="24"/>
          <w:szCs w:val="24"/>
        </w:rPr>
        <w:t xml:space="preserve"> it is argued that </w:t>
      </w:r>
      <w:r w:rsidR="00E14845" w:rsidRPr="00240696">
        <w:rPr>
          <w:rFonts w:ascii="Arial" w:hAnsi="Arial" w:cs="Arial"/>
          <w:sz w:val="24"/>
          <w:szCs w:val="24"/>
        </w:rPr>
        <w:t>i</w:t>
      </w:r>
      <w:r w:rsidR="0060014D" w:rsidRPr="00240696">
        <w:rPr>
          <w:rFonts w:ascii="Arial" w:hAnsi="Arial" w:cs="Arial"/>
          <w:sz w:val="24"/>
          <w:szCs w:val="24"/>
        </w:rPr>
        <w:t>n the letter</w:t>
      </w:r>
      <w:r w:rsidR="00822ED3" w:rsidRPr="00240696">
        <w:rPr>
          <w:rFonts w:ascii="Arial" w:hAnsi="Arial" w:cs="Arial"/>
          <w:sz w:val="24"/>
          <w:szCs w:val="24"/>
        </w:rPr>
        <w:t>,</w:t>
      </w:r>
      <w:r w:rsidR="0060014D" w:rsidRPr="00240696">
        <w:rPr>
          <w:rFonts w:ascii="Arial" w:hAnsi="Arial" w:cs="Arial"/>
          <w:sz w:val="24"/>
          <w:szCs w:val="24"/>
        </w:rPr>
        <w:t xml:space="preserve"> Fischer states it as a fact that See</w:t>
      </w:r>
      <w:r w:rsidR="00130B17" w:rsidRPr="00240696">
        <w:rPr>
          <w:rFonts w:ascii="Arial" w:hAnsi="Arial" w:cs="Arial"/>
          <w:sz w:val="24"/>
          <w:szCs w:val="24"/>
        </w:rPr>
        <w:t xml:space="preserve">lenbinder’s loan account is N$1 008 </w:t>
      </w:r>
      <w:r w:rsidR="0060014D" w:rsidRPr="00240696">
        <w:rPr>
          <w:rFonts w:ascii="Arial" w:hAnsi="Arial" w:cs="Arial"/>
          <w:sz w:val="24"/>
          <w:szCs w:val="24"/>
        </w:rPr>
        <w:t xml:space="preserve">286 and that the income </w:t>
      </w:r>
      <w:r w:rsidR="00130B17" w:rsidRPr="00240696">
        <w:rPr>
          <w:rFonts w:ascii="Arial" w:hAnsi="Arial" w:cs="Arial"/>
          <w:sz w:val="24"/>
          <w:szCs w:val="24"/>
        </w:rPr>
        <w:t xml:space="preserve">earned by Seelenbinder is N$285 235 </w:t>
      </w:r>
      <w:r w:rsidR="0060014D" w:rsidRPr="00240696">
        <w:rPr>
          <w:rFonts w:ascii="Arial" w:hAnsi="Arial" w:cs="Arial"/>
          <w:sz w:val="24"/>
          <w:szCs w:val="24"/>
        </w:rPr>
        <w:t xml:space="preserve">29. At all material times those facts were common cause and were not in dispute. </w:t>
      </w:r>
      <w:r w:rsidR="00E14845" w:rsidRPr="00240696">
        <w:rPr>
          <w:rFonts w:ascii="Arial" w:hAnsi="Arial" w:cs="Arial"/>
          <w:sz w:val="24"/>
          <w:szCs w:val="24"/>
        </w:rPr>
        <w:t xml:space="preserve">On behalf of </w:t>
      </w:r>
      <w:r w:rsidR="0060014D" w:rsidRPr="00240696">
        <w:rPr>
          <w:rFonts w:ascii="Arial" w:hAnsi="Arial" w:cs="Arial"/>
          <w:sz w:val="24"/>
          <w:szCs w:val="24"/>
        </w:rPr>
        <w:t>Fischer</w:t>
      </w:r>
      <w:r w:rsidR="00822ED3" w:rsidRPr="00240696">
        <w:rPr>
          <w:rFonts w:ascii="Arial" w:hAnsi="Arial" w:cs="Arial"/>
          <w:sz w:val="24"/>
          <w:szCs w:val="24"/>
        </w:rPr>
        <w:t>,</w:t>
      </w:r>
      <w:r w:rsidR="00E14845" w:rsidRPr="00240696">
        <w:rPr>
          <w:rFonts w:ascii="Arial" w:hAnsi="Arial" w:cs="Arial"/>
          <w:sz w:val="24"/>
          <w:szCs w:val="24"/>
        </w:rPr>
        <w:t xml:space="preserve"> it is argued</w:t>
      </w:r>
      <w:r w:rsidR="0060014D" w:rsidRPr="00240696">
        <w:rPr>
          <w:rFonts w:ascii="Arial" w:hAnsi="Arial" w:cs="Arial"/>
          <w:sz w:val="24"/>
          <w:szCs w:val="24"/>
        </w:rPr>
        <w:t xml:space="preserve"> that the letter is privileged and cannot be relied upon. That is plainly wrong. It is settled law that admissions made as a preliminary to negotiations on</w:t>
      </w:r>
      <w:r w:rsidR="00E14845" w:rsidRPr="00240696">
        <w:rPr>
          <w:rFonts w:ascii="Arial" w:hAnsi="Arial" w:cs="Arial"/>
          <w:sz w:val="24"/>
          <w:szCs w:val="24"/>
        </w:rPr>
        <w:t xml:space="preserve"> the amount is not privileged. </w:t>
      </w:r>
      <w:r w:rsidR="0060014D" w:rsidRPr="00240696">
        <w:rPr>
          <w:rFonts w:ascii="Arial" w:hAnsi="Arial" w:cs="Arial"/>
          <w:sz w:val="24"/>
          <w:szCs w:val="24"/>
        </w:rPr>
        <w:t xml:space="preserve"> In any event, there was never any dispute between Fischer and Seelenbinder regarding the income earned by </w:t>
      </w:r>
      <w:r w:rsidR="0060014D" w:rsidRPr="00240696">
        <w:rPr>
          <w:rFonts w:ascii="Arial" w:hAnsi="Arial" w:cs="Arial"/>
          <w:sz w:val="24"/>
          <w:szCs w:val="24"/>
        </w:rPr>
        <w:lastRenderedPageBreak/>
        <w:t>Seel</w:t>
      </w:r>
      <w:r w:rsidR="00130B17" w:rsidRPr="00240696">
        <w:rPr>
          <w:rFonts w:ascii="Arial" w:hAnsi="Arial" w:cs="Arial"/>
          <w:sz w:val="24"/>
          <w:szCs w:val="24"/>
        </w:rPr>
        <w:t xml:space="preserve">enbinder in the amount of N$285 </w:t>
      </w:r>
      <w:r w:rsidR="0060014D" w:rsidRPr="00240696">
        <w:rPr>
          <w:rFonts w:ascii="Arial" w:hAnsi="Arial" w:cs="Arial"/>
          <w:sz w:val="24"/>
          <w:szCs w:val="24"/>
        </w:rPr>
        <w:t>235.29 and so the admission of the amount is not excluded by privilege.</w:t>
      </w:r>
    </w:p>
    <w:p w14:paraId="44E687F2" w14:textId="77777777" w:rsidR="00E72FC6" w:rsidRDefault="00E72FC6" w:rsidP="00E72FC6">
      <w:pPr>
        <w:pStyle w:val="ListParagraph"/>
        <w:spacing w:after="0" w:line="360" w:lineRule="auto"/>
        <w:ind w:left="0"/>
        <w:jc w:val="both"/>
        <w:rPr>
          <w:rFonts w:ascii="Arial" w:hAnsi="Arial" w:cs="Arial"/>
          <w:sz w:val="24"/>
          <w:szCs w:val="24"/>
        </w:rPr>
      </w:pPr>
    </w:p>
    <w:p w14:paraId="5AFA2801" w14:textId="41AE0639" w:rsidR="00E72FC6" w:rsidRPr="00240696" w:rsidRDefault="00240696" w:rsidP="00240696">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E14845" w:rsidRPr="00240696">
        <w:rPr>
          <w:rFonts w:ascii="Arial" w:hAnsi="Arial" w:cs="Arial"/>
          <w:sz w:val="24"/>
          <w:szCs w:val="24"/>
        </w:rPr>
        <w:t>On behalf of the defendant it was argued that rule 60(2)(</w:t>
      </w:r>
      <w:r w:rsidR="00E14845" w:rsidRPr="00240696">
        <w:rPr>
          <w:rFonts w:ascii="Arial" w:hAnsi="Arial" w:cs="Arial"/>
          <w:i/>
          <w:sz w:val="24"/>
          <w:szCs w:val="24"/>
        </w:rPr>
        <w:t>a)</w:t>
      </w:r>
      <w:r w:rsidR="00E14845" w:rsidRPr="00240696">
        <w:rPr>
          <w:rFonts w:ascii="Arial" w:hAnsi="Arial" w:cs="Arial"/>
          <w:sz w:val="24"/>
          <w:szCs w:val="24"/>
        </w:rPr>
        <w:t xml:space="preserve"> stipulates that the estate’s application for summary judgment must be accompanied by an affidavit by the plaintiff or a person who can swear positively to the facts verifying the cause of action and the amount claimed.  The deponent however</w:t>
      </w:r>
      <w:r w:rsidR="00822ED3" w:rsidRPr="00240696">
        <w:rPr>
          <w:rFonts w:ascii="Arial" w:hAnsi="Arial" w:cs="Arial"/>
          <w:sz w:val="24"/>
          <w:szCs w:val="24"/>
        </w:rPr>
        <w:t>,</w:t>
      </w:r>
      <w:r w:rsidR="00E14845" w:rsidRPr="00240696">
        <w:rPr>
          <w:rFonts w:ascii="Arial" w:hAnsi="Arial" w:cs="Arial"/>
          <w:sz w:val="24"/>
          <w:szCs w:val="24"/>
        </w:rPr>
        <w:t xml:space="preserve"> is the executor of the estate and it is in that capacity that she deposes to the affidavit</w:t>
      </w:r>
      <w:r w:rsidR="00130B17" w:rsidRPr="00240696">
        <w:rPr>
          <w:rFonts w:ascii="Arial" w:hAnsi="Arial" w:cs="Arial"/>
          <w:sz w:val="24"/>
          <w:szCs w:val="24"/>
        </w:rPr>
        <w:t xml:space="preserve"> in support of the summary judg</w:t>
      </w:r>
      <w:r w:rsidR="00E14845" w:rsidRPr="00240696">
        <w:rPr>
          <w:rFonts w:ascii="Arial" w:hAnsi="Arial" w:cs="Arial"/>
          <w:sz w:val="24"/>
          <w:szCs w:val="24"/>
        </w:rPr>
        <w:t xml:space="preserve">ment.  </w:t>
      </w:r>
      <w:r w:rsidR="009D1690" w:rsidRPr="00240696">
        <w:rPr>
          <w:rFonts w:ascii="Arial" w:hAnsi="Arial" w:cs="Arial"/>
          <w:sz w:val="24"/>
          <w:szCs w:val="24"/>
        </w:rPr>
        <w:t xml:space="preserve">It is argued that the deponent does not have personal knowledge of what the nature was or when the alleged work the late Seelenbinder did at the defendant or how the amount was calculated, when it became due and she cannot verify the alleged facts set out in the particulars of claim or the amount claimed.  </w:t>
      </w:r>
      <w:r w:rsidR="00214E94" w:rsidRPr="00240696">
        <w:rPr>
          <w:rFonts w:ascii="Arial" w:hAnsi="Arial" w:cs="Arial"/>
          <w:sz w:val="24"/>
          <w:szCs w:val="24"/>
        </w:rPr>
        <w:t>She also does not show on what basis she has personal knowledge of the outstanding amount.</w:t>
      </w:r>
    </w:p>
    <w:p w14:paraId="49DD8714" w14:textId="77777777" w:rsidR="00E72FC6" w:rsidRPr="00E72FC6" w:rsidRDefault="00E72FC6" w:rsidP="00E72FC6">
      <w:pPr>
        <w:pStyle w:val="ListParagraph"/>
        <w:rPr>
          <w:rFonts w:ascii="Arial" w:hAnsi="Arial" w:cs="Arial"/>
          <w:sz w:val="24"/>
          <w:szCs w:val="24"/>
        </w:rPr>
      </w:pPr>
    </w:p>
    <w:p w14:paraId="5293E680" w14:textId="61982316" w:rsidR="00184C3A" w:rsidRPr="00240696" w:rsidRDefault="00240696" w:rsidP="00240696">
      <w:pPr>
        <w:spacing w:after="0" w:line="360" w:lineRule="auto"/>
        <w:jc w:val="both"/>
        <w:rPr>
          <w:rFonts w:ascii="Arial" w:hAnsi="Arial" w:cs="Arial"/>
          <w:sz w:val="24"/>
          <w:szCs w:val="24"/>
        </w:rPr>
      </w:pPr>
      <w:r w:rsidRPr="00E72FC6">
        <w:rPr>
          <w:rFonts w:ascii="Arial" w:hAnsi="Arial" w:cs="Arial"/>
          <w:sz w:val="24"/>
          <w:szCs w:val="24"/>
        </w:rPr>
        <w:t>[22]</w:t>
      </w:r>
      <w:r w:rsidRPr="00E72FC6">
        <w:rPr>
          <w:rFonts w:ascii="Arial" w:hAnsi="Arial" w:cs="Arial"/>
          <w:sz w:val="24"/>
          <w:szCs w:val="24"/>
        </w:rPr>
        <w:tab/>
      </w:r>
      <w:r w:rsidR="00214E94" w:rsidRPr="00240696">
        <w:rPr>
          <w:rFonts w:ascii="Arial" w:hAnsi="Arial" w:cs="Arial"/>
          <w:sz w:val="24"/>
          <w:szCs w:val="24"/>
        </w:rPr>
        <w:t>It was also argued that in these circumstances</w:t>
      </w:r>
      <w:r w:rsidR="00822ED3" w:rsidRPr="00240696">
        <w:rPr>
          <w:rFonts w:ascii="Arial" w:hAnsi="Arial" w:cs="Arial"/>
          <w:sz w:val="24"/>
          <w:szCs w:val="24"/>
        </w:rPr>
        <w:t>,</w:t>
      </w:r>
      <w:r w:rsidR="00214E94" w:rsidRPr="00240696">
        <w:rPr>
          <w:rFonts w:ascii="Arial" w:hAnsi="Arial" w:cs="Arial"/>
          <w:sz w:val="24"/>
          <w:szCs w:val="24"/>
        </w:rPr>
        <w:t xml:space="preserve"> the jurisdiction threshold for the Court to grant summary judgement has not been satisfied and should be dismissed with costs.</w:t>
      </w:r>
    </w:p>
    <w:p w14:paraId="0EFEAD58" w14:textId="77777777" w:rsidR="00130B17" w:rsidRDefault="00130B17" w:rsidP="00130B17">
      <w:pPr>
        <w:spacing w:after="0" w:line="360" w:lineRule="auto"/>
        <w:jc w:val="both"/>
        <w:rPr>
          <w:rFonts w:ascii="Arial" w:hAnsi="Arial" w:cs="Arial"/>
          <w:sz w:val="24"/>
          <w:szCs w:val="24"/>
        </w:rPr>
      </w:pPr>
    </w:p>
    <w:p w14:paraId="5B4CD193" w14:textId="77777777" w:rsidR="00130B17" w:rsidRDefault="00214E94" w:rsidP="00130B17">
      <w:pPr>
        <w:spacing w:after="0" w:line="360" w:lineRule="auto"/>
        <w:jc w:val="both"/>
        <w:rPr>
          <w:rFonts w:ascii="Arial" w:hAnsi="Arial" w:cs="Arial"/>
          <w:sz w:val="24"/>
          <w:szCs w:val="24"/>
          <w:u w:val="single"/>
        </w:rPr>
      </w:pPr>
      <w:r w:rsidRPr="00214E94">
        <w:rPr>
          <w:rFonts w:ascii="Arial" w:hAnsi="Arial" w:cs="Arial"/>
          <w:sz w:val="24"/>
          <w:szCs w:val="24"/>
          <w:u w:val="single"/>
        </w:rPr>
        <w:t>Legal Arguments</w:t>
      </w:r>
    </w:p>
    <w:p w14:paraId="2D10CE9E" w14:textId="77777777" w:rsidR="00130B17" w:rsidRPr="00214E94" w:rsidRDefault="00130B17" w:rsidP="00130B17">
      <w:pPr>
        <w:spacing w:after="0" w:line="360" w:lineRule="auto"/>
        <w:jc w:val="both"/>
        <w:rPr>
          <w:rFonts w:ascii="Arial" w:hAnsi="Arial" w:cs="Arial"/>
          <w:sz w:val="24"/>
          <w:szCs w:val="24"/>
          <w:u w:val="single"/>
        </w:rPr>
      </w:pPr>
    </w:p>
    <w:p w14:paraId="78D3518C" w14:textId="4E79A08B" w:rsidR="00B85324" w:rsidRPr="00240696" w:rsidRDefault="00240696" w:rsidP="00240696">
      <w:pPr>
        <w:spacing w:after="0" w:line="360" w:lineRule="auto"/>
        <w:jc w:val="both"/>
        <w:rPr>
          <w:rFonts w:ascii="Arial" w:hAnsi="Arial" w:cs="Arial"/>
          <w:sz w:val="24"/>
          <w:szCs w:val="24"/>
        </w:rPr>
      </w:pPr>
      <w:r w:rsidRPr="00E72FC6">
        <w:rPr>
          <w:rFonts w:ascii="Arial" w:hAnsi="Arial" w:cs="Arial"/>
          <w:sz w:val="24"/>
          <w:szCs w:val="24"/>
        </w:rPr>
        <w:t>[23]</w:t>
      </w:r>
      <w:r w:rsidRPr="00E72FC6">
        <w:rPr>
          <w:rFonts w:ascii="Arial" w:hAnsi="Arial" w:cs="Arial"/>
          <w:sz w:val="24"/>
          <w:szCs w:val="24"/>
        </w:rPr>
        <w:tab/>
      </w:r>
      <w:r w:rsidR="00B85324" w:rsidRPr="00240696">
        <w:rPr>
          <w:rFonts w:ascii="Arial" w:hAnsi="Arial" w:cs="Arial"/>
          <w:sz w:val="24"/>
          <w:szCs w:val="24"/>
        </w:rPr>
        <w:t xml:space="preserve">In </w:t>
      </w:r>
      <w:r w:rsidR="00B85324" w:rsidRPr="00240696">
        <w:rPr>
          <w:rFonts w:ascii="Arial" w:hAnsi="Arial" w:cs="Arial"/>
          <w:i/>
          <w:sz w:val="24"/>
          <w:szCs w:val="24"/>
        </w:rPr>
        <w:t>Bank Windhoek Limited v Benlin Investment CC</w:t>
      </w:r>
      <w:r w:rsidR="00B85324" w:rsidRPr="00B85324">
        <w:rPr>
          <w:i/>
          <w:vertAlign w:val="superscript"/>
        </w:rPr>
        <w:footnoteReference w:id="1"/>
      </w:r>
      <w:r w:rsidR="00822ED3" w:rsidRPr="00240696">
        <w:rPr>
          <w:rFonts w:ascii="Arial" w:hAnsi="Arial" w:cs="Arial"/>
          <w:i/>
          <w:sz w:val="24"/>
          <w:szCs w:val="24"/>
        </w:rPr>
        <w:t>,</w:t>
      </w:r>
      <w:r w:rsidR="00B85324" w:rsidRPr="00240696">
        <w:rPr>
          <w:rFonts w:ascii="Arial" w:hAnsi="Arial" w:cs="Arial"/>
          <w:i/>
          <w:sz w:val="24"/>
          <w:szCs w:val="24"/>
        </w:rPr>
        <w:t xml:space="preserve"> </w:t>
      </w:r>
      <w:r w:rsidR="00B85324" w:rsidRPr="00240696">
        <w:rPr>
          <w:rFonts w:ascii="Arial" w:hAnsi="Arial" w:cs="Arial"/>
          <w:sz w:val="24"/>
          <w:szCs w:val="24"/>
        </w:rPr>
        <w:t>Masuku J said the following regarding the engagement in terms of rule 32(9) and I quote him quite extensively as the issue at hand is very similar to the current matter before court:</w:t>
      </w:r>
    </w:p>
    <w:p w14:paraId="5DEC5301" w14:textId="77777777" w:rsidR="00822ED3" w:rsidRPr="00B85324" w:rsidRDefault="00822ED3" w:rsidP="00130B17">
      <w:pPr>
        <w:spacing w:after="0" w:line="360" w:lineRule="auto"/>
        <w:jc w:val="both"/>
        <w:rPr>
          <w:rFonts w:ascii="Arial" w:hAnsi="Arial" w:cs="Arial"/>
          <w:sz w:val="24"/>
          <w:szCs w:val="24"/>
        </w:rPr>
      </w:pPr>
    </w:p>
    <w:p w14:paraId="4E3943F9" w14:textId="77777777" w:rsidR="00B85324" w:rsidRPr="00B85324" w:rsidRDefault="00B85324" w:rsidP="00F072A7">
      <w:pPr>
        <w:spacing w:line="360" w:lineRule="auto"/>
        <w:ind w:firstLine="720"/>
        <w:jc w:val="both"/>
        <w:rPr>
          <w:rFonts w:ascii="Arial" w:hAnsi="Arial" w:cs="Arial"/>
        </w:rPr>
      </w:pPr>
      <w:r w:rsidRPr="00B85324">
        <w:rPr>
          <w:rFonts w:ascii="Arial" w:hAnsi="Arial" w:cs="Arial"/>
        </w:rPr>
        <w:t>‘I am of the view that the letter written by the applicant’s legal representatives cannot pass as a genuine attempt to settle the matter amicably. As indicated earlier, the onus to move the matter for amicable resolution, lies with the party seeking to move the interlocutory application before delivery of the said application. I am of the view that the mere writing of a letter, calling upon the other party to say ‘how you intend to resolve the matter amicably’, cannot, even with the widest stretch of imagination, amount to compliance with the rules. (Emphasis added).</w:t>
      </w:r>
    </w:p>
    <w:p w14:paraId="05F195E8" w14:textId="77777777" w:rsidR="00B85324" w:rsidRPr="00B85324" w:rsidRDefault="00B85324" w:rsidP="00B85324">
      <w:pPr>
        <w:spacing w:line="360" w:lineRule="auto"/>
        <w:jc w:val="both"/>
        <w:rPr>
          <w:rFonts w:ascii="Arial" w:hAnsi="Arial" w:cs="Arial"/>
        </w:rPr>
      </w:pPr>
      <w:r w:rsidRPr="00B85324">
        <w:rPr>
          <w:rFonts w:ascii="Arial" w:hAnsi="Arial" w:cs="Arial"/>
        </w:rPr>
        <w:t>[13]</w:t>
      </w:r>
      <w:r w:rsidRPr="00B85324">
        <w:rPr>
          <w:rFonts w:ascii="Arial" w:hAnsi="Arial" w:cs="Arial"/>
        </w:rPr>
        <w:tab/>
        <w:t xml:space="preserve">It appears to me that what the applicant sought to do was to exclude itself from participating in the amicable resolution of the matter, throwing the ball, as it were, into the defendant’s court to say, “Tell me…how you intend to resolve this matter amicably?’ This process, </w:t>
      </w:r>
      <w:r w:rsidRPr="00B85324">
        <w:rPr>
          <w:rFonts w:ascii="Arial" w:hAnsi="Arial" w:cs="Arial"/>
        </w:rPr>
        <w:lastRenderedPageBreak/>
        <w:t>though initiated by the party seeking to deliver the interlocutory application, is in essence one that must necessarily involve the full and undivided attention and participation of both parties to the lis. In the context of a summary judgment, it is not a call to the defendant to say how it wants to settle the debt, as the intimation in the letter by the applicant’s legal practitioners seems plain.</w:t>
      </w:r>
    </w:p>
    <w:p w14:paraId="20108EB8" w14:textId="77777777" w:rsidR="00822ED3" w:rsidRDefault="00B85324" w:rsidP="00822ED3">
      <w:pPr>
        <w:spacing w:after="0" w:line="360" w:lineRule="auto"/>
        <w:jc w:val="both"/>
        <w:rPr>
          <w:rFonts w:ascii="Arial" w:hAnsi="Arial" w:cs="Arial"/>
        </w:rPr>
      </w:pPr>
      <w:r w:rsidRPr="00B85324">
        <w:rPr>
          <w:rFonts w:ascii="Arial" w:hAnsi="Arial" w:cs="Arial"/>
        </w:rPr>
        <w:t>[14]</w:t>
      </w:r>
      <w:r w:rsidRPr="00B85324">
        <w:rPr>
          <w:rFonts w:ascii="Arial" w:hAnsi="Arial" w:cs="Arial"/>
        </w:rPr>
        <w:tab/>
        <w:t>I am of the considered view that the mere writing of the letter may be the precursor to a meeting where the parties, duly instructed with issues or material for full discussion, and possibly resolution of some, if not all the issues on the table. The letter initiating the meeting cannot be an end in and of itself. It is the initial step to what should be an actual meeting where the parties will put their cards on the table, with the defendant, in this case, stating what its defence to the summary judgment, if any, is and where the parties cannot meet each other half way, then the summary judgment application could be delivered to the court for determination.</w:t>
      </w:r>
      <w:r w:rsidR="00F072A7">
        <w:rPr>
          <w:rFonts w:ascii="Arial" w:hAnsi="Arial" w:cs="Arial"/>
        </w:rPr>
        <w:t>’</w:t>
      </w:r>
    </w:p>
    <w:p w14:paraId="363FED7B" w14:textId="77777777" w:rsidR="00822ED3" w:rsidRPr="00B85324" w:rsidRDefault="00822ED3" w:rsidP="00822ED3">
      <w:pPr>
        <w:spacing w:after="0" w:line="360" w:lineRule="auto"/>
        <w:jc w:val="both"/>
        <w:rPr>
          <w:rFonts w:ascii="Arial" w:hAnsi="Arial" w:cs="Arial"/>
        </w:rPr>
      </w:pPr>
    </w:p>
    <w:p w14:paraId="4D8649D8" w14:textId="38109F1B" w:rsidR="00B85324" w:rsidRPr="00240696" w:rsidRDefault="00240696" w:rsidP="00240696">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B85324" w:rsidRPr="00240696">
        <w:rPr>
          <w:rFonts w:ascii="Arial" w:hAnsi="Arial" w:cs="Arial"/>
          <w:sz w:val="24"/>
          <w:szCs w:val="24"/>
        </w:rPr>
        <w:t>The learned judge continued and at paragraph 19 and 20 to say the following:</w:t>
      </w:r>
    </w:p>
    <w:p w14:paraId="33CBCC38" w14:textId="77777777" w:rsidR="00EE4CFC" w:rsidRPr="00EE4CFC" w:rsidRDefault="00EE4CFC" w:rsidP="00EE4CFC">
      <w:pPr>
        <w:pStyle w:val="ListParagraph"/>
        <w:spacing w:after="0" w:line="360" w:lineRule="auto"/>
        <w:ind w:left="0"/>
        <w:jc w:val="both"/>
        <w:rPr>
          <w:rFonts w:ascii="Arial" w:hAnsi="Arial" w:cs="Arial"/>
          <w:sz w:val="24"/>
          <w:szCs w:val="24"/>
        </w:rPr>
      </w:pPr>
    </w:p>
    <w:p w14:paraId="2C6657A3" w14:textId="77777777" w:rsidR="00B85324" w:rsidRPr="00B85324" w:rsidRDefault="00B85324" w:rsidP="00F072A7">
      <w:pPr>
        <w:spacing w:line="360" w:lineRule="auto"/>
        <w:ind w:firstLine="720"/>
        <w:jc w:val="both"/>
        <w:rPr>
          <w:rFonts w:ascii="Arial" w:hAnsi="Arial" w:cs="Arial"/>
        </w:rPr>
      </w:pPr>
      <w:r w:rsidRPr="00B85324">
        <w:rPr>
          <w:rFonts w:ascii="Arial" w:hAnsi="Arial" w:cs="Arial"/>
        </w:rPr>
        <w:t>‘[19]</w:t>
      </w:r>
      <w:r w:rsidRPr="00B85324">
        <w:rPr>
          <w:rFonts w:ascii="Arial" w:hAnsi="Arial" w:cs="Arial"/>
        </w:rPr>
        <w:tab/>
        <w:t xml:space="preserve">In this regard, I am of the view that legal practitioners should take the peremptory provisions in question seriously and make every effort, with every sinew in their bodies, to fully and deliberately engage in the process of attempting to resolve matters amicably. The impression one gets from the letter by the applicant’s legal practitioner, is that some legal practitioners merely pay lip service to the said subrules and behave in a manner appears to have all the hallmarks a perfunctory approach to dealing with this subrule. </w:t>
      </w:r>
    </w:p>
    <w:p w14:paraId="6D3CD324" w14:textId="77777777" w:rsidR="00184C3A" w:rsidRDefault="00B85324" w:rsidP="00822ED3">
      <w:pPr>
        <w:spacing w:after="0" w:line="360" w:lineRule="auto"/>
        <w:jc w:val="both"/>
        <w:rPr>
          <w:rFonts w:ascii="Arial" w:hAnsi="Arial" w:cs="Arial"/>
        </w:rPr>
      </w:pPr>
      <w:r w:rsidRPr="00B85324">
        <w:rPr>
          <w:rFonts w:ascii="Arial" w:hAnsi="Arial" w:cs="Arial"/>
        </w:rPr>
        <w:t>[20]</w:t>
      </w:r>
      <w:r w:rsidRPr="00B85324">
        <w:rPr>
          <w:rFonts w:ascii="Arial" w:hAnsi="Arial" w:cs="Arial"/>
        </w:rPr>
        <w:tab/>
        <w:t>This, it must be made clear, will not accepted or tolerated by the courts. Parties will not be allowed to merely go through the motions as the rule is designed to assist practitioners deal with the wheat and not concentrate on the chaff, and thus not expending time needlessly on lost or still-born causes, to the detriment of clients’ interests and the admini</w:t>
      </w:r>
      <w:r w:rsidR="00F072A7">
        <w:rPr>
          <w:rFonts w:ascii="Arial" w:hAnsi="Arial" w:cs="Arial"/>
        </w:rPr>
        <w:t>stration of justice in general.’</w:t>
      </w:r>
    </w:p>
    <w:p w14:paraId="517CFE7E" w14:textId="77777777" w:rsidR="00822ED3" w:rsidRPr="00F072A7" w:rsidRDefault="00822ED3" w:rsidP="00822ED3">
      <w:pPr>
        <w:spacing w:after="0" w:line="360" w:lineRule="auto"/>
        <w:jc w:val="both"/>
        <w:rPr>
          <w:rFonts w:ascii="Arial" w:hAnsi="Arial" w:cs="Arial"/>
        </w:rPr>
      </w:pPr>
    </w:p>
    <w:p w14:paraId="433C0FB3" w14:textId="5AFE668A" w:rsidR="00EE4CFC" w:rsidRPr="00240696" w:rsidRDefault="00240696" w:rsidP="00240696">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B85324" w:rsidRPr="00240696">
        <w:rPr>
          <w:rFonts w:ascii="Arial" w:hAnsi="Arial" w:cs="Arial"/>
          <w:sz w:val="24"/>
          <w:szCs w:val="24"/>
        </w:rPr>
        <w:t>In this instance</w:t>
      </w:r>
      <w:r w:rsidR="00822ED3" w:rsidRPr="00240696">
        <w:rPr>
          <w:rFonts w:ascii="Arial" w:hAnsi="Arial" w:cs="Arial"/>
          <w:sz w:val="24"/>
          <w:szCs w:val="24"/>
        </w:rPr>
        <w:t>,</w:t>
      </w:r>
      <w:r w:rsidR="00B85324" w:rsidRPr="00240696">
        <w:rPr>
          <w:rFonts w:ascii="Arial" w:hAnsi="Arial" w:cs="Arial"/>
          <w:sz w:val="24"/>
          <w:szCs w:val="24"/>
        </w:rPr>
        <w:t xml:space="preserve"> the engagement did not happen on or before the date determined by the court for the filing of the rule 32(10) report and there is however</w:t>
      </w:r>
      <w:r w:rsidR="00822ED3" w:rsidRPr="00240696">
        <w:rPr>
          <w:rFonts w:ascii="Arial" w:hAnsi="Arial" w:cs="Arial"/>
          <w:sz w:val="24"/>
          <w:szCs w:val="24"/>
        </w:rPr>
        <w:t>,</w:t>
      </w:r>
      <w:r w:rsidR="00B85324" w:rsidRPr="00240696">
        <w:rPr>
          <w:rFonts w:ascii="Arial" w:hAnsi="Arial" w:cs="Arial"/>
          <w:sz w:val="24"/>
          <w:szCs w:val="24"/>
        </w:rPr>
        <w:t xml:space="preserve"> a condonation application before court to condone the n</w:t>
      </w:r>
      <w:r w:rsidR="00E73307" w:rsidRPr="00240696">
        <w:rPr>
          <w:rFonts w:ascii="Arial" w:hAnsi="Arial" w:cs="Arial"/>
          <w:sz w:val="24"/>
          <w:szCs w:val="24"/>
        </w:rPr>
        <w:t>on-compliance with the court order setting out in detail the reasons for not doing so.  It however</w:t>
      </w:r>
      <w:r w:rsidR="00822ED3" w:rsidRPr="00240696">
        <w:rPr>
          <w:rFonts w:ascii="Arial" w:hAnsi="Arial" w:cs="Arial"/>
          <w:sz w:val="24"/>
          <w:szCs w:val="24"/>
        </w:rPr>
        <w:t>,</w:t>
      </w:r>
      <w:r w:rsidR="00E73307" w:rsidRPr="00240696">
        <w:rPr>
          <w:rFonts w:ascii="Arial" w:hAnsi="Arial" w:cs="Arial"/>
          <w:sz w:val="24"/>
          <w:szCs w:val="24"/>
        </w:rPr>
        <w:t xml:space="preserve"> still leaves us without a proper engagement.</w:t>
      </w:r>
    </w:p>
    <w:p w14:paraId="72331D64" w14:textId="77777777" w:rsidR="00EE4CFC" w:rsidRDefault="00EE4CFC" w:rsidP="00EE4CFC">
      <w:pPr>
        <w:pStyle w:val="ListParagraph"/>
        <w:spacing w:after="0" w:line="360" w:lineRule="auto"/>
        <w:ind w:left="0"/>
        <w:jc w:val="both"/>
        <w:rPr>
          <w:rFonts w:ascii="Arial" w:hAnsi="Arial" w:cs="Arial"/>
          <w:sz w:val="24"/>
          <w:szCs w:val="24"/>
        </w:rPr>
      </w:pPr>
    </w:p>
    <w:p w14:paraId="2DFB7D97" w14:textId="20A91C4C" w:rsidR="00F072A7" w:rsidRPr="00240696" w:rsidRDefault="00240696" w:rsidP="00240696">
      <w:pPr>
        <w:spacing w:after="0" w:line="360" w:lineRule="auto"/>
        <w:jc w:val="both"/>
        <w:rPr>
          <w:rFonts w:ascii="Arial" w:hAnsi="Arial" w:cs="Arial"/>
          <w:sz w:val="24"/>
          <w:szCs w:val="24"/>
        </w:rPr>
      </w:pPr>
      <w:r w:rsidRPr="00EE4CFC">
        <w:rPr>
          <w:rFonts w:ascii="Arial" w:hAnsi="Arial" w:cs="Arial"/>
          <w:sz w:val="24"/>
          <w:szCs w:val="24"/>
        </w:rPr>
        <w:t>[26]</w:t>
      </w:r>
      <w:r w:rsidRPr="00EE4CFC">
        <w:rPr>
          <w:rFonts w:ascii="Arial" w:hAnsi="Arial" w:cs="Arial"/>
          <w:sz w:val="24"/>
          <w:szCs w:val="24"/>
        </w:rPr>
        <w:tab/>
      </w:r>
      <w:r w:rsidR="00E73307" w:rsidRPr="00240696">
        <w:rPr>
          <w:rFonts w:ascii="Arial" w:hAnsi="Arial" w:cs="Arial"/>
          <w:sz w:val="24"/>
          <w:szCs w:val="24"/>
        </w:rPr>
        <w:t>The requirements of rule 60(5)</w:t>
      </w:r>
      <w:r w:rsidR="00E73307" w:rsidRPr="00240696">
        <w:rPr>
          <w:rFonts w:ascii="Arial" w:hAnsi="Arial" w:cs="Arial"/>
          <w:i/>
          <w:sz w:val="24"/>
          <w:szCs w:val="24"/>
        </w:rPr>
        <w:t>(b)</w:t>
      </w:r>
      <w:r w:rsidR="00E73307" w:rsidRPr="00240696">
        <w:rPr>
          <w:rFonts w:ascii="Arial" w:hAnsi="Arial" w:cs="Arial"/>
          <w:sz w:val="24"/>
          <w:szCs w:val="24"/>
        </w:rPr>
        <w:t xml:space="preserve"> which must be satisfied for a successful opposition to a claim for summary judgment was stated as follows in the </w:t>
      </w:r>
      <w:r w:rsidR="00E73307" w:rsidRPr="00240696">
        <w:rPr>
          <w:rFonts w:ascii="Arial" w:hAnsi="Arial" w:cs="Arial"/>
          <w:i/>
          <w:sz w:val="24"/>
          <w:szCs w:val="24"/>
        </w:rPr>
        <w:t xml:space="preserve">locus classicus, </w:t>
      </w:r>
      <w:r w:rsidR="00E73307" w:rsidRPr="00240696">
        <w:rPr>
          <w:rFonts w:ascii="Arial" w:hAnsi="Arial" w:cs="Arial"/>
          <w:i/>
          <w:sz w:val="24"/>
          <w:szCs w:val="24"/>
        </w:rPr>
        <w:lastRenderedPageBreak/>
        <w:t>Maharaj v Barclays National Bank Ltd</w:t>
      </w:r>
      <w:r w:rsidR="00E73307">
        <w:rPr>
          <w:rStyle w:val="FootnoteReference"/>
          <w:rFonts w:ascii="Arial" w:hAnsi="Arial" w:cs="Arial"/>
          <w:i/>
          <w:sz w:val="24"/>
          <w:szCs w:val="24"/>
        </w:rPr>
        <w:footnoteReference w:id="2"/>
      </w:r>
      <w:r w:rsidR="00E73307" w:rsidRPr="00240696">
        <w:rPr>
          <w:rFonts w:ascii="Arial" w:hAnsi="Arial" w:cs="Arial"/>
          <w:i/>
          <w:sz w:val="24"/>
          <w:szCs w:val="24"/>
        </w:rPr>
        <w:t xml:space="preserve"> </w:t>
      </w:r>
      <w:r w:rsidR="00E73307" w:rsidRPr="00240696">
        <w:rPr>
          <w:rFonts w:ascii="Arial" w:hAnsi="Arial" w:cs="Arial"/>
          <w:sz w:val="24"/>
          <w:szCs w:val="24"/>
        </w:rPr>
        <w:t>by Corbett JA with regard to the previous rule 32, dealing with summary judgment applications:</w:t>
      </w:r>
      <w:r w:rsidR="00F072A7" w:rsidRPr="00240696">
        <w:rPr>
          <w:rFonts w:ascii="Arial" w:hAnsi="Arial" w:cs="Arial"/>
          <w:sz w:val="24"/>
          <w:szCs w:val="24"/>
        </w:rPr>
        <w:t xml:space="preserve">  </w:t>
      </w:r>
    </w:p>
    <w:p w14:paraId="240DD1DD" w14:textId="77777777" w:rsidR="00F072A7" w:rsidRPr="00E73307" w:rsidRDefault="00F072A7" w:rsidP="00F072A7">
      <w:pPr>
        <w:spacing w:after="0" w:line="360" w:lineRule="auto"/>
        <w:jc w:val="both"/>
        <w:rPr>
          <w:rFonts w:ascii="Arial" w:hAnsi="Arial" w:cs="Arial"/>
          <w:sz w:val="24"/>
          <w:szCs w:val="24"/>
        </w:rPr>
      </w:pPr>
    </w:p>
    <w:p w14:paraId="4138D41E" w14:textId="77777777" w:rsidR="00E73307" w:rsidRPr="00E73307" w:rsidRDefault="00E73307" w:rsidP="00F072A7">
      <w:pPr>
        <w:spacing w:line="360" w:lineRule="auto"/>
        <w:ind w:firstLine="720"/>
        <w:jc w:val="both"/>
        <w:rPr>
          <w:rFonts w:ascii="Arial" w:hAnsi="Arial" w:cs="Arial"/>
        </w:rPr>
      </w:pPr>
      <w:r w:rsidRPr="00E73307">
        <w:rPr>
          <w:rFonts w:ascii="Arial" w:hAnsi="Arial" w:cs="Arial"/>
          <w:sz w:val="24"/>
          <w:szCs w:val="24"/>
        </w:rPr>
        <w:t xml:space="preserve"> </w:t>
      </w:r>
      <w:r w:rsidRPr="00E73307">
        <w:rPr>
          <w:rFonts w:ascii="Arial" w:hAnsi="Arial" w:cs="Arial"/>
        </w:rPr>
        <w:t xml:space="preserve">‘Accordingly, one of the ways in which the defendant may successfully oppose a claim for summary judgment is by satisfying the Court by affidavit that he has a bona fide defence to the claim. Where the defence is based upon facts, in the sense that material facts alleged by the plaintiff/applicant in his summons, or combined summons, are disputed or new facts are alleged constituting a defence, the Court does not attempt to decide these issues or to determine whether or not there is a balance of probabilities in favour of the one party or the other. </w:t>
      </w:r>
    </w:p>
    <w:p w14:paraId="3C2E4BA8" w14:textId="77777777" w:rsidR="00E73307" w:rsidRPr="00E73307" w:rsidRDefault="00E73307" w:rsidP="00E73307">
      <w:pPr>
        <w:spacing w:line="360" w:lineRule="auto"/>
        <w:jc w:val="both"/>
        <w:rPr>
          <w:rFonts w:ascii="Arial" w:hAnsi="Arial" w:cs="Arial"/>
        </w:rPr>
      </w:pPr>
      <w:r w:rsidRPr="00E73307">
        <w:rPr>
          <w:rFonts w:ascii="Arial" w:hAnsi="Arial" w:cs="Arial"/>
        </w:rPr>
        <w:t xml:space="preserve">All that the Court enquires into is: </w:t>
      </w:r>
    </w:p>
    <w:p w14:paraId="57192DD1" w14:textId="77777777" w:rsidR="00E73307" w:rsidRPr="00E73307" w:rsidRDefault="00E73307" w:rsidP="00E73307">
      <w:pPr>
        <w:spacing w:line="360" w:lineRule="auto"/>
        <w:jc w:val="both"/>
        <w:rPr>
          <w:rFonts w:ascii="Arial" w:hAnsi="Arial" w:cs="Arial"/>
        </w:rPr>
      </w:pPr>
      <w:r w:rsidRPr="00E73307">
        <w:rPr>
          <w:rFonts w:ascii="Arial" w:hAnsi="Arial" w:cs="Arial"/>
        </w:rPr>
        <w:t xml:space="preserve">(a) whether the defendant has fully disclosed the nature and the grounds of his defence and the material facts upon which it is founded, and </w:t>
      </w:r>
    </w:p>
    <w:p w14:paraId="7BFF9732" w14:textId="77777777" w:rsidR="00E73307" w:rsidRPr="00E73307" w:rsidRDefault="00E73307" w:rsidP="00E73307">
      <w:pPr>
        <w:spacing w:line="360" w:lineRule="auto"/>
        <w:jc w:val="both"/>
        <w:rPr>
          <w:rFonts w:ascii="Arial" w:hAnsi="Arial" w:cs="Arial"/>
        </w:rPr>
      </w:pPr>
      <w:r w:rsidRPr="00E73307">
        <w:rPr>
          <w:rFonts w:ascii="Arial" w:hAnsi="Arial" w:cs="Arial"/>
        </w:rPr>
        <w:t xml:space="preserve">(b) whether on the facts so disclosed the defendant appears to have, as to either the whole or part of the claim, a defence which is bona fide and good in law. </w:t>
      </w:r>
    </w:p>
    <w:p w14:paraId="17584510" w14:textId="77777777" w:rsidR="00E73307" w:rsidRDefault="00E73307" w:rsidP="00EE4CFC">
      <w:pPr>
        <w:spacing w:after="0" w:line="360" w:lineRule="auto"/>
        <w:jc w:val="both"/>
        <w:rPr>
          <w:rFonts w:ascii="Arial" w:hAnsi="Arial" w:cs="Arial"/>
        </w:rPr>
      </w:pPr>
      <w:r w:rsidRPr="00E73307">
        <w:rPr>
          <w:rFonts w:ascii="Arial" w:hAnsi="Arial" w:cs="Arial"/>
        </w:rPr>
        <w:t xml:space="preserve">If satisfied on these matters the Court must refuse summary judgment, either wholly or in part, as the case may be. The word fully, as used in the context of the Rule (and its predecessors), has been the cause of some judicial controversy in the past. It connotes, in my view, that, while the defendant need not deal exhaustively with the facts and the evidence relied upon to substantiate them, he must at least disclose his defence and the material facts upon which it is based with sufficient particularity and completeness to enable the Court to decide whether the affidavit </w:t>
      </w:r>
      <w:r w:rsidR="00822ED3">
        <w:rPr>
          <w:rFonts w:ascii="Arial" w:hAnsi="Arial" w:cs="Arial"/>
        </w:rPr>
        <w:t xml:space="preserve"> discloses a bona fide defence.’</w:t>
      </w:r>
    </w:p>
    <w:p w14:paraId="305E3FDE" w14:textId="77777777" w:rsidR="00EE4CFC" w:rsidRPr="00E73307" w:rsidRDefault="00EE4CFC" w:rsidP="00EE4CFC">
      <w:pPr>
        <w:spacing w:after="0" w:line="360" w:lineRule="auto"/>
        <w:jc w:val="both"/>
        <w:rPr>
          <w:rFonts w:ascii="Arial" w:hAnsi="Arial" w:cs="Arial"/>
        </w:rPr>
      </w:pPr>
    </w:p>
    <w:p w14:paraId="2AC5054F" w14:textId="0B415029" w:rsidR="00E73307" w:rsidRPr="00240696" w:rsidRDefault="00240696" w:rsidP="00240696">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E73307" w:rsidRPr="00240696">
        <w:rPr>
          <w:rFonts w:ascii="Arial" w:hAnsi="Arial" w:cs="Arial"/>
          <w:sz w:val="24"/>
          <w:szCs w:val="24"/>
        </w:rPr>
        <w:t xml:space="preserve">In general, the approach of the court is as set out by Justice Cheda in </w:t>
      </w:r>
      <w:r w:rsidR="00E73307" w:rsidRPr="00240696">
        <w:rPr>
          <w:rFonts w:ascii="Arial" w:hAnsi="Arial" w:cs="Arial"/>
          <w:i/>
          <w:sz w:val="24"/>
          <w:szCs w:val="24"/>
        </w:rPr>
        <w:t xml:space="preserve">Lofty-Eaton v Ramos </w:t>
      </w:r>
      <w:r w:rsidR="00E73307" w:rsidRPr="00240696">
        <w:rPr>
          <w:rFonts w:ascii="Arial" w:hAnsi="Arial" w:cs="Arial"/>
          <w:sz w:val="24"/>
          <w:szCs w:val="24"/>
        </w:rPr>
        <w:t>as follows:</w:t>
      </w:r>
      <w:r w:rsidR="00E73307" w:rsidRPr="00E73307">
        <w:rPr>
          <w:vertAlign w:val="superscript"/>
        </w:rPr>
        <w:footnoteReference w:id="3"/>
      </w:r>
    </w:p>
    <w:p w14:paraId="6369837C" w14:textId="77777777" w:rsidR="00EE4CFC" w:rsidRPr="00EE4CFC" w:rsidRDefault="00EE4CFC" w:rsidP="00EE4CFC">
      <w:pPr>
        <w:pStyle w:val="ListParagraph"/>
        <w:spacing w:after="0" w:line="360" w:lineRule="auto"/>
        <w:ind w:left="0"/>
        <w:jc w:val="both"/>
        <w:rPr>
          <w:rFonts w:ascii="Arial" w:hAnsi="Arial" w:cs="Arial"/>
          <w:sz w:val="24"/>
          <w:szCs w:val="24"/>
        </w:rPr>
      </w:pPr>
    </w:p>
    <w:p w14:paraId="61E61971" w14:textId="77777777" w:rsidR="00E73307" w:rsidRPr="00E73307" w:rsidRDefault="00F072A7" w:rsidP="00E73307">
      <w:pPr>
        <w:spacing w:line="360" w:lineRule="auto"/>
        <w:jc w:val="both"/>
        <w:rPr>
          <w:rFonts w:ascii="Arial" w:hAnsi="Arial" w:cs="Arial"/>
        </w:rPr>
      </w:pPr>
      <w:r>
        <w:rPr>
          <w:rFonts w:ascii="Arial" w:hAnsi="Arial" w:cs="Arial"/>
        </w:rPr>
        <w:t xml:space="preserve">      ‘</w:t>
      </w:r>
      <w:r w:rsidR="00E73307" w:rsidRPr="00E73307">
        <w:rPr>
          <w:rFonts w:ascii="Arial" w:hAnsi="Arial" w:cs="Arial"/>
        </w:rPr>
        <w:t xml:space="preserve">The general approach of these courts in applications of this nature is that cognisance is taken into account that a summary judgment is an independent, distinctive and a speedy debt collecting mechanism utilized by creditors. It is a tool to use by a plaintiff/applicant where a defendant raises some lame excuse or defence in order to defend a clear claim. These courts, have, therefore, been using this method to justly grant an order to a desperate plaintiff/applicant who without doing so, will continue to endure the frustration mounted by an unscrupulous defendant (s) on the basis of some imagined defence. As remedy available to plaintiff/applicant is an extra-ordinary one and is indeed stringent to the defendant, it should only be availed to a party who has a watertight case </w:t>
      </w:r>
      <w:r w:rsidR="00E73307" w:rsidRPr="00E73307">
        <w:rPr>
          <w:rFonts w:ascii="Arial" w:hAnsi="Arial" w:cs="Arial"/>
        </w:rPr>
        <w:lastRenderedPageBreak/>
        <w:t xml:space="preserve">and that there is absolutely no chance of respondent/defendant answering it, see </w:t>
      </w:r>
      <w:r w:rsidR="00E73307" w:rsidRPr="00E73307">
        <w:rPr>
          <w:rFonts w:ascii="Arial" w:hAnsi="Arial" w:cs="Arial"/>
          <w:i/>
        </w:rPr>
        <w:t>Standard Bank of Namibia Ltd v Veldsman</w:t>
      </w:r>
      <w:r w:rsidR="00E73307" w:rsidRPr="00E73307">
        <w:rPr>
          <w:rFonts w:ascii="Arial" w:hAnsi="Arial" w:cs="Arial"/>
        </w:rPr>
        <w:t>.</w:t>
      </w:r>
      <w:r w:rsidR="00E73307" w:rsidRPr="00E73307">
        <w:rPr>
          <w:rFonts w:ascii="Arial" w:hAnsi="Arial" w:cs="Arial"/>
          <w:vertAlign w:val="superscript"/>
        </w:rPr>
        <w:footnoteReference w:id="4"/>
      </w:r>
      <w:r w:rsidR="00E73307" w:rsidRPr="00E73307">
        <w:rPr>
          <w:rFonts w:ascii="Arial" w:hAnsi="Arial" w:cs="Arial"/>
        </w:rPr>
        <w:t xml:space="preserve"> Rule 32 specifically deals with the said applications. Summary Judgment is therefore a simple, but, effective method of disposing of suitable cases without high costs and long delays of trial actions, see </w:t>
      </w:r>
      <w:r w:rsidR="00E73307" w:rsidRPr="00E73307">
        <w:rPr>
          <w:rFonts w:ascii="Arial" w:hAnsi="Arial" w:cs="Arial"/>
          <w:i/>
        </w:rPr>
        <w:t>Caston Ltd v Barrigo</w:t>
      </w:r>
      <w:r w:rsidR="00E73307" w:rsidRPr="00E73307">
        <w:rPr>
          <w:rFonts w:ascii="Arial" w:hAnsi="Arial" w:cs="Arial"/>
        </w:rPr>
        <w:t>.</w:t>
      </w:r>
      <w:r w:rsidR="00E73307" w:rsidRPr="00E73307">
        <w:rPr>
          <w:rFonts w:ascii="Arial" w:hAnsi="Arial" w:cs="Arial"/>
          <w:vertAlign w:val="superscript"/>
        </w:rPr>
        <w:footnoteReference w:id="5"/>
      </w:r>
      <w:r w:rsidR="00E73307" w:rsidRPr="00E73307">
        <w:rPr>
          <w:rFonts w:ascii="Arial" w:hAnsi="Arial" w:cs="Arial"/>
        </w:rPr>
        <w:t xml:space="preserve"> In that case, Roberts, AJ went further and crystalised the principle as follows:</w:t>
      </w:r>
    </w:p>
    <w:p w14:paraId="536AE562" w14:textId="77777777" w:rsidR="00E73307" w:rsidRDefault="00F072A7" w:rsidP="00F072A7">
      <w:pPr>
        <w:spacing w:after="0" w:line="360" w:lineRule="auto"/>
        <w:jc w:val="both"/>
        <w:rPr>
          <w:rFonts w:ascii="Arial" w:hAnsi="Arial" w:cs="Arial"/>
        </w:rPr>
      </w:pPr>
      <w:r>
        <w:rPr>
          <w:rFonts w:ascii="Arial" w:hAnsi="Arial" w:cs="Arial"/>
        </w:rPr>
        <w:t>“</w:t>
      </w:r>
      <w:r w:rsidR="00E73307" w:rsidRPr="00E73307">
        <w:rPr>
          <w:rFonts w:ascii="Arial" w:hAnsi="Arial" w:cs="Arial"/>
        </w:rPr>
        <w:t>it is confined to claims in respect of which it is alleged and appears to the court that the defendant has no bona fide defence, and that appearance has been entered solely for the purpose of delay.’</w:t>
      </w:r>
    </w:p>
    <w:p w14:paraId="46EEB891" w14:textId="77777777" w:rsidR="00F072A7" w:rsidRPr="00E73307" w:rsidRDefault="00F072A7" w:rsidP="00F072A7">
      <w:pPr>
        <w:spacing w:after="0" w:line="360" w:lineRule="auto"/>
        <w:jc w:val="both"/>
        <w:rPr>
          <w:rFonts w:ascii="Arial" w:hAnsi="Arial" w:cs="Arial"/>
        </w:rPr>
      </w:pPr>
    </w:p>
    <w:p w14:paraId="4F2B75F5" w14:textId="3F48CC15" w:rsidR="00EE4CFC" w:rsidRPr="00240696" w:rsidRDefault="00240696" w:rsidP="00240696">
      <w:pPr>
        <w:spacing w:after="0" w:line="360" w:lineRule="auto"/>
        <w:jc w:val="both"/>
        <w:rPr>
          <w:rFonts w:ascii="Arial" w:hAnsi="Arial" w:cs="Arial"/>
          <w:sz w:val="24"/>
          <w:szCs w:val="24"/>
          <w:lang w:val="en-GB"/>
        </w:rPr>
      </w:pPr>
      <w:r>
        <w:rPr>
          <w:rFonts w:ascii="Arial" w:hAnsi="Arial" w:cs="Arial"/>
          <w:sz w:val="24"/>
          <w:szCs w:val="24"/>
          <w:lang w:val="en-GB"/>
        </w:rPr>
        <w:t>[28]</w:t>
      </w:r>
      <w:r>
        <w:rPr>
          <w:rFonts w:ascii="Arial" w:hAnsi="Arial" w:cs="Arial"/>
          <w:sz w:val="24"/>
          <w:szCs w:val="24"/>
          <w:lang w:val="en-GB"/>
        </w:rPr>
        <w:tab/>
      </w:r>
      <w:r w:rsidR="00E73307" w:rsidRPr="00240696">
        <w:rPr>
          <w:rFonts w:ascii="Arial" w:hAnsi="Arial" w:cs="Arial"/>
          <w:sz w:val="24"/>
          <w:szCs w:val="24"/>
          <w:lang w:val="en-GB"/>
        </w:rPr>
        <w:t>Where a summary judgment has been applied for, the defendant is entitled to oppose, if he has a </w:t>
      </w:r>
      <w:r w:rsidR="00E73307" w:rsidRPr="00240696">
        <w:rPr>
          <w:rFonts w:ascii="Arial" w:hAnsi="Arial" w:cs="Arial"/>
          <w:i/>
          <w:iCs/>
          <w:sz w:val="24"/>
          <w:szCs w:val="24"/>
          <w:lang w:val="en-GB"/>
        </w:rPr>
        <w:t xml:space="preserve">bona fide </w:t>
      </w:r>
      <w:r w:rsidR="00E73307" w:rsidRPr="00240696">
        <w:rPr>
          <w:rFonts w:ascii="Arial" w:hAnsi="Arial" w:cs="Arial"/>
          <w:sz w:val="24"/>
          <w:szCs w:val="24"/>
          <w:lang w:val="en-GB"/>
        </w:rPr>
        <w:t>defence and in that opposition he/she must depose to an affidavit where he/she should positively state and show that he/she has a </w:t>
      </w:r>
      <w:r w:rsidR="00E73307" w:rsidRPr="00240696">
        <w:rPr>
          <w:rFonts w:ascii="Arial" w:hAnsi="Arial" w:cs="Arial"/>
          <w:i/>
          <w:iCs/>
          <w:sz w:val="24"/>
          <w:szCs w:val="24"/>
          <w:lang w:val="en-GB"/>
        </w:rPr>
        <w:t>bona fide</w:t>
      </w:r>
      <w:r w:rsidR="00E73307" w:rsidRPr="00240696">
        <w:rPr>
          <w:rFonts w:ascii="Arial" w:hAnsi="Arial" w:cs="Arial"/>
          <w:sz w:val="24"/>
          <w:szCs w:val="24"/>
          <w:lang w:val="en-GB"/>
        </w:rPr>
        <w:t> defence to applicant’s claim. The defend</w:t>
      </w:r>
      <w:r w:rsidR="00F072A7" w:rsidRPr="00240696">
        <w:rPr>
          <w:rFonts w:ascii="Arial" w:hAnsi="Arial" w:cs="Arial"/>
          <w:sz w:val="24"/>
          <w:szCs w:val="24"/>
          <w:lang w:val="en-GB"/>
        </w:rPr>
        <w:t>a</w:t>
      </w:r>
      <w:r w:rsidR="00E73307" w:rsidRPr="00240696">
        <w:rPr>
          <w:rFonts w:ascii="Arial" w:hAnsi="Arial" w:cs="Arial"/>
          <w:sz w:val="24"/>
          <w:szCs w:val="24"/>
          <w:lang w:val="en-GB"/>
        </w:rPr>
        <w:t>nt must not only show, but, must satisfy the court that he/she has a </w:t>
      </w:r>
      <w:r w:rsidR="00E73307" w:rsidRPr="00240696">
        <w:rPr>
          <w:rFonts w:ascii="Arial" w:hAnsi="Arial" w:cs="Arial"/>
          <w:i/>
          <w:iCs/>
          <w:sz w:val="24"/>
          <w:szCs w:val="24"/>
          <w:lang w:val="en-GB"/>
        </w:rPr>
        <w:t>bona fide</w:t>
      </w:r>
      <w:r w:rsidR="00E73307" w:rsidRPr="00240696">
        <w:rPr>
          <w:rFonts w:ascii="Arial" w:hAnsi="Arial" w:cs="Arial"/>
          <w:sz w:val="24"/>
          <w:szCs w:val="24"/>
          <w:lang w:val="en-GB"/>
        </w:rPr>
        <w:t> defence. In furtherance of the satisfaction to the court, the defendant must at least disclose his defence and material facts upon which it is based with sufficient particularity and completeness to enable the court to decide whether the affidavit discloses a </w:t>
      </w:r>
      <w:r w:rsidR="00E73307" w:rsidRPr="00240696">
        <w:rPr>
          <w:rFonts w:ascii="Arial" w:hAnsi="Arial" w:cs="Arial"/>
          <w:i/>
          <w:iCs/>
          <w:sz w:val="24"/>
          <w:szCs w:val="24"/>
          <w:lang w:val="en-GB"/>
        </w:rPr>
        <w:t>bona fide</w:t>
      </w:r>
      <w:r w:rsidR="00E73307" w:rsidRPr="00240696">
        <w:rPr>
          <w:rFonts w:ascii="Arial" w:hAnsi="Arial" w:cs="Arial"/>
          <w:sz w:val="24"/>
          <w:szCs w:val="24"/>
          <w:lang w:val="en-GB"/>
        </w:rPr>
        <w:t xml:space="preserve"> defence, see </w:t>
      </w:r>
      <w:r w:rsidR="00E73307" w:rsidRPr="00240696">
        <w:rPr>
          <w:rFonts w:ascii="Arial" w:hAnsi="Arial" w:cs="Arial"/>
          <w:i/>
          <w:iCs/>
          <w:sz w:val="24"/>
          <w:szCs w:val="24"/>
          <w:lang w:val="en-GB"/>
        </w:rPr>
        <w:t>Breitenbach v Fiat SA (Edms) BPK</w:t>
      </w:r>
      <w:r w:rsidR="00E73307" w:rsidRPr="00E73307">
        <w:rPr>
          <w:i/>
          <w:iCs/>
          <w:vertAlign w:val="superscript"/>
          <w:lang w:val="en-GB"/>
        </w:rPr>
        <w:footnoteReference w:id="6"/>
      </w:r>
      <w:r w:rsidR="00E73307" w:rsidRPr="00240696">
        <w:rPr>
          <w:rFonts w:ascii="Arial" w:hAnsi="Arial" w:cs="Arial"/>
          <w:sz w:val="24"/>
          <w:szCs w:val="24"/>
          <w:lang w:val="en-GB"/>
        </w:rPr>
        <w:t xml:space="preserve"> and </w:t>
      </w:r>
      <w:r w:rsidR="00E73307" w:rsidRPr="00240696">
        <w:rPr>
          <w:rFonts w:ascii="Arial" w:hAnsi="Arial" w:cs="Arial"/>
          <w:i/>
          <w:sz w:val="24"/>
          <w:szCs w:val="24"/>
          <w:lang w:val="en-GB"/>
        </w:rPr>
        <w:t>Namibia Breweries Ltd v Marina Nenzo Serrao</w:t>
      </w:r>
      <w:r w:rsidR="00E73307" w:rsidRPr="00240696">
        <w:rPr>
          <w:rFonts w:ascii="Arial" w:hAnsi="Arial" w:cs="Arial"/>
          <w:sz w:val="24"/>
          <w:szCs w:val="24"/>
          <w:lang w:val="en-GB"/>
        </w:rPr>
        <w:t>.</w:t>
      </w:r>
      <w:r w:rsidR="00E73307" w:rsidRPr="00E73307">
        <w:rPr>
          <w:vertAlign w:val="superscript"/>
          <w:lang w:val="en-GB"/>
        </w:rPr>
        <w:footnoteReference w:id="7"/>
      </w:r>
      <w:r w:rsidR="00E73307" w:rsidRPr="00240696">
        <w:rPr>
          <w:rFonts w:ascii="Arial" w:hAnsi="Arial" w:cs="Arial"/>
          <w:sz w:val="24"/>
          <w:szCs w:val="24"/>
          <w:lang w:val="en-GB"/>
        </w:rPr>
        <w:t xml:space="preserve"> This, however, is not to say that he/she should do so by disclosing all the details and particulars as would be the case of proceedings, see </w:t>
      </w:r>
      <w:r w:rsidR="00E73307" w:rsidRPr="00240696">
        <w:rPr>
          <w:rFonts w:ascii="Arial" w:hAnsi="Arial" w:cs="Arial"/>
          <w:i/>
          <w:iCs/>
          <w:sz w:val="24"/>
          <w:szCs w:val="24"/>
          <w:lang w:val="en-GB"/>
        </w:rPr>
        <w:t>Maharaj v Barclays National Bank Ltd</w:t>
      </w:r>
      <w:r w:rsidR="00E73307" w:rsidRPr="00E73307">
        <w:rPr>
          <w:i/>
          <w:iCs/>
          <w:vertAlign w:val="superscript"/>
          <w:lang w:val="en-GB"/>
        </w:rPr>
        <w:footnoteReference w:id="8"/>
      </w:r>
      <w:r w:rsidR="00E73307" w:rsidRPr="00240696">
        <w:rPr>
          <w:rFonts w:ascii="Arial" w:hAnsi="Arial" w:cs="Arial"/>
          <w:sz w:val="24"/>
          <w:szCs w:val="24"/>
          <w:lang w:val="en-GB"/>
        </w:rPr>
        <w:t> and </w:t>
      </w:r>
      <w:r w:rsidR="00E73307" w:rsidRPr="00240696">
        <w:rPr>
          <w:rFonts w:ascii="Arial" w:hAnsi="Arial" w:cs="Arial"/>
          <w:i/>
          <w:iCs/>
          <w:sz w:val="24"/>
          <w:szCs w:val="24"/>
          <w:lang w:val="en-GB"/>
        </w:rPr>
        <w:t>Breitenbach v Fiat SA</w:t>
      </w:r>
      <w:r w:rsidR="00E73307" w:rsidRPr="00240696">
        <w:rPr>
          <w:rFonts w:ascii="Arial" w:hAnsi="Arial" w:cs="Arial"/>
          <w:sz w:val="24"/>
          <w:szCs w:val="24"/>
          <w:lang w:val="en-GB"/>
        </w:rPr>
        <w:t>.</w:t>
      </w:r>
      <w:r w:rsidR="00E73307" w:rsidRPr="00E73307">
        <w:rPr>
          <w:vertAlign w:val="superscript"/>
          <w:lang w:val="en-GB"/>
        </w:rPr>
        <w:footnoteReference w:id="9"/>
      </w:r>
    </w:p>
    <w:p w14:paraId="51590554" w14:textId="77777777" w:rsidR="00F02FD1" w:rsidRPr="00F02FD1" w:rsidRDefault="00F02FD1" w:rsidP="00F02FD1">
      <w:pPr>
        <w:spacing w:after="0" w:line="360" w:lineRule="auto"/>
        <w:jc w:val="both"/>
        <w:rPr>
          <w:rFonts w:ascii="Arial" w:hAnsi="Arial" w:cs="Arial"/>
          <w:sz w:val="24"/>
          <w:szCs w:val="24"/>
          <w:lang w:val="en-GB"/>
        </w:rPr>
      </w:pPr>
    </w:p>
    <w:p w14:paraId="5F2E52BD" w14:textId="25006E76" w:rsidR="00EE4CFC" w:rsidRPr="00240696" w:rsidRDefault="00240696" w:rsidP="00240696">
      <w:pPr>
        <w:spacing w:after="0" w:line="360" w:lineRule="auto"/>
        <w:jc w:val="both"/>
        <w:rPr>
          <w:rFonts w:ascii="Arial" w:hAnsi="Arial" w:cs="Arial"/>
          <w:sz w:val="24"/>
          <w:szCs w:val="24"/>
          <w:lang w:val="en-GB"/>
        </w:rPr>
      </w:pPr>
      <w:r>
        <w:rPr>
          <w:rFonts w:ascii="Arial" w:hAnsi="Arial" w:cs="Arial"/>
          <w:sz w:val="24"/>
          <w:szCs w:val="24"/>
          <w:lang w:val="en-GB"/>
        </w:rPr>
        <w:t>[29]</w:t>
      </w:r>
      <w:r>
        <w:rPr>
          <w:rFonts w:ascii="Arial" w:hAnsi="Arial" w:cs="Arial"/>
          <w:sz w:val="24"/>
          <w:szCs w:val="24"/>
          <w:lang w:val="en-GB"/>
        </w:rPr>
        <w:tab/>
      </w:r>
      <w:r w:rsidR="00E73307" w:rsidRPr="00240696">
        <w:rPr>
          <w:rFonts w:ascii="Arial" w:hAnsi="Arial" w:cs="Arial"/>
          <w:sz w:val="24"/>
          <w:szCs w:val="24"/>
          <w:lang w:val="en-GB"/>
        </w:rPr>
        <w:t>The requirement seems to be relaxed to a certain extent as it is not rigorous </w:t>
      </w:r>
      <w:r w:rsidR="00E73307" w:rsidRPr="00240696">
        <w:rPr>
          <w:rFonts w:ascii="Arial" w:hAnsi="Arial" w:cs="Arial"/>
          <w:i/>
          <w:iCs/>
          <w:sz w:val="24"/>
          <w:szCs w:val="24"/>
          <w:lang w:val="en-GB"/>
        </w:rPr>
        <w:t>per se,</w:t>
      </w:r>
      <w:r w:rsidR="00E73307" w:rsidRPr="00240696">
        <w:rPr>
          <w:rFonts w:ascii="Arial" w:hAnsi="Arial" w:cs="Arial"/>
          <w:sz w:val="24"/>
          <w:szCs w:val="24"/>
          <w:lang w:val="en-GB"/>
        </w:rPr>
        <w:t> but, is designed to enable a genuine respondent to defend a claim which otherwise would result in applicants’ obtaining judgment under circumstances where respondent had a genuine defence. The need for clarity on defendant’s part is designed to avoid the entry of intention to defend an action solely to delay an otherwise just claim by plaintiff/applicant.</w:t>
      </w:r>
    </w:p>
    <w:p w14:paraId="0F28F3BB" w14:textId="77777777" w:rsidR="00EE4CFC" w:rsidRDefault="00EE4CFC" w:rsidP="00EE4CFC">
      <w:pPr>
        <w:pStyle w:val="ListParagraph"/>
        <w:spacing w:after="0" w:line="360" w:lineRule="auto"/>
        <w:ind w:left="0"/>
        <w:jc w:val="both"/>
        <w:rPr>
          <w:rFonts w:ascii="Arial" w:hAnsi="Arial" w:cs="Arial"/>
          <w:sz w:val="24"/>
          <w:szCs w:val="24"/>
          <w:lang w:val="en-GB"/>
        </w:rPr>
      </w:pPr>
    </w:p>
    <w:p w14:paraId="311B02F5" w14:textId="46B137A4" w:rsidR="00E73307" w:rsidRPr="00240696" w:rsidRDefault="00240696" w:rsidP="00240696">
      <w:pPr>
        <w:spacing w:after="0" w:line="360" w:lineRule="auto"/>
        <w:jc w:val="both"/>
        <w:rPr>
          <w:rFonts w:ascii="Arial" w:hAnsi="Arial" w:cs="Arial"/>
          <w:sz w:val="24"/>
          <w:szCs w:val="24"/>
          <w:lang w:val="en-GB"/>
        </w:rPr>
      </w:pPr>
      <w:r w:rsidRPr="00EE4CFC">
        <w:rPr>
          <w:rFonts w:ascii="Arial" w:hAnsi="Arial" w:cs="Arial"/>
          <w:sz w:val="24"/>
          <w:szCs w:val="24"/>
          <w:lang w:val="en-GB"/>
        </w:rPr>
        <w:t>[30]</w:t>
      </w:r>
      <w:r w:rsidRPr="00EE4CFC">
        <w:rPr>
          <w:rFonts w:ascii="Arial" w:hAnsi="Arial" w:cs="Arial"/>
          <w:sz w:val="24"/>
          <w:szCs w:val="24"/>
          <w:lang w:val="en-GB"/>
        </w:rPr>
        <w:tab/>
      </w:r>
      <w:r w:rsidR="00E73307" w:rsidRPr="00240696">
        <w:rPr>
          <w:rFonts w:ascii="Arial" w:hAnsi="Arial" w:cs="Arial"/>
          <w:sz w:val="24"/>
          <w:szCs w:val="24"/>
          <w:lang w:val="en-GB"/>
        </w:rPr>
        <w:t>For that reason, these courts will always seriously consider the granting of a summary judgment and will only do so where a proper case has been made out by applicants. The above principle has been applied in many cases, see also </w:t>
      </w:r>
      <w:r w:rsidR="00E73307" w:rsidRPr="00240696">
        <w:rPr>
          <w:rFonts w:ascii="Arial" w:hAnsi="Arial" w:cs="Arial"/>
          <w:i/>
          <w:iCs/>
          <w:sz w:val="24"/>
          <w:szCs w:val="24"/>
          <w:lang w:val="en-GB"/>
        </w:rPr>
        <w:t>Crede v Standard Bank of South Africa Ltd</w:t>
      </w:r>
      <w:r w:rsidR="00E73307" w:rsidRPr="00240696">
        <w:rPr>
          <w:rFonts w:ascii="Arial" w:hAnsi="Arial" w:cs="Arial"/>
          <w:sz w:val="24"/>
          <w:szCs w:val="24"/>
          <w:lang w:val="en-GB"/>
        </w:rPr>
        <w:t> </w:t>
      </w:r>
      <w:r w:rsidR="00E73307" w:rsidRPr="00E73307">
        <w:rPr>
          <w:vertAlign w:val="superscript"/>
          <w:lang w:val="en-GB"/>
        </w:rPr>
        <w:footnoteReference w:id="10"/>
      </w:r>
      <w:r w:rsidR="00E73307" w:rsidRPr="00240696">
        <w:rPr>
          <w:rFonts w:ascii="Arial" w:hAnsi="Arial" w:cs="Arial"/>
          <w:sz w:val="24"/>
          <w:szCs w:val="24"/>
          <w:lang w:val="en-GB"/>
        </w:rPr>
        <w:t xml:space="preserve"> where Kannemeyer, J remarked:</w:t>
      </w:r>
    </w:p>
    <w:p w14:paraId="744D496B" w14:textId="77777777" w:rsidR="00F072A7" w:rsidRPr="00E73307" w:rsidRDefault="00F072A7" w:rsidP="00F072A7">
      <w:pPr>
        <w:spacing w:after="0" w:line="360" w:lineRule="auto"/>
        <w:jc w:val="both"/>
        <w:rPr>
          <w:rFonts w:ascii="Arial" w:hAnsi="Arial" w:cs="Arial"/>
          <w:sz w:val="24"/>
          <w:szCs w:val="24"/>
          <w:lang w:val="en-GB"/>
        </w:rPr>
      </w:pPr>
    </w:p>
    <w:p w14:paraId="54067499" w14:textId="77777777" w:rsidR="00184C3A" w:rsidRDefault="00E73307" w:rsidP="00F072A7">
      <w:pPr>
        <w:spacing w:after="0" w:line="360" w:lineRule="auto"/>
        <w:ind w:firstLine="720"/>
        <w:jc w:val="both"/>
        <w:rPr>
          <w:rFonts w:ascii="Arial" w:hAnsi="Arial" w:cs="Arial"/>
          <w:lang w:val="en-GB"/>
        </w:rPr>
      </w:pPr>
      <w:r w:rsidRPr="0026289D">
        <w:rPr>
          <w:rFonts w:ascii="Arial" w:hAnsi="Arial" w:cs="Arial"/>
          <w:sz w:val="24"/>
          <w:szCs w:val="24"/>
          <w:lang w:val="en-GB"/>
        </w:rPr>
        <w:t>‘</w:t>
      </w:r>
      <w:r w:rsidRPr="00F072A7">
        <w:rPr>
          <w:rFonts w:ascii="Arial" w:hAnsi="Arial" w:cs="Arial"/>
          <w:iCs/>
          <w:lang w:val="en-GB"/>
        </w:rPr>
        <w:t>One must bear in mind that the granting of summary judgment is an extraordinary and drastic remedy based upon the supposition that the plaintiff/applicant’s claim is unimpeachable and that the defendant’s defence is bogus or bad in law.</w:t>
      </w:r>
      <w:r w:rsidR="00F072A7" w:rsidRPr="00F072A7">
        <w:rPr>
          <w:rFonts w:ascii="Arial" w:hAnsi="Arial" w:cs="Arial"/>
          <w:lang w:val="en-GB"/>
        </w:rPr>
        <w:t>’</w:t>
      </w:r>
    </w:p>
    <w:p w14:paraId="16B3EC9F" w14:textId="77777777" w:rsidR="00F072A7" w:rsidRPr="00F072A7" w:rsidRDefault="00F072A7" w:rsidP="00F072A7">
      <w:pPr>
        <w:spacing w:after="0" w:line="360" w:lineRule="auto"/>
        <w:ind w:firstLine="720"/>
        <w:jc w:val="both"/>
        <w:rPr>
          <w:rFonts w:ascii="Arial" w:hAnsi="Arial" w:cs="Arial"/>
          <w:lang w:val="en-GB"/>
        </w:rPr>
      </w:pPr>
    </w:p>
    <w:p w14:paraId="0F895DD7" w14:textId="4F8511C3" w:rsidR="00184C3A" w:rsidRPr="00240696" w:rsidRDefault="00240696" w:rsidP="00240696">
      <w:pPr>
        <w:spacing w:after="0" w:line="360" w:lineRule="auto"/>
        <w:jc w:val="both"/>
        <w:rPr>
          <w:rFonts w:ascii="Arial" w:hAnsi="Arial" w:cs="Arial"/>
          <w:sz w:val="24"/>
          <w:szCs w:val="24"/>
        </w:rPr>
      </w:pPr>
      <w:r w:rsidRPr="00EE4CFC">
        <w:rPr>
          <w:rFonts w:ascii="Arial" w:hAnsi="Arial" w:cs="Arial"/>
          <w:sz w:val="24"/>
          <w:szCs w:val="24"/>
        </w:rPr>
        <w:t>[31]</w:t>
      </w:r>
      <w:r w:rsidRPr="00EE4CFC">
        <w:rPr>
          <w:rFonts w:ascii="Arial" w:hAnsi="Arial" w:cs="Arial"/>
          <w:sz w:val="24"/>
          <w:szCs w:val="24"/>
        </w:rPr>
        <w:tab/>
      </w:r>
      <w:r w:rsidR="007A3658" w:rsidRPr="00240696">
        <w:rPr>
          <w:rFonts w:ascii="Arial" w:hAnsi="Arial" w:cs="Arial"/>
          <w:sz w:val="24"/>
          <w:szCs w:val="24"/>
        </w:rPr>
        <w:t>Regarding the question of personal knowledge, it is a clear requirement that the deponent of the affidavit</w:t>
      </w:r>
      <w:r w:rsidR="00F072A7" w:rsidRPr="00240696">
        <w:rPr>
          <w:rFonts w:ascii="Arial" w:hAnsi="Arial" w:cs="Arial"/>
          <w:sz w:val="24"/>
          <w:szCs w:val="24"/>
        </w:rPr>
        <w:t xml:space="preserve"> in support of the summary judg</w:t>
      </w:r>
      <w:r w:rsidR="007A3658" w:rsidRPr="00240696">
        <w:rPr>
          <w:rFonts w:ascii="Arial" w:hAnsi="Arial" w:cs="Arial"/>
          <w:sz w:val="24"/>
          <w:szCs w:val="24"/>
        </w:rPr>
        <w:t xml:space="preserve">ment application must have personal knowledge of the facts on which the plaintiff’s cause of action is based and of </w:t>
      </w:r>
      <w:r w:rsidR="007A3658" w:rsidRPr="00240696">
        <w:rPr>
          <w:rFonts w:ascii="Arial" w:hAnsi="Arial" w:cs="Arial"/>
          <w:sz w:val="24"/>
          <w:szCs w:val="24"/>
        </w:rPr>
        <w:lastRenderedPageBreak/>
        <w:t>the amount which is being claimed.  If there is no personal knowledge, allegations of the deponent will be m</w:t>
      </w:r>
      <w:r w:rsidR="00822ED3" w:rsidRPr="00240696">
        <w:rPr>
          <w:rFonts w:ascii="Arial" w:hAnsi="Arial" w:cs="Arial"/>
          <w:sz w:val="24"/>
          <w:szCs w:val="24"/>
        </w:rPr>
        <w:t>ere hear</w:t>
      </w:r>
      <w:r w:rsidR="00F072A7" w:rsidRPr="00240696">
        <w:rPr>
          <w:rFonts w:ascii="Arial" w:hAnsi="Arial" w:cs="Arial"/>
          <w:sz w:val="24"/>
          <w:szCs w:val="24"/>
        </w:rPr>
        <w:t>say. (See Summary Judg</w:t>
      </w:r>
      <w:r w:rsidR="007A3658" w:rsidRPr="00240696">
        <w:rPr>
          <w:rFonts w:ascii="Arial" w:hAnsi="Arial" w:cs="Arial"/>
          <w:sz w:val="24"/>
          <w:szCs w:val="24"/>
        </w:rPr>
        <w:t>ment, A practical Guide by Van Niekerk, Geyer and Mundell at 5 – 9)</w:t>
      </w:r>
      <w:r w:rsidR="00F072A7" w:rsidRPr="00240696">
        <w:rPr>
          <w:rFonts w:ascii="Arial" w:hAnsi="Arial" w:cs="Arial"/>
          <w:sz w:val="24"/>
          <w:szCs w:val="24"/>
        </w:rPr>
        <w:t>.</w:t>
      </w:r>
      <w:r w:rsidR="007A3658">
        <w:rPr>
          <w:rStyle w:val="FootnoteReference"/>
          <w:rFonts w:ascii="Arial" w:hAnsi="Arial" w:cs="Arial"/>
          <w:sz w:val="24"/>
          <w:szCs w:val="24"/>
        </w:rPr>
        <w:footnoteReference w:id="11"/>
      </w:r>
    </w:p>
    <w:p w14:paraId="23E1BEEC" w14:textId="77777777" w:rsidR="00F072A7" w:rsidRDefault="00F072A7" w:rsidP="00F072A7">
      <w:pPr>
        <w:spacing w:after="0" w:line="360" w:lineRule="auto"/>
        <w:jc w:val="both"/>
        <w:rPr>
          <w:rFonts w:ascii="Arial" w:hAnsi="Arial" w:cs="Arial"/>
          <w:sz w:val="24"/>
          <w:szCs w:val="24"/>
        </w:rPr>
      </w:pPr>
    </w:p>
    <w:p w14:paraId="266637F5" w14:textId="77777777" w:rsidR="00F072A7" w:rsidRDefault="0026289D" w:rsidP="00F072A7">
      <w:pPr>
        <w:spacing w:after="0" w:line="360" w:lineRule="auto"/>
        <w:jc w:val="both"/>
        <w:rPr>
          <w:rFonts w:ascii="Arial" w:hAnsi="Arial" w:cs="Arial"/>
          <w:sz w:val="24"/>
          <w:szCs w:val="24"/>
          <w:u w:val="single"/>
        </w:rPr>
      </w:pPr>
      <w:r w:rsidRPr="0026289D">
        <w:rPr>
          <w:rFonts w:ascii="Arial" w:hAnsi="Arial" w:cs="Arial"/>
          <w:sz w:val="24"/>
          <w:szCs w:val="24"/>
          <w:u w:val="single"/>
        </w:rPr>
        <w:t>Conclusion</w:t>
      </w:r>
    </w:p>
    <w:p w14:paraId="3A7D6BC6" w14:textId="77777777" w:rsidR="00F072A7" w:rsidRPr="0026289D" w:rsidRDefault="00F072A7" w:rsidP="00F072A7">
      <w:pPr>
        <w:spacing w:after="0" w:line="360" w:lineRule="auto"/>
        <w:jc w:val="both"/>
        <w:rPr>
          <w:rFonts w:ascii="Arial" w:hAnsi="Arial" w:cs="Arial"/>
          <w:sz w:val="24"/>
          <w:szCs w:val="24"/>
          <w:u w:val="single"/>
        </w:rPr>
      </w:pPr>
    </w:p>
    <w:p w14:paraId="789C667D" w14:textId="1D5AC2DC" w:rsidR="00EE4CFC" w:rsidRPr="00240696" w:rsidRDefault="00240696" w:rsidP="00240696">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26289D" w:rsidRPr="00240696">
        <w:rPr>
          <w:rFonts w:ascii="Arial" w:hAnsi="Arial" w:cs="Arial"/>
          <w:sz w:val="24"/>
          <w:szCs w:val="24"/>
        </w:rPr>
        <w:t>It is therefore</w:t>
      </w:r>
      <w:r w:rsidR="00822ED3" w:rsidRPr="00240696">
        <w:rPr>
          <w:rFonts w:ascii="Arial" w:hAnsi="Arial" w:cs="Arial"/>
          <w:sz w:val="24"/>
          <w:szCs w:val="24"/>
        </w:rPr>
        <w:t>,</w:t>
      </w:r>
      <w:r w:rsidR="0026289D" w:rsidRPr="00240696">
        <w:rPr>
          <w:rFonts w:ascii="Arial" w:hAnsi="Arial" w:cs="Arial"/>
          <w:sz w:val="24"/>
          <w:szCs w:val="24"/>
        </w:rPr>
        <w:t xml:space="preserve"> clear that not only were there no proper engagement under rule 32(9) of the High Court Rules</w:t>
      </w:r>
      <w:r w:rsidR="00822ED3" w:rsidRPr="00240696">
        <w:rPr>
          <w:rFonts w:ascii="Arial" w:hAnsi="Arial" w:cs="Arial"/>
          <w:sz w:val="24"/>
          <w:szCs w:val="24"/>
        </w:rPr>
        <w:t>,</w:t>
      </w:r>
      <w:r w:rsidR="0026289D" w:rsidRPr="00240696">
        <w:rPr>
          <w:rFonts w:ascii="Arial" w:hAnsi="Arial" w:cs="Arial"/>
          <w:sz w:val="24"/>
          <w:szCs w:val="24"/>
        </w:rPr>
        <w:t xml:space="preserve"> but the affidavit acc</w:t>
      </w:r>
      <w:r w:rsidR="006414AA" w:rsidRPr="00240696">
        <w:rPr>
          <w:rFonts w:ascii="Arial" w:hAnsi="Arial" w:cs="Arial"/>
          <w:sz w:val="24"/>
          <w:szCs w:val="24"/>
        </w:rPr>
        <w:t>ompanying the summary judg</w:t>
      </w:r>
      <w:r w:rsidR="0026289D" w:rsidRPr="00240696">
        <w:rPr>
          <w:rFonts w:ascii="Arial" w:hAnsi="Arial" w:cs="Arial"/>
          <w:sz w:val="24"/>
          <w:szCs w:val="24"/>
        </w:rPr>
        <w:t>ment application does not show how the deponent had personal knowledge of the monies owed and how she obtained this information</w:t>
      </w:r>
      <w:r w:rsidR="005C2509" w:rsidRPr="00240696">
        <w:rPr>
          <w:rFonts w:ascii="Arial" w:hAnsi="Arial" w:cs="Arial"/>
          <w:sz w:val="24"/>
          <w:szCs w:val="24"/>
        </w:rPr>
        <w:t xml:space="preserve">. </w:t>
      </w:r>
    </w:p>
    <w:p w14:paraId="2314C844" w14:textId="77777777" w:rsidR="00EE4CFC" w:rsidRDefault="00EE4CFC" w:rsidP="00EE4CFC">
      <w:pPr>
        <w:pStyle w:val="ListParagraph"/>
        <w:spacing w:after="0" w:line="360" w:lineRule="auto"/>
        <w:ind w:left="0"/>
        <w:jc w:val="both"/>
        <w:rPr>
          <w:rFonts w:ascii="Arial" w:hAnsi="Arial" w:cs="Arial"/>
          <w:sz w:val="24"/>
          <w:szCs w:val="24"/>
        </w:rPr>
      </w:pPr>
    </w:p>
    <w:p w14:paraId="6F53A01B" w14:textId="4077ED32" w:rsidR="00184C3A" w:rsidRPr="00240696" w:rsidRDefault="00240696" w:rsidP="00240696">
      <w:pPr>
        <w:spacing w:after="0" w:line="360" w:lineRule="auto"/>
        <w:jc w:val="both"/>
        <w:rPr>
          <w:rFonts w:ascii="Arial" w:hAnsi="Arial" w:cs="Arial"/>
          <w:sz w:val="24"/>
          <w:szCs w:val="24"/>
        </w:rPr>
      </w:pPr>
      <w:r w:rsidRPr="00EE4CFC">
        <w:rPr>
          <w:rFonts w:ascii="Arial" w:hAnsi="Arial" w:cs="Arial"/>
          <w:sz w:val="24"/>
          <w:szCs w:val="24"/>
        </w:rPr>
        <w:t>[33]</w:t>
      </w:r>
      <w:r w:rsidRPr="00EE4CFC">
        <w:rPr>
          <w:rFonts w:ascii="Arial" w:hAnsi="Arial" w:cs="Arial"/>
          <w:sz w:val="24"/>
          <w:szCs w:val="24"/>
        </w:rPr>
        <w:tab/>
      </w:r>
      <w:r w:rsidR="00184C3A" w:rsidRPr="00240696">
        <w:rPr>
          <w:rFonts w:ascii="Arial" w:hAnsi="Arial" w:cs="Arial"/>
          <w:sz w:val="24"/>
          <w:szCs w:val="24"/>
        </w:rPr>
        <w:t>In the result, I make the following order:</w:t>
      </w:r>
    </w:p>
    <w:p w14:paraId="76322FFB" w14:textId="77777777" w:rsidR="0026289D" w:rsidRPr="00D9070C" w:rsidRDefault="00F072A7" w:rsidP="00184C3A">
      <w:pPr>
        <w:spacing w:line="360" w:lineRule="auto"/>
        <w:jc w:val="both"/>
        <w:rPr>
          <w:rFonts w:ascii="Arial" w:hAnsi="Arial" w:cs="Arial"/>
          <w:sz w:val="24"/>
          <w:szCs w:val="24"/>
        </w:rPr>
      </w:pPr>
      <w:r>
        <w:rPr>
          <w:rFonts w:ascii="Arial" w:hAnsi="Arial" w:cs="Arial"/>
          <w:sz w:val="24"/>
          <w:szCs w:val="24"/>
        </w:rPr>
        <w:t>The summary judg</w:t>
      </w:r>
      <w:r w:rsidR="0026289D">
        <w:rPr>
          <w:rFonts w:ascii="Arial" w:hAnsi="Arial" w:cs="Arial"/>
          <w:sz w:val="24"/>
          <w:szCs w:val="24"/>
        </w:rPr>
        <w:t>ment application is dismissed with costs, such costs to include the costs of one instructed and one instructing counsel.</w:t>
      </w:r>
    </w:p>
    <w:p w14:paraId="7E6799E7" w14:textId="77777777" w:rsidR="00184C3A" w:rsidRDefault="00184C3A" w:rsidP="006414AA">
      <w:pPr>
        <w:spacing w:after="0" w:line="360" w:lineRule="auto"/>
        <w:rPr>
          <w:rFonts w:ascii="Arial" w:hAnsi="Arial" w:cs="Arial"/>
          <w:sz w:val="24"/>
          <w:szCs w:val="24"/>
        </w:rPr>
      </w:pPr>
    </w:p>
    <w:p w14:paraId="67883E82" w14:textId="77777777" w:rsidR="00F02FD1" w:rsidRDefault="00F02FD1" w:rsidP="006414AA">
      <w:pPr>
        <w:spacing w:after="0" w:line="360" w:lineRule="auto"/>
        <w:rPr>
          <w:rFonts w:ascii="Arial" w:hAnsi="Arial" w:cs="Arial"/>
          <w:sz w:val="24"/>
          <w:szCs w:val="24"/>
        </w:rPr>
      </w:pPr>
    </w:p>
    <w:p w14:paraId="70D2EA59" w14:textId="77777777" w:rsidR="00F02FD1" w:rsidRDefault="00F02FD1" w:rsidP="006414AA">
      <w:pPr>
        <w:spacing w:after="0" w:line="360" w:lineRule="auto"/>
        <w:rPr>
          <w:rFonts w:ascii="Arial" w:hAnsi="Arial" w:cs="Arial"/>
          <w:sz w:val="24"/>
          <w:szCs w:val="24"/>
        </w:rPr>
      </w:pPr>
    </w:p>
    <w:p w14:paraId="66755277" w14:textId="77777777" w:rsidR="00EE4CFC" w:rsidRPr="00D9070C" w:rsidRDefault="00EE4CFC" w:rsidP="006414AA">
      <w:pPr>
        <w:spacing w:after="0" w:line="360" w:lineRule="auto"/>
        <w:rPr>
          <w:rFonts w:ascii="Arial" w:hAnsi="Arial" w:cs="Arial"/>
          <w:sz w:val="24"/>
          <w:szCs w:val="24"/>
        </w:rPr>
      </w:pPr>
    </w:p>
    <w:p w14:paraId="3DE97C11" w14:textId="77777777" w:rsidR="00184C3A" w:rsidRPr="00D9070C" w:rsidRDefault="00184C3A" w:rsidP="00184C3A">
      <w:pPr>
        <w:spacing w:after="0" w:line="360" w:lineRule="auto"/>
        <w:jc w:val="right"/>
        <w:rPr>
          <w:rFonts w:ascii="Arial" w:hAnsi="Arial" w:cs="Arial"/>
          <w:sz w:val="24"/>
          <w:szCs w:val="24"/>
        </w:rPr>
      </w:pPr>
      <w:r w:rsidRPr="00D9070C">
        <w:rPr>
          <w:rFonts w:ascii="Arial" w:hAnsi="Arial" w:cs="Arial"/>
          <w:sz w:val="24"/>
          <w:szCs w:val="24"/>
        </w:rPr>
        <w:t>----------------------------------</w:t>
      </w:r>
    </w:p>
    <w:p w14:paraId="4149740A" w14:textId="77777777" w:rsidR="00184C3A" w:rsidRPr="00D9070C" w:rsidRDefault="009758C6" w:rsidP="00184C3A">
      <w:pPr>
        <w:spacing w:after="0" w:line="360" w:lineRule="auto"/>
        <w:jc w:val="right"/>
        <w:rPr>
          <w:rFonts w:ascii="Arial" w:hAnsi="Arial" w:cs="Arial"/>
          <w:sz w:val="24"/>
          <w:szCs w:val="24"/>
        </w:rPr>
      </w:pPr>
      <w:r>
        <w:rPr>
          <w:rFonts w:ascii="Arial" w:hAnsi="Arial" w:cs="Arial"/>
          <w:sz w:val="24"/>
          <w:szCs w:val="24"/>
        </w:rPr>
        <w:t>E  RAKOW</w:t>
      </w:r>
    </w:p>
    <w:p w14:paraId="39F571A2" w14:textId="77777777" w:rsidR="00F072A7" w:rsidRPr="00DB4427" w:rsidRDefault="00184C3A" w:rsidP="00DB4427">
      <w:pPr>
        <w:spacing w:after="0" w:line="360" w:lineRule="auto"/>
        <w:jc w:val="right"/>
        <w:rPr>
          <w:rFonts w:ascii="Arial" w:hAnsi="Arial" w:cs="Arial"/>
          <w:sz w:val="24"/>
          <w:szCs w:val="24"/>
        </w:rPr>
      </w:pPr>
      <w:r w:rsidRPr="00D9070C">
        <w:rPr>
          <w:rFonts w:ascii="Arial" w:hAnsi="Arial" w:cs="Arial"/>
          <w:sz w:val="24"/>
          <w:szCs w:val="24"/>
        </w:rPr>
        <w:t>Judge</w:t>
      </w:r>
    </w:p>
    <w:p w14:paraId="18153111" w14:textId="77777777" w:rsidR="00F072A7" w:rsidRDefault="00F072A7" w:rsidP="00184C3A">
      <w:pPr>
        <w:autoSpaceDE w:val="0"/>
        <w:autoSpaceDN w:val="0"/>
        <w:adjustRightInd w:val="0"/>
        <w:spacing w:after="0" w:line="360" w:lineRule="auto"/>
        <w:jc w:val="both"/>
        <w:rPr>
          <w:rFonts w:ascii="Arial" w:eastAsia="Times New Roman" w:hAnsi="Arial" w:cs="Arial"/>
          <w:sz w:val="24"/>
          <w:szCs w:val="24"/>
          <w:lang w:val="en-GB"/>
        </w:rPr>
      </w:pPr>
    </w:p>
    <w:p w14:paraId="00080B28" w14:textId="77777777" w:rsidR="00F072A7" w:rsidRDefault="00F072A7" w:rsidP="00EE4CFC">
      <w:pPr>
        <w:autoSpaceDE w:val="0"/>
        <w:autoSpaceDN w:val="0"/>
        <w:adjustRightInd w:val="0"/>
        <w:spacing w:after="0" w:line="360" w:lineRule="auto"/>
        <w:ind w:firstLine="720"/>
        <w:jc w:val="both"/>
        <w:rPr>
          <w:rFonts w:ascii="Arial" w:eastAsia="Times New Roman" w:hAnsi="Arial" w:cs="Arial"/>
          <w:sz w:val="24"/>
          <w:szCs w:val="24"/>
          <w:u w:val="single"/>
          <w:lang w:val="en-GB"/>
        </w:rPr>
      </w:pPr>
    </w:p>
    <w:p w14:paraId="4FA0B6ED" w14:textId="77777777" w:rsidR="00EE4CFC" w:rsidRDefault="00EE4CFC" w:rsidP="00EE4CFC">
      <w:pPr>
        <w:autoSpaceDE w:val="0"/>
        <w:autoSpaceDN w:val="0"/>
        <w:adjustRightInd w:val="0"/>
        <w:spacing w:after="0" w:line="360" w:lineRule="auto"/>
        <w:ind w:firstLine="720"/>
        <w:jc w:val="both"/>
        <w:rPr>
          <w:rFonts w:ascii="Arial" w:eastAsia="Times New Roman" w:hAnsi="Arial" w:cs="Arial"/>
          <w:sz w:val="24"/>
          <w:szCs w:val="24"/>
          <w:u w:val="single"/>
          <w:lang w:val="en-GB"/>
        </w:rPr>
      </w:pPr>
    </w:p>
    <w:p w14:paraId="6396812E" w14:textId="77777777" w:rsidR="00EE4CFC" w:rsidRDefault="00EE4CFC" w:rsidP="00EE4CFC">
      <w:pPr>
        <w:autoSpaceDE w:val="0"/>
        <w:autoSpaceDN w:val="0"/>
        <w:adjustRightInd w:val="0"/>
        <w:spacing w:after="0" w:line="360" w:lineRule="auto"/>
        <w:ind w:firstLine="720"/>
        <w:jc w:val="both"/>
        <w:rPr>
          <w:rFonts w:ascii="Arial" w:eastAsia="Times New Roman" w:hAnsi="Arial" w:cs="Arial"/>
          <w:sz w:val="24"/>
          <w:szCs w:val="24"/>
          <w:u w:val="single"/>
          <w:lang w:val="en-GB"/>
        </w:rPr>
      </w:pPr>
    </w:p>
    <w:p w14:paraId="1FE6BC72" w14:textId="77777777" w:rsidR="00EE4CFC" w:rsidRDefault="00EE4CFC" w:rsidP="00EE4CFC">
      <w:pPr>
        <w:autoSpaceDE w:val="0"/>
        <w:autoSpaceDN w:val="0"/>
        <w:adjustRightInd w:val="0"/>
        <w:spacing w:after="0" w:line="360" w:lineRule="auto"/>
        <w:ind w:firstLine="720"/>
        <w:jc w:val="both"/>
        <w:rPr>
          <w:rFonts w:ascii="Arial" w:eastAsia="Times New Roman" w:hAnsi="Arial" w:cs="Arial"/>
          <w:sz w:val="24"/>
          <w:szCs w:val="24"/>
          <w:u w:val="single"/>
          <w:lang w:val="en-GB"/>
        </w:rPr>
      </w:pPr>
    </w:p>
    <w:p w14:paraId="71D8291E" w14:textId="77777777" w:rsidR="00EE4CFC" w:rsidRDefault="00EE4CFC" w:rsidP="00EE4CFC">
      <w:pPr>
        <w:autoSpaceDE w:val="0"/>
        <w:autoSpaceDN w:val="0"/>
        <w:adjustRightInd w:val="0"/>
        <w:spacing w:after="0" w:line="360" w:lineRule="auto"/>
        <w:ind w:firstLine="720"/>
        <w:jc w:val="both"/>
        <w:rPr>
          <w:rFonts w:ascii="Arial" w:eastAsia="Times New Roman" w:hAnsi="Arial" w:cs="Arial"/>
          <w:sz w:val="24"/>
          <w:szCs w:val="24"/>
          <w:u w:val="single"/>
          <w:lang w:val="en-GB"/>
        </w:rPr>
      </w:pPr>
    </w:p>
    <w:p w14:paraId="0CAE5D96" w14:textId="77777777" w:rsidR="00EE4CFC" w:rsidRDefault="00EE4CFC" w:rsidP="00EE4CFC">
      <w:pPr>
        <w:autoSpaceDE w:val="0"/>
        <w:autoSpaceDN w:val="0"/>
        <w:adjustRightInd w:val="0"/>
        <w:spacing w:after="0" w:line="360" w:lineRule="auto"/>
        <w:ind w:firstLine="720"/>
        <w:jc w:val="both"/>
        <w:rPr>
          <w:rFonts w:ascii="Arial" w:eastAsia="Times New Roman" w:hAnsi="Arial" w:cs="Arial"/>
          <w:sz w:val="24"/>
          <w:szCs w:val="24"/>
          <w:u w:val="single"/>
          <w:lang w:val="en-GB"/>
        </w:rPr>
      </w:pPr>
    </w:p>
    <w:p w14:paraId="1848F65F" w14:textId="77777777" w:rsidR="00EE4CFC" w:rsidRDefault="00EE4CFC" w:rsidP="00EE4CFC">
      <w:pPr>
        <w:autoSpaceDE w:val="0"/>
        <w:autoSpaceDN w:val="0"/>
        <w:adjustRightInd w:val="0"/>
        <w:spacing w:after="0" w:line="360" w:lineRule="auto"/>
        <w:ind w:firstLine="720"/>
        <w:jc w:val="both"/>
        <w:rPr>
          <w:rFonts w:ascii="Arial" w:eastAsia="Times New Roman" w:hAnsi="Arial" w:cs="Arial"/>
          <w:sz w:val="24"/>
          <w:szCs w:val="24"/>
          <w:u w:val="single"/>
          <w:lang w:val="en-GB"/>
        </w:rPr>
      </w:pPr>
    </w:p>
    <w:p w14:paraId="42205ACD" w14:textId="77777777" w:rsidR="00EE4CFC" w:rsidRDefault="00EE4CFC" w:rsidP="00EE4CFC">
      <w:pPr>
        <w:autoSpaceDE w:val="0"/>
        <w:autoSpaceDN w:val="0"/>
        <w:adjustRightInd w:val="0"/>
        <w:spacing w:after="0" w:line="360" w:lineRule="auto"/>
        <w:ind w:firstLine="720"/>
        <w:jc w:val="both"/>
        <w:rPr>
          <w:rFonts w:ascii="Arial" w:eastAsia="Times New Roman" w:hAnsi="Arial" w:cs="Arial"/>
          <w:sz w:val="24"/>
          <w:szCs w:val="24"/>
          <w:u w:val="single"/>
          <w:lang w:val="en-GB"/>
        </w:rPr>
      </w:pPr>
    </w:p>
    <w:p w14:paraId="6E483E77" w14:textId="77777777" w:rsidR="00EE4CFC" w:rsidRDefault="00EE4CFC" w:rsidP="00EE4CFC">
      <w:pPr>
        <w:autoSpaceDE w:val="0"/>
        <w:autoSpaceDN w:val="0"/>
        <w:adjustRightInd w:val="0"/>
        <w:spacing w:after="0" w:line="360" w:lineRule="auto"/>
        <w:ind w:firstLine="720"/>
        <w:jc w:val="both"/>
        <w:rPr>
          <w:rFonts w:ascii="Arial" w:eastAsia="Times New Roman" w:hAnsi="Arial" w:cs="Arial"/>
          <w:sz w:val="24"/>
          <w:szCs w:val="24"/>
          <w:u w:val="single"/>
          <w:lang w:val="en-GB"/>
        </w:rPr>
      </w:pPr>
    </w:p>
    <w:p w14:paraId="64914CD2" w14:textId="77777777" w:rsidR="00EE4CFC" w:rsidRDefault="00EE4CFC" w:rsidP="00EE4CFC">
      <w:pPr>
        <w:autoSpaceDE w:val="0"/>
        <w:autoSpaceDN w:val="0"/>
        <w:adjustRightInd w:val="0"/>
        <w:spacing w:after="0" w:line="360" w:lineRule="auto"/>
        <w:ind w:firstLine="720"/>
        <w:jc w:val="both"/>
        <w:rPr>
          <w:rFonts w:ascii="Arial" w:eastAsia="Times New Roman" w:hAnsi="Arial" w:cs="Arial"/>
          <w:sz w:val="24"/>
          <w:szCs w:val="24"/>
          <w:u w:val="single"/>
          <w:lang w:val="en-GB"/>
        </w:rPr>
      </w:pPr>
    </w:p>
    <w:p w14:paraId="353CFC37" w14:textId="77777777" w:rsidR="00EE4CFC" w:rsidRPr="00EE4CFC" w:rsidRDefault="00EE4CFC" w:rsidP="00EE4CFC">
      <w:pPr>
        <w:autoSpaceDE w:val="0"/>
        <w:autoSpaceDN w:val="0"/>
        <w:adjustRightInd w:val="0"/>
        <w:spacing w:after="0" w:line="360" w:lineRule="auto"/>
        <w:ind w:firstLine="720"/>
        <w:jc w:val="both"/>
        <w:rPr>
          <w:rFonts w:ascii="Arial" w:eastAsia="Times New Roman" w:hAnsi="Arial" w:cs="Arial"/>
          <w:sz w:val="24"/>
          <w:szCs w:val="24"/>
          <w:u w:val="single"/>
          <w:lang w:val="en-GB"/>
        </w:rPr>
      </w:pPr>
    </w:p>
    <w:p w14:paraId="7FA4A158" w14:textId="77777777" w:rsidR="00184C3A" w:rsidRPr="00D9070C" w:rsidRDefault="00265600" w:rsidP="00184C3A">
      <w:pPr>
        <w:autoSpaceDE w:val="0"/>
        <w:autoSpaceDN w:val="0"/>
        <w:adjustRightInd w:val="0"/>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APPEARANCES</w:t>
      </w:r>
    </w:p>
    <w:p w14:paraId="69CEA53A" w14:textId="77777777" w:rsidR="00184C3A" w:rsidRPr="00D9070C" w:rsidRDefault="00184C3A" w:rsidP="00184C3A">
      <w:pPr>
        <w:tabs>
          <w:tab w:val="left" w:pos="1394"/>
          <w:tab w:val="left" w:pos="2528"/>
          <w:tab w:val="left" w:pos="3780"/>
        </w:tabs>
        <w:spacing w:after="0" w:line="360" w:lineRule="auto"/>
        <w:jc w:val="both"/>
        <w:rPr>
          <w:rFonts w:ascii="Arial" w:hAnsi="Arial" w:cs="Arial"/>
          <w:sz w:val="24"/>
          <w:szCs w:val="24"/>
        </w:rPr>
      </w:pPr>
    </w:p>
    <w:p w14:paraId="37A59071" w14:textId="77777777" w:rsidR="00A612E9" w:rsidRPr="00A612E9" w:rsidRDefault="00585174" w:rsidP="00A612E9">
      <w:pPr>
        <w:autoSpaceDE w:val="0"/>
        <w:autoSpaceDN w:val="0"/>
        <w:adjustRightInd w:val="0"/>
        <w:spacing w:after="0" w:line="360" w:lineRule="auto"/>
        <w:ind w:hanging="11"/>
        <w:jc w:val="both"/>
        <w:rPr>
          <w:rFonts w:ascii="Arial" w:hAnsi="Arial" w:cs="Arial"/>
          <w:sz w:val="24"/>
          <w:szCs w:val="24"/>
        </w:rPr>
      </w:pPr>
      <w:r>
        <w:rPr>
          <w:rFonts w:ascii="Arial" w:hAnsi="Arial" w:cs="Arial"/>
          <w:sz w:val="24"/>
          <w:szCs w:val="24"/>
        </w:rPr>
        <w:t>Plaintiff</w:t>
      </w:r>
      <w:r w:rsidR="00184C3A" w:rsidRPr="00D9070C">
        <w:rPr>
          <w:rFonts w:ascii="Arial" w:hAnsi="Arial" w:cs="Arial"/>
          <w:sz w:val="24"/>
          <w:szCs w:val="24"/>
        </w:rPr>
        <w:t xml:space="preserve">: </w:t>
      </w:r>
      <w:r w:rsidR="00184C3A" w:rsidRPr="00D9070C">
        <w:rPr>
          <w:rFonts w:ascii="Arial" w:hAnsi="Arial" w:cs="Arial"/>
          <w:sz w:val="24"/>
          <w:szCs w:val="24"/>
        </w:rPr>
        <w:tab/>
      </w:r>
      <w:r w:rsidRPr="00585174">
        <w:rPr>
          <w:rFonts w:ascii="Arial" w:hAnsi="Arial" w:cs="Arial"/>
          <w:sz w:val="24"/>
          <w:szCs w:val="24"/>
        </w:rPr>
        <w:t>A Van Vuuren</w:t>
      </w:r>
    </w:p>
    <w:p w14:paraId="65A307E1" w14:textId="77777777" w:rsidR="00A612E9" w:rsidRDefault="00A612E9" w:rsidP="00A612E9">
      <w:pPr>
        <w:autoSpaceDE w:val="0"/>
        <w:autoSpaceDN w:val="0"/>
        <w:adjustRightInd w:val="0"/>
        <w:spacing w:after="0" w:line="360" w:lineRule="auto"/>
        <w:ind w:hanging="11"/>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4F4D80">
        <w:rPr>
          <w:rFonts w:ascii="Arial" w:hAnsi="Arial" w:cs="Arial"/>
          <w:sz w:val="24"/>
          <w:szCs w:val="24"/>
        </w:rPr>
        <w:t xml:space="preserve">Instructed by </w:t>
      </w:r>
      <w:r w:rsidR="00585174" w:rsidRPr="00585174">
        <w:rPr>
          <w:rFonts w:ascii="Arial" w:hAnsi="Arial" w:cs="Arial"/>
          <w:sz w:val="24"/>
          <w:szCs w:val="24"/>
        </w:rPr>
        <w:t>Van der Merwe-Greeff Andima Inc., Windhoek</w:t>
      </w:r>
      <w:r w:rsidR="00F072A7">
        <w:rPr>
          <w:rFonts w:ascii="Arial" w:hAnsi="Arial" w:cs="Arial"/>
          <w:sz w:val="24"/>
          <w:szCs w:val="24"/>
        </w:rPr>
        <w:t>.</w:t>
      </w:r>
    </w:p>
    <w:p w14:paraId="3A7231DC" w14:textId="77777777" w:rsidR="00585174" w:rsidRDefault="00585174" w:rsidP="00A612E9">
      <w:pPr>
        <w:autoSpaceDE w:val="0"/>
        <w:autoSpaceDN w:val="0"/>
        <w:adjustRightInd w:val="0"/>
        <w:spacing w:after="0" w:line="360" w:lineRule="auto"/>
        <w:ind w:hanging="11"/>
        <w:jc w:val="both"/>
        <w:rPr>
          <w:rFonts w:ascii="Arial" w:hAnsi="Arial" w:cs="Arial"/>
          <w:sz w:val="24"/>
          <w:szCs w:val="24"/>
        </w:rPr>
      </w:pPr>
    </w:p>
    <w:p w14:paraId="49EF86B5" w14:textId="77777777" w:rsidR="00A612E9" w:rsidRPr="00F072A7" w:rsidRDefault="00585174" w:rsidP="00A612E9">
      <w:pPr>
        <w:spacing w:after="160" w:line="259" w:lineRule="auto"/>
        <w:rPr>
          <w:rFonts w:ascii="Arial" w:hAnsi="Arial" w:cs="Arial"/>
          <w:sz w:val="24"/>
          <w:szCs w:val="24"/>
          <w:lang w:val="en-ZA"/>
        </w:rPr>
      </w:pPr>
      <w:r w:rsidRPr="00F072A7">
        <w:rPr>
          <w:rFonts w:ascii="Arial" w:hAnsi="Arial" w:cs="Arial"/>
          <w:sz w:val="24"/>
          <w:szCs w:val="24"/>
        </w:rPr>
        <w:t>Defendant</w:t>
      </w:r>
      <w:r w:rsidR="00184C3A" w:rsidRPr="00F072A7">
        <w:rPr>
          <w:rFonts w:ascii="Arial" w:hAnsi="Arial" w:cs="Arial"/>
          <w:sz w:val="24"/>
          <w:szCs w:val="24"/>
        </w:rPr>
        <w:t>:</w:t>
      </w:r>
      <w:r w:rsidR="00BC0826" w:rsidRPr="00F072A7">
        <w:rPr>
          <w:rFonts w:ascii="Arial" w:hAnsi="Arial" w:cs="Arial"/>
          <w:sz w:val="24"/>
          <w:szCs w:val="24"/>
        </w:rPr>
        <w:tab/>
      </w:r>
      <w:r w:rsidRPr="00F072A7">
        <w:rPr>
          <w:rFonts w:ascii="Arial" w:hAnsi="Arial" w:cs="Arial"/>
          <w:sz w:val="24"/>
          <w:szCs w:val="24"/>
          <w:lang w:val="en-ZA"/>
        </w:rPr>
        <w:t>J Jacobus</w:t>
      </w:r>
    </w:p>
    <w:p w14:paraId="050FBA07" w14:textId="77777777" w:rsidR="00A612E9" w:rsidRPr="00F072A7" w:rsidRDefault="00A612E9" w:rsidP="00A612E9">
      <w:pPr>
        <w:spacing w:after="160" w:line="259" w:lineRule="auto"/>
        <w:rPr>
          <w:rFonts w:ascii="Arial" w:hAnsi="Arial" w:cs="Arial"/>
          <w:sz w:val="24"/>
          <w:szCs w:val="24"/>
        </w:rPr>
      </w:pPr>
      <w:r w:rsidRPr="00F072A7">
        <w:rPr>
          <w:rFonts w:ascii="Arial" w:hAnsi="Arial" w:cs="Arial"/>
          <w:sz w:val="24"/>
          <w:szCs w:val="24"/>
          <w:lang w:val="en-ZA"/>
        </w:rPr>
        <w:tab/>
      </w:r>
      <w:r w:rsidRPr="00F072A7">
        <w:rPr>
          <w:rFonts w:ascii="Arial" w:hAnsi="Arial" w:cs="Arial"/>
          <w:sz w:val="24"/>
          <w:szCs w:val="24"/>
          <w:lang w:val="en-ZA"/>
        </w:rPr>
        <w:tab/>
      </w:r>
      <w:r w:rsidR="004F4D80">
        <w:rPr>
          <w:rFonts w:ascii="Arial" w:hAnsi="Arial" w:cs="Arial"/>
          <w:sz w:val="24"/>
          <w:szCs w:val="24"/>
          <w:lang w:val="en-ZA"/>
        </w:rPr>
        <w:t xml:space="preserve">Instructed by </w:t>
      </w:r>
      <w:r w:rsidR="00585174" w:rsidRPr="00F072A7">
        <w:rPr>
          <w:rFonts w:ascii="Arial" w:hAnsi="Arial" w:cs="Arial"/>
          <w:sz w:val="24"/>
          <w:szCs w:val="24"/>
          <w:lang w:val="en-ZA"/>
        </w:rPr>
        <w:t>Behrens &amp; Pfeiffer, Windhoek</w:t>
      </w:r>
      <w:r w:rsidR="00F072A7">
        <w:rPr>
          <w:rFonts w:ascii="Arial" w:hAnsi="Arial" w:cs="Arial"/>
          <w:sz w:val="24"/>
          <w:szCs w:val="24"/>
          <w:lang w:val="en-ZA"/>
        </w:rPr>
        <w:t>.</w:t>
      </w:r>
    </w:p>
    <w:sectPr w:rsidR="00A612E9" w:rsidRPr="00F072A7" w:rsidSect="00F02FD1">
      <w:headerReference w:type="default" r:id="rId12"/>
      <w:pgSz w:w="11907" w:h="16839" w:code="9"/>
      <w:pgMar w:top="1276" w:right="1275" w:bottom="1134" w:left="1276" w:header="720" w:footer="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AE099" w14:textId="77777777" w:rsidR="009345B6" w:rsidRDefault="009345B6" w:rsidP="00CD474E">
      <w:pPr>
        <w:spacing w:after="0" w:line="240" w:lineRule="auto"/>
      </w:pPr>
      <w:r>
        <w:separator/>
      </w:r>
    </w:p>
  </w:endnote>
  <w:endnote w:type="continuationSeparator" w:id="0">
    <w:p w14:paraId="2DC02BE8" w14:textId="77777777" w:rsidR="009345B6" w:rsidRDefault="009345B6"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7D866" w14:textId="77777777" w:rsidR="009345B6" w:rsidRDefault="009345B6" w:rsidP="00CD474E">
      <w:pPr>
        <w:spacing w:after="0" w:line="240" w:lineRule="auto"/>
      </w:pPr>
      <w:r>
        <w:separator/>
      </w:r>
    </w:p>
  </w:footnote>
  <w:footnote w:type="continuationSeparator" w:id="0">
    <w:p w14:paraId="5D1CC507" w14:textId="77777777" w:rsidR="009345B6" w:rsidRDefault="009345B6" w:rsidP="00CD474E">
      <w:pPr>
        <w:spacing w:after="0" w:line="240" w:lineRule="auto"/>
      </w:pPr>
      <w:r>
        <w:continuationSeparator/>
      </w:r>
    </w:p>
  </w:footnote>
  <w:footnote w:id="1">
    <w:p w14:paraId="1F4BF2BF" w14:textId="77777777" w:rsidR="007A3658" w:rsidRPr="00D939DD" w:rsidRDefault="007A3658" w:rsidP="00B85324">
      <w:pPr>
        <w:pStyle w:val="FootnoteText"/>
        <w:rPr>
          <w:rFonts w:ascii="Arial" w:hAnsi="Arial" w:cs="Arial"/>
          <w:lang w:val="en-ZA"/>
        </w:rPr>
      </w:pPr>
      <w:r w:rsidRPr="00D939DD">
        <w:rPr>
          <w:rStyle w:val="FootnoteReference"/>
          <w:rFonts w:ascii="Arial" w:hAnsi="Arial" w:cs="Arial"/>
        </w:rPr>
        <w:footnoteRef/>
      </w:r>
      <w:r w:rsidRPr="00D939DD">
        <w:rPr>
          <w:rFonts w:ascii="Arial" w:hAnsi="Arial" w:cs="Arial"/>
        </w:rPr>
        <w:t xml:space="preserve"> </w:t>
      </w:r>
      <w:r w:rsidRPr="00B85324">
        <w:rPr>
          <w:rFonts w:ascii="Arial" w:hAnsi="Arial" w:cs="Arial"/>
          <w:i/>
        </w:rPr>
        <w:t xml:space="preserve">Bank Windhoek Limited v Benlin Investment CC </w:t>
      </w:r>
      <w:r w:rsidRPr="00D939DD">
        <w:rPr>
          <w:rFonts w:ascii="Arial" w:hAnsi="Arial" w:cs="Arial"/>
        </w:rPr>
        <w:t>(HC-MD-CIV-CON-2016/03020) [2017] NAHCMD 78 (15 March 2017)</w:t>
      </w:r>
      <w:r>
        <w:rPr>
          <w:rFonts w:ascii="Arial" w:hAnsi="Arial" w:cs="Arial"/>
        </w:rPr>
        <w:t>.</w:t>
      </w:r>
    </w:p>
  </w:footnote>
  <w:footnote w:id="2">
    <w:p w14:paraId="3FAC4DB9" w14:textId="77777777" w:rsidR="007A3658" w:rsidRDefault="007A3658">
      <w:pPr>
        <w:pStyle w:val="FootnoteText"/>
      </w:pPr>
      <w:r>
        <w:rPr>
          <w:rStyle w:val="FootnoteReference"/>
        </w:rPr>
        <w:footnoteRef/>
      </w:r>
      <w:r>
        <w:t xml:space="preserve"> </w:t>
      </w:r>
      <w:r w:rsidRPr="00F072A7">
        <w:rPr>
          <w:rFonts w:ascii="Arial" w:hAnsi="Arial" w:cs="Arial"/>
          <w:i/>
        </w:rPr>
        <w:t>Maharaj v Barclays National Bank Ltd</w:t>
      </w:r>
      <w:r w:rsidR="00F072A7">
        <w:rPr>
          <w:rFonts w:ascii="Arial" w:hAnsi="Arial" w:cs="Arial"/>
        </w:rPr>
        <w:t xml:space="preserve"> 1976 (1) SA 418 (A).</w:t>
      </w:r>
    </w:p>
  </w:footnote>
  <w:footnote w:id="3">
    <w:p w14:paraId="502E7EDC" w14:textId="77777777" w:rsidR="007A3658" w:rsidRPr="00F072A7" w:rsidRDefault="007A3658" w:rsidP="00F072A7">
      <w:pPr>
        <w:spacing w:after="0" w:line="240" w:lineRule="auto"/>
        <w:ind w:hanging="33"/>
        <w:jc w:val="both"/>
        <w:rPr>
          <w:rFonts w:ascii="Arial" w:hAnsi="Arial" w:cs="Arial"/>
          <w:lang w:val="en-ZA"/>
        </w:rPr>
      </w:pPr>
      <w:r w:rsidRPr="0026289D">
        <w:rPr>
          <w:rStyle w:val="FootnoteReference"/>
          <w:rFonts w:cstheme="minorHAnsi"/>
          <w:color w:val="000000" w:themeColor="text1"/>
        </w:rPr>
        <w:footnoteRef/>
      </w:r>
      <w:r w:rsidRPr="0026289D">
        <w:rPr>
          <w:rFonts w:cstheme="minorHAnsi"/>
          <w:color w:val="000000" w:themeColor="text1"/>
        </w:rPr>
        <w:t xml:space="preserve"> </w:t>
      </w:r>
      <w:r w:rsidRPr="00F072A7">
        <w:rPr>
          <w:rFonts w:ascii="Arial" w:hAnsi="Arial" w:cs="Arial"/>
          <w:i/>
          <w:sz w:val="20"/>
          <w:szCs w:val="20"/>
        </w:rPr>
        <w:t xml:space="preserve">Lofty-Eaton v Ramos </w:t>
      </w:r>
      <w:r w:rsidRPr="00F072A7">
        <w:rPr>
          <w:rFonts w:ascii="Arial" w:hAnsi="Arial" w:cs="Arial"/>
          <w:sz w:val="20"/>
          <w:szCs w:val="20"/>
        </w:rPr>
        <w:t>(I 1386/2013) [2013] NAHCMD 322 (08 November 2013).</w:t>
      </w:r>
    </w:p>
  </w:footnote>
  <w:footnote w:id="4">
    <w:p w14:paraId="22C590CB" w14:textId="77777777" w:rsidR="007A3658" w:rsidRPr="00F072A7" w:rsidRDefault="007A3658" w:rsidP="00F072A7">
      <w:pPr>
        <w:pStyle w:val="FootnoteText"/>
        <w:jc w:val="both"/>
        <w:rPr>
          <w:rFonts w:ascii="Arial" w:hAnsi="Arial" w:cs="Arial"/>
          <w:color w:val="000000" w:themeColor="text1"/>
          <w:lang w:val="en-ZA"/>
        </w:rPr>
      </w:pPr>
      <w:r w:rsidRPr="00F072A7">
        <w:rPr>
          <w:rStyle w:val="FootnoteReference"/>
          <w:rFonts w:ascii="Arial" w:hAnsi="Arial" w:cs="Arial"/>
          <w:color w:val="000000" w:themeColor="text1"/>
        </w:rPr>
        <w:footnoteRef/>
      </w:r>
      <w:r w:rsidRPr="00F072A7">
        <w:rPr>
          <w:rFonts w:ascii="Arial" w:hAnsi="Arial" w:cs="Arial"/>
          <w:color w:val="000000" w:themeColor="text1"/>
        </w:rPr>
        <w:t xml:space="preserve"> </w:t>
      </w:r>
      <w:r w:rsidR="0026289D" w:rsidRPr="00F072A7">
        <w:rPr>
          <w:rFonts w:ascii="Arial" w:hAnsi="Arial" w:cs="Arial"/>
          <w:i/>
          <w:color w:val="000000" w:themeColor="text1"/>
        </w:rPr>
        <w:t>Standard Bank of Namibia Ltd v Veldsman</w:t>
      </w:r>
      <w:r w:rsidR="0026289D" w:rsidRPr="00F072A7">
        <w:rPr>
          <w:rFonts w:ascii="Arial" w:hAnsi="Arial" w:cs="Arial"/>
          <w:color w:val="000000" w:themeColor="text1"/>
        </w:rPr>
        <w:t xml:space="preserve"> </w:t>
      </w:r>
      <w:r w:rsidRPr="00F072A7">
        <w:rPr>
          <w:rFonts w:ascii="Arial" w:hAnsi="Arial" w:cs="Arial"/>
          <w:color w:val="000000" w:themeColor="text1"/>
        </w:rPr>
        <w:t>1993 NR 391 (HC).</w:t>
      </w:r>
    </w:p>
  </w:footnote>
  <w:footnote w:id="5">
    <w:p w14:paraId="1050918B" w14:textId="77777777" w:rsidR="007A3658" w:rsidRPr="00F072A7" w:rsidRDefault="007A3658" w:rsidP="00F072A7">
      <w:pPr>
        <w:pStyle w:val="FootnoteText"/>
        <w:jc w:val="both"/>
        <w:rPr>
          <w:rFonts w:ascii="Arial" w:hAnsi="Arial" w:cs="Arial"/>
          <w:color w:val="FF0000"/>
          <w:lang w:val="en-ZA"/>
        </w:rPr>
      </w:pPr>
      <w:r w:rsidRPr="00F072A7">
        <w:rPr>
          <w:rStyle w:val="FootnoteReference"/>
          <w:rFonts w:ascii="Arial" w:hAnsi="Arial" w:cs="Arial"/>
          <w:color w:val="000000" w:themeColor="text1"/>
        </w:rPr>
        <w:footnoteRef/>
      </w:r>
      <w:r w:rsidRPr="00F072A7">
        <w:rPr>
          <w:rFonts w:ascii="Arial" w:hAnsi="Arial" w:cs="Arial"/>
          <w:color w:val="000000" w:themeColor="text1"/>
        </w:rPr>
        <w:t xml:space="preserve"> </w:t>
      </w:r>
      <w:r w:rsidR="0026289D" w:rsidRPr="00F072A7">
        <w:rPr>
          <w:rFonts w:ascii="Arial" w:hAnsi="Arial" w:cs="Arial"/>
          <w:i/>
          <w:color w:val="000000" w:themeColor="text1"/>
        </w:rPr>
        <w:t>Caston Ltd v Barrigo</w:t>
      </w:r>
      <w:r w:rsidR="0026289D" w:rsidRPr="00F072A7">
        <w:rPr>
          <w:rFonts w:ascii="Arial" w:hAnsi="Arial" w:cs="Arial"/>
          <w:color w:val="000000" w:themeColor="text1"/>
        </w:rPr>
        <w:t xml:space="preserve"> </w:t>
      </w:r>
      <w:r w:rsidRPr="00F072A7">
        <w:rPr>
          <w:rFonts w:ascii="Arial" w:hAnsi="Arial" w:cs="Arial"/>
          <w:color w:val="000000" w:themeColor="text1"/>
        </w:rPr>
        <w:t>1960 (4) SA I at 3H.</w:t>
      </w:r>
    </w:p>
  </w:footnote>
  <w:footnote w:id="6">
    <w:p w14:paraId="7DEC3425" w14:textId="77777777" w:rsidR="007A3658" w:rsidRPr="00F072A7" w:rsidRDefault="007A3658" w:rsidP="00F072A7">
      <w:pPr>
        <w:pStyle w:val="FootnoteText"/>
        <w:jc w:val="both"/>
        <w:rPr>
          <w:rFonts w:ascii="Arial" w:hAnsi="Arial" w:cs="Arial"/>
          <w:color w:val="000000" w:themeColor="text1"/>
          <w:lang w:val="en-ZA"/>
        </w:rPr>
      </w:pPr>
      <w:r w:rsidRPr="00F072A7">
        <w:rPr>
          <w:rStyle w:val="FootnoteReference"/>
          <w:rFonts w:ascii="Arial" w:hAnsi="Arial" w:cs="Arial"/>
          <w:color w:val="000000" w:themeColor="text1"/>
        </w:rPr>
        <w:footnoteRef/>
      </w:r>
      <w:r w:rsidRPr="00F072A7">
        <w:rPr>
          <w:rFonts w:ascii="Arial" w:hAnsi="Arial" w:cs="Arial"/>
          <w:color w:val="000000" w:themeColor="text1"/>
        </w:rPr>
        <w:t xml:space="preserve"> </w:t>
      </w:r>
      <w:r w:rsidR="0026289D" w:rsidRPr="00F072A7">
        <w:rPr>
          <w:rFonts w:ascii="Arial" w:hAnsi="Arial" w:cs="Arial"/>
          <w:i/>
          <w:iCs/>
          <w:color w:val="000000" w:themeColor="text1"/>
          <w:lang w:val="en-GB"/>
        </w:rPr>
        <w:t>Breitenbach v Fiat SA (Edms) BPK</w:t>
      </w:r>
      <w:r w:rsidR="0026289D" w:rsidRPr="00F072A7">
        <w:rPr>
          <w:rFonts w:ascii="Arial" w:hAnsi="Arial" w:cs="Arial"/>
          <w:color w:val="000000" w:themeColor="text1"/>
        </w:rPr>
        <w:t xml:space="preserve"> </w:t>
      </w:r>
      <w:r w:rsidRPr="00F072A7">
        <w:rPr>
          <w:rFonts w:ascii="Arial" w:hAnsi="Arial" w:cs="Arial"/>
          <w:color w:val="000000" w:themeColor="text1"/>
        </w:rPr>
        <w:t>1976 (2) SA 226 (T) at 228 B-C.</w:t>
      </w:r>
    </w:p>
  </w:footnote>
  <w:footnote w:id="7">
    <w:p w14:paraId="6999678D" w14:textId="77777777" w:rsidR="007A3658" w:rsidRPr="00F072A7" w:rsidRDefault="007A3658" w:rsidP="00F072A7">
      <w:pPr>
        <w:pStyle w:val="FootnoteText"/>
        <w:jc w:val="both"/>
        <w:rPr>
          <w:rFonts w:ascii="Arial" w:hAnsi="Arial" w:cs="Arial"/>
          <w:color w:val="000000" w:themeColor="text1"/>
          <w:lang w:val="en-ZA"/>
        </w:rPr>
      </w:pPr>
      <w:r w:rsidRPr="00F072A7">
        <w:rPr>
          <w:rStyle w:val="FootnoteReference"/>
          <w:rFonts w:ascii="Arial" w:hAnsi="Arial" w:cs="Arial"/>
          <w:color w:val="000000" w:themeColor="text1"/>
        </w:rPr>
        <w:footnoteRef/>
      </w:r>
      <w:r w:rsidR="0026289D" w:rsidRPr="00F072A7">
        <w:rPr>
          <w:rFonts w:ascii="Arial" w:hAnsi="Arial" w:cs="Arial"/>
          <w:i/>
          <w:color w:val="000000" w:themeColor="text1"/>
          <w:lang w:val="en-GB"/>
        </w:rPr>
        <w:t>Namibia Breweries Ltd v Marina Nenzo Serrao</w:t>
      </w:r>
      <w:r w:rsidRPr="00F072A7">
        <w:rPr>
          <w:rFonts w:ascii="Arial" w:hAnsi="Arial" w:cs="Arial"/>
          <w:color w:val="000000" w:themeColor="text1"/>
        </w:rPr>
        <w:t xml:space="preserve"> </w:t>
      </w:r>
      <w:r w:rsidR="005E1950" w:rsidRPr="005E1950">
        <w:rPr>
          <w:rFonts w:ascii="Arial" w:hAnsi="Arial" w:cs="Arial"/>
          <w:color w:val="000000" w:themeColor="text1"/>
        </w:rPr>
        <w:t> (3131 of 2005) [2006] NAHC 37 (23 June 2006)</w:t>
      </w:r>
      <w:r w:rsidRPr="00F072A7">
        <w:rPr>
          <w:rFonts w:ascii="Arial" w:hAnsi="Arial" w:cs="Arial"/>
          <w:color w:val="000000" w:themeColor="text1"/>
        </w:rPr>
        <w:t>.</w:t>
      </w:r>
    </w:p>
  </w:footnote>
  <w:footnote w:id="8">
    <w:p w14:paraId="3D266CA8" w14:textId="77777777" w:rsidR="007A3658" w:rsidRPr="00F072A7" w:rsidRDefault="007A3658" w:rsidP="00E73307">
      <w:pPr>
        <w:pStyle w:val="FootnoteText"/>
        <w:jc w:val="both"/>
        <w:rPr>
          <w:rFonts w:ascii="Arial" w:hAnsi="Arial" w:cs="Arial"/>
          <w:color w:val="000000" w:themeColor="text1"/>
          <w:lang w:val="en-ZA"/>
        </w:rPr>
      </w:pPr>
      <w:r w:rsidRPr="007A3658">
        <w:rPr>
          <w:rStyle w:val="FootnoteReference"/>
          <w:rFonts w:cstheme="minorHAnsi"/>
          <w:color w:val="000000" w:themeColor="text1"/>
        </w:rPr>
        <w:footnoteRef/>
      </w:r>
      <w:r w:rsidRPr="007A3658">
        <w:rPr>
          <w:rFonts w:cstheme="minorHAnsi"/>
          <w:color w:val="000000" w:themeColor="text1"/>
        </w:rPr>
        <w:t xml:space="preserve"> </w:t>
      </w:r>
      <w:r w:rsidR="0026289D" w:rsidRPr="00F072A7">
        <w:rPr>
          <w:rFonts w:ascii="Arial" w:hAnsi="Arial" w:cs="Arial"/>
          <w:i/>
          <w:iCs/>
          <w:color w:val="000000" w:themeColor="text1"/>
          <w:lang w:val="en-GB"/>
        </w:rPr>
        <w:t>Maharaj v Barclays National Bank Ltd</w:t>
      </w:r>
      <w:r w:rsidR="0026289D" w:rsidRPr="00F072A7">
        <w:rPr>
          <w:rFonts w:ascii="Arial" w:hAnsi="Arial" w:cs="Arial"/>
          <w:color w:val="000000" w:themeColor="text1"/>
        </w:rPr>
        <w:t xml:space="preserve"> </w:t>
      </w:r>
      <w:r w:rsidRPr="00F072A7">
        <w:rPr>
          <w:rFonts w:ascii="Arial" w:hAnsi="Arial" w:cs="Arial"/>
          <w:color w:val="000000" w:themeColor="text1"/>
        </w:rPr>
        <w:t>1976 (1) SA 418.</w:t>
      </w:r>
    </w:p>
  </w:footnote>
  <w:footnote w:id="9">
    <w:p w14:paraId="06233A1C" w14:textId="77777777" w:rsidR="007A3658" w:rsidRPr="00F072A7" w:rsidRDefault="007A3658" w:rsidP="00E73307">
      <w:pPr>
        <w:pStyle w:val="FootnoteText"/>
        <w:jc w:val="both"/>
        <w:rPr>
          <w:rFonts w:ascii="Arial" w:hAnsi="Arial" w:cs="Arial"/>
          <w:color w:val="000000" w:themeColor="text1"/>
          <w:lang w:val="en-ZA"/>
        </w:rPr>
      </w:pPr>
      <w:r w:rsidRPr="00F072A7">
        <w:rPr>
          <w:rStyle w:val="FootnoteReference"/>
          <w:rFonts w:ascii="Arial" w:hAnsi="Arial" w:cs="Arial"/>
          <w:color w:val="000000" w:themeColor="text1"/>
        </w:rPr>
        <w:footnoteRef/>
      </w:r>
      <w:r w:rsidRPr="00F072A7">
        <w:rPr>
          <w:rFonts w:ascii="Arial" w:hAnsi="Arial" w:cs="Arial"/>
          <w:color w:val="000000" w:themeColor="text1"/>
        </w:rPr>
        <w:t xml:space="preserve"> </w:t>
      </w:r>
      <w:r w:rsidR="0026289D" w:rsidRPr="00F072A7">
        <w:rPr>
          <w:rFonts w:ascii="Arial" w:hAnsi="Arial" w:cs="Arial"/>
          <w:i/>
          <w:iCs/>
          <w:color w:val="000000" w:themeColor="text1"/>
          <w:lang w:val="en-GB"/>
        </w:rPr>
        <w:t>Breitenbach v Fiat SA</w:t>
      </w:r>
      <w:r w:rsidR="0026289D" w:rsidRPr="00F072A7">
        <w:rPr>
          <w:rFonts w:ascii="Arial" w:hAnsi="Arial" w:cs="Arial"/>
          <w:color w:val="000000" w:themeColor="text1"/>
        </w:rPr>
        <w:t xml:space="preserve"> </w:t>
      </w:r>
      <w:r w:rsidRPr="00F072A7">
        <w:rPr>
          <w:rFonts w:ascii="Arial" w:hAnsi="Arial" w:cs="Arial"/>
          <w:color w:val="000000" w:themeColor="text1"/>
        </w:rPr>
        <w:t>1976 (2) 226.</w:t>
      </w:r>
    </w:p>
  </w:footnote>
  <w:footnote w:id="10">
    <w:p w14:paraId="1078E5D1" w14:textId="77777777" w:rsidR="007A3658" w:rsidRPr="00F02FD1" w:rsidRDefault="007A3658" w:rsidP="00E73307">
      <w:pPr>
        <w:pStyle w:val="FootnoteText"/>
        <w:jc w:val="both"/>
        <w:rPr>
          <w:rFonts w:ascii="Arial" w:hAnsi="Arial" w:cs="Arial"/>
          <w:color w:val="000000" w:themeColor="text1"/>
          <w:lang w:val="en-ZA"/>
        </w:rPr>
      </w:pPr>
      <w:r w:rsidRPr="00F072A7">
        <w:rPr>
          <w:rStyle w:val="FootnoteReference"/>
          <w:rFonts w:ascii="Arial" w:hAnsi="Arial" w:cs="Arial"/>
          <w:color w:val="000000" w:themeColor="text1"/>
        </w:rPr>
        <w:footnoteRef/>
      </w:r>
      <w:r w:rsidRPr="00F072A7">
        <w:rPr>
          <w:rFonts w:ascii="Arial" w:hAnsi="Arial" w:cs="Arial"/>
          <w:color w:val="000000" w:themeColor="text1"/>
        </w:rPr>
        <w:t xml:space="preserve"> </w:t>
      </w:r>
      <w:r w:rsidR="0026289D" w:rsidRPr="00F072A7">
        <w:rPr>
          <w:rFonts w:ascii="Arial" w:hAnsi="Arial" w:cs="Arial"/>
          <w:i/>
          <w:iCs/>
          <w:color w:val="000000" w:themeColor="text1"/>
          <w:lang w:val="en-GB"/>
        </w:rPr>
        <w:t>Crede v Standard Bank of South Africa Ltd</w:t>
      </w:r>
      <w:r w:rsidR="0026289D" w:rsidRPr="00F072A7">
        <w:rPr>
          <w:rFonts w:ascii="Arial" w:hAnsi="Arial" w:cs="Arial"/>
          <w:color w:val="000000" w:themeColor="text1"/>
          <w:lang w:val="en-GB"/>
        </w:rPr>
        <w:t> </w:t>
      </w:r>
      <w:r w:rsidRPr="00F072A7">
        <w:rPr>
          <w:rFonts w:ascii="Arial" w:hAnsi="Arial" w:cs="Arial"/>
          <w:color w:val="000000" w:themeColor="text1"/>
        </w:rPr>
        <w:t>1988 (4) SA 786 at 789 E.</w:t>
      </w:r>
    </w:p>
  </w:footnote>
  <w:footnote w:id="11">
    <w:p w14:paraId="09154BC2" w14:textId="77777777" w:rsidR="007A3658" w:rsidRPr="00F072A7" w:rsidRDefault="007A3658" w:rsidP="00F072A7">
      <w:pPr>
        <w:pStyle w:val="FootnoteText"/>
        <w:jc w:val="both"/>
        <w:rPr>
          <w:rFonts w:ascii="Arial" w:hAnsi="Arial" w:cs="Arial"/>
        </w:rPr>
      </w:pPr>
      <w:r w:rsidRPr="00F072A7">
        <w:rPr>
          <w:rStyle w:val="FootnoteReference"/>
          <w:rFonts w:ascii="Arial" w:hAnsi="Arial" w:cs="Arial"/>
        </w:rPr>
        <w:footnoteRef/>
      </w:r>
      <w:r w:rsidRPr="00F072A7">
        <w:rPr>
          <w:rFonts w:ascii="Arial" w:hAnsi="Arial" w:cs="Arial"/>
        </w:rPr>
        <w:t xml:space="preserve"> Summary Judgement, A practical Guide by Van Niekerk, Geyer and Mundell at 5 – 9; LexusNexus April 2014; also see </w:t>
      </w:r>
      <w:r w:rsidRPr="00F072A7">
        <w:rPr>
          <w:rFonts w:ascii="Arial" w:hAnsi="Arial" w:cs="Arial"/>
          <w:i/>
        </w:rPr>
        <w:t>Shackleton Credit Management (Pty) Ltd v Microzone trading 88 CC and Another</w:t>
      </w:r>
      <w:r w:rsidRPr="00F072A7">
        <w:rPr>
          <w:rFonts w:ascii="Arial" w:hAnsi="Arial" w:cs="Arial"/>
        </w:rPr>
        <w:t xml:space="preserve"> 2010 (5) SA 112 (KZP)</w:t>
      </w:r>
      <w:r w:rsidR="00F072A7">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629982"/>
      <w:docPartObj>
        <w:docPartGallery w:val="Page Numbers (Top of Page)"/>
        <w:docPartUnique/>
      </w:docPartObj>
    </w:sdtPr>
    <w:sdtContent>
      <w:p w14:paraId="653E891F" w14:textId="77777777" w:rsidR="007A3658" w:rsidRDefault="007A3658">
        <w:pPr>
          <w:pStyle w:val="Header"/>
          <w:jc w:val="right"/>
        </w:pPr>
        <w:r>
          <w:fldChar w:fldCharType="begin"/>
        </w:r>
        <w:r>
          <w:instrText xml:space="preserve"> PAGE   \* MERGEFORMAT </w:instrText>
        </w:r>
        <w:r>
          <w:fldChar w:fldCharType="separate"/>
        </w:r>
        <w:r w:rsidR="00F02FD1">
          <w:rPr>
            <w:noProof/>
          </w:rPr>
          <w:t>14</w:t>
        </w:r>
        <w:r>
          <w:rPr>
            <w:noProof/>
          </w:rPr>
          <w:fldChar w:fldCharType="end"/>
        </w:r>
      </w:p>
    </w:sdtContent>
  </w:sdt>
  <w:p w14:paraId="2B1F4514" w14:textId="77777777" w:rsidR="007A3658" w:rsidRDefault="007A3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E9A"/>
    <w:multiLevelType w:val="hybridMultilevel"/>
    <w:tmpl w:val="71287E04"/>
    <w:lvl w:ilvl="0" w:tplc="4DDC4D14">
      <w:start w:val="1"/>
      <w:numFmt w:val="decimal"/>
      <w:lvlText w:val="%1."/>
      <w:lvlJc w:val="left"/>
      <w:pPr>
        <w:ind w:left="750" w:hanging="7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0A50355"/>
    <w:multiLevelType w:val="hybridMultilevel"/>
    <w:tmpl w:val="9D32227E"/>
    <w:lvl w:ilvl="0" w:tplc="1720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821965026">
    <w:abstractNumId w:val="11"/>
  </w:num>
  <w:num w:numId="2" w16cid:durableId="379789665">
    <w:abstractNumId w:val="4"/>
  </w:num>
  <w:num w:numId="3" w16cid:durableId="2031956795">
    <w:abstractNumId w:val="12"/>
  </w:num>
  <w:num w:numId="4" w16cid:durableId="1564027647">
    <w:abstractNumId w:val="13"/>
  </w:num>
  <w:num w:numId="5" w16cid:durableId="1007634584">
    <w:abstractNumId w:val="10"/>
  </w:num>
  <w:num w:numId="6" w16cid:durableId="1475024252">
    <w:abstractNumId w:val="6"/>
  </w:num>
  <w:num w:numId="7" w16cid:durableId="1432778968">
    <w:abstractNumId w:val="8"/>
  </w:num>
  <w:num w:numId="8" w16cid:durableId="893271239">
    <w:abstractNumId w:val="7"/>
  </w:num>
  <w:num w:numId="9" w16cid:durableId="1875000112">
    <w:abstractNumId w:val="5"/>
  </w:num>
  <w:num w:numId="10" w16cid:durableId="658314130">
    <w:abstractNumId w:val="1"/>
  </w:num>
  <w:num w:numId="11" w16cid:durableId="1027751622">
    <w:abstractNumId w:val="2"/>
  </w:num>
  <w:num w:numId="12" w16cid:durableId="1112282192">
    <w:abstractNumId w:val="9"/>
  </w:num>
  <w:num w:numId="13" w16cid:durableId="972717389">
    <w:abstractNumId w:val="0"/>
  </w:num>
  <w:num w:numId="14" w16cid:durableId="19150483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4E"/>
    <w:rsid w:val="000014E1"/>
    <w:rsid w:val="00001B1F"/>
    <w:rsid w:val="00004B2C"/>
    <w:rsid w:val="000063D3"/>
    <w:rsid w:val="000064CD"/>
    <w:rsid w:val="0001086F"/>
    <w:rsid w:val="000125C7"/>
    <w:rsid w:val="00017F25"/>
    <w:rsid w:val="00020136"/>
    <w:rsid w:val="000230D9"/>
    <w:rsid w:val="00026E26"/>
    <w:rsid w:val="000271C3"/>
    <w:rsid w:val="00027AF8"/>
    <w:rsid w:val="00027C5A"/>
    <w:rsid w:val="00031171"/>
    <w:rsid w:val="000364A7"/>
    <w:rsid w:val="00037749"/>
    <w:rsid w:val="00040752"/>
    <w:rsid w:val="00041A8D"/>
    <w:rsid w:val="00042759"/>
    <w:rsid w:val="000430DF"/>
    <w:rsid w:val="000504E0"/>
    <w:rsid w:val="0005091A"/>
    <w:rsid w:val="00051AC7"/>
    <w:rsid w:val="00051D63"/>
    <w:rsid w:val="000539D9"/>
    <w:rsid w:val="000566B3"/>
    <w:rsid w:val="00057E62"/>
    <w:rsid w:val="00062D26"/>
    <w:rsid w:val="000640D6"/>
    <w:rsid w:val="00067647"/>
    <w:rsid w:val="000730F9"/>
    <w:rsid w:val="00073BDD"/>
    <w:rsid w:val="00076FFC"/>
    <w:rsid w:val="00077FC7"/>
    <w:rsid w:val="00080AAD"/>
    <w:rsid w:val="00082338"/>
    <w:rsid w:val="000829E6"/>
    <w:rsid w:val="0008438C"/>
    <w:rsid w:val="00084927"/>
    <w:rsid w:val="000864BE"/>
    <w:rsid w:val="00090634"/>
    <w:rsid w:val="00091093"/>
    <w:rsid w:val="0009122E"/>
    <w:rsid w:val="00093484"/>
    <w:rsid w:val="00094098"/>
    <w:rsid w:val="0009477A"/>
    <w:rsid w:val="00094CBB"/>
    <w:rsid w:val="000A5654"/>
    <w:rsid w:val="000B1165"/>
    <w:rsid w:val="000B6DFA"/>
    <w:rsid w:val="000C1131"/>
    <w:rsid w:val="000C1B16"/>
    <w:rsid w:val="000C4304"/>
    <w:rsid w:val="000C57C1"/>
    <w:rsid w:val="000C6BD3"/>
    <w:rsid w:val="000C7CB1"/>
    <w:rsid w:val="000D3BAF"/>
    <w:rsid w:val="000D6F7E"/>
    <w:rsid w:val="000E031D"/>
    <w:rsid w:val="000E0C22"/>
    <w:rsid w:val="000E1202"/>
    <w:rsid w:val="000E1C0D"/>
    <w:rsid w:val="000F5D13"/>
    <w:rsid w:val="000F65B5"/>
    <w:rsid w:val="000F7167"/>
    <w:rsid w:val="001038C5"/>
    <w:rsid w:val="00106C01"/>
    <w:rsid w:val="00106EA4"/>
    <w:rsid w:val="00115F45"/>
    <w:rsid w:val="00130B17"/>
    <w:rsid w:val="00134231"/>
    <w:rsid w:val="0013560F"/>
    <w:rsid w:val="00136046"/>
    <w:rsid w:val="00141B66"/>
    <w:rsid w:val="00143557"/>
    <w:rsid w:val="00143F23"/>
    <w:rsid w:val="00145E00"/>
    <w:rsid w:val="00146E3B"/>
    <w:rsid w:val="00146EE5"/>
    <w:rsid w:val="00146FB7"/>
    <w:rsid w:val="001525BC"/>
    <w:rsid w:val="001528A8"/>
    <w:rsid w:val="00154598"/>
    <w:rsid w:val="00155288"/>
    <w:rsid w:val="00157936"/>
    <w:rsid w:val="00160A7E"/>
    <w:rsid w:val="00162EFB"/>
    <w:rsid w:val="00163A0A"/>
    <w:rsid w:val="00163CC5"/>
    <w:rsid w:val="0016528B"/>
    <w:rsid w:val="00175331"/>
    <w:rsid w:val="00175599"/>
    <w:rsid w:val="00180C2C"/>
    <w:rsid w:val="0018246D"/>
    <w:rsid w:val="00184C3A"/>
    <w:rsid w:val="00185A59"/>
    <w:rsid w:val="001868DE"/>
    <w:rsid w:val="0018757E"/>
    <w:rsid w:val="00192DE9"/>
    <w:rsid w:val="00195EE7"/>
    <w:rsid w:val="001A0050"/>
    <w:rsid w:val="001A0799"/>
    <w:rsid w:val="001A1D27"/>
    <w:rsid w:val="001A2D88"/>
    <w:rsid w:val="001A366F"/>
    <w:rsid w:val="001A4079"/>
    <w:rsid w:val="001B0557"/>
    <w:rsid w:val="001B0A90"/>
    <w:rsid w:val="001B0FBE"/>
    <w:rsid w:val="001B67D7"/>
    <w:rsid w:val="001C017E"/>
    <w:rsid w:val="001C0892"/>
    <w:rsid w:val="001C1034"/>
    <w:rsid w:val="001C6012"/>
    <w:rsid w:val="001D4286"/>
    <w:rsid w:val="001D6B7D"/>
    <w:rsid w:val="001D6EAC"/>
    <w:rsid w:val="001E2990"/>
    <w:rsid w:val="001F36E7"/>
    <w:rsid w:val="001F3A95"/>
    <w:rsid w:val="001F5DDF"/>
    <w:rsid w:val="001F6E75"/>
    <w:rsid w:val="00202517"/>
    <w:rsid w:val="0020668F"/>
    <w:rsid w:val="00207016"/>
    <w:rsid w:val="002072D1"/>
    <w:rsid w:val="00211474"/>
    <w:rsid w:val="00214E94"/>
    <w:rsid w:val="002162EA"/>
    <w:rsid w:val="0022166E"/>
    <w:rsid w:val="00223CF7"/>
    <w:rsid w:val="00227E6A"/>
    <w:rsid w:val="002312EA"/>
    <w:rsid w:val="002348ED"/>
    <w:rsid w:val="00235E7A"/>
    <w:rsid w:val="00240696"/>
    <w:rsid w:val="0024172A"/>
    <w:rsid w:val="00243A93"/>
    <w:rsid w:val="00244380"/>
    <w:rsid w:val="00246403"/>
    <w:rsid w:val="002514FD"/>
    <w:rsid w:val="00251886"/>
    <w:rsid w:val="00252626"/>
    <w:rsid w:val="0025270F"/>
    <w:rsid w:val="00252DD7"/>
    <w:rsid w:val="002558E5"/>
    <w:rsid w:val="00260C79"/>
    <w:rsid w:val="00261D8D"/>
    <w:rsid w:val="0026289D"/>
    <w:rsid w:val="00264C12"/>
    <w:rsid w:val="00265600"/>
    <w:rsid w:val="0026643E"/>
    <w:rsid w:val="002679F6"/>
    <w:rsid w:val="00267A53"/>
    <w:rsid w:val="00280BCD"/>
    <w:rsid w:val="00280F03"/>
    <w:rsid w:val="00282EF6"/>
    <w:rsid w:val="00282F10"/>
    <w:rsid w:val="002922E4"/>
    <w:rsid w:val="00294C05"/>
    <w:rsid w:val="002A2B49"/>
    <w:rsid w:val="002A3EC6"/>
    <w:rsid w:val="002A70C6"/>
    <w:rsid w:val="002A7BFA"/>
    <w:rsid w:val="002B4389"/>
    <w:rsid w:val="002B464C"/>
    <w:rsid w:val="002B6439"/>
    <w:rsid w:val="002B75D6"/>
    <w:rsid w:val="002C02CB"/>
    <w:rsid w:val="002C60F8"/>
    <w:rsid w:val="002D2090"/>
    <w:rsid w:val="002D2F15"/>
    <w:rsid w:val="002D34BB"/>
    <w:rsid w:val="002D5E15"/>
    <w:rsid w:val="002D738E"/>
    <w:rsid w:val="002D78F5"/>
    <w:rsid w:val="002E1863"/>
    <w:rsid w:val="002E2B32"/>
    <w:rsid w:val="002E47DA"/>
    <w:rsid w:val="002F10CB"/>
    <w:rsid w:val="002F1C1B"/>
    <w:rsid w:val="002F21C5"/>
    <w:rsid w:val="002F2776"/>
    <w:rsid w:val="00301B6C"/>
    <w:rsid w:val="0030371C"/>
    <w:rsid w:val="00303EB0"/>
    <w:rsid w:val="003121E3"/>
    <w:rsid w:val="00312549"/>
    <w:rsid w:val="00320CCC"/>
    <w:rsid w:val="0032364D"/>
    <w:rsid w:val="003242E5"/>
    <w:rsid w:val="003253D7"/>
    <w:rsid w:val="003324E1"/>
    <w:rsid w:val="00333349"/>
    <w:rsid w:val="003337B6"/>
    <w:rsid w:val="00334C43"/>
    <w:rsid w:val="00335211"/>
    <w:rsid w:val="003412D7"/>
    <w:rsid w:val="003439DF"/>
    <w:rsid w:val="00346758"/>
    <w:rsid w:val="00347D12"/>
    <w:rsid w:val="003525E9"/>
    <w:rsid w:val="00355861"/>
    <w:rsid w:val="00361C8E"/>
    <w:rsid w:val="00364D06"/>
    <w:rsid w:val="00365785"/>
    <w:rsid w:val="00366F1B"/>
    <w:rsid w:val="00366F27"/>
    <w:rsid w:val="00367B9A"/>
    <w:rsid w:val="00371DD0"/>
    <w:rsid w:val="00372B5D"/>
    <w:rsid w:val="003740B5"/>
    <w:rsid w:val="003751C8"/>
    <w:rsid w:val="00377150"/>
    <w:rsid w:val="00382A87"/>
    <w:rsid w:val="00382A88"/>
    <w:rsid w:val="003839F5"/>
    <w:rsid w:val="0038565D"/>
    <w:rsid w:val="0038716E"/>
    <w:rsid w:val="003924AD"/>
    <w:rsid w:val="0039259A"/>
    <w:rsid w:val="00392656"/>
    <w:rsid w:val="00392A17"/>
    <w:rsid w:val="00393830"/>
    <w:rsid w:val="003A0646"/>
    <w:rsid w:val="003A19B5"/>
    <w:rsid w:val="003A2CA4"/>
    <w:rsid w:val="003A32B6"/>
    <w:rsid w:val="003A57E8"/>
    <w:rsid w:val="003B1BAB"/>
    <w:rsid w:val="003B420B"/>
    <w:rsid w:val="003B49BC"/>
    <w:rsid w:val="003B5954"/>
    <w:rsid w:val="003B69F7"/>
    <w:rsid w:val="003C3D8A"/>
    <w:rsid w:val="003C4063"/>
    <w:rsid w:val="003C7299"/>
    <w:rsid w:val="003D230E"/>
    <w:rsid w:val="003D49BD"/>
    <w:rsid w:val="003D51A8"/>
    <w:rsid w:val="003D65F2"/>
    <w:rsid w:val="003E62ED"/>
    <w:rsid w:val="003F05C4"/>
    <w:rsid w:val="003F1C7F"/>
    <w:rsid w:val="003F27B7"/>
    <w:rsid w:val="003F432F"/>
    <w:rsid w:val="003F5EBC"/>
    <w:rsid w:val="004052A4"/>
    <w:rsid w:val="004108B1"/>
    <w:rsid w:val="00410B2F"/>
    <w:rsid w:val="00416212"/>
    <w:rsid w:val="0042010D"/>
    <w:rsid w:val="00420A99"/>
    <w:rsid w:val="004212BF"/>
    <w:rsid w:val="00421B28"/>
    <w:rsid w:val="0042353B"/>
    <w:rsid w:val="00424011"/>
    <w:rsid w:val="0042417A"/>
    <w:rsid w:val="00433B8A"/>
    <w:rsid w:val="0043487E"/>
    <w:rsid w:val="00435211"/>
    <w:rsid w:val="00436722"/>
    <w:rsid w:val="00440909"/>
    <w:rsid w:val="00441AEC"/>
    <w:rsid w:val="00445687"/>
    <w:rsid w:val="004469C6"/>
    <w:rsid w:val="00446F9A"/>
    <w:rsid w:val="00455D5A"/>
    <w:rsid w:val="00456103"/>
    <w:rsid w:val="0046144F"/>
    <w:rsid w:val="00463839"/>
    <w:rsid w:val="00463FBA"/>
    <w:rsid w:val="00465EC9"/>
    <w:rsid w:val="004660D5"/>
    <w:rsid w:val="00477DD8"/>
    <w:rsid w:val="0048580C"/>
    <w:rsid w:val="00486121"/>
    <w:rsid w:val="00486A66"/>
    <w:rsid w:val="004909C8"/>
    <w:rsid w:val="00497FC2"/>
    <w:rsid w:val="004A2078"/>
    <w:rsid w:val="004A32E3"/>
    <w:rsid w:val="004A4D8C"/>
    <w:rsid w:val="004A7549"/>
    <w:rsid w:val="004B1F20"/>
    <w:rsid w:val="004B6C6A"/>
    <w:rsid w:val="004C3F9D"/>
    <w:rsid w:val="004D0234"/>
    <w:rsid w:val="004D289F"/>
    <w:rsid w:val="004D2EC7"/>
    <w:rsid w:val="004D3F70"/>
    <w:rsid w:val="004E222B"/>
    <w:rsid w:val="004E41C0"/>
    <w:rsid w:val="004E431F"/>
    <w:rsid w:val="004F4D80"/>
    <w:rsid w:val="004F74A8"/>
    <w:rsid w:val="005000DE"/>
    <w:rsid w:val="00500DBF"/>
    <w:rsid w:val="0050196C"/>
    <w:rsid w:val="00502AE2"/>
    <w:rsid w:val="005054DC"/>
    <w:rsid w:val="00510137"/>
    <w:rsid w:val="0051149C"/>
    <w:rsid w:val="00512948"/>
    <w:rsid w:val="005138E9"/>
    <w:rsid w:val="00515803"/>
    <w:rsid w:val="005165FB"/>
    <w:rsid w:val="00517240"/>
    <w:rsid w:val="005173E7"/>
    <w:rsid w:val="00524295"/>
    <w:rsid w:val="00526DEF"/>
    <w:rsid w:val="00526F35"/>
    <w:rsid w:val="00532DB7"/>
    <w:rsid w:val="005350FE"/>
    <w:rsid w:val="00535A18"/>
    <w:rsid w:val="00536C29"/>
    <w:rsid w:val="00541ACB"/>
    <w:rsid w:val="005503C1"/>
    <w:rsid w:val="00554F7B"/>
    <w:rsid w:val="005557E2"/>
    <w:rsid w:val="00560429"/>
    <w:rsid w:val="00561DAF"/>
    <w:rsid w:val="00563589"/>
    <w:rsid w:val="00564515"/>
    <w:rsid w:val="00565866"/>
    <w:rsid w:val="00567E36"/>
    <w:rsid w:val="00572466"/>
    <w:rsid w:val="00575748"/>
    <w:rsid w:val="00576861"/>
    <w:rsid w:val="00576CEB"/>
    <w:rsid w:val="0058324F"/>
    <w:rsid w:val="00583520"/>
    <w:rsid w:val="00584F16"/>
    <w:rsid w:val="00585174"/>
    <w:rsid w:val="0059020E"/>
    <w:rsid w:val="0059026D"/>
    <w:rsid w:val="00594D79"/>
    <w:rsid w:val="005A10E0"/>
    <w:rsid w:val="005A33CD"/>
    <w:rsid w:val="005A7A6F"/>
    <w:rsid w:val="005B2DAF"/>
    <w:rsid w:val="005B3BBB"/>
    <w:rsid w:val="005B695C"/>
    <w:rsid w:val="005B6D53"/>
    <w:rsid w:val="005B7D28"/>
    <w:rsid w:val="005B7DBC"/>
    <w:rsid w:val="005C2509"/>
    <w:rsid w:val="005C37E7"/>
    <w:rsid w:val="005C4DD1"/>
    <w:rsid w:val="005D1D2E"/>
    <w:rsid w:val="005D22BA"/>
    <w:rsid w:val="005D24A8"/>
    <w:rsid w:val="005D287E"/>
    <w:rsid w:val="005D3A6A"/>
    <w:rsid w:val="005D3AA4"/>
    <w:rsid w:val="005D48D0"/>
    <w:rsid w:val="005D56EE"/>
    <w:rsid w:val="005D5BEC"/>
    <w:rsid w:val="005D65AC"/>
    <w:rsid w:val="005E17B7"/>
    <w:rsid w:val="005E1950"/>
    <w:rsid w:val="005E37C3"/>
    <w:rsid w:val="005F40E9"/>
    <w:rsid w:val="005F7017"/>
    <w:rsid w:val="005F71D6"/>
    <w:rsid w:val="0060014D"/>
    <w:rsid w:val="006014C3"/>
    <w:rsid w:val="00601614"/>
    <w:rsid w:val="00601F5B"/>
    <w:rsid w:val="00602475"/>
    <w:rsid w:val="00604B8F"/>
    <w:rsid w:val="006057C6"/>
    <w:rsid w:val="00607177"/>
    <w:rsid w:val="00612557"/>
    <w:rsid w:val="00612BA2"/>
    <w:rsid w:val="006137D0"/>
    <w:rsid w:val="00613FBF"/>
    <w:rsid w:val="00621644"/>
    <w:rsid w:val="00624EFE"/>
    <w:rsid w:val="006279B6"/>
    <w:rsid w:val="0063453C"/>
    <w:rsid w:val="0063551C"/>
    <w:rsid w:val="006408D7"/>
    <w:rsid w:val="006414AA"/>
    <w:rsid w:val="00641662"/>
    <w:rsid w:val="00643CC7"/>
    <w:rsid w:val="00644F51"/>
    <w:rsid w:val="00647740"/>
    <w:rsid w:val="006508D4"/>
    <w:rsid w:val="00651AE1"/>
    <w:rsid w:val="00651B4B"/>
    <w:rsid w:val="00652969"/>
    <w:rsid w:val="006539C1"/>
    <w:rsid w:val="00653D4A"/>
    <w:rsid w:val="0065423A"/>
    <w:rsid w:val="0065571C"/>
    <w:rsid w:val="0065792A"/>
    <w:rsid w:val="00657F07"/>
    <w:rsid w:val="006616D2"/>
    <w:rsid w:val="00663FA9"/>
    <w:rsid w:val="00665134"/>
    <w:rsid w:val="00666088"/>
    <w:rsid w:val="00666E35"/>
    <w:rsid w:val="00670BCB"/>
    <w:rsid w:val="00671C84"/>
    <w:rsid w:val="00684F18"/>
    <w:rsid w:val="00687B2E"/>
    <w:rsid w:val="006914C3"/>
    <w:rsid w:val="006932BC"/>
    <w:rsid w:val="006939B3"/>
    <w:rsid w:val="00695A86"/>
    <w:rsid w:val="006B10B3"/>
    <w:rsid w:val="006B140E"/>
    <w:rsid w:val="006B2DC3"/>
    <w:rsid w:val="006B60E4"/>
    <w:rsid w:val="006C05FC"/>
    <w:rsid w:val="006C17DA"/>
    <w:rsid w:val="006C32E5"/>
    <w:rsid w:val="006C3AF0"/>
    <w:rsid w:val="006D32EE"/>
    <w:rsid w:val="006D5427"/>
    <w:rsid w:val="006E06DB"/>
    <w:rsid w:val="006E1713"/>
    <w:rsid w:val="006E2B3B"/>
    <w:rsid w:val="006E47A6"/>
    <w:rsid w:val="006F0621"/>
    <w:rsid w:val="006F5052"/>
    <w:rsid w:val="00701607"/>
    <w:rsid w:val="00701D83"/>
    <w:rsid w:val="00701FAE"/>
    <w:rsid w:val="007073B8"/>
    <w:rsid w:val="00710FFC"/>
    <w:rsid w:val="007162CE"/>
    <w:rsid w:val="00717746"/>
    <w:rsid w:val="00720245"/>
    <w:rsid w:val="00720D1F"/>
    <w:rsid w:val="00723003"/>
    <w:rsid w:val="0073157E"/>
    <w:rsid w:val="0073667A"/>
    <w:rsid w:val="0073790D"/>
    <w:rsid w:val="00737C71"/>
    <w:rsid w:val="00746204"/>
    <w:rsid w:val="00750068"/>
    <w:rsid w:val="00750D03"/>
    <w:rsid w:val="007516A1"/>
    <w:rsid w:val="00754616"/>
    <w:rsid w:val="007560A3"/>
    <w:rsid w:val="0076120C"/>
    <w:rsid w:val="00763421"/>
    <w:rsid w:val="00763E27"/>
    <w:rsid w:val="007667D3"/>
    <w:rsid w:val="00772134"/>
    <w:rsid w:val="007740E4"/>
    <w:rsid w:val="00777131"/>
    <w:rsid w:val="00777F42"/>
    <w:rsid w:val="00781BAD"/>
    <w:rsid w:val="007828A8"/>
    <w:rsid w:val="00784CF0"/>
    <w:rsid w:val="00787862"/>
    <w:rsid w:val="00793AF6"/>
    <w:rsid w:val="00793D20"/>
    <w:rsid w:val="0079712A"/>
    <w:rsid w:val="007A3658"/>
    <w:rsid w:val="007A49ED"/>
    <w:rsid w:val="007A682A"/>
    <w:rsid w:val="007B1A22"/>
    <w:rsid w:val="007B1C3D"/>
    <w:rsid w:val="007B2322"/>
    <w:rsid w:val="007B76ED"/>
    <w:rsid w:val="007C2455"/>
    <w:rsid w:val="007C644F"/>
    <w:rsid w:val="007C66B0"/>
    <w:rsid w:val="007C7D4F"/>
    <w:rsid w:val="007D0125"/>
    <w:rsid w:val="007D09B8"/>
    <w:rsid w:val="007D1DC4"/>
    <w:rsid w:val="007D2574"/>
    <w:rsid w:val="007D2BD3"/>
    <w:rsid w:val="007D528F"/>
    <w:rsid w:val="007E0033"/>
    <w:rsid w:val="007E270B"/>
    <w:rsid w:val="007E3471"/>
    <w:rsid w:val="007E4960"/>
    <w:rsid w:val="007E6FF4"/>
    <w:rsid w:val="007F1EC7"/>
    <w:rsid w:val="007F245F"/>
    <w:rsid w:val="007F2766"/>
    <w:rsid w:val="007F44ED"/>
    <w:rsid w:val="00800474"/>
    <w:rsid w:val="008010D5"/>
    <w:rsid w:val="00807F6D"/>
    <w:rsid w:val="00812415"/>
    <w:rsid w:val="00813DC5"/>
    <w:rsid w:val="00814A34"/>
    <w:rsid w:val="00821E90"/>
    <w:rsid w:val="00822534"/>
    <w:rsid w:val="00822ED3"/>
    <w:rsid w:val="008242CC"/>
    <w:rsid w:val="00826384"/>
    <w:rsid w:val="00830D3A"/>
    <w:rsid w:val="008310FF"/>
    <w:rsid w:val="00833CDE"/>
    <w:rsid w:val="00835F89"/>
    <w:rsid w:val="0083669E"/>
    <w:rsid w:val="00841BBE"/>
    <w:rsid w:val="00842CF8"/>
    <w:rsid w:val="008510A0"/>
    <w:rsid w:val="008511B5"/>
    <w:rsid w:val="00856D89"/>
    <w:rsid w:val="008579B0"/>
    <w:rsid w:val="00860596"/>
    <w:rsid w:val="00863831"/>
    <w:rsid w:val="00863E60"/>
    <w:rsid w:val="008670E7"/>
    <w:rsid w:val="0086714C"/>
    <w:rsid w:val="00872C49"/>
    <w:rsid w:val="00874288"/>
    <w:rsid w:val="008803AA"/>
    <w:rsid w:val="00880F3A"/>
    <w:rsid w:val="008818C9"/>
    <w:rsid w:val="00886605"/>
    <w:rsid w:val="00890B32"/>
    <w:rsid w:val="008925F5"/>
    <w:rsid w:val="00897E20"/>
    <w:rsid w:val="008A1F6A"/>
    <w:rsid w:val="008A6D39"/>
    <w:rsid w:val="008A7B47"/>
    <w:rsid w:val="008B2D7D"/>
    <w:rsid w:val="008B6D75"/>
    <w:rsid w:val="008C08B0"/>
    <w:rsid w:val="008D1B5B"/>
    <w:rsid w:val="008D1D2E"/>
    <w:rsid w:val="008D2974"/>
    <w:rsid w:val="008D69ED"/>
    <w:rsid w:val="008E2FF2"/>
    <w:rsid w:val="008F5486"/>
    <w:rsid w:val="008F694B"/>
    <w:rsid w:val="00903EE7"/>
    <w:rsid w:val="009111AB"/>
    <w:rsid w:val="0091323C"/>
    <w:rsid w:val="0091514D"/>
    <w:rsid w:val="0091640E"/>
    <w:rsid w:val="0092176D"/>
    <w:rsid w:val="0092180D"/>
    <w:rsid w:val="00925103"/>
    <w:rsid w:val="0092544A"/>
    <w:rsid w:val="009314B4"/>
    <w:rsid w:val="0093169B"/>
    <w:rsid w:val="009345B6"/>
    <w:rsid w:val="0093556C"/>
    <w:rsid w:val="00935EE8"/>
    <w:rsid w:val="00937BFB"/>
    <w:rsid w:val="00943510"/>
    <w:rsid w:val="009435FA"/>
    <w:rsid w:val="00943FE9"/>
    <w:rsid w:val="00944FBE"/>
    <w:rsid w:val="00947F7B"/>
    <w:rsid w:val="00951BA1"/>
    <w:rsid w:val="009520A0"/>
    <w:rsid w:val="0095607C"/>
    <w:rsid w:val="0095668D"/>
    <w:rsid w:val="009628EA"/>
    <w:rsid w:val="00962D35"/>
    <w:rsid w:val="00964C96"/>
    <w:rsid w:val="00967622"/>
    <w:rsid w:val="009707B6"/>
    <w:rsid w:val="009727BD"/>
    <w:rsid w:val="00973148"/>
    <w:rsid w:val="0097367E"/>
    <w:rsid w:val="009746F1"/>
    <w:rsid w:val="009758C6"/>
    <w:rsid w:val="00975C7F"/>
    <w:rsid w:val="0098088D"/>
    <w:rsid w:val="0099014D"/>
    <w:rsid w:val="009903EF"/>
    <w:rsid w:val="00990530"/>
    <w:rsid w:val="0099163D"/>
    <w:rsid w:val="00992352"/>
    <w:rsid w:val="00992445"/>
    <w:rsid w:val="00993770"/>
    <w:rsid w:val="00994FA2"/>
    <w:rsid w:val="00995A5D"/>
    <w:rsid w:val="009961D4"/>
    <w:rsid w:val="00997B89"/>
    <w:rsid w:val="009A3C17"/>
    <w:rsid w:val="009A4F45"/>
    <w:rsid w:val="009A5A11"/>
    <w:rsid w:val="009A6260"/>
    <w:rsid w:val="009A75D6"/>
    <w:rsid w:val="009B0709"/>
    <w:rsid w:val="009B0FAB"/>
    <w:rsid w:val="009B2185"/>
    <w:rsid w:val="009B2714"/>
    <w:rsid w:val="009B4BBB"/>
    <w:rsid w:val="009C0B17"/>
    <w:rsid w:val="009C2265"/>
    <w:rsid w:val="009C29D4"/>
    <w:rsid w:val="009C74BF"/>
    <w:rsid w:val="009D1690"/>
    <w:rsid w:val="009D228B"/>
    <w:rsid w:val="009D2C29"/>
    <w:rsid w:val="009D34FB"/>
    <w:rsid w:val="009D3786"/>
    <w:rsid w:val="009D7F99"/>
    <w:rsid w:val="009E292A"/>
    <w:rsid w:val="009F44E1"/>
    <w:rsid w:val="009F6607"/>
    <w:rsid w:val="009F749B"/>
    <w:rsid w:val="009F7FE9"/>
    <w:rsid w:val="00A03FE4"/>
    <w:rsid w:val="00A149D0"/>
    <w:rsid w:val="00A15ADC"/>
    <w:rsid w:val="00A16889"/>
    <w:rsid w:val="00A17FD2"/>
    <w:rsid w:val="00A202A2"/>
    <w:rsid w:val="00A20DE9"/>
    <w:rsid w:val="00A2250F"/>
    <w:rsid w:val="00A225F7"/>
    <w:rsid w:val="00A31517"/>
    <w:rsid w:val="00A32540"/>
    <w:rsid w:val="00A331B5"/>
    <w:rsid w:val="00A3590E"/>
    <w:rsid w:val="00A36A77"/>
    <w:rsid w:val="00A4129B"/>
    <w:rsid w:val="00A420BE"/>
    <w:rsid w:val="00A46DD1"/>
    <w:rsid w:val="00A5157E"/>
    <w:rsid w:val="00A52A5A"/>
    <w:rsid w:val="00A5356C"/>
    <w:rsid w:val="00A53804"/>
    <w:rsid w:val="00A540BF"/>
    <w:rsid w:val="00A55E70"/>
    <w:rsid w:val="00A57A18"/>
    <w:rsid w:val="00A612E9"/>
    <w:rsid w:val="00A70CE0"/>
    <w:rsid w:val="00A72396"/>
    <w:rsid w:val="00A73205"/>
    <w:rsid w:val="00A74006"/>
    <w:rsid w:val="00A763E1"/>
    <w:rsid w:val="00A8091C"/>
    <w:rsid w:val="00A848F5"/>
    <w:rsid w:val="00A866DB"/>
    <w:rsid w:val="00A94A15"/>
    <w:rsid w:val="00A958CD"/>
    <w:rsid w:val="00A96C1B"/>
    <w:rsid w:val="00A97F14"/>
    <w:rsid w:val="00AA3815"/>
    <w:rsid w:val="00AA52C0"/>
    <w:rsid w:val="00AA6129"/>
    <w:rsid w:val="00AB0D34"/>
    <w:rsid w:val="00AB652B"/>
    <w:rsid w:val="00AB7F6B"/>
    <w:rsid w:val="00AC1813"/>
    <w:rsid w:val="00AC2920"/>
    <w:rsid w:val="00AC4777"/>
    <w:rsid w:val="00AC5C6B"/>
    <w:rsid w:val="00AD0247"/>
    <w:rsid w:val="00AD0E81"/>
    <w:rsid w:val="00AD18DB"/>
    <w:rsid w:val="00AD253A"/>
    <w:rsid w:val="00AD5020"/>
    <w:rsid w:val="00AE0683"/>
    <w:rsid w:val="00AE1313"/>
    <w:rsid w:val="00AE35CC"/>
    <w:rsid w:val="00AE4C16"/>
    <w:rsid w:val="00AE504D"/>
    <w:rsid w:val="00AE76A7"/>
    <w:rsid w:val="00AE7A4C"/>
    <w:rsid w:val="00B016A5"/>
    <w:rsid w:val="00B02C90"/>
    <w:rsid w:val="00B02F47"/>
    <w:rsid w:val="00B03B94"/>
    <w:rsid w:val="00B062DD"/>
    <w:rsid w:val="00B10FD9"/>
    <w:rsid w:val="00B11670"/>
    <w:rsid w:val="00B13504"/>
    <w:rsid w:val="00B153D6"/>
    <w:rsid w:val="00B17222"/>
    <w:rsid w:val="00B22440"/>
    <w:rsid w:val="00B2456B"/>
    <w:rsid w:val="00B25465"/>
    <w:rsid w:val="00B25E4E"/>
    <w:rsid w:val="00B314C6"/>
    <w:rsid w:val="00B31BCE"/>
    <w:rsid w:val="00B32286"/>
    <w:rsid w:val="00B36B42"/>
    <w:rsid w:val="00B3723F"/>
    <w:rsid w:val="00B423C1"/>
    <w:rsid w:val="00B427F2"/>
    <w:rsid w:val="00B43D87"/>
    <w:rsid w:val="00B46938"/>
    <w:rsid w:val="00B477EC"/>
    <w:rsid w:val="00B47EA9"/>
    <w:rsid w:val="00B50CA0"/>
    <w:rsid w:val="00B52055"/>
    <w:rsid w:val="00B5357F"/>
    <w:rsid w:val="00B53979"/>
    <w:rsid w:val="00B60EB0"/>
    <w:rsid w:val="00B61C93"/>
    <w:rsid w:val="00B62804"/>
    <w:rsid w:val="00B63775"/>
    <w:rsid w:val="00B67BC4"/>
    <w:rsid w:val="00B73D58"/>
    <w:rsid w:val="00B75BB7"/>
    <w:rsid w:val="00B81653"/>
    <w:rsid w:val="00B82050"/>
    <w:rsid w:val="00B82854"/>
    <w:rsid w:val="00B82E01"/>
    <w:rsid w:val="00B85324"/>
    <w:rsid w:val="00B87906"/>
    <w:rsid w:val="00B879CC"/>
    <w:rsid w:val="00B91399"/>
    <w:rsid w:val="00B918D3"/>
    <w:rsid w:val="00B91B42"/>
    <w:rsid w:val="00B920AB"/>
    <w:rsid w:val="00B92DA4"/>
    <w:rsid w:val="00B943B1"/>
    <w:rsid w:val="00BA0313"/>
    <w:rsid w:val="00BA6382"/>
    <w:rsid w:val="00BC0826"/>
    <w:rsid w:val="00BC14A4"/>
    <w:rsid w:val="00BC53D5"/>
    <w:rsid w:val="00BC7AE8"/>
    <w:rsid w:val="00BD08AF"/>
    <w:rsid w:val="00BD5576"/>
    <w:rsid w:val="00BD59C0"/>
    <w:rsid w:val="00BE3543"/>
    <w:rsid w:val="00BE55E7"/>
    <w:rsid w:val="00BE5D7A"/>
    <w:rsid w:val="00BE6ADF"/>
    <w:rsid w:val="00BF222D"/>
    <w:rsid w:val="00BF2A76"/>
    <w:rsid w:val="00C009D7"/>
    <w:rsid w:val="00C025E5"/>
    <w:rsid w:val="00C05075"/>
    <w:rsid w:val="00C0561B"/>
    <w:rsid w:val="00C105F4"/>
    <w:rsid w:val="00C1157E"/>
    <w:rsid w:val="00C11EBE"/>
    <w:rsid w:val="00C11F04"/>
    <w:rsid w:val="00C17D46"/>
    <w:rsid w:val="00C21A04"/>
    <w:rsid w:val="00C24161"/>
    <w:rsid w:val="00C248C8"/>
    <w:rsid w:val="00C26024"/>
    <w:rsid w:val="00C26136"/>
    <w:rsid w:val="00C32046"/>
    <w:rsid w:val="00C34D37"/>
    <w:rsid w:val="00C3523A"/>
    <w:rsid w:val="00C36826"/>
    <w:rsid w:val="00C425C4"/>
    <w:rsid w:val="00C479F1"/>
    <w:rsid w:val="00C47FC7"/>
    <w:rsid w:val="00C63118"/>
    <w:rsid w:val="00C632F1"/>
    <w:rsid w:val="00C67500"/>
    <w:rsid w:val="00C71033"/>
    <w:rsid w:val="00C735DE"/>
    <w:rsid w:val="00C73716"/>
    <w:rsid w:val="00C7482C"/>
    <w:rsid w:val="00C74D11"/>
    <w:rsid w:val="00C760CB"/>
    <w:rsid w:val="00C83293"/>
    <w:rsid w:val="00C9324B"/>
    <w:rsid w:val="00C94BD3"/>
    <w:rsid w:val="00CA4837"/>
    <w:rsid w:val="00CA6D88"/>
    <w:rsid w:val="00CB2452"/>
    <w:rsid w:val="00CB32F7"/>
    <w:rsid w:val="00CB48D6"/>
    <w:rsid w:val="00CC2033"/>
    <w:rsid w:val="00CC287D"/>
    <w:rsid w:val="00CC5083"/>
    <w:rsid w:val="00CD0CB9"/>
    <w:rsid w:val="00CD168D"/>
    <w:rsid w:val="00CD1ED1"/>
    <w:rsid w:val="00CD474E"/>
    <w:rsid w:val="00CE0EFB"/>
    <w:rsid w:val="00CE153D"/>
    <w:rsid w:val="00CE4460"/>
    <w:rsid w:val="00CE7F5C"/>
    <w:rsid w:val="00CF1C5D"/>
    <w:rsid w:val="00CF3A39"/>
    <w:rsid w:val="00CF4DA0"/>
    <w:rsid w:val="00CF5410"/>
    <w:rsid w:val="00CF56DE"/>
    <w:rsid w:val="00CF5968"/>
    <w:rsid w:val="00CF6579"/>
    <w:rsid w:val="00D00403"/>
    <w:rsid w:val="00D022DF"/>
    <w:rsid w:val="00D03642"/>
    <w:rsid w:val="00D03BB0"/>
    <w:rsid w:val="00D03E5D"/>
    <w:rsid w:val="00D05AF3"/>
    <w:rsid w:val="00D1262D"/>
    <w:rsid w:val="00D2044B"/>
    <w:rsid w:val="00D219D0"/>
    <w:rsid w:val="00D227D6"/>
    <w:rsid w:val="00D33324"/>
    <w:rsid w:val="00D3334E"/>
    <w:rsid w:val="00D4359F"/>
    <w:rsid w:val="00D47D03"/>
    <w:rsid w:val="00D53B94"/>
    <w:rsid w:val="00D54D8E"/>
    <w:rsid w:val="00D61A42"/>
    <w:rsid w:val="00D61F0B"/>
    <w:rsid w:val="00D63079"/>
    <w:rsid w:val="00D669B8"/>
    <w:rsid w:val="00D70A69"/>
    <w:rsid w:val="00D70C41"/>
    <w:rsid w:val="00D724DD"/>
    <w:rsid w:val="00D749AB"/>
    <w:rsid w:val="00D7583D"/>
    <w:rsid w:val="00D761CB"/>
    <w:rsid w:val="00D763A2"/>
    <w:rsid w:val="00D82D2D"/>
    <w:rsid w:val="00D84111"/>
    <w:rsid w:val="00D9070C"/>
    <w:rsid w:val="00D92E64"/>
    <w:rsid w:val="00D94678"/>
    <w:rsid w:val="00D95ED1"/>
    <w:rsid w:val="00DA34F2"/>
    <w:rsid w:val="00DA5340"/>
    <w:rsid w:val="00DB4427"/>
    <w:rsid w:val="00DB4462"/>
    <w:rsid w:val="00DB6FB0"/>
    <w:rsid w:val="00DB78B9"/>
    <w:rsid w:val="00DC069C"/>
    <w:rsid w:val="00DC178D"/>
    <w:rsid w:val="00DC2B60"/>
    <w:rsid w:val="00DC2F51"/>
    <w:rsid w:val="00DC708E"/>
    <w:rsid w:val="00DC7F52"/>
    <w:rsid w:val="00DD4052"/>
    <w:rsid w:val="00DD58CC"/>
    <w:rsid w:val="00DD663E"/>
    <w:rsid w:val="00DE0094"/>
    <w:rsid w:val="00DE18FE"/>
    <w:rsid w:val="00DE2BB1"/>
    <w:rsid w:val="00DE4C6B"/>
    <w:rsid w:val="00DE7D62"/>
    <w:rsid w:val="00DF1742"/>
    <w:rsid w:val="00DF7B0A"/>
    <w:rsid w:val="00E00BD1"/>
    <w:rsid w:val="00E020AE"/>
    <w:rsid w:val="00E023A1"/>
    <w:rsid w:val="00E04069"/>
    <w:rsid w:val="00E06714"/>
    <w:rsid w:val="00E0700C"/>
    <w:rsid w:val="00E0761B"/>
    <w:rsid w:val="00E1263B"/>
    <w:rsid w:val="00E1315B"/>
    <w:rsid w:val="00E14845"/>
    <w:rsid w:val="00E17939"/>
    <w:rsid w:val="00E229D2"/>
    <w:rsid w:val="00E23374"/>
    <w:rsid w:val="00E30E6E"/>
    <w:rsid w:val="00E34BF3"/>
    <w:rsid w:val="00E36053"/>
    <w:rsid w:val="00E42CBC"/>
    <w:rsid w:val="00E452DC"/>
    <w:rsid w:val="00E50364"/>
    <w:rsid w:val="00E50F79"/>
    <w:rsid w:val="00E602DB"/>
    <w:rsid w:val="00E60474"/>
    <w:rsid w:val="00E60E71"/>
    <w:rsid w:val="00E610C9"/>
    <w:rsid w:val="00E70C43"/>
    <w:rsid w:val="00E72FC6"/>
    <w:rsid w:val="00E73307"/>
    <w:rsid w:val="00E73D8A"/>
    <w:rsid w:val="00E74400"/>
    <w:rsid w:val="00E74C68"/>
    <w:rsid w:val="00E7577A"/>
    <w:rsid w:val="00E75F4A"/>
    <w:rsid w:val="00E76269"/>
    <w:rsid w:val="00E76862"/>
    <w:rsid w:val="00E83788"/>
    <w:rsid w:val="00E90CCA"/>
    <w:rsid w:val="00E91856"/>
    <w:rsid w:val="00E944CC"/>
    <w:rsid w:val="00E977A2"/>
    <w:rsid w:val="00EA090F"/>
    <w:rsid w:val="00EA14DD"/>
    <w:rsid w:val="00EA1A91"/>
    <w:rsid w:val="00EA2ED0"/>
    <w:rsid w:val="00EA434B"/>
    <w:rsid w:val="00EA45BF"/>
    <w:rsid w:val="00EA4891"/>
    <w:rsid w:val="00EB5365"/>
    <w:rsid w:val="00EB57B9"/>
    <w:rsid w:val="00EC6045"/>
    <w:rsid w:val="00EC646B"/>
    <w:rsid w:val="00ED1971"/>
    <w:rsid w:val="00ED28D0"/>
    <w:rsid w:val="00ED28E9"/>
    <w:rsid w:val="00ED591E"/>
    <w:rsid w:val="00ED5B59"/>
    <w:rsid w:val="00ED5DB8"/>
    <w:rsid w:val="00ED734E"/>
    <w:rsid w:val="00ED797D"/>
    <w:rsid w:val="00EE1583"/>
    <w:rsid w:val="00EE4CFC"/>
    <w:rsid w:val="00EF2C98"/>
    <w:rsid w:val="00EF5601"/>
    <w:rsid w:val="00F02FD1"/>
    <w:rsid w:val="00F065EF"/>
    <w:rsid w:val="00F072A7"/>
    <w:rsid w:val="00F120AF"/>
    <w:rsid w:val="00F14E7B"/>
    <w:rsid w:val="00F15485"/>
    <w:rsid w:val="00F1732B"/>
    <w:rsid w:val="00F1791F"/>
    <w:rsid w:val="00F237F2"/>
    <w:rsid w:val="00F23A45"/>
    <w:rsid w:val="00F24E87"/>
    <w:rsid w:val="00F305DA"/>
    <w:rsid w:val="00F308C1"/>
    <w:rsid w:val="00F330BD"/>
    <w:rsid w:val="00F33AF9"/>
    <w:rsid w:val="00F348BE"/>
    <w:rsid w:val="00F3639A"/>
    <w:rsid w:val="00F36DDB"/>
    <w:rsid w:val="00F40CD6"/>
    <w:rsid w:val="00F45705"/>
    <w:rsid w:val="00F561C4"/>
    <w:rsid w:val="00F57FB4"/>
    <w:rsid w:val="00F60052"/>
    <w:rsid w:val="00F60281"/>
    <w:rsid w:val="00F61CE9"/>
    <w:rsid w:val="00F626CA"/>
    <w:rsid w:val="00F653E8"/>
    <w:rsid w:val="00F76E0D"/>
    <w:rsid w:val="00F7721B"/>
    <w:rsid w:val="00F80D38"/>
    <w:rsid w:val="00F83D73"/>
    <w:rsid w:val="00F8617C"/>
    <w:rsid w:val="00F9030E"/>
    <w:rsid w:val="00F906A8"/>
    <w:rsid w:val="00F94838"/>
    <w:rsid w:val="00F97282"/>
    <w:rsid w:val="00F97F7E"/>
    <w:rsid w:val="00FA2E99"/>
    <w:rsid w:val="00FA3061"/>
    <w:rsid w:val="00FA3686"/>
    <w:rsid w:val="00FA4CE9"/>
    <w:rsid w:val="00FA6FEC"/>
    <w:rsid w:val="00FB3B55"/>
    <w:rsid w:val="00FC154B"/>
    <w:rsid w:val="00FC3E92"/>
    <w:rsid w:val="00FC4490"/>
    <w:rsid w:val="00FC4B9B"/>
    <w:rsid w:val="00FC5DE8"/>
    <w:rsid w:val="00FC61C3"/>
    <w:rsid w:val="00FC6F38"/>
    <w:rsid w:val="00FC7230"/>
    <w:rsid w:val="00FC7ECC"/>
    <w:rsid w:val="00FD21FB"/>
    <w:rsid w:val="00FD6D61"/>
    <w:rsid w:val="00FD6F2D"/>
    <w:rsid w:val="00FD734E"/>
    <w:rsid w:val="00FE1F46"/>
    <w:rsid w:val="00FE32D0"/>
    <w:rsid w:val="00FE32D4"/>
    <w:rsid w:val="00FE372C"/>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3E17"/>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4E"/>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2023-08-31T18:30:00+00:00</Judgment_x0020_Date>
    <Year xmlns="c1afb1bd-f2fb-40fd-9abb-aea55b4d7662">2023</Ye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D5F115-3701-4AB1-84AC-A86F41251BBB}">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FF8ED06E-E2CF-437C-B62A-4300FF7C8B32}">
  <ds:schemaRefs>
    <ds:schemaRef ds:uri="http://schemas.openxmlformats.org/officeDocument/2006/bibliography"/>
  </ds:schemaRefs>
</ds:datastoreItem>
</file>

<file path=customXml/itemProps3.xml><?xml version="1.0" encoding="utf-8"?>
<ds:datastoreItem xmlns:ds="http://schemas.openxmlformats.org/officeDocument/2006/customXml" ds:itemID="{9C5DC57F-8DBD-4259-A82A-70D0D72B2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94C128-0715-409B-8002-43322416B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4074</Words>
  <Characters>23222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27242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Seelenbinder v Fischer Seelenbinder Associates CC (HC-MD-CIV-ACT-OTH-2022-01796) [2023] NAHCMD NC 539 (1 September 2023)</dc:title>
  <dc:creator>drisuro</dc:creator>
  <cp:lastModifiedBy>Mariana Anguelov</cp:lastModifiedBy>
  <cp:revision>3</cp:revision>
  <cp:lastPrinted>2023-09-01T07:23:00Z</cp:lastPrinted>
  <dcterms:created xsi:type="dcterms:W3CDTF">2023-09-01T07:24:00Z</dcterms:created>
  <dcterms:modified xsi:type="dcterms:W3CDTF">2023-09-10T13:08:00Z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