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84" w:rsidRPr="004B3621" w:rsidRDefault="001E7384" w:rsidP="001E7384">
      <w:pPr>
        <w:spacing w:after="0" w:line="360" w:lineRule="auto"/>
        <w:jc w:val="center"/>
        <w:rPr>
          <w:rFonts w:ascii="Arial" w:eastAsia="Calibri" w:hAnsi="Arial" w:cs="Arial"/>
          <w:b/>
          <w:bCs/>
          <w:sz w:val="24"/>
          <w:szCs w:val="24"/>
          <w:lang w:val="en-ZA"/>
        </w:rPr>
      </w:pPr>
      <w:r w:rsidRPr="004B3621">
        <w:rPr>
          <w:rFonts w:ascii="Arial" w:eastAsia="Calibri" w:hAnsi="Arial" w:cs="Arial"/>
          <w:b/>
          <w:bCs/>
          <w:sz w:val="24"/>
          <w:szCs w:val="24"/>
          <w:lang w:val="en-US"/>
        </w:rPr>
        <w:t>REPUBLIC OF NAMIBIA</w:t>
      </w:r>
    </w:p>
    <w:p w:rsidR="001E7384" w:rsidRPr="004B3621" w:rsidRDefault="001E7384" w:rsidP="001E7384">
      <w:pPr>
        <w:spacing w:after="0" w:line="360" w:lineRule="auto"/>
        <w:jc w:val="center"/>
        <w:rPr>
          <w:rFonts w:ascii="Arial" w:eastAsia="Calibri" w:hAnsi="Arial" w:cs="Arial"/>
          <w:b/>
          <w:bCs/>
          <w:sz w:val="24"/>
          <w:szCs w:val="24"/>
          <w:lang w:val="en-ZA"/>
        </w:rPr>
      </w:pPr>
      <w:r w:rsidRPr="004B3621">
        <w:rPr>
          <w:rFonts w:ascii="Arial" w:eastAsia="Calibri" w:hAnsi="Arial" w:cs="Arial"/>
          <w:b/>
          <w:noProof/>
          <w:sz w:val="24"/>
          <w:szCs w:val="24"/>
          <w:lang w:eastAsia="en-GB"/>
        </w:rPr>
        <w:drawing>
          <wp:inline distT="0" distB="0" distL="0" distR="0" wp14:anchorId="10000E63" wp14:editId="6D34A941">
            <wp:extent cx="1114425" cy="1019175"/>
            <wp:effectExtent l="0" t="0" r="9525"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19175"/>
                    </a:xfrm>
                    <a:prstGeom prst="rect">
                      <a:avLst/>
                    </a:prstGeom>
                    <a:noFill/>
                    <a:ln>
                      <a:noFill/>
                    </a:ln>
                  </pic:spPr>
                </pic:pic>
              </a:graphicData>
            </a:graphic>
          </wp:inline>
        </w:drawing>
      </w:r>
    </w:p>
    <w:p w:rsidR="001E7384" w:rsidRPr="004B3621" w:rsidRDefault="001E7384" w:rsidP="007F02BD">
      <w:pPr>
        <w:spacing w:before="240" w:after="0" w:line="360" w:lineRule="auto"/>
        <w:jc w:val="center"/>
        <w:rPr>
          <w:rFonts w:ascii="Arial" w:eastAsia="Calibri" w:hAnsi="Arial" w:cs="Arial"/>
          <w:sz w:val="24"/>
          <w:szCs w:val="24"/>
          <w:lang w:val="en-ZA"/>
        </w:rPr>
      </w:pPr>
      <w:r w:rsidRPr="004B3621">
        <w:rPr>
          <w:rFonts w:ascii="Arial" w:eastAsia="Calibri" w:hAnsi="Arial" w:cs="Arial"/>
          <w:b/>
          <w:bCs/>
          <w:sz w:val="24"/>
          <w:szCs w:val="24"/>
          <w:lang w:val="en-US"/>
        </w:rPr>
        <w:t>HIGH COURT OF NAMIBIA MAIN DIVISION, WINDHOEK</w:t>
      </w:r>
    </w:p>
    <w:p w:rsidR="001E7384" w:rsidRPr="004B3621" w:rsidRDefault="001E7384" w:rsidP="007F02BD">
      <w:pPr>
        <w:spacing w:before="240" w:after="0" w:line="360" w:lineRule="auto"/>
        <w:jc w:val="center"/>
        <w:rPr>
          <w:rFonts w:ascii="Arial" w:eastAsia="Calibri" w:hAnsi="Arial" w:cs="Arial"/>
          <w:sz w:val="24"/>
          <w:szCs w:val="24"/>
          <w:lang w:val="en-US"/>
        </w:rPr>
      </w:pPr>
      <w:r w:rsidRPr="004B3621">
        <w:rPr>
          <w:rFonts w:ascii="Arial" w:eastAsia="Calibri" w:hAnsi="Arial" w:cs="Arial"/>
          <w:sz w:val="24"/>
          <w:szCs w:val="24"/>
          <w:lang w:val="en-US"/>
        </w:rPr>
        <w:t>Practice Directive 61</w:t>
      </w:r>
    </w:p>
    <w:p w:rsidR="001E7384" w:rsidRPr="004B3621" w:rsidRDefault="001E7384" w:rsidP="007F02BD">
      <w:pPr>
        <w:spacing w:before="240" w:after="0" w:line="360" w:lineRule="auto"/>
        <w:jc w:val="center"/>
        <w:rPr>
          <w:rFonts w:ascii="Arial" w:eastAsia="Calibri" w:hAnsi="Arial" w:cs="Arial"/>
          <w:b/>
          <w:sz w:val="24"/>
          <w:szCs w:val="24"/>
          <w:lang w:val="en-US"/>
        </w:rPr>
      </w:pPr>
      <w:r w:rsidRPr="004B3621">
        <w:rPr>
          <w:rFonts w:ascii="Arial" w:eastAsia="Calibri" w:hAnsi="Arial" w:cs="Arial"/>
          <w:b/>
          <w:sz w:val="24"/>
          <w:szCs w:val="24"/>
          <w:lang w:val="en-US"/>
        </w:rPr>
        <w:t xml:space="preserve"> RULING</w:t>
      </w: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003"/>
        <w:gridCol w:w="3420"/>
      </w:tblGrid>
      <w:tr w:rsidR="004B3621" w:rsidRPr="004B3621" w:rsidTr="005D5B40">
        <w:trPr>
          <w:trHeight w:val="744"/>
        </w:trPr>
        <w:tc>
          <w:tcPr>
            <w:tcW w:w="6773" w:type="dxa"/>
            <w:gridSpan w:val="2"/>
            <w:vMerge w:val="restart"/>
            <w:shd w:val="clear" w:color="auto" w:fill="auto"/>
          </w:tcPr>
          <w:p w:rsidR="001E7384" w:rsidRPr="004B3621" w:rsidRDefault="001E7384" w:rsidP="001E7384">
            <w:pPr>
              <w:spacing w:after="0" w:line="360" w:lineRule="auto"/>
              <w:jc w:val="both"/>
              <w:rPr>
                <w:rFonts w:ascii="Arial" w:eastAsia="Calibri" w:hAnsi="Arial" w:cs="Arial"/>
                <w:sz w:val="24"/>
                <w:szCs w:val="24"/>
                <w:lang w:val="en-ZA"/>
              </w:rPr>
            </w:pPr>
            <w:r w:rsidRPr="004B3621">
              <w:rPr>
                <w:rFonts w:ascii="Arial" w:eastAsia="Calibri" w:hAnsi="Arial" w:cs="Arial"/>
                <w:b/>
                <w:sz w:val="24"/>
                <w:szCs w:val="24"/>
                <w:lang w:val="en-ZA"/>
              </w:rPr>
              <w:t>Case Title:</w:t>
            </w:r>
          </w:p>
          <w:p w:rsidR="001E7384" w:rsidRPr="004B3621" w:rsidRDefault="001E7384" w:rsidP="001E7384">
            <w:pPr>
              <w:keepNext/>
              <w:pBdr>
                <w:top w:val="nil"/>
                <w:left w:val="nil"/>
                <w:bottom w:val="nil"/>
                <w:right w:val="nil"/>
                <w:between w:val="nil"/>
                <w:bar w:val="nil"/>
              </w:pBdr>
              <w:tabs>
                <w:tab w:val="right" w:pos="9000"/>
              </w:tabs>
              <w:spacing w:after="0" w:line="360" w:lineRule="auto"/>
              <w:outlineLvl w:val="3"/>
              <w:rPr>
                <w:rFonts w:ascii="Arial" w:eastAsia="Arial Unicode MS" w:hAnsi="Arial" w:cs="Arial"/>
                <w:bCs/>
                <w:sz w:val="24"/>
                <w:szCs w:val="24"/>
                <w:u w:color="000000"/>
                <w:bdr w:val="nil"/>
                <w:lang w:val="en-US" w:eastAsia="en-GB"/>
              </w:rPr>
            </w:pPr>
            <w:r w:rsidRPr="004B3621">
              <w:rPr>
                <w:rFonts w:ascii="Arial" w:eastAsia="Arial Unicode MS" w:hAnsi="Arial" w:cs="Arial"/>
                <w:bCs/>
                <w:sz w:val="24"/>
                <w:szCs w:val="24"/>
                <w:u w:color="000000"/>
                <w:bdr w:val="nil"/>
                <w:lang w:eastAsia="en-GB"/>
              </w:rPr>
              <w:t xml:space="preserve">Strydo Construction CC                                                </w:t>
            </w:r>
            <w:r w:rsidRPr="004B3621">
              <w:rPr>
                <w:rFonts w:ascii="Arial" w:eastAsia="Arial Unicode MS" w:hAnsi="Arial" w:cs="Arial"/>
                <w:bCs/>
                <w:sz w:val="24"/>
                <w:szCs w:val="24"/>
                <w:u w:color="000000"/>
                <w:bdr w:val="nil"/>
                <w:lang w:val="en-US" w:eastAsia="en-GB"/>
              </w:rPr>
              <w:t>Plaintiff</w:t>
            </w:r>
          </w:p>
          <w:p w:rsidR="001E7384" w:rsidRPr="004B3621" w:rsidRDefault="001E7384" w:rsidP="001E7384">
            <w:pPr>
              <w:keepNext/>
              <w:pBdr>
                <w:top w:val="nil"/>
                <w:left w:val="nil"/>
                <w:bottom w:val="nil"/>
                <w:right w:val="nil"/>
                <w:between w:val="nil"/>
                <w:bar w:val="nil"/>
              </w:pBdr>
              <w:tabs>
                <w:tab w:val="right" w:pos="9000"/>
              </w:tabs>
              <w:spacing w:after="0" w:line="240" w:lineRule="auto"/>
              <w:jc w:val="both"/>
              <w:outlineLvl w:val="3"/>
              <w:rPr>
                <w:rFonts w:ascii="Arial" w:eastAsia="Arial Unicode MS" w:hAnsi="Arial" w:cs="Arial"/>
                <w:bCs/>
                <w:sz w:val="24"/>
                <w:szCs w:val="24"/>
                <w:u w:color="000000"/>
                <w:bdr w:val="nil"/>
                <w:lang w:val="en-US" w:eastAsia="en-GB"/>
              </w:rPr>
            </w:pPr>
          </w:p>
          <w:p w:rsidR="001E7384" w:rsidRPr="004B3621" w:rsidRDefault="001E7384" w:rsidP="001E7384">
            <w:pPr>
              <w:keepNext/>
              <w:pBdr>
                <w:top w:val="nil"/>
                <w:left w:val="nil"/>
                <w:bottom w:val="nil"/>
                <w:right w:val="nil"/>
                <w:between w:val="nil"/>
                <w:bar w:val="nil"/>
              </w:pBdr>
              <w:tabs>
                <w:tab w:val="right" w:pos="9000"/>
              </w:tabs>
              <w:spacing w:after="0" w:line="360" w:lineRule="auto"/>
              <w:jc w:val="both"/>
              <w:outlineLvl w:val="3"/>
              <w:rPr>
                <w:rFonts w:ascii="Arial" w:eastAsia="Arial Unicode MS" w:hAnsi="Arial" w:cs="Arial"/>
                <w:bCs/>
                <w:sz w:val="24"/>
                <w:szCs w:val="24"/>
                <w:u w:color="000000"/>
                <w:bdr w:val="nil"/>
                <w:lang w:val="en-US" w:eastAsia="en-GB"/>
              </w:rPr>
            </w:pPr>
            <w:r w:rsidRPr="004B3621">
              <w:rPr>
                <w:rFonts w:ascii="Arial" w:eastAsia="Arial Unicode MS" w:hAnsi="Arial" w:cs="Arial"/>
                <w:bCs/>
                <w:sz w:val="24"/>
                <w:szCs w:val="24"/>
                <w:u w:color="000000"/>
                <w:bdr w:val="nil"/>
                <w:lang w:val="en-US" w:eastAsia="en-GB"/>
              </w:rPr>
              <w:t xml:space="preserve">and </w:t>
            </w:r>
          </w:p>
          <w:p w:rsidR="001E7384" w:rsidRPr="004B3621" w:rsidRDefault="001E7384" w:rsidP="001E7384">
            <w:pPr>
              <w:keepNext/>
              <w:pBdr>
                <w:top w:val="nil"/>
                <w:left w:val="nil"/>
                <w:bottom w:val="nil"/>
                <w:right w:val="nil"/>
                <w:between w:val="nil"/>
                <w:bar w:val="nil"/>
              </w:pBdr>
              <w:tabs>
                <w:tab w:val="right" w:pos="9000"/>
              </w:tabs>
              <w:spacing w:after="0" w:line="240" w:lineRule="auto"/>
              <w:jc w:val="both"/>
              <w:outlineLvl w:val="3"/>
              <w:rPr>
                <w:rFonts w:ascii="Arial" w:eastAsia="Arial Unicode MS" w:hAnsi="Arial" w:cs="Arial"/>
                <w:bCs/>
                <w:sz w:val="24"/>
                <w:szCs w:val="24"/>
                <w:u w:color="000000"/>
                <w:bdr w:val="nil"/>
                <w:lang w:val="en-US" w:eastAsia="en-GB"/>
              </w:rPr>
            </w:pPr>
          </w:p>
          <w:p w:rsidR="001E7384" w:rsidRPr="004B3621" w:rsidRDefault="001E7384" w:rsidP="001E7384">
            <w:pPr>
              <w:keepNext/>
              <w:pBdr>
                <w:top w:val="nil"/>
                <w:left w:val="nil"/>
                <w:bottom w:val="nil"/>
                <w:right w:val="nil"/>
                <w:between w:val="nil"/>
                <w:bar w:val="nil"/>
              </w:pBdr>
              <w:tabs>
                <w:tab w:val="right" w:pos="6557"/>
              </w:tabs>
              <w:spacing w:after="0" w:line="360" w:lineRule="auto"/>
              <w:jc w:val="both"/>
              <w:outlineLvl w:val="3"/>
              <w:rPr>
                <w:rFonts w:ascii="Arial" w:eastAsia="Arial Unicode MS" w:hAnsi="Arial" w:cs="Arial"/>
                <w:bCs/>
                <w:sz w:val="24"/>
                <w:szCs w:val="24"/>
                <w:u w:color="000000"/>
                <w:bdr w:val="nil"/>
                <w:lang w:val="en-US" w:eastAsia="en-GB"/>
              </w:rPr>
            </w:pPr>
            <w:r w:rsidRPr="004B3621">
              <w:rPr>
                <w:rFonts w:ascii="Arial" w:eastAsia="Arial Unicode MS" w:hAnsi="Arial" w:cs="Arial"/>
                <w:bCs/>
                <w:sz w:val="24"/>
                <w:szCs w:val="24"/>
                <w:u w:color="000000"/>
                <w:bdr w:val="nil"/>
                <w:lang w:eastAsia="en-GB"/>
              </w:rPr>
              <w:t>Jason Gurirab                                                             Defendant</w:t>
            </w:r>
          </w:p>
          <w:p w:rsidR="001E7384" w:rsidRPr="004B3621" w:rsidRDefault="001E7384" w:rsidP="001E7384">
            <w:pPr>
              <w:keepNext/>
              <w:pBdr>
                <w:top w:val="nil"/>
                <w:left w:val="nil"/>
                <w:bottom w:val="nil"/>
                <w:right w:val="nil"/>
                <w:between w:val="nil"/>
                <w:bar w:val="nil"/>
              </w:pBdr>
              <w:tabs>
                <w:tab w:val="right" w:pos="6557"/>
                <w:tab w:val="right" w:pos="9000"/>
              </w:tabs>
              <w:spacing w:after="0" w:line="360" w:lineRule="auto"/>
              <w:jc w:val="both"/>
              <w:outlineLvl w:val="3"/>
              <w:rPr>
                <w:rFonts w:ascii="Arial" w:eastAsia="Arial Unicode MS" w:hAnsi="Arial" w:cs="Arial"/>
                <w:bCs/>
                <w:sz w:val="24"/>
                <w:szCs w:val="24"/>
                <w:u w:color="000000"/>
                <w:bdr w:val="nil"/>
                <w:lang w:val="en-US" w:eastAsia="en-GB"/>
              </w:rPr>
            </w:pPr>
          </w:p>
        </w:tc>
        <w:tc>
          <w:tcPr>
            <w:tcW w:w="3420" w:type="dxa"/>
            <w:shd w:val="clear" w:color="auto" w:fill="auto"/>
          </w:tcPr>
          <w:p w:rsidR="001E7384" w:rsidRPr="004B3621" w:rsidRDefault="001E7384" w:rsidP="001E7384">
            <w:pPr>
              <w:spacing w:after="0" w:line="360" w:lineRule="auto"/>
              <w:jc w:val="both"/>
              <w:rPr>
                <w:rFonts w:ascii="Arial" w:eastAsia="Calibri" w:hAnsi="Arial" w:cs="Arial"/>
                <w:sz w:val="24"/>
                <w:szCs w:val="24"/>
                <w:lang w:val="en-ZA"/>
              </w:rPr>
            </w:pPr>
            <w:r w:rsidRPr="004B3621">
              <w:rPr>
                <w:rFonts w:ascii="Arial" w:eastAsia="Calibri" w:hAnsi="Arial" w:cs="Arial"/>
                <w:b/>
                <w:sz w:val="24"/>
                <w:szCs w:val="24"/>
                <w:lang w:val="en-ZA"/>
              </w:rPr>
              <w:t>Case No:</w:t>
            </w:r>
          </w:p>
          <w:p w:rsidR="001E7384" w:rsidRPr="004B3621" w:rsidRDefault="001E7384" w:rsidP="001E7384">
            <w:pPr>
              <w:spacing w:after="0" w:line="360" w:lineRule="auto"/>
              <w:jc w:val="both"/>
              <w:rPr>
                <w:rFonts w:ascii="Arial" w:eastAsia="Calibri" w:hAnsi="Arial" w:cs="Arial"/>
                <w:b/>
                <w:sz w:val="24"/>
                <w:szCs w:val="24"/>
                <w:lang w:val="en-ZA"/>
              </w:rPr>
            </w:pPr>
            <w:r w:rsidRPr="004B3621">
              <w:rPr>
                <w:rFonts w:ascii="Arial" w:eastAsia="Arial" w:hAnsi="Arial" w:cs="Arial"/>
                <w:sz w:val="24"/>
                <w:szCs w:val="24"/>
              </w:rPr>
              <w:t>HC-MD-CIV-ACT-OTH-2022/02180</w:t>
            </w:r>
          </w:p>
        </w:tc>
      </w:tr>
      <w:tr w:rsidR="004B3621" w:rsidRPr="004B3621" w:rsidTr="005D5B40">
        <w:trPr>
          <w:trHeight w:val="1223"/>
        </w:trPr>
        <w:tc>
          <w:tcPr>
            <w:tcW w:w="6773" w:type="dxa"/>
            <w:gridSpan w:val="2"/>
            <w:vMerge/>
            <w:shd w:val="clear" w:color="auto" w:fill="auto"/>
          </w:tcPr>
          <w:p w:rsidR="001E7384" w:rsidRPr="004B3621" w:rsidRDefault="001E7384" w:rsidP="001E7384">
            <w:pPr>
              <w:spacing w:after="0" w:line="360" w:lineRule="auto"/>
              <w:jc w:val="both"/>
              <w:rPr>
                <w:rFonts w:ascii="Arial" w:eastAsia="Calibri" w:hAnsi="Arial" w:cs="Arial"/>
                <w:sz w:val="24"/>
                <w:szCs w:val="24"/>
                <w:lang w:val="en-ZA"/>
              </w:rPr>
            </w:pPr>
          </w:p>
        </w:tc>
        <w:tc>
          <w:tcPr>
            <w:tcW w:w="3420" w:type="dxa"/>
            <w:shd w:val="clear" w:color="auto" w:fill="auto"/>
          </w:tcPr>
          <w:p w:rsidR="001E7384" w:rsidRPr="004B3621" w:rsidRDefault="001E7384" w:rsidP="001E7384">
            <w:pPr>
              <w:spacing w:after="0" w:line="360" w:lineRule="auto"/>
              <w:jc w:val="both"/>
              <w:rPr>
                <w:rFonts w:ascii="Arial" w:eastAsia="Calibri" w:hAnsi="Arial" w:cs="Arial"/>
                <w:sz w:val="24"/>
                <w:szCs w:val="24"/>
                <w:lang w:val="en-ZA"/>
              </w:rPr>
            </w:pPr>
            <w:r w:rsidRPr="004B3621">
              <w:rPr>
                <w:rFonts w:ascii="Arial" w:eastAsia="Calibri" w:hAnsi="Arial" w:cs="Arial"/>
                <w:b/>
                <w:sz w:val="24"/>
                <w:szCs w:val="24"/>
                <w:lang w:val="en-ZA"/>
              </w:rPr>
              <w:t>Division of Court:</w:t>
            </w:r>
          </w:p>
          <w:p w:rsidR="001E7384" w:rsidRPr="004B3621" w:rsidRDefault="001E7384" w:rsidP="001E7384">
            <w:pPr>
              <w:spacing w:after="0" w:line="360" w:lineRule="auto"/>
              <w:jc w:val="both"/>
              <w:rPr>
                <w:rFonts w:ascii="Arial" w:eastAsia="Calibri" w:hAnsi="Arial" w:cs="Arial"/>
                <w:sz w:val="24"/>
                <w:szCs w:val="24"/>
                <w:lang w:val="en-ZA"/>
              </w:rPr>
            </w:pPr>
            <w:r w:rsidRPr="004B3621">
              <w:rPr>
                <w:rFonts w:ascii="Arial" w:eastAsia="Calibri" w:hAnsi="Arial" w:cs="Arial"/>
                <w:sz w:val="24"/>
                <w:szCs w:val="24"/>
                <w:lang w:val="en-ZA"/>
              </w:rPr>
              <w:t>High Court, Main Division</w:t>
            </w:r>
          </w:p>
        </w:tc>
      </w:tr>
      <w:tr w:rsidR="004B3621" w:rsidRPr="004B3621" w:rsidTr="005D5B40">
        <w:trPr>
          <w:trHeight w:val="645"/>
        </w:trPr>
        <w:tc>
          <w:tcPr>
            <w:tcW w:w="6773" w:type="dxa"/>
            <w:gridSpan w:val="2"/>
            <w:vMerge w:val="restart"/>
            <w:shd w:val="clear" w:color="auto" w:fill="auto"/>
          </w:tcPr>
          <w:p w:rsidR="001E7384" w:rsidRPr="004B3621" w:rsidRDefault="001E7384" w:rsidP="001E7384">
            <w:pPr>
              <w:spacing w:after="0" w:line="360" w:lineRule="auto"/>
              <w:jc w:val="both"/>
              <w:rPr>
                <w:rFonts w:ascii="Arial" w:eastAsia="Calibri" w:hAnsi="Arial" w:cs="Arial"/>
                <w:b/>
                <w:sz w:val="24"/>
                <w:szCs w:val="24"/>
                <w:lang w:val="en-ZA"/>
              </w:rPr>
            </w:pPr>
            <w:r w:rsidRPr="004B3621">
              <w:rPr>
                <w:rFonts w:ascii="Arial" w:eastAsia="Calibri" w:hAnsi="Arial" w:cs="Arial"/>
                <w:b/>
                <w:sz w:val="24"/>
                <w:szCs w:val="24"/>
                <w:lang w:val="en-ZA"/>
              </w:rPr>
              <w:t>Coram:</w:t>
            </w:r>
          </w:p>
          <w:p w:rsidR="001E7384" w:rsidRPr="004B3621" w:rsidRDefault="001E7384" w:rsidP="001E7384">
            <w:pPr>
              <w:spacing w:after="0" w:line="360" w:lineRule="auto"/>
              <w:jc w:val="both"/>
              <w:rPr>
                <w:rFonts w:ascii="Arial" w:eastAsia="Calibri" w:hAnsi="Arial" w:cs="Arial"/>
                <w:sz w:val="24"/>
                <w:szCs w:val="24"/>
                <w:lang w:val="en-ZA"/>
              </w:rPr>
            </w:pPr>
            <w:r w:rsidRPr="004B3621">
              <w:rPr>
                <w:rFonts w:ascii="Arial" w:eastAsia="Calibri" w:hAnsi="Arial" w:cs="Arial"/>
                <w:sz w:val="24"/>
                <w:szCs w:val="24"/>
                <w:lang w:val="en-US"/>
              </w:rPr>
              <w:t xml:space="preserve">HONOURABLE </w:t>
            </w:r>
            <w:r w:rsidR="007F02BD">
              <w:rPr>
                <w:rFonts w:ascii="Arial" w:eastAsia="Calibri" w:hAnsi="Arial" w:cs="Arial"/>
                <w:sz w:val="24"/>
                <w:szCs w:val="24"/>
                <w:lang w:val="en-US"/>
              </w:rPr>
              <w:t xml:space="preserve">LADY </w:t>
            </w:r>
            <w:r w:rsidRPr="004B3621">
              <w:rPr>
                <w:rFonts w:ascii="Arial" w:eastAsia="Calibri" w:hAnsi="Arial" w:cs="Arial"/>
                <w:sz w:val="24"/>
                <w:szCs w:val="24"/>
                <w:lang w:val="en-US"/>
              </w:rPr>
              <w:t>JUSTICE CLAASEN</w:t>
            </w:r>
          </w:p>
        </w:tc>
        <w:tc>
          <w:tcPr>
            <w:tcW w:w="3420" w:type="dxa"/>
            <w:shd w:val="clear" w:color="auto" w:fill="auto"/>
          </w:tcPr>
          <w:p w:rsidR="001E7384" w:rsidRPr="004B3621" w:rsidRDefault="001E7384" w:rsidP="001E7384">
            <w:pPr>
              <w:spacing w:after="0" w:line="360" w:lineRule="auto"/>
              <w:jc w:val="both"/>
              <w:rPr>
                <w:rFonts w:ascii="Arial" w:eastAsia="Calibri" w:hAnsi="Arial" w:cs="Arial"/>
                <w:b/>
                <w:sz w:val="24"/>
                <w:szCs w:val="24"/>
                <w:lang w:val="en-ZA"/>
              </w:rPr>
            </w:pPr>
            <w:r w:rsidRPr="004B3621">
              <w:rPr>
                <w:rFonts w:ascii="Arial" w:eastAsia="Calibri" w:hAnsi="Arial" w:cs="Arial"/>
                <w:b/>
                <w:sz w:val="24"/>
                <w:szCs w:val="24"/>
                <w:lang w:val="en-ZA"/>
              </w:rPr>
              <w:t>Heard:</w:t>
            </w:r>
          </w:p>
          <w:p w:rsidR="001E7384" w:rsidRPr="004B3621" w:rsidRDefault="001E7384" w:rsidP="001E7384">
            <w:pPr>
              <w:spacing w:after="0" w:line="360" w:lineRule="auto"/>
              <w:rPr>
                <w:rFonts w:ascii="Arial" w:eastAsia="Calibri" w:hAnsi="Arial" w:cs="Arial"/>
                <w:sz w:val="24"/>
                <w:szCs w:val="24"/>
                <w:lang w:val="en-ZA"/>
              </w:rPr>
            </w:pPr>
            <w:r w:rsidRPr="004B3621">
              <w:rPr>
                <w:rFonts w:ascii="Arial" w:eastAsia="Calibri" w:hAnsi="Arial" w:cs="Arial"/>
                <w:sz w:val="24"/>
                <w:szCs w:val="24"/>
                <w:lang w:val="en-ZA"/>
              </w:rPr>
              <w:t>30 August 2023</w:t>
            </w:r>
          </w:p>
        </w:tc>
      </w:tr>
      <w:tr w:rsidR="004B3621" w:rsidRPr="004B3621" w:rsidTr="005D5B40">
        <w:trPr>
          <w:trHeight w:val="588"/>
        </w:trPr>
        <w:tc>
          <w:tcPr>
            <w:tcW w:w="6773" w:type="dxa"/>
            <w:gridSpan w:val="2"/>
            <w:vMerge/>
            <w:shd w:val="clear" w:color="auto" w:fill="auto"/>
          </w:tcPr>
          <w:p w:rsidR="001E7384" w:rsidRPr="004B3621" w:rsidRDefault="001E7384" w:rsidP="001E7384">
            <w:pPr>
              <w:spacing w:after="0" w:line="360" w:lineRule="auto"/>
              <w:jc w:val="both"/>
              <w:rPr>
                <w:rFonts w:ascii="Arial" w:eastAsia="Calibri" w:hAnsi="Arial" w:cs="Arial"/>
                <w:b/>
                <w:sz w:val="24"/>
                <w:szCs w:val="24"/>
                <w:lang w:val="en-ZA"/>
              </w:rPr>
            </w:pPr>
          </w:p>
        </w:tc>
        <w:tc>
          <w:tcPr>
            <w:tcW w:w="3420" w:type="dxa"/>
            <w:shd w:val="clear" w:color="auto" w:fill="auto"/>
          </w:tcPr>
          <w:p w:rsidR="001E7384" w:rsidRPr="004B3621" w:rsidRDefault="001E7384" w:rsidP="001E7384">
            <w:pPr>
              <w:spacing w:after="0" w:line="360" w:lineRule="auto"/>
              <w:jc w:val="both"/>
              <w:rPr>
                <w:rFonts w:ascii="Arial" w:eastAsia="Calibri" w:hAnsi="Arial" w:cs="Arial"/>
                <w:b/>
                <w:sz w:val="24"/>
                <w:szCs w:val="24"/>
                <w:lang w:val="en-ZA"/>
              </w:rPr>
            </w:pPr>
            <w:r w:rsidRPr="004B3621">
              <w:rPr>
                <w:rFonts w:ascii="Arial" w:eastAsia="Calibri" w:hAnsi="Arial" w:cs="Arial"/>
                <w:b/>
                <w:sz w:val="24"/>
                <w:szCs w:val="24"/>
                <w:lang w:val="en-ZA"/>
              </w:rPr>
              <w:t>Delivered:</w:t>
            </w:r>
          </w:p>
          <w:p w:rsidR="001E7384" w:rsidRPr="004B3621" w:rsidRDefault="001E7384" w:rsidP="001E7384">
            <w:pPr>
              <w:spacing w:after="0" w:line="360" w:lineRule="auto"/>
              <w:jc w:val="both"/>
              <w:rPr>
                <w:rFonts w:ascii="Arial" w:eastAsia="Calibri" w:hAnsi="Arial" w:cs="Arial"/>
                <w:bCs/>
                <w:sz w:val="24"/>
                <w:szCs w:val="24"/>
                <w:lang w:val="en-US"/>
              </w:rPr>
            </w:pPr>
            <w:r w:rsidRPr="004B3621">
              <w:rPr>
                <w:rFonts w:ascii="Arial" w:eastAsia="Calibri" w:hAnsi="Arial" w:cs="Arial"/>
                <w:bCs/>
                <w:sz w:val="24"/>
                <w:szCs w:val="24"/>
                <w:lang w:val="en-US"/>
              </w:rPr>
              <w:t>13 September 2023</w:t>
            </w:r>
          </w:p>
        </w:tc>
      </w:tr>
      <w:tr w:rsidR="004B3621" w:rsidRPr="004B3621" w:rsidTr="005D5B40">
        <w:trPr>
          <w:trHeight w:val="710"/>
        </w:trPr>
        <w:tc>
          <w:tcPr>
            <w:tcW w:w="10193" w:type="dxa"/>
            <w:gridSpan w:val="3"/>
            <w:shd w:val="clear" w:color="auto" w:fill="auto"/>
          </w:tcPr>
          <w:p w:rsidR="001E7384" w:rsidRPr="004B3621" w:rsidRDefault="001E7384" w:rsidP="007F02BD">
            <w:pPr>
              <w:keepNext/>
              <w:pBdr>
                <w:top w:val="nil"/>
                <w:left w:val="nil"/>
                <w:bottom w:val="nil"/>
                <w:right w:val="nil"/>
                <w:between w:val="nil"/>
                <w:bar w:val="nil"/>
              </w:pBdr>
              <w:tabs>
                <w:tab w:val="right" w:pos="9000"/>
              </w:tabs>
              <w:spacing w:after="0" w:line="360" w:lineRule="auto"/>
              <w:ind w:left="2005" w:hanging="2005"/>
              <w:jc w:val="both"/>
              <w:outlineLvl w:val="3"/>
              <w:rPr>
                <w:rFonts w:ascii="Arial" w:eastAsia="Arial Unicode MS" w:hAnsi="Arial" w:cs="Arial"/>
                <w:bCs/>
                <w:iCs/>
                <w:sz w:val="24"/>
                <w:szCs w:val="24"/>
                <w:u w:color="000000"/>
                <w:bdr w:val="nil"/>
                <w:lang w:val="en-US" w:eastAsia="en-GB"/>
              </w:rPr>
            </w:pPr>
            <w:r w:rsidRPr="004B3621">
              <w:rPr>
                <w:rFonts w:ascii="Arial" w:eastAsia="Arial Unicode MS" w:hAnsi="Arial" w:cs="Arial"/>
                <w:b/>
                <w:sz w:val="24"/>
                <w:szCs w:val="24"/>
                <w:u w:color="000000"/>
                <w:bdr w:val="nil"/>
                <w:lang w:val="en-ZA" w:eastAsia="en-GB"/>
              </w:rPr>
              <w:t>Neutral citation</w:t>
            </w:r>
            <w:r w:rsidRPr="004B3621">
              <w:rPr>
                <w:rFonts w:ascii="Arial" w:eastAsia="Arial Unicode MS" w:hAnsi="Arial" w:cs="Arial"/>
                <w:b/>
                <w:i/>
                <w:sz w:val="24"/>
                <w:szCs w:val="24"/>
                <w:u w:color="000000"/>
                <w:bdr w:val="nil"/>
                <w:lang w:val="en-ZA" w:eastAsia="en-GB"/>
              </w:rPr>
              <w:t xml:space="preserve">: </w:t>
            </w:r>
            <w:bookmarkStart w:id="0" w:name="_GoBack"/>
            <w:r w:rsidRPr="004B3621">
              <w:rPr>
                <w:rFonts w:ascii="Arial" w:eastAsia="Arial Unicode MS" w:hAnsi="Arial" w:cs="Arial"/>
                <w:bCs/>
                <w:i/>
                <w:sz w:val="24"/>
                <w:szCs w:val="24"/>
                <w:u w:color="000000"/>
                <w:bdr w:val="nil"/>
                <w:lang w:eastAsia="en-GB"/>
              </w:rPr>
              <w:t xml:space="preserve">Strydo Construction CC </w:t>
            </w:r>
            <w:r w:rsidRPr="004B3621">
              <w:rPr>
                <w:rFonts w:ascii="Arial" w:eastAsia="Arial Unicode MS" w:hAnsi="Arial" w:cs="Arial"/>
                <w:bCs/>
                <w:i/>
                <w:sz w:val="24"/>
                <w:szCs w:val="24"/>
                <w:u w:color="000000"/>
                <w:bdr w:val="nil"/>
                <w:lang w:val="en-US" w:eastAsia="en-GB"/>
              </w:rPr>
              <w:t xml:space="preserve">v Gurirab </w:t>
            </w:r>
            <w:r w:rsidRPr="004B3621">
              <w:rPr>
                <w:rFonts w:ascii="Arial" w:eastAsia="Arial Unicode MS" w:hAnsi="Arial" w:cs="Arial"/>
                <w:bCs/>
                <w:sz w:val="24"/>
                <w:szCs w:val="24"/>
                <w:u w:color="000000"/>
                <w:bdr w:val="nil"/>
                <w:lang w:val="en-US" w:eastAsia="en-GB"/>
              </w:rPr>
              <w:t>(</w:t>
            </w:r>
            <w:r w:rsidRPr="004B3621">
              <w:rPr>
                <w:rFonts w:ascii="Arial" w:eastAsia="Arial" w:hAnsi="Arial" w:cs="Arial"/>
                <w:sz w:val="24"/>
                <w:szCs w:val="24"/>
              </w:rPr>
              <w:t>HC-MD-CIV-ACT-OTH-2022/02180</w:t>
            </w:r>
            <w:r w:rsidRPr="004B3621">
              <w:rPr>
                <w:rFonts w:ascii="Arial" w:eastAsia="Arial" w:hAnsi="Arial" w:cs="Arial"/>
                <w:sz w:val="24"/>
                <w:szCs w:val="24"/>
                <w:u w:color="000000"/>
                <w:bdr w:val="nil"/>
                <w:lang w:val="en-US" w:eastAsia="en-GB"/>
              </w:rPr>
              <w:t>)</w:t>
            </w:r>
            <w:r w:rsidRPr="004B3621">
              <w:rPr>
                <w:rFonts w:ascii="Arial" w:eastAsia="Arial Unicode MS" w:hAnsi="Arial" w:cs="Arial"/>
                <w:bCs/>
                <w:sz w:val="24"/>
                <w:szCs w:val="24"/>
                <w:u w:color="000000"/>
                <w:bdr w:val="nil"/>
                <w:lang w:val="en-US" w:eastAsia="en-GB"/>
              </w:rPr>
              <w:t xml:space="preserve"> </w:t>
            </w:r>
            <w:r w:rsidRPr="004B3621">
              <w:rPr>
                <w:rFonts w:ascii="Arial" w:eastAsia="Arial Unicode MS" w:hAnsi="Arial" w:cs="Arial"/>
                <w:bCs/>
                <w:iCs/>
                <w:sz w:val="24"/>
                <w:szCs w:val="24"/>
                <w:u w:color="000000"/>
                <w:bdr w:val="nil"/>
                <w:lang w:val="en-US" w:eastAsia="en-GB"/>
              </w:rPr>
              <w:t>[2023] NAHCMD</w:t>
            </w:r>
            <w:r w:rsidR="001A7A35">
              <w:rPr>
                <w:rFonts w:ascii="Arial" w:eastAsia="Arial Unicode MS" w:hAnsi="Arial" w:cs="Arial"/>
                <w:bCs/>
                <w:iCs/>
                <w:sz w:val="24"/>
                <w:szCs w:val="24"/>
                <w:u w:color="000000"/>
                <w:bdr w:val="nil"/>
                <w:lang w:val="en-US" w:eastAsia="en-GB"/>
              </w:rPr>
              <w:t xml:space="preserve"> 566</w:t>
            </w:r>
            <w:r w:rsidR="003030FA">
              <w:rPr>
                <w:rFonts w:ascii="Arial" w:eastAsia="Arial Unicode MS" w:hAnsi="Arial" w:cs="Arial"/>
                <w:bCs/>
                <w:iCs/>
                <w:sz w:val="24"/>
                <w:szCs w:val="24"/>
                <w:u w:color="000000"/>
                <w:bdr w:val="nil"/>
                <w:lang w:val="en-US" w:eastAsia="en-GB"/>
              </w:rPr>
              <w:t xml:space="preserve"> </w:t>
            </w:r>
            <w:r w:rsidRPr="004B3621">
              <w:rPr>
                <w:rFonts w:ascii="Arial" w:eastAsia="Arial Unicode MS" w:hAnsi="Arial" w:cs="Arial"/>
                <w:bCs/>
                <w:iCs/>
                <w:sz w:val="24"/>
                <w:szCs w:val="24"/>
                <w:u w:color="000000"/>
                <w:bdr w:val="nil"/>
                <w:lang w:val="en-US" w:eastAsia="en-GB"/>
              </w:rPr>
              <w:t xml:space="preserve">(13 </w:t>
            </w:r>
            <w:r w:rsidRPr="004B3621">
              <w:rPr>
                <w:rFonts w:ascii="Arial" w:eastAsia="Calibri" w:hAnsi="Arial" w:cs="Arial"/>
                <w:bCs/>
                <w:sz w:val="24"/>
                <w:szCs w:val="24"/>
                <w:lang w:val="en-US"/>
              </w:rPr>
              <w:t>September</w:t>
            </w:r>
            <w:r w:rsidRPr="004B3621">
              <w:rPr>
                <w:rFonts w:ascii="Arial" w:eastAsia="Arial Unicode MS" w:hAnsi="Arial" w:cs="Arial"/>
                <w:bCs/>
                <w:iCs/>
                <w:sz w:val="24"/>
                <w:szCs w:val="24"/>
                <w:u w:color="000000"/>
                <w:bdr w:val="nil"/>
                <w:lang w:val="en-US" w:eastAsia="en-GB"/>
              </w:rPr>
              <w:t xml:space="preserve"> 2023)</w:t>
            </w:r>
            <w:bookmarkEnd w:id="0"/>
          </w:p>
        </w:tc>
      </w:tr>
      <w:tr w:rsidR="004B3621" w:rsidRPr="004B3621" w:rsidTr="005D5B40">
        <w:tc>
          <w:tcPr>
            <w:tcW w:w="10193" w:type="dxa"/>
            <w:gridSpan w:val="3"/>
            <w:shd w:val="clear" w:color="auto" w:fill="auto"/>
          </w:tcPr>
          <w:p w:rsidR="001E7384" w:rsidRPr="004B3621" w:rsidRDefault="001E7384" w:rsidP="001E7384">
            <w:pPr>
              <w:tabs>
                <w:tab w:val="left" w:pos="2100"/>
              </w:tabs>
              <w:spacing w:after="0" w:line="360" w:lineRule="auto"/>
              <w:jc w:val="both"/>
              <w:rPr>
                <w:rFonts w:ascii="Arial" w:eastAsia="Calibri" w:hAnsi="Arial" w:cs="Arial"/>
                <w:b/>
                <w:sz w:val="24"/>
                <w:szCs w:val="24"/>
                <w:lang w:val="en-ZA"/>
              </w:rPr>
            </w:pPr>
            <w:r w:rsidRPr="004B3621">
              <w:rPr>
                <w:rFonts w:ascii="Arial" w:eastAsia="Calibri" w:hAnsi="Arial" w:cs="Arial"/>
                <w:b/>
                <w:sz w:val="24"/>
                <w:szCs w:val="24"/>
                <w:lang w:val="en-ZA"/>
              </w:rPr>
              <w:t>Order:</w:t>
            </w:r>
            <w:r w:rsidRPr="004B3621">
              <w:rPr>
                <w:rFonts w:ascii="Arial" w:eastAsia="Calibri" w:hAnsi="Arial" w:cs="Arial"/>
                <w:b/>
                <w:sz w:val="24"/>
                <w:szCs w:val="24"/>
                <w:lang w:val="en-ZA"/>
              </w:rPr>
              <w:tab/>
            </w:r>
          </w:p>
          <w:p w:rsidR="005D5B40" w:rsidRDefault="000D669D" w:rsidP="00BB7C32">
            <w:pPr>
              <w:pStyle w:val="ListParagraph"/>
              <w:numPr>
                <w:ilvl w:val="0"/>
                <w:numId w:val="11"/>
              </w:numPr>
              <w:spacing w:line="360" w:lineRule="auto"/>
              <w:rPr>
                <w:sz w:val="24"/>
                <w:szCs w:val="24"/>
              </w:rPr>
            </w:pPr>
            <w:r w:rsidRPr="00BB7C32">
              <w:rPr>
                <w:sz w:val="24"/>
                <w:szCs w:val="24"/>
              </w:rPr>
              <w:t xml:space="preserve">The application for condoning the defendant’s failure to </w:t>
            </w:r>
            <w:r w:rsidR="0002003F" w:rsidRPr="00BB7C32">
              <w:rPr>
                <w:sz w:val="24"/>
                <w:szCs w:val="24"/>
              </w:rPr>
              <w:t xml:space="preserve">file a plea as ordered in </w:t>
            </w:r>
            <w:r w:rsidR="007F02BD">
              <w:rPr>
                <w:sz w:val="24"/>
                <w:szCs w:val="24"/>
              </w:rPr>
              <w:t xml:space="preserve">the </w:t>
            </w:r>
            <w:r w:rsidR="0002003F" w:rsidRPr="00BB7C32">
              <w:rPr>
                <w:sz w:val="24"/>
                <w:szCs w:val="24"/>
              </w:rPr>
              <w:t xml:space="preserve">court order </w:t>
            </w:r>
            <w:r w:rsidR="005D5B40" w:rsidRPr="00BB7C32">
              <w:rPr>
                <w:sz w:val="24"/>
                <w:szCs w:val="24"/>
              </w:rPr>
              <w:t>of 26</w:t>
            </w:r>
            <w:r w:rsidR="0002003F" w:rsidRPr="00BB7C32">
              <w:rPr>
                <w:sz w:val="24"/>
                <w:szCs w:val="24"/>
              </w:rPr>
              <w:t xml:space="preserve"> October 2022</w:t>
            </w:r>
            <w:r w:rsidRPr="00BB7C32">
              <w:rPr>
                <w:sz w:val="24"/>
                <w:szCs w:val="24"/>
              </w:rPr>
              <w:t xml:space="preserve"> is refused</w:t>
            </w:r>
            <w:r w:rsidR="005D5B40">
              <w:rPr>
                <w:sz w:val="24"/>
                <w:szCs w:val="24"/>
              </w:rPr>
              <w:t>.</w:t>
            </w:r>
          </w:p>
          <w:p w:rsidR="00BB7C32" w:rsidRPr="00BB7C32" w:rsidRDefault="005D5B40" w:rsidP="00BB7C32">
            <w:pPr>
              <w:pStyle w:val="ListParagraph"/>
              <w:numPr>
                <w:ilvl w:val="0"/>
                <w:numId w:val="11"/>
              </w:numPr>
              <w:spacing w:line="360" w:lineRule="auto"/>
              <w:rPr>
                <w:sz w:val="24"/>
                <w:szCs w:val="24"/>
              </w:rPr>
            </w:pPr>
            <w:r>
              <w:rPr>
                <w:sz w:val="24"/>
                <w:szCs w:val="24"/>
              </w:rPr>
              <w:t>The defendant to pay the plaintiff’s costs occasioned by this application</w:t>
            </w:r>
            <w:r w:rsidR="000D669D" w:rsidRPr="00BB7C32">
              <w:rPr>
                <w:sz w:val="24"/>
                <w:szCs w:val="24"/>
              </w:rPr>
              <w:t xml:space="preserve">, </w:t>
            </w:r>
            <w:r w:rsidR="000D669D" w:rsidRPr="00BB7C32">
              <w:rPr>
                <w:rFonts w:eastAsia="Arial Unicode MS"/>
                <w:sz w:val="24"/>
                <w:szCs w:val="24"/>
                <w:u w:color="000000"/>
                <w:bdr w:val="nil"/>
                <w:lang w:eastAsia="en-GB"/>
              </w:rPr>
              <w:t>such costs</w:t>
            </w:r>
            <w:r w:rsidR="000D669D" w:rsidRPr="00BB7C32">
              <w:rPr>
                <w:rFonts w:eastAsia="Calibri"/>
                <w:sz w:val="24"/>
                <w:szCs w:val="24"/>
              </w:rPr>
              <w:t xml:space="preserve"> to be capped in terms of rule 32(11).</w:t>
            </w:r>
          </w:p>
          <w:p w:rsidR="001E7384" w:rsidRPr="00BB7C32" w:rsidRDefault="007F02BD" w:rsidP="00BB7C32">
            <w:pPr>
              <w:pStyle w:val="ListParagraph"/>
              <w:numPr>
                <w:ilvl w:val="0"/>
                <w:numId w:val="11"/>
              </w:numPr>
              <w:spacing w:line="360" w:lineRule="auto"/>
              <w:rPr>
                <w:sz w:val="24"/>
                <w:szCs w:val="24"/>
              </w:rPr>
            </w:pPr>
            <w:r>
              <w:rPr>
                <w:sz w:val="24"/>
                <w:szCs w:val="24"/>
              </w:rPr>
              <w:t xml:space="preserve">The matter is postponed to </w:t>
            </w:r>
            <w:r w:rsidR="000D669D" w:rsidRPr="00BB7C32">
              <w:rPr>
                <w:sz w:val="24"/>
                <w:szCs w:val="24"/>
              </w:rPr>
              <w:t>4 October 2023 at 08:30</w:t>
            </w:r>
            <w:r w:rsidR="0002003F" w:rsidRPr="00BB7C32">
              <w:rPr>
                <w:sz w:val="24"/>
                <w:szCs w:val="24"/>
              </w:rPr>
              <w:t xml:space="preserve"> for Status Hearing and parties to file a joint status report no later than 28 September 2023.</w:t>
            </w:r>
          </w:p>
        </w:tc>
      </w:tr>
      <w:tr w:rsidR="004B3621" w:rsidRPr="004B3621" w:rsidTr="005D5B40">
        <w:tc>
          <w:tcPr>
            <w:tcW w:w="10193" w:type="dxa"/>
            <w:gridSpan w:val="3"/>
            <w:shd w:val="clear" w:color="auto" w:fill="auto"/>
          </w:tcPr>
          <w:p w:rsidR="001E7384" w:rsidRPr="004B3621" w:rsidRDefault="001E7384" w:rsidP="001E7384">
            <w:pPr>
              <w:spacing w:after="0" w:line="360" w:lineRule="auto"/>
              <w:jc w:val="both"/>
              <w:rPr>
                <w:rFonts w:ascii="Arial" w:eastAsia="Calibri" w:hAnsi="Arial" w:cs="Arial"/>
                <w:b/>
                <w:sz w:val="24"/>
                <w:szCs w:val="24"/>
                <w:lang w:val="en-ZA"/>
              </w:rPr>
            </w:pPr>
            <w:r w:rsidRPr="004B3621">
              <w:rPr>
                <w:rFonts w:ascii="Arial" w:eastAsia="Calibri" w:hAnsi="Arial" w:cs="Arial"/>
                <w:b/>
                <w:sz w:val="24"/>
                <w:szCs w:val="24"/>
                <w:lang w:val="en-ZA"/>
              </w:rPr>
              <w:t>Ruling:</w:t>
            </w:r>
          </w:p>
        </w:tc>
      </w:tr>
      <w:tr w:rsidR="004B3621" w:rsidRPr="004B3621" w:rsidTr="005D5B40">
        <w:tc>
          <w:tcPr>
            <w:tcW w:w="10193" w:type="dxa"/>
            <w:gridSpan w:val="3"/>
            <w:shd w:val="clear" w:color="auto" w:fill="auto"/>
          </w:tcPr>
          <w:p w:rsidR="00AA4E69" w:rsidRDefault="00AA4E69" w:rsidP="001E7384">
            <w:pPr>
              <w:spacing w:after="0" w:line="360" w:lineRule="auto"/>
              <w:jc w:val="both"/>
              <w:rPr>
                <w:rFonts w:ascii="Arial" w:eastAsia="Calibri" w:hAnsi="Arial" w:cs="Arial"/>
                <w:sz w:val="24"/>
                <w:szCs w:val="24"/>
                <w:lang w:val="en-ZA"/>
              </w:rPr>
            </w:pPr>
          </w:p>
          <w:p w:rsidR="007F02BD" w:rsidRDefault="001E7384" w:rsidP="007F02BD">
            <w:pPr>
              <w:spacing w:after="0" w:line="360" w:lineRule="auto"/>
              <w:jc w:val="both"/>
              <w:rPr>
                <w:rFonts w:ascii="Arial" w:eastAsia="Calibri" w:hAnsi="Arial" w:cs="Arial"/>
                <w:sz w:val="24"/>
                <w:szCs w:val="24"/>
                <w:lang w:val="af-ZA"/>
              </w:rPr>
            </w:pPr>
            <w:r w:rsidRPr="004B3621">
              <w:rPr>
                <w:rFonts w:ascii="Arial" w:eastAsia="Calibri" w:hAnsi="Arial" w:cs="Arial"/>
                <w:sz w:val="24"/>
                <w:szCs w:val="24"/>
                <w:lang w:val="en-ZA"/>
              </w:rPr>
              <w:t xml:space="preserve">CLAASEN J </w:t>
            </w:r>
            <w:r w:rsidRPr="004B3621">
              <w:rPr>
                <w:rFonts w:ascii="Arial" w:eastAsia="Calibri" w:hAnsi="Arial" w:cs="Arial"/>
                <w:sz w:val="24"/>
                <w:szCs w:val="24"/>
                <w:lang w:val="af-ZA"/>
              </w:rPr>
              <w:t xml:space="preserve">: </w:t>
            </w:r>
          </w:p>
          <w:p w:rsidR="007F02BD" w:rsidRPr="007F02BD" w:rsidRDefault="007F02BD" w:rsidP="007F02BD">
            <w:pPr>
              <w:spacing w:after="0" w:line="240" w:lineRule="auto"/>
              <w:jc w:val="both"/>
              <w:rPr>
                <w:rFonts w:ascii="Arial" w:eastAsia="Calibri" w:hAnsi="Arial" w:cs="Arial"/>
                <w:sz w:val="24"/>
                <w:szCs w:val="24"/>
                <w:lang w:val="af-ZA"/>
              </w:rPr>
            </w:pPr>
          </w:p>
          <w:p w:rsidR="00BB7C32" w:rsidRDefault="001E7384" w:rsidP="00BB7C32">
            <w:pPr>
              <w:pBdr>
                <w:top w:val="nil"/>
                <w:left w:val="nil"/>
                <w:bottom w:val="nil"/>
                <w:right w:val="nil"/>
                <w:between w:val="nil"/>
                <w:bar w:val="nil"/>
              </w:pBdr>
              <w:spacing w:after="0" w:line="360" w:lineRule="auto"/>
              <w:jc w:val="both"/>
              <w:rPr>
                <w:rFonts w:ascii="Arial" w:eastAsia="Arial" w:hAnsi="Arial" w:cs="Arial"/>
                <w:sz w:val="24"/>
                <w:szCs w:val="24"/>
                <w:u w:val="single" w:color="000000"/>
                <w:bdr w:val="nil"/>
                <w:lang w:val="en-ZA" w:eastAsia="en-GB"/>
              </w:rPr>
            </w:pPr>
            <w:r w:rsidRPr="004B3621">
              <w:rPr>
                <w:rFonts w:ascii="Arial" w:eastAsia="Arial" w:hAnsi="Arial" w:cs="Arial"/>
                <w:sz w:val="24"/>
                <w:szCs w:val="24"/>
                <w:u w:val="single" w:color="000000"/>
                <w:bdr w:val="nil"/>
                <w:lang w:val="en-ZA" w:eastAsia="en-GB"/>
              </w:rPr>
              <w:t>Introduction</w:t>
            </w:r>
          </w:p>
          <w:p w:rsidR="007F02BD" w:rsidRDefault="007F02BD" w:rsidP="007F02BD">
            <w:pPr>
              <w:pBdr>
                <w:top w:val="nil"/>
                <w:left w:val="nil"/>
                <w:bottom w:val="nil"/>
                <w:right w:val="nil"/>
                <w:between w:val="nil"/>
                <w:bar w:val="nil"/>
              </w:pBdr>
              <w:spacing w:after="0" w:line="240" w:lineRule="auto"/>
              <w:jc w:val="both"/>
              <w:rPr>
                <w:rFonts w:ascii="Arial" w:eastAsia="Arial" w:hAnsi="Arial" w:cs="Arial"/>
                <w:sz w:val="24"/>
                <w:szCs w:val="24"/>
                <w:u w:val="single" w:color="000000"/>
                <w:bdr w:val="nil"/>
                <w:lang w:val="en-ZA" w:eastAsia="en-GB"/>
              </w:rPr>
            </w:pPr>
          </w:p>
          <w:p w:rsidR="009736E9" w:rsidRPr="007F02BD" w:rsidRDefault="001E7384" w:rsidP="00BB7C32">
            <w:pPr>
              <w:pStyle w:val="ListParagraph"/>
              <w:numPr>
                <w:ilvl w:val="0"/>
                <w:numId w:val="12"/>
              </w:numPr>
              <w:pBdr>
                <w:top w:val="nil"/>
                <w:left w:val="nil"/>
                <w:bottom w:val="nil"/>
                <w:right w:val="nil"/>
                <w:between w:val="nil"/>
                <w:bar w:val="nil"/>
              </w:pBdr>
              <w:spacing w:line="360" w:lineRule="auto"/>
              <w:ind w:left="0" w:firstLine="0"/>
              <w:rPr>
                <w:sz w:val="24"/>
                <w:szCs w:val="24"/>
                <w:u w:val="single" w:color="000000"/>
                <w:bdr w:val="nil"/>
                <w:lang w:val="en-ZA" w:eastAsia="en-GB"/>
              </w:rPr>
            </w:pPr>
            <w:r w:rsidRPr="00BB7C32">
              <w:rPr>
                <w:rFonts w:eastAsia="Arial Unicode MS"/>
                <w:sz w:val="24"/>
                <w:szCs w:val="24"/>
                <w:u w:color="000000"/>
                <w:bdr w:val="nil"/>
                <w:lang w:eastAsia="en-GB"/>
              </w:rPr>
              <w:t>This is an application, seeking condonation</w:t>
            </w:r>
            <w:r w:rsidR="00C453CE" w:rsidRPr="00BB7C32">
              <w:rPr>
                <w:rFonts w:eastAsia="Arial Unicode MS"/>
                <w:sz w:val="24"/>
                <w:szCs w:val="24"/>
                <w:u w:color="000000"/>
                <w:bdr w:val="nil"/>
                <w:lang w:eastAsia="en-GB"/>
              </w:rPr>
              <w:t xml:space="preserve"> and upliftment of the bar</w:t>
            </w:r>
            <w:r w:rsidRPr="00BB7C32">
              <w:rPr>
                <w:rFonts w:eastAsia="Arial Unicode MS"/>
                <w:sz w:val="24"/>
                <w:szCs w:val="24"/>
                <w:u w:color="000000"/>
                <w:bdr w:val="nil"/>
                <w:lang w:eastAsia="en-GB"/>
              </w:rPr>
              <w:t xml:space="preserve"> for the </w:t>
            </w:r>
            <w:r w:rsidR="004C011E" w:rsidRPr="00BB7C32">
              <w:rPr>
                <w:rFonts w:eastAsia="Arial Unicode MS"/>
                <w:sz w:val="24"/>
                <w:szCs w:val="24"/>
                <w:u w:color="000000"/>
                <w:bdr w:val="nil"/>
                <w:lang w:eastAsia="en-GB"/>
              </w:rPr>
              <w:t>defendant’s</w:t>
            </w:r>
            <w:r w:rsidRPr="00BB7C32">
              <w:rPr>
                <w:rFonts w:eastAsia="Arial Unicode MS"/>
                <w:sz w:val="24"/>
                <w:szCs w:val="24"/>
                <w:u w:color="000000"/>
                <w:bdr w:val="nil"/>
                <w:lang w:eastAsia="en-GB"/>
              </w:rPr>
              <w:t xml:space="preserve"> </w:t>
            </w:r>
            <w:r w:rsidR="006974F9" w:rsidRPr="00BB7C32">
              <w:rPr>
                <w:rFonts w:eastAsia="Arial Unicode MS"/>
                <w:sz w:val="24"/>
                <w:szCs w:val="24"/>
                <w:u w:color="000000"/>
                <w:bdr w:val="nil"/>
                <w:lang w:eastAsia="en-GB"/>
              </w:rPr>
              <w:t>failure to file a plea in accordance with the timeline set out for that. T</w:t>
            </w:r>
            <w:r w:rsidR="009736E9" w:rsidRPr="00BB7C32">
              <w:rPr>
                <w:rFonts w:eastAsia="Arial Unicode MS"/>
                <w:sz w:val="24"/>
                <w:szCs w:val="24"/>
                <w:u w:color="000000"/>
                <w:bdr w:val="nil"/>
                <w:lang w:eastAsia="en-GB"/>
              </w:rPr>
              <w:t>he notice of motion prays for the following relief:</w:t>
            </w:r>
          </w:p>
          <w:p w:rsidR="007F02BD" w:rsidRPr="00BB7C32" w:rsidRDefault="007F02BD" w:rsidP="007F02BD">
            <w:pPr>
              <w:pStyle w:val="ListParagraph"/>
              <w:pBdr>
                <w:top w:val="nil"/>
                <w:left w:val="nil"/>
                <w:bottom w:val="nil"/>
                <w:right w:val="nil"/>
                <w:between w:val="nil"/>
                <w:bar w:val="nil"/>
              </w:pBdr>
              <w:ind w:left="0" w:firstLine="0"/>
              <w:rPr>
                <w:sz w:val="24"/>
                <w:szCs w:val="24"/>
                <w:u w:val="single" w:color="000000"/>
                <w:bdr w:val="nil"/>
                <w:lang w:val="en-ZA" w:eastAsia="en-GB"/>
              </w:rPr>
            </w:pPr>
          </w:p>
          <w:p w:rsidR="009736E9" w:rsidRPr="000D669D" w:rsidRDefault="009736E9" w:rsidP="000D669D">
            <w:pPr>
              <w:tabs>
                <w:tab w:val="left" w:pos="446"/>
              </w:tabs>
              <w:spacing w:line="360" w:lineRule="auto"/>
              <w:jc w:val="both"/>
              <w:rPr>
                <w:rFonts w:ascii="Arial" w:hAnsi="Arial" w:cs="Arial"/>
                <w:spacing w:val="-2"/>
              </w:rPr>
            </w:pPr>
            <w:r w:rsidRPr="004B3621">
              <w:rPr>
                <w:rFonts w:ascii="Arial" w:hAnsi="Arial" w:cs="Arial"/>
                <w:spacing w:val="-2"/>
                <w:sz w:val="24"/>
                <w:szCs w:val="24"/>
              </w:rPr>
              <w:tab/>
              <w:t>‘</w:t>
            </w:r>
            <w:r w:rsidRPr="000D669D">
              <w:rPr>
                <w:rFonts w:ascii="Arial" w:hAnsi="Arial" w:cs="Arial"/>
                <w:spacing w:val="-2"/>
              </w:rPr>
              <w:t>1. Condoning</w:t>
            </w:r>
            <w:r w:rsidRPr="000D669D">
              <w:rPr>
                <w:rFonts w:ascii="Arial" w:hAnsi="Arial" w:cs="Arial"/>
                <w:spacing w:val="60"/>
              </w:rPr>
              <w:t xml:space="preserve"> </w:t>
            </w:r>
            <w:r w:rsidRPr="000D669D">
              <w:rPr>
                <w:rFonts w:ascii="Arial" w:hAnsi="Arial" w:cs="Arial"/>
                <w:spacing w:val="-2"/>
              </w:rPr>
              <w:t>the</w:t>
            </w:r>
            <w:r w:rsidRPr="000D669D">
              <w:rPr>
                <w:rFonts w:ascii="Arial" w:hAnsi="Arial" w:cs="Arial"/>
                <w:spacing w:val="50"/>
              </w:rPr>
              <w:t xml:space="preserve"> </w:t>
            </w:r>
            <w:r w:rsidRPr="000D669D">
              <w:rPr>
                <w:rFonts w:ascii="Arial" w:hAnsi="Arial" w:cs="Arial"/>
                <w:spacing w:val="-2"/>
              </w:rPr>
              <w:t>Defendant's</w:t>
            </w:r>
            <w:r w:rsidRPr="000D669D">
              <w:rPr>
                <w:rFonts w:ascii="Arial" w:hAnsi="Arial" w:cs="Arial"/>
                <w:spacing w:val="60"/>
              </w:rPr>
              <w:t xml:space="preserve"> </w:t>
            </w:r>
            <w:r w:rsidRPr="000D669D">
              <w:rPr>
                <w:rFonts w:ascii="Arial" w:hAnsi="Arial" w:cs="Arial"/>
                <w:spacing w:val="-2"/>
              </w:rPr>
              <w:t>non-compliance</w:t>
            </w:r>
            <w:r w:rsidRPr="000D669D">
              <w:rPr>
                <w:rFonts w:ascii="Arial" w:hAnsi="Arial" w:cs="Arial"/>
                <w:spacing w:val="42"/>
              </w:rPr>
              <w:t xml:space="preserve"> </w:t>
            </w:r>
            <w:r w:rsidRPr="000D669D">
              <w:rPr>
                <w:rFonts w:ascii="Arial" w:hAnsi="Arial" w:cs="Arial"/>
                <w:spacing w:val="-2"/>
              </w:rPr>
              <w:t>with</w:t>
            </w:r>
            <w:r w:rsidRPr="000D669D">
              <w:rPr>
                <w:rFonts w:ascii="Arial" w:hAnsi="Arial" w:cs="Arial"/>
                <w:spacing w:val="45"/>
              </w:rPr>
              <w:t xml:space="preserve"> </w:t>
            </w:r>
            <w:r w:rsidRPr="000D669D">
              <w:rPr>
                <w:rFonts w:ascii="Arial" w:hAnsi="Arial" w:cs="Arial"/>
                <w:spacing w:val="-2"/>
              </w:rPr>
              <w:t>the</w:t>
            </w:r>
            <w:r w:rsidRPr="000D669D">
              <w:rPr>
                <w:rFonts w:ascii="Arial" w:hAnsi="Arial" w:cs="Arial"/>
                <w:spacing w:val="46"/>
              </w:rPr>
              <w:t xml:space="preserve"> </w:t>
            </w:r>
            <w:r w:rsidRPr="000D669D">
              <w:rPr>
                <w:rFonts w:ascii="Arial" w:hAnsi="Arial" w:cs="Arial"/>
                <w:spacing w:val="-2"/>
              </w:rPr>
              <w:t>Court</w:t>
            </w:r>
            <w:r w:rsidRPr="000D669D">
              <w:rPr>
                <w:rFonts w:ascii="Arial" w:hAnsi="Arial" w:cs="Arial"/>
                <w:spacing w:val="53"/>
              </w:rPr>
              <w:t xml:space="preserve"> </w:t>
            </w:r>
            <w:r w:rsidRPr="000D669D">
              <w:rPr>
                <w:rFonts w:ascii="Arial" w:hAnsi="Arial" w:cs="Arial"/>
                <w:spacing w:val="-2"/>
              </w:rPr>
              <w:t>Order</w:t>
            </w:r>
            <w:r w:rsidRPr="000D669D">
              <w:rPr>
                <w:rFonts w:ascii="Arial" w:hAnsi="Arial" w:cs="Arial"/>
                <w:spacing w:val="43"/>
              </w:rPr>
              <w:t xml:space="preserve"> </w:t>
            </w:r>
            <w:r w:rsidRPr="000D669D">
              <w:rPr>
                <w:rFonts w:ascii="Arial" w:hAnsi="Arial" w:cs="Arial"/>
                <w:spacing w:val="-2"/>
              </w:rPr>
              <w:t>dated 26 October and staying the filing of the Defendant’s Plea until the final determination of the Application pending under case number HC-MD-CIV-MOT-GEN-2022/00534.</w:t>
            </w:r>
          </w:p>
          <w:p w:rsidR="009736E9" w:rsidRPr="000D669D" w:rsidRDefault="009736E9" w:rsidP="000D669D">
            <w:pPr>
              <w:tabs>
                <w:tab w:val="left" w:pos="446"/>
              </w:tabs>
              <w:spacing w:line="360" w:lineRule="auto"/>
              <w:jc w:val="both"/>
              <w:rPr>
                <w:rFonts w:ascii="Arial" w:hAnsi="Arial" w:cs="Arial"/>
              </w:rPr>
            </w:pPr>
            <w:r w:rsidRPr="000D669D">
              <w:rPr>
                <w:rFonts w:ascii="Arial" w:hAnsi="Arial" w:cs="Arial"/>
                <w:spacing w:val="-2"/>
              </w:rPr>
              <w:t>2. Upliftment</w:t>
            </w:r>
            <w:r w:rsidRPr="000D669D">
              <w:rPr>
                <w:rFonts w:ascii="Arial" w:hAnsi="Arial" w:cs="Arial"/>
                <w:spacing w:val="-3"/>
              </w:rPr>
              <w:t xml:space="preserve"> </w:t>
            </w:r>
            <w:r w:rsidRPr="000D669D">
              <w:rPr>
                <w:rFonts w:ascii="Arial" w:hAnsi="Arial" w:cs="Arial"/>
                <w:spacing w:val="-2"/>
              </w:rPr>
              <w:t>of</w:t>
            </w:r>
            <w:r w:rsidRPr="000D669D">
              <w:rPr>
                <w:rFonts w:ascii="Arial" w:hAnsi="Arial" w:cs="Arial"/>
                <w:spacing w:val="-13"/>
              </w:rPr>
              <w:t xml:space="preserve"> </w:t>
            </w:r>
            <w:r w:rsidRPr="000D669D">
              <w:rPr>
                <w:rFonts w:ascii="Arial" w:hAnsi="Arial" w:cs="Arial"/>
                <w:spacing w:val="-2"/>
              </w:rPr>
              <w:t>the</w:t>
            </w:r>
            <w:r w:rsidRPr="000D669D">
              <w:rPr>
                <w:rFonts w:ascii="Arial" w:hAnsi="Arial" w:cs="Arial"/>
                <w:spacing w:val="-13"/>
              </w:rPr>
              <w:t xml:space="preserve"> </w:t>
            </w:r>
            <w:r w:rsidRPr="000D669D">
              <w:rPr>
                <w:rFonts w:ascii="Arial" w:hAnsi="Arial" w:cs="Arial"/>
                <w:spacing w:val="-2"/>
              </w:rPr>
              <w:t>bar</w:t>
            </w:r>
            <w:r w:rsidRPr="000D669D">
              <w:rPr>
                <w:rFonts w:ascii="Arial" w:hAnsi="Arial" w:cs="Arial"/>
                <w:spacing w:val="-9"/>
              </w:rPr>
              <w:t xml:space="preserve"> </w:t>
            </w:r>
            <w:r w:rsidRPr="000D669D">
              <w:rPr>
                <w:rFonts w:ascii="Arial" w:hAnsi="Arial" w:cs="Arial"/>
                <w:spacing w:val="-2"/>
              </w:rPr>
              <w:t>in</w:t>
            </w:r>
            <w:r w:rsidRPr="000D669D">
              <w:rPr>
                <w:rFonts w:ascii="Arial" w:hAnsi="Arial" w:cs="Arial"/>
                <w:spacing w:val="-16"/>
              </w:rPr>
              <w:t xml:space="preserve"> </w:t>
            </w:r>
            <w:r w:rsidRPr="000D669D">
              <w:rPr>
                <w:rFonts w:ascii="Arial" w:hAnsi="Arial" w:cs="Arial"/>
                <w:spacing w:val="-2"/>
              </w:rPr>
              <w:t>default</w:t>
            </w:r>
            <w:r w:rsidRPr="000D669D">
              <w:rPr>
                <w:rFonts w:ascii="Arial" w:hAnsi="Arial" w:cs="Arial"/>
                <w:spacing w:val="-7"/>
              </w:rPr>
              <w:t xml:space="preserve"> </w:t>
            </w:r>
            <w:r w:rsidRPr="000D669D">
              <w:rPr>
                <w:rFonts w:ascii="Arial" w:hAnsi="Arial" w:cs="Arial"/>
                <w:spacing w:val="-2"/>
              </w:rPr>
              <w:t>of</w:t>
            </w:r>
            <w:r w:rsidRPr="000D669D">
              <w:rPr>
                <w:rFonts w:ascii="Arial" w:hAnsi="Arial" w:cs="Arial"/>
                <w:spacing w:val="-13"/>
              </w:rPr>
              <w:t xml:space="preserve"> </w:t>
            </w:r>
            <w:r w:rsidRPr="000D669D">
              <w:rPr>
                <w:rFonts w:ascii="Arial" w:hAnsi="Arial" w:cs="Arial"/>
                <w:spacing w:val="-2"/>
              </w:rPr>
              <w:t>the</w:t>
            </w:r>
            <w:r w:rsidRPr="000D669D">
              <w:rPr>
                <w:rFonts w:ascii="Arial" w:hAnsi="Arial" w:cs="Arial"/>
                <w:spacing w:val="-11"/>
              </w:rPr>
              <w:t xml:space="preserve"> </w:t>
            </w:r>
            <w:r w:rsidRPr="000D669D">
              <w:rPr>
                <w:rFonts w:ascii="Arial" w:hAnsi="Arial" w:cs="Arial"/>
                <w:spacing w:val="-2"/>
              </w:rPr>
              <w:t>Defendant's</w:t>
            </w:r>
            <w:r w:rsidRPr="000D669D">
              <w:rPr>
                <w:rFonts w:ascii="Arial" w:hAnsi="Arial" w:cs="Arial"/>
                <w:spacing w:val="-4"/>
              </w:rPr>
              <w:t xml:space="preserve"> </w:t>
            </w:r>
            <w:r w:rsidRPr="000D669D">
              <w:rPr>
                <w:rFonts w:ascii="Arial" w:hAnsi="Arial" w:cs="Arial"/>
                <w:spacing w:val="-2"/>
              </w:rPr>
              <w:t>failure</w:t>
            </w:r>
            <w:r w:rsidRPr="000D669D">
              <w:rPr>
                <w:rFonts w:ascii="Arial" w:hAnsi="Arial" w:cs="Arial"/>
                <w:spacing w:val="-9"/>
              </w:rPr>
              <w:t xml:space="preserve"> </w:t>
            </w:r>
            <w:r w:rsidRPr="000D669D">
              <w:rPr>
                <w:rFonts w:ascii="Arial" w:hAnsi="Arial" w:cs="Arial"/>
                <w:spacing w:val="-2"/>
              </w:rPr>
              <w:t>to</w:t>
            </w:r>
            <w:r w:rsidRPr="000D669D">
              <w:rPr>
                <w:rFonts w:ascii="Arial" w:hAnsi="Arial" w:cs="Arial"/>
                <w:spacing w:val="-14"/>
              </w:rPr>
              <w:t xml:space="preserve"> </w:t>
            </w:r>
            <w:r w:rsidRPr="000D669D">
              <w:rPr>
                <w:rFonts w:ascii="Arial" w:hAnsi="Arial" w:cs="Arial"/>
                <w:spacing w:val="-2"/>
              </w:rPr>
              <w:t>file</w:t>
            </w:r>
            <w:r w:rsidRPr="000D669D">
              <w:rPr>
                <w:rFonts w:ascii="Arial" w:hAnsi="Arial" w:cs="Arial"/>
                <w:spacing w:val="-16"/>
              </w:rPr>
              <w:t xml:space="preserve"> </w:t>
            </w:r>
            <w:r w:rsidRPr="000D669D">
              <w:rPr>
                <w:rFonts w:ascii="Arial" w:hAnsi="Arial" w:cs="Arial"/>
                <w:spacing w:val="-2"/>
              </w:rPr>
              <w:t>his</w:t>
            </w:r>
            <w:r w:rsidRPr="000D669D">
              <w:rPr>
                <w:rFonts w:ascii="Arial" w:hAnsi="Arial" w:cs="Arial"/>
                <w:spacing w:val="-12"/>
              </w:rPr>
              <w:t xml:space="preserve"> </w:t>
            </w:r>
            <w:r w:rsidRPr="000D669D">
              <w:rPr>
                <w:rFonts w:ascii="Arial" w:hAnsi="Arial" w:cs="Arial"/>
                <w:spacing w:val="-2"/>
              </w:rPr>
              <w:t>Plea</w:t>
            </w:r>
            <w:r w:rsidRPr="000D669D">
              <w:rPr>
                <w:rFonts w:ascii="Arial" w:hAnsi="Arial" w:cs="Arial"/>
                <w:spacing w:val="-11"/>
              </w:rPr>
              <w:t xml:space="preserve"> </w:t>
            </w:r>
            <w:r w:rsidRPr="000D669D">
              <w:rPr>
                <w:rFonts w:ascii="Arial" w:hAnsi="Arial" w:cs="Arial"/>
                <w:spacing w:val="-2"/>
              </w:rPr>
              <w:t>on</w:t>
            </w:r>
            <w:r w:rsidRPr="000D669D">
              <w:rPr>
                <w:rFonts w:ascii="Arial" w:hAnsi="Arial" w:cs="Arial"/>
                <w:spacing w:val="-15"/>
              </w:rPr>
              <w:t xml:space="preserve"> </w:t>
            </w:r>
            <w:r w:rsidRPr="000D669D">
              <w:rPr>
                <w:rFonts w:ascii="Arial" w:hAnsi="Arial" w:cs="Arial"/>
                <w:spacing w:val="-2"/>
              </w:rPr>
              <w:t xml:space="preserve">or </w:t>
            </w:r>
            <w:r w:rsidRPr="000D669D">
              <w:rPr>
                <w:rFonts w:ascii="Arial" w:hAnsi="Arial" w:cs="Arial"/>
              </w:rPr>
              <w:t>before</w:t>
            </w:r>
            <w:r w:rsidRPr="000D669D">
              <w:rPr>
                <w:rFonts w:ascii="Arial" w:hAnsi="Arial" w:cs="Arial"/>
                <w:spacing w:val="-18"/>
              </w:rPr>
              <w:t xml:space="preserve"> </w:t>
            </w:r>
            <w:r w:rsidRPr="000D669D">
              <w:rPr>
                <w:rFonts w:ascii="Arial" w:hAnsi="Arial" w:cs="Arial"/>
              </w:rPr>
              <w:t>16</w:t>
            </w:r>
            <w:r w:rsidRPr="000D669D">
              <w:rPr>
                <w:rFonts w:ascii="Arial" w:hAnsi="Arial" w:cs="Arial"/>
                <w:spacing w:val="-17"/>
              </w:rPr>
              <w:t xml:space="preserve"> </w:t>
            </w:r>
            <w:r w:rsidRPr="000D669D">
              <w:rPr>
                <w:rFonts w:ascii="Arial" w:hAnsi="Arial" w:cs="Arial"/>
              </w:rPr>
              <w:t>November</w:t>
            </w:r>
            <w:r w:rsidRPr="000D669D">
              <w:rPr>
                <w:rFonts w:ascii="Arial" w:hAnsi="Arial" w:cs="Arial"/>
                <w:spacing w:val="-18"/>
              </w:rPr>
              <w:t xml:space="preserve"> </w:t>
            </w:r>
            <w:r w:rsidRPr="000D669D">
              <w:rPr>
                <w:rFonts w:ascii="Arial" w:hAnsi="Arial" w:cs="Arial"/>
              </w:rPr>
              <w:t>2022.</w:t>
            </w:r>
          </w:p>
          <w:p w:rsidR="009736E9" w:rsidRPr="004B3621" w:rsidRDefault="009736E9" w:rsidP="000D669D">
            <w:pPr>
              <w:tabs>
                <w:tab w:val="left" w:pos="446"/>
              </w:tabs>
              <w:spacing w:line="360" w:lineRule="auto"/>
              <w:jc w:val="both"/>
              <w:rPr>
                <w:rFonts w:ascii="Arial" w:hAnsi="Arial" w:cs="Arial"/>
                <w:sz w:val="24"/>
                <w:szCs w:val="24"/>
              </w:rPr>
            </w:pPr>
            <w:r w:rsidRPr="000D669D">
              <w:rPr>
                <w:rFonts w:ascii="Arial" w:hAnsi="Arial" w:cs="Arial"/>
              </w:rPr>
              <w:t>3. Staying</w:t>
            </w:r>
            <w:r w:rsidRPr="000D669D">
              <w:rPr>
                <w:rFonts w:ascii="Arial" w:hAnsi="Arial" w:cs="Arial"/>
                <w:spacing w:val="-17"/>
              </w:rPr>
              <w:t xml:space="preserve"> </w:t>
            </w:r>
            <w:r w:rsidRPr="000D669D">
              <w:rPr>
                <w:rFonts w:ascii="Arial" w:hAnsi="Arial" w:cs="Arial"/>
              </w:rPr>
              <w:t>this</w:t>
            </w:r>
            <w:r w:rsidRPr="000D669D">
              <w:rPr>
                <w:rFonts w:ascii="Arial" w:hAnsi="Arial" w:cs="Arial"/>
                <w:spacing w:val="-17"/>
              </w:rPr>
              <w:t xml:space="preserve"> </w:t>
            </w:r>
            <w:r w:rsidRPr="000D669D">
              <w:rPr>
                <w:rFonts w:ascii="Arial" w:hAnsi="Arial" w:cs="Arial"/>
              </w:rPr>
              <w:t>matter</w:t>
            </w:r>
            <w:r w:rsidRPr="000D669D">
              <w:rPr>
                <w:rFonts w:ascii="Arial" w:hAnsi="Arial" w:cs="Arial"/>
                <w:spacing w:val="-16"/>
              </w:rPr>
              <w:t xml:space="preserve"> </w:t>
            </w:r>
            <w:r w:rsidRPr="000D669D">
              <w:rPr>
                <w:rFonts w:ascii="Arial" w:hAnsi="Arial" w:cs="Arial"/>
              </w:rPr>
              <w:t>until</w:t>
            </w:r>
            <w:r w:rsidRPr="000D669D">
              <w:rPr>
                <w:rFonts w:ascii="Arial" w:hAnsi="Arial" w:cs="Arial"/>
                <w:spacing w:val="-17"/>
              </w:rPr>
              <w:t xml:space="preserve"> </w:t>
            </w:r>
            <w:r w:rsidRPr="000D669D">
              <w:rPr>
                <w:rFonts w:ascii="Arial" w:hAnsi="Arial" w:cs="Arial"/>
              </w:rPr>
              <w:t>the</w:t>
            </w:r>
            <w:r w:rsidRPr="000D669D">
              <w:rPr>
                <w:rFonts w:ascii="Arial" w:hAnsi="Arial" w:cs="Arial"/>
                <w:spacing w:val="-16"/>
              </w:rPr>
              <w:t xml:space="preserve"> </w:t>
            </w:r>
            <w:r w:rsidRPr="000D669D">
              <w:rPr>
                <w:rFonts w:ascii="Arial" w:hAnsi="Arial" w:cs="Arial"/>
              </w:rPr>
              <w:t>final</w:t>
            </w:r>
            <w:r w:rsidRPr="000D669D">
              <w:rPr>
                <w:rFonts w:ascii="Arial" w:hAnsi="Arial" w:cs="Arial"/>
                <w:spacing w:val="-17"/>
              </w:rPr>
              <w:t xml:space="preserve"> </w:t>
            </w:r>
            <w:r w:rsidRPr="000D669D">
              <w:rPr>
                <w:rFonts w:ascii="Arial" w:hAnsi="Arial" w:cs="Arial"/>
              </w:rPr>
              <w:t>determination</w:t>
            </w:r>
            <w:r w:rsidRPr="000D669D">
              <w:rPr>
                <w:rFonts w:ascii="Arial" w:hAnsi="Arial" w:cs="Arial"/>
                <w:spacing w:val="-2"/>
              </w:rPr>
              <w:t xml:space="preserve"> </w:t>
            </w:r>
            <w:r w:rsidRPr="000D669D">
              <w:rPr>
                <w:rFonts w:ascii="Arial" w:hAnsi="Arial" w:cs="Arial"/>
              </w:rPr>
              <w:t>of</w:t>
            </w:r>
            <w:r w:rsidRPr="000D669D">
              <w:rPr>
                <w:rFonts w:ascii="Arial" w:hAnsi="Arial" w:cs="Arial"/>
                <w:spacing w:val="-17"/>
              </w:rPr>
              <w:t xml:space="preserve"> </w:t>
            </w:r>
            <w:r w:rsidRPr="000D669D">
              <w:rPr>
                <w:rFonts w:ascii="Arial" w:hAnsi="Arial" w:cs="Arial"/>
              </w:rPr>
              <w:t>the</w:t>
            </w:r>
            <w:r w:rsidRPr="000D669D">
              <w:rPr>
                <w:rFonts w:ascii="Arial" w:hAnsi="Arial" w:cs="Arial"/>
                <w:spacing w:val="-17"/>
              </w:rPr>
              <w:t xml:space="preserve"> </w:t>
            </w:r>
            <w:r w:rsidRPr="000D669D">
              <w:rPr>
                <w:rFonts w:ascii="Arial" w:hAnsi="Arial" w:cs="Arial"/>
              </w:rPr>
              <w:t>Application</w:t>
            </w:r>
            <w:r w:rsidRPr="000D669D">
              <w:rPr>
                <w:rFonts w:ascii="Arial" w:hAnsi="Arial" w:cs="Arial"/>
                <w:spacing w:val="-2"/>
              </w:rPr>
              <w:t xml:space="preserve"> </w:t>
            </w:r>
            <w:r w:rsidRPr="000D669D">
              <w:rPr>
                <w:rFonts w:ascii="Arial" w:hAnsi="Arial" w:cs="Arial"/>
              </w:rPr>
              <w:t>pending</w:t>
            </w:r>
            <w:r w:rsidRPr="000D669D">
              <w:rPr>
                <w:rFonts w:ascii="Arial" w:hAnsi="Arial" w:cs="Arial"/>
                <w:spacing w:val="-7"/>
              </w:rPr>
              <w:t xml:space="preserve"> </w:t>
            </w:r>
            <w:r w:rsidRPr="000D669D">
              <w:rPr>
                <w:rFonts w:ascii="Arial" w:hAnsi="Arial" w:cs="Arial"/>
              </w:rPr>
              <w:t>under</w:t>
            </w:r>
            <w:r w:rsidRPr="000D669D">
              <w:rPr>
                <w:rFonts w:ascii="Arial" w:hAnsi="Arial" w:cs="Arial"/>
                <w:spacing w:val="-16"/>
              </w:rPr>
              <w:t xml:space="preserve"> </w:t>
            </w:r>
            <w:r w:rsidRPr="000D669D">
              <w:rPr>
                <w:rFonts w:ascii="Arial" w:hAnsi="Arial" w:cs="Arial"/>
              </w:rPr>
              <w:t>case number</w:t>
            </w:r>
            <w:r w:rsidRPr="000D669D">
              <w:rPr>
                <w:rFonts w:ascii="Arial" w:hAnsi="Arial" w:cs="Arial"/>
                <w:spacing w:val="-17"/>
              </w:rPr>
              <w:t xml:space="preserve"> </w:t>
            </w:r>
            <w:r w:rsidRPr="000D669D">
              <w:rPr>
                <w:rFonts w:ascii="Arial" w:hAnsi="Arial" w:cs="Arial"/>
              </w:rPr>
              <w:t>HC-MD-CIV-MOT-GEN-2022/00534.</w:t>
            </w:r>
            <w:r w:rsidRPr="004B3621">
              <w:rPr>
                <w:rFonts w:ascii="Arial" w:hAnsi="Arial" w:cs="Arial"/>
                <w:sz w:val="24"/>
                <w:szCs w:val="24"/>
              </w:rPr>
              <w:t>’</w:t>
            </w:r>
          </w:p>
          <w:p w:rsidR="00BB7C32" w:rsidRDefault="009736E9"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The defendant abandoned prayer 3 of the notice of motion</w:t>
            </w:r>
            <w:r w:rsidR="006974F9" w:rsidRPr="00BB7C32">
              <w:rPr>
                <w:rFonts w:eastAsia="Arial Unicode MS"/>
                <w:sz w:val="24"/>
                <w:szCs w:val="24"/>
                <w:u w:color="000000"/>
                <w:bdr w:val="nil"/>
                <w:lang w:eastAsia="en-GB"/>
              </w:rPr>
              <w:t xml:space="preserve"> during the hearing, as the matter has since been determined.</w:t>
            </w:r>
          </w:p>
          <w:p w:rsidR="009736E9" w:rsidRPr="00BB7C32" w:rsidRDefault="000D669D"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Mr Kasper acts on behalf of the defendant and Mr Oli</w:t>
            </w:r>
            <w:r w:rsidR="006974F9" w:rsidRPr="00BB7C32">
              <w:rPr>
                <w:rFonts w:eastAsia="Arial Unicode MS"/>
                <w:sz w:val="24"/>
                <w:szCs w:val="24"/>
                <w:u w:color="000000"/>
                <w:bdr w:val="nil"/>
                <w:lang w:eastAsia="en-GB"/>
              </w:rPr>
              <w:t>vier on behalf of the plaintiff.</w:t>
            </w:r>
          </w:p>
          <w:p w:rsidR="001F4D8D" w:rsidRPr="001F4D8D" w:rsidRDefault="001F4D8D" w:rsidP="001F4D8D">
            <w:pPr>
              <w:pBdr>
                <w:top w:val="nil"/>
                <w:left w:val="nil"/>
                <w:bottom w:val="nil"/>
                <w:right w:val="nil"/>
                <w:between w:val="nil"/>
                <w:bar w:val="nil"/>
              </w:pBdr>
              <w:spacing w:before="240" w:after="0" w:line="360" w:lineRule="auto"/>
              <w:ind w:left="20"/>
              <w:jc w:val="both"/>
              <w:rPr>
                <w:rFonts w:ascii="Arial" w:eastAsia="Arial Unicode MS" w:hAnsi="Arial" w:cs="Arial"/>
                <w:sz w:val="24"/>
                <w:szCs w:val="24"/>
                <w:u w:val="single"/>
                <w:bdr w:val="nil"/>
                <w:lang w:val="en-US" w:eastAsia="en-GB"/>
              </w:rPr>
            </w:pPr>
            <w:r w:rsidRPr="001F4D8D">
              <w:rPr>
                <w:rFonts w:ascii="Arial" w:eastAsia="Arial Unicode MS" w:hAnsi="Arial" w:cs="Arial"/>
                <w:sz w:val="24"/>
                <w:szCs w:val="24"/>
                <w:u w:val="single"/>
                <w:bdr w:val="nil"/>
                <w:lang w:val="en-US" w:eastAsia="en-GB"/>
              </w:rPr>
              <w:t>Plaintiff’s claim</w:t>
            </w:r>
          </w:p>
          <w:p w:rsidR="00BB7C32" w:rsidRDefault="00F10219" w:rsidP="00BB7C32">
            <w:pPr>
              <w:pStyle w:val="ListParagraph"/>
              <w:numPr>
                <w:ilvl w:val="0"/>
                <w:numId w:val="12"/>
              </w:numPr>
              <w:pBdr>
                <w:top w:val="nil"/>
                <w:left w:val="nil"/>
                <w:bottom w:val="nil"/>
                <w:right w:val="nil"/>
                <w:between w:val="nil"/>
                <w:bar w:val="nil"/>
              </w:pBdr>
              <w:spacing w:before="240" w:line="360" w:lineRule="auto"/>
              <w:ind w:left="0" w:hanging="18"/>
              <w:rPr>
                <w:rFonts w:eastAsia="Arial Unicode MS"/>
                <w:sz w:val="24"/>
                <w:szCs w:val="24"/>
                <w:u w:color="000000"/>
                <w:bdr w:val="nil"/>
                <w:lang w:eastAsia="en-GB"/>
              </w:rPr>
            </w:pPr>
            <w:r w:rsidRPr="00BB7C32">
              <w:rPr>
                <w:rFonts w:eastAsia="Arial Unicode MS"/>
                <w:sz w:val="24"/>
                <w:szCs w:val="24"/>
                <w:u w:color="000000"/>
                <w:bdr w:val="nil"/>
                <w:lang w:eastAsia="en-GB"/>
              </w:rPr>
              <w:t>This matter emanated from a settlement agreement</w:t>
            </w:r>
            <w:r>
              <w:rPr>
                <w:rStyle w:val="FootnoteReference"/>
                <w:rFonts w:eastAsia="Arial Unicode MS"/>
                <w:sz w:val="24"/>
                <w:szCs w:val="24"/>
                <w:u w:color="000000"/>
                <w:bdr w:val="nil"/>
                <w:lang w:eastAsia="en-GB"/>
              </w:rPr>
              <w:footnoteReference w:id="1"/>
            </w:r>
            <w:r w:rsidRPr="00BB7C32">
              <w:rPr>
                <w:rFonts w:eastAsia="Arial Unicode MS"/>
                <w:sz w:val="24"/>
                <w:szCs w:val="24"/>
                <w:u w:color="000000"/>
                <w:bdr w:val="nil"/>
                <w:lang w:eastAsia="en-GB"/>
              </w:rPr>
              <w:t xml:space="preserve"> that was made an order of court on 19 August 2019. In that matter the plaintiff sued a company by the</w:t>
            </w:r>
            <w:r w:rsidR="007F02BD">
              <w:rPr>
                <w:rFonts w:eastAsia="Arial Unicode MS"/>
                <w:sz w:val="24"/>
                <w:szCs w:val="24"/>
                <w:u w:color="000000"/>
                <w:bdr w:val="nil"/>
                <w:lang w:eastAsia="en-GB"/>
              </w:rPr>
              <w:t xml:space="preserve"> name of Erongo Quarry &amp; Civil W</w:t>
            </w:r>
            <w:r w:rsidRPr="00BB7C32">
              <w:rPr>
                <w:rFonts w:eastAsia="Arial Unicode MS"/>
                <w:sz w:val="24"/>
                <w:szCs w:val="24"/>
                <w:u w:color="000000"/>
                <w:bdr w:val="nil"/>
                <w:lang w:eastAsia="en-GB"/>
              </w:rPr>
              <w:t>orks (Pty)</w:t>
            </w:r>
            <w:r w:rsidR="007F02BD">
              <w:rPr>
                <w:rFonts w:eastAsia="Arial Unicode MS"/>
                <w:sz w:val="24"/>
                <w:szCs w:val="24"/>
                <w:u w:color="000000"/>
                <w:bdr w:val="nil"/>
                <w:lang w:eastAsia="en-GB"/>
              </w:rPr>
              <w:t xml:space="preserve"> Ltd for an amount of N$936 410,</w:t>
            </w:r>
            <w:r w:rsidRPr="00BB7C32">
              <w:rPr>
                <w:rFonts w:eastAsia="Arial Unicode MS"/>
                <w:sz w:val="24"/>
                <w:szCs w:val="24"/>
                <w:u w:color="000000"/>
                <w:bdr w:val="nil"/>
                <w:lang w:eastAsia="en-GB"/>
              </w:rPr>
              <w:t>50. T</w:t>
            </w:r>
            <w:r w:rsidR="001F4D8D" w:rsidRPr="00BB7C32">
              <w:rPr>
                <w:rFonts w:eastAsia="Arial Unicode MS"/>
                <w:sz w:val="24"/>
                <w:szCs w:val="24"/>
                <w:u w:color="000000"/>
                <w:bdr w:val="nil"/>
                <w:lang w:eastAsia="en-GB"/>
              </w:rPr>
              <w:t>he defendant</w:t>
            </w:r>
            <w:r w:rsidR="007F02BD">
              <w:rPr>
                <w:rFonts w:eastAsia="Arial Unicode MS"/>
                <w:sz w:val="24"/>
                <w:szCs w:val="24"/>
                <w:u w:color="000000"/>
                <w:bdr w:val="nil"/>
                <w:lang w:eastAsia="en-GB"/>
              </w:rPr>
              <w:t>,</w:t>
            </w:r>
            <w:r w:rsidR="001F4D8D" w:rsidRPr="00BB7C32">
              <w:rPr>
                <w:rFonts w:eastAsia="Arial Unicode MS"/>
                <w:sz w:val="24"/>
                <w:szCs w:val="24"/>
                <w:u w:color="000000"/>
                <w:bdr w:val="nil"/>
                <w:lang w:eastAsia="en-GB"/>
              </w:rPr>
              <w:t xml:space="preserve"> in the current </w:t>
            </w:r>
            <w:r w:rsidRPr="00BB7C32">
              <w:rPr>
                <w:rFonts w:eastAsia="Arial Unicode MS"/>
                <w:sz w:val="24"/>
                <w:szCs w:val="24"/>
                <w:u w:color="000000"/>
                <w:bdr w:val="nil"/>
                <w:lang w:eastAsia="en-GB"/>
              </w:rPr>
              <w:t>matter before court</w:t>
            </w:r>
            <w:r w:rsidR="007F02BD">
              <w:rPr>
                <w:rFonts w:eastAsia="Arial Unicode MS"/>
                <w:sz w:val="24"/>
                <w:szCs w:val="24"/>
                <w:u w:color="000000"/>
                <w:bdr w:val="nil"/>
                <w:lang w:eastAsia="en-GB"/>
              </w:rPr>
              <w:t>,</w:t>
            </w:r>
            <w:r w:rsidRPr="00BB7C32">
              <w:rPr>
                <w:rFonts w:eastAsia="Arial Unicode MS"/>
                <w:sz w:val="24"/>
                <w:szCs w:val="24"/>
                <w:u w:color="000000"/>
                <w:bdr w:val="nil"/>
                <w:lang w:eastAsia="en-GB"/>
              </w:rPr>
              <w:t xml:space="preserve"> had bound himself as surety and co-principal debtor in that settlement agreement, but failed to perform </w:t>
            </w:r>
            <w:r w:rsidR="0003678C" w:rsidRPr="00BB7C32">
              <w:rPr>
                <w:rFonts w:eastAsia="Arial Unicode MS"/>
                <w:sz w:val="24"/>
                <w:szCs w:val="24"/>
                <w:u w:color="000000"/>
                <w:bdr w:val="nil"/>
                <w:lang w:eastAsia="en-GB"/>
              </w:rPr>
              <w:t xml:space="preserve">in terms of the said order. </w:t>
            </w:r>
            <w:r w:rsidR="001F4D8D" w:rsidRPr="00BB7C32">
              <w:rPr>
                <w:rFonts w:eastAsia="Arial Unicode MS"/>
                <w:sz w:val="24"/>
                <w:szCs w:val="24"/>
                <w:u w:color="000000"/>
                <w:bdr w:val="nil"/>
                <w:lang w:eastAsia="en-GB"/>
              </w:rPr>
              <w:t xml:space="preserve">  </w:t>
            </w:r>
          </w:p>
          <w:p w:rsidR="007F02BD" w:rsidRPr="00663295" w:rsidRDefault="001F4D8D" w:rsidP="00663295">
            <w:pPr>
              <w:pStyle w:val="ListParagraph"/>
              <w:numPr>
                <w:ilvl w:val="0"/>
                <w:numId w:val="12"/>
              </w:numPr>
              <w:pBdr>
                <w:top w:val="nil"/>
                <w:left w:val="nil"/>
                <w:bottom w:val="nil"/>
                <w:right w:val="nil"/>
                <w:between w:val="nil"/>
                <w:bar w:val="nil"/>
              </w:pBdr>
              <w:spacing w:before="240" w:line="360" w:lineRule="auto"/>
              <w:ind w:left="0" w:hanging="18"/>
              <w:rPr>
                <w:rFonts w:eastAsia="Arial Unicode MS"/>
                <w:sz w:val="24"/>
                <w:szCs w:val="24"/>
                <w:u w:color="000000"/>
                <w:bdr w:val="nil"/>
                <w:lang w:eastAsia="en-GB"/>
              </w:rPr>
            </w:pPr>
            <w:r w:rsidRPr="00BB7C32">
              <w:rPr>
                <w:rFonts w:eastAsia="Arial Unicode MS"/>
                <w:sz w:val="24"/>
                <w:szCs w:val="24"/>
                <w:u w:color="000000"/>
                <w:bdr w:val="nil"/>
                <w:lang w:eastAsia="en-GB"/>
              </w:rPr>
              <w:t>T</w:t>
            </w:r>
            <w:r w:rsidR="000D5B3D" w:rsidRPr="00BB7C32">
              <w:rPr>
                <w:rFonts w:eastAsia="Arial Unicode MS"/>
                <w:sz w:val="24"/>
                <w:szCs w:val="24"/>
                <w:u w:color="000000"/>
                <w:bdr w:val="nil"/>
                <w:lang w:eastAsia="en-GB"/>
              </w:rPr>
              <w:t>he defendant</w:t>
            </w:r>
            <w:r w:rsidRPr="00BB7C32">
              <w:rPr>
                <w:rFonts w:eastAsia="Arial Unicode MS"/>
                <w:sz w:val="24"/>
                <w:szCs w:val="24"/>
                <w:u w:color="000000"/>
                <w:bdr w:val="nil"/>
                <w:lang w:eastAsia="en-GB"/>
              </w:rPr>
              <w:t xml:space="preserve"> </w:t>
            </w:r>
            <w:r w:rsidR="000D5B3D" w:rsidRPr="00BB7C32">
              <w:rPr>
                <w:rFonts w:eastAsia="Arial Unicode MS"/>
                <w:sz w:val="24"/>
                <w:szCs w:val="24"/>
                <w:u w:color="000000"/>
                <w:bdr w:val="nil"/>
                <w:lang w:eastAsia="en-GB"/>
              </w:rPr>
              <w:t xml:space="preserve">inter alia explained in his founding affidavit herein </w:t>
            </w:r>
            <w:r w:rsidRPr="00BB7C32">
              <w:rPr>
                <w:rFonts w:eastAsia="Arial Unicode MS"/>
                <w:sz w:val="24"/>
                <w:szCs w:val="24"/>
                <w:u w:color="000000"/>
                <w:bdr w:val="nil"/>
                <w:lang w:eastAsia="en-GB"/>
              </w:rPr>
              <w:t>that although a writ of execution was issued after the settlement agreement was made a</w:t>
            </w:r>
            <w:r w:rsidR="007F02BD">
              <w:rPr>
                <w:rFonts w:eastAsia="Arial Unicode MS"/>
                <w:sz w:val="24"/>
                <w:szCs w:val="24"/>
                <w:u w:color="000000"/>
                <w:bdr w:val="nil"/>
                <w:lang w:eastAsia="en-GB"/>
              </w:rPr>
              <w:t>n</w:t>
            </w:r>
            <w:r w:rsidRPr="00BB7C32">
              <w:rPr>
                <w:rFonts w:eastAsia="Arial Unicode MS"/>
                <w:sz w:val="24"/>
                <w:szCs w:val="24"/>
                <w:u w:color="000000"/>
                <w:bdr w:val="nil"/>
                <w:lang w:eastAsia="en-GB"/>
              </w:rPr>
              <w:t xml:space="preserve"> </w:t>
            </w:r>
            <w:r w:rsidR="007F02BD">
              <w:rPr>
                <w:rFonts w:eastAsia="Arial Unicode MS"/>
                <w:sz w:val="24"/>
                <w:szCs w:val="24"/>
                <w:u w:color="000000"/>
                <w:bdr w:val="nil"/>
                <w:lang w:eastAsia="en-GB"/>
              </w:rPr>
              <w:t xml:space="preserve">order of </w:t>
            </w:r>
            <w:r w:rsidRPr="00BB7C32">
              <w:rPr>
                <w:rFonts w:eastAsia="Arial Unicode MS"/>
                <w:sz w:val="24"/>
                <w:szCs w:val="24"/>
                <w:u w:color="000000"/>
                <w:bdr w:val="nil"/>
                <w:lang w:eastAsia="en-GB"/>
              </w:rPr>
              <w:t xml:space="preserve">court, no judgment had in fact been given against him and that he was not a party to that case. As such the </w:t>
            </w:r>
            <w:r w:rsidRPr="00BB7C32">
              <w:rPr>
                <w:rFonts w:eastAsia="Arial Unicode MS"/>
                <w:sz w:val="24"/>
                <w:szCs w:val="24"/>
                <w:u w:color="000000"/>
                <w:bdr w:val="nil"/>
                <w:lang w:eastAsia="en-GB"/>
              </w:rPr>
              <w:lastRenderedPageBreak/>
              <w:t xml:space="preserve">defendant issued summons in the current matter before this court. </w:t>
            </w:r>
          </w:p>
          <w:p w:rsidR="00BB7C32" w:rsidRPr="007F02BD" w:rsidRDefault="000D5B3D" w:rsidP="00BB7C32">
            <w:pPr>
              <w:pStyle w:val="ListParagraph"/>
              <w:pBdr>
                <w:top w:val="nil"/>
                <w:left w:val="nil"/>
                <w:bottom w:val="nil"/>
                <w:right w:val="nil"/>
                <w:between w:val="nil"/>
                <w:bar w:val="nil"/>
              </w:pBdr>
              <w:spacing w:before="240" w:line="360" w:lineRule="auto"/>
              <w:ind w:left="0" w:firstLine="0"/>
              <w:rPr>
                <w:rFonts w:eastAsia="Arial Unicode MS"/>
                <w:sz w:val="24"/>
                <w:szCs w:val="24"/>
                <w:u w:val="single"/>
                <w:bdr w:val="nil"/>
                <w:lang w:eastAsia="en-GB"/>
              </w:rPr>
            </w:pPr>
            <w:r w:rsidRPr="00BB7C32">
              <w:rPr>
                <w:rFonts w:eastAsia="Arial Unicode MS"/>
                <w:sz w:val="24"/>
                <w:szCs w:val="24"/>
                <w:u w:val="single"/>
                <w:bdr w:val="nil"/>
                <w:lang w:eastAsia="en-GB"/>
              </w:rPr>
              <w:t xml:space="preserve">Condonation application </w:t>
            </w:r>
          </w:p>
          <w:p w:rsidR="00BB7C32" w:rsidRDefault="00CA3F29"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The court order dated 26 October 2022</w:t>
            </w:r>
            <w:r w:rsidR="00663295">
              <w:rPr>
                <w:rFonts w:eastAsia="Arial Unicode MS"/>
                <w:sz w:val="24"/>
                <w:szCs w:val="24"/>
                <w:u w:color="000000"/>
                <w:bdr w:val="nil"/>
                <w:lang w:eastAsia="en-GB"/>
              </w:rPr>
              <w:t>,</w:t>
            </w:r>
            <w:r w:rsidRPr="00BB7C32">
              <w:rPr>
                <w:rFonts w:eastAsia="Arial Unicode MS"/>
                <w:sz w:val="24"/>
                <w:szCs w:val="24"/>
                <w:u w:color="000000"/>
                <w:bdr w:val="nil"/>
                <w:lang w:eastAsia="en-GB"/>
              </w:rPr>
              <w:t xml:space="preserve"> ordered the defendant to file his plea and coun</w:t>
            </w:r>
            <w:r w:rsidR="00663295">
              <w:rPr>
                <w:rFonts w:eastAsia="Arial Unicode MS"/>
                <w:sz w:val="24"/>
                <w:szCs w:val="24"/>
                <w:u w:color="000000"/>
                <w:bdr w:val="nil"/>
                <w:lang w:eastAsia="en-GB"/>
              </w:rPr>
              <w:t xml:space="preserve">terclaim, if any, on or before </w:t>
            </w:r>
            <w:r w:rsidRPr="00BB7C32">
              <w:rPr>
                <w:rFonts w:eastAsia="Arial Unicode MS"/>
                <w:sz w:val="24"/>
                <w:szCs w:val="24"/>
                <w:u w:color="000000"/>
                <w:bdr w:val="nil"/>
                <w:lang w:eastAsia="en-GB"/>
              </w:rPr>
              <w:t xml:space="preserve">7 November 2022. </w:t>
            </w:r>
            <w:r w:rsidR="000D5B3D" w:rsidRPr="00BB7C32">
              <w:rPr>
                <w:rFonts w:eastAsia="Arial Unicode MS"/>
                <w:sz w:val="24"/>
                <w:szCs w:val="24"/>
                <w:u w:color="000000"/>
                <w:bdr w:val="nil"/>
                <w:lang w:eastAsia="en-GB"/>
              </w:rPr>
              <w:t>The eJustice system</w:t>
            </w:r>
            <w:r w:rsidR="00C453CE" w:rsidRPr="00BB7C32">
              <w:rPr>
                <w:rFonts w:eastAsia="Arial Unicode MS"/>
                <w:sz w:val="24"/>
                <w:szCs w:val="24"/>
                <w:u w:color="000000"/>
                <w:bdr w:val="nil"/>
                <w:lang w:eastAsia="en-GB"/>
              </w:rPr>
              <w:t xml:space="preserve"> reflect</w:t>
            </w:r>
            <w:r w:rsidR="000D5B3D" w:rsidRPr="00BB7C32">
              <w:rPr>
                <w:rFonts w:eastAsia="Arial Unicode MS"/>
                <w:sz w:val="24"/>
                <w:szCs w:val="24"/>
                <w:u w:color="000000"/>
                <w:bdr w:val="nil"/>
                <w:lang w:eastAsia="en-GB"/>
              </w:rPr>
              <w:t>s</w:t>
            </w:r>
            <w:r w:rsidR="00C453CE" w:rsidRPr="00BB7C32">
              <w:rPr>
                <w:rFonts w:eastAsia="Arial Unicode MS"/>
                <w:sz w:val="24"/>
                <w:szCs w:val="24"/>
                <w:u w:color="000000"/>
                <w:bdr w:val="nil"/>
                <w:lang w:eastAsia="en-GB"/>
              </w:rPr>
              <w:t xml:space="preserve"> that the defendant filed </w:t>
            </w:r>
            <w:r w:rsidR="000D669D" w:rsidRPr="00BB7C32">
              <w:rPr>
                <w:rFonts w:eastAsia="Arial Unicode MS"/>
                <w:sz w:val="24"/>
                <w:szCs w:val="24"/>
                <w:u w:color="000000"/>
                <w:bdr w:val="nil"/>
                <w:lang w:eastAsia="en-GB"/>
              </w:rPr>
              <w:t>the current</w:t>
            </w:r>
            <w:r w:rsidR="00C453CE" w:rsidRPr="00BB7C32">
              <w:rPr>
                <w:rFonts w:eastAsia="Arial Unicode MS"/>
                <w:sz w:val="24"/>
                <w:szCs w:val="24"/>
                <w:u w:color="000000"/>
                <w:bdr w:val="nil"/>
                <w:lang w:eastAsia="en-GB"/>
              </w:rPr>
              <w:t xml:space="preserve"> condonati</w:t>
            </w:r>
            <w:r w:rsidR="000D5B3D" w:rsidRPr="00BB7C32">
              <w:rPr>
                <w:rFonts w:eastAsia="Arial Unicode MS"/>
                <w:sz w:val="24"/>
                <w:szCs w:val="24"/>
                <w:u w:color="000000"/>
                <w:bdr w:val="nil"/>
                <w:lang w:eastAsia="en-GB"/>
              </w:rPr>
              <w:t xml:space="preserve">on application on 28 March 2023. </w:t>
            </w:r>
          </w:p>
          <w:p w:rsidR="00BB7C32" w:rsidRDefault="001E7384"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 xml:space="preserve">The </w:t>
            </w:r>
            <w:r w:rsidR="00C453CE" w:rsidRPr="00BB7C32">
              <w:rPr>
                <w:rFonts w:eastAsia="Arial Unicode MS"/>
                <w:sz w:val="24"/>
                <w:szCs w:val="24"/>
                <w:u w:color="000000"/>
                <w:bdr w:val="nil"/>
                <w:lang w:eastAsia="en-GB"/>
              </w:rPr>
              <w:t>defendant, a businessman</w:t>
            </w:r>
            <w:r w:rsidRPr="00BB7C32">
              <w:rPr>
                <w:rFonts w:eastAsia="Arial Unicode MS"/>
                <w:sz w:val="24"/>
                <w:szCs w:val="24"/>
                <w:u w:color="000000"/>
                <w:bdr w:val="nil"/>
                <w:lang w:eastAsia="en-GB"/>
              </w:rPr>
              <w:t xml:space="preserve">, deposed to the founding affidavit which was supported by a confirmatory affidavit by </w:t>
            </w:r>
            <w:r w:rsidR="00B54923" w:rsidRPr="00BB7C32">
              <w:rPr>
                <w:rFonts w:eastAsia="Arial Unicode MS"/>
                <w:sz w:val="24"/>
                <w:szCs w:val="24"/>
                <w:u w:color="000000"/>
                <w:bdr w:val="nil"/>
                <w:lang w:eastAsia="en-GB"/>
              </w:rPr>
              <w:t>his</w:t>
            </w:r>
            <w:r w:rsidRPr="00BB7C32">
              <w:rPr>
                <w:rFonts w:eastAsia="Arial Unicode MS"/>
                <w:sz w:val="24"/>
                <w:szCs w:val="24"/>
                <w:u w:color="000000"/>
                <w:bdr w:val="nil"/>
                <w:lang w:eastAsia="en-GB"/>
              </w:rPr>
              <w:t xml:space="preserve"> current legal practitioner. The </w:t>
            </w:r>
            <w:r w:rsidR="00B54923" w:rsidRPr="00BB7C32">
              <w:rPr>
                <w:rFonts w:eastAsia="Arial Unicode MS"/>
                <w:sz w:val="24"/>
                <w:szCs w:val="24"/>
                <w:u w:color="000000"/>
                <w:bdr w:val="nil"/>
                <w:lang w:eastAsia="en-GB"/>
              </w:rPr>
              <w:t xml:space="preserve">relevant portions explains that before </w:t>
            </w:r>
            <w:r w:rsidR="000D5B3D" w:rsidRPr="00BB7C32">
              <w:rPr>
                <w:rFonts w:eastAsia="Arial Unicode MS"/>
                <w:sz w:val="24"/>
                <w:szCs w:val="24"/>
                <w:u w:color="000000"/>
                <w:bdr w:val="nil"/>
                <w:lang w:eastAsia="en-GB"/>
              </w:rPr>
              <w:t xml:space="preserve">the due date of the plea, the defendant’s </w:t>
            </w:r>
            <w:r w:rsidR="00B54923" w:rsidRPr="00BB7C32">
              <w:rPr>
                <w:rFonts w:eastAsia="Arial Unicode MS"/>
                <w:sz w:val="24"/>
                <w:szCs w:val="24"/>
                <w:u w:color="000000"/>
                <w:bdr w:val="nil"/>
                <w:lang w:eastAsia="en-GB"/>
              </w:rPr>
              <w:t>legal practitioner engaged</w:t>
            </w:r>
            <w:r w:rsidR="001F4D8D" w:rsidRPr="00BB7C32">
              <w:rPr>
                <w:rFonts w:eastAsia="Arial Unicode MS"/>
                <w:sz w:val="24"/>
                <w:szCs w:val="24"/>
                <w:u w:color="000000"/>
                <w:bdr w:val="nil"/>
                <w:lang w:eastAsia="en-GB"/>
              </w:rPr>
              <w:t xml:space="preserve"> the plaintiff’s legal practiti</w:t>
            </w:r>
            <w:r w:rsidR="000D5B3D" w:rsidRPr="00BB7C32">
              <w:rPr>
                <w:rFonts w:eastAsia="Arial Unicode MS"/>
                <w:sz w:val="24"/>
                <w:szCs w:val="24"/>
                <w:u w:color="000000"/>
                <w:bdr w:val="nil"/>
                <w:lang w:eastAsia="en-GB"/>
              </w:rPr>
              <w:t>o</w:t>
            </w:r>
            <w:r w:rsidR="00B54923" w:rsidRPr="00BB7C32">
              <w:rPr>
                <w:rFonts w:eastAsia="Arial Unicode MS"/>
                <w:sz w:val="24"/>
                <w:szCs w:val="24"/>
                <w:u w:color="000000"/>
                <w:bdr w:val="nil"/>
                <w:lang w:eastAsia="en-GB"/>
              </w:rPr>
              <w:t>ner concerning a writ of execution under case number HC-MD-CIV-ACT-CON-2019/00979</w:t>
            </w:r>
            <w:r w:rsidR="000D5B3D" w:rsidRPr="00BB7C32">
              <w:rPr>
                <w:rFonts w:eastAsia="Arial Unicode MS"/>
                <w:sz w:val="24"/>
                <w:szCs w:val="24"/>
                <w:u w:color="000000"/>
                <w:bdr w:val="nil"/>
                <w:lang w:eastAsia="en-GB"/>
              </w:rPr>
              <w:t xml:space="preserve"> wherein he was the second execution creditor. Thus</w:t>
            </w:r>
            <w:r w:rsidR="00663295">
              <w:rPr>
                <w:rFonts w:eastAsia="Arial Unicode MS"/>
                <w:sz w:val="24"/>
                <w:szCs w:val="24"/>
                <w:u w:color="000000"/>
                <w:bdr w:val="nil"/>
                <w:lang w:eastAsia="en-GB"/>
              </w:rPr>
              <w:t>,</w:t>
            </w:r>
            <w:r w:rsidR="000D5B3D" w:rsidRPr="00BB7C32">
              <w:rPr>
                <w:rFonts w:eastAsia="Arial Unicode MS"/>
                <w:sz w:val="24"/>
                <w:szCs w:val="24"/>
                <w:u w:color="000000"/>
                <w:bdr w:val="nil"/>
                <w:lang w:eastAsia="en-GB"/>
              </w:rPr>
              <w:t xml:space="preserve"> the defendant was of the opinion that </w:t>
            </w:r>
            <w:r w:rsidR="00B54923" w:rsidRPr="00BB7C32">
              <w:rPr>
                <w:rFonts w:eastAsia="Arial Unicode MS"/>
                <w:sz w:val="24"/>
                <w:szCs w:val="24"/>
                <w:u w:color="000000"/>
                <w:bdr w:val="nil"/>
                <w:lang w:eastAsia="en-GB"/>
              </w:rPr>
              <w:t>it is inapprop</w:t>
            </w:r>
            <w:r w:rsidR="00CF048C" w:rsidRPr="00BB7C32">
              <w:rPr>
                <w:rFonts w:eastAsia="Arial Unicode MS"/>
                <w:sz w:val="24"/>
                <w:szCs w:val="24"/>
                <w:u w:color="000000"/>
                <w:bdr w:val="nil"/>
                <w:lang w:eastAsia="en-GB"/>
              </w:rPr>
              <w:t xml:space="preserve">riate for the plaintiff to have issued summons in the present case. </w:t>
            </w:r>
            <w:r w:rsidR="00B54923" w:rsidRPr="00BB7C32">
              <w:rPr>
                <w:rFonts w:eastAsia="Arial Unicode MS"/>
                <w:sz w:val="24"/>
                <w:szCs w:val="24"/>
                <w:u w:color="000000"/>
                <w:bdr w:val="nil"/>
                <w:lang w:eastAsia="en-GB"/>
              </w:rPr>
              <w:t xml:space="preserve"> </w:t>
            </w:r>
          </w:p>
          <w:p w:rsidR="00BB7C32" w:rsidRDefault="00B54923"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 xml:space="preserve">Secondly, he explains that his legal practitioner was involved in a motor vehicle accident on 25 October 2022 on route to Gobabis wherein a pedestrian was injured. He was thus indisposed </w:t>
            </w:r>
            <w:r w:rsidR="00CF048C" w:rsidRPr="00BB7C32">
              <w:rPr>
                <w:rFonts w:eastAsia="Arial Unicode MS"/>
                <w:sz w:val="24"/>
                <w:szCs w:val="24"/>
                <w:u w:color="000000"/>
                <w:bdr w:val="nil"/>
                <w:lang w:eastAsia="en-GB"/>
              </w:rPr>
              <w:t xml:space="preserve">from </w:t>
            </w:r>
            <w:r w:rsidR="007E34BC" w:rsidRPr="00BB7C32">
              <w:rPr>
                <w:rFonts w:eastAsia="Arial Unicode MS"/>
                <w:sz w:val="24"/>
                <w:szCs w:val="24"/>
                <w:u w:color="000000"/>
                <w:bdr w:val="nil"/>
                <w:lang w:eastAsia="en-GB"/>
              </w:rPr>
              <w:t>25 October 2022 until</w:t>
            </w:r>
            <w:r w:rsidRPr="00BB7C32">
              <w:rPr>
                <w:rFonts w:eastAsia="Arial Unicode MS"/>
                <w:sz w:val="24"/>
                <w:szCs w:val="24"/>
                <w:u w:color="000000"/>
                <w:bdr w:val="nil"/>
                <w:lang w:eastAsia="en-GB"/>
              </w:rPr>
              <w:t xml:space="preserve"> 26 October 2022</w:t>
            </w:r>
            <w:r w:rsidR="00CF048C" w:rsidRPr="00BB7C32">
              <w:rPr>
                <w:rFonts w:eastAsia="Arial Unicode MS"/>
                <w:sz w:val="24"/>
                <w:szCs w:val="24"/>
                <w:u w:color="000000"/>
                <w:bdr w:val="nil"/>
                <w:lang w:eastAsia="en-GB"/>
              </w:rPr>
              <w:t xml:space="preserve">, </w:t>
            </w:r>
            <w:r w:rsidRPr="00BB7C32">
              <w:rPr>
                <w:rFonts w:eastAsia="Arial Unicode MS"/>
                <w:sz w:val="24"/>
                <w:szCs w:val="24"/>
                <w:u w:color="000000"/>
                <w:bdr w:val="nil"/>
                <w:lang w:eastAsia="en-GB"/>
              </w:rPr>
              <w:t>as he had to attend to the matter concerning the ac</w:t>
            </w:r>
            <w:r w:rsidR="00663295">
              <w:rPr>
                <w:rFonts w:eastAsia="Arial Unicode MS"/>
                <w:sz w:val="24"/>
                <w:szCs w:val="24"/>
                <w:u w:color="000000"/>
                <w:bdr w:val="nil"/>
                <w:lang w:eastAsia="en-GB"/>
              </w:rPr>
              <w:t>cident on 26 October 2022. The public p</w:t>
            </w:r>
            <w:r w:rsidRPr="00BB7C32">
              <w:rPr>
                <w:rFonts w:eastAsia="Arial Unicode MS"/>
                <w:sz w:val="24"/>
                <w:szCs w:val="24"/>
                <w:u w:color="000000"/>
                <w:bdr w:val="nil"/>
                <w:lang w:eastAsia="en-GB"/>
              </w:rPr>
              <w:t xml:space="preserve">rosecutor of that district deposed to a confirmatory affidavit in relation to the latter two days. </w:t>
            </w:r>
          </w:p>
          <w:p w:rsidR="00BB7C32" w:rsidRPr="00BB7C32" w:rsidRDefault="00CA3F29"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 xml:space="preserve">He further explains that his legal practitioner engaged the plaintiff’s legal practitioner </w:t>
            </w:r>
            <w:r w:rsidR="00CF048C" w:rsidRPr="00BB7C32">
              <w:rPr>
                <w:rFonts w:eastAsia="Arial Unicode MS"/>
                <w:sz w:val="24"/>
                <w:szCs w:val="24"/>
                <w:u w:color="000000"/>
                <w:bdr w:val="nil"/>
                <w:lang w:eastAsia="en-GB"/>
              </w:rPr>
              <w:t xml:space="preserve">on </w:t>
            </w:r>
            <w:r w:rsidR="00CF048C" w:rsidRPr="00BB7C32">
              <w:rPr>
                <w:sz w:val="24"/>
                <w:szCs w:val="24"/>
              </w:rPr>
              <w:t xml:space="preserve">5 October 2022 and 10 November 2022 </w:t>
            </w:r>
            <w:r w:rsidRPr="00BB7C32">
              <w:rPr>
                <w:rFonts w:eastAsia="Arial Unicode MS"/>
                <w:sz w:val="24"/>
                <w:szCs w:val="24"/>
                <w:u w:color="000000"/>
                <w:bdr w:val="nil"/>
                <w:lang w:eastAsia="en-GB"/>
              </w:rPr>
              <w:t xml:space="preserve">regarding its </w:t>
            </w:r>
            <w:r w:rsidR="008B29F6" w:rsidRPr="00BB7C32">
              <w:rPr>
                <w:rFonts w:eastAsia="Arial Unicode MS"/>
                <w:sz w:val="24"/>
                <w:szCs w:val="24"/>
                <w:u w:color="000000"/>
                <w:bdr w:val="nil"/>
                <w:lang w:eastAsia="en-GB"/>
              </w:rPr>
              <w:t xml:space="preserve">intended </w:t>
            </w:r>
            <w:r w:rsidRPr="00BB7C32">
              <w:rPr>
                <w:rFonts w:eastAsia="Arial Unicode MS"/>
                <w:sz w:val="24"/>
                <w:szCs w:val="24"/>
                <w:u w:color="000000"/>
                <w:bdr w:val="nil"/>
                <w:lang w:eastAsia="en-GB"/>
              </w:rPr>
              <w:t xml:space="preserve">application under </w:t>
            </w:r>
            <w:r w:rsidRPr="00BB7C32">
              <w:rPr>
                <w:sz w:val="24"/>
                <w:szCs w:val="24"/>
              </w:rPr>
              <w:t xml:space="preserve">HC-MD-CIV-MOT-GEN-2022/00534 </w:t>
            </w:r>
            <w:r w:rsidR="00CF048C" w:rsidRPr="00BB7C32">
              <w:rPr>
                <w:sz w:val="24"/>
                <w:szCs w:val="24"/>
              </w:rPr>
              <w:t>to have the writ of execution set aside. Therefore</w:t>
            </w:r>
            <w:r w:rsidR="00663295">
              <w:rPr>
                <w:sz w:val="24"/>
                <w:szCs w:val="24"/>
              </w:rPr>
              <w:t>,</w:t>
            </w:r>
            <w:r w:rsidR="00CF048C" w:rsidRPr="00BB7C32">
              <w:rPr>
                <w:sz w:val="24"/>
                <w:szCs w:val="24"/>
              </w:rPr>
              <w:t xml:space="preserve"> Mr Gurirab opined that his fail</w:t>
            </w:r>
            <w:r w:rsidRPr="00BB7C32">
              <w:rPr>
                <w:sz w:val="24"/>
                <w:szCs w:val="24"/>
              </w:rPr>
              <w:t xml:space="preserve">ure to file its plea was </w:t>
            </w:r>
            <w:r w:rsidRPr="00BB7C32">
              <w:rPr>
                <w:i/>
                <w:sz w:val="24"/>
                <w:szCs w:val="24"/>
              </w:rPr>
              <w:t>bona fide</w:t>
            </w:r>
            <w:r w:rsidRPr="00BB7C32">
              <w:rPr>
                <w:sz w:val="24"/>
                <w:szCs w:val="24"/>
              </w:rPr>
              <w:t>.</w:t>
            </w:r>
            <w:r w:rsidR="00CF048C" w:rsidRPr="00BB7C32">
              <w:rPr>
                <w:sz w:val="24"/>
                <w:szCs w:val="24"/>
              </w:rPr>
              <w:t xml:space="preserve"> The founding affidavit also states that: ‘Further self-explanatory Status Reports have been uploaded by Mr Kasper herein dealing with the said issue, which we humbly ask the above Honourable Court to have regard to.’ </w:t>
            </w:r>
          </w:p>
          <w:p w:rsidR="000C7EF4" w:rsidRPr="00BB7C32" w:rsidRDefault="00CF048C"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sz w:val="24"/>
                <w:szCs w:val="24"/>
              </w:rPr>
              <w:t>As far as prospects of success are concerned the de</w:t>
            </w:r>
            <w:r w:rsidR="00FD0C03" w:rsidRPr="00BB7C32">
              <w:rPr>
                <w:sz w:val="24"/>
                <w:szCs w:val="24"/>
              </w:rPr>
              <w:t>ponent says that he intend</w:t>
            </w:r>
            <w:r w:rsidR="00663295">
              <w:rPr>
                <w:sz w:val="24"/>
                <w:szCs w:val="24"/>
              </w:rPr>
              <w:t>s</w:t>
            </w:r>
            <w:r w:rsidR="00FD0C03" w:rsidRPr="00BB7C32">
              <w:rPr>
                <w:sz w:val="24"/>
                <w:szCs w:val="24"/>
              </w:rPr>
              <w:t xml:space="preserve"> to r</w:t>
            </w:r>
            <w:r w:rsidRPr="00BB7C32">
              <w:rPr>
                <w:sz w:val="24"/>
                <w:szCs w:val="24"/>
              </w:rPr>
              <w:t xml:space="preserve">aise a special plea of </w:t>
            </w:r>
            <w:r w:rsidRPr="00663295">
              <w:rPr>
                <w:i/>
                <w:sz w:val="24"/>
                <w:szCs w:val="24"/>
              </w:rPr>
              <w:t>res judicata</w:t>
            </w:r>
            <w:r w:rsidRPr="00BB7C32">
              <w:rPr>
                <w:sz w:val="24"/>
                <w:szCs w:val="24"/>
              </w:rPr>
              <w:t xml:space="preserve">. </w:t>
            </w:r>
            <w:r w:rsidR="00FD0C03" w:rsidRPr="00BB7C32">
              <w:rPr>
                <w:sz w:val="24"/>
                <w:szCs w:val="24"/>
              </w:rPr>
              <w:t>In oral submissions</w:t>
            </w:r>
            <w:r w:rsidR="00663295">
              <w:rPr>
                <w:sz w:val="24"/>
                <w:szCs w:val="24"/>
              </w:rPr>
              <w:t>,</w:t>
            </w:r>
            <w:r w:rsidR="00FD0C03" w:rsidRPr="00BB7C32">
              <w:rPr>
                <w:sz w:val="24"/>
                <w:szCs w:val="24"/>
              </w:rPr>
              <w:t xml:space="preserve"> M</w:t>
            </w:r>
            <w:r w:rsidR="00BB08CC" w:rsidRPr="00BB7C32">
              <w:rPr>
                <w:sz w:val="24"/>
                <w:szCs w:val="24"/>
              </w:rPr>
              <w:t xml:space="preserve">r Kasper </w:t>
            </w:r>
            <w:r w:rsidR="00FD0C03" w:rsidRPr="00BB7C32">
              <w:rPr>
                <w:sz w:val="24"/>
                <w:szCs w:val="24"/>
              </w:rPr>
              <w:t xml:space="preserve">reiterated that </w:t>
            </w:r>
            <w:r w:rsidR="000C7EF4" w:rsidRPr="00BB7C32">
              <w:rPr>
                <w:sz w:val="24"/>
                <w:szCs w:val="24"/>
              </w:rPr>
              <w:t>a writ of execution was issued in HC-MD-CIV-ACT-CON-2019/00979 in favour</w:t>
            </w:r>
            <w:r w:rsidR="004B3621" w:rsidRPr="00BB7C32">
              <w:rPr>
                <w:sz w:val="24"/>
                <w:szCs w:val="24"/>
              </w:rPr>
              <w:t xml:space="preserve"> of the p</w:t>
            </w:r>
            <w:r w:rsidR="000C7EF4" w:rsidRPr="00BB7C32">
              <w:rPr>
                <w:sz w:val="24"/>
                <w:szCs w:val="24"/>
              </w:rPr>
              <w:t>laintiff</w:t>
            </w:r>
            <w:r w:rsidR="00FD0C03" w:rsidRPr="00BB7C32">
              <w:rPr>
                <w:sz w:val="24"/>
                <w:szCs w:val="24"/>
              </w:rPr>
              <w:t>, and therefore</w:t>
            </w:r>
            <w:r w:rsidR="00663295">
              <w:rPr>
                <w:sz w:val="24"/>
                <w:szCs w:val="24"/>
              </w:rPr>
              <w:t>,</w:t>
            </w:r>
            <w:r w:rsidR="00FD0C03" w:rsidRPr="00BB7C32">
              <w:rPr>
                <w:sz w:val="24"/>
                <w:szCs w:val="24"/>
              </w:rPr>
              <w:t xml:space="preserve"> the </w:t>
            </w:r>
            <w:r w:rsidR="008B29F6" w:rsidRPr="00BB7C32">
              <w:rPr>
                <w:sz w:val="24"/>
              </w:rPr>
              <w:t xml:space="preserve">settlement agreement in the latter matter could apply to the defendant </w:t>
            </w:r>
            <w:r w:rsidR="00FD0C03" w:rsidRPr="00BB7C32">
              <w:rPr>
                <w:sz w:val="24"/>
              </w:rPr>
              <w:t xml:space="preserve">in which case </w:t>
            </w:r>
            <w:r w:rsidR="00FD0C03" w:rsidRPr="00BB7C32">
              <w:rPr>
                <w:i/>
                <w:sz w:val="24"/>
              </w:rPr>
              <w:t xml:space="preserve">res judicata </w:t>
            </w:r>
            <w:r w:rsidR="00FD0C03" w:rsidRPr="00BB7C32">
              <w:rPr>
                <w:sz w:val="24"/>
              </w:rPr>
              <w:t>would apply.</w:t>
            </w:r>
          </w:p>
          <w:p w:rsidR="00663295" w:rsidRDefault="00663295" w:rsidP="00922E7B">
            <w:pPr>
              <w:pBdr>
                <w:top w:val="nil"/>
                <w:left w:val="nil"/>
                <w:bottom w:val="nil"/>
                <w:right w:val="nil"/>
                <w:between w:val="nil"/>
                <w:bar w:val="nil"/>
              </w:pBdr>
              <w:spacing w:before="240" w:after="0" w:line="360" w:lineRule="auto"/>
              <w:jc w:val="both"/>
              <w:rPr>
                <w:rFonts w:ascii="Arial" w:eastAsia="Arial" w:hAnsi="Arial" w:cs="Arial"/>
                <w:sz w:val="24"/>
                <w:u w:val="single"/>
                <w:lang w:val="en-US"/>
              </w:rPr>
            </w:pPr>
          </w:p>
          <w:p w:rsidR="00922E7B" w:rsidRPr="00922E7B" w:rsidRDefault="00922E7B" w:rsidP="00922E7B">
            <w:pPr>
              <w:pBdr>
                <w:top w:val="nil"/>
                <w:left w:val="nil"/>
                <w:bottom w:val="nil"/>
                <w:right w:val="nil"/>
                <w:between w:val="nil"/>
                <w:bar w:val="nil"/>
              </w:pBdr>
              <w:spacing w:before="240" w:after="0" w:line="360" w:lineRule="auto"/>
              <w:jc w:val="both"/>
              <w:rPr>
                <w:rFonts w:ascii="Arial" w:eastAsia="Arial Unicode MS" w:hAnsi="Arial" w:cs="Arial"/>
                <w:strike/>
                <w:sz w:val="24"/>
                <w:szCs w:val="24"/>
                <w:u w:val="single"/>
                <w:bdr w:val="nil"/>
                <w:lang w:val="en-US" w:eastAsia="en-GB"/>
              </w:rPr>
            </w:pPr>
            <w:r w:rsidRPr="00922E7B">
              <w:rPr>
                <w:rFonts w:ascii="Arial" w:eastAsia="Arial" w:hAnsi="Arial" w:cs="Arial"/>
                <w:sz w:val="24"/>
                <w:u w:val="single"/>
                <w:lang w:val="en-US"/>
              </w:rPr>
              <w:t>Opposition to the application</w:t>
            </w:r>
          </w:p>
          <w:p w:rsidR="00BB7C32" w:rsidRDefault="00BB08CC"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The plaintiff’s answe</w:t>
            </w:r>
            <w:r w:rsidR="004450C6" w:rsidRPr="00BB7C32">
              <w:rPr>
                <w:rFonts w:eastAsia="Arial Unicode MS"/>
                <w:sz w:val="24"/>
                <w:szCs w:val="24"/>
                <w:u w:color="000000"/>
                <w:bdr w:val="nil"/>
                <w:lang w:eastAsia="en-GB"/>
              </w:rPr>
              <w:t>ring affidavit</w:t>
            </w:r>
            <w:r w:rsidR="00B05069" w:rsidRPr="00BB7C32">
              <w:rPr>
                <w:rFonts w:eastAsia="Arial Unicode MS"/>
                <w:sz w:val="24"/>
                <w:szCs w:val="24"/>
                <w:u w:color="000000"/>
                <w:bdr w:val="nil"/>
                <w:lang w:eastAsia="en-GB"/>
              </w:rPr>
              <w:t xml:space="preserve">, which was deposed to by Mr Gert Strydom, a member of the plaintiff, </w:t>
            </w:r>
            <w:r w:rsidR="002F0E49" w:rsidRPr="00BB7C32">
              <w:rPr>
                <w:rFonts w:eastAsia="Arial Unicode MS"/>
                <w:sz w:val="24"/>
                <w:szCs w:val="24"/>
                <w:u w:color="000000"/>
                <w:bdr w:val="nil"/>
                <w:lang w:eastAsia="en-GB"/>
              </w:rPr>
              <w:t xml:space="preserve">attacks the condonation </w:t>
            </w:r>
            <w:r w:rsidR="004450C6" w:rsidRPr="00BB7C32">
              <w:rPr>
                <w:rFonts w:eastAsia="Arial Unicode MS"/>
                <w:sz w:val="24"/>
                <w:szCs w:val="24"/>
                <w:u w:color="000000"/>
                <w:bdr w:val="nil"/>
                <w:lang w:eastAsia="en-GB"/>
              </w:rPr>
              <w:t xml:space="preserve">application </w:t>
            </w:r>
            <w:r w:rsidR="002F0E49" w:rsidRPr="00BB7C32">
              <w:rPr>
                <w:rFonts w:eastAsia="Arial Unicode MS"/>
                <w:sz w:val="24"/>
                <w:szCs w:val="24"/>
                <w:u w:color="000000"/>
                <w:bdr w:val="nil"/>
                <w:lang w:eastAsia="en-GB"/>
              </w:rPr>
              <w:t>saying that it is fatally defective because of the inordinate delay. The position was lamented that counsel for the defendant failed to participate in the compilation of the case plan, nor did he say why it was impossible to do so. The plaintiff’s view is that the affidavit does not disclose the circums</w:t>
            </w:r>
            <w:r w:rsidR="004450C6" w:rsidRPr="00BB7C32">
              <w:rPr>
                <w:rFonts w:eastAsia="Arial Unicode MS"/>
                <w:sz w:val="24"/>
                <w:szCs w:val="24"/>
                <w:u w:color="000000"/>
                <w:bdr w:val="nil"/>
                <w:lang w:eastAsia="en-GB"/>
              </w:rPr>
              <w:t xml:space="preserve">tances that gave rise to the </w:t>
            </w:r>
            <w:r w:rsidR="002F0E49" w:rsidRPr="00BB7C32">
              <w:rPr>
                <w:rFonts w:eastAsia="Arial Unicode MS"/>
                <w:sz w:val="24"/>
                <w:szCs w:val="24"/>
                <w:u w:color="000000"/>
                <w:bdr w:val="nil"/>
                <w:lang w:eastAsia="en-GB"/>
              </w:rPr>
              <w:t>plea not being filed t</w:t>
            </w:r>
            <w:r w:rsidR="004450C6" w:rsidRPr="00BB7C32">
              <w:rPr>
                <w:rFonts w:eastAsia="Arial Unicode MS"/>
                <w:sz w:val="24"/>
                <w:szCs w:val="24"/>
                <w:u w:color="000000"/>
                <w:bdr w:val="nil"/>
                <w:lang w:eastAsia="en-GB"/>
              </w:rPr>
              <w:t xml:space="preserve">imeously nor did the defendant disclose a defence on the merits. That is because the defendant only dealt with a </w:t>
            </w:r>
            <w:r w:rsidRPr="00BB7C32">
              <w:rPr>
                <w:rFonts w:eastAsia="Arial Unicode MS"/>
                <w:sz w:val="24"/>
                <w:szCs w:val="24"/>
                <w:u w:color="000000"/>
                <w:bdr w:val="nil"/>
                <w:lang w:eastAsia="en-GB"/>
              </w:rPr>
              <w:t xml:space="preserve">defense conditional to his application in HC-MD-CIV-MOT-GEN-2022/00534. </w:t>
            </w:r>
          </w:p>
          <w:p w:rsidR="00BB7C32" w:rsidRPr="00BB7C32" w:rsidRDefault="004450C6"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 xml:space="preserve">In </w:t>
            </w:r>
            <w:r w:rsidR="00B05069" w:rsidRPr="00BB7C32">
              <w:rPr>
                <w:rFonts w:eastAsia="Arial Unicode MS"/>
                <w:sz w:val="24"/>
                <w:szCs w:val="24"/>
                <w:u w:color="000000"/>
                <w:bdr w:val="nil"/>
                <w:lang w:eastAsia="en-GB"/>
              </w:rPr>
              <w:t xml:space="preserve">relation to the </w:t>
            </w:r>
            <w:r w:rsidRPr="00BB7C32">
              <w:rPr>
                <w:rFonts w:eastAsia="Arial Unicode MS"/>
                <w:sz w:val="24"/>
                <w:szCs w:val="24"/>
                <w:u w:color="000000"/>
                <w:bdr w:val="nil"/>
                <w:lang w:eastAsia="en-GB"/>
              </w:rPr>
              <w:t xml:space="preserve">averments </w:t>
            </w:r>
            <w:r w:rsidR="007E34BC" w:rsidRPr="00BB7C32">
              <w:rPr>
                <w:rFonts w:eastAsia="Arial Unicode MS"/>
                <w:sz w:val="24"/>
                <w:szCs w:val="24"/>
                <w:u w:color="000000"/>
                <w:bdr w:val="nil"/>
                <w:lang w:eastAsia="en-GB"/>
              </w:rPr>
              <w:t xml:space="preserve">pertaining to the </w:t>
            </w:r>
            <w:r w:rsidR="00B05069" w:rsidRPr="00BB7C32">
              <w:rPr>
                <w:rFonts w:eastAsia="Arial Unicode MS"/>
                <w:sz w:val="24"/>
                <w:szCs w:val="24"/>
                <w:u w:color="000000"/>
                <w:bdr w:val="nil"/>
                <w:lang w:eastAsia="en-GB"/>
              </w:rPr>
              <w:t xml:space="preserve">defendant position </w:t>
            </w:r>
            <w:r w:rsidR="007E34BC" w:rsidRPr="00BB7C32">
              <w:rPr>
                <w:rFonts w:eastAsia="Arial Unicode MS"/>
                <w:sz w:val="24"/>
                <w:szCs w:val="24"/>
                <w:u w:color="000000"/>
                <w:bdr w:val="nil"/>
                <w:lang w:eastAsia="en-GB"/>
              </w:rPr>
              <w:t>that</w:t>
            </w:r>
            <w:r w:rsidR="00B05069" w:rsidRPr="00BB7C32">
              <w:rPr>
                <w:rFonts w:eastAsia="Arial Unicode MS"/>
                <w:sz w:val="24"/>
                <w:szCs w:val="24"/>
                <w:u w:color="000000"/>
                <w:bdr w:val="nil"/>
                <w:lang w:eastAsia="en-GB"/>
              </w:rPr>
              <w:t xml:space="preserve"> he was not a party to the case wherein the warrant of execution was issued, the deponent to the answering affidavit states that it represents a complete turnaround from the earlier stance wherein the po</w:t>
            </w:r>
            <w:r w:rsidR="00263367" w:rsidRPr="00BB7C32">
              <w:rPr>
                <w:rFonts w:eastAsia="Arial Unicode MS"/>
                <w:sz w:val="24"/>
                <w:szCs w:val="24"/>
                <w:u w:color="000000"/>
                <w:bdr w:val="nil"/>
                <w:lang w:eastAsia="en-GB"/>
              </w:rPr>
              <w:t>s</w:t>
            </w:r>
            <w:r w:rsidR="00B05069" w:rsidRPr="00BB7C32">
              <w:rPr>
                <w:rFonts w:eastAsia="Arial Unicode MS"/>
                <w:sz w:val="24"/>
                <w:szCs w:val="24"/>
                <w:u w:color="000000"/>
                <w:bdr w:val="nil"/>
                <w:lang w:eastAsia="en-GB"/>
              </w:rPr>
              <w:t>ition was th</w:t>
            </w:r>
            <w:r w:rsidR="00263367" w:rsidRPr="00BB7C32">
              <w:rPr>
                <w:rFonts w:eastAsia="Arial Unicode MS"/>
                <w:sz w:val="24"/>
                <w:szCs w:val="24"/>
                <w:u w:color="000000"/>
                <w:bdr w:val="nil"/>
                <w:lang w:eastAsia="en-GB"/>
              </w:rPr>
              <w:t>at</w:t>
            </w:r>
            <w:r w:rsidR="007E34BC" w:rsidRPr="00BB7C32">
              <w:rPr>
                <w:rFonts w:eastAsia="Arial Unicode MS"/>
                <w:sz w:val="24"/>
                <w:szCs w:val="24"/>
                <w:u w:color="000000"/>
                <w:bdr w:val="nil"/>
                <w:lang w:eastAsia="en-GB"/>
              </w:rPr>
              <w:t xml:space="preserve"> the defendant was reg</w:t>
            </w:r>
            <w:r w:rsidR="0003678C" w:rsidRPr="00BB7C32">
              <w:rPr>
                <w:rFonts w:eastAsia="Arial Unicode MS"/>
                <w:sz w:val="24"/>
                <w:szCs w:val="24"/>
                <w:u w:color="000000"/>
                <w:bdr w:val="nil"/>
                <w:lang w:eastAsia="en-GB"/>
              </w:rPr>
              <w:t>arded as a co-principal debtor</w:t>
            </w:r>
            <w:r w:rsidR="00637CFB" w:rsidRPr="00BB7C32">
              <w:rPr>
                <w:rFonts w:eastAsia="Arial Unicode MS"/>
                <w:sz w:val="24"/>
                <w:szCs w:val="24"/>
                <w:u w:color="000000"/>
                <w:bdr w:val="nil"/>
                <w:lang w:eastAsia="en-GB"/>
              </w:rPr>
              <w:t xml:space="preserve"> </w:t>
            </w:r>
            <w:r w:rsidR="0003678C" w:rsidRPr="00BB7C32">
              <w:rPr>
                <w:sz w:val="24"/>
                <w:szCs w:val="24"/>
              </w:rPr>
              <w:t xml:space="preserve">in case </w:t>
            </w:r>
            <w:r w:rsidR="00663295">
              <w:rPr>
                <w:sz w:val="24"/>
                <w:szCs w:val="24"/>
              </w:rPr>
              <w:t>number</w:t>
            </w:r>
            <w:r w:rsidR="0003678C" w:rsidRPr="00BB7C32">
              <w:rPr>
                <w:sz w:val="24"/>
                <w:szCs w:val="24"/>
              </w:rPr>
              <w:t xml:space="preserve"> HC-MD-CIV-ACT-CON-2019/00979.</w:t>
            </w:r>
          </w:p>
          <w:p w:rsidR="001E7384" w:rsidRPr="00BB7C32" w:rsidRDefault="0003678C" w:rsidP="00BB7C32">
            <w:pPr>
              <w:pStyle w:val="ListParagraph"/>
              <w:numPr>
                <w:ilvl w:val="0"/>
                <w:numId w:val="12"/>
              </w:numPr>
              <w:pBdr>
                <w:top w:val="nil"/>
                <w:left w:val="nil"/>
                <w:bottom w:val="nil"/>
                <w:right w:val="nil"/>
                <w:between w:val="nil"/>
                <w:bar w:val="nil"/>
              </w:pBdr>
              <w:spacing w:before="240" w:line="360" w:lineRule="auto"/>
              <w:ind w:left="0" w:firstLine="0"/>
              <w:rPr>
                <w:rFonts w:eastAsia="Arial Unicode MS"/>
                <w:sz w:val="24"/>
                <w:szCs w:val="24"/>
                <w:u w:color="000000"/>
                <w:bdr w:val="nil"/>
                <w:lang w:eastAsia="en-GB"/>
              </w:rPr>
            </w:pPr>
            <w:r w:rsidRPr="00BB7C32">
              <w:rPr>
                <w:rFonts w:eastAsia="Arial Unicode MS"/>
                <w:sz w:val="24"/>
                <w:szCs w:val="24"/>
                <w:u w:color="000000"/>
                <w:bdr w:val="nil"/>
                <w:lang w:eastAsia="en-GB"/>
              </w:rPr>
              <w:t xml:space="preserve">In argument </w:t>
            </w:r>
            <w:r w:rsidR="000D77E0" w:rsidRPr="00BB7C32">
              <w:rPr>
                <w:rFonts w:eastAsia="Arial Unicode MS"/>
                <w:sz w:val="24"/>
                <w:szCs w:val="24"/>
                <w:u w:color="000000"/>
                <w:bdr w:val="nil"/>
                <w:lang w:eastAsia="en-GB"/>
              </w:rPr>
              <w:t xml:space="preserve">Mr Olivier explained the </w:t>
            </w:r>
            <w:r w:rsidRPr="00BB7C32">
              <w:rPr>
                <w:rFonts w:eastAsia="Arial Unicode MS"/>
                <w:sz w:val="24"/>
                <w:szCs w:val="24"/>
                <w:u w:color="000000"/>
                <w:bdr w:val="nil"/>
                <w:lang w:eastAsia="en-GB"/>
              </w:rPr>
              <w:t xml:space="preserve">plaintiff’s </w:t>
            </w:r>
            <w:r w:rsidR="000D77E0" w:rsidRPr="00BB7C32">
              <w:rPr>
                <w:rFonts w:eastAsia="Arial Unicode MS"/>
                <w:sz w:val="24"/>
                <w:szCs w:val="24"/>
                <w:u w:color="000000"/>
                <w:bdr w:val="nil"/>
                <w:lang w:eastAsia="en-GB"/>
              </w:rPr>
              <w:t xml:space="preserve">dilemma </w:t>
            </w:r>
            <w:r w:rsidRPr="00BB7C32">
              <w:rPr>
                <w:rFonts w:eastAsia="Arial Unicode MS"/>
                <w:sz w:val="24"/>
                <w:szCs w:val="24"/>
                <w:u w:color="000000"/>
                <w:bdr w:val="nil"/>
                <w:lang w:eastAsia="en-GB"/>
              </w:rPr>
              <w:t xml:space="preserve">as the erstwhile </w:t>
            </w:r>
            <w:r w:rsidR="000D77E0" w:rsidRPr="00BB7C32">
              <w:rPr>
                <w:rFonts w:eastAsia="Arial Unicode MS"/>
                <w:sz w:val="24"/>
                <w:szCs w:val="24"/>
                <w:u w:color="000000"/>
                <w:bdr w:val="nil"/>
                <w:lang w:eastAsia="en-GB"/>
              </w:rPr>
              <w:t xml:space="preserve">legal practitioners did not join Mr Gurirab as a second defendant in case </w:t>
            </w:r>
            <w:r w:rsidR="00663295">
              <w:rPr>
                <w:rFonts w:eastAsia="Arial Unicode MS"/>
                <w:sz w:val="24"/>
                <w:szCs w:val="24"/>
                <w:u w:color="000000"/>
                <w:bdr w:val="nil"/>
                <w:lang w:eastAsia="en-GB"/>
              </w:rPr>
              <w:t>number</w:t>
            </w:r>
            <w:r w:rsidR="000D77E0" w:rsidRPr="00BB7C32">
              <w:rPr>
                <w:rFonts w:eastAsia="Arial Unicode MS"/>
                <w:sz w:val="24"/>
                <w:szCs w:val="24"/>
                <w:u w:color="000000"/>
                <w:bdr w:val="nil"/>
                <w:lang w:eastAsia="en-GB"/>
              </w:rPr>
              <w:t xml:space="preserve"> </w:t>
            </w:r>
            <w:r w:rsidR="000D77E0" w:rsidRPr="00BB7C32">
              <w:rPr>
                <w:sz w:val="24"/>
                <w:szCs w:val="24"/>
              </w:rPr>
              <w:t>HC-MD-CIV-ACT-CON-2019/00979. Thus</w:t>
            </w:r>
            <w:r w:rsidR="00663295">
              <w:rPr>
                <w:sz w:val="24"/>
                <w:szCs w:val="24"/>
              </w:rPr>
              <w:t>,</w:t>
            </w:r>
            <w:r w:rsidR="000D77E0" w:rsidRPr="00BB7C32">
              <w:rPr>
                <w:sz w:val="24"/>
                <w:szCs w:val="24"/>
              </w:rPr>
              <w:t xml:space="preserve"> the plaintiff could not sit idle in view of the non-payment to the claim because the claim might prescribe, which is why this case was instituted. </w:t>
            </w:r>
            <w:r w:rsidR="00637CFB" w:rsidRPr="00BB7C32">
              <w:rPr>
                <w:sz w:val="24"/>
                <w:szCs w:val="24"/>
              </w:rPr>
              <w:t xml:space="preserve"> He argued that had the defendant honoured his undertaking as per the settlement agreement that would have been the end of the matter.</w:t>
            </w:r>
            <w:r w:rsidRPr="00BB7C32">
              <w:rPr>
                <w:sz w:val="24"/>
                <w:szCs w:val="24"/>
              </w:rPr>
              <w:t xml:space="preserve"> He reiterated the views as set out in the opposing affidavit.</w:t>
            </w:r>
            <w:r w:rsidR="00637CFB" w:rsidRPr="00BB7C32">
              <w:rPr>
                <w:sz w:val="24"/>
                <w:szCs w:val="24"/>
              </w:rPr>
              <w:t xml:space="preserve"> </w:t>
            </w:r>
          </w:p>
          <w:p w:rsidR="00BB7C32" w:rsidRDefault="00BB7C32" w:rsidP="000D669D">
            <w:pPr>
              <w:pBdr>
                <w:top w:val="nil"/>
                <w:left w:val="nil"/>
                <w:bottom w:val="nil"/>
                <w:right w:val="nil"/>
                <w:between w:val="nil"/>
                <w:bar w:val="nil"/>
              </w:pBdr>
              <w:spacing w:after="0" w:line="360" w:lineRule="auto"/>
              <w:jc w:val="both"/>
              <w:rPr>
                <w:rFonts w:ascii="Arial" w:eastAsia="Arial Unicode MS" w:hAnsi="Arial" w:cs="Arial"/>
                <w:sz w:val="24"/>
                <w:szCs w:val="24"/>
                <w:u w:val="single"/>
                <w:bdr w:val="nil"/>
                <w:lang w:val="en-US" w:eastAsia="en-GB"/>
              </w:rPr>
            </w:pPr>
          </w:p>
          <w:p w:rsidR="001E7384" w:rsidRPr="004B3621" w:rsidRDefault="001E7384" w:rsidP="000D669D">
            <w:pPr>
              <w:pBdr>
                <w:top w:val="nil"/>
                <w:left w:val="nil"/>
                <w:bottom w:val="nil"/>
                <w:right w:val="nil"/>
                <w:between w:val="nil"/>
                <w:bar w:val="nil"/>
              </w:pBdr>
              <w:spacing w:after="0" w:line="360" w:lineRule="auto"/>
              <w:jc w:val="both"/>
              <w:rPr>
                <w:rFonts w:ascii="Arial" w:eastAsia="Arial Unicode MS" w:hAnsi="Arial" w:cs="Arial"/>
                <w:sz w:val="24"/>
                <w:szCs w:val="24"/>
                <w:u w:val="single"/>
                <w:bdr w:val="nil"/>
                <w:lang w:val="en-US" w:eastAsia="en-GB"/>
              </w:rPr>
            </w:pPr>
            <w:r w:rsidRPr="004B3621">
              <w:rPr>
                <w:rFonts w:ascii="Arial" w:eastAsia="Arial Unicode MS" w:hAnsi="Arial" w:cs="Arial"/>
                <w:sz w:val="24"/>
                <w:szCs w:val="24"/>
                <w:u w:val="single"/>
                <w:bdr w:val="nil"/>
                <w:lang w:val="en-US" w:eastAsia="en-GB"/>
              </w:rPr>
              <w:t xml:space="preserve">The law </w:t>
            </w:r>
            <w:r w:rsidR="00922E7B">
              <w:rPr>
                <w:rFonts w:ascii="Arial" w:eastAsia="Arial Unicode MS" w:hAnsi="Arial" w:cs="Arial"/>
                <w:sz w:val="24"/>
                <w:szCs w:val="24"/>
                <w:u w:val="single"/>
                <w:bdr w:val="nil"/>
                <w:lang w:val="en-US" w:eastAsia="en-GB"/>
              </w:rPr>
              <w:t>and application thereof</w:t>
            </w:r>
          </w:p>
          <w:p w:rsidR="001E7384" w:rsidRPr="004B3621" w:rsidRDefault="001E7384" w:rsidP="000D669D">
            <w:pPr>
              <w:pBdr>
                <w:top w:val="nil"/>
                <w:left w:val="nil"/>
                <w:bottom w:val="nil"/>
                <w:right w:val="nil"/>
                <w:between w:val="nil"/>
                <w:bar w:val="nil"/>
              </w:pBdr>
              <w:spacing w:after="0" w:line="360" w:lineRule="auto"/>
              <w:jc w:val="both"/>
              <w:rPr>
                <w:rFonts w:ascii="Calibri" w:eastAsia="Times New Roman" w:hAnsi="Calibri" w:cs="Arial Unicode MS"/>
                <w:bdr w:val="nil"/>
                <w:lang w:val="en-ZA" w:eastAsia="en-GB"/>
              </w:rPr>
            </w:pPr>
          </w:p>
          <w:p w:rsidR="00BB7C32" w:rsidRDefault="004B3621" w:rsidP="00BB7C32">
            <w:pPr>
              <w:pStyle w:val="ListParagraph"/>
              <w:numPr>
                <w:ilvl w:val="0"/>
                <w:numId w:val="12"/>
              </w:numPr>
              <w:pBdr>
                <w:top w:val="nil"/>
                <w:left w:val="nil"/>
                <w:bottom w:val="nil"/>
                <w:right w:val="nil"/>
                <w:between w:val="nil"/>
                <w:bar w:val="nil"/>
              </w:pBdr>
              <w:spacing w:line="360" w:lineRule="auto"/>
              <w:ind w:left="0" w:firstLine="0"/>
              <w:rPr>
                <w:rFonts w:ascii="Calibri" w:eastAsia="Times New Roman" w:hAnsi="Calibri" w:cs="Arial Unicode MS"/>
                <w:bdr w:val="nil"/>
                <w:lang w:val="en-ZA" w:eastAsia="en-GB"/>
              </w:rPr>
            </w:pPr>
            <w:r w:rsidRPr="00BB7C32">
              <w:rPr>
                <w:rFonts w:eastAsia="Arial Unicode MS"/>
                <w:sz w:val="24"/>
                <w:szCs w:val="24"/>
                <w:bdr w:val="nil"/>
                <w:lang w:eastAsia="en-GB"/>
              </w:rPr>
              <w:t>It is</w:t>
            </w:r>
            <w:r w:rsidR="001E7384" w:rsidRPr="00BB7C32">
              <w:rPr>
                <w:rFonts w:eastAsia="Arial Unicode MS"/>
                <w:sz w:val="24"/>
                <w:szCs w:val="24"/>
                <w:u w:color="000000"/>
                <w:bdr w:val="nil"/>
                <w:lang w:val="en-ZA" w:eastAsia="en-GB"/>
              </w:rPr>
              <w:t xml:space="preserve"> trite that where a party seeks indulgence from the court, such applicant must provide a reasonable and acceptable explanation for the delay in complying with the court order or rules of the court, </w:t>
            </w:r>
            <w:r w:rsidR="001E7384" w:rsidRPr="00BB7C32">
              <w:rPr>
                <w:rFonts w:eastAsia="Arial Unicode MS"/>
                <w:sz w:val="24"/>
                <w:szCs w:val="24"/>
                <w:u w:val="single"/>
                <w:bdr w:val="nil"/>
                <w:lang w:val="en-ZA" w:eastAsia="en-GB"/>
              </w:rPr>
              <w:t>without delay</w:t>
            </w:r>
            <w:r w:rsidR="001E7384" w:rsidRPr="00BB7C32">
              <w:rPr>
                <w:rFonts w:eastAsia="Arial Unicode MS"/>
                <w:sz w:val="24"/>
                <w:szCs w:val="24"/>
                <w:u w:color="000000"/>
                <w:bdr w:val="nil"/>
                <w:lang w:val="en-ZA" w:eastAsia="en-GB"/>
              </w:rPr>
              <w:t xml:space="preserve">. Secondly, such party should satisfy the court that there are </w:t>
            </w:r>
            <w:r w:rsidR="001E7384" w:rsidRPr="00BB7C32">
              <w:rPr>
                <w:rFonts w:eastAsia="Arial Unicode MS"/>
                <w:sz w:val="24"/>
                <w:szCs w:val="24"/>
                <w:u w:color="000000"/>
                <w:bdr w:val="nil"/>
                <w:lang w:val="en-ZA" w:eastAsia="en-GB"/>
              </w:rPr>
              <w:lastRenderedPageBreak/>
              <w:t>reasonable prospects of success on the merits of the matter.</w:t>
            </w:r>
            <w:r w:rsidR="001E7384" w:rsidRPr="004B3621">
              <w:rPr>
                <w:u w:color="000000"/>
                <w:bdr w:val="nil"/>
                <w:vertAlign w:val="superscript"/>
                <w:lang w:eastAsia="en-GB"/>
              </w:rPr>
              <w:footnoteReference w:id="2"/>
            </w:r>
            <w:r w:rsidR="001E7384" w:rsidRPr="00BB7C32">
              <w:rPr>
                <w:rFonts w:eastAsia="Arial Unicode MS"/>
                <w:sz w:val="24"/>
                <w:szCs w:val="24"/>
                <w:u w:color="000000"/>
                <w:bdr w:val="nil"/>
                <w:lang w:val="en-ZA" w:eastAsia="en-GB"/>
              </w:rPr>
              <w:t xml:space="preserve"> </w:t>
            </w:r>
          </w:p>
          <w:p w:rsidR="00BB7C32" w:rsidRDefault="00BB7C32" w:rsidP="00BB7C32">
            <w:pPr>
              <w:pStyle w:val="ListParagraph"/>
              <w:pBdr>
                <w:top w:val="nil"/>
                <w:left w:val="nil"/>
                <w:bottom w:val="nil"/>
                <w:right w:val="nil"/>
                <w:between w:val="nil"/>
                <w:bar w:val="nil"/>
              </w:pBdr>
              <w:spacing w:line="360" w:lineRule="auto"/>
              <w:ind w:left="0" w:firstLine="0"/>
              <w:rPr>
                <w:rFonts w:ascii="Calibri" w:eastAsia="Times New Roman" w:hAnsi="Calibri" w:cs="Arial Unicode MS"/>
                <w:bdr w:val="nil"/>
                <w:lang w:val="en-ZA" w:eastAsia="en-GB"/>
              </w:rPr>
            </w:pPr>
          </w:p>
          <w:p w:rsidR="004B3621" w:rsidRPr="00BB7C32" w:rsidRDefault="004B3621" w:rsidP="00BB7C32">
            <w:pPr>
              <w:pStyle w:val="ListParagraph"/>
              <w:numPr>
                <w:ilvl w:val="0"/>
                <w:numId w:val="12"/>
              </w:numPr>
              <w:pBdr>
                <w:top w:val="nil"/>
                <w:left w:val="nil"/>
                <w:bottom w:val="nil"/>
                <w:right w:val="nil"/>
                <w:between w:val="nil"/>
                <w:bar w:val="nil"/>
              </w:pBdr>
              <w:spacing w:line="360" w:lineRule="auto"/>
              <w:ind w:left="0" w:firstLine="0"/>
              <w:rPr>
                <w:rFonts w:ascii="Calibri" w:eastAsia="Times New Roman" w:hAnsi="Calibri" w:cs="Arial Unicode MS"/>
                <w:bdr w:val="nil"/>
                <w:lang w:val="en-ZA" w:eastAsia="en-GB"/>
              </w:rPr>
            </w:pPr>
            <w:r w:rsidRPr="00BB7C32">
              <w:rPr>
                <w:sz w:val="24"/>
                <w:szCs w:val="24"/>
                <w:lang w:val="en-ZA"/>
              </w:rPr>
              <w:t xml:space="preserve">In </w:t>
            </w:r>
            <w:bookmarkStart w:id="1" w:name="_Hlk103517299"/>
            <w:r w:rsidRPr="00BB7C32">
              <w:rPr>
                <w:i/>
                <w:sz w:val="24"/>
                <w:szCs w:val="24"/>
                <w:lang w:val="en-ZA"/>
              </w:rPr>
              <w:t>Beukes and Another v South West Africa Building Society (Swabou) and 5 Others</w:t>
            </w:r>
            <w:bookmarkEnd w:id="1"/>
            <w:r w:rsidRPr="004B3621">
              <w:rPr>
                <w:i/>
                <w:sz w:val="24"/>
                <w:szCs w:val="24"/>
                <w:vertAlign w:val="superscript"/>
                <w:lang w:val="en-ZA"/>
              </w:rPr>
              <w:footnoteReference w:id="3"/>
            </w:r>
            <w:r w:rsidRPr="00BB7C32">
              <w:rPr>
                <w:i/>
                <w:sz w:val="24"/>
                <w:szCs w:val="24"/>
                <w:lang w:val="en-ZA"/>
              </w:rPr>
              <w:t xml:space="preserve"> </w:t>
            </w:r>
            <w:r w:rsidRPr="00BB7C32">
              <w:rPr>
                <w:sz w:val="24"/>
                <w:szCs w:val="24"/>
                <w:lang w:val="en-ZA"/>
              </w:rPr>
              <w:t xml:space="preserve">Langa AJA stipulated the principles applicable to applications for condonation even under the new rules. In dealing with condonation, the learned Judge </w:t>
            </w:r>
            <w:r w:rsidR="00AA4E69" w:rsidRPr="00BB7C32">
              <w:rPr>
                <w:sz w:val="24"/>
                <w:szCs w:val="24"/>
                <w:lang w:val="en-ZA"/>
              </w:rPr>
              <w:t>of Appeal stated the following:</w:t>
            </w:r>
            <w:r w:rsidRPr="004B3621">
              <w:rPr>
                <w:sz w:val="24"/>
                <w:szCs w:val="24"/>
                <w:vertAlign w:val="superscript"/>
                <w:lang w:val="en-ZA"/>
              </w:rPr>
              <w:footnoteReference w:id="4"/>
            </w:r>
          </w:p>
          <w:p w:rsidR="004B3621" w:rsidRPr="004B3621" w:rsidRDefault="004B3621" w:rsidP="000D669D">
            <w:pPr>
              <w:spacing w:after="0" w:line="360" w:lineRule="auto"/>
              <w:jc w:val="both"/>
              <w:rPr>
                <w:rFonts w:ascii="Arial" w:hAnsi="Arial" w:cs="Arial"/>
                <w:lang w:val="en-ZA"/>
              </w:rPr>
            </w:pPr>
            <w:r w:rsidRPr="004B3621">
              <w:rPr>
                <w:rFonts w:ascii="Arial" w:hAnsi="Arial" w:cs="Arial"/>
                <w:lang w:val="en-ZA"/>
              </w:rPr>
              <w:tab/>
            </w:r>
          </w:p>
          <w:p w:rsidR="004B3621" w:rsidRPr="004B3621" w:rsidRDefault="004B3621" w:rsidP="000D669D">
            <w:pPr>
              <w:spacing w:after="0" w:line="360" w:lineRule="auto"/>
              <w:jc w:val="both"/>
              <w:rPr>
                <w:rFonts w:ascii="Arial" w:hAnsi="Arial" w:cs="Arial"/>
                <w:lang w:val="en-ZA"/>
              </w:rPr>
            </w:pPr>
            <w:r w:rsidRPr="004B3621">
              <w:rPr>
                <w:rFonts w:ascii="Arial" w:hAnsi="Arial" w:cs="Arial"/>
                <w:lang w:val="en-ZA"/>
              </w:rPr>
              <w:tab/>
              <w:t xml:space="preserve">‘An application for condonation is not a mere formality. The trigger for it is non-compliance with the Rules of Court. Accordingly, once there has been non-compliance, the applicant should, </w:t>
            </w:r>
            <w:r w:rsidRPr="004B3621">
              <w:rPr>
                <w:rFonts w:ascii="Arial" w:hAnsi="Arial" w:cs="Arial"/>
                <w:u w:val="single"/>
                <w:lang w:val="en-ZA"/>
              </w:rPr>
              <w:t>without delay, apply for condonation and comply with the Rules</w:t>
            </w:r>
            <w:r w:rsidRPr="004B3621">
              <w:rPr>
                <w:rFonts w:ascii="Arial" w:hAnsi="Arial" w:cs="Arial"/>
                <w:lang w:val="en-ZA"/>
              </w:rPr>
              <w:t xml:space="preserve">. . . In seeking condonation, the applicants have to make out their cases on the papers submitted to explain the delay and the failure to comply with the Rules. The explanation must be full, detailed and accurate in order to enable the Court to understand clearly the reasons for it.’ </w:t>
            </w:r>
            <w:r w:rsidRPr="000D669D">
              <w:rPr>
                <w:rFonts w:ascii="Arial" w:hAnsi="Arial" w:cs="Arial"/>
                <w:sz w:val="24"/>
                <w:szCs w:val="24"/>
                <w:lang w:val="en-ZA"/>
              </w:rPr>
              <w:t xml:space="preserve">My </w:t>
            </w:r>
            <w:r w:rsidR="000D669D" w:rsidRPr="000D669D">
              <w:rPr>
                <w:rFonts w:ascii="Arial" w:hAnsi="Arial" w:cs="Arial"/>
                <w:sz w:val="24"/>
                <w:szCs w:val="24"/>
                <w:lang w:val="en-ZA"/>
              </w:rPr>
              <w:t>emphasis</w:t>
            </w:r>
          </w:p>
          <w:p w:rsidR="00BB7C32" w:rsidRPr="00BB7C32" w:rsidRDefault="004B3621" w:rsidP="00BB7C32">
            <w:pPr>
              <w:pStyle w:val="ListParagraph"/>
              <w:numPr>
                <w:ilvl w:val="0"/>
                <w:numId w:val="12"/>
              </w:numPr>
              <w:pBdr>
                <w:top w:val="nil"/>
                <w:left w:val="nil"/>
                <w:bottom w:val="nil"/>
                <w:right w:val="nil"/>
                <w:between w:val="nil"/>
                <w:bar w:val="nil"/>
              </w:pBdr>
              <w:spacing w:before="240" w:line="360" w:lineRule="auto"/>
              <w:ind w:left="0" w:firstLine="0"/>
              <w:rPr>
                <w:rFonts w:ascii="Calibri" w:eastAsia="Times New Roman" w:hAnsi="Calibri" w:cs="Arial Unicode MS"/>
                <w:bdr w:val="nil"/>
                <w:lang w:val="en-ZA" w:eastAsia="en-GB"/>
              </w:rPr>
            </w:pPr>
            <w:r w:rsidRPr="00BB7C32">
              <w:rPr>
                <w:rFonts w:eastAsia="Times New Roman"/>
                <w:sz w:val="24"/>
                <w:szCs w:val="24"/>
                <w:bdr w:val="nil"/>
                <w:lang w:val="en-ZA" w:eastAsia="en-GB"/>
              </w:rPr>
              <w:t>It is evident from the record that t</w:t>
            </w:r>
            <w:r w:rsidR="00663295">
              <w:rPr>
                <w:rFonts w:eastAsia="Times New Roman"/>
                <w:sz w:val="24"/>
                <w:szCs w:val="24"/>
                <w:bdr w:val="nil"/>
                <w:lang w:val="en-ZA" w:eastAsia="en-GB"/>
              </w:rPr>
              <w:t xml:space="preserve">he non-compliance occurred on </w:t>
            </w:r>
            <w:r w:rsidR="00EE3160" w:rsidRPr="00BB7C32">
              <w:rPr>
                <w:rFonts w:eastAsia="Times New Roman"/>
                <w:sz w:val="24"/>
                <w:szCs w:val="24"/>
                <w:bdr w:val="nil"/>
                <w:lang w:val="en-ZA" w:eastAsia="en-GB"/>
              </w:rPr>
              <w:t>7 November 2022</w:t>
            </w:r>
            <w:r w:rsidR="00922E7B" w:rsidRPr="00BB7C32">
              <w:rPr>
                <w:rFonts w:eastAsia="Times New Roman"/>
                <w:sz w:val="24"/>
                <w:szCs w:val="24"/>
                <w:bdr w:val="nil"/>
                <w:lang w:val="en-ZA" w:eastAsia="en-GB"/>
              </w:rPr>
              <w:t xml:space="preserve">. I have no hesitation to accept </w:t>
            </w:r>
            <w:r w:rsidR="00EE3160" w:rsidRPr="00BB7C32">
              <w:rPr>
                <w:rFonts w:eastAsia="Times New Roman"/>
                <w:sz w:val="24"/>
                <w:szCs w:val="24"/>
                <w:bdr w:val="nil"/>
                <w:lang w:val="en-ZA" w:eastAsia="en-GB"/>
              </w:rPr>
              <w:t>Mr Kasper</w:t>
            </w:r>
            <w:r w:rsidR="00922E7B" w:rsidRPr="00BB7C32">
              <w:rPr>
                <w:rFonts w:eastAsia="Times New Roman"/>
                <w:sz w:val="24"/>
                <w:szCs w:val="24"/>
                <w:bdr w:val="nil"/>
                <w:lang w:val="en-ZA" w:eastAsia="en-GB"/>
              </w:rPr>
              <w:t xml:space="preserve">’s explanation regarding the unfortunate turn of events that resulted in him not being able to attend the court on 26 October 2022 at which point the timelines or exchange of pleadings were given. It is the lack of explanation for the period as from 26 October 2022 until the due date that is not explained. </w:t>
            </w:r>
          </w:p>
          <w:p w:rsidR="00BB7C32" w:rsidRPr="00BB7C32" w:rsidRDefault="00922E7B" w:rsidP="00BB7C32">
            <w:pPr>
              <w:pStyle w:val="ListParagraph"/>
              <w:numPr>
                <w:ilvl w:val="0"/>
                <w:numId w:val="12"/>
              </w:numPr>
              <w:pBdr>
                <w:top w:val="nil"/>
                <w:left w:val="nil"/>
                <w:bottom w:val="nil"/>
                <w:right w:val="nil"/>
                <w:between w:val="nil"/>
                <w:bar w:val="nil"/>
              </w:pBdr>
              <w:spacing w:before="240" w:line="360" w:lineRule="auto"/>
              <w:ind w:left="0" w:firstLine="0"/>
              <w:rPr>
                <w:rFonts w:ascii="Calibri" w:eastAsia="Times New Roman" w:hAnsi="Calibri" w:cs="Arial Unicode MS"/>
                <w:bdr w:val="nil"/>
                <w:lang w:val="en-ZA" w:eastAsia="en-GB"/>
              </w:rPr>
            </w:pPr>
            <w:r w:rsidRPr="00BB7C32">
              <w:rPr>
                <w:rFonts w:eastAsia="Times New Roman"/>
                <w:sz w:val="24"/>
                <w:szCs w:val="24"/>
                <w:bdr w:val="nil"/>
                <w:lang w:val="en-ZA" w:eastAsia="en-GB"/>
              </w:rPr>
              <w:t xml:space="preserve">The defendant </w:t>
            </w:r>
            <w:r w:rsidR="0003678C" w:rsidRPr="00BB7C32">
              <w:rPr>
                <w:rFonts w:eastAsia="Times New Roman"/>
                <w:sz w:val="24"/>
                <w:szCs w:val="24"/>
                <w:bdr w:val="nil"/>
                <w:lang w:val="en-ZA" w:eastAsia="en-GB"/>
              </w:rPr>
              <w:t xml:space="preserve">appears to </w:t>
            </w:r>
            <w:r w:rsidR="0043425A" w:rsidRPr="00BB7C32">
              <w:rPr>
                <w:rFonts w:eastAsia="Times New Roman"/>
                <w:sz w:val="24"/>
                <w:szCs w:val="24"/>
                <w:bdr w:val="nil"/>
                <w:lang w:val="en-ZA" w:eastAsia="en-GB"/>
              </w:rPr>
              <w:t>rel</w:t>
            </w:r>
            <w:r w:rsidR="0003678C" w:rsidRPr="00BB7C32">
              <w:rPr>
                <w:rFonts w:eastAsia="Times New Roman"/>
                <w:sz w:val="24"/>
                <w:szCs w:val="24"/>
                <w:bdr w:val="nil"/>
                <w:lang w:val="en-ZA" w:eastAsia="en-GB"/>
              </w:rPr>
              <w:t>y</w:t>
            </w:r>
            <w:r w:rsidR="0043425A" w:rsidRPr="00BB7C32">
              <w:rPr>
                <w:rFonts w:eastAsia="Times New Roman"/>
                <w:sz w:val="24"/>
                <w:szCs w:val="24"/>
                <w:bdr w:val="nil"/>
                <w:lang w:val="en-ZA" w:eastAsia="en-GB"/>
              </w:rPr>
              <w:t xml:space="preserve"> on </w:t>
            </w:r>
            <w:r w:rsidRPr="00BB7C32">
              <w:rPr>
                <w:rFonts w:eastAsia="Times New Roman"/>
                <w:sz w:val="24"/>
                <w:szCs w:val="24"/>
                <w:bdr w:val="nil"/>
                <w:lang w:val="en-ZA" w:eastAsia="en-GB"/>
              </w:rPr>
              <w:t xml:space="preserve">correspondence to the plaintiff’s legal practitioner about the application in case </w:t>
            </w:r>
            <w:r w:rsidR="00663295">
              <w:rPr>
                <w:rFonts w:eastAsia="Times New Roman"/>
                <w:sz w:val="24"/>
                <w:szCs w:val="24"/>
                <w:bdr w:val="nil"/>
                <w:lang w:val="en-ZA" w:eastAsia="en-GB"/>
              </w:rPr>
              <w:t xml:space="preserve">number </w:t>
            </w:r>
            <w:r w:rsidR="00EE3160" w:rsidRPr="00BB7C32">
              <w:rPr>
                <w:rFonts w:eastAsia="Arial Unicode MS"/>
                <w:sz w:val="24"/>
                <w:szCs w:val="24"/>
                <w:u w:color="000000"/>
                <w:bdr w:val="nil"/>
                <w:lang w:eastAsia="en-GB"/>
              </w:rPr>
              <w:t>HC-MD-CIV-MOT-GEN-2022/00534</w:t>
            </w:r>
            <w:r w:rsidR="0043425A" w:rsidRPr="00BB7C32">
              <w:rPr>
                <w:rFonts w:eastAsia="Arial Unicode MS"/>
                <w:sz w:val="24"/>
                <w:szCs w:val="24"/>
                <w:u w:color="000000"/>
                <w:bdr w:val="nil"/>
                <w:lang w:eastAsia="en-GB"/>
              </w:rPr>
              <w:t xml:space="preserve"> and ‘</w:t>
            </w:r>
            <w:r w:rsidR="0043425A" w:rsidRPr="00BB7C32">
              <w:rPr>
                <w:sz w:val="24"/>
                <w:szCs w:val="24"/>
              </w:rPr>
              <w:t xml:space="preserve">self-explanatory Status Reports’ regarding the matter, </w:t>
            </w:r>
            <w:r w:rsidRPr="00BB7C32">
              <w:rPr>
                <w:rFonts w:eastAsia="Arial Unicode MS"/>
                <w:sz w:val="24"/>
                <w:szCs w:val="24"/>
                <w:u w:color="000000"/>
                <w:bdr w:val="nil"/>
                <w:lang w:eastAsia="en-GB"/>
              </w:rPr>
              <w:t>but that does not take the place of a condonation application</w:t>
            </w:r>
            <w:r w:rsidR="000B1130" w:rsidRPr="00BB7C32">
              <w:rPr>
                <w:rFonts w:eastAsia="Arial Unicode MS"/>
                <w:sz w:val="24"/>
                <w:szCs w:val="24"/>
                <w:u w:color="000000"/>
                <w:bdr w:val="nil"/>
                <w:lang w:eastAsia="en-GB"/>
              </w:rPr>
              <w:t>. What was needed herein was for the defendant to have filed a condonation application</w:t>
            </w:r>
            <w:r w:rsidRPr="00BB7C32">
              <w:rPr>
                <w:rFonts w:eastAsia="Arial Unicode MS"/>
                <w:sz w:val="24"/>
                <w:szCs w:val="24"/>
                <w:u w:color="000000"/>
                <w:bdr w:val="nil"/>
                <w:lang w:eastAsia="en-GB"/>
              </w:rPr>
              <w:t xml:space="preserve">, </w:t>
            </w:r>
            <w:r w:rsidR="000B1130" w:rsidRPr="00BB7C32">
              <w:rPr>
                <w:rFonts w:eastAsia="Arial Unicode MS"/>
                <w:sz w:val="24"/>
                <w:szCs w:val="24"/>
                <w:u w:color="000000"/>
                <w:bdr w:val="nil"/>
                <w:lang w:eastAsia="en-GB"/>
              </w:rPr>
              <w:t xml:space="preserve">without delay. Instead </w:t>
            </w:r>
            <w:r w:rsidR="00663295">
              <w:rPr>
                <w:rFonts w:eastAsia="Arial Unicode MS"/>
                <w:sz w:val="24"/>
                <w:szCs w:val="24"/>
                <w:u w:color="000000"/>
                <w:bdr w:val="nil"/>
                <w:lang w:eastAsia="en-GB"/>
              </w:rPr>
              <w:t>the defendant waits for almost five</w:t>
            </w:r>
            <w:r w:rsidR="000B1130" w:rsidRPr="00BB7C32">
              <w:rPr>
                <w:rFonts w:eastAsia="Arial Unicode MS"/>
                <w:sz w:val="24"/>
                <w:szCs w:val="24"/>
                <w:u w:color="000000"/>
                <w:bdr w:val="nil"/>
                <w:lang w:eastAsia="en-GB"/>
              </w:rPr>
              <w:t xml:space="preserve"> months before doing so. </w:t>
            </w:r>
          </w:p>
          <w:p w:rsidR="00BB7C32" w:rsidRPr="00BB7C32" w:rsidRDefault="000B1130" w:rsidP="00BB7C32">
            <w:pPr>
              <w:pStyle w:val="ListParagraph"/>
              <w:numPr>
                <w:ilvl w:val="0"/>
                <w:numId w:val="12"/>
              </w:numPr>
              <w:pBdr>
                <w:top w:val="nil"/>
                <w:left w:val="nil"/>
                <w:bottom w:val="nil"/>
                <w:right w:val="nil"/>
                <w:between w:val="nil"/>
                <w:bar w:val="nil"/>
              </w:pBdr>
              <w:spacing w:before="240" w:line="360" w:lineRule="auto"/>
              <w:ind w:left="0" w:firstLine="0"/>
              <w:rPr>
                <w:rFonts w:ascii="Calibri" w:eastAsia="Times New Roman" w:hAnsi="Calibri" w:cs="Arial Unicode MS"/>
                <w:bdr w:val="nil"/>
                <w:lang w:val="en-ZA" w:eastAsia="en-GB"/>
              </w:rPr>
            </w:pPr>
            <w:r w:rsidRPr="00BB7C32">
              <w:rPr>
                <w:rFonts w:eastAsia="Arial Unicode MS"/>
                <w:sz w:val="24"/>
                <w:szCs w:val="24"/>
                <w:u w:color="000000"/>
                <w:bdr w:val="nil"/>
                <w:lang w:eastAsia="en-GB"/>
              </w:rPr>
              <w:t>What aggravates the situation is that apart from the incident on 26 October 2022, there is n</w:t>
            </w:r>
            <w:r w:rsidR="00E94E2D" w:rsidRPr="00BB7C32">
              <w:rPr>
                <w:rFonts w:eastAsia="Arial Unicode MS"/>
                <w:sz w:val="24"/>
                <w:szCs w:val="24"/>
                <w:u w:color="000000"/>
                <w:bdr w:val="nil"/>
                <w:lang w:eastAsia="en-GB"/>
              </w:rPr>
              <w:t xml:space="preserve">o explanation is forthcoming </w:t>
            </w:r>
            <w:r w:rsidRPr="00BB7C32">
              <w:rPr>
                <w:rFonts w:eastAsia="Arial Unicode MS"/>
                <w:sz w:val="24"/>
                <w:szCs w:val="24"/>
                <w:u w:color="000000"/>
                <w:bdr w:val="nil"/>
                <w:lang w:eastAsia="en-GB"/>
              </w:rPr>
              <w:t xml:space="preserve">for the remainder of the period until March 2023 at which time signs of a condonation application surfaced. </w:t>
            </w:r>
            <w:r w:rsidR="00D21D29" w:rsidRPr="00BB7C32">
              <w:rPr>
                <w:rFonts w:eastAsia="Times New Roman"/>
                <w:sz w:val="24"/>
                <w:szCs w:val="24"/>
                <w:bdr w:val="nil"/>
                <w:lang w:val="en-ZA" w:eastAsia="en-GB"/>
              </w:rPr>
              <w:t xml:space="preserve">Against that background this condonation application does not meet the threshold of </w:t>
            </w:r>
            <w:r w:rsidR="00D9446E" w:rsidRPr="00BB7C32">
              <w:rPr>
                <w:rFonts w:eastAsia="Times New Roman"/>
                <w:sz w:val="24"/>
                <w:szCs w:val="24"/>
                <w:bdr w:val="nil"/>
                <w:lang w:val="en-ZA" w:eastAsia="en-GB"/>
              </w:rPr>
              <w:t>bringing the application, ‘without delay</w:t>
            </w:r>
            <w:r w:rsidR="00D21D29" w:rsidRPr="00BB7C32">
              <w:rPr>
                <w:rFonts w:eastAsia="Times New Roman"/>
                <w:sz w:val="24"/>
                <w:szCs w:val="24"/>
                <w:bdr w:val="nil"/>
                <w:lang w:val="en-ZA" w:eastAsia="en-GB"/>
              </w:rPr>
              <w:t>,</w:t>
            </w:r>
            <w:r w:rsidR="00D9446E" w:rsidRPr="00BB7C32">
              <w:rPr>
                <w:rFonts w:eastAsia="Times New Roman"/>
                <w:sz w:val="24"/>
                <w:szCs w:val="24"/>
                <w:bdr w:val="nil"/>
                <w:lang w:val="en-ZA" w:eastAsia="en-GB"/>
              </w:rPr>
              <w:t>’</w:t>
            </w:r>
            <w:r w:rsidR="00D21D29" w:rsidRPr="00BB7C32">
              <w:rPr>
                <w:rFonts w:eastAsia="Times New Roman"/>
                <w:sz w:val="24"/>
                <w:szCs w:val="24"/>
                <w:bdr w:val="nil"/>
                <w:lang w:val="en-ZA" w:eastAsia="en-GB"/>
              </w:rPr>
              <w:t xml:space="preserve"> nor did the </w:t>
            </w:r>
            <w:r w:rsidR="00D21D29" w:rsidRPr="00BB7C32">
              <w:rPr>
                <w:rFonts w:eastAsia="Times New Roman"/>
                <w:sz w:val="24"/>
                <w:szCs w:val="24"/>
                <w:bdr w:val="nil"/>
                <w:lang w:val="en-ZA" w:eastAsia="en-GB"/>
              </w:rPr>
              <w:lastRenderedPageBreak/>
              <w:t xml:space="preserve">defendant give a full and detailed explanation for the delay. </w:t>
            </w:r>
            <w:r w:rsidR="007F03E4" w:rsidRPr="00BB7C32">
              <w:rPr>
                <w:rFonts w:eastAsia="Times New Roman"/>
                <w:sz w:val="24"/>
                <w:szCs w:val="24"/>
                <w:bdr w:val="nil"/>
                <w:lang w:val="en-ZA" w:eastAsia="en-GB"/>
              </w:rPr>
              <w:t xml:space="preserve">Given the flagrant disregard for the rules, the application thus turns on this leg of the enquiry into condonation. </w:t>
            </w:r>
          </w:p>
          <w:p w:rsidR="00AA4E69" w:rsidRPr="00663295" w:rsidRDefault="007F03E4" w:rsidP="00663295">
            <w:pPr>
              <w:pStyle w:val="ListParagraph"/>
              <w:numPr>
                <w:ilvl w:val="0"/>
                <w:numId w:val="12"/>
              </w:numPr>
              <w:pBdr>
                <w:top w:val="nil"/>
                <w:left w:val="nil"/>
                <w:bottom w:val="nil"/>
                <w:right w:val="nil"/>
                <w:between w:val="nil"/>
                <w:bar w:val="nil"/>
              </w:pBdr>
              <w:spacing w:before="240" w:line="360" w:lineRule="auto"/>
              <w:ind w:left="0" w:firstLine="0"/>
              <w:rPr>
                <w:rFonts w:ascii="Calibri" w:eastAsia="Times New Roman" w:hAnsi="Calibri" w:cs="Arial Unicode MS"/>
                <w:bdr w:val="nil"/>
                <w:lang w:val="en-ZA" w:eastAsia="en-GB"/>
              </w:rPr>
            </w:pPr>
            <w:r w:rsidRPr="00BB7C32">
              <w:rPr>
                <w:rFonts w:eastAsia="Times New Roman"/>
                <w:sz w:val="24"/>
                <w:szCs w:val="24"/>
                <w:bdr w:val="nil"/>
                <w:lang w:val="en-ZA" w:eastAsia="en-GB"/>
              </w:rPr>
              <w:t xml:space="preserve"> </w:t>
            </w:r>
            <w:r w:rsidR="00D21D29" w:rsidRPr="00BB7C32">
              <w:rPr>
                <w:rFonts w:eastAsia="Times New Roman"/>
                <w:sz w:val="24"/>
                <w:szCs w:val="24"/>
                <w:bdr w:val="nil"/>
                <w:lang w:val="en-ZA" w:eastAsia="en-GB"/>
              </w:rPr>
              <w:t>I nevertheless briefly comment on the prospects of success</w:t>
            </w:r>
            <w:r w:rsidRPr="00BB7C32">
              <w:rPr>
                <w:rFonts w:eastAsia="Times New Roman"/>
                <w:sz w:val="24"/>
                <w:szCs w:val="24"/>
                <w:bdr w:val="nil"/>
                <w:lang w:val="en-ZA" w:eastAsia="en-GB"/>
              </w:rPr>
              <w:t>.</w:t>
            </w:r>
            <w:r w:rsidR="00D21D29" w:rsidRPr="00BB7C32">
              <w:rPr>
                <w:rFonts w:eastAsia="Times New Roman"/>
                <w:sz w:val="24"/>
                <w:szCs w:val="24"/>
                <w:bdr w:val="nil"/>
                <w:lang w:val="en-ZA" w:eastAsia="en-GB"/>
              </w:rPr>
              <w:t xml:space="preserve"> As said earlier</w:t>
            </w:r>
            <w:r w:rsidR="00663295">
              <w:rPr>
                <w:rFonts w:eastAsia="Times New Roman"/>
                <w:sz w:val="24"/>
                <w:szCs w:val="24"/>
                <w:bdr w:val="nil"/>
                <w:lang w:val="en-ZA" w:eastAsia="en-GB"/>
              </w:rPr>
              <w:t>,</w:t>
            </w:r>
            <w:r w:rsidR="00D21D29" w:rsidRPr="00BB7C32">
              <w:rPr>
                <w:rFonts w:eastAsia="Times New Roman"/>
                <w:sz w:val="24"/>
                <w:szCs w:val="24"/>
                <w:bdr w:val="nil"/>
                <w:lang w:val="en-ZA" w:eastAsia="en-GB"/>
              </w:rPr>
              <w:t xml:space="preserve"> </w:t>
            </w:r>
            <w:r w:rsidRPr="00BB7C32">
              <w:rPr>
                <w:rFonts w:eastAsia="Times New Roman"/>
                <w:sz w:val="24"/>
                <w:szCs w:val="24"/>
                <w:bdr w:val="nil"/>
                <w:lang w:val="en-ZA" w:eastAsia="en-GB"/>
              </w:rPr>
              <w:t xml:space="preserve">the only defence alluded to by the defendant was that of a </w:t>
            </w:r>
            <w:r w:rsidR="00CD5376" w:rsidRPr="00BB7C32">
              <w:rPr>
                <w:rFonts w:eastAsia="Times New Roman"/>
                <w:sz w:val="24"/>
                <w:szCs w:val="24"/>
                <w:bdr w:val="nil"/>
                <w:lang w:val="en-ZA" w:eastAsia="en-GB"/>
              </w:rPr>
              <w:t xml:space="preserve">special plea of </w:t>
            </w:r>
            <w:r w:rsidR="00CD5376" w:rsidRPr="00BB7C32">
              <w:rPr>
                <w:rFonts w:eastAsia="Times New Roman"/>
                <w:i/>
                <w:sz w:val="24"/>
                <w:szCs w:val="24"/>
                <w:bdr w:val="nil"/>
                <w:lang w:val="en-ZA" w:eastAsia="en-GB"/>
              </w:rPr>
              <w:t>res judica</w:t>
            </w:r>
            <w:r w:rsidR="00CD5376" w:rsidRPr="00BB7C32">
              <w:rPr>
                <w:rFonts w:eastAsia="Times New Roman"/>
                <w:sz w:val="24"/>
                <w:szCs w:val="24"/>
                <w:bdr w:val="nil"/>
                <w:lang w:val="en-ZA" w:eastAsia="en-GB"/>
              </w:rPr>
              <w:t>,</w:t>
            </w:r>
            <w:r w:rsidRPr="00BB7C32">
              <w:rPr>
                <w:rFonts w:eastAsia="Times New Roman"/>
                <w:sz w:val="24"/>
                <w:szCs w:val="24"/>
                <w:bdr w:val="nil"/>
                <w:lang w:val="en-ZA" w:eastAsia="en-GB"/>
              </w:rPr>
              <w:t xml:space="preserve"> with nothing being disclosed in respect of a defense on the merits.</w:t>
            </w:r>
            <w:r w:rsidR="00D924F8" w:rsidRPr="00BB7C32">
              <w:rPr>
                <w:rFonts w:eastAsia="Times New Roman"/>
                <w:sz w:val="24"/>
                <w:szCs w:val="24"/>
                <w:bdr w:val="nil"/>
                <w:lang w:val="en-ZA" w:eastAsia="en-GB"/>
              </w:rPr>
              <w:t xml:space="preserve"> </w:t>
            </w:r>
            <w:r w:rsidRPr="00BB7C32">
              <w:rPr>
                <w:rFonts w:eastAsia="Times New Roman"/>
                <w:sz w:val="24"/>
                <w:szCs w:val="24"/>
                <w:bdr w:val="nil"/>
                <w:lang w:val="en-ZA" w:eastAsia="en-GB"/>
              </w:rPr>
              <w:t xml:space="preserve">Considering the elements required for </w:t>
            </w:r>
            <w:r w:rsidR="00D924F8" w:rsidRPr="00BB7C32">
              <w:rPr>
                <w:rFonts w:eastAsia="Times New Roman"/>
                <w:i/>
                <w:sz w:val="24"/>
                <w:szCs w:val="24"/>
              </w:rPr>
              <w:t>res judicata</w:t>
            </w:r>
            <w:r w:rsidRPr="00BB7C32">
              <w:rPr>
                <w:rFonts w:eastAsia="Times New Roman"/>
                <w:i/>
                <w:sz w:val="24"/>
                <w:szCs w:val="24"/>
              </w:rPr>
              <w:t xml:space="preserve">, </w:t>
            </w:r>
            <w:r w:rsidRPr="00BB7C32">
              <w:rPr>
                <w:rFonts w:eastAsia="Times New Roman"/>
                <w:sz w:val="24"/>
                <w:szCs w:val="24"/>
              </w:rPr>
              <w:t>prospects of success is</w:t>
            </w:r>
            <w:r w:rsidRPr="00BB7C32">
              <w:rPr>
                <w:rFonts w:eastAsia="Times New Roman"/>
                <w:i/>
                <w:sz w:val="24"/>
                <w:szCs w:val="24"/>
              </w:rPr>
              <w:t xml:space="preserve"> </w:t>
            </w:r>
            <w:r w:rsidRPr="00BB7C32">
              <w:rPr>
                <w:rFonts w:eastAsia="Times New Roman"/>
                <w:sz w:val="24"/>
                <w:szCs w:val="24"/>
              </w:rPr>
              <w:t xml:space="preserve">questionable given that </w:t>
            </w:r>
            <w:r w:rsidR="0003678C" w:rsidRPr="00BB7C32">
              <w:rPr>
                <w:rFonts w:eastAsia="Times New Roman"/>
                <w:sz w:val="24"/>
                <w:szCs w:val="24"/>
              </w:rPr>
              <w:t>the defendant</w:t>
            </w:r>
            <w:r w:rsidRPr="00BB7C32">
              <w:rPr>
                <w:rFonts w:eastAsia="Times New Roman"/>
                <w:sz w:val="24"/>
                <w:szCs w:val="24"/>
              </w:rPr>
              <w:t xml:space="preserve"> deposed under oath herein that he was not </w:t>
            </w:r>
            <w:r w:rsidR="00663295">
              <w:rPr>
                <w:rFonts w:eastAsia="Times New Roman"/>
                <w:sz w:val="24"/>
                <w:szCs w:val="24"/>
              </w:rPr>
              <w:t>a party to the matter in case number</w:t>
            </w:r>
            <w:r w:rsidR="00D924F8" w:rsidRPr="00BB7C32">
              <w:rPr>
                <w:rFonts w:eastAsia="Times New Roman"/>
                <w:sz w:val="24"/>
                <w:szCs w:val="24"/>
              </w:rPr>
              <w:t xml:space="preserve"> </w:t>
            </w:r>
            <w:r w:rsidRPr="00BB7C32">
              <w:rPr>
                <w:sz w:val="24"/>
                <w:szCs w:val="24"/>
              </w:rPr>
              <w:t xml:space="preserve">HC-MD-CIV-ACT-CON-2019/00979 and </w:t>
            </w:r>
            <w:r w:rsidR="0003678C" w:rsidRPr="00BB7C32">
              <w:rPr>
                <w:sz w:val="24"/>
                <w:szCs w:val="24"/>
              </w:rPr>
              <w:t xml:space="preserve">furthermore </w:t>
            </w:r>
            <w:r w:rsidRPr="00BB7C32">
              <w:rPr>
                <w:sz w:val="24"/>
                <w:szCs w:val="24"/>
              </w:rPr>
              <w:t xml:space="preserve">the plaintiff considers the </w:t>
            </w:r>
            <w:r w:rsidR="0003678C" w:rsidRPr="00BB7C32">
              <w:rPr>
                <w:sz w:val="24"/>
                <w:szCs w:val="24"/>
              </w:rPr>
              <w:t xml:space="preserve">respective </w:t>
            </w:r>
            <w:r w:rsidRPr="00BB7C32">
              <w:rPr>
                <w:sz w:val="24"/>
                <w:szCs w:val="24"/>
              </w:rPr>
              <w:t xml:space="preserve">causes of action not </w:t>
            </w:r>
            <w:r w:rsidR="0003678C" w:rsidRPr="00BB7C32">
              <w:rPr>
                <w:sz w:val="24"/>
                <w:szCs w:val="24"/>
              </w:rPr>
              <w:t xml:space="preserve">to </w:t>
            </w:r>
            <w:r w:rsidRPr="00BB7C32">
              <w:rPr>
                <w:sz w:val="24"/>
                <w:szCs w:val="24"/>
              </w:rPr>
              <w:t xml:space="preserve">be the same.  </w:t>
            </w:r>
          </w:p>
          <w:p w:rsidR="00663295" w:rsidRPr="00663295" w:rsidRDefault="00663295" w:rsidP="00663295">
            <w:pPr>
              <w:pStyle w:val="ListParagraph"/>
              <w:pBdr>
                <w:top w:val="nil"/>
                <w:left w:val="nil"/>
                <w:bottom w:val="nil"/>
                <w:right w:val="nil"/>
                <w:between w:val="nil"/>
                <w:bar w:val="nil"/>
              </w:pBdr>
              <w:spacing w:before="0"/>
              <w:ind w:left="0" w:firstLine="0"/>
              <w:rPr>
                <w:rFonts w:ascii="Calibri" w:eastAsia="Times New Roman" w:hAnsi="Calibri" w:cs="Arial Unicode MS"/>
                <w:bdr w:val="nil"/>
                <w:lang w:val="en-ZA" w:eastAsia="en-GB"/>
              </w:rPr>
            </w:pPr>
          </w:p>
          <w:p w:rsidR="00663295" w:rsidRDefault="00D924F8" w:rsidP="000D669D">
            <w:pPr>
              <w:spacing w:after="0" w:line="360" w:lineRule="auto"/>
              <w:jc w:val="both"/>
              <w:rPr>
                <w:rFonts w:ascii="Arial" w:hAnsi="Arial" w:cs="Arial"/>
                <w:sz w:val="24"/>
                <w:szCs w:val="24"/>
                <w:u w:val="single"/>
              </w:rPr>
            </w:pPr>
            <w:r w:rsidRPr="004B3621">
              <w:rPr>
                <w:rFonts w:ascii="Arial" w:hAnsi="Arial" w:cs="Arial"/>
                <w:sz w:val="24"/>
                <w:szCs w:val="24"/>
                <w:u w:val="single"/>
              </w:rPr>
              <w:t>Conclusion</w:t>
            </w:r>
          </w:p>
          <w:p w:rsidR="00663295" w:rsidRPr="004B3621" w:rsidRDefault="00663295" w:rsidP="00663295">
            <w:pPr>
              <w:spacing w:after="0" w:line="240" w:lineRule="auto"/>
              <w:jc w:val="both"/>
              <w:rPr>
                <w:rFonts w:ascii="Arial" w:hAnsi="Arial" w:cs="Arial"/>
                <w:sz w:val="24"/>
                <w:szCs w:val="24"/>
                <w:u w:val="single"/>
              </w:rPr>
            </w:pPr>
          </w:p>
          <w:p w:rsidR="00BB7C32" w:rsidRPr="00BB7C32" w:rsidRDefault="00CC44A0" w:rsidP="000D669D">
            <w:pPr>
              <w:pStyle w:val="ListParagraph"/>
              <w:numPr>
                <w:ilvl w:val="0"/>
                <w:numId w:val="12"/>
              </w:numPr>
              <w:pBdr>
                <w:top w:val="nil"/>
                <w:left w:val="nil"/>
                <w:bottom w:val="nil"/>
                <w:right w:val="nil"/>
                <w:between w:val="nil"/>
                <w:bar w:val="nil"/>
              </w:pBdr>
              <w:spacing w:before="240" w:line="360" w:lineRule="auto"/>
              <w:ind w:left="0" w:firstLine="0"/>
              <w:rPr>
                <w:rFonts w:ascii="Calibri" w:eastAsia="Times New Roman" w:hAnsi="Calibri" w:cs="Arial Unicode MS"/>
                <w:bdr w:val="nil"/>
                <w:lang w:val="en-ZA" w:eastAsia="en-GB"/>
              </w:rPr>
            </w:pPr>
            <w:r w:rsidRPr="00BB7C32">
              <w:rPr>
                <w:sz w:val="24"/>
                <w:szCs w:val="24"/>
              </w:rPr>
              <w:t xml:space="preserve">With the above discussion in mind, I am inclined to agree with the submissions made by the plaintiff in that the defendant failed to meet the requirements for the relief sought. </w:t>
            </w:r>
          </w:p>
          <w:p w:rsidR="00CC44A0" w:rsidRPr="00BB7C32" w:rsidRDefault="00CC44A0" w:rsidP="000D669D">
            <w:pPr>
              <w:pStyle w:val="ListParagraph"/>
              <w:numPr>
                <w:ilvl w:val="0"/>
                <w:numId w:val="12"/>
              </w:numPr>
              <w:pBdr>
                <w:top w:val="nil"/>
                <w:left w:val="nil"/>
                <w:bottom w:val="nil"/>
                <w:right w:val="nil"/>
                <w:between w:val="nil"/>
                <w:bar w:val="nil"/>
              </w:pBdr>
              <w:spacing w:before="240" w:line="360" w:lineRule="auto"/>
              <w:ind w:left="0" w:firstLine="0"/>
              <w:rPr>
                <w:rFonts w:ascii="Calibri" w:eastAsia="Times New Roman" w:hAnsi="Calibri" w:cs="Arial Unicode MS"/>
                <w:bdr w:val="nil"/>
                <w:lang w:val="en-ZA" w:eastAsia="en-GB"/>
              </w:rPr>
            </w:pPr>
            <w:r w:rsidRPr="00BB7C32">
              <w:rPr>
                <w:sz w:val="24"/>
                <w:szCs w:val="24"/>
              </w:rPr>
              <w:t xml:space="preserve">My order is therefor as follows: </w:t>
            </w:r>
          </w:p>
          <w:p w:rsidR="00CC44A0" w:rsidRPr="004B3621" w:rsidRDefault="00CC44A0" w:rsidP="000D669D">
            <w:pPr>
              <w:spacing w:after="0" w:line="360" w:lineRule="auto"/>
              <w:jc w:val="both"/>
              <w:rPr>
                <w:rFonts w:ascii="Arial" w:hAnsi="Arial" w:cs="Arial"/>
                <w:sz w:val="24"/>
                <w:szCs w:val="24"/>
              </w:rPr>
            </w:pPr>
          </w:p>
          <w:p w:rsidR="001D2E2E" w:rsidRDefault="001D2E2E" w:rsidP="001D2E2E">
            <w:pPr>
              <w:pStyle w:val="ListParagraph"/>
              <w:numPr>
                <w:ilvl w:val="0"/>
                <w:numId w:val="15"/>
              </w:numPr>
              <w:spacing w:line="360" w:lineRule="auto"/>
              <w:rPr>
                <w:sz w:val="24"/>
                <w:szCs w:val="24"/>
              </w:rPr>
            </w:pPr>
            <w:r w:rsidRPr="00BB7C32">
              <w:rPr>
                <w:sz w:val="24"/>
                <w:szCs w:val="24"/>
              </w:rPr>
              <w:t xml:space="preserve">The application for condoning the defendant’s failure to file a plea as ordered in </w:t>
            </w:r>
            <w:r>
              <w:rPr>
                <w:sz w:val="24"/>
                <w:szCs w:val="24"/>
              </w:rPr>
              <w:t xml:space="preserve">the </w:t>
            </w:r>
            <w:r w:rsidRPr="00BB7C32">
              <w:rPr>
                <w:sz w:val="24"/>
                <w:szCs w:val="24"/>
              </w:rPr>
              <w:t>court order of 26 October 2022 is refused</w:t>
            </w:r>
            <w:r>
              <w:rPr>
                <w:sz w:val="24"/>
                <w:szCs w:val="24"/>
              </w:rPr>
              <w:t>.</w:t>
            </w:r>
          </w:p>
          <w:p w:rsidR="001D2E2E" w:rsidRPr="001D2E2E" w:rsidRDefault="001D2E2E" w:rsidP="001D2E2E">
            <w:pPr>
              <w:pStyle w:val="ListParagraph"/>
              <w:numPr>
                <w:ilvl w:val="0"/>
                <w:numId w:val="15"/>
              </w:numPr>
              <w:spacing w:line="360" w:lineRule="auto"/>
              <w:rPr>
                <w:sz w:val="24"/>
                <w:szCs w:val="24"/>
              </w:rPr>
            </w:pPr>
            <w:r>
              <w:rPr>
                <w:sz w:val="24"/>
                <w:szCs w:val="24"/>
              </w:rPr>
              <w:t>The defendant to pay the plaintiff’s costs occasioned by this application</w:t>
            </w:r>
            <w:r w:rsidRPr="00BB7C32">
              <w:rPr>
                <w:sz w:val="24"/>
                <w:szCs w:val="24"/>
              </w:rPr>
              <w:t xml:space="preserve">, </w:t>
            </w:r>
            <w:r w:rsidRPr="00BB7C32">
              <w:rPr>
                <w:rFonts w:eastAsia="Arial Unicode MS"/>
                <w:sz w:val="24"/>
                <w:szCs w:val="24"/>
                <w:u w:color="000000"/>
                <w:bdr w:val="nil"/>
                <w:lang w:eastAsia="en-GB"/>
              </w:rPr>
              <w:t>such costs</w:t>
            </w:r>
            <w:r w:rsidRPr="00BB7C32">
              <w:rPr>
                <w:rFonts w:eastAsia="Calibri"/>
                <w:sz w:val="24"/>
                <w:szCs w:val="24"/>
              </w:rPr>
              <w:t xml:space="preserve"> to be capped in terms of rule 32(11).</w:t>
            </w:r>
          </w:p>
          <w:p w:rsidR="00CC44A0" w:rsidRPr="001D2E2E" w:rsidRDefault="001D2E2E" w:rsidP="001D2E2E">
            <w:pPr>
              <w:pStyle w:val="ListParagraph"/>
              <w:numPr>
                <w:ilvl w:val="0"/>
                <w:numId w:val="15"/>
              </w:numPr>
              <w:spacing w:line="360" w:lineRule="auto"/>
              <w:rPr>
                <w:sz w:val="24"/>
                <w:szCs w:val="24"/>
              </w:rPr>
            </w:pPr>
            <w:r w:rsidRPr="001D2E2E">
              <w:rPr>
                <w:sz w:val="24"/>
                <w:szCs w:val="24"/>
              </w:rPr>
              <w:t>The matter is postponed to 4 October 2023 at 08:30 for Status Hearing and parties to file a joint status report no later than 28 September 2023.</w:t>
            </w:r>
          </w:p>
          <w:p w:rsidR="001E7384" w:rsidRPr="004B3621" w:rsidRDefault="001E7384" w:rsidP="000D669D">
            <w:pPr>
              <w:pStyle w:val="ListParagraph"/>
              <w:widowControl/>
              <w:autoSpaceDE/>
              <w:autoSpaceDN/>
              <w:spacing w:before="0" w:line="360" w:lineRule="auto"/>
              <w:ind w:left="720" w:firstLine="0"/>
              <w:rPr>
                <w:rFonts w:ascii="Calibri" w:eastAsia="Times New Roman" w:hAnsi="Calibri" w:cs="Arial Unicode MS"/>
                <w:bdr w:val="nil"/>
                <w:lang w:val="en-ZA" w:eastAsia="en-GB"/>
              </w:rPr>
            </w:pPr>
          </w:p>
        </w:tc>
      </w:tr>
      <w:tr w:rsidR="004B3621" w:rsidRPr="004B3621" w:rsidTr="005D5B40">
        <w:tc>
          <w:tcPr>
            <w:tcW w:w="4770" w:type="dxa"/>
            <w:shd w:val="clear" w:color="auto" w:fill="auto"/>
          </w:tcPr>
          <w:p w:rsidR="001E7384" w:rsidRPr="004B3621" w:rsidRDefault="001E7384" w:rsidP="001E7384">
            <w:pPr>
              <w:spacing w:after="0" w:line="360" w:lineRule="auto"/>
              <w:jc w:val="center"/>
              <w:rPr>
                <w:rFonts w:ascii="Arial" w:eastAsia="Calibri" w:hAnsi="Arial" w:cs="Arial"/>
                <w:b/>
                <w:sz w:val="24"/>
                <w:szCs w:val="24"/>
                <w:lang w:val="en-ZA"/>
              </w:rPr>
            </w:pPr>
            <w:r w:rsidRPr="004B3621">
              <w:rPr>
                <w:rFonts w:ascii="Arial" w:eastAsia="Calibri" w:hAnsi="Arial" w:cs="Arial"/>
                <w:b/>
                <w:sz w:val="24"/>
                <w:szCs w:val="24"/>
                <w:lang w:val="en-US"/>
              </w:rPr>
              <w:lastRenderedPageBreak/>
              <w:t>Judge’s signature</w:t>
            </w:r>
          </w:p>
        </w:tc>
        <w:tc>
          <w:tcPr>
            <w:tcW w:w="5423" w:type="dxa"/>
            <w:gridSpan w:val="2"/>
            <w:shd w:val="clear" w:color="auto" w:fill="auto"/>
          </w:tcPr>
          <w:p w:rsidR="001E7384" w:rsidRPr="004B3621" w:rsidRDefault="001E7384" w:rsidP="001E7384">
            <w:pPr>
              <w:spacing w:after="0" w:line="360" w:lineRule="auto"/>
              <w:jc w:val="center"/>
              <w:rPr>
                <w:rFonts w:ascii="Arial" w:eastAsia="Calibri" w:hAnsi="Arial" w:cs="Arial"/>
                <w:b/>
                <w:sz w:val="24"/>
                <w:szCs w:val="24"/>
                <w:lang w:val="en-ZA"/>
              </w:rPr>
            </w:pPr>
            <w:r w:rsidRPr="004B3621">
              <w:rPr>
                <w:rFonts w:ascii="Arial" w:eastAsia="Calibri" w:hAnsi="Arial" w:cs="Arial"/>
                <w:b/>
                <w:sz w:val="24"/>
                <w:szCs w:val="24"/>
                <w:lang w:val="en-ZA"/>
              </w:rPr>
              <w:t>Note to the parties:</w:t>
            </w:r>
          </w:p>
        </w:tc>
      </w:tr>
      <w:tr w:rsidR="004B3621" w:rsidRPr="004B3621" w:rsidTr="005D5B40">
        <w:trPr>
          <w:trHeight w:val="1114"/>
        </w:trPr>
        <w:tc>
          <w:tcPr>
            <w:tcW w:w="4770" w:type="dxa"/>
            <w:shd w:val="clear" w:color="auto" w:fill="auto"/>
          </w:tcPr>
          <w:p w:rsidR="001E7384" w:rsidRPr="004B3621" w:rsidRDefault="001E7384" w:rsidP="001E7384">
            <w:pPr>
              <w:spacing w:after="0" w:line="360" w:lineRule="auto"/>
              <w:jc w:val="both"/>
              <w:rPr>
                <w:rFonts w:ascii="Arial" w:eastAsia="Calibri" w:hAnsi="Arial" w:cs="Arial"/>
                <w:sz w:val="24"/>
                <w:szCs w:val="24"/>
                <w:lang w:val="en-ZA"/>
              </w:rPr>
            </w:pPr>
          </w:p>
          <w:p w:rsidR="001E7384" w:rsidRPr="004B3621" w:rsidRDefault="001E7384" w:rsidP="001E7384">
            <w:pPr>
              <w:spacing w:after="0" w:line="360" w:lineRule="auto"/>
              <w:jc w:val="both"/>
              <w:rPr>
                <w:rFonts w:ascii="Arial" w:eastAsia="Calibri" w:hAnsi="Arial" w:cs="Arial"/>
                <w:sz w:val="24"/>
                <w:szCs w:val="24"/>
                <w:lang w:val="en-ZA"/>
              </w:rPr>
            </w:pPr>
          </w:p>
        </w:tc>
        <w:tc>
          <w:tcPr>
            <w:tcW w:w="5423" w:type="dxa"/>
            <w:gridSpan w:val="2"/>
            <w:shd w:val="clear" w:color="auto" w:fill="auto"/>
          </w:tcPr>
          <w:p w:rsidR="001E7384" w:rsidRPr="004B3621" w:rsidRDefault="001E7384" w:rsidP="001E7384">
            <w:pPr>
              <w:spacing w:after="0" w:line="360" w:lineRule="auto"/>
              <w:jc w:val="both"/>
              <w:rPr>
                <w:rFonts w:ascii="Arial" w:eastAsia="Calibri" w:hAnsi="Arial" w:cs="Arial"/>
                <w:sz w:val="24"/>
                <w:szCs w:val="24"/>
                <w:lang w:val="en-ZA"/>
              </w:rPr>
            </w:pPr>
            <w:r w:rsidRPr="004B3621">
              <w:rPr>
                <w:rFonts w:ascii="Arial" w:eastAsia="Calibri" w:hAnsi="Arial" w:cs="Arial"/>
                <w:sz w:val="24"/>
                <w:szCs w:val="24"/>
                <w:lang w:val="en-ZA"/>
              </w:rPr>
              <w:t>Not applicable.</w:t>
            </w:r>
          </w:p>
        </w:tc>
      </w:tr>
      <w:tr w:rsidR="00663295" w:rsidRPr="004B3621" w:rsidTr="005D5B40">
        <w:trPr>
          <w:trHeight w:val="1114"/>
        </w:trPr>
        <w:tc>
          <w:tcPr>
            <w:tcW w:w="4770" w:type="dxa"/>
            <w:shd w:val="clear" w:color="auto" w:fill="auto"/>
          </w:tcPr>
          <w:p w:rsidR="00663295" w:rsidRDefault="001D2E2E" w:rsidP="00663295">
            <w:pPr>
              <w:spacing w:after="0" w:line="360" w:lineRule="auto"/>
              <w:jc w:val="center"/>
              <w:rPr>
                <w:rFonts w:ascii="Arial" w:eastAsia="Calibri" w:hAnsi="Arial" w:cs="Arial"/>
                <w:sz w:val="24"/>
                <w:szCs w:val="24"/>
                <w:lang w:val="en-ZA"/>
              </w:rPr>
            </w:pPr>
            <w:r>
              <w:rPr>
                <w:rFonts w:ascii="Arial" w:eastAsia="Calibri" w:hAnsi="Arial" w:cs="Arial"/>
                <w:sz w:val="24"/>
                <w:szCs w:val="24"/>
                <w:lang w:val="en-ZA"/>
              </w:rPr>
              <w:t>CLAASEN J</w:t>
            </w:r>
          </w:p>
          <w:p w:rsidR="001D2E2E" w:rsidRDefault="001D2E2E" w:rsidP="00663295">
            <w:pPr>
              <w:spacing w:after="0" w:line="360" w:lineRule="auto"/>
              <w:jc w:val="center"/>
              <w:rPr>
                <w:rFonts w:ascii="Arial" w:eastAsia="Calibri" w:hAnsi="Arial" w:cs="Arial"/>
                <w:sz w:val="24"/>
                <w:szCs w:val="24"/>
                <w:lang w:val="en-ZA"/>
              </w:rPr>
            </w:pPr>
          </w:p>
          <w:p w:rsidR="001D2E2E" w:rsidRDefault="001D2E2E" w:rsidP="00663295">
            <w:pPr>
              <w:spacing w:after="0" w:line="360" w:lineRule="auto"/>
              <w:jc w:val="center"/>
              <w:rPr>
                <w:rFonts w:ascii="Arial" w:eastAsia="Calibri" w:hAnsi="Arial" w:cs="Arial"/>
                <w:sz w:val="24"/>
                <w:szCs w:val="24"/>
                <w:lang w:val="en-ZA"/>
              </w:rPr>
            </w:pPr>
          </w:p>
          <w:p w:rsidR="001D2E2E" w:rsidRPr="004B3621" w:rsidRDefault="001D2E2E" w:rsidP="001D2E2E">
            <w:pPr>
              <w:spacing w:after="0" w:line="360" w:lineRule="auto"/>
              <w:rPr>
                <w:rFonts w:ascii="Arial" w:eastAsia="Calibri" w:hAnsi="Arial" w:cs="Arial"/>
                <w:sz w:val="24"/>
                <w:szCs w:val="24"/>
                <w:lang w:val="en-ZA"/>
              </w:rPr>
            </w:pPr>
          </w:p>
        </w:tc>
        <w:tc>
          <w:tcPr>
            <w:tcW w:w="5423" w:type="dxa"/>
            <w:gridSpan w:val="2"/>
            <w:shd w:val="clear" w:color="auto" w:fill="auto"/>
          </w:tcPr>
          <w:p w:rsidR="00663295" w:rsidRPr="004B3621" w:rsidRDefault="00663295" w:rsidP="001E7384">
            <w:pPr>
              <w:spacing w:after="0" w:line="360" w:lineRule="auto"/>
              <w:jc w:val="both"/>
              <w:rPr>
                <w:rFonts w:ascii="Arial" w:eastAsia="Calibri" w:hAnsi="Arial" w:cs="Arial"/>
                <w:sz w:val="24"/>
                <w:szCs w:val="24"/>
                <w:lang w:val="en-ZA"/>
              </w:rPr>
            </w:pPr>
          </w:p>
        </w:tc>
      </w:tr>
      <w:tr w:rsidR="004B3621" w:rsidRPr="004B3621" w:rsidTr="005D5B40">
        <w:tc>
          <w:tcPr>
            <w:tcW w:w="10193" w:type="dxa"/>
            <w:gridSpan w:val="3"/>
            <w:shd w:val="clear" w:color="auto" w:fill="auto"/>
          </w:tcPr>
          <w:p w:rsidR="001E7384" w:rsidRPr="004B3621" w:rsidRDefault="001E7384" w:rsidP="001E7384">
            <w:pPr>
              <w:spacing w:after="0" w:line="360" w:lineRule="auto"/>
              <w:jc w:val="center"/>
              <w:rPr>
                <w:rFonts w:ascii="Arial" w:eastAsia="Calibri" w:hAnsi="Arial" w:cs="Arial"/>
                <w:b/>
                <w:sz w:val="24"/>
                <w:szCs w:val="24"/>
                <w:lang w:val="en-ZA"/>
              </w:rPr>
            </w:pPr>
            <w:r w:rsidRPr="004B3621">
              <w:rPr>
                <w:rFonts w:ascii="Arial" w:eastAsia="Calibri" w:hAnsi="Arial" w:cs="Arial"/>
                <w:b/>
                <w:sz w:val="24"/>
                <w:szCs w:val="24"/>
                <w:lang w:val="en-ZA"/>
              </w:rPr>
              <w:lastRenderedPageBreak/>
              <w:t>Counsel:</w:t>
            </w:r>
          </w:p>
        </w:tc>
      </w:tr>
      <w:tr w:rsidR="004B3621" w:rsidRPr="004B3621" w:rsidTr="005D5B40">
        <w:tc>
          <w:tcPr>
            <w:tcW w:w="4770" w:type="dxa"/>
            <w:shd w:val="clear" w:color="auto" w:fill="auto"/>
          </w:tcPr>
          <w:p w:rsidR="001E7384" w:rsidRPr="004B3621" w:rsidRDefault="00AA4E69" w:rsidP="001E7384">
            <w:pPr>
              <w:spacing w:after="0" w:line="360" w:lineRule="auto"/>
              <w:jc w:val="center"/>
              <w:rPr>
                <w:rFonts w:ascii="Arial" w:eastAsia="Calibri" w:hAnsi="Arial" w:cs="Arial"/>
                <w:b/>
                <w:sz w:val="24"/>
                <w:szCs w:val="24"/>
                <w:lang w:val="en-ZA"/>
              </w:rPr>
            </w:pPr>
            <w:r>
              <w:rPr>
                <w:rFonts w:ascii="Arial" w:eastAsia="Calibri" w:hAnsi="Arial" w:cs="Arial"/>
                <w:b/>
                <w:sz w:val="24"/>
                <w:szCs w:val="24"/>
                <w:lang w:val="de-DE"/>
              </w:rPr>
              <w:t>Plaintiff</w:t>
            </w:r>
          </w:p>
        </w:tc>
        <w:tc>
          <w:tcPr>
            <w:tcW w:w="5423" w:type="dxa"/>
            <w:gridSpan w:val="2"/>
            <w:shd w:val="clear" w:color="auto" w:fill="auto"/>
          </w:tcPr>
          <w:p w:rsidR="001E7384" w:rsidRPr="004B3621" w:rsidRDefault="001E7384" w:rsidP="00AA4E69">
            <w:pPr>
              <w:spacing w:after="0" w:line="360" w:lineRule="auto"/>
              <w:jc w:val="center"/>
              <w:rPr>
                <w:rFonts w:ascii="Arial" w:eastAsia="Calibri" w:hAnsi="Arial" w:cs="Arial"/>
                <w:b/>
                <w:sz w:val="24"/>
                <w:szCs w:val="24"/>
                <w:lang w:val="en-ZA"/>
              </w:rPr>
            </w:pPr>
            <w:r w:rsidRPr="004B3621">
              <w:rPr>
                <w:rFonts w:ascii="Arial" w:eastAsia="Calibri" w:hAnsi="Arial" w:cs="Arial"/>
                <w:b/>
                <w:sz w:val="24"/>
                <w:szCs w:val="24"/>
                <w:lang w:val="en-ZA"/>
              </w:rPr>
              <w:t xml:space="preserve"> </w:t>
            </w:r>
            <w:r w:rsidR="00AA4E69">
              <w:rPr>
                <w:rFonts w:ascii="Arial" w:eastAsia="Calibri" w:hAnsi="Arial" w:cs="Arial"/>
                <w:b/>
                <w:sz w:val="24"/>
                <w:szCs w:val="24"/>
                <w:lang w:val="en-US"/>
              </w:rPr>
              <w:t>Defendant</w:t>
            </w:r>
          </w:p>
        </w:tc>
      </w:tr>
      <w:tr w:rsidR="004B3621" w:rsidRPr="004B3621" w:rsidTr="005D5B40">
        <w:trPr>
          <w:trHeight w:val="989"/>
        </w:trPr>
        <w:tc>
          <w:tcPr>
            <w:tcW w:w="4770" w:type="dxa"/>
            <w:shd w:val="clear" w:color="auto" w:fill="auto"/>
          </w:tcPr>
          <w:p w:rsidR="001E7384" w:rsidRPr="004B3621" w:rsidRDefault="001E7384" w:rsidP="001E7384">
            <w:pPr>
              <w:pBdr>
                <w:top w:val="nil"/>
                <w:left w:val="nil"/>
                <w:bottom w:val="nil"/>
                <w:right w:val="nil"/>
                <w:between w:val="nil"/>
                <w:bar w:val="nil"/>
              </w:pBdr>
              <w:tabs>
                <w:tab w:val="left" w:pos="1394"/>
                <w:tab w:val="left" w:pos="2528"/>
                <w:tab w:val="left" w:pos="3780"/>
              </w:tabs>
              <w:spacing w:after="0" w:line="360" w:lineRule="auto"/>
              <w:rPr>
                <w:rFonts w:ascii="Arial" w:eastAsia="Arial Unicode MS" w:hAnsi="Arial" w:cs="Arial"/>
                <w:sz w:val="24"/>
                <w:szCs w:val="24"/>
                <w:u w:color="000000"/>
                <w:bdr w:val="nil"/>
                <w:lang w:val="de-DE" w:eastAsia="en-GB"/>
              </w:rPr>
            </w:pPr>
          </w:p>
          <w:p w:rsidR="001E7384" w:rsidRDefault="001D2E2E" w:rsidP="001E7384">
            <w:pPr>
              <w:pBdr>
                <w:top w:val="nil"/>
                <w:left w:val="nil"/>
                <w:bottom w:val="nil"/>
                <w:right w:val="nil"/>
                <w:between w:val="nil"/>
                <w:bar w:val="nil"/>
              </w:pBdr>
              <w:spacing w:after="0" w:line="360" w:lineRule="auto"/>
              <w:jc w:val="center"/>
              <w:rPr>
                <w:rFonts w:ascii="Arial" w:eastAsia="Arial Unicode MS" w:hAnsi="Arial" w:cs="Arial"/>
                <w:sz w:val="24"/>
                <w:szCs w:val="24"/>
                <w:u w:color="000000"/>
                <w:bdr w:val="nil"/>
                <w:lang w:val="en-ZA" w:eastAsia="en-GB"/>
              </w:rPr>
            </w:pPr>
            <w:r>
              <w:rPr>
                <w:rFonts w:ascii="Arial" w:eastAsia="Arial Unicode MS" w:hAnsi="Arial" w:cs="Arial"/>
                <w:sz w:val="24"/>
                <w:szCs w:val="24"/>
                <w:u w:color="000000"/>
                <w:bdr w:val="nil"/>
                <w:lang w:val="en-ZA" w:eastAsia="en-GB"/>
              </w:rPr>
              <w:t xml:space="preserve"> J </w:t>
            </w:r>
            <w:r w:rsidR="00AA4E69">
              <w:rPr>
                <w:rFonts w:ascii="Arial" w:eastAsia="Arial Unicode MS" w:hAnsi="Arial" w:cs="Arial"/>
                <w:sz w:val="24"/>
                <w:szCs w:val="24"/>
                <w:u w:color="000000"/>
                <w:bdr w:val="nil"/>
                <w:lang w:val="en-ZA" w:eastAsia="en-GB"/>
              </w:rPr>
              <w:t xml:space="preserve">Olivier </w:t>
            </w:r>
          </w:p>
          <w:p w:rsidR="001D2E2E" w:rsidRPr="004B3621" w:rsidRDefault="001D2E2E" w:rsidP="001E7384">
            <w:pPr>
              <w:pBdr>
                <w:top w:val="nil"/>
                <w:left w:val="nil"/>
                <w:bottom w:val="nil"/>
                <w:right w:val="nil"/>
                <w:between w:val="nil"/>
                <w:bar w:val="nil"/>
              </w:pBdr>
              <w:spacing w:after="0" w:line="360" w:lineRule="auto"/>
              <w:jc w:val="center"/>
              <w:rPr>
                <w:rFonts w:ascii="Arial" w:eastAsia="Arial Unicode MS" w:hAnsi="Arial" w:cs="Arial"/>
                <w:sz w:val="24"/>
                <w:szCs w:val="24"/>
                <w:u w:color="000000"/>
                <w:bdr w:val="nil"/>
                <w:lang w:val="en-ZA" w:eastAsia="en-GB"/>
              </w:rPr>
            </w:pPr>
            <w:r>
              <w:rPr>
                <w:rFonts w:ascii="Arial" w:eastAsia="Arial Unicode MS" w:hAnsi="Arial" w:cs="Arial"/>
                <w:sz w:val="24"/>
                <w:szCs w:val="24"/>
                <w:u w:color="000000"/>
                <w:bdr w:val="nil"/>
                <w:lang w:eastAsia="en-GB"/>
              </w:rPr>
              <w:t xml:space="preserve">Of </w:t>
            </w:r>
            <w:r w:rsidRPr="001D2E2E">
              <w:rPr>
                <w:rFonts w:ascii="Arial" w:eastAsia="Arial Unicode MS" w:hAnsi="Arial" w:cs="Arial"/>
                <w:sz w:val="24"/>
                <w:szCs w:val="24"/>
                <w:u w:color="000000"/>
                <w:bdr w:val="nil"/>
                <w:lang w:eastAsia="en-GB"/>
              </w:rPr>
              <w:t>Jan Olivier &amp; Co. C/O Ellis Shilengudwa Inc Legal Practitioners Windhoek</w:t>
            </w:r>
            <w:r>
              <w:rPr>
                <w:rFonts w:ascii="Arial" w:eastAsia="Arial Unicode MS" w:hAnsi="Arial" w:cs="Arial"/>
                <w:sz w:val="24"/>
                <w:szCs w:val="24"/>
                <w:u w:color="000000"/>
                <w:bdr w:val="nil"/>
                <w:lang w:eastAsia="en-GB"/>
              </w:rPr>
              <w:t xml:space="preserve">           </w:t>
            </w:r>
          </w:p>
          <w:p w:rsidR="001E7384" w:rsidRPr="004B3621" w:rsidRDefault="001E7384" w:rsidP="001E7384">
            <w:pPr>
              <w:pBdr>
                <w:top w:val="nil"/>
                <w:left w:val="nil"/>
                <w:bottom w:val="nil"/>
                <w:right w:val="nil"/>
                <w:between w:val="nil"/>
                <w:bar w:val="nil"/>
              </w:pBdr>
              <w:spacing w:after="0" w:line="360" w:lineRule="auto"/>
              <w:jc w:val="center"/>
              <w:rPr>
                <w:rFonts w:ascii="Arial" w:eastAsia="Arial Unicode MS" w:hAnsi="Arial" w:cs="Arial"/>
                <w:sz w:val="24"/>
                <w:szCs w:val="24"/>
                <w:u w:color="000000"/>
                <w:bdr w:val="nil"/>
                <w:lang w:val="en-ZA" w:eastAsia="en-GB"/>
              </w:rPr>
            </w:pPr>
          </w:p>
        </w:tc>
        <w:tc>
          <w:tcPr>
            <w:tcW w:w="5423" w:type="dxa"/>
            <w:gridSpan w:val="2"/>
            <w:shd w:val="clear" w:color="auto" w:fill="auto"/>
          </w:tcPr>
          <w:p w:rsidR="001E7384" w:rsidRPr="004B3621" w:rsidRDefault="001E7384" w:rsidP="001E7384">
            <w:pPr>
              <w:pBdr>
                <w:top w:val="nil"/>
                <w:left w:val="nil"/>
                <w:bottom w:val="nil"/>
                <w:right w:val="nil"/>
                <w:between w:val="nil"/>
                <w:bar w:val="nil"/>
              </w:pBdr>
              <w:spacing w:after="0" w:line="360" w:lineRule="auto"/>
              <w:ind w:left="2520" w:hanging="2520"/>
              <w:jc w:val="both"/>
              <w:rPr>
                <w:rFonts w:ascii="Arial" w:eastAsia="Arial Unicode MS" w:hAnsi="Arial" w:cs="Arial"/>
                <w:sz w:val="24"/>
                <w:szCs w:val="24"/>
                <w:u w:color="000000"/>
                <w:bdr w:val="nil"/>
                <w:lang w:val="en-US" w:eastAsia="en-GB"/>
              </w:rPr>
            </w:pPr>
          </w:p>
          <w:p w:rsidR="001E7384" w:rsidRDefault="00AA4E69" w:rsidP="001E7384">
            <w:pPr>
              <w:spacing w:after="0" w:line="360" w:lineRule="auto"/>
              <w:jc w:val="center"/>
              <w:rPr>
                <w:rFonts w:ascii="Arial" w:eastAsia="Calibri" w:hAnsi="Arial" w:cs="Arial"/>
                <w:sz w:val="24"/>
                <w:szCs w:val="24"/>
                <w:lang w:val="en-ZA"/>
              </w:rPr>
            </w:pPr>
            <w:r>
              <w:rPr>
                <w:rFonts w:ascii="Arial" w:eastAsia="Calibri" w:hAnsi="Arial" w:cs="Arial"/>
                <w:sz w:val="24"/>
                <w:szCs w:val="24"/>
                <w:lang w:val="en-ZA"/>
              </w:rPr>
              <w:t>G Kasper</w:t>
            </w:r>
          </w:p>
          <w:p w:rsidR="001D2E2E" w:rsidRDefault="001D2E2E" w:rsidP="001E7384">
            <w:pPr>
              <w:spacing w:after="0" w:line="360" w:lineRule="auto"/>
              <w:jc w:val="center"/>
              <w:rPr>
                <w:rFonts w:ascii="Arial" w:eastAsia="Calibri" w:hAnsi="Arial" w:cs="Arial"/>
                <w:sz w:val="24"/>
                <w:szCs w:val="24"/>
              </w:rPr>
            </w:pPr>
            <w:r>
              <w:rPr>
                <w:rFonts w:ascii="Arial" w:eastAsia="Calibri" w:hAnsi="Arial" w:cs="Arial"/>
                <w:sz w:val="24"/>
                <w:szCs w:val="24"/>
                <w:lang w:val="en-ZA"/>
              </w:rPr>
              <w:t xml:space="preserve">Of </w:t>
            </w:r>
            <w:r w:rsidRPr="001D2E2E">
              <w:rPr>
                <w:rFonts w:ascii="Arial" w:eastAsia="Calibri" w:hAnsi="Arial" w:cs="Arial"/>
                <w:sz w:val="24"/>
                <w:szCs w:val="24"/>
              </w:rPr>
              <w:t>Murorua Kurtz Kasper Incorporated</w:t>
            </w:r>
          </w:p>
          <w:p w:rsidR="001D2E2E" w:rsidRPr="004B3621" w:rsidRDefault="001D2E2E" w:rsidP="001E7384">
            <w:pPr>
              <w:spacing w:after="0" w:line="360" w:lineRule="auto"/>
              <w:jc w:val="center"/>
              <w:rPr>
                <w:rFonts w:ascii="Arial" w:eastAsia="Calibri" w:hAnsi="Arial" w:cs="Arial"/>
                <w:sz w:val="24"/>
                <w:szCs w:val="24"/>
                <w:lang w:val="en-ZA"/>
              </w:rPr>
            </w:pPr>
            <w:r>
              <w:rPr>
                <w:rFonts w:ascii="Arial" w:eastAsia="Calibri" w:hAnsi="Arial" w:cs="Arial"/>
                <w:sz w:val="24"/>
                <w:szCs w:val="24"/>
              </w:rPr>
              <w:t>Windhoek</w:t>
            </w:r>
          </w:p>
          <w:p w:rsidR="001E7384" w:rsidRPr="004B3621" w:rsidRDefault="001E7384" w:rsidP="00AA4E69">
            <w:pPr>
              <w:spacing w:after="0" w:line="360" w:lineRule="auto"/>
              <w:jc w:val="center"/>
              <w:rPr>
                <w:rFonts w:ascii="Arial" w:eastAsia="Calibri" w:hAnsi="Arial" w:cs="Arial"/>
                <w:sz w:val="24"/>
                <w:szCs w:val="24"/>
                <w:lang w:val="en-ZA"/>
              </w:rPr>
            </w:pPr>
          </w:p>
        </w:tc>
      </w:tr>
    </w:tbl>
    <w:p w:rsidR="001E7384" w:rsidRPr="004B3621" w:rsidRDefault="001E7384" w:rsidP="001E7384">
      <w:pPr>
        <w:spacing w:after="0" w:line="360" w:lineRule="auto"/>
        <w:jc w:val="both"/>
        <w:rPr>
          <w:rFonts w:ascii="Arial" w:eastAsia="Calibri" w:hAnsi="Arial" w:cs="Arial"/>
          <w:sz w:val="24"/>
          <w:szCs w:val="24"/>
          <w:lang w:val="en-US"/>
        </w:rPr>
      </w:pPr>
    </w:p>
    <w:p w:rsidR="00240A3A" w:rsidRPr="004B3621" w:rsidRDefault="00240A3A"/>
    <w:sectPr w:rsidR="00240A3A" w:rsidRPr="004B3621" w:rsidSect="009214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7F" w:rsidRDefault="00EB5D7F" w:rsidP="001E7384">
      <w:pPr>
        <w:spacing w:after="0" w:line="240" w:lineRule="auto"/>
      </w:pPr>
      <w:r>
        <w:separator/>
      </w:r>
    </w:p>
  </w:endnote>
  <w:endnote w:type="continuationSeparator" w:id="0">
    <w:p w:rsidR="00EB5D7F" w:rsidRDefault="00EB5D7F" w:rsidP="001E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7F" w:rsidRDefault="00EB5D7F" w:rsidP="001E7384">
      <w:pPr>
        <w:spacing w:after="0" w:line="240" w:lineRule="auto"/>
      </w:pPr>
      <w:r>
        <w:separator/>
      </w:r>
    </w:p>
  </w:footnote>
  <w:footnote w:type="continuationSeparator" w:id="0">
    <w:p w:rsidR="00EB5D7F" w:rsidRDefault="00EB5D7F" w:rsidP="001E7384">
      <w:pPr>
        <w:spacing w:after="0" w:line="240" w:lineRule="auto"/>
      </w:pPr>
      <w:r>
        <w:continuationSeparator/>
      </w:r>
    </w:p>
  </w:footnote>
  <w:footnote w:id="1">
    <w:p w:rsidR="00F10219" w:rsidRPr="001F4D8D" w:rsidRDefault="00F10219" w:rsidP="00663295">
      <w:pPr>
        <w:pStyle w:val="FootnoteText"/>
        <w:jc w:val="both"/>
        <w:rPr>
          <w:rFonts w:ascii="Arial" w:hAnsi="Arial" w:cs="Arial"/>
          <w:lang w:val="en-US"/>
        </w:rPr>
      </w:pPr>
      <w:r w:rsidRPr="001F4D8D">
        <w:rPr>
          <w:rStyle w:val="FootnoteReference"/>
          <w:rFonts w:ascii="Arial" w:hAnsi="Arial" w:cs="Arial"/>
        </w:rPr>
        <w:footnoteRef/>
      </w:r>
      <w:r w:rsidRPr="001F4D8D">
        <w:rPr>
          <w:rFonts w:ascii="Arial" w:hAnsi="Arial" w:cs="Arial"/>
        </w:rPr>
        <w:t xml:space="preserve"> </w:t>
      </w:r>
      <w:r w:rsidR="007F02BD">
        <w:rPr>
          <w:rFonts w:ascii="Arial" w:hAnsi="Arial" w:cs="Arial"/>
          <w:shd w:val="clear" w:color="auto" w:fill="FFFFFF"/>
        </w:rPr>
        <w:t>Strydo Construction Cc v</w:t>
      </w:r>
      <w:r w:rsidR="007F02BD" w:rsidRPr="007F02BD">
        <w:rPr>
          <w:rFonts w:ascii="Arial" w:hAnsi="Arial" w:cs="Arial"/>
          <w:shd w:val="clear" w:color="auto" w:fill="FFFFFF"/>
        </w:rPr>
        <w:t>s Erongo Quarry &amp; Civil Works (Pty) Ltd</w:t>
      </w:r>
      <w:r w:rsidR="001F4D8D" w:rsidRPr="007F02BD">
        <w:rPr>
          <w:rFonts w:ascii="Arial" w:hAnsi="Arial" w:cs="Arial"/>
        </w:rPr>
        <w:t xml:space="preserve"> </w:t>
      </w:r>
      <w:r w:rsidRPr="007F02BD">
        <w:rPr>
          <w:rFonts w:ascii="Arial" w:eastAsia="Arial Unicode MS" w:hAnsi="Arial" w:cs="Arial"/>
          <w:u w:color="000000"/>
          <w:bdr w:val="nil"/>
          <w:lang w:val="en-US" w:eastAsia="en-GB"/>
        </w:rPr>
        <w:t>HC-MD-CIV-ACT-CON-2019/00979</w:t>
      </w:r>
      <w:r w:rsidR="001F4D8D" w:rsidRPr="007F02BD">
        <w:rPr>
          <w:rFonts w:ascii="Arial" w:eastAsia="Arial Unicode MS" w:hAnsi="Arial" w:cs="Arial"/>
          <w:u w:color="000000"/>
          <w:bdr w:val="nil"/>
          <w:lang w:val="en-US" w:eastAsia="en-GB"/>
        </w:rPr>
        <w:t>.</w:t>
      </w:r>
    </w:p>
  </w:footnote>
  <w:footnote w:id="2">
    <w:p w:rsidR="001E7384" w:rsidRPr="0051081A" w:rsidRDefault="001E7384" w:rsidP="00663295">
      <w:pPr>
        <w:pStyle w:val="FootnoteText"/>
        <w:jc w:val="both"/>
        <w:rPr>
          <w:rFonts w:ascii="Arial" w:hAnsi="Arial" w:cs="Arial"/>
          <w:lang w:val="en-US"/>
        </w:rPr>
      </w:pPr>
      <w:r w:rsidRPr="0051081A">
        <w:rPr>
          <w:rStyle w:val="FootnoteReference"/>
          <w:rFonts w:ascii="Arial" w:hAnsi="Arial" w:cs="Arial"/>
        </w:rPr>
        <w:footnoteRef/>
      </w:r>
      <w:r w:rsidRPr="0051081A">
        <w:rPr>
          <w:rFonts w:ascii="Arial" w:hAnsi="Arial" w:cs="Arial"/>
        </w:rPr>
        <w:t xml:space="preserve"> </w:t>
      </w:r>
      <w:r w:rsidRPr="0051081A">
        <w:rPr>
          <w:rFonts w:ascii="Arial" w:hAnsi="Arial" w:cs="Arial"/>
          <w:i/>
          <w:lang w:val="en-US"/>
        </w:rPr>
        <w:t>Petrus v Roman Catholic Archiocese</w:t>
      </w:r>
      <w:r w:rsidRPr="0051081A">
        <w:rPr>
          <w:rFonts w:ascii="Arial" w:hAnsi="Arial" w:cs="Arial"/>
          <w:lang w:val="en-US"/>
        </w:rPr>
        <w:t xml:space="preserve"> 2011 (2) NR 637 (SC) </w:t>
      </w:r>
      <w:r w:rsidR="00663295">
        <w:rPr>
          <w:rFonts w:ascii="Arial" w:hAnsi="Arial" w:cs="Arial"/>
          <w:lang w:val="en-US"/>
        </w:rPr>
        <w:t>at</w:t>
      </w:r>
      <w:r w:rsidRPr="0051081A">
        <w:rPr>
          <w:rFonts w:ascii="Arial" w:hAnsi="Arial" w:cs="Arial"/>
          <w:lang w:val="en-US"/>
        </w:rPr>
        <w:t xml:space="preserve"> 640 para 10. </w:t>
      </w:r>
    </w:p>
  </w:footnote>
  <w:footnote w:id="3">
    <w:p w:rsidR="004B3621" w:rsidRPr="004D7317" w:rsidRDefault="004B3621" w:rsidP="00663295">
      <w:pPr>
        <w:pStyle w:val="FootnoteText"/>
        <w:jc w:val="both"/>
        <w:rPr>
          <w:rFonts w:ascii="Arial" w:hAnsi="Arial" w:cs="Arial"/>
        </w:rPr>
      </w:pPr>
      <w:r w:rsidRPr="004D7317">
        <w:rPr>
          <w:rStyle w:val="FootnoteReference"/>
          <w:rFonts w:ascii="Arial" w:hAnsi="Arial" w:cs="Arial"/>
        </w:rPr>
        <w:footnoteRef/>
      </w:r>
      <w:r w:rsidRPr="004D7317">
        <w:rPr>
          <w:rFonts w:ascii="Arial" w:hAnsi="Arial" w:cs="Arial"/>
          <w:i/>
          <w:lang w:val="en-ZA"/>
        </w:rPr>
        <w:t>Beukes and Another v South West Africa Building Society (Swabou) and 5 Others</w:t>
      </w:r>
      <w:r w:rsidRPr="004D7317">
        <w:rPr>
          <w:rFonts w:ascii="Arial" w:hAnsi="Arial" w:cs="Arial"/>
        </w:rPr>
        <w:t xml:space="preserve"> (SA 10-2006) [2010] NASC 14 (5 November 2010).</w:t>
      </w:r>
    </w:p>
  </w:footnote>
  <w:footnote w:id="4">
    <w:p w:rsidR="004B3621" w:rsidRPr="004D7317" w:rsidRDefault="004B3621" w:rsidP="00663295">
      <w:pPr>
        <w:pStyle w:val="FootnoteText"/>
        <w:jc w:val="both"/>
        <w:rPr>
          <w:rFonts w:ascii="Arial" w:hAnsi="Arial" w:cs="Arial"/>
        </w:rPr>
      </w:pPr>
      <w:r w:rsidRPr="004D7317">
        <w:rPr>
          <w:rStyle w:val="FootnoteReference"/>
          <w:rFonts w:ascii="Arial" w:hAnsi="Arial" w:cs="Arial"/>
        </w:rPr>
        <w:footnoteRef/>
      </w:r>
      <w:r w:rsidRPr="004D7317">
        <w:rPr>
          <w:rFonts w:ascii="Arial" w:hAnsi="Arial" w:cs="Arial"/>
        </w:rPr>
        <w:t xml:space="preserv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56" w:rsidRPr="00186A43" w:rsidRDefault="00CF52DB">
    <w:pPr>
      <w:pStyle w:val="Header"/>
      <w:jc w:val="right"/>
    </w:pPr>
    <w:r w:rsidRPr="00186A43">
      <w:fldChar w:fldCharType="begin"/>
    </w:r>
    <w:r w:rsidRPr="00186A43">
      <w:instrText xml:space="preserve"> PAGE   \* MERGEFORMAT </w:instrText>
    </w:r>
    <w:r w:rsidRPr="00186A43">
      <w:fldChar w:fldCharType="separate"/>
    </w:r>
    <w:r w:rsidR="00212707">
      <w:rPr>
        <w:noProof/>
      </w:rPr>
      <w:t>2</w:t>
    </w:r>
    <w:r w:rsidRPr="00186A43">
      <w:rPr>
        <w:noProof/>
      </w:rPr>
      <w:fldChar w:fldCharType="end"/>
    </w:r>
  </w:p>
  <w:p w:rsidR="00921456" w:rsidRPr="00186A43" w:rsidRDefault="00EB5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5CBD"/>
    <w:multiLevelType w:val="hybridMultilevel"/>
    <w:tmpl w:val="A8E034BA"/>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854D9"/>
    <w:multiLevelType w:val="hybridMultilevel"/>
    <w:tmpl w:val="6A2C701A"/>
    <w:lvl w:ilvl="0" w:tplc="6FC434C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77984"/>
    <w:multiLevelType w:val="hybridMultilevel"/>
    <w:tmpl w:val="30EAE1B2"/>
    <w:lvl w:ilvl="0" w:tplc="24AAFB4C">
      <w:start w:val="1"/>
      <w:numFmt w:val="decimal"/>
      <w:lvlText w:val="%1."/>
      <w:lvlJc w:val="left"/>
      <w:pPr>
        <w:ind w:left="838" w:hanging="721"/>
        <w:jc w:val="right"/>
      </w:pPr>
      <w:rPr>
        <w:rFonts w:hint="default"/>
        <w:spacing w:val="-1"/>
        <w:w w:val="97"/>
        <w:lang w:val="en-US" w:eastAsia="en-US" w:bidi="ar-SA"/>
      </w:rPr>
    </w:lvl>
    <w:lvl w:ilvl="1" w:tplc="424CF0E8">
      <w:numFmt w:val="bullet"/>
      <w:lvlText w:val="•"/>
      <w:lvlJc w:val="left"/>
      <w:pPr>
        <w:ind w:left="1692" w:hanging="721"/>
      </w:pPr>
      <w:rPr>
        <w:rFonts w:hint="default"/>
        <w:lang w:val="en-US" w:eastAsia="en-US" w:bidi="ar-SA"/>
      </w:rPr>
    </w:lvl>
    <w:lvl w:ilvl="2" w:tplc="9BACA50C">
      <w:numFmt w:val="bullet"/>
      <w:lvlText w:val="•"/>
      <w:lvlJc w:val="left"/>
      <w:pPr>
        <w:ind w:left="2554" w:hanging="721"/>
      </w:pPr>
      <w:rPr>
        <w:rFonts w:hint="default"/>
        <w:lang w:val="en-US" w:eastAsia="en-US" w:bidi="ar-SA"/>
      </w:rPr>
    </w:lvl>
    <w:lvl w:ilvl="3" w:tplc="45621534">
      <w:numFmt w:val="bullet"/>
      <w:lvlText w:val="•"/>
      <w:lvlJc w:val="left"/>
      <w:pPr>
        <w:ind w:left="3417" w:hanging="721"/>
      </w:pPr>
      <w:rPr>
        <w:rFonts w:hint="default"/>
        <w:lang w:val="en-US" w:eastAsia="en-US" w:bidi="ar-SA"/>
      </w:rPr>
    </w:lvl>
    <w:lvl w:ilvl="4" w:tplc="DCA8D5F2">
      <w:numFmt w:val="bullet"/>
      <w:lvlText w:val="•"/>
      <w:lvlJc w:val="left"/>
      <w:pPr>
        <w:ind w:left="4279" w:hanging="721"/>
      </w:pPr>
      <w:rPr>
        <w:rFonts w:hint="default"/>
        <w:lang w:val="en-US" w:eastAsia="en-US" w:bidi="ar-SA"/>
      </w:rPr>
    </w:lvl>
    <w:lvl w:ilvl="5" w:tplc="4ABC83AA">
      <w:numFmt w:val="bullet"/>
      <w:lvlText w:val="•"/>
      <w:lvlJc w:val="left"/>
      <w:pPr>
        <w:ind w:left="5142" w:hanging="721"/>
      </w:pPr>
      <w:rPr>
        <w:rFonts w:hint="default"/>
        <w:lang w:val="en-US" w:eastAsia="en-US" w:bidi="ar-SA"/>
      </w:rPr>
    </w:lvl>
    <w:lvl w:ilvl="6" w:tplc="B69E73B4">
      <w:numFmt w:val="bullet"/>
      <w:lvlText w:val="•"/>
      <w:lvlJc w:val="left"/>
      <w:pPr>
        <w:ind w:left="6004" w:hanging="721"/>
      </w:pPr>
      <w:rPr>
        <w:rFonts w:hint="default"/>
        <w:lang w:val="en-US" w:eastAsia="en-US" w:bidi="ar-SA"/>
      </w:rPr>
    </w:lvl>
    <w:lvl w:ilvl="7" w:tplc="344E0D64">
      <w:numFmt w:val="bullet"/>
      <w:lvlText w:val="•"/>
      <w:lvlJc w:val="left"/>
      <w:pPr>
        <w:ind w:left="6866" w:hanging="721"/>
      </w:pPr>
      <w:rPr>
        <w:rFonts w:hint="default"/>
        <w:lang w:val="en-US" w:eastAsia="en-US" w:bidi="ar-SA"/>
      </w:rPr>
    </w:lvl>
    <w:lvl w:ilvl="8" w:tplc="30FECAF0">
      <w:numFmt w:val="bullet"/>
      <w:lvlText w:val="•"/>
      <w:lvlJc w:val="left"/>
      <w:pPr>
        <w:ind w:left="7729" w:hanging="721"/>
      </w:pPr>
      <w:rPr>
        <w:rFonts w:hint="default"/>
        <w:lang w:val="en-US" w:eastAsia="en-US" w:bidi="ar-SA"/>
      </w:rPr>
    </w:lvl>
  </w:abstractNum>
  <w:abstractNum w:abstractNumId="3">
    <w:nsid w:val="32ED5E12"/>
    <w:multiLevelType w:val="hybridMultilevel"/>
    <w:tmpl w:val="3818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E636D"/>
    <w:multiLevelType w:val="hybridMultilevel"/>
    <w:tmpl w:val="421EEC2C"/>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5">
    <w:nsid w:val="376A249D"/>
    <w:multiLevelType w:val="hybridMultilevel"/>
    <w:tmpl w:val="956A9C2C"/>
    <w:lvl w:ilvl="0" w:tplc="A46078B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nsid w:val="3AC968DF"/>
    <w:multiLevelType w:val="hybridMultilevel"/>
    <w:tmpl w:val="421EEC2C"/>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7">
    <w:nsid w:val="3CC6274B"/>
    <w:multiLevelType w:val="hybridMultilevel"/>
    <w:tmpl w:val="30327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D6C4B"/>
    <w:multiLevelType w:val="hybridMultilevel"/>
    <w:tmpl w:val="5F6E5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BB627E"/>
    <w:multiLevelType w:val="multilevel"/>
    <w:tmpl w:val="6DCCB022"/>
    <w:lvl w:ilvl="0">
      <w:start w:val="4"/>
      <w:numFmt w:val="decimal"/>
      <w:lvlText w:val="%1."/>
      <w:lvlJc w:val="left"/>
      <w:pPr>
        <w:ind w:left="1647" w:hanging="628"/>
      </w:pPr>
      <w:rPr>
        <w:rFonts w:ascii="Arial" w:eastAsia="Arial" w:hAnsi="Arial" w:cs="Arial" w:hint="default"/>
        <w:b w:val="0"/>
        <w:bCs w:val="0"/>
        <w:i w:val="0"/>
        <w:iCs w:val="0"/>
        <w:spacing w:val="-1"/>
        <w:w w:val="105"/>
        <w:sz w:val="21"/>
        <w:szCs w:val="21"/>
        <w:lang w:val="en-US" w:eastAsia="en-US" w:bidi="ar-SA"/>
      </w:rPr>
    </w:lvl>
    <w:lvl w:ilvl="1">
      <w:start w:val="12"/>
      <w:numFmt w:val="decimal"/>
      <w:lvlText w:val="%2."/>
      <w:lvlJc w:val="left"/>
      <w:pPr>
        <w:ind w:left="2345" w:hanging="619"/>
      </w:pPr>
      <w:rPr>
        <w:rFonts w:hint="default"/>
        <w:spacing w:val="-1"/>
        <w:w w:val="98"/>
        <w:lang w:val="en-US" w:eastAsia="en-US" w:bidi="ar-SA"/>
      </w:rPr>
    </w:lvl>
    <w:lvl w:ilvl="2">
      <w:start w:val="1"/>
      <w:numFmt w:val="decimal"/>
      <w:lvlText w:val="%2.%3."/>
      <w:lvlJc w:val="left"/>
      <w:pPr>
        <w:ind w:left="1742" w:hanging="621"/>
      </w:pPr>
      <w:rPr>
        <w:rFonts w:hint="default"/>
        <w:spacing w:val="-1"/>
        <w:w w:val="99"/>
        <w:lang w:val="en-US" w:eastAsia="en-US" w:bidi="ar-SA"/>
      </w:rPr>
    </w:lvl>
    <w:lvl w:ilvl="3">
      <w:numFmt w:val="bullet"/>
      <w:lvlText w:val="•"/>
      <w:lvlJc w:val="left"/>
      <w:pPr>
        <w:ind w:left="1760" w:hanging="621"/>
      </w:pPr>
      <w:rPr>
        <w:rFonts w:hint="default"/>
        <w:lang w:val="en-US" w:eastAsia="en-US" w:bidi="ar-SA"/>
      </w:rPr>
    </w:lvl>
    <w:lvl w:ilvl="4">
      <w:numFmt w:val="bullet"/>
      <w:lvlText w:val="•"/>
      <w:lvlJc w:val="left"/>
      <w:pPr>
        <w:ind w:left="2340" w:hanging="621"/>
      </w:pPr>
      <w:rPr>
        <w:rFonts w:hint="default"/>
        <w:lang w:val="en-US" w:eastAsia="en-US" w:bidi="ar-SA"/>
      </w:rPr>
    </w:lvl>
    <w:lvl w:ilvl="5">
      <w:numFmt w:val="bullet"/>
      <w:lvlText w:val="•"/>
      <w:lvlJc w:val="left"/>
      <w:pPr>
        <w:ind w:left="3874" w:hanging="621"/>
      </w:pPr>
      <w:rPr>
        <w:rFonts w:hint="default"/>
        <w:lang w:val="en-US" w:eastAsia="en-US" w:bidi="ar-SA"/>
      </w:rPr>
    </w:lvl>
    <w:lvl w:ilvl="6">
      <w:numFmt w:val="bullet"/>
      <w:lvlText w:val="•"/>
      <w:lvlJc w:val="left"/>
      <w:pPr>
        <w:ind w:left="5409" w:hanging="621"/>
      </w:pPr>
      <w:rPr>
        <w:rFonts w:hint="default"/>
        <w:lang w:val="en-US" w:eastAsia="en-US" w:bidi="ar-SA"/>
      </w:rPr>
    </w:lvl>
    <w:lvl w:ilvl="7">
      <w:numFmt w:val="bullet"/>
      <w:lvlText w:val="•"/>
      <w:lvlJc w:val="left"/>
      <w:pPr>
        <w:ind w:left="6944" w:hanging="621"/>
      </w:pPr>
      <w:rPr>
        <w:rFonts w:hint="default"/>
        <w:lang w:val="en-US" w:eastAsia="en-US" w:bidi="ar-SA"/>
      </w:rPr>
    </w:lvl>
    <w:lvl w:ilvl="8">
      <w:numFmt w:val="bullet"/>
      <w:lvlText w:val="•"/>
      <w:lvlJc w:val="left"/>
      <w:pPr>
        <w:ind w:left="8479" w:hanging="621"/>
      </w:pPr>
      <w:rPr>
        <w:rFonts w:hint="default"/>
        <w:lang w:val="en-US" w:eastAsia="en-US" w:bidi="ar-SA"/>
      </w:rPr>
    </w:lvl>
  </w:abstractNum>
  <w:abstractNum w:abstractNumId="10">
    <w:nsid w:val="4A4E55EA"/>
    <w:multiLevelType w:val="hybridMultilevel"/>
    <w:tmpl w:val="766233C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4DB30AE3"/>
    <w:multiLevelType w:val="hybridMultilevel"/>
    <w:tmpl w:val="99AAADC6"/>
    <w:lvl w:ilvl="0" w:tplc="62F6EB7A">
      <w:start w:val="1"/>
      <w:numFmt w:val="decimal"/>
      <w:lvlText w:val="[%1]"/>
      <w:lvlJc w:val="left"/>
      <w:pPr>
        <w:ind w:left="720" w:hanging="360"/>
      </w:pPr>
      <w:rPr>
        <w:rFonts w:ascii="Arial" w:hAnsi="Arial" w:cs="Arial"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316A5"/>
    <w:multiLevelType w:val="hybridMultilevel"/>
    <w:tmpl w:val="D58E404E"/>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3">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8E68BD"/>
    <w:multiLevelType w:val="hybridMultilevel"/>
    <w:tmpl w:val="AD8C57FA"/>
    <w:lvl w:ilvl="0" w:tplc="8D9C3020">
      <w:numFmt w:val="bullet"/>
      <w:lvlText w:val="•"/>
      <w:lvlJc w:val="left"/>
      <w:pPr>
        <w:ind w:left="447" w:hanging="188"/>
      </w:pPr>
      <w:rPr>
        <w:rFonts w:ascii="Arial" w:eastAsia="Arial" w:hAnsi="Arial" w:cs="Arial" w:hint="default"/>
        <w:b w:val="0"/>
        <w:bCs w:val="0"/>
        <w:i w:val="0"/>
        <w:iCs w:val="0"/>
        <w:spacing w:val="0"/>
        <w:w w:val="78"/>
        <w:sz w:val="21"/>
        <w:szCs w:val="21"/>
        <w:lang w:val="en-US" w:eastAsia="en-US" w:bidi="ar-SA"/>
      </w:rPr>
    </w:lvl>
    <w:lvl w:ilvl="1" w:tplc="8076CB14">
      <w:numFmt w:val="bullet"/>
      <w:lvlText w:val="•"/>
      <w:lvlJc w:val="left"/>
      <w:pPr>
        <w:ind w:left="1550" w:hanging="188"/>
      </w:pPr>
      <w:rPr>
        <w:rFonts w:hint="default"/>
        <w:lang w:val="en-US" w:eastAsia="en-US" w:bidi="ar-SA"/>
      </w:rPr>
    </w:lvl>
    <w:lvl w:ilvl="2" w:tplc="64A6A9F0">
      <w:numFmt w:val="bullet"/>
      <w:lvlText w:val="•"/>
      <w:lvlJc w:val="left"/>
      <w:pPr>
        <w:ind w:left="2661" w:hanging="188"/>
      </w:pPr>
      <w:rPr>
        <w:rFonts w:hint="default"/>
        <w:lang w:val="en-US" w:eastAsia="en-US" w:bidi="ar-SA"/>
      </w:rPr>
    </w:lvl>
    <w:lvl w:ilvl="3" w:tplc="F6501CB2">
      <w:numFmt w:val="bullet"/>
      <w:lvlText w:val="•"/>
      <w:lvlJc w:val="left"/>
      <w:pPr>
        <w:ind w:left="3772" w:hanging="188"/>
      </w:pPr>
      <w:rPr>
        <w:rFonts w:hint="default"/>
        <w:lang w:val="en-US" w:eastAsia="en-US" w:bidi="ar-SA"/>
      </w:rPr>
    </w:lvl>
    <w:lvl w:ilvl="4" w:tplc="2FD43B9C">
      <w:numFmt w:val="bullet"/>
      <w:lvlText w:val="•"/>
      <w:lvlJc w:val="left"/>
      <w:pPr>
        <w:ind w:left="4883" w:hanging="188"/>
      </w:pPr>
      <w:rPr>
        <w:rFonts w:hint="default"/>
        <w:lang w:val="en-US" w:eastAsia="en-US" w:bidi="ar-SA"/>
      </w:rPr>
    </w:lvl>
    <w:lvl w:ilvl="5" w:tplc="39BA1EEE">
      <w:numFmt w:val="bullet"/>
      <w:lvlText w:val="•"/>
      <w:lvlJc w:val="left"/>
      <w:pPr>
        <w:ind w:left="5994" w:hanging="188"/>
      </w:pPr>
      <w:rPr>
        <w:rFonts w:hint="default"/>
        <w:lang w:val="en-US" w:eastAsia="en-US" w:bidi="ar-SA"/>
      </w:rPr>
    </w:lvl>
    <w:lvl w:ilvl="6" w:tplc="1AD6F20A">
      <w:numFmt w:val="bullet"/>
      <w:lvlText w:val="•"/>
      <w:lvlJc w:val="left"/>
      <w:pPr>
        <w:ind w:left="7105" w:hanging="188"/>
      </w:pPr>
      <w:rPr>
        <w:rFonts w:hint="default"/>
        <w:lang w:val="en-US" w:eastAsia="en-US" w:bidi="ar-SA"/>
      </w:rPr>
    </w:lvl>
    <w:lvl w:ilvl="7" w:tplc="EF4CD552">
      <w:numFmt w:val="bullet"/>
      <w:lvlText w:val="•"/>
      <w:lvlJc w:val="left"/>
      <w:pPr>
        <w:ind w:left="8216" w:hanging="188"/>
      </w:pPr>
      <w:rPr>
        <w:rFonts w:hint="default"/>
        <w:lang w:val="en-US" w:eastAsia="en-US" w:bidi="ar-SA"/>
      </w:rPr>
    </w:lvl>
    <w:lvl w:ilvl="8" w:tplc="51EEACEA">
      <w:numFmt w:val="bullet"/>
      <w:lvlText w:val="•"/>
      <w:lvlJc w:val="left"/>
      <w:pPr>
        <w:ind w:left="9327" w:hanging="188"/>
      </w:pPr>
      <w:rPr>
        <w:rFonts w:hint="default"/>
        <w:lang w:val="en-US" w:eastAsia="en-US" w:bidi="ar-SA"/>
      </w:rPr>
    </w:lvl>
  </w:abstractNum>
  <w:num w:numId="1">
    <w:abstractNumId w:val="11"/>
  </w:num>
  <w:num w:numId="2">
    <w:abstractNumId w:val="3"/>
  </w:num>
  <w:num w:numId="3">
    <w:abstractNumId w:val="10"/>
  </w:num>
  <w:num w:numId="4">
    <w:abstractNumId w:val="7"/>
  </w:num>
  <w:num w:numId="5">
    <w:abstractNumId w:val="2"/>
  </w:num>
  <w:num w:numId="6">
    <w:abstractNumId w:val="8"/>
  </w:num>
  <w:num w:numId="7">
    <w:abstractNumId w:val="14"/>
  </w:num>
  <w:num w:numId="8">
    <w:abstractNumId w:val="9"/>
  </w:num>
  <w:num w:numId="9">
    <w:abstractNumId w:val="0"/>
  </w:num>
  <w:num w:numId="10">
    <w:abstractNumId w:val="13"/>
  </w:num>
  <w:num w:numId="11">
    <w:abstractNumId w:val="4"/>
  </w:num>
  <w:num w:numId="12">
    <w:abstractNumId w:val="1"/>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84"/>
    <w:rsid w:val="0002003F"/>
    <w:rsid w:val="00027B8A"/>
    <w:rsid w:val="0003678C"/>
    <w:rsid w:val="000906F5"/>
    <w:rsid w:val="000B1130"/>
    <w:rsid w:val="000C7EF4"/>
    <w:rsid w:val="000D5B3D"/>
    <w:rsid w:val="000D669D"/>
    <w:rsid w:val="000D77E0"/>
    <w:rsid w:val="00153DE8"/>
    <w:rsid w:val="0017047C"/>
    <w:rsid w:val="001A7A35"/>
    <w:rsid w:val="001C2884"/>
    <w:rsid w:val="001D2E2E"/>
    <w:rsid w:val="001E7384"/>
    <w:rsid w:val="001F4D8D"/>
    <w:rsid w:val="00212707"/>
    <w:rsid w:val="00240A3A"/>
    <w:rsid w:val="00263367"/>
    <w:rsid w:val="002F0E49"/>
    <w:rsid w:val="003030FA"/>
    <w:rsid w:val="0039596B"/>
    <w:rsid w:val="0043425A"/>
    <w:rsid w:val="004450C6"/>
    <w:rsid w:val="00476AA0"/>
    <w:rsid w:val="0048736C"/>
    <w:rsid w:val="004B3621"/>
    <w:rsid w:val="004C011E"/>
    <w:rsid w:val="004F22E8"/>
    <w:rsid w:val="005B377B"/>
    <w:rsid w:val="005D5B40"/>
    <w:rsid w:val="00610C0E"/>
    <w:rsid w:val="00637CFB"/>
    <w:rsid w:val="00663295"/>
    <w:rsid w:val="006974F9"/>
    <w:rsid w:val="006F3C73"/>
    <w:rsid w:val="00712D2D"/>
    <w:rsid w:val="007E34BC"/>
    <w:rsid w:val="007F02BD"/>
    <w:rsid w:val="007F03E4"/>
    <w:rsid w:val="00877B9A"/>
    <w:rsid w:val="008B29F6"/>
    <w:rsid w:val="00922E7B"/>
    <w:rsid w:val="009736E9"/>
    <w:rsid w:val="009E3882"/>
    <w:rsid w:val="00A20AA0"/>
    <w:rsid w:val="00A628A0"/>
    <w:rsid w:val="00A70863"/>
    <w:rsid w:val="00AA4E69"/>
    <w:rsid w:val="00B05069"/>
    <w:rsid w:val="00B54923"/>
    <w:rsid w:val="00BB08CC"/>
    <w:rsid w:val="00BB7C32"/>
    <w:rsid w:val="00C453CE"/>
    <w:rsid w:val="00C636FA"/>
    <w:rsid w:val="00CA3F29"/>
    <w:rsid w:val="00CC44A0"/>
    <w:rsid w:val="00CD5376"/>
    <w:rsid w:val="00CF048C"/>
    <w:rsid w:val="00CF52DB"/>
    <w:rsid w:val="00CF6011"/>
    <w:rsid w:val="00D21D29"/>
    <w:rsid w:val="00D76AB1"/>
    <w:rsid w:val="00D924F8"/>
    <w:rsid w:val="00D9446E"/>
    <w:rsid w:val="00E779A0"/>
    <w:rsid w:val="00E94E2D"/>
    <w:rsid w:val="00EB5D7F"/>
    <w:rsid w:val="00EE3160"/>
    <w:rsid w:val="00F10219"/>
    <w:rsid w:val="00FB546A"/>
    <w:rsid w:val="00FD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FB34A-9866-4743-8E8B-D593D16A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 Char Char Char,Footnote Text Char Char1 Char Char Char,Footnote Text Char1 Char Char,Footnote Text Char1 Char Char Char Char,HCR: - Footnote text,fn"/>
    <w:basedOn w:val="Normal"/>
    <w:link w:val="FootnoteTextChar"/>
    <w:uiPriority w:val="99"/>
    <w:unhideWhenUsed/>
    <w:qFormat/>
    <w:rsid w:val="001E7384"/>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 Char Char Char Char,Footnote Text Char Char1 Char Char Char Char,Footnote Text Char1 Char Char Char,HCR: - Footnote text Char"/>
    <w:basedOn w:val="DefaultParagraphFont"/>
    <w:link w:val="FootnoteText"/>
    <w:uiPriority w:val="99"/>
    <w:semiHidden/>
    <w:rsid w:val="001E7384"/>
    <w:rPr>
      <w:sz w:val="20"/>
      <w:szCs w:val="20"/>
    </w:rPr>
  </w:style>
  <w:style w:type="paragraph" w:styleId="Header">
    <w:name w:val="header"/>
    <w:basedOn w:val="Normal"/>
    <w:link w:val="HeaderChar"/>
    <w:uiPriority w:val="99"/>
    <w:unhideWhenUsed/>
    <w:rsid w:val="001E7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384"/>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1E7384"/>
    <w:rPr>
      <w:vertAlign w:val="superscript"/>
    </w:rPr>
  </w:style>
  <w:style w:type="paragraph" w:styleId="BodyText">
    <w:name w:val="Body Text"/>
    <w:basedOn w:val="Normal"/>
    <w:link w:val="BodyTextChar"/>
    <w:uiPriority w:val="1"/>
    <w:qFormat/>
    <w:rsid w:val="009736E9"/>
    <w:pPr>
      <w:widowControl w:val="0"/>
      <w:autoSpaceDE w:val="0"/>
      <w:autoSpaceDN w:val="0"/>
      <w:spacing w:after="0" w:line="240" w:lineRule="auto"/>
    </w:pPr>
    <w:rPr>
      <w:rFonts w:ascii="Arial" w:eastAsia="Arial" w:hAnsi="Arial" w:cs="Arial"/>
      <w:sz w:val="25"/>
      <w:szCs w:val="25"/>
      <w:lang w:val="en-US"/>
    </w:rPr>
  </w:style>
  <w:style w:type="character" w:customStyle="1" w:styleId="BodyTextChar">
    <w:name w:val="Body Text Char"/>
    <w:basedOn w:val="DefaultParagraphFont"/>
    <w:link w:val="BodyText"/>
    <w:uiPriority w:val="1"/>
    <w:rsid w:val="009736E9"/>
    <w:rPr>
      <w:rFonts w:ascii="Arial" w:eastAsia="Arial" w:hAnsi="Arial" w:cs="Arial"/>
      <w:sz w:val="25"/>
      <w:szCs w:val="25"/>
      <w:lang w:val="en-US"/>
    </w:rPr>
  </w:style>
  <w:style w:type="paragraph" w:styleId="ListParagraph">
    <w:name w:val="List Paragraph"/>
    <w:basedOn w:val="Normal"/>
    <w:uiPriority w:val="34"/>
    <w:qFormat/>
    <w:rsid w:val="009736E9"/>
    <w:pPr>
      <w:widowControl w:val="0"/>
      <w:autoSpaceDE w:val="0"/>
      <w:autoSpaceDN w:val="0"/>
      <w:spacing w:before="1" w:after="0" w:line="240" w:lineRule="auto"/>
      <w:ind w:left="107" w:hanging="721"/>
      <w:jc w:val="both"/>
    </w:pPr>
    <w:rPr>
      <w:rFonts w:ascii="Arial" w:eastAsia="Arial" w:hAnsi="Arial" w:cs="Arial"/>
      <w:lang w:val="en-US"/>
    </w:rPr>
  </w:style>
  <w:style w:type="paragraph" w:styleId="NormalWeb">
    <w:name w:val="Normal (Web)"/>
    <w:basedOn w:val="Normal"/>
    <w:uiPriority w:val="99"/>
    <w:semiHidden/>
    <w:unhideWhenUsed/>
    <w:rsid w:val="00D924F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0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63"/>
    <w:rPr>
      <w:rFonts w:ascii="Segoe UI" w:hAnsi="Segoe UI" w:cs="Segoe UI"/>
      <w:sz w:val="18"/>
      <w:szCs w:val="18"/>
    </w:rPr>
  </w:style>
  <w:style w:type="paragraph" w:styleId="Footer">
    <w:name w:val="footer"/>
    <w:basedOn w:val="Normal"/>
    <w:link w:val="FooterChar"/>
    <w:uiPriority w:val="99"/>
    <w:unhideWhenUsed/>
    <w:rsid w:val="007F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2023-09-12T18:30:00+00:00</Judgment_x0020_Date>
    <Year xmlns="c1afb1bd-f2fb-40fd-9abb-aea55b4d7662">2023</Year>
  </documentManagement>
</p:properties>
</file>

<file path=customXml/itemProps1.xml><?xml version="1.0" encoding="utf-8"?>
<ds:datastoreItem xmlns:ds="http://schemas.openxmlformats.org/officeDocument/2006/customXml" ds:itemID="{9320EF45-5D8E-4C55-96BE-CC0CC791174E}"/>
</file>

<file path=customXml/itemProps2.xml><?xml version="1.0" encoding="utf-8"?>
<ds:datastoreItem xmlns:ds="http://schemas.openxmlformats.org/officeDocument/2006/customXml" ds:itemID="{AAD14BFA-654A-4AD8-875B-C905E1739979}"/>
</file>

<file path=customXml/itemProps3.xml><?xml version="1.0" encoding="utf-8"?>
<ds:datastoreItem xmlns:ds="http://schemas.openxmlformats.org/officeDocument/2006/customXml" ds:itemID="{1776E2D8-5790-41B1-8564-F14A26F07E65}"/>
</file>

<file path=customXml/itemProps4.xml><?xml version="1.0" encoding="utf-8"?>
<ds:datastoreItem xmlns:ds="http://schemas.openxmlformats.org/officeDocument/2006/customXml" ds:itemID="{7EB077ED-700B-4861-8E96-954556B717B1}"/>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Strydo Construction CC v Gurirab (HC-MD-CIV-ACT-OTH-2022-02180) [2023] NAHCMD 566 (13 September 2023)</dc:title>
  <dc:subject/>
  <dc:creator>Ernestine N. Jansen</dc:creator>
  <cp:keywords/>
  <dc:description/>
  <cp:lastModifiedBy>Ernestine N. Jansen</cp:lastModifiedBy>
  <cp:revision>2</cp:revision>
  <cp:lastPrinted>2023-09-13T08:46:00Z</cp:lastPrinted>
  <dcterms:created xsi:type="dcterms:W3CDTF">2023-09-13T14:01:00Z</dcterms:created>
  <dcterms:modified xsi:type="dcterms:W3CDTF">2023-09-13T14:01:00Z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