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54" w:rsidRPr="00960254" w:rsidRDefault="00960254" w:rsidP="00960254">
      <w:pPr>
        <w:spacing w:after="0" w:line="360" w:lineRule="auto"/>
        <w:jc w:val="center"/>
        <w:rPr>
          <w:rFonts w:ascii="Arial" w:eastAsia="Calibri" w:hAnsi="Arial" w:cs="Arial"/>
          <w:b/>
          <w:sz w:val="24"/>
          <w:szCs w:val="24"/>
          <w:lang w:val="en-GB"/>
        </w:rPr>
      </w:pPr>
      <w:r w:rsidRPr="00960254">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13E4085" wp14:editId="5C3E0575">
                <wp:simplePos x="0" y="0"/>
                <wp:positionH relativeFrom="column">
                  <wp:posOffset>4552950</wp:posOffset>
                </wp:positionH>
                <wp:positionV relativeFrom="paragraph">
                  <wp:posOffset>-57150</wp:posOffset>
                </wp:positionV>
                <wp:extent cx="1562100" cy="247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229BC" w:rsidRDefault="006229BC" w:rsidP="009602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E408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G0Ky3SUCAABQBAAADgAAAAAAAAAAAAAAAAAuAgAAZHJzL2Uyb0Rv&#10;Yy54bWxQSwECLQAUAAYACAAAACEAT6Rysd8AAAAJAQAADwAAAAAAAAAAAAAAAAB/BAAAZHJzL2Rv&#10;d25yZXYueG1sUEsFBgAAAAAEAAQA8wAAAIsFAAAAAA==&#10;" strokecolor="white">
                <v:textbox>
                  <w:txbxContent>
                    <w:p w:rsidR="006229BC" w:rsidRDefault="006229BC" w:rsidP="00960254">
                      <w:pPr>
                        <w:jc w:val="center"/>
                      </w:pPr>
                    </w:p>
                  </w:txbxContent>
                </v:textbox>
              </v:shape>
            </w:pict>
          </mc:Fallback>
        </mc:AlternateContent>
      </w:r>
      <w:r w:rsidRPr="00960254">
        <w:rPr>
          <w:rFonts w:ascii="Arial" w:eastAsia="Calibri" w:hAnsi="Arial" w:cs="Arial"/>
          <w:b/>
          <w:sz w:val="24"/>
          <w:szCs w:val="24"/>
          <w:lang w:val="en-GB"/>
        </w:rPr>
        <w:t>REPUBLIC OF NAMIBIA</w:t>
      </w:r>
    </w:p>
    <w:p w:rsidR="00960254" w:rsidRPr="00960254" w:rsidRDefault="00960254" w:rsidP="00960254">
      <w:pPr>
        <w:spacing w:after="0" w:line="360" w:lineRule="auto"/>
        <w:jc w:val="center"/>
        <w:rPr>
          <w:rFonts w:ascii="Arial" w:eastAsia="Calibri" w:hAnsi="Arial" w:cs="Arial"/>
          <w:b/>
          <w:sz w:val="32"/>
          <w:szCs w:val="32"/>
          <w:lang w:val="en-GB"/>
        </w:rPr>
      </w:pPr>
      <w:r w:rsidRPr="00960254">
        <w:rPr>
          <w:rFonts w:ascii="Arial" w:eastAsia="Calibri" w:hAnsi="Arial" w:cs="Arial"/>
          <w:b/>
          <w:noProof/>
          <w:sz w:val="32"/>
          <w:szCs w:val="32"/>
        </w:rPr>
        <w:drawing>
          <wp:inline distT="0" distB="0" distL="0" distR="0" wp14:anchorId="52643CDC" wp14:editId="6A7F9837">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60254" w:rsidRPr="00960254" w:rsidRDefault="00960254" w:rsidP="00960254">
      <w:pPr>
        <w:spacing w:after="0" w:line="360" w:lineRule="auto"/>
        <w:jc w:val="center"/>
        <w:rPr>
          <w:rFonts w:ascii="Arial" w:eastAsia="Calibri" w:hAnsi="Arial" w:cs="Arial"/>
          <w:bCs/>
          <w:sz w:val="24"/>
          <w:szCs w:val="24"/>
          <w:lang w:val="en-GB"/>
        </w:rPr>
      </w:pPr>
      <w:r w:rsidRPr="00960254">
        <w:rPr>
          <w:rFonts w:ascii="Arial" w:eastAsia="Calibri" w:hAnsi="Arial" w:cs="Arial"/>
          <w:b/>
          <w:sz w:val="24"/>
          <w:szCs w:val="24"/>
          <w:lang w:val="en-GB"/>
        </w:rPr>
        <w:t>HIGH COURT OF NAMIBIA MAIN DIVISION, WINDHOEK</w:t>
      </w:r>
    </w:p>
    <w:p w:rsidR="00960254" w:rsidRPr="00960254" w:rsidRDefault="00960254" w:rsidP="00960254">
      <w:pPr>
        <w:spacing w:after="0" w:line="360" w:lineRule="auto"/>
        <w:jc w:val="center"/>
        <w:rPr>
          <w:rFonts w:ascii="Arial" w:eastAsia="Calibri" w:hAnsi="Arial" w:cs="Arial"/>
          <w:b/>
          <w:sz w:val="10"/>
          <w:szCs w:val="10"/>
          <w:lang w:val="en-GB"/>
        </w:rPr>
      </w:pPr>
    </w:p>
    <w:p w:rsidR="00960254" w:rsidRPr="00960254" w:rsidRDefault="00960254" w:rsidP="00960254">
      <w:pPr>
        <w:spacing w:after="0" w:line="360" w:lineRule="auto"/>
        <w:jc w:val="center"/>
        <w:rPr>
          <w:rFonts w:ascii="Arial" w:eastAsia="Calibri" w:hAnsi="Arial" w:cs="Arial"/>
          <w:b/>
          <w:sz w:val="24"/>
          <w:szCs w:val="24"/>
          <w:lang w:val="en-GB"/>
        </w:rPr>
      </w:pPr>
      <w:r w:rsidRPr="00960254">
        <w:rPr>
          <w:rFonts w:ascii="Arial" w:eastAsia="Calibri" w:hAnsi="Arial" w:cs="Arial"/>
          <w:b/>
          <w:sz w:val="24"/>
          <w:szCs w:val="24"/>
          <w:lang w:val="en-GB"/>
        </w:rPr>
        <w:t>JUDGMENT</w:t>
      </w:r>
    </w:p>
    <w:p w:rsidR="00960254" w:rsidRPr="00960254" w:rsidRDefault="00960254" w:rsidP="00960254">
      <w:pPr>
        <w:spacing w:after="0" w:line="360" w:lineRule="auto"/>
        <w:jc w:val="both"/>
        <w:rPr>
          <w:rFonts w:ascii="Arial" w:eastAsia="Calibri" w:hAnsi="Arial" w:cs="Arial"/>
          <w:b/>
          <w:sz w:val="24"/>
          <w:szCs w:val="24"/>
          <w:lang w:val="en-GB"/>
        </w:rPr>
      </w:pPr>
    </w:p>
    <w:p w:rsidR="00960254" w:rsidRPr="00960254" w:rsidRDefault="00960254" w:rsidP="00960254">
      <w:pPr>
        <w:tabs>
          <w:tab w:val="right" w:pos="9000"/>
        </w:tabs>
        <w:spacing w:after="0" w:line="360" w:lineRule="auto"/>
        <w:jc w:val="center"/>
        <w:rPr>
          <w:rFonts w:ascii="Arial" w:eastAsia="Calibri" w:hAnsi="Arial" w:cs="Arial"/>
          <w:sz w:val="24"/>
          <w:szCs w:val="24"/>
          <w:lang w:val="en-GB"/>
        </w:rPr>
      </w:pPr>
      <w:r w:rsidRPr="00960254">
        <w:rPr>
          <w:rFonts w:ascii="Arial" w:eastAsia="Calibri" w:hAnsi="Arial" w:cs="Arial"/>
          <w:b/>
          <w:sz w:val="24"/>
          <w:szCs w:val="24"/>
          <w:lang w:val="en-GB"/>
        </w:rPr>
        <w:tab/>
      </w:r>
      <w:r w:rsidR="00CE4321">
        <w:rPr>
          <w:rFonts w:ascii="Arial" w:eastAsia="Calibri" w:hAnsi="Arial" w:cs="Arial"/>
          <w:b/>
          <w:sz w:val="24"/>
          <w:szCs w:val="24"/>
          <w:lang w:val="en-GB"/>
        </w:rPr>
        <w:t xml:space="preserve">  </w:t>
      </w:r>
      <w:r w:rsidRPr="00960254">
        <w:rPr>
          <w:rFonts w:ascii="Arial" w:eastAsia="Calibri" w:hAnsi="Arial" w:cs="Arial"/>
          <w:sz w:val="24"/>
          <w:szCs w:val="24"/>
          <w:lang w:val="en-GB"/>
        </w:rPr>
        <w:t>Case no: HC-MD-CIV-MOT-GEN-2023/00034</w:t>
      </w:r>
    </w:p>
    <w:p w:rsidR="00960254" w:rsidRPr="00960254" w:rsidRDefault="00960254" w:rsidP="001A3D53">
      <w:pPr>
        <w:tabs>
          <w:tab w:val="right" w:pos="9000"/>
        </w:tabs>
        <w:spacing w:after="0" w:line="360" w:lineRule="auto"/>
        <w:rPr>
          <w:rFonts w:ascii="Arial" w:eastAsia="Calibri" w:hAnsi="Arial" w:cs="Arial"/>
          <w:sz w:val="24"/>
          <w:szCs w:val="24"/>
          <w:lang w:val="en-GB"/>
        </w:rPr>
      </w:pPr>
    </w:p>
    <w:p w:rsidR="00960254" w:rsidRPr="00960254" w:rsidRDefault="00960254" w:rsidP="00960254">
      <w:pPr>
        <w:spacing w:after="0" w:line="360" w:lineRule="auto"/>
        <w:jc w:val="both"/>
        <w:rPr>
          <w:rFonts w:ascii="Arial" w:eastAsia="Calibri" w:hAnsi="Arial" w:cs="Arial"/>
          <w:sz w:val="24"/>
          <w:szCs w:val="24"/>
          <w:lang w:val="en-GB"/>
        </w:rPr>
      </w:pPr>
      <w:r w:rsidRPr="00960254">
        <w:rPr>
          <w:rFonts w:ascii="Arial" w:eastAsia="Calibri" w:hAnsi="Arial" w:cs="Arial"/>
          <w:sz w:val="24"/>
          <w:szCs w:val="24"/>
          <w:lang w:val="en-GB"/>
        </w:rPr>
        <w:t>In the matter between:</w:t>
      </w:r>
    </w:p>
    <w:p w:rsidR="00960254" w:rsidRPr="00960254" w:rsidRDefault="00960254" w:rsidP="00960254">
      <w:pPr>
        <w:tabs>
          <w:tab w:val="right" w:pos="9360"/>
        </w:tabs>
        <w:spacing w:after="0" w:line="360" w:lineRule="auto"/>
        <w:jc w:val="both"/>
        <w:rPr>
          <w:rFonts w:ascii="Arial" w:eastAsia="Calibri" w:hAnsi="Arial" w:cs="Arial"/>
          <w:b/>
          <w:sz w:val="24"/>
          <w:szCs w:val="24"/>
          <w:lang w:val="en-GB"/>
        </w:rPr>
      </w:pPr>
    </w:p>
    <w:p w:rsidR="00960254" w:rsidRPr="00960254" w:rsidRDefault="00960254" w:rsidP="00960254">
      <w:pPr>
        <w:tabs>
          <w:tab w:val="right" w:pos="9360"/>
        </w:tabs>
        <w:spacing w:after="0" w:line="360" w:lineRule="auto"/>
        <w:jc w:val="both"/>
        <w:rPr>
          <w:rFonts w:ascii="Arial" w:eastAsia="Calibri" w:hAnsi="Arial" w:cs="Arial"/>
          <w:b/>
          <w:sz w:val="24"/>
          <w:szCs w:val="24"/>
          <w:lang w:val="en-GB"/>
        </w:rPr>
      </w:pPr>
      <w:r w:rsidRPr="00960254">
        <w:rPr>
          <w:rFonts w:ascii="Arial" w:eastAsia="Calibri" w:hAnsi="Arial" w:cs="Arial"/>
          <w:b/>
          <w:sz w:val="24"/>
          <w:szCs w:val="24"/>
          <w:lang w:val="en-GB"/>
        </w:rPr>
        <w:t>GEOFFERY KUPUZO MWILIMA</w:t>
      </w:r>
      <w:r w:rsidRPr="00960254">
        <w:rPr>
          <w:rFonts w:ascii="Arial" w:eastAsia="Calibri" w:hAnsi="Arial" w:cs="Arial"/>
          <w:b/>
          <w:sz w:val="24"/>
          <w:szCs w:val="24"/>
          <w:lang w:val="en-GB"/>
        </w:rPr>
        <w:tab/>
        <w:t xml:space="preserve">APPLICANT </w:t>
      </w:r>
    </w:p>
    <w:p w:rsidR="00960254" w:rsidRPr="00960254" w:rsidRDefault="00960254" w:rsidP="00960254">
      <w:pPr>
        <w:tabs>
          <w:tab w:val="right" w:pos="9360"/>
        </w:tabs>
        <w:spacing w:after="0" w:line="360" w:lineRule="auto"/>
        <w:jc w:val="both"/>
        <w:rPr>
          <w:rFonts w:ascii="Arial" w:eastAsia="Calibri" w:hAnsi="Arial" w:cs="Arial"/>
          <w:b/>
          <w:sz w:val="24"/>
          <w:szCs w:val="24"/>
          <w:lang w:val="en-GB"/>
        </w:rPr>
      </w:pPr>
    </w:p>
    <w:p w:rsidR="00960254" w:rsidRPr="00960254" w:rsidRDefault="00960254" w:rsidP="00960254">
      <w:pPr>
        <w:tabs>
          <w:tab w:val="right" w:pos="9360"/>
        </w:tabs>
        <w:spacing w:after="0" w:line="360" w:lineRule="auto"/>
        <w:jc w:val="both"/>
        <w:rPr>
          <w:rFonts w:ascii="Arial" w:eastAsia="Calibri" w:hAnsi="Arial" w:cs="Arial"/>
          <w:sz w:val="24"/>
          <w:szCs w:val="24"/>
          <w:lang w:val="en-GB"/>
        </w:rPr>
      </w:pPr>
      <w:proofErr w:type="gramStart"/>
      <w:r w:rsidRPr="00960254">
        <w:rPr>
          <w:rFonts w:ascii="Arial" w:eastAsia="Calibri" w:hAnsi="Arial" w:cs="Arial"/>
          <w:sz w:val="24"/>
          <w:szCs w:val="24"/>
          <w:lang w:val="en-GB"/>
        </w:rPr>
        <w:t>and</w:t>
      </w:r>
      <w:proofErr w:type="gramEnd"/>
      <w:r w:rsidRPr="00960254">
        <w:rPr>
          <w:rFonts w:ascii="Arial" w:eastAsia="Calibri" w:hAnsi="Arial" w:cs="Arial"/>
          <w:sz w:val="24"/>
          <w:szCs w:val="24"/>
          <w:lang w:val="en-GB"/>
        </w:rPr>
        <w:t xml:space="preserve"> </w:t>
      </w:r>
    </w:p>
    <w:p w:rsidR="00960254" w:rsidRPr="00960254" w:rsidRDefault="00960254" w:rsidP="00960254">
      <w:pPr>
        <w:tabs>
          <w:tab w:val="right" w:pos="9360"/>
        </w:tabs>
        <w:spacing w:after="0" w:line="360" w:lineRule="auto"/>
        <w:jc w:val="both"/>
        <w:rPr>
          <w:rFonts w:ascii="Arial" w:eastAsia="Calibri" w:hAnsi="Arial" w:cs="Arial"/>
          <w:sz w:val="24"/>
          <w:szCs w:val="24"/>
          <w:lang w:val="en-GB"/>
        </w:rPr>
      </w:pPr>
    </w:p>
    <w:p w:rsidR="00960254" w:rsidRPr="00960254" w:rsidRDefault="00960254" w:rsidP="00960254">
      <w:pPr>
        <w:tabs>
          <w:tab w:val="right" w:pos="9360"/>
        </w:tabs>
        <w:spacing w:after="0" w:line="360" w:lineRule="auto"/>
        <w:jc w:val="both"/>
        <w:rPr>
          <w:rFonts w:ascii="Arial" w:eastAsia="Calibri" w:hAnsi="Arial" w:cs="Arial"/>
          <w:b/>
          <w:sz w:val="24"/>
          <w:szCs w:val="24"/>
          <w:lang w:val="en-GB"/>
        </w:rPr>
      </w:pPr>
      <w:r w:rsidRPr="00960254">
        <w:rPr>
          <w:rFonts w:ascii="Arial" w:eastAsia="Calibri" w:hAnsi="Arial" w:cs="Arial"/>
          <w:b/>
          <w:sz w:val="24"/>
          <w:szCs w:val="24"/>
          <w:lang w:val="en-GB"/>
        </w:rPr>
        <w:t xml:space="preserve">MINSTER OF HOME AFFAIRS, </w:t>
      </w:r>
    </w:p>
    <w:p w:rsidR="00960254" w:rsidRPr="00960254" w:rsidRDefault="00960254" w:rsidP="00960254">
      <w:pPr>
        <w:tabs>
          <w:tab w:val="right" w:pos="9360"/>
        </w:tabs>
        <w:spacing w:after="0" w:line="360" w:lineRule="auto"/>
        <w:jc w:val="both"/>
        <w:rPr>
          <w:rFonts w:ascii="Arial" w:eastAsia="Calibri" w:hAnsi="Arial" w:cs="Arial"/>
          <w:b/>
          <w:sz w:val="24"/>
          <w:szCs w:val="24"/>
          <w:lang w:val="en-GB"/>
        </w:rPr>
      </w:pPr>
      <w:r w:rsidRPr="00960254">
        <w:rPr>
          <w:rFonts w:ascii="Arial" w:eastAsia="Calibri" w:hAnsi="Arial" w:cs="Arial"/>
          <w:b/>
          <w:sz w:val="24"/>
          <w:szCs w:val="24"/>
          <w:lang w:val="en-GB"/>
        </w:rPr>
        <w:t>IMMIGRATION AND SAFETY AND SECURITY</w:t>
      </w:r>
      <w:r w:rsidRPr="00960254">
        <w:rPr>
          <w:rFonts w:ascii="Arial" w:eastAsia="Calibri" w:hAnsi="Arial" w:cs="Arial"/>
          <w:b/>
          <w:sz w:val="24"/>
          <w:szCs w:val="24"/>
          <w:lang w:val="en-GB"/>
        </w:rPr>
        <w:tab/>
        <w:t>1</w:t>
      </w:r>
      <w:r w:rsidRPr="00960254">
        <w:rPr>
          <w:rFonts w:ascii="Arial" w:eastAsia="Calibri" w:hAnsi="Arial" w:cs="Arial"/>
          <w:b/>
          <w:sz w:val="24"/>
          <w:szCs w:val="24"/>
          <w:vertAlign w:val="superscript"/>
          <w:lang w:val="en-GB"/>
        </w:rPr>
        <w:t>ST</w:t>
      </w:r>
      <w:r w:rsidRPr="00960254">
        <w:rPr>
          <w:rFonts w:ascii="Arial" w:eastAsia="Calibri" w:hAnsi="Arial" w:cs="Arial"/>
          <w:b/>
          <w:sz w:val="24"/>
          <w:szCs w:val="24"/>
          <w:lang w:val="en-GB"/>
        </w:rPr>
        <w:t xml:space="preserve"> RESPONDENT</w:t>
      </w:r>
    </w:p>
    <w:p w:rsidR="00960254" w:rsidRPr="00960254" w:rsidRDefault="00960254" w:rsidP="00960254">
      <w:pPr>
        <w:tabs>
          <w:tab w:val="right" w:pos="9360"/>
        </w:tabs>
        <w:spacing w:after="0" w:line="360" w:lineRule="auto"/>
        <w:jc w:val="both"/>
        <w:rPr>
          <w:rFonts w:ascii="Arial" w:eastAsia="Calibri" w:hAnsi="Arial" w:cs="Arial"/>
          <w:b/>
          <w:sz w:val="24"/>
          <w:szCs w:val="24"/>
          <w:lang w:val="en-GB"/>
        </w:rPr>
      </w:pPr>
      <w:r w:rsidRPr="00960254">
        <w:rPr>
          <w:rFonts w:ascii="Arial" w:eastAsia="Calibri" w:hAnsi="Arial" w:cs="Arial"/>
          <w:b/>
          <w:sz w:val="24"/>
          <w:szCs w:val="24"/>
          <w:lang w:val="en-GB"/>
        </w:rPr>
        <w:t>DR. TONY LUMBINDI N.O (MEDICAL OFFICER, WINDHOEK</w:t>
      </w:r>
    </w:p>
    <w:p w:rsidR="00960254" w:rsidRPr="00960254" w:rsidRDefault="00960254" w:rsidP="00960254">
      <w:pPr>
        <w:tabs>
          <w:tab w:val="right" w:pos="9360"/>
        </w:tabs>
        <w:spacing w:after="0" w:line="360" w:lineRule="auto"/>
        <w:jc w:val="both"/>
        <w:rPr>
          <w:rFonts w:ascii="Arial" w:eastAsia="Calibri" w:hAnsi="Arial" w:cs="Arial"/>
          <w:b/>
          <w:sz w:val="24"/>
          <w:szCs w:val="24"/>
          <w:lang w:val="en-GB"/>
        </w:rPr>
      </w:pPr>
      <w:r w:rsidRPr="00960254">
        <w:rPr>
          <w:rFonts w:ascii="Arial" w:eastAsia="Calibri" w:hAnsi="Arial" w:cs="Arial"/>
          <w:b/>
          <w:sz w:val="24"/>
          <w:szCs w:val="24"/>
          <w:lang w:val="en-GB"/>
        </w:rPr>
        <w:t>CORRECTIONAL FACILITY)</w:t>
      </w:r>
      <w:r w:rsidRPr="00960254">
        <w:rPr>
          <w:rFonts w:ascii="Arial" w:eastAsia="Calibri" w:hAnsi="Arial" w:cs="Arial"/>
          <w:b/>
          <w:sz w:val="24"/>
          <w:szCs w:val="24"/>
          <w:lang w:val="en-GB"/>
        </w:rPr>
        <w:tab/>
        <w:t>2</w:t>
      </w:r>
      <w:r w:rsidRPr="00960254">
        <w:rPr>
          <w:rFonts w:ascii="Arial" w:eastAsia="Calibri" w:hAnsi="Arial" w:cs="Arial"/>
          <w:b/>
          <w:sz w:val="24"/>
          <w:szCs w:val="24"/>
          <w:vertAlign w:val="superscript"/>
          <w:lang w:val="en-GB"/>
        </w:rPr>
        <w:t>ND</w:t>
      </w:r>
      <w:r w:rsidRPr="00960254">
        <w:rPr>
          <w:rFonts w:ascii="Arial" w:eastAsia="Calibri" w:hAnsi="Arial" w:cs="Arial"/>
          <w:b/>
          <w:sz w:val="24"/>
          <w:szCs w:val="24"/>
          <w:lang w:val="en-GB"/>
        </w:rPr>
        <w:t xml:space="preserve"> RESPONDENT</w:t>
      </w:r>
    </w:p>
    <w:p w:rsidR="00960254" w:rsidRPr="00960254" w:rsidRDefault="00960254" w:rsidP="00960254">
      <w:pPr>
        <w:tabs>
          <w:tab w:val="right" w:pos="9360"/>
        </w:tabs>
        <w:spacing w:after="0" w:line="360" w:lineRule="auto"/>
        <w:jc w:val="both"/>
        <w:rPr>
          <w:rFonts w:ascii="Arial" w:eastAsia="Calibri" w:hAnsi="Arial" w:cs="Arial"/>
          <w:b/>
          <w:sz w:val="24"/>
          <w:szCs w:val="24"/>
          <w:lang w:val="en-GB"/>
        </w:rPr>
      </w:pPr>
      <w:r w:rsidRPr="00960254">
        <w:rPr>
          <w:rFonts w:ascii="Arial" w:eastAsia="Calibri" w:hAnsi="Arial" w:cs="Arial"/>
          <w:b/>
          <w:sz w:val="24"/>
          <w:szCs w:val="24"/>
          <w:lang w:val="en-GB"/>
        </w:rPr>
        <w:t>COMMISSIONER GENERAL OF</w:t>
      </w:r>
    </w:p>
    <w:p w:rsidR="00960254" w:rsidRPr="00960254" w:rsidRDefault="00960254" w:rsidP="00960254">
      <w:pPr>
        <w:tabs>
          <w:tab w:val="right" w:pos="9360"/>
        </w:tabs>
        <w:spacing w:after="0" w:line="360" w:lineRule="auto"/>
        <w:jc w:val="both"/>
        <w:rPr>
          <w:rFonts w:ascii="Arial" w:eastAsia="Calibri" w:hAnsi="Arial" w:cs="Arial"/>
          <w:b/>
          <w:sz w:val="24"/>
          <w:szCs w:val="24"/>
          <w:lang w:val="en-GB"/>
        </w:rPr>
      </w:pPr>
      <w:r w:rsidRPr="00960254">
        <w:rPr>
          <w:rFonts w:ascii="Arial" w:eastAsia="Calibri" w:hAnsi="Arial" w:cs="Arial"/>
          <w:b/>
          <w:sz w:val="24"/>
          <w:szCs w:val="24"/>
          <w:lang w:val="en-GB"/>
        </w:rPr>
        <w:t>THE CORRECTIONAL SERVICES</w:t>
      </w:r>
      <w:r w:rsidRPr="00960254">
        <w:rPr>
          <w:rFonts w:ascii="Arial" w:eastAsia="Calibri" w:hAnsi="Arial" w:cs="Arial"/>
          <w:b/>
          <w:sz w:val="24"/>
          <w:szCs w:val="24"/>
          <w:lang w:val="en-GB"/>
        </w:rPr>
        <w:tab/>
        <w:t>3</w:t>
      </w:r>
      <w:r w:rsidRPr="00960254">
        <w:rPr>
          <w:rFonts w:ascii="Arial" w:eastAsia="Calibri" w:hAnsi="Arial" w:cs="Arial"/>
          <w:b/>
          <w:sz w:val="24"/>
          <w:szCs w:val="24"/>
          <w:vertAlign w:val="superscript"/>
          <w:lang w:val="en-GB"/>
        </w:rPr>
        <w:t>RD</w:t>
      </w:r>
      <w:r w:rsidRPr="00960254">
        <w:rPr>
          <w:rFonts w:ascii="Arial" w:eastAsia="Calibri" w:hAnsi="Arial" w:cs="Arial"/>
          <w:b/>
          <w:sz w:val="24"/>
          <w:szCs w:val="24"/>
          <w:lang w:val="en-GB"/>
        </w:rPr>
        <w:t xml:space="preserve"> RESPONDENT</w:t>
      </w:r>
    </w:p>
    <w:p w:rsidR="00960254" w:rsidRPr="00960254" w:rsidRDefault="00960254" w:rsidP="00960254">
      <w:pPr>
        <w:tabs>
          <w:tab w:val="right" w:pos="9360"/>
        </w:tabs>
        <w:spacing w:after="0" w:line="360" w:lineRule="auto"/>
        <w:jc w:val="both"/>
        <w:rPr>
          <w:rFonts w:ascii="Arial" w:eastAsia="Calibri" w:hAnsi="Arial" w:cs="Arial"/>
          <w:b/>
          <w:sz w:val="24"/>
          <w:szCs w:val="24"/>
          <w:lang w:val="en-GB"/>
        </w:rPr>
      </w:pPr>
      <w:r w:rsidRPr="00960254">
        <w:rPr>
          <w:rFonts w:ascii="Arial" w:eastAsia="Calibri" w:hAnsi="Arial" w:cs="Arial"/>
          <w:b/>
          <w:sz w:val="24"/>
          <w:szCs w:val="24"/>
          <w:lang w:val="en-GB"/>
        </w:rPr>
        <w:t xml:space="preserve">OFFICER IN CHARGE, WINDHOEK </w:t>
      </w:r>
    </w:p>
    <w:p w:rsidR="00960254" w:rsidRPr="001A3D53" w:rsidRDefault="00960254" w:rsidP="001A3D53">
      <w:pPr>
        <w:tabs>
          <w:tab w:val="right" w:pos="9360"/>
        </w:tabs>
        <w:spacing w:after="0" w:line="360" w:lineRule="auto"/>
        <w:jc w:val="both"/>
        <w:rPr>
          <w:rFonts w:ascii="Arial" w:eastAsia="Calibri" w:hAnsi="Arial" w:cs="Arial"/>
          <w:b/>
          <w:sz w:val="24"/>
          <w:szCs w:val="24"/>
          <w:lang w:val="en-GB"/>
        </w:rPr>
      </w:pPr>
      <w:r w:rsidRPr="00960254">
        <w:rPr>
          <w:rFonts w:ascii="Arial" w:eastAsia="Calibri" w:hAnsi="Arial" w:cs="Arial"/>
          <w:b/>
          <w:sz w:val="24"/>
          <w:szCs w:val="24"/>
          <w:lang w:val="en-GB"/>
        </w:rPr>
        <w:t>CORRECTIONAL FACILITY</w:t>
      </w:r>
      <w:r w:rsidRPr="00960254">
        <w:rPr>
          <w:rFonts w:ascii="Arial" w:eastAsia="Calibri" w:hAnsi="Arial" w:cs="Arial"/>
          <w:b/>
          <w:sz w:val="24"/>
          <w:szCs w:val="24"/>
          <w:lang w:val="en-GB"/>
        </w:rPr>
        <w:tab/>
        <w:t>4</w:t>
      </w:r>
      <w:r w:rsidRPr="00960254">
        <w:rPr>
          <w:rFonts w:ascii="Arial" w:eastAsia="Calibri" w:hAnsi="Arial" w:cs="Arial"/>
          <w:b/>
          <w:sz w:val="24"/>
          <w:szCs w:val="24"/>
          <w:vertAlign w:val="superscript"/>
          <w:lang w:val="en-GB"/>
        </w:rPr>
        <w:t>TH</w:t>
      </w:r>
      <w:r w:rsidRPr="00960254">
        <w:rPr>
          <w:rFonts w:ascii="Arial" w:eastAsia="Calibri" w:hAnsi="Arial" w:cs="Arial"/>
          <w:b/>
          <w:sz w:val="24"/>
          <w:szCs w:val="24"/>
          <w:lang w:val="en-GB"/>
        </w:rPr>
        <w:t xml:space="preserve"> RESPONDENT</w:t>
      </w:r>
    </w:p>
    <w:p w:rsidR="00960254" w:rsidRPr="00960254" w:rsidRDefault="00960254" w:rsidP="00960254">
      <w:pPr>
        <w:tabs>
          <w:tab w:val="left" w:pos="3285"/>
        </w:tabs>
        <w:spacing w:after="0" w:line="360" w:lineRule="auto"/>
        <w:ind w:left="2160" w:hanging="2160"/>
        <w:jc w:val="both"/>
        <w:rPr>
          <w:rFonts w:ascii="Arial" w:eastAsia="Calibri" w:hAnsi="Arial" w:cs="Arial"/>
          <w:b/>
          <w:sz w:val="24"/>
          <w:szCs w:val="24"/>
          <w:lang w:val="en-GB"/>
        </w:rPr>
      </w:pPr>
      <w:r w:rsidRPr="00960254">
        <w:rPr>
          <w:rFonts w:ascii="Arial" w:eastAsia="Calibri" w:hAnsi="Arial" w:cs="Arial"/>
          <w:b/>
          <w:sz w:val="24"/>
          <w:szCs w:val="24"/>
          <w:lang w:val="en-GB"/>
        </w:rPr>
        <w:tab/>
      </w:r>
      <w:r w:rsidRPr="00960254">
        <w:rPr>
          <w:rFonts w:ascii="Arial" w:eastAsia="Calibri" w:hAnsi="Arial" w:cs="Arial"/>
          <w:b/>
          <w:sz w:val="24"/>
          <w:szCs w:val="24"/>
          <w:lang w:val="en-GB"/>
        </w:rPr>
        <w:tab/>
      </w:r>
    </w:p>
    <w:p w:rsidR="00960254" w:rsidRDefault="00960254" w:rsidP="001A3D53">
      <w:pPr>
        <w:spacing w:after="0" w:line="360" w:lineRule="auto"/>
        <w:ind w:left="2160" w:hanging="2160"/>
        <w:jc w:val="both"/>
        <w:rPr>
          <w:rFonts w:ascii="Arial" w:eastAsia="Calibri" w:hAnsi="Arial" w:cs="Arial"/>
          <w:sz w:val="24"/>
          <w:szCs w:val="24"/>
          <w:lang w:val="en-GB"/>
        </w:rPr>
      </w:pPr>
      <w:r w:rsidRPr="00960254">
        <w:rPr>
          <w:rFonts w:ascii="Arial" w:eastAsia="Calibri" w:hAnsi="Arial" w:cs="Arial"/>
          <w:b/>
          <w:sz w:val="24"/>
          <w:szCs w:val="24"/>
          <w:lang w:val="en-GB"/>
        </w:rPr>
        <w:t>Neutral citation:</w:t>
      </w:r>
      <w:r w:rsidRPr="00960254">
        <w:rPr>
          <w:rFonts w:ascii="Arial" w:eastAsia="Calibri" w:hAnsi="Arial" w:cs="Arial"/>
          <w:b/>
          <w:sz w:val="24"/>
          <w:szCs w:val="24"/>
          <w:lang w:val="en-GB"/>
        </w:rPr>
        <w:tab/>
      </w:r>
      <w:proofErr w:type="spellStart"/>
      <w:r w:rsidRPr="00960254">
        <w:rPr>
          <w:rFonts w:ascii="Arial" w:eastAsia="Calibri" w:hAnsi="Arial" w:cs="Arial"/>
          <w:i/>
          <w:sz w:val="24"/>
          <w:szCs w:val="24"/>
          <w:lang w:val="en-GB"/>
        </w:rPr>
        <w:t>Mwilima</w:t>
      </w:r>
      <w:proofErr w:type="spellEnd"/>
      <w:r w:rsidRPr="00960254">
        <w:rPr>
          <w:rFonts w:ascii="Arial" w:eastAsia="Calibri" w:hAnsi="Arial" w:cs="Arial"/>
          <w:i/>
          <w:sz w:val="24"/>
          <w:szCs w:val="24"/>
          <w:lang w:val="en-GB"/>
        </w:rPr>
        <w:t xml:space="preserve"> v Minister of Home Affairs</w:t>
      </w:r>
      <w:r w:rsidR="003D0DE3">
        <w:rPr>
          <w:rFonts w:ascii="Arial" w:eastAsia="Calibri" w:hAnsi="Arial" w:cs="Arial"/>
          <w:i/>
          <w:sz w:val="24"/>
          <w:szCs w:val="24"/>
          <w:lang w:val="en-GB"/>
        </w:rPr>
        <w:t xml:space="preserve"> </w:t>
      </w:r>
      <w:r w:rsidRPr="00960254">
        <w:rPr>
          <w:rFonts w:ascii="Arial" w:eastAsia="Calibri" w:hAnsi="Arial" w:cs="Arial"/>
          <w:sz w:val="24"/>
          <w:szCs w:val="24"/>
          <w:lang w:val="en-GB"/>
        </w:rPr>
        <w:t>(HC-MD-CIV-MOT-GEN-2023/</w:t>
      </w:r>
      <w:r>
        <w:rPr>
          <w:rFonts w:ascii="Arial" w:eastAsia="Calibri" w:hAnsi="Arial" w:cs="Arial"/>
          <w:sz w:val="24"/>
          <w:szCs w:val="24"/>
          <w:lang w:val="en-GB"/>
        </w:rPr>
        <w:t>0</w:t>
      </w:r>
      <w:r w:rsidR="007B1ED2">
        <w:rPr>
          <w:rFonts w:ascii="Arial" w:eastAsia="Calibri" w:hAnsi="Arial" w:cs="Arial"/>
          <w:sz w:val="24"/>
          <w:szCs w:val="24"/>
          <w:lang w:val="en-GB"/>
        </w:rPr>
        <w:t>0034) [2023] NAHCMD 573</w:t>
      </w:r>
      <w:r w:rsidR="001A3D53">
        <w:rPr>
          <w:rFonts w:ascii="Arial" w:eastAsia="Calibri" w:hAnsi="Arial" w:cs="Arial"/>
          <w:sz w:val="24"/>
          <w:szCs w:val="24"/>
          <w:lang w:val="en-GB"/>
        </w:rPr>
        <w:t xml:space="preserve"> (</w:t>
      </w:r>
      <w:r w:rsidR="003D0DE3">
        <w:rPr>
          <w:rFonts w:ascii="Arial" w:eastAsia="Calibri" w:hAnsi="Arial" w:cs="Arial"/>
          <w:sz w:val="24"/>
          <w:szCs w:val="24"/>
          <w:lang w:val="en-GB"/>
        </w:rPr>
        <w:t xml:space="preserve">15 </w:t>
      </w:r>
      <w:r w:rsidR="001A3D53">
        <w:rPr>
          <w:rFonts w:ascii="Arial" w:eastAsia="Calibri" w:hAnsi="Arial" w:cs="Arial"/>
          <w:sz w:val="24"/>
          <w:szCs w:val="24"/>
          <w:lang w:val="en-GB"/>
        </w:rPr>
        <w:t>September</w:t>
      </w:r>
      <w:r w:rsidRPr="00960254">
        <w:rPr>
          <w:rFonts w:ascii="Arial" w:eastAsia="Calibri" w:hAnsi="Arial" w:cs="Arial"/>
          <w:sz w:val="24"/>
          <w:szCs w:val="24"/>
          <w:lang w:val="en-GB"/>
        </w:rPr>
        <w:t xml:space="preserve"> 2023)</w:t>
      </w:r>
    </w:p>
    <w:p w:rsidR="004E1DA7" w:rsidRPr="00960254" w:rsidRDefault="004E1DA7" w:rsidP="001A3D53">
      <w:pPr>
        <w:spacing w:after="0" w:line="360" w:lineRule="auto"/>
        <w:ind w:left="2160" w:hanging="2160"/>
        <w:jc w:val="both"/>
        <w:rPr>
          <w:rFonts w:ascii="Arial" w:eastAsia="Calibri" w:hAnsi="Arial" w:cs="Arial"/>
          <w:sz w:val="24"/>
          <w:szCs w:val="24"/>
          <w:lang w:val="en-GB"/>
        </w:rPr>
      </w:pPr>
    </w:p>
    <w:p w:rsidR="00960254" w:rsidRPr="00960254" w:rsidRDefault="00960254" w:rsidP="00960254">
      <w:pPr>
        <w:spacing w:after="0" w:line="360" w:lineRule="auto"/>
        <w:ind w:left="2160" w:hanging="2160"/>
        <w:jc w:val="both"/>
        <w:rPr>
          <w:rFonts w:ascii="Arial" w:eastAsia="Calibri" w:hAnsi="Arial" w:cs="Arial"/>
          <w:sz w:val="4"/>
          <w:szCs w:val="4"/>
          <w:lang w:val="en-GB"/>
        </w:rPr>
      </w:pPr>
    </w:p>
    <w:p w:rsidR="005B0CE7" w:rsidRDefault="005B0CE7" w:rsidP="00960254">
      <w:pPr>
        <w:spacing w:after="0" w:line="360" w:lineRule="auto"/>
        <w:ind w:left="1440" w:hanging="1440"/>
        <w:jc w:val="both"/>
        <w:rPr>
          <w:rFonts w:ascii="Arial" w:eastAsia="Calibri" w:hAnsi="Arial" w:cs="Arial"/>
          <w:b/>
          <w:sz w:val="24"/>
          <w:szCs w:val="24"/>
          <w:lang w:val="en-GB"/>
        </w:rPr>
      </w:pPr>
    </w:p>
    <w:p w:rsidR="00960254" w:rsidRPr="00960254" w:rsidRDefault="00960254" w:rsidP="00960254">
      <w:pPr>
        <w:spacing w:after="0" w:line="360" w:lineRule="auto"/>
        <w:ind w:left="1440" w:hanging="1440"/>
        <w:jc w:val="both"/>
        <w:rPr>
          <w:rFonts w:ascii="Arial" w:eastAsia="Calibri" w:hAnsi="Arial" w:cs="Arial"/>
          <w:b/>
          <w:i/>
          <w:sz w:val="24"/>
          <w:szCs w:val="24"/>
          <w:lang w:val="en-GB"/>
        </w:rPr>
      </w:pPr>
      <w:r w:rsidRPr="00960254">
        <w:rPr>
          <w:rFonts w:ascii="Arial" w:eastAsia="Calibri" w:hAnsi="Arial" w:cs="Arial"/>
          <w:b/>
          <w:sz w:val="24"/>
          <w:szCs w:val="24"/>
          <w:lang w:val="en-GB"/>
        </w:rPr>
        <w:lastRenderedPageBreak/>
        <w:t>Coram:</w:t>
      </w:r>
      <w:r w:rsidRPr="00960254">
        <w:rPr>
          <w:rFonts w:ascii="Arial" w:eastAsia="Calibri" w:hAnsi="Arial" w:cs="Arial"/>
          <w:sz w:val="24"/>
          <w:szCs w:val="24"/>
          <w:lang w:val="en-GB"/>
        </w:rPr>
        <w:tab/>
      </w:r>
      <w:r w:rsidRPr="00960254">
        <w:rPr>
          <w:rFonts w:ascii="Arial" w:eastAsia="Calibri" w:hAnsi="Arial" w:cs="Arial"/>
          <w:sz w:val="24"/>
          <w:szCs w:val="24"/>
          <w:lang w:val="en-GB"/>
        </w:rPr>
        <w:tab/>
        <w:t>TOMMASI J</w:t>
      </w:r>
    </w:p>
    <w:p w:rsidR="00960254" w:rsidRPr="00960254" w:rsidRDefault="00960254" w:rsidP="00960254">
      <w:pPr>
        <w:spacing w:after="0" w:line="360" w:lineRule="auto"/>
        <w:ind w:left="1440" w:hanging="1440"/>
        <w:rPr>
          <w:rFonts w:ascii="Arial" w:eastAsia="Calibri" w:hAnsi="Arial" w:cs="Arial"/>
          <w:sz w:val="24"/>
          <w:szCs w:val="24"/>
          <w:lang w:val="en-GB"/>
        </w:rPr>
      </w:pPr>
      <w:r w:rsidRPr="00960254">
        <w:rPr>
          <w:rFonts w:ascii="Arial" w:eastAsia="Calibri" w:hAnsi="Arial" w:cs="Arial"/>
          <w:b/>
          <w:bCs/>
          <w:sz w:val="24"/>
          <w:szCs w:val="24"/>
          <w:lang w:val="en-GB"/>
        </w:rPr>
        <w:t>Heard</w:t>
      </w:r>
      <w:r>
        <w:rPr>
          <w:rFonts w:ascii="Arial" w:eastAsia="Calibri" w:hAnsi="Arial" w:cs="Arial"/>
          <w:sz w:val="24"/>
          <w:szCs w:val="24"/>
          <w:lang w:val="en-GB"/>
        </w:rPr>
        <w:t>:</w:t>
      </w:r>
      <w:r>
        <w:rPr>
          <w:rFonts w:ascii="Arial" w:eastAsia="Calibri" w:hAnsi="Arial" w:cs="Arial"/>
          <w:sz w:val="24"/>
          <w:szCs w:val="24"/>
          <w:lang w:val="en-GB"/>
        </w:rPr>
        <w:tab/>
      </w:r>
      <w:r>
        <w:rPr>
          <w:rFonts w:ascii="Arial" w:eastAsia="Calibri" w:hAnsi="Arial" w:cs="Arial"/>
          <w:sz w:val="24"/>
          <w:szCs w:val="24"/>
          <w:lang w:val="en-GB"/>
        </w:rPr>
        <w:tab/>
      </w:r>
      <w:r w:rsidR="001A3D53" w:rsidRPr="0015497D">
        <w:rPr>
          <w:rFonts w:ascii="Arial" w:eastAsia="Calibri" w:hAnsi="Arial" w:cs="Arial"/>
          <w:b/>
          <w:sz w:val="24"/>
          <w:szCs w:val="24"/>
          <w:lang w:val="en-GB"/>
        </w:rPr>
        <w:t>31 July</w:t>
      </w:r>
      <w:r w:rsidRPr="0015497D">
        <w:rPr>
          <w:rFonts w:ascii="Arial" w:eastAsia="Calibri" w:hAnsi="Arial" w:cs="Arial"/>
          <w:b/>
          <w:sz w:val="24"/>
          <w:szCs w:val="24"/>
          <w:lang w:val="en-GB"/>
        </w:rPr>
        <w:t xml:space="preserve"> 2023</w:t>
      </w:r>
    </w:p>
    <w:p w:rsidR="00960254" w:rsidRPr="0015497D" w:rsidRDefault="00960254" w:rsidP="00960254">
      <w:pPr>
        <w:spacing w:after="0" w:line="360" w:lineRule="auto"/>
        <w:jc w:val="both"/>
        <w:rPr>
          <w:rFonts w:ascii="Arial" w:eastAsia="Calibri" w:hAnsi="Arial" w:cs="Arial"/>
          <w:b/>
          <w:sz w:val="24"/>
          <w:szCs w:val="24"/>
          <w:lang w:val="en-GB"/>
        </w:rPr>
      </w:pPr>
      <w:r w:rsidRPr="00960254">
        <w:rPr>
          <w:rFonts w:ascii="Arial" w:eastAsia="Calibri" w:hAnsi="Arial" w:cs="Arial"/>
          <w:b/>
          <w:bCs/>
          <w:sz w:val="24"/>
          <w:szCs w:val="24"/>
          <w:lang w:val="en-GB"/>
        </w:rPr>
        <w:t>Delivered</w:t>
      </w:r>
      <w:r w:rsidRPr="00960254">
        <w:rPr>
          <w:rFonts w:ascii="Arial" w:eastAsia="Calibri" w:hAnsi="Arial" w:cs="Arial"/>
          <w:sz w:val="24"/>
          <w:szCs w:val="24"/>
          <w:lang w:val="en-GB"/>
        </w:rPr>
        <w:t>:</w:t>
      </w:r>
      <w:r w:rsidRPr="00960254">
        <w:rPr>
          <w:rFonts w:ascii="Arial" w:eastAsia="Calibri" w:hAnsi="Arial" w:cs="Arial"/>
          <w:sz w:val="24"/>
          <w:szCs w:val="24"/>
          <w:lang w:val="en-GB"/>
        </w:rPr>
        <w:tab/>
      </w:r>
      <w:r w:rsidRPr="00960254">
        <w:rPr>
          <w:rFonts w:ascii="Arial" w:eastAsia="Calibri" w:hAnsi="Arial" w:cs="Arial"/>
          <w:sz w:val="24"/>
          <w:szCs w:val="24"/>
          <w:lang w:val="en-GB"/>
        </w:rPr>
        <w:tab/>
      </w:r>
      <w:r w:rsidR="003D0DE3" w:rsidRPr="0015497D">
        <w:rPr>
          <w:rFonts w:ascii="Arial" w:eastAsia="Calibri" w:hAnsi="Arial" w:cs="Arial"/>
          <w:b/>
          <w:sz w:val="24"/>
          <w:szCs w:val="24"/>
          <w:lang w:val="en-GB"/>
        </w:rPr>
        <w:t>15</w:t>
      </w:r>
      <w:r w:rsidR="001A3D53" w:rsidRPr="0015497D">
        <w:rPr>
          <w:rFonts w:ascii="Arial" w:eastAsia="Calibri" w:hAnsi="Arial" w:cs="Arial"/>
          <w:b/>
          <w:sz w:val="24"/>
          <w:szCs w:val="24"/>
          <w:lang w:val="en-GB"/>
        </w:rPr>
        <w:t xml:space="preserve"> September</w:t>
      </w:r>
      <w:r w:rsidRPr="0015497D">
        <w:rPr>
          <w:rFonts w:ascii="Arial" w:eastAsia="Calibri" w:hAnsi="Arial" w:cs="Arial"/>
          <w:b/>
          <w:sz w:val="24"/>
          <w:szCs w:val="24"/>
          <w:lang w:val="en-GB"/>
        </w:rPr>
        <w:t xml:space="preserve"> 2023</w:t>
      </w:r>
    </w:p>
    <w:p w:rsidR="00960254" w:rsidRPr="00960254" w:rsidRDefault="00960254" w:rsidP="00960254">
      <w:pPr>
        <w:spacing w:after="0" w:line="360" w:lineRule="auto"/>
        <w:jc w:val="both"/>
        <w:rPr>
          <w:rFonts w:ascii="Arial" w:eastAsia="Calibri" w:hAnsi="Arial" w:cs="Arial"/>
          <w:b/>
          <w:sz w:val="24"/>
          <w:szCs w:val="24"/>
          <w:lang w:val="en-GB"/>
        </w:rPr>
      </w:pPr>
    </w:p>
    <w:p w:rsidR="009F5970" w:rsidRDefault="00960254" w:rsidP="00960254">
      <w:pPr>
        <w:spacing w:after="0" w:line="360" w:lineRule="auto"/>
        <w:jc w:val="both"/>
        <w:rPr>
          <w:rFonts w:ascii="Arial" w:hAnsi="Arial" w:cs="Arial"/>
          <w:sz w:val="24"/>
          <w:szCs w:val="24"/>
        </w:rPr>
      </w:pPr>
      <w:r w:rsidRPr="00960254">
        <w:rPr>
          <w:rFonts w:ascii="Arial" w:eastAsia="Calibri" w:hAnsi="Arial" w:cs="Arial"/>
          <w:b/>
          <w:sz w:val="24"/>
          <w:szCs w:val="24"/>
          <w:lang w:val="en-GB"/>
        </w:rPr>
        <w:t>Flynote:</w:t>
      </w:r>
      <w:r w:rsidRPr="00960254">
        <w:rPr>
          <w:rFonts w:ascii="Arial" w:eastAsia="Calibri" w:hAnsi="Arial" w:cs="Arial"/>
          <w:b/>
          <w:sz w:val="24"/>
          <w:szCs w:val="24"/>
          <w:lang w:val="en-GB"/>
        </w:rPr>
        <w:tab/>
      </w:r>
      <w:r w:rsidR="0036135D" w:rsidRPr="00CB4800">
        <w:rPr>
          <w:rFonts w:ascii="Arial" w:hAnsi="Arial" w:cs="Arial"/>
          <w:bCs/>
          <w:sz w:val="24"/>
          <w:szCs w:val="24"/>
        </w:rPr>
        <w:t>Civil procedure –</w:t>
      </w:r>
      <w:r w:rsidR="0036135D">
        <w:rPr>
          <w:rFonts w:ascii="Arial" w:hAnsi="Arial" w:cs="Arial"/>
          <w:b/>
          <w:sz w:val="24"/>
          <w:szCs w:val="24"/>
        </w:rPr>
        <w:t xml:space="preserve"> </w:t>
      </w:r>
      <w:r w:rsidR="0036135D" w:rsidRPr="00E72FF8">
        <w:rPr>
          <w:rFonts w:ascii="Arial" w:hAnsi="Arial" w:cs="Arial"/>
          <w:bCs/>
          <w:sz w:val="24"/>
          <w:szCs w:val="24"/>
        </w:rPr>
        <w:t>Contempt of Court</w:t>
      </w:r>
      <w:r w:rsidR="0036135D">
        <w:rPr>
          <w:rFonts w:ascii="Arial" w:hAnsi="Arial" w:cs="Arial"/>
          <w:b/>
          <w:sz w:val="24"/>
          <w:szCs w:val="24"/>
        </w:rPr>
        <w:t xml:space="preserve"> </w:t>
      </w:r>
      <w:r w:rsidR="0036135D">
        <w:rPr>
          <w:rFonts w:ascii="Arial" w:hAnsi="Arial" w:cs="Arial"/>
          <w:sz w:val="24"/>
          <w:szCs w:val="24"/>
        </w:rPr>
        <w:t xml:space="preserve">– Requirements to be satisfied by the applicant and respondent – </w:t>
      </w:r>
      <w:r w:rsidR="0015497D">
        <w:rPr>
          <w:rFonts w:ascii="Arial" w:hAnsi="Arial" w:cs="Arial"/>
          <w:sz w:val="24"/>
          <w:szCs w:val="24"/>
        </w:rPr>
        <w:t>O</w:t>
      </w:r>
      <w:r w:rsidR="009F5970">
        <w:rPr>
          <w:rFonts w:ascii="Arial" w:hAnsi="Arial" w:cs="Arial"/>
          <w:sz w:val="24"/>
          <w:szCs w:val="24"/>
        </w:rPr>
        <w:t>nus o</w:t>
      </w:r>
      <w:r w:rsidR="0015497D">
        <w:rPr>
          <w:rFonts w:ascii="Arial" w:hAnsi="Arial" w:cs="Arial"/>
          <w:sz w:val="24"/>
          <w:szCs w:val="24"/>
        </w:rPr>
        <w:t>f proof beyond reasonable doubt.</w:t>
      </w:r>
    </w:p>
    <w:p w:rsidR="0015497D" w:rsidRDefault="0015497D" w:rsidP="00960254">
      <w:pPr>
        <w:spacing w:after="0" w:line="360" w:lineRule="auto"/>
        <w:jc w:val="both"/>
        <w:rPr>
          <w:rFonts w:ascii="Arial" w:hAnsi="Arial" w:cs="Arial"/>
          <w:sz w:val="24"/>
          <w:szCs w:val="24"/>
        </w:rPr>
      </w:pPr>
    </w:p>
    <w:p w:rsidR="00433B02" w:rsidRDefault="0036135D" w:rsidP="00960254">
      <w:pPr>
        <w:spacing w:after="0" w:line="360" w:lineRule="auto"/>
        <w:jc w:val="both"/>
        <w:rPr>
          <w:rFonts w:ascii="Arial" w:hAnsi="Arial" w:cs="Arial"/>
          <w:bCs/>
          <w:sz w:val="24"/>
          <w:szCs w:val="24"/>
        </w:rPr>
      </w:pPr>
      <w:r>
        <w:rPr>
          <w:rFonts w:ascii="Arial" w:hAnsi="Arial" w:cs="Arial"/>
          <w:bCs/>
          <w:sz w:val="24"/>
          <w:szCs w:val="24"/>
        </w:rPr>
        <w:t xml:space="preserve">Administrative law – </w:t>
      </w:r>
      <w:r w:rsidR="0015497D">
        <w:rPr>
          <w:rFonts w:ascii="Arial" w:hAnsi="Arial" w:cs="Arial"/>
          <w:bCs/>
          <w:sz w:val="24"/>
          <w:szCs w:val="24"/>
        </w:rPr>
        <w:t>R</w:t>
      </w:r>
      <w:r w:rsidR="009F5970">
        <w:rPr>
          <w:rFonts w:ascii="Arial" w:hAnsi="Arial" w:cs="Arial"/>
          <w:bCs/>
          <w:sz w:val="24"/>
          <w:szCs w:val="24"/>
        </w:rPr>
        <w:t xml:space="preserve">eview of decision not to recommend release of the applicant to </w:t>
      </w:r>
      <w:r w:rsidR="00CE4321">
        <w:rPr>
          <w:rFonts w:ascii="Arial" w:hAnsi="Arial" w:cs="Arial"/>
          <w:bCs/>
          <w:sz w:val="24"/>
          <w:szCs w:val="24"/>
        </w:rPr>
        <w:t>first respondent</w:t>
      </w:r>
      <w:r w:rsidR="0015497D">
        <w:rPr>
          <w:rFonts w:ascii="Arial" w:hAnsi="Arial" w:cs="Arial"/>
          <w:bCs/>
          <w:sz w:val="24"/>
          <w:szCs w:val="24"/>
        </w:rPr>
        <w:t xml:space="preserve"> – A</w:t>
      </w:r>
      <w:r w:rsidR="009F5970">
        <w:rPr>
          <w:rFonts w:ascii="Arial" w:hAnsi="Arial" w:cs="Arial"/>
          <w:bCs/>
          <w:sz w:val="24"/>
          <w:szCs w:val="24"/>
        </w:rPr>
        <w:t xml:space="preserve">pplicant calls for court to direct administrative official </w:t>
      </w:r>
      <w:r w:rsidR="00433B02">
        <w:rPr>
          <w:rFonts w:ascii="Arial" w:hAnsi="Arial" w:cs="Arial"/>
          <w:bCs/>
          <w:sz w:val="24"/>
          <w:szCs w:val="24"/>
        </w:rPr>
        <w:t>to comply with court order to recommend his rel</w:t>
      </w:r>
      <w:r w:rsidR="00CE4321">
        <w:rPr>
          <w:rFonts w:ascii="Arial" w:hAnsi="Arial" w:cs="Arial"/>
          <w:bCs/>
          <w:sz w:val="24"/>
          <w:szCs w:val="24"/>
        </w:rPr>
        <w:t xml:space="preserve">ease to the first respondent – Court </w:t>
      </w:r>
      <w:r w:rsidR="00433B02">
        <w:rPr>
          <w:rFonts w:ascii="Arial" w:hAnsi="Arial" w:cs="Arial"/>
          <w:bCs/>
          <w:sz w:val="24"/>
          <w:szCs w:val="24"/>
        </w:rPr>
        <w:t>to first determine whether court order not complied with.</w:t>
      </w:r>
    </w:p>
    <w:p w:rsidR="003D0DE3" w:rsidRDefault="003D0DE3" w:rsidP="00960254">
      <w:pPr>
        <w:spacing w:after="0" w:line="360" w:lineRule="auto"/>
        <w:jc w:val="both"/>
        <w:rPr>
          <w:rFonts w:ascii="Arial" w:hAnsi="Arial" w:cs="Arial"/>
          <w:bCs/>
          <w:sz w:val="24"/>
          <w:szCs w:val="24"/>
        </w:rPr>
      </w:pPr>
    </w:p>
    <w:p w:rsidR="0036135D" w:rsidRDefault="00433B02" w:rsidP="00433B02">
      <w:pPr>
        <w:spacing w:after="0" w:line="360" w:lineRule="auto"/>
        <w:jc w:val="both"/>
        <w:rPr>
          <w:rFonts w:ascii="Arial" w:hAnsi="Arial" w:cs="Arial"/>
          <w:bCs/>
          <w:sz w:val="24"/>
          <w:szCs w:val="24"/>
        </w:rPr>
      </w:pPr>
      <w:r>
        <w:rPr>
          <w:rFonts w:ascii="Arial" w:hAnsi="Arial" w:cs="Arial"/>
          <w:bCs/>
          <w:sz w:val="24"/>
          <w:szCs w:val="24"/>
        </w:rPr>
        <w:t>Interpretation of Statu</w:t>
      </w:r>
      <w:r w:rsidR="00CE4321">
        <w:rPr>
          <w:rFonts w:ascii="Arial" w:hAnsi="Arial" w:cs="Arial"/>
          <w:bCs/>
          <w:sz w:val="24"/>
          <w:szCs w:val="24"/>
        </w:rPr>
        <w:t>te –</w:t>
      </w:r>
      <w:r w:rsidR="00441731">
        <w:rPr>
          <w:rFonts w:ascii="Arial" w:hAnsi="Arial" w:cs="Arial"/>
          <w:bCs/>
          <w:sz w:val="24"/>
          <w:szCs w:val="24"/>
        </w:rPr>
        <w:t xml:space="preserve"> S</w:t>
      </w:r>
      <w:r w:rsidR="00CE4321">
        <w:rPr>
          <w:rFonts w:ascii="Arial" w:hAnsi="Arial" w:cs="Arial"/>
          <w:bCs/>
          <w:sz w:val="24"/>
          <w:szCs w:val="24"/>
        </w:rPr>
        <w:t xml:space="preserve"> </w:t>
      </w:r>
      <w:r w:rsidR="0015497D">
        <w:rPr>
          <w:rFonts w:ascii="Arial" w:hAnsi="Arial" w:cs="Arial"/>
          <w:bCs/>
          <w:sz w:val="24"/>
          <w:szCs w:val="24"/>
        </w:rPr>
        <w:t>109</w:t>
      </w:r>
      <w:r w:rsidRPr="00441731">
        <w:rPr>
          <w:rFonts w:ascii="Arial" w:hAnsi="Arial" w:cs="Arial"/>
          <w:bCs/>
          <w:i/>
          <w:sz w:val="24"/>
          <w:szCs w:val="24"/>
        </w:rPr>
        <w:t xml:space="preserve">(a) </w:t>
      </w:r>
      <w:r>
        <w:rPr>
          <w:rFonts w:ascii="Arial" w:hAnsi="Arial" w:cs="Arial"/>
          <w:bCs/>
          <w:sz w:val="24"/>
          <w:szCs w:val="24"/>
        </w:rPr>
        <w:t>of the Correctional Service Act 9 of 2012</w:t>
      </w:r>
      <w:r w:rsidR="00441731">
        <w:rPr>
          <w:rFonts w:ascii="Arial" w:hAnsi="Arial" w:cs="Arial"/>
          <w:bCs/>
          <w:sz w:val="24"/>
          <w:szCs w:val="24"/>
        </w:rPr>
        <w:t xml:space="preserve"> (the Act)</w:t>
      </w:r>
      <w:r>
        <w:rPr>
          <w:rFonts w:ascii="Arial" w:hAnsi="Arial" w:cs="Arial"/>
          <w:bCs/>
          <w:sz w:val="24"/>
          <w:szCs w:val="24"/>
        </w:rPr>
        <w:t>. Applicant proposes literal interpretation – such interpretation</w:t>
      </w:r>
      <w:r w:rsidR="00CE4321">
        <w:rPr>
          <w:rFonts w:ascii="Arial" w:hAnsi="Arial" w:cs="Arial"/>
          <w:bCs/>
          <w:sz w:val="24"/>
          <w:szCs w:val="24"/>
        </w:rPr>
        <w:t xml:space="preserve"> would lead to absurd results – the i</w:t>
      </w:r>
      <w:r>
        <w:rPr>
          <w:rFonts w:ascii="Arial" w:hAnsi="Arial" w:cs="Arial"/>
          <w:bCs/>
          <w:sz w:val="24"/>
          <w:szCs w:val="24"/>
        </w:rPr>
        <w:t xml:space="preserve">ntention of the legislature could not have been </w:t>
      </w:r>
      <w:r w:rsidR="00CF07DB">
        <w:rPr>
          <w:rFonts w:ascii="Arial" w:hAnsi="Arial" w:cs="Arial"/>
          <w:bCs/>
          <w:sz w:val="24"/>
          <w:szCs w:val="24"/>
        </w:rPr>
        <w:t>for the release of an offender merely on the ground that he/she suffers from a dangerous disease even where such disease can be managed</w:t>
      </w:r>
      <w:r w:rsidR="00CE4321">
        <w:rPr>
          <w:rFonts w:ascii="Arial" w:hAnsi="Arial" w:cs="Arial"/>
          <w:bCs/>
          <w:sz w:val="24"/>
          <w:szCs w:val="24"/>
        </w:rPr>
        <w:t xml:space="preserve"> or cont</w:t>
      </w:r>
      <w:r w:rsidR="00AB0629">
        <w:rPr>
          <w:rFonts w:ascii="Arial" w:hAnsi="Arial" w:cs="Arial"/>
          <w:bCs/>
          <w:sz w:val="24"/>
          <w:szCs w:val="24"/>
        </w:rPr>
        <w:t>rolled with medication – S</w:t>
      </w:r>
      <w:r w:rsidR="00CE4321">
        <w:rPr>
          <w:rFonts w:ascii="Arial" w:hAnsi="Arial" w:cs="Arial"/>
          <w:bCs/>
          <w:sz w:val="24"/>
          <w:szCs w:val="24"/>
        </w:rPr>
        <w:t xml:space="preserve"> </w:t>
      </w:r>
      <w:r w:rsidR="00934FC6">
        <w:rPr>
          <w:rFonts w:ascii="Arial" w:hAnsi="Arial" w:cs="Arial"/>
          <w:bCs/>
          <w:sz w:val="24"/>
          <w:szCs w:val="24"/>
        </w:rPr>
        <w:t>109</w:t>
      </w:r>
      <w:r>
        <w:rPr>
          <w:rFonts w:ascii="Arial" w:hAnsi="Arial" w:cs="Arial"/>
          <w:bCs/>
          <w:sz w:val="24"/>
          <w:szCs w:val="24"/>
        </w:rPr>
        <w:t>(</w:t>
      </w:r>
      <w:r w:rsidRPr="00433B02">
        <w:rPr>
          <w:rFonts w:ascii="Arial" w:hAnsi="Arial" w:cs="Arial"/>
          <w:bCs/>
          <w:i/>
          <w:sz w:val="24"/>
          <w:szCs w:val="24"/>
        </w:rPr>
        <w:t>a</w:t>
      </w:r>
      <w:r>
        <w:rPr>
          <w:rFonts w:ascii="Arial" w:hAnsi="Arial" w:cs="Arial"/>
          <w:bCs/>
          <w:sz w:val="24"/>
          <w:szCs w:val="24"/>
        </w:rPr>
        <w:t xml:space="preserve">) to read as referring to cases where the offender suffers from dangerous infectious or contagious diseases </w:t>
      </w:r>
      <w:r w:rsidR="00CF07DB">
        <w:rPr>
          <w:rFonts w:ascii="Arial" w:hAnsi="Arial" w:cs="Arial"/>
          <w:bCs/>
          <w:sz w:val="24"/>
          <w:szCs w:val="24"/>
        </w:rPr>
        <w:t xml:space="preserve">(communicable) </w:t>
      </w:r>
      <w:r>
        <w:rPr>
          <w:rFonts w:ascii="Arial" w:hAnsi="Arial" w:cs="Arial"/>
          <w:bCs/>
          <w:sz w:val="24"/>
          <w:szCs w:val="24"/>
        </w:rPr>
        <w:t xml:space="preserve">and not merely </w:t>
      </w:r>
      <w:r w:rsidR="00CF07DB">
        <w:rPr>
          <w:rFonts w:ascii="Arial" w:hAnsi="Arial" w:cs="Arial"/>
          <w:bCs/>
          <w:sz w:val="24"/>
          <w:szCs w:val="24"/>
        </w:rPr>
        <w:t xml:space="preserve">from a </w:t>
      </w:r>
      <w:r>
        <w:rPr>
          <w:rFonts w:ascii="Arial" w:hAnsi="Arial" w:cs="Arial"/>
          <w:bCs/>
          <w:sz w:val="24"/>
          <w:szCs w:val="24"/>
        </w:rPr>
        <w:t xml:space="preserve">dangerous disease or simply an </w:t>
      </w:r>
      <w:r w:rsidR="00CE4321">
        <w:rPr>
          <w:rFonts w:ascii="Arial" w:hAnsi="Arial" w:cs="Arial"/>
          <w:bCs/>
          <w:sz w:val="24"/>
          <w:szCs w:val="24"/>
        </w:rPr>
        <w:t>infectious or contagious disease – Further</w:t>
      </w:r>
      <w:r w:rsidR="00934FC6">
        <w:rPr>
          <w:rFonts w:ascii="Arial" w:hAnsi="Arial" w:cs="Arial"/>
          <w:bCs/>
          <w:sz w:val="24"/>
          <w:szCs w:val="24"/>
        </w:rPr>
        <w:t>, the word “or” between s 109</w:t>
      </w:r>
      <w:r w:rsidR="00CF07DB">
        <w:rPr>
          <w:rFonts w:ascii="Arial" w:hAnsi="Arial" w:cs="Arial"/>
          <w:bCs/>
          <w:sz w:val="24"/>
          <w:szCs w:val="24"/>
        </w:rPr>
        <w:t>(</w:t>
      </w:r>
      <w:r w:rsidR="00CF07DB" w:rsidRPr="00B81FED">
        <w:rPr>
          <w:rFonts w:ascii="Arial" w:hAnsi="Arial" w:cs="Arial"/>
          <w:bCs/>
          <w:i/>
          <w:sz w:val="24"/>
          <w:szCs w:val="24"/>
        </w:rPr>
        <w:t>a</w:t>
      </w:r>
      <w:r w:rsidR="00CF07DB">
        <w:rPr>
          <w:rFonts w:ascii="Arial" w:hAnsi="Arial" w:cs="Arial"/>
          <w:bCs/>
          <w:sz w:val="24"/>
          <w:szCs w:val="24"/>
        </w:rPr>
        <w:t>) and (</w:t>
      </w:r>
      <w:r w:rsidR="00CF07DB" w:rsidRPr="00B81FED">
        <w:rPr>
          <w:rFonts w:ascii="Arial" w:hAnsi="Arial" w:cs="Arial"/>
          <w:bCs/>
          <w:i/>
          <w:sz w:val="24"/>
          <w:szCs w:val="24"/>
        </w:rPr>
        <w:t>b</w:t>
      </w:r>
      <w:r w:rsidR="00CF07DB">
        <w:rPr>
          <w:rFonts w:ascii="Arial" w:hAnsi="Arial" w:cs="Arial"/>
          <w:bCs/>
          <w:sz w:val="24"/>
          <w:szCs w:val="24"/>
        </w:rPr>
        <w:t>) disjunctive and not conjunctive</w:t>
      </w:r>
      <w:r>
        <w:rPr>
          <w:rFonts w:ascii="Arial" w:hAnsi="Arial" w:cs="Arial"/>
          <w:bCs/>
          <w:sz w:val="24"/>
          <w:szCs w:val="24"/>
        </w:rPr>
        <w:t xml:space="preserve">. </w:t>
      </w:r>
    </w:p>
    <w:p w:rsidR="0036135D" w:rsidRDefault="0036135D" w:rsidP="00960254">
      <w:pPr>
        <w:spacing w:after="0" w:line="360" w:lineRule="auto"/>
        <w:jc w:val="both"/>
        <w:rPr>
          <w:rFonts w:ascii="Arial" w:eastAsia="Times New Roman" w:hAnsi="Arial" w:cs="Arial"/>
          <w:bCs/>
          <w:spacing w:val="-3"/>
          <w:sz w:val="24"/>
          <w:szCs w:val="24"/>
          <w:lang w:val="en-ZA"/>
        </w:rPr>
      </w:pPr>
    </w:p>
    <w:p w:rsidR="00AF5072" w:rsidRDefault="00960254" w:rsidP="00960254">
      <w:pPr>
        <w:spacing w:after="0" w:line="360" w:lineRule="auto"/>
        <w:jc w:val="both"/>
        <w:rPr>
          <w:rFonts w:ascii="Arial" w:eastAsia="Times New Roman" w:hAnsi="Arial" w:cs="Arial"/>
          <w:bCs/>
          <w:spacing w:val="-3"/>
          <w:sz w:val="24"/>
          <w:szCs w:val="24"/>
          <w:lang w:val="en-ZA"/>
        </w:rPr>
      </w:pPr>
      <w:r w:rsidRPr="00960254">
        <w:rPr>
          <w:rFonts w:ascii="Arial" w:eastAsia="Times New Roman" w:hAnsi="Arial" w:cs="Arial"/>
          <w:b/>
          <w:bCs/>
          <w:spacing w:val="-3"/>
          <w:sz w:val="24"/>
          <w:szCs w:val="24"/>
          <w:lang w:val="en-ZA"/>
        </w:rPr>
        <w:t>Summary:</w:t>
      </w:r>
      <w:r w:rsidR="00E654AC" w:rsidRPr="00E654AC">
        <w:rPr>
          <w:rFonts w:ascii="Arial" w:eastAsia="Times New Roman" w:hAnsi="Arial" w:cs="Arial"/>
          <w:bCs/>
          <w:spacing w:val="-3"/>
          <w:sz w:val="24"/>
          <w:szCs w:val="24"/>
          <w:lang w:val="en-ZA"/>
        </w:rPr>
        <w:t xml:space="preserve"> </w:t>
      </w:r>
      <w:r w:rsidR="0036135D" w:rsidRPr="00E654AC">
        <w:rPr>
          <w:rFonts w:ascii="Arial" w:eastAsia="Times New Roman" w:hAnsi="Arial" w:cs="Arial"/>
          <w:bCs/>
          <w:spacing w:val="-3"/>
          <w:sz w:val="24"/>
          <w:szCs w:val="24"/>
          <w:lang w:val="en-ZA"/>
        </w:rPr>
        <w:t xml:space="preserve"> </w:t>
      </w:r>
      <w:r w:rsidR="00E654AC" w:rsidRPr="00E654AC">
        <w:rPr>
          <w:rFonts w:ascii="Arial" w:eastAsia="Times New Roman" w:hAnsi="Arial" w:cs="Arial"/>
          <w:bCs/>
          <w:spacing w:val="-3"/>
          <w:sz w:val="24"/>
          <w:szCs w:val="24"/>
          <w:lang w:val="en-ZA"/>
        </w:rPr>
        <w:t xml:space="preserve">The applicant prays for order </w:t>
      </w:r>
      <w:r w:rsidR="00433B02">
        <w:rPr>
          <w:rFonts w:ascii="Arial" w:eastAsia="Times New Roman" w:hAnsi="Arial" w:cs="Arial"/>
          <w:bCs/>
          <w:spacing w:val="-3"/>
          <w:sz w:val="24"/>
          <w:szCs w:val="24"/>
          <w:lang w:val="en-ZA"/>
        </w:rPr>
        <w:t>that</w:t>
      </w:r>
      <w:r w:rsidR="00CE4321">
        <w:rPr>
          <w:rFonts w:ascii="Arial" w:eastAsia="Times New Roman" w:hAnsi="Arial" w:cs="Arial"/>
          <w:bCs/>
          <w:spacing w:val="-3"/>
          <w:sz w:val="24"/>
          <w:szCs w:val="24"/>
          <w:lang w:val="en-ZA"/>
        </w:rPr>
        <w:t xml:space="preserve"> the </w:t>
      </w:r>
      <w:r w:rsidR="00433B02">
        <w:rPr>
          <w:rFonts w:ascii="Arial" w:eastAsia="Times New Roman" w:hAnsi="Arial" w:cs="Arial"/>
          <w:bCs/>
          <w:spacing w:val="-3"/>
          <w:sz w:val="24"/>
          <w:szCs w:val="24"/>
          <w:lang w:val="en-ZA"/>
        </w:rPr>
        <w:t xml:space="preserve">second respondent be held in contempt of court and to be convicted of civil contempt of court for failing to make a recommendation to the first respondent as per this court’s order dated 14 November 2022 and for failing to </w:t>
      </w:r>
      <w:r w:rsidR="002F73DE">
        <w:rPr>
          <w:rFonts w:ascii="Arial" w:eastAsia="Times New Roman" w:hAnsi="Arial" w:cs="Arial"/>
          <w:bCs/>
          <w:spacing w:val="-3"/>
          <w:sz w:val="24"/>
          <w:szCs w:val="24"/>
          <w:lang w:val="en-ZA"/>
        </w:rPr>
        <w:t xml:space="preserve">give </w:t>
      </w:r>
      <w:r w:rsidR="00433B02">
        <w:rPr>
          <w:rFonts w:ascii="Arial" w:eastAsia="Times New Roman" w:hAnsi="Arial" w:cs="Arial"/>
          <w:bCs/>
          <w:spacing w:val="-3"/>
          <w:sz w:val="24"/>
          <w:szCs w:val="24"/>
          <w:lang w:val="en-ZA"/>
        </w:rPr>
        <w:t xml:space="preserve">reasons </w:t>
      </w:r>
      <w:r w:rsidR="00CF07DB">
        <w:rPr>
          <w:rFonts w:ascii="Arial" w:eastAsia="Times New Roman" w:hAnsi="Arial" w:cs="Arial"/>
          <w:bCs/>
          <w:spacing w:val="-3"/>
          <w:sz w:val="24"/>
          <w:szCs w:val="24"/>
          <w:lang w:val="en-ZA"/>
        </w:rPr>
        <w:t xml:space="preserve">why he declined to make a recommendation. It was not disputed that the order was granted and that </w:t>
      </w:r>
      <w:r w:rsidR="00CE4321">
        <w:rPr>
          <w:rFonts w:ascii="Arial" w:eastAsia="Times New Roman" w:hAnsi="Arial" w:cs="Arial"/>
          <w:bCs/>
          <w:spacing w:val="-3"/>
          <w:sz w:val="24"/>
          <w:szCs w:val="24"/>
          <w:lang w:val="en-ZA"/>
        </w:rPr>
        <w:t xml:space="preserve">the </w:t>
      </w:r>
      <w:r w:rsidR="00CF07DB">
        <w:rPr>
          <w:rFonts w:ascii="Arial" w:eastAsia="Times New Roman" w:hAnsi="Arial" w:cs="Arial"/>
          <w:bCs/>
          <w:spacing w:val="-3"/>
          <w:sz w:val="24"/>
          <w:szCs w:val="24"/>
          <w:lang w:val="en-ZA"/>
        </w:rPr>
        <w:t>second respondent was aware of the order. The second respondent</w:t>
      </w:r>
      <w:r w:rsidR="00CE4321">
        <w:rPr>
          <w:rFonts w:ascii="Arial" w:eastAsia="Times New Roman" w:hAnsi="Arial" w:cs="Arial"/>
          <w:bCs/>
          <w:spacing w:val="-3"/>
          <w:sz w:val="24"/>
          <w:szCs w:val="24"/>
          <w:lang w:val="en-ZA"/>
        </w:rPr>
        <w:t>,</w:t>
      </w:r>
      <w:r w:rsidR="00CF07DB">
        <w:rPr>
          <w:rFonts w:ascii="Arial" w:eastAsia="Times New Roman" w:hAnsi="Arial" w:cs="Arial"/>
          <w:bCs/>
          <w:spacing w:val="-3"/>
          <w:sz w:val="24"/>
          <w:szCs w:val="24"/>
          <w:lang w:val="en-ZA"/>
        </w:rPr>
        <w:t xml:space="preserve"> although he did not address the communication to the applicant provided him with a letter addressed to the first respondent wherein</w:t>
      </w:r>
      <w:r w:rsidR="00CE4321">
        <w:rPr>
          <w:rFonts w:ascii="Arial" w:eastAsia="Times New Roman" w:hAnsi="Arial" w:cs="Arial"/>
          <w:bCs/>
          <w:spacing w:val="-3"/>
          <w:sz w:val="24"/>
          <w:szCs w:val="24"/>
          <w:lang w:val="en-ZA"/>
        </w:rPr>
        <w:t>,</w:t>
      </w:r>
      <w:r w:rsidR="00CF07DB">
        <w:rPr>
          <w:rFonts w:ascii="Arial" w:eastAsia="Times New Roman" w:hAnsi="Arial" w:cs="Arial"/>
          <w:bCs/>
          <w:spacing w:val="-3"/>
          <w:sz w:val="24"/>
          <w:szCs w:val="24"/>
          <w:lang w:val="en-ZA"/>
        </w:rPr>
        <w:t xml:space="preserve"> he determined that the applicant indeed suffers from two ailments which are classified by the World Health Organisation as dangerous </w:t>
      </w:r>
      <w:r w:rsidR="00AF5072">
        <w:rPr>
          <w:rFonts w:ascii="Arial" w:eastAsia="Times New Roman" w:hAnsi="Arial" w:cs="Arial"/>
          <w:bCs/>
          <w:spacing w:val="-3"/>
          <w:sz w:val="24"/>
          <w:szCs w:val="24"/>
          <w:lang w:val="en-ZA"/>
        </w:rPr>
        <w:t>diseases but</w:t>
      </w:r>
      <w:r w:rsidR="00CF07DB">
        <w:rPr>
          <w:rFonts w:ascii="Arial" w:eastAsia="Times New Roman" w:hAnsi="Arial" w:cs="Arial"/>
          <w:bCs/>
          <w:spacing w:val="-3"/>
          <w:sz w:val="24"/>
          <w:szCs w:val="24"/>
          <w:lang w:val="en-ZA"/>
        </w:rPr>
        <w:t xml:space="preserve"> that he is of the view that his continued incarceration would not be </w:t>
      </w:r>
      <w:r w:rsidR="00CF07DB">
        <w:rPr>
          <w:rFonts w:ascii="Arial" w:eastAsia="Times New Roman" w:hAnsi="Arial" w:cs="Arial"/>
          <w:bCs/>
          <w:spacing w:val="-3"/>
          <w:sz w:val="24"/>
          <w:szCs w:val="24"/>
          <w:lang w:val="en-ZA"/>
        </w:rPr>
        <w:lastRenderedPageBreak/>
        <w:t xml:space="preserve">detrimental to the physical health of the applicant. </w:t>
      </w:r>
      <w:r w:rsidR="00AF5072">
        <w:rPr>
          <w:rFonts w:ascii="Arial" w:eastAsia="Times New Roman" w:hAnsi="Arial" w:cs="Arial"/>
          <w:bCs/>
          <w:spacing w:val="-3"/>
          <w:sz w:val="24"/>
          <w:szCs w:val="24"/>
          <w:lang w:val="en-ZA"/>
        </w:rPr>
        <w:t>He further provided a more detailed description of the applicant’s medical condition in a document wherein he found that the applicant was sick but stable. The court found that the second respondent made a determination as ordered by the court and the reasons for declining to recommend his release were evident from the letter he addressed to first respondent on 24 November 2021.</w:t>
      </w:r>
    </w:p>
    <w:p w:rsidR="006229BC" w:rsidRDefault="006229BC" w:rsidP="00960254">
      <w:pPr>
        <w:spacing w:after="0" w:line="360" w:lineRule="auto"/>
        <w:jc w:val="both"/>
        <w:rPr>
          <w:rFonts w:ascii="Arial" w:eastAsia="Times New Roman" w:hAnsi="Arial" w:cs="Arial"/>
          <w:bCs/>
          <w:spacing w:val="-3"/>
          <w:sz w:val="24"/>
          <w:szCs w:val="24"/>
          <w:lang w:val="en-ZA"/>
        </w:rPr>
      </w:pPr>
    </w:p>
    <w:p w:rsidR="00CC5D53" w:rsidRDefault="00AF5072" w:rsidP="00960254">
      <w:pPr>
        <w:spacing w:after="0" w:line="360" w:lineRule="auto"/>
        <w:jc w:val="both"/>
        <w:rPr>
          <w:rFonts w:ascii="Arial" w:eastAsia="Times New Roman" w:hAnsi="Arial" w:cs="Arial"/>
          <w:bCs/>
          <w:spacing w:val="-3"/>
          <w:sz w:val="24"/>
          <w:szCs w:val="24"/>
          <w:lang w:val="en-ZA"/>
        </w:rPr>
      </w:pPr>
      <w:proofErr w:type="gramStart"/>
      <w:r w:rsidRPr="0015497D">
        <w:rPr>
          <w:rFonts w:ascii="Arial" w:eastAsia="Times New Roman" w:hAnsi="Arial" w:cs="Arial"/>
          <w:bCs/>
          <w:i/>
          <w:spacing w:val="-3"/>
          <w:sz w:val="24"/>
          <w:szCs w:val="24"/>
          <w:lang w:val="en-ZA"/>
        </w:rPr>
        <w:t>Held</w:t>
      </w:r>
      <w:r w:rsidR="0015497D">
        <w:rPr>
          <w:rFonts w:ascii="Arial" w:eastAsia="Times New Roman" w:hAnsi="Arial" w:cs="Arial"/>
          <w:bCs/>
          <w:i/>
          <w:spacing w:val="-3"/>
          <w:sz w:val="24"/>
          <w:szCs w:val="24"/>
          <w:lang w:val="en-ZA"/>
        </w:rPr>
        <w:t>,</w:t>
      </w:r>
      <w:r w:rsidR="00934FC6">
        <w:rPr>
          <w:rFonts w:ascii="Arial" w:eastAsia="Times New Roman" w:hAnsi="Arial" w:cs="Arial"/>
          <w:bCs/>
          <w:i/>
          <w:spacing w:val="-3"/>
          <w:sz w:val="24"/>
          <w:szCs w:val="24"/>
          <w:lang w:val="en-ZA"/>
        </w:rPr>
        <w:t xml:space="preserve"> </w:t>
      </w:r>
      <w:r w:rsidR="0015497D">
        <w:rPr>
          <w:rFonts w:ascii="Arial" w:eastAsia="Times New Roman" w:hAnsi="Arial" w:cs="Arial"/>
          <w:bCs/>
          <w:spacing w:val="-3"/>
          <w:sz w:val="24"/>
          <w:szCs w:val="24"/>
          <w:lang w:val="en-ZA"/>
        </w:rPr>
        <w:t>that</w:t>
      </w:r>
      <w:proofErr w:type="gramEnd"/>
      <w:r>
        <w:rPr>
          <w:rFonts w:ascii="Arial" w:eastAsia="Times New Roman" w:hAnsi="Arial" w:cs="Arial"/>
          <w:bCs/>
          <w:spacing w:val="-3"/>
          <w:sz w:val="24"/>
          <w:szCs w:val="24"/>
          <w:lang w:val="en-ZA"/>
        </w:rPr>
        <w:t xml:space="preserve"> the applicant had to prove that the second respondent in fact failed to comply with court </w:t>
      </w:r>
      <w:r w:rsidR="00AB0629">
        <w:rPr>
          <w:rFonts w:ascii="Arial" w:eastAsia="Times New Roman" w:hAnsi="Arial" w:cs="Arial"/>
          <w:bCs/>
          <w:spacing w:val="-3"/>
          <w:sz w:val="24"/>
          <w:szCs w:val="24"/>
          <w:lang w:val="en-ZA"/>
        </w:rPr>
        <w:t>order</w:t>
      </w:r>
      <w:r>
        <w:rPr>
          <w:rFonts w:ascii="Arial" w:eastAsia="Times New Roman" w:hAnsi="Arial" w:cs="Arial"/>
          <w:bCs/>
          <w:spacing w:val="-3"/>
          <w:sz w:val="24"/>
          <w:szCs w:val="24"/>
          <w:lang w:val="en-ZA"/>
        </w:rPr>
        <w:t>. On the papers before this court, the applicant failed to discharge the onus that the second responded was guilty of civil contempt of court beyond reasonable doubt.</w:t>
      </w:r>
    </w:p>
    <w:p w:rsidR="006229BC" w:rsidRDefault="006229BC" w:rsidP="00960254">
      <w:pPr>
        <w:spacing w:after="0" w:line="360" w:lineRule="auto"/>
        <w:jc w:val="both"/>
        <w:rPr>
          <w:rFonts w:ascii="Arial" w:eastAsia="Times New Roman" w:hAnsi="Arial" w:cs="Arial"/>
          <w:bCs/>
          <w:spacing w:val="-3"/>
          <w:sz w:val="24"/>
          <w:szCs w:val="24"/>
          <w:lang w:val="en-ZA"/>
        </w:rPr>
      </w:pPr>
    </w:p>
    <w:p w:rsidR="00AF5072" w:rsidRDefault="00AF5072" w:rsidP="00960254">
      <w:pPr>
        <w:spacing w:after="0" w:line="360" w:lineRule="auto"/>
        <w:jc w:val="both"/>
        <w:rPr>
          <w:rFonts w:ascii="Arial" w:hAnsi="Arial" w:cs="Arial"/>
          <w:sz w:val="24"/>
          <w:szCs w:val="24"/>
        </w:rPr>
      </w:pPr>
      <w:r w:rsidRPr="0015497D">
        <w:rPr>
          <w:rFonts w:ascii="Arial" w:eastAsia="Times New Roman" w:hAnsi="Arial" w:cs="Arial"/>
          <w:bCs/>
          <w:i/>
          <w:spacing w:val="-3"/>
          <w:sz w:val="24"/>
          <w:szCs w:val="24"/>
          <w:lang w:val="en-ZA"/>
        </w:rPr>
        <w:t>Held</w:t>
      </w:r>
      <w:r w:rsidR="0015497D">
        <w:rPr>
          <w:rFonts w:ascii="Arial" w:eastAsia="Times New Roman" w:hAnsi="Arial" w:cs="Arial"/>
          <w:bCs/>
          <w:i/>
          <w:spacing w:val="-3"/>
          <w:sz w:val="24"/>
          <w:szCs w:val="24"/>
          <w:lang w:val="en-ZA"/>
        </w:rPr>
        <w:t>,</w:t>
      </w:r>
      <w:r w:rsidR="0015497D">
        <w:rPr>
          <w:rFonts w:ascii="Arial" w:eastAsia="Times New Roman" w:hAnsi="Arial" w:cs="Arial"/>
          <w:bCs/>
          <w:spacing w:val="-3"/>
          <w:sz w:val="24"/>
          <w:szCs w:val="24"/>
          <w:lang w:val="en-ZA"/>
        </w:rPr>
        <w:t xml:space="preserve"> further that</w:t>
      </w:r>
      <w:r w:rsidR="00AB0629">
        <w:rPr>
          <w:rFonts w:ascii="Arial" w:eastAsia="Times New Roman" w:hAnsi="Arial" w:cs="Arial"/>
          <w:bCs/>
          <w:spacing w:val="-3"/>
          <w:sz w:val="24"/>
          <w:szCs w:val="24"/>
          <w:lang w:val="en-ZA"/>
        </w:rPr>
        <w:t xml:space="preserve"> t</w:t>
      </w:r>
      <w:r>
        <w:rPr>
          <w:rFonts w:ascii="Arial" w:eastAsia="Times New Roman" w:hAnsi="Arial" w:cs="Arial"/>
          <w:bCs/>
          <w:spacing w:val="-3"/>
          <w:sz w:val="24"/>
          <w:szCs w:val="24"/>
          <w:lang w:val="en-ZA"/>
        </w:rPr>
        <w:t xml:space="preserve">he second respondent sufficiently consulted with the applicant and provided him with reasons for his decision. </w:t>
      </w:r>
      <w:r w:rsidR="006229BC">
        <w:rPr>
          <w:rFonts w:ascii="Arial" w:eastAsia="Times New Roman" w:hAnsi="Arial" w:cs="Arial"/>
          <w:bCs/>
          <w:spacing w:val="-3"/>
          <w:sz w:val="24"/>
          <w:szCs w:val="24"/>
          <w:lang w:val="en-ZA"/>
        </w:rPr>
        <w:t xml:space="preserve">The reason for refusing to recommend the release of </w:t>
      </w:r>
      <w:r w:rsidR="00B81FED">
        <w:rPr>
          <w:rFonts w:ascii="Arial" w:eastAsia="Times New Roman" w:hAnsi="Arial" w:cs="Arial"/>
          <w:bCs/>
          <w:spacing w:val="-3"/>
          <w:sz w:val="24"/>
          <w:szCs w:val="24"/>
          <w:lang w:val="en-ZA"/>
        </w:rPr>
        <w:t>the applicant in terms of s 109</w:t>
      </w:r>
      <w:r w:rsidR="006229BC">
        <w:rPr>
          <w:rFonts w:ascii="Arial" w:eastAsia="Times New Roman" w:hAnsi="Arial" w:cs="Arial"/>
          <w:bCs/>
          <w:spacing w:val="-3"/>
          <w:sz w:val="24"/>
          <w:szCs w:val="24"/>
          <w:lang w:val="en-ZA"/>
        </w:rPr>
        <w:t>(</w:t>
      </w:r>
      <w:r w:rsidR="006229BC" w:rsidRPr="00B81FED">
        <w:rPr>
          <w:rFonts w:ascii="Arial" w:eastAsia="Times New Roman" w:hAnsi="Arial" w:cs="Arial"/>
          <w:bCs/>
          <w:i/>
          <w:spacing w:val="-3"/>
          <w:sz w:val="24"/>
          <w:szCs w:val="24"/>
          <w:lang w:val="en-ZA"/>
        </w:rPr>
        <w:t>a</w:t>
      </w:r>
      <w:r w:rsidR="006229BC">
        <w:rPr>
          <w:rFonts w:ascii="Arial" w:eastAsia="Times New Roman" w:hAnsi="Arial" w:cs="Arial"/>
          <w:bCs/>
          <w:spacing w:val="-3"/>
          <w:sz w:val="24"/>
          <w:szCs w:val="24"/>
          <w:lang w:val="en-ZA"/>
        </w:rPr>
        <w:t>) justified in that the literal interpretation of s</w:t>
      </w:r>
      <w:r w:rsidR="00B81FED">
        <w:rPr>
          <w:rFonts w:ascii="Arial" w:eastAsia="Times New Roman" w:hAnsi="Arial" w:cs="Arial"/>
          <w:bCs/>
          <w:spacing w:val="-3"/>
          <w:sz w:val="24"/>
          <w:szCs w:val="24"/>
          <w:lang w:val="en-ZA"/>
        </w:rPr>
        <w:t xml:space="preserve"> </w:t>
      </w:r>
      <w:r w:rsidR="006229BC">
        <w:rPr>
          <w:rFonts w:ascii="Arial" w:eastAsia="Times New Roman" w:hAnsi="Arial" w:cs="Arial"/>
          <w:bCs/>
          <w:spacing w:val="-3"/>
          <w:sz w:val="24"/>
          <w:szCs w:val="24"/>
          <w:lang w:val="en-ZA"/>
        </w:rPr>
        <w:t>109 (</w:t>
      </w:r>
      <w:r w:rsidR="006229BC" w:rsidRPr="00B81FED">
        <w:rPr>
          <w:rFonts w:ascii="Arial" w:eastAsia="Times New Roman" w:hAnsi="Arial" w:cs="Arial"/>
          <w:bCs/>
          <w:i/>
          <w:spacing w:val="-3"/>
          <w:sz w:val="24"/>
          <w:szCs w:val="24"/>
          <w:lang w:val="en-ZA"/>
        </w:rPr>
        <w:t>a</w:t>
      </w:r>
      <w:r w:rsidR="006229BC">
        <w:rPr>
          <w:rFonts w:ascii="Arial" w:eastAsia="Times New Roman" w:hAnsi="Arial" w:cs="Arial"/>
          <w:bCs/>
          <w:spacing w:val="-3"/>
          <w:sz w:val="24"/>
          <w:szCs w:val="24"/>
          <w:lang w:val="en-ZA"/>
        </w:rPr>
        <w:t>) as proposed by the applicant would lead to absurd results. The court, having regard to the intention of the legislator concluded that the prop</w:t>
      </w:r>
      <w:r w:rsidR="00B81FED">
        <w:rPr>
          <w:rFonts w:ascii="Arial" w:eastAsia="Times New Roman" w:hAnsi="Arial" w:cs="Arial"/>
          <w:bCs/>
          <w:spacing w:val="-3"/>
          <w:sz w:val="24"/>
          <w:szCs w:val="24"/>
          <w:lang w:val="en-ZA"/>
        </w:rPr>
        <w:t>er interpretation is that s 109</w:t>
      </w:r>
      <w:r w:rsidR="006229BC">
        <w:rPr>
          <w:rFonts w:ascii="Arial" w:eastAsia="Times New Roman" w:hAnsi="Arial" w:cs="Arial"/>
          <w:bCs/>
          <w:spacing w:val="-3"/>
          <w:sz w:val="24"/>
          <w:szCs w:val="24"/>
          <w:lang w:val="en-ZA"/>
        </w:rPr>
        <w:t>(</w:t>
      </w:r>
      <w:r w:rsidR="006229BC" w:rsidRPr="00B81FED">
        <w:rPr>
          <w:rFonts w:ascii="Arial" w:eastAsia="Times New Roman" w:hAnsi="Arial" w:cs="Arial"/>
          <w:bCs/>
          <w:i/>
          <w:spacing w:val="-3"/>
          <w:sz w:val="24"/>
          <w:szCs w:val="24"/>
          <w:lang w:val="en-ZA"/>
        </w:rPr>
        <w:t>a</w:t>
      </w:r>
      <w:r w:rsidR="006229BC">
        <w:rPr>
          <w:rFonts w:ascii="Arial" w:eastAsia="Times New Roman" w:hAnsi="Arial" w:cs="Arial"/>
          <w:bCs/>
          <w:spacing w:val="-3"/>
          <w:sz w:val="24"/>
          <w:szCs w:val="24"/>
          <w:lang w:val="en-ZA"/>
        </w:rPr>
        <w:t>) is that it is applicable to offenders who suffers from dangerous infectious or contagious diseases.</w:t>
      </w:r>
    </w:p>
    <w:p w:rsidR="00CC5D53" w:rsidRPr="00CD43E0" w:rsidRDefault="00CC5D53" w:rsidP="00960254">
      <w:pPr>
        <w:spacing w:after="0" w:line="360" w:lineRule="auto"/>
        <w:jc w:val="both"/>
        <w:rPr>
          <w:rFonts w:ascii="Arial" w:hAnsi="Arial" w:cs="Arial"/>
          <w:lang w:val="en-ZA"/>
        </w:rPr>
      </w:pPr>
    </w:p>
    <w:p w:rsidR="00960254" w:rsidRPr="00960254" w:rsidRDefault="00B91233" w:rsidP="00960254">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5" style="width:468pt;height:1.5pt" o:hralign="center" o:hrstd="t" o:hr="t" fillcolor="#a0a0a0" stroked="f"/>
        </w:pict>
      </w:r>
    </w:p>
    <w:p w:rsidR="00960254" w:rsidRPr="00960254" w:rsidRDefault="00960254" w:rsidP="00960254">
      <w:pPr>
        <w:spacing w:after="0" w:line="360" w:lineRule="auto"/>
        <w:jc w:val="center"/>
        <w:rPr>
          <w:rFonts w:ascii="Arial" w:eastAsia="Calibri" w:hAnsi="Arial" w:cs="Arial"/>
          <w:b/>
          <w:bCs/>
          <w:sz w:val="24"/>
          <w:szCs w:val="24"/>
          <w:lang w:val="en-GB"/>
        </w:rPr>
      </w:pPr>
      <w:r w:rsidRPr="00960254">
        <w:rPr>
          <w:rFonts w:ascii="Arial" w:eastAsia="Calibri" w:hAnsi="Arial" w:cs="Arial"/>
          <w:b/>
          <w:bCs/>
          <w:sz w:val="24"/>
          <w:szCs w:val="24"/>
          <w:lang w:val="en-GB"/>
        </w:rPr>
        <w:t>ORDER</w:t>
      </w:r>
    </w:p>
    <w:p w:rsidR="00960254" w:rsidRPr="00960254" w:rsidRDefault="00B91233" w:rsidP="00960254">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6" style="width:468pt;height:1.5pt" o:hralign="center" o:hrstd="t" o:hr="t" fillcolor="#a0a0a0" stroked="f"/>
        </w:pict>
      </w:r>
    </w:p>
    <w:p w:rsidR="005B0CE7" w:rsidRPr="00960254" w:rsidRDefault="005B0CE7" w:rsidP="00960254">
      <w:pPr>
        <w:spacing w:after="0" w:line="360" w:lineRule="auto"/>
        <w:jc w:val="both"/>
        <w:rPr>
          <w:rFonts w:ascii="Arial" w:eastAsia="Calibri" w:hAnsi="Arial" w:cs="Arial"/>
          <w:sz w:val="24"/>
          <w:szCs w:val="24"/>
          <w:lang w:val="en-GB"/>
        </w:rPr>
      </w:pPr>
      <w:bookmarkStart w:id="0" w:name="_GoBack"/>
      <w:bookmarkEnd w:id="0"/>
    </w:p>
    <w:p w:rsidR="00CD61AA" w:rsidRDefault="00CD61AA" w:rsidP="00960254">
      <w:pPr>
        <w:numPr>
          <w:ilvl w:val="0"/>
          <w:numId w:val="1"/>
        </w:numPr>
        <w:spacing w:after="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t xml:space="preserve">The </w:t>
      </w:r>
      <w:r w:rsidR="006229BC">
        <w:rPr>
          <w:rFonts w:ascii="Arial" w:eastAsia="Calibri" w:hAnsi="Arial" w:cs="Arial"/>
          <w:sz w:val="24"/>
          <w:szCs w:val="24"/>
          <w:lang w:val="en-GB"/>
        </w:rPr>
        <w:t>application is dismissed</w:t>
      </w:r>
      <w:r w:rsidR="005533B3">
        <w:rPr>
          <w:rFonts w:ascii="Arial" w:eastAsia="Calibri" w:hAnsi="Arial" w:cs="Arial"/>
          <w:sz w:val="24"/>
          <w:szCs w:val="24"/>
          <w:lang w:val="en-GB"/>
        </w:rPr>
        <w:t>.</w:t>
      </w:r>
    </w:p>
    <w:p w:rsidR="00960254" w:rsidRDefault="00CD61AA" w:rsidP="00960254">
      <w:pPr>
        <w:numPr>
          <w:ilvl w:val="0"/>
          <w:numId w:val="1"/>
        </w:numPr>
        <w:spacing w:after="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t xml:space="preserve">No order as to costs. </w:t>
      </w:r>
      <w:r w:rsidR="00960254" w:rsidRPr="00960254">
        <w:rPr>
          <w:rFonts w:ascii="Arial" w:eastAsia="Calibri" w:hAnsi="Arial" w:cs="Arial"/>
          <w:sz w:val="24"/>
          <w:szCs w:val="24"/>
          <w:lang w:val="en-GB"/>
        </w:rPr>
        <w:t xml:space="preserve"> </w:t>
      </w:r>
    </w:p>
    <w:p w:rsidR="005B0CE7" w:rsidRPr="00960254" w:rsidRDefault="005B0CE7" w:rsidP="005B0CE7">
      <w:pPr>
        <w:spacing w:after="0" w:line="360" w:lineRule="auto"/>
        <w:ind w:left="1440"/>
        <w:contextualSpacing/>
        <w:jc w:val="both"/>
        <w:rPr>
          <w:rFonts w:ascii="Arial" w:eastAsia="Calibri" w:hAnsi="Arial" w:cs="Arial"/>
          <w:sz w:val="24"/>
          <w:szCs w:val="24"/>
          <w:lang w:val="en-GB"/>
        </w:rPr>
      </w:pPr>
    </w:p>
    <w:p w:rsidR="00960254" w:rsidRPr="00960254" w:rsidRDefault="00B91233" w:rsidP="00960254">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7" style="width:468pt;height:1.5pt" o:hralign="center" o:hrstd="t" o:hr="t" fillcolor="#a0a0a0" stroked="f"/>
        </w:pict>
      </w:r>
    </w:p>
    <w:p w:rsidR="00960254" w:rsidRPr="00960254" w:rsidRDefault="00960254" w:rsidP="00960254">
      <w:pPr>
        <w:spacing w:after="0" w:line="360" w:lineRule="auto"/>
        <w:jc w:val="center"/>
        <w:rPr>
          <w:rFonts w:ascii="Arial" w:eastAsia="Calibri" w:hAnsi="Arial" w:cs="Arial"/>
          <w:b/>
          <w:sz w:val="24"/>
          <w:szCs w:val="24"/>
          <w:lang w:val="en-GB"/>
        </w:rPr>
      </w:pPr>
      <w:r w:rsidRPr="00960254">
        <w:rPr>
          <w:rFonts w:ascii="Arial" w:eastAsia="Calibri" w:hAnsi="Arial" w:cs="Arial"/>
          <w:b/>
          <w:sz w:val="24"/>
          <w:szCs w:val="24"/>
          <w:lang w:val="en-GB"/>
        </w:rPr>
        <w:t>JUDGMENT</w:t>
      </w:r>
    </w:p>
    <w:p w:rsidR="00960254" w:rsidRPr="00960254" w:rsidRDefault="00B91233" w:rsidP="00960254">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8" style="width:468pt;height:1.5pt" o:hralign="center" o:hrstd="t" o:hr="t" fillcolor="#a0a0a0" stroked="f"/>
        </w:pict>
      </w:r>
    </w:p>
    <w:p w:rsidR="005B0CE7" w:rsidRDefault="005B0CE7" w:rsidP="00565D3F">
      <w:pPr>
        <w:spacing w:after="0" w:line="360" w:lineRule="auto"/>
        <w:jc w:val="both"/>
        <w:rPr>
          <w:rFonts w:ascii="Arial" w:eastAsia="Calibri" w:hAnsi="Arial" w:cs="Arial"/>
          <w:sz w:val="24"/>
          <w:szCs w:val="24"/>
          <w:lang w:val="en-GB"/>
        </w:rPr>
      </w:pPr>
    </w:p>
    <w:p w:rsidR="00960254" w:rsidRDefault="00960254" w:rsidP="00960254">
      <w:pPr>
        <w:spacing w:after="0" w:line="360" w:lineRule="auto"/>
        <w:ind w:left="1440" w:hanging="1440"/>
        <w:jc w:val="both"/>
        <w:rPr>
          <w:rFonts w:ascii="Arial" w:eastAsia="Calibri" w:hAnsi="Arial" w:cs="Arial"/>
          <w:sz w:val="24"/>
          <w:szCs w:val="24"/>
          <w:lang w:val="en-GB"/>
        </w:rPr>
      </w:pPr>
      <w:r w:rsidRPr="00960254">
        <w:rPr>
          <w:rFonts w:ascii="Arial" w:eastAsia="Calibri" w:hAnsi="Arial" w:cs="Arial"/>
          <w:sz w:val="24"/>
          <w:szCs w:val="24"/>
          <w:lang w:val="en-GB"/>
        </w:rPr>
        <w:t>TOMMASI J:</w:t>
      </w:r>
    </w:p>
    <w:p w:rsidR="00960254" w:rsidRPr="00960254" w:rsidRDefault="00960254" w:rsidP="00960254">
      <w:pPr>
        <w:spacing w:after="0" w:line="360" w:lineRule="auto"/>
        <w:ind w:left="1440" w:hanging="1440"/>
        <w:jc w:val="both"/>
        <w:rPr>
          <w:rFonts w:ascii="Arial" w:eastAsia="Calibri" w:hAnsi="Arial" w:cs="Arial"/>
          <w:sz w:val="24"/>
          <w:szCs w:val="24"/>
          <w:lang w:val="en-GB"/>
        </w:rPr>
      </w:pPr>
    </w:p>
    <w:p w:rsidR="00960254" w:rsidRPr="00CC5D53" w:rsidRDefault="00960254" w:rsidP="00960254">
      <w:pPr>
        <w:spacing w:after="0" w:line="360" w:lineRule="auto"/>
        <w:ind w:left="1440" w:hanging="1440"/>
        <w:jc w:val="both"/>
        <w:rPr>
          <w:rFonts w:ascii="Arial" w:eastAsia="Calibri" w:hAnsi="Arial" w:cs="Arial"/>
          <w:sz w:val="24"/>
          <w:szCs w:val="24"/>
          <w:u w:val="single"/>
          <w:lang w:val="en-GB"/>
        </w:rPr>
      </w:pPr>
      <w:r w:rsidRPr="00CC5D53">
        <w:rPr>
          <w:rFonts w:ascii="Arial" w:eastAsia="Calibri" w:hAnsi="Arial" w:cs="Arial"/>
          <w:sz w:val="24"/>
          <w:szCs w:val="24"/>
          <w:u w:val="single"/>
          <w:lang w:val="en-GB"/>
        </w:rPr>
        <w:t>Introduction</w:t>
      </w:r>
    </w:p>
    <w:p w:rsidR="00960254" w:rsidRPr="00960254" w:rsidRDefault="00960254" w:rsidP="00960254">
      <w:pPr>
        <w:spacing w:after="0" w:line="360" w:lineRule="auto"/>
        <w:ind w:left="1440" w:hanging="1440"/>
        <w:jc w:val="both"/>
        <w:rPr>
          <w:rFonts w:ascii="Arial" w:eastAsia="Calibri" w:hAnsi="Arial" w:cs="Arial"/>
          <w:sz w:val="24"/>
          <w:szCs w:val="24"/>
          <w:lang w:val="en-GB"/>
        </w:rPr>
      </w:pPr>
    </w:p>
    <w:p w:rsidR="00F85F96" w:rsidRDefault="00960254" w:rsidP="00CE4321">
      <w:pPr>
        <w:spacing w:after="0" w:line="360" w:lineRule="auto"/>
        <w:rPr>
          <w:rFonts w:ascii="Arial" w:eastAsia="Calibri" w:hAnsi="Arial" w:cs="Arial"/>
          <w:sz w:val="24"/>
          <w:szCs w:val="24"/>
          <w:lang w:val="en-GB"/>
        </w:rPr>
      </w:pPr>
      <w:r w:rsidRPr="00960254">
        <w:rPr>
          <w:rFonts w:ascii="Arial" w:eastAsia="Calibri" w:hAnsi="Arial" w:cs="Arial"/>
          <w:sz w:val="24"/>
          <w:szCs w:val="24"/>
          <w:lang w:val="en-GB"/>
        </w:rPr>
        <w:t>[1]</w:t>
      </w:r>
      <w:r w:rsidRPr="00960254">
        <w:rPr>
          <w:rFonts w:ascii="Arial" w:eastAsia="Calibri" w:hAnsi="Arial" w:cs="Arial"/>
          <w:sz w:val="24"/>
          <w:szCs w:val="24"/>
          <w:lang w:val="en-GB"/>
        </w:rPr>
        <w:tab/>
      </w:r>
      <w:r w:rsidR="00404B63">
        <w:rPr>
          <w:rFonts w:ascii="Arial" w:eastAsia="Calibri" w:hAnsi="Arial" w:cs="Arial"/>
          <w:sz w:val="24"/>
          <w:szCs w:val="24"/>
          <w:lang w:val="en-GB"/>
        </w:rPr>
        <w:t xml:space="preserve">As an introduction it seems fitting to repeat the pre-amble of </w:t>
      </w:r>
      <w:r w:rsidR="00392DCE">
        <w:rPr>
          <w:rFonts w:ascii="Arial" w:eastAsia="Calibri" w:hAnsi="Arial" w:cs="Arial"/>
          <w:sz w:val="24"/>
          <w:szCs w:val="24"/>
          <w:lang w:val="en-GB"/>
        </w:rPr>
        <w:t xml:space="preserve">Mr </w:t>
      </w:r>
      <w:proofErr w:type="spellStart"/>
      <w:r w:rsidR="00392DCE">
        <w:rPr>
          <w:rFonts w:ascii="Arial" w:eastAsia="Calibri" w:hAnsi="Arial" w:cs="Arial"/>
          <w:sz w:val="24"/>
          <w:szCs w:val="24"/>
          <w:lang w:val="en-GB"/>
        </w:rPr>
        <w:t>Muluti</w:t>
      </w:r>
      <w:r w:rsidR="005B0CE7">
        <w:rPr>
          <w:rFonts w:ascii="Arial" w:eastAsia="Calibri" w:hAnsi="Arial" w:cs="Arial"/>
          <w:sz w:val="24"/>
          <w:szCs w:val="24"/>
          <w:lang w:val="en-GB"/>
        </w:rPr>
        <w:t>’s</w:t>
      </w:r>
      <w:proofErr w:type="spellEnd"/>
      <w:r w:rsidR="005B0CE7">
        <w:rPr>
          <w:rFonts w:ascii="Arial" w:eastAsia="Calibri" w:hAnsi="Arial" w:cs="Arial"/>
          <w:sz w:val="24"/>
          <w:szCs w:val="24"/>
          <w:lang w:val="en-GB"/>
        </w:rPr>
        <w:t xml:space="preserve"> </w:t>
      </w:r>
      <w:r w:rsidR="00B774F3">
        <w:rPr>
          <w:rFonts w:ascii="Arial" w:eastAsia="Calibri" w:hAnsi="Arial" w:cs="Arial"/>
          <w:sz w:val="24"/>
          <w:szCs w:val="24"/>
          <w:lang w:val="en-GB"/>
        </w:rPr>
        <w:t>H</w:t>
      </w:r>
      <w:r w:rsidR="005B0CE7">
        <w:rPr>
          <w:rFonts w:ascii="Arial" w:eastAsia="Calibri" w:hAnsi="Arial" w:cs="Arial"/>
          <w:sz w:val="24"/>
          <w:szCs w:val="24"/>
          <w:lang w:val="en-GB"/>
        </w:rPr>
        <w:t>e</w:t>
      </w:r>
      <w:r w:rsidR="00B774F3">
        <w:rPr>
          <w:rFonts w:ascii="Arial" w:eastAsia="Calibri" w:hAnsi="Arial" w:cs="Arial"/>
          <w:sz w:val="24"/>
          <w:szCs w:val="24"/>
          <w:lang w:val="en-GB"/>
        </w:rPr>
        <w:t>ads of A</w:t>
      </w:r>
      <w:r w:rsidR="005B0CE7">
        <w:rPr>
          <w:rFonts w:ascii="Arial" w:eastAsia="Calibri" w:hAnsi="Arial" w:cs="Arial"/>
          <w:sz w:val="24"/>
          <w:szCs w:val="24"/>
          <w:lang w:val="en-GB"/>
        </w:rPr>
        <w:t>rgument,</w:t>
      </w:r>
      <w:r w:rsidR="00392DCE">
        <w:rPr>
          <w:rFonts w:ascii="Arial" w:eastAsia="Calibri" w:hAnsi="Arial" w:cs="Arial"/>
          <w:sz w:val="24"/>
          <w:szCs w:val="24"/>
          <w:lang w:val="en-GB"/>
        </w:rPr>
        <w:t xml:space="preserve"> </w:t>
      </w:r>
      <w:r w:rsidR="00404B63">
        <w:rPr>
          <w:rFonts w:ascii="Arial" w:eastAsia="Calibri" w:hAnsi="Arial" w:cs="Arial"/>
          <w:sz w:val="24"/>
          <w:szCs w:val="24"/>
          <w:lang w:val="en-GB"/>
        </w:rPr>
        <w:t xml:space="preserve">quoting </w:t>
      </w:r>
      <w:proofErr w:type="spellStart"/>
      <w:r w:rsidR="004F0B79">
        <w:rPr>
          <w:rFonts w:ascii="Arial" w:eastAsia="Calibri" w:hAnsi="Arial" w:cs="Arial"/>
          <w:sz w:val="24"/>
          <w:szCs w:val="24"/>
          <w:lang w:val="en-GB"/>
        </w:rPr>
        <w:t>J</w:t>
      </w:r>
      <w:r w:rsidR="00BD0FC8">
        <w:rPr>
          <w:rFonts w:ascii="Arial" w:eastAsia="Calibri" w:hAnsi="Arial" w:cs="Arial"/>
          <w:sz w:val="24"/>
          <w:szCs w:val="24"/>
          <w:lang w:val="en-GB"/>
        </w:rPr>
        <w:t>alila</w:t>
      </w:r>
      <w:proofErr w:type="spellEnd"/>
      <w:r w:rsidR="004F0B79">
        <w:rPr>
          <w:rFonts w:ascii="Arial" w:eastAsia="Calibri" w:hAnsi="Arial" w:cs="Arial"/>
          <w:sz w:val="24"/>
          <w:szCs w:val="24"/>
          <w:lang w:val="en-GB"/>
        </w:rPr>
        <w:t xml:space="preserve"> J</w:t>
      </w:r>
      <w:r w:rsidR="00BD0FC8">
        <w:rPr>
          <w:rFonts w:ascii="Arial" w:eastAsia="Calibri" w:hAnsi="Arial" w:cs="Arial"/>
          <w:sz w:val="24"/>
          <w:szCs w:val="24"/>
          <w:lang w:val="en-GB"/>
        </w:rPr>
        <w:t>efferson-Bu</w:t>
      </w:r>
      <w:r w:rsidR="004F0B79">
        <w:rPr>
          <w:rFonts w:ascii="Arial" w:eastAsia="Calibri" w:hAnsi="Arial" w:cs="Arial"/>
          <w:sz w:val="24"/>
          <w:szCs w:val="24"/>
          <w:lang w:val="en-GB"/>
        </w:rPr>
        <w:t>llock</w:t>
      </w:r>
      <w:r w:rsidR="004F0B79" w:rsidRPr="00CE4321">
        <w:rPr>
          <w:rFonts w:ascii="Arial" w:eastAsia="Calibri" w:hAnsi="Arial" w:cs="Arial"/>
          <w:sz w:val="24"/>
          <w:szCs w:val="24"/>
          <w:lang w:val="en-GB"/>
        </w:rPr>
        <w:t>, Are You (Still) My Great and Worthy</w:t>
      </w:r>
      <w:r w:rsidR="00BD0FC8" w:rsidRPr="00CE4321">
        <w:rPr>
          <w:rFonts w:ascii="Arial" w:eastAsia="Calibri" w:hAnsi="Arial" w:cs="Arial"/>
          <w:sz w:val="24"/>
          <w:szCs w:val="24"/>
          <w:lang w:val="en-GB"/>
        </w:rPr>
        <w:t xml:space="preserve"> Opponent?</w:t>
      </w:r>
      <w:r w:rsidR="004F0B79">
        <w:rPr>
          <w:rFonts w:ascii="Arial" w:eastAsia="Calibri" w:hAnsi="Arial" w:cs="Arial"/>
          <w:sz w:val="24"/>
          <w:szCs w:val="24"/>
          <w:lang w:val="en-GB"/>
        </w:rPr>
        <w:t xml:space="preserve"> </w:t>
      </w:r>
      <w:r w:rsidR="00CE4321">
        <w:rPr>
          <w:rFonts w:ascii="Arial" w:eastAsia="Calibri" w:hAnsi="Arial" w:cs="Arial"/>
          <w:sz w:val="24"/>
          <w:szCs w:val="24"/>
          <w:lang w:val="en-GB"/>
        </w:rPr>
        <w:t>C</w:t>
      </w:r>
      <w:r w:rsidR="00BD0FC8">
        <w:rPr>
          <w:rFonts w:ascii="Arial" w:eastAsia="Calibri" w:hAnsi="Arial" w:cs="Arial"/>
          <w:sz w:val="24"/>
          <w:szCs w:val="24"/>
          <w:lang w:val="en-GB"/>
        </w:rPr>
        <w:t>ompassionate Release of Terminally</w:t>
      </w:r>
      <w:r w:rsidR="004F0B79">
        <w:rPr>
          <w:rFonts w:ascii="Arial" w:eastAsia="Calibri" w:hAnsi="Arial" w:cs="Arial"/>
          <w:sz w:val="24"/>
          <w:szCs w:val="24"/>
          <w:lang w:val="en-GB"/>
        </w:rPr>
        <w:t xml:space="preserve"> Ill Offenders </w:t>
      </w:r>
      <w:r w:rsidR="00BD0FC8">
        <w:rPr>
          <w:rFonts w:ascii="Arial" w:eastAsia="Calibri" w:hAnsi="Arial" w:cs="Arial"/>
          <w:sz w:val="24"/>
          <w:szCs w:val="24"/>
          <w:lang w:val="en-GB"/>
        </w:rPr>
        <w:t>[</w:t>
      </w:r>
      <w:r w:rsidR="004F0B79">
        <w:rPr>
          <w:rFonts w:ascii="Arial" w:eastAsia="Calibri" w:hAnsi="Arial" w:cs="Arial"/>
          <w:sz w:val="24"/>
          <w:szCs w:val="24"/>
          <w:lang w:val="en-GB"/>
        </w:rPr>
        <w:t xml:space="preserve">2015] 83.3 UMKCLL Rev. 521, at 523 </w:t>
      </w:r>
      <w:r w:rsidR="00392DCE">
        <w:rPr>
          <w:rFonts w:ascii="Arial" w:eastAsia="Calibri" w:hAnsi="Arial" w:cs="Arial"/>
          <w:sz w:val="24"/>
          <w:szCs w:val="24"/>
          <w:lang w:val="en-GB"/>
        </w:rPr>
        <w:t>where she states:</w:t>
      </w:r>
    </w:p>
    <w:p w:rsidR="0015497D" w:rsidRDefault="0015497D" w:rsidP="00960254">
      <w:pPr>
        <w:spacing w:after="0" w:line="360" w:lineRule="auto"/>
        <w:jc w:val="both"/>
        <w:rPr>
          <w:rFonts w:ascii="Arial" w:eastAsia="Calibri" w:hAnsi="Arial" w:cs="Arial"/>
          <w:sz w:val="24"/>
          <w:szCs w:val="24"/>
          <w:lang w:val="en-GB"/>
        </w:rPr>
      </w:pPr>
    </w:p>
    <w:p w:rsidR="00960254" w:rsidRDefault="00F85F96" w:rsidP="00960254">
      <w:pPr>
        <w:spacing w:after="0" w:line="360" w:lineRule="auto"/>
        <w:jc w:val="both"/>
        <w:rPr>
          <w:rFonts w:ascii="Arial" w:eastAsia="Calibri" w:hAnsi="Arial" w:cs="Arial"/>
          <w:lang w:val="en-GB"/>
        </w:rPr>
      </w:pPr>
      <w:r>
        <w:rPr>
          <w:rFonts w:ascii="Arial" w:eastAsia="Calibri" w:hAnsi="Arial" w:cs="Arial"/>
          <w:sz w:val="24"/>
          <w:szCs w:val="24"/>
          <w:lang w:val="en-GB"/>
        </w:rPr>
        <w:tab/>
      </w:r>
      <w:r w:rsidR="00526C3E">
        <w:rPr>
          <w:rFonts w:ascii="Arial" w:eastAsia="Calibri" w:hAnsi="Arial" w:cs="Arial"/>
          <w:sz w:val="24"/>
          <w:szCs w:val="24"/>
          <w:lang w:val="en-GB"/>
        </w:rPr>
        <w:t>‘</w:t>
      </w:r>
      <w:r w:rsidR="00960254" w:rsidRPr="00526C3E">
        <w:rPr>
          <w:rFonts w:ascii="Arial" w:eastAsia="Calibri" w:hAnsi="Arial" w:cs="Arial"/>
          <w:lang w:val="en-GB"/>
        </w:rPr>
        <w:t>Compassion</w:t>
      </w:r>
      <w:r w:rsidR="00310763">
        <w:rPr>
          <w:rFonts w:ascii="Arial" w:eastAsia="Calibri" w:hAnsi="Arial" w:cs="Arial"/>
          <w:lang w:val="en-GB"/>
        </w:rPr>
        <w:t>ate release i</w:t>
      </w:r>
      <w:r w:rsidR="00960254" w:rsidRPr="00526C3E">
        <w:rPr>
          <w:rFonts w:ascii="Arial" w:eastAsia="Calibri" w:hAnsi="Arial" w:cs="Arial"/>
          <w:lang w:val="en-GB"/>
        </w:rPr>
        <w:t xml:space="preserve">s justified by two philosophers, one legal and one medical. The legal justification is that impending death has cancelled a terminally ill </w:t>
      </w:r>
      <w:r w:rsidR="00310763" w:rsidRPr="00526C3E">
        <w:rPr>
          <w:rFonts w:ascii="Arial" w:eastAsia="Calibri" w:hAnsi="Arial" w:cs="Arial"/>
          <w:lang w:val="en-GB"/>
        </w:rPr>
        <w:t>prisoners</w:t>
      </w:r>
      <w:r w:rsidR="00960254" w:rsidRPr="00526C3E">
        <w:rPr>
          <w:rFonts w:ascii="Arial" w:eastAsia="Calibri" w:hAnsi="Arial" w:cs="Arial"/>
          <w:lang w:val="en-GB"/>
        </w:rPr>
        <w:t>’ debt to society, thereby re</w:t>
      </w:r>
      <w:r w:rsidR="00526C3E" w:rsidRPr="00526C3E">
        <w:rPr>
          <w:rFonts w:ascii="Arial" w:eastAsia="Calibri" w:hAnsi="Arial" w:cs="Arial"/>
          <w:lang w:val="en-GB"/>
        </w:rPr>
        <w:t>-har</w:t>
      </w:r>
      <w:r w:rsidR="00960254" w:rsidRPr="00526C3E">
        <w:rPr>
          <w:rFonts w:ascii="Arial" w:eastAsia="Calibri" w:hAnsi="Arial" w:cs="Arial"/>
          <w:lang w:val="en-GB"/>
        </w:rPr>
        <w:t>monising the scales of justice so that release, prior to the completion of the prisoner’s sentence, is warranted. The medical virtue of compassionate release is grounded in basic humanity, and commends that we treat dying prisoners as people, worthy of a dignified death.</w:t>
      </w:r>
    </w:p>
    <w:p w:rsidR="00526C3E" w:rsidRDefault="00960254" w:rsidP="00CE4321">
      <w:pPr>
        <w:spacing w:after="0" w:line="360" w:lineRule="auto"/>
        <w:jc w:val="both"/>
        <w:rPr>
          <w:rFonts w:ascii="Arial" w:eastAsia="Calibri" w:hAnsi="Arial" w:cs="Arial"/>
          <w:lang w:val="en-GB"/>
        </w:rPr>
      </w:pPr>
      <w:r w:rsidRPr="00526C3E">
        <w:rPr>
          <w:rFonts w:ascii="Arial" w:eastAsia="Calibri" w:hAnsi="Arial" w:cs="Arial"/>
          <w:lang w:val="en-GB"/>
        </w:rPr>
        <w:t>In such situation, the granting of compassionate release relies on a determination tha</w:t>
      </w:r>
      <w:r w:rsidR="00310763">
        <w:rPr>
          <w:rFonts w:ascii="Arial" w:eastAsia="Calibri" w:hAnsi="Arial" w:cs="Arial"/>
          <w:lang w:val="en-GB"/>
        </w:rPr>
        <w:t>t</w:t>
      </w:r>
      <w:r w:rsidRPr="00526C3E">
        <w:rPr>
          <w:rFonts w:ascii="Arial" w:eastAsia="Calibri" w:hAnsi="Arial" w:cs="Arial"/>
          <w:lang w:val="en-GB"/>
        </w:rPr>
        <w:t xml:space="preserve"> the impending death </w:t>
      </w:r>
      <w:r w:rsidR="00526C3E" w:rsidRPr="00526C3E">
        <w:rPr>
          <w:rFonts w:ascii="Arial" w:eastAsia="Calibri" w:hAnsi="Arial" w:cs="Arial"/>
          <w:lang w:val="en-GB"/>
        </w:rPr>
        <w:t>extinguishes</w:t>
      </w:r>
      <w:r w:rsidRPr="00526C3E">
        <w:rPr>
          <w:rFonts w:ascii="Arial" w:eastAsia="Calibri" w:hAnsi="Arial" w:cs="Arial"/>
          <w:lang w:val="en-GB"/>
        </w:rPr>
        <w:t xml:space="preserve"> </w:t>
      </w:r>
      <w:r w:rsidR="00526C3E" w:rsidRPr="00526C3E">
        <w:rPr>
          <w:rFonts w:ascii="Arial" w:eastAsia="Calibri" w:hAnsi="Arial" w:cs="Arial"/>
          <w:lang w:val="en-GB"/>
        </w:rPr>
        <w:t>any threat that an otherwise dangerous offender might levy upon release on a society fundamental belief that, due to the inmate’s altered circumstances, humanity and decency demand early release.</w:t>
      </w:r>
      <w:r w:rsidR="00526C3E">
        <w:rPr>
          <w:rFonts w:ascii="Arial" w:eastAsia="Calibri" w:hAnsi="Arial" w:cs="Arial"/>
          <w:lang w:val="en-GB"/>
        </w:rPr>
        <w:t>’</w:t>
      </w:r>
    </w:p>
    <w:p w:rsidR="00392DCE" w:rsidRDefault="00392DCE" w:rsidP="00392DCE">
      <w:pPr>
        <w:spacing w:after="0" w:line="360" w:lineRule="auto"/>
        <w:jc w:val="both"/>
        <w:rPr>
          <w:rFonts w:ascii="Arial" w:eastAsia="Calibri" w:hAnsi="Arial" w:cs="Arial"/>
          <w:lang w:val="en-GB"/>
        </w:rPr>
      </w:pPr>
    </w:p>
    <w:p w:rsidR="00960254" w:rsidRDefault="00526C3E" w:rsidP="00960254">
      <w:pPr>
        <w:spacing w:after="0" w:line="360" w:lineRule="auto"/>
        <w:jc w:val="both"/>
        <w:rPr>
          <w:rFonts w:ascii="Arial" w:eastAsia="Calibri" w:hAnsi="Arial" w:cs="Arial"/>
          <w:sz w:val="24"/>
          <w:szCs w:val="24"/>
          <w:u w:val="single"/>
          <w:lang w:val="en-GB"/>
        </w:rPr>
      </w:pPr>
      <w:r w:rsidRPr="00CC5D53">
        <w:rPr>
          <w:rFonts w:ascii="Arial" w:eastAsia="Calibri" w:hAnsi="Arial" w:cs="Arial"/>
          <w:sz w:val="24"/>
          <w:szCs w:val="24"/>
          <w:u w:val="single"/>
          <w:lang w:val="en-GB"/>
        </w:rPr>
        <w:t>Background</w:t>
      </w:r>
    </w:p>
    <w:p w:rsidR="0015497D" w:rsidRPr="00CC5D53" w:rsidRDefault="0015497D" w:rsidP="00960254">
      <w:pPr>
        <w:spacing w:after="0" w:line="360" w:lineRule="auto"/>
        <w:jc w:val="both"/>
        <w:rPr>
          <w:rFonts w:ascii="Arial" w:eastAsia="Calibri" w:hAnsi="Arial" w:cs="Arial"/>
          <w:sz w:val="24"/>
          <w:szCs w:val="24"/>
          <w:u w:val="single"/>
          <w:lang w:val="en-GB"/>
        </w:rPr>
      </w:pPr>
    </w:p>
    <w:p w:rsidR="00CC5D53" w:rsidRDefault="00526C3E" w:rsidP="0096025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[2]</w:t>
      </w:r>
      <w:r>
        <w:rPr>
          <w:rFonts w:ascii="Arial" w:eastAsia="Calibri" w:hAnsi="Arial" w:cs="Arial"/>
          <w:sz w:val="24"/>
          <w:szCs w:val="24"/>
          <w:lang w:val="en-GB"/>
        </w:rPr>
        <w:tab/>
      </w:r>
      <w:r w:rsidR="00404B63">
        <w:rPr>
          <w:rFonts w:ascii="Arial" w:eastAsia="Calibri" w:hAnsi="Arial" w:cs="Arial"/>
          <w:sz w:val="24"/>
          <w:szCs w:val="24"/>
          <w:lang w:val="en-GB"/>
        </w:rPr>
        <w:t xml:space="preserve">The applicant </w:t>
      </w:r>
      <w:r w:rsidR="000F166B">
        <w:rPr>
          <w:rFonts w:ascii="Arial" w:eastAsia="Calibri" w:hAnsi="Arial" w:cs="Arial"/>
          <w:sz w:val="24"/>
          <w:szCs w:val="24"/>
          <w:lang w:val="en-GB"/>
        </w:rPr>
        <w:t xml:space="preserve">is seeking </w:t>
      </w:r>
      <w:r w:rsidR="00025433">
        <w:rPr>
          <w:rFonts w:ascii="Arial" w:eastAsia="Calibri" w:hAnsi="Arial" w:cs="Arial"/>
          <w:sz w:val="24"/>
          <w:szCs w:val="24"/>
          <w:lang w:val="en-GB"/>
        </w:rPr>
        <w:t>an order d</w:t>
      </w:r>
      <w:r w:rsidR="000D1E26">
        <w:rPr>
          <w:rFonts w:ascii="Arial" w:eastAsia="Calibri" w:hAnsi="Arial" w:cs="Arial"/>
          <w:sz w:val="24"/>
          <w:szCs w:val="24"/>
          <w:lang w:val="en-GB"/>
        </w:rPr>
        <w:t xml:space="preserve">eclaring the second respondent to be in contempt of this court’s order handed down on </w:t>
      </w:r>
      <w:r w:rsidR="001D2DAC">
        <w:rPr>
          <w:rFonts w:ascii="Arial" w:eastAsia="Calibri" w:hAnsi="Arial" w:cs="Arial"/>
          <w:sz w:val="24"/>
          <w:szCs w:val="24"/>
          <w:lang w:val="en-GB"/>
        </w:rPr>
        <w:t>14 November 2022</w:t>
      </w:r>
      <w:r w:rsidR="001D2DAC">
        <w:rPr>
          <w:rStyle w:val="FootnoteReference"/>
          <w:rFonts w:ascii="Arial" w:eastAsia="Calibri" w:hAnsi="Arial" w:cs="Arial"/>
          <w:sz w:val="24"/>
          <w:szCs w:val="24"/>
          <w:lang w:val="en-GB"/>
        </w:rPr>
        <w:footnoteReference w:id="1"/>
      </w:r>
      <w:r w:rsidR="001D2DAC">
        <w:rPr>
          <w:rFonts w:ascii="Arial" w:eastAsia="Calibri" w:hAnsi="Arial" w:cs="Arial"/>
          <w:sz w:val="24"/>
          <w:szCs w:val="24"/>
          <w:lang w:val="en-GB"/>
        </w:rPr>
        <w:t xml:space="preserve"> </w:t>
      </w:r>
      <w:r w:rsidR="000D1E26">
        <w:rPr>
          <w:rFonts w:ascii="Arial" w:eastAsia="Calibri" w:hAnsi="Arial" w:cs="Arial"/>
          <w:sz w:val="24"/>
          <w:szCs w:val="24"/>
          <w:lang w:val="en-GB"/>
        </w:rPr>
        <w:t>by declining to make a recommendation to the first respondent to authorise the release of the applicant on medical grounds</w:t>
      </w:r>
      <w:r w:rsidR="00025433">
        <w:rPr>
          <w:rFonts w:ascii="Arial" w:eastAsia="Calibri" w:hAnsi="Arial" w:cs="Arial"/>
          <w:sz w:val="24"/>
          <w:szCs w:val="24"/>
          <w:lang w:val="en-GB"/>
        </w:rPr>
        <w:t xml:space="preserve"> and for refusing to inform the applicant of the reasons for declining to make the </w:t>
      </w:r>
      <w:r w:rsidR="003D0DE3">
        <w:rPr>
          <w:rFonts w:ascii="Arial" w:eastAsia="Calibri" w:hAnsi="Arial" w:cs="Arial"/>
          <w:sz w:val="24"/>
          <w:szCs w:val="24"/>
          <w:lang w:val="en-GB"/>
        </w:rPr>
        <w:t xml:space="preserve">said </w:t>
      </w:r>
      <w:r w:rsidR="00025433">
        <w:rPr>
          <w:rFonts w:ascii="Arial" w:eastAsia="Calibri" w:hAnsi="Arial" w:cs="Arial"/>
          <w:sz w:val="24"/>
          <w:szCs w:val="24"/>
          <w:lang w:val="en-GB"/>
        </w:rPr>
        <w:t>recommendation</w:t>
      </w:r>
      <w:r w:rsidR="003D0DE3">
        <w:rPr>
          <w:rFonts w:ascii="Arial" w:eastAsia="Calibri" w:hAnsi="Arial" w:cs="Arial"/>
          <w:sz w:val="24"/>
          <w:szCs w:val="24"/>
          <w:lang w:val="en-GB"/>
        </w:rPr>
        <w:t>;</w:t>
      </w:r>
      <w:r w:rsidR="00025433">
        <w:rPr>
          <w:rFonts w:ascii="Arial" w:eastAsia="Calibri" w:hAnsi="Arial" w:cs="Arial"/>
          <w:sz w:val="24"/>
          <w:szCs w:val="24"/>
          <w:lang w:val="en-GB"/>
        </w:rPr>
        <w:t xml:space="preserve"> </w:t>
      </w:r>
      <w:r w:rsidR="001D2DAC">
        <w:rPr>
          <w:rFonts w:ascii="Arial" w:eastAsia="Calibri" w:hAnsi="Arial" w:cs="Arial"/>
          <w:sz w:val="24"/>
          <w:szCs w:val="24"/>
          <w:lang w:val="en-GB"/>
        </w:rPr>
        <w:t xml:space="preserve">and </w:t>
      </w:r>
      <w:r w:rsidR="00E81DB0">
        <w:rPr>
          <w:rFonts w:ascii="Arial" w:eastAsia="Calibri" w:hAnsi="Arial" w:cs="Arial"/>
          <w:sz w:val="24"/>
          <w:szCs w:val="24"/>
          <w:lang w:val="en-GB"/>
        </w:rPr>
        <w:t xml:space="preserve">to </w:t>
      </w:r>
      <w:r w:rsidR="000D1E26">
        <w:rPr>
          <w:rFonts w:ascii="Arial" w:eastAsia="Calibri" w:hAnsi="Arial" w:cs="Arial"/>
          <w:sz w:val="24"/>
          <w:szCs w:val="24"/>
          <w:lang w:val="en-GB"/>
        </w:rPr>
        <w:t xml:space="preserve">convict </w:t>
      </w:r>
      <w:r w:rsidR="003D0DE3">
        <w:rPr>
          <w:rFonts w:ascii="Arial" w:eastAsia="Calibri" w:hAnsi="Arial" w:cs="Arial"/>
          <w:sz w:val="24"/>
          <w:szCs w:val="24"/>
          <w:lang w:val="en-GB"/>
        </w:rPr>
        <w:t xml:space="preserve">the second respondent </w:t>
      </w:r>
      <w:r w:rsidR="000D1E26">
        <w:rPr>
          <w:rFonts w:ascii="Arial" w:eastAsia="Calibri" w:hAnsi="Arial" w:cs="Arial"/>
          <w:sz w:val="24"/>
          <w:szCs w:val="24"/>
          <w:lang w:val="en-GB"/>
        </w:rPr>
        <w:t xml:space="preserve">of contempt of court. </w:t>
      </w:r>
      <w:r w:rsidR="003D0DE3">
        <w:rPr>
          <w:rFonts w:ascii="Arial" w:eastAsia="Calibri" w:hAnsi="Arial" w:cs="Arial"/>
          <w:sz w:val="24"/>
          <w:szCs w:val="24"/>
          <w:lang w:val="en-GB"/>
        </w:rPr>
        <w:t xml:space="preserve">The applicant </w:t>
      </w:r>
      <w:r w:rsidR="00E81DB0">
        <w:rPr>
          <w:rFonts w:ascii="Arial" w:eastAsia="Calibri" w:hAnsi="Arial" w:cs="Arial"/>
          <w:sz w:val="24"/>
          <w:szCs w:val="24"/>
          <w:lang w:val="en-GB"/>
        </w:rPr>
        <w:t xml:space="preserve">is further seeking </w:t>
      </w:r>
      <w:r w:rsidR="000D1E26">
        <w:rPr>
          <w:rFonts w:ascii="Arial" w:eastAsia="Calibri" w:hAnsi="Arial" w:cs="Arial"/>
          <w:sz w:val="24"/>
          <w:szCs w:val="24"/>
          <w:lang w:val="en-GB"/>
        </w:rPr>
        <w:t xml:space="preserve">an order for </w:t>
      </w:r>
      <w:r w:rsidR="003D0DE3">
        <w:rPr>
          <w:rFonts w:ascii="Arial" w:eastAsia="Calibri" w:hAnsi="Arial" w:cs="Arial"/>
          <w:sz w:val="24"/>
          <w:szCs w:val="24"/>
          <w:lang w:val="en-GB"/>
        </w:rPr>
        <w:t xml:space="preserve">the court to direct the </w:t>
      </w:r>
      <w:r w:rsidR="000D1E26">
        <w:rPr>
          <w:rFonts w:ascii="Arial" w:eastAsia="Calibri" w:hAnsi="Arial" w:cs="Arial"/>
          <w:sz w:val="24"/>
          <w:szCs w:val="24"/>
          <w:lang w:val="en-GB"/>
        </w:rPr>
        <w:t xml:space="preserve">second respondent to </w:t>
      </w:r>
      <w:r w:rsidR="001803FA">
        <w:rPr>
          <w:rFonts w:ascii="Arial" w:eastAsia="Calibri" w:hAnsi="Arial" w:cs="Arial"/>
          <w:sz w:val="24"/>
          <w:szCs w:val="24"/>
          <w:lang w:val="en-GB"/>
        </w:rPr>
        <w:t xml:space="preserve">properly </w:t>
      </w:r>
      <w:r w:rsidR="000D1E26">
        <w:rPr>
          <w:rFonts w:ascii="Arial" w:eastAsia="Calibri" w:hAnsi="Arial" w:cs="Arial"/>
          <w:sz w:val="24"/>
          <w:szCs w:val="24"/>
          <w:lang w:val="en-GB"/>
        </w:rPr>
        <w:t xml:space="preserve">comply with order </w:t>
      </w:r>
      <w:r w:rsidR="00CC5D53">
        <w:rPr>
          <w:rFonts w:ascii="Arial" w:eastAsia="Calibri" w:hAnsi="Arial" w:cs="Arial"/>
          <w:sz w:val="24"/>
          <w:szCs w:val="24"/>
          <w:lang w:val="en-GB"/>
        </w:rPr>
        <w:t xml:space="preserve">four </w:t>
      </w:r>
      <w:r w:rsidR="000D1E26">
        <w:rPr>
          <w:rFonts w:ascii="Arial" w:eastAsia="Calibri" w:hAnsi="Arial" w:cs="Arial"/>
          <w:sz w:val="24"/>
          <w:szCs w:val="24"/>
          <w:lang w:val="en-GB"/>
        </w:rPr>
        <w:t xml:space="preserve">of the </w:t>
      </w:r>
      <w:r w:rsidR="00025433">
        <w:rPr>
          <w:rFonts w:ascii="Arial" w:eastAsia="Calibri" w:hAnsi="Arial" w:cs="Arial"/>
          <w:sz w:val="24"/>
          <w:szCs w:val="24"/>
          <w:lang w:val="en-GB"/>
        </w:rPr>
        <w:t xml:space="preserve">above-mentioned </w:t>
      </w:r>
      <w:r w:rsidR="000D1E26">
        <w:rPr>
          <w:rFonts w:ascii="Arial" w:eastAsia="Calibri" w:hAnsi="Arial" w:cs="Arial"/>
          <w:sz w:val="24"/>
          <w:szCs w:val="24"/>
          <w:lang w:val="en-GB"/>
        </w:rPr>
        <w:t>court order</w:t>
      </w:r>
      <w:r w:rsidR="00CC5D53">
        <w:rPr>
          <w:rFonts w:ascii="Arial" w:eastAsia="Calibri" w:hAnsi="Arial" w:cs="Arial"/>
          <w:sz w:val="24"/>
          <w:szCs w:val="24"/>
          <w:lang w:val="en-GB"/>
        </w:rPr>
        <w:t xml:space="preserve">, </w:t>
      </w:r>
      <w:r w:rsidR="000D1E26">
        <w:rPr>
          <w:rFonts w:ascii="Arial" w:eastAsia="Calibri" w:hAnsi="Arial" w:cs="Arial"/>
          <w:sz w:val="24"/>
          <w:szCs w:val="24"/>
          <w:lang w:val="en-GB"/>
        </w:rPr>
        <w:t>by making a recommendation for the release of the app</w:t>
      </w:r>
      <w:r w:rsidR="00B81FED">
        <w:rPr>
          <w:rFonts w:ascii="Arial" w:eastAsia="Calibri" w:hAnsi="Arial" w:cs="Arial"/>
          <w:sz w:val="24"/>
          <w:szCs w:val="24"/>
          <w:lang w:val="en-GB"/>
        </w:rPr>
        <w:t>licant as contemplated by s 109</w:t>
      </w:r>
      <w:r w:rsidR="000D1E26">
        <w:rPr>
          <w:rFonts w:ascii="Arial" w:eastAsia="Calibri" w:hAnsi="Arial" w:cs="Arial"/>
          <w:sz w:val="24"/>
          <w:szCs w:val="24"/>
          <w:lang w:val="en-GB"/>
        </w:rPr>
        <w:t>(</w:t>
      </w:r>
      <w:r w:rsidR="000D1E26" w:rsidRPr="00B81FED">
        <w:rPr>
          <w:rFonts w:ascii="Arial" w:eastAsia="Calibri" w:hAnsi="Arial" w:cs="Arial"/>
          <w:i/>
          <w:sz w:val="24"/>
          <w:szCs w:val="24"/>
          <w:lang w:val="en-GB"/>
        </w:rPr>
        <w:t>a</w:t>
      </w:r>
      <w:r w:rsidR="000D1E26">
        <w:rPr>
          <w:rFonts w:ascii="Arial" w:eastAsia="Calibri" w:hAnsi="Arial" w:cs="Arial"/>
          <w:sz w:val="24"/>
          <w:szCs w:val="24"/>
          <w:lang w:val="en-GB"/>
        </w:rPr>
        <w:t xml:space="preserve">) </w:t>
      </w:r>
      <w:r w:rsidR="000D1E26" w:rsidRPr="00441731">
        <w:rPr>
          <w:rFonts w:ascii="Arial" w:eastAsia="Calibri" w:hAnsi="Arial" w:cs="Arial"/>
          <w:sz w:val="24"/>
          <w:szCs w:val="24"/>
          <w:lang w:val="en-GB"/>
        </w:rPr>
        <w:t>of the</w:t>
      </w:r>
      <w:r w:rsidR="000D1E26" w:rsidRPr="00441731">
        <w:rPr>
          <w:rFonts w:ascii="Arial" w:eastAsia="Calibri" w:hAnsi="Arial" w:cs="Arial"/>
          <w:color w:val="FF0000"/>
          <w:sz w:val="24"/>
          <w:szCs w:val="24"/>
          <w:lang w:val="en-GB"/>
        </w:rPr>
        <w:t xml:space="preserve"> </w:t>
      </w:r>
      <w:r w:rsidR="00A7143C" w:rsidRPr="00A7143C">
        <w:rPr>
          <w:rFonts w:ascii="Arial" w:eastAsia="Calibri" w:hAnsi="Arial" w:cs="Arial"/>
          <w:sz w:val="24"/>
          <w:szCs w:val="24"/>
          <w:lang w:val="en-GB"/>
        </w:rPr>
        <w:t>Correctional</w:t>
      </w:r>
      <w:r w:rsidR="00A7143C">
        <w:rPr>
          <w:rFonts w:ascii="Arial" w:eastAsia="Calibri" w:hAnsi="Arial" w:cs="Arial"/>
          <w:color w:val="FF0000"/>
          <w:sz w:val="24"/>
          <w:szCs w:val="24"/>
          <w:lang w:val="en-GB"/>
        </w:rPr>
        <w:t xml:space="preserve"> </w:t>
      </w:r>
      <w:r w:rsidR="00A7143C" w:rsidRPr="00A7143C">
        <w:rPr>
          <w:rFonts w:ascii="Arial" w:eastAsia="Calibri" w:hAnsi="Arial" w:cs="Arial"/>
          <w:sz w:val="24"/>
          <w:szCs w:val="24"/>
          <w:lang w:val="en-GB"/>
        </w:rPr>
        <w:t xml:space="preserve">Service Act 9 of 2012 (the </w:t>
      </w:r>
      <w:r w:rsidR="000D1E26" w:rsidRPr="00441731">
        <w:rPr>
          <w:rFonts w:ascii="Arial" w:eastAsia="Calibri" w:hAnsi="Arial" w:cs="Arial"/>
          <w:sz w:val="24"/>
          <w:szCs w:val="24"/>
          <w:lang w:val="en-GB"/>
        </w:rPr>
        <w:t>Act</w:t>
      </w:r>
      <w:r w:rsidR="00A7143C">
        <w:rPr>
          <w:rFonts w:ascii="Arial" w:eastAsia="Calibri" w:hAnsi="Arial" w:cs="Arial"/>
          <w:sz w:val="24"/>
          <w:szCs w:val="24"/>
          <w:lang w:val="en-GB"/>
        </w:rPr>
        <w:t>)</w:t>
      </w:r>
      <w:r w:rsidR="00CC5D53" w:rsidRPr="00441731">
        <w:rPr>
          <w:rFonts w:ascii="Arial" w:eastAsia="Calibri" w:hAnsi="Arial" w:cs="Arial"/>
          <w:color w:val="FF0000"/>
          <w:sz w:val="24"/>
          <w:szCs w:val="24"/>
          <w:lang w:val="en-GB"/>
        </w:rPr>
        <w:t xml:space="preserve"> </w:t>
      </w:r>
      <w:r w:rsidR="00CC5D53" w:rsidRPr="00441731">
        <w:rPr>
          <w:rFonts w:ascii="Arial" w:eastAsia="Calibri" w:hAnsi="Arial" w:cs="Arial"/>
          <w:sz w:val="24"/>
          <w:szCs w:val="24"/>
          <w:lang w:val="en-GB"/>
        </w:rPr>
        <w:t>within three calendar days of granting the order</w:t>
      </w:r>
      <w:r w:rsidR="00025433" w:rsidRPr="00441731">
        <w:rPr>
          <w:rFonts w:ascii="Arial" w:eastAsia="Calibri" w:hAnsi="Arial" w:cs="Arial"/>
          <w:sz w:val="24"/>
          <w:szCs w:val="24"/>
          <w:lang w:val="en-GB"/>
        </w:rPr>
        <w:t xml:space="preserve">. </w:t>
      </w:r>
      <w:r w:rsidR="00CC5D53" w:rsidRPr="00441731">
        <w:rPr>
          <w:rFonts w:ascii="Arial" w:eastAsia="Calibri" w:hAnsi="Arial" w:cs="Arial"/>
          <w:sz w:val="24"/>
          <w:szCs w:val="24"/>
          <w:lang w:val="en-GB"/>
        </w:rPr>
        <w:t>The applicant further prays for this</w:t>
      </w:r>
      <w:r w:rsidR="00025433" w:rsidRPr="00441731">
        <w:rPr>
          <w:rFonts w:ascii="Arial" w:eastAsia="Calibri" w:hAnsi="Arial" w:cs="Arial"/>
          <w:sz w:val="24"/>
          <w:szCs w:val="24"/>
          <w:lang w:val="en-GB"/>
        </w:rPr>
        <w:t xml:space="preserve"> court to issue a warrant of arrest forthwith committing the </w:t>
      </w:r>
      <w:r w:rsidR="000D1E26" w:rsidRPr="00441731">
        <w:rPr>
          <w:rFonts w:ascii="Arial" w:eastAsia="Calibri" w:hAnsi="Arial" w:cs="Arial"/>
          <w:sz w:val="24"/>
          <w:szCs w:val="24"/>
          <w:lang w:val="en-GB"/>
        </w:rPr>
        <w:t>second</w:t>
      </w:r>
      <w:r w:rsidR="000D1E26">
        <w:rPr>
          <w:rFonts w:ascii="Arial" w:eastAsia="Calibri" w:hAnsi="Arial" w:cs="Arial"/>
          <w:sz w:val="24"/>
          <w:szCs w:val="24"/>
          <w:lang w:val="en-GB"/>
        </w:rPr>
        <w:t xml:space="preserve"> resp</w:t>
      </w:r>
      <w:r w:rsidR="00025433">
        <w:rPr>
          <w:rFonts w:ascii="Arial" w:eastAsia="Calibri" w:hAnsi="Arial" w:cs="Arial"/>
          <w:sz w:val="24"/>
          <w:szCs w:val="24"/>
          <w:lang w:val="en-GB"/>
        </w:rPr>
        <w:t xml:space="preserve">ondent to imprisonment for contempt of court until he </w:t>
      </w:r>
      <w:r w:rsidR="00025433">
        <w:rPr>
          <w:rFonts w:ascii="Arial" w:eastAsia="Calibri" w:hAnsi="Arial" w:cs="Arial"/>
          <w:sz w:val="24"/>
          <w:szCs w:val="24"/>
          <w:lang w:val="en-GB"/>
        </w:rPr>
        <w:lastRenderedPageBreak/>
        <w:t xml:space="preserve">complies with order </w:t>
      </w:r>
      <w:r w:rsidR="00B81FED">
        <w:rPr>
          <w:rFonts w:ascii="Arial" w:eastAsia="Calibri" w:hAnsi="Arial" w:cs="Arial"/>
          <w:sz w:val="24"/>
          <w:szCs w:val="24"/>
          <w:lang w:val="en-GB"/>
        </w:rPr>
        <w:t>four</w:t>
      </w:r>
      <w:r w:rsidR="00025433">
        <w:rPr>
          <w:rFonts w:ascii="Arial" w:eastAsia="Calibri" w:hAnsi="Arial" w:cs="Arial"/>
          <w:sz w:val="24"/>
          <w:szCs w:val="24"/>
          <w:lang w:val="en-GB"/>
        </w:rPr>
        <w:t xml:space="preserve"> above</w:t>
      </w:r>
      <w:r w:rsidR="00CC5D53">
        <w:rPr>
          <w:rFonts w:ascii="Arial" w:eastAsia="Calibri" w:hAnsi="Arial" w:cs="Arial"/>
          <w:sz w:val="24"/>
          <w:szCs w:val="24"/>
          <w:lang w:val="en-GB"/>
        </w:rPr>
        <w:t xml:space="preserve"> and that the said </w:t>
      </w:r>
      <w:r w:rsidR="00AB0629">
        <w:rPr>
          <w:rFonts w:ascii="Arial" w:eastAsia="Calibri" w:hAnsi="Arial" w:cs="Arial"/>
          <w:sz w:val="24"/>
          <w:szCs w:val="24"/>
          <w:lang w:val="en-GB"/>
        </w:rPr>
        <w:t>warrant only be executed after one</w:t>
      </w:r>
      <w:r w:rsidR="00CC5D53">
        <w:rPr>
          <w:rFonts w:ascii="Arial" w:eastAsia="Calibri" w:hAnsi="Arial" w:cs="Arial"/>
          <w:sz w:val="24"/>
          <w:szCs w:val="24"/>
          <w:lang w:val="en-GB"/>
        </w:rPr>
        <w:t xml:space="preserve"> calendar day after the expiry of the</w:t>
      </w:r>
      <w:r w:rsidR="001803FA">
        <w:rPr>
          <w:rFonts w:ascii="Arial" w:eastAsia="Calibri" w:hAnsi="Arial" w:cs="Arial"/>
          <w:sz w:val="24"/>
          <w:szCs w:val="24"/>
          <w:lang w:val="en-GB"/>
        </w:rPr>
        <w:t xml:space="preserve"> afore-mentioned</w:t>
      </w:r>
      <w:r w:rsidR="00CC5D53">
        <w:rPr>
          <w:rFonts w:ascii="Arial" w:eastAsia="Calibri" w:hAnsi="Arial" w:cs="Arial"/>
          <w:sz w:val="24"/>
          <w:szCs w:val="24"/>
          <w:lang w:val="en-GB"/>
        </w:rPr>
        <w:t xml:space="preserve"> three days. The final prayer is for the first respondent to authorise the release of the applicant on the recommendation of order 4 above as contemplat</w:t>
      </w:r>
      <w:r w:rsidR="00AB0629">
        <w:rPr>
          <w:rFonts w:ascii="Arial" w:eastAsia="Calibri" w:hAnsi="Arial" w:cs="Arial"/>
          <w:sz w:val="24"/>
          <w:szCs w:val="24"/>
          <w:lang w:val="en-GB"/>
        </w:rPr>
        <w:t>ed in s</w:t>
      </w:r>
      <w:r w:rsidR="00CC5D53">
        <w:rPr>
          <w:rFonts w:ascii="Arial" w:eastAsia="Calibri" w:hAnsi="Arial" w:cs="Arial"/>
          <w:sz w:val="24"/>
          <w:szCs w:val="24"/>
          <w:lang w:val="en-GB"/>
        </w:rPr>
        <w:t xml:space="preserve"> 109(</w:t>
      </w:r>
      <w:r w:rsidR="00CC5D53" w:rsidRPr="00B81FED">
        <w:rPr>
          <w:rFonts w:ascii="Arial" w:eastAsia="Calibri" w:hAnsi="Arial" w:cs="Arial"/>
          <w:i/>
          <w:sz w:val="24"/>
          <w:szCs w:val="24"/>
          <w:lang w:val="en-GB"/>
        </w:rPr>
        <w:t>a</w:t>
      </w:r>
      <w:r w:rsidR="00CC5D53">
        <w:rPr>
          <w:rFonts w:ascii="Arial" w:eastAsia="Calibri" w:hAnsi="Arial" w:cs="Arial"/>
          <w:sz w:val="24"/>
          <w:szCs w:val="24"/>
          <w:lang w:val="en-GB"/>
        </w:rPr>
        <w:t xml:space="preserve">) of the Act within four calendar days.  </w:t>
      </w:r>
    </w:p>
    <w:p w:rsidR="00CC5D53" w:rsidRDefault="00CC5D53" w:rsidP="00960254">
      <w:pPr>
        <w:spacing w:after="0" w:line="360" w:lineRule="auto"/>
        <w:jc w:val="both"/>
        <w:rPr>
          <w:rFonts w:ascii="Arial" w:eastAsia="Calibri" w:hAnsi="Arial" w:cs="Arial"/>
          <w:sz w:val="24"/>
          <w:szCs w:val="24"/>
          <w:lang w:val="en-GB"/>
        </w:rPr>
      </w:pPr>
    </w:p>
    <w:p w:rsidR="001803FA" w:rsidRDefault="00526C3E" w:rsidP="001803F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w:t>
      </w:r>
      <w:r>
        <w:rPr>
          <w:rFonts w:ascii="Arial" w:eastAsia="Calibri" w:hAnsi="Arial" w:cs="Arial"/>
          <w:sz w:val="24"/>
          <w:szCs w:val="24"/>
          <w:lang w:val="en-GB"/>
        </w:rPr>
        <w:tab/>
        <w:t xml:space="preserve">The </w:t>
      </w:r>
      <w:r w:rsidR="00CC5D53">
        <w:rPr>
          <w:rFonts w:ascii="Arial" w:eastAsia="Calibri" w:hAnsi="Arial" w:cs="Arial"/>
          <w:sz w:val="24"/>
          <w:szCs w:val="24"/>
          <w:lang w:val="en-GB"/>
        </w:rPr>
        <w:t xml:space="preserve">court order </w:t>
      </w:r>
      <w:r>
        <w:rPr>
          <w:rFonts w:ascii="Arial" w:eastAsia="Calibri" w:hAnsi="Arial" w:cs="Arial"/>
          <w:sz w:val="24"/>
          <w:szCs w:val="24"/>
          <w:lang w:val="en-GB"/>
        </w:rPr>
        <w:t xml:space="preserve">of </w:t>
      </w:r>
      <w:proofErr w:type="spellStart"/>
      <w:r>
        <w:rPr>
          <w:rFonts w:ascii="Arial" w:eastAsia="Calibri" w:hAnsi="Arial" w:cs="Arial"/>
          <w:sz w:val="24"/>
          <w:szCs w:val="24"/>
          <w:lang w:val="en-GB"/>
        </w:rPr>
        <w:t>Schimming</w:t>
      </w:r>
      <w:proofErr w:type="spellEnd"/>
      <w:r>
        <w:rPr>
          <w:rFonts w:ascii="Arial" w:eastAsia="Calibri" w:hAnsi="Arial" w:cs="Arial"/>
          <w:sz w:val="24"/>
          <w:szCs w:val="24"/>
          <w:lang w:val="en-GB"/>
        </w:rPr>
        <w:t>-Chase</w:t>
      </w:r>
      <w:r w:rsidR="00CC5D53">
        <w:rPr>
          <w:rFonts w:ascii="Arial" w:eastAsia="Calibri" w:hAnsi="Arial" w:cs="Arial"/>
          <w:sz w:val="24"/>
          <w:szCs w:val="24"/>
          <w:lang w:val="en-GB"/>
        </w:rPr>
        <w:t xml:space="preserve"> J</w:t>
      </w:r>
      <w:r>
        <w:rPr>
          <w:rFonts w:ascii="Arial" w:eastAsia="Calibri" w:hAnsi="Arial" w:cs="Arial"/>
          <w:sz w:val="24"/>
          <w:szCs w:val="24"/>
          <w:lang w:val="en-GB"/>
        </w:rPr>
        <w:t xml:space="preserve"> </w:t>
      </w:r>
      <w:r w:rsidR="00CC5D53">
        <w:rPr>
          <w:rFonts w:ascii="Arial" w:eastAsia="Calibri" w:hAnsi="Arial" w:cs="Arial"/>
          <w:sz w:val="24"/>
          <w:szCs w:val="24"/>
          <w:lang w:val="en-GB"/>
        </w:rPr>
        <w:t xml:space="preserve">of </w:t>
      </w:r>
      <w:r w:rsidR="000C6C2B">
        <w:rPr>
          <w:rFonts w:ascii="Arial" w:eastAsia="Calibri" w:hAnsi="Arial" w:cs="Arial"/>
          <w:sz w:val="24"/>
          <w:szCs w:val="24"/>
          <w:lang w:val="en-GB"/>
        </w:rPr>
        <w:t>14 November 2022</w:t>
      </w:r>
      <w:r w:rsidR="00CC5D53">
        <w:rPr>
          <w:rFonts w:ascii="Arial" w:eastAsia="Calibri" w:hAnsi="Arial" w:cs="Arial"/>
          <w:sz w:val="24"/>
          <w:szCs w:val="24"/>
          <w:lang w:val="en-GB"/>
        </w:rPr>
        <w:t xml:space="preserve"> reads as follows:</w:t>
      </w:r>
      <w:r w:rsidR="000C6C2B">
        <w:rPr>
          <w:rFonts w:ascii="Arial" w:eastAsia="Calibri" w:hAnsi="Arial" w:cs="Arial"/>
          <w:sz w:val="24"/>
          <w:szCs w:val="24"/>
          <w:lang w:val="en-GB"/>
        </w:rPr>
        <w:t xml:space="preserve"> </w:t>
      </w:r>
    </w:p>
    <w:p w:rsidR="001803FA" w:rsidRDefault="001803FA" w:rsidP="001803FA">
      <w:pPr>
        <w:spacing w:after="0" w:line="360" w:lineRule="auto"/>
        <w:ind w:firstLine="720"/>
        <w:jc w:val="both"/>
        <w:rPr>
          <w:rFonts w:ascii="Arial" w:eastAsia="Times New Roman" w:hAnsi="Arial" w:cs="Arial"/>
          <w:b/>
          <w:bCs/>
          <w:spacing w:val="-3"/>
          <w:lang w:val="en-ZA"/>
        </w:rPr>
      </w:pPr>
    </w:p>
    <w:p w:rsidR="001803FA" w:rsidRDefault="00934FC6" w:rsidP="001803FA">
      <w:pPr>
        <w:spacing w:after="0" w:line="360" w:lineRule="auto"/>
        <w:ind w:firstLine="720"/>
        <w:jc w:val="both"/>
        <w:rPr>
          <w:rFonts w:ascii="Arial" w:eastAsia="Calibri" w:hAnsi="Arial" w:cs="Arial"/>
          <w:sz w:val="24"/>
          <w:szCs w:val="24"/>
          <w:lang w:val="en-GB"/>
        </w:rPr>
      </w:pPr>
      <w:r>
        <w:rPr>
          <w:rFonts w:ascii="Arial" w:eastAsia="Times New Roman" w:hAnsi="Arial" w:cs="Arial"/>
          <w:b/>
          <w:bCs/>
          <w:spacing w:val="-3"/>
          <w:lang w:val="en-ZA"/>
        </w:rPr>
        <w:t>‘</w:t>
      </w:r>
      <w:r w:rsidR="001803FA" w:rsidRPr="001803FA">
        <w:rPr>
          <w:rFonts w:ascii="Arial" w:eastAsia="Times New Roman" w:hAnsi="Arial" w:cs="Arial"/>
          <w:bCs/>
          <w:spacing w:val="-3"/>
          <w:lang w:val="en-ZA"/>
        </w:rPr>
        <w:t>1.</w:t>
      </w:r>
      <w:r w:rsidR="001803FA">
        <w:rPr>
          <w:rFonts w:ascii="Arial" w:eastAsia="Times New Roman" w:hAnsi="Arial" w:cs="Arial"/>
          <w:b/>
          <w:bCs/>
          <w:spacing w:val="-3"/>
          <w:lang w:val="en-ZA"/>
        </w:rPr>
        <w:t xml:space="preserve"> </w:t>
      </w:r>
      <w:r w:rsidR="00B94CCE">
        <w:rPr>
          <w:rFonts w:ascii="Arial" w:eastAsia="Times New Roman" w:hAnsi="Arial" w:cs="Arial"/>
          <w:b/>
          <w:bCs/>
          <w:spacing w:val="-3"/>
          <w:lang w:val="en-ZA"/>
        </w:rPr>
        <w:t xml:space="preserve">  </w:t>
      </w:r>
      <w:r w:rsidR="000C6C2B" w:rsidRPr="001803FA">
        <w:rPr>
          <w:rFonts w:ascii="Arial" w:eastAsia="Times New Roman" w:hAnsi="Arial" w:cs="Arial"/>
          <w:bCs/>
          <w:spacing w:val="-3"/>
          <w:lang w:val="en-ZA"/>
        </w:rPr>
        <w:t xml:space="preserve">Regulation 274 published in </w:t>
      </w:r>
      <w:bookmarkStart w:id="1" w:name="_Hlk118987172"/>
      <w:r w:rsidR="000C6C2B" w:rsidRPr="001803FA">
        <w:rPr>
          <w:rFonts w:ascii="Arial" w:eastAsia="Times New Roman" w:hAnsi="Arial" w:cs="Arial"/>
          <w:bCs/>
          <w:spacing w:val="-3"/>
          <w:lang w:val="en-ZA"/>
        </w:rPr>
        <w:t>Government Notice 331 of 2013, (GG5365</w:t>
      </w:r>
      <w:bookmarkEnd w:id="1"/>
      <w:r w:rsidR="000C6C2B" w:rsidRPr="001803FA">
        <w:rPr>
          <w:rFonts w:ascii="Arial" w:eastAsia="Times New Roman" w:hAnsi="Arial" w:cs="Arial"/>
          <w:bCs/>
          <w:spacing w:val="-3"/>
          <w:lang w:val="en-ZA"/>
        </w:rPr>
        <w:t xml:space="preserve">) under the title Namibian Correctional Service Regulations, is declared to be </w:t>
      </w:r>
      <w:r w:rsidR="000C6C2B" w:rsidRPr="001803FA">
        <w:rPr>
          <w:rFonts w:ascii="Arial" w:eastAsia="Times New Roman" w:hAnsi="Arial" w:cs="Arial"/>
          <w:bCs/>
          <w:i/>
          <w:iCs/>
          <w:spacing w:val="-3"/>
          <w:lang w:val="en-ZA"/>
        </w:rPr>
        <w:t>ultra vires</w:t>
      </w:r>
      <w:r w:rsidR="000C6C2B" w:rsidRPr="001803FA">
        <w:rPr>
          <w:rFonts w:ascii="Arial" w:eastAsia="Times New Roman" w:hAnsi="Arial" w:cs="Arial"/>
          <w:bCs/>
          <w:spacing w:val="-3"/>
          <w:lang w:val="en-ZA"/>
        </w:rPr>
        <w:t xml:space="preserve"> the provisions of s 109 read with s 132 of the Correctional Service Act 9 of 2012.</w:t>
      </w:r>
    </w:p>
    <w:p w:rsidR="001803FA" w:rsidRPr="001803FA" w:rsidRDefault="001803FA" w:rsidP="001803FA">
      <w:pPr>
        <w:spacing w:after="0" w:line="360" w:lineRule="auto"/>
        <w:jc w:val="both"/>
        <w:rPr>
          <w:rFonts w:ascii="Arial" w:eastAsia="Calibri" w:hAnsi="Arial" w:cs="Arial"/>
          <w:sz w:val="24"/>
          <w:szCs w:val="24"/>
          <w:lang w:val="en-GB"/>
        </w:rPr>
      </w:pPr>
      <w:r>
        <w:rPr>
          <w:rFonts w:ascii="Arial" w:eastAsia="Times New Roman" w:hAnsi="Arial" w:cs="Arial"/>
          <w:spacing w:val="-3"/>
          <w:lang w:val="en-ZA"/>
        </w:rPr>
        <w:t xml:space="preserve">2.  </w:t>
      </w:r>
      <w:r w:rsidR="000C6C2B" w:rsidRPr="001803FA">
        <w:rPr>
          <w:rFonts w:ascii="Arial" w:eastAsia="Times New Roman" w:hAnsi="Arial" w:cs="Arial"/>
          <w:spacing w:val="-3"/>
          <w:lang w:val="en-ZA"/>
        </w:rPr>
        <w:t>Regulation 274, together with sub</w:t>
      </w:r>
      <w:r w:rsidR="00E93599" w:rsidRPr="001803FA">
        <w:rPr>
          <w:rFonts w:ascii="Arial" w:eastAsia="Times New Roman" w:hAnsi="Arial" w:cs="Arial"/>
          <w:spacing w:val="-3"/>
          <w:lang w:val="en-ZA"/>
        </w:rPr>
        <w:t>-</w:t>
      </w:r>
      <w:r w:rsidR="000C6C2B" w:rsidRPr="001803FA">
        <w:rPr>
          <w:rFonts w:ascii="Arial" w:eastAsia="Times New Roman" w:hAnsi="Arial" w:cs="Arial"/>
          <w:spacing w:val="-3"/>
          <w:lang w:val="en-ZA"/>
        </w:rPr>
        <w:t>regulations, of the Namibian Correctional Service Regulations published in Government Notice 331 of 2013, (GG5365) is hereby set aside.</w:t>
      </w:r>
    </w:p>
    <w:p w:rsidR="001803FA" w:rsidRPr="001803FA" w:rsidRDefault="001803FA" w:rsidP="001803FA">
      <w:pPr>
        <w:spacing w:after="0" w:line="360" w:lineRule="auto"/>
        <w:jc w:val="both"/>
        <w:rPr>
          <w:rFonts w:ascii="Arial" w:eastAsia="Times New Roman" w:hAnsi="Arial"/>
        </w:rPr>
      </w:pPr>
      <w:r>
        <w:rPr>
          <w:rFonts w:ascii="Arial" w:eastAsia="Times New Roman" w:hAnsi="Arial"/>
        </w:rPr>
        <w:t xml:space="preserve">3.  </w:t>
      </w:r>
      <w:r w:rsidR="00B94CCE">
        <w:rPr>
          <w:rFonts w:ascii="Arial" w:eastAsia="Times New Roman" w:hAnsi="Arial"/>
        </w:rPr>
        <w:t xml:space="preserve"> </w:t>
      </w:r>
      <w:r w:rsidR="000C6C2B" w:rsidRPr="001803FA">
        <w:rPr>
          <w:rFonts w:ascii="Arial" w:eastAsia="Times New Roman" w:hAnsi="Arial"/>
        </w:rPr>
        <w:t xml:space="preserve">The fifth respondent is ordered, within 15 days from the date of this order, to make a determination as to whether or not the disease(s) affecting the applicant is a dangerous disease, or whether or not the applicant’s continued incarceration is detrimental to the applicant’s health on the grounds of his physical condition in terms of s 109 of the Correctional Service Act 9 of 2012.  </w:t>
      </w:r>
    </w:p>
    <w:p w:rsidR="000C6C2B" w:rsidRPr="001803FA" w:rsidRDefault="001803FA" w:rsidP="001803FA">
      <w:pPr>
        <w:spacing w:after="0" w:line="360" w:lineRule="auto"/>
        <w:jc w:val="both"/>
        <w:rPr>
          <w:rFonts w:ascii="Arial" w:eastAsia="Times New Roman" w:hAnsi="Arial"/>
        </w:rPr>
      </w:pPr>
      <w:r>
        <w:rPr>
          <w:rFonts w:ascii="Arial" w:eastAsia="Times New Roman" w:hAnsi="Arial"/>
        </w:rPr>
        <w:t xml:space="preserve">4.  </w:t>
      </w:r>
      <w:r w:rsidR="00B94CCE">
        <w:rPr>
          <w:rFonts w:ascii="Arial" w:eastAsia="Times New Roman" w:hAnsi="Arial"/>
        </w:rPr>
        <w:t xml:space="preserve">   </w:t>
      </w:r>
      <w:r w:rsidR="000C6C2B" w:rsidRPr="001803FA">
        <w:rPr>
          <w:rFonts w:ascii="Arial" w:eastAsia="Times New Roman" w:hAnsi="Arial"/>
        </w:rPr>
        <w:t>In the event that the fifth respondent determines that one or more of the disease(s) afflicting the applicant is a dangerous disease, or that the applicant’s continued incarceration is detrimental to his health on the grounds of his physical condition as contemplated in s 109 of the Correctional Service Act 9 of 2012, he is ordered to make a recommendation to the first respondent in terms of s 109 within 20 days of this order</w:t>
      </w:r>
      <w:r w:rsidR="000C6C2B" w:rsidRPr="001803FA">
        <w:rPr>
          <w:rFonts w:ascii="Arial" w:eastAsia="Times New Roman" w:hAnsi="Arial"/>
          <w:sz w:val="24"/>
        </w:rPr>
        <w:t>.</w:t>
      </w:r>
    </w:p>
    <w:p w:rsidR="000C6C2B" w:rsidRPr="001803FA" w:rsidRDefault="001803FA" w:rsidP="001803FA">
      <w:pPr>
        <w:widowControl w:val="0"/>
        <w:spacing w:after="0" w:line="360" w:lineRule="auto"/>
        <w:contextualSpacing/>
        <w:jc w:val="both"/>
        <w:rPr>
          <w:rFonts w:ascii="Arial" w:eastAsia="Times New Roman" w:hAnsi="Arial" w:cs="Times New Roman"/>
        </w:rPr>
      </w:pPr>
      <w:r>
        <w:rPr>
          <w:rFonts w:ascii="Arial" w:eastAsia="Times New Roman" w:hAnsi="Arial" w:cs="Times New Roman"/>
        </w:rPr>
        <w:t xml:space="preserve">5.  </w:t>
      </w:r>
      <w:r w:rsidR="00B94CCE">
        <w:rPr>
          <w:rFonts w:ascii="Arial" w:eastAsia="Times New Roman" w:hAnsi="Arial" w:cs="Times New Roman"/>
        </w:rPr>
        <w:t xml:space="preserve">  </w:t>
      </w:r>
      <w:r w:rsidR="000C6C2B" w:rsidRPr="001803FA">
        <w:rPr>
          <w:rFonts w:ascii="Arial" w:eastAsia="Times New Roman" w:hAnsi="Arial" w:cs="Times New Roman"/>
        </w:rPr>
        <w:t>In the event that the fifth respondent declines to make such a recommendation, he or she must inform the applicant and provide reasons therefor within 15 days of</w:t>
      </w:r>
      <w:r w:rsidR="00310763" w:rsidRPr="001803FA">
        <w:rPr>
          <w:rFonts w:ascii="Arial" w:eastAsia="Times New Roman" w:hAnsi="Arial" w:cs="Times New Roman"/>
        </w:rPr>
        <w:t xml:space="preserve"> the date referred to in order 4</w:t>
      </w:r>
      <w:r w:rsidR="000C6C2B" w:rsidRPr="001803FA">
        <w:rPr>
          <w:rFonts w:ascii="Arial" w:eastAsia="Times New Roman" w:hAnsi="Arial" w:cs="Times New Roman"/>
        </w:rPr>
        <w:t xml:space="preserve"> above.  </w:t>
      </w:r>
    </w:p>
    <w:p w:rsidR="005533B3" w:rsidRDefault="00934FC6" w:rsidP="001803FA">
      <w:pPr>
        <w:widowControl w:val="0"/>
        <w:spacing w:after="0" w:line="360" w:lineRule="auto"/>
        <w:contextualSpacing/>
        <w:jc w:val="both"/>
        <w:rPr>
          <w:rFonts w:ascii="Arial" w:eastAsia="Times New Roman" w:hAnsi="Arial" w:cs="Times New Roman"/>
          <w:sz w:val="24"/>
        </w:rPr>
      </w:pPr>
      <w:r>
        <w:rPr>
          <w:rFonts w:ascii="Arial" w:eastAsia="Times New Roman" w:hAnsi="Arial" w:cs="Times New Roman"/>
        </w:rPr>
        <w:t xml:space="preserve">6. </w:t>
      </w:r>
      <w:r w:rsidR="000C6C2B" w:rsidRPr="001803FA">
        <w:rPr>
          <w:rFonts w:ascii="Arial" w:eastAsia="Times New Roman" w:hAnsi="Arial" w:cs="Times New Roman"/>
        </w:rPr>
        <w:t>There shall be no order as to costs</w:t>
      </w:r>
      <w:r w:rsidR="000C6C2B" w:rsidRPr="000C6C2B">
        <w:rPr>
          <w:rFonts w:ascii="Arial" w:eastAsia="Times New Roman" w:hAnsi="Arial" w:cs="Times New Roman"/>
          <w:sz w:val="24"/>
        </w:rPr>
        <w:t>.</w:t>
      </w:r>
      <w:r w:rsidR="001803FA">
        <w:rPr>
          <w:rFonts w:ascii="Arial" w:eastAsia="Times New Roman" w:hAnsi="Arial" w:cs="Times New Roman"/>
          <w:sz w:val="24"/>
        </w:rPr>
        <w:t>’</w:t>
      </w:r>
    </w:p>
    <w:p w:rsidR="00AC1B98" w:rsidRDefault="00AC1B98" w:rsidP="001D2DAC">
      <w:pPr>
        <w:widowControl w:val="0"/>
        <w:spacing w:after="0" w:line="360" w:lineRule="auto"/>
        <w:contextualSpacing/>
        <w:jc w:val="both"/>
        <w:rPr>
          <w:rFonts w:ascii="Arial" w:eastAsia="Times New Roman" w:hAnsi="Arial" w:cs="Arial"/>
          <w:spacing w:val="-3"/>
          <w:sz w:val="24"/>
          <w:szCs w:val="24"/>
          <w:lang w:val="en-ZA"/>
        </w:rPr>
      </w:pPr>
    </w:p>
    <w:p w:rsidR="001D2DAC" w:rsidRPr="002F5B0C" w:rsidRDefault="00712878" w:rsidP="001D2DAC">
      <w:pPr>
        <w:widowControl w:val="0"/>
        <w:spacing w:after="0" w:line="360" w:lineRule="auto"/>
        <w:contextualSpacing/>
        <w:jc w:val="both"/>
        <w:rPr>
          <w:rFonts w:ascii="Arial" w:eastAsia="Times New Roman" w:hAnsi="Arial" w:cs="Times New Roman"/>
          <w:sz w:val="24"/>
        </w:rPr>
      </w:pPr>
      <w:r>
        <w:rPr>
          <w:rFonts w:ascii="Arial" w:eastAsia="Times New Roman" w:hAnsi="Arial" w:cs="Arial"/>
          <w:spacing w:val="-3"/>
          <w:sz w:val="24"/>
          <w:szCs w:val="24"/>
          <w:lang w:val="en-ZA"/>
        </w:rPr>
        <w:t>[</w:t>
      </w:r>
      <w:r w:rsidR="0015497D">
        <w:rPr>
          <w:rFonts w:ascii="Arial" w:eastAsia="Times New Roman" w:hAnsi="Arial" w:cs="Arial"/>
          <w:spacing w:val="-3"/>
          <w:sz w:val="24"/>
          <w:szCs w:val="24"/>
          <w:lang w:val="en-ZA"/>
        </w:rPr>
        <w:t>4</w:t>
      </w:r>
      <w:r>
        <w:rPr>
          <w:rFonts w:ascii="Arial" w:eastAsia="Times New Roman" w:hAnsi="Arial" w:cs="Arial"/>
          <w:spacing w:val="-3"/>
          <w:sz w:val="24"/>
          <w:szCs w:val="24"/>
          <w:lang w:val="en-ZA"/>
        </w:rPr>
        <w:t>]</w:t>
      </w:r>
      <w:r>
        <w:rPr>
          <w:rFonts w:ascii="Arial" w:eastAsia="Times New Roman" w:hAnsi="Arial" w:cs="Arial"/>
          <w:spacing w:val="-3"/>
          <w:sz w:val="24"/>
          <w:szCs w:val="24"/>
          <w:lang w:val="en-ZA"/>
        </w:rPr>
        <w:tab/>
        <w:t>The</w:t>
      </w:r>
      <w:r w:rsidR="001D2DAC">
        <w:rPr>
          <w:rFonts w:ascii="Arial" w:eastAsia="Calibri" w:hAnsi="Arial" w:cs="Arial"/>
          <w:sz w:val="24"/>
          <w:szCs w:val="24"/>
          <w:lang w:val="en-GB"/>
        </w:rPr>
        <w:t xml:space="preserve"> applicant launched an urgent application consisting of part A and B, seeking a mandatory order in A and contempt of court proceedings and a review application in B. On 10 March 2023</w:t>
      </w:r>
      <w:r w:rsidR="00CE4321">
        <w:rPr>
          <w:rFonts w:ascii="Arial" w:eastAsia="Calibri" w:hAnsi="Arial" w:cs="Arial"/>
          <w:sz w:val="24"/>
          <w:szCs w:val="24"/>
          <w:lang w:val="en-GB"/>
        </w:rPr>
        <w:t>,</w:t>
      </w:r>
      <w:r w:rsidR="001D2DAC">
        <w:rPr>
          <w:rFonts w:ascii="Arial" w:eastAsia="Calibri" w:hAnsi="Arial" w:cs="Arial"/>
          <w:sz w:val="24"/>
          <w:szCs w:val="24"/>
          <w:lang w:val="en-GB"/>
        </w:rPr>
        <w:t xml:space="preserve"> this Court disposed of Part A of the application under case HC-MD-CIV-MOT-GEN-2023/00034 and this forms part of a separate judgement. Part B of the application as put herein</w:t>
      </w:r>
      <w:r w:rsidR="00CE4321">
        <w:rPr>
          <w:rFonts w:ascii="Arial" w:eastAsia="Calibri" w:hAnsi="Arial" w:cs="Arial"/>
          <w:sz w:val="24"/>
          <w:szCs w:val="24"/>
          <w:lang w:val="en-GB"/>
        </w:rPr>
        <w:t xml:space="preserve"> </w:t>
      </w:r>
      <w:r w:rsidR="001D2DAC">
        <w:rPr>
          <w:rFonts w:ascii="Arial" w:eastAsia="Calibri" w:hAnsi="Arial" w:cs="Arial"/>
          <w:sz w:val="24"/>
          <w:szCs w:val="24"/>
          <w:lang w:val="en-GB"/>
        </w:rPr>
        <w:t>above remained unaddressed and the applicant now sought the relief therein</w:t>
      </w:r>
      <w:r w:rsidR="0015497D">
        <w:rPr>
          <w:rFonts w:ascii="Arial" w:eastAsia="Calibri" w:hAnsi="Arial" w:cs="Arial"/>
          <w:sz w:val="24"/>
          <w:szCs w:val="24"/>
          <w:lang w:val="en-GB"/>
        </w:rPr>
        <w:t>.</w:t>
      </w:r>
    </w:p>
    <w:p w:rsidR="00BD0FC8" w:rsidRDefault="00BD0FC8" w:rsidP="00960254">
      <w:pPr>
        <w:spacing w:after="0" w:line="360" w:lineRule="auto"/>
        <w:jc w:val="both"/>
        <w:rPr>
          <w:rFonts w:ascii="Arial" w:eastAsia="Calibri" w:hAnsi="Arial" w:cs="Arial"/>
          <w:sz w:val="24"/>
          <w:szCs w:val="24"/>
          <w:lang w:val="en-ZA"/>
        </w:rPr>
      </w:pPr>
    </w:p>
    <w:p w:rsidR="00E93599" w:rsidRPr="00AC1B98" w:rsidRDefault="00712878" w:rsidP="00960254">
      <w:pPr>
        <w:spacing w:after="0" w:line="360" w:lineRule="auto"/>
        <w:jc w:val="both"/>
        <w:rPr>
          <w:rFonts w:ascii="Arial" w:eastAsia="Calibri" w:hAnsi="Arial" w:cs="Arial"/>
          <w:sz w:val="24"/>
          <w:szCs w:val="24"/>
          <w:u w:val="single"/>
          <w:lang w:val="en-ZA"/>
        </w:rPr>
      </w:pPr>
      <w:r w:rsidRPr="00AC1B98">
        <w:rPr>
          <w:rFonts w:ascii="Arial" w:eastAsia="Calibri" w:hAnsi="Arial" w:cs="Arial"/>
          <w:sz w:val="24"/>
          <w:szCs w:val="24"/>
          <w:u w:val="single"/>
          <w:lang w:val="en-ZA"/>
        </w:rPr>
        <w:t xml:space="preserve">Contempt of court </w:t>
      </w:r>
    </w:p>
    <w:p w:rsidR="00E93599" w:rsidRPr="00960254" w:rsidRDefault="00E93599" w:rsidP="00960254">
      <w:pPr>
        <w:spacing w:after="0" w:line="360" w:lineRule="auto"/>
        <w:jc w:val="both"/>
        <w:rPr>
          <w:rFonts w:ascii="Arial" w:eastAsia="Calibri" w:hAnsi="Arial" w:cs="Arial"/>
          <w:sz w:val="24"/>
          <w:szCs w:val="24"/>
          <w:lang w:val="en-ZA"/>
        </w:rPr>
      </w:pPr>
    </w:p>
    <w:p w:rsidR="000B00D3" w:rsidRDefault="0015497D" w:rsidP="002F41A9">
      <w:pPr>
        <w:spacing w:line="360" w:lineRule="auto"/>
        <w:rPr>
          <w:rFonts w:ascii="Arial" w:eastAsia="Calibri" w:hAnsi="Arial" w:cs="Arial"/>
          <w:sz w:val="24"/>
          <w:szCs w:val="24"/>
          <w:lang w:val="en-ZA"/>
        </w:rPr>
      </w:pPr>
      <w:r>
        <w:rPr>
          <w:rFonts w:ascii="Arial" w:eastAsia="Calibri" w:hAnsi="Arial" w:cs="Arial"/>
          <w:sz w:val="24"/>
          <w:szCs w:val="24"/>
          <w:lang w:val="en-ZA"/>
        </w:rPr>
        <w:t>[5</w:t>
      </w:r>
      <w:r w:rsidR="00526C3E">
        <w:rPr>
          <w:rFonts w:ascii="Arial" w:eastAsia="Calibri" w:hAnsi="Arial" w:cs="Arial"/>
          <w:sz w:val="24"/>
          <w:szCs w:val="24"/>
          <w:lang w:val="en-ZA"/>
        </w:rPr>
        <w:t>]</w:t>
      </w:r>
      <w:r w:rsidR="00526C3E">
        <w:rPr>
          <w:rFonts w:ascii="Arial" w:eastAsia="Calibri" w:hAnsi="Arial" w:cs="Arial"/>
          <w:sz w:val="24"/>
          <w:szCs w:val="24"/>
          <w:lang w:val="en-ZA"/>
        </w:rPr>
        <w:tab/>
      </w:r>
      <w:r w:rsidR="00712878">
        <w:rPr>
          <w:rFonts w:ascii="Arial" w:eastAsia="Calibri" w:hAnsi="Arial" w:cs="Arial"/>
          <w:sz w:val="24"/>
          <w:szCs w:val="24"/>
          <w:lang w:val="en-ZA"/>
        </w:rPr>
        <w:t>It is common cause that, s</w:t>
      </w:r>
      <w:r w:rsidR="000C6C2B" w:rsidRPr="00B422BE">
        <w:rPr>
          <w:rFonts w:ascii="Arial" w:eastAsia="Calibri" w:hAnsi="Arial" w:cs="Arial"/>
          <w:sz w:val="24"/>
          <w:szCs w:val="24"/>
          <w:lang w:val="en-ZA"/>
        </w:rPr>
        <w:t>ubsequent to the judgment</w:t>
      </w:r>
      <w:r w:rsidR="00321942">
        <w:rPr>
          <w:rFonts w:ascii="Arial" w:eastAsia="Calibri" w:hAnsi="Arial" w:cs="Arial"/>
          <w:sz w:val="24"/>
          <w:szCs w:val="24"/>
          <w:lang w:val="en-ZA"/>
        </w:rPr>
        <w:t>, on 24 November 2022</w:t>
      </w:r>
      <w:r w:rsidR="00712878">
        <w:rPr>
          <w:rFonts w:ascii="Arial" w:eastAsia="Calibri" w:hAnsi="Arial" w:cs="Arial"/>
          <w:sz w:val="24"/>
          <w:szCs w:val="24"/>
          <w:lang w:val="en-ZA"/>
        </w:rPr>
        <w:t xml:space="preserve"> (eight days after the court order)</w:t>
      </w:r>
      <w:r w:rsidR="00321942">
        <w:rPr>
          <w:rFonts w:ascii="Arial" w:eastAsia="Calibri" w:hAnsi="Arial" w:cs="Arial"/>
          <w:sz w:val="24"/>
          <w:szCs w:val="24"/>
          <w:lang w:val="en-ZA"/>
        </w:rPr>
        <w:t xml:space="preserve">, the </w:t>
      </w:r>
      <w:r w:rsidR="000C6C2B" w:rsidRPr="00B422BE">
        <w:rPr>
          <w:rFonts w:ascii="Arial" w:eastAsia="Calibri" w:hAnsi="Arial" w:cs="Arial"/>
          <w:sz w:val="24"/>
          <w:szCs w:val="24"/>
          <w:lang w:val="en-ZA"/>
        </w:rPr>
        <w:t>second respondent</w:t>
      </w:r>
      <w:r w:rsidR="00321942">
        <w:rPr>
          <w:rFonts w:ascii="Arial" w:eastAsia="Calibri" w:hAnsi="Arial" w:cs="Arial"/>
          <w:sz w:val="24"/>
          <w:szCs w:val="24"/>
          <w:lang w:val="en-ZA"/>
        </w:rPr>
        <w:t xml:space="preserve"> </w:t>
      </w:r>
      <w:r w:rsidR="000C6C2B" w:rsidRPr="00B422BE">
        <w:rPr>
          <w:rFonts w:ascii="Arial" w:eastAsia="Calibri" w:hAnsi="Arial" w:cs="Arial"/>
          <w:sz w:val="24"/>
          <w:szCs w:val="24"/>
          <w:lang w:val="en-ZA"/>
        </w:rPr>
        <w:t xml:space="preserve">addressed a letter to the first respondent titled </w:t>
      </w:r>
      <w:r w:rsidR="000B00D3">
        <w:rPr>
          <w:rFonts w:ascii="Arial" w:eastAsia="Calibri" w:hAnsi="Arial" w:cs="Arial"/>
          <w:sz w:val="24"/>
          <w:szCs w:val="24"/>
          <w:lang w:val="en-ZA"/>
        </w:rPr>
        <w:t>“</w:t>
      </w:r>
      <w:r w:rsidR="000C6C2B" w:rsidRPr="00B422BE">
        <w:rPr>
          <w:rFonts w:ascii="Arial" w:eastAsia="Calibri" w:hAnsi="Arial" w:cs="Arial"/>
          <w:sz w:val="24"/>
          <w:szCs w:val="24"/>
          <w:lang w:val="en-ZA"/>
        </w:rPr>
        <w:t>Determination of the Medical Conditions of Offender</w:t>
      </w:r>
      <w:r w:rsidR="000B00D3">
        <w:rPr>
          <w:rFonts w:ascii="Arial" w:eastAsia="Calibri" w:hAnsi="Arial" w:cs="Arial"/>
          <w:sz w:val="24"/>
          <w:szCs w:val="24"/>
          <w:lang w:val="en-ZA"/>
        </w:rPr>
        <w:t>”</w:t>
      </w:r>
      <w:r w:rsidR="00712878">
        <w:rPr>
          <w:rFonts w:ascii="Arial" w:eastAsia="Calibri" w:hAnsi="Arial" w:cs="Arial"/>
          <w:sz w:val="24"/>
          <w:szCs w:val="24"/>
          <w:lang w:val="en-ZA"/>
        </w:rPr>
        <w:t>.</w:t>
      </w:r>
      <w:r w:rsidR="000C6C2B" w:rsidRPr="00B422BE">
        <w:rPr>
          <w:rFonts w:ascii="Arial" w:eastAsia="Calibri" w:hAnsi="Arial" w:cs="Arial"/>
          <w:sz w:val="24"/>
          <w:szCs w:val="24"/>
          <w:lang w:val="en-ZA"/>
        </w:rPr>
        <w:t xml:space="preserve"> Therein, the second respondent highlighted the diseases the applicant suffers from as diabetes </w:t>
      </w:r>
      <w:r w:rsidR="000C6C2B" w:rsidRPr="00CE4321">
        <w:rPr>
          <w:rFonts w:ascii="Arial" w:eastAsia="Calibri" w:hAnsi="Arial" w:cs="Arial"/>
          <w:sz w:val="24"/>
          <w:szCs w:val="24"/>
          <w:lang w:val="en-ZA"/>
        </w:rPr>
        <w:t>mellitus, chronic kidney failure on dialysis, hypertension</w:t>
      </w:r>
      <w:r w:rsidR="00712878" w:rsidRPr="00CE4321">
        <w:rPr>
          <w:rFonts w:ascii="Arial" w:eastAsia="Calibri" w:hAnsi="Arial" w:cs="Arial"/>
          <w:sz w:val="24"/>
          <w:szCs w:val="24"/>
          <w:lang w:val="en-ZA"/>
        </w:rPr>
        <w:t>,</w:t>
      </w:r>
      <w:r w:rsidR="000C6C2B" w:rsidRPr="00CE4321">
        <w:rPr>
          <w:rFonts w:ascii="Arial" w:eastAsia="Calibri" w:hAnsi="Arial" w:cs="Arial"/>
          <w:sz w:val="24"/>
          <w:szCs w:val="24"/>
          <w:lang w:val="en-ZA"/>
        </w:rPr>
        <w:t xml:space="preserve"> epilepsy and hypercholesterolemia</w:t>
      </w:r>
      <w:r w:rsidR="000C6C2B" w:rsidRPr="00B422BE">
        <w:rPr>
          <w:rFonts w:ascii="Arial" w:eastAsia="Calibri" w:hAnsi="Arial" w:cs="Arial"/>
          <w:sz w:val="24"/>
          <w:szCs w:val="24"/>
          <w:lang w:val="en-ZA"/>
        </w:rPr>
        <w:t>.</w:t>
      </w:r>
      <w:r w:rsidR="001A3D53">
        <w:rPr>
          <w:rFonts w:ascii="Arial" w:eastAsia="Calibri" w:hAnsi="Arial" w:cs="Arial"/>
          <w:sz w:val="24"/>
          <w:szCs w:val="24"/>
          <w:lang w:val="en-ZA"/>
        </w:rPr>
        <w:t xml:space="preserve"> The second respondent</w:t>
      </w:r>
      <w:r w:rsidR="00B422BE" w:rsidRPr="00B422BE">
        <w:rPr>
          <w:rFonts w:ascii="Arial" w:eastAsia="Calibri" w:hAnsi="Arial" w:cs="Arial"/>
          <w:sz w:val="24"/>
          <w:szCs w:val="24"/>
          <w:lang w:val="en-ZA"/>
        </w:rPr>
        <w:t xml:space="preserve"> concluded that most of the medical conditions can be controlled by treatment </w:t>
      </w:r>
      <w:r w:rsidR="00B422BE" w:rsidRPr="009E6384">
        <w:rPr>
          <w:rFonts w:ascii="Arial" w:eastAsia="Calibri" w:hAnsi="Arial" w:cs="Arial"/>
          <w:sz w:val="24"/>
          <w:szCs w:val="24"/>
          <w:lang w:val="en-ZA"/>
        </w:rPr>
        <w:t>except the kidney failure</w:t>
      </w:r>
      <w:r w:rsidR="00B422BE" w:rsidRPr="00B422BE">
        <w:rPr>
          <w:rFonts w:ascii="Arial" w:eastAsia="Calibri" w:hAnsi="Arial" w:cs="Arial"/>
          <w:sz w:val="24"/>
          <w:szCs w:val="24"/>
          <w:lang w:val="en-ZA"/>
        </w:rPr>
        <w:t xml:space="preserve">, which remain a </w:t>
      </w:r>
      <w:r w:rsidR="00B422BE">
        <w:rPr>
          <w:rFonts w:ascii="Arial" w:eastAsia="Calibri" w:hAnsi="Arial" w:cs="Arial"/>
          <w:sz w:val="24"/>
          <w:szCs w:val="24"/>
          <w:lang w:val="en-ZA"/>
        </w:rPr>
        <w:t>great concern for the applicant</w:t>
      </w:r>
      <w:r w:rsidR="00B422BE" w:rsidRPr="00B422BE">
        <w:rPr>
          <w:rFonts w:ascii="Arial" w:eastAsia="Calibri" w:hAnsi="Arial" w:cs="Arial"/>
          <w:sz w:val="24"/>
          <w:szCs w:val="24"/>
          <w:lang w:val="en-ZA"/>
        </w:rPr>
        <w:t>‘s health.</w:t>
      </w:r>
      <w:r w:rsidR="00B422BE">
        <w:rPr>
          <w:rFonts w:ascii="Arial" w:eastAsia="Calibri" w:hAnsi="Arial" w:cs="Arial"/>
          <w:sz w:val="24"/>
          <w:szCs w:val="24"/>
          <w:lang w:val="en-ZA"/>
        </w:rPr>
        <w:t xml:space="preserve"> </w:t>
      </w:r>
    </w:p>
    <w:p w:rsidR="0015497D" w:rsidRDefault="0015497D" w:rsidP="00565D3F">
      <w:pPr>
        <w:spacing w:line="360" w:lineRule="auto"/>
        <w:jc w:val="both"/>
        <w:rPr>
          <w:rFonts w:ascii="Arial" w:eastAsia="Calibri" w:hAnsi="Arial" w:cs="Arial"/>
          <w:sz w:val="24"/>
          <w:szCs w:val="24"/>
          <w:lang w:val="en-ZA"/>
        </w:rPr>
      </w:pPr>
    </w:p>
    <w:p w:rsidR="000B00D3" w:rsidRPr="002F41A9" w:rsidRDefault="000B00D3" w:rsidP="002F41A9">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15497D">
        <w:rPr>
          <w:rFonts w:ascii="Arial" w:eastAsia="Calibri" w:hAnsi="Arial" w:cs="Arial"/>
          <w:sz w:val="24"/>
          <w:szCs w:val="24"/>
          <w:lang w:val="en-ZA"/>
        </w:rPr>
        <w:t>6</w:t>
      </w:r>
      <w:r>
        <w:rPr>
          <w:rFonts w:ascii="Arial" w:eastAsia="Calibri" w:hAnsi="Arial" w:cs="Arial"/>
          <w:sz w:val="24"/>
          <w:szCs w:val="24"/>
          <w:lang w:val="en-ZA"/>
        </w:rPr>
        <w:t>]</w:t>
      </w:r>
      <w:r>
        <w:rPr>
          <w:rFonts w:ascii="Arial" w:eastAsia="Calibri" w:hAnsi="Arial" w:cs="Arial"/>
          <w:sz w:val="24"/>
          <w:szCs w:val="24"/>
          <w:lang w:val="en-ZA"/>
        </w:rPr>
        <w:tab/>
        <w:t>On the question whether he suffers from a dangerous disease he answered as follows:</w:t>
      </w:r>
    </w:p>
    <w:p w:rsidR="001A3D53" w:rsidRPr="002F41A9" w:rsidRDefault="000B00D3" w:rsidP="000B00D3">
      <w:pPr>
        <w:spacing w:after="0" w:line="360" w:lineRule="auto"/>
        <w:ind w:firstLine="720"/>
        <w:jc w:val="both"/>
        <w:rPr>
          <w:rFonts w:ascii="Arial" w:hAnsi="Arial" w:cs="Arial"/>
        </w:rPr>
      </w:pPr>
      <w:r w:rsidRPr="002F41A9">
        <w:rPr>
          <w:rFonts w:ascii="Arial" w:hAnsi="Arial" w:cs="Arial"/>
        </w:rPr>
        <w:t xml:space="preserve">‘Yes, he suffers from a dangerous disease. The World Health </w:t>
      </w:r>
      <w:r w:rsidR="002F41A9" w:rsidRPr="002F41A9">
        <w:rPr>
          <w:rFonts w:ascii="Arial" w:hAnsi="Arial" w:cs="Arial"/>
        </w:rPr>
        <w:t>Organization</w:t>
      </w:r>
      <w:r w:rsidRPr="002F41A9">
        <w:rPr>
          <w:rFonts w:ascii="Arial" w:hAnsi="Arial" w:cs="Arial"/>
        </w:rPr>
        <w:t xml:space="preserve"> (WHO) considers dangerous diseases as the most deadly disease of the top ten leading causes of death globally. According to WHO Diabetes Mellitus ranked number 9 and kidney diseases are ranked 10 on the list of ten world leading causes of death. So, as far as death is concern Diabetes Mellitus and Kidney disease which the offender suffers from are considered dangerous’</w:t>
      </w:r>
    </w:p>
    <w:p w:rsidR="000B00D3" w:rsidRDefault="000B00D3" w:rsidP="00565D3F">
      <w:pPr>
        <w:spacing w:after="0" w:line="360" w:lineRule="auto"/>
        <w:ind w:firstLine="720"/>
        <w:jc w:val="both"/>
        <w:rPr>
          <w:rFonts w:ascii="Arial" w:hAnsi="Arial" w:cs="Arial"/>
        </w:rPr>
      </w:pPr>
    </w:p>
    <w:p w:rsidR="000B00D3" w:rsidRDefault="000D7C67" w:rsidP="000B00D3">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[7]</w:t>
      </w:r>
      <w:r>
        <w:rPr>
          <w:rFonts w:ascii="Arial" w:eastAsia="Calibri" w:hAnsi="Arial" w:cs="Arial"/>
          <w:sz w:val="24"/>
          <w:szCs w:val="24"/>
          <w:lang w:val="en-ZA"/>
        </w:rPr>
        <w:tab/>
      </w:r>
      <w:r w:rsidR="000B00D3">
        <w:rPr>
          <w:rFonts w:ascii="Arial" w:eastAsia="Calibri" w:hAnsi="Arial" w:cs="Arial"/>
          <w:sz w:val="24"/>
          <w:szCs w:val="24"/>
          <w:lang w:val="en-ZA"/>
        </w:rPr>
        <w:t xml:space="preserve">On the question whether his continued incarceration </w:t>
      </w:r>
      <w:r w:rsidR="00B94CCE">
        <w:rPr>
          <w:rFonts w:ascii="Arial" w:eastAsia="Calibri" w:hAnsi="Arial" w:cs="Arial"/>
          <w:sz w:val="24"/>
          <w:szCs w:val="24"/>
          <w:lang w:val="en-ZA"/>
        </w:rPr>
        <w:t xml:space="preserve">would </w:t>
      </w:r>
      <w:r w:rsidR="000B00D3">
        <w:rPr>
          <w:rFonts w:ascii="Arial" w:eastAsia="Calibri" w:hAnsi="Arial" w:cs="Arial"/>
          <w:sz w:val="24"/>
          <w:szCs w:val="24"/>
          <w:lang w:val="en-ZA"/>
        </w:rPr>
        <w:t>be detrimental to his health he answered as follows:</w:t>
      </w:r>
    </w:p>
    <w:p w:rsidR="0015497D" w:rsidRDefault="0015497D" w:rsidP="000B00D3">
      <w:pPr>
        <w:spacing w:after="0" w:line="360" w:lineRule="auto"/>
        <w:jc w:val="both"/>
        <w:rPr>
          <w:rFonts w:ascii="Arial" w:eastAsia="Calibri" w:hAnsi="Arial" w:cs="Arial"/>
          <w:sz w:val="24"/>
          <w:szCs w:val="24"/>
          <w:lang w:val="en-ZA"/>
        </w:rPr>
      </w:pPr>
    </w:p>
    <w:p w:rsidR="000B00D3" w:rsidRDefault="000B00D3" w:rsidP="000B00D3">
      <w:pPr>
        <w:spacing w:after="0" w:line="360" w:lineRule="auto"/>
        <w:ind w:firstLine="720"/>
        <w:jc w:val="both"/>
        <w:rPr>
          <w:rFonts w:ascii="Arial" w:hAnsi="Arial" w:cs="Arial"/>
          <w:sz w:val="24"/>
          <w:szCs w:val="24"/>
        </w:rPr>
      </w:pPr>
      <w:r>
        <w:rPr>
          <w:rFonts w:ascii="Arial" w:hAnsi="Arial" w:cs="Arial"/>
        </w:rPr>
        <w:t xml:space="preserve"> ‘</w:t>
      </w:r>
      <w:r w:rsidRPr="00307F31">
        <w:rPr>
          <w:rFonts w:ascii="Arial" w:hAnsi="Arial" w:cs="Arial"/>
        </w:rPr>
        <w:t>No, for the simple reason that he has access to regular dialysis sessions and also to his private doctors when needed. His current blood results show improvement compared to the past results, which means that his incarceration does not affect his physical condition.</w:t>
      </w:r>
      <w:r>
        <w:rPr>
          <w:rFonts w:ascii="Arial" w:hAnsi="Arial" w:cs="Arial"/>
        </w:rPr>
        <w:t>’</w:t>
      </w:r>
    </w:p>
    <w:p w:rsidR="000B00D3" w:rsidRDefault="000B00D3" w:rsidP="000B00D3">
      <w:pPr>
        <w:spacing w:after="0" w:line="360" w:lineRule="auto"/>
        <w:jc w:val="both"/>
        <w:rPr>
          <w:rFonts w:ascii="Arial" w:hAnsi="Arial" w:cs="Arial"/>
          <w:sz w:val="24"/>
          <w:szCs w:val="24"/>
        </w:rPr>
      </w:pPr>
    </w:p>
    <w:p w:rsidR="00173589" w:rsidRDefault="00B422BE" w:rsidP="000E281C">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0D7C67">
        <w:rPr>
          <w:rFonts w:ascii="Arial" w:eastAsia="Calibri" w:hAnsi="Arial" w:cs="Arial"/>
          <w:sz w:val="24"/>
          <w:szCs w:val="24"/>
          <w:lang w:val="en-ZA"/>
        </w:rPr>
        <w:t>8</w:t>
      </w:r>
      <w:r>
        <w:rPr>
          <w:rFonts w:ascii="Arial" w:eastAsia="Calibri" w:hAnsi="Arial" w:cs="Arial"/>
          <w:sz w:val="24"/>
          <w:szCs w:val="24"/>
          <w:lang w:val="en-ZA"/>
        </w:rPr>
        <w:t>]</w:t>
      </w:r>
      <w:r>
        <w:rPr>
          <w:rFonts w:ascii="Arial" w:eastAsia="Calibri" w:hAnsi="Arial" w:cs="Arial"/>
          <w:sz w:val="24"/>
          <w:szCs w:val="24"/>
          <w:lang w:val="en-ZA"/>
        </w:rPr>
        <w:tab/>
      </w:r>
      <w:r w:rsidR="00883416">
        <w:rPr>
          <w:rFonts w:ascii="Arial" w:eastAsia="Calibri" w:hAnsi="Arial" w:cs="Arial"/>
          <w:sz w:val="24"/>
          <w:szCs w:val="24"/>
          <w:lang w:val="en-ZA"/>
        </w:rPr>
        <w:t>On 1 December 2022</w:t>
      </w:r>
      <w:r w:rsidR="000D7C67">
        <w:rPr>
          <w:rFonts w:ascii="Arial" w:eastAsia="Calibri" w:hAnsi="Arial" w:cs="Arial"/>
          <w:sz w:val="24"/>
          <w:szCs w:val="24"/>
          <w:lang w:val="en-ZA"/>
        </w:rPr>
        <w:t>,</w:t>
      </w:r>
      <w:r w:rsidR="00883416">
        <w:rPr>
          <w:rFonts w:ascii="Arial" w:eastAsia="Calibri" w:hAnsi="Arial" w:cs="Arial"/>
          <w:sz w:val="24"/>
          <w:szCs w:val="24"/>
          <w:lang w:val="en-ZA"/>
        </w:rPr>
        <w:t xml:space="preserve"> the second respondent addressed a </w:t>
      </w:r>
      <w:r w:rsidR="002D5907">
        <w:rPr>
          <w:rFonts w:ascii="Arial" w:eastAsia="Calibri" w:hAnsi="Arial" w:cs="Arial"/>
          <w:sz w:val="24"/>
          <w:szCs w:val="24"/>
          <w:lang w:val="en-ZA"/>
        </w:rPr>
        <w:t xml:space="preserve">more </w:t>
      </w:r>
      <w:r w:rsidR="00883416">
        <w:rPr>
          <w:rFonts w:ascii="Arial" w:eastAsia="Calibri" w:hAnsi="Arial" w:cs="Arial"/>
          <w:sz w:val="24"/>
          <w:szCs w:val="24"/>
          <w:lang w:val="en-ZA"/>
        </w:rPr>
        <w:t xml:space="preserve">comprehensive diagnosis document about the applicant’s health condition. </w:t>
      </w:r>
      <w:r w:rsidR="00947796">
        <w:rPr>
          <w:rFonts w:ascii="Arial" w:eastAsia="Calibri" w:hAnsi="Arial" w:cs="Arial"/>
          <w:sz w:val="24"/>
          <w:szCs w:val="24"/>
          <w:lang w:val="en-ZA"/>
        </w:rPr>
        <w:t>T</w:t>
      </w:r>
      <w:r w:rsidR="00712878">
        <w:rPr>
          <w:rFonts w:ascii="Arial" w:eastAsia="Calibri" w:hAnsi="Arial" w:cs="Arial"/>
          <w:sz w:val="24"/>
          <w:szCs w:val="24"/>
          <w:lang w:val="en-ZA"/>
        </w:rPr>
        <w:t>his</w:t>
      </w:r>
      <w:r w:rsidR="00947796">
        <w:rPr>
          <w:rFonts w:ascii="Arial" w:eastAsia="Calibri" w:hAnsi="Arial" w:cs="Arial"/>
          <w:sz w:val="24"/>
          <w:szCs w:val="24"/>
          <w:lang w:val="en-ZA"/>
        </w:rPr>
        <w:t xml:space="preserve"> document contains the following subject heading: </w:t>
      </w:r>
      <w:r w:rsidR="00712878">
        <w:rPr>
          <w:rFonts w:ascii="Arial" w:eastAsia="Calibri" w:hAnsi="Arial" w:cs="Arial"/>
          <w:sz w:val="24"/>
          <w:szCs w:val="24"/>
          <w:lang w:val="en-ZA"/>
        </w:rPr>
        <w:t>“</w:t>
      </w:r>
      <w:r w:rsidR="00947796">
        <w:rPr>
          <w:rFonts w:ascii="Arial" w:eastAsia="Calibri" w:hAnsi="Arial" w:cs="Arial"/>
          <w:sz w:val="24"/>
          <w:szCs w:val="24"/>
          <w:lang w:val="en-ZA"/>
        </w:rPr>
        <w:t xml:space="preserve">Medical Examination for Recommendation for Release on </w:t>
      </w:r>
      <w:r w:rsidR="00947796">
        <w:rPr>
          <w:rFonts w:ascii="Arial" w:eastAsia="Calibri" w:hAnsi="Arial" w:cs="Arial"/>
          <w:sz w:val="24"/>
          <w:szCs w:val="24"/>
          <w:lang w:val="en-ZA"/>
        </w:rPr>
        <w:lastRenderedPageBreak/>
        <w:t>Medical Ground</w:t>
      </w:r>
      <w:r w:rsidR="00712878">
        <w:rPr>
          <w:rFonts w:ascii="Arial" w:eastAsia="Calibri" w:hAnsi="Arial" w:cs="Arial"/>
          <w:sz w:val="24"/>
          <w:szCs w:val="24"/>
          <w:lang w:val="en-ZA"/>
        </w:rPr>
        <w:t>”</w:t>
      </w:r>
      <w:r w:rsidR="002F41A9">
        <w:rPr>
          <w:rFonts w:ascii="Arial" w:eastAsia="Calibri" w:hAnsi="Arial" w:cs="Arial"/>
          <w:sz w:val="24"/>
          <w:szCs w:val="24"/>
          <w:lang w:val="en-ZA"/>
        </w:rPr>
        <w:t xml:space="preserve"> (the recommendation d</w:t>
      </w:r>
      <w:r w:rsidR="006A3B28">
        <w:rPr>
          <w:rFonts w:ascii="Arial" w:eastAsia="Calibri" w:hAnsi="Arial" w:cs="Arial"/>
          <w:sz w:val="24"/>
          <w:szCs w:val="24"/>
          <w:lang w:val="en-ZA"/>
        </w:rPr>
        <w:t>ocument</w:t>
      </w:r>
      <w:r w:rsidR="00B94CCE">
        <w:rPr>
          <w:rFonts w:ascii="Arial" w:eastAsia="Calibri" w:hAnsi="Arial" w:cs="Arial"/>
          <w:sz w:val="24"/>
          <w:szCs w:val="24"/>
          <w:lang w:val="en-ZA"/>
        </w:rPr>
        <w:t>)</w:t>
      </w:r>
      <w:r w:rsidR="00947796">
        <w:rPr>
          <w:rFonts w:ascii="Arial" w:eastAsia="Calibri" w:hAnsi="Arial" w:cs="Arial"/>
          <w:sz w:val="24"/>
          <w:szCs w:val="24"/>
          <w:lang w:val="en-ZA"/>
        </w:rPr>
        <w:t>. It is not addressed to any person. The second respondent delivered this document</w:t>
      </w:r>
      <w:r w:rsidR="00173589">
        <w:rPr>
          <w:rFonts w:ascii="Arial" w:eastAsia="Calibri" w:hAnsi="Arial" w:cs="Arial"/>
          <w:sz w:val="24"/>
          <w:szCs w:val="24"/>
          <w:lang w:val="en-ZA"/>
        </w:rPr>
        <w:t xml:space="preserve"> to the fourth defendant. </w:t>
      </w:r>
      <w:r w:rsidR="006A3B28">
        <w:rPr>
          <w:rFonts w:ascii="Arial" w:eastAsia="Calibri" w:hAnsi="Arial" w:cs="Arial"/>
          <w:sz w:val="24"/>
          <w:szCs w:val="24"/>
          <w:lang w:val="en-ZA"/>
        </w:rPr>
        <w:t>In this document the second respondent gives an overview of the applicant’s past and current medical and surgical history, a</w:t>
      </w:r>
      <w:r w:rsidR="00B774F3">
        <w:rPr>
          <w:rFonts w:ascii="Arial" w:eastAsia="Calibri" w:hAnsi="Arial" w:cs="Arial"/>
          <w:sz w:val="24"/>
          <w:szCs w:val="24"/>
          <w:lang w:val="en-ZA"/>
        </w:rPr>
        <w:t xml:space="preserve"> medical summary, his diagnoses or</w:t>
      </w:r>
      <w:r w:rsidR="006A3B28">
        <w:rPr>
          <w:rFonts w:ascii="Arial" w:eastAsia="Calibri" w:hAnsi="Arial" w:cs="Arial"/>
          <w:sz w:val="24"/>
          <w:szCs w:val="24"/>
          <w:lang w:val="en-ZA"/>
        </w:rPr>
        <w:t xml:space="preserve"> finding and a </w:t>
      </w:r>
      <w:r w:rsidR="006A3B28" w:rsidRPr="00E23B55">
        <w:rPr>
          <w:rFonts w:ascii="Arial" w:eastAsia="Calibri" w:hAnsi="Arial" w:cs="Arial"/>
          <w:sz w:val="24"/>
          <w:szCs w:val="24"/>
          <w:lang w:val="en-ZA"/>
        </w:rPr>
        <w:t>conclusion</w:t>
      </w:r>
      <w:r w:rsidR="006A3B28">
        <w:rPr>
          <w:rFonts w:ascii="Arial" w:eastAsia="Calibri" w:hAnsi="Arial" w:cs="Arial"/>
          <w:sz w:val="24"/>
          <w:szCs w:val="24"/>
          <w:lang w:val="en-ZA"/>
        </w:rPr>
        <w:t>.</w:t>
      </w:r>
    </w:p>
    <w:p w:rsidR="007624D2" w:rsidRDefault="007624D2" w:rsidP="00173589">
      <w:pPr>
        <w:spacing w:after="0" w:line="360" w:lineRule="auto"/>
        <w:jc w:val="both"/>
        <w:rPr>
          <w:rFonts w:ascii="Arial" w:hAnsi="Arial" w:cs="Arial"/>
          <w:sz w:val="24"/>
          <w:szCs w:val="24"/>
        </w:rPr>
      </w:pPr>
    </w:p>
    <w:p w:rsidR="00173589" w:rsidRDefault="00173589" w:rsidP="00173589">
      <w:pPr>
        <w:spacing w:after="0" w:line="360" w:lineRule="auto"/>
        <w:jc w:val="both"/>
        <w:rPr>
          <w:rFonts w:ascii="Arial" w:hAnsi="Arial" w:cs="Arial"/>
          <w:sz w:val="24"/>
          <w:szCs w:val="24"/>
        </w:rPr>
      </w:pPr>
      <w:r>
        <w:rPr>
          <w:rFonts w:ascii="Arial" w:hAnsi="Arial" w:cs="Arial"/>
          <w:sz w:val="24"/>
          <w:szCs w:val="24"/>
        </w:rPr>
        <w:t>[</w:t>
      </w:r>
      <w:r w:rsidR="000D7C67">
        <w:rPr>
          <w:rFonts w:ascii="Arial" w:hAnsi="Arial" w:cs="Arial"/>
          <w:sz w:val="24"/>
          <w:szCs w:val="24"/>
        </w:rPr>
        <w:t>9</w:t>
      </w:r>
      <w:r>
        <w:rPr>
          <w:rFonts w:ascii="Arial" w:hAnsi="Arial" w:cs="Arial"/>
          <w:sz w:val="24"/>
          <w:szCs w:val="24"/>
        </w:rPr>
        <w:t>]</w:t>
      </w:r>
      <w:r>
        <w:rPr>
          <w:rFonts w:ascii="Arial" w:hAnsi="Arial" w:cs="Arial"/>
          <w:sz w:val="24"/>
          <w:szCs w:val="24"/>
        </w:rPr>
        <w:tab/>
        <w:t>On 12 December 2023</w:t>
      </w:r>
      <w:r w:rsidR="000D7C67">
        <w:rPr>
          <w:rFonts w:ascii="Arial" w:hAnsi="Arial" w:cs="Arial"/>
          <w:sz w:val="24"/>
          <w:szCs w:val="24"/>
        </w:rPr>
        <w:t>,</w:t>
      </w:r>
      <w:r>
        <w:rPr>
          <w:rFonts w:ascii="Arial" w:hAnsi="Arial" w:cs="Arial"/>
          <w:sz w:val="24"/>
          <w:szCs w:val="24"/>
        </w:rPr>
        <w:t xml:space="preserve"> the first respondent replied to </w:t>
      </w:r>
      <w:r w:rsidR="00B94CCE">
        <w:rPr>
          <w:rFonts w:ascii="Arial" w:hAnsi="Arial" w:cs="Arial"/>
          <w:sz w:val="24"/>
          <w:szCs w:val="24"/>
        </w:rPr>
        <w:t xml:space="preserve">the </w:t>
      </w:r>
      <w:r>
        <w:rPr>
          <w:rFonts w:ascii="Arial" w:hAnsi="Arial" w:cs="Arial"/>
          <w:sz w:val="24"/>
          <w:szCs w:val="24"/>
        </w:rPr>
        <w:t xml:space="preserve">letter of </w:t>
      </w:r>
      <w:r w:rsidR="00B94CCE">
        <w:rPr>
          <w:rFonts w:ascii="Arial" w:hAnsi="Arial" w:cs="Arial"/>
          <w:sz w:val="24"/>
          <w:szCs w:val="24"/>
        </w:rPr>
        <w:t xml:space="preserve">the </w:t>
      </w:r>
      <w:r>
        <w:rPr>
          <w:rFonts w:ascii="Arial" w:hAnsi="Arial" w:cs="Arial"/>
          <w:sz w:val="24"/>
          <w:szCs w:val="24"/>
        </w:rPr>
        <w:t xml:space="preserve">second respondent </w:t>
      </w:r>
      <w:r w:rsidR="00D7551F">
        <w:rPr>
          <w:rFonts w:ascii="Arial" w:hAnsi="Arial" w:cs="Arial"/>
          <w:sz w:val="24"/>
          <w:szCs w:val="24"/>
        </w:rPr>
        <w:t xml:space="preserve">dated 24 November 2022 </w:t>
      </w:r>
      <w:r>
        <w:rPr>
          <w:rFonts w:ascii="Arial" w:hAnsi="Arial" w:cs="Arial"/>
          <w:sz w:val="24"/>
          <w:szCs w:val="24"/>
        </w:rPr>
        <w:t xml:space="preserve">stating that he noted the contents thereof and that he hoped that second respondent will inform the applicant accordingly.  </w:t>
      </w:r>
    </w:p>
    <w:p w:rsidR="00AC1B98" w:rsidRDefault="00AC1B98" w:rsidP="000E281C">
      <w:pPr>
        <w:spacing w:line="360" w:lineRule="auto"/>
        <w:jc w:val="both"/>
        <w:rPr>
          <w:rFonts w:ascii="Arial" w:eastAsia="Calibri" w:hAnsi="Arial" w:cs="Arial"/>
          <w:sz w:val="24"/>
          <w:szCs w:val="24"/>
          <w:lang w:val="en-ZA"/>
        </w:rPr>
      </w:pPr>
    </w:p>
    <w:p w:rsidR="00947796" w:rsidRDefault="00D7551F" w:rsidP="000E281C">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7F26F9">
        <w:rPr>
          <w:rFonts w:ascii="Arial" w:eastAsia="Calibri" w:hAnsi="Arial" w:cs="Arial"/>
          <w:sz w:val="24"/>
          <w:szCs w:val="24"/>
          <w:lang w:val="en-ZA"/>
        </w:rPr>
        <w:t>10</w:t>
      </w:r>
      <w:r>
        <w:rPr>
          <w:rFonts w:ascii="Arial" w:eastAsia="Calibri" w:hAnsi="Arial" w:cs="Arial"/>
          <w:sz w:val="24"/>
          <w:szCs w:val="24"/>
          <w:lang w:val="en-ZA"/>
        </w:rPr>
        <w:t>]</w:t>
      </w:r>
      <w:r>
        <w:rPr>
          <w:rFonts w:ascii="Arial" w:eastAsia="Calibri" w:hAnsi="Arial" w:cs="Arial"/>
          <w:sz w:val="24"/>
          <w:szCs w:val="24"/>
          <w:lang w:val="en-ZA"/>
        </w:rPr>
        <w:tab/>
        <w:t xml:space="preserve">On 15 December 2022 the fourth respondent forwarded the </w:t>
      </w:r>
      <w:r w:rsidR="00B774F3">
        <w:rPr>
          <w:rFonts w:ascii="Arial" w:eastAsia="Calibri" w:hAnsi="Arial" w:cs="Arial"/>
          <w:sz w:val="24"/>
          <w:szCs w:val="24"/>
          <w:lang w:val="en-ZA"/>
        </w:rPr>
        <w:t>recommendation d</w:t>
      </w:r>
      <w:r>
        <w:rPr>
          <w:rFonts w:ascii="Arial" w:eastAsia="Calibri" w:hAnsi="Arial" w:cs="Arial"/>
          <w:sz w:val="24"/>
          <w:szCs w:val="24"/>
          <w:lang w:val="en-ZA"/>
        </w:rPr>
        <w:t xml:space="preserve">ocument </w:t>
      </w:r>
      <w:r w:rsidR="00947796">
        <w:rPr>
          <w:rFonts w:ascii="Arial" w:eastAsia="Calibri" w:hAnsi="Arial" w:cs="Arial"/>
          <w:sz w:val="24"/>
          <w:szCs w:val="24"/>
          <w:lang w:val="en-ZA"/>
        </w:rPr>
        <w:t xml:space="preserve">under cover of </w:t>
      </w:r>
      <w:r w:rsidR="006A3B28">
        <w:rPr>
          <w:rFonts w:ascii="Arial" w:eastAsia="Calibri" w:hAnsi="Arial" w:cs="Arial"/>
          <w:sz w:val="24"/>
          <w:szCs w:val="24"/>
          <w:lang w:val="en-ZA"/>
        </w:rPr>
        <w:t>a letter</w:t>
      </w:r>
      <w:r w:rsidR="00B94CCE">
        <w:rPr>
          <w:rFonts w:ascii="Arial" w:eastAsia="Calibri" w:hAnsi="Arial" w:cs="Arial"/>
          <w:sz w:val="24"/>
          <w:szCs w:val="24"/>
          <w:lang w:val="en-ZA"/>
        </w:rPr>
        <w:t xml:space="preserve"> to first respondent</w:t>
      </w:r>
      <w:r w:rsidR="006A3B28">
        <w:rPr>
          <w:rFonts w:ascii="Arial" w:eastAsia="Calibri" w:hAnsi="Arial" w:cs="Arial"/>
          <w:sz w:val="24"/>
          <w:szCs w:val="24"/>
          <w:lang w:val="en-ZA"/>
        </w:rPr>
        <w:t xml:space="preserve">. In this letter he opined that it was the second respondent’s recommendation as requested by the court order. </w:t>
      </w:r>
      <w:r w:rsidR="000D7C67">
        <w:rPr>
          <w:rFonts w:ascii="Arial" w:eastAsia="Calibri" w:hAnsi="Arial" w:cs="Arial"/>
          <w:sz w:val="24"/>
          <w:szCs w:val="24"/>
          <w:lang w:val="en-ZA"/>
        </w:rPr>
        <w:t>Fourth r</w:t>
      </w:r>
      <w:r w:rsidR="00B94CCE">
        <w:rPr>
          <w:rFonts w:ascii="Arial" w:eastAsia="Calibri" w:hAnsi="Arial" w:cs="Arial"/>
          <w:sz w:val="24"/>
          <w:szCs w:val="24"/>
          <w:lang w:val="en-ZA"/>
        </w:rPr>
        <w:t>espondent subsequently indicated in his supporting affidavit</w:t>
      </w:r>
      <w:r w:rsidR="00B774F3">
        <w:rPr>
          <w:rFonts w:ascii="Arial" w:eastAsia="Calibri" w:hAnsi="Arial" w:cs="Arial"/>
          <w:sz w:val="24"/>
          <w:szCs w:val="24"/>
          <w:lang w:val="en-ZA"/>
        </w:rPr>
        <w:t>,</w:t>
      </w:r>
      <w:r w:rsidR="00B94CCE">
        <w:rPr>
          <w:rFonts w:ascii="Arial" w:eastAsia="Calibri" w:hAnsi="Arial" w:cs="Arial"/>
          <w:sz w:val="24"/>
          <w:szCs w:val="24"/>
          <w:lang w:val="en-ZA"/>
        </w:rPr>
        <w:t xml:space="preserve"> that this was a mistake. </w:t>
      </w:r>
      <w:r w:rsidR="00947796">
        <w:rPr>
          <w:rFonts w:ascii="Arial" w:eastAsia="Calibri" w:hAnsi="Arial" w:cs="Arial"/>
          <w:sz w:val="24"/>
          <w:szCs w:val="24"/>
          <w:lang w:val="en-ZA"/>
        </w:rPr>
        <w:t>The first r</w:t>
      </w:r>
      <w:r w:rsidR="000D7C67">
        <w:rPr>
          <w:rFonts w:ascii="Arial" w:eastAsia="Calibri" w:hAnsi="Arial" w:cs="Arial"/>
          <w:sz w:val="24"/>
          <w:szCs w:val="24"/>
          <w:lang w:val="en-ZA"/>
        </w:rPr>
        <w:t xml:space="preserve">espondent was not in office </w:t>
      </w:r>
      <w:r w:rsidR="006A3B28">
        <w:rPr>
          <w:rFonts w:ascii="Arial" w:eastAsia="Calibri" w:hAnsi="Arial" w:cs="Arial"/>
          <w:sz w:val="24"/>
          <w:szCs w:val="24"/>
          <w:lang w:val="en-ZA"/>
        </w:rPr>
        <w:t xml:space="preserve">and </w:t>
      </w:r>
      <w:r w:rsidR="00B94CCE">
        <w:rPr>
          <w:rFonts w:ascii="Arial" w:eastAsia="Calibri" w:hAnsi="Arial" w:cs="Arial"/>
          <w:sz w:val="24"/>
          <w:szCs w:val="24"/>
          <w:lang w:val="en-ZA"/>
        </w:rPr>
        <w:t xml:space="preserve">the </w:t>
      </w:r>
      <w:r w:rsidR="002F41A9">
        <w:rPr>
          <w:rFonts w:ascii="Arial" w:eastAsia="Calibri" w:hAnsi="Arial" w:cs="Arial"/>
          <w:sz w:val="24"/>
          <w:szCs w:val="24"/>
          <w:lang w:val="en-ZA"/>
        </w:rPr>
        <w:t>recommendation d</w:t>
      </w:r>
      <w:r w:rsidR="000D7C67">
        <w:rPr>
          <w:rFonts w:ascii="Arial" w:eastAsia="Calibri" w:hAnsi="Arial" w:cs="Arial"/>
          <w:sz w:val="24"/>
          <w:szCs w:val="24"/>
          <w:lang w:val="en-ZA"/>
        </w:rPr>
        <w:t>ocument was</w:t>
      </w:r>
      <w:r w:rsidR="006A3B28">
        <w:rPr>
          <w:rFonts w:ascii="Arial" w:eastAsia="Calibri" w:hAnsi="Arial" w:cs="Arial"/>
          <w:sz w:val="24"/>
          <w:szCs w:val="24"/>
          <w:lang w:val="en-ZA"/>
        </w:rPr>
        <w:t xml:space="preserve"> </w:t>
      </w:r>
      <w:r w:rsidR="00947796">
        <w:rPr>
          <w:rFonts w:ascii="Arial" w:eastAsia="Calibri" w:hAnsi="Arial" w:cs="Arial"/>
          <w:sz w:val="24"/>
          <w:szCs w:val="24"/>
          <w:lang w:val="en-ZA"/>
        </w:rPr>
        <w:t>simply returned to fourth respondent referring to first respondent’s earlier response of 12 December 2022</w:t>
      </w:r>
      <w:r w:rsidR="006A3B28">
        <w:rPr>
          <w:rFonts w:ascii="Arial" w:eastAsia="Calibri" w:hAnsi="Arial" w:cs="Arial"/>
          <w:sz w:val="24"/>
          <w:szCs w:val="24"/>
          <w:lang w:val="en-ZA"/>
        </w:rPr>
        <w:t>.</w:t>
      </w:r>
    </w:p>
    <w:p w:rsidR="00B81FED" w:rsidRDefault="00B81FED" w:rsidP="00B774F3">
      <w:pPr>
        <w:spacing w:line="360" w:lineRule="auto"/>
        <w:jc w:val="both"/>
        <w:rPr>
          <w:rFonts w:ascii="Arial" w:eastAsia="Calibri" w:hAnsi="Arial" w:cs="Arial"/>
          <w:sz w:val="24"/>
          <w:szCs w:val="24"/>
          <w:lang w:val="en-ZA"/>
        </w:rPr>
      </w:pPr>
    </w:p>
    <w:p w:rsidR="0015497D" w:rsidRDefault="00E0070F" w:rsidP="000E281C">
      <w:pPr>
        <w:spacing w:line="360" w:lineRule="auto"/>
        <w:jc w:val="both"/>
        <w:rPr>
          <w:rFonts w:ascii="Arial" w:eastAsia="Calibri" w:hAnsi="Arial" w:cs="Arial"/>
          <w:sz w:val="24"/>
          <w:szCs w:val="24"/>
          <w:u w:val="single"/>
          <w:lang w:val="en-ZA"/>
        </w:rPr>
      </w:pPr>
      <w:r w:rsidRPr="00B94CCE">
        <w:rPr>
          <w:rFonts w:ascii="Arial" w:eastAsia="Calibri" w:hAnsi="Arial" w:cs="Arial"/>
          <w:sz w:val="24"/>
          <w:szCs w:val="24"/>
          <w:u w:val="single"/>
          <w:lang w:val="en-ZA"/>
        </w:rPr>
        <w:t>The applicant’s case</w:t>
      </w:r>
    </w:p>
    <w:p w:rsidR="00934FC6" w:rsidRPr="00B94CCE" w:rsidRDefault="00934FC6" w:rsidP="00B774F3">
      <w:pPr>
        <w:spacing w:line="360" w:lineRule="auto"/>
        <w:jc w:val="both"/>
        <w:rPr>
          <w:rFonts w:ascii="Arial" w:eastAsia="Calibri" w:hAnsi="Arial" w:cs="Arial"/>
          <w:sz w:val="24"/>
          <w:szCs w:val="24"/>
          <w:u w:val="single"/>
          <w:lang w:val="en-ZA"/>
        </w:rPr>
      </w:pPr>
    </w:p>
    <w:p w:rsidR="000D7C67" w:rsidRDefault="006A3B28" w:rsidP="00E23B55">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15497D">
        <w:rPr>
          <w:rFonts w:ascii="Arial" w:eastAsia="Calibri" w:hAnsi="Arial" w:cs="Arial"/>
          <w:sz w:val="24"/>
          <w:szCs w:val="24"/>
          <w:lang w:val="en-ZA"/>
        </w:rPr>
        <w:t>1</w:t>
      </w:r>
      <w:r w:rsidR="007F26F9">
        <w:rPr>
          <w:rFonts w:ascii="Arial" w:eastAsia="Calibri" w:hAnsi="Arial" w:cs="Arial"/>
          <w:sz w:val="24"/>
          <w:szCs w:val="24"/>
          <w:lang w:val="en-ZA"/>
        </w:rPr>
        <w:t>1</w:t>
      </w:r>
      <w:r>
        <w:rPr>
          <w:rFonts w:ascii="Arial" w:eastAsia="Calibri" w:hAnsi="Arial" w:cs="Arial"/>
          <w:sz w:val="24"/>
          <w:szCs w:val="24"/>
          <w:lang w:val="en-ZA"/>
        </w:rPr>
        <w:t>]</w:t>
      </w:r>
      <w:r>
        <w:rPr>
          <w:rFonts w:ascii="Arial" w:eastAsia="Calibri" w:hAnsi="Arial" w:cs="Arial"/>
          <w:sz w:val="24"/>
          <w:szCs w:val="24"/>
          <w:lang w:val="en-ZA"/>
        </w:rPr>
        <w:tab/>
      </w:r>
      <w:r w:rsidR="00E0070F">
        <w:rPr>
          <w:rFonts w:ascii="Arial" w:eastAsia="Calibri" w:hAnsi="Arial" w:cs="Arial"/>
          <w:sz w:val="24"/>
          <w:szCs w:val="24"/>
          <w:lang w:val="en-ZA"/>
        </w:rPr>
        <w:t xml:space="preserve">It is the applicant’s case that the second respondent, in violation of the court order, acted wilfully and </w:t>
      </w:r>
      <w:r w:rsidR="00E0070F" w:rsidRPr="00E0070F">
        <w:rPr>
          <w:rFonts w:ascii="Arial" w:eastAsia="Calibri" w:hAnsi="Arial" w:cs="Arial"/>
          <w:i/>
          <w:sz w:val="24"/>
          <w:szCs w:val="24"/>
          <w:lang w:val="en-ZA"/>
        </w:rPr>
        <w:t>mala fide</w:t>
      </w:r>
      <w:r w:rsidR="00E0070F">
        <w:rPr>
          <w:rFonts w:ascii="Arial" w:eastAsia="Calibri" w:hAnsi="Arial" w:cs="Arial"/>
          <w:sz w:val="24"/>
          <w:szCs w:val="24"/>
          <w:lang w:val="en-ZA"/>
        </w:rPr>
        <w:t xml:space="preserve"> in that he refuse</w:t>
      </w:r>
      <w:r w:rsidR="00B94CCE">
        <w:rPr>
          <w:rFonts w:ascii="Arial" w:eastAsia="Calibri" w:hAnsi="Arial" w:cs="Arial"/>
          <w:sz w:val="24"/>
          <w:szCs w:val="24"/>
          <w:lang w:val="en-ZA"/>
        </w:rPr>
        <w:t>s</w:t>
      </w:r>
      <w:r w:rsidR="00E0070F">
        <w:rPr>
          <w:rFonts w:ascii="Arial" w:eastAsia="Calibri" w:hAnsi="Arial" w:cs="Arial"/>
          <w:sz w:val="24"/>
          <w:szCs w:val="24"/>
          <w:lang w:val="en-ZA"/>
        </w:rPr>
        <w:t xml:space="preserve"> to make a recommendation to the first respondent to authorise </w:t>
      </w:r>
      <w:r w:rsidR="00B94CCE">
        <w:rPr>
          <w:rFonts w:ascii="Arial" w:eastAsia="Calibri" w:hAnsi="Arial" w:cs="Arial"/>
          <w:sz w:val="24"/>
          <w:szCs w:val="24"/>
          <w:lang w:val="en-ZA"/>
        </w:rPr>
        <w:t xml:space="preserve">the applicant’s </w:t>
      </w:r>
      <w:r w:rsidR="00E0070F">
        <w:rPr>
          <w:rFonts w:ascii="Arial" w:eastAsia="Calibri" w:hAnsi="Arial" w:cs="Arial"/>
          <w:sz w:val="24"/>
          <w:szCs w:val="24"/>
          <w:lang w:val="en-ZA"/>
        </w:rPr>
        <w:t>release despite his determination that the applicant suffers from two dangerous diseases, to wit Diabetes Mellitus and Kidney Failure as envisioned by s 109 of the Act.  The applicant further states that the second respondent failed to comply with the court order by refusing to inform him that he is declining to make a recommendation and to provide him with reasons. He concludes that the second resp</w:t>
      </w:r>
      <w:r w:rsidR="000D7C67">
        <w:rPr>
          <w:rFonts w:ascii="Arial" w:eastAsia="Calibri" w:hAnsi="Arial" w:cs="Arial"/>
          <w:sz w:val="24"/>
          <w:szCs w:val="24"/>
          <w:lang w:val="en-ZA"/>
        </w:rPr>
        <w:t xml:space="preserve">ondent’s demeanour as can be deduced </w:t>
      </w:r>
      <w:r w:rsidR="0015497D">
        <w:rPr>
          <w:rFonts w:ascii="Arial" w:eastAsia="Calibri" w:hAnsi="Arial" w:cs="Arial"/>
          <w:sz w:val="24"/>
          <w:szCs w:val="24"/>
          <w:lang w:val="en-ZA"/>
        </w:rPr>
        <w:t>from the language he used</w:t>
      </w:r>
      <w:r w:rsidR="00B774F3">
        <w:rPr>
          <w:rFonts w:ascii="Arial" w:eastAsia="Calibri" w:hAnsi="Arial" w:cs="Arial"/>
          <w:sz w:val="24"/>
          <w:szCs w:val="24"/>
          <w:lang w:val="en-ZA"/>
        </w:rPr>
        <w:t>,</w:t>
      </w:r>
      <w:r w:rsidR="00E0070F">
        <w:rPr>
          <w:rFonts w:ascii="Arial" w:eastAsia="Calibri" w:hAnsi="Arial" w:cs="Arial"/>
          <w:sz w:val="24"/>
          <w:szCs w:val="24"/>
          <w:lang w:val="en-ZA"/>
        </w:rPr>
        <w:t xml:space="preserve"> is contumacious.</w:t>
      </w:r>
    </w:p>
    <w:p w:rsidR="00052EBA" w:rsidRDefault="000E281C" w:rsidP="00E23B55">
      <w:pPr>
        <w:spacing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w:t>
      </w:r>
      <w:r w:rsidR="0015497D">
        <w:rPr>
          <w:rFonts w:ascii="Arial" w:eastAsia="Calibri" w:hAnsi="Arial" w:cs="Arial"/>
          <w:sz w:val="24"/>
          <w:szCs w:val="24"/>
          <w:lang w:val="en-ZA"/>
        </w:rPr>
        <w:t>1</w:t>
      </w:r>
      <w:r w:rsidR="007F26F9">
        <w:rPr>
          <w:rFonts w:ascii="Arial" w:eastAsia="Calibri" w:hAnsi="Arial" w:cs="Arial"/>
          <w:sz w:val="24"/>
          <w:szCs w:val="24"/>
          <w:lang w:val="en-ZA"/>
        </w:rPr>
        <w:t>2</w:t>
      </w:r>
      <w:r>
        <w:rPr>
          <w:rFonts w:ascii="Arial" w:eastAsia="Calibri" w:hAnsi="Arial" w:cs="Arial"/>
          <w:sz w:val="24"/>
          <w:szCs w:val="24"/>
          <w:lang w:val="en-ZA"/>
        </w:rPr>
        <w:t>]</w:t>
      </w:r>
      <w:r>
        <w:rPr>
          <w:rFonts w:ascii="Arial" w:eastAsia="Calibri" w:hAnsi="Arial" w:cs="Arial"/>
          <w:sz w:val="24"/>
          <w:szCs w:val="24"/>
          <w:lang w:val="en-ZA"/>
        </w:rPr>
        <w:tab/>
      </w:r>
      <w:r w:rsidR="00052EBA">
        <w:rPr>
          <w:rFonts w:ascii="Arial" w:eastAsia="Calibri" w:hAnsi="Arial" w:cs="Arial"/>
          <w:sz w:val="24"/>
          <w:szCs w:val="24"/>
          <w:lang w:val="en-ZA"/>
        </w:rPr>
        <w:t xml:space="preserve">Mr </w:t>
      </w:r>
      <w:proofErr w:type="spellStart"/>
      <w:r w:rsidR="00052EBA">
        <w:rPr>
          <w:rFonts w:ascii="Arial" w:eastAsia="Calibri" w:hAnsi="Arial" w:cs="Arial"/>
          <w:sz w:val="24"/>
          <w:szCs w:val="24"/>
          <w:lang w:val="en-ZA"/>
        </w:rPr>
        <w:t>M</w:t>
      </w:r>
      <w:r w:rsidR="0052232C">
        <w:rPr>
          <w:rFonts w:ascii="Arial" w:eastAsia="Calibri" w:hAnsi="Arial" w:cs="Arial"/>
          <w:sz w:val="24"/>
          <w:szCs w:val="24"/>
          <w:lang w:val="en-ZA"/>
        </w:rPr>
        <w:t>uluti</w:t>
      </w:r>
      <w:proofErr w:type="spellEnd"/>
      <w:r w:rsidR="0052232C">
        <w:rPr>
          <w:rFonts w:ascii="Arial" w:eastAsia="Calibri" w:hAnsi="Arial" w:cs="Arial"/>
          <w:sz w:val="24"/>
          <w:szCs w:val="24"/>
          <w:lang w:val="en-ZA"/>
        </w:rPr>
        <w:t xml:space="preserve"> submits that the second respondent’s </w:t>
      </w:r>
      <w:r w:rsidR="00052EBA">
        <w:rPr>
          <w:rFonts w:ascii="Arial" w:eastAsia="Calibri" w:hAnsi="Arial" w:cs="Arial"/>
          <w:sz w:val="24"/>
          <w:szCs w:val="24"/>
          <w:lang w:val="en-ZA"/>
        </w:rPr>
        <w:t>conduct is contumacious because, although he concluded that the applicant suffers from a dangerous disease, he refuses to make the recommendation despite the provisions of s 109(</w:t>
      </w:r>
      <w:r w:rsidR="00052EBA" w:rsidRPr="0052232C">
        <w:rPr>
          <w:rFonts w:ascii="Arial" w:eastAsia="Calibri" w:hAnsi="Arial" w:cs="Arial"/>
          <w:i/>
          <w:sz w:val="24"/>
          <w:szCs w:val="24"/>
          <w:lang w:val="en-ZA"/>
        </w:rPr>
        <w:t>a</w:t>
      </w:r>
      <w:r w:rsidR="00052EBA">
        <w:rPr>
          <w:rFonts w:ascii="Arial" w:eastAsia="Calibri" w:hAnsi="Arial" w:cs="Arial"/>
          <w:sz w:val="24"/>
          <w:szCs w:val="24"/>
          <w:lang w:val="en-ZA"/>
        </w:rPr>
        <w:t xml:space="preserve">). He submits that second </w:t>
      </w:r>
      <w:r w:rsidR="000D7C67">
        <w:rPr>
          <w:rFonts w:ascii="Arial" w:eastAsia="Calibri" w:hAnsi="Arial" w:cs="Arial"/>
          <w:sz w:val="24"/>
          <w:szCs w:val="24"/>
          <w:lang w:val="en-ZA"/>
        </w:rPr>
        <w:t>respondent complied with order one</w:t>
      </w:r>
      <w:r w:rsidR="00052EBA">
        <w:rPr>
          <w:rFonts w:ascii="Arial" w:eastAsia="Calibri" w:hAnsi="Arial" w:cs="Arial"/>
          <w:sz w:val="24"/>
          <w:szCs w:val="24"/>
          <w:lang w:val="en-ZA"/>
        </w:rPr>
        <w:t xml:space="preserve"> of the judgment dated 14 November 2022 but in a cantankerous fashion refuses to comply with order three. </w:t>
      </w:r>
    </w:p>
    <w:p w:rsidR="00AC1B98" w:rsidRDefault="00AC1B98" w:rsidP="00E23B55">
      <w:pPr>
        <w:spacing w:line="360" w:lineRule="auto"/>
        <w:jc w:val="both"/>
        <w:rPr>
          <w:rFonts w:ascii="Arial" w:eastAsia="Calibri" w:hAnsi="Arial" w:cs="Arial"/>
          <w:sz w:val="24"/>
          <w:szCs w:val="24"/>
          <w:lang w:val="en-ZA"/>
        </w:rPr>
      </w:pPr>
    </w:p>
    <w:p w:rsidR="00E23B55" w:rsidRDefault="00052EBA" w:rsidP="00E23B55">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15497D">
        <w:rPr>
          <w:rFonts w:ascii="Arial" w:eastAsia="Calibri" w:hAnsi="Arial" w:cs="Arial"/>
          <w:sz w:val="24"/>
          <w:szCs w:val="24"/>
          <w:lang w:val="en-ZA"/>
        </w:rPr>
        <w:t>1</w:t>
      </w:r>
      <w:r w:rsidR="007F26F9">
        <w:rPr>
          <w:rFonts w:ascii="Arial" w:eastAsia="Calibri" w:hAnsi="Arial" w:cs="Arial"/>
          <w:sz w:val="24"/>
          <w:szCs w:val="24"/>
          <w:lang w:val="en-ZA"/>
        </w:rPr>
        <w:t>3</w:t>
      </w:r>
      <w:r w:rsidR="002F41A9">
        <w:rPr>
          <w:rFonts w:ascii="Arial" w:eastAsia="Calibri" w:hAnsi="Arial" w:cs="Arial"/>
          <w:sz w:val="24"/>
          <w:szCs w:val="24"/>
          <w:lang w:val="en-ZA"/>
        </w:rPr>
        <w:t>]</w:t>
      </w:r>
      <w:r w:rsidR="002F41A9">
        <w:rPr>
          <w:rFonts w:ascii="Arial" w:eastAsia="Calibri" w:hAnsi="Arial" w:cs="Arial"/>
          <w:sz w:val="24"/>
          <w:szCs w:val="24"/>
          <w:lang w:val="en-ZA"/>
        </w:rPr>
        <w:tab/>
        <w:t>He submits that the recommendation d</w:t>
      </w:r>
      <w:r>
        <w:rPr>
          <w:rFonts w:ascii="Arial" w:eastAsia="Calibri" w:hAnsi="Arial" w:cs="Arial"/>
          <w:sz w:val="24"/>
          <w:szCs w:val="24"/>
          <w:lang w:val="en-ZA"/>
        </w:rPr>
        <w:t xml:space="preserve">ocument does not contain reasons why the second respondent declined to make the requisite recommendation but it contains his findings and opinions. </w:t>
      </w:r>
      <w:r w:rsidR="007A73BE">
        <w:rPr>
          <w:rFonts w:ascii="Arial" w:eastAsia="Calibri" w:hAnsi="Arial" w:cs="Arial"/>
          <w:sz w:val="24"/>
          <w:szCs w:val="24"/>
          <w:lang w:val="en-ZA"/>
        </w:rPr>
        <w:t xml:space="preserve">The second </w:t>
      </w:r>
      <w:r w:rsidR="0015497D">
        <w:rPr>
          <w:rFonts w:ascii="Arial" w:eastAsia="Calibri" w:hAnsi="Arial" w:cs="Arial"/>
          <w:sz w:val="24"/>
          <w:szCs w:val="24"/>
          <w:lang w:val="en-ZA"/>
        </w:rPr>
        <w:t>respondent also avers</w:t>
      </w:r>
      <w:r w:rsidR="007A73BE">
        <w:rPr>
          <w:rFonts w:ascii="Arial" w:eastAsia="Calibri" w:hAnsi="Arial" w:cs="Arial"/>
          <w:sz w:val="24"/>
          <w:szCs w:val="24"/>
          <w:lang w:val="en-ZA"/>
        </w:rPr>
        <w:t xml:space="preserve"> th</w:t>
      </w:r>
      <w:r w:rsidR="002F41A9">
        <w:rPr>
          <w:rFonts w:ascii="Arial" w:eastAsia="Calibri" w:hAnsi="Arial" w:cs="Arial"/>
          <w:sz w:val="24"/>
          <w:szCs w:val="24"/>
          <w:lang w:val="en-ZA"/>
        </w:rPr>
        <w:t>at the applicant was given the recommendation d</w:t>
      </w:r>
      <w:r w:rsidR="007A73BE">
        <w:rPr>
          <w:rFonts w:ascii="Arial" w:eastAsia="Calibri" w:hAnsi="Arial" w:cs="Arial"/>
          <w:sz w:val="24"/>
          <w:szCs w:val="24"/>
          <w:lang w:val="en-ZA"/>
        </w:rPr>
        <w:t xml:space="preserve">ocument on 19 December 2022, but the applicant refused to accept it. </w:t>
      </w:r>
    </w:p>
    <w:p w:rsidR="0052232C" w:rsidRDefault="0052232C" w:rsidP="00E23B55">
      <w:pPr>
        <w:spacing w:line="360" w:lineRule="auto"/>
        <w:jc w:val="both"/>
        <w:rPr>
          <w:rFonts w:ascii="Arial" w:eastAsia="Calibri" w:hAnsi="Arial" w:cs="Arial"/>
          <w:sz w:val="24"/>
          <w:szCs w:val="24"/>
          <w:lang w:val="en-ZA"/>
        </w:rPr>
      </w:pPr>
    </w:p>
    <w:p w:rsidR="00671AB4" w:rsidRDefault="00052EBA" w:rsidP="00E23B55">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15497D">
        <w:rPr>
          <w:rFonts w:ascii="Arial" w:eastAsia="Calibri" w:hAnsi="Arial" w:cs="Arial"/>
          <w:sz w:val="24"/>
          <w:szCs w:val="24"/>
          <w:lang w:val="en-ZA"/>
        </w:rPr>
        <w:t>1</w:t>
      </w:r>
      <w:r w:rsidR="007F26F9">
        <w:rPr>
          <w:rFonts w:ascii="Arial" w:eastAsia="Calibri" w:hAnsi="Arial" w:cs="Arial"/>
          <w:sz w:val="24"/>
          <w:szCs w:val="24"/>
          <w:lang w:val="en-ZA"/>
        </w:rPr>
        <w:t>4</w:t>
      </w:r>
      <w:r>
        <w:rPr>
          <w:rFonts w:ascii="Arial" w:eastAsia="Calibri" w:hAnsi="Arial" w:cs="Arial"/>
          <w:sz w:val="24"/>
          <w:szCs w:val="24"/>
          <w:lang w:val="en-ZA"/>
        </w:rPr>
        <w:t>]</w:t>
      </w:r>
      <w:r>
        <w:rPr>
          <w:rFonts w:ascii="Arial" w:eastAsia="Calibri" w:hAnsi="Arial" w:cs="Arial"/>
          <w:sz w:val="24"/>
          <w:szCs w:val="24"/>
          <w:lang w:val="en-ZA"/>
        </w:rPr>
        <w:tab/>
        <w:t>He argues that contempt of court is a constitutional matter and more so when the allege</w:t>
      </w:r>
      <w:r w:rsidR="00B774F3">
        <w:rPr>
          <w:rFonts w:ascii="Arial" w:eastAsia="Calibri" w:hAnsi="Arial" w:cs="Arial"/>
          <w:sz w:val="24"/>
          <w:szCs w:val="24"/>
          <w:lang w:val="en-ZA"/>
        </w:rPr>
        <w:t>d</w:t>
      </w:r>
      <w:r>
        <w:rPr>
          <w:rFonts w:ascii="Arial" w:eastAsia="Calibri" w:hAnsi="Arial" w:cs="Arial"/>
          <w:sz w:val="24"/>
          <w:szCs w:val="24"/>
          <w:lang w:val="en-ZA"/>
        </w:rPr>
        <w:t xml:space="preserve"> contempt </w:t>
      </w:r>
      <w:r w:rsidR="0052232C">
        <w:rPr>
          <w:rFonts w:ascii="Arial" w:eastAsia="Calibri" w:hAnsi="Arial" w:cs="Arial"/>
          <w:sz w:val="24"/>
          <w:szCs w:val="24"/>
          <w:lang w:val="en-ZA"/>
        </w:rPr>
        <w:t xml:space="preserve">was committed by </w:t>
      </w:r>
      <w:r>
        <w:rPr>
          <w:rFonts w:ascii="Arial" w:eastAsia="Calibri" w:hAnsi="Arial" w:cs="Arial"/>
          <w:sz w:val="24"/>
          <w:szCs w:val="24"/>
          <w:lang w:val="en-ZA"/>
        </w:rPr>
        <w:t xml:space="preserve">a public official, entrusted with the health of inmates. </w:t>
      </w:r>
      <w:r w:rsidR="007A73BE">
        <w:rPr>
          <w:rFonts w:ascii="Arial" w:eastAsia="Calibri" w:hAnsi="Arial" w:cs="Arial"/>
          <w:sz w:val="24"/>
          <w:szCs w:val="24"/>
          <w:lang w:val="en-ZA"/>
        </w:rPr>
        <w:t xml:space="preserve"> He </w:t>
      </w:r>
      <w:r w:rsidR="00B81FED">
        <w:rPr>
          <w:rFonts w:ascii="Arial" w:eastAsia="Calibri" w:hAnsi="Arial" w:cs="Arial"/>
          <w:sz w:val="24"/>
          <w:szCs w:val="24"/>
          <w:lang w:val="en-ZA"/>
        </w:rPr>
        <w:t>submits</w:t>
      </w:r>
      <w:r w:rsidR="007A73BE">
        <w:rPr>
          <w:rFonts w:ascii="Arial" w:eastAsia="Calibri" w:hAnsi="Arial" w:cs="Arial"/>
          <w:sz w:val="24"/>
          <w:szCs w:val="24"/>
          <w:lang w:val="en-ZA"/>
        </w:rPr>
        <w:t xml:space="preserve"> that the applicant has proven that there was an order of court</w:t>
      </w:r>
      <w:r w:rsidR="00671AB4">
        <w:rPr>
          <w:rFonts w:ascii="Arial" w:eastAsia="Calibri" w:hAnsi="Arial" w:cs="Arial"/>
          <w:sz w:val="24"/>
          <w:szCs w:val="24"/>
          <w:lang w:val="en-ZA"/>
        </w:rPr>
        <w:t>;</w:t>
      </w:r>
      <w:r w:rsidR="007A73BE">
        <w:rPr>
          <w:rFonts w:ascii="Arial" w:eastAsia="Calibri" w:hAnsi="Arial" w:cs="Arial"/>
          <w:sz w:val="24"/>
          <w:szCs w:val="24"/>
          <w:lang w:val="en-ZA"/>
        </w:rPr>
        <w:t xml:space="preserve"> that the second respondent was served with the order</w:t>
      </w:r>
      <w:r w:rsidR="00671AB4">
        <w:rPr>
          <w:rFonts w:ascii="Arial" w:eastAsia="Calibri" w:hAnsi="Arial" w:cs="Arial"/>
          <w:sz w:val="24"/>
          <w:szCs w:val="24"/>
          <w:lang w:val="en-ZA"/>
        </w:rPr>
        <w:t>;</w:t>
      </w:r>
      <w:r w:rsidR="007A73BE">
        <w:rPr>
          <w:rFonts w:ascii="Arial" w:eastAsia="Calibri" w:hAnsi="Arial" w:cs="Arial"/>
          <w:sz w:val="24"/>
          <w:szCs w:val="24"/>
          <w:lang w:val="en-ZA"/>
        </w:rPr>
        <w:t xml:space="preserve"> and </w:t>
      </w:r>
      <w:r w:rsidR="00671AB4">
        <w:rPr>
          <w:rFonts w:ascii="Arial" w:eastAsia="Calibri" w:hAnsi="Arial" w:cs="Arial"/>
          <w:sz w:val="24"/>
          <w:szCs w:val="24"/>
          <w:lang w:val="en-ZA"/>
        </w:rPr>
        <w:t xml:space="preserve">that </w:t>
      </w:r>
      <w:r w:rsidR="007A73BE">
        <w:rPr>
          <w:rFonts w:ascii="Arial" w:eastAsia="Calibri" w:hAnsi="Arial" w:cs="Arial"/>
          <w:sz w:val="24"/>
          <w:szCs w:val="24"/>
          <w:lang w:val="en-ZA"/>
        </w:rPr>
        <w:t xml:space="preserve">the second respondent refused to comply with the order. He submits that the applicant discharged the onus on him and has proven that the second respondent acted wilfully and </w:t>
      </w:r>
      <w:r w:rsidR="007A73BE" w:rsidRPr="0052232C">
        <w:rPr>
          <w:rFonts w:ascii="Arial" w:eastAsia="Calibri" w:hAnsi="Arial" w:cs="Arial"/>
          <w:i/>
          <w:sz w:val="24"/>
          <w:szCs w:val="24"/>
          <w:lang w:val="en-ZA"/>
        </w:rPr>
        <w:t>mala fide</w:t>
      </w:r>
      <w:r w:rsidR="007A73BE">
        <w:rPr>
          <w:rFonts w:ascii="Arial" w:eastAsia="Calibri" w:hAnsi="Arial" w:cs="Arial"/>
          <w:sz w:val="24"/>
          <w:szCs w:val="24"/>
          <w:lang w:val="en-ZA"/>
        </w:rPr>
        <w:t xml:space="preserve">. </w:t>
      </w:r>
    </w:p>
    <w:p w:rsidR="0052232C" w:rsidRDefault="0052232C" w:rsidP="00E23B55">
      <w:pPr>
        <w:spacing w:line="360" w:lineRule="auto"/>
        <w:jc w:val="both"/>
        <w:rPr>
          <w:rFonts w:ascii="Arial" w:eastAsia="Calibri" w:hAnsi="Arial" w:cs="Arial"/>
          <w:sz w:val="24"/>
          <w:szCs w:val="24"/>
          <w:lang w:val="en-ZA"/>
        </w:rPr>
      </w:pPr>
    </w:p>
    <w:p w:rsidR="00AC1B98" w:rsidRDefault="00671AB4" w:rsidP="00E23B55">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15497D">
        <w:rPr>
          <w:rFonts w:ascii="Arial" w:eastAsia="Calibri" w:hAnsi="Arial" w:cs="Arial"/>
          <w:sz w:val="24"/>
          <w:szCs w:val="24"/>
          <w:lang w:val="en-ZA"/>
        </w:rPr>
        <w:t>1</w:t>
      </w:r>
      <w:r w:rsidR="007F26F9">
        <w:rPr>
          <w:rFonts w:ascii="Arial" w:eastAsia="Calibri" w:hAnsi="Arial" w:cs="Arial"/>
          <w:sz w:val="24"/>
          <w:szCs w:val="24"/>
          <w:lang w:val="en-ZA"/>
        </w:rPr>
        <w:t>5</w:t>
      </w:r>
      <w:r>
        <w:rPr>
          <w:rFonts w:ascii="Arial" w:eastAsia="Calibri" w:hAnsi="Arial" w:cs="Arial"/>
          <w:sz w:val="24"/>
          <w:szCs w:val="24"/>
          <w:lang w:val="en-ZA"/>
        </w:rPr>
        <w:t>]</w:t>
      </w:r>
      <w:r>
        <w:rPr>
          <w:rFonts w:ascii="Arial" w:eastAsia="Calibri" w:hAnsi="Arial" w:cs="Arial"/>
          <w:sz w:val="24"/>
          <w:szCs w:val="24"/>
          <w:lang w:val="en-ZA"/>
        </w:rPr>
        <w:tab/>
      </w:r>
      <w:r w:rsidR="007A73BE">
        <w:rPr>
          <w:rFonts w:ascii="Arial" w:eastAsia="Calibri" w:hAnsi="Arial" w:cs="Arial"/>
          <w:sz w:val="24"/>
          <w:szCs w:val="24"/>
          <w:lang w:val="en-ZA"/>
        </w:rPr>
        <w:t>He submits that the second respondent, clearly understood what was expected of him as the court warned him not to take o</w:t>
      </w:r>
      <w:r>
        <w:rPr>
          <w:rFonts w:ascii="Arial" w:eastAsia="Calibri" w:hAnsi="Arial" w:cs="Arial"/>
          <w:sz w:val="24"/>
          <w:szCs w:val="24"/>
          <w:lang w:val="en-ZA"/>
        </w:rPr>
        <w:t>t</w:t>
      </w:r>
      <w:r w:rsidR="007A73BE">
        <w:rPr>
          <w:rFonts w:ascii="Arial" w:eastAsia="Calibri" w:hAnsi="Arial" w:cs="Arial"/>
          <w:sz w:val="24"/>
          <w:szCs w:val="24"/>
          <w:lang w:val="en-ZA"/>
        </w:rPr>
        <w:t>her considerations into account</w:t>
      </w:r>
      <w:r w:rsidR="00B774F3">
        <w:rPr>
          <w:rFonts w:ascii="Arial" w:eastAsia="Calibri" w:hAnsi="Arial" w:cs="Arial"/>
          <w:sz w:val="24"/>
          <w:szCs w:val="24"/>
          <w:lang w:val="en-ZA"/>
        </w:rPr>
        <w:t>,</w:t>
      </w:r>
      <w:r w:rsidR="007A73BE">
        <w:rPr>
          <w:rFonts w:ascii="Arial" w:eastAsia="Calibri" w:hAnsi="Arial" w:cs="Arial"/>
          <w:sz w:val="24"/>
          <w:szCs w:val="24"/>
          <w:lang w:val="en-ZA"/>
        </w:rPr>
        <w:t xml:space="preserve"> </w:t>
      </w:r>
      <w:r>
        <w:rPr>
          <w:rFonts w:ascii="Arial" w:eastAsia="Calibri" w:hAnsi="Arial" w:cs="Arial"/>
          <w:sz w:val="24"/>
          <w:szCs w:val="24"/>
          <w:lang w:val="en-ZA"/>
        </w:rPr>
        <w:t xml:space="preserve">yet </w:t>
      </w:r>
      <w:r w:rsidR="007A73BE">
        <w:rPr>
          <w:rFonts w:ascii="Arial" w:eastAsia="Calibri" w:hAnsi="Arial" w:cs="Arial"/>
          <w:sz w:val="24"/>
          <w:szCs w:val="24"/>
          <w:lang w:val="en-ZA"/>
        </w:rPr>
        <w:t xml:space="preserve">he went ahead and </w:t>
      </w:r>
      <w:r>
        <w:rPr>
          <w:rFonts w:ascii="Arial" w:eastAsia="Calibri" w:hAnsi="Arial" w:cs="Arial"/>
          <w:sz w:val="24"/>
          <w:szCs w:val="24"/>
          <w:lang w:val="en-ZA"/>
        </w:rPr>
        <w:t xml:space="preserve">fraudulently </w:t>
      </w:r>
      <w:r w:rsidR="007A73BE">
        <w:rPr>
          <w:rFonts w:ascii="Arial" w:eastAsia="Calibri" w:hAnsi="Arial" w:cs="Arial"/>
          <w:sz w:val="24"/>
          <w:szCs w:val="24"/>
          <w:lang w:val="en-ZA"/>
        </w:rPr>
        <w:t xml:space="preserve">took </w:t>
      </w:r>
      <w:r>
        <w:rPr>
          <w:rFonts w:ascii="Arial" w:eastAsia="Calibri" w:hAnsi="Arial" w:cs="Arial"/>
          <w:sz w:val="24"/>
          <w:szCs w:val="24"/>
          <w:lang w:val="en-ZA"/>
        </w:rPr>
        <w:t>into consideration foreign and/or extraneous obligations contrary to the jurisdictional facts as contemplated by s 109(</w:t>
      </w:r>
      <w:r w:rsidR="00B81FED">
        <w:rPr>
          <w:rFonts w:ascii="Arial" w:eastAsia="Calibri" w:hAnsi="Arial" w:cs="Arial"/>
          <w:i/>
          <w:sz w:val="24"/>
          <w:szCs w:val="24"/>
          <w:lang w:val="en-ZA"/>
        </w:rPr>
        <w:t>a)</w:t>
      </w:r>
      <w:r>
        <w:rPr>
          <w:rFonts w:ascii="Arial" w:eastAsia="Calibri" w:hAnsi="Arial" w:cs="Arial"/>
          <w:sz w:val="24"/>
          <w:szCs w:val="24"/>
          <w:lang w:val="en-ZA"/>
        </w:rPr>
        <w:t xml:space="preserve">) of the Act. </w:t>
      </w:r>
      <w:r w:rsidR="007A73BE">
        <w:rPr>
          <w:rFonts w:ascii="Arial" w:eastAsia="Calibri" w:hAnsi="Arial" w:cs="Arial"/>
          <w:sz w:val="24"/>
          <w:szCs w:val="24"/>
          <w:lang w:val="en-ZA"/>
        </w:rPr>
        <w:t xml:space="preserve">In addition hereto he had the benefit of legal advice </w:t>
      </w:r>
      <w:r>
        <w:rPr>
          <w:rFonts w:ascii="Arial" w:eastAsia="Calibri" w:hAnsi="Arial" w:cs="Arial"/>
          <w:sz w:val="24"/>
          <w:szCs w:val="24"/>
          <w:lang w:val="en-ZA"/>
        </w:rPr>
        <w:t xml:space="preserve">but </w:t>
      </w:r>
      <w:r w:rsidR="007A73BE">
        <w:rPr>
          <w:rFonts w:ascii="Arial" w:eastAsia="Calibri" w:hAnsi="Arial" w:cs="Arial"/>
          <w:sz w:val="24"/>
          <w:szCs w:val="24"/>
          <w:lang w:val="en-ZA"/>
        </w:rPr>
        <w:t xml:space="preserve">he disobeyed the court order </w:t>
      </w:r>
      <w:r>
        <w:rPr>
          <w:rFonts w:ascii="Arial" w:eastAsia="Calibri" w:hAnsi="Arial" w:cs="Arial"/>
          <w:sz w:val="24"/>
          <w:szCs w:val="24"/>
          <w:lang w:val="en-ZA"/>
        </w:rPr>
        <w:t>without</w:t>
      </w:r>
      <w:r w:rsidR="007A73BE">
        <w:rPr>
          <w:rFonts w:ascii="Arial" w:eastAsia="Calibri" w:hAnsi="Arial" w:cs="Arial"/>
          <w:sz w:val="24"/>
          <w:szCs w:val="24"/>
          <w:lang w:val="en-ZA"/>
        </w:rPr>
        <w:t xml:space="preserve"> any honest belief that his conduct is justified. </w:t>
      </w:r>
      <w:r>
        <w:rPr>
          <w:rFonts w:ascii="Arial" w:eastAsia="Calibri" w:hAnsi="Arial" w:cs="Arial"/>
          <w:sz w:val="24"/>
          <w:szCs w:val="24"/>
          <w:lang w:val="en-ZA"/>
        </w:rPr>
        <w:t xml:space="preserve">Mr </w:t>
      </w:r>
      <w:proofErr w:type="spellStart"/>
      <w:r>
        <w:rPr>
          <w:rFonts w:ascii="Arial" w:eastAsia="Calibri" w:hAnsi="Arial" w:cs="Arial"/>
          <w:sz w:val="24"/>
          <w:szCs w:val="24"/>
          <w:lang w:val="en-ZA"/>
        </w:rPr>
        <w:t>Muluti</w:t>
      </w:r>
      <w:proofErr w:type="spellEnd"/>
      <w:r>
        <w:rPr>
          <w:rFonts w:ascii="Arial" w:eastAsia="Calibri" w:hAnsi="Arial" w:cs="Arial"/>
          <w:sz w:val="24"/>
          <w:szCs w:val="24"/>
          <w:lang w:val="en-ZA"/>
        </w:rPr>
        <w:t xml:space="preserve"> argues that the second respondent’s action is based on bad faith and fraud and it was designed to reach an objective other than envisaged in s 109(</w:t>
      </w:r>
      <w:r w:rsidRPr="00B81FED">
        <w:rPr>
          <w:rFonts w:ascii="Arial" w:eastAsia="Calibri" w:hAnsi="Arial" w:cs="Arial"/>
          <w:i/>
          <w:sz w:val="24"/>
          <w:szCs w:val="24"/>
          <w:lang w:val="en-ZA"/>
        </w:rPr>
        <w:t>a</w:t>
      </w:r>
      <w:r>
        <w:rPr>
          <w:rFonts w:ascii="Arial" w:eastAsia="Calibri" w:hAnsi="Arial" w:cs="Arial"/>
          <w:sz w:val="24"/>
          <w:szCs w:val="24"/>
          <w:lang w:val="en-ZA"/>
        </w:rPr>
        <w:t xml:space="preserve">) as entrusted to him. </w:t>
      </w:r>
    </w:p>
    <w:p w:rsidR="00052EBA" w:rsidRDefault="00671AB4" w:rsidP="00E23B55">
      <w:pPr>
        <w:spacing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w:t>
      </w:r>
      <w:r w:rsidR="0015497D">
        <w:rPr>
          <w:rFonts w:ascii="Arial" w:eastAsia="Calibri" w:hAnsi="Arial" w:cs="Arial"/>
          <w:sz w:val="24"/>
          <w:szCs w:val="24"/>
          <w:lang w:val="en-ZA"/>
        </w:rPr>
        <w:t>1</w:t>
      </w:r>
      <w:r w:rsidR="007F26F9">
        <w:rPr>
          <w:rFonts w:ascii="Arial" w:eastAsia="Calibri" w:hAnsi="Arial" w:cs="Arial"/>
          <w:sz w:val="24"/>
          <w:szCs w:val="24"/>
          <w:lang w:val="en-ZA"/>
        </w:rPr>
        <w:t>6</w:t>
      </w:r>
      <w:r>
        <w:rPr>
          <w:rFonts w:ascii="Arial" w:eastAsia="Calibri" w:hAnsi="Arial" w:cs="Arial"/>
          <w:sz w:val="24"/>
          <w:szCs w:val="24"/>
          <w:lang w:val="en-ZA"/>
        </w:rPr>
        <w:t>]</w:t>
      </w:r>
      <w:r>
        <w:rPr>
          <w:rFonts w:ascii="Arial" w:eastAsia="Calibri" w:hAnsi="Arial" w:cs="Arial"/>
          <w:sz w:val="24"/>
          <w:szCs w:val="24"/>
          <w:lang w:val="en-ZA"/>
        </w:rPr>
        <w:tab/>
        <w:t xml:space="preserve">Mr </w:t>
      </w:r>
      <w:proofErr w:type="spellStart"/>
      <w:r>
        <w:rPr>
          <w:rFonts w:ascii="Arial" w:eastAsia="Calibri" w:hAnsi="Arial" w:cs="Arial"/>
          <w:sz w:val="24"/>
          <w:szCs w:val="24"/>
          <w:lang w:val="en-ZA"/>
        </w:rPr>
        <w:t>Muluti</w:t>
      </w:r>
      <w:proofErr w:type="spellEnd"/>
      <w:r>
        <w:rPr>
          <w:rFonts w:ascii="Arial" w:eastAsia="Calibri" w:hAnsi="Arial" w:cs="Arial"/>
          <w:sz w:val="24"/>
          <w:szCs w:val="24"/>
          <w:lang w:val="en-ZA"/>
        </w:rPr>
        <w:t xml:space="preserve"> asks for a coercive order as was granted in the case of </w:t>
      </w:r>
      <w:r w:rsidRPr="00671AB4">
        <w:rPr>
          <w:rFonts w:ascii="Arial" w:eastAsia="Calibri" w:hAnsi="Arial" w:cs="Arial"/>
          <w:i/>
          <w:sz w:val="24"/>
          <w:szCs w:val="24"/>
          <w:lang w:val="en-ZA"/>
        </w:rPr>
        <w:t>Secretary, Judicial Commission of Inquiry into Allegations of State Capture v Zuma and Others</w:t>
      </w:r>
      <w:r w:rsidRPr="00671AB4">
        <w:rPr>
          <w:rFonts w:ascii="Arial" w:eastAsia="Calibri" w:hAnsi="Arial" w:cs="Arial"/>
          <w:sz w:val="24"/>
          <w:szCs w:val="24"/>
          <w:lang w:val="en-ZA"/>
        </w:rPr>
        <w:t xml:space="preserve"> </w:t>
      </w:r>
      <w:r>
        <w:rPr>
          <w:rStyle w:val="FootnoteReference"/>
          <w:rFonts w:ascii="Arial" w:eastAsia="Calibri" w:hAnsi="Arial" w:cs="Arial"/>
          <w:sz w:val="24"/>
          <w:szCs w:val="24"/>
          <w:lang w:val="en-ZA"/>
        </w:rPr>
        <w:footnoteReference w:id="2"/>
      </w:r>
      <w:r w:rsidR="007A73BE">
        <w:rPr>
          <w:rFonts w:ascii="Arial" w:eastAsia="Calibri" w:hAnsi="Arial" w:cs="Arial"/>
          <w:sz w:val="24"/>
          <w:szCs w:val="24"/>
          <w:lang w:val="en-ZA"/>
        </w:rPr>
        <w:t xml:space="preserve">  </w:t>
      </w:r>
    </w:p>
    <w:p w:rsidR="00AC1B98" w:rsidRDefault="00AC1B98" w:rsidP="00E23B55">
      <w:pPr>
        <w:spacing w:line="360" w:lineRule="auto"/>
        <w:jc w:val="both"/>
        <w:rPr>
          <w:rFonts w:ascii="Arial" w:eastAsia="Calibri" w:hAnsi="Arial" w:cs="Arial"/>
          <w:sz w:val="24"/>
          <w:szCs w:val="24"/>
          <w:u w:val="single"/>
          <w:lang w:val="en-ZA"/>
        </w:rPr>
      </w:pPr>
    </w:p>
    <w:p w:rsidR="007A73BE" w:rsidRDefault="00671AB4" w:rsidP="00E23B55">
      <w:pPr>
        <w:spacing w:line="360" w:lineRule="auto"/>
        <w:jc w:val="both"/>
        <w:rPr>
          <w:rFonts w:ascii="Arial" w:eastAsia="Calibri" w:hAnsi="Arial" w:cs="Arial"/>
          <w:sz w:val="24"/>
          <w:szCs w:val="24"/>
          <w:u w:val="single"/>
          <w:lang w:val="en-ZA"/>
        </w:rPr>
      </w:pPr>
      <w:r w:rsidRPr="00671AB4">
        <w:rPr>
          <w:rFonts w:ascii="Arial" w:eastAsia="Calibri" w:hAnsi="Arial" w:cs="Arial"/>
          <w:sz w:val="24"/>
          <w:szCs w:val="24"/>
          <w:u w:val="single"/>
          <w:lang w:val="en-ZA"/>
        </w:rPr>
        <w:t xml:space="preserve">Second Respondent’s </w:t>
      </w:r>
      <w:r w:rsidR="00AC1B98">
        <w:rPr>
          <w:rFonts w:ascii="Arial" w:eastAsia="Calibri" w:hAnsi="Arial" w:cs="Arial"/>
          <w:sz w:val="24"/>
          <w:szCs w:val="24"/>
          <w:u w:val="single"/>
          <w:lang w:val="en-ZA"/>
        </w:rPr>
        <w:t>case</w:t>
      </w:r>
    </w:p>
    <w:p w:rsidR="000D7C67" w:rsidRPr="00671AB4" w:rsidRDefault="000D7C67" w:rsidP="00565D3F">
      <w:pPr>
        <w:spacing w:line="360" w:lineRule="auto"/>
        <w:jc w:val="both"/>
        <w:rPr>
          <w:rFonts w:ascii="Arial" w:eastAsia="Calibri" w:hAnsi="Arial" w:cs="Arial"/>
          <w:sz w:val="24"/>
          <w:szCs w:val="24"/>
          <w:u w:val="single"/>
          <w:lang w:val="en-ZA"/>
        </w:rPr>
      </w:pPr>
    </w:p>
    <w:p w:rsidR="00A25E34" w:rsidRDefault="00AA3923" w:rsidP="00972C07">
      <w:pPr>
        <w:spacing w:after="0" w:line="360" w:lineRule="auto"/>
        <w:jc w:val="both"/>
        <w:rPr>
          <w:rFonts w:ascii="Arial" w:hAnsi="Arial" w:cs="Arial"/>
          <w:sz w:val="24"/>
          <w:szCs w:val="24"/>
          <w:lang w:val="en-ZA"/>
        </w:rPr>
      </w:pPr>
      <w:r w:rsidRPr="00972C07">
        <w:rPr>
          <w:rFonts w:ascii="Arial" w:hAnsi="Arial" w:cs="Arial"/>
          <w:sz w:val="24"/>
          <w:szCs w:val="24"/>
          <w:lang w:val="en-ZA"/>
        </w:rPr>
        <w:t>[</w:t>
      </w:r>
      <w:r w:rsidR="0015497D">
        <w:rPr>
          <w:rFonts w:ascii="Arial" w:hAnsi="Arial" w:cs="Arial"/>
          <w:sz w:val="24"/>
          <w:szCs w:val="24"/>
          <w:lang w:val="en-ZA"/>
        </w:rPr>
        <w:t>1</w:t>
      </w:r>
      <w:r w:rsidR="007F26F9">
        <w:rPr>
          <w:rFonts w:ascii="Arial" w:hAnsi="Arial" w:cs="Arial"/>
          <w:sz w:val="24"/>
          <w:szCs w:val="24"/>
          <w:lang w:val="en-ZA"/>
        </w:rPr>
        <w:t>7</w:t>
      </w:r>
      <w:r w:rsidR="0043191D">
        <w:rPr>
          <w:rFonts w:ascii="Arial" w:hAnsi="Arial" w:cs="Arial"/>
          <w:sz w:val="24"/>
          <w:szCs w:val="24"/>
          <w:lang w:val="en-ZA"/>
        </w:rPr>
        <w:t>]</w:t>
      </w:r>
      <w:r w:rsidR="0043191D">
        <w:rPr>
          <w:rFonts w:ascii="Arial" w:hAnsi="Arial" w:cs="Arial"/>
          <w:sz w:val="24"/>
          <w:szCs w:val="24"/>
          <w:lang w:val="en-ZA"/>
        </w:rPr>
        <w:tab/>
        <w:t>The second responden</w:t>
      </w:r>
      <w:r w:rsidR="00160CC3">
        <w:rPr>
          <w:rFonts w:ascii="Arial" w:hAnsi="Arial" w:cs="Arial"/>
          <w:sz w:val="24"/>
          <w:szCs w:val="24"/>
          <w:lang w:val="en-ZA"/>
        </w:rPr>
        <w:t>t denied that he disobeyed the court order. He stated in his first affidavit that he swiftly acted in terms of the court order with the exception that it was unclear to him whether or not he should first inform the first respondent of the outcome of his examination. This he stated</w:t>
      </w:r>
      <w:r w:rsidR="00B774F3">
        <w:rPr>
          <w:rFonts w:ascii="Arial" w:hAnsi="Arial" w:cs="Arial"/>
          <w:sz w:val="24"/>
          <w:szCs w:val="24"/>
          <w:lang w:val="en-ZA"/>
        </w:rPr>
        <w:t xml:space="preserve">, </w:t>
      </w:r>
      <w:r w:rsidR="00160CC3">
        <w:rPr>
          <w:rFonts w:ascii="Arial" w:hAnsi="Arial" w:cs="Arial"/>
          <w:sz w:val="24"/>
          <w:szCs w:val="24"/>
          <w:lang w:val="en-ZA"/>
        </w:rPr>
        <w:t>caused a bit of confusion and the delay in providing the applicant with detailed reasons</w:t>
      </w:r>
      <w:r w:rsidR="00803371">
        <w:rPr>
          <w:rFonts w:ascii="Arial" w:hAnsi="Arial" w:cs="Arial"/>
          <w:sz w:val="24"/>
          <w:szCs w:val="24"/>
          <w:lang w:val="en-ZA"/>
        </w:rPr>
        <w:t xml:space="preserve"> but he acted with no wilfulness nor did he want to frustrate any court process. </w:t>
      </w:r>
      <w:r w:rsidR="009D01BC">
        <w:rPr>
          <w:rFonts w:ascii="Arial" w:hAnsi="Arial" w:cs="Arial"/>
          <w:sz w:val="24"/>
          <w:szCs w:val="24"/>
          <w:lang w:val="en-ZA"/>
        </w:rPr>
        <w:t xml:space="preserve">The confusion, according to him was created by the fact that, usually, all official correspondences are communicated through the headquarters. </w:t>
      </w:r>
    </w:p>
    <w:p w:rsidR="00A25E34" w:rsidRDefault="00A25E34" w:rsidP="00972C07">
      <w:pPr>
        <w:spacing w:after="0" w:line="360" w:lineRule="auto"/>
        <w:jc w:val="both"/>
        <w:rPr>
          <w:rFonts w:ascii="Arial" w:hAnsi="Arial" w:cs="Arial"/>
          <w:sz w:val="24"/>
          <w:szCs w:val="24"/>
          <w:lang w:val="en-ZA"/>
        </w:rPr>
      </w:pPr>
    </w:p>
    <w:p w:rsidR="00A25E34" w:rsidRDefault="00A25E34" w:rsidP="00972C07">
      <w:pPr>
        <w:spacing w:after="0" w:line="360" w:lineRule="auto"/>
        <w:jc w:val="both"/>
        <w:rPr>
          <w:rFonts w:ascii="Arial" w:hAnsi="Arial" w:cs="Arial"/>
          <w:sz w:val="24"/>
          <w:szCs w:val="24"/>
          <w:lang w:val="en-ZA"/>
        </w:rPr>
      </w:pPr>
      <w:r>
        <w:rPr>
          <w:rFonts w:ascii="Arial" w:hAnsi="Arial" w:cs="Arial"/>
          <w:sz w:val="24"/>
          <w:szCs w:val="24"/>
          <w:lang w:val="en-ZA"/>
        </w:rPr>
        <w:t>[</w:t>
      </w:r>
      <w:r w:rsidR="0015497D">
        <w:rPr>
          <w:rFonts w:ascii="Arial" w:hAnsi="Arial" w:cs="Arial"/>
          <w:sz w:val="24"/>
          <w:szCs w:val="24"/>
          <w:lang w:val="en-ZA"/>
        </w:rPr>
        <w:t>1</w:t>
      </w:r>
      <w:r w:rsidR="007F26F9">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t>The second respondent stated that he examined the applicant again and confirmed that the applicant is suffering from two diseases namely diabetes and kidney disease</w:t>
      </w:r>
      <w:r w:rsidR="00F72129">
        <w:rPr>
          <w:rFonts w:ascii="Arial" w:hAnsi="Arial" w:cs="Arial"/>
          <w:sz w:val="24"/>
          <w:szCs w:val="24"/>
          <w:lang w:val="en-ZA"/>
        </w:rPr>
        <w:t xml:space="preserve">, </w:t>
      </w:r>
      <w:r>
        <w:rPr>
          <w:rFonts w:ascii="Arial" w:hAnsi="Arial" w:cs="Arial"/>
          <w:sz w:val="24"/>
          <w:szCs w:val="24"/>
          <w:lang w:val="en-ZA"/>
        </w:rPr>
        <w:t>classified by the World Health Organisation (WHO) as part of the ten most dangerous diseases</w:t>
      </w:r>
      <w:r w:rsidR="00F72129">
        <w:rPr>
          <w:rFonts w:ascii="Arial" w:hAnsi="Arial" w:cs="Arial"/>
          <w:sz w:val="24"/>
          <w:szCs w:val="24"/>
          <w:lang w:val="en-ZA"/>
        </w:rPr>
        <w:t xml:space="preserve">. This he also </w:t>
      </w:r>
      <w:r>
        <w:rPr>
          <w:rFonts w:ascii="Arial" w:hAnsi="Arial" w:cs="Arial"/>
          <w:sz w:val="24"/>
          <w:szCs w:val="24"/>
          <w:lang w:val="en-ZA"/>
        </w:rPr>
        <w:t xml:space="preserve">stated in his letter to the first respondent dated 24 November 2022 and his “Determination Report” dated 1 December 2022. </w:t>
      </w:r>
      <w:r w:rsidR="009D01BC">
        <w:rPr>
          <w:rFonts w:ascii="Arial" w:hAnsi="Arial" w:cs="Arial"/>
          <w:sz w:val="24"/>
          <w:szCs w:val="24"/>
          <w:lang w:val="en-ZA"/>
        </w:rPr>
        <w:t>He further referred to this document as his “detailed reasons”.</w:t>
      </w:r>
    </w:p>
    <w:p w:rsidR="00A25E34" w:rsidRDefault="00A25E34" w:rsidP="00565D3F">
      <w:pPr>
        <w:spacing w:after="0" w:line="360" w:lineRule="auto"/>
        <w:jc w:val="both"/>
        <w:rPr>
          <w:rFonts w:ascii="Arial" w:hAnsi="Arial" w:cs="Arial"/>
          <w:sz w:val="24"/>
          <w:szCs w:val="24"/>
          <w:lang w:val="en-ZA"/>
        </w:rPr>
      </w:pPr>
    </w:p>
    <w:p w:rsidR="009D01BC" w:rsidRDefault="00F72129" w:rsidP="00972C07">
      <w:pPr>
        <w:spacing w:after="0" w:line="360" w:lineRule="auto"/>
        <w:jc w:val="both"/>
        <w:rPr>
          <w:rFonts w:ascii="Arial" w:hAnsi="Arial" w:cs="Arial"/>
          <w:sz w:val="24"/>
          <w:szCs w:val="24"/>
          <w:lang w:val="en-ZA"/>
        </w:rPr>
      </w:pPr>
      <w:r>
        <w:rPr>
          <w:rFonts w:ascii="Arial" w:hAnsi="Arial" w:cs="Arial"/>
          <w:sz w:val="24"/>
          <w:szCs w:val="24"/>
          <w:lang w:val="en-ZA"/>
        </w:rPr>
        <w:t>[</w:t>
      </w:r>
      <w:r w:rsidR="0015497D">
        <w:rPr>
          <w:rFonts w:ascii="Arial" w:hAnsi="Arial" w:cs="Arial"/>
          <w:sz w:val="24"/>
          <w:szCs w:val="24"/>
          <w:lang w:val="en-ZA"/>
        </w:rPr>
        <w:t>1</w:t>
      </w:r>
      <w:r w:rsidR="007F26F9">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 xml:space="preserve">According to the second respondent there are a number of offenders who suffer from what is classified by WHO as dangerous diseases and he maintains that their conditions, like that of the applicant, are managed by the Correctional Services in terms of its obligations arising from the provisions of the Act. He mentioned that some of the offenders come into the correctional facility already suffering from those diseases which are classified as dangerous. </w:t>
      </w:r>
      <w:r w:rsidR="009D01BC">
        <w:rPr>
          <w:rFonts w:ascii="Arial" w:hAnsi="Arial" w:cs="Arial"/>
          <w:sz w:val="24"/>
          <w:szCs w:val="24"/>
          <w:lang w:val="en-ZA"/>
        </w:rPr>
        <w:t xml:space="preserve">He maintains that he has a discretion when acting under </w:t>
      </w:r>
      <w:r w:rsidR="00AB0629">
        <w:rPr>
          <w:rFonts w:ascii="Arial" w:hAnsi="Arial" w:cs="Arial"/>
          <w:sz w:val="24"/>
          <w:szCs w:val="24"/>
          <w:lang w:val="en-ZA"/>
        </w:rPr>
        <w:t>s</w:t>
      </w:r>
      <w:r w:rsidR="009D01BC">
        <w:rPr>
          <w:rFonts w:ascii="Arial" w:hAnsi="Arial" w:cs="Arial"/>
          <w:sz w:val="24"/>
          <w:szCs w:val="24"/>
          <w:lang w:val="en-ZA"/>
        </w:rPr>
        <w:t xml:space="preserve"> </w:t>
      </w:r>
      <w:r w:rsidR="009D01BC">
        <w:rPr>
          <w:rFonts w:ascii="Arial" w:hAnsi="Arial" w:cs="Arial"/>
          <w:sz w:val="24"/>
          <w:szCs w:val="24"/>
          <w:lang w:val="en-ZA"/>
        </w:rPr>
        <w:lastRenderedPageBreak/>
        <w:t xml:space="preserve">109 of the Act. </w:t>
      </w:r>
      <w:r w:rsidR="00AC1B98">
        <w:rPr>
          <w:rFonts w:ascii="Arial" w:hAnsi="Arial" w:cs="Arial"/>
          <w:sz w:val="24"/>
          <w:szCs w:val="24"/>
          <w:lang w:val="en-ZA"/>
        </w:rPr>
        <w:t>He stated that,</w:t>
      </w:r>
      <w:r w:rsidR="009D01BC">
        <w:rPr>
          <w:rFonts w:ascii="Arial" w:hAnsi="Arial" w:cs="Arial"/>
          <w:sz w:val="24"/>
          <w:szCs w:val="24"/>
          <w:lang w:val="en-ZA"/>
        </w:rPr>
        <w:t xml:space="preserve"> if the applicant think</w:t>
      </w:r>
      <w:r w:rsidR="00AC1B98">
        <w:rPr>
          <w:rFonts w:ascii="Arial" w:hAnsi="Arial" w:cs="Arial"/>
          <w:sz w:val="24"/>
          <w:szCs w:val="24"/>
          <w:lang w:val="en-ZA"/>
        </w:rPr>
        <w:t>s</w:t>
      </w:r>
      <w:r w:rsidR="009D01BC">
        <w:rPr>
          <w:rFonts w:ascii="Arial" w:hAnsi="Arial" w:cs="Arial"/>
          <w:sz w:val="24"/>
          <w:szCs w:val="24"/>
          <w:lang w:val="en-ZA"/>
        </w:rPr>
        <w:t xml:space="preserve"> that a dangerous, infectious or contagious disease </w:t>
      </w:r>
      <w:r w:rsidR="000D7C67">
        <w:rPr>
          <w:rFonts w:ascii="Arial" w:hAnsi="Arial" w:cs="Arial"/>
          <w:sz w:val="24"/>
          <w:szCs w:val="24"/>
          <w:lang w:val="en-ZA"/>
        </w:rPr>
        <w:t>under s</w:t>
      </w:r>
      <w:r w:rsidR="009D01BC">
        <w:rPr>
          <w:rFonts w:ascii="Arial" w:hAnsi="Arial" w:cs="Arial"/>
          <w:sz w:val="24"/>
          <w:szCs w:val="24"/>
          <w:lang w:val="en-ZA"/>
        </w:rPr>
        <w:t xml:space="preserve"> 109(</w:t>
      </w:r>
      <w:r w:rsidR="00B81FED">
        <w:rPr>
          <w:rFonts w:ascii="Arial" w:hAnsi="Arial" w:cs="Arial"/>
          <w:i/>
          <w:sz w:val="24"/>
          <w:szCs w:val="24"/>
          <w:lang w:val="en-ZA"/>
        </w:rPr>
        <w:t>a</w:t>
      </w:r>
      <w:r w:rsidR="00B81FED">
        <w:rPr>
          <w:rFonts w:ascii="Arial" w:hAnsi="Arial" w:cs="Arial"/>
          <w:sz w:val="24"/>
          <w:szCs w:val="24"/>
          <w:lang w:val="en-ZA"/>
        </w:rPr>
        <w:t>)</w:t>
      </w:r>
      <w:r w:rsidR="009D01BC">
        <w:rPr>
          <w:rFonts w:ascii="Arial" w:hAnsi="Arial" w:cs="Arial"/>
          <w:sz w:val="24"/>
          <w:szCs w:val="24"/>
          <w:lang w:val="en-ZA"/>
        </w:rPr>
        <w:t xml:space="preserve"> of the Act should simply lead to the ticking of a box and that no application of the mind was required, that</w:t>
      </w:r>
      <w:r w:rsidR="00AC1B98">
        <w:rPr>
          <w:rFonts w:ascii="Arial" w:hAnsi="Arial" w:cs="Arial"/>
          <w:sz w:val="24"/>
          <w:szCs w:val="24"/>
          <w:lang w:val="en-ZA"/>
        </w:rPr>
        <w:t xml:space="preserve"> this</w:t>
      </w:r>
      <w:r w:rsidR="009D01BC">
        <w:rPr>
          <w:rFonts w:ascii="Arial" w:hAnsi="Arial" w:cs="Arial"/>
          <w:sz w:val="24"/>
          <w:szCs w:val="24"/>
          <w:lang w:val="en-ZA"/>
        </w:rPr>
        <w:t xml:space="preserve"> may result in almost emptying the correctional facilities.  </w:t>
      </w:r>
    </w:p>
    <w:p w:rsidR="009D01BC" w:rsidRDefault="009D01BC" w:rsidP="00972C07">
      <w:pPr>
        <w:spacing w:after="0" w:line="360" w:lineRule="auto"/>
        <w:jc w:val="both"/>
        <w:rPr>
          <w:rFonts w:ascii="Arial" w:hAnsi="Arial" w:cs="Arial"/>
          <w:sz w:val="24"/>
          <w:szCs w:val="24"/>
          <w:lang w:val="en-ZA"/>
        </w:rPr>
      </w:pPr>
    </w:p>
    <w:p w:rsidR="009D01BC" w:rsidRDefault="00F72129" w:rsidP="00972C07">
      <w:pPr>
        <w:spacing w:after="0" w:line="360" w:lineRule="auto"/>
        <w:jc w:val="both"/>
        <w:rPr>
          <w:rFonts w:ascii="Arial" w:hAnsi="Arial" w:cs="Arial"/>
          <w:sz w:val="24"/>
          <w:szCs w:val="24"/>
          <w:lang w:val="en-ZA"/>
        </w:rPr>
      </w:pPr>
      <w:r>
        <w:rPr>
          <w:rFonts w:ascii="Arial" w:hAnsi="Arial" w:cs="Arial"/>
          <w:sz w:val="24"/>
          <w:szCs w:val="24"/>
          <w:lang w:val="en-ZA"/>
        </w:rPr>
        <w:t>[</w:t>
      </w:r>
      <w:r w:rsidR="007F26F9">
        <w:rPr>
          <w:rFonts w:ascii="Arial" w:hAnsi="Arial" w:cs="Arial"/>
          <w:sz w:val="24"/>
          <w:szCs w:val="24"/>
          <w:lang w:val="en-ZA"/>
        </w:rPr>
        <w:t>20</w:t>
      </w:r>
      <w:r w:rsidR="000D7C67">
        <w:rPr>
          <w:rFonts w:ascii="Arial" w:hAnsi="Arial" w:cs="Arial"/>
          <w:sz w:val="24"/>
          <w:szCs w:val="24"/>
          <w:lang w:val="en-ZA"/>
        </w:rPr>
        <w:t>]</w:t>
      </w:r>
      <w:r w:rsidR="000D7C67">
        <w:rPr>
          <w:rFonts w:ascii="Arial" w:hAnsi="Arial" w:cs="Arial"/>
          <w:sz w:val="24"/>
          <w:szCs w:val="24"/>
          <w:lang w:val="en-ZA"/>
        </w:rPr>
        <w:tab/>
        <w:t>The s</w:t>
      </w:r>
      <w:r>
        <w:rPr>
          <w:rFonts w:ascii="Arial" w:hAnsi="Arial" w:cs="Arial"/>
          <w:sz w:val="24"/>
          <w:szCs w:val="24"/>
          <w:lang w:val="en-ZA"/>
        </w:rPr>
        <w:t>econd re</w:t>
      </w:r>
      <w:r w:rsidR="000D7C67">
        <w:rPr>
          <w:rFonts w:ascii="Arial" w:hAnsi="Arial" w:cs="Arial"/>
          <w:sz w:val="24"/>
          <w:szCs w:val="24"/>
          <w:lang w:val="en-ZA"/>
        </w:rPr>
        <w:t>spondent confirms that his test</w:t>
      </w:r>
      <w:r>
        <w:rPr>
          <w:rFonts w:ascii="Arial" w:hAnsi="Arial" w:cs="Arial"/>
          <w:sz w:val="24"/>
          <w:szCs w:val="24"/>
          <w:lang w:val="en-ZA"/>
        </w:rPr>
        <w:t xml:space="preserve"> results reveal that the applicant</w:t>
      </w:r>
      <w:r w:rsidR="00AC1B98">
        <w:rPr>
          <w:rFonts w:ascii="Arial" w:hAnsi="Arial" w:cs="Arial"/>
          <w:sz w:val="24"/>
          <w:szCs w:val="24"/>
          <w:lang w:val="en-ZA"/>
        </w:rPr>
        <w:t>’s health</w:t>
      </w:r>
      <w:r>
        <w:rPr>
          <w:rFonts w:ascii="Arial" w:hAnsi="Arial" w:cs="Arial"/>
          <w:sz w:val="24"/>
          <w:szCs w:val="24"/>
          <w:lang w:val="en-ZA"/>
        </w:rPr>
        <w:t xml:space="preserve"> has imp</w:t>
      </w:r>
      <w:r w:rsidR="004E268C">
        <w:rPr>
          <w:rFonts w:ascii="Arial" w:hAnsi="Arial" w:cs="Arial"/>
          <w:sz w:val="24"/>
          <w:szCs w:val="24"/>
          <w:lang w:val="en-ZA"/>
        </w:rPr>
        <w:t>r</w:t>
      </w:r>
      <w:r>
        <w:rPr>
          <w:rFonts w:ascii="Arial" w:hAnsi="Arial" w:cs="Arial"/>
          <w:sz w:val="24"/>
          <w:szCs w:val="24"/>
          <w:lang w:val="en-ZA"/>
        </w:rPr>
        <w:t>oved in the last two years</w:t>
      </w:r>
      <w:r w:rsidR="00B774F3">
        <w:rPr>
          <w:rFonts w:ascii="Arial" w:hAnsi="Arial" w:cs="Arial"/>
          <w:sz w:val="24"/>
          <w:szCs w:val="24"/>
          <w:lang w:val="en-ZA"/>
        </w:rPr>
        <w:t>,</w:t>
      </w:r>
      <w:r>
        <w:rPr>
          <w:rFonts w:ascii="Arial" w:hAnsi="Arial" w:cs="Arial"/>
          <w:sz w:val="24"/>
          <w:szCs w:val="24"/>
          <w:lang w:val="en-ZA"/>
        </w:rPr>
        <w:t xml:space="preserve"> and that his condition was stable and at a manageable level. He did not find any reason to fear that the applicant’s continued incarceration, whilst suffering from these diseases</w:t>
      </w:r>
      <w:r w:rsidR="00B774F3">
        <w:rPr>
          <w:rFonts w:ascii="Arial" w:hAnsi="Arial" w:cs="Arial"/>
          <w:sz w:val="24"/>
          <w:szCs w:val="24"/>
          <w:lang w:val="en-ZA"/>
        </w:rPr>
        <w:t>,</w:t>
      </w:r>
      <w:r>
        <w:rPr>
          <w:rFonts w:ascii="Arial" w:hAnsi="Arial" w:cs="Arial"/>
          <w:sz w:val="24"/>
          <w:szCs w:val="24"/>
          <w:lang w:val="en-ZA"/>
        </w:rPr>
        <w:t xml:space="preserve"> would more than necessary impair his dignity or place him at risk as far as deterioration of his condition is concerned. He stated that he found no justification for him</w:t>
      </w:r>
      <w:r w:rsidR="00B774F3">
        <w:rPr>
          <w:rFonts w:ascii="Arial" w:hAnsi="Arial" w:cs="Arial"/>
          <w:sz w:val="24"/>
          <w:szCs w:val="24"/>
          <w:lang w:val="en-ZA"/>
        </w:rPr>
        <w:t xml:space="preserve"> to make a recommendation as the applicant’s</w:t>
      </w:r>
      <w:r>
        <w:rPr>
          <w:rFonts w:ascii="Arial" w:hAnsi="Arial" w:cs="Arial"/>
          <w:sz w:val="24"/>
          <w:szCs w:val="24"/>
          <w:lang w:val="en-ZA"/>
        </w:rPr>
        <w:t xml:space="preserve"> health condition would, in his view, neither improve nor deteriorate if </w:t>
      </w:r>
      <w:r w:rsidR="000D7C67">
        <w:rPr>
          <w:rFonts w:ascii="Arial" w:hAnsi="Arial" w:cs="Arial"/>
          <w:sz w:val="24"/>
          <w:szCs w:val="24"/>
          <w:lang w:val="en-ZA"/>
        </w:rPr>
        <w:t xml:space="preserve">he </w:t>
      </w:r>
      <w:r>
        <w:rPr>
          <w:rFonts w:ascii="Arial" w:hAnsi="Arial" w:cs="Arial"/>
          <w:sz w:val="24"/>
          <w:szCs w:val="24"/>
          <w:lang w:val="en-ZA"/>
        </w:rPr>
        <w:t xml:space="preserve">were to be released. </w:t>
      </w:r>
    </w:p>
    <w:p w:rsidR="004E268C" w:rsidRDefault="004E268C" w:rsidP="00972C07">
      <w:pPr>
        <w:spacing w:after="0" w:line="360" w:lineRule="auto"/>
        <w:jc w:val="both"/>
        <w:rPr>
          <w:rFonts w:ascii="Arial" w:hAnsi="Arial" w:cs="Arial"/>
          <w:sz w:val="24"/>
          <w:szCs w:val="24"/>
          <w:lang w:val="en-ZA"/>
        </w:rPr>
      </w:pPr>
    </w:p>
    <w:p w:rsidR="009D01BC" w:rsidRDefault="004E268C" w:rsidP="00972C07">
      <w:pPr>
        <w:spacing w:after="0" w:line="360" w:lineRule="auto"/>
        <w:jc w:val="both"/>
        <w:rPr>
          <w:rFonts w:ascii="Arial" w:hAnsi="Arial" w:cs="Arial"/>
          <w:sz w:val="24"/>
          <w:szCs w:val="24"/>
          <w:lang w:val="en-ZA"/>
        </w:rPr>
      </w:pPr>
      <w:r>
        <w:rPr>
          <w:rFonts w:ascii="Arial" w:hAnsi="Arial" w:cs="Arial"/>
          <w:sz w:val="24"/>
          <w:szCs w:val="24"/>
          <w:lang w:val="en-ZA"/>
        </w:rPr>
        <w:t>[</w:t>
      </w:r>
      <w:r w:rsidR="0015497D">
        <w:rPr>
          <w:rFonts w:ascii="Arial" w:hAnsi="Arial" w:cs="Arial"/>
          <w:sz w:val="24"/>
          <w:szCs w:val="24"/>
          <w:lang w:val="en-ZA"/>
        </w:rPr>
        <w:t>2</w:t>
      </w:r>
      <w:r w:rsidR="007F26F9">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t xml:space="preserve">Mr Namandje, counsel for the respondents, argued that the claim for contempt of court is bad. The second respondent was ordered to make a determination and not a recommendation within 15 days. </w:t>
      </w:r>
      <w:r w:rsidR="00AC1B98">
        <w:rPr>
          <w:rFonts w:ascii="Arial" w:hAnsi="Arial" w:cs="Arial"/>
          <w:sz w:val="24"/>
          <w:szCs w:val="24"/>
          <w:lang w:val="en-ZA"/>
        </w:rPr>
        <w:t>He submits that t</w:t>
      </w:r>
      <w:r>
        <w:rPr>
          <w:rFonts w:ascii="Arial" w:hAnsi="Arial" w:cs="Arial"/>
          <w:sz w:val="24"/>
          <w:szCs w:val="24"/>
          <w:lang w:val="en-ZA"/>
        </w:rPr>
        <w:t xml:space="preserve">he second substantive order was that, if the second respondent </w:t>
      </w:r>
      <w:r w:rsidR="00AC1B98">
        <w:rPr>
          <w:rFonts w:ascii="Arial" w:hAnsi="Arial" w:cs="Arial"/>
          <w:sz w:val="24"/>
          <w:szCs w:val="24"/>
          <w:lang w:val="en-ZA"/>
        </w:rPr>
        <w:t>determines</w:t>
      </w:r>
      <w:r>
        <w:rPr>
          <w:rFonts w:ascii="Arial" w:hAnsi="Arial" w:cs="Arial"/>
          <w:sz w:val="24"/>
          <w:szCs w:val="24"/>
          <w:lang w:val="en-ZA"/>
        </w:rPr>
        <w:t xml:space="preserve"> that one or more of the disease(s) afflicting the applicant is dangerous or that the applicant’s continued incarcerated is detrimental to his health on the grounds of his physical condition, then he had to make a recommendation to </w:t>
      </w:r>
      <w:r w:rsidR="000D7C67">
        <w:rPr>
          <w:rFonts w:ascii="Arial" w:hAnsi="Arial" w:cs="Arial"/>
          <w:sz w:val="24"/>
          <w:szCs w:val="24"/>
          <w:lang w:val="en-ZA"/>
        </w:rPr>
        <w:t xml:space="preserve">the </w:t>
      </w:r>
      <w:r>
        <w:rPr>
          <w:rFonts w:ascii="Arial" w:hAnsi="Arial" w:cs="Arial"/>
          <w:sz w:val="24"/>
          <w:szCs w:val="24"/>
          <w:lang w:val="en-ZA"/>
        </w:rPr>
        <w:t>firs</w:t>
      </w:r>
      <w:r w:rsidR="000D7C67">
        <w:rPr>
          <w:rFonts w:ascii="Arial" w:hAnsi="Arial" w:cs="Arial"/>
          <w:sz w:val="24"/>
          <w:szCs w:val="24"/>
          <w:lang w:val="en-ZA"/>
        </w:rPr>
        <w:t>t respondent in terms of s</w:t>
      </w:r>
      <w:r>
        <w:rPr>
          <w:rFonts w:ascii="Arial" w:hAnsi="Arial" w:cs="Arial"/>
          <w:sz w:val="24"/>
          <w:szCs w:val="24"/>
          <w:lang w:val="en-ZA"/>
        </w:rPr>
        <w:t xml:space="preserve"> 109 of the Act within 20 days of the court order. </w:t>
      </w:r>
    </w:p>
    <w:p w:rsidR="004E268C" w:rsidRDefault="004E268C" w:rsidP="00972C07">
      <w:pPr>
        <w:spacing w:after="0" w:line="360" w:lineRule="auto"/>
        <w:jc w:val="both"/>
        <w:rPr>
          <w:rFonts w:ascii="Arial" w:hAnsi="Arial" w:cs="Arial"/>
          <w:sz w:val="24"/>
          <w:szCs w:val="24"/>
          <w:lang w:val="en-ZA"/>
        </w:rPr>
      </w:pPr>
    </w:p>
    <w:p w:rsidR="00FD3D90" w:rsidRDefault="004E268C" w:rsidP="00972C07">
      <w:pPr>
        <w:spacing w:after="0" w:line="360" w:lineRule="auto"/>
        <w:jc w:val="both"/>
        <w:rPr>
          <w:rFonts w:ascii="Arial" w:hAnsi="Arial" w:cs="Arial"/>
          <w:sz w:val="24"/>
          <w:szCs w:val="24"/>
          <w:lang w:val="en-ZA"/>
        </w:rPr>
      </w:pPr>
      <w:r>
        <w:rPr>
          <w:rFonts w:ascii="Arial" w:hAnsi="Arial" w:cs="Arial"/>
          <w:sz w:val="24"/>
          <w:szCs w:val="24"/>
          <w:lang w:val="en-ZA"/>
        </w:rPr>
        <w:t>[</w:t>
      </w:r>
      <w:r w:rsidR="0015497D">
        <w:rPr>
          <w:rFonts w:ascii="Arial" w:hAnsi="Arial" w:cs="Arial"/>
          <w:sz w:val="24"/>
          <w:szCs w:val="24"/>
          <w:lang w:val="en-ZA"/>
        </w:rPr>
        <w:t>2</w:t>
      </w:r>
      <w:r w:rsidR="006B577D">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t>Mr Namandje argues</w:t>
      </w:r>
      <w:r w:rsidR="000D7C67">
        <w:rPr>
          <w:rFonts w:ascii="Arial" w:hAnsi="Arial" w:cs="Arial"/>
          <w:sz w:val="24"/>
          <w:szCs w:val="24"/>
          <w:lang w:val="en-ZA"/>
        </w:rPr>
        <w:t xml:space="preserve"> that</w:t>
      </w:r>
      <w:r>
        <w:rPr>
          <w:rFonts w:ascii="Arial" w:hAnsi="Arial" w:cs="Arial"/>
          <w:sz w:val="24"/>
          <w:szCs w:val="24"/>
          <w:lang w:val="en-ZA"/>
        </w:rPr>
        <w:t xml:space="preserve"> whilst the World Health Organisation </w:t>
      </w:r>
      <w:r w:rsidR="00D915A8">
        <w:rPr>
          <w:rFonts w:ascii="Arial" w:hAnsi="Arial" w:cs="Arial"/>
          <w:sz w:val="24"/>
          <w:szCs w:val="24"/>
          <w:lang w:val="en-ZA"/>
        </w:rPr>
        <w:t>‘</w:t>
      </w:r>
      <w:r>
        <w:rPr>
          <w:rFonts w:ascii="Arial" w:hAnsi="Arial" w:cs="Arial"/>
          <w:sz w:val="24"/>
          <w:szCs w:val="24"/>
          <w:lang w:val="en-ZA"/>
        </w:rPr>
        <w:t>considers</w:t>
      </w:r>
      <w:r w:rsidR="00D915A8">
        <w:rPr>
          <w:rFonts w:ascii="Arial" w:hAnsi="Arial" w:cs="Arial"/>
          <w:sz w:val="24"/>
          <w:szCs w:val="24"/>
          <w:lang w:val="en-ZA"/>
        </w:rPr>
        <w:t>’</w:t>
      </w:r>
      <w:r>
        <w:rPr>
          <w:rFonts w:ascii="Arial" w:hAnsi="Arial" w:cs="Arial"/>
          <w:sz w:val="24"/>
          <w:szCs w:val="24"/>
          <w:lang w:val="en-ZA"/>
        </w:rPr>
        <w:t xml:space="preserve"> diabetes and kidney disease as dangerous diseases or as some of the top leading causes of death globally, the second respondent went on to consider the question whether his continued incarceration would be detrimental to the applicant’s health. </w:t>
      </w:r>
    </w:p>
    <w:p w:rsidR="00FD3D90" w:rsidRDefault="00FD3D90" w:rsidP="00972C07">
      <w:pPr>
        <w:spacing w:after="0" w:line="360" w:lineRule="auto"/>
        <w:jc w:val="both"/>
        <w:rPr>
          <w:rFonts w:ascii="Arial" w:hAnsi="Arial" w:cs="Arial"/>
          <w:sz w:val="24"/>
          <w:szCs w:val="24"/>
          <w:lang w:val="en-ZA"/>
        </w:rPr>
      </w:pPr>
    </w:p>
    <w:p w:rsidR="00A04596" w:rsidRDefault="00FD3D90" w:rsidP="00972C07">
      <w:pPr>
        <w:spacing w:after="0" w:line="360" w:lineRule="auto"/>
        <w:jc w:val="both"/>
        <w:rPr>
          <w:rFonts w:ascii="Arial" w:hAnsi="Arial" w:cs="Arial"/>
          <w:sz w:val="24"/>
          <w:szCs w:val="24"/>
          <w:lang w:val="en-ZA"/>
        </w:rPr>
      </w:pPr>
      <w:r>
        <w:rPr>
          <w:rFonts w:ascii="Arial" w:hAnsi="Arial" w:cs="Arial"/>
          <w:sz w:val="24"/>
          <w:szCs w:val="24"/>
          <w:lang w:val="en-ZA"/>
        </w:rPr>
        <w:t>[</w:t>
      </w:r>
      <w:r w:rsidR="0015497D">
        <w:rPr>
          <w:rFonts w:ascii="Arial" w:hAnsi="Arial" w:cs="Arial"/>
          <w:sz w:val="24"/>
          <w:szCs w:val="24"/>
          <w:lang w:val="en-ZA"/>
        </w:rPr>
        <w:t>2</w:t>
      </w:r>
      <w:r w:rsidR="006B577D">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r>
      <w:r w:rsidR="004E268C">
        <w:rPr>
          <w:rFonts w:ascii="Arial" w:hAnsi="Arial" w:cs="Arial"/>
          <w:sz w:val="24"/>
          <w:szCs w:val="24"/>
          <w:lang w:val="en-ZA"/>
        </w:rPr>
        <w:t>H</w:t>
      </w:r>
      <w:r>
        <w:rPr>
          <w:rFonts w:ascii="Arial" w:hAnsi="Arial" w:cs="Arial"/>
          <w:sz w:val="24"/>
          <w:szCs w:val="24"/>
          <w:lang w:val="en-ZA"/>
        </w:rPr>
        <w:t xml:space="preserve">e points out that the standard of proof for a civil contempt of court conviction is proof beyond reasonable doubt and since the applicant is </w:t>
      </w:r>
      <w:r w:rsidR="004D6A1D">
        <w:rPr>
          <w:rFonts w:ascii="Arial" w:hAnsi="Arial" w:cs="Arial"/>
          <w:sz w:val="24"/>
          <w:szCs w:val="24"/>
          <w:lang w:val="en-ZA"/>
        </w:rPr>
        <w:t xml:space="preserve">seeking final orders, the </w:t>
      </w:r>
      <w:proofErr w:type="spellStart"/>
      <w:r w:rsidR="004D6A1D" w:rsidRPr="004D6A1D">
        <w:rPr>
          <w:rFonts w:ascii="Arial" w:hAnsi="Arial" w:cs="Arial"/>
          <w:i/>
          <w:sz w:val="24"/>
          <w:szCs w:val="24"/>
          <w:lang w:val="en-ZA"/>
        </w:rPr>
        <w:t>Plascon</w:t>
      </w:r>
      <w:proofErr w:type="spellEnd"/>
      <w:r w:rsidR="004D6A1D" w:rsidRPr="004D6A1D">
        <w:rPr>
          <w:rFonts w:ascii="Arial" w:hAnsi="Arial" w:cs="Arial"/>
          <w:i/>
          <w:sz w:val="24"/>
          <w:szCs w:val="24"/>
          <w:lang w:val="en-ZA"/>
        </w:rPr>
        <w:t>-Evans</w:t>
      </w:r>
      <w:r w:rsidR="004D6A1D">
        <w:rPr>
          <w:rStyle w:val="FootnoteReference"/>
          <w:rFonts w:ascii="Arial" w:hAnsi="Arial" w:cs="Arial"/>
          <w:i/>
          <w:sz w:val="24"/>
          <w:szCs w:val="24"/>
          <w:lang w:val="en-ZA"/>
        </w:rPr>
        <w:footnoteReference w:id="3"/>
      </w:r>
      <w:r w:rsidR="004D6A1D" w:rsidRPr="004D6A1D">
        <w:rPr>
          <w:rFonts w:ascii="Arial" w:hAnsi="Arial" w:cs="Arial"/>
          <w:i/>
          <w:sz w:val="24"/>
          <w:szCs w:val="24"/>
          <w:lang w:val="en-ZA"/>
        </w:rPr>
        <w:t xml:space="preserve"> </w:t>
      </w:r>
      <w:r w:rsidR="004D6A1D">
        <w:rPr>
          <w:rFonts w:ascii="Arial" w:hAnsi="Arial" w:cs="Arial"/>
          <w:sz w:val="24"/>
          <w:szCs w:val="24"/>
          <w:lang w:val="en-ZA"/>
        </w:rPr>
        <w:t>test will be applicable</w:t>
      </w:r>
      <w:r w:rsidR="008925EE">
        <w:rPr>
          <w:rFonts w:ascii="Arial" w:hAnsi="Arial" w:cs="Arial"/>
          <w:sz w:val="24"/>
          <w:szCs w:val="24"/>
          <w:lang w:val="en-ZA"/>
        </w:rPr>
        <w:t>. He submits in this matter</w:t>
      </w:r>
      <w:r w:rsidR="00B774F3">
        <w:rPr>
          <w:rFonts w:ascii="Arial" w:hAnsi="Arial" w:cs="Arial"/>
          <w:sz w:val="24"/>
          <w:szCs w:val="24"/>
          <w:lang w:val="en-ZA"/>
        </w:rPr>
        <w:t>,</w:t>
      </w:r>
      <w:r w:rsidR="008925EE">
        <w:rPr>
          <w:rFonts w:ascii="Arial" w:hAnsi="Arial" w:cs="Arial"/>
          <w:sz w:val="24"/>
          <w:szCs w:val="24"/>
          <w:lang w:val="en-ZA"/>
        </w:rPr>
        <w:t xml:space="preserve"> the applicant denied contempt of court and stated that he did not have the intention to disobey the court order. </w:t>
      </w:r>
      <w:r w:rsidR="008925EE">
        <w:rPr>
          <w:rFonts w:ascii="Arial" w:hAnsi="Arial" w:cs="Arial"/>
          <w:sz w:val="24"/>
          <w:szCs w:val="24"/>
          <w:lang w:val="en-ZA"/>
        </w:rPr>
        <w:lastRenderedPageBreak/>
        <w:t xml:space="preserve">He stated that he acted swiftly but was unsure whether to first inform </w:t>
      </w:r>
      <w:r w:rsidR="000D7C67">
        <w:rPr>
          <w:rFonts w:ascii="Arial" w:hAnsi="Arial" w:cs="Arial"/>
          <w:sz w:val="24"/>
          <w:szCs w:val="24"/>
          <w:lang w:val="en-ZA"/>
        </w:rPr>
        <w:t xml:space="preserve">the </w:t>
      </w:r>
      <w:r w:rsidR="008925EE">
        <w:rPr>
          <w:rFonts w:ascii="Arial" w:hAnsi="Arial" w:cs="Arial"/>
          <w:sz w:val="24"/>
          <w:szCs w:val="24"/>
          <w:lang w:val="en-ZA"/>
        </w:rPr>
        <w:t xml:space="preserve">first respondent or the applicant of the outcome of his determination. It was the second respondents’ ignorance and lack of clarity as to whom </w:t>
      </w:r>
      <w:r w:rsidR="00D915A8">
        <w:rPr>
          <w:rFonts w:ascii="Arial" w:hAnsi="Arial" w:cs="Arial"/>
          <w:sz w:val="24"/>
          <w:szCs w:val="24"/>
          <w:lang w:val="en-ZA"/>
        </w:rPr>
        <w:t xml:space="preserve">he </w:t>
      </w:r>
      <w:r w:rsidR="000D7C67">
        <w:rPr>
          <w:rFonts w:ascii="Arial" w:hAnsi="Arial" w:cs="Arial"/>
          <w:sz w:val="24"/>
          <w:szCs w:val="24"/>
          <w:lang w:val="en-ZA"/>
        </w:rPr>
        <w:t>had to inform</w:t>
      </w:r>
      <w:r w:rsidR="008925EE">
        <w:rPr>
          <w:rFonts w:ascii="Arial" w:hAnsi="Arial" w:cs="Arial"/>
          <w:sz w:val="24"/>
          <w:szCs w:val="24"/>
          <w:lang w:val="en-ZA"/>
        </w:rPr>
        <w:t xml:space="preserve"> first which caused a bit of delay in providing the applicant with detailed reasons. He </w:t>
      </w:r>
      <w:r w:rsidR="00A04596">
        <w:rPr>
          <w:rFonts w:ascii="Arial" w:hAnsi="Arial" w:cs="Arial"/>
          <w:sz w:val="24"/>
          <w:szCs w:val="24"/>
          <w:lang w:val="en-ZA"/>
        </w:rPr>
        <w:t>highlights</w:t>
      </w:r>
      <w:r w:rsidR="008925EE">
        <w:rPr>
          <w:rFonts w:ascii="Arial" w:hAnsi="Arial" w:cs="Arial"/>
          <w:sz w:val="24"/>
          <w:szCs w:val="24"/>
          <w:lang w:val="en-ZA"/>
        </w:rPr>
        <w:t xml:space="preserve"> the following statement of the second respondent</w:t>
      </w:r>
      <w:r w:rsidR="00A04596">
        <w:rPr>
          <w:rFonts w:ascii="Arial" w:hAnsi="Arial" w:cs="Arial"/>
          <w:sz w:val="24"/>
          <w:szCs w:val="24"/>
          <w:lang w:val="en-ZA"/>
        </w:rPr>
        <w:t>:</w:t>
      </w:r>
    </w:p>
    <w:p w:rsidR="0015497D" w:rsidRDefault="0015497D" w:rsidP="00972C07">
      <w:pPr>
        <w:spacing w:after="0" w:line="360" w:lineRule="auto"/>
        <w:jc w:val="both"/>
        <w:rPr>
          <w:rFonts w:ascii="Arial" w:hAnsi="Arial" w:cs="Arial"/>
          <w:sz w:val="24"/>
          <w:szCs w:val="24"/>
          <w:lang w:val="en-ZA"/>
        </w:rPr>
      </w:pPr>
    </w:p>
    <w:p w:rsidR="004E268C" w:rsidRPr="00D915A8" w:rsidRDefault="00A04596" w:rsidP="00972C07">
      <w:pPr>
        <w:spacing w:after="0" w:line="360" w:lineRule="auto"/>
        <w:jc w:val="both"/>
        <w:rPr>
          <w:rFonts w:ascii="Arial" w:hAnsi="Arial" w:cs="Arial"/>
          <w:lang w:val="en-ZA"/>
        </w:rPr>
      </w:pPr>
      <w:r>
        <w:rPr>
          <w:rFonts w:ascii="Arial" w:hAnsi="Arial" w:cs="Arial"/>
          <w:sz w:val="24"/>
          <w:szCs w:val="24"/>
          <w:lang w:val="en-ZA"/>
        </w:rPr>
        <w:tab/>
      </w:r>
      <w:r w:rsidRPr="00D915A8">
        <w:rPr>
          <w:rFonts w:ascii="Arial" w:hAnsi="Arial" w:cs="Arial"/>
          <w:lang w:val="en-ZA"/>
        </w:rPr>
        <w:t>‘I understood the Court Order to require me to examine whe</w:t>
      </w:r>
      <w:r w:rsidR="00AB0629">
        <w:rPr>
          <w:rFonts w:ascii="Arial" w:hAnsi="Arial" w:cs="Arial"/>
          <w:lang w:val="en-ZA"/>
        </w:rPr>
        <w:t>ther, with due regard to s</w:t>
      </w:r>
      <w:r w:rsidRPr="00D915A8">
        <w:rPr>
          <w:rFonts w:ascii="Arial" w:hAnsi="Arial" w:cs="Arial"/>
          <w:lang w:val="en-ZA"/>
        </w:rPr>
        <w:t xml:space="preserve"> 109(</w:t>
      </w:r>
      <w:r w:rsidRPr="00D915A8">
        <w:rPr>
          <w:rFonts w:ascii="Arial" w:hAnsi="Arial" w:cs="Arial"/>
          <w:i/>
          <w:lang w:val="en-ZA"/>
        </w:rPr>
        <w:t>a)</w:t>
      </w:r>
      <w:r w:rsidRPr="00D915A8">
        <w:rPr>
          <w:rFonts w:ascii="Arial" w:hAnsi="Arial" w:cs="Arial"/>
          <w:lang w:val="en-ZA"/>
        </w:rPr>
        <w:t xml:space="preserve"> and (</w:t>
      </w:r>
      <w:r w:rsidRPr="00D915A8">
        <w:rPr>
          <w:rFonts w:ascii="Arial" w:hAnsi="Arial" w:cs="Arial"/>
          <w:i/>
          <w:lang w:val="en-ZA"/>
        </w:rPr>
        <w:t>b</w:t>
      </w:r>
      <w:r w:rsidRPr="00D915A8">
        <w:rPr>
          <w:rFonts w:ascii="Arial" w:hAnsi="Arial" w:cs="Arial"/>
          <w:lang w:val="en-ZA"/>
        </w:rPr>
        <w:t>), the applicant’s health condition justifies a recommendation to the 1</w:t>
      </w:r>
      <w:r w:rsidRPr="00D915A8">
        <w:rPr>
          <w:rFonts w:ascii="Arial" w:hAnsi="Arial" w:cs="Arial"/>
          <w:vertAlign w:val="superscript"/>
          <w:lang w:val="en-ZA"/>
        </w:rPr>
        <w:t>st</w:t>
      </w:r>
      <w:r w:rsidRPr="00D915A8">
        <w:rPr>
          <w:rFonts w:ascii="Arial" w:hAnsi="Arial" w:cs="Arial"/>
          <w:lang w:val="en-ZA"/>
        </w:rPr>
        <w:t xml:space="preserve"> Respondent to be released</w:t>
      </w:r>
      <w:r w:rsidR="0015497D">
        <w:rPr>
          <w:rFonts w:ascii="Arial" w:hAnsi="Arial" w:cs="Arial"/>
          <w:lang w:val="en-ZA"/>
        </w:rPr>
        <w:t>.’</w:t>
      </w:r>
      <w:r w:rsidR="008925EE" w:rsidRPr="00D915A8">
        <w:rPr>
          <w:rFonts w:ascii="Arial" w:hAnsi="Arial" w:cs="Arial"/>
          <w:lang w:val="en-ZA"/>
        </w:rPr>
        <w:t xml:space="preserve">  </w:t>
      </w:r>
      <w:r w:rsidR="004D6A1D" w:rsidRPr="00D915A8">
        <w:rPr>
          <w:rFonts w:ascii="Arial" w:hAnsi="Arial" w:cs="Arial"/>
          <w:lang w:val="en-ZA"/>
        </w:rPr>
        <w:t xml:space="preserve"> </w:t>
      </w:r>
    </w:p>
    <w:p w:rsidR="00B60F71" w:rsidRDefault="00B60F71" w:rsidP="00A04596">
      <w:pPr>
        <w:spacing w:after="0" w:line="360" w:lineRule="auto"/>
        <w:jc w:val="both"/>
        <w:rPr>
          <w:rFonts w:ascii="Arial" w:hAnsi="Arial" w:cs="Arial"/>
          <w:sz w:val="24"/>
          <w:szCs w:val="24"/>
          <w:lang w:val="en-ZA"/>
        </w:rPr>
      </w:pPr>
    </w:p>
    <w:p w:rsidR="00A04596" w:rsidRDefault="00A04596" w:rsidP="00A04596">
      <w:pPr>
        <w:spacing w:after="0" w:line="360" w:lineRule="auto"/>
        <w:jc w:val="both"/>
        <w:rPr>
          <w:rFonts w:ascii="Arial" w:hAnsi="Arial" w:cs="Arial"/>
          <w:sz w:val="24"/>
          <w:szCs w:val="24"/>
          <w:lang w:val="en-ZA"/>
        </w:rPr>
      </w:pPr>
      <w:r>
        <w:rPr>
          <w:rFonts w:ascii="Arial" w:hAnsi="Arial" w:cs="Arial"/>
          <w:sz w:val="24"/>
          <w:szCs w:val="24"/>
          <w:lang w:val="en-ZA"/>
        </w:rPr>
        <w:t>[</w:t>
      </w:r>
      <w:r w:rsidR="0015497D">
        <w:rPr>
          <w:rFonts w:ascii="Arial" w:hAnsi="Arial" w:cs="Arial"/>
          <w:sz w:val="24"/>
          <w:szCs w:val="24"/>
          <w:lang w:val="en-ZA"/>
        </w:rPr>
        <w:t>2</w:t>
      </w:r>
      <w:r w:rsidR="006B577D">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t xml:space="preserve">Mr Namandje argues that if the </w:t>
      </w:r>
      <w:r w:rsidR="00D915A8">
        <w:rPr>
          <w:rFonts w:ascii="Arial" w:hAnsi="Arial" w:cs="Arial"/>
          <w:sz w:val="24"/>
          <w:szCs w:val="24"/>
          <w:lang w:val="en-ZA"/>
        </w:rPr>
        <w:t xml:space="preserve">court finds that the second respondent </w:t>
      </w:r>
      <w:r>
        <w:rPr>
          <w:rFonts w:ascii="Arial" w:hAnsi="Arial" w:cs="Arial"/>
          <w:sz w:val="24"/>
          <w:szCs w:val="24"/>
          <w:lang w:val="en-ZA"/>
        </w:rPr>
        <w:t>notionally erred in his belief that h</w:t>
      </w:r>
      <w:r w:rsidR="000D7C67">
        <w:rPr>
          <w:rFonts w:ascii="Arial" w:hAnsi="Arial" w:cs="Arial"/>
          <w:sz w:val="24"/>
          <w:szCs w:val="24"/>
          <w:lang w:val="en-ZA"/>
        </w:rPr>
        <w:t xml:space="preserve">e has </w:t>
      </w:r>
      <w:r w:rsidR="00A2345D">
        <w:rPr>
          <w:rFonts w:ascii="Arial" w:hAnsi="Arial" w:cs="Arial"/>
          <w:sz w:val="24"/>
          <w:szCs w:val="24"/>
          <w:lang w:val="en-ZA"/>
        </w:rPr>
        <w:t xml:space="preserve">a </w:t>
      </w:r>
      <w:r w:rsidR="00AB0629">
        <w:rPr>
          <w:rFonts w:ascii="Arial" w:hAnsi="Arial" w:cs="Arial"/>
          <w:sz w:val="24"/>
          <w:szCs w:val="24"/>
          <w:lang w:val="en-ZA"/>
        </w:rPr>
        <w:t>discretion</w:t>
      </w:r>
      <w:r w:rsidR="000D7C67">
        <w:rPr>
          <w:rFonts w:ascii="Arial" w:hAnsi="Arial" w:cs="Arial"/>
          <w:sz w:val="24"/>
          <w:szCs w:val="24"/>
          <w:lang w:val="en-ZA"/>
        </w:rPr>
        <w:t xml:space="preserve"> under s</w:t>
      </w:r>
      <w:r>
        <w:rPr>
          <w:rFonts w:ascii="Arial" w:hAnsi="Arial" w:cs="Arial"/>
          <w:sz w:val="24"/>
          <w:szCs w:val="24"/>
          <w:lang w:val="en-ZA"/>
        </w:rPr>
        <w:t xml:space="preserve"> 109 of the Act, that </w:t>
      </w:r>
      <w:r w:rsidR="00D915A8">
        <w:rPr>
          <w:rFonts w:ascii="Arial" w:hAnsi="Arial" w:cs="Arial"/>
          <w:sz w:val="24"/>
          <w:szCs w:val="24"/>
          <w:lang w:val="en-ZA"/>
        </w:rPr>
        <w:t xml:space="preserve">this </w:t>
      </w:r>
      <w:r>
        <w:rPr>
          <w:rFonts w:ascii="Arial" w:hAnsi="Arial" w:cs="Arial"/>
          <w:sz w:val="24"/>
          <w:szCs w:val="24"/>
          <w:lang w:val="en-ZA"/>
        </w:rPr>
        <w:t xml:space="preserve">does not mean that he is </w:t>
      </w:r>
      <w:r w:rsidR="000D7C67">
        <w:rPr>
          <w:rFonts w:ascii="Arial" w:hAnsi="Arial" w:cs="Arial"/>
          <w:sz w:val="24"/>
          <w:szCs w:val="24"/>
          <w:lang w:val="en-ZA"/>
        </w:rPr>
        <w:t xml:space="preserve">in </w:t>
      </w:r>
      <w:r>
        <w:rPr>
          <w:rFonts w:ascii="Arial" w:hAnsi="Arial" w:cs="Arial"/>
          <w:sz w:val="24"/>
          <w:szCs w:val="24"/>
          <w:lang w:val="en-ZA"/>
        </w:rPr>
        <w:t>contempt of court</w:t>
      </w:r>
      <w:r w:rsidR="00D915A8">
        <w:rPr>
          <w:rFonts w:ascii="Arial" w:hAnsi="Arial" w:cs="Arial"/>
          <w:sz w:val="24"/>
          <w:szCs w:val="24"/>
          <w:lang w:val="en-ZA"/>
        </w:rPr>
        <w:t xml:space="preserve">. He submits that the court must consider </w:t>
      </w:r>
      <w:r w:rsidR="00A2345D">
        <w:rPr>
          <w:rFonts w:ascii="Arial" w:hAnsi="Arial" w:cs="Arial"/>
          <w:sz w:val="24"/>
          <w:szCs w:val="24"/>
          <w:lang w:val="en-ZA"/>
        </w:rPr>
        <w:t xml:space="preserve">that </w:t>
      </w:r>
      <w:r w:rsidR="00D915A8">
        <w:rPr>
          <w:rFonts w:ascii="Arial" w:hAnsi="Arial" w:cs="Arial"/>
          <w:sz w:val="24"/>
          <w:szCs w:val="24"/>
          <w:lang w:val="en-ZA"/>
        </w:rPr>
        <w:t xml:space="preserve">second respondent </w:t>
      </w:r>
      <w:r w:rsidR="00A2345D">
        <w:rPr>
          <w:rFonts w:ascii="Arial" w:hAnsi="Arial" w:cs="Arial"/>
          <w:sz w:val="24"/>
          <w:szCs w:val="24"/>
          <w:lang w:val="en-ZA"/>
        </w:rPr>
        <w:t>stated</w:t>
      </w:r>
      <w:r>
        <w:rPr>
          <w:rFonts w:ascii="Arial" w:hAnsi="Arial" w:cs="Arial"/>
          <w:sz w:val="24"/>
          <w:szCs w:val="24"/>
          <w:lang w:val="en-ZA"/>
        </w:rPr>
        <w:t xml:space="preserve"> he acted on the advice of counsel at the meeting of 23 November 2023. In conclusion he argued that the applicant failed to make out a case that the second respondent, beyond reasonable doubt, committed contempt of court. </w:t>
      </w:r>
    </w:p>
    <w:p w:rsidR="00A04596" w:rsidRDefault="00A04596" w:rsidP="00A04596">
      <w:pPr>
        <w:spacing w:after="0" w:line="360" w:lineRule="auto"/>
        <w:jc w:val="both"/>
        <w:rPr>
          <w:rFonts w:ascii="Arial" w:hAnsi="Arial" w:cs="Arial"/>
          <w:sz w:val="24"/>
          <w:szCs w:val="24"/>
          <w:lang w:val="en-ZA"/>
        </w:rPr>
      </w:pPr>
    </w:p>
    <w:p w:rsidR="00A04596" w:rsidRDefault="00A04596" w:rsidP="00A04596">
      <w:pPr>
        <w:spacing w:after="0" w:line="360" w:lineRule="auto"/>
        <w:jc w:val="both"/>
        <w:rPr>
          <w:rFonts w:ascii="Arial" w:hAnsi="Arial" w:cs="Arial"/>
          <w:sz w:val="24"/>
          <w:szCs w:val="24"/>
          <w:u w:val="single"/>
          <w:lang w:val="en-ZA"/>
        </w:rPr>
      </w:pPr>
      <w:r w:rsidRPr="00D915A8">
        <w:rPr>
          <w:rFonts w:ascii="Arial" w:hAnsi="Arial" w:cs="Arial"/>
          <w:sz w:val="24"/>
          <w:szCs w:val="24"/>
          <w:u w:val="single"/>
          <w:lang w:val="en-ZA"/>
        </w:rPr>
        <w:t>Discussion</w:t>
      </w:r>
    </w:p>
    <w:p w:rsidR="00565D3F" w:rsidRPr="00D915A8" w:rsidRDefault="00565D3F" w:rsidP="00A04596">
      <w:pPr>
        <w:spacing w:after="0" w:line="360" w:lineRule="auto"/>
        <w:jc w:val="both"/>
        <w:rPr>
          <w:rFonts w:ascii="Arial" w:hAnsi="Arial" w:cs="Arial"/>
          <w:sz w:val="24"/>
          <w:szCs w:val="24"/>
          <w:u w:val="single"/>
          <w:lang w:val="en-ZA"/>
        </w:rPr>
      </w:pPr>
    </w:p>
    <w:p w:rsidR="0021186E" w:rsidRPr="000D7C67" w:rsidRDefault="00A04596" w:rsidP="0021186E">
      <w:pPr>
        <w:pStyle w:val="western"/>
        <w:shd w:val="clear" w:color="auto" w:fill="FFFFFF"/>
        <w:spacing w:before="144" w:after="288" w:line="360" w:lineRule="auto"/>
        <w:jc w:val="both"/>
        <w:rPr>
          <w:rFonts w:ascii="Arial" w:hAnsi="Arial" w:cs="Arial"/>
          <w:lang w:val="af-ZA"/>
        </w:rPr>
      </w:pPr>
      <w:r>
        <w:rPr>
          <w:rFonts w:ascii="Arial" w:hAnsi="Arial" w:cs="Arial"/>
          <w:lang w:val="en-ZA"/>
        </w:rPr>
        <w:t>[</w:t>
      </w:r>
      <w:r w:rsidR="0015497D">
        <w:rPr>
          <w:rFonts w:ascii="Arial" w:hAnsi="Arial" w:cs="Arial"/>
          <w:lang w:val="en-ZA"/>
        </w:rPr>
        <w:t>2</w:t>
      </w:r>
      <w:r w:rsidR="006B577D">
        <w:rPr>
          <w:rFonts w:ascii="Arial" w:hAnsi="Arial" w:cs="Arial"/>
          <w:lang w:val="en-ZA"/>
        </w:rPr>
        <w:t>5</w:t>
      </w:r>
      <w:r>
        <w:rPr>
          <w:rFonts w:ascii="Arial" w:hAnsi="Arial" w:cs="Arial"/>
          <w:lang w:val="en-ZA"/>
        </w:rPr>
        <w:t>]</w:t>
      </w:r>
      <w:r>
        <w:rPr>
          <w:rFonts w:ascii="Arial" w:hAnsi="Arial" w:cs="Arial"/>
          <w:lang w:val="en-ZA"/>
        </w:rPr>
        <w:tab/>
        <w:t xml:space="preserve">The parties are </w:t>
      </w:r>
      <w:r w:rsidRPr="00D915A8">
        <w:rPr>
          <w:rFonts w:ascii="Arial" w:hAnsi="Arial" w:cs="Arial"/>
          <w:i/>
          <w:lang w:val="en-ZA"/>
        </w:rPr>
        <w:t>ad idem</w:t>
      </w:r>
      <w:r>
        <w:rPr>
          <w:rFonts w:ascii="Arial" w:hAnsi="Arial" w:cs="Arial"/>
          <w:lang w:val="en-ZA"/>
        </w:rPr>
        <w:t xml:space="preserve"> when it comes to the legal principles to be applied in the case of civil contempt of court</w:t>
      </w:r>
      <w:r w:rsidR="0021186E">
        <w:rPr>
          <w:rFonts w:ascii="Arial" w:hAnsi="Arial" w:cs="Arial"/>
          <w:lang w:val="en-ZA"/>
        </w:rPr>
        <w:t xml:space="preserve"> but differ on the application thereof. Although counsel cited different cases</w:t>
      </w:r>
      <w:r w:rsidR="00A2345D">
        <w:rPr>
          <w:rFonts w:ascii="Arial" w:hAnsi="Arial" w:cs="Arial"/>
          <w:lang w:val="en-ZA"/>
        </w:rPr>
        <w:t>,</w:t>
      </w:r>
      <w:r w:rsidR="0021186E">
        <w:rPr>
          <w:rFonts w:ascii="Arial" w:hAnsi="Arial" w:cs="Arial"/>
          <w:lang w:val="en-ZA"/>
        </w:rPr>
        <w:t xml:space="preserve"> I am of the view that the law in respect of civil contempt has been solidified in this jurisdiction in </w:t>
      </w:r>
      <w:r w:rsidR="00D915A8">
        <w:rPr>
          <w:rFonts w:ascii="Arial" w:hAnsi="Arial" w:cs="Arial"/>
          <w:lang w:val="en-ZA"/>
        </w:rPr>
        <w:t>the</w:t>
      </w:r>
      <w:r w:rsidR="00D915A8" w:rsidRPr="000D7C67">
        <w:rPr>
          <w:rFonts w:ascii="Arial" w:hAnsi="Arial" w:cs="Arial"/>
          <w:lang w:val="en-ZA"/>
        </w:rPr>
        <w:t xml:space="preserve"> </w:t>
      </w:r>
      <w:r w:rsidR="0021186E" w:rsidRPr="000D7C67">
        <w:rPr>
          <w:rFonts w:ascii="Arial" w:hAnsi="Arial" w:cs="Arial"/>
          <w:i/>
          <w:lang w:val="af-ZA"/>
        </w:rPr>
        <w:t>Teachers Union of Namibia v Namibia National Teachers Union and Others</w:t>
      </w:r>
      <w:r w:rsidR="00D915A8" w:rsidRPr="000D7C67">
        <w:rPr>
          <w:rStyle w:val="FootnoteReference"/>
          <w:rFonts w:ascii="Arial" w:hAnsi="Arial" w:cs="Arial"/>
          <w:lang w:val="af-ZA"/>
        </w:rPr>
        <w:footnoteReference w:id="4"/>
      </w:r>
      <w:r w:rsidR="0021186E" w:rsidRPr="000D7C67">
        <w:rPr>
          <w:rFonts w:ascii="Arial" w:hAnsi="Arial" w:cs="Arial"/>
          <w:lang w:val="af-ZA"/>
        </w:rPr>
        <w:t xml:space="preserve"> where</w:t>
      </w:r>
      <w:r w:rsidR="0015497D" w:rsidRPr="000D7C67">
        <w:rPr>
          <w:rFonts w:ascii="Arial" w:hAnsi="Arial" w:cs="Arial"/>
          <w:lang w:val="af-ZA"/>
        </w:rPr>
        <w:t xml:space="preserve"> the court stated the following:</w:t>
      </w:r>
    </w:p>
    <w:p w:rsidR="00A04596" w:rsidRPr="000D7C67" w:rsidRDefault="0021186E" w:rsidP="00A04596">
      <w:pPr>
        <w:spacing w:after="0" w:line="360" w:lineRule="auto"/>
        <w:jc w:val="both"/>
        <w:rPr>
          <w:rFonts w:ascii="Arial" w:hAnsi="Arial" w:cs="Arial"/>
          <w:lang w:val="af-ZA"/>
        </w:rPr>
      </w:pPr>
      <w:r w:rsidRPr="000D7C67">
        <w:rPr>
          <w:rFonts w:ascii="Arial" w:hAnsi="Arial" w:cs="Arial"/>
          <w:sz w:val="24"/>
          <w:szCs w:val="24"/>
          <w:lang w:val="en-ZA"/>
        </w:rPr>
        <w:tab/>
      </w:r>
      <w:r w:rsidR="0015497D" w:rsidRPr="000D7C67">
        <w:rPr>
          <w:rFonts w:ascii="Arial" w:hAnsi="Arial" w:cs="Arial"/>
          <w:sz w:val="24"/>
          <w:szCs w:val="24"/>
          <w:lang w:val="en-ZA"/>
        </w:rPr>
        <w:t>‘</w:t>
      </w:r>
      <w:r w:rsidRPr="000D7C67">
        <w:rPr>
          <w:rFonts w:ascii="Arial" w:hAnsi="Arial" w:cs="Arial"/>
          <w:lang w:val="af-ZA"/>
        </w:rPr>
        <w:t>[11] Accordingly, the court</w:t>
      </w:r>
      <w:r w:rsidR="00435E8C" w:rsidRPr="000D7C67">
        <w:rPr>
          <w:rStyle w:val="FootnoteReference"/>
          <w:rFonts w:ascii="Arial" w:hAnsi="Arial" w:cs="Arial"/>
          <w:lang w:val="af-ZA"/>
        </w:rPr>
        <w:footnoteReference w:id="5"/>
      </w:r>
      <w:r w:rsidRPr="000D7C67">
        <w:rPr>
          <w:rFonts w:ascii="Arial" w:hAnsi="Arial" w:cs="Arial"/>
          <w:lang w:val="af-ZA"/>
        </w:rPr>
        <w:t xml:space="preserve"> held as follows: that the civil contempt procedure was a valuable and important mechanism for securing compliance with court orders, and survives constitutional scrutiny; that the respondent in such proceedings is not an accused person, but he or she is entitled to analogous protections appropriate to motion proceedings; the test for </w:t>
      </w:r>
      <w:r w:rsidRPr="000D7C67">
        <w:rPr>
          <w:rFonts w:ascii="Arial" w:hAnsi="Arial" w:cs="Arial"/>
          <w:lang w:val="af-ZA"/>
        </w:rPr>
        <w:lastRenderedPageBreak/>
        <w:t xml:space="preserve">contempt of court is that an applicant </w:t>
      </w:r>
      <w:r w:rsidRPr="000D7C67">
        <w:rPr>
          <w:rFonts w:ascii="Arial" w:hAnsi="Arial" w:cs="Arial"/>
          <w:u w:val="single"/>
          <w:lang w:val="af-ZA"/>
        </w:rPr>
        <w:t>must prove the elements of contempt of court beyond reasonable doubt</w:t>
      </w:r>
      <w:r w:rsidRPr="000D7C67">
        <w:rPr>
          <w:rFonts w:ascii="Arial" w:hAnsi="Arial" w:cs="Arial"/>
          <w:lang w:val="af-ZA"/>
        </w:rPr>
        <w:t xml:space="preserve">; once the applicant has proved the order, its service or notice to the respondent as well as non-compliance, </w:t>
      </w:r>
      <w:r w:rsidRPr="000D7C67">
        <w:rPr>
          <w:rFonts w:ascii="Arial" w:hAnsi="Arial" w:cs="Arial"/>
          <w:u w:val="single"/>
          <w:lang w:val="af-ZA"/>
        </w:rPr>
        <w:t>the respondent bears an evidential burden in relation to wilfulness and mala fides</w:t>
      </w:r>
      <w:r w:rsidRPr="000D7C67">
        <w:rPr>
          <w:rFonts w:ascii="Arial" w:hAnsi="Arial" w:cs="Arial"/>
          <w:lang w:val="af-ZA"/>
        </w:rPr>
        <w:t>. Should the respondent fail to advance evidence establishing a reasonable doubt as to whether non-compliance was wilful and mala fide, contempt will have been established beyond reasonable doubt. A declarator and other remedies are still available to a civil applicant on a balance of probabilities.</w:t>
      </w:r>
    </w:p>
    <w:p w:rsidR="0021186E" w:rsidRPr="000D7C67" w:rsidRDefault="0021186E" w:rsidP="00A04596">
      <w:pPr>
        <w:spacing w:after="0" w:line="360" w:lineRule="auto"/>
        <w:jc w:val="both"/>
        <w:rPr>
          <w:rFonts w:ascii="Arial" w:hAnsi="Arial" w:cs="Arial"/>
          <w:lang w:val="af-ZA"/>
        </w:rPr>
      </w:pPr>
      <w:r w:rsidRPr="000D7C67">
        <w:rPr>
          <w:rFonts w:ascii="Arial" w:hAnsi="Arial" w:cs="Arial"/>
          <w:lang w:val="af-ZA"/>
        </w:rPr>
        <w:t>[12]  ....</w:t>
      </w:r>
    </w:p>
    <w:p w:rsidR="008370E2" w:rsidRPr="000D7C67" w:rsidRDefault="00435E8C" w:rsidP="00A04596">
      <w:pPr>
        <w:spacing w:after="0" w:line="360" w:lineRule="auto"/>
        <w:jc w:val="both"/>
        <w:rPr>
          <w:rFonts w:ascii="Arial" w:hAnsi="Arial" w:cs="Arial"/>
          <w:sz w:val="24"/>
          <w:szCs w:val="24"/>
          <w:lang w:val="af-ZA"/>
        </w:rPr>
      </w:pPr>
      <w:r w:rsidRPr="000D7C67">
        <w:rPr>
          <w:rFonts w:ascii="Arial" w:hAnsi="Arial" w:cs="Arial"/>
          <w:lang w:val="af-ZA"/>
        </w:rPr>
        <w:t xml:space="preserve">[13] I respectfully agree that this approach did not accord sufficient protection to the alleged contemnor. The new approach that fully takes into account the reality that civil contempt has the characteristics of both the civil and the criminal law and that it should therefore be fully compliant with the constitutional provisions of a fair trial is to be preferred. The approach adopted in the majority judgment — rendered with characteristic clarity of thought and forceful reasoning — resonates with the values set out in our Constitution, and also with art 12 thereof. </w:t>
      </w:r>
      <w:r w:rsidRPr="000D7C67">
        <w:rPr>
          <w:rFonts w:ascii="Arial" w:hAnsi="Arial" w:cs="Arial"/>
          <w:u w:val="single"/>
          <w:lang w:val="af-ZA"/>
        </w:rPr>
        <w:t>As such, it is a sound approach that should be followed by our courts</w:t>
      </w:r>
      <w:r w:rsidRPr="000D7C67">
        <w:rPr>
          <w:rFonts w:ascii="Arial" w:hAnsi="Arial" w:cs="Arial"/>
          <w:lang w:val="af-ZA"/>
        </w:rPr>
        <w:t>.’</w:t>
      </w:r>
      <w:r w:rsidR="008370E2" w:rsidRPr="000D7C67">
        <w:rPr>
          <w:rFonts w:ascii="Arial" w:hAnsi="Arial" w:cs="Arial"/>
          <w:sz w:val="24"/>
          <w:szCs w:val="24"/>
          <w:lang w:val="af-ZA"/>
        </w:rPr>
        <w:t xml:space="preserve"> </w:t>
      </w:r>
    </w:p>
    <w:p w:rsidR="008370E2" w:rsidRPr="000D7C67" w:rsidRDefault="008370E2" w:rsidP="00A04596">
      <w:pPr>
        <w:spacing w:after="0" w:line="360" w:lineRule="auto"/>
        <w:jc w:val="both"/>
        <w:rPr>
          <w:rFonts w:ascii="Arial" w:hAnsi="Arial" w:cs="Arial"/>
          <w:sz w:val="24"/>
          <w:szCs w:val="24"/>
          <w:lang w:val="af-ZA"/>
        </w:rPr>
      </w:pPr>
    </w:p>
    <w:p w:rsidR="008370E2" w:rsidRPr="000D7C67" w:rsidRDefault="008370E2" w:rsidP="00A04596">
      <w:pPr>
        <w:spacing w:after="0" w:line="360" w:lineRule="auto"/>
        <w:jc w:val="both"/>
        <w:rPr>
          <w:rFonts w:ascii="Arial" w:hAnsi="Arial" w:cs="Arial"/>
          <w:i/>
          <w:sz w:val="24"/>
          <w:szCs w:val="24"/>
          <w:lang w:val="af-ZA"/>
        </w:rPr>
      </w:pPr>
      <w:r w:rsidRPr="000D7C67">
        <w:rPr>
          <w:rFonts w:ascii="Arial" w:hAnsi="Arial" w:cs="Arial"/>
          <w:i/>
          <w:sz w:val="24"/>
          <w:szCs w:val="24"/>
          <w:lang w:val="af-ZA"/>
        </w:rPr>
        <w:t xml:space="preserve">Contempt - Failure to recommend the release </w:t>
      </w:r>
    </w:p>
    <w:p w:rsidR="0015497D" w:rsidRPr="008370E2" w:rsidRDefault="0015497D" w:rsidP="00A04596">
      <w:pPr>
        <w:spacing w:after="0" w:line="360" w:lineRule="auto"/>
        <w:jc w:val="both"/>
        <w:rPr>
          <w:rFonts w:ascii="Arial" w:hAnsi="Arial" w:cs="Arial"/>
          <w:i/>
          <w:color w:val="242121"/>
          <w:sz w:val="24"/>
          <w:szCs w:val="24"/>
          <w:lang w:val="af-ZA"/>
        </w:rPr>
      </w:pPr>
    </w:p>
    <w:p w:rsidR="0021186E" w:rsidRDefault="00435E8C" w:rsidP="00A04596">
      <w:pPr>
        <w:spacing w:after="0" w:line="360" w:lineRule="auto"/>
        <w:jc w:val="both"/>
        <w:rPr>
          <w:rFonts w:ascii="Arial" w:hAnsi="Arial" w:cs="Arial"/>
          <w:sz w:val="24"/>
          <w:szCs w:val="24"/>
          <w:lang w:val="en-ZA"/>
        </w:rPr>
      </w:pPr>
      <w:r>
        <w:rPr>
          <w:rFonts w:ascii="Arial" w:hAnsi="Arial" w:cs="Arial"/>
          <w:sz w:val="24"/>
          <w:szCs w:val="24"/>
          <w:lang w:val="en-ZA"/>
        </w:rPr>
        <w:t>[</w:t>
      </w:r>
      <w:r w:rsidR="0015497D">
        <w:rPr>
          <w:rFonts w:ascii="Arial" w:hAnsi="Arial" w:cs="Arial"/>
          <w:sz w:val="24"/>
          <w:szCs w:val="24"/>
          <w:lang w:val="en-ZA"/>
        </w:rPr>
        <w:t>2</w:t>
      </w:r>
      <w:r w:rsidR="006B577D">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t>It is not disputed that the court granted the order and that same was served on the second respondent.</w:t>
      </w:r>
      <w:r w:rsidR="00D74A93">
        <w:rPr>
          <w:rFonts w:ascii="Arial" w:hAnsi="Arial" w:cs="Arial"/>
          <w:sz w:val="24"/>
          <w:szCs w:val="24"/>
          <w:lang w:val="en-ZA"/>
        </w:rPr>
        <w:t xml:space="preserve"> </w:t>
      </w:r>
      <w:r w:rsidR="002C636D">
        <w:rPr>
          <w:rFonts w:ascii="Arial" w:hAnsi="Arial" w:cs="Arial"/>
          <w:sz w:val="24"/>
          <w:szCs w:val="24"/>
          <w:lang w:val="en-ZA"/>
        </w:rPr>
        <w:t xml:space="preserve">There is </w:t>
      </w:r>
      <w:r w:rsidR="005F5059">
        <w:rPr>
          <w:rFonts w:ascii="Arial" w:hAnsi="Arial" w:cs="Arial"/>
          <w:sz w:val="24"/>
          <w:szCs w:val="24"/>
          <w:lang w:val="en-ZA"/>
        </w:rPr>
        <w:t xml:space="preserve">no dispute between the parties that the second respondent made a determination that the disease(s) affecting the applicant is considered to be dangerous according to the classification by WHO. There is </w:t>
      </w:r>
      <w:r w:rsidR="007B4312">
        <w:rPr>
          <w:rFonts w:ascii="Arial" w:hAnsi="Arial" w:cs="Arial"/>
          <w:sz w:val="24"/>
          <w:szCs w:val="24"/>
          <w:lang w:val="en-ZA"/>
        </w:rPr>
        <w:t xml:space="preserve">however </w:t>
      </w:r>
      <w:r w:rsidR="002C636D">
        <w:rPr>
          <w:rFonts w:ascii="Arial" w:hAnsi="Arial" w:cs="Arial"/>
          <w:sz w:val="24"/>
          <w:szCs w:val="24"/>
          <w:lang w:val="en-ZA"/>
        </w:rPr>
        <w:t xml:space="preserve">a dispute between the parties whether the court ordered the </w:t>
      </w:r>
      <w:r w:rsidR="007B4312">
        <w:rPr>
          <w:rFonts w:ascii="Arial" w:hAnsi="Arial" w:cs="Arial"/>
          <w:sz w:val="24"/>
          <w:szCs w:val="24"/>
          <w:lang w:val="en-ZA"/>
        </w:rPr>
        <w:t xml:space="preserve">second respondent to make a recommendation to </w:t>
      </w:r>
      <w:r w:rsidR="00D74A93">
        <w:rPr>
          <w:rFonts w:ascii="Arial" w:hAnsi="Arial" w:cs="Arial"/>
          <w:sz w:val="24"/>
          <w:szCs w:val="24"/>
          <w:lang w:val="en-ZA"/>
        </w:rPr>
        <w:t xml:space="preserve">the </w:t>
      </w:r>
      <w:r w:rsidR="007B4312">
        <w:rPr>
          <w:rFonts w:ascii="Arial" w:hAnsi="Arial" w:cs="Arial"/>
          <w:sz w:val="24"/>
          <w:szCs w:val="24"/>
          <w:lang w:val="en-ZA"/>
        </w:rPr>
        <w:t>first respondent for the release of the applicant once the conclusion is reached that the applicant suffers from a dangerous disease</w:t>
      </w:r>
      <w:r w:rsidR="00D915A8">
        <w:rPr>
          <w:rFonts w:ascii="Arial" w:hAnsi="Arial" w:cs="Arial"/>
          <w:sz w:val="24"/>
          <w:szCs w:val="24"/>
          <w:lang w:val="en-ZA"/>
        </w:rPr>
        <w:t xml:space="preserve">. The applicant says that once this jurisdictional fact has been satisfied, the second respondent must recommend the release of the applicant. The </w:t>
      </w:r>
      <w:r w:rsidR="007B4312">
        <w:rPr>
          <w:rFonts w:ascii="Arial" w:hAnsi="Arial" w:cs="Arial"/>
          <w:sz w:val="24"/>
          <w:szCs w:val="24"/>
          <w:lang w:val="en-ZA"/>
        </w:rPr>
        <w:t>second respondent</w:t>
      </w:r>
      <w:r w:rsidR="00D915A8">
        <w:rPr>
          <w:rFonts w:ascii="Arial" w:hAnsi="Arial" w:cs="Arial"/>
          <w:sz w:val="24"/>
          <w:szCs w:val="24"/>
          <w:lang w:val="en-ZA"/>
        </w:rPr>
        <w:t xml:space="preserve">’s position is that he has </w:t>
      </w:r>
      <w:r w:rsidR="0015497D">
        <w:rPr>
          <w:rFonts w:ascii="Arial" w:hAnsi="Arial" w:cs="Arial"/>
          <w:sz w:val="24"/>
          <w:szCs w:val="24"/>
          <w:lang w:val="en-ZA"/>
        </w:rPr>
        <w:t>a discretion</w:t>
      </w:r>
      <w:r w:rsidR="007B4312">
        <w:rPr>
          <w:rFonts w:ascii="Arial" w:hAnsi="Arial" w:cs="Arial"/>
          <w:sz w:val="24"/>
          <w:szCs w:val="24"/>
          <w:lang w:val="en-ZA"/>
        </w:rPr>
        <w:t xml:space="preserve"> whether or not to recommend the release of the applicant</w:t>
      </w:r>
      <w:r w:rsidR="00D915A8">
        <w:rPr>
          <w:rFonts w:ascii="Arial" w:hAnsi="Arial" w:cs="Arial"/>
          <w:sz w:val="24"/>
          <w:szCs w:val="24"/>
          <w:lang w:val="en-ZA"/>
        </w:rPr>
        <w:t xml:space="preserve"> in terms of the provisions of s 109</w:t>
      </w:r>
      <w:r w:rsidR="007B4312">
        <w:rPr>
          <w:rFonts w:ascii="Arial" w:hAnsi="Arial" w:cs="Arial"/>
          <w:sz w:val="24"/>
          <w:szCs w:val="24"/>
          <w:lang w:val="en-ZA"/>
        </w:rPr>
        <w:t xml:space="preserve">. </w:t>
      </w:r>
    </w:p>
    <w:p w:rsidR="00D915A8" w:rsidRDefault="00D915A8" w:rsidP="00A04596">
      <w:pPr>
        <w:spacing w:after="0" w:line="360" w:lineRule="auto"/>
        <w:jc w:val="both"/>
        <w:rPr>
          <w:rFonts w:ascii="Arial" w:hAnsi="Arial" w:cs="Arial"/>
          <w:sz w:val="24"/>
          <w:szCs w:val="24"/>
          <w:lang w:val="en-ZA"/>
        </w:rPr>
      </w:pPr>
    </w:p>
    <w:p w:rsidR="005F5059" w:rsidRPr="00D74A93" w:rsidRDefault="00D915A8" w:rsidP="00A04596">
      <w:pPr>
        <w:spacing w:after="0" w:line="360" w:lineRule="auto"/>
        <w:jc w:val="both"/>
        <w:rPr>
          <w:rFonts w:ascii="Arial" w:hAnsi="Arial" w:cs="Arial"/>
          <w:i/>
          <w:sz w:val="24"/>
          <w:szCs w:val="24"/>
          <w:lang w:val="en-ZA"/>
        </w:rPr>
      </w:pPr>
      <w:r w:rsidRPr="00D74A93">
        <w:rPr>
          <w:rFonts w:ascii="Arial" w:hAnsi="Arial" w:cs="Arial"/>
          <w:i/>
          <w:sz w:val="24"/>
          <w:szCs w:val="24"/>
          <w:lang w:val="en-ZA"/>
        </w:rPr>
        <w:t>Did the applicant make a determination?</w:t>
      </w:r>
    </w:p>
    <w:p w:rsidR="0015497D" w:rsidRDefault="0015497D" w:rsidP="00A04596">
      <w:pPr>
        <w:spacing w:after="0" w:line="360" w:lineRule="auto"/>
        <w:jc w:val="both"/>
        <w:rPr>
          <w:rFonts w:ascii="Arial" w:hAnsi="Arial" w:cs="Arial"/>
          <w:sz w:val="24"/>
          <w:szCs w:val="24"/>
          <w:lang w:val="en-ZA"/>
        </w:rPr>
      </w:pPr>
    </w:p>
    <w:p w:rsidR="007B4312" w:rsidRDefault="005F5059" w:rsidP="007B4312">
      <w:pPr>
        <w:spacing w:after="0" w:line="360" w:lineRule="auto"/>
        <w:jc w:val="both"/>
        <w:rPr>
          <w:rFonts w:ascii="Arial" w:hAnsi="Arial" w:cs="Arial"/>
          <w:sz w:val="24"/>
          <w:szCs w:val="24"/>
          <w:lang w:val="en-ZA"/>
        </w:rPr>
      </w:pPr>
      <w:r>
        <w:rPr>
          <w:rFonts w:ascii="Arial" w:hAnsi="Arial" w:cs="Arial"/>
          <w:sz w:val="24"/>
          <w:szCs w:val="24"/>
          <w:lang w:val="en-ZA"/>
        </w:rPr>
        <w:lastRenderedPageBreak/>
        <w:t>[</w:t>
      </w:r>
      <w:r w:rsidR="0015497D">
        <w:rPr>
          <w:rFonts w:ascii="Arial" w:hAnsi="Arial" w:cs="Arial"/>
          <w:sz w:val="24"/>
          <w:szCs w:val="24"/>
          <w:lang w:val="en-ZA"/>
        </w:rPr>
        <w:t>2</w:t>
      </w:r>
      <w:r w:rsidR="006B577D">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t xml:space="preserve">The fact of the matter is that order </w:t>
      </w:r>
      <w:r w:rsidR="00A2345D">
        <w:rPr>
          <w:rFonts w:ascii="Arial" w:hAnsi="Arial" w:cs="Arial"/>
          <w:sz w:val="24"/>
          <w:szCs w:val="24"/>
          <w:lang w:val="en-ZA"/>
        </w:rPr>
        <w:t xml:space="preserve">3 </w:t>
      </w:r>
      <w:r>
        <w:rPr>
          <w:rFonts w:ascii="Arial" w:hAnsi="Arial" w:cs="Arial"/>
          <w:sz w:val="24"/>
          <w:szCs w:val="24"/>
          <w:lang w:val="en-ZA"/>
        </w:rPr>
        <w:t xml:space="preserve">orders the second respondent to make a </w:t>
      </w:r>
      <w:r w:rsidR="007B4312" w:rsidRPr="007B4312">
        <w:rPr>
          <w:rFonts w:ascii="Arial" w:hAnsi="Arial" w:cs="Arial"/>
          <w:sz w:val="24"/>
          <w:szCs w:val="24"/>
          <w:lang w:val="en-ZA"/>
        </w:rPr>
        <w:t xml:space="preserve">determination as to whether or not the disease(s) affecting the applicant is a dangerous disease, or whether or not the applicant’s continued incarceration is detrimental to the applicant’s health on the grounds of his physical condition in terms of s 109 of the Correctional Service Act 9 of 2012. </w:t>
      </w:r>
      <w:r>
        <w:rPr>
          <w:rFonts w:ascii="Arial" w:hAnsi="Arial" w:cs="Arial"/>
          <w:sz w:val="24"/>
          <w:szCs w:val="24"/>
          <w:lang w:val="en-ZA"/>
        </w:rPr>
        <w:t>The second defendant in fact made such a determination as ordered by the court. He</w:t>
      </w:r>
      <w:r w:rsidR="000C7ABD">
        <w:rPr>
          <w:rFonts w:ascii="Arial" w:hAnsi="Arial" w:cs="Arial"/>
          <w:sz w:val="24"/>
          <w:szCs w:val="24"/>
          <w:lang w:val="en-ZA"/>
        </w:rPr>
        <w:t xml:space="preserve"> gave his determination </w:t>
      </w:r>
      <w:r>
        <w:rPr>
          <w:rFonts w:ascii="Arial" w:hAnsi="Arial" w:cs="Arial"/>
          <w:sz w:val="24"/>
          <w:szCs w:val="24"/>
          <w:lang w:val="en-ZA"/>
        </w:rPr>
        <w:t xml:space="preserve">on both whether or not the diseases affecting the applicant are dangerous diseases as well as his determination as to whether or not the applicant’s continued incarceration </w:t>
      </w:r>
      <w:r w:rsidR="00D915A8">
        <w:rPr>
          <w:rFonts w:ascii="Arial" w:hAnsi="Arial" w:cs="Arial"/>
          <w:sz w:val="24"/>
          <w:szCs w:val="24"/>
          <w:lang w:val="en-ZA"/>
        </w:rPr>
        <w:t xml:space="preserve">would be </w:t>
      </w:r>
      <w:r w:rsidR="000C7ABD">
        <w:rPr>
          <w:rFonts w:ascii="Arial" w:hAnsi="Arial" w:cs="Arial"/>
          <w:sz w:val="24"/>
          <w:szCs w:val="24"/>
          <w:lang w:val="en-ZA"/>
        </w:rPr>
        <w:t xml:space="preserve">detrimental to the applicant’s health on the grounds of his physical condition. </w:t>
      </w:r>
      <w:r>
        <w:rPr>
          <w:rFonts w:ascii="Arial" w:hAnsi="Arial" w:cs="Arial"/>
          <w:sz w:val="24"/>
          <w:szCs w:val="24"/>
          <w:lang w:val="en-ZA"/>
        </w:rPr>
        <w:t xml:space="preserve"> </w:t>
      </w:r>
      <w:r w:rsidR="000C7ABD">
        <w:rPr>
          <w:rFonts w:ascii="Arial" w:hAnsi="Arial" w:cs="Arial"/>
          <w:sz w:val="24"/>
          <w:szCs w:val="24"/>
          <w:lang w:val="en-ZA"/>
        </w:rPr>
        <w:t>It must be borne in mind that the court order specifically state</w:t>
      </w:r>
      <w:r w:rsidR="00D74A93">
        <w:rPr>
          <w:rFonts w:ascii="Arial" w:hAnsi="Arial" w:cs="Arial"/>
          <w:sz w:val="24"/>
          <w:szCs w:val="24"/>
          <w:lang w:val="en-ZA"/>
        </w:rPr>
        <w:t>s</w:t>
      </w:r>
      <w:r w:rsidR="000C7ABD">
        <w:rPr>
          <w:rFonts w:ascii="Arial" w:hAnsi="Arial" w:cs="Arial"/>
          <w:sz w:val="24"/>
          <w:szCs w:val="24"/>
          <w:lang w:val="en-ZA"/>
        </w:rPr>
        <w:t xml:space="preserve"> that the determination must be made in terms of s 109 of the Correctional Service Act 9 of 2012. </w:t>
      </w:r>
      <w:r w:rsidR="007A7363">
        <w:rPr>
          <w:rFonts w:ascii="Arial" w:hAnsi="Arial" w:cs="Arial"/>
          <w:sz w:val="24"/>
          <w:szCs w:val="24"/>
          <w:lang w:val="en-ZA"/>
        </w:rPr>
        <w:t>There has thus been compliance with the court order that the second respondent must make a determination.</w:t>
      </w:r>
    </w:p>
    <w:p w:rsidR="007A7363" w:rsidRDefault="007A7363" w:rsidP="007B4312">
      <w:pPr>
        <w:spacing w:after="0" w:line="360" w:lineRule="auto"/>
        <w:jc w:val="both"/>
        <w:rPr>
          <w:rFonts w:ascii="Arial" w:hAnsi="Arial" w:cs="Arial"/>
          <w:sz w:val="24"/>
          <w:szCs w:val="24"/>
          <w:lang w:val="en-ZA"/>
        </w:rPr>
      </w:pPr>
    </w:p>
    <w:p w:rsidR="000C7ABD" w:rsidRDefault="007A7363" w:rsidP="007B4312">
      <w:pPr>
        <w:spacing w:after="0" w:line="360" w:lineRule="auto"/>
        <w:jc w:val="both"/>
        <w:rPr>
          <w:rFonts w:ascii="Arial" w:hAnsi="Arial" w:cs="Arial"/>
          <w:i/>
          <w:sz w:val="24"/>
          <w:szCs w:val="24"/>
          <w:lang w:val="en-ZA"/>
        </w:rPr>
      </w:pPr>
      <w:r w:rsidRPr="007A7363">
        <w:rPr>
          <w:rFonts w:ascii="Arial" w:hAnsi="Arial" w:cs="Arial"/>
          <w:i/>
          <w:sz w:val="24"/>
          <w:szCs w:val="24"/>
          <w:lang w:val="en-ZA"/>
        </w:rPr>
        <w:t>Has there been compliance with order 4</w:t>
      </w:r>
    </w:p>
    <w:p w:rsidR="0015497D" w:rsidRPr="007A7363" w:rsidRDefault="0015497D" w:rsidP="007B4312">
      <w:pPr>
        <w:spacing w:after="0" w:line="360" w:lineRule="auto"/>
        <w:jc w:val="both"/>
        <w:rPr>
          <w:rFonts w:ascii="Arial" w:hAnsi="Arial" w:cs="Arial"/>
          <w:i/>
          <w:sz w:val="24"/>
          <w:szCs w:val="24"/>
          <w:lang w:val="en-ZA"/>
        </w:rPr>
      </w:pPr>
    </w:p>
    <w:p w:rsidR="008370E2" w:rsidRPr="007B4312" w:rsidRDefault="000C7ABD" w:rsidP="008370E2">
      <w:pPr>
        <w:spacing w:after="0" w:line="360" w:lineRule="auto"/>
        <w:jc w:val="both"/>
        <w:rPr>
          <w:rFonts w:ascii="Arial" w:hAnsi="Arial" w:cs="Arial"/>
          <w:sz w:val="24"/>
          <w:szCs w:val="24"/>
          <w:lang w:val="en-ZA"/>
        </w:rPr>
      </w:pPr>
      <w:r>
        <w:rPr>
          <w:rFonts w:ascii="Arial" w:hAnsi="Arial" w:cs="Arial"/>
          <w:sz w:val="24"/>
          <w:szCs w:val="24"/>
          <w:lang w:val="en-ZA"/>
        </w:rPr>
        <w:t>[</w:t>
      </w:r>
      <w:r w:rsidR="0015497D">
        <w:rPr>
          <w:rFonts w:ascii="Arial" w:hAnsi="Arial" w:cs="Arial"/>
          <w:sz w:val="24"/>
          <w:szCs w:val="24"/>
          <w:lang w:val="en-ZA"/>
        </w:rPr>
        <w:t>2</w:t>
      </w:r>
      <w:r w:rsidR="006B577D">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t xml:space="preserve">The second respondent </w:t>
      </w:r>
      <w:r w:rsidR="007A7363">
        <w:rPr>
          <w:rFonts w:ascii="Arial" w:hAnsi="Arial" w:cs="Arial"/>
          <w:sz w:val="24"/>
          <w:szCs w:val="24"/>
          <w:lang w:val="en-ZA"/>
        </w:rPr>
        <w:t>made a d</w:t>
      </w:r>
      <w:r w:rsidR="00D74A93">
        <w:rPr>
          <w:rFonts w:ascii="Arial" w:hAnsi="Arial" w:cs="Arial"/>
          <w:sz w:val="24"/>
          <w:szCs w:val="24"/>
          <w:lang w:val="en-ZA"/>
        </w:rPr>
        <w:t>etermination that the diseases a</w:t>
      </w:r>
      <w:r w:rsidR="007A7363">
        <w:rPr>
          <w:rFonts w:ascii="Arial" w:hAnsi="Arial" w:cs="Arial"/>
          <w:sz w:val="24"/>
          <w:szCs w:val="24"/>
          <w:lang w:val="en-ZA"/>
        </w:rPr>
        <w:t xml:space="preserve">ffecting the applicant are considered to be dangerous as was required by the court but he did not </w:t>
      </w:r>
      <w:r>
        <w:rPr>
          <w:rFonts w:ascii="Arial" w:hAnsi="Arial" w:cs="Arial"/>
          <w:sz w:val="24"/>
          <w:szCs w:val="24"/>
          <w:lang w:val="en-ZA"/>
        </w:rPr>
        <w:t xml:space="preserve">make the recommendation </w:t>
      </w:r>
      <w:r w:rsidR="007A7363">
        <w:rPr>
          <w:rFonts w:ascii="Arial" w:hAnsi="Arial" w:cs="Arial"/>
          <w:sz w:val="24"/>
          <w:szCs w:val="24"/>
          <w:lang w:val="en-ZA"/>
        </w:rPr>
        <w:t>for the applicant’s release because</w:t>
      </w:r>
      <w:r w:rsidR="00D24593">
        <w:rPr>
          <w:rFonts w:ascii="Arial" w:hAnsi="Arial" w:cs="Arial"/>
          <w:sz w:val="24"/>
          <w:szCs w:val="24"/>
          <w:lang w:val="en-ZA"/>
        </w:rPr>
        <w:t>, according to his understanding</w:t>
      </w:r>
      <w:r w:rsidR="00BF6975">
        <w:rPr>
          <w:rFonts w:ascii="Arial" w:hAnsi="Arial" w:cs="Arial"/>
          <w:sz w:val="24"/>
          <w:szCs w:val="24"/>
          <w:lang w:val="en-ZA"/>
        </w:rPr>
        <w:t xml:space="preserve">, that </w:t>
      </w:r>
      <w:r w:rsidR="00D24593">
        <w:rPr>
          <w:rFonts w:ascii="Arial" w:hAnsi="Arial" w:cs="Arial"/>
          <w:sz w:val="24"/>
          <w:szCs w:val="24"/>
          <w:lang w:val="en-ZA"/>
        </w:rPr>
        <w:t>he had a discretion not to do so in terms of his finding in respect of s</w:t>
      </w:r>
      <w:r w:rsidR="0015497D">
        <w:rPr>
          <w:rFonts w:ascii="Arial" w:hAnsi="Arial" w:cs="Arial"/>
          <w:sz w:val="24"/>
          <w:szCs w:val="24"/>
          <w:lang w:val="en-ZA"/>
        </w:rPr>
        <w:t xml:space="preserve"> 109</w:t>
      </w:r>
      <w:r w:rsidR="008370E2">
        <w:rPr>
          <w:rFonts w:ascii="Arial" w:hAnsi="Arial" w:cs="Arial"/>
          <w:sz w:val="24"/>
          <w:szCs w:val="24"/>
          <w:lang w:val="en-ZA"/>
        </w:rPr>
        <w:t>(</w:t>
      </w:r>
      <w:r w:rsidR="008370E2" w:rsidRPr="007A7363">
        <w:rPr>
          <w:rFonts w:ascii="Arial" w:hAnsi="Arial" w:cs="Arial"/>
          <w:i/>
          <w:sz w:val="24"/>
          <w:szCs w:val="24"/>
          <w:lang w:val="en-ZA"/>
        </w:rPr>
        <w:t>b</w:t>
      </w:r>
      <w:r w:rsidR="008370E2">
        <w:rPr>
          <w:rFonts w:ascii="Arial" w:hAnsi="Arial" w:cs="Arial"/>
          <w:sz w:val="24"/>
          <w:szCs w:val="24"/>
          <w:lang w:val="en-ZA"/>
        </w:rPr>
        <w:t>).</w:t>
      </w:r>
      <w:r w:rsidR="00D24593">
        <w:rPr>
          <w:rFonts w:ascii="Arial" w:hAnsi="Arial" w:cs="Arial"/>
          <w:sz w:val="24"/>
          <w:szCs w:val="24"/>
          <w:lang w:val="en-ZA"/>
        </w:rPr>
        <w:t xml:space="preserve"> </w:t>
      </w:r>
    </w:p>
    <w:p w:rsidR="00D24593" w:rsidRDefault="00D24593" w:rsidP="007B4312">
      <w:pPr>
        <w:spacing w:after="0" w:line="360" w:lineRule="auto"/>
        <w:jc w:val="both"/>
        <w:rPr>
          <w:rFonts w:ascii="Arial" w:hAnsi="Arial" w:cs="Arial"/>
          <w:sz w:val="24"/>
          <w:szCs w:val="24"/>
          <w:lang w:val="en-ZA"/>
        </w:rPr>
      </w:pPr>
    </w:p>
    <w:p w:rsidR="008370E2" w:rsidRDefault="00D24593" w:rsidP="007B4312">
      <w:pPr>
        <w:spacing w:after="0" w:line="360" w:lineRule="auto"/>
        <w:jc w:val="both"/>
        <w:rPr>
          <w:rFonts w:ascii="Arial" w:hAnsi="Arial" w:cs="Arial"/>
          <w:sz w:val="24"/>
          <w:szCs w:val="24"/>
          <w:lang w:val="en-ZA"/>
        </w:rPr>
      </w:pPr>
      <w:r>
        <w:rPr>
          <w:rFonts w:ascii="Arial" w:hAnsi="Arial" w:cs="Arial"/>
          <w:sz w:val="24"/>
          <w:szCs w:val="24"/>
          <w:lang w:val="en-ZA"/>
        </w:rPr>
        <w:t>[</w:t>
      </w:r>
      <w:r w:rsidR="0015497D">
        <w:rPr>
          <w:rFonts w:ascii="Arial" w:hAnsi="Arial" w:cs="Arial"/>
          <w:sz w:val="24"/>
          <w:szCs w:val="24"/>
          <w:lang w:val="en-ZA"/>
        </w:rPr>
        <w:t>2</w:t>
      </w:r>
      <w:r w:rsidR="006B577D">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0C7ABD">
        <w:rPr>
          <w:rFonts w:ascii="Arial" w:hAnsi="Arial" w:cs="Arial"/>
          <w:sz w:val="24"/>
          <w:szCs w:val="24"/>
          <w:lang w:val="en-ZA"/>
        </w:rPr>
        <w:t>The applicant’s interpretation is</w:t>
      </w:r>
      <w:r w:rsidR="00BF6975">
        <w:rPr>
          <w:rFonts w:ascii="Arial" w:hAnsi="Arial" w:cs="Arial"/>
          <w:sz w:val="24"/>
          <w:szCs w:val="24"/>
          <w:lang w:val="en-ZA"/>
        </w:rPr>
        <w:t>,</w:t>
      </w:r>
      <w:r w:rsidR="008370E2">
        <w:rPr>
          <w:rFonts w:ascii="Arial" w:hAnsi="Arial" w:cs="Arial"/>
          <w:sz w:val="24"/>
          <w:szCs w:val="24"/>
          <w:lang w:val="en-ZA"/>
        </w:rPr>
        <w:t xml:space="preserve"> </w:t>
      </w:r>
      <w:r w:rsidR="007A7363">
        <w:rPr>
          <w:rFonts w:ascii="Arial" w:hAnsi="Arial" w:cs="Arial"/>
          <w:sz w:val="24"/>
          <w:szCs w:val="24"/>
          <w:lang w:val="en-ZA"/>
        </w:rPr>
        <w:t xml:space="preserve">that once the second respondent made the determination that the applicant suffers from dangerous diseases he must in terms of </w:t>
      </w:r>
      <w:r w:rsidR="0015497D">
        <w:rPr>
          <w:rFonts w:ascii="Arial" w:hAnsi="Arial" w:cs="Arial"/>
          <w:sz w:val="24"/>
          <w:szCs w:val="24"/>
          <w:lang w:val="en-ZA"/>
        </w:rPr>
        <w:t>s 109</w:t>
      </w:r>
      <w:r w:rsidR="000C7ABD">
        <w:rPr>
          <w:rFonts w:ascii="Arial" w:hAnsi="Arial" w:cs="Arial"/>
          <w:sz w:val="24"/>
          <w:szCs w:val="24"/>
          <w:lang w:val="en-ZA"/>
        </w:rPr>
        <w:t>(</w:t>
      </w:r>
      <w:r w:rsidR="000C7ABD" w:rsidRPr="00B81FED">
        <w:rPr>
          <w:rFonts w:ascii="Arial" w:hAnsi="Arial" w:cs="Arial"/>
          <w:i/>
          <w:sz w:val="24"/>
          <w:szCs w:val="24"/>
          <w:lang w:val="en-ZA"/>
        </w:rPr>
        <w:t>a</w:t>
      </w:r>
      <w:r w:rsidR="000C7ABD">
        <w:rPr>
          <w:rFonts w:ascii="Arial" w:hAnsi="Arial" w:cs="Arial"/>
          <w:sz w:val="24"/>
          <w:szCs w:val="24"/>
          <w:lang w:val="en-ZA"/>
        </w:rPr>
        <w:t>) recommend</w:t>
      </w:r>
      <w:r w:rsidR="008370E2">
        <w:rPr>
          <w:rFonts w:ascii="Arial" w:hAnsi="Arial" w:cs="Arial"/>
          <w:sz w:val="24"/>
          <w:szCs w:val="24"/>
          <w:lang w:val="en-ZA"/>
        </w:rPr>
        <w:t xml:space="preserve"> </w:t>
      </w:r>
      <w:r w:rsidR="007A7363">
        <w:rPr>
          <w:rFonts w:ascii="Arial" w:hAnsi="Arial" w:cs="Arial"/>
          <w:sz w:val="24"/>
          <w:szCs w:val="24"/>
          <w:lang w:val="en-ZA"/>
        </w:rPr>
        <w:t xml:space="preserve">the release of the applicant to the first respondent </w:t>
      </w:r>
      <w:r w:rsidR="008370E2">
        <w:rPr>
          <w:rFonts w:ascii="Arial" w:hAnsi="Arial" w:cs="Arial"/>
          <w:sz w:val="24"/>
          <w:szCs w:val="24"/>
          <w:lang w:val="en-ZA"/>
        </w:rPr>
        <w:t>or else he would be in contempt of the court order.</w:t>
      </w:r>
      <w:r w:rsidR="000C7ABD">
        <w:rPr>
          <w:rFonts w:ascii="Arial" w:hAnsi="Arial" w:cs="Arial"/>
          <w:sz w:val="24"/>
          <w:szCs w:val="24"/>
          <w:lang w:val="en-ZA"/>
        </w:rPr>
        <w:t xml:space="preserve"> </w:t>
      </w:r>
    </w:p>
    <w:p w:rsidR="008370E2" w:rsidRDefault="008370E2" w:rsidP="007B4312">
      <w:pPr>
        <w:spacing w:after="0" w:line="360" w:lineRule="auto"/>
        <w:jc w:val="both"/>
        <w:rPr>
          <w:rFonts w:ascii="Arial" w:hAnsi="Arial" w:cs="Arial"/>
          <w:sz w:val="24"/>
          <w:szCs w:val="24"/>
          <w:lang w:val="en-ZA"/>
        </w:rPr>
      </w:pPr>
    </w:p>
    <w:p w:rsidR="007A7363" w:rsidRDefault="007A7363" w:rsidP="007B4312">
      <w:pPr>
        <w:spacing w:after="0" w:line="360" w:lineRule="auto"/>
        <w:jc w:val="both"/>
        <w:rPr>
          <w:rFonts w:ascii="Arial" w:hAnsi="Arial" w:cs="Arial"/>
          <w:sz w:val="24"/>
          <w:szCs w:val="24"/>
          <w:lang w:val="en-ZA"/>
        </w:rPr>
      </w:pPr>
      <w:r>
        <w:rPr>
          <w:rFonts w:ascii="Arial" w:hAnsi="Arial" w:cs="Arial"/>
          <w:sz w:val="24"/>
          <w:szCs w:val="24"/>
          <w:lang w:val="en-ZA"/>
        </w:rPr>
        <w:t>[</w:t>
      </w:r>
      <w:r w:rsidR="006B577D">
        <w:rPr>
          <w:rFonts w:ascii="Arial" w:hAnsi="Arial" w:cs="Arial"/>
          <w:sz w:val="24"/>
          <w:szCs w:val="24"/>
          <w:lang w:val="en-ZA"/>
        </w:rPr>
        <w:t>30</w:t>
      </w:r>
      <w:r>
        <w:rPr>
          <w:rFonts w:ascii="Arial" w:hAnsi="Arial" w:cs="Arial"/>
          <w:sz w:val="24"/>
          <w:szCs w:val="24"/>
          <w:lang w:val="en-ZA"/>
        </w:rPr>
        <w:t>]</w:t>
      </w:r>
      <w:r>
        <w:rPr>
          <w:rFonts w:ascii="Arial" w:hAnsi="Arial" w:cs="Arial"/>
          <w:sz w:val="24"/>
          <w:szCs w:val="24"/>
          <w:lang w:val="en-ZA"/>
        </w:rPr>
        <w:tab/>
      </w:r>
      <w:r w:rsidR="008370E2">
        <w:rPr>
          <w:rFonts w:ascii="Arial" w:hAnsi="Arial" w:cs="Arial"/>
          <w:sz w:val="24"/>
          <w:szCs w:val="24"/>
          <w:lang w:val="en-ZA"/>
        </w:rPr>
        <w:t>It must once again be born</w:t>
      </w:r>
      <w:r w:rsidR="00A2345D">
        <w:rPr>
          <w:rFonts w:ascii="Arial" w:hAnsi="Arial" w:cs="Arial"/>
          <w:sz w:val="24"/>
          <w:szCs w:val="24"/>
          <w:lang w:val="en-ZA"/>
        </w:rPr>
        <w:t xml:space="preserve">e in mind that the court order </w:t>
      </w:r>
      <w:r w:rsidR="008370E2">
        <w:rPr>
          <w:rFonts w:ascii="Arial" w:hAnsi="Arial" w:cs="Arial"/>
          <w:sz w:val="24"/>
          <w:szCs w:val="24"/>
          <w:lang w:val="en-ZA"/>
        </w:rPr>
        <w:t>4 also reads “as contemplated in s109 of the Correctional Service Act 9 of 2012”. The second respondent clearly has a different understanding of what is required of him in terms of s</w:t>
      </w:r>
      <w:r>
        <w:rPr>
          <w:rFonts w:ascii="Arial" w:hAnsi="Arial" w:cs="Arial"/>
          <w:sz w:val="24"/>
          <w:szCs w:val="24"/>
          <w:lang w:val="en-ZA"/>
        </w:rPr>
        <w:t xml:space="preserve"> </w:t>
      </w:r>
      <w:r w:rsidR="008370E2">
        <w:rPr>
          <w:rFonts w:ascii="Arial" w:hAnsi="Arial" w:cs="Arial"/>
          <w:sz w:val="24"/>
          <w:szCs w:val="24"/>
          <w:lang w:val="en-ZA"/>
        </w:rPr>
        <w:t xml:space="preserve">109. </w:t>
      </w:r>
    </w:p>
    <w:p w:rsidR="007A7363" w:rsidRDefault="007A7363" w:rsidP="007B4312">
      <w:pPr>
        <w:spacing w:after="0" w:line="360" w:lineRule="auto"/>
        <w:jc w:val="both"/>
        <w:rPr>
          <w:rFonts w:ascii="Arial" w:hAnsi="Arial" w:cs="Arial"/>
          <w:sz w:val="24"/>
          <w:szCs w:val="24"/>
          <w:lang w:val="en-ZA"/>
        </w:rPr>
      </w:pPr>
    </w:p>
    <w:p w:rsidR="007A7363" w:rsidRDefault="007A7363" w:rsidP="007B4312">
      <w:pPr>
        <w:spacing w:after="0" w:line="360" w:lineRule="auto"/>
        <w:jc w:val="both"/>
        <w:rPr>
          <w:rFonts w:ascii="Arial" w:hAnsi="Arial" w:cs="Arial"/>
          <w:sz w:val="24"/>
          <w:szCs w:val="24"/>
          <w:lang w:val="en-ZA"/>
        </w:rPr>
      </w:pPr>
      <w:r>
        <w:rPr>
          <w:rFonts w:ascii="Arial" w:hAnsi="Arial" w:cs="Arial"/>
          <w:sz w:val="24"/>
          <w:szCs w:val="24"/>
          <w:lang w:val="en-ZA"/>
        </w:rPr>
        <w:lastRenderedPageBreak/>
        <w:t>[</w:t>
      </w:r>
      <w:r w:rsidR="0015497D">
        <w:rPr>
          <w:rFonts w:ascii="Arial" w:hAnsi="Arial" w:cs="Arial"/>
          <w:sz w:val="24"/>
          <w:szCs w:val="24"/>
          <w:lang w:val="en-ZA"/>
        </w:rPr>
        <w:t>3</w:t>
      </w:r>
      <w:r w:rsidR="006B577D">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r>
      <w:r w:rsidR="00D24593">
        <w:rPr>
          <w:rFonts w:ascii="Arial" w:hAnsi="Arial" w:cs="Arial"/>
          <w:sz w:val="24"/>
          <w:szCs w:val="24"/>
          <w:lang w:val="en-ZA"/>
        </w:rPr>
        <w:t xml:space="preserve">Not unlike the situation in the case of the </w:t>
      </w:r>
      <w:r w:rsidR="00D24593" w:rsidRPr="00D24593">
        <w:rPr>
          <w:rFonts w:ascii="Arial" w:hAnsi="Arial" w:cs="Arial"/>
          <w:i/>
          <w:sz w:val="24"/>
          <w:szCs w:val="24"/>
          <w:lang w:val="en-ZA"/>
        </w:rPr>
        <w:t>Teacher’s Union</w:t>
      </w:r>
      <w:r w:rsidR="00D24593">
        <w:rPr>
          <w:rFonts w:ascii="Arial" w:hAnsi="Arial" w:cs="Arial"/>
          <w:sz w:val="24"/>
          <w:szCs w:val="24"/>
          <w:lang w:val="en-ZA"/>
        </w:rPr>
        <w:t xml:space="preserve"> matter, </w:t>
      </w:r>
      <w:r w:rsidR="00D24593" w:rsidRPr="008370E2">
        <w:rPr>
          <w:rFonts w:ascii="Arial" w:hAnsi="Arial" w:cs="Arial"/>
          <w:i/>
          <w:sz w:val="24"/>
          <w:szCs w:val="24"/>
          <w:lang w:val="en-ZA"/>
        </w:rPr>
        <w:t>supra</w:t>
      </w:r>
      <w:r w:rsidR="00D24593">
        <w:rPr>
          <w:rFonts w:ascii="Arial" w:hAnsi="Arial" w:cs="Arial"/>
          <w:sz w:val="24"/>
          <w:szCs w:val="24"/>
          <w:lang w:val="en-ZA"/>
        </w:rPr>
        <w:t xml:space="preserve">, where the court found that it was </w:t>
      </w:r>
      <w:r w:rsidR="00D24593" w:rsidRPr="00D24593">
        <w:rPr>
          <w:rFonts w:ascii="Arial" w:hAnsi="Arial" w:cs="Arial"/>
          <w:sz w:val="24"/>
          <w:szCs w:val="24"/>
          <w:lang w:val="en-ZA"/>
        </w:rPr>
        <w:t>reasonable to infer that the decision not to comply with the court order was either taken on legal advice or at any rate was based on a different understanding or interpretation of the agreement.</w:t>
      </w:r>
      <w:r w:rsidR="00D24593">
        <w:rPr>
          <w:rFonts w:ascii="Arial" w:hAnsi="Arial" w:cs="Arial"/>
          <w:sz w:val="24"/>
          <w:szCs w:val="24"/>
          <w:lang w:val="en-ZA"/>
        </w:rPr>
        <w:t xml:space="preserve"> </w:t>
      </w:r>
      <w:r w:rsidR="008370E2">
        <w:rPr>
          <w:rFonts w:ascii="Arial" w:hAnsi="Arial" w:cs="Arial"/>
          <w:sz w:val="24"/>
          <w:szCs w:val="24"/>
          <w:lang w:val="en-ZA"/>
        </w:rPr>
        <w:t>This court, in a like manner, concludes that, on the papers, the</w:t>
      </w:r>
      <w:r>
        <w:rPr>
          <w:rFonts w:ascii="Arial" w:hAnsi="Arial" w:cs="Arial"/>
          <w:sz w:val="24"/>
          <w:szCs w:val="24"/>
          <w:lang w:val="en-ZA"/>
        </w:rPr>
        <w:t xml:space="preserve"> respondent refused to recommend the release of the applicant to the first respondent because he disagrees with the </w:t>
      </w:r>
      <w:r w:rsidR="00A2345D">
        <w:rPr>
          <w:rFonts w:ascii="Arial" w:hAnsi="Arial" w:cs="Arial"/>
          <w:sz w:val="24"/>
          <w:szCs w:val="24"/>
          <w:lang w:val="en-ZA"/>
        </w:rPr>
        <w:t>applicant’s interpretation of</w:t>
      </w:r>
      <w:r>
        <w:rPr>
          <w:rFonts w:ascii="Arial" w:hAnsi="Arial" w:cs="Arial"/>
          <w:sz w:val="24"/>
          <w:szCs w:val="24"/>
          <w:lang w:val="en-ZA"/>
        </w:rPr>
        <w:t xml:space="preserve"> order </w:t>
      </w:r>
      <w:r w:rsidR="00A2345D">
        <w:rPr>
          <w:rFonts w:ascii="Arial" w:hAnsi="Arial" w:cs="Arial"/>
          <w:sz w:val="24"/>
          <w:szCs w:val="24"/>
          <w:lang w:val="en-ZA"/>
        </w:rPr>
        <w:t xml:space="preserve">4 </w:t>
      </w:r>
      <w:r>
        <w:rPr>
          <w:rFonts w:ascii="Arial" w:hAnsi="Arial" w:cs="Arial"/>
          <w:sz w:val="24"/>
          <w:szCs w:val="24"/>
          <w:lang w:val="en-ZA"/>
        </w:rPr>
        <w:t xml:space="preserve">and he also acted on the advice of his legal counsel. </w:t>
      </w:r>
    </w:p>
    <w:p w:rsidR="007A7363" w:rsidRDefault="007A7363" w:rsidP="007B4312">
      <w:pPr>
        <w:spacing w:after="0" w:line="360" w:lineRule="auto"/>
        <w:jc w:val="both"/>
        <w:rPr>
          <w:rFonts w:ascii="Arial" w:hAnsi="Arial" w:cs="Arial"/>
          <w:sz w:val="24"/>
          <w:szCs w:val="24"/>
          <w:lang w:val="en-ZA"/>
        </w:rPr>
      </w:pPr>
    </w:p>
    <w:p w:rsidR="007B4312" w:rsidRDefault="00D74A93" w:rsidP="007B4312">
      <w:pPr>
        <w:spacing w:after="0" w:line="360" w:lineRule="auto"/>
        <w:jc w:val="both"/>
        <w:rPr>
          <w:rFonts w:ascii="Arial" w:hAnsi="Arial" w:cs="Arial"/>
          <w:sz w:val="24"/>
          <w:szCs w:val="24"/>
          <w:lang w:val="en-ZA"/>
        </w:rPr>
      </w:pPr>
      <w:r>
        <w:rPr>
          <w:rFonts w:ascii="Arial" w:hAnsi="Arial" w:cs="Arial"/>
          <w:sz w:val="24"/>
          <w:szCs w:val="24"/>
          <w:lang w:val="en-ZA"/>
        </w:rPr>
        <w:t>[</w:t>
      </w:r>
      <w:r w:rsidR="00AB0629">
        <w:rPr>
          <w:rFonts w:ascii="Arial" w:hAnsi="Arial" w:cs="Arial"/>
          <w:sz w:val="24"/>
          <w:szCs w:val="24"/>
          <w:lang w:val="en-ZA"/>
        </w:rPr>
        <w:t>3</w:t>
      </w:r>
      <w:r w:rsidR="006B577D">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r>
      <w:r w:rsidR="007A7363">
        <w:rPr>
          <w:rFonts w:ascii="Arial" w:hAnsi="Arial" w:cs="Arial"/>
          <w:sz w:val="24"/>
          <w:szCs w:val="24"/>
          <w:lang w:val="en-ZA"/>
        </w:rPr>
        <w:t xml:space="preserve">This court is not satisfied that the </w:t>
      </w:r>
      <w:r w:rsidR="008370E2">
        <w:rPr>
          <w:rFonts w:ascii="Arial" w:hAnsi="Arial" w:cs="Arial"/>
          <w:sz w:val="24"/>
          <w:szCs w:val="24"/>
          <w:lang w:val="en-ZA"/>
        </w:rPr>
        <w:t xml:space="preserve">applicant </w:t>
      </w:r>
      <w:r w:rsidR="007A7363">
        <w:rPr>
          <w:rFonts w:ascii="Arial" w:hAnsi="Arial" w:cs="Arial"/>
          <w:sz w:val="24"/>
          <w:szCs w:val="24"/>
          <w:lang w:val="en-ZA"/>
        </w:rPr>
        <w:t>made</w:t>
      </w:r>
      <w:r w:rsidR="008370E2">
        <w:rPr>
          <w:rFonts w:ascii="Arial" w:hAnsi="Arial" w:cs="Arial"/>
          <w:sz w:val="24"/>
          <w:szCs w:val="24"/>
          <w:lang w:val="en-ZA"/>
        </w:rPr>
        <w:t xml:space="preserve"> out a case beyond reasonable doubt that the second respondent, by failing to recommend the release of the applicant, is in contempt of court. </w:t>
      </w:r>
      <w:r w:rsidR="00BF6975">
        <w:rPr>
          <w:rFonts w:ascii="Arial" w:hAnsi="Arial" w:cs="Arial"/>
          <w:sz w:val="24"/>
          <w:szCs w:val="24"/>
          <w:lang w:val="en-ZA"/>
        </w:rPr>
        <w:t>Whether or not the second respondent’s understanding and interpretation of the court order is correct</w:t>
      </w:r>
      <w:r w:rsidR="00325A50">
        <w:rPr>
          <w:rFonts w:ascii="Arial" w:hAnsi="Arial" w:cs="Arial"/>
          <w:sz w:val="24"/>
          <w:szCs w:val="24"/>
          <w:lang w:val="en-ZA"/>
        </w:rPr>
        <w:t>,</w:t>
      </w:r>
      <w:r w:rsidR="00BF6975">
        <w:rPr>
          <w:rFonts w:ascii="Arial" w:hAnsi="Arial" w:cs="Arial"/>
          <w:sz w:val="24"/>
          <w:szCs w:val="24"/>
          <w:lang w:val="en-ZA"/>
        </w:rPr>
        <w:t xml:space="preserve"> will be determined below. </w:t>
      </w:r>
    </w:p>
    <w:p w:rsidR="00A04596" w:rsidRPr="00972C07" w:rsidRDefault="00A04596" w:rsidP="00A04596">
      <w:pPr>
        <w:spacing w:after="0" w:line="360" w:lineRule="auto"/>
        <w:jc w:val="both"/>
        <w:rPr>
          <w:rFonts w:ascii="Arial" w:hAnsi="Arial" w:cs="Arial"/>
          <w:sz w:val="24"/>
          <w:szCs w:val="24"/>
          <w:lang w:val="en-ZA"/>
        </w:rPr>
      </w:pPr>
    </w:p>
    <w:p w:rsidR="00160CC3" w:rsidRDefault="008370E2" w:rsidP="00160CC3">
      <w:pPr>
        <w:spacing w:line="360" w:lineRule="auto"/>
        <w:jc w:val="both"/>
        <w:rPr>
          <w:rFonts w:ascii="Arial" w:eastAsia="Calibri" w:hAnsi="Arial" w:cs="Arial"/>
          <w:sz w:val="24"/>
          <w:szCs w:val="24"/>
          <w:u w:val="single"/>
          <w:lang w:val="en-ZA"/>
        </w:rPr>
      </w:pPr>
      <w:r w:rsidRPr="004C4C1D">
        <w:rPr>
          <w:rFonts w:ascii="Arial" w:eastAsia="Calibri" w:hAnsi="Arial" w:cs="Arial"/>
          <w:sz w:val="24"/>
          <w:szCs w:val="24"/>
          <w:u w:val="single"/>
          <w:lang w:val="en-ZA"/>
        </w:rPr>
        <w:t>Failure to provide reasons</w:t>
      </w:r>
    </w:p>
    <w:p w:rsidR="00D74A93" w:rsidRPr="004C4C1D" w:rsidRDefault="00D74A93" w:rsidP="00160CC3">
      <w:pPr>
        <w:spacing w:line="360" w:lineRule="auto"/>
        <w:jc w:val="both"/>
        <w:rPr>
          <w:rFonts w:ascii="Arial" w:eastAsia="Calibri" w:hAnsi="Arial" w:cs="Arial"/>
          <w:sz w:val="24"/>
          <w:szCs w:val="24"/>
          <w:u w:val="single"/>
          <w:lang w:val="en-ZA"/>
        </w:rPr>
      </w:pPr>
    </w:p>
    <w:p w:rsidR="008370E2" w:rsidRDefault="008370E2" w:rsidP="00160CC3">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3</w:t>
      </w:r>
      <w:r w:rsidR="006B577D">
        <w:rPr>
          <w:rFonts w:ascii="Arial" w:eastAsia="Calibri" w:hAnsi="Arial" w:cs="Arial"/>
          <w:sz w:val="24"/>
          <w:szCs w:val="24"/>
          <w:lang w:val="en-ZA"/>
        </w:rPr>
        <w:t>3</w:t>
      </w:r>
      <w:r>
        <w:rPr>
          <w:rFonts w:ascii="Arial" w:eastAsia="Calibri" w:hAnsi="Arial" w:cs="Arial"/>
          <w:sz w:val="24"/>
          <w:szCs w:val="24"/>
          <w:lang w:val="en-ZA"/>
        </w:rPr>
        <w:t>]</w:t>
      </w:r>
      <w:r>
        <w:rPr>
          <w:rFonts w:ascii="Arial" w:eastAsia="Calibri" w:hAnsi="Arial" w:cs="Arial"/>
          <w:sz w:val="24"/>
          <w:szCs w:val="24"/>
          <w:lang w:val="en-ZA"/>
        </w:rPr>
        <w:tab/>
        <w:t xml:space="preserve">The second respondent admitted to having </w:t>
      </w:r>
      <w:r w:rsidR="004C4C1D">
        <w:rPr>
          <w:rFonts w:ascii="Arial" w:eastAsia="Calibri" w:hAnsi="Arial" w:cs="Arial"/>
          <w:sz w:val="24"/>
          <w:szCs w:val="24"/>
          <w:lang w:val="en-ZA"/>
        </w:rPr>
        <w:t xml:space="preserve">delayed in </w:t>
      </w:r>
      <w:r w:rsidR="00D74A93">
        <w:rPr>
          <w:rFonts w:ascii="Arial" w:eastAsia="Calibri" w:hAnsi="Arial" w:cs="Arial"/>
          <w:sz w:val="24"/>
          <w:szCs w:val="24"/>
          <w:lang w:val="en-ZA"/>
        </w:rPr>
        <w:t>providing</w:t>
      </w:r>
      <w:r>
        <w:rPr>
          <w:rFonts w:ascii="Arial" w:eastAsia="Calibri" w:hAnsi="Arial" w:cs="Arial"/>
          <w:sz w:val="24"/>
          <w:szCs w:val="24"/>
          <w:lang w:val="en-ZA"/>
        </w:rPr>
        <w:t xml:space="preserve"> the “reasons” outside the timef</w:t>
      </w:r>
      <w:r w:rsidR="00DA07DA">
        <w:rPr>
          <w:rFonts w:ascii="Arial" w:eastAsia="Calibri" w:hAnsi="Arial" w:cs="Arial"/>
          <w:sz w:val="24"/>
          <w:szCs w:val="24"/>
          <w:lang w:val="en-ZA"/>
        </w:rPr>
        <w:t xml:space="preserve">rame provided for by the court order. The </w:t>
      </w:r>
      <w:r w:rsidR="004C4C1D">
        <w:rPr>
          <w:rFonts w:ascii="Arial" w:eastAsia="Calibri" w:hAnsi="Arial" w:cs="Arial"/>
          <w:sz w:val="24"/>
          <w:szCs w:val="24"/>
          <w:lang w:val="en-ZA"/>
        </w:rPr>
        <w:t xml:space="preserve">second respondent makes the averment that </w:t>
      </w:r>
      <w:r w:rsidR="009F5970">
        <w:rPr>
          <w:rFonts w:ascii="Arial" w:eastAsia="Calibri" w:hAnsi="Arial" w:cs="Arial"/>
          <w:sz w:val="24"/>
          <w:szCs w:val="24"/>
          <w:lang w:val="en-ZA"/>
        </w:rPr>
        <w:t xml:space="preserve">he understands that </w:t>
      </w:r>
      <w:r w:rsidR="004C4C1D">
        <w:rPr>
          <w:rFonts w:ascii="Arial" w:eastAsia="Calibri" w:hAnsi="Arial" w:cs="Arial"/>
          <w:sz w:val="24"/>
          <w:szCs w:val="24"/>
          <w:lang w:val="en-ZA"/>
        </w:rPr>
        <w:t>there was an attempt at providing the applicant with the “reasons” on 19 December 2022 and that he refused to accept it. This was not denied in the applicant’s replying affidavit</w:t>
      </w:r>
      <w:r w:rsidR="009F5970">
        <w:rPr>
          <w:rFonts w:ascii="Arial" w:eastAsia="Calibri" w:hAnsi="Arial" w:cs="Arial"/>
          <w:sz w:val="24"/>
          <w:szCs w:val="24"/>
          <w:lang w:val="en-ZA"/>
        </w:rPr>
        <w:t xml:space="preserve">. There is thus no dispute that the second respondent provided the applicant with his letter to the first respondent </w:t>
      </w:r>
      <w:r w:rsidR="00D74A93">
        <w:rPr>
          <w:rFonts w:ascii="Arial" w:eastAsia="Calibri" w:hAnsi="Arial" w:cs="Arial"/>
          <w:sz w:val="24"/>
          <w:szCs w:val="24"/>
          <w:lang w:val="en-ZA"/>
        </w:rPr>
        <w:t>dated 24 November 2022 and the recommendation d</w:t>
      </w:r>
      <w:r w:rsidR="009F5970">
        <w:rPr>
          <w:rFonts w:ascii="Arial" w:eastAsia="Calibri" w:hAnsi="Arial" w:cs="Arial"/>
          <w:sz w:val="24"/>
          <w:szCs w:val="24"/>
          <w:lang w:val="en-ZA"/>
        </w:rPr>
        <w:t>ocument of 1 December</w:t>
      </w:r>
      <w:r w:rsidR="00325A50">
        <w:rPr>
          <w:rFonts w:ascii="Arial" w:eastAsia="Calibri" w:hAnsi="Arial" w:cs="Arial"/>
          <w:sz w:val="24"/>
          <w:szCs w:val="24"/>
          <w:lang w:val="en-ZA"/>
        </w:rPr>
        <w:t xml:space="preserve"> 2022</w:t>
      </w:r>
      <w:r w:rsidR="009F5970">
        <w:rPr>
          <w:rFonts w:ascii="Arial" w:eastAsia="Calibri" w:hAnsi="Arial" w:cs="Arial"/>
          <w:sz w:val="24"/>
          <w:szCs w:val="24"/>
          <w:lang w:val="en-ZA"/>
        </w:rPr>
        <w:t xml:space="preserve"> well </w:t>
      </w:r>
      <w:r w:rsidR="004C4C1D">
        <w:rPr>
          <w:rFonts w:ascii="Arial" w:eastAsia="Calibri" w:hAnsi="Arial" w:cs="Arial"/>
          <w:sz w:val="24"/>
          <w:szCs w:val="24"/>
          <w:lang w:val="en-ZA"/>
        </w:rPr>
        <w:t>within the 15 days as envisaged in paragraph 5 of the court order. The only issue taken by the applic</w:t>
      </w:r>
      <w:r w:rsidR="00D74A93">
        <w:rPr>
          <w:rFonts w:ascii="Arial" w:eastAsia="Calibri" w:hAnsi="Arial" w:cs="Arial"/>
          <w:sz w:val="24"/>
          <w:szCs w:val="24"/>
          <w:lang w:val="en-ZA"/>
        </w:rPr>
        <w:t>ant is that the recommendation d</w:t>
      </w:r>
      <w:r w:rsidR="004C4C1D">
        <w:rPr>
          <w:rFonts w:ascii="Arial" w:eastAsia="Calibri" w:hAnsi="Arial" w:cs="Arial"/>
          <w:sz w:val="24"/>
          <w:szCs w:val="24"/>
          <w:lang w:val="en-ZA"/>
        </w:rPr>
        <w:t xml:space="preserve">ocument does not contain reasons why the second respondent would not recommend </w:t>
      </w:r>
      <w:r w:rsidR="009F5970">
        <w:rPr>
          <w:rFonts w:ascii="Arial" w:eastAsia="Calibri" w:hAnsi="Arial" w:cs="Arial"/>
          <w:sz w:val="24"/>
          <w:szCs w:val="24"/>
          <w:lang w:val="en-ZA"/>
        </w:rPr>
        <w:t>his</w:t>
      </w:r>
      <w:r w:rsidR="004C4C1D">
        <w:rPr>
          <w:rFonts w:ascii="Arial" w:eastAsia="Calibri" w:hAnsi="Arial" w:cs="Arial"/>
          <w:sz w:val="24"/>
          <w:szCs w:val="24"/>
          <w:lang w:val="en-ZA"/>
        </w:rPr>
        <w:t xml:space="preserve"> release. This issue would be considered under the grounds for review. </w:t>
      </w:r>
    </w:p>
    <w:p w:rsidR="003A58BF" w:rsidRDefault="003A58BF" w:rsidP="00160CC3">
      <w:pPr>
        <w:spacing w:line="360" w:lineRule="auto"/>
        <w:jc w:val="both"/>
        <w:rPr>
          <w:rFonts w:ascii="Arial" w:eastAsia="Calibri" w:hAnsi="Arial" w:cs="Arial"/>
          <w:sz w:val="24"/>
          <w:szCs w:val="24"/>
          <w:lang w:val="en-ZA"/>
        </w:rPr>
      </w:pPr>
    </w:p>
    <w:p w:rsidR="00325A50" w:rsidRDefault="004C4C1D" w:rsidP="00160CC3">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3</w:t>
      </w:r>
      <w:r w:rsidR="006B577D">
        <w:rPr>
          <w:rFonts w:ascii="Arial" w:eastAsia="Calibri" w:hAnsi="Arial" w:cs="Arial"/>
          <w:sz w:val="24"/>
          <w:szCs w:val="24"/>
          <w:lang w:val="en-ZA"/>
        </w:rPr>
        <w:t>4</w:t>
      </w:r>
      <w:r>
        <w:rPr>
          <w:rFonts w:ascii="Arial" w:eastAsia="Calibri" w:hAnsi="Arial" w:cs="Arial"/>
          <w:sz w:val="24"/>
          <w:szCs w:val="24"/>
          <w:lang w:val="en-ZA"/>
        </w:rPr>
        <w:t>]</w:t>
      </w:r>
      <w:r>
        <w:rPr>
          <w:rFonts w:ascii="Arial" w:eastAsia="Calibri" w:hAnsi="Arial" w:cs="Arial"/>
          <w:sz w:val="24"/>
          <w:szCs w:val="24"/>
          <w:lang w:val="en-ZA"/>
        </w:rPr>
        <w:tab/>
      </w:r>
      <w:r w:rsidR="00325A50">
        <w:rPr>
          <w:rFonts w:ascii="Arial" w:eastAsia="Calibri" w:hAnsi="Arial" w:cs="Arial"/>
          <w:sz w:val="24"/>
          <w:szCs w:val="24"/>
          <w:lang w:val="en-ZA"/>
        </w:rPr>
        <w:t>The letter to the first respondent contains very brief reasons but they</w:t>
      </w:r>
      <w:r w:rsidR="00D74A93">
        <w:rPr>
          <w:rFonts w:ascii="Arial" w:eastAsia="Calibri" w:hAnsi="Arial" w:cs="Arial"/>
          <w:sz w:val="24"/>
          <w:szCs w:val="24"/>
          <w:lang w:val="en-ZA"/>
        </w:rPr>
        <w:t xml:space="preserve"> are reasons all the same. The recommendation </w:t>
      </w:r>
      <w:r w:rsidR="00AB0629">
        <w:rPr>
          <w:rFonts w:ascii="Arial" w:eastAsia="Calibri" w:hAnsi="Arial" w:cs="Arial"/>
          <w:sz w:val="24"/>
          <w:szCs w:val="24"/>
          <w:lang w:val="en-ZA"/>
        </w:rPr>
        <w:t>document does</w:t>
      </w:r>
      <w:r w:rsidR="00325A50">
        <w:rPr>
          <w:rFonts w:ascii="Arial" w:eastAsia="Calibri" w:hAnsi="Arial" w:cs="Arial"/>
          <w:sz w:val="24"/>
          <w:szCs w:val="24"/>
          <w:lang w:val="en-ZA"/>
        </w:rPr>
        <w:t xml:space="preserve"> not give reasons despite the fact that the second respondent refer to them as detailed reasons. It is a detailed report of the </w:t>
      </w:r>
      <w:r w:rsidR="00325A50">
        <w:rPr>
          <w:rFonts w:ascii="Arial" w:eastAsia="Calibri" w:hAnsi="Arial" w:cs="Arial"/>
          <w:sz w:val="24"/>
          <w:szCs w:val="24"/>
          <w:lang w:val="en-ZA"/>
        </w:rPr>
        <w:lastRenderedPageBreak/>
        <w:t>medical condition of the applicant which explains the brief reasons provided in the letter to the first respondent. The applicant,</w:t>
      </w:r>
      <w:r w:rsidR="00D74A93">
        <w:rPr>
          <w:rFonts w:ascii="Arial" w:eastAsia="Calibri" w:hAnsi="Arial" w:cs="Arial"/>
          <w:sz w:val="24"/>
          <w:szCs w:val="24"/>
          <w:lang w:val="en-ZA"/>
        </w:rPr>
        <w:t xml:space="preserve"> by</w:t>
      </w:r>
      <w:r w:rsidR="00325A50">
        <w:rPr>
          <w:rFonts w:ascii="Arial" w:eastAsia="Calibri" w:hAnsi="Arial" w:cs="Arial"/>
          <w:sz w:val="24"/>
          <w:szCs w:val="24"/>
          <w:lang w:val="en-ZA"/>
        </w:rPr>
        <w:t xml:space="preserve"> way of correspondence, acknowledged that these two</w:t>
      </w:r>
      <w:r w:rsidR="00A2345D">
        <w:rPr>
          <w:rFonts w:ascii="Arial" w:eastAsia="Calibri" w:hAnsi="Arial" w:cs="Arial"/>
          <w:sz w:val="24"/>
          <w:szCs w:val="24"/>
          <w:lang w:val="en-ZA"/>
        </w:rPr>
        <w:t xml:space="preserve"> documents do not constitute a recommendation</w:t>
      </w:r>
      <w:r w:rsidR="00325A50">
        <w:rPr>
          <w:rFonts w:ascii="Arial" w:eastAsia="Calibri" w:hAnsi="Arial" w:cs="Arial"/>
          <w:sz w:val="24"/>
          <w:szCs w:val="24"/>
          <w:lang w:val="en-ZA"/>
        </w:rPr>
        <w:t xml:space="preserve">. The applicant was thus aware of the fact that the second respondent declined to recommend the applicant’s release to the first respondent. </w:t>
      </w:r>
    </w:p>
    <w:p w:rsidR="003A58BF" w:rsidRDefault="003A58BF" w:rsidP="00160CC3">
      <w:pPr>
        <w:spacing w:line="360" w:lineRule="auto"/>
        <w:jc w:val="both"/>
        <w:rPr>
          <w:rFonts w:ascii="Arial" w:eastAsia="Calibri" w:hAnsi="Arial" w:cs="Arial"/>
          <w:sz w:val="24"/>
          <w:szCs w:val="24"/>
          <w:lang w:val="en-ZA"/>
        </w:rPr>
      </w:pPr>
    </w:p>
    <w:p w:rsidR="004C4C1D" w:rsidRDefault="00086078" w:rsidP="00160CC3">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3</w:t>
      </w:r>
      <w:r w:rsidR="006B577D">
        <w:rPr>
          <w:rFonts w:ascii="Arial" w:eastAsia="Calibri" w:hAnsi="Arial" w:cs="Arial"/>
          <w:sz w:val="24"/>
          <w:szCs w:val="24"/>
          <w:lang w:val="en-ZA"/>
        </w:rPr>
        <w:t>5</w:t>
      </w:r>
      <w:r>
        <w:rPr>
          <w:rFonts w:ascii="Arial" w:eastAsia="Calibri" w:hAnsi="Arial" w:cs="Arial"/>
          <w:sz w:val="24"/>
          <w:szCs w:val="24"/>
          <w:lang w:val="en-ZA"/>
        </w:rPr>
        <w:t>]</w:t>
      </w:r>
      <w:r>
        <w:rPr>
          <w:rFonts w:ascii="Arial" w:eastAsia="Calibri" w:hAnsi="Arial" w:cs="Arial"/>
          <w:sz w:val="24"/>
          <w:szCs w:val="24"/>
          <w:lang w:val="en-ZA"/>
        </w:rPr>
        <w:tab/>
      </w:r>
      <w:r w:rsidR="00325A50">
        <w:rPr>
          <w:rFonts w:ascii="Arial" w:eastAsia="Calibri" w:hAnsi="Arial" w:cs="Arial"/>
          <w:sz w:val="24"/>
          <w:szCs w:val="24"/>
          <w:lang w:val="en-ZA"/>
        </w:rPr>
        <w:t>It is my considered view that the applicant were notified of t</w:t>
      </w:r>
      <w:r w:rsidR="00A2345D">
        <w:rPr>
          <w:rFonts w:ascii="Arial" w:eastAsia="Calibri" w:hAnsi="Arial" w:cs="Arial"/>
          <w:sz w:val="24"/>
          <w:szCs w:val="24"/>
          <w:lang w:val="en-ZA"/>
        </w:rPr>
        <w:t>he fact that no recommendation wa</w:t>
      </w:r>
      <w:r w:rsidR="00325A50">
        <w:rPr>
          <w:rFonts w:ascii="Arial" w:eastAsia="Calibri" w:hAnsi="Arial" w:cs="Arial"/>
          <w:sz w:val="24"/>
          <w:szCs w:val="24"/>
          <w:lang w:val="en-ZA"/>
        </w:rPr>
        <w:t xml:space="preserve">s made and </w:t>
      </w:r>
      <w:r w:rsidR="00A2345D">
        <w:rPr>
          <w:rFonts w:ascii="Arial" w:eastAsia="Calibri" w:hAnsi="Arial" w:cs="Arial"/>
          <w:sz w:val="24"/>
          <w:szCs w:val="24"/>
          <w:lang w:val="en-ZA"/>
        </w:rPr>
        <w:t xml:space="preserve">that </w:t>
      </w:r>
      <w:r w:rsidR="00325A50">
        <w:rPr>
          <w:rFonts w:ascii="Arial" w:eastAsia="Calibri" w:hAnsi="Arial" w:cs="Arial"/>
          <w:sz w:val="24"/>
          <w:szCs w:val="24"/>
          <w:lang w:val="en-ZA"/>
        </w:rPr>
        <w:t>the reasons</w:t>
      </w:r>
      <w:r>
        <w:rPr>
          <w:rFonts w:ascii="Arial" w:eastAsia="Calibri" w:hAnsi="Arial" w:cs="Arial"/>
          <w:sz w:val="24"/>
          <w:szCs w:val="24"/>
          <w:lang w:val="en-ZA"/>
        </w:rPr>
        <w:t xml:space="preserve"> </w:t>
      </w:r>
      <w:r w:rsidR="00A2345D">
        <w:rPr>
          <w:rFonts w:ascii="Arial" w:eastAsia="Calibri" w:hAnsi="Arial" w:cs="Arial"/>
          <w:sz w:val="24"/>
          <w:szCs w:val="24"/>
          <w:lang w:val="en-ZA"/>
        </w:rPr>
        <w:t xml:space="preserve">were </w:t>
      </w:r>
      <w:r>
        <w:rPr>
          <w:rFonts w:ascii="Arial" w:eastAsia="Calibri" w:hAnsi="Arial" w:cs="Arial"/>
          <w:sz w:val="24"/>
          <w:szCs w:val="24"/>
          <w:lang w:val="en-ZA"/>
        </w:rPr>
        <w:t>provided</w:t>
      </w:r>
      <w:r w:rsidR="00A2345D">
        <w:rPr>
          <w:rFonts w:ascii="Arial" w:eastAsia="Calibri" w:hAnsi="Arial" w:cs="Arial"/>
          <w:sz w:val="24"/>
          <w:szCs w:val="24"/>
          <w:lang w:val="en-ZA"/>
        </w:rPr>
        <w:t>, albeit brief. This complies</w:t>
      </w:r>
      <w:r w:rsidR="00325A50">
        <w:rPr>
          <w:rFonts w:ascii="Arial" w:eastAsia="Calibri" w:hAnsi="Arial" w:cs="Arial"/>
          <w:sz w:val="24"/>
          <w:szCs w:val="24"/>
          <w:lang w:val="en-ZA"/>
        </w:rPr>
        <w:t xml:space="preserve"> with the court’s requirement that he should inform the applicant and gi</w:t>
      </w:r>
      <w:r>
        <w:rPr>
          <w:rFonts w:ascii="Arial" w:eastAsia="Calibri" w:hAnsi="Arial" w:cs="Arial"/>
          <w:sz w:val="24"/>
          <w:szCs w:val="24"/>
          <w:lang w:val="en-ZA"/>
        </w:rPr>
        <w:t>ve reasons. T</w:t>
      </w:r>
      <w:r w:rsidR="004C4C1D">
        <w:rPr>
          <w:rFonts w:ascii="Arial" w:eastAsia="Calibri" w:hAnsi="Arial" w:cs="Arial"/>
          <w:sz w:val="24"/>
          <w:szCs w:val="24"/>
          <w:lang w:val="en-ZA"/>
        </w:rPr>
        <w:t>he applicant</w:t>
      </w:r>
      <w:r>
        <w:rPr>
          <w:rFonts w:ascii="Arial" w:eastAsia="Calibri" w:hAnsi="Arial" w:cs="Arial"/>
          <w:sz w:val="24"/>
          <w:szCs w:val="24"/>
          <w:lang w:val="en-ZA"/>
        </w:rPr>
        <w:t xml:space="preserve"> thus</w:t>
      </w:r>
      <w:r w:rsidR="004C4C1D">
        <w:rPr>
          <w:rFonts w:ascii="Arial" w:eastAsia="Calibri" w:hAnsi="Arial" w:cs="Arial"/>
          <w:sz w:val="24"/>
          <w:szCs w:val="24"/>
          <w:lang w:val="en-ZA"/>
        </w:rPr>
        <w:t xml:space="preserve"> failed to make out a case for civil contempt of court </w:t>
      </w:r>
      <w:r>
        <w:rPr>
          <w:rFonts w:ascii="Arial" w:eastAsia="Calibri" w:hAnsi="Arial" w:cs="Arial"/>
          <w:sz w:val="24"/>
          <w:szCs w:val="24"/>
          <w:lang w:val="en-ZA"/>
        </w:rPr>
        <w:t xml:space="preserve">in respect of order 4 </w:t>
      </w:r>
      <w:r w:rsidR="007807AC">
        <w:rPr>
          <w:rFonts w:ascii="Arial" w:eastAsia="Calibri" w:hAnsi="Arial" w:cs="Arial"/>
          <w:sz w:val="24"/>
          <w:szCs w:val="24"/>
          <w:lang w:val="en-ZA"/>
        </w:rPr>
        <w:t>and the application in this regard stands to be dismissed.</w:t>
      </w:r>
    </w:p>
    <w:p w:rsidR="003A58BF" w:rsidRDefault="003A58BF" w:rsidP="00160CC3">
      <w:pPr>
        <w:spacing w:line="360" w:lineRule="auto"/>
        <w:jc w:val="both"/>
        <w:rPr>
          <w:rFonts w:ascii="Arial" w:eastAsia="Calibri" w:hAnsi="Arial" w:cs="Arial"/>
          <w:sz w:val="24"/>
          <w:szCs w:val="24"/>
          <w:lang w:val="en-ZA"/>
        </w:rPr>
      </w:pPr>
    </w:p>
    <w:p w:rsidR="007807AC" w:rsidRDefault="007807AC" w:rsidP="00160CC3">
      <w:pPr>
        <w:spacing w:line="360" w:lineRule="auto"/>
        <w:jc w:val="both"/>
        <w:rPr>
          <w:rFonts w:ascii="Arial" w:eastAsia="Calibri" w:hAnsi="Arial" w:cs="Arial"/>
          <w:sz w:val="24"/>
          <w:szCs w:val="24"/>
          <w:u w:val="single"/>
          <w:lang w:val="en-ZA"/>
        </w:rPr>
      </w:pPr>
      <w:r w:rsidRPr="00D50AD4">
        <w:rPr>
          <w:rFonts w:ascii="Arial" w:eastAsia="Calibri" w:hAnsi="Arial" w:cs="Arial"/>
          <w:sz w:val="24"/>
          <w:szCs w:val="24"/>
          <w:u w:val="single"/>
          <w:lang w:val="en-ZA"/>
        </w:rPr>
        <w:t>Grounds: Review Application</w:t>
      </w:r>
    </w:p>
    <w:p w:rsidR="00D74A93" w:rsidRPr="00D50AD4" w:rsidRDefault="00D74A93" w:rsidP="00160CC3">
      <w:pPr>
        <w:spacing w:line="360" w:lineRule="auto"/>
        <w:jc w:val="both"/>
        <w:rPr>
          <w:rFonts w:ascii="Arial" w:eastAsia="Calibri" w:hAnsi="Arial" w:cs="Arial"/>
          <w:sz w:val="24"/>
          <w:szCs w:val="24"/>
          <w:u w:val="single"/>
          <w:lang w:val="en-ZA"/>
        </w:rPr>
      </w:pPr>
    </w:p>
    <w:p w:rsidR="00D50AD4" w:rsidRDefault="007807AC" w:rsidP="00160CC3">
      <w:pPr>
        <w:spacing w:line="360" w:lineRule="auto"/>
        <w:jc w:val="both"/>
        <w:rPr>
          <w:rFonts w:ascii="Arial" w:eastAsia="Calibri" w:hAnsi="Arial" w:cs="Arial"/>
          <w:sz w:val="24"/>
          <w:szCs w:val="24"/>
          <w:lang w:val="en-ZA"/>
        </w:rPr>
      </w:pPr>
      <w:r>
        <w:rPr>
          <w:rFonts w:ascii="Arial" w:eastAsia="Calibri" w:hAnsi="Arial" w:cs="Arial"/>
          <w:sz w:val="24"/>
          <w:szCs w:val="24"/>
          <w:lang w:val="en-ZA"/>
        </w:rPr>
        <w:t xml:space="preserve"> </w:t>
      </w:r>
      <w:r w:rsidR="00160CC3">
        <w:rPr>
          <w:rFonts w:ascii="Arial" w:eastAsia="Calibri" w:hAnsi="Arial" w:cs="Arial"/>
          <w:sz w:val="24"/>
          <w:szCs w:val="24"/>
          <w:lang w:val="en-ZA"/>
        </w:rPr>
        <w:t>[</w:t>
      </w:r>
      <w:r w:rsidR="00CE33D3">
        <w:rPr>
          <w:rFonts w:ascii="Arial" w:eastAsia="Calibri" w:hAnsi="Arial" w:cs="Arial"/>
          <w:sz w:val="24"/>
          <w:szCs w:val="24"/>
          <w:lang w:val="en-ZA"/>
        </w:rPr>
        <w:t>3</w:t>
      </w:r>
      <w:r w:rsidR="006B577D">
        <w:rPr>
          <w:rFonts w:ascii="Arial" w:eastAsia="Calibri" w:hAnsi="Arial" w:cs="Arial"/>
          <w:sz w:val="24"/>
          <w:szCs w:val="24"/>
          <w:lang w:val="en-ZA"/>
        </w:rPr>
        <w:t>6</w:t>
      </w:r>
      <w:r w:rsidR="00160CC3">
        <w:rPr>
          <w:rFonts w:ascii="Arial" w:eastAsia="Calibri" w:hAnsi="Arial" w:cs="Arial"/>
          <w:sz w:val="24"/>
          <w:szCs w:val="24"/>
          <w:lang w:val="en-ZA"/>
        </w:rPr>
        <w:t>]</w:t>
      </w:r>
      <w:r w:rsidR="00160CC3">
        <w:rPr>
          <w:rFonts w:ascii="Arial" w:eastAsia="Calibri" w:hAnsi="Arial" w:cs="Arial"/>
          <w:sz w:val="24"/>
          <w:szCs w:val="24"/>
          <w:lang w:val="en-ZA"/>
        </w:rPr>
        <w:tab/>
      </w:r>
      <w:r>
        <w:rPr>
          <w:rFonts w:ascii="Arial" w:eastAsia="Calibri" w:hAnsi="Arial" w:cs="Arial"/>
          <w:sz w:val="24"/>
          <w:szCs w:val="24"/>
          <w:lang w:val="en-ZA"/>
        </w:rPr>
        <w:t>The applicant’s first ground is that the decision by the second respondent not to make a recommendation to the first respondent</w:t>
      </w:r>
      <w:r w:rsidR="00086078">
        <w:rPr>
          <w:rFonts w:ascii="Arial" w:eastAsia="Calibri" w:hAnsi="Arial" w:cs="Arial"/>
          <w:sz w:val="24"/>
          <w:szCs w:val="24"/>
          <w:lang w:val="en-ZA"/>
        </w:rPr>
        <w:t>,</w:t>
      </w:r>
      <w:r>
        <w:rPr>
          <w:rFonts w:ascii="Arial" w:eastAsia="Calibri" w:hAnsi="Arial" w:cs="Arial"/>
          <w:sz w:val="24"/>
          <w:szCs w:val="24"/>
          <w:lang w:val="en-ZA"/>
        </w:rPr>
        <w:t xml:space="preserve"> is arbitrary, unreasonable, irrational, and/or caprice and an affront to the jurisdictional facts of s 109. Mr </w:t>
      </w:r>
      <w:proofErr w:type="spellStart"/>
      <w:r>
        <w:rPr>
          <w:rFonts w:ascii="Arial" w:eastAsia="Calibri" w:hAnsi="Arial" w:cs="Arial"/>
          <w:sz w:val="24"/>
          <w:szCs w:val="24"/>
          <w:lang w:val="en-ZA"/>
        </w:rPr>
        <w:t>Muluti</w:t>
      </w:r>
      <w:proofErr w:type="spellEnd"/>
      <w:r>
        <w:rPr>
          <w:rFonts w:ascii="Arial" w:eastAsia="Calibri" w:hAnsi="Arial" w:cs="Arial"/>
          <w:sz w:val="24"/>
          <w:szCs w:val="24"/>
          <w:lang w:val="en-ZA"/>
        </w:rPr>
        <w:t xml:space="preserve"> argues that the considerations which the second respondent relied on not to make the requisite recommendation to the first respondent</w:t>
      </w:r>
      <w:r w:rsidR="00086078">
        <w:rPr>
          <w:rFonts w:ascii="Arial" w:eastAsia="Calibri" w:hAnsi="Arial" w:cs="Arial"/>
          <w:sz w:val="24"/>
          <w:szCs w:val="24"/>
          <w:lang w:val="en-ZA"/>
        </w:rPr>
        <w:t>,</w:t>
      </w:r>
      <w:r>
        <w:rPr>
          <w:rFonts w:ascii="Arial" w:eastAsia="Calibri" w:hAnsi="Arial" w:cs="Arial"/>
          <w:sz w:val="24"/>
          <w:szCs w:val="24"/>
          <w:lang w:val="en-ZA"/>
        </w:rPr>
        <w:t xml:space="preserve"> are not only alien but extraneous to the scope of s 109. </w:t>
      </w:r>
      <w:r w:rsidR="00D50AD4">
        <w:rPr>
          <w:rFonts w:ascii="Arial" w:eastAsia="Calibri" w:hAnsi="Arial" w:cs="Arial"/>
          <w:sz w:val="24"/>
          <w:szCs w:val="24"/>
          <w:lang w:val="en-ZA"/>
        </w:rPr>
        <w:t>He argues that the only consideration ought to hav</w:t>
      </w:r>
      <w:r w:rsidR="003A58BF">
        <w:rPr>
          <w:rFonts w:ascii="Arial" w:eastAsia="Calibri" w:hAnsi="Arial" w:cs="Arial"/>
          <w:sz w:val="24"/>
          <w:szCs w:val="24"/>
          <w:lang w:val="en-ZA"/>
        </w:rPr>
        <w:t>e been those contained in s 109</w:t>
      </w:r>
      <w:r w:rsidR="00D50AD4" w:rsidRPr="0004238C">
        <w:rPr>
          <w:rFonts w:ascii="Arial" w:eastAsia="Calibri" w:hAnsi="Arial" w:cs="Arial"/>
          <w:i/>
          <w:sz w:val="24"/>
          <w:szCs w:val="24"/>
          <w:lang w:val="en-ZA"/>
        </w:rPr>
        <w:t>(a)</w:t>
      </w:r>
      <w:r w:rsidR="00D50AD4">
        <w:rPr>
          <w:rFonts w:ascii="Arial" w:eastAsia="Calibri" w:hAnsi="Arial" w:cs="Arial"/>
          <w:sz w:val="24"/>
          <w:szCs w:val="24"/>
          <w:lang w:val="en-ZA"/>
        </w:rPr>
        <w:t xml:space="preserve"> and (</w:t>
      </w:r>
      <w:r w:rsidR="00D50AD4" w:rsidRPr="00B81FED">
        <w:rPr>
          <w:rFonts w:ascii="Arial" w:eastAsia="Calibri" w:hAnsi="Arial" w:cs="Arial"/>
          <w:i/>
          <w:sz w:val="24"/>
          <w:szCs w:val="24"/>
          <w:lang w:val="en-ZA"/>
        </w:rPr>
        <w:t>b</w:t>
      </w:r>
      <w:r w:rsidR="00D50AD4">
        <w:rPr>
          <w:rFonts w:ascii="Arial" w:eastAsia="Calibri" w:hAnsi="Arial" w:cs="Arial"/>
          <w:sz w:val="24"/>
          <w:szCs w:val="24"/>
          <w:lang w:val="en-ZA"/>
        </w:rPr>
        <w:t xml:space="preserve">). He submitted that </w:t>
      </w:r>
      <w:r w:rsidR="00D50AD4" w:rsidRPr="005B2769">
        <w:rPr>
          <w:rFonts w:ascii="Arial" w:eastAsia="Calibri" w:hAnsi="Arial" w:cs="Arial"/>
          <w:i/>
          <w:sz w:val="24"/>
          <w:szCs w:val="24"/>
          <w:lang w:val="en-ZA"/>
        </w:rPr>
        <w:t xml:space="preserve">in </w:t>
      </w:r>
      <w:proofErr w:type="spellStart"/>
      <w:r w:rsidR="00D50AD4" w:rsidRPr="005B2769">
        <w:rPr>
          <w:rFonts w:ascii="Arial" w:eastAsia="Calibri" w:hAnsi="Arial" w:cs="Arial"/>
          <w:i/>
          <w:sz w:val="24"/>
          <w:szCs w:val="24"/>
          <w:lang w:val="en-ZA"/>
        </w:rPr>
        <w:t>casu</w:t>
      </w:r>
      <w:proofErr w:type="spellEnd"/>
      <w:r w:rsidR="00D50AD4">
        <w:rPr>
          <w:rFonts w:ascii="Arial" w:eastAsia="Calibri" w:hAnsi="Arial" w:cs="Arial"/>
          <w:sz w:val="24"/>
          <w:szCs w:val="24"/>
          <w:lang w:val="en-ZA"/>
        </w:rPr>
        <w:t>, second respondent in refusing and/or failing t</w:t>
      </w:r>
      <w:r w:rsidR="00086078">
        <w:rPr>
          <w:rFonts w:ascii="Arial" w:eastAsia="Calibri" w:hAnsi="Arial" w:cs="Arial"/>
          <w:sz w:val="24"/>
          <w:szCs w:val="24"/>
          <w:lang w:val="en-ZA"/>
        </w:rPr>
        <w:t>o</w:t>
      </w:r>
      <w:r w:rsidR="00D50AD4">
        <w:rPr>
          <w:rFonts w:ascii="Arial" w:eastAsia="Calibri" w:hAnsi="Arial" w:cs="Arial"/>
          <w:sz w:val="24"/>
          <w:szCs w:val="24"/>
          <w:lang w:val="en-ZA"/>
        </w:rPr>
        <w:t xml:space="preserve"> make a recommendation to</w:t>
      </w:r>
      <w:r w:rsidR="00086078">
        <w:rPr>
          <w:rFonts w:ascii="Arial" w:eastAsia="Calibri" w:hAnsi="Arial" w:cs="Arial"/>
          <w:sz w:val="24"/>
          <w:szCs w:val="24"/>
          <w:lang w:val="en-ZA"/>
        </w:rPr>
        <w:t xml:space="preserve"> the first respondent, adopted </w:t>
      </w:r>
      <w:r w:rsidR="00D50AD4">
        <w:rPr>
          <w:rFonts w:ascii="Arial" w:eastAsia="Calibri" w:hAnsi="Arial" w:cs="Arial"/>
          <w:sz w:val="24"/>
          <w:szCs w:val="24"/>
          <w:lang w:val="en-ZA"/>
        </w:rPr>
        <w:t>means</w:t>
      </w:r>
      <w:r w:rsidR="00086078">
        <w:rPr>
          <w:rFonts w:ascii="Arial" w:eastAsia="Calibri" w:hAnsi="Arial" w:cs="Arial"/>
          <w:sz w:val="24"/>
          <w:szCs w:val="24"/>
          <w:lang w:val="en-ZA"/>
        </w:rPr>
        <w:t>/</w:t>
      </w:r>
      <w:r w:rsidR="00D50AD4">
        <w:rPr>
          <w:rFonts w:ascii="Arial" w:eastAsia="Calibri" w:hAnsi="Arial" w:cs="Arial"/>
          <w:sz w:val="24"/>
          <w:szCs w:val="24"/>
          <w:lang w:val="en-ZA"/>
        </w:rPr>
        <w:t xml:space="preserve"> considerations, that are not only at odds with the power conferred on him, but also arrived at a decision which is not related to the purpose for which the</w:t>
      </w:r>
      <w:r w:rsidR="003A58BF">
        <w:rPr>
          <w:rFonts w:ascii="Arial" w:eastAsia="Calibri" w:hAnsi="Arial" w:cs="Arial"/>
          <w:sz w:val="24"/>
          <w:szCs w:val="24"/>
          <w:lang w:val="en-ZA"/>
        </w:rPr>
        <w:t xml:space="preserve"> power was conferred on him. He</w:t>
      </w:r>
      <w:r w:rsidR="00D50AD4">
        <w:rPr>
          <w:rFonts w:ascii="Arial" w:eastAsia="Calibri" w:hAnsi="Arial" w:cs="Arial"/>
          <w:sz w:val="24"/>
          <w:szCs w:val="24"/>
          <w:lang w:val="en-ZA"/>
        </w:rPr>
        <w:t xml:space="preserve"> therefore arrived at an </w:t>
      </w:r>
      <w:r w:rsidR="005B2769">
        <w:rPr>
          <w:rFonts w:ascii="Arial" w:eastAsia="Calibri" w:hAnsi="Arial" w:cs="Arial"/>
          <w:sz w:val="24"/>
          <w:szCs w:val="24"/>
          <w:lang w:val="en-ZA"/>
        </w:rPr>
        <w:t>arbitrary</w:t>
      </w:r>
      <w:r w:rsidR="00D50AD4">
        <w:rPr>
          <w:rFonts w:ascii="Arial" w:eastAsia="Calibri" w:hAnsi="Arial" w:cs="Arial"/>
          <w:sz w:val="24"/>
          <w:szCs w:val="24"/>
          <w:lang w:val="en-ZA"/>
        </w:rPr>
        <w:t xml:space="preserve"> decision, contrary to the principle of legality which is an incident of the rule of law. </w:t>
      </w:r>
    </w:p>
    <w:p w:rsidR="000C5174" w:rsidRDefault="000C5174" w:rsidP="00160CC3">
      <w:pPr>
        <w:spacing w:line="360" w:lineRule="auto"/>
        <w:jc w:val="both"/>
        <w:rPr>
          <w:rFonts w:ascii="Arial" w:eastAsia="Calibri" w:hAnsi="Arial" w:cs="Arial"/>
          <w:sz w:val="24"/>
          <w:szCs w:val="24"/>
          <w:lang w:val="en-ZA"/>
        </w:rPr>
      </w:pPr>
    </w:p>
    <w:p w:rsidR="000C5174" w:rsidRDefault="006164F3" w:rsidP="006164F3">
      <w:pPr>
        <w:spacing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w:t>
      </w:r>
      <w:r w:rsidR="003A58BF">
        <w:rPr>
          <w:rFonts w:ascii="Arial" w:eastAsia="Calibri" w:hAnsi="Arial" w:cs="Arial"/>
          <w:sz w:val="24"/>
          <w:szCs w:val="24"/>
          <w:lang w:val="en-ZA"/>
        </w:rPr>
        <w:t>3</w:t>
      </w:r>
      <w:r w:rsidR="006B577D">
        <w:rPr>
          <w:rFonts w:ascii="Arial" w:eastAsia="Calibri" w:hAnsi="Arial" w:cs="Arial"/>
          <w:sz w:val="24"/>
          <w:szCs w:val="24"/>
          <w:lang w:val="en-ZA"/>
        </w:rPr>
        <w:t>7</w:t>
      </w:r>
      <w:r>
        <w:rPr>
          <w:rFonts w:ascii="Arial" w:eastAsia="Calibri" w:hAnsi="Arial" w:cs="Arial"/>
          <w:sz w:val="24"/>
          <w:szCs w:val="24"/>
          <w:lang w:val="en-ZA"/>
        </w:rPr>
        <w:t>]</w:t>
      </w:r>
      <w:r>
        <w:rPr>
          <w:rFonts w:ascii="Arial" w:eastAsia="Calibri" w:hAnsi="Arial" w:cs="Arial"/>
          <w:sz w:val="24"/>
          <w:szCs w:val="24"/>
          <w:lang w:val="en-ZA"/>
        </w:rPr>
        <w:tab/>
        <w:t xml:space="preserve">The second ground of review is that the second respondent failed to accord the applicant an opportunity to make representation (to be heard) before he made an adverse decision against the applicant. </w:t>
      </w:r>
    </w:p>
    <w:p w:rsidR="00D74A93" w:rsidRDefault="00D74A93" w:rsidP="006164F3">
      <w:pPr>
        <w:spacing w:line="360" w:lineRule="auto"/>
        <w:jc w:val="both"/>
        <w:rPr>
          <w:rFonts w:ascii="Arial" w:eastAsia="Calibri" w:hAnsi="Arial" w:cs="Arial"/>
          <w:sz w:val="24"/>
          <w:szCs w:val="24"/>
          <w:lang w:val="en-ZA"/>
        </w:rPr>
      </w:pPr>
    </w:p>
    <w:p w:rsidR="006164F3" w:rsidRDefault="006164F3" w:rsidP="00160CC3">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3</w:t>
      </w:r>
      <w:r w:rsidR="006B577D">
        <w:rPr>
          <w:rFonts w:ascii="Arial" w:eastAsia="Calibri" w:hAnsi="Arial" w:cs="Arial"/>
          <w:sz w:val="24"/>
          <w:szCs w:val="24"/>
          <w:lang w:val="en-ZA"/>
        </w:rPr>
        <w:t>8</w:t>
      </w:r>
      <w:r>
        <w:rPr>
          <w:rFonts w:ascii="Arial" w:eastAsia="Calibri" w:hAnsi="Arial" w:cs="Arial"/>
          <w:sz w:val="24"/>
          <w:szCs w:val="24"/>
          <w:lang w:val="en-ZA"/>
        </w:rPr>
        <w:t>]</w:t>
      </w:r>
      <w:r>
        <w:rPr>
          <w:rFonts w:ascii="Arial" w:eastAsia="Calibri" w:hAnsi="Arial" w:cs="Arial"/>
          <w:sz w:val="24"/>
          <w:szCs w:val="24"/>
          <w:lang w:val="en-ZA"/>
        </w:rPr>
        <w:tab/>
      </w:r>
      <w:r w:rsidR="009D17B3">
        <w:rPr>
          <w:rFonts w:ascii="Arial" w:eastAsia="Calibri" w:hAnsi="Arial" w:cs="Arial"/>
          <w:sz w:val="24"/>
          <w:szCs w:val="24"/>
          <w:lang w:val="en-ZA"/>
        </w:rPr>
        <w:t xml:space="preserve">The third ground is that the second respondent failed and/or refused to give reasons after taking an adverse decision against the applicant. </w:t>
      </w:r>
    </w:p>
    <w:p w:rsidR="000C5174" w:rsidRDefault="000C5174" w:rsidP="00160CC3">
      <w:pPr>
        <w:spacing w:line="360" w:lineRule="auto"/>
        <w:jc w:val="both"/>
        <w:rPr>
          <w:rFonts w:ascii="Arial" w:eastAsia="Calibri" w:hAnsi="Arial" w:cs="Arial"/>
          <w:sz w:val="24"/>
          <w:szCs w:val="24"/>
          <w:lang w:val="en-ZA"/>
        </w:rPr>
      </w:pPr>
    </w:p>
    <w:p w:rsidR="00881D09" w:rsidRPr="007B4312" w:rsidRDefault="003A09B3" w:rsidP="00881D09">
      <w:pPr>
        <w:spacing w:after="0" w:line="360" w:lineRule="auto"/>
        <w:jc w:val="both"/>
        <w:rPr>
          <w:rFonts w:ascii="Arial"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3</w:t>
      </w:r>
      <w:r w:rsidR="006B577D">
        <w:rPr>
          <w:rFonts w:ascii="Arial" w:eastAsia="Calibri" w:hAnsi="Arial" w:cs="Arial"/>
          <w:sz w:val="24"/>
          <w:szCs w:val="24"/>
          <w:lang w:val="en-ZA"/>
        </w:rPr>
        <w:t>9</w:t>
      </w:r>
      <w:r>
        <w:rPr>
          <w:rFonts w:ascii="Arial" w:eastAsia="Calibri" w:hAnsi="Arial" w:cs="Arial"/>
          <w:sz w:val="24"/>
          <w:szCs w:val="24"/>
          <w:lang w:val="en-ZA"/>
        </w:rPr>
        <w:t>]</w:t>
      </w:r>
      <w:r>
        <w:rPr>
          <w:rFonts w:ascii="Arial" w:eastAsia="Calibri" w:hAnsi="Arial" w:cs="Arial"/>
          <w:sz w:val="24"/>
          <w:szCs w:val="24"/>
          <w:lang w:val="en-ZA"/>
        </w:rPr>
        <w:tab/>
        <w:t xml:space="preserve">Mr Namandje argues that the applicant is not entitled to the review and the structural mandamus order he is seeking. </w:t>
      </w:r>
      <w:r w:rsidR="00D1076E">
        <w:rPr>
          <w:rFonts w:ascii="Arial" w:eastAsia="Calibri" w:hAnsi="Arial" w:cs="Arial"/>
          <w:sz w:val="24"/>
          <w:szCs w:val="24"/>
          <w:lang w:val="en-ZA"/>
        </w:rPr>
        <w:t>He submits that the second respondent, being a medical officer, is entitl</w:t>
      </w:r>
      <w:r w:rsidR="00D74A93">
        <w:rPr>
          <w:rFonts w:ascii="Arial" w:eastAsia="Calibri" w:hAnsi="Arial" w:cs="Arial"/>
          <w:sz w:val="24"/>
          <w:szCs w:val="24"/>
          <w:lang w:val="en-ZA"/>
        </w:rPr>
        <w:t>ed within the context of s</w:t>
      </w:r>
      <w:r w:rsidR="00D1076E">
        <w:rPr>
          <w:rFonts w:ascii="Arial" w:eastAsia="Calibri" w:hAnsi="Arial" w:cs="Arial"/>
          <w:sz w:val="24"/>
          <w:szCs w:val="24"/>
          <w:lang w:val="en-ZA"/>
        </w:rPr>
        <w:t xml:space="preserve"> 109 to determine whether or not a recommendation must be made with due reg</w:t>
      </w:r>
      <w:r w:rsidR="00E01F29">
        <w:rPr>
          <w:rFonts w:ascii="Arial" w:eastAsia="Calibri" w:hAnsi="Arial" w:cs="Arial"/>
          <w:sz w:val="24"/>
          <w:szCs w:val="24"/>
          <w:lang w:val="en-ZA"/>
        </w:rPr>
        <w:t>ard to the provisions of s</w:t>
      </w:r>
      <w:r w:rsidR="00D1076E">
        <w:rPr>
          <w:rFonts w:ascii="Arial" w:eastAsia="Calibri" w:hAnsi="Arial" w:cs="Arial"/>
          <w:sz w:val="24"/>
          <w:szCs w:val="24"/>
          <w:lang w:val="en-ZA"/>
        </w:rPr>
        <w:t xml:space="preserve"> 109</w:t>
      </w:r>
      <w:r w:rsidR="00086078">
        <w:rPr>
          <w:rFonts w:ascii="Arial" w:eastAsia="Calibri" w:hAnsi="Arial" w:cs="Arial"/>
          <w:sz w:val="24"/>
          <w:szCs w:val="24"/>
          <w:lang w:val="en-ZA"/>
        </w:rPr>
        <w:t>.</w:t>
      </w:r>
      <w:r w:rsidR="00D1076E">
        <w:rPr>
          <w:rFonts w:ascii="Arial" w:eastAsia="Calibri" w:hAnsi="Arial" w:cs="Arial"/>
          <w:sz w:val="24"/>
          <w:szCs w:val="24"/>
          <w:lang w:val="en-ZA"/>
        </w:rPr>
        <w:t xml:space="preserve"> He submits that to argue that there is no discretion, is untenable. </w:t>
      </w:r>
      <w:r w:rsidR="00086078">
        <w:rPr>
          <w:rFonts w:ascii="Arial" w:eastAsia="Calibri" w:hAnsi="Arial" w:cs="Arial"/>
          <w:sz w:val="24"/>
          <w:szCs w:val="24"/>
          <w:lang w:val="en-ZA"/>
        </w:rPr>
        <w:t>He argues</w:t>
      </w:r>
      <w:r w:rsidR="006164F3">
        <w:rPr>
          <w:rFonts w:ascii="Arial" w:eastAsia="Calibri" w:hAnsi="Arial" w:cs="Arial"/>
          <w:sz w:val="24"/>
          <w:szCs w:val="24"/>
          <w:lang w:val="en-ZA"/>
        </w:rPr>
        <w:t xml:space="preserve"> that the default position of the applicant is that his is lawfully detained by order of this court to be incarcerated and to serve his term of imprisonment</w:t>
      </w:r>
      <w:r w:rsidR="00086078">
        <w:rPr>
          <w:rFonts w:ascii="Arial" w:eastAsia="Calibri" w:hAnsi="Arial" w:cs="Arial"/>
          <w:sz w:val="24"/>
          <w:szCs w:val="24"/>
          <w:lang w:val="en-ZA"/>
        </w:rPr>
        <w:t>.</w:t>
      </w:r>
      <w:r w:rsidR="00881D09">
        <w:rPr>
          <w:rFonts w:ascii="Arial" w:hAnsi="Arial" w:cs="Arial"/>
          <w:sz w:val="24"/>
          <w:szCs w:val="24"/>
          <w:lang w:val="en-ZA"/>
        </w:rPr>
        <w:t xml:space="preserve"> Mr Namandje argue</w:t>
      </w:r>
      <w:r w:rsidR="00086078">
        <w:rPr>
          <w:rFonts w:ascii="Arial" w:hAnsi="Arial" w:cs="Arial"/>
          <w:sz w:val="24"/>
          <w:szCs w:val="24"/>
          <w:lang w:val="en-ZA"/>
        </w:rPr>
        <w:t>s t</w:t>
      </w:r>
      <w:r w:rsidR="00D74A93">
        <w:rPr>
          <w:rFonts w:ascii="Arial" w:hAnsi="Arial" w:cs="Arial"/>
          <w:sz w:val="24"/>
          <w:szCs w:val="24"/>
          <w:lang w:val="en-ZA"/>
        </w:rPr>
        <w:t xml:space="preserve">hat the interpretation of </w:t>
      </w:r>
      <w:proofErr w:type="spellStart"/>
      <w:r w:rsidR="00D74A93">
        <w:rPr>
          <w:rFonts w:ascii="Arial" w:hAnsi="Arial" w:cs="Arial"/>
          <w:sz w:val="24"/>
          <w:szCs w:val="24"/>
          <w:lang w:val="en-ZA"/>
        </w:rPr>
        <w:t>s</w:t>
      </w:r>
      <w:r w:rsidR="00E01F29">
        <w:rPr>
          <w:rFonts w:ascii="Arial" w:hAnsi="Arial" w:cs="Arial"/>
          <w:sz w:val="24"/>
          <w:szCs w:val="24"/>
          <w:lang w:val="en-ZA"/>
        </w:rPr>
        <w:t>s</w:t>
      </w:r>
      <w:proofErr w:type="spellEnd"/>
      <w:r w:rsidR="003A58BF">
        <w:rPr>
          <w:rFonts w:ascii="Arial" w:hAnsi="Arial" w:cs="Arial"/>
          <w:sz w:val="24"/>
          <w:szCs w:val="24"/>
          <w:lang w:val="en-ZA"/>
        </w:rPr>
        <w:t xml:space="preserve"> 109</w:t>
      </w:r>
      <w:r w:rsidR="00086078" w:rsidRPr="00D74A93">
        <w:rPr>
          <w:rFonts w:ascii="Arial" w:hAnsi="Arial" w:cs="Arial"/>
          <w:i/>
          <w:sz w:val="24"/>
          <w:szCs w:val="24"/>
          <w:lang w:val="en-ZA"/>
        </w:rPr>
        <w:t>(a)</w:t>
      </w:r>
      <w:r w:rsidR="00086078">
        <w:rPr>
          <w:rFonts w:ascii="Arial" w:hAnsi="Arial" w:cs="Arial"/>
          <w:sz w:val="24"/>
          <w:szCs w:val="24"/>
          <w:lang w:val="en-ZA"/>
        </w:rPr>
        <w:t xml:space="preserve"> and (b) as proposed by the applicants cannot be correct and argued that the word ‘or’</w:t>
      </w:r>
      <w:r w:rsidR="00881D09">
        <w:rPr>
          <w:rFonts w:ascii="Arial" w:hAnsi="Arial" w:cs="Arial"/>
          <w:sz w:val="24"/>
          <w:szCs w:val="24"/>
          <w:lang w:val="en-ZA"/>
        </w:rPr>
        <w:t xml:space="preserve"> as it </w:t>
      </w:r>
      <w:r w:rsidR="00D74A93">
        <w:rPr>
          <w:rFonts w:ascii="Arial" w:hAnsi="Arial" w:cs="Arial"/>
          <w:sz w:val="24"/>
          <w:szCs w:val="24"/>
          <w:lang w:val="en-ZA"/>
        </w:rPr>
        <w:t xml:space="preserve">appears between </w:t>
      </w:r>
      <w:proofErr w:type="spellStart"/>
      <w:r w:rsidR="00D74A93">
        <w:rPr>
          <w:rFonts w:ascii="Arial" w:hAnsi="Arial" w:cs="Arial"/>
          <w:sz w:val="24"/>
          <w:szCs w:val="24"/>
          <w:lang w:val="en-ZA"/>
        </w:rPr>
        <w:t>s</w:t>
      </w:r>
      <w:r w:rsidR="003A58BF">
        <w:rPr>
          <w:rFonts w:ascii="Arial" w:hAnsi="Arial" w:cs="Arial"/>
          <w:sz w:val="24"/>
          <w:szCs w:val="24"/>
          <w:lang w:val="en-ZA"/>
        </w:rPr>
        <w:t>s</w:t>
      </w:r>
      <w:proofErr w:type="spellEnd"/>
      <w:r w:rsidR="003A58BF">
        <w:rPr>
          <w:rFonts w:ascii="Arial" w:hAnsi="Arial" w:cs="Arial"/>
          <w:sz w:val="24"/>
          <w:szCs w:val="24"/>
          <w:lang w:val="en-ZA"/>
        </w:rPr>
        <w:t xml:space="preserve"> 109</w:t>
      </w:r>
      <w:r w:rsidR="00881D09">
        <w:rPr>
          <w:rFonts w:ascii="Arial" w:hAnsi="Arial" w:cs="Arial"/>
          <w:sz w:val="24"/>
          <w:szCs w:val="24"/>
          <w:lang w:val="en-ZA"/>
        </w:rPr>
        <w:t>(</w:t>
      </w:r>
      <w:r w:rsidR="00881D09" w:rsidRPr="00B81FED">
        <w:rPr>
          <w:rFonts w:ascii="Arial" w:hAnsi="Arial" w:cs="Arial"/>
          <w:i/>
          <w:sz w:val="24"/>
          <w:szCs w:val="24"/>
          <w:lang w:val="en-ZA"/>
        </w:rPr>
        <w:t>a</w:t>
      </w:r>
      <w:r w:rsidR="00881D09">
        <w:rPr>
          <w:rFonts w:ascii="Arial" w:hAnsi="Arial" w:cs="Arial"/>
          <w:sz w:val="24"/>
          <w:szCs w:val="24"/>
          <w:lang w:val="en-ZA"/>
        </w:rPr>
        <w:t>) and (</w:t>
      </w:r>
      <w:r w:rsidR="00881D09" w:rsidRPr="00B81FED">
        <w:rPr>
          <w:rFonts w:ascii="Arial" w:hAnsi="Arial" w:cs="Arial"/>
          <w:i/>
          <w:sz w:val="24"/>
          <w:szCs w:val="24"/>
          <w:lang w:val="en-ZA"/>
        </w:rPr>
        <w:t>b</w:t>
      </w:r>
      <w:r w:rsidR="00881D09">
        <w:rPr>
          <w:rFonts w:ascii="Arial" w:hAnsi="Arial" w:cs="Arial"/>
          <w:sz w:val="24"/>
          <w:szCs w:val="24"/>
          <w:lang w:val="en-ZA"/>
        </w:rPr>
        <w:t xml:space="preserve">) should be interpreted as a conjunctive and not a disjunctive. </w:t>
      </w:r>
    </w:p>
    <w:p w:rsidR="00881D09" w:rsidRDefault="00881D09" w:rsidP="00160CC3">
      <w:pPr>
        <w:spacing w:line="360" w:lineRule="auto"/>
        <w:jc w:val="both"/>
        <w:rPr>
          <w:rFonts w:ascii="Arial" w:eastAsia="Calibri" w:hAnsi="Arial" w:cs="Arial"/>
          <w:sz w:val="24"/>
          <w:szCs w:val="24"/>
          <w:lang w:val="en-ZA"/>
        </w:rPr>
      </w:pPr>
    </w:p>
    <w:p w:rsidR="009D17B3" w:rsidRDefault="003F5158" w:rsidP="00160CC3">
      <w:pPr>
        <w:spacing w:line="360" w:lineRule="auto"/>
        <w:jc w:val="both"/>
        <w:rPr>
          <w:rFonts w:ascii="Arial" w:eastAsia="Calibri" w:hAnsi="Arial" w:cs="Arial"/>
          <w:sz w:val="24"/>
          <w:szCs w:val="24"/>
          <w:u w:val="single"/>
          <w:lang w:val="en-ZA"/>
        </w:rPr>
      </w:pPr>
      <w:r w:rsidRPr="00086078">
        <w:rPr>
          <w:rFonts w:ascii="Arial" w:eastAsia="Calibri" w:hAnsi="Arial" w:cs="Arial"/>
          <w:sz w:val="24"/>
          <w:szCs w:val="24"/>
          <w:u w:val="single"/>
          <w:lang w:val="en-ZA"/>
        </w:rPr>
        <w:t>Discussion</w:t>
      </w:r>
    </w:p>
    <w:p w:rsidR="00D74A93" w:rsidRPr="00086078" w:rsidRDefault="00D74A93" w:rsidP="00160CC3">
      <w:pPr>
        <w:spacing w:line="360" w:lineRule="auto"/>
        <w:jc w:val="both"/>
        <w:rPr>
          <w:rFonts w:ascii="Arial" w:eastAsia="Calibri" w:hAnsi="Arial" w:cs="Arial"/>
          <w:sz w:val="24"/>
          <w:szCs w:val="24"/>
          <w:u w:val="single"/>
          <w:lang w:val="en-ZA"/>
        </w:rPr>
      </w:pPr>
    </w:p>
    <w:p w:rsidR="003A09B3" w:rsidRDefault="009D17B3" w:rsidP="00160CC3">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6B577D">
        <w:rPr>
          <w:rFonts w:ascii="Arial" w:eastAsia="Calibri" w:hAnsi="Arial" w:cs="Arial"/>
          <w:sz w:val="24"/>
          <w:szCs w:val="24"/>
          <w:lang w:val="en-ZA"/>
        </w:rPr>
        <w:t>40</w:t>
      </w:r>
      <w:r>
        <w:rPr>
          <w:rFonts w:ascii="Arial" w:eastAsia="Calibri" w:hAnsi="Arial" w:cs="Arial"/>
          <w:sz w:val="24"/>
          <w:szCs w:val="24"/>
          <w:lang w:val="en-ZA"/>
        </w:rPr>
        <w:t>]</w:t>
      </w:r>
      <w:r>
        <w:rPr>
          <w:rFonts w:ascii="Arial" w:eastAsia="Calibri" w:hAnsi="Arial" w:cs="Arial"/>
          <w:sz w:val="24"/>
          <w:szCs w:val="24"/>
          <w:lang w:val="en-ZA"/>
        </w:rPr>
        <w:tab/>
        <w:t xml:space="preserve">The applicant is seeking an order that the second respondent be ordered to fully comply with </w:t>
      </w:r>
      <w:r w:rsidR="00BF6975">
        <w:rPr>
          <w:rFonts w:ascii="Arial" w:eastAsia="Calibri" w:hAnsi="Arial" w:cs="Arial"/>
          <w:sz w:val="24"/>
          <w:szCs w:val="24"/>
          <w:lang w:val="en-ZA"/>
        </w:rPr>
        <w:t xml:space="preserve">order </w:t>
      </w:r>
      <w:r w:rsidR="00E01F29">
        <w:rPr>
          <w:rFonts w:ascii="Arial" w:eastAsia="Calibri" w:hAnsi="Arial" w:cs="Arial"/>
          <w:sz w:val="24"/>
          <w:szCs w:val="24"/>
          <w:lang w:val="en-ZA"/>
        </w:rPr>
        <w:t>4</w:t>
      </w:r>
      <w:r w:rsidR="00BF6975">
        <w:rPr>
          <w:rFonts w:ascii="Arial" w:eastAsia="Calibri" w:hAnsi="Arial" w:cs="Arial"/>
          <w:sz w:val="24"/>
          <w:szCs w:val="24"/>
          <w:lang w:val="en-ZA"/>
        </w:rPr>
        <w:t xml:space="preserve"> of the </w:t>
      </w:r>
      <w:r w:rsidR="00086078">
        <w:rPr>
          <w:rFonts w:ascii="Arial" w:eastAsia="Calibri" w:hAnsi="Arial" w:cs="Arial"/>
          <w:sz w:val="24"/>
          <w:szCs w:val="24"/>
          <w:lang w:val="en-ZA"/>
        </w:rPr>
        <w:t xml:space="preserve">court </w:t>
      </w:r>
      <w:r w:rsidR="00BF6975">
        <w:rPr>
          <w:rFonts w:ascii="Arial" w:eastAsia="Calibri" w:hAnsi="Arial" w:cs="Arial"/>
          <w:sz w:val="24"/>
          <w:szCs w:val="24"/>
          <w:lang w:val="en-ZA"/>
        </w:rPr>
        <w:t>order granted of</w:t>
      </w:r>
      <w:r>
        <w:rPr>
          <w:rFonts w:ascii="Arial" w:eastAsia="Calibri" w:hAnsi="Arial" w:cs="Arial"/>
          <w:sz w:val="24"/>
          <w:szCs w:val="24"/>
          <w:lang w:val="en-ZA"/>
        </w:rPr>
        <w:t xml:space="preserve"> 14 November 202</w:t>
      </w:r>
      <w:r w:rsidR="00BF6975">
        <w:rPr>
          <w:rFonts w:ascii="Arial" w:eastAsia="Calibri" w:hAnsi="Arial" w:cs="Arial"/>
          <w:sz w:val="24"/>
          <w:szCs w:val="24"/>
          <w:lang w:val="en-ZA"/>
        </w:rPr>
        <w:t>2 by making a recommendation to first respondent to authorise the release of the applicant as contemplated by s 109</w:t>
      </w:r>
      <w:r w:rsidR="0004238C" w:rsidRPr="0004238C">
        <w:rPr>
          <w:rFonts w:ascii="Arial" w:eastAsia="Calibri" w:hAnsi="Arial" w:cs="Arial"/>
          <w:i/>
          <w:sz w:val="24"/>
          <w:szCs w:val="24"/>
          <w:lang w:val="en-ZA"/>
        </w:rPr>
        <w:t>(a)</w:t>
      </w:r>
      <w:r w:rsidR="00BF6975">
        <w:rPr>
          <w:rFonts w:ascii="Arial" w:eastAsia="Calibri" w:hAnsi="Arial" w:cs="Arial"/>
          <w:sz w:val="24"/>
          <w:szCs w:val="24"/>
          <w:lang w:val="en-ZA"/>
        </w:rPr>
        <w:t xml:space="preserve"> of the Act within 3 calendar days of this order. </w:t>
      </w:r>
      <w:r w:rsidR="00A952C9">
        <w:rPr>
          <w:rFonts w:ascii="Arial" w:eastAsia="Calibri" w:hAnsi="Arial" w:cs="Arial"/>
          <w:sz w:val="24"/>
          <w:szCs w:val="24"/>
          <w:lang w:val="en-ZA"/>
        </w:rPr>
        <w:t xml:space="preserve">The prayer pre-supposes that the second respondent did not fully comply with the order in question. </w:t>
      </w:r>
      <w:r w:rsidR="00BF6975">
        <w:rPr>
          <w:rFonts w:ascii="Arial" w:eastAsia="Calibri" w:hAnsi="Arial" w:cs="Arial"/>
          <w:sz w:val="24"/>
          <w:szCs w:val="24"/>
          <w:lang w:val="en-ZA"/>
        </w:rPr>
        <w:t xml:space="preserve">It is common </w:t>
      </w:r>
      <w:proofErr w:type="gramStart"/>
      <w:r w:rsidR="00BF6975">
        <w:rPr>
          <w:rFonts w:ascii="Arial" w:eastAsia="Calibri" w:hAnsi="Arial" w:cs="Arial"/>
          <w:sz w:val="24"/>
          <w:szCs w:val="24"/>
          <w:lang w:val="en-ZA"/>
        </w:rPr>
        <w:t>cause</w:t>
      </w:r>
      <w:proofErr w:type="gramEnd"/>
      <w:r w:rsidR="00BF6975">
        <w:rPr>
          <w:rFonts w:ascii="Arial" w:eastAsia="Calibri" w:hAnsi="Arial" w:cs="Arial"/>
          <w:sz w:val="24"/>
          <w:szCs w:val="24"/>
          <w:lang w:val="en-ZA"/>
        </w:rPr>
        <w:t xml:space="preserve"> as already stated that the second respondent did not make a recommendation</w:t>
      </w:r>
      <w:r w:rsidR="00A952C9">
        <w:rPr>
          <w:rFonts w:ascii="Arial" w:eastAsia="Calibri" w:hAnsi="Arial" w:cs="Arial"/>
          <w:sz w:val="24"/>
          <w:szCs w:val="24"/>
          <w:lang w:val="en-ZA"/>
        </w:rPr>
        <w:t xml:space="preserve"> </w:t>
      </w:r>
      <w:r w:rsidR="000C5174">
        <w:rPr>
          <w:rFonts w:ascii="Arial" w:eastAsia="Calibri" w:hAnsi="Arial" w:cs="Arial"/>
          <w:sz w:val="24"/>
          <w:szCs w:val="24"/>
          <w:lang w:val="en-ZA"/>
        </w:rPr>
        <w:t>as he held the view that he has a discretion. T</w:t>
      </w:r>
      <w:r w:rsidR="00A952C9">
        <w:rPr>
          <w:rFonts w:ascii="Arial" w:eastAsia="Calibri" w:hAnsi="Arial" w:cs="Arial"/>
          <w:sz w:val="24"/>
          <w:szCs w:val="24"/>
          <w:lang w:val="en-ZA"/>
        </w:rPr>
        <w:t xml:space="preserve">he question is did he fail to comply with the court order by not recommending the release of the applicant to the </w:t>
      </w:r>
      <w:r w:rsidR="00A952C9">
        <w:rPr>
          <w:rFonts w:ascii="Arial" w:eastAsia="Calibri" w:hAnsi="Arial" w:cs="Arial"/>
          <w:sz w:val="24"/>
          <w:szCs w:val="24"/>
          <w:lang w:val="en-ZA"/>
        </w:rPr>
        <w:lastRenderedPageBreak/>
        <w:t>first respondent</w:t>
      </w:r>
      <w:r w:rsidR="00BF6975">
        <w:rPr>
          <w:rFonts w:ascii="Arial" w:eastAsia="Calibri" w:hAnsi="Arial" w:cs="Arial"/>
          <w:sz w:val="24"/>
          <w:szCs w:val="24"/>
          <w:lang w:val="en-ZA"/>
        </w:rPr>
        <w:t xml:space="preserve">. </w:t>
      </w:r>
      <w:r w:rsidR="00A952C9">
        <w:rPr>
          <w:rFonts w:ascii="Arial" w:eastAsia="Calibri" w:hAnsi="Arial" w:cs="Arial"/>
          <w:sz w:val="24"/>
          <w:szCs w:val="24"/>
          <w:lang w:val="en-ZA"/>
        </w:rPr>
        <w:t xml:space="preserve">A further </w:t>
      </w:r>
      <w:r w:rsidR="00881D09">
        <w:rPr>
          <w:rFonts w:ascii="Arial" w:eastAsia="Calibri" w:hAnsi="Arial" w:cs="Arial"/>
          <w:sz w:val="24"/>
          <w:szCs w:val="24"/>
          <w:lang w:val="en-ZA"/>
        </w:rPr>
        <w:t xml:space="preserve">question is whether his decision not to recommend was arbitrary unreasonable irrational and/or caprice and an affront to the jurisdictional facts of s 109. </w:t>
      </w:r>
    </w:p>
    <w:p w:rsidR="000C5174" w:rsidRPr="00D74A93" w:rsidRDefault="000C5174" w:rsidP="00160CC3">
      <w:pPr>
        <w:spacing w:line="360" w:lineRule="auto"/>
        <w:jc w:val="both"/>
        <w:rPr>
          <w:rFonts w:ascii="Arial" w:eastAsia="Calibri" w:hAnsi="Arial" w:cs="Arial"/>
          <w:b/>
          <w:sz w:val="24"/>
          <w:szCs w:val="24"/>
          <w:lang w:val="en-ZA"/>
        </w:rPr>
      </w:pPr>
    </w:p>
    <w:p w:rsidR="00881D09" w:rsidRDefault="00881D09" w:rsidP="00E01F29">
      <w:pPr>
        <w:spacing w:line="360" w:lineRule="auto"/>
        <w:jc w:val="both"/>
        <w:rPr>
          <w:rFonts w:ascii="Arial" w:eastAsia="Calibri" w:hAnsi="Arial" w:cs="Arial"/>
          <w:sz w:val="24"/>
          <w:szCs w:val="24"/>
          <w:lang w:val="en-ZA"/>
        </w:rPr>
      </w:pPr>
      <w:r w:rsidRPr="0004238C">
        <w:rPr>
          <w:rFonts w:ascii="Arial" w:eastAsia="Calibri" w:hAnsi="Arial" w:cs="Arial"/>
          <w:sz w:val="24"/>
          <w:szCs w:val="24"/>
          <w:lang w:val="en-ZA"/>
        </w:rPr>
        <w:t>[</w:t>
      </w:r>
      <w:r w:rsidR="00A7143C">
        <w:rPr>
          <w:rFonts w:ascii="Arial" w:eastAsia="Calibri" w:hAnsi="Arial" w:cs="Arial"/>
          <w:sz w:val="24"/>
          <w:szCs w:val="24"/>
          <w:lang w:val="en-ZA"/>
        </w:rPr>
        <w:t>4</w:t>
      </w:r>
      <w:r w:rsidR="006B577D">
        <w:rPr>
          <w:rFonts w:ascii="Arial" w:eastAsia="Calibri" w:hAnsi="Arial" w:cs="Arial"/>
          <w:sz w:val="24"/>
          <w:szCs w:val="24"/>
          <w:lang w:val="en-ZA"/>
        </w:rPr>
        <w:t>1</w:t>
      </w:r>
      <w:r w:rsidRPr="0004238C">
        <w:rPr>
          <w:rFonts w:ascii="Arial" w:eastAsia="Calibri" w:hAnsi="Arial" w:cs="Arial"/>
          <w:sz w:val="24"/>
          <w:szCs w:val="24"/>
          <w:lang w:val="en-ZA"/>
        </w:rPr>
        <w:t>]</w:t>
      </w:r>
      <w:r w:rsidRPr="0004238C">
        <w:rPr>
          <w:rFonts w:ascii="Arial" w:eastAsia="Calibri" w:hAnsi="Arial" w:cs="Arial"/>
          <w:sz w:val="24"/>
          <w:szCs w:val="24"/>
          <w:lang w:val="en-ZA"/>
        </w:rPr>
        <w:tab/>
      </w:r>
      <w:r w:rsidR="00A952C9" w:rsidRPr="0004238C">
        <w:rPr>
          <w:rFonts w:ascii="Arial" w:eastAsia="Calibri" w:hAnsi="Arial" w:cs="Arial"/>
          <w:sz w:val="24"/>
          <w:szCs w:val="24"/>
          <w:lang w:val="en-ZA"/>
        </w:rPr>
        <w:t xml:space="preserve">In </w:t>
      </w:r>
      <w:proofErr w:type="spellStart"/>
      <w:r w:rsidR="00A952C9" w:rsidRPr="0004238C">
        <w:rPr>
          <w:rFonts w:ascii="Arial" w:eastAsia="Calibri" w:hAnsi="Arial" w:cs="Arial"/>
          <w:i/>
          <w:sz w:val="24"/>
          <w:szCs w:val="24"/>
          <w:lang w:val="en-ZA"/>
        </w:rPr>
        <w:t>Swartbooi</w:t>
      </w:r>
      <w:proofErr w:type="spellEnd"/>
      <w:r w:rsidR="00A952C9" w:rsidRPr="0004238C">
        <w:rPr>
          <w:rFonts w:ascii="Arial" w:eastAsia="Calibri" w:hAnsi="Arial" w:cs="Arial"/>
          <w:i/>
          <w:sz w:val="24"/>
          <w:szCs w:val="24"/>
          <w:lang w:val="en-ZA"/>
        </w:rPr>
        <w:t xml:space="preserve"> and Another v Speaker of The National Assembly: </w:t>
      </w:r>
      <w:proofErr w:type="spellStart"/>
      <w:r w:rsidR="00A952C9" w:rsidRPr="0004238C">
        <w:rPr>
          <w:rFonts w:ascii="Arial" w:eastAsia="Calibri" w:hAnsi="Arial" w:cs="Arial"/>
          <w:i/>
          <w:sz w:val="24"/>
          <w:szCs w:val="24"/>
          <w:lang w:val="en-ZA"/>
        </w:rPr>
        <w:t>Katjavivi</w:t>
      </w:r>
      <w:proofErr w:type="spellEnd"/>
      <w:r w:rsidR="00A952C9" w:rsidRPr="0004238C">
        <w:rPr>
          <w:rStyle w:val="FootnoteReference"/>
          <w:rFonts w:ascii="Arial" w:eastAsia="Calibri" w:hAnsi="Arial" w:cs="Arial"/>
          <w:sz w:val="24"/>
          <w:szCs w:val="24"/>
          <w:lang w:val="en-ZA"/>
        </w:rPr>
        <w:footnoteReference w:id="6"/>
      </w:r>
      <w:r w:rsidR="00D74A93" w:rsidRPr="0004238C">
        <w:rPr>
          <w:rFonts w:ascii="Arial" w:eastAsia="Calibri" w:hAnsi="Arial" w:cs="Arial"/>
          <w:sz w:val="24"/>
          <w:szCs w:val="24"/>
          <w:lang w:val="en-ZA"/>
        </w:rPr>
        <w:t xml:space="preserve"> </w:t>
      </w:r>
      <w:r w:rsidR="00A952C9">
        <w:rPr>
          <w:rFonts w:ascii="Arial" w:eastAsia="Calibri" w:hAnsi="Arial" w:cs="Arial"/>
          <w:sz w:val="24"/>
          <w:szCs w:val="24"/>
          <w:lang w:val="en-ZA"/>
        </w:rPr>
        <w:t xml:space="preserve">matter cited by Mr </w:t>
      </w:r>
      <w:proofErr w:type="spellStart"/>
      <w:r w:rsidR="00A952C9">
        <w:rPr>
          <w:rFonts w:ascii="Arial" w:eastAsia="Calibri" w:hAnsi="Arial" w:cs="Arial"/>
          <w:sz w:val="24"/>
          <w:szCs w:val="24"/>
          <w:lang w:val="en-ZA"/>
        </w:rPr>
        <w:t>Muluti</w:t>
      </w:r>
      <w:proofErr w:type="spellEnd"/>
      <w:r w:rsidR="00A952C9">
        <w:rPr>
          <w:rFonts w:ascii="Arial" w:eastAsia="Calibri" w:hAnsi="Arial" w:cs="Arial"/>
          <w:sz w:val="24"/>
          <w:szCs w:val="24"/>
          <w:lang w:val="en-ZA"/>
        </w:rPr>
        <w:t>, the court states as follow:</w:t>
      </w:r>
    </w:p>
    <w:p w:rsidR="00E01F29" w:rsidRDefault="00E01F29" w:rsidP="00E01F29">
      <w:pPr>
        <w:spacing w:line="360" w:lineRule="auto"/>
        <w:jc w:val="both"/>
        <w:rPr>
          <w:rFonts w:ascii="Arial" w:eastAsia="Calibri" w:hAnsi="Arial" w:cs="Arial"/>
          <w:sz w:val="24"/>
          <w:szCs w:val="24"/>
          <w:lang w:val="en-ZA"/>
        </w:rPr>
      </w:pPr>
    </w:p>
    <w:p w:rsidR="00A952C9" w:rsidRPr="00A952C9" w:rsidRDefault="00A952C9" w:rsidP="00E01F29">
      <w:pPr>
        <w:spacing w:line="360" w:lineRule="auto"/>
        <w:jc w:val="both"/>
        <w:rPr>
          <w:rFonts w:ascii="Arial" w:eastAsia="Calibri" w:hAnsi="Arial" w:cs="Arial"/>
          <w:lang w:val="en-ZA"/>
        </w:rPr>
      </w:pPr>
      <w:r>
        <w:rPr>
          <w:rFonts w:ascii="Arial" w:eastAsia="Calibri" w:hAnsi="Arial" w:cs="Arial"/>
          <w:sz w:val="24"/>
          <w:szCs w:val="24"/>
          <w:lang w:val="en-ZA"/>
        </w:rPr>
        <w:tab/>
      </w:r>
      <w:r w:rsidR="003A58BF">
        <w:rPr>
          <w:rFonts w:ascii="Arial" w:eastAsia="Calibri" w:hAnsi="Arial" w:cs="Arial"/>
          <w:sz w:val="24"/>
          <w:szCs w:val="24"/>
          <w:lang w:val="en-ZA"/>
        </w:rPr>
        <w:t>‘</w:t>
      </w:r>
      <w:r w:rsidRPr="00A952C9">
        <w:rPr>
          <w:rFonts w:ascii="Arial" w:eastAsia="Calibri" w:hAnsi="Arial" w:cs="Arial"/>
          <w:lang w:val="en-ZA"/>
        </w:rPr>
        <w:t>[20] The starting point with reference to the statutory setting relevant to this appeal is the Constitution. Article 1(3) establishes at its very outset the principle of separation of powers and the supremacy of the Constitution. The legislative power is under art 44 vested in the National Assembly (to pass laws with the assent of the President and subject to the powers and functions of the National Council).</w:t>
      </w:r>
    </w:p>
    <w:p w:rsidR="0056541C" w:rsidRPr="0056541C" w:rsidRDefault="00A952C9" w:rsidP="00A952C9">
      <w:pPr>
        <w:spacing w:line="360" w:lineRule="auto"/>
        <w:jc w:val="both"/>
        <w:rPr>
          <w:rFonts w:ascii="Arial" w:eastAsia="Calibri" w:hAnsi="Arial" w:cs="Arial"/>
          <w:lang w:val="en-ZA"/>
        </w:rPr>
      </w:pPr>
      <w:r w:rsidRPr="00A952C9">
        <w:rPr>
          <w:rFonts w:ascii="Arial" w:eastAsia="Calibri" w:hAnsi="Arial" w:cs="Arial"/>
          <w:lang w:val="en-ZA"/>
        </w:rPr>
        <w:t xml:space="preserve">[21] Article 1 also makes it plain that the rule of law is a foundational principle of the Constitution. </w:t>
      </w:r>
      <w:r w:rsidRPr="0056541C">
        <w:rPr>
          <w:rFonts w:ascii="Arial" w:eastAsia="Calibri" w:hAnsi="Arial" w:cs="Arial"/>
          <w:u w:val="single"/>
          <w:lang w:val="en-ZA"/>
        </w:rPr>
        <w:t>The doctrine of legality, which is an incident of the rule of law, means that the legislature and executive are constrained by the principle that they may exercise no power and perform no function beyond those conferred upon them by law</w:t>
      </w:r>
      <w:r w:rsidRPr="0056541C">
        <w:rPr>
          <w:rFonts w:ascii="Arial" w:eastAsia="Calibri" w:hAnsi="Arial" w:cs="Arial"/>
          <w:lang w:val="en-ZA"/>
        </w:rPr>
        <w:t>.</w:t>
      </w:r>
      <w:r w:rsidR="003A58BF">
        <w:rPr>
          <w:rFonts w:ascii="Arial" w:eastAsia="Calibri" w:hAnsi="Arial" w:cs="Arial"/>
          <w:lang w:val="en-ZA"/>
        </w:rPr>
        <w:t>’</w:t>
      </w:r>
      <w:r w:rsidRPr="0056541C">
        <w:rPr>
          <w:rFonts w:ascii="Arial" w:eastAsia="Calibri" w:hAnsi="Arial" w:cs="Arial"/>
          <w:lang w:val="en-ZA"/>
        </w:rPr>
        <w:t xml:space="preserve">  </w:t>
      </w:r>
      <w:r w:rsidR="0056541C" w:rsidRPr="0056541C">
        <w:rPr>
          <w:rFonts w:ascii="Arial" w:eastAsia="Calibri" w:hAnsi="Arial" w:cs="Arial"/>
          <w:lang w:val="en-ZA"/>
        </w:rPr>
        <w:t>[</w:t>
      </w:r>
      <w:proofErr w:type="gramStart"/>
      <w:r w:rsidR="0056541C" w:rsidRPr="0056541C">
        <w:rPr>
          <w:rFonts w:ascii="Arial" w:eastAsia="Calibri" w:hAnsi="Arial" w:cs="Arial"/>
          <w:lang w:val="en-ZA"/>
        </w:rPr>
        <w:t>my</w:t>
      </w:r>
      <w:proofErr w:type="gramEnd"/>
      <w:r w:rsidR="0056541C" w:rsidRPr="0056541C">
        <w:rPr>
          <w:rFonts w:ascii="Arial" w:eastAsia="Calibri" w:hAnsi="Arial" w:cs="Arial"/>
          <w:lang w:val="en-ZA"/>
        </w:rPr>
        <w:t xml:space="preserve"> emphasis]</w:t>
      </w:r>
    </w:p>
    <w:p w:rsidR="0056541C" w:rsidRDefault="0056541C" w:rsidP="00A952C9">
      <w:pPr>
        <w:spacing w:line="360" w:lineRule="auto"/>
        <w:jc w:val="both"/>
        <w:rPr>
          <w:rFonts w:ascii="Arial" w:eastAsia="Calibri" w:hAnsi="Arial" w:cs="Arial"/>
          <w:sz w:val="24"/>
          <w:szCs w:val="24"/>
          <w:lang w:val="en-ZA"/>
        </w:rPr>
      </w:pPr>
    </w:p>
    <w:p w:rsidR="0056541C" w:rsidRDefault="0056541C" w:rsidP="00A952C9">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4</w:t>
      </w:r>
      <w:r w:rsidR="006B577D">
        <w:rPr>
          <w:rFonts w:ascii="Arial" w:eastAsia="Calibri" w:hAnsi="Arial" w:cs="Arial"/>
          <w:sz w:val="24"/>
          <w:szCs w:val="24"/>
          <w:lang w:val="en-ZA"/>
        </w:rPr>
        <w:t>2</w:t>
      </w:r>
      <w:r>
        <w:rPr>
          <w:rFonts w:ascii="Arial" w:eastAsia="Calibri" w:hAnsi="Arial" w:cs="Arial"/>
          <w:sz w:val="24"/>
          <w:szCs w:val="24"/>
          <w:lang w:val="en-ZA"/>
        </w:rPr>
        <w:t>]</w:t>
      </w:r>
      <w:r>
        <w:rPr>
          <w:rFonts w:ascii="Arial" w:eastAsia="Calibri" w:hAnsi="Arial" w:cs="Arial"/>
          <w:sz w:val="24"/>
          <w:szCs w:val="24"/>
          <w:lang w:val="en-ZA"/>
        </w:rPr>
        <w:tab/>
        <w:t>The starting</w:t>
      </w:r>
      <w:r w:rsidR="0004238C">
        <w:rPr>
          <w:rFonts w:ascii="Arial" w:eastAsia="Calibri" w:hAnsi="Arial" w:cs="Arial"/>
          <w:sz w:val="24"/>
          <w:szCs w:val="24"/>
          <w:lang w:val="en-ZA"/>
        </w:rPr>
        <w:t xml:space="preserve"> point in this matter is s</w:t>
      </w:r>
      <w:r>
        <w:rPr>
          <w:rFonts w:ascii="Arial" w:eastAsia="Calibri" w:hAnsi="Arial" w:cs="Arial"/>
          <w:sz w:val="24"/>
          <w:szCs w:val="24"/>
          <w:lang w:val="en-ZA"/>
        </w:rPr>
        <w:t xml:space="preserve"> 109 of the Correctional Service Act, 9 of 2012 which reads as follow:</w:t>
      </w:r>
    </w:p>
    <w:p w:rsidR="0056541C" w:rsidRPr="0056541C" w:rsidRDefault="0056541C" w:rsidP="0056541C">
      <w:pPr>
        <w:spacing w:line="360" w:lineRule="auto"/>
        <w:jc w:val="both"/>
        <w:rPr>
          <w:rFonts w:ascii="Arial" w:eastAsia="Calibri" w:hAnsi="Arial" w:cs="Arial"/>
          <w:lang w:val="en-ZA"/>
        </w:rPr>
      </w:pPr>
      <w:r>
        <w:rPr>
          <w:rFonts w:ascii="Arial" w:eastAsia="Calibri" w:hAnsi="Arial" w:cs="Arial"/>
          <w:sz w:val="24"/>
          <w:szCs w:val="24"/>
          <w:lang w:val="en-ZA"/>
        </w:rPr>
        <w:tab/>
        <w:t>‘</w:t>
      </w:r>
      <w:r w:rsidRPr="0056541C">
        <w:rPr>
          <w:rFonts w:ascii="Arial" w:eastAsia="Calibri" w:hAnsi="Arial" w:cs="Arial"/>
          <w:lang w:val="en-ZA"/>
        </w:rPr>
        <w:t>The Minister may, on the recommendation of the medical officer and after consultation with the Commissioner-General, authorise the release from the correctional facility of an offender serving any sentence in a correctional facility and-</w:t>
      </w:r>
    </w:p>
    <w:p w:rsidR="0056541C" w:rsidRPr="0056541C" w:rsidRDefault="0056541C" w:rsidP="0056541C">
      <w:pPr>
        <w:spacing w:line="360" w:lineRule="auto"/>
        <w:jc w:val="both"/>
        <w:rPr>
          <w:rFonts w:ascii="Arial" w:eastAsia="Calibri" w:hAnsi="Arial" w:cs="Arial"/>
          <w:lang w:val="en-ZA"/>
        </w:rPr>
      </w:pPr>
      <w:r w:rsidRPr="0056541C">
        <w:rPr>
          <w:rFonts w:ascii="Arial" w:eastAsia="Calibri" w:hAnsi="Arial" w:cs="Arial"/>
          <w:lang w:val="en-ZA"/>
        </w:rPr>
        <w:tab/>
        <w:t>(a)</w:t>
      </w:r>
      <w:r w:rsidRPr="0056541C">
        <w:rPr>
          <w:rFonts w:ascii="Arial" w:eastAsia="Calibri" w:hAnsi="Arial" w:cs="Arial"/>
          <w:lang w:val="en-ZA"/>
        </w:rPr>
        <w:tab/>
      </w:r>
      <w:proofErr w:type="gramStart"/>
      <w:r w:rsidRPr="0056541C">
        <w:rPr>
          <w:rFonts w:ascii="Arial" w:eastAsia="Calibri" w:hAnsi="Arial" w:cs="Arial"/>
          <w:lang w:val="en-ZA"/>
        </w:rPr>
        <w:t>who</w:t>
      </w:r>
      <w:proofErr w:type="gramEnd"/>
      <w:r w:rsidRPr="0056541C">
        <w:rPr>
          <w:rFonts w:ascii="Arial" w:eastAsia="Calibri" w:hAnsi="Arial" w:cs="Arial"/>
          <w:lang w:val="en-ZA"/>
        </w:rPr>
        <w:t xml:space="preserve"> is suffering from a dangerous, infectious or contagious disease; or</w:t>
      </w:r>
    </w:p>
    <w:p w:rsidR="0056541C" w:rsidRPr="0056541C" w:rsidRDefault="0056541C" w:rsidP="0056541C">
      <w:pPr>
        <w:spacing w:line="360" w:lineRule="auto"/>
        <w:jc w:val="both"/>
        <w:rPr>
          <w:rFonts w:ascii="Arial" w:eastAsia="Calibri" w:hAnsi="Arial" w:cs="Arial"/>
          <w:lang w:val="en-ZA"/>
        </w:rPr>
      </w:pPr>
      <w:r w:rsidRPr="0056541C">
        <w:rPr>
          <w:rFonts w:ascii="Arial" w:eastAsia="Calibri" w:hAnsi="Arial" w:cs="Arial"/>
          <w:lang w:val="en-ZA"/>
        </w:rPr>
        <w:tab/>
        <w:t>(b)</w:t>
      </w:r>
      <w:r w:rsidRPr="0056541C">
        <w:rPr>
          <w:rFonts w:ascii="Arial" w:eastAsia="Calibri" w:hAnsi="Arial" w:cs="Arial"/>
          <w:lang w:val="en-ZA"/>
        </w:rPr>
        <w:tab/>
      </w:r>
      <w:proofErr w:type="gramStart"/>
      <w:r w:rsidRPr="0056541C">
        <w:rPr>
          <w:rFonts w:ascii="Arial" w:eastAsia="Calibri" w:hAnsi="Arial" w:cs="Arial"/>
          <w:lang w:val="en-ZA"/>
        </w:rPr>
        <w:t>whose</w:t>
      </w:r>
      <w:proofErr w:type="gramEnd"/>
      <w:r w:rsidRPr="0056541C">
        <w:rPr>
          <w:rFonts w:ascii="Arial" w:eastAsia="Calibri" w:hAnsi="Arial" w:cs="Arial"/>
          <w:lang w:val="en-ZA"/>
        </w:rPr>
        <w:t xml:space="preserve"> continued incarceration is detrimental to his or her health on the grounds of his or her physical condition,</w:t>
      </w:r>
    </w:p>
    <w:p w:rsidR="0056541C" w:rsidRDefault="0056541C" w:rsidP="0056541C">
      <w:pPr>
        <w:spacing w:line="360" w:lineRule="auto"/>
        <w:jc w:val="both"/>
        <w:rPr>
          <w:rFonts w:ascii="Arial" w:eastAsia="Calibri" w:hAnsi="Arial" w:cs="Arial"/>
          <w:sz w:val="24"/>
          <w:szCs w:val="24"/>
          <w:lang w:val="en-ZA"/>
        </w:rPr>
      </w:pPr>
      <w:proofErr w:type="gramStart"/>
      <w:r w:rsidRPr="0056541C">
        <w:rPr>
          <w:rFonts w:ascii="Arial" w:eastAsia="Calibri" w:hAnsi="Arial" w:cs="Arial"/>
          <w:lang w:val="en-ZA"/>
        </w:rPr>
        <w:lastRenderedPageBreak/>
        <w:t>either</w:t>
      </w:r>
      <w:proofErr w:type="gramEnd"/>
      <w:r w:rsidRPr="0056541C">
        <w:rPr>
          <w:rFonts w:ascii="Arial" w:eastAsia="Calibri" w:hAnsi="Arial" w:cs="Arial"/>
          <w:lang w:val="en-ZA"/>
        </w:rPr>
        <w:t xml:space="preserve"> unconditionally or on such conditions as to parole or probation or as to special treatment as the Minister may determine</w:t>
      </w:r>
      <w:r w:rsidRPr="0056541C">
        <w:rPr>
          <w:rFonts w:ascii="Arial" w:eastAsia="Calibri" w:hAnsi="Arial" w:cs="Arial"/>
          <w:sz w:val="24"/>
          <w:szCs w:val="24"/>
          <w:lang w:val="en-ZA"/>
        </w:rPr>
        <w:t>.</w:t>
      </w:r>
      <w:r>
        <w:rPr>
          <w:rFonts w:ascii="Arial" w:eastAsia="Calibri" w:hAnsi="Arial" w:cs="Arial"/>
          <w:sz w:val="24"/>
          <w:szCs w:val="24"/>
          <w:lang w:val="en-ZA"/>
        </w:rPr>
        <w:t>’</w:t>
      </w:r>
      <w:r>
        <w:rPr>
          <w:rFonts w:ascii="Arial" w:eastAsia="Calibri" w:hAnsi="Arial" w:cs="Arial"/>
          <w:sz w:val="24"/>
          <w:szCs w:val="24"/>
          <w:lang w:val="en-ZA"/>
        </w:rPr>
        <w:tab/>
      </w:r>
    </w:p>
    <w:p w:rsidR="000C5174" w:rsidRDefault="000C5174" w:rsidP="00A952C9">
      <w:pPr>
        <w:spacing w:line="360" w:lineRule="auto"/>
        <w:jc w:val="both"/>
        <w:rPr>
          <w:rFonts w:ascii="Arial" w:eastAsia="Calibri" w:hAnsi="Arial" w:cs="Arial"/>
          <w:sz w:val="24"/>
          <w:szCs w:val="24"/>
          <w:lang w:val="en-ZA"/>
        </w:rPr>
      </w:pPr>
    </w:p>
    <w:p w:rsidR="00A952C9" w:rsidRDefault="0056541C" w:rsidP="00A952C9">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4</w:t>
      </w:r>
      <w:r w:rsidR="006B577D">
        <w:rPr>
          <w:rFonts w:ascii="Arial" w:eastAsia="Calibri" w:hAnsi="Arial" w:cs="Arial"/>
          <w:sz w:val="24"/>
          <w:szCs w:val="24"/>
          <w:lang w:val="en-ZA"/>
        </w:rPr>
        <w:t>3</w:t>
      </w:r>
      <w:r>
        <w:rPr>
          <w:rFonts w:ascii="Arial" w:eastAsia="Calibri" w:hAnsi="Arial" w:cs="Arial"/>
          <w:sz w:val="24"/>
          <w:szCs w:val="24"/>
          <w:lang w:val="en-ZA"/>
        </w:rPr>
        <w:t>]</w:t>
      </w:r>
      <w:r>
        <w:rPr>
          <w:rFonts w:ascii="Arial" w:eastAsia="Calibri" w:hAnsi="Arial" w:cs="Arial"/>
          <w:sz w:val="24"/>
          <w:szCs w:val="24"/>
          <w:lang w:val="en-ZA"/>
        </w:rPr>
        <w:tab/>
        <w:t>It is evident that the recommendation</w:t>
      </w:r>
      <w:r w:rsidR="000C5174">
        <w:rPr>
          <w:rFonts w:ascii="Arial" w:eastAsia="Calibri" w:hAnsi="Arial" w:cs="Arial"/>
          <w:sz w:val="24"/>
          <w:szCs w:val="24"/>
          <w:lang w:val="en-ZA"/>
        </w:rPr>
        <w:t xml:space="preserve"> by </w:t>
      </w:r>
      <w:r>
        <w:rPr>
          <w:rFonts w:ascii="Arial" w:eastAsia="Calibri" w:hAnsi="Arial" w:cs="Arial"/>
          <w:sz w:val="24"/>
          <w:szCs w:val="24"/>
          <w:lang w:val="en-ZA"/>
        </w:rPr>
        <w:t>the second respondent is a jurisdictional fact for a valid executive decision to be made by the first respondent. The second respondent is an administrative official who has a statutory duty, when making a recommendation to the first respondent, to consider those jurisdictional f</w:t>
      </w:r>
      <w:r w:rsidR="0004238C">
        <w:rPr>
          <w:rFonts w:ascii="Arial" w:eastAsia="Calibri" w:hAnsi="Arial" w:cs="Arial"/>
          <w:sz w:val="24"/>
          <w:szCs w:val="24"/>
          <w:lang w:val="en-ZA"/>
        </w:rPr>
        <w:t>acts as they appear from s</w:t>
      </w:r>
      <w:r>
        <w:rPr>
          <w:rFonts w:ascii="Arial" w:eastAsia="Calibri" w:hAnsi="Arial" w:cs="Arial"/>
          <w:sz w:val="24"/>
          <w:szCs w:val="24"/>
          <w:lang w:val="en-ZA"/>
        </w:rPr>
        <w:t xml:space="preserve"> 109. </w:t>
      </w:r>
    </w:p>
    <w:p w:rsidR="000C5174" w:rsidRDefault="000C5174" w:rsidP="00A952C9">
      <w:pPr>
        <w:spacing w:line="360" w:lineRule="auto"/>
        <w:jc w:val="both"/>
        <w:rPr>
          <w:rFonts w:ascii="Arial" w:eastAsia="Calibri" w:hAnsi="Arial" w:cs="Arial"/>
          <w:sz w:val="24"/>
          <w:szCs w:val="24"/>
          <w:lang w:val="en-ZA"/>
        </w:rPr>
      </w:pPr>
    </w:p>
    <w:p w:rsidR="0056541C" w:rsidRDefault="0056541C" w:rsidP="00A952C9">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4</w:t>
      </w:r>
      <w:r w:rsidR="006B577D">
        <w:rPr>
          <w:rFonts w:ascii="Arial" w:eastAsia="Calibri" w:hAnsi="Arial" w:cs="Arial"/>
          <w:sz w:val="24"/>
          <w:szCs w:val="24"/>
          <w:lang w:val="en-ZA"/>
        </w:rPr>
        <w:t>4</w:t>
      </w:r>
      <w:r>
        <w:rPr>
          <w:rFonts w:ascii="Arial" w:eastAsia="Calibri" w:hAnsi="Arial" w:cs="Arial"/>
          <w:sz w:val="24"/>
          <w:szCs w:val="24"/>
          <w:lang w:val="en-ZA"/>
        </w:rPr>
        <w:t>]</w:t>
      </w:r>
      <w:r>
        <w:rPr>
          <w:rFonts w:ascii="Arial" w:eastAsia="Calibri" w:hAnsi="Arial" w:cs="Arial"/>
          <w:sz w:val="24"/>
          <w:szCs w:val="24"/>
          <w:lang w:val="en-ZA"/>
        </w:rPr>
        <w:tab/>
      </w:r>
      <w:r w:rsidR="00E01F29">
        <w:rPr>
          <w:rFonts w:ascii="Arial" w:eastAsia="Calibri" w:hAnsi="Arial" w:cs="Arial"/>
          <w:sz w:val="24"/>
          <w:szCs w:val="24"/>
          <w:lang w:val="en-ZA"/>
        </w:rPr>
        <w:t>Court order 4</w:t>
      </w:r>
      <w:r w:rsidR="00977742">
        <w:rPr>
          <w:rFonts w:ascii="Arial" w:eastAsia="Calibri" w:hAnsi="Arial" w:cs="Arial"/>
          <w:sz w:val="24"/>
          <w:szCs w:val="24"/>
          <w:lang w:val="en-ZA"/>
        </w:rPr>
        <w:t xml:space="preserve"> directs the second respondent to determine whether the disease</w:t>
      </w:r>
      <w:r w:rsidR="00E01F29">
        <w:rPr>
          <w:rFonts w:ascii="Arial" w:eastAsia="Calibri" w:hAnsi="Arial" w:cs="Arial"/>
          <w:sz w:val="24"/>
          <w:szCs w:val="24"/>
          <w:lang w:val="en-ZA"/>
        </w:rPr>
        <w:t>(s) affecting the applicant</w:t>
      </w:r>
      <w:r w:rsidR="00977742">
        <w:rPr>
          <w:rFonts w:ascii="Arial" w:eastAsia="Calibri" w:hAnsi="Arial" w:cs="Arial"/>
          <w:sz w:val="24"/>
          <w:szCs w:val="24"/>
          <w:lang w:val="en-ZA"/>
        </w:rPr>
        <w:t xml:space="preserve"> a dangerous disease</w:t>
      </w:r>
      <w:r w:rsidR="00E01F29">
        <w:rPr>
          <w:rFonts w:ascii="Arial" w:eastAsia="Calibri" w:hAnsi="Arial" w:cs="Arial"/>
          <w:sz w:val="24"/>
          <w:szCs w:val="24"/>
          <w:lang w:val="en-ZA"/>
        </w:rPr>
        <w:t>. T</w:t>
      </w:r>
      <w:r w:rsidR="00977742">
        <w:rPr>
          <w:rFonts w:ascii="Arial" w:eastAsia="Calibri" w:hAnsi="Arial" w:cs="Arial"/>
          <w:sz w:val="24"/>
          <w:szCs w:val="24"/>
          <w:lang w:val="en-ZA"/>
        </w:rPr>
        <w:t>he second respondent determined that</w:t>
      </w:r>
      <w:r w:rsidR="00E01F29">
        <w:rPr>
          <w:rFonts w:ascii="Arial" w:eastAsia="Calibri" w:hAnsi="Arial" w:cs="Arial"/>
          <w:sz w:val="24"/>
          <w:szCs w:val="24"/>
          <w:lang w:val="en-ZA"/>
        </w:rPr>
        <w:t>,</w:t>
      </w:r>
      <w:r w:rsidR="00977742">
        <w:rPr>
          <w:rFonts w:ascii="Arial" w:eastAsia="Calibri" w:hAnsi="Arial" w:cs="Arial"/>
          <w:sz w:val="24"/>
          <w:szCs w:val="24"/>
          <w:lang w:val="en-ZA"/>
        </w:rPr>
        <w:t xml:space="preserve"> according to the classification of WHO</w:t>
      </w:r>
      <w:r w:rsidR="00E01F29">
        <w:rPr>
          <w:rFonts w:ascii="Arial" w:eastAsia="Calibri" w:hAnsi="Arial" w:cs="Arial"/>
          <w:sz w:val="24"/>
          <w:szCs w:val="24"/>
          <w:lang w:val="en-ZA"/>
        </w:rPr>
        <w:t>, the diseases are</w:t>
      </w:r>
      <w:r w:rsidR="00977742">
        <w:rPr>
          <w:rFonts w:ascii="Arial" w:eastAsia="Calibri" w:hAnsi="Arial" w:cs="Arial"/>
          <w:sz w:val="24"/>
          <w:szCs w:val="24"/>
          <w:lang w:val="en-ZA"/>
        </w:rPr>
        <w:t xml:space="preserve"> considered to be a dangerous disease</w:t>
      </w:r>
      <w:r w:rsidR="00E01F29">
        <w:rPr>
          <w:rFonts w:ascii="Arial" w:eastAsia="Calibri" w:hAnsi="Arial" w:cs="Arial"/>
          <w:sz w:val="24"/>
          <w:szCs w:val="24"/>
          <w:lang w:val="en-ZA"/>
        </w:rPr>
        <w:t>s</w:t>
      </w:r>
      <w:r w:rsidR="000C5174">
        <w:rPr>
          <w:rFonts w:ascii="Arial" w:eastAsia="Calibri" w:hAnsi="Arial" w:cs="Arial"/>
          <w:sz w:val="24"/>
          <w:szCs w:val="24"/>
          <w:lang w:val="en-ZA"/>
        </w:rPr>
        <w:t xml:space="preserve">. The second respondent however </w:t>
      </w:r>
      <w:r w:rsidR="00977742">
        <w:rPr>
          <w:rFonts w:ascii="Arial" w:eastAsia="Calibri" w:hAnsi="Arial" w:cs="Arial"/>
          <w:sz w:val="24"/>
          <w:szCs w:val="24"/>
          <w:lang w:val="en-ZA"/>
        </w:rPr>
        <w:t xml:space="preserve">clearly holds the view that reliance on this criteria alone would have far reaching effects in that it may result in emptying the correctional facility. The </w:t>
      </w:r>
      <w:r w:rsidR="003A58BF">
        <w:rPr>
          <w:rFonts w:ascii="Arial" w:eastAsia="Calibri" w:hAnsi="Arial" w:cs="Arial"/>
          <w:sz w:val="24"/>
          <w:szCs w:val="24"/>
          <w:lang w:val="en-ZA"/>
        </w:rPr>
        <w:t>applicant submits</w:t>
      </w:r>
      <w:r w:rsidR="00977742">
        <w:rPr>
          <w:rFonts w:ascii="Arial" w:eastAsia="Calibri" w:hAnsi="Arial" w:cs="Arial"/>
          <w:sz w:val="24"/>
          <w:szCs w:val="24"/>
          <w:lang w:val="en-ZA"/>
        </w:rPr>
        <w:t xml:space="preserve"> that this consideration is not rationally connected to his decision and is therefore irrational. </w:t>
      </w:r>
    </w:p>
    <w:p w:rsidR="003A58BF" w:rsidRDefault="003A58BF" w:rsidP="00A952C9">
      <w:pPr>
        <w:spacing w:line="360" w:lineRule="auto"/>
        <w:jc w:val="both"/>
        <w:rPr>
          <w:rFonts w:ascii="Arial" w:eastAsia="Calibri" w:hAnsi="Arial" w:cs="Arial"/>
          <w:sz w:val="24"/>
          <w:szCs w:val="24"/>
          <w:lang w:val="en-ZA"/>
        </w:rPr>
      </w:pPr>
    </w:p>
    <w:p w:rsidR="00977742" w:rsidRDefault="00977742" w:rsidP="00A952C9">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4</w:t>
      </w:r>
      <w:r w:rsidR="006B577D">
        <w:rPr>
          <w:rFonts w:ascii="Arial" w:eastAsia="Calibri" w:hAnsi="Arial" w:cs="Arial"/>
          <w:sz w:val="24"/>
          <w:szCs w:val="24"/>
          <w:lang w:val="en-ZA"/>
        </w:rPr>
        <w:t>5</w:t>
      </w:r>
      <w:r>
        <w:rPr>
          <w:rFonts w:ascii="Arial" w:eastAsia="Calibri" w:hAnsi="Arial" w:cs="Arial"/>
          <w:sz w:val="24"/>
          <w:szCs w:val="24"/>
          <w:lang w:val="en-ZA"/>
        </w:rPr>
        <w:t>]</w:t>
      </w:r>
      <w:r>
        <w:rPr>
          <w:rFonts w:ascii="Arial" w:eastAsia="Calibri" w:hAnsi="Arial" w:cs="Arial"/>
          <w:sz w:val="24"/>
          <w:szCs w:val="24"/>
          <w:lang w:val="en-ZA"/>
        </w:rPr>
        <w:tab/>
        <w:t>This court is of the view that the concerns expressed by the second respondent regarding the applicant’s interpretation</w:t>
      </w:r>
      <w:r w:rsidR="00B81FED">
        <w:rPr>
          <w:rFonts w:ascii="Arial" w:eastAsia="Calibri" w:hAnsi="Arial" w:cs="Arial"/>
          <w:sz w:val="24"/>
          <w:szCs w:val="24"/>
          <w:lang w:val="en-ZA"/>
        </w:rPr>
        <w:t xml:space="preserve"> of s 109</w:t>
      </w:r>
      <w:r>
        <w:rPr>
          <w:rFonts w:ascii="Arial" w:eastAsia="Calibri" w:hAnsi="Arial" w:cs="Arial"/>
          <w:sz w:val="24"/>
          <w:szCs w:val="24"/>
          <w:lang w:val="en-ZA"/>
        </w:rPr>
        <w:t>(</w:t>
      </w:r>
      <w:r w:rsidRPr="00B81FED">
        <w:rPr>
          <w:rFonts w:ascii="Arial" w:eastAsia="Calibri" w:hAnsi="Arial" w:cs="Arial"/>
          <w:i/>
          <w:sz w:val="24"/>
          <w:szCs w:val="24"/>
          <w:lang w:val="en-ZA"/>
        </w:rPr>
        <w:t>a</w:t>
      </w:r>
      <w:r>
        <w:rPr>
          <w:rFonts w:ascii="Arial" w:eastAsia="Calibri" w:hAnsi="Arial" w:cs="Arial"/>
          <w:sz w:val="24"/>
          <w:szCs w:val="24"/>
          <w:lang w:val="en-ZA"/>
        </w:rPr>
        <w:t xml:space="preserve">) </w:t>
      </w:r>
      <w:r w:rsidR="000C5174">
        <w:rPr>
          <w:rFonts w:ascii="Arial" w:eastAsia="Calibri" w:hAnsi="Arial" w:cs="Arial"/>
          <w:sz w:val="24"/>
          <w:szCs w:val="24"/>
          <w:lang w:val="en-ZA"/>
        </w:rPr>
        <w:t xml:space="preserve">is justified as it </w:t>
      </w:r>
      <w:r>
        <w:rPr>
          <w:rFonts w:ascii="Arial" w:eastAsia="Calibri" w:hAnsi="Arial" w:cs="Arial"/>
          <w:sz w:val="24"/>
          <w:szCs w:val="24"/>
          <w:lang w:val="en-ZA"/>
        </w:rPr>
        <w:t>relate to whether such an interpret</w:t>
      </w:r>
      <w:r w:rsidR="00E80947">
        <w:rPr>
          <w:rFonts w:ascii="Arial" w:eastAsia="Calibri" w:hAnsi="Arial" w:cs="Arial"/>
          <w:sz w:val="24"/>
          <w:szCs w:val="24"/>
          <w:lang w:val="en-ZA"/>
        </w:rPr>
        <w:t>ation is lawful. Can the second respondent lawfully rely on s 109</w:t>
      </w:r>
      <w:r w:rsidR="00E01F29" w:rsidRPr="00E01F29">
        <w:rPr>
          <w:rFonts w:ascii="Arial" w:eastAsia="Calibri" w:hAnsi="Arial" w:cs="Arial"/>
          <w:i/>
          <w:sz w:val="24"/>
          <w:szCs w:val="24"/>
          <w:lang w:val="en-ZA"/>
        </w:rPr>
        <w:t>(a)</w:t>
      </w:r>
      <w:r w:rsidR="00E80947">
        <w:rPr>
          <w:rFonts w:ascii="Arial" w:eastAsia="Calibri" w:hAnsi="Arial" w:cs="Arial"/>
          <w:sz w:val="24"/>
          <w:szCs w:val="24"/>
          <w:lang w:val="en-ZA"/>
        </w:rPr>
        <w:t xml:space="preserve"> as interpreted by the applicant to make a recommendation? He consistently argued that he could not, in good conscience</w:t>
      </w:r>
      <w:r w:rsidR="00E01F29">
        <w:rPr>
          <w:rFonts w:ascii="Arial" w:eastAsia="Calibri" w:hAnsi="Arial" w:cs="Arial"/>
          <w:sz w:val="24"/>
          <w:szCs w:val="24"/>
          <w:lang w:val="en-ZA"/>
        </w:rPr>
        <w:t>,</w:t>
      </w:r>
      <w:r w:rsidR="00E80947">
        <w:rPr>
          <w:rFonts w:ascii="Arial" w:eastAsia="Calibri" w:hAnsi="Arial" w:cs="Arial"/>
          <w:sz w:val="24"/>
          <w:szCs w:val="24"/>
          <w:lang w:val="en-ZA"/>
        </w:rPr>
        <w:t xml:space="preserve"> release the applicant solely on the ground that he suffers from a dangerous decease.</w:t>
      </w:r>
    </w:p>
    <w:p w:rsidR="000C5174" w:rsidRDefault="000C5174" w:rsidP="00E80947">
      <w:pPr>
        <w:spacing w:line="360" w:lineRule="auto"/>
        <w:jc w:val="both"/>
        <w:rPr>
          <w:rFonts w:ascii="Arial" w:eastAsia="Calibri" w:hAnsi="Arial" w:cs="Arial"/>
          <w:sz w:val="24"/>
          <w:szCs w:val="24"/>
          <w:lang w:val="en-ZA"/>
        </w:rPr>
      </w:pPr>
    </w:p>
    <w:p w:rsidR="000C5174" w:rsidRDefault="00E80947" w:rsidP="00E80947">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4</w:t>
      </w:r>
      <w:r w:rsidR="006B577D">
        <w:rPr>
          <w:rFonts w:ascii="Arial" w:eastAsia="Calibri" w:hAnsi="Arial" w:cs="Arial"/>
          <w:sz w:val="24"/>
          <w:szCs w:val="24"/>
          <w:lang w:val="en-ZA"/>
        </w:rPr>
        <w:t>6</w:t>
      </w:r>
      <w:r>
        <w:rPr>
          <w:rFonts w:ascii="Arial" w:eastAsia="Calibri" w:hAnsi="Arial" w:cs="Arial"/>
          <w:sz w:val="24"/>
          <w:szCs w:val="24"/>
          <w:lang w:val="en-ZA"/>
        </w:rPr>
        <w:t>]</w:t>
      </w:r>
      <w:r>
        <w:rPr>
          <w:rFonts w:ascii="Arial" w:eastAsia="Calibri" w:hAnsi="Arial" w:cs="Arial"/>
          <w:sz w:val="24"/>
          <w:szCs w:val="24"/>
          <w:lang w:val="en-ZA"/>
        </w:rPr>
        <w:tab/>
      </w:r>
      <w:r w:rsidR="00C42CC7">
        <w:rPr>
          <w:rFonts w:ascii="Arial" w:eastAsia="Calibri" w:hAnsi="Arial" w:cs="Arial"/>
          <w:sz w:val="24"/>
          <w:szCs w:val="24"/>
          <w:lang w:val="en-ZA"/>
        </w:rPr>
        <w:t xml:space="preserve">Mr </w:t>
      </w:r>
      <w:proofErr w:type="spellStart"/>
      <w:r w:rsidR="00C42CC7">
        <w:rPr>
          <w:rFonts w:ascii="Arial" w:eastAsia="Calibri" w:hAnsi="Arial" w:cs="Arial"/>
          <w:sz w:val="24"/>
          <w:szCs w:val="24"/>
          <w:lang w:val="en-ZA"/>
        </w:rPr>
        <w:t>Namandje’s</w:t>
      </w:r>
      <w:proofErr w:type="spellEnd"/>
      <w:r w:rsidR="00C42CC7">
        <w:rPr>
          <w:rFonts w:ascii="Arial" w:eastAsia="Calibri" w:hAnsi="Arial" w:cs="Arial"/>
          <w:sz w:val="24"/>
          <w:szCs w:val="24"/>
          <w:lang w:val="en-ZA"/>
        </w:rPr>
        <w:t xml:space="preserve"> proposal that </w:t>
      </w:r>
      <w:r w:rsidR="00E01F29">
        <w:rPr>
          <w:rFonts w:ascii="Arial" w:eastAsia="Calibri" w:hAnsi="Arial" w:cs="Arial"/>
          <w:sz w:val="24"/>
          <w:szCs w:val="24"/>
          <w:lang w:val="en-ZA"/>
        </w:rPr>
        <w:t>the court ought to interpret</w:t>
      </w:r>
      <w:r w:rsidR="00B04D7B">
        <w:rPr>
          <w:rFonts w:ascii="Arial" w:eastAsia="Calibri" w:hAnsi="Arial" w:cs="Arial"/>
          <w:sz w:val="24"/>
          <w:szCs w:val="24"/>
          <w:lang w:val="en-ZA"/>
        </w:rPr>
        <w:t xml:space="preserve"> the word </w:t>
      </w:r>
      <w:r w:rsidR="00C42CC7">
        <w:rPr>
          <w:rFonts w:ascii="Arial" w:eastAsia="Calibri" w:hAnsi="Arial" w:cs="Arial"/>
          <w:sz w:val="24"/>
          <w:szCs w:val="24"/>
          <w:lang w:val="en-ZA"/>
        </w:rPr>
        <w:t xml:space="preserve">“or” </w:t>
      </w:r>
      <w:r w:rsidR="00E01F29">
        <w:rPr>
          <w:rFonts w:ascii="Arial" w:eastAsia="Calibri" w:hAnsi="Arial" w:cs="Arial"/>
          <w:sz w:val="24"/>
          <w:szCs w:val="24"/>
          <w:lang w:val="en-ZA"/>
        </w:rPr>
        <w:t xml:space="preserve">between </w:t>
      </w:r>
      <w:proofErr w:type="spellStart"/>
      <w:r w:rsidR="00E01F29">
        <w:rPr>
          <w:rFonts w:ascii="Arial" w:eastAsia="Calibri" w:hAnsi="Arial" w:cs="Arial"/>
          <w:sz w:val="24"/>
          <w:szCs w:val="24"/>
          <w:lang w:val="en-ZA"/>
        </w:rPr>
        <w:t>ss</w:t>
      </w:r>
      <w:proofErr w:type="spellEnd"/>
      <w:r w:rsidR="00E01F29">
        <w:rPr>
          <w:rFonts w:ascii="Arial" w:eastAsia="Calibri" w:hAnsi="Arial" w:cs="Arial"/>
          <w:sz w:val="24"/>
          <w:szCs w:val="24"/>
          <w:lang w:val="en-ZA"/>
        </w:rPr>
        <w:t xml:space="preserve"> 109</w:t>
      </w:r>
      <w:r w:rsidR="00E01F29" w:rsidRPr="00B04D7B">
        <w:rPr>
          <w:rFonts w:ascii="Arial" w:eastAsia="Calibri" w:hAnsi="Arial" w:cs="Arial"/>
          <w:i/>
          <w:sz w:val="24"/>
          <w:szCs w:val="24"/>
          <w:lang w:val="en-ZA"/>
        </w:rPr>
        <w:t>(a)</w:t>
      </w:r>
      <w:r w:rsidR="00E01F29">
        <w:rPr>
          <w:rFonts w:ascii="Arial" w:eastAsia="Calibri" w:hAnsi="Arial" w:cs="Arial"/>
          <w:sz w:val="24"/>
          <w:szCs w:val="24"/>
          <w:lang w:val="en-ZA"/>
        </w:rPr>
        <w:t xml:space="preserve"> and </w:t>
      </w:r>
      <w:r w:rsidR="00E01F29" w:rsidRPr="00B04D7B">
        <w:rPr>
          <w:rFonts w:ascii="Arial" w:eastAsia="Calibri" w:hAnsi="Arial" w:cs="Arial"/>
          <w:i/>
          <w:sz w:val="24"/>
          <w:szCs w:val="24"/>
          <w:lang w:val="en-ZA"/>
        </w:rPr>
        <w:t>(b)</w:t>
      </w:r>
      <w:r w:rsidR="00E01F29">
        <w:rPr>
          <w:rFonts w:ascii="Arial" w:eastAsia="Calibri" w:hAnsi="Arial" w:cs="Arial"/>
          <w:sz w:val="24"/>
          <w:szCs w:val="24"/>
          <w:lang w:val="en-ZA"/>
        </w:rPr>
        <w:t xml:space="preserve"> </w:t>
      </w:r>
      <w:r w:rsidR="00C42CC7">
        <w:rPr>
          <w:rFonts w:ascii="Arial" w:eastAsia="Calibri" w:hAnsi="Arial" w:cs="Arial"/>
          <w:sz w:val="24"/>
          <w:szCs w:val="24"/>
          <w:lang w:val="en-ZA"/>
        </w:rPr>
        <w:t>as conjunctive</w:t>
      </w:r>
      <w:r w:rsidR="00E01F29">
        <w:rPr>
          <w:rFonts w:ascii="Arial" w:eastAsia="Calibri" w:hAnsi="Arial" w:cs="Arial"/>
          <w:sz w:val="24"/>
          <w:szCs w:val="24"/>
          <w:lang w:val="en-ZA"/>
        </w:rPr>
        <w:t>,</w:t>
      </w:r>
      <w:r w:rsidR="00C42CC7">
        <w:rPr>
          <w:rFonts w:ascii="Arial" w:eastAsia="Calibri" w:hAnsi="Arial" w:cs="Arial"/>
          <w:sz w:val="24"/>
          <w:szCs w:val="24"/>
          <w:lang w:val="en-ZA"/>
        </w:rPr>
        <w:t xml:space="preserve"> is with respect</w:t>
      </w:r>
      <w:r w:rsidR="00E01F29">
        <w:rPr>
          <w:rFonts w:ascii="Arial" w:eastAsia="Calibri" w:hAnsi="Arial" w:cs="Arial"/>
          <w:sz w:val="24"/>
          <w:szCs w:val="24"/>
          <w:lang w:val="en-ZA"/>
        </w:rPr>
        <w:t>,</w:t>
      </w:r>
      <w:r w:rsidR="00C42CC7">
        <w:rPr>
          <w:rFonts w:ascii="Arial" w:eastAsia="Calibri" w:hAnsi="Arial" w:cs="Arial"/>
          <w:sz w:val="24"/>
          <w:szCs w:val="24"/>
          <w:lang w:val="en-ZA"/>
        </w:rPr>
        <w:t xml:space="preserve"> untenable. The clear intention </w:t>
      </w:r>
      <w:r w:rsidR="00B04D7B">
        <w:rPr>
          <w:rFonts w:ascii="Arial" w:eastAsia="Calibri" w:hAnsi="Arial" w:cs="Arial"/>
          <w:sz w:val="24"/>
          <w:szCs w:val="24"/>
          <w:lang w:val="en-ZA"/>
        </w:rPr>
        <w:t xml:space="preserve">of the legislature </w:t>
      </w:r>
      <w:r w:rsidR="00C42CC7">
        <w:rPr>
          <w:rFonts w:ascii="Arial" w:eastAsia="Calibri" w:hAnsi="Arial" w:cs="Arial"/>
          <w:sz w:val="24"/>
          <w:szCs w:val="24"/>
          <w:lang w:val="en-ZA"/>
        </w:rPr>
        <w:t>was for the s</w:t>
      </w:r>
      <w:r w:rsidR="000C5174">
        <w:rPr>
          <w:rFonts w:ascii="Arial" w:eastAsia="Calibri" w:hAnsi="Arial" w:cs="Arial"/>
          <w:sz w:val="24"/>
          <w:szCs w:val="24"/>
          <w:lang w:val="en-ZA"/>
        </w:rPr>
        <w:t xml:space="preserve"> </w:t>
      </w:r>
      <w:r w:rsidR="00C42CC7">
        <w:rPr>
          <w:rFonts w:ascii="Arial" w:eastAsia="Calibri" w:hAnsi="Arial" w:cs="Arial"/>
          <w:sz w:val="24"/>
          <w:szCs w:val="24"/>
          <w:lang w:val="en-ZA"/>
        </w:rPr>
        <w:t>109</w:t>
      </w:r>
      <w:r w:rsidR="00C42CC7" w:rsidRPr="00D74A93">
        <w:rPr>
          <w:rFonts w:ascii="Arial" w:eastAsia="Calibri" w:hAnsi="Arial" w:cs="Arial"/>
          <w:i/>
          <w:sz w:val="24"/>
          <w:szCs w:val="24"/>
          <w:lang w:val="en-ZA"/>
        </w:rPr>
        <w:t>(a)</w:t>
      </w:r>
      <w:r w:rsidR="00C42CC7">
        <w:rPr>
          <w:rFonts w:ascii="Arial" w:eastAsia="Calibri" w:hAnsi="Arial" w:cs="Arial"/>
          <w:sz w:val="24"/>
          <w:szCs w:val="24"/>
          <w:lang w:val="en-ZA"/>
        </w:rPr>
        <w:t xml:space="preserve"> and (</w:t>
      </w:r>
      <w:r w:rsidR="00C42CC7" w:rsidRPr="00B81FED">
        <w:rPr>
          <w:rFonts w:ascii="Arial" w:eastAsia="Calibri" w:hAnsi="Arial" w:cs="Arial"/>
          <w:i/>
          <w:sz w:val="24"/>
          <w:szCs w:val="24"/>
          <w:lang w:val="en-ZA"/>
        </w:rPr>
        <w:t>b</w:t>
      </w:r>
      <w:r w:rsidR="00C42CC7">
        <w:rPr>
          <w:rFonts w:ascii="Arial" w:eastAsia="Calibri" w:hAnsi="Arial" w:cs="Arial"/>
          <w:sz w:val="24"/>
          <w:szCs w:val="24"/>
          <w:lang w:val="en-ZA"/>
        </w:rPr>
        <w:t>) to be disjunctive as it gi</w:t>
      </w:r>
      <w:r w:rsidR="000C5174">
        <w:rPr>
          <w:rFonts w:ascii="Arial" w:eastAsia="Calibri" w:hAnsi="Arial" w:cs="Arial"/>
          <w:sz w:val="24"/>
          <w:szCs w:val="24"/>
          <w:lang w:val="en-ZA"/>
        </w:rPr>
        <w:t xml:space="preserve">ves a choice of two </w:t>
      </w:r>
      <w:r w:rsidR="000C5174">
        <w:rPr>
          <w:rFonts w:ascii="Arial" w:eastAsia="Calibri" w:hAnsi="Arial" w:cs="Arial"/>
          <w:sz w:val="24"/>
          <w:szCs w:val="24"/>
          <w:lang w:val="en-ZA"/>
        </w:rPr>
        <w:lastRenderedPageBreak/>
        <w:t xml:space="preserve">alternative jurisdictional facts. Mr </w:t>
      </w:r>
      <w:proofErr w:type="spellStart"/>
      <w:r w:rsidR="000C5174">
        <w:rPr>
          <w:rFonts w:ascii="Arial" w:eastAsia="Calibri" w:hAnsi="Arial" w:cs="Arial"/>
          <w:sz w:val="24"/>
          <w:szCs w:val="24"/>
          <w:lang w:val="en-ZA"/>
        </w:rPr>
        <w:t>Muluti</w:t>
      </w:r>
      <w:proofErr w:type="spellEnd"/>
      <w:r w:rsidR="000C5174">
        <w:rPr>
          <w:rFonts w:ascii="Arial" w:eastAsia="Calibri" w:hAnsi="Arial" w:cs="Arial"/>
          <w:sz w:val="24"/>
          <w:szCs w:val="24"/>
          <w:lang w:val="en-ZA"/>
        </w:rPr>
        <w:t xml:space="preserve"> relies on a literal </w:t>
      </w:r>
      <w:r w:rsidR="00C42CC7">
        <w:rPr>
          <w:rFonts w:ascii="Arial" w:eastAsia="Calibri" w:hAnsi="Arial" w:cs="Arial"/>
          <w:sz w:val="24"/>
          <w:szCs w:val="24"/>
          <w:lang w:val="en-ZA"/>
        </w:rPr>
        <w:t xml:space="preserve">interpretation </w:t>
      </w:r>
      <w:r w:rsidR="000C5174">
        <w:rPr>
          <w:rFonts w:ascii="Arial" w:eastAsia="Calibri" w:hAnsi="Arial" w:cs="Arial"/>
          <w:sz w:val="24"/>
          <w:szCs w:val="24"/>
          <w:lang w:val="en-ZA"/>
        </w:rPr>
        <w:t xml:space="preserve">which, in my mind, leads </w:t>
      </w:r>
      <w:r w:rsidR="00C42CC7">
        <w:rPr>
          <w:rFonts w:ascii="Arial" w:eastAsia="Calibri" w:hAnsi="Arial" w:cs="Arial"/>
          <w:sz w:val="24"/>
          <w:szCs w:val="24"/>
          <w:lang w:val="en-ZA"/>
        </w:rPr>
        <w:t>to absurd results</w:t>
      </w:r>
      <w:r w:rsidR="000C5174">
        <w:rPr>
          <w:rFonts w:ascii="Arial" w:eastAsia="Calibri" w:hAnsi="Arial" w:cs="Arial"/>
          <w:sz w:val="24"/>
          <w:szCs w:val="24"/>
          <w:lang w:val="en-ZA"/>
        </w:rPr>
        <w:t>.</w:t>
      </w:r>
      <w:r w:rsidR="00C42CC7">
        <w:rPr>
          <w:rFonts w:ascii="Arial" w:eastAsia="Calibri" w:hAnsi="Arial" w:cs="Arial"/>
          <w:sz w:val="24"/>
          <w:szCs w:val="24"/>
          <w:lang w:val="en-ZA"/>
        </w:rPr>
        <w:t xml:space="preserve"> </w:t>
      </w:r>
    </w:p>
    <w:p w:rsidR="00D74A93" w:rsidRDefault="00D74A93" w:rsidP="00E80947">
      <w:pPr>
        <w:spacing w:line="360" w:lineRule="auto"/>
        <w:jc w:val="both"/>
        <w:rPr>
          <w:rFonts w:ascii="Arial" w:eastAsia="Calibri" w:hAnsi="Arial" w:cs="Arial"/>
          <w:sz w:val="24"/>
          <w:szCs w:val="24"/>
          <w:lang w:val="en-ZA"/>
        </w:rPr>
      </w:pPr>
    </w:p>
    <w:p w:rsidR="00C42CC7" w:rsidRDefault="000C5174" w:rsidP="00E80947">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4</w:t>
      </w:r>
      <w:r w:rsidR="006B577D">
        <w:rPr>
          <w:rFonts w:ascii="Arial" w:eastAsia="Calibri" w:hAnsi="Arial" w:cs="Arial"/>
          <w:sz w:val="24"/>
          <w:szCs w:val="24"/>
          <w:lang w:val="en-ZA"/>
        </w:rPr>
        <w:t>7</w:t>
      </w:r>
      <w:r>
        <w:rPr>
          <w:rFonts w:ascii="Arial" w:eastAsia="Calibri" w:hAnsi="Arial" w:cs="Arial"/>
          <w:sz w:val="24"/>
          <w:szCs w:val="24"/>
          <w:lang w:val="en-ZA"/>
        </w:rPr>
        <w:t>]</w:t>
      </w:r>
      <w:r>
        <w:rPr>
          <w:rFonts w:ascii="Arial" w:eastAsia="Calibri" w:hAnsi="Arial" w:cs="Arial"/>
          <w:sz w:val="24"/>
          <w:szCs w:val="24"/>
          <w:lang w:val="en-ZA"/>
        </w:rPr>
        <w:tab/>
      </w:r>
      <w:r w:rsidR="00C42CC7">
        <w:rPr>
          <w:rFonts w:ascii="Arial" w:eastAsia="Calibri" w:hAnsi="Arial" w:cs="Arial"/>
          <w:sz w:val="24"/>
          <w:szCs w:val="24"/>
          <w:lang w:val="en-ZA"/>
        </w:rPr>
        <w:t xml:space="preserve">The applicant proposes that the words </w:t>
      </w:r>
      <w:r w:rsidR="00B81FED">
        <w:rPr>
          <w:rFonts w:ascii="Arial" w:eastAsia="Calibri" w:hAnsi="Arial" w:cs="Arial"/>
          <w:sz w:val="24"/>
          <w:szCs w:val="24"/>
          <w:lang w:val="en-ZA"/>
        </w:rPr>
        <w:t>‘</w:t>
      </w:r>
      <w:r w:rsidR="00C42CC7">
        <w:rPr>
          <w:rFonts w:ascii="Arial" w:eastAsia="Calibri" w:hAnsi="Arial" w:cs="Arial"/>
          <w:sz w:val="24"/>
          <w:szCs w:val="24"/>
          <w:lang w:val="en-ZA"/>
        </w:rPr>
        <w:t>dangerous, infectious or contagious</w:t>
      </w:r>
      <w:r w:rsidR="00B81FED">
        <w:rPr>
          <w:rFonts w:ascii="Arial" w:eastAsia="Calibri" w:hAnsi="Arial" w:cs="Arial"/>
          <w:sz w:val="24"/>
          <w:szCs w:val="24"/>
          <w:lang w:val="en-ZA"/>
        </w:rPr>
        <w:t>’</w:t>
      </w:r>
      <w:r w:rsidR="00C42CC7">
        <w:rPr>
          <w:rFonts w:ascii="Arial" w:eastAsia="Calibri" w:hAnsi="Arial" w:cs="Arial"/>
          <w:sz w:val="24"/>
          <w:szCs w:val="24"/>
          <w:lang w:val="en-ZA"/>
        </w:rPr>
        <w:t xml:space="preserve"> be interpreted as </w:t>
      </w:r>
      <w:r w:rsidR="00B81FED">
        <w:rPr>
          <w:rFonts w:ascii="Arial" w:eastAsia="Calibri" w:hAnsi="Arial" w:cs="Arial"/>
          <w:sz w:val="24"/>
          <w:szCs w:val="24"/>
          <w:lang w:val="en-ZA"/>
        </w:rPr>
        <w:t>‘</w:t>
      </w:r>
      <w:r w:rsidR="00C42CC7">
        <w:rPr>
          <w:rFonts w:ascii="Arial" w:eastAsia="Calibri" w:hAnsi="Arial" w:cs="Arial"/>
          <w:sz w:val="24"/>
          <w:szCs w:val="24"/>
          <w:lang w:val="en-ZA"/>
        </w:rPr>
        <w:t xml:space="preserve">dangerous disease, </w:t>
      </w:r>
      <w:r w:rsidR="003154D1">
        <w:rPr>
          <w:rFonts w:ascii="Arial" w:eastAsia="Calibri" w:hAnsi="Arial" w:cs="Arial"/>
          <w:sz w:val="24"/>
          <w:szCs w:val="24"/>
          <w:lang w:val="en-ZA"/>
        </w:rPr>
        <w:t>infectious disease or contagious disease</w:t>
      </w:r>
      <w:r w:rsidR="00B81FED">
        <w:rPr>
          <w:rFonts w:ascii="Arial" w:eastAsia="Calibri" w:hAnsi="Arial" w:cs="Arial"/>
          <w:sz w:val="24"/>
          <w:szCs w:val="24"/>
          <w:lang w:val="en-ZA"/>
        </w:rPr>
        <w:t>’</w:t>
      </w:r>
      <w:r w:rsidR="00C42CC7">
        <w:rPr>
          <w:rFonts w:ascii="Arial" w:eastAsia="Calibri" w:hAnsi="Arial" w:cs="Arial"/>
          <w:sz w:val="24"/>
          <w:szCs w:val="24"/>
          <w:lang w:val="en-ZA"/>
        </w:rPr>
        <w:t xml:space="preserve">. This sentence construction could never have been the intention of the legislature because this would mean that the Minister may authorise </w:t>
      </w:r>
      <w:r>
        <w:rPr>
          <w:rFonts w:ascii="Arial" w:eastAsia="Calibri" w:hAnsi="Arial" w:cs="Arial"/>
          <w:sz w:val="24"/>
          <w:szCs w:val="24"/>
          <w:lang w:val="en-ZA"/>
        </w:rPr>
        <w:t xml:space="preserve">the release of </w:t>
      </w:r>
      <w:r w:rsidR="00C42CC7">
        <w:rPr>
          <w:rFonts w:ascii="Arial" w:eastAsia="Calibri" w:hAnsi="Arial" w:cs="Arial"/>
          <w:sz w:val="24"/>
          <w:szCs w:val="24"/>
          <w:lang w:val="en-ZA"/>
        </w:rPr>
        <w:t>an offender who is suffering from a common cold which is a contagious disease, on medical grounds.</w:t>
      </w:r>
      <w:r w:rsidR="00697707">
        <w:rPr>
          <w:rFonts w:ascii="Arial" w:eastAsia="Calibri" w:hAnsi="Arial" w:cs="Arial"/>
          <w:sz w:val="24"/>
          <w:szCs w:val="24"/>
          <w:lang w:val="en-ZA"/>
        </w:rPr>
        <w:t xml:space="preserve"> </w:t>
      </w:r>
    </w:p>
    <w:p w:rsidR="0004238C" w:rsidRDefault="0004238C" w:rsidP="00E80947">
      <w:pPr>
        <w:spacing w:line="360" w:lineRule="auto"/>
        <w:jc w:val="both"/>
        <w:rPr>
          <w:rFonts w:ascii="Arial" w:eastAsia="Calibri" w:hAnsi="Arial" w:cs="Arial"/>
          <w:sz w:val="24"/>
          <w:szCs w:val="24"/>
          <w:lang w:val="en-ZA"/>
        </w:rPr>
      </w:pPr>
    </w:p>
    <w:p w:rsidR="004A6CE8" w:rsidRPr="0004238C" w:rsidRDefault="00697707" w:rsidP="00E80947">
      <w:pPr>
        <w:spacing w:line="360" w:lineRule="auto"/>
        <w:jc w:val="both"/>
        <w:rPr>
          <w:rFonts w:ascii="Arial" w:eastAsia="Calibri" w:hAnsi="Arial" w:cs="Arial"/>
          <w:sz w:val="24"/>
          <w:szCs w:val="24"/>
          <w:lang w:val="en-ZA"/>
        </w:rPr>
      </w:pPr>
      <w:r w:rsidRPr="0004238C">
        <w:rPr>
          <w:rFonts w:ascii="Arial" w:eastAsia="Calibri" w:hAnsi="Arial" w:cs="Arial"/>
          <w:sz w:val="24"/>
          <w:szCs w:val="24"/>
          <w:lang w:val="en-ZA"/>
        </w:rPr>
        <w:t>[</w:t>
      </w:r>
      <w:r w:rsidR="003A58BF" w:rsidRPr="0004238C">
        <w:rPr>
          <w:rFonts w:ascii="Arial" w:eastAsia="Calibri" w:hAnsi="Arial" w:cs="Arial"/>
          <w:sz w:val="24"/>
          <w:szCs w:val="24"/>
          <w:lang w:val="en-ZA"/>
        </w:rPr>
        <w:t>4</w:t>
      </w:r>
      <w:r w:rsidR="006B577D">
        <w:rPr>
          <w:rFonts w:ascii="Arial" w:eastAsia="Calibri" w:hAnsi="Arial" w:cs="Arial"/>
          <w:sz w:val="24"/>
          <w:szCs w:val="24"/>
          <w:lang w:val="en-ZA"/>
        </w:rPr>
        <w:t>8</w:t>
      </w:r>
      <w:r w:rsidRPr="0004238C">
        <w:rPr>
          <w:rFonts w:ascii="Arial" w:eastAsia="Calibri" w:hAnsi="Arial" w:cs="Arial"/>
          <w:sz w:val="24"/>
          <w:szCs w:val="24"/>
          <w:lang w:val="en-ZA"/>
        </w:rPr>
        <w:t>]</w:t>
      </w:r>
      <w:r w:rsidRPr="0004238C">
        <w:rPr>
          <w:rFonts w:ascii="Arial" w:eastAsia="Calibri" w:hAnsi="Arial" w:cs="Arial"/>
          <w:sz w:val="24"/>
          <w:szCs w:val="24"/>
          <w:lang w:val="en-ZA"/>
        </w:rPr>
        <w:tab/>
      </w:r>
      <w:r w:rsidR="004A6CE8" w:rsidRPr="0004238C">
        <w:rPr>
          <w:rFonts w:ascii="Arial" w:eastAsia="Calibri" w:hAnsi="Arial" w:cs="Arial"/>
          <w:sz w:val="24"/>
          <w:szCs w:val="24"/>
          <w:lang w:val="en-ZA"/>
        </w:rPr>
        <w:t xml:space="preserve">It would be useful to consider the development of this particular section from its inception. </w:t>
      </w:r>
      <w:r w:rsidR="0004238C" w:rsidRPr="0004238C">
        <w:rPr>
          <w:rFonts w:ascii="Arial" w:eastAsia="Calibri" w:hAnsi="Arial" w:cs="Arial"/>
          <w:sz w:val="24"/>
          <w:szCs w:val="24"/>
          <w:lang w:val="en-ZA"/>
        </w:rPr>
        <w:t>S</w:t>
      </w:r>
      <w:r w:rsidR="00B04D7B">
        <w:rPr>
          <w:rFonts w:ascii="Arial" w:eastAsia="Calibri" w:hAnsi="Arial" w:cs="Arial"/>
          <w:sz w:val="24"/>
          <w:szCs w:val="24"/>
          <w:lang w:val="en-ZA"/>
        </w:rPr>
        <w:t>ection</w:t>
      </w:r>
      <w:r w:rsidR="003A58BF" w:rsidRPr="0004238C">
        <w:rPr>
          <w:rFonts w:ascii="Arial" w:eastAsia="Calibri" w:hAnsi="Arial" w:cs="Arial"/>
          <w:sz w:val="24"/>
          <w:szCs w:val="24"/>
          <w:lang w:val="en-ZA"/>
        </w:rPr>
        <w:t xml:space="preserve"> 71</w:t>
      </w:r>
      <w:r w:rsidR="004A6CE8" w:rsidRPr="00B04D7B">
        <w:rPr>
          <w:rFonts w:ascii="Arial" w:eastAsia="Calibri" w:hAnsi="Arial" w:cs="Arial"/>
          <w:i/>
          <w:sz w:val="24"/>
          <w:szCs w:val="24"/>
          <w:lang w:val="en-ZA"/>
        </w:rPr>
        <w:t>(a)</w:t>
      </w:r>
      <w:r w:rsidR="004A6CE8" w:rsidRPr="0004238C">
        <w:rPr>
          <w:rFonts w:ascii="Arial" w:eastAsia="Calibri" w:hAnsi="Arial" w:cs="Arial"/>
          <w:sz w:val="24"/>
          <w:szCs w:val="24"/>
          <w:lang w:val="en-ZA"/>
        </w:rPr>
        <w:t xml:space="preserve"> </w:t>
      </w:r>
      <w:r w:rsidRPr="0004238C">
        <w:rPr>
          <w:rFonts w:ascii="Arial" w:eastAsia="Calibri" w:hAnsi="Arial" w:cs="Arial"/>
          <w:sz w:val="24"/>
          <w:szCs w:val="24"/>
          <w:lang w:val="en-ZA"/>
        </w:rPr>
        <w:t>of the Prison</w:t>
      </w:r>
      <w:r w:rsidR="000C5174" w:rsidRPr="0004238C">
        <w:rPr>
          <w:rFonts w:ascii="Arial" w:eastAsia="Calibri" w:hAnsi="Arial" w:cs="Arial"/>
          <w:sz w:val="24"/>
          <w:szCs w:val="24"/>
          <w:lang w:val="en-ZA"/>
        </w:rPr>
        <w:t>s</w:t>
      </w:r>
      <w:r w:rsidR="00D74A93" w:rsidRPr="0004238C">
        <w:rPr>
          <w:rFonts w:ascii="Arial" w:eastAsia="Calibri" w:hAnsi="Arial" w:cs="Arial"/>
          <w:sz w:val="24"/>
          <w:szCs w:val="24"/>
          <w:lang w:val="en-ZA"/>
        </w:rPr>
        <w:t xml:space="preserve"> Act</w:t>
      </w:r>
      <w:r w:rsidRPr="0004238C">
        <w:rPr>
          <w:rFonts w:ascii="Arial" w:eastAsia="Calibri" w:hAnsi="Arial" w:cs="Arial"/>
          <w:sz w:val="24"/>
          <w:szCs w:val="24"/>
          <w:lang w:val="en-ZA"/>
        </w:rPr>
        <w:t xml:space="preserve"> </w:t>
      </w:r>
      <w:r w:rsidR="004A6CE8" w:rsidRPr="0004238C">
        <w:rPr>
          <w:rFonts w:ascii="Arial" w:eastAsia="Calibri" w:hAnsi="Arial" w:cs="Arial"/>
          <w:sz w:val="24"/>
          <w:szCs w:val="24"/>
          <w:lang w:val="en-ZA"/>
        </w:rPr>
        <w:t xml:space="preserve">8 of </w:t>
      </w:r>
      <w:r w:rsidRPr="0004238C">
        <w:rPr>
          <w:rFonts w:ascii="Arial" w:eastAsia="Calibri" w:hAnsi="Arial" w:cs="Arial"/>
          <w:sz w:val="24"/>
          <w:szCs w:val="24"/>
          <w:lang w:val="en-ZA"/>
        </w:rPr>
        <w:t>1959</w:t>
      </w:r>
      <w:r w:rsidR="004A6CE8" w:rsidRPr="0004238C">
        <w:rPr>
          <w:rFonts w:ascii="Arial" w:eastAsia="Calibri" w:hAnsi="Arial" w:cs="Arial"/>
          <w:sz w:val="24"/>
          <w:szCs w:val="24"/>
          <w:lang w:val="en-ZA"/>
        </w:rPr>
        <w:t>, before any of the amendments reads as follows:</w:t>
      </w:r>
    </w:p>
    <w:p w:rsidR="0004238C" w:rsidRDefault="0004238C" w:rsidP="0004238C">
      <w:pPr>
        <w:spacing w:line="360" w:lineRule="auto"/>
        <w:ind w:firstLine="720"/>
        <w:jc w:val="both"/>
        <w:rPr>
          <w:rFonts w:ascii="Arial" w:eastAsia="Calibri" w:hAnsi="Arial" w:cs="Arial"/>
          <w:lang w:val="en-ZA"/>
        </w:rPr>
      </w:pPr>
      <w:r>
        <w:rPr>
          <w:rFonts w:ascii="Arial" w:eastAsia="Calibri" w:hAnsi="Arial" w:cs="Arial"/>
          <w:lang w:val="en-ZA"/>
        </w:rPr>
        <w:t xml:space="preserve">‘Ay </w:t>
      </w:r>
      <w:r w:rsidRPr="0004238C">
        <w:rPr>
          <w:rFonts w:ascii="Arial" w:eastAsia="Calibri" w:hAnsi="Arial" w:cs="Arial"/>
          <w:lang w:val="en-ZA"/>
        </w:rPr>
        <w:t>prisoner who is detained in any prison under sentence of court and:</w:t>
      </w:r>
      <w:r>
        <w:rPr>
          <w:rFonts w:ascii="Arial" w:eastAsia="Calibri" w:hAnsi="Arial" w:cs="Arial"/>
          <w:lang w:val="en-ZA"/>
        </w:rPr>
        <w:t xml:space="preserve"> </w:t>
      </w:r>
    </w:p>
    <w:p w:rsidR="0004238C" w:rsidRPr="0004238C" w:rsidRDefault="0004238C" w:rsidP="0004238C">
      <w:pPr>
        <w:spacing w:line="360" w:lineRule="auto"/>
        <w:jc w:val="both"/>
        <w:rPr>
          <w:rFonts w:ascii="Arial" w:eastAsia="Calibri" w:hAnsi="Arial" w:cs="Arial"/>
          <w:lang w:val="en-ZA"/>
        </w:rPr>
      </w:pPr>
      <w:r>
        <w:rPr>
          <w:rFonts w:ascii="Arial" w:eastAsia="Calibri" w:hAnsi="Arial" w:cs="Arial"/>
          <w:lang w:val="en-ZA"/>
        </w:rPr>
        <w:t xml:space="preserve">a) </w:t>
      </w:r>
      <w:r w:rsidRPr="0004238C">
        <w:rPr>
          <w:rFonts w:ascii="Arial" w:hAnsi="Arial" w:cs="Arial"/>
          <w:lang w:val="en-ZA"/>
        </w:rPr>
        <w:t>Who is suffering from a dangerous infectious or contagious disease; or</w:t>
      </w:r>
    </w:p>
    <w:p w:rsidR="0004238C" w:rsidRPr="00D74A93" w:rsidRDefault="0004238C" w:rsidP="0004238C">
      <w:pPr>
        <w:spacing w:line="360" w:lineRule="auto"/>
        <w:jc w:val="both"/>
        <w:rPr>
          <w:rFonts w:ascii="Arial" w:hAnsi="Arial" w:cs="Arial"/>
          <w:lang w:val="en-ZA"/>
        </w:rPr>
      </w:pPr>
      <w:r>
        <w:rPr>
          <w:rFonts w:ascii="Arial" w:hAnsi="Arial" w:cs="Arial"/>
          <w:lang w:val="en-ZA"/>
        </w:rPr>
        <w:t xml:space="preserve">b)  </w:t>
      </w:r>
      <w:r w:rsidRPr="00D74A93">
        <w:rPr>
          <w:rFonts w:ascii="Arial" w:hAnsi="Arial" w:cs="Arial"/>
          <w:lang w:val="en-ZA"/>
        </w:rPr>
        <w:t>…</w:t>
      </w:r>
    </w:p>
    <w:p w:rsidR="0004238C" w:rsidRPr="00D74A93" w:rsidRDefault="0004238C" w:rsidP="0004238C">
      <w:pPr>
        <w:spacing w:line="360" w:lineRule="auto"/>
        <w:jc w:val="both"/>
        <w:rPr>
          <w:rFonts w:ascii="Arial" w:hAnsi="Arial" w:cs="Arial"/>
          <w:lang w:val="en-ZA"/>
        </w:rPr>
      </w:pPr>
      <w:r>
        <w:rPr>
          <w:rFonts w:ascii="Arial" w:hAnsi="Arial" w:cs="Arial"/>
          <w:lang w:val="en-ZA"/>
        </w:rPr>
        <w:t xml:space="preserve">c) </w:t>
      </w:r>
      <w:r w:rsidRPr="00D74A93">
        <w:rPr>
          <w:rFonts w:ascii="Arial" w:hAnsi="Arial" w:cs="Arial"/>
          <w:lang w:val="en-ZA"/>
        </w:rPr>
        <w:t>…</w:t>
      </w:r>
    </w:p>
    <w:p w:rsidR="0004238C" w:rsidRDefault="0004238C" w:rsidP="0004238C">
      <w:pPr>
        <w:spacing w:line="360" w:lineRule="auto"/>
        <w:jc w:val="both"/>
        <w:rPr>
          <w:rFonts w:ascii="Arial" w:hAnsi="Arial" w:cs="Arial"/>
          <w:lang w:val="en-ZA"/>
        </w:rPr>
      </w:pPr>
      <w:proofErr w:type="gramStart"/>
      <w:r>
        <w:rPr>
          <w:rFonts w:ascii="Arial" w:hAnsi="Arial" w:cs="Arial"/>
          <w:lang w:val="en-ZA"/>
        </w:rPr>
        <w:t>d</w:t>
      </w:r>
      <w:proofErr w:type="gramEnd"/>
      <w:r>
        <w:rPr>
          <w:rFonts w:ascii="Arial" w:hAnsi="Arial" w:cs="Arial"/>
          <w:lang w:val="en-ZA"/>
        </w:rPr>
        <w:t xml:space="preserve">) May, on the recommendation of the medical officer, be released by the Minister either   </w:t>
      </w:r>
    </w:p>
    <w:p w:rsidR="0004238C" w:rsidRPr="0004238C" w:rsidRDefault="0004238C" w:rsidP="0004238C">
      <w:pPr>
        <w:spacing w:line="360" w:lineRule="auto"/>
        <w:jc w:val="both"/>
        <w:rPr>
          <w:rFonts w:ascii="Arial" w:hAnsi="Arial" w:cs="Arial"/>
          <w:lang w:val="en-ZA"/>
        </w:rPr>
      </w:pPr>
      <w:r>
        <w:rPr>
          <w:rFonts w:ascii="Arial" w:hAnsi="Arial" w:cs="Arial"/>
          <w:lang w:val="en-ZA"/>
        </w:rPr>
        <w:t xml:space="preserve">    </w:t>
      </w:r>
      <w:proofErr w:type="gramStart"/>
      <w:r>
        <w:rPr>
          <w:rFonts w:ascii="Arial" w:hAnsi="Arial" w:cs="Arial"/>
          <w:lang w:val="en-ZA"/>
        </w:rPr>
        <w:t>unconditionally</w:t>
      </w:r>
      <w:proofErr w:type="gramEnd"/>
      <w:r>
        <w:rPr>
          <w:rFonts w:ascii="Arial" w:hAnsi="Arial" w:cs="Arial"/>
          <w:lang w:val="en-ZA"/>
        </w:rPr>
        <w:t xml:space="preserve"> or on probation or on parole as the Minister may direct.’</w:t>
      </w:r>
    </w:p>
    <w:p w:rsidR="004A6CE8" w:rsidRDefault="004A6CE8" w:rsidP="004A6CE8">
      <w:pPr>
        <w:spacing w:line="360" w:lineRule="auto"/>
        <w:jc w:val="both"/>
        <w:rPr>
          <w:rFonts w:ascii="Arial" w:hAnsi="Arial" w:cs="Arial"/>
          <w:sz w:val="24"/>
          <w:szCs w:val="24"/>
          <w:lang w:val="en-ZA"/>
        </w:rPr>
      </w:pPr>
    </w:p>
    <w:p w:rsidR="004A6CE8" w:rsidRDefault="004A6CE8" w:rsidP="004A6CE8">
      <w:pPr>
        <w:spacing w:line="360" w:lineRule="auto"/>
        <w:jc w:val="both"/>
        <w:rPr>
          <w:rFonts w:ascii="Arial" w:hAnsi="Arial" w:cs="Arial"/>
          <w:sz w:val="24"/>
          <w:szCs w:val="24"/>
          <w:lang w:val="en-ZA"/>
        </w:rPr>
      </w:pPr>
      <w:r>
        <w:rPr>
          <w:rFonts w:ascii="Arial" w:hAnsi="Arial" w:cs="Arial"/>
          <w:sz w:val="24"/>
          <w:szCs w:val="24"/>
          <w:lang w:val="en-ZA"/>
        </w:rPr>
        <w:t>[</w:t>
      </w:r>
      <w:r w:rsidR="003A58BF">
        <w:rPr>
          <w:rFonts w:ascii="Arial" w:hAnsi="Arial" w:cs="Arial"/>
          <w:sz w:val="24"/>
          <w:szCs w:val="24"/>
          <w:lang w:val="en-ZA"/>
        </w:rPr>
        <w:t>4</w:t>
      </w:r>
      <w:r w:rsidR="006B577D">
        <w:rPr>
          <w:rFonts w:ascii="Arial" w:hAnsi="Arial" w:cs="Arial"/>
          <w:sz w:val="24"/>
          <w:szCs w:val="24"/>
          <w:lang w:val="en-ZA"/>
        </w:rPr>
        <w:t>9</w:t>
      </w:r>
      <w:r w:rsidR="0004238C">
        <w:rPr>
          <w:rFonts w:ascii="Arial" w:hAnsi="Arial" w:cs="Arial"/>
          <w:sz w:val="24"/>
          <w:szCs w:val="24"/>
          <w:lang w:val="en-ZA"/>
        </w:rPr>
        <w:t>]</w:t>
      </w:r>
      <w:r w:rsidR="0004238C">
        <w:rPr>
          <w:rFonts w:ascii="Arial" w:hAnsi="Arial" w:cs="Arial"/>
          <w:sz w:val="24"/>
          <w:szCs w:val="24"/>
          <w:lang w:val="en-ZA"/>
        </w:rPr>
        <w:tab/>
        <w:t>S</w:t>
      </w:r>
      <w:r w:rsidR="00B04D7B">
        <w:rPr>
          <w:rFonts w:ascii="Arial" w:hAnsi="Arial" w:cs="Arial"/>
          <w:sz w:val="24"/>
          <w:szCs w:val="24"/>
          <w:lang w:val="en-ZA"/>
        </w:rPr>
        <w:t xml:space="preserve">ection </w:t>
      </w:r>
      <w:r>
        <w:rPr>
          <w:rFonts w:ascii="Arial" w:hAnsi="Arial" w:cs="Arial"/>
          <w:sz w:val="24"/>
          <w:szCs w:val="24"/>
          <w:lang w:val="en-ZA"/>
        </w:rPr>
        <w:t>69 of the Correctional Services Act 8 of 1959, as amended reads as follows:</w:t>
      </w:r>
    </w:p>
    <w:p w:rsidR="00AA501E" w:rsidRPr="000C5174" w:rsidRDefault="004A6CE8" w:rsidP="004A6CE8">
      <w:pPr>
        <w:spacing w:line="360" w:lineRule="auto"/>
        <w:jc w:val="both"/>
        <w:rPr>
          <w:rFonts w:ascii="Arial" w:hAnsi="Arial" w:cs="Arial"/>
          <w:lang w:val="en-ZA"/>
        </w:rPr>
      </w:pPr>
      <w:r>
        <w:rPr>
          <w:rFonts w:ascii="Arial" w:hAnsi="Arial" w:cs="Arial"/>
          <w:sz w:val="24"/>
          <w:szCs w:val="24"/>
          <w:lang w:val="en-ZA"/>
        </w:rPr>
        <w:tab/>
      </w:r>
      <w:r w:rsidRPr="000C5174">
        <w:rPr>
          <w:rFonts w:ascii="Arial" w:hAnsi="Arial" w:cs="Arial"/>
          <w:lang w:val="en-ZA"/>
        </w:rPr>
        <w:t xml:space="preserve">A prisoner serving any sentence in a prison </w:t>
      </w:r>
      <w:r w:rsidR="00AA501E" w:rsidRPr="000C5174">
        <w:rPr>
          <w:rFonts w:ascii="Arial" w:hAnsi="Arial" w:cs="Arial"/>
          <w:lang w:val="en-ZA"/>
        </w:rPr>
        <w:t>–</w:t>
      </w:r>
    </w:p>
    <w:p w:rsidR="004A6CE8" w:rsidRPr="000C5174" w:rsidRDefault="004A6CE8" w:rsidP="00AA501E">
      <w:pPr>
        <w:pStyle w:val="ListParagraph"/>
        <w:numPr>
          <w:ilvl w:val="0"/>
          <w:numId w:val="18"/>
        </w:numPr>
        <w:spacing w:line="360" w:lineRule="auto"/>
        <w:jc w:val="both"/>
        <w:rPr>
          <w:rFonts w:ascii="Arial" w:hAnsi="Arial" w:cs="Arial"/>
          <w:lang w:val="en-ZA"/>
        </w:rPr>
      </w:pPr>
      <w:r w:rsidRPr="000C5174">
        <w:rPr>
          <w:rFonts w:ascii="Arial" w:hAnsi="Arial" w:cs="Arial"/>
          <w:lang w:val="en-ZA"/>
        </w:rPr>
        <w:t xml:space="preserve">who suffers from a dangerous, infectious or contagious disease </w:t>
      </w:r>
      <w:r w:rsidR="00AA501E" w:rsidRPr="000C5174">
        <w:rPr>
          <w:rFonts w:ascii="Arial" w:hAnsi="Arial" w:cs="Arial"/>
          <w:lang w:val="en-ZA"/>
        </w:rPr>
        <w:t>or</w:t>
      </w:r>
    </w:p>
    <w:p w:rsidR="00AA501E" w:rsidRDefault="00AA501E" w:rsidP="00A952C9">
      <w:pPr>
        <w:pStyle w:val="ListParagraph"/>
        <w:numPr>
          <w:ilvl w:val="0"/>
          <w:numId w:val="18"/>
        </w:numPr>
        <w:spacing w:line="360" w:lineRule="auto"/>
        <w:jc w:val="both"/>
        <w:rPr>
          <w:rFonts w:ascii="Arial" w:hAnsi="Arial" w:cs="Arial"/>
          <w:lang w:val="en-ZA"/>
        </w:rPr>
      </w:pPr>
      <w:r w:rsidRPr="000C5174">
        <w:rPr>
          <w:rFonts w:ascii="Arial" w:hAnsi="Arial" w:cs="Arial"/>
          <w:lang w:val="en-ZA"/>
        </w:rPr>
        <w:t>…’</w:t>
      </w:r>
    </w:p>
    <w:p w:rsidR="00062933" w:rsidRPr="00D74A93" w:rsidRDefault="00062933" w:rsidP="00062933">
      <w:pPr>
        <w:pStyle w:val="ListParagraph"/>
        <w:spacing w:line="360" w:lineRule="auto"/>
        <w:ind w:left="732"/>
        <w:jc w:val="both"/>
        <w:rPr>
          <w:rFonts w:ascii="Arial" w:hAnsi="Arial" w:cs="Arial"/>
          <w:lang w:val="en-ZA"/>
        </w:rPr>
      </w:pPr>
    </w:p>
    <w:p w:rsidR="00E80947" w:rsidRDefault="00AA501E" w:rsidP="00A952C9">
      <w:pPr>
        <w:spacing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w:t>
      </w:r>
      <w:r w:rsidR="006B577D">
        <w:rPr>
          <w:rFonts w:ascii="Arial" w:eastAsia="Calibri" w:hAnsi="Arial" w:cs="Arial"/>
          <w:sz w:val="24"/>
          <w:szCs w:val="24"/>
          <w:lang w:val="en-ZA"/>
        </w:rPr>
        <w:t>50</w:t>
      </w:r>
      <w:r>
        <w:rPr>
          <w:rFonts w:ascii="Arial" w:eastAsia="Calibri" w:hAnsi="Arial" w:cs="Arial"/>
          <w:sz w:val="24"/>
          <w:szCs w:val="24"/>
          <w:lang w:val="en-ZA"/>
        </w:rPr>
        <w:t>]</w:t>
      </w:r>
      <w:r>
        <w:rPr>
          <w:rFonts w:ascii="Arial" w:eastAsia="Calibri" w:hAnsi="Arial" w:cs="Arial"/>
          <w:sz w:val="24"/>
          <w:szCs w:val="24"/>
          <w:lang w:val="en-ZA"/>
        </w:rPr>
        <w:tab/>
        <w:t xml:space="preserve">The identical wording can be found in s 94 of the repealed Prisons Act 17 of 1998 and the current Correctional Service Act 9 of 2012. The absurd </w:t>
      </w:r>
      <w:r w:rsidR="003A58BF">
        <w:rPr>
          <w:rFonts w:ascii="Arial" w:eastAsia="Calibri" w:hAnsi="Arial" w:cs="Arial"/>
          <w:sz w:val="24"/>
          <w:szCs w:val="24"/>
          <w:lang w:val="en-ZA"/>
        </w:rPr>
        <w:t>results as proposed by the applicant have</w:t>
      </w:r>
      <w:r>
        <w:rPr>
          <w:rFonts w:ascii="Arial" w:eastAsia="Calibri" w:hAnsi="Arial" w:cs="Arial"/>
          <w:sz w:val="24"/>
          <w:szCs w:val="24"/>
          <w:lang w:val="en-ZA"/>
        </w:rPr>
        <w:t xml:space="preserve"> been introduced by the insertion of a simple comma between the words dangerous and infectious. The clear int</w:t>
      </w:r>
      <w:r w:rsidR="00D74A93">
        <w:rPr>
          <w:rFonts w:ascii="Arial" w:eastAsia="Calibri" w:hAnsi="Arial" w:cs="Arial"/>
          <w:sz w:val="24"/>
          <w:szCs w:val="24"/>
          <w:lang w:val="en-ZA"/>
        </w:rPr>
        <w:t>ent of the legislator in s</w:t>
      </w:r>
      <w:r>
        <w:rPr>
          <w:rFonts w:ascii="Arial" w:eastAsia="Calibri" w:hAnsi="Arial" w:cs="Arial"/>
          <w:sz w:val="24"/>
          <w:szCs w:val="24"/>
          <w:lang w:val="en-ZA"/>
        </w:rPr>
        <w:t xml:space="preserve"> 109 (</w:t>
      </w:r>
      <w:r w:rsidRPr="00B81FED">
        <w:rPr>
          <w:rFonts w:ascii="Arial" w:eastAsia="Calibri" w:hAnsi="Arial" w:cs="Arial"/>
          <w:i/>
          <w:sz w:val="24"/>
          <w:szCs w:val="24"/>
          <w:lang w:val="en-ZA"/>
        </w:rPr>
        <w:t>a</w:t>
      </w:r>
      <w:r>
        <w:rPr>
          <w:rFonts w:ascii="Arial" w:eastAsia="Calibri" w:hAnsi="Arial" w:cs="Arial"/>
          <w:sz w:val="24"/>
          <w:szCs w:val="24"/>
          <w:lang w:val="en-ZA"/>
        </w:rPr>
        <w:t>) was to make provision for the release of the offender who suffers fro</w:t>
      </w:r>
      <w:r w:rsidR="001E2B74">
        <w:rPr>
          <w:rFonts w:ascii="Arial" w:eastAsia="Calibri" w:hAnsi="Arial" w:cs="Arial"/>
          <w:sz w:val="24"/>
          <w:szCs w:val="24"/>
          <w:lang w:val="en-ZA"/>
        </w:rPr>
        <w:t>m a dangerous infectious</w:t>
      </w:r>
      <w:r>
        <w:rPr>
          <w:rFonts w:ascii="Arial" w:eastAsia="Calibri" w:hAnsi="Arial" w:cs="Arial"/>
          <w:sz w:val="24"/>
          <w:szCs w:val="24"/>
          <w:lang w:val="en-ZA"/>
        </w:rPr>
        <w:t xml:space="preserve"> or a dangerous contagious disease. It could never have been the intention </w:t>
      </w:r>
      <w:r w:rsidR="00634C88">
        <w:rPr>
          <w:rFonts w:ascii="Arial" w:eastAsia="Calibri" w:hAnsi="Arial" w:cs="Arial"/>
          <w:sz w:val="24"/>
          <w:szCs w:val="24"/>
          <w:lang w:val="en-ZA"/>
        </w:rPr>
        <w:t xml:space="preserve">of the legislator </w:t>
      </w:r>
      <w:r>
        <w:rPr>
          <w:rFonts w:ascii="Arial" w:eastAsia="Calibri" w:hAnsi="Arial" w:cs="Arial"/>
          <w:sz w:val="24"/>
          <w:szCs w:val="24"/>
          <w:lang w:val="en-ZA"/>
        </w:rPr>
        <w:t>t</w:t>
      </w:r>
      <w:r w:rsidR="00634C88">
        <w:rPr>
          <w:rFonts w:ascii="Arial" w:eastAsia="Calibri" w:hAnsi="Arial" w:cs="Arial"/>
          <w:sz w:val="24"/>
          <w:szCs w:val="24"/>
          <w:lang w:val="en-ZA"/>
        </w:rPr>
        <w:t>o authorise the</w:t>
      </w:r>
      <w:r>
        <w:rPr>
          <w:rFonts w:ascii="Arial" w:eastAsia="Calibri" w:hAnsi="Arial" w:cs="Arial"/>
          <w:sz w:val="24"/>
          <w:szCs w:val="24"/>
          <w:lang w:val="en-ZA"/>
        </w:rPr>
        <w:t xml:space="preserve"> release </w:t>
      </w:r>
      <w:r w:rsidR="00634C88">
        <w:rPr>
          <w:rFonts w:ascii="Arial" w:eastAsia="Calibri" w:hAnsi="Arial" w:cs="Arial"/>
          <w:sz w:val="24"/>
          <w:szCs w:val="24"/>
          <w:lang w:val="en-ZA"/>
        </w:rPr>
        <w:t xml:space="preserve">of an offender </w:t>
      </w:r>
      <w:r>
        <w:rPr>
          <w:rFonts w:ascii="Arial" w:eastAsia="Calibri" w:hAnsi="Arial" w:cs="Arial"/>
          <w:sz w:val="24"/>
          <w:szCs w:val="24"/>
          <w:lang w:val="en-ZA"/>
        </w:rPr>
        <w:t xml:space="preserve">on the medical ground for </w:t>
      </w:r>
      <w:r w:rsidR="00634C88">
        <w:rPr>
          <w:rFonts w:ascii="Arial" w:eastAsia="Calibri" w:hAnsi="Arial" w:cs="Arial"/>
          <w:sz w:val="24"/>
          <w:szCs w:val="24"/>
          <w:lang w:val="en-ZA"/>
        </w:rPr>
        <w:t xml:space="preserve">a </w:t>
      </w:r>
      <w:r>
        <w:rPr>
          <w:rFonts w:ascii="Arial" w:eastAsia="Calibri" w:hAnsi="Arial" w:cs="Arial"/>
          <w:sz w:val="24"/>
          <w:szCs w:val="24"/>
          <w:lang w:val="en-ZA"/>
        </w:rPr>
        <w:t xml:space="preserve">disease which </w:t>
      </w:r>
      <w:r w:rsidR="00634C88">
        <w:rPr>
          <w:rFonts w:ascii="Arial" w:eastAsia="Calibri" w:hAnsi="Arial" w:cs="Arial"/>
          <w:sz w:val="24"/>
          <w:szCs w:val="24"/>
          <w:lang w:val="en-ZA"/>
        </w:rPr>
        <w:t xml:space="preserve">is </w:t>
      </w:r>
      <w:r>
        <w:rPr>
          <w:rFonts w:ascii="Arial" w:eastAsia="Calibri" w:hAnsi="Arial" w:cs="Arial"/>
          <w:sz w:val="24"/>
          <w:szCs w:val="24"/>
          <w:lang w:val="en-ZA"/>
        </w:rPr>
        <w:t xml:space="preserve">dangerous </w:t>
      </w:r>
      <w:r w:rsidR="00634C88">
        <w:rPr>
          <w:rFonts w:ascii="Arial" w:eastAsia="Calibri" w:hAnsi="Arial" w:cs="Arial"/>
          <w:sz w:val="24"/>
          <w:szCs w:val="24"/>
          <w:lang w:val="en-ZA"/>
        </w:rPr>
        <w:t xml:space="preserve">but </w:t>
      </w:r>
      <w:r w:rsidR="00563D65">
        <w:rPr>
          <w:rFonts w:ascii="Arial" w:eastAsia="Calibri" w:hAnsi="Arial" w:cs="Arial"/>
          <w:sz w:val="24"/>
          <w:szCs w:val="24"/>
          <w:lang w:val="en-ZA"/>
        </w:rPr>
        <w:t xml:space="preserve">which could </w:t>
      </w:r>
      <w:r w:rsidR="00634C88">
        <w:rPr>
          <w:rFonts w:ascii="Arial" w:eastAsia="Calibri" w:hAnsi="Arial" w:cs="Arial"/>
          <w:sz w:val="24"/>
          <w:szCs w:val="24"/>
          <w:lang w:val="en-ZA"/>
        </w:rPr>
        <w:t xml:space="preserve">still </w:t>
      </w:r>
      <w:r w:rsidR="00563D65">
        <w:rPr>
          <w:rFonts w:ascii="Arial" w:eastAsia="Calibri" w:hAnsi="Arial" w:cs="Arial"/>
          <w:sz w:val="24"/>
          <w:szCs w:val="24"/>
          <w:lang w:val="en-ZA"/>
        </w:rPr>
        <w:t>be managed or controlled</w:t>
      </w:r>
      <w:r w:rsidR="00634C88">
        <w:rPr>
          <w:rFonts w:ascii="Arial" w:eastAsia="Calibri" w:hAnsi="Arial" w:cs="Arial"/>
          <w:sz w:val="24"/>
          <w:szCs w:val="24"/>
          <w:lang w:val="en-ZA"/>
        </w:rPr>
        <w:t xml:space="preserve"> with medical treatment</w:t>
      </w:r>
      <w:r w:rsidR="00563D65">
        <w:rPr>
          <w:rFonts w:ascii="Arial" w:eastAsia="Calibri" w:hAnsi="Arial" w:cs="Arial"/>
          <w:sz w:val="24"/>
          <w:szCs w:val="24"/>
          <w:lang w:val="en-ZA"/>
        </w:rPr>
        <w:t xml:space="preserve"> or</w:t>
      </w:r>
      <w:r w:rsidR="00634C88">
        <w:rPr>
          <w:rFonts w:ascii="Arial" w:eastAsia="Calibri" w:hAnsi="Arial" w:cs="Arial"/>
          <w:sz w:val="24"/>
          <w:szCs w:val="24"/>
          <w:lang w:val="en-ZA"/>
        </w:rPr>
        <w:t xml:space="preserve"> for that matter, an offender who is </w:t>
      </w:r>
      <w:r w:rsidR="00563D65">
        <w:rPr>
          <w:rFonts w:ascii="Arial" w:eastAsia="Calibri" w:hAnsi="Arial" w:cs="Arial"/>
          <w:sz w:val="24"/>
          <w:szCs w:val="24"/>
          <w:lang w:val="en-ZA"/>
        </w:rPr>
        <w:t>simply</w:t>
      </w:r>
      <w:r w:rsidR="00D74A93">
        <w:rPr>
          <w:rFonts w:ascii="Arial" w:eastAsia="Calibri" w:hAnsi="Arial" w:cs="Arial"/>
          <w:sz w:val="24"/>
          <w:szCs w:val="24"/>
          <w:lang w:val="en-ZA"/>
        </w:rPr>
        <w:t xml:space="preserve"> suffering from an </w:t>
      </w:r>
      <w:r w:rsidR="00563D65">
        <w:rPr>
          <w:rFonts w:ascii="Arial" w:eastAsia="Calibri" w:hAnsi="Arial" w:cs="Arial"/>
          <w:sz w:val="24"/>
          <w:szCs w:val="24"/>
          <w:lang w:val="en-ZA"/>
        </w:rPr>
        <w:t>infectious or contagious</w:t>
      </w:r>
      <w:r w:rsidR="00634C88">
        <w:rPr>
          <w:rFonts w:ascii="Arial" w:eastAsia="Calibri" w:hAnsi="Arial" w:cs="Arial"/>
          <w:sz w:val="24"/>
          <w:szCs w:val="24"/>
          <w:lang w:val="en-ZA"/>
        </w:rPr>
        <w:t xml:space="preserve"> disease</w:t>
      </w:r>
      <w:r w:rsidR="00563D65">
        <w:rPr>
          <w:rFonts w:ascii="Arial" w:eastAsia="Calibri" w:hAnsi="Arial" w:cs="Arial"/>
          <w:sz w:val="24"/>
          <w:szCs w:val="24"/>
          <w:lang w:val="en-ZA"/>
        </w:rPr>
        <w:t>. To hold differently would lead to absurd results.</w:t>
      </w:r>
      <w:r w:rsidR="006229BC">
        <w:rPr>
          <w:rFonts w:ascii="Arial" w:eastAsia="Calibri" w:hAnsi="Arial" w:cs="Arial"/>
          <w:sz w:val="24"/>
          <w:szCs w:val="24"/>
          <w:lang w:val="en-ZA"/>
        </w:rPr>
        <w:t xml:space="preserve"> The rationale for the release on medical ground</w:t>
      </w:r>
      <w:r w:rsidR="00D74A93">
        <w:rPr>
          <w:rFonts w:ascii="Arial" w:eastAsia="Calibri" w:hAnsi="Arial" w:cs="Arial"/>
          <w:sz w:val="24"/>
          <w:szCs w:val="24"/>
          <w:lang w:val="en-ZA"/>
        </w:rPr>
        <w:t>s</w:t>
      </w:r>
      <w:r w:rsidR="006229BC">
        <w:rPr>
          <w:rFonts w:ascii="Arial" w:eastAsia="Calibri" w:hAnsi="Arial" w:cs="Arial"/>
          <w:sz w:val="24"/>
          <w:szCs w:val="24"/>
          <w:lang w:val="en-ZA"/>
        </w:rPr>
        <w:t xml:space="preserve"> is per the words of </w:t>
      </w:r>
      <w:proofErr w:type="spellStart"/>
      <w:r w:rsidR="006229BC">
        <w:rPr>
          <w:rFonts w:ascii="Arial" w:eastAsia="Calibri" w:hAnsi="Arial" w:cs="Arial"/>
          <w:sz w:val="24"/>
          <w:szCs w:val="24"/>
          <w:lang w:val="en-GB"/>
        </w:rPr>
        <w:t>Jalila</w:t>
      </w:r>
      <w:proofErr w:type="spellEnd"/>
      <w:r w:rsidR="006229BC">
        <w:rPr>
          <w:rFonts w:ascii="Arial" w:eastAsia="Calibri" w:hAnsi="Arial" w:cs="Arial"/>
          <w:sz w:val="24"/>
          <w:szCs w:val="24"/>
          <w:lang w:val="en-GB"/>
        </w:rPr>
        <w:t xml:space="preserve"> Jefferson-Bullock</w:t>
      </w:r>
      <w:r w:rsidR="006229BC">
        <w:rPr>
          <w:rFonts w:ascii="Arial" w:eastAsia="Calibri" w:hAnsi="Arial" w:cs="Arial"/>
          <w:sz w:val="24"/>
          <w:szCs w:val="24"/>
          <w:lang w:val="en-ZA"/>
        </w:rPr>
        <w:t xml:space="preserve"> cited </w:t>
      </w:r>
      <w:r w:rsidR="000C5174">
        <w:rPr>
          <w:rFonts w:ascii="Arial" w:eastAsia="Calibri" w:hAnsi="Arial" w:cs="Arial"/>
          <w:sz w:val="24"/>
          <w:szCs w:val="24"/>
          <w:lang w:val="en-ZA"/>
        </w:rPr>
        <w:t xml:space="preserve">by Mr </w:t>
      </w:r>
      <w:proofErr w:type="spellStart"/>
      <w:r w:rsidR="000C5174">
        <w:rPr>
          <w:rFonts w:ascii="Arial" w:eastAsia="Calibri" w:hAnsi="Arial" w:cs="Arial"/>
          <w:sz w:val="24"/>
          <w:szCs w:val="24"/>
          <w:lang w:val="en-ZA"/>
        </w:rPr>
        <w:t>Mu</w:t>
      </w:r>
      <w:r w:rsidR="00995D82">
        <w:rPr>
          <w:rFonts w:ascii="Arial" w:eastAsia="Calibri" w:hAnsi="Arial" w:cs="Arial"/>
          <w:sz w:val="24"/>
          <w:szCs w:val="24"/>
          <w:lang w:val="en-ZA"/>
        </w:rPr>
        <w:t>luti</w:t>
      </w:r>
      <w:proofErr w:type="spellEnd"/>
      <w:r w:rsidR="006229BC">
        <w:rPr>
          <w:rFonts w:ascii="Arial" w:eastAsia="Calibri" w:hAnsi="Arial" w:cs="Arial"/>
          <w:sz w:val="24"/>
          <w:szCs w:val="24"/>
          <w:lang w:val="en-ZA"/>
        </w:rPr>
        <w:t>:</w:t>
      </w:r>
    </w:p>
    <w:p w:rsidR="006229BC" w:rsidRDefault="006229BC" w:rsidP="006229BC">
      <w:pPr>
        <w:spacing w:after="0" w:line="360" w:lineRule="auto"/>
        <w:jc w:val="both"/>
        <w:rPr>
          <w:rFonts w:ascii="Arial" w:eastAsia="Calibri" w:hAnsi="Arial" w:cs="Arial"/>
          <w:lang w:val="en-GB"/>
        </w:rPr>
      </w:pPr>
      <w:r>
        <w:rPr>
          <w:rFonts w:ascii="Arial" w:eastAsia="Calibri" w:hAnsi="Arial" w:cs="Arial"/>
          <w:sz w:val="24"/>
          <w:szCs w:val="24"/>
          <w:lang w:val="en-ZA"/>
        </w:rPr>
        <w:tab/>
        <w:t>‘</w:t>
      </w:r>
      <w:r w:rsidRPr="00526C3E">
        <w:rPr>
          <w:rFonts w:ascii="Arial" w:eastAsia="Calibri" w:hAnsi="Arial" w:cs="Arial"/>
          <w:lang w:val="en-GB"/>
        </w:rPr>
        <w:t>The medical virtue of compassionate release is grounded in basic humanity, and commends that we treat dying prisoners as people, worthy of a dignified death.</w:t>
      </w:r>
      <w:r>
        <w:rPr>
          <w:rFonts w:ascii="Arial" w:eastAsia="Calibri" w:hAnsi="Arial" w:cs="Arial"/>
          <w:lang w:val="en-GB"/>
        </w:rPr>
        <w:t>’</w:t>
      </w:r>
    </w:p>
    <w:p w:rsidR="006229BC" w:rsidRDefault="006229BC" w:rsidP="00A952C9">
      <w:pPr>
        <w:spacing w:line="360" w:lineRule="auto"/>
        <w:jc w:val="both"/>
        <w:rPr>
          <w:rFonts w:ascii="Arial" w:eastAsia="Calibri" w:hAnsi="Arial" w:cs="Arial"/>
          <w:sz w:val="24"/>
          <w:szCs w:val="24"/>
          <w:lang w:val="en-ZA"/>
        </w:rPr>
      </w:pPr>
    </w:p>
    <w:p w:rsidR="00921564" w:rsidRDefault="00921564" w:rsidP="00A952C9">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6B577D">
        <w:rPr>
          <w:rFonts w:ascii="Arial" w:eastAsia="Calibri" w:hAnsi="Arial" w:cs="Arial"/>
          <w:sz w:val="24"/>
          <w:szCs w:val="24"/>
          <w:lang w:val="en-ZA"/>
        </w:rPr>
        <w:t>51</w:t>
      </w:r>
      <w:r>
        <w:rPr>
          <w:rFonts w:ascii="Arial" w:eastAsia="Calibri" w:hAnsi="Arial" w:cs="Arial"/>
          <w:sz w:val="24"/>
          <w:szCs w:val="24"/>
          <w:lang w:val="en-ZA"/>
        </w:rPr>
        <w:t>]</w:t>
      </w:r>
      <w:r>
        <w:rPr>
          <w:rFonts w:ascii="Arial" w:eastAsia="Calibri" w:hAnsi="Arial" w:cs="Arial"/>
          <w:sz w:val="24"/>
          <w:szCs w:val="24"/>
          <w:lang w:val="en-ZA"/>
        </w:rPr>
        <w:tab/>
        <w:t>The oth</w:t>
      </w:r>
      <w:r w:rsidR="001E2B74">
        <w:rPr>
          <w:rFonts w:ascii="Arial" w:eastAsia="Calibri" w:hAnsi="Arial" w:cs="Arial"/>
          <w:sz w:val="24"/>
          <w:szCs w:val="24"/>
          <w:lang w:val="en-ZA"/>
        </w:rPr>
        <w:t>er factors such as</w:t>
      </w:r>
      <w:r>
        <w:rPr>
          <w:rFonts w:ascii="Arial" w:eastAsia="Calibri" w:hAnsi="Arial" w:cs="Arial"/>
          <w:sz w:val="24"/>
          <w:szCs w:val="24"/>
          <w:lang w:val="en-ZA"/>
        </w:rPr>
        <w:t xml:space="preserve"> the improvement o</w:t>
      </w:r>
      <w:r w:rsidR="001E2B74">
        <w:rPr>
          <w:rFonts w:ascii="Arial" w:eastAsia="Calibri" w:hAnsi="Arial" w:cs="Arial"/>
          <w:sz w:val="24"/>
          <w:szCs w:val="24"/>
          <w:lang w:val="en-ZA"/>
        </w:rPr>
        <w:t xml:space="preserve">f the applicant’s health condition, and that his </w:t>
      </w:r>
      <w:r>
        <w:rPr>
          <w:rFonts w:ascii="Arial" w:eastAsia="Calibri" w:hAnsi="Arial" w:cs="Arial"/>
          <w:sz w:val="24"/>
          <w:szCs w:val="24"/>
          <w:lang w:val="en-ZA"/>
        </w:rPr>
        <w:t>would not deteriorate nor improve if release are not extraneous when considering that the second respondent made a</w:t>
      </w:r>
      <w:r w:rsidR="003A58BF">
        <w:rPr>
          <w:rFonts w:ascii="Arial" w:eastAsia="Calibri" w:hAnsi="Arial" w:cs="Arial"/>
          <w:sz w:val="24"/>
          <w:szCs w:val="24"/>
          <w:lang w:val="en-ZA"/>
        </w:rPr>
        <w:t xml:space="preserve"> determination in terms of s109</w:t>
      </w:r>
      <w:r w:rsidRPr="00D81FAD">
        <w:rPr>
          <w:rFonts w:ascii="Arial" w:eastAsia="Calibri" w:hAnsi="Arial" w:cs="Arial"/>
          <w:i/>
          <w:sz w:val="24"/>
          <w:szCs w:val="24"/>
          <w:lang w:val="en-ZA"/>
        </w:rPr>
        <w:t>(b).</w:t>
      </w:r>
      <w:r>
        <w:rPr>
          <w:rFonts w:ascii="Arial" w:eastAsia="Calibri" w:hAnsi="Arial" w:cs="Arial"/>
          <w:sz w:val="24"/>
          <w:szCs w:val="24"/>
          <w:lang w:val="en-ZA"/>
        </w:rPr>
        <w:t xml:space="preserve"> </w:t>
      </w:r>
      <w:r w:rsidR="006229BC">
        <w:rPr>
          <w:rFonts w:ascii="Arial" w:eastAsia="Calibri" w:hAnsi="Arial" w:cs="Arial"/>
          <w:sz w:val="24"/>
          <w:szCs w:val="24"/>
          <w:lang w:val="en-ZA"/>
        </w:rPr>
        <w:t xml:space="preserve">This court however makes no finding </w:t>
      </w:r>
      <w:r w:rsidR="003D0DE3">
        <w:rPr>
          <w:rFonts w:ascii="Arial" w:eastAsia="Calibri" w:hAnsi="Arial" w:cs="Arial"/>
          <w:sz w:val="24"/>
          <w:szCs w:val="24"/>
          <w:lang w:val="en-ZA"/>
        </w:rPr>
        <w:t xml:space="preserve">in respect of </w:t>
      </w:r>
      <w:r w:rsidR="006229BC">
        <w:rPr>
          <w:rFonts w:ascii="Arial" w:eastAsia="Calibri" w:hAnsi="Arial" w:cs="Arial"/>
          <w:sz w:val="24"/>
          <w:szCs w:val="24"/>
          <w:lang w:val="en-ZA"/>
        </w:rPr>
        <w:t>the second respondent</w:t>
      </w:r>
      <w:r w:rsidR="00D81FAD">
        <w:rPr>
          <w:rFonts w:ascii="Arial" w:eastAsia="Calibri" w:hAnsi="Arial" w:cs="Arial"/>
          <w:sz w:val="24"/>
          <w:szCs w:val="24"/>
          <w:lang w:val="en-ZA"/>
        </w:rPr>
        <w:t xml:space="preserve">’s </w:t>
      </w:r>
      <w:r w:rsidR="003D0DE3">
        <w:rPr>
          <w:rFonts w:ascii="Arial" w:eastAsia="Calibri" w:hAnsi="Arial" w:cs="Arial"/>
          <w:sz w:val="24"/>
          <w:szCs w:val="24"/>
          <w:lang w:val="en-ZA"/>
        </w:rPr>
        <w:t xml:space="preserve">decision not to recommend the release of </w:t>
      </w:r>
      <w:r w:rsidR="003A58BF">
        <w:rPr>
          <w:rFonts w:ascii="Arial" w:eastAsia="Calibri" w:hAnsi="Arial" w:cs="Arial"/>
          <w:sz w:val="24"/>
          <w:szCs w:val="24"/>
          <w:lang w:val="en-ZA"/>
        </w:rPr>
        <w:t>the applicant in terms of s 109</w:t>
      </w:r>
      <w:r w:rsidR="003D0DE3" w:rsidRPr="00D81FAD">
        <w:rPr>
          <w:rFonts w:ascii="Arial" w:eastAsia="Calibri" w:hAnsi="Arial" w:cs="Arial"/>
          <w:i/>
          <w:sz w:val="24"/>
          <w:szCs w:val="24"/>
          <w:lang w:val="en-ZA"/>
        </w:rPr>
        <w:t>(b)</w:t>
      </w:r>
      <w:r w:rsidR="003D0DE3">
        <w:rPr>
          <w:rFonts w:ascii="Arial" w:eastAsia="Calibri" w:hAnsi="Arial" w:cs="Arial"/>
          <w:sz w:val="24"/>
          <w:szCs w:val="24"/>
          <w:lang w:val="en-ZA"/>
        </w:rPr>
        <w:t xml:space="preserve"> as this was not the case before me. </w:t>
      </w:r>
    </w:p>
    <w:p w:rsidR="00995D82" w:rsidRDefault="00995D82" w:rsidP="00A952C9">
      <w:pPr>
        <w:spacing w:line="360" w:lineRule="auto"/>
        <w:jc w:val="both"/>
        <w:rPr>
          <w:rFonts w:ascii="Arial" w:eastAsia="Calibri" w:hAnsi="Arial" w:cs="Arial"/>
          <w:sz w:val="24"/>
          <w:szCs w:val="24"/>
          <w:lang w:val="en-ZA"/>
        </w:rPr>
      </w:pPr>
    </w:p>
    <w:p w:rsidR="00921564" w:rsidRDefault="00921564" w:rsidP="00A952C9">
      <w:pPr>
        <w:spacing w:line="360" w:lineRule="auto"/>
        <w:jc w:val="both"/>
        <w:rPr>
          <w:rFonts w:ascii="Arial" w:eastAsia="Calibri" w:hAnsi="Arial" w:cs="Arial"/>
          <w:sz w:val="24"/>
          <w:szCs w:val="24"/>
          <w:u w:val="single"/>
          <w:lang w:val="en-ZA"/>
        </w:rPr>
      </w:pPr>
      <w:r w:rsidRPr="00995D82">
        <w:rPr>
          <w:rFonts w:ascii="Arial" w:eastAsia="Calibri" w:hAnsi="Arial" w:cs="Arial"/>
          <w:sz w:val="24"/>
          <w:szCs w:val="24"/>
          <w:u w:val="single"/>
          <w:lang w:val="en-ZA"/>
        </w:rPr>
        <w:t>The right to be heard</w:t>
      </w:r>
    </w:p>
    <w:p w:rsidR="00D81FAD" w:rsidRPr="00995D82" w:rsidRDefault="00D81FAD" w:rsidP="00A952C9">
      <w:pPr>
        <w:spacing w:line="360" w:lineRule="auto"/>
        <w:jc w:val="both"/>
        <w:rPr>
          <w:rFonts w:ascii="Arial" w:eastAsia="Calibri" w:hAnsi="Arial" w:cs="Arial"/>
          <w:sz w:val="24"/>
          <w:szCs w:val="24"/>
          <w:u w:val="single"/>
          <w:lang w:val="en-ZA"/>
        </w:rPr>
      </w:pPr>
    </w:p>
    <w:p w:rsidR="006B445E" w:rsidRDefault="00921564" w:rsidP="00160CC3">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5</w:t>
      </w:r>
      <w:r w:rsidR="006B577D">
        <w:rPr>
          <w:rFonts w:ascii="Arial" w:eastAsia="Calibri" w:hAnsi="Arial" w:cs="Arial"/>
          <w:sz w:val="24"/>
          <w:szCs w:val="24"/>
          <w:lang w:val="en-ZA"/>
        </w:rPr>
        <w:t>2</w:t>
      </w:r>
      <w:r>
        <w:rPr>
          <w:rFonts w:ascii="Arial" w:eastAsia="Calibri" w:hAnsi="Arial" w:cs="Arial"/>
          <w:sz w:val="24"/>
          <w:szCs w:val="24"/>
          <w:lang w:val="en-ZA"/>
        </w:rPr>
        <w:t>]</w:t>
      </w:r>
      <w:r>
        <w:rPr>
          <w:rFonts w:ascii="Arial" w:eastAsia="Calibri" w:hAnsi="Arial" w:cs="Arial"/>
          <w:sz w:val="24"/>
          <w:szCs w:val="24"/>
          <w:lang w:val="en-ZA"/>
        </w:rPr>
        <w:tab/>
      </w:r>
      <w:r w:rsidR="00995D82">
        <w:rPr>
          <w:rFonts w:ascii="Arial" w:eastAsia="Calibri" w:hAnsi="Arial" w:cs="Arial"/>
          <w:sz w:val="24"/>
          <w:szCs w:val="24"/>
          <w:lang w:val="en-ZA"/>
        </w:rPr>
        <w:t>The applicant is aggrieved by the decision of the second respondent for not making a recommendation which would have caused the first respondent to effectuate the process of authorising his release. He submits that if he had been afforded the opportunity to be heard such an outcome would have been materially different. The second respondent stated that he examined the ap</w:t>
      </w:r>
      <w:r w:rsidR="001E2B74">
        <w:rPr>
          <w:rFonts w:ascii="Arial" w:eastAsia="Calibri" w:hAnsi="Arial" w:cs="Arial"/>
          <w:sz w:val="24"/>
          <w:szCs w:val="24"/>
          <w:lang w:val="en-ZA"/>
        </w:rPr>
        <w:t>plicant and this included a face</w:t>
      </w:r>
      <w:r w:rsidR="00995D82">
        <w:rPr>
          <w:rFonts w:ascii="Arial" w:eastAsia="Calibri" w:hAnsi="Arial" w:cs="Arial"/>
          <w:sz w:val="24"/>
          <w:szCs w:val="24"/>
          <w:lang w:val="en-ZA"/>
        </w:rPr>
        <w:t xml:space="preserve"> to face consultation with the applicant and daily liaison with the applicant on his condition. He </w:t>
      </w:r>
      <w:r w:rsidR="00995D82">
        <w:rPr>
          <w:rFonts w:ascii="Arial" w:eastAsia="Calibri" w:hAnsi="Arial" w:cs="Arial"/>
          <w:sz w:val="24"/>
          <w:szCs w:val="24"/>
          <w:lang w:val="en-ZA"/>
        </w:rPr>
        <w:lastRenderedPageBreak/>
        <w:t xml:space="preserve">further stated that the applicant is his patient and he has been dealing with and managing his medical condition both before and after the court order of 14 November 2022. </w:t>
      </w:r>
      <w:r w:rsidR="006B445E">
        <w:rPr>
          <w:rFonts w:ascii="Arial" w:eastAsia="Calibri" w:hAnsi="Arial" w:cs="Arial"/>
          <w:sz w:val="24"/>
          <w:szCs w:val="24"/>
          <w:lang w:val="en-ZA"/>
        </w:rPr>
        <w:t xml:space="preserve">He furthermore has been privy to affidavits filed by the applicant for the purpose of making out a case as </w:t>
      </w:r>
      <w:r w:rsidR="001E2B74">
        <w:rPr>
          <w:rFonts w:ascii="Arial" w:eastAsia="Calibri" w:hAnsi="Arial" w:cs="Arial"/>
          <w:sz w:val="24"/>
          <w:szCs w:val="24"/>
          <w:lang w:val="en-ZA"/>
        </w:rPr>
        <w:t xml:space="preserve">to </w:t>
      </w:r>
      <w:r w:rsidR="006B445E">
        <w:rPr>
          <w:rFonts w:ascii="Arial" w:eastAsia="Calibri" w:hAnsi="Arial" w:cs="Arial"/>
          <w:sz w:val="24"/>
          <w:szCs w:val="24"/>
          <w:lang w:val="en-ZA"/>
        </w:rPr>
        <w:t xml:space="preserve">why he should be released on medical grounds. The applicant’s response hereto is that the right to be heard involves more than just face to face consultations but includes representations by his legal practitioner. </w:t>
      </w:r>
    </w:p>
    <w:p w:rsidR="003A58BF" w:rsidRDefault="003A58BF" w:rsidP="00160CC3">
      <w:pPr>
        <w:spacing w:line="360" w:lineRule="auto"/>
        <w:jc w:val="both"/>
        <w:rPr>
          <w:rFonts w:ascii="Arial" w:eastAsia="Calibri" w:hAnsi="Arial" w:cs="Arial"/>
          <w:sz w:val="24"/>
          <w:szCs w:val="24"/>
          <w:lang w:val="en-ZA"/>
        </w:rPr>
      </w:pPr>
    </w:p>
    <w:p w:rsidR="003F5158" w:rsidRDefault="006B445E" w:rsidP="00160CC3">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r w:rsidR="003A58BF">
        <w:rPr>
          <w:rFonts w:ascii="Arial" w:eastAsia="Calibri" w:hAnsi="Arial" w:cs="Arial"/>
          <w:sz w:val="24"/>
          <w:szCs w:val="24"/>
          <w:lang w:val="en-ZA"/>
        </w:rPr>
        <w:t>5</w:t>
      </w:r>
      <w:r w:rsidR="006B577D">
        <w:rPr>
          <w:rFonts w:ascii="Arial" w:eastAsia="Calibri" w:hAnsi="Arial" w:cs="Arial"/>
          <w:sz w:val="24"/>
          <w:szCs w:val="24"/>
          <w:lang w:val="en-ZA"/>
        </w:rPr>
        <w:t>3]</w:t>
      </w:r>
      <w:r>
        <w:rPr>
          <w:rFonts w:ascii="Arial" w:eastAsia="Calibri" w:hAnsi="Arial" w:cs="Arial"/>
          <w:sz w:val="24"/>
          <w:szCs w:val="24"/>
          <w:lang w:val="en-ZA"/>
        </w:rPr>
        <w:tab/>
      </w:r>
      <w:r w:rsidR="00A82E78">
        <w:rPr>
          <w:rFonts w:ascii="Arial" w:eastAsia="Calibri" w:hAnsi="Arial" w:cs="Arial"/>
          <w:sz w:val="24"/>
          <w:szCs w:val="24"/>
          <w:lang w:val="en-ZA"/>
        </w:rPr>
        <w:t xml:space="preserve">The second respondent is an administrative official who was tasked by this court to make a determination within 15 days of the court order. </w:t>
      </w:r>
      <w:r w:rsidR="00921564">
        <w:rPr>
          <w:rFonts w:ascii="Arial" w:eastAsia="Calibri" w:hAnsi="Arial" w:cs="Arial"/>
          <w:sz w:val="24"/>
          <w:szCs w:val="24"/>
          <w:lang w:val="en-ZA"/>
        </w:rPr>
        <w:t>This court is satisfied</w:t>
      </w:r>
      <w:r w:rsidR="003F5158">
        <w:rPr>
          <w:rFonts w:ascii="Arial" w:eastAsia="Calibri" w:hAnsi="Arial" w:cs="Arial"/>
          <w:sz w:val="24"/>
          <w:szCs w:val="24"/>
          <w:lang w:val="en-ZA"/>
        </w:rPr>
        <w:t xml:space="preserve">, </w:t>
      </w:r>
      <w:r w:rsidR="00921564">
        <w:rPr>
          <w:rFonts w:ascii="Arial" w:eastAsia="Calibri" w:hAnsi="Arial" w:cs="Arial"/>
          <w:sz w:val="24"/>
          <w:szCs w:val="24"/>
          <w:lang w:val="en-ZA"/>
        </w:rPr>
        <w:t>on the papers</w:t>
      </w:r>
      <w:r w:rsidR="003F5158">
        <w:rPr>
          <w:rFonts w:ascii="Arial" w:eastAsia="Calibri" w:hAnsi="Arial" w:cs="Arial"/>
          <w:sz w:val="24"/>
          <w:szCs w:val="24"/>
          <w:lang w:val="en-ZA"/>
        </w:rPr>
        <w:t xml:space="preserve"> before it</w:t>
      </w:r>
      <w:r w:rsidR="00921564">
        <w:rPr>
          <w:rFonts w:ascii="Arial" w:eastAsia="Calibri" w:hAnsi="Arial" w:cs="Arial"/>
          <w:sz w:val="24"/>
          <w:szCs w:val="24"/>
          <w:lang w:val="en-ZA"/>
        </w:rPr>
        <w:t>, th</w:t>
      </w:r>
      <w:r w:rsidR="003F5158">
        <w:rPr>
          <w:rFonts w:ascii="Arial" w:eastAsia="Calibri" w:hAnsi="Arial" w:cs="Arial"/>
          <w:sz w:val="24"/>
          <w:szCs w:val="24"/>
          <w:lang w:val="en-ZA"/>
        </w:rPr>
        <w:t>at th</w:t>
      </w:r>
      <w:r w:rsidR="00921564">
        <w:rPr>
          <w:rFonts w:ascii="Arial" w:eastAsia="Calibri" w:hAnsi="Arial" w:cs="Arial"/>
          <w:sz w:val="24"/>
          <w:szCs w:val="24"/>
          <w:lang w:val="en-ZA"/>
        </w:rPr>
        <w:t>e second respondent</w:t>
      </w:r>
      <w:r w:rsidR="00A82E78">
        <w:rPr>
          <w:rFonts w:ascii="Arial" w:eastAsia="Calibri" w:hAnsi="Arial" w:cs="Arial"/>
          <w:sz w:val="24"/>
          <w:szCs w:val="24"/>
          <w:lang w:val="en-ZA"/>
        </w:rPr>
        <w:t>,</w:t>
      </w:r>
      <w:r w:rsidR="00921564">
        <w:rPr>
          <w:rFonts w:ascii="Arial" w:eastAsia="Calibri" w:hAnsi="Arial" w:cs="Arial"/>
          <w:sz w:val="24"/>
          <w:szCs w:val="24"/>
          <w:lang w:val="en-ZA"/>
        </w:rPr>
        <w:t xml:space="preserve"> whose duty it </w:t>
      </w:r>
      <w:r w:rsidR="00A82E78">
        <w:rPr>
          <w:rFonts w:ascii="Arial" w:eastAsia="Calibri" w:hAnsi="Arial" w:cs="Arial"/>
          <w:sz w:val="24"/>
          <w:szCs w:val="24"/>
          <w:lang w:val="en-ZA"/>
        </w:rPr>
        <w:t>was</w:t>
      </w:r>
      <w:r w:rsidR="00921564">
        <w:rPr>
          <w:rFonts w:ascii="Arial" w:eastAsia="Calibri" w:hAnsi="Arial" w:cs="Arial"/>
          <w:sz w:val="24"/>
          <w:szCs w:val="24"/>
          <w:lang w:val="en-ZA"/>
        </w:rPr>
        <w:t xml:space="preserve"> to make a decision based on his medical expertise, properly consulted with the applicant</w:t>
      </w:r>
      <w:r w:rsidR="003F5158">
        <w:rPr>
          <w:rFonts w:ascii="Arial" w:eastAsia="Calibri" w:hAnsi="Arial" w:cs="Arial"/>
          <w:sz w:val="24"/>
          <w:szCs w:val="24"/>
          <w:lang w:val="en-ZA"/>
        </w:rPr>
        <w:t xml:space="preserve"> and that the applicant was afforded the opportunity to be heard during these consultations. </w:t>
      </w:r>
    </w:p>
    <w:p w:rsidR="003A58BF" w:rsidRDefault="003A58BF" w:rsidP="00160CC3">
      <w:pPr>
        <w:spacing w:line="360" w:lineRule="auto"/>
        <w:jc w:val="both"/>
        <w:rPr>
          <w:rFonts w:ascii="Arial" w:eastAsia="Calibri" w:hAnsi="Arial" w:cs="Arial"/>
          <w:sz w:val="24"/>
          <w:szCs w:val="24"/>
          <w:lang w:val="en-ZA"/>
        </w:rPr>
      </w:pPr>
    </w:p>
    <w:p w:rsidR="003F5158" w:rsidRDefault="0067358B" w:rsidP="00160CC3">
      <w:pPr>
        <w:spacing w:line="360" w:lineRule="auto"/>
        <w:jc w:val="both"/>
        <w:rPr>
          <w:rFonts w:ascii="Arial" w:eastAsia="Calibri" w:hAnsi="Arial" w:cs="Arial"/>
          <w:sz w:val="24"/>
          <w:szCs w:val="24"/>
          <w:u w:val="single"/>
          <w:lang w:val="en-ZA"/>
        </w:rPr>
      </w:pPr>
      <w:r w:rsidRPr="00A82E78">
        <w:rPr>
          <w:rFonts w:ascii="Arial" w:eastAsia="Calibri" w:hAnsi="Arial" w:cs="Arial"/>
          <w:sz w:val="24"/>
          <w:szCs w:val="24"/>
          <w:u w:val="single"/>
          <w:lang w:val="en-ZA"/>
        </w:rPr>
        <w:t>Reasons not provided</w:t>
      </w:r>
    </w:p>
    <w:p w:rsidR="000C438D" w:rsidRPr="00A82E78" w:rsidRDefault="000C438D" w:rsidP="00160CC3">
      <w:pPr>
        <w:spacing w:line="360" w:lineRule="auto"/>
        <w:jc w:val="both"/>
        <w:rPr>
          <w:rFonts w:ascii="Arial" w:eastAsia="Calibri" w:hAnsi="Arial" w:cs="Arial"/>
          <w:sz w:val="24"/>
          <w:szCs w:val="24"/>
          <w:u w:val="single"/>
          <w:lang w:val="en-ZA"/>
        </w:rPr>
      </w:pPr>
    </w:p>
    <w:p w:rsidR="00160CC3" w:rsidRPr="00EE143F" w:rsidRDefault="003F5158" w:rsidP="00610F45">
      <w:pPr>
        <w:spacing w:line="360" w:lineRule="auto"/>
        <w:jc w:val="both"/>
        <w:rPr>
          <w:rFonts w:ascii="Arial" w:hAnsi="Arial" w:cs="Arial"/>
          <w:sz w:val="24"/>
          <w:szCs w:val="24"/>
        </w:rPr>
      </w:pPr>
      <w:r>
        <w:rPr>
          <w:rFonts w:ascii="Arial" w:eastAsia="Calibri" w:hAnsi="Arial" w:cs="Arial"/>
          <w:sz w:val="24"/>
          <w:szCs w:val="24"/>
          <w:lang w:val="en-ZA"/>
        </w:rPr>
        <w:t>[</w:t>
      </w:r>
      <w:r w:rsidR="003A58BF">
        <w:rPr>
          <w:rFonts w:ascii="Arial" w:eastAsia="Calibri" w:hAnsi="Arial" w:cs="Arial"/>
          <w:sz w:val="24"/>
          <w:szCs w:val="24"/>
          <w:lang w:val="en-ZA"/>
        </w:rPr>
        <w:t>5</w:t>
      </w:r>
      <w:r w:rsidR="006B577D">
        <w:rPr>
          <w:rFonts w:ascii="Arial" w:eastAsia="Calibri" w:hAnsi="Arial" w:cs="Arial"/>
          <w:sz w:val="24"/>
          <w:szCs w:val="24"/>
          <w:lang w:val="en-ZA"/>
        </w:rPr>
        <w:t>4</w:t>
      </w:r>
      <w:r>
        <w:rPr>
          <w:rFonts w:ascii="Arial" w:eastAsia="Calibri" w:hAnsi="Arial" w:cs="Arial"/>
          <w:sz w:val="24"/>
          <w:szCs w:val="24"/>
          <w:lang w:val="en-ZA"/>
        </w:rPr>
        <w:t>]</w:t>
      </w:r>
      <w:r>
        <w:rPr>
          <w:rFonts w:ascii="Arial" w:eastAsia="Calibri" w:hAnsi="Arial" w:cs="Arial"/>
          <w:sz w:val="24"/>
          <w:szCs w:val="24"/>
          <w:lang w:val="en-ZA"/>
        </w:rPr>
        <w:tab/>
        <w:t xml:space="preserve">Mr </w:t>
      </w:r>
      <w:proofErr w:type="spellStart"/>
      <w:r>
        <w:rPr>
          <w:rFonts w:ascii="Arial" w:eastAsia="Calibri" w:hAnsi="Arial" w:cs="Arial"/>
          <w:sz w:val="24"/>
          <w:szCs w:val="24"/>
          <w:lang w:val="en-ZA"/>
        </w:rPr>
        <w:t>Muluti</w:t>
      </w:r>
      <w:proofErr w:type="spellEnd"/>
      <w:r>
        <w:rPr>
          <w:rFonts w:ascii="Arial" w:eastAsia="Calibri" w:hAnsi="Arial" w:cs="Arial"/>
          <w:sz w:val="24"/>
          <w:szCs w:val="24"/>
          <w:lang w:val="en-ZA"/>
        </w:rPr>
        <w:t xml:space="preserve"> correctly pointed out that a rational decision is one where reasons are given and it </w:t>
      </w:r>
      <w:r w:rsidR="000C438D">
        <w:rPr>
          <w:rFonts w:ascii="Arial" w:eastAsia="Calibri" w:hAnsi="Arial" w:cs="Arial"/>
          <w:sz w:val="24"/>
          <w:szCs w:val="24"/>
          <w:lang w:val="en-ZA"/>
        </w:rPr>
        <w:t xml:space="preserve">is </w:t>
      </w:r>
      <w:r>
        <w:rPr>
          <w:rFonts w:ascii="Arial" w:eastAsia="Calibri" w:hAnsi="Arial" w:cs="Arial"/>
          <w:sz w:val="24"/>
          <w:szCs w:val="24"/>
          <w:lang w:val="en-ZA"/>
        </w:rPr>
        <w:t xml:space="preserve">for this very reason that the court order directed the second respondent to give reasons. </w:t>
      </w:r>
      <w:r w:rsidR="00610F45">
        <w:rPr>
          <w:rFonts w:ascii="Arial" w:eastAsia="Calibri" w:hAnsi="Arial" w:cs="Arial"/>
          <w:sz w:val="24"/>
          <w:szCs w:val="24"/>
          <w:lang w:val="en-ZA"/>
        </w:rPr>
        <w:t xml:space="preserve">He </w:t>
      </w:r>
      <w:r w:rsidR="00160CC3" w:rsidRPr="00EE143F">
        <w:rPr>
          <w:rFonts w:ascii="Arial" w:hAnsi="Arial" w:cs="Arial"/>
          <w:sz w:val="24"/>
          <w:szCs w:val="24"/>
        </w:rPr>
        <w:t>referred the court to</w:t>
      </w:r>
      <w:r w:rsidR="00160CC3" w:rsidRPr="005648FA">
        <w:rPr>
          <w:rFonts w:ascii="Arial" w:hAnsi="Arial" w:cs="Arial"/>
          <w:i/>
          <w:sz w:val="24"/>
          <w:szCs w:val="24"/>
        </w:rPr>
        <w:t xml:space="preserve"> Member of Environmental Affairs and Tourism v </w:t>
      </w:r>
      <w:proofErr w:type="spellStart"/>
      <w:r w:rsidR="00160CC3" w:rsidRPr="005648FA">
        <w:rPr>
          <w:rFonts w:ascii="Arial" w:hAnsi="Arial" w:cs="Arial"/>
          <w:i/>
          <w:sz w:val="24"/>
          <w:szCs w:val="24"/>
        </w:rPr>
        <w:t>Rhambili</w:t>
      </w:r>
      <w:proofErr w:type="spellEnd"/>
      <w:r w:rsidR="00160CC3" w:rsidRPr="005648FA">
        <w:rPr>
          <w:rFonts w:ascii="Arial" w:hAnsi="Arial" w:cs="Arial"/>
          <w:i/>
          <w:sz w:val="24"/>
          <w:szCs w:val="24"/>
        </w:rPr>
        <w:t xml:space="preserve"> Fisheries (Pty) Ltd;</w:t>
      </w:r>
      <w:r w:rsidR="00160CC3" w:rsidRPr="00EE143F">
        <w:rPr>
          <w:rFonts w:ascii="Arial" w:hAnsi="Arial" w:cs="Arial"/>
          <w:sz w:val="24"/>
          <w:szCs w:val="24"/>
        </w:rPr>
        <w:t xml:space="preserve"> </w:t>
      </w:r>
      <w:r w:rsidR="00160CC3" w:rsidRPr="005648FA">
        <w:rPr>
          <w:rFonts w:ascii="Arial" w:hAnsi="Arial" w:cs="Arial"/>
          <w:i/>
          <w:sz w:val="24"/>
          <w:szCs w:val="24"/>
        </w:rPr>
        <w:t xml:space="preserve">Minister of Environment |&amp; Tourism v </w:t>
      </w:r>
      <w:proofErr w:type="spellStart"/>
      <w:r w:rsidR="00160CC3" w:rsidRPr="005648FA">
        <w:rPr>
          <w:rFonts w:ascii="Arial" w:hAnsi="Arial" w:cs="Arial"/>
          <w:i/>
          <w:sz w:val="24"/>
          <w:szCs w:val="24"/>
        </w:rPr>
        <w:t>Bato</w:t>
      </w:r>
      <w:proofErr w:type="spellEnd"/>
      <w:r w:rsidR="00160CC3" w:rsidRPr="005648FA">
        <w:rPr>
          <w:rFonts w:ascii="Arial" w:hAnsi="Arial" w:cs="Arial"/>
          <w:i/>
          <w:sz w:val="24"/>
          <w:szCs w:val="24"/>
        </w:rPr>
        <w:t xml:space="preserve"> Star Fishing (Pty) Ltd</w:t>
      </w:r>
      <w:r w:rsidR="00160CC3">
        <w:rPr>
          <w:rStyle w:val="FootnoteReference"/>
          <w:rFonts w:ascii="Arial" w:hAnsi="Arial" w:cs="Arial"/>
          <w:sz w:val="24"/>
          <w:szCs w:val="24"/>
        </w:rPr>
        <w:footnoteReference w:id="7"/>
      </w:r>
      <w:r w:rsidR="003A58BF">
        <w:rPr>
          <w:rFonts w:ascii="Arial" w:hAnsi="Arial" w:cs="Arial"/>
          <w:sz w:val="24"/>
          <w:szCs w:val="24"/>
        </w:rPr>
        <w:t xml:space="preserve"> </w:t>
      </w:r>
      <w:r w:rsidR="00160CC3" w:rsidRPr="00EE143F">
        <w:rPr>
          <w:rFonts w:ascii="Arial" w:hAnsi="Arial" w:cs="Arial"/>
          <w:sz w:val="24"/>
          <w:szCs w:val="24"/>
        </w:rPr>
        <w:t>were the court held as follows:</w:t>
      </w:r>
    </w:p>
    <w:p w:rsidR="003D0DE3" w:rsidRDefault="00160CC3" w:rsidP="0004238C">
      <w:pPr>
        <w:pStyle w:val="ListParagraph"/>
        <w:spacing w:line="360" w:lineRule="auto"/>
        <w:ind w:left="1080" w:firstLine="360"/>
        <w:jc w:val="both"/>
        <w:rPr>
          <w:rFonts w:ascii="Arial" w:hAnsi="Arial" w:cs="Arial"/>
        </w:rPr>
      </w:pPr>
      <w:r>
        <w:rPr>
          <w:rFonts w:ascii="Arial" w:hAnsi="Arial" w:cs="Arial"/>
        </w:rPr>
        <w:t>‘</w:t>
      </w:r>
      <w:r w:rsidRPr="00EE143F">
        <w:rPr>
          <w:rFonts w:ascii="Arial" w:hAnsi="Arial" w:cs="Arial"/>
        </w:rPr>
        <w:t>It is apparent that reasons are not really reasons unless they are properly informative. They must explain why action was taken or not taken; otherwise they are better described as</w:t>
      </w:r>
      <w:r>
        <w:rPr>
          <w:rFonts w:ascii="Arial" w:hAnsi="Arial" w:cs="Arial"/>
        </w:rPr>
        <w:t xml:space="preserve"> findings or other information.’</w:t>
      </w:r>
    </w:p>
    <w:p w:rsidR="001A5315" w:rsidRPr="0004238C" w:rsidRDefault="001A5315" w:rsidP="0004238C">
      <w:pPr>
        <w:pStyle w:val="ListParagraph"/>
        <w:spacing w:line="360" w:lineRule="auto"/>
        <w:ind w:left="1080" w:firstLine="360"/>
        <w:jc w:val="both"/>
        <w:rPr>
          <w:rFonts w:ascii="Arial" w:hAnsi="Arial" w:cs="Arial"/>
        </w:rPr>
      </w:pPr>
    </w:p>
    <w:p w:rsidR="00610F45" w:rsidRPr="00610F45" w:rsidRDefault="00610F45" w:rsidP="00610F45">
      <w:pPr>
        <w:spacing w:after="0" w:line="360" w:lineRule="auto"/>
        <w:jc w:val="both"/>
        <w:rPr>
          <w:rFonts w:ascii="Arial" w:hAnsi="Arial" w:cs="Arial"/>
          <w:sz w:val="24"/>
          <w:szCs w:val="24"/>
        </w:rPr>
      </w:pPr>
      <w:r>
        <w:rPr>
          <w:rFonts w:ascii="Arial" w:hAnsi="Arial" w:cs="Arial"/>
          <w:sz w:val="24"/>
          <w:szCs w:val="24"/>
        </w:rPr>
        <w:lastRenderedPageBreak/>
        <w:t>[</w:t>
      </w:r>
      <w:r w:rsidR="003A58BF">
        <w:rPr>
          <w:rFonts w:ascii="Arial" w:hAnsi="Arial" w:cs="Arial"/>
          <w:sz w:val="24"/>
          <w:szCs w:val="24"/>
        </w:rPr>
        <w:t>5</w:t>
      </w:r>
      <w:r w:rsidR="006B577D">
        <w:rPr>
          <w:rFonts w:ascii="Arial" w:hAnsi="Arial" w:cs="Arial"/>
          <w:sz w:val="24"/>
          <w:szCs w:val="24"/>
        </w:rPr>
        <w:t>5</w:t>
      </w:r>
      <w:r>
        <w:rPr>
          <w:rFonts w:ascii="Arial" w:hAnsi="Arial" w:cs="Arial"/>
          <w:sz w:val="24"/>
          <w:szCs w:val="24"/>
        </w:rPr>
        <w:t>]</w:t>
      </w:r>
      <w:r>
        <w:rPr>
          <w:rFonts w:ascii="Arial" w:hAnsi="Arial" w:cs="Arial"/>
          <w:sz w:val="24"/>
          <w:szCs w:val="24"/>
        </w:rPr>
        <w:tab/>
        <w:t xml:space="preserve">I have already indicated that the second respondent is of the view that he indeed provided the applicant with reasons </w:t>
      </w:r>
      <w:r w:rsidR="001A5315">
        <w:rPr>
          <w:rFonts w:ascii="Arial" w:hAnsi="Arial" w:cs="Arial"/>
          <w:sz w:val="24"/>
          <w:szCs w:val="24"/>
        </w:rPr>
        <w:t xml:space="preserve">as per </w:t>
      </w:r>
      <w:r>
        <w:rPr>
          <w:rFonts w:ascii="Arial" w:hAnsi="Arial" w:cs="Arial"/>
          <w:sz w:val="24"/>
          <w:szCs w:val="24"/>
        </w:rPr>
        <w:t xml:space="preserve">his letter to the first respondent </w:t>
      </w:r>
      <w:r w:rsidR="003A2B52">
        <w:rPr>
          <w:rFonts w:ascii="Arial" w:hAnsi="Arial" w:cs="Arial"/>
          <w:sz w:val="24"/>
          <w:szCs w:val="24"/>
        </w:rPr>
        <w:t>dated 24 November 2022 and the recommendation d</w:t>
      </w:r>
      <w:r>
        <w:rPr>
          <w:rFonts w:ascii="Arial" w:hAnsi="Arial" w:cs="Arial"/>
          <w:sz w:val="24"/>
          <w:szCs w:val="24"/>
        </w:rPr>
        <w:t>ocument. Not one of these documents were addressed to the applicant but it is not denied by the applicant that he rec</w:t>
      </w:r>
      <w:r w:rsidR="003A2B52">
        <w:rPr>
          <w:rFonts w:ascii="Arial" w:hAnsi="Arial" w:cs="Arial"/>
          <w:sz w:val="24"/>
          <w:szCs w:val="24"/>
        </w:rPr>
        <w:t>eived same. The recommendation d</w:t>
      </w:r>
      <w:r>
        <w:rPr>
          <w:rFonts w:ascii="Arial" w:hAnsi="Arial" w:cs="Arial"/>
          <w:sz w:val="24"/>
          <w:szCs w:val="24"/>
        </w:rPr>
        <w:t xml:space="preserve">ocument contains the medical details and a finding that the applicant is sick but stable. It however, as correctly pointed out by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Muluti</w:t>
      </w:r>
      <w:proofErr w:type="spellEnd"/>
      <w:r>
        <w:rPr>
          <w:rFonts w:ascii="Arial" w:hAnsi="Arial" w:cs="Arial"/>
          <w:sz w:val="24"/>
          <w:szCs w:val="24"/>
        </w:rPr>
        <w:t xml:space="preserve">, does not provide the reasons for the second respondent’s decision not to recommend the release of the applicant. It does however provide more information as to the following statement which appears in the letter in his letter dated 24 November 2022: </w:t>
      </w:r>
    </w:p>
    <w:p w:rsidR="00610F45" w:rsidRDefault="00610F45" w:rsidP="00610F45">
      <w:pPr>
        <w:spacing w:after="0" w:line="360" w:lineRule="auto"/>
        <w:ind w:firstLine="720"/>
        <w:jc w:val="both"/>
        <w:rPr>
          <w:rFonts w:ascii="Arial" w:hAnsi="Arial" w:cs="Arial"/>
          <w:sz w:val="24"/>
          <w:szCs w:val="24"/>
        </w:rPr>
      </w:pPr>
      <w:r>
        <w:rPr>
          <w:rFonts w:ascii="Arial" w:hAnsi="Arial" w:cs="Arial"/>
        </w:rPr>
        <w:t>‘</w:t>
      </w:r>
      <w:r w:rsidRPr="00307F31">
        <w:rPr>
          <w:rFonts w:ascii="Arial" w:hAnsi="Arial" w:cs="Arial"/>
        </w:rPr>
        <w:t xml:space="preserve">No, </w:t>
      </w:r>
      <w:r w:rsidRPr="00610F45">
        <w:rPr>
          <w:rFonts w:ascii="Arial" w:hAnsi="Arial" w:cs="Arial"/>
          <w:u w:val="single"/>
        </w:rPr>
        <w:t>for the simple reason that he has access to regular dialysis sessions and also to his private doctors when needed. His current blood results show improvement compared to the past results</w:t>
      </w:r>
      <w:r w:rsidRPr="00307F31">
        <w:rPr>
          <w:rFonts w:ascii="Arial" w:hAnsi="Arial" w:cs="Arial"/>
        </w:rPr>
        <w:t>, which means that his incarceration does not affect his physical condition.</w:t>
      </w:r>
      <w:r>
        <w:rPr>
          <w:rFonts w:ascii="Arial" w:hAnsi="Arial" w:cs="Arial"/>
        </w:rPr>
        <w:t>’</w:t>
      </w:r>
    </w:p>
    <w:p w:rsidR="007C6AE2" w:rsidRPr="00972C07" w:rsidRDefault="007C6AE2" w:rsidP="00972C07">
      <w:pPr>
        <w:spacing w:after="0" w:line="360" w:lineRule="auto"/>
        <w:jc w:val="both"/>
        <w:rPr>
          <w:rFonts w:ascii="Arial" w:hAnsi="Arial" w:cs="Arial"/>
          <w:color w:val="242121"/>
          <w:sz w:val="24"/>
          <w:szCs w:val="24"/>
          <w:shd w:val="clear" w:color="auto" w:fill="FFFFFF"/>
          <w:lang w:val="en-GB"/>
        </w:rPr>
      </w:pPr>
    </w:p>
    <w:p w:rsidR="00610F45" w:rsidRDefault="00610F45" w:rsidP="00972C07">
      <w:pPr>
        <w:spacing w:after="0" w:line="360" w:lineRule="auto"/>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w:t>
      </w:r>
      <w:r w:rsidR="003A58BF">
        <w:rPr>
          <w:rFonts w:ascii="Arial" w:hAnsi="Arial" w:cs="Arial"/>
          <w:color w:val="242121"/>
          <w:sz w:val="24"/>
          <w:szCs w:val="24"/>
          <w:shd w:val="clear" w:color="auto" w:fill="FFFFFF"/>
          <w:lang w:val="en-GB"/>
        </w:rPr>
        <w:t>5</w:t>
      </w:r>
      <w:r w:rsidR="006B577D">
        <w:rPr>
          <w:rFonts w:ascii="Arial" w:hAnsi="Arial" w:cs="Arial"/>
          <w:color w:val="242121"/>
          <w:sz w:val="24"/>
          <w:szCs w:val="24"/>
          <w:shd w:val="clear" w:color="auto" w:fill="FFFFFF"/>
          <w:lang w:val="en-GB"/>
        </w:rPr>
        <w:t>6</w:t>
      </w:r>
      <w:r>
        <w:rPr>
          <w:rFonts w:ascii="Arial" w:hAnsi="Arial" w:cs="Arial"/>
          <w:color w:val="242121"/>
          <w:sz w:val="24"/>
          <w:szCs w:val="24"/>
          <w:shd w:val="clear" w:color="auto" w:fill="FFFFFF"/>
          <w:lang w:val="en-GB"/>
        </w:rPr>
        <w:t>]</w:t>
      </w:r>
      <w:r>
        <w:rPr>
          <w:rFonts w:ascii="Arial" w:hAnsi="Arial" w:cs="Arial"/>
          <w:color w:val="242121"/>
          <w:sz w:val="24"/>
          <w:szCs w:val="24"/>
          <w:shd w:val="clear" w:color="auto" w:fill="FFFFFF"/>
          <w:lang w:val="en-GB"/>
        </w:rPr>
        <w:tab/>
        <w:t xml:space="preserve">These are simple but explanatory reasons for the second respondent’s conclusion that his continued incarceration does not affect his physical condition. </w:t>
      </w:r>
    </w:p>
    <w:p w:rsidR="00610F45" w:rsidRDefault="00610F45" w:rsidP="00972C07">
      <w:pPr>
        <w:spacing w:after="0" w:line="360" w:lineRule="auto"/>
        <w:jc w:val="both"/>
        <w:rPr>
          <w:rFonts w:ascii="Arial" w:hAnsi="Arial" w:cs="Arial"/>
          <w:color w:val="242121"/>
          <w:sz w:val="24"/>
          <w:szCs w:val="24"/>
          <w:shd w:val="clear" w:color="auto" w:fill="FFFFFF"/>
          <w:lang w:val="en-GB"/>
        </w:rPr>
      </w:pPr>
    </w:p>
    <w:p w:rsidR="0067358B" w:rsidRDefault="00610F45" w:rsidP="00972C07">
      <w:pPr>
        <w:spacing w:after="0" w:line="360" w:lineRule="auto"/>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w:t>
      </w:r>
      <w:r w:rsidR="003A58BF">
        <w:rPr>
          <w:rFonts w:ascii="Arial" w:hAnsi="Arial" w:cs="Arial"/>
          <w:color w:val="242121"/>
          <w:sz w:val="24"/>
          <w:szCs w:val="24"/>
          <w:shd w:val="clear" w:color="auto" w:fill="FFFFFF"/>
          <w:lang w:val="en-GB"/>
        </w:rPr>
        <w:t>5</w:t>
      </w:r>
      <w:r w:rsidR="006B577D">
        <w:rPr>
          <w:rFonts w:ascii="Arial" w:hAnsi="Arial" w:cs="Arial"/>
          <w:color w:val="242121"/>
          <w:sz w:val="24"/>
          <w:szCs w:val="24"/>
          <w:shd w:val="clear" w:color="auto" w:fill="FFFFFF"/>
          <w:lang w:val="en-GB"/>
        </w:rPr>
        <w:t>7</w:t>
      </w:r>
      <w:r>
        <w:rPr>
          <w:rFonts w:ascii="Arial" w:hAnsi="Arial" w:cs="Arial"/>
          <w:color w:val="242121"/>
          <w:sz w:val="24"/>
          <w:szCs w:val="24"/>
          <w:shd w:val="clear" w:color="auto" w:fill="FFFFFF"/>
          <w:lang w:val="en-GB"/>
        </w:rPr>
        <w:t>]</w:t>
      </w:r>
      <w:r>
        <w:rPr>
          <w:rFonts w:ascii="Arial" w:hAnsi="Arial" w:cs="Arial"/>
          <w:color w:val="242121"/>
          <w:sz w:val="24"/>
          <w:szCs w:val="24"/>
          <w:shd w:val="clear" w:color="auto" w:fill="FFFFFF"/>
          <w:lang w:val="en-GB"/>
        </w:rPr>
        <w:tab/>
      </w:r>
      <w:r w:rsidR="0067358B">
        <w:rPr>
          <w:rFonts w:ascii="Arial" w:hAnsi="Arial" w:cs="Arial"/>
          <w:color w:val="242121"/>
          <w:sz w:val="24"/>
          <w:szCs w:val="24"/>
          <w:shd w:val="clear" w:color="auto" w:fill="FFFFFF"/>
          <w:lang w:val="en-GB"/>
        </w:rPr>
        <w:t xml:space="preserve">I have </w:t>
      </w:r>
      <w:r>
        <w:rPr>
          <w:rFonts w:ascii="Arial" w:hAnsi="Arial" w:cs="Arial"/>
          <w:color w:val="242121"/>
          <w:sz w:val="24"/>
          <w:szCs w:val="24"/>
          <w:shd w:val="clear" w:color="auto" w:fill="FFFFFF"/>
          <w:lang w:val="en-GB"/>
        </w:rPr>
        <w:t xml:space="preserve">considered the grounds upon which the applicant is seeking an order </w:t>
      </w:r>
      <w:r w:rsidR="0067358B">
        <w:rPr>
          <w:rFonts w:ascii="Arial" w:hAnsi="Arial" w:cs="Arial"/>
          <w:color w:val="242121"/>
          <w:sz w:val="24"/>
          <w:szCs w:val="24"/>
          <w:shd w:val="clear" w:color="auto" w:fill="FFFFFF"/>
          <w:lang w:val="en-GB"/>
        </w:rPr>
        <w:t>for this court to order the second respondent to properly comply with the court order by recommending the applicant’s release. I am the considered view that these grounds are premised on an erroneous and absurd interpretation of s 109(</w:t>
      </w:r>
      <w:r w:rsidR="0067358B" w:rsidRPr="00B81FED">
        <w:rPr>
          <w:rFonts w:ascii="Arial" w:hAnsi="Arial" w:cs="Arial"/>
          <w:i/>
          <w:color w:val="242121"/>
          <w:sz w:val="24"/>
          <w:szCs w:val="24"/>
          <w:shd w:val="clear" w:color="auto" w:fill="FFFFFF"/>
          <w:lang w:val="en-GB"/>
        </w:rPr>
        <w:t>a</w:t>
      </w:r>
      <w:r w:rsidR="0067358B">
        <w:rPr>
          <w:rFonts w:ascii="Arial" w:hAnsi="Arial" w:cs="Arial"/>
          <w:color w:val="242121"/>
          <w:sz w:val="24"/>
          <w:szCs w:val="24"/>
          <w:shd w:val="clear" w:color="auto" w:fill="FFFFFF"/>
          <w:lang w:val="en-GB"/>
        </w:rPr>
        <w:t>) and that the second respondent properly complied with the court order dated 24 November 2022.</w:t>
      </w:r>
    </w:p>
    <w:p w:rsidR="0067358B" w:rsidRDefault="0067358B" w:rsidP="00972C07">
      <w:pPr>
        <w:spacing w:after="0" w:line="360" w:lineRule="auto"/>
        <w:jc w:val="both"/>
        <w:rPr>
          <w:rFonts w:ascii="Arial" w:hAnsi="Arial" w:cs="Arial"/>
          <w:color w:val="242121"/>
          <w:sz w:val="24"/>
          <w:szCs w:val="24"/>
          <w:shd w:val="clear" w:color="auto" w:fill="FFFFFF"/>
          <w:lang w:val="en-GB"/>
        </w:rPr>
      </w:pPr>
    </w:p>
    <w:p w:rsidR="0067358B" w:rsidRDefault="0067358B" w:rsidP="0067358B">
      <w:pPr>
        <w:spacing w:after="0" w:line="360" w:lineRule="auto"/>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w:t>
      </w:r>
      <w:r w:rsidR="0016646B">
        <w:rPr>
          <w:rFonts w:ascii="Arial" w:hAnsi="Arial" w:cs="Arial"/>
          <w:color w:val="242121"/>
          <w:sz w:val="24"/>
          <w:szCs w:val="24"/>
          <w:shd w:val="clear" w:color="auto" w:fill="FFFFFF"/>
          <w:lang w:val="en-GB"/>
        </w:rPr>
        <w:t>58]</w:t>
      </w:r>
      <w:r>
        <w:rPr>
          <w:rFonts w:ascii="Arial" w:hAnsi="Arial" w:cs="Arial"/>
          <w:color w:val="242121"/>
          <w:sz w:val="24"/>
          <w:szCs w:val="24"/>
          <w:shd w:val="clear" w:color="auto" w:fill="FFFFFF"/>
          <w:lang w:val="en-GB"/>
        </w:rPr>
        <w:tab/>
        <w:t>In light of this conclusion</w:t>
      </w:r>
      <w:r w:rsidR="00A82E78">
        <w:rPr>
          <w:rFonts w:ascii="Arial" w:hAnsi="Arial" w:cs="Arial"/>
          <w:color w:val="242121"/>
          <w:sz w:val="24"/>
          <w:szCs w:val="24"/>
          <w:shd w:val="clear" w:color="auto" w:fill="FFFFFF"/>
          <w:lang w:val="en-GB"/>
        </w:rPr>
        <w:t>,</w:t>
      </w:r>
      <w:r>
        <w:rPr>
          <w:rFonts w:ascii="Arial" w:hAnsi="Arial" w:cs="Arial"/>
          <w:color w:val="242121"/>
          <w:sz w:val="24"/>
          <w:szCs w:val="24"/>
          <w:shd w:val="clear" w:color="auto" w:fill="FFFFFF"/>
          <w:lang w:val="en-GB"/>
        </w:rPr>
        <w:t xml:space="preserve"> the court cannot entertain the remaining prayers of the applicant and the entire application stands to be dismissed.</w:t>
      </w:r>
    </w:p>
    <w:p w:rsidR="0067358B" w:rsidRDefault="0067358B" w:rsidP="0067358B">
      <w:pPr>
        <w:spacing w:after="0" w:line="360" w:lineRule="auto"/>
        <w:jc w:val="both"/>
        <w:rPr>
          <w:rFonts w:ascii="Arial" w:hAnsi="Arial" w:cs="Arial"/>
          <w:color w:val="242121"/>
          <w:sz w:val="24"/>
          <w:szCs w:val="24"/>
          <w:shd w:val="clear" w:color="auto" w:fill="FFFFFF"/>
          <w:lang w:val="en-GB"/>
        </w:rPr>
      </w:pPr>
    </w:p>
    <w:p w:rsidR="003A58BF" w:rsidRDefault="0067358B" w:rsidP="0067358B">
      <w:pPr>
        <w:spacing w:after="0" w:line="360" w:lineRule="auto"/>
        <w:jc w:val="both"/>
        <w:rPr>
          <w:rFonts w:ascii="Arial" w:hAnsi="Arial" w:cs="Arial"/>
          <w:color w:val="242121"/>
          <w:sz w:val="24"/>
          <w:szCs w:val="24"/>
          <w:shd w:val="clear" w:color="auto" w:fill="FFFFFF"/>
          <w:lang w:val="en-GB"/>
        </w:rPr>
      </w:pPr>
      <w:r w:rsidRPr="0067358B">
        <w:rPr>
          <w:rFonts w:ascii="Arial" w:hAnsi="Arial" w:cs="Arial"/>
          <w:color w:val="242121"/>
          <w:sz w:val="24"/>
          <w:szCs w:val="24"/>
          <w:u w:val="single"/>
          <w:shd w:val="clear" w:color="auto" w:fill="FFFFFF"/>
          <w:lang w:val="en-GB"/>
        </w:rPr>
        <w:t>Costs</w:t>
      </w:r>
      <w:r>
        <w:rPr>
          <w:rFonts w:ascii="Arial" w:hAnsi="Arial" w:cs="Arial"/>
          <w:color w:val="242121"/>
          <w:sz w:val="24"/>
          <w:szCs w:val="24"/>
          <w:shd w:val="clear" w:color="auto" w:fill="FFFFFF"/>
          <w:lang w:val="en-GB"/>
        </w:rPr>
        <w:t>.</w:t>
      </w:r>
    </w:p>
    <w:p w:rsidR="00CD61AA" w:rsidRDefault="0067358B" w:rsidP="0067358B">
      <w:pPr>
        <w:spacing w:after="0" w:line="360" w:lineRule="auto"/>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 xml:space="preserve"> </w:t>
      </w:r>
    </w:p>
    <w:p w:rsidR="0067358B" w:rsidRDefault="0067358B" w:rsidP="0067358B">
      <w:pPr>
        <w:spacing w:after="0" w:line="360" w:lineRule="auto"/>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w:t>
      </w:r>
      <w:r w:rsidR="003A58BF">
        <w:rPr>
          <w:rFonts w:ascii="Arial" w:hAnsi="Arial" w:cs="Arial"/>
          <w:color w:val="242121"/>
          <w:sz w:val="24"/>
          <w:szCs w:val="24"/>
          <w:shd w:val="clear" w:color="auto" w:fill="FFFFFF"/>
          <w:lang w:val="en-GB"/>
        </w:rPr>
        <w:t>5</w:t>
      </w:r>
      <w:r w:rsidR="0016646B">
        <w:rPr>
          <w:rFonts w:ascii="Arial" w:hAnsi="Arial" w:cs="Arial"/>
          <w:color w:val="242121"/>
          <w:sz w:val="24"/>
          <w:szCs w:val="24"/>
          <w:shd w:val="clear" w:color="auto" w:fill="FFFFFF"/>
          <w:lang w:val="en-GB"/>
        </w:rPr>
        <w:t>9</w:t>
      </w:r>
      <w:r>
        <w:rPr>
          <w:rFonts w:ascii="Arial" w:hAnsi="Arial" w:cs="Arial"/>
          <w:color w:val="242121"/>
          <w:sz w:val="24"/>
          <w:szCs w:val="24"/>
          <w:shd w:val="clear" w:color="auto" w:fill="FFFFFF"/>
          <w:lang w:val="en-GB"/>
        </w:rPr>
        <w:t>]</w:t>
      </w:r>
      <w:r>
        <w:rPr>
          <w:rFonts w:ascii="Arial" w:hAnsi="Arial" w:cs="Arial"/>
          <w:color w:val="242121"/>
          <w:sz w:val="24"/>
          <w:szCs w:val="24"/>
          <w:shd w:val="clear" w:color="auto" w:fill="FFFFFF"/>
          <w:lang w:val="en-GB"/>
        </w:rPr>
        <w:tab/>
        <w:t>Given the fact that the applicant is legally aided, no order as to costs will be made.</w:t>
      </w:r>
    </w:p>
    <w:p w:rsidR="0067358B" w:rsidRDefault="0067358B" w:rsidP="0067358B">
      <w:pPr>
        <w:spacing w:after="0" w:line="360" w:lineRule="auto"/>
        <w:jc w:val="both"/>
        <w:rPr>
          <w:rFonts w:ascii="Arial" w:hAnsi="Arial" w:cs="Arial"/>
          <w:sz w:val="24"/>
          <w:szCs w:val="24"/>
        </w:rPr>
      </w:pPr>
    </w:p>
    <w:p w:rsidR="00CD61AA" w:rsidRDefault="00CD61AA" w:rsidP="00C67CE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16646B">
        <w:rPr>
          <w:rFonts w:ascii="Arial" w:hAnsi="Arial" w:cs="Arial"/>
          <w:sz w:val="24"/>
          <w:szCs w:val="24"/>
        </w:rPr>
        <w:t>60</w:t>
      </w:r>
      <w:r>
        <w:rPr>
          <w:rFonts w:ascii="Arial" w:hAnsi="Arial" w:cs="Arial"/>
          <w:sz w:val="24"/>
          <w:szCs w:val="24"/>
        </w:rPr>
        <w:t>]</w:t>
      </w:r>
      <w:r>
        <w:rPr>
          <w:rFonts w:ascii="Arial" w:hAnsi="Arial" w:cs="Arial"/>
          <w:sz w:val="24"/>
          <w:szCs w:val="24"/>
        </w:rPr>
        <w:tab/>
        <w:t>The following order is made:</w:t>
      </w:r>
    </w:p>
    <w:p w:rsidR="003A2B52" w:rsidRDefault="003A2B52" w:rsidP="00C67CE8">
      <w:pPr>
        <w:autoSpaceDE w:val="0"/>
        <w:autoSpaceDN w:val="0"/>
        <w:adjustRightInd w:val="0"/>
        <w:spacing w:after="0" w:line="360" w:lineRule="auto"/>
        <w:jc w:val="both"/>
        <w:rPr>
          <w:rFonts w:ascii="Arial" w:hAnsi="Arial" w:cs="Arial"/>
          <w:sz w:val="24"/>
          <w:szCs w:val="24"/>
        </w:rPr>
      </w:pPr>
    </w:p>
    <w:p w:rsidR="0067358B" w:rsidRDefault="0067358B" w:rsidP="006229BC">
      <w:pPr>
        <w:numPr>
          <w:ilvl w:val="0"/>
          <w:numId w:val="16"/>
        </w:numPr>
        <w:spacing w:after="0" w:line="360" w:lineRule="auto"/>
        <w:contextualSpacing/>
        <w:jc w:val="both"/>
        <w:rPr>
          <w:rFonts w:ascii="Arial" w:eastAsia="Calibri" w:hAnsi="Arial" w:cs="Arial"/>
          <w:sz w:val="24"/>
          <w:szCs w:val="24"/>
          <w:lang w:val="en-GB"/>
        </w:rPr>
      </w:pPr>
      <w:r w:rsidRPr="0067358B">
        <w:rPr>
          <w:rFonts w:ascii="Arial" w:eastAsia="Calibri" w:hAnsi="Arial" w:cs="Arial"/>
          <w:sz w:val="24"/>
          <w:szCs w:val="24"/>
          <w:lang w:val="en-GB"/>
        </w:rPr>
        <w:lastRenderedPageBreak/>
        <w:t>The app</w:t>
      </w:r>
      <w:r w:rsidR="003A2B52">
        <w:rPr>
          <w:rFonts w:ascii="Arial" w:eastAsia="Calibri" w:hAnsi="Arial" w:cs="Arial"/>
          <w:sz w:val="24"/>
          <w:szCs w:val="24"/>
          <w:lang w:val="en-GB"/>
        </w:rPr>
        <w:t>lication, (Part B) is dismissed.</w:t>
      </w:r>
    </w:p>
    <w:p w:rsidR="00FD50B9" w:rsidRPr="0067358B" w:rsidRDefault="00FD50B9" w:rsidP="006229BC">
      <w:pPr>
        <w:numPr>
          <w:ilvl w:val="0"/>
          <w:numId w:val="16"/>
        </w:numPr>
        <w:spacing w:after="0" w:line="360" w:lineRule="auto"/>
        <w:contextualSpacing/>
        <w:jc w:val="both"/>
        <w:rPr>
          <w:rFonts w:ascii="Arial" w:eastAsia="Calibri" w:hAnsi="Arial" w:cs="Arial"/>
          <w:sz w:val="24"/>
          <w:szCs w:val="24"/>
          <w:lang w:val="en-GB"/>
        </w:rPr>
      </w:pPr>
      <w:r w:rsidRPr="0067358B">
        <w:rPr>
          <w:rFonts w:ascii="Arial" w:eastAsia="Calibri" w:hAnsi="Arial" w:cs="Arial"/>
          <w:sz w:val="24"/>
          <w:szCs w:val="24"/>
          <w:lang w:val="en-GB"/>
        </w:rPr>
        <w:t xml:space="preserve">No order as to costs. </w:t>
      </w:r>
    </w:p>
    <w:p w:rsidR="00FD50B9" w:rsidRDefault="00FD50B9" w:rsidP="00FD50B9">
      <w:pPr>
        <w:spacing w:after="0" w:line="360" w:lineRule="auto"/>
        <w:contextualSpacing/>
        <w:jc w:val="both"/>
        <w:rPr>
          <w:rFonts w:ascii="Arial" w:eastAsia="Calibri" w:hAnsi="Arial" w:cs="Arial"/>
          <w:sz w:val="24"/>
          <w:szCs w:val="24"/>
          <w:lang w:val="en-GB"/>
        </w:rPr>
      </w:pPr>
    </w:p>
    <w:p w:rsidR="00FD50B9" w:rsidRDefault="00FD50B9" w:rsidP="00FD50B9">
      <w:pPr>
        <w:spacing w:after="0" w:line="360" w:lineRule="auto"/>
        <w:contextualSpacing/>
        <w:jc w:val="both"/>
        <w:rPr>
          <w:rFonts w:ascii="Arial" w:eastAsia="Calibri" w:hAnsi="Arial" w:cs="Arial"/>
          <w:sz w:val="24"/>
          <w:szCs w:val="24"/>
          <w:lang w:val="en-GB"/>
        </w:rPr>
      </w:pPr>
    </w:p>
    <w:p w:rsidR="00FD50B9" w:rsidRDefault="00FD50B9" w:rsidP="00FD50B9">
      <w:pPr>
        <w:spacing w:after="0" w:line="360" w:lineRule="auto"/>
        <w:contextualSpacing/>
        <w:jc w:val="both"/>
        <w:rPr>
          <w:rFonts w:ascii="Arial" w:eastAsia="Calibri" w:hAnsi="Arial" w:cs="Arial"/>
          <w:sz w:val="24"/>
          <w:szCs w:val="24"/>
          <w:lang w:val="en-GB"/>
        </w:rPr>
      </w:pPr>
    </w:p>
    <w:p w:rsidR="00953093" w:rsidRDefault="00953093" w:rsidP="00FD50B9">
      <w:pPr>
        <w:spacing w:after="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t xml:space="preserve">                                                                                                                _____________</w:t>
      </w:r>
    </w:p>
    <w:p w:rsidR="00953093" w:rsidRDefault="00953093" w:rsidP="00FD50B9">
      <w:pPr>
        <w:spacing w:after="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t xml:space="preserve">                                                                                                                     TOMMASI J</w:t>
      </w:r>
    </w:p>
    <w:p w:rsidR="00FD50B9" w:rsidRDefault="00FD50B9" w:rsidP="00FD50B9">
      <w:pPr>
        <w:spacing w:after="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br/>
      </w:r>
    </w:p>
    <w:p w:rsidR="00FD50B9" w:rsidRDefault="00FD50B9">
      <w:pPr>
        <w:rPr>
          <w:rFonts w:ascii="Arial" w:eastAsia="Calibri" w:hAnsi="Arial" w:cs="Arial"/>
          <w:sz w:val="24"/>
          <w:szCs w:val="24"/>
          <w:lang w:val="en-GB"/>
        </w:rPr>
      </w:pPr>
      <w:r>
        <w:rPr>
          <w:rFonts w:ascii="Arial" w:eastAsia="Calibri" w:hAnsi="Arial" w:cs="Arial"/>
          <w:sz w:val="24"/>
          <w:szCs w:val="24"/>
          <w:lang w:val="en-GB"/>
        </w:rPr>
        <w:br w:type="page"/>
      </w:r>
    </w:p>
    <w:p w:rsidR="00FD50B9" w:rsidRPr="00694C86" w:rsidRDefault="00FD50B9" w:rsidP="00FD50B9">
      <w:pPr>
        <w:spacing w:after="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lastRenderedPageBreak/>
        <w:t>APPEARANCE</w:t>
      </w:r>
    </w:p>
    <w:p w:rsidR="00FD50B9" w:rsidRPr="00694C86" w:rsidRDefault="00FD50B9" w:rsidP="00FD50B9">
      <w:pPr>
        <w:spacing w:after="0" w:line="360" w:lineRule="auto"/>
        <w:contextualSpacing/>
        <w:jc w:val="both"/>
        <w:rPr>
          <w:rFonts w:ascii="Arial" w:eastAsia="Calibri" w:hAnsi="Arial" w:cs="Arial"/>
          <w:sz w:val="24"/>
          <w:szCs w:val="24"/>
          <w:lang w:val="en-GB"/>
        </w:rPr>
      </w:pPr>
    </w:p>
    <w:p w:rsidR="00FD50B9" w:rsidRPr="00694C86" w:rsidRDefault="00FD50B9" w:rsidP="00FD50B9">
      <w:pPr>
        <w:spacing w:after="0" w:line="360" w:lineRule="auto"/>
        <w:contextualSpacing/>
        <w:jc w:val="both"/>
        <w:rPr>
          <w:rFonts w:ascii="Arial" w:eastAsia="Calibri" w:hAnsi="Arial" w:cs="Arial"/>
          <w:sz w:val="24"/>
          <w:szCs w:val="24"/>
          <w:lang w:val="en-GB"/>
        </w:rPr>
      </w:pPr>
    </w:p>
    <w:p w:rsidR="00FD50B9" w:rsidRPr="00694C86" w:rsidRDefault="00FD50B9" w:rsidP="00FD50B9">
      <w:pPr>
        <w:spacing w:after="0" w:line="360" w:lineRule="auto"/>
        <w:contextualSpacing/>
        <w:jc w:val="both"/>
        <w:rPr>
          <w:rFonts w:ascii="Arial" w:eastAsia="Calibri" w:hAnsi="Arial" w:cs="Arial"/>
          <w:sz w:val="24"/>
          <w:szCs w:val="24"/>
          <w:lang w:val="en-GB"/>
        </w:rPr>
      </w:pPr>
      <w:r w:rsidRPr="00694C86">
        <w:rPr>
          <w:rFonts w:ascii="Arial" w:eastAsia="Calibri" w:hAnsi="Arial" w:cs="Arial"/>
          <w:sz w:val="24"/>
          <w:szCs w:val="24"/>
          <w:lang w:val="en-GB"/>
        </w:rPr>
        <w:t>APPLICANT:</w:t>
      </w:r>
      <w:r w:rsidR="0085274B" w:rsidRPr="00694C86">
        <w:rPr>
          <w:rFonts w:ascii="Arial" w:eastAsia="Calibri" w:hAnsi="Arial" w:cs="Arial"/>
          <w:sz w:val="24"/>
          <w:szCs w:val="24"/>
          <w:lang w:val="en-GB"/>
        </w:rPr>
        <w:t xml:space="preserve"> </w:t>
      </w:r>
      <w:r w:rsidR="00694C86" w:rsidRPr="00694C86">
        <w:rPr>
          <w:rFonts w:ascii="Arial" w:eastAsia="Calibri" w:hAnsi="Arial" w:cs="Arial"/>
          <w:sz w:val="24"/>
          <w:szCs w:val="24"/>
          <w:lang w:val="en-GB"/>
        </w:rPr>
        <w:tab/>
      </w:r>
      <w:r w:rsidR="00694C86" w:rsidRPr="00694C86">
        <w:rPr>
          <w:rFonts w:ascii="Arial" w:eastAsia="Calibri" w:hAnsi="Arial" w:cs="Arial"/>
          <w:sz w:val="24"/>
          <w:szCs w:val="24"/>
          <w:lang w:val="en-GB"/>
        </w:rPr>
        <w:tab/>
      </w:r>
      <w:r w:rsidR="00694C86" w:rsidRPr="00694C86">
        <w:rPr>
          <w:rFonts w:ascii="Arial" w:eastAsia="Calibri" w:hAnsi="Arial" w:cs="Arial"/>
          <w:sz w:val="24"/>
          <w:szCs w:val="24"/>
          <w:lang w:val="en-GB"/>
        </w:rPr>
        <w:tab/>
      </w:r>
      <w:r w:rsidR="00694C86" w:rsidRPr="00694C86">
        <w:rPr>
          <w:rFonts w:ascii="Arial" w:eastAsia="Calibri" w:hAnsi="Arial" w:cs="Arial"/>
          <w:sz w:val="24"/>
          <w:szCs w:val="24"/>
          <w:lang w:val="en-GB"/>
        </w:rPr>
        <w:tab/>
        <w:t xml:space="preserve">P </w:t>
      </w:r>
      <w:proofErr w:type="spellStart"/>
      <w:r w:rsidR="00694C86" w:rsidRPr="00694C86">
        <w:rPr>
          <w:rFonts w:ascii="Arial" w:eastAsia="Calibri" w:hAnsi="Arial" w:cs="Arial"/>
          <w:sz w:val="24"/>
          <w:szCs w:val="24"/>
          <w:lang w:val="en-GB"/>
        </w:rPr>
        <w:t>Muluti</w:t>
      </w:r>
      <w:proofErr w:type="spellEnd"/>
    </w:p>
    <w:p w:rsidR="00694C86" w:rsidRPr="00694C86" w:rsidRDefault="00694C86" w:rsidP="00694C86">
      <w:pPr>
        <w:spacing w:after="0" w:line="360" w:lineRule="auto"/>
        <w:ind w:left="3600" w:firstLine="720"/>
        <w:contextualSpacing/>
        <w:rPr>
          <w:rFonts w:ascii="Arial" w:hAnsi="Arial" w:cs="Arial"/>
          <w:sz w:val="24"/>
          <w:szCs w:val="24"/>
          <w:shd w:val="clear" w:color="auto" w:fill="FFFFFF"/>
        </w:rPr>
      </w:pPr>
      <w:r w:rsidRPr="00694C86">
        <w:rPr>
          <w:rFonts w:ascii="Arial" w:hAnsi="Arial" w:cs="Arial"/>
          <w:sz w:val="24"/>
          <w:szCs w:val="24"/>
          <w:shd w:val="clear" w:color="auto" w:fill="FFFFFF"/>
        </w:rPr>
        <w:t xml:space="preserve">Of </w:t>
      </w:r>
      <w:proofErr w:type="spellStart"/>
      <w:r w:rsidRPr="00694C86">
        <w:rPr>
          <w:rFonts w:ascii="Arial" w:hAnsi="Arial" w:cs="Arial"/>
          <w:sz w:val="24"/>
          <w:szCs w:val="24"/>
          <w:shd w:val="clear" w:color="auto" w:fill="FFFFFF"/>
        </w:rPr>
        <w:t>Muluti</w:t>
      </w:r>
      <w:proofErr w:type="spellEnd"/>
      <w:r w:rsidRPr="00694C86">
        <w:rPr>
          <w:rFonts w:ascii="Arial" w:hAnsi="Arial" w:cs="Arial"/>
          <w:sz w:val="24"/>
          <w:szCs w:val="24"/>
          <w:shd w:val="clear" w:color="auto" w:fill="FFFFFF"/>
        </w:rPr>
        <w:t xml:space="preserve"> &amp; Partners</w:t>
      </w:r>
    </w:p>
    <w:p w:rsidR="00694C86" w:rsidRPr="00694C86" w:rsidRDefault="00694C86" w:rsidP="00694C86">
      <w:pPr>
        <w:spacing w:after="0" w:line="360" w:lineRule="auto"/>
        <w:ind w:left="3600" w:firstLine="720"/>
        <w:contextualSpacing/>
        <w:rPr>
          <w:rFonts w:ascii="Arial" w:eastAsia="Calibri" w:hAnsi="Arial" w:cs="Arial"/>
          <w:sz w:val="24"/>
          <w:szCs w:val="24"/>
          <w:lang w:val="en-GB"/>
        </w:rPr>
      </w:pPr>
      <w:r w:rsidRPr="00694C86">
        <w:rPr>
          <w:rFonts w:ascii="Arial" w:hAnsi="Arial" w:cs="Arial"/>
          <w:sz w:val="24"/>
          <w:szCs w:val="24"/>
          <w:shd w:val="clear" w:color="auto" w:fill="FFFFFF"/>
        </w:rPr>
        <w:t>Windhoek</w:t>
      </w:r>
    </w:p>
    <w:p w:rsidR="00FD50B9" w:rsidRPr="00694C86" w:rsidRDefault="00FD50B9" w:rsidP="00FD50B9">
      <w:pPr>
        <w:spacing w:after="0" w:line="360" w:lineRule="auto"/>
        <w:contextualSpacing/>
        <w:jc w:val="both"/>
        <w:rPr>
          <w:rFonts w:ascii="Arial" w:eastAsia="Calibri" w:hAnsi="Arial" w:cs="Arial"/>
          <w:sz w:val="24"/>
          <w:szCs w:val="24"/>
          <w:lang w:val="en-GB"/>
        </w:rPr>
      </w:pPr>
    </w:p>
    <w:p w:rsidR="00FD50B9" w:rsidRPr="00694C86" w:rsidRDefault="00FD50B9" w:rsidP="00FD50B9">
      <w:pPr>
        <w:spacing w:after="0" w:line="360" w:lineRule="auto"/>
        <w:contextualSpacing/>
        <w:jc w:val="both"/>
        <w:rPr>
          <w:rFonts w:ascii="Arial" w:eastAsia="Calibri" w:hAnsi="Arial" w:cs="Arial"/>
          <w:sz w:val="24"/>
          <w:szCs w:val="24"/>
          <w:lang w:val="en-GB"/>
        </w:rPr>
      </w:pPr>
    </w:p>
    <w:p w:rsidR="00FD50B9" w:rsidRPr="00694C86" w:rsidRDefault="00FD50B9" w:rsidP="00FD50B9">
      <w:pPr>
        <w:spacing w:after="0" w:line="360" w:lineRule="auto"/>
        <w:contextualSpacing/>
        <w:jc w:val="both"/>
        <w:rPr>
          <w:rFonts w:ascii="Arial" w:eastAsia="Calibri" w:hAnsi="Arial" w:cs="Arial"/>
          <w:sz w:val="24"/>
          <w:szCs w:val="24"/>
          <w:lang w:val="en-GB"/>
        </w:rPr>
      </w:pPr>
      <w:r w:rsidRPr="00694C86">
        <w:rPr>
          <w:rFonts w:ascii="Arial" w:eastAsia="Calibri" w:hAnsi="Arial" w:cs="Arial"/>
          <w:sz w:val="24"/>
          <w:szCs w:val="24"/>
          <w:lang w:val="en-GB"/>
        </w:rPr>
        <w:t xml:space="preserve">RESPONDENT: </w:t>
      </w:r>
      <w:r w:rsidR="00694C86" w:rsidRPr="00694C86">
        <w:rPr>
          <w:rFonts w:ascii="Arial" w:eastAsia="Calibri" w:hAnsi="Arial" w:cs="Arial"/>
          <w:sz w:val="24"/>
          <w:szCs w:val="24"/>
          <w:lang w:val="en-GB"/>
        </w:rPr>
        <w:tab/>
      </w:r>
      <w:r w:rsidR="00694C86" w:rsidRPr="00694C86">
        <w:rPr>
          <w:rFonts w:ascii="Arial" w:eastAsia="Calibri" w:hAnsi="Arial" w:cs="Arial"/>
          <w:sz w:val="24"/>
          <w:szCs w:val="24"/>
          <w:lang w:val="en-GB"/>
        </w:rPr>
        <w:tab/>
      </w:r>
      <w:r w:rsidR="00694C86" w:rsidRPr="00694C86">
        <w:rPr>
          <w:rFonts w:ascii="Arial" w:eastAsia="Calibri" w:hAnsi="Arial" w:cs="Arial"/>
          <w:sz w:val="24"/>
          <w:szCs w:val="24"/>
          <w:lang w:val="en-GB"/>
        </w:rPr>
        <w:tab/>
      </w:r>
      <w:r w:rsidR="00694C86" w:rsidRPr="00694C86">
        <w:rPr>
          <w:rFonts w:ascii="Arial" w:eastAsia="Calibri" w:hAnsi="Arial" w:cs="Arial"/>
          <w:sz w:val="24"/>
          <w:szCs w:val="24"/>
          <w:lang w:val="en-GB"/>
        </w:rPr>
        <w:tab/>
        <w:t>S Namandje</w:t>
      </w:r>
    </w:p>
    <w:p w:rsidR="00694C86" w:rsidRPr="003A58BF" w:rsidRDefault="000C438D" w:rsidP="003A58BF">
      <w:pPr>
        <w:spacing w:after="0" w:line="360" w:lineRule="auto"/>
        <w:ind w:left="3600" w:firstLine="720"/>
        <w:contextualSpacing/>
        <w:jc w:val="both"/>
        <w:rPr>
          <w:rFonts w:ascii="Arial" w:hAnsi="Arial" w:cs="Arial"/>
          <w:sz w:val="24"/>
          <w:szCs w:val="24"/>
          <w:shd w:val="clear" w:color="auto" w:fill="F5F5F5"/>
        </w:rPr>
      </w:pPr>
      <w:r>
        <w:rPr>
          <w:rFonts w:ascii="Arial" w:hAnsi="Arial" w:cs="Arial"/>
          <w:sz w:val="24"/>
          <w:szCs w:val="24"/>
          <w:shd w:val="clear" w:color="auto" w:fill="F5F5F5"/>
        </w:rPr>
        <w:t xml:space="preserve">Of </w:t>
      </w:r>
      <w:proofErr w:type="spellStart"/>
      <w:r>
        <w:rPr>
          <w:rFonts w:ascii="Arial" w:hAnsi="Arial" w:cs="Arial"/>
          <w:sz w:val="24"/>
          <w:szCs w:val="24"/>
          <w:shd w:val="clear" w:color="auto" w:fill="F5F5F5"/>
        </w:rPr>
        <w:t>Sisa</w:t>
      </w:r>
      <w:proofErr w:type="spellEnd"/>
      <w:r>
        <w:rPr>
          <w:rFonts w:ascii="Arial" w:hAnsi="Arial" w:cs="Arial"/>
          <w:sz w:val="24"/>
          <w:szCs w:val="24"/>
          <w:shd w:val="clear" w:color="auto" w:fill="F5F5F5"/>
        </w:rPr>
        <w:t xml:space="preserve"> Namandje Inc</w:t>
      </w:r>
    </w:p>
    <w:p w:rsidR="00694C86" w:rsidRPr="003A58BF" w:rsidRDefault="003A2B52" w:rsidP="003A58BF">
      <w:pPr>
        <w:spacing w:after="0" w:line="360" w:lineRule="auto"/>
        <w:ind w:left="4320"/>
        <w:contextualSpacing/>
        <w:jc w:val="both"/>
        <w:rPr>
          <w:rFonts w:ascii="Arial" w:hAnsi="Arial" w:cs="Arial"/>
          <w:sz w:val="24"/>
          <w:szCs w:val="24"/>
          <w:shd w:val="clear" w:color="auto" w:fill="F5F5F5"/>
        </w:rPr>
      </w:pPr>
      <w:r>
        <w:rPr>
          <w:rFonts w:ascii="Arial" w:hAnsi="Arial" w:cs="Arial"/>
          <w:sz w:val="24"/>
          <w:szCs w:val="24"/>
          <w:shd w:val="clear" w:color="auto" w:fill="F5F5F5"/>
        </w:rPr>
        <w:t>Instructed by Government – O</w:t>
      </w:r>
      <w:r w:rsidR="00694C86" w:rsidRPr="003A58BF">
        <w:rPr>
          <w:rFonts w:ascii="Arial" w:hAnsi="Arial" w:cs="Arial"/>
          <w:sz w:val="24"/>
          <w:szCs w:val="24"/>
          <w:shd w:val="clear" w:color="auto" w:fill="F5F5F5"/>
        </w:rPr>
        <w:t>ffice of the Government Attorney</w:t>
      </w:r>
    </w:p>
    <w:p w:rsidR="00694C86" w:rsidRPr="003A58BF" w:rsidRDefault="00694C86" w:rsidP="003A58BF">
      <w:pPr>
        <w:spacing w:after="0" w:line="360" w:lineRule="auto"/>
        <w:ind w:left="4320"/>
        <w:contextualSpacing/>
        <w:jc w:val="both"/>
        <w:rPr>
          <w:rFonts w:ascii="Arial" w:eastAsia="Calibri" w:hAnsi="Arial" w:cs="Arial"/>
          <w:sz w:val="24"/>
          <w:szCs w:val="24"/>
          <w:lang w:val="en-GB"/>
        </w:rPr>
      </w:pPr>
      <w:r w:rsidRPr="003A58BF">
        <w:rPr>
          <w:rFonts w:ascii="Arial" w:hAnsi="Arial" w:cs="Arial"/>
          <w:sz w:val="24"/>
          <w:szCs w:val="24"/>
          <w:shd w:val="clear" w:color="auto" w:fill="F5F5F5"/>
        </w:rPr>
        <w:t>Windhoek</w:t>
      </w:r>
    </w:p>
    <w:p w:rsidR="00CD61AA" w:rsidRDefault="00CD61AA" w:rsidP="00C67CE8">
      <w:pPr>
        <w:autoSpaceDE w:val="0"/>
        <w:autoSpaceDN w:val="0"/>
        <w:adjustRightInd w:val="0"/>
        <w:spacing w:after="0" w:line="360" w:lineRule="auto"/>
        <w:jc w:val="both"/>
        <w:rPr>
          <w:rFonts w:ascii="Arial" w:hAnsi="Arial" w:cs="Arial"/>
          <w:lang w:val="en-ZA"/>
        </w:rPr>
      </w:pPr>
    </w:p>
    <w:p w:rsidR="00E701CC" w:rsidRDefault="00E701CC" w:rsidP="00E701CC">
      <w:pPr>
        <w:spacing w:after="0" w:line="360" w:lineRule="auto"/>
        <w:ind w:left="1418" w:hanging="698"/>
        <w:jc w:val="both"/>
        <w:rPr>
          <w:rFonts w:ascii="Arial" w:hAnsi="Arial" w:cs="Arial"/>
          <w:lang w:val="en-ZA"/>
        </w:rPr>
      </w:pPr>
      <w:r>
        <w:rPr>
          <w:rFonts w:ascii="Arial" w:hAnsi="Arial" w:cs="Arial"/>
          <w:lang w:val="en-ZA"/>
        </w:rPr>
        <w:t xml:space="preserve"> </w:t>
      </w:r>
    </w:p>
    <w:p w:rsidR="0004238C" w:rsidRPr="0004238C" w:rsidRDefault="0004238C" w:rsidP="0004238C">
      <w:pPr>
        <w:spacing w:line="360" w:lineRule="auto"/>
        <w:jc w:val="both"/>
        <w:rPr>
          <w:rFonts w:ascii="Arial" w:hAnsi="Arial" w:cs="Arial"/>
          <w:lang w:val="en-ZA"/>
        </w:rPr>
      </w:pPr>
    </w:p>
    <w:p w:rsidR="00356F78" w:rsidRPr="00FB7C79" w:rsidRDefault="00356F78" w:rsidP="000D3F76">
      <w:pPr>
        <w:rPr>
          <w:rFonts w:ascii="Arial" w:hAnsi="Arial" w:cs="Arial"/>
          <w:sz w:val="24"/>
          <w:szCs w:val="24"/>
        </w:rPr>
      </w:pPr>
    </w:p>
    <w:sectPr w:rsidR="00356F78" w:rsidRPr="00FB7C79" w:rsidSect="002F5B0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D3A" w:rsidRDefault="00567D3A" w:rsidP="00603E7D">
      <w:pPr>
        <w:spacing w:after="0" w:line="240" w:lineRule="auto"/>
      </w:pPr>
      <w:r>
        <w:separator/>
      </w:r>
    </w:p>
  </w:endnote>
  <w:endnote w:type="continuationSeparator" w:id="0">
    <w:p w:rsidR="00567D3A" w:rsidRDefault="00567D3A" w:rsidP="0060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D3A" w:rsidRDefault="00567D3A" w:rsidP="00603E7D">
      <w:pPr>
        <w:spacing w:after="0" w:line="240" w:lineRule="auto"/>
      </w:pPr>
      <w:r>
        <w:separator/>
      </w:r>
    </w:p>
  </w:footnote>
  <w:footnote w:type="continuationSeparator" w:id="0">
    <w:p w:rsidR="00567D3A" w:rsidRDefault="00567D3A" w:rsidP="00603E7D">
      <w:pPr>
        <w:spacing w:after="0" w:line="240" w:lineRule="auto"/>
      </w:pPr>
      <w:r>
        <w:continuationSeparator/>
      </w:r>
    </w:p>
  </w:footnote>
  <w:footnote w:id="1">
    <w:p w:rsidR="006229BC" w:rsidRPr="00B94CCE" w:rsidRDefault="006229BC">
      <w:pPr>
        <w:pStyle w:val="FootnoteText"/>
        <w:rPr>
          <w:rFonts w:ascii="Arial" w:hAnsi="Arial" w:cs="Arial"/>
          <w:lang w:val="en-ZA"/>
        </w:rPr>
      </w:pPr>
      <w:r w:rsidRPr="00B94CCE">
        <w:rPr>
          <w:rStyle w:val="FootnoteReference"/>
          <w:rFonts w:ascii="Arial" w:hAnsi="Arial" w:cs="Arial"/>
        </w:rPr>
        <w:footnoteRef/>
      </w:r>
      <w:r w:rsidRPr="00B94CCE">
        <w:rPr>
          <w:rFonts w:ascii="Arial" w:hAnsi="Arial" w:cs="Arial"/>
        </w:rPr>
        <w:t xml:space="preserve"> </w:t>
      </w:r>
      <w:proofErr w:type="spellStart"/>
      <w:r w:rsidRPr="00B94CCE">
        <w:rPr>
          <w:rFonts w:ascii="Arial" w:hAnsi="Arial" w:cs="Arial"/>
          <w:i/>
          <w:iCs/>
          <w:lang w:val="en-ZA"/>
        </w:rPr>
        <w:t>Mwilima</w:t>
      </w:r>
      <w:proofErr w:type="spellEnd"/>
      <w:r w:rsidRPr="00B94CCE">
        <w:rPr>
          <w:rFonts w:ascii="Arial" w:hAnsi="Arial" w:cs="Arial"/>
          <w:i/>
          <w:iCs/>
          <w:lang w:val="en-ZA"/>
        </w:rPr>
        <w:t xml:space="preserve"> v Minister of Home Affairs, Immigration and Safety and Security </w:t>
      </w:r>
      <w:r w:rsidRPr="00B94CCE">
        <w:rPr>
          <w:rFonts w:ascii="Arial" w:hAnsi="Arial" w:cs="Arial"/>
          <w:lang w:val="en-ZA"/>
        </w:rPr>
        <w:t>(HC-MD-CIV-MOT-GEN-2021/00260) [2022] NAHCMD 618 (14 November 2022)</w:t>
      </w:r>
      <w:r w:rsidR="0015497D">
        <w:rPr>
          <w:rFonts w:ascii="Arial" w:hAnsi="Arial" w:cs="Arial"/>
          <w:lang w:val="en-ZA"/>
        </w:rPr>
        <w:t>.</w:t>
      </w:r>
    </w:p>
  </w:footnote>
  <w:footnote w:id="2">
    <w:p w:rsidR="000D7C67" w:rsidRDefault="006229BC" w:rsidP="00671AB4">
      <w:pPr>
        <w:pStyle w:val="FootnoteText"/>
        <w:rPr>
          <w:rFonts w:ascii="Arial" w:hAnsi="Arial" w:cs="Arial"/>
          <w:lang w:val="en-ZA"/>
        </w:rPr>
      </w:pPr>
      <w:r>
        <w:rPr>
          <w:rStyle w:val="FootnoteReference"/>
        </w:rPr>
        <w:footnoteRef/>
      </w:r>
      <w:r>
        <w:t xml:space="preserve"> </w:t>
      </w:r>
      <w:r w:rsidRPr="000D7C67">
        <w:rPr>
          <w:rFonts w:ascii="Arial" w:hAnsi="Arial" w:cs="Arial"/>
          <w:i/>
          <w:lang w:val="en-ZA"/>
        </w:rPr>
        <w:t>Secretary, Judicial Commission of Inquiry into Allegations of State Capture v Zuma and Others</w:t>
      </w:r>
      <w:r w:rsidRPr="000D7C67">
        <w:rPr>
          <w:rFonts w:ascii="Arial" w:hAnsi="Arial" w:cs="Arial"/>
          <w:lang w:val="en-ZA"/>
        </w:rPr>
        <w:t xml:space="preserve"> 2021 (5) </w:t>
      </w:r>
    </w:p>
    <w:p w:rsidR="006229BC" w:rsidRPr="000D7C67" w:rsidRDefault="000D7C67" w:rsidP="00671AB4">
      <w:pPr>
        <w:pStyle w:val="FootnoteText"/>
        <w:rPr>
          <w:rFonts w:ascii="Arial" w:hAnsi="Arial" w:cs="Arial"/>
          <w:lang w:val="en-ZA"/>
        </w:rPr>
      </w:pPr>
      <w:r>
        <w:rPr>
          <w:rFonts w:ascii="Arial" w:hAnsi="Arial" w:cs="Arial"/>
          <w:lang w:val="en-ZA"/>
        </w:rPr>
        <w:t xml:space="preserve">  </w:t>
      </w:r>
      <w:r w:rsidR="006229BC" w:rsidRPr="000D7C67">
        <w:rPr>
          <w:rFonts w:ascii="Arial" w:hAnsi="Arial" w:cs="Arial"/>
          <w:lang w:val="en-ZA"/>
        </w:rPr>
        <w:t>SA 327 (CC)</w:t>
      </w:r>
      <w:r w:rsidR="0015497D" w:rsidRPr="000D7C67">
        <w:rPr>
          <w:rFonts w:ascii="Arial" w:hAnsi="Arial" w:cs="Arial"/>
          <w:lang w:val="en-ZA"/>
        </w:rPr>
        <w:t>.</w:t>
      </w:r>
      <w:r w:rsidR="006229BC" w:rsidRPr="000D7C67">
        <w:rPr>
          <w:rFonts w:ascii="Arial" w:hAnsi="Arial" w:cs="Arial"/>
          <w:lang w:val="en-ZA"/>
        </w:rPr>
        <w:t xml:space="preserve">  </w:t>
      </w:r>
    </w:p>
    <w:p w:rsidR="006229BC" w:rsidRPr="00671AB4" w:rsidRDefault="006229BC">
      <w:pPr>
        <w:pStyle w:val="FootnoteText"/>
        <w:rPr>
          <w:lang w:val="en-ZA"/>
        </w:rPr>
      </w:pPr>
    </w:p>
  </w:footnote>
  <w:footnote w:id="3">
    <w:p w:rsidR="006229BC" w:rsidRPr="000D7C67" w:rsidRDefault="006229BC">
      <w:pPr>
        <w:pStyle w:val="FootnoteText"/>
        <w:rPr>
          <w:rFonts w:ascii="Arial" w:hAnsi="Arial" w:cs="Arial"/>
          <w:lang w:val="en-ZA"/>
        </w:rPr>
      </w:pPr>
      <w:r w:rsidRPr="000D7C67">
        <w:rPr>
          <w:rStyle w:val="FootnoteReference"/>
          <w:rFonts w:ascii="Arial" w:hAnsi="Arial" w:cs="Arial"/>
        </w:rPr>
        <w:footnoteRef/>
      </w:r>
      <w:r w:rsidRPr="000D7C67">
        <w:rPr>
          <w:rFonts w:ascii="Arial" w:hAnsi="Arial" w:cs="Arial"/>
        </w:rPr>
        <w:t xml:space="preserve"> </w:t>
      </w:r>
      <w:proofErr w:type="spellStart"/>
      <w:r w:rsidRPr="000D7C67">
        <w:rPr>
          <w:rFonts w:ascii="Arial" w:hAnsi="Arial" w:cs="Arial"/>
          <w:i/>
        </w:rPr>
        <w:t>Plascon</w:t>
      </w:r>
      <w:proofErr w:type="spellEnd"/>
      <w:r w:rsidRPr="000D7C67">
        <w:rPr>
          <w:rFonts w:ascii="Arial" w:hAnsi="Arial" w:cs="Arial"/>
          <w:i/>
        </w:rPr>
        <w:t xml:space="preserve">-Evans Paints Ltd v Van </w:t>
      </w:r>
      <w:proofErr w:type="spellStart"/>
      <w:r w:rsidRPr="000D7C67">
        <w:rPr>
          <w:rFonts w:ascii="Arial" w:hAnsi="Arial" w:cs="Arial"/>
          <w:i/>
        </w:rPr>
        <w:t>Riebeeck</w:t>
      </w:r>
      <w:proofErr w:type="spellEnd"/>
      <w:r w:rsidRPr="000D7C67">
        <w:rPr>
          <w:rFonts w:ascii="Arial" w:hAnsi="Arial" w:cs="Arial"/>
          <w:i/>
        </w:rPr>
        <w:t xml:space="preserve"> Paints (Pty) Ltd</w:t>
      </w:r>
      <w:r w:rsidRPr="000D7C67">
        <w:rPr>
          <w:rFonts w:ascii="Arial" w:hAnsi="Arial" w:cs="Arial"/>
        </w:rPr>
        <w:t xml:space="preserve"> 1984 (3) SA 623 (A)</w:t>
      </w:r>
      <w:r w:rsidR="000D7C67" w:rsidRPr="000D7C67">
        <w:rPr>
          <w:rFonts w:ascii="Arial" w:hAnsi="Arial" w:cs="Arial"/>
        </w:rPr>
        <w:t>.</w:t>
      </w:r>
    </w:p>
  </w:footnote>
  <w:footnote w:id="4">
    <w:p w:rsidR="00D915A8" w:rsidRPr="00D915A8" w:rsidRDefault="00D915A8">
      <w:pPr>
        <w:pStyle w:val="FootnoteText"/>
        <w:rPr>
          <w:rFonts w:ascii="Arial" w:hAnsi="Arial" w:cs="Arial"/>
          <w:lang w:val="en-ZA"/>
        </w:rPr>
      </w:pPr>
      <w:r w:rsidRPr="00D915A8">
        <w:rPr>
          <w:rStyle w:val="FootnoteReference"/>
          <w:rFonts w:ascii="Arial" w:hAnsi="Arial" w:cs="Arial"/>
        </w:rPr>
        <w:footnoteRef/>
      </w:r>
      <w:r w:rsidRPr="00D915A8">
        <w:rPr>
          <w:rFonts w:ascii="Arial" w:hAnsi="Arial" w:cs="Arial"/>
        </w:rPr>
        <w:t xml:space="preserve"> </w:t>
      </w:r>
      <w:r w:rsidRPr="00D915A8">
        <w:rPr>
          <w:rFonts w:ascii="Arial" w:hAnsi="Arial" w:cs="Arial"/>
          <w:i/>
          <w:lang w:val="af-ZA"/>
        </w:rPr>
        <w:t>Teachers Union of Namibia v Namibia National Teachers Union and Others</w:t>
      </w:r>
      <w:r w:rsidR="000D7C67">
        <w:rPr>
          <w:rFonts w:ascii="Arial" w:hAnsi="Arial" w:cs="Arial"/>
          <w:lang w:val="af-ZA"/>
        </w:rPr>
        <w:t xml:space="preserve"> 2020 (2) NR 516 (SCA)</w:t>
      </w:r>
      <w:r w:rsidR="00CE33D3">
        <w:rPr>
          <w:rFonts w:ascii="Arial" w:hAnsi="Arial" w:cs="Arial"/>
          <w:lang w:val="af-ZA"/>
        </w:rPr>
        <w:t>.</w:t>
      </w:r>
    </w:p>
  </w:footnote>
  <w:footnote w:id="5">
    <w:p w:rsidR="006229BC" w:rsidRPr="00D915A8" w:rsidRDefault="006229BC">
      <w:pPr>
        <w:pStyle w:val="FootnoteText"/>
        <w:rPr>
          <w:rFonts w:ascii="Arial" w:hAnsi="Arial" w:cs="Arial"/>
          <w:lang w:val="en-ZA"/>
        </w:rPr>
      </w:pPr>
      <w:r w:rsidRPr="00D915A8">
        <w:rPr>
          <w:rStyle w:val="FootnoteReference"/>
          <w:rFonts w:ascii="Arial" w:hAnsi="Arial" w:cs="Arial"/>
        </w:rPr>
        <w:footnoteRef/>
      </w:r>
      <w:r w:rsidRPr="00D915A8">
        <w:rPr>
          <w:rFonts w:ascii="Arial" w:hAnsi="Arial" w:cs="Arial"/>
        </w:rPr>
        <w:t xml:space="preserve"> Referring to </w:t>
      </w:r>
      <w:proofErr w:type="spellStart"/>
      <w:r w:rsidRPr="000D7C67">
        <w:rPr>
          <w:rFonts w:ascii="Arial" w:hAnsi="Arial" w:cs="Arial"/>
          <w:i/>
        </w:rPr>
        <w:t>Fakie</w:t>
      </w:r>
      <w:proofErr w:type="spellEnd"/>
      <w:r w:rsidRPr="000D7C67">
        <w:rPr>
          <w:rFonts w:ascii="Arial" w:hAnsi="Arial" w:cs="Arial"/>
          <w:i/>
        </w:rPr>
        <w:t xml:space="preserve"> NO v CCII Systems (Pty) Ltd</w:t>
      </w:r>
      <w:r w:rsidRPr="00D915A8">
        <w:rPr>
          <w:rFonts w:ascii="Arial" w:hAnsi="Arial" w:cs="Arial"/>
        </w:rPr>
        <w:t xml:space="preserve"> 2006 (4)</w:t>
      </w:r>
      <w:r w:rsidR="00D915A8" w:rsidRPr="00D915A8">
        <w:rPr>
          <w:rFonts w:ascii="Arial" w:hAnsi="Arial" w:cs="Arial"/>
        </w:rPr>
        <w:t xml:space="preserve"> SA 326 (SCA) ([2006] ZASCA 52)</w:t>
      </w:r>
      <w:r w:rsidR="000D7C67">
        <w:rPr>
          <w:rFonts w:ascii="Arial" w:hAnsi="Arial" w:cs="Arial"/>
        </w:rPr>
        <w:t>.</w:t>
      </w:r>
    </w:p>
  </w:footnote>
  <w:footnote w:id="6">
    <w:p w:rsidR="006229BC" w:rsidRPr="00A952C9" w:rsidRDefault="006229BC">
      <w:pPr>
        <w:pStyle w:val="FootnoteText"/>
        <w:rPr>
          <w:lang w:val="en-ZA"/>
        </w:rPr>
      </w:pPr>
      <w:r>
        <w:rPr>
          <w:rStyle w:val="FootnoteReference"/>
        </w:rPr>
        <w:footnoteRef/>
      </w:r>
      <w:r>
        <w:t xml:space="preserve"> </w:t>
      </w:r>
      <w:proofErr w:type="spellStart"/>
      <w:r w:rsidRPr="00A952C9">
        <w:rPr>
          <w:i/>
          <w:lang w:val="en-ZA"/>
        </w:rPr>
        <w:t>Swartbooi</w:t>
      </w:r>
      <w:proofErr w:type="spellEnd"/>
      <w:r w:rsidRPr="00A952C9">
        <w:rPr>
          <w:i/>
          <w:lang w:val="en-ZA"/>
        </w:rPr>
        <w:t xml:space="preserve"> and Another v Speaker of The National Assembly: </w:t>
      </w:r>
      <w:proofErr w:type="spellStart"/>
      <w:r w:rsidRPr="00A952C9">
        <w:rPr>
          <w:i/>
          <w:lang w:val="en-ZA"/>
        </w:rPr>
        <w:t>Katjavivi</w:t>
      </w:r>
      <w:proofErr w:type="spellEnd"/>
      <w:r w:rsidRPr="00A952C9">
        <w:rPr>
          <w:lang w:val="en-ZA"/>
        </w:rPr>
        <w:t xml:space="preserve"> 2021 (3) NR 652 (SC)</w:t>
      </w:r>
      <w:r w:rsidR="00934FC6">
        <w:rPr>
          <w:lang w:val="en-ZA"/>
        </w:rPr>
        <w:t>.</w:t>
      </w:r>
    </w:p>
  </w:footnote>
  <w:footnote w:id="7">
    <w:p w:rsidR="006229BC" w:rsidRDefault="006229BC" w:rsidP="00160CC3">
      <w:pPr>
        <w:pStyle w:val="FootnoteText"/>
        <w:jc w:val="both"/>
        <w:rPr>
          <w:rFonts w:ascii="Arial" w:hAnsi="Arial" w:cs="Arial"/>
        </w:rPr>
      </w:pPr>
      <w:r>
        <w:rPr>
          <w:rStyle w:val="FootnoteReference"/>
        </w:rPr>
        <w:footnoteRef/>
      </w:r>
      <w:r>
        <w:t xml:space="preserve"> </w:t>
      </w:r>
      <w:r w:rsidRPr="005648FA">
        <w:rPr>
          <w:rFonts w:ascii="Arial" w:hAnsi="Arial" w:cs="Arial"/>
          <w:i/>
        </w:rPr>
        <w:t xml:space="preserve">Member of Environmental Affairs and Tourism v </w:t>
      </w:r>
      <w:proofErr w:type="spellStart"/>
      <w:r w:rsidRPr="005648FA">
        <w:rPr>
          <w:rFonts w:ascii="Arial" w:hAnsi="Arial" w:cs="Arial"/>
          <w:i/>
        </w:rPr>
        <w:t>Rhambili</w:t>
      </w:r>
      <w:proofErr w:type="spellEnd"/>
      <w:r w:rsidRPr="005648FA">
        <w:rPr>
          <w:rFonts w:ascii="Arial" w:hAnsi="Arial" w:cs="Arial"/>
          <w:i/>
        </w:rPr>
        <w:t xml:space="preserve"> Fisheries (Pty) Ltd; Minister of Environment</w:t>
      </w:r>
      <w:r>
        <w:rPr>
          <w:rFonts w:ascii="Arial" w:hAnsi="Arial" w:cs="Arial"/>
        </w:rPr>
        <w:t xml:space="preserve">      </w:t>
      </w:r>
    </w:p>
    <w:p w:rsidR="006229BC" w:rsidRPr="00972C07" w:rsidRDefault="006229BC" w:rsidP="00160CC3">
      <w:pPr>
        <w:pStyle w:val="FootnoteText"/>
        <w:jc w:val="both"/>
        <w:rPr>
          <w:lang w:val="en-ZA"/>
        </w:rPr>
      </w:pPr>
      <w:r>
        <w:rPr>
          <w:rFonts w:ascii="Arial" w:hAnsi="Arial" w:cs="Arial"/>
        </w:rPr>
        <w:t xml:space="preserve">   </w:t>
      </w:r>
      <w:r w:rsidRPr="005648FA">
        <w:rPr>
          <w:rFonts w:ascii="Arial" w:hAnsi="Arial" w:cs="Arial"/>
          <w:i/>
        </w:rPr>
        <w:t xml:space="preserve">&amp; Tourism v </w:t>
      </w:r>
      <w:proofErr w:type="spellStart"/>
      <w:r w:rsidRPr="005648FA">
        <w:rPr>
          <w:rFonts w:ascii="Arial" w:hAnsi="Arial" w:cs="Arial"/>
          <w:i/>
        </w:rPr>
        <w:t>Bato</w:t>
      </w:r>
      <w:proofErr w:type="spellEnd"/>
      <w:r w:rsidRPr="005648FA">
        <w:rPr>
          <w:rFonts w:ascii="Arial" w:hAnsi="Arial" w:cs="Arial"/>
          <w:i/>
        </w:rPr>
        <w:t xml:space="preserve"> Star Fishing (Pty) Ltd</w:t>
      </w:r>
      <w:r w:rsidRPr="00972C07">
        <w:rPr>
          <w:rFonts w:ascii="Arial" w:hAnsi="Arial" w:cs="Arial"/>
        </w:rPr>
        <w:t xml:space="preserve"> [2003] 2 All SA 616 (SCA) 2003 6 SA (SCA) para 40</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476767"/>
      <w:docPartObj>
        <w:docPartGallery w:val="Page Numbers (Top of Page)"/>
        <w:docPartUnique/>
      </w:docPartObj>
    </w:sdtPr>
    <w:sdtEndPr>
      <w:rPr>
        <w:noProof/>
      </w:rPr>
    </w:sdtEndPr>
    <w:sdtContent>
      <w:p w:rsidR="006229BC" w:rsidRDefault="006229BC">
        <w:pPr>
          <w:pStyle w:val="Header"/>
          <w:jc w:val="right"/>
        </w:pPr>
        <w:r>
          <w:fldChar w:fldCharType="begin"/>
        </w:r>
        <w:r>
          <w:instrText xml:space="preserve"> PAGE   \* MERGEFORMAT </w:instrText>
        </w:r>
        <w:r>
          <w:fldChar w:fldCharType="separate"/>
        </w:r>
        <w:r w:rsidR="00B91233">
          <w:rPr>
            <w:noProof/>
          </w:rPr>
          <w:t>21</w:t>
        </w:r>
        <w:r>
          <w:rPr>
            <w:noProof/>
          </w:rPr>
          <w:fldChar w:fldCharType="end"/>
        </w:r>
      </w:p>
    </w:sdtContent>
  </w:sdt>
  <w:p w:rsidR="006229BC" w:rsidRDefault="0062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FFFFFFFF"/>
    <w:name w:val="WW8Num7"/>
    <w:lvl w:ilvl="0">
      <w:start w:val="1"/>
      <w:numFmt w:val="lowerLetter"/>
      <w:lvlText w:val="(%1)"/>
      <w:lvlJc w:val="left"/>
      <w:pPr>
        <w:ind w:left="795" w:hanging="435"/>
      </w:pPr>
    </w:lvl>
  </w:abstractNum>
  <w:abstractNum w:abstractNumId="1" w15:restartNumberingAfterBreak="0">
    <w:nsid w:val="062019FB"/>
    <w:multiLevelType w:val="hybridMultilevel"/>
    <w:tmpl w:val="580C5540"/>
    <w:lvl w:ilvl="0" w:tplc="E454E7F6">
      <w:start w:val="1"/>
      <w:numFmt w:val="decimal"/>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0C554F88"/>
    <w:multiLevelType w:val="hybridMultilevel"/>
    <w:tmpl w:val="CE4A8182"/>
    <w:lvl w:ilvl="0" w:tplc="FC6C6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B219E"/>
    <w:multiLevelType w:val="hybridMultilevel"/>
    <w:tmpl w:val="C5ACD010"/>
    <w:lvl w:ilvl="0" w:tplc="8B1C3DF4">
      <w:start w:val="1"/>
      <w:numFmt w:val="lowerLetter"/>
      <w:lvlText w:val="(%1)"/>
      <w:lvlJc w:val="left"/>
      <w:pPr>
        <w:ind w:left="1070" w:hanging="360"/>
      </w:pPr>
      <w:rPr>
        <w:rFonts w:hint="default"/>
        <w:b w:val="0"/>
        <w:i w:val="0"/>
        <w:u w:val="none"/>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4" w15:restartNumberingAfterBreak="0">
    <w:nsid w:val="16E63229"/>
    <w:multiLevelType w:val="hybridMultilevel"/>
    <w:tmpl w:val="E08873E2"/>
    <w:lvl w:ilvl="0" w:tplc="63FA09D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D6BCF"/>
    <w:multiLevelType w:val="hybridMultilevel"/>
    <w:tmpl w:val="1BD07D2A"/>
    <w:lvl w:ilvl="0" w:tplc="2C9A8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56B3A"/>
    <w:multiLevelType w:val="hybridMultilevel"/>
    <w:tmpl w:val="CE4A8182"/>
    <w:lvl w:ilvl="0" w:tplc="FC6C6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D2E91"/>
    <w:multiLevelType w:val="hybridMultilevel"/>
    <w:tmpl w:val="17486DFA"/>
    <w:lvl w:ilvl="0" w:tplc="A5D67814">
      <w:start w:val="2"/>
      <w:numFmt w:val="decimal"/>
      <w:lvlText w:val="%1"/>
      <w:lvlJc w:val="left"/>
      <w:pPr>
        <w:ind w:left="720" w:hanging="360"/>
      </w:pPr>
      <w:rPr>
        <w:rFonts w:eastAsia="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641400"/>
    <w:multiLevelType w:val="hybridMultilevel"/>
    <w:tmpl w:val="580C5540"/>
    <w:lvl w:ilvl="0" w:tplc="E454E7F6">
      <w:start w:val="1"/>
      <w:numFmt w:val="decimal"/>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375B5562"/>
    <w:multiLevelType w:val="multilevel"/>
    <w:tmpl w:val="F544C192"/>
    <w:lvl w:ilvl="0">
      <w:start w:val="1"/>
      <w:numFmt w:val="decimal"/>
      <w:lvlText w:val="[%1]"/>
      <w:lvlJc w:val="left"/>
      <w:pPr>
        <w:tabs>
          <w:tab w:val="num" w:pos="851"/>
        </w:tabs>
        <w:ind w:left="0" w:firstLine="0"/>
      </w:pPr>
      <w:rPr>
        <w:rFonts w:ascii="Arial" w:hAnsi="Arial" w:cs="Arial" w:hint="default"/>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81F3225"/>
    <w:multiLevelType w:val="hybridMultilevel"/>
    <w:tmpl w:val="85E8B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31416"/>
    <w:multiLevelType w:val="hybridMultilevel"/>
    <w:tmpl w:val="24FC64A8"/>
    <w:lvl w:ilvl="0" w:tplc="77580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41C44"/>
    <w:multiLevelType w:val="hybridMultilevel"/>
    <w:tmpl w:val="CE4A8182"/>
    <w:lvl w:ilvl="0" w:tplc="FC6C6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AA5B16"/>
    <w:multiLevelType w:val="hybridMultilevel"/>
    <w:tmpl w:val="B5502FCE"/>
    <w:lvl w:ilvl="0" w:tplc="9D3477B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2AC06C8"/>
    <w:multiLevelType w:val="hybridMultilevel"/>
    <w:tmpl w:val="459025C2"/>
    <w:lvl w:ilvl="0" w:tplc="0A9697C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F792D5C"/>
    <w:multiLevelType w:val="multilevel"/>
    <w:tmpl w:val="E1EA68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397213"/>
    <w:multiLevelType w:val="hybridMultilevel"/>
    <w:tmpl w:val="580C5540"/>
    <w:lvl w:ilvl="0" w:tplc="E454E7F6">
      <w:start w:val="1"/>
      <w:numFmt w:val="decimal"/>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15:restartNumberingAfterBreak="0">
    <w:nsid w:val="64042D1F"/>
    <w:multiLevelType w:val="hybridMultilevel"/>
    <w:tmpl w:val="FDE87A12"/>
    <w:lvl w:ilvl="0" w:tplc="8B607856">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95959FB"/>
    <w:multiLevelType w:val="hybridMultilevel"/>
    <w:tmpl w:val="F02C8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84F75"/>
    <w:multiLevelType w:val="hybridMultilevel"/>
    <w:tmpl w:val="5842608A"/>
    <w:lvl w:ilvl="0" w:tplc="1AC2ED8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95A3E42"/>
    <w:multiLevelType w:val="hybridMultilevel"/>
    <w:tmpl w:val="CE4A8182"/>
    <w:lvl w:ilvl="0" w:tplc="FC6C6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C26837"/>
    <w:multiLevelType w:val="hybridMultilevel"/>
    <w:tmpl w:val="42A2B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0"/>
  </w:num>
  <w:num w:numId="5">
    <w:abstractNumId w:val="17"/>
  </w:num>
  <w:num w:numId="6">
    <w:abstractNumId w:val="5"/>
  </w:num>
  <w:num w:numId="7">
    <w:abstractNumId w:val="11"/>
  </w:num>
  <w:num w:numId="8">
    <w:abstractNumId w:val="15"/>
  </w:num>
  <w:num w:numId="9">
    <w:abstractNumId w:val="9"/>
  </w:num>
  <w:num w:numId="10">
    <w:abstractNumId w:val="22"/>
  </w:num>
  <w:num w:numId="11">
    <w:abstractNumId w:val="6"/>
  </w:num>
  <w:num w:numId="12">
    <w:abstractNumId w:val="12"/>
  </w:num>
  <w:num w:numId="13">
    <w:abstractNumId w:val="2"/>
  </w:num>
  <w:num w:numId="14">
    <w:abstractNumId w:val="1"/>
  </w:num>
  <w:num w:numId="15">
    <w:abstractNumId w:val="8"/>
  </w:num>
  <w:num w:numId="16">
    <w:abstractNumId w:val="18"/>
  </w:num>
  <w:num w:numId="17">
    <w:abstractNumId w:val="13"/>
  </w:num>
  <w:num w:numId="18">
    <w:abstractNumId w:val="19"/>
  </w:num>
  <w:num w:numId="19">
    <w:abstractNumId w:val="21"/>
  </w:num>
  <w:num w:numId="20">
    <w:abstractNumId w:val="14"/>
  </w:num>
  <w:num w:numId="21">
    <w:abstractNumId w:val="7"/>
  </w:num>
  <w:num w:numId="22">
    <w:abstractNumId w:val="23"/>
  </w:num>
  <w:num w:numId="23">
    <w:abstractNumId w:val="20"/>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54"/>
    <w:rsid w:val="0001569C"/>
    <w:rsid w:val="00025433"/>
    <w:rsid w:val="0004238C"/>
    <w:rsid w:val="000502DF"/>
    <w:rsid w:val="00052EBA"/>
    <w:rsid w:val="00062933"/>
    <w:rsid w:val="00063BB4"/>
    <w:rsid w:val="00081BA9"/>
    <w:rsid w:val="00086078"/>
    <w:rsid w:val="00086778"/>
    <w:rsid w:val="000B00D3"/>
    <w:rsid w:val="000C438D"/>
    <w:rsid w:val="000C5174"/>
    <w:rsid w:val="000C6C2B"/>
    <w:rsid w:val="000C7ABD"/>
    <w:rsid w:val="000D1E26"/>
    <w:rsid w:val="000D3F76"/>
    <w:rsid w:val="000D5C67"/>
    <w:rsid w:val="000D7C67"/>
    <w:rsid w:val="000E281C"/>
    <w:rsid w:val="000F166B"/>
    <w:rsid w:val="00103B3C"/>
    <w:rsid w:val="00107DEA"/>
    <w:rsid w:val="00123A89"/>
    <w:rsid w:val="001371ED"/>
    <w:rsid w:val="0015497D"/>
    <w:rsid w:val="00160CC3"/>
    <w:rsid w:val="0016646B"/>
    <w:rsid w:val="00173589"/>
    <w:rsid w:val="001803FA"/>
    <w:rsid w:val="00194CDA"/>
    <w:rsid w:val="001A3D53"/>
    <w:rsid w:val="001A5315"/>
    <w:rsid w:val="001C049F"/>
    <w:rsid w:val="001C42EC"/>
    <w:rsid w:val="001D0302"/>
    <w:rsid w:val="001D2DAC"/>
    <w:rsid w:val="001E2B74"/>
    <w:rsid w:val="001F6655"/>
    <w:rsid w:val="001F7853"/>
    <w:rsid w:val="00203F41"/>
    <w:rsid w:val="0021186E"/>
    <w:rsid w:val="00214217"/>
    <w:rsid w:val="00262621"/>
    <w:rsid w:val="00273307"/>
    <w:rsid w:val="00280F28"/>
    <w:rsid w:val="002B1151"/>
    <w:rsid w:val="002B4582"/>
    <w:rsid w:val="002C5C3E"/>
    <w:rsid w:val="002C636D"/>
    <w:rsid w:val="002C702D"/>
    <w:rsid w:val="002D5907"/>
    <w:rsid w:val="002F41A9"/>
    <w:rsid w:val="002F5B0C"/>
    <w:rsid w:val="002F62BF"/>
    <w:rsid w:val="002F64DE"/>
    <w:rsid w:val="002F73DE"/>
    <w:rsid w:val="00307E59"/>
    <w:rsid w:val="00310763"/>
    <w:rsid w:val="003135BE"/>
    <w:rsid w:val="003154D1"/>
    <w:rsid w:val="00321942"/>
    <w:rsid w:val="00325635"/>
    <w:rsid w:val="00325A50"/>
    <w:rsid w:val="00356F78"/>
    <w:rsid w:val="0036135D"/>
    <w:rsid w:val="00375425"/>
    <w:rsid w:val="003850A4"/>
    <w:rsid w:val="00392DCE"/>
    <w:rsid w:val="0039610E"/>
    <w:rsid w:val="003A09B3"/>
    <w:rsid w:val="003A2B52"/>
    <w:rsid w:val="003A58BF"/>
    <w:rsid w:val="003A7CD8"/>
    <w:rsid w:val="003B30B6"/>
    <w:rsid w:val="003C2337"/>
    <w:rsid w:val="003D0DE3"/>
    <w:rsid w:val="003D585D"/>
    <w:rsid w:val="003F5158"/>
    <w:rsid w:val="003F6E15"/>
    <w:rsid w:val="00404B63"/>
    <w:rsid w:val="00412EEA"/>
    <w:rsid w:val="00430948"/>
    <w:rsid w:val="0043191D"/>
    <w:rsid w:val="00433B02"/>
    <w:rsid w:val="00435E8C"/>
    <w:rsid w:val="00441731"/>
    <w:rsid w:val="00453418"/>
    <w:rsid w:val="0045352B"/>
    <w:rsid w:val="00457FFB"/>
    <w:rsid w:val="0046353B"/>
    <w:rsid w:val="004A6CE8"/>
    <w:rsid w:val="004C423D"/>
    <w:rsid w:val="004C4C1D"/>
    <w:rsid w:val="004D6A00"/>
    <w:rsid w:val="004D6A1D"/>
    <w:rsid w:val="004E1DA7"/>
    <w:rsid w:val="004E268C"/>
    <w:rsid w:val="004E3DBB"/>
    <w:rsid w:val="004F0B79"/>
    <w:rsid w:val="004F2B69"/>
    <w:rsid w:val="00501B20"/>
    <w:rsid w:val="0052232C"/>
    <w:rsid w:val="00526C3E"/>
    <w:rsid w:val="00533147"/>
    <w:rsid w:val="00537E22"/>
    <w:rsid w:val="0054106C"/>
    <w:rsid w:val="005533B3"/>
    <w:rsid w:val="00563D65"/>
    <w:rsid w:val="005648FA"/>
    <w:rsid w:val="0056541C"/>
    <w:rsid w:val="00565D3F"/>
    <w:rsid w:val="00567D3A"/>
    <w:rsid w:val="00596FF8"/>
    <w:rsid w:val="005976C0"/>
    <w:rsid w:val="005B0CE7"/>
    <w:rsid w:val="005B2769"/>
    <w:rsid w:val="005D63F2"/>
    <w:rsid w:val="005F5059"/>
    <w:rsid w:val="00603E7D"/>
    <w:rsid w:val="00610F45"/>
    <w:rsid w:val="006164F3"/>
    <w:rsid w:val="006229BC"/>
    <w:rsid w:val="00630DF0"/>
    <w:rsid w:val="00634C88"/>
    <w:rsid w:val="0064531C"/>
    <w:rsid w:val="00671AB4"/>
    <w:rsid w:val="0067358B"/>
    <w:rsid w:val="00694C86"/>
    <w:rsid w:val="00697707"/>
    <w:rsid w:val="006A3B28"/>
    <w:rsid w:val="006A6BDE"/>
    <w:rsid w:val="006B445E"/>
    <w:rsid w:val="006B577D"/>
    <w:rsid w:val="006C026E"/>
    <w:rsid w:val="006C1FCD"/>
    <w:rsid w:val="006E37A8"/>
    <w:rsid w:val="006E57F8"/>
    <w:rsid w:val="006F4CB3"/>
    <w:rsid w:val="00712878"/>
    <w:rsid w:val="0072155D"/>
    <w:rsid w:val="007624D2"/>
    <w:rsid w:val="007624F4"/>
    <w:rsid w:val="00766FB7"/>
    <w:rsid w:val="00772406"/>
    <w:rsid w:val="007807AC"/>
    <w:rsid w:val="007A0CBA"/>
    <w:rsid w:val="007A7363"/>
    <w:rsid w:val="007A73BE"/>
    <w:rsid w:val="007B1ED2"/>
    <w:rsid w:val="007B4312"/>
    <w:rsid w:val="007C1759"/>
    <w:rsid w:val="007C60A2"/>
    <w:rsid w:val="007C6AE2"/>
    <w:rsid w:val="007E3F77"/>
    <w:rsid w:val="007E4DF6"/>
    <w:rsid w:val="007F26F9"/>
    <w:rsid w:val="007F50D0"/>
    <w:rsid w:val="007F6E82"/>
    <w:rsid w:val="00803371"/>
    <w:rsid w:val="008370E2"/>
    <w:rsid w:val="0085274B"/>
    <w:rsid w:val="00865D0B"/>
    <w:rsid w:val="00881D09"/>
    <w:rsid w:val="00883416"/>
    <w:rsid w:val="008925EE"/>
    <w:rsid w:val="008A16CB"/>
    <w:rsid w:val="008D7B4D"/>
    <w:rsid w:val="008D7F24"/>
    <w:rsid w:val="008E0C1F"/>
    <w:rsid w:val="008E3AA6"/>
    <w:rsid w:val="00921564"/>
    <w:rsid w:val="00934FC6"/>
    <w:rsid w:val="00947796"/>
    <w:rsid w:val="00950C50"/>
    <w:rsid w:val="00953093"/>
    <w:rsid w:val="00960254"/>
    <w:rsid w:val="00972C07"/>
    <w:rsid w:val="00977742"/>
    <w:rsid w:val="0098395B"/>
    <w:rsid w:val="00992714"/>
    <w:rsid w:val="009943C1"/>
    <w:rsid w:val="009950D0"/>
    <w:rsid w:val="00995D82"/>
    <w:rsid w:val="009A058D"/>
    <w:rsid w:val="009D01BC"/>
    <w:rsid w:val="009D17B3"/>
    <w:rsid w:val="009D7BD9"/>
    <w:rsid w:val="009E6384"/>
    <w:rsid w:val="009F5970"/>
    <w:rsid w:val="00A04596"/>
    <w:rsid w:val="00A063E7"/>
    <w:rsid w:val="00A2345D"/>
    <w:rsid w:val="00A25E34"/>
    <w:rsid w:val="00A43599"/>
    <w:rsid w:val="00A56E99"/>
    <w:rsid w:val="00A61674"/>
    <w:rsid w:val="00A62F94"/>
    <w:rsid w:val="00A7143C"/>
    <w:rsid w:val="00A82E78"/>
    <w:rsid w:val="00A92BDC"/>
    <w:rsid w:val="00A94D50"/>
    <w:rsid w:val="00A952C9"/>
    <w:rsid w:val="00AA3923"/>
    <w:rsid w:val="00AA3B21"/>
    <w:rsid w:val="00AA501E"/>
    <w:rsid w:val="00AB0629"/>
    <w:rsid w:val="00AC1B98"/>
    <w:rsid w:val="00AF0CB3"/>
    <w:rsid w:val="00AF5072"/>
    <w:rsid w:val="00B01F02"/>
    <w:rsid w:val="00B04D7B"/>
    <w:rsid w:val="00B21A3D"/>
    <w:rsid w:val="00B30067"/>
    <w:rsid w:val="00B422BE"/>
    <w:rsid w:val="00B60F71"/>
    <w:rsid w:val="00B6536F"/>
    <w:rsid w:val="00B774F3"/>
    <w:rsid w:val="00B81FED"/>
    <w:rsid w:val="00B82DA1"/>
    <w:rsid w:val="00B91233"/>
    <w:rsid w:val="00B93687"/>
    <w:rsid w:val="00B94CCE"/>
    <w:rsid w:val="00BD0FC8"/>
    <w:rsid w:val="00BD1875"/>
    <w:rsid w:val="00BD5A13"/>
    <w:rsid w:val="00BE6AF6"/>
    <w:rsid w:val="00BF6975"/>
    <w:rsid w:val="00BF72D2"/>
    <w:rsid w:val="00C1773B"/>
    <w:rsid w:val="00C42CC7"/>
    <w:rsid w:val="00C52092"/>
    <w:rsid w:val="00C55A93"/>
    <w:rsid w:val="00C67CE8"/>
    <w:rsid w:val="00C8266D"/>
    <w:rsid w:val="00C85F86"/>
    <w:rsid w:val="00C97FA2"/>
    <w:rsid w:val="00CB0DEE"/>
    <w:rsid w:val="00CC5D53"/>
    <w:rsid w:val="00CD43E0"/>
    <w:rsid w:val="00CD61AA"/>
    <w:rsid w:val="00CE33D3"/>
    <w:rsid w:val="00CE4321"/>
    <w:rsid w:val="00CE6D9C"/>
    <w:rsid w:val="00CF07DB"/>
    <w:rsid w:val="00CF69ED"/>
    <w:rsid w:val="00D017AC"/>
    <w:rsid w:val="00D1006C"/>
    <w:rsid w:val="00D1076E"/>
    <w:rsid w:val="00D24593"/>
    <w:rsid w:val="00D50AD4"/>
    <w:rsid w:val="00D74A93"/>
    <w:rsid w:val="00D7551F"/>
    <w:rsid w:val="00D81FAD"/>
    <w:rsid w:val="00D915A8"/>
    <w:rsid w:val="00DA07DA"/>
    <w:rsid w:val="00DA1FF9"/>
    <w:rsid w:val="00DA5995"/>
    <w:rsid w:val="00DA66DF"/>
    <w:rsid w:val="00DD0718"/>
    <w:rsid w:val="00DD23C2"/>
    <w:rsid w:val="00DE5819"/>
    <w:rsid w:val="00E0070F"/>
    <w:rsid w:val="00E01F29"/>
    <w:rsid w:val="00E16E70"/>
    <w:rsid w:val="00E23B55"/>
    <w:rsid w:val="00E32DB7"/>
    <w:rsid w:val="00E34042"/>
    <w:rsid w:val="00E50860"/>
    <w:rsid w:val="00E539BD"/>
    <w:rsid w:val="00E654AC"/>
    <w:rsid w:val="00E667C5"/>
    <w:rsid w:val="00E701CC"/>
    <w:rsid w:val="00E80947"/>
    <w:rsid w:val="00E81DB0"/>
    <w:rsid w:val="00E84305"/>
    <w:rsid w:val="00E86A6F"/>
    <w:rsid w:val="00E93599"/>
    <w:rsid w:val="00EB7798"/>
    <w:rsid w:val="00EE143F"/>
    <w:rsid w:val="00F51F3D"/>
    <w:rsid w:val="00F56417"/>
    <w:rsid w:val="00F61763"/>
    <w:rsid w:val="00F674AE"/>
    <w:rsid w:val="00F71B8A"/>
    <w:rsid w:val="00F72129"/>
    <w:rsid w:val="00F85F96"/>
    <w:rsid w:val="00FB7C79"/>
    <w:rsid w:val="00FC4D0A"/>
    <w:rsid w:val="00FD3A28"/>
    <w:rsid w:val="00FD3D90"/>
    <w:rsid w:val="00FD50B9"/>
    <w:rsid w:val="00FF3578"/>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F354176-31FE-4D7C-B365-435F51CB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6F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54"/>
    <w:rPr>
      <w:rFonts w:ascii="Tahoma" w:hAnsi="Tahoma" w:cs="Tahoma"/>
      <w:sz w:val="16"/>
      <w:szCs w:val="16"/>
    </w:rPr>
  </w:style>
  <w:style w:type="character" w:customStyle="1" w:styleId="Heading1Char">
    <w:name w:val="Heading 1 Char"/>
    <w:basedOn w:val="DefaultParagraphFont"/>
    <w:link w:val="Heading1"/>
    <w:uiPriority w:val="9"/>
    <w:rsid w:val="000C6C2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603E7D"/>
    <w:pPr>
      <w:spacing w:after="0" w:line="240" w:lineRule="auto"/>
    </w:pPr>
    <w:rPr>
      <w:sz w:val="20"/>
      <w:szCs w:val="20"/>
    </w:rPr>
  </w:style>
  <w:style w:type="character" w:customStyle="1" w:styleId="FootnoteTextChar">
    <w:name w:val="Footnote Text Char"/>
    <w:basedOn w:val="DefaultParagraphFont"/>
    <w:link w:val="FootnoteText"/>
    <w:uiPriority w:val="99"/>
    <w:rsid w:val="00603E7D"/>
    <w:rPr>
      <w:sz w:val="20"/>
      <w:szCs w:val="20"/>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603E7D"/>
    <w:rPr>
      <w:vertAlign w:val="superscript"/>
    </w:rPr>
  </w:style>
  <w:style w:type="paragraph" w:styleId="ListParagraph">
    <w:name w:val="List Paragraph"/>
    <w:basedOn w:val="Normal"/>
    <w:qFormat/>
    <w:rsid w:val="003F6E15"/>
    <w:pPr>
      <w:ind w:left="720"/>
      <w:contextualSpacing/>
    </w:pPr>
    <w:rPr>
      <w:rFonts w:ascii="Calibri" w:eastAsia="Calibri" w:hAnsi="Calibri" w:cs="Times New Roman"/>
    </w:rPr>
  </w:style>
  <w:style w:type="paragraph" w:styleId="NormalWeb">
    <w:name w:val="Normal (Web)"/>
    <w:basedOn w:val="Normal"/>
    <w:uiPriority w:val="99"/>
    <w:unhideWhenUsed/>
    <w:rsid w:val="00FF769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73307"/>
    <w:pPr>
      <w:spacing w:after="0" w:line="240" w:lineRule="auto"/>
    </w:pPr>
    <w:rPr>
      <w:lang w:val="en-ZA"/>
    </w:rPr>
  </w:style>
  <w:style w:type="character" w:styleId="Hyperlink">
    <w:name w:val="Hyperlink"/>
    <w:basedOn w:val="DefaultParagraphFont"/>
    <w:uiPriority w:val="99"/>
    <w:semiHidden/>
    <w:unhideWhenUsed/>
    <w:rsid w:val="002F62BF"/>
    <w:rPr>
      <w:color w:val="0000FF"/>
      <w:u w:val="single"/>
    </w:rPr>
  </w:style>
  <w:style w:type="paragraph" w:customStyle="1" w:styleId="western">
    <w:name w:val="western"/>
    <w:basedOn w:val="Normal"/>
    <w:rsid w:val="00A94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156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356F7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F5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B0C"/>
  </w:style>
  <w:style w:type="paragraph" w:styleId="Footer">
    <w:name w:val="footer"/>
    <w:basedOn w:val="Normal"/>
    <w:link w:val="FooterChar"/>
    <w:uiPriority w:val="99"/>
    <w:unhideWhenUsed/>
    <w:rsid w:val="002F5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5220">
      <w:bodyDiv w:val="1"/>
      <w:marLeft w:val="0"/>
      <w:marRight w:val="0"/>
      <w:marTop w:val="0"/>
      <w:marBottom w:val="0"/>
      <w:divBdr>
        <w:top w:val="none" w:sz="0" w:space="0" w:color="auto"/>
        <w:left w:val="none" w:sz="0" w:space="0" w:color="auto"/>
        <w:bottom w:val="none" w:sz="0" w:space="0" w:color="auto"/>
        <w:right w:val="none" w:sz="0" w:space="0" w:color="auto"/>
      </w:divBdr>
    </w:div>
    <w:div w:id="279801361">
      <w:bodyDiv w:val="1"/>
      <w:marLeft w:val="0"/>
      <w:marRight w:val="0"/>
      <w:marTop w:val="0"/>
      <w:marBottom w:val="0"/>
      <w:divBdr>
        <w:top w:val="none" w:sz="0" w:space="0" w:color="auto"/>
        <w:left w:val="none" w:sz="0" w:space="0" w:color="auto"/>
        <w:bottom w:val="none" w:sz="0" w:space="0" w:color="auto"/>
        <w:right w:val="none" w:sz="0" w:space="0" w:color="auto"/>
      </w:divBdr>
    </w:div>
    <w:div w:id="395472289">
      <w:bodyDiv w:val="1"/>
      <w:marLeft w:val="0"/>
      <w:marRight w:val="0"/>
      <w:marTop w:val="0"/>
      <w:marBottom w:val="0"/>
      <w:divBdr>
        <w:top w:val="none" w:sz="0" w:space="0" w:color="auto"/>
        <w:left w:val="none" w:sz="0" w:space="0" w:color="auto"/>
        <w:bottom w:val="none" w:sz="0" w:space="0" w:color="auto"/>
        <w:right w:val="none" w:sz="0" w:space="0" w:color="auto"/>
      </w:divBdr>
    </w:div>
    <w:div w:id="674962449">
      <w:bodyDiv w:val="1"/>
      <w:marLeft w:val="0"/>
      <w:marRight w:val="0"/>
      <w:marTop w:val="0"/>
      <w:marBottom w:val="0"/>
      <w:divBdr>
        <w:top w:val="none" w:sz="0" w:space="0" w:color="auto"/>
        <w:left w:val="none" w:sz="0" w:space="0" w:color="auto"/>
        <w:bottom w:val="none" w:sz="0" w:space="0" w:color="auto"/>
        <w:right w:val="none" w:sz="0" w:space="0" w:color="auto"/>
      </w:divBdr>
    </w:div>
    <w:div w:id="681666119">
      <w:bodyDiv w:val="1"/>
      <w:marLeft w:val="0"/>
      <w:marRight w:val="0"/>
      <w:marTop w:val="0"/>
      <w:marBottom w:val="0"/>
      <w:divBdr>
        <w:top w:val="none" w:sz="0" w:space="0" w:color="auto"/>
        <w:left w:val="none" w:sz="0" w:space="0" w:color="auto"/>
        <w:bottom w:val="none" w:sz="0" w:space="0" w:color="auto"/>
        <w:right w:val="none" w:sz="0" w:space="0" w:color="auto"/>
      </w:divBdr>
    </w:div>
    <w:div w:id="693574248">
      <w:bodyDiv w:val="1"/>
      <w:marLeft w:val="0"/>
      <w:marRight w:val="0"/>
      <w:marTop w:val="0"/>
      <w:marBottom w:val="0"/>
      <w:divBdr>
        <w:top w:val="none" w:sz="0" w:space="0" w:color="auto"/>
        <w:left w:val="none" w:sz="0" w:space="0" w:color="auto"/>
        <w:bottom w:val="none" w:sz="0" w:space="0" w:color="auto"/>
        <w:right w:val="none" w:sz="0" w:space="0" w:color="auto"/>
      </w:divBdr>
    </w:div>
    <w:div w:id="901406585">
      <w:bodyDiv w:val="1"/>
      <w:marLeft w:val="0"/>
      <w:marRight w:val="0"/>
      <w:marTop w:val="0"/>
      <w:marBottom w:val="0"/>
      <w:divBdr>
        <w:top w:val="none" w:sz="0" w:space="0" w:color="auto"/>
        <w:left w:val="none" w:sz="0" w:space="0" w:color="auto"/>
        <w:bottom w:val="none" w:sz="0" w:space="0" w:color="auto"/>
        <w:right w:val="none" w:sz="0" w:space="0" w:color="auto"/>
      </w:divBdr>
      <w:divsChild>
        <w:div w:id="82971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336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994995">
      <w:bodyDiv w:val="1"/>
      <w:marLeft w:val="0"/>
      <w:marRight w:val="0"/>
      <w:marTop w:val="0"/>
      <w:marBottom w:val="0"/>
      <w:divBdr>
        <w:top w:val="none" w:sz="0" w:space="0" w:color="auto"/>
        <w:left w:val="none" w:sz="0" w:space="0" w:color="auto"/>
        <w:bottom w:val="none" w:sz="0" w:space="0" w:color="auto"/>
        <w:right w:val="none" w:sz="0" w:space="0" w:color="auto"/>
      </w:divBdr>
    </w:div>
    <w:div w:id="1101293124">
      <w:bodyDiv w:val="1"/>
      <w:marLeft w:val="0"/>
      <w:marRight w:val="0"/>
      <w:marTop w:val="0"/>
      <w:marBottom w:val="0"/>
      <w:divBdr>
        <w:top w:val="none" w:sz="0" w:space="0" w:color="auto"/>
        <w:left w:val="none" w:sz="0" w:space="0" w:color="auto"/>
        <w:bottom w:val="none" w:sz="0" w:space="0" w:color="auto"/>
        <w:right w:val="none" w:sz="0" w:space="0" w:color="auto"/>
      </w:divBdr>
    </w:div>
    <w:div w:id="1122502929">
      <w:bodyDiv w:val="1"/>
      <w:marLeft w:val="0"/>
      <w:marRight w:val="0"/>
      <w:marTop w:val="0"/>
      <w:marBottom w:val="0"/>
      <w:divBdr>
        <w:top w:val="none" w:sz="0" w:space="0" w:color="auto"/>
        <w:left w:val="none" w:sz="0" w:space="0" w:color="auto"/>
        <w:bottom w:val="none" w:sz="0" w:space="0" w:color="auto"/>
        <w:right w:val="none" w:sz="0" w:space="0" w:color="auto"/>
      </w:divBdr>
    </w:div>
    <w:div w:id="1227642072">
      <w:bodyDiv w:val="1"/>
      <w:marLeft w:val="0"/>
      <w:marRight w:val="0"/>
      <w:marTop w:val="0"/>
      <w:marBottom w:val="0"/>
      <w:divBdr>
        <w:top w:val="none" w:sz="0" w:space="0" w:color="auto"/>
        <w:left w:val="none" w:sz="0" w:space="0" w:color="auto"/>
        <w:bottom w:val="none" w:sz="0" w:space="0" w:color="auto"/>
        <w:right w:val="none" w:sz="0" w:space="0" w:color="auto"/>
      </w:divBdr>
    </w:div>
    <w:div w:id="1268464691">
      <w:bodyDiv w:val="1"/>
      <w:marLeft w:val="0"/>
      <w:marRight w:val="0"/>
      <w:marTop w:val="0"/>
      <w:marBottom w:val="0"/>
      <w:divBdr>
        <w:top w:val="none" w:sz="0" w:space="0" w:color="auto"/>
        <w:left w:val="none" w:sz="0" w:space="0" w:color="auto"/>
        <w:bottom w:val="none" w:sz="0" w:space="0" w:color="auto"/>
        <w:right w:val="none" w:sz="0" w:space="0" w:color="auto"/>
      </w:divBdr>
    </w:div>
    <w:div w:id="1381510710">
      <w:bodyDiv w:val="1"/>
      <w:marLeft w:val="0"/>
      <w:marRight w:val="0"/>
      <w:marTop w:val="0"/>
      <w:marBottom w:val="0"/>
      <w:divBdr>
        <w:top w:val="none" w:sz="0" w:space="0" w:color="auto"/>
        <w:left w:val="none" w:sz="0" w:space="0" w:color="auto"/>
        <w:bottom w:val="none" w:sz="0" w:space="0" w:color="auto"/>
        <w:right w:val="none" w:sz="0" w:space="0" w:color="auto"/>
      </w:divBdr>
    </w:div>
    <w:div w:id="1511027267">
      <w:bodyDiv w:val="1"/>
      <w:marLeft w:val="0"/>
      <w:marRight w:val="0"/>
      <w:marTop w:val="0"/>
      <w:marBottom w:val="0"/>
      <w:divBdr>
        <w:top w:val="none" w:sz="0" w:space="0" w:color="auto"/>
        <w:left w:val="none" w:sz="0" w:space="0" w:color="auto"/>
        <w:bottom w:val="none" w:sz="0" w:space="0" w:color="auto"/>
        <w:right w:val="none" w:sz="0" w:space="0" w:color="auto"/>
      </w:divBdr>
    </w:div>
    <w:div w:id="20467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2023-09-14T18:30:00+00:00</Judgment_x0020_Date>
    <Year xmlns="c1afb1bd-f2fb-40fd-9abb-aea55b4d7662">2023</Year>
  </documentManagement>
</p:properties>
</file>

<file path=customXml/itemProps1.xml><?xml version="1.0" encoding="utf-8"?>
<ds:datastoreItem xmlns:ds="http://schemas.openxmlformats.org/officeDocument/2006/customXml" ds:itemID="{3769554A-3D90-4432-851D-B07948195BBF}"/>
</file>

<file path=customXml/itemProps2.xml><?xml version="1.0" encoding="utf-8"?>
<ds:datastoreItem xmlns:ds="http://schemas.openxmlformats.org/officeDocument/2006/customXml" ds:itemID="{EDC6337A-72C3-4B30-B323-B931431CE7A3}"/>
</file>

<file path=customXml/itemProps3.xml><?xml version="1.0" encoding="utf-8"?>
<ds:datastoreItem xmlns:ds="http://schemas.openxmlformats.org/officeDocument/2006/customXml" ds:itemID="{FB7AA645-32AD-4FC6-B898-F325C2BD31F1}"/>
</file>

<file path=customXml/itemProps4.xml><?xml version="1.0" encoding="utf-8"?>
<ds:datastoreItem xmlns:ds="http://schemas.openxmlformats.org/officeDocument/2006/customXml" ds:itemID="{9205015A-E033-4147-8ED8-86EB6DA73D4A}"/>
</file>

<file path=docProps/app.xml><?xml version="1.0" encoding="utf-8"?>
<Properties xmlns="http://schemas.openxmlformats.org/officeDocument/2006/extended-properties" xmlns:vt="http://schemas.openxmlformats.org/officeDocument/2006/docPropsVTypes">
  <Template>Normal</Template>
  <TotalTime>6</TotalTime>
  <Pages>24</Pages>
  <Words>6037</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Mwilima v Minister of Home Affairs (HC-M02D-CIV-MOT-GEN-23-00034) [2023] NAHCMD 573 (15 September 2023)</dc:title>
  <dc:creator>Hira Katjepunda</dc:creator>
  <cp:lastModifiedBy>Marlene Tommasi</cp:lastModifiedBy>
  <cp:revision>3</cp:revision>
  <cp:lastPrinted>2023-09-15T09:58:00Z</cp:lastPrinted>
  <dcterms:created xsi:type="dcterms:W3CDTF">2023-09-15T10:05:00Z</dcterms:created>
  <dcterms:modified xsi:type="dcterms:W3CDTF">2023-09-15T10:35:00Z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