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E75" w:rsidRPr="00FE254F" w:rsidRDefault="00863E75" w:rsidP="00863E75">
      <w:pPr>
        <w:spacing w:after="0" w:line="240" w:lineRule="auto"/>
        <w:jc w:val="center"/>
        <w:rPr>
          <w:rFonts w:ascii="Arial" w:hAnsi="Arial" w:cs="Arial"/>
          <w:b/>
          <w:noProof/>
          <w:sz w:val="24"/>
          <w:szCs w:val="24"/>
          <w:lang w:val="en-US"/>
        </w:rPr>
      </w:pPr>
      <w:r w:rsidRPr="00FE254F">
        <w:rPr>
          <w:rFonts w:ascii="Arial" w:hAnsi="Arial" w:cs="Arial"/>
          <w:b/>
          <w:noProof/>
          <w:sz w:val="24"/>
          <w:szCs w:val="24"/>
          <w:lang w:val="en-US"/>
        </w:rPr>
        <w:t>REPUBLIC OF NAMIBIA</w:t>
      </w:r>
    </w:p>
    <w:p w:rsidR="00863E75" w:rsidRDefault="00863E75" w:rsidP="008630BE">
      <w:pPr>
        <w:spacing w:after="0" w:line="240" w:lineRule="auto"/>
        <w:jc w:val="center"/>
        <w:rPr>
          <w:rFonts w:ascii="Arial Narrow" w:hAnsi="Arial Narrow"/>
          <w:sz w:val="24"/>
          <w:szCs w:val="24"/>
        </w:rPr>
      </w:pPr>
      <w:r>
        <w:rPr>
          <w:rFonts w:ascii="Arial Narrow" w:hAnsi="Arial Narrow"/>
          <w:noProof/>
          <w:sz w:val="24"/>
          <w:szCs w:val="24"/>
          <w:lang w:val="en-US"/>
        </w:rPr>
        <w:drawing>
          <wp:inline distT="0" distB="0" distL="0" distR="0" wp14:anchorId="4D67C36B">
            <wp:extent cx="1152525" cy="1195070"/>
            <wp:effectExtent l="0" t="0" r="952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195070"/>
                    </a:xfrm>
                    <a:prstGeom prst="rect">
                      <a:avLst/>
                    </a:prstGeom>
                    <a:noFill/>
                  </pic:spPr>
                </pic:pic>
              </a:graphicData>
            </a:graphic>
          </wp:inline>
        </w:drawing>
      </w:r>
    </w:p>
    <w:p w:rsidR="008630BE" w:rsidRDefault="008630BE" w:rsidP="008630BE">
      <w:pPr>
        <w:spacing w:after="0" w:line="360" w:lineRule="auto"/>
        <w:jc w:val="center"/>
        <w:rPr>
          <w:rFonts w:ascii="Arial" w:hAnsi="Arial" w:cs="Arial"/>
          <w:b/>
          <w:sz w:val="24"/>
          <w:szCs w:val="24"/>
        </w:rPr>
      </w:pPr>
      <w:r w:rsidRPr="00E003E8">
        <w:rPr>
          <w:rFonts w:ascii="Arial" w:hAnsi="Arial" w:cs="Arial"/>
          <w:b/>
          <w:sz w:val="24"/>
          <w:szCs w:val="24"/>
        </w:rPr>
        <w:t>IN THE HIGH COURT OF NAMIBIA</w:t>
      </w:r>
    </w:p>
    <w:p w:rsidR="00F16D91" w:rsidRPr="00E003E8" w:rsidRDefault="00F16D91" w:rsidP="008630BE">
      <w:pPr>
        <w:spacing w:after="0" w:line="360" w:lineRule="auto"/>
        <w:jc w:val="center"/>
        <w:rPr>
          <w:rFonts w:ascii="Arial" w:hAnsi="Arial" w:cs="Arial"/>
          <w:b/>
          <w:sz w:val="24"/>
          <w:szCs w:val="24"/>
        </w:rPr>
      </w:pPr>
    </w:p>
    <w:p w:rsidR="00863E75" w:rsidRPr="00E003E8" w:rsidRDefault="00863E75" w:rsidP="00863E75">
      <w:pPr>
        <w:spacing w:after="0" w:line="240" w:lineRule="auto"/>
        <w:jc w:val="center"/>
        <w:rPr>
          <w:rFonts w:ascii="Arial" w:hAnsi="Arial" w:cs="Arial"/>
          <w:sz w:val="24"/>
          <w:szCs w:val="24"/>
        </w:rPr>
      </w:pPr>
      <w:r w:rsidRPr="00E003E8">
        <w:rPr>
          <w:rFonts w:ascii="Arial" w:hAnsi="Arial" w:cs="Arial"/>
          <w:sz w:val="24"/>
          <w:szCs w:val="24"/>
        </w:rPr>
        <w:t>Practice Directive 61</w:t>
      </w:r>
    </w:p>
    <w:p w:rsidR="00863E75" w:rsidRPr="00E757E9" w:rsidRDefault="00863E75" w:rsidP="00863E75">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8630BE" w:rsidRPr="00E757E9" w:rsidTr="0004438E">
        <w:trPr>
          <w:trHeight w:val="744"/>
        </w:trPr>
        <w:tc>
          <w:tcPr>
            <w:tcW w:w="5397" w:type="dxa"/>
            <w:gridSpan w:val="2"/>
            <w:vMerge w:val="restart"/>
          </w:tcPr>
          <w:p w:rsidR="00595221" w:rsidRDefault="008630BE" w:rsidP="00053A03">
            <w:pPr>
              <w:spacing w:line="360" w:lineRule="auto"/>
              <w:jc w:val="both"/>
              <w:rPr>
                <w:rFonts w:ascii="Arial" w:hAnsi="Arial" w:cs="Arial"/>
                <w:color w:val="333333"/>
                <w:sz w:val="20"/>
                <w:szCs w:val="20"/>
                <w:shd w:val="clear" w:color="auto" w:fill="FFFFFF"/>
              </w:rPr>
            </w:pPr>
            <w:r w:rsidRPr="00863E75">
              <w:rPr>
                <w:rFonts w:ascii="Arial" w:hAnsi="Arial" w:cs="Arial"/>
                <w:b/>
                <w:sz w:val="24"/>
                <w:szCs w:val="24"/>
              </w:rPr>
              <w:t>Case Title</w:t>
            </w:r>
            <w:r w:rsidRPr="00E757E9">
              <w:rPr>
                <w:rFonts w:ascii="Arial Narrow" w:hAnsi="Arial Narrow" w:cs="Arial"/>
                <w:b/>
                <w:sz w:val="24"/>
                <w:szCs w:val="24"/>
              </w:rPr>
              <w:t>:</w:t>
            </w:r>
            <w:r w:rsidR="003E365C">
              <w:rPr>
                <w:rFonts w:ascii="Arial" w:hAnsi="Arial" w:cs="Arial"/>
                <w:color w:val="333333"/>
                <w:sz w:val="20"/>
                <w:szCs w:val="20"/>
                <w:shd w:val="clear" w:color="auto" w:fill="FFFFFF"/>
              </w:rPr>
              <w:t xml:space="preserve"> </w:t>
            </w:r>
          </w:p>
          <w:p w:rsidR="008630BE" w:rsidRPr="00B55E75" w:rsidRDefault="00053A03" w:rsidP="00053A03">
            <w:pPr>
              <w:spacing w:line="360" w:lineRule="auto"/>
              <w:jc w:val="both"/>
              <w:rPr>
                <w:rFonts w:ascii="Arial" w:hAnsi="Arial" w:cs="Arial"/>
                <w:color w:val="333333"/>
                <w:sz w:val="24"/>
                <w:szCs w:val="24"/>
                <w:shd w:val="clear" w:color="auto" w:fill="FFFFFF"/>
              </w:rPr>
            </w:pPr>
            <w:r w:rsidRPr="00E81302">
              <w:rPr>
                <w:rFonts w:ascii="Arial" w:hAnsi="Arial" w:cs="Arial"/>
                <w:sz w:val="24"/>
                <w:szCs w:val="24"/>
                <w:shd w:val="clear" w:color="auto" w:fill="FFFFFF"/>
              </w:rPr>
              <w:t>Samuel Mulemwa Amukena</w:t>
            </w:r>
            <w:r w:rsidR="00AB0E68" w:rsidRPr="00E81302">
              <w:rPr>
                <w:rFonts w:ascii="Arial" w:hAnsi="Arial" w:cs="Arial"/>
                <w:sz w:val="24"/>
                <w:szCs w:val="24"/>
                <w:shd w:val="clear" w:color="auto" w:fill="FFFFFF"/>
              </w:rPr>
              <w:t xml:space="preserve"> </w:t>
            </w:r>
            <w:r w:rsidRPr="00E81302">
              <w:rPr>
                <w:rFonts w:ascii="Arial" w:hAnsi="Arial" w:cs="Arial"/>
                <w:sz w:val="24"/>
                <w:szCs w:val="24"/>
                <w:shd w:val="clear" w:color="auto" w:fill="FFFFFF"/>
              </w:rPr>
              <w:t>v</w:t>
            </w:r>
            <w:r w:rsidR="00AB0E68" w:rsidRPr="00E81302">
              <w:rPr>
                <w:rFonts w:ascii="Arial" w:hAnsi="Arial" w:cs="Arial"/>
                <w:sz w:val="24"/>
                <w:szCs w:val="24"/>
                <w:shd w:val="clear" w:color="auto" w:fill="FFFFFF"/>
              </w:rPr>
              <w:t xml:space="preserve"> </w:t>
            </w:r>
            <w:r w:rsidR="00595221" w:rsidRPr="00E81302">
              <w:rPr>
                <w:rFonts w:ascii="Arial" w:hAnsi="Arial" w:cs="Arial"/>
                <w:sz w:val="24"/>
                <w:szCs w:val="24"/>
                <w:shd w:val="clear" w:color="auto" w:fill="FFFFFF"/>
              </w:rPr>
              <w:t>N</w:t>
            </w:r>
            <w:r w:rsidR="00F16D91" w:rsidRPr="00E81302">
              <w:rPr>
                <w:rFonts w:ascii="Arial" w:hAnsi="Arial" w:cs="Arial"/>
                <w:sz w:val="24"/>
                <w:szCs w:val="24"/>
                <w:shd w:val="clear" w:color="auto" w:fill="FFFFFF"/>
              </w:rPr>
              <w:t>ampower Corporation (Pty) Ltd;</w:t>
            </w:r>
            <w:r w:rsidRPr="00E81302">
              <w:rPr>
                <w:rFonts w:ascii="Arial" w:hAnsi="Arial" w:cs="Arial"/>
                <w:sz w:val="24"/>
                <w:szCs w:val="24"/>
                <w:shd w:val="clear" w:color="auto" w:fill="FFFFFF"/>
              </w:rPr>
              <w:t xml:space="preserve">  </w:t>
            </w:r>
            <w:r w:rsidRPr="00E81302">
              <w:rPr>
                <w:rFonts w:ascii="Arial" w:hAnsi="Arial" w:cs="Arial"/>
                <w:sz w:val="24"/>
                <w:szCs w:val="24"/>
              </w:rPr>
              <w:t>Ministry Of Labour and</w:t>
            </w:r>
            <w:r w:rsidR="00AB0E68" w:rsidRPr="00E81302">
              <w:rPr>
                <w:rFonts w:ascii="Arial" w:hAnsi="Arial" w:cs="Arial"/>
                <w:sz w:val="24"/>
                <w:szCs w:val="24"/>
              </w:rPr>
              <w:t xml:space="preserve"> </w:t>
            </w:r>
            <w:r w:rsidRPr="00E81302">
              <w:rPr>
                <w:rFonts w:ascii="Arial" w:hAnsi="Arial" w:cs="Arial"/>
                <w:sz w:val="24"/>
                <w:szCs w:val="24"/>
              </w:rPr>
              <w:t>Social Welfare And Employment Creation; Bester Maiba Sinvula</w:t>
            </w:r>
          </w:p>
        </w:tc>
        <w:tc>
          <w:tcPr>
            <w:tcW w:w="4323" w:type="dxa"/>
          </w:tcPr>
          <w:p w:rsidR="008630BE" w:rsidRPr="00863E75" w:rsidRDefault="008630BE" w:rsidP="0004438E">
            <w:pPr>
              <w:spacing w:line="360" w:lineRule="auto"/>
              <w:jc w:val="both"/>
              <w:rPr>
                <w:rFonts w:ascii="Arial" w:hAnsi="Arial" w:cs="Arial"/>
                <w:sz w:val="24"/>
                <w:szCs w:val="24"/>
              </w:rPr>
            </w:pPr>
            <w:r w:rsidRPr="00863E75">
              <w:rPr>
                <w:rFonts w:ascii="Arial" w:hAnsi="Arial" w:cs="Arial"/>
                <w:b/>
                <w:sz w:val="24"/>
                <w:szCs w:val="24"/>
              </w:rPr>
              <w:t>Case No:</w:t>
            </w:r>
          </w:p>
          <w:p w:rsidR="008630BE" w:rsidRPr="00863E75" w:rsidRDefault="006C476E" w:rsidP="006C476E">
            <w:pPr>
              <w:spacing w:line="360" w:lineRule="auto"/>
              <w:jc w:val="both"/>
              <w:rPr>
                <w:rFonts w:ascii="Arial" w:hAnsi="Arial" w:cs="Arial"/>
                <w:b/>
                <w:sz w:val="24"/>
                <w:szCs w:val="24"/>
              </w:rPr>
            </w:pPr>
            <w:r w:rsidRPr="00863E75">
              <w:rPr>
                <w:rFonts w:ascii="Arial" w:hAnsi="Arial" w:cs="Arial"/>
                <w:sz w:val="24"/>
                <w:szCs w:val="24"/>
              </w:rPr>
              <w:t>HC-MD-CIV-MOT</w:t>
            </w:r>
            <w:r w:rsidR="008630BE" w:rsidRPr="00863E75">
              <w:rPr>
                <w:rFonts w:ascii="Arial" w:hAnsi="Arial" w:cs="Arial"/>
                <w:sz w:val="24"/>
                <w:szCs w:val="24"/>
              </w:rPr>
              <w:t>-</w:t>
            </w:r>
            <w:r w:rsidR="009057F6" w:rsidRPr="00863E75">
              <w:rPr>
                <w:rFonts w:ascii="Arial" w:hAnsi="Arial" w:cs="Arial"/>
                <w:sz w:val="24"/>
                <w:szCs w:val="24"/>
              </w:rPr>
              <w:t>REV -</w:t>
            </w:r>
            <w:r w:rsidRPr="00863E75">
              <w:rPr>
                <w:rFonts w:ascii="Arial" w:hAnsi="Arial" w:cs="Arial"/>
                <w:sz w:val="24"/>
                <w:szCs w:val="24"/>
              </w:rPr>
              <w:t>2021/00092</w:t>
            </w:r>
          </w:p>
        </w:tc>
      </w:tr>
      <w:tr w:rsidR="008630BE" w:rsidRPr="00E757E9" w:rsidTr="0004438E">
        <w:trPr>
          <w:trHeight w:val="844"/>
        </w:trPr>
        <w:tc>
          <w:tcPr>
            <w:tcW w:w="5397" w:type="dxa"/>
            <w:gridSpan w:val="2"/>
            <w:vMerge/>
          </w:tcPr>
          <w:p w:rsidR="008630BE" w:rsidRPr="00E757E9" w:rsidRDefault="008630BE" w:rsidP="0004438E">
            <w:pPr>
              <w:spacing w:line="360" w:lineRule="auto"/>
              <w:jc w:val="both"/>
              <w:rPr>
                <w:rFonts w:ascii="Arial Narrow" w:hAnsi="Arial Narrow" w:cs="Arial"/>
                <w:sz w:val="24"/>
                <w:szCs w:val="24"/>
              </w:rPr>
            </w:pPr>
          </w:p>
        </w:tc>
        <w:tc>
          <w:tcPr>
            <w:tcW w:w="4323" w:type="dxa"/>
          </w:tcPr>
          <w:p w:rsidR="008630BE" w:rsidRPr="00863E75" w:rsidRDefault="008630BE" w:rsidP="0004438E">
            <w:pPr>
              <w:spacing w:line="360" w:lineRule="auto"/>
              <w:jc w:val="both"/>
              <w:rPr>
                <w:rFonts w:ascii="Arial" w:hAnsi="Arial" w:cs="Arial"/>
                <w:sz w:val="24"/>
                <w:szCs w:val="24"/>
              </w:rPr>
            </w:pPr>
            <w:r w:rsidRPr="00863E75">
              <w:rPr>
                <w:rFonts w:ascii="Arial" w:hAnsi="Arial" w:cs="Arial"/>
                <w:b/>
                <w:sz w:val="24"/>
                <w:szCs w:val="24"/>
              </w:rPr>
              <w:t>Division of Court:</w:t>
            </w:r>
          </w:p>
          <w:p w:rsidR="008630BE" w:rsidRPr="00863E75" w:rsidRDefault="008630BE" w:rsidP="0004438E">
            <w:pPr>
              <w:spacing w:line="360" w:lineRule="auto"/>
              <w:jc w:val="both"/>
              <w:rPr>
                <w:rFonts w:ascii="Arial" w:hAnsi="Arial" w:cs="Arial"/>
                <w:sz w:val="24"/>
                <w:szCs w:val="24"/>
              </w:rPr>
            </w:pPr>
            <w:r w:rsidRPr="00863E75">
              <w:rPr>
                <w:rFonts w:ascii="Arial" w:hAnsi="Arial" w:cs="Arial"/>
                <w:sz w:val="24"/>
                <w:szCs w:val="24"/>
              </w:rPr>
              <w:t>HIGH COURT(MAIN DIVISION)</w:t>
            </w:r>
          </w:p>
        </w:tc>
      </w:tr>
      <w:tr w:rsidR="008630BE" w:rsidRPr="00E757E9" w:rsidTr="0004438E">
        <w:trPr>
          <w:trHeight w:val="645"/>
        </w:trPr>
        <w:tc>
          <w:tcPr>
            <w:tcW w:w="5397" w:type="dxa"/>
            <w:gridSpan w:val="2"/>
            <w:vMerge w:val="restart"/>
          </w:tcPr>
          <w:p w:rsidR="008630BE" w:rsidRPr="00E757E9" w:rsidRDefault="008630BE" w:rsidP="0004438E">
            <w:pPr>
              <w:spacing w:line="360" w:lineRule="auto"/>
              <w:jc w:val="both"/>
              <w:rPr>
                <w:rFonts w:ascii="Arial Narrow" w:hAnsi="Arial Narrow" w:cs="Arial"/>
                <w:b/>
                <w:sz w:val="24"/>
                <w:szCs w:val="24"/>
              </w:rPr>
            </w:pPr>
            <w:r w:rsidRPr="00E757E9">
              <w:rPr>
                <w:rFonts w:ascii="Arial Narrow" w:hAnsi="Arial Narrow" w:cs="Arial"/>
                <w:b/>
                <w:sz w:val="24"/>
                <w:szCs w:val="24"/>
              </w:rPr>
              <w:t>Heard before:</w:t>
            </w:r>
            <w:bookmarkStart w:id="0" w:name="_GoBack"/>
            <w:bookmarkEnd w:id="0"/>
          </w:p>
          <w:p w:rsidR="008630BE" w:rsidRPr="00E757E9" w:rsidRDefault="00F16D91" w:rsidP="00F16D91">
            <w:pPr>
              <w:spacing w:line="360" w:lineRule="auto"/>
              <w:jc w:val="both"/>
              <w:rPr>
                <w:rFonts w:ascii="Arial Narrow" w:hAnsi="Arial Narrow" w:cs="Arial"/>
                <w:sz w:val="24"/>
                <w:szCs w:val="24"/>
              </w:rPr>
            </w:pPr>
            <w:r>
              <w:rPr>
                <w:rFonts w:ascii="Arial Narrow" w:hAnsi="Arial Narrow" w:cs="Arial"/>
                <w:sz w:val="24"/>
                <w:szCs w:val="24"/>
              </w:rPr>
              <w:t>Honourable Justice Tommasi</w:t>
            </w:r>
            <w:r w:rsidR="008630BE">
              <w:rPr>
                <w:rFonts w:ascii="Arial Narrow" w:hAnsi="Arial Narrow" w:cs="Arial"/>
                <w:sz w:val="24"/>
                <w:szCs w:val="24"/>
              </w:rPr>
              <w:t>,</w:t>
            </w:r>
            <w:r w:rsidR="008630BE" w:rsidRPr="00E757E9">
              <w:rPr>
                <w:rFonts w:ascii="Arial Narrow" w:hAnsi="Arial Narrow" w:cs="Arial"/>
                <w:sz w:val="24"/>
                <w:szCs w:val="24"/>
              </w:rPr>
              <w:t xml:space="preserve"> J</w:t>
            </w:r>
          </w:p>
        </w:tc>
        <w:tc>
          <w:tcPr>
            <w:tcW w:w="4323" w:type="dxa"/>
          </w:tcPr>
          <w:p w:rsidR="008630BE" w:rsidRPr="00595221" w:rsidRDefault="008630BE" w:rsidP="00595221">
            <w:pPr>
              <w:spacing w:line="360" w:lineRule="auto"/>
              <w:jc w:val="both"/>
              <w:rPr>
                <w:rFonts w:ascii="Arial" w:hAnsi="Arial" w:cs="Arial"/>
                <w:b/>
                <w:sz w:val="24"/>
                <w:szCs w:val="24"/>
              </w:rPr>
            </w:pPr>
            <w:r w:rsidRPr="00863E75">
              <w:rPr>
                <w:rFonts w:ascii="Arial" w:hAnsi="Arial" w:cs="Arial"/>
                <w:b/>
                <w:sz w:val="24"/>
                <w:szCs w:val="24"/>
              </w:rPr>
              <w:t>Date of hearing</w:t>
            </w:r>
            <w:r w:rsidRPr="00863E75">
              <w:rPr>
                <w:rFonts w:ascii="Arial" w:hAnsi="Arial" w:cs="Arial"/>
                <w:sz w:val="24"/>
                <w:szCs w:val="24"/>
              </w:rPr>
              <w:t>:</w:t>
            </w:r>
            <w:r w:rsidR="009057F6" w:rsidRPr="00863E75">
              <w:rPr>
                <w:rFonts w:ascii="Arial" w:hAnsi="Arial" w:cs="Arial"/>
                <w:sz w:val="24"/>
                <w:szCs w:val="24"/>
              </w:rPr>
              <w:t xml:space="preserve"> </w:t>
            </w:r>
            <w:r w:rsidR="00D01EC9" w:rsidRPr="00863E75">
              <w:rPr>
                <w:rFonts w:ascii="Arial" w:hAnsi="Arial" w:cs="Arial"/>
                <w:sz w:val="24"/>
                <w:szCs w:val="24"/>
              </w:rPr>
              <w:t>31 July 2923</w:t>
            </w:r>
          </w:p>
        </w:tc>
      </w:tr>
      <w:tr w:rsidR="008630BE" w:rsidRPr="00E757E9" w:rsidTr="0004438E">
        <w:trPr>
          <w:trHeight w:val="588"/>
        </w:trPr>
        <w:tc>
          <w:tcPr>
            <w:tcW w:w="5397" w:type="dxa"/>
            <w:gridSpan w:val="2"/>
            <w:vMerge/>
          </w:tcPr>
          <w:p w:rsidR="008630BE" w:rsidRPr="00E757E9" w:rsidRDefault="008630BE" w:rsidP="0004438E">
            <w:pPr>
              <w:spacing w:line="360" w:lineRule="auto"/>
              <w:jc w:val="both"/>
              <w:rPr>
                <w:rFonts w:ascii="Arial Narrow" w:hAnsi="Arial Narrow" w:cs="Arial"/>
                <w:b/>
                <w:sz w:val="24"/>
                <w:szCs w:val="24"/>
              </w:rPr>
            </w:pPr>
          </w:p>
        </w:tc>
        <w:tc>
          <w:tcPr>
            <w:tcW w:w="4323" w:type="dxa"/>
          </w:tcPr>
          <w:p w:rsidR="00595221" w:rsidRPr="00F16D91" w:rsidRDefault="00F16D91" w:rsidP="0004438E">
            <w:pPr>
              <w:spacing w:line="360" w:lineRule="auto"/>
              <w:jc w:val="both"/>
              <w:rPr>
                <w:rFonts w:ascii="Arial" w:hAnsi="Arial" w:cs="Arial"/>
                <w:sz w:val="24"/>
                <w:szCs w:val="24"/>
              </w:rPr>
            </w:pPr>
            <w:r>
              <w:rPr>
                <w:rFonts w:ascii="Arial" w:hAnsi="Arial" w:cs="Arial"/>
                <w:b/>
                <w:sz w:val="24"/>
                <w:szCs w:val="24"/>
              </w:rPr>
              <w:t>D</w:t>
            </w:r>
            <w:r w:rsidR="008630BE" w:rsidRPr="00863E75">
              <w:rPr>
                <w:rFonts w:ascii="Arial" w:hAnsi="Arial" w:cs="Arial"/>
                <w:b/>
                <w:sz w:val="24"/>
                <w:szCs w:val="24"/>
              </w:rPr>
              <w:t>elivered on:</w:t>
            </w:r>
            <w:r w:rsidR="009057F6" w:rsidRPr="00863E75">
              <w:rPr>
                <w:rFonts w:ascii="Arial" w:hAnsi="Arial" w:cs="Arial"/>
                <w:b/>
                <w:sz w:val="24"/>
                <w:szCs w:val="24"/>
              </w:rPr>
              <w:t xml:space="preserve"> </w:t>
            </w:r>
          </w:p>
          <w:p w:rsidR="008630BE" w:rsidRPr="00595221" w:rsidRDefault="00E003E8" w:rsidP="003E365C">
            <w:pPr>
              <w:spacing w:line="360" w:lineRule="auto"/>
              <w:jc w:val="both"/>
              <w:rPr>
                <w:rFonts w:ascii="Arial" w:hAnsi="Arial" w:cs="Arial"/>
                <w:b/>
                <w:sz w:val="24"/>
                <w:szCs w:val="24"/>
              </w:rPr>
            </w:pPr>
            <w:r>
              <w:rPr>
                <w:rFonts w:ascii="Arial" w:hAnsi="Arial" w:cs="Arial"/>
                <w:sz w:val="24"/>
                <w:szCs w:val="24"/>
              </w:rPr>
              <w:t>15 September 2023</w:t>
            </w:r>
          </w:p>
        </w:tc>
      </w:tr>
      <w:tr w:rsidR="008630BE" w:rsidRPr="00E757E9" w:rsidTr="0004438E">
        <w:tc>
          <w:tcPr>
            <w:tcW w:w="9720" w:type="dxa"/>
            <w:gridSpan w:val="3"/>
          </w:tcPr>
          <w:p w:rsidR="00AB0E68" w:rsidRPr="00863E75" w:rsidRDefault="00AB0E68" w:rsidP="00AB0E68">
            <w:pPr>
              <w:pStyle w:val="form-control-static"/>
              <w:shd w:val="clear" w:color="auto" w:fill="FFFFFF"/>
              <w:spacing w:before="0" w:beforeAutospacing="0" w:after="0" w:afterAutospacing="0"/>
              <w:ind w:left="1692" w:hanging="1692"/>
              <w:rPr>
                <w:rFonts w:ascii="Arial" w:hAnsi="Arial" w:cs="Arial"/>
                <w:b/>
              </w:rPr>
            </w:pPr>
          </w:p>
          <w:p w:rsidR="00F16D91" w:rsidRDefault="008630BE" w:rsidP="00AB0E68">
            <w:pPr>
              <w:pStyle w:val="form-control-static"/>
              <w:shd w:val="clear" w:color="auto" w:fill="FFFFFF"/>
              <w:spacing w:before="0" w:beforeAutospacing="0" w:after="0" w:afterAutospacing="0"/>
              <w:ind w:left="1692" w:hanging="1692"/>
              <w:rPr>
                <w:rFonts w:ascii="Arial" w:hAnsi="Arial" w:cs="Arial"/>
                <w:color w:val="000000" w:themeColor="text1"/>
              </w:rPr>
            </w:pPr>
            <w:r w:rsidRPr="00863E75">
              <w:rPr>
                <w:rFonts w:ascii="Arial" w:hAnsi="Arial" w:cs="Arial"/>
                <w:b/>
              </w:rPr>
              <w:t xml:space="preserve">Neutral citation: </w:t>
            </w:r>
            <w:r w:rsidR="00CE0D62" w:rsidRPr="00863E75">
              <w:rPr>
                <w:rFonts w:ascii="Arial" w:hAnsi="Arial" w:cs="Arial"/>
                <w:b/>
              </w:rPr>
              <w:t xml:space="preserve">  </w:t>
            </w:r>
            <w:r w:rsidR="00AB0E68" w:rsidRPr="00E003E8">
              <w:rPr>
                <w:rFonts w:ascii="Arial" w:hAnsi="Arial" w:cs="Arial"/>
                <w:i/>
                <w:color w:val="333333"/>
                <w:shd w:val="clear" w:color="auto" w:fill="FFFFFF"/>
              </w:rPr>
              <w:t>Amukena</w:t>
            </w:r>
            <w:r w:rsidR="00CE0D62" w:rsidRPr="00E003E8">
              <w:rPr>
                <w:rFonts w:ascii="Arial" w:hAnsi="Arial" w:cs="Arial"/>
                <w:i/>
                <w:color w:val="333333"/>
                <w:shd w:val="clear" w:color="auto" w:fill="FFFFFF"/>
              </w:rPr>
              <w:t xml:space="preserve"> v Nampower </w:t>
            </w:r>
            <w:r w:rsidR="00C15467" w:rsidRPr="00E003E8">
              <w:rPr>
                <w:rFonts w:ascii="Arial" w:hAnsi="Arial" w:cs="Arial"/>
                <w:color w:val="000000" w:themeColor="text1"/>
              </w:rPr>
              <w:t>(HC-MD-CIV-</w:t>
            </w:r>
            <w:r w:rsidR="009057F6" w:rsidRPr="00E003E8">
              <w:rPr>
                <w:rFonts w:ascii="Arial" w:hAnsi="Arial" w:cs="Arial"/>
                <w:color w:val="000000" w:themeColor="text1"/>
              </w:rPr>
              <w:t>MOT-REV-</w:t>
            </w:r>
            <w:r w:rsidR="00F16D91">
              <w:rPr>
                <w:rFonts w:ascii="Arial" w:hAnsi="Arial" w:cs="Arial"/>
                <w:color w:val="000000" w:themeColor="text1"/>
              </w:rPr>
              <w:t>2021/00092) [2023]</w:t>
            </w:r>
            <w:r w:rsidR="00595221">
              <w:rPr>
                <w:rFonts w:ascii="Arial" w:hAnsi="Arial" w:cs="Arial"/>
                <w:b/>
              </w:rPr>
              <w:t xml:space="preserve">                          </w:t>
            </w:r>
            <w:r w:rsidR="00F16D91">
              <w:rPr>
                <w:rFonts w:ascii="Arial" w:hAnsi="Arial" w:cs="Arial"/>
                <w:color w:val="000000" w:themeColor="text1"/>
              </w:rPr>
              <w:t xml:space="preserve">  </w:t>
            </w:r>
          </w:p>
          <w:p w:rsidR="008630BE" w:rsidRPr="00E003E8" w:rsidRDefault="00F16D91" w:rsidP="00AB0E68">
            <w:pPr>
              <w:pStyle w:val="form-control-static"/>
              <w:shd w:val="clear" w:color="auto" w:fill="FFFFFF"/>
              <w:spacing w:before="0" w:beforeAutospacing="0" w:after="0" w:afterAutospacing="0"/>
              <w:ind w:left="1692" w:hanging="1692"/>
              <w:rPr>
                <w:rFonts w:ascii="Arial" w:hAnsi="Arial" w:cs="Arial"/>
                <w:color w:val="000000" w:themeColor="text1"/>
              </w:rPr>
            </w:pPr>
            <w:r>
              <w:rPr>
                <w:rFonts w:ascii="Arial" w:hAnsi="Arial" w:cs="Arial"/>
                <w:b/>
              </w:rPr>
              <w:t xml:space="preserve">                              </w:t>
            </w:r>
            <w:r w:rsidR="007C3A5B" w:rsidRPr="00E003E8">
              <w:rPr>
                <w:rFonts w:ascii="Arial" w:hAnsi="Arial" w:cs="Arial"/>
                <w:color w:val="000000" w:themeColor="text1"/>
              </w:rPr>
              <w:t xml:space="preserve">NAHCMD </w:t>
            </w:r>
            <w:r w:rsidR="00BB33C4">
              <w:rPr>
                <w:rFonts w:ascii="Arial" w:hAnsi="Arial" w:cs="Arial"/>
                <w:color w:val="000000" w:themeColor="text1"/>
              </w:rPr>
              <w:t>574</w:t>
            </w:r>
            <w:r w:rsidR="00AC5312" w:rsidRPr="00E003E8">
              <w:rPr>
                <w:rFonts w:ascii="Arial" w:hAnsi="Arial" w:cs="Arial"/>
                <w:color w:val="000000" w:themeColor="text1"/>
              </w:rPr>
              <w:t xml:space="preserve"> (</w:t>
            </w:r>
            <w:r w:rsidR="00E003E8">
              <w:rPr>
                <w:rFonts w:ascii="Arial" w:hAnsi="Arial" w:cs="Arial"/>
                <w:color w:val="000000" w:themeColor="text1"/>
              </w:rPr>
              <w:t xml:space="preserve">15 September </w:t>
            </w:r>
            <w:r w:rsidR="009057F6" w:rsidRPr="00E003E8">
              <w:rPr>
                <w:rFonts w:ascii="Arial" w:hAnsi="Arial" w:cs="Arial"/>
                <w:color w:val="000000" w:themeColor="text1"/>
              </w:rPr>
              <w:t>2023</w:t>
            </w:r>
            <w:r w:rsidR="000E4639" w:rsidRPr="00E003E8">
              <w:rPr>
                <w:rFonts w:ascii="Arial" w:hAnsi="Arial" w:cs="Arial"/>
                <w:color w:val="000000" w:themeColor="text1"/>
              </w:rPr>
              <w:t>)</w:t>
            </w:r>
          </w:p>
          <w:p w:rsidR="00AB0E68" w:rsidRPr="00863E75" w:rsidRDefault="00AB0E68" w:rsidP="00AB0E68">
            <w:pPr>
              <w:pStyle w:val="form-control-static"/>
              <w:shd w:val="clear" w:color="auto" w:fill="FFFFFF"/>
              <w:spacing w:before="0" w:beforeAutospacing="0" w:after="0" w:afterAutospacing="0"/>
              <w:rPr>
                <w:rFonts w:ascii="Arial" w:hAnsi="Arial" w:cs="Arial"/>
              </w:rPr>
            </w:pPr>
          </w:p>
        </w:tc>
      </w:tr>
      <w:tr w:rsidR="008630BE" w:rsidRPr="00E757E9" w:rsidTr="0004438E">
        <w:tc>
          <w:tcPr>
            <w:tcW w:w="9720" w:type="dxa"/>
            <w:gridSpan w:val="3"/>
          </w:tcPr>
          <w:p w:rsidR="00AB0E68" w:rsidRPr="00863E75" w:rsidRDefault="00AB0E68" w:rsidP="0004438E">
            <w:pPr>
              <w:pStyle w:val="form-control-static"/>
              <w:shd w:val="clear" w:color="auto" w:fill="FFFFFF"/>
              <w:spacing w:before="0" w:beforeAutospacing="0" w:after="0" w:afterAutospacing="0"/>
              <w:rPr>
                <w:rFonts w:ascii="Arial" w:hAnsi="Arial" w:cs="Arial"/>
                <w:b/>
              </w:rPr>
            </w:pPr>
          </w:p>
          <w:p w:rsidR="008630BE" w:rsidRPr="00863E75" w:rsidRDefault="008630BE" w:rsidP="0004438E">
            <w:pPr>
              <w:pStyle w:val="form-control-static"/>
              <w:shd w:val="clear" w:color="auto" w:fill="FFFFFF"/>
              <w:spacing w:before="0" w:beforeAutospacing="0" w:after="0" w:afterAutospacing="0"/>
              <w:rPr>
                <w:rFonts w:ascii="Arial" w:hAnsi="Arial" w:cs="Arial"/>
                <w:b/>
              </w:rPr>
            </w:pPr>
            <w:r w:rsidRPr="00863E75">
              <w:rPr>
                <w:rFonts w:ascii="Arial" w:hAnsi="Arial" w:cs="Arial"/>
                <w:b/>
              </w:rPr>
              <w:t>Results on merits:</w:t>
            </w:r>
            <w:r w:rsidR="003E365C" w:rsidRPr="00863E75">
              <w:rPr>
                <w:rFonts w:ascii="Arial" w:hAnsi="Arial" w:cs="Arial"/>
                <w:b/>
              </w:rPr>
              <w:t xml:space="preserve"> </w:t>
            </w:r>
          </w:p>
          <w:p w:rsidR="008630BE" w:rsidRPr="00863E75" w:rsidRDefault="004936DF" w:rsidP="00370D8A">
            <w:pPr>
              <w:pStyle w:val="form-control-static"/>
              <w:shd w:val="clear" w:color="auto" w:fill="FFFFFF"/>
              <w:spacing w:before="0" w:beforeAutospacing="0" w:after="0" w:afterAutospacing="0"/>
              <w:rPr>
                <w:rFonts w:ascii="Arial" w:hAnsi="Arial" w:cs="Arial"/>
              </w:rPr>
            </w:pPr>
            <w:r w:rsidRPr="00863E75">
              <w:rPr>
                <w:rFonts w:ascii="Arial" w:hAnsi="Arial" w:cs="Arial"/>
              </w:rPr>
              <w:t xml:space="preserve">No decision on the merits </w:t>
            </w:r>
          </w:p>
          <w:p w:rsidR="00AB0E68" w:rsidRPr="00863E75" w:rsidRDefault="00AB0E68" w:rsidP="00370D8A">
            <w:pPr>
              <w:pStyle w:val="form-control-static"/>
              <w:shd w:val="clear" w:color="auto" w:fill="FFFFFF"/>
              <w:spacing w:before="0" w:beforeAutospacing="0" w:after="0" w:afterAutospacing="0"/>
              <w:rPr>
                <w:rFonts w:ascii="Arial" w:hAnsi="Arial" w:cs="Arial"/>
              </w:rPr>
            </w:pPr>
          </w:p>
        </w:tc>
      </w:tr>
      <w:tr w:rsidR="00F16D91" w:rsidRPr="00E757E9" w:rsidTr="0004438E">
        <w:tc>
          <w:tcPr>
            <w:tcW w:w="9720" w:type="dxa"/>
            <w:gridSpan w:val="3"/>
          </w:tcPr>
          <w:p w:rsidR="00F16D91" w:rsidRPr="00863E75" w:rsidRDefault="00F16D91" w:rsidP="0004438E">
            <w:pPr>
              <w:spacing w:line="360" w:lineRule="auto"/>
              <w:jc w:val="both"/>
              <w:rPr>
                <w:rFonts w:ascii="Arial" w:hAnsi="Arial" w:cs="Arial"/>
                <w:b/>
                <w:sz w:val="24"/>
                <w:szCs w:val="24"/>
              </w:rPr>
            </w:pPr>
            <w:r>
              <w:rPr>
                <w:rFonts w:ascii="Arial" w:hAnsi="Arial" w:cs="Arial"/>
                <w:b/>
                <w:sz w:val="24"/>
                <w:szCs w:val="24"/>
              </w:rPr>
              <w:t>Order</w:t>
            </w:r>
          </w:p>
        </w:tc>
      </w:tr>
      <w:tr w:rsidR="008630BE" w:rsidRPr="00E757E9" w:rsidTr="0004438E">
        <w:tc>
          <w:tcPr>
            <w:tcW w:w="9720" w:type="dxa"/>
            <w:gridSpan w:val="3"/>
          </w:tcPr>
          <w:p w:rsidR="005876D0" w:rsidRPr="00863E75" w:rsidRDefault="005876D0" w:rsidP="0004438E">
            <w:pPr>
              <w:spacing w:line="360" w:lineRule="auto"/>
              <w:jc w:val="both"/>
              <w:rPr>
                <w:rFonts w:ascii="Arial" w:hAnsi="Arial" w:cs="Arial"/>
                <w:b/>
                <w:sz w:val="24"/>
                <w:szCs w:val="24"/>
              </w:rPr>
            </w:pPr>
          </w:p>
          <w:p w:rsidR="003D4F80" w:rsidRPr="00E003E8" w:rsidRDefault="000770FF" w:rsidP="00E003E8">
            <w:pPr>
              <w:pStyle w:val="ListParagraph"/>
              <w:numPr>
                <w:ilvl w:val="0"/>
                <w:numId w:val="17"/>
              </w:numPr>
              <w:spacing w:line="360" w:lineRule="auto"/>
              <w:jc w:val="both"/>
              <w:rPr>
                <w:rFonts w:ascii="Arial" w:hAnsi="Arial" w:cs="Arial"/>
                <w:sz w:val="24"/>
                <w:szCs w:val="24"/>
              </w:rPr>
            </w:pPr>
            <w:r w:rsidRPr="00E003E8">
              <w:rPr>
                <w:rFonts w:ascii="Arial" w:hAnsi="Arial" w:cs="Arial"/>
                <w:sz w:val="24"/>
                <w:szCs w:val="24"/>
              </w:rPr>
              <w:t>The application for leave to appeal is dismissed</w:t>
            </w:r>
            <w:r w:rsidR="00F16D91">
              <w:rPr>
                <w:rFonts w:ascii="Arial" w:hAnsi="Arial" w:cs="Arial"/>
                <w:sz w:val="24"/>
                <w:szCs w:val="24"/>
              </w:rPr>
              <w:t>.</w:t>
            </w:r>
          </w:p>
          <w:p w:rsidR="00F16D91" w:rsidRPr="00E003E8" w:rsidRDefault="00F16D91" w:rsidP="00E003E8">
            <w:pPr>
              <w:pStyle w:val="ListParagraph"/>
              <w:numPr>
                <w:ilvl w:val="0"/>
                <w:numId w:val="17"/>
              </w:numPr>
              <w:spacing w:line="360" w:lineRule="auto"/>
              <w:jc w:val="both"/>
              <w:rPr>
                <w:rFonts w:ascii="Arial" w:hAnsi="Arial" w:cs="Arial"/>
                <w:sz w:val="24"/>
                <w:szCs w:val="24"/>
              </w:rPr>
            </w:pPr>
            <w:r>
              <w:rPr>
                <w:rFonts w:ascii="Arial" w:hAnsi="Arial" w:cs="Arial"/>
                <w:sz w:val="24"/>
                <w:szCs w:val="24"/>
              </w:rPr>
              <w:t>No order as to costs is made.</w:t>
            </w:r>
          </w:p>
          <w:p w:rsidR="000770FF" w:rsidRPr="00595221" w:rsidRDefault="000770FF" w:rsidP="00595221">
            <w:pPr>
              <w:pStyle w:val="ListParagraph"/>
              <w:numPr>
                <w:ilvl w:val="0"/>
                <w:numId w:val="17"/>
              </w:numPr>
              <w:spacing w:line="360" w:lineRule="auto"/>
              <w:rPr>
                <w:rFonts w:ascii="Arial" w:hAnsi="Arial" w:cs="Arial"/>
                <w:sz w:val="24"/>
                <w:szCs w:val="24"/>
              </w:rPr>
            </w:pPr>
            <w:r w:rsidRPr="00595221">
              <w:rPr>
                <w:rFonts w:ascii="Arial" w:hAnsi="Arial" w:cs="Arial"/>
                <w:sz w:val="24"/>
                <w:szCs w:val="24"/>
              </w:rPr>
              <w:t xml:space="preserve">The </w:t>
            </w:r>
            <w:r w:rsidR="00E003E8" w:rsidRPr="00595221">
              <w:rPr>
                <w:rFonts w:ascii="Arial" w:hAnsi="Arial" w:cs="Arial"/>
                <w:sz w:val="24"/>
                <w:szCs w:val="24"/>
              </w:rPr>
              <w:t>Registrar is to allocate this matter to another judge.</w:t>
            </w:r>
            <w:r w:rsidRPr="00595221">
              <w:rPr>
                <w:rFonts w:ascii="Arial" w:hAnsi="Arial" w:cs="Arial"/>
                <w:sz w:val="24"/>
                <w:szCs w:val="24"/>
              </w:rPr>
              <w:t xml:space="preserve"> </w:t>
            </w:r>
          </w:p>
          <w:p w:rsidR="00AB0E68" w:rsidRPr="00863E75" w:rsidRDefault="00AB0E68" w:rsidP="00D01EC9">
            <w:pPr>
              <w:spacing w:line="360" w:lineRule="auto"/>
              <w:rPr>
                <w:rFonts w:ascii="Arial" w:hAnsi="Arial" w:cs="Arial"/>
                <w:sz w:val="24"/>
                <w:szCs w:val="24"/>
              </w:rPr>
            </w:pPr>
          </w:p>
        </w:tc>
      </w:tr>
      <w:tr w:rsidR="008630BE" w:rsidRPr="00863E75" w:rsidTr="0004438E">
        <w:tc>
          <w:tcPr>
            <w:tcW w:w="9720" w:type="dxa"/>
            <w:gridSpan w:val="3"/>
          </w:tcPr>
          <w:p w:rsidR="00F16D91" w:rsidRDefault="00F16D91" w:rsidP="0004438E">
            <w:pPr>
              <w:spacing w:line="360" w:lineRule="auto"/>
              <w:jc w:val="both"/>
              <w:rPr>
                <w:rFonts w:ascii="Arial" w:hAnsi="Arial" w:cs="Arial"/>
                <w:b/>
                <w:sz w:val="24"/>
                <w:szCs w:val="24"/>
              </w:rPr>
            </w:pPr>
          </w:p>
          <w:p w:rsidR="00A65514" w:rsidRPr="00863E75" w:rsidRDefault="00F16D91" w:rsidP="0004438E">
            <w:pPr>
              <w:spacing w:line="360" w:lineRule="auto"/>
              <w:jc w:val="both"/>
              <w:rPr>
                <w:rFonts w:ascii="Arial" w:hAnsi="Arial" w:cs="Arial"/>
                <w:b/>
                <w:sz w:val="24"/>
                <w:szCs w:val="24"/>
              </w:rPr>
            </w:pPr>
            <w:r>
              <w:rPr>
                <w:rFonts w:ascii="Arial" w:hAnsi="Arial" w:cs="Arial"/>
                <w:b/>
                <w:sz w:val="24"/>
                <w:szCs w:val="24"/>
              </w:rPr>
              <w:t>Reasons</w:t>
            </w:r>
            <w:r w:rsidR="008630BE" w:rsidRPr="00863E75">
              <w:rPr>
                <w:rFonts w:ascii="Arial" w:hAnsi="Arial" w:cs="Arial"/>
                <w:b/>
                <w:sz w:val="24"/>
                <w:szCs w:val="24"/>
              </w:rPr>
              <w:t>:</w:t>
            </w:r>
          </w:p>
        </w:tc>
      </w:tr>
      <w:tr w:rsidR="008630BE" w:rsidRPr="00863E75" w:rsidTr="0004438E">
        <w:tc>
          <w:tcPr>
            <w:tcW w:w="9720" w:type="dxa"/>
            <w:gridSpan w:val="3"/>
            <w:shd w:val="clear" w:color="auto" w:fill="auto"/>
          </w:tcPr>
          <w:p w:rsidR="00F16D91" w:rsidRDefault="00F16D91" w:rsidP="008630BE">
            <w:pPr>
              <w:tabs>
                <w:tab w:val="left" w:pos="1275"/>
              </w:tabs>
              <w:spacing w:line="360" w:lineRule="auto"/>
              <w:jc w:val="both"/>
              <w:rPr>
                <w:rFonts w:ascii="Arial" w:hAnsi="Arial" w:cs="Arial"/>
                <w:sz w:val="24"/>
                <w:szCs w:val="24"/>
              </w:rPr>
            </w:pPr>
          </w:p>
          <w:p w:rsidR="00A65514" w:rsidRDefault="00F16D91" w:rsidP="008630BE">
            <w:pPr>
              <w:tabs>
                <w:tab w:val="left" w:pos="1275"/>
              </w:tabs>
              <w:spacing w:line="360" w:lineRule="auto"/>
              <w:jc w:val="both"/>
              <w:rPr>
                <w:rFonts w:ascii="Arial" w:hAnsi="Arial" w:cs="Arial"/>
                <w:sz w:val="24"/>
                <w:szCs w:val="24"/>
              </w:rPr>
            </w:pPr>
            <w:r>
              <w:rPr>
                <w:rFonts w:ascii="Arial" w:hAnsi="Arial" w:cs="Arial"/>
                <w:sz w:val="24"/>
                <w:szCs w:val="24"/>
              </w:rPr>
              <w:t>TOMMASI J:</w:t>
            </w:r>
          </w:p>
          <w:p w:rsidR="00F16D91" w:rsidRPr="00863E75" w:rsidRDefault="00F16D91" w:rsidP="008630BE">
            <w:pPr>
              <w:tabs>
                <w:tab w:val="left" w:pos="1275"/>
              </w:tabs>
              <w:spacing w:line="360" w:lineRule="auto"/>
              <w:jc w:val="both"/>
              <w:rPr>
                <w:rFonts w:ascii="Arial" w:hAnsi="Arial" w:cs="Arial"/>
                <w:sz w:val="24"/>
                <w:szCs w:val="24"/>
              </w:rPr>
            </w:pPr>
          </w:p>
          <w:p w:rsidR="008E7A93" w:rsidRDefault="00B308A9" w:rsidP="008630BE">
            <w:pPr>
              <w:tabs>
                <w:tab w:val="left" w:pos="1275"/>
              </w:tabs>
              <w:spacing w:line="360" w:lineRule="auto"/>
              <w:jc w:val="both"/>
              <w:rPr>
                <w:rFonts w:ascii="Arial" w:hAnsi="Arial" w:cs="Arial"/>
                <w:sz w:val="24"/>
                <w:szCs w:val="24"/>
              </w:rPr>
            </w:pPr>
            <w:r w:rsidRPr="00863E75">
              <w:rPr>
                <w:rFonts w:ascii="Arial" w:hAnsi="Arial" w:cs="Arial"/>
                <w:sz w:val="24"/>
                <w:szCs w:val="24"/>
              </w:rPr>
              <w:t>[1</w:t>
            </w:r>
            <w:r w:rsidR="006C476E" w:rsidRPr="00863E75">
              <w:rPr>
                <w:rFonts w:ascii="Arial" w:hAnsi="Arial" w:cs="Arial"/>
                <w:sz w:val="24"/>
                <w:szCs w:val="24"/>
              </w:rPr>
              <w:t xml:space="preserve">]    The applicant applied for leave to </w:t>
            </w:r>
            <w:r w:rsidR="000770FF" w:rsidRPr="00863E75">
              <w:rPr>
                <w:rFonts w:ascii="Arial" w:hAnsi="Arial" w:cs="Arial"/>
                <w:sz w:val="24"/>
                <w:szCs w:val="24"/>
              </w:rPr>
              <w:t>appeal a</w:t>
            </w:r>
            <w:r w:rsidR="00D01EC9" w:rsidRPr="00863E75">
              <w:rPr>
                <w:rFonts w:ascii="Arial" w:hAnsi="Arial" w:cs="Arial"/>
                <w:sz w:val="24"/>
                <w:szCs w:val="24"/>
              </w:rPr>
              <w:t xml:space="preserve"> portion of the court’s order granted on 7 June 2023</w:t>
            </w:r>
            <w:r w:rsidR="00112CFD">
              <w:rPr>
                <w:rFonts w:ascii="Arial" w:hAnsi="Arial" w:cs="Arial"/>
                <w:sz w:val="24"/>
                <w:szCs w:val="24"/>
              </w:rPr>
              <w:t xml:space="preserve"> in respect of an </w:t>
            </w:r>
            <w:r w:rsidR="00D01EC9" w:rsidRPr="00863E75">
              <w:rPr>
                <w:rFonts w:ascii="Arial" w:hAnsi="Arial" w:cs="Arial"/>
                <w:sz w:val="24"/>
                <w:szCs w:val="24"/>
              </w:rPr>
              <w:t xml:space="preserve">application for leave to amend </w:t>
            </w:r>
            <w:r w:rsidR="008E7A93" w:rsidRPr="00863E75">
              <w:rPr>
                <w:rFonts w:ascii="Arial" w:hAnsi="Arial" w:cs="Arial"/>
                <w:sz w:val="24"/>
                <w:szCs w:val="24"/>
              </w:rPr>
              <w:t xml:space="preserve">his notice of motion. </w:t>
            </w:r>
            <w:r w:rsidR="00E003E8">
              <w:rPr>
                <w:rFonts w:ascii="Arial" w:hAnsi="Arial" w:cs="Arial"/>
                <w:sz w:val="24"/>
                <w:szCs w:val="24"/>
              </w:rPr>
              <w:t xml:space="preserve">The </w:t>
            </w:r>
            <w:r w:rsidR="00E003E8">
              <w:rPr>
                <w:rFonts w:ascii="Arial" w:hAnsi="Arial" w:cs="Arial"/>
                <w:sz w:val="24"/>
                <w:szCs w:val="24"/>
              </w:rPr>
              <w:lastRenderedPageBreak/>
              <w:t xml:space="preserve">applicant initially </w:t>
            </w:r>
            <w:r w:rsidR="008E7A93" w:rsidRPr="00863E75">
              <w:rPr>
                <w:rFonts w:ascii="Arial" w:hAnsi="Arial" w:cs="Arial"/>
                <w:sz w:val="24"/>
                <w:szCs w:val="24"/>
              </w:rPr>
              <w:t xml:space="preserve">applied </w:t>
            </w:r>
            <w:r w:rsidR="00A65514" w:rsidRPr="00863E75">
              <w:rPr>
                <w:rFonts w:ascii="Arial" w:hAnsi="Arial" w:cs="Arial"/>
                <w:sz w:val="24"/>
                <w:szCs w:val="24"/>
              </w:rPr>
              <w:t xml:space="preserve">for the insertion of </w:t>
            </w:r>
            <w:r w:rsidR="008E7A93" w:rsidRPr="00863E75">
              <w:rPr>
                <w:rFonts w:ascii="Arial" w:hAnsi="Arial" w:cs="Arial"/>
                <w:sz w:val="24"/>
                <w:szCs w:val="24"/>
              </w:rPr>
              <w:t>13 new prayers</w:t>
            </w:r>
            <w:r w:rsidR="00E003E8">
              <w:rPr>
                <w:rFonts w:ascii="Arial" w:hAnsi="Arial" w:cs="Arial"/>
                <w:sz w:val="24"/>
                <w:szCs w:val="24"/>
              </w:rPr>
              <w:t xml:space="preserve"> in his notice of motion</w:t>
            </w:r>
            <w:r w:rsidR="008E7A93" w:rsidRPr="00863E75">
              <w:rPr>
                <w:rFonts w:ascii="Arial" w:hAnsi="Arial" w:cs="Arial"/>
                <w:sz w:val="24"/>
                <w:szCs w:val="24"/>
              </w:rPr>
              <w:t>. The court granted</w:t>
            </w:r>
            <w:r w:rsidR="00A65514" w:rsidRPr="00863E75">
              <w:rPr>
                <w:rFonts w:ascii="Arial" w:hAnsi="Arial" w:cs="Arial"/>
                <w:sz w:val="24"/>
                <w:szCs w:val="24"/>
              </w:rPr>
              <w:t xml:space="preserve"> the applicant </w:t>
            </w:r>
            <w:r w:rsidR="008E7A93" w:rsidRPr="00863E75">
              <w:rPr>
                <w:rFonts w:ascii="Arial" w:hAnsi="Arial" w:cs="Arial"/>
                <w:sz w:val="24"/>
                <w:szCs w:val="24"/>
              </w:rPr>
              <w:t>leave to amend</w:t>
            </w:r>
            <w:r w:rsidR="00112CFD">
              <w:rPr>
                <w:rFonts w:ascii="Arial" w:hAnsi="Arial" w:cs="Arial"/>
                <w:sz w:val="24"/>
                <w:szCs w:val="24"/>
              </w:rPr>
              <w:t xml:space="preserve"> his notice of motion</w:t>
            </w:r>
            <w:r w:rsidR="00A65514" w:rsidRPr="00863E75">
              <w:rPr>
                <w:rFonts w:ascii="Arial" w:hAnsi="Arial" w:cs="Arial"/>
                <w:sz w:val="24"/>
                <w:szCs w:val="24"/>
              </w:rPr>
              <w:t xml:space="preserve"> by the insertion of </w:t>
            </w:r>
            <w:r w:rsidR="008E7A93" w:rsidRPr="00863E75">
              <w:rPr>
                <w:rFonts w:ascii="Arial" w:hAnsi="Arial" w:cs="Arial"/>
                <w:sz w:val="24"/>
                <w:szCs w:val="24"/>
              </w:rPr>
              <w:t xml:space="preserve">12 of the </w:t>
            </w:r>
            <w:r w:rsidR="00F01DFE" w:rsidRPr="00863E75">
              <w:rPr>
                <w:rFonts w:ascii="Arial" w:hAnsi="Arial" w:cs="Arial"/>
                <w:sz w:val="24"/>
                <w:szCs w:val="24"/>
              </w:rPr>
              <w:t xml:space="preserve">proposed </w:t>
            </w:r>
            <w:r w:rsidR="008E7A93" w:rsidRPr="00863E75">
              <w:rPr>
                <w:rFonts w:ascii="Arial" w:hAnsi="Arial" w:cs="Arial"/>
                <w:sz w:val="24"/>
                <w:szCs w:val="24"/>
              </w:rPr>
              <w:t>prayers with a qualification that one of the prayers</w:t>
            </w:r>
            <w:r w:rsidR="000770FF" w:rsidRPr="00863E75">
              <w:rPr>
                <w:rFonts w:ascii="Arial" w:hAnsi="Arial" w:cs="Arial"/>
                <w:sz w:val="24"/>
                <w:szCs w:val="24"/>
              </w:rPr>
              <w:t xml:space="preserve"> is to read as an alternative prayer</w:t>
            </w:r>
            <w:r w:rsidR="008E7A93" w:rsidRPr="00863E75">
              <w:rPr>
                <w:rFonts w:ascii="Arial" w:hAnsi="Arial" w:cs="Arial"/>
                <w:sz w:val="24"/>
                <w:szCs w:val="24"/>
              </w:rPr>
              <w:t>. The court refused</w:t>
            </w:r>
            <w:r w:rsidR="00F01DFE" w:rsidRPr="00863E75">
              <w:rPr>
                <w:rFonts w:ascii="Arial" w:hAnsi="Arial" w:cs="Arial"/>
                <w:sz w:val="24"/>
                <w:szCs w:val="24"/>
              </w:rPr>
              <w:t xml:space="preserve"> </w:t>
            </w:r>
            <w:r w:rsidR="008E7A93" w:rsidRPr="00863E75">
              <w:rPr>
                <w:rFonts w:ascii="Arial" w:hAnsi="Arial" w:cs="Arial"/>
                <w:sz w:val="24"/>
                <w:szCs w:val="24"/>
              </w:rPr>
              <w:t>to grant</w:t>
            </w:r>
            <w:r w:rsidR="00F01DFE" w:rsidRPr="00863E75">
              <w:rPr>
                <w:rFonts w:ascii="Arial" w:hAnsi="Arial" w:cs="Arial"/>
                <w:sz w:val="24"/>
                <w:szCs w:val="24"/>
              </w:rPr>
              <w:t xml:space="preserve"> the applicant </w:t>
            </w:r>
            <w:r w:rsidR="008E7A93" w:rsidRPr="00863E75">
              <w:rPr>
                <w:rFonts w:ascii="Arial" w:hAnsi="Arial" w:cs="Arial"/>
                <w:sz w:val="24"/>
                <w:szCs w:val="24"/>
              </w:rPr>
              <w:t>leave to</w:t>
            </w:r>
            <w:r w:rsidR="00F01DFE" w:rsidRPr="00863E75">
              <w:rPr>
                <w:rFonts w:ascii="Arial" w:hAnsi="Arial" w:cs="Arial"/>
                <w:sz w:val="24"/>
                <w:szCs w:val="24"/>
              </w:rPr>
              <w:t xml:space="preserve"> insert </w:t>
            </w:r>
            <w:r w:rsidR="000770FF" w:rsidRPr="00863E75">
              <w:rPr>
                <w:rFonts w:ascii="Arial" w:hAnsi="Arial" w:cs="Arial"/>
                <w:sz w:val="24"/>
                <w:szCs w:val="24"/>
              </w:rPr>
              <w:t>paragraph 10</w:t>
            </w:r>
            <w:r w:rsidR="008E7A93" w:rsidRPr="00863E75">
              <w:rPr>
                <w:rFonts w:ascii="Arial" w:hAnsi="Arial" w:cs="Arial"/>
                <w:sz w:val="24"/>
                <w:szCs w:val="24"/>
              </w:rPr>
              <w:t xml:space="preserve"> </w:t>
            </w:r>
            <w:r w:rsidR="00F01DFE" w:rsidRPr="00863E75">
              <w:rPr>
                <w:rFonts w:ascii="Arial" w:hAnsi="Arial" w:cs="Arial"/>
                <w:sz w:val="24"/>
                <w:szCs w:val="24"/>
              </w:rPr>
              <w:t>as a prayer of the notice of motion</w:t>
            </w:r>
            <w:r w:rsidR="008E7A93" w:rsidRPr="00863E75">
              <w:rPr>
                <w:rFonts w:ascii="Arial" w:hAnsi="Arial" w:cs="Arial"/>
                <w:sz w:val="24"/>
                <w:szCs w:val="24"/>
              </w:rPr>
              <w:t>.</w:t>
            </w:r>
          </w:p>
          <w:p w:rsidR="00E13EB3" w:rsidRDefault="00E13EB3" w:rsidP="008630BE">
            <w:pPr>
              <w:tabs>
                <w:tab w:val="left" w:pos="1275"/>
              </w:tabs>
              <w:spacing w:line="360" w:lineRule="auto"/>
              <w:jc w:val="both"/>
              <w:rPr>
                <w:rFonts w:ascii="Arial" w:hAnsi="Arial" w:cs="Arial"/>
                <w:sz w:val="24"/>
                <w:szCs w:val="24"/>
              </w:rPr>
            </w:pPr>
          </w:p>
          <w:p w:rsidR="00E13EB3" w:rsidRDefault="00E003E8" w:rsidP="008630BE">
            <w:pPr>
              <w:tabs>
                <w:tab w:val="left" w:pos="1275"/>
              </w:tabs>
              <w:spacing w:line="360" w:lineRule="auto"/>
              <w:jc w:val="both"/>
              <w:rPr>
                <w:rFonts w:ascii="Arial" w:hAnsi="Arial" w:cs="Arial"/>
                <w:sz w:val="24"/>
                <w:szCs w:val="24"/>
              </w:rPr>
            </w:pPr>
            <w:r>
              <w:rPr>
                <w:rFonts w:ascii="Arial" w:hAnsi="Arial" w:cs="Arial"/>
                <w:sz w:val="24"/>
                <w:szCs w:val="24"/>
              </w:rPr>
              <w:t>[2</w:t>
            </w:r>
            <w:r w:rsidR="00E13EB3">
              <w:rPr>
                <w:rFonts w:ascii="Arial" w:hAnsi="Arial" w:cs="Arial"/>
                <w:sz w:val="24"/>
                <w:szCs w:val="24"/>
              </w:rPr>
              <w:t>]      The grounds of appe</w:t>
            </w:r>
            <w:r>
              <w:rPr>
                <w:rFonts w:ascii="Arial" w:hAnsi="Arial" w:cs="Arial"/>
                <w:sz w:val="24"/>
                <w:szCs w:val="24"/>
              </w:rPr>
              <w:t>al are</w:t>
            </w:r>
            <w:r w:rsidR="00E13EB3">
              <w:rPr>
                <w:rFonts w:ascii="Arial" w:hAnsi="Arial" w:cs="Arial"/>
                <w:sz w:val="24"/>
                <w:szCs w:val="24"/>
              </w:rPr>
              <w:t xml:space="preserve"> that the court erred and/or misdirected herself in one or more of the following aspects:</w:t>
            </w:r>
          </w:p>
          <w:p w:rsidR="003E3C4E" w:rsidRDefault="003E3C4E" w:rsidP="008630BE">
            <w:pPr>
              <w:tabs>
                <w:tab w:val="left" w:pos="1275"/>
              </w:tabs>
              <w:spacing w:line="360" w:lineRule="auto"/>
              <w:jc w:val="both"/>
              <w:rPr>
                <w:rFonts w:ascii="Arial" w:hAnsi="Arial" w:cs="Arial"/>
                <w:sz w:val="24"/>
                <w:szCs w:val="24"/>
              </w:rPr>
            </w:pPr>
          </w:p>
          <w:p w:rsidR="00E13EB3" w:rsidRDefault="00E13EB3" w:rsidP="001925AE">
            <w:pPr>
              <w:pStyle w:val="ListParagraph"/>
              <w:numPr>
                <w:ilvl w:val="0"/>
                <w:numId w:val="16"/>
              </w:numPr>
              <w:tabs>
                <w:tab w:val="left" w:pos="1275"/>
              </w:tabs>
              <w:spacing w:line="360" w:lineRule="auto"/>
              <w:jc w:val="both"/>
              <w:rPr>
                <w:rFonts w:ascii="Arial" w:hAnsi="Arial" w:cs="Arial"/>
                <w:sz w:val="24"/>
                <w:szCs w:val="24"/>
              </w:rPr>
            </w:pPr>
            <w:r w:rsidRPr="00E13EB3">
              <w:rPr>
                <w:rFonts w:ascii="Arial" w:hAnsi="Arial" w:cs="Arial"/>
                <w:sz w:val="24"/>
                <w:szCs w:val="24"/>
              </w:rPr>
              <w:t xml:space="preserve"> In concluding in terms of annexure (AMU-1) that prayer number 9 as a </w:t>
            </w:r>
            <w:r w:rsidR="00F16D91" w:rsidRPr="00E13EB3">
              <w:rPr>
                <w:rFonts w:ascii="Arial" w:hAnsi="Arial" w:cs="Arial"/>
                <w:sz w:val="24"/>
                <w:szCs w:val="24"/>
              </w:rPr>
              <w:t>standalone</w:t>
            </w:r>
            <w:r w:rsidRPr="00E13EB3">
              <w:rPr>
                <w:rFonts w:ascii="Arial" w:hAnsi="Arial" w:cs="Arial"/>
                <w:sz w:val="24"/>
                <w:szCs w:val="24"/>
              </w:rPr>
              <w:t xml:space="preserve"> prayer to read as an alternative prayer number </w:t>
            </w:r>
            <w:r w:rsidR="00602571">
              <w:rPr>
                <w:rFonts w:ascii="Arial" w:hAnsi="Arial" w:cs="Arial"/>
                <w:sz w:val="24"/>
                <w:szCs w:val="24"/>
              </w:rPr>
              <w:t>two (2) to prayer (11), in the c</w:t>
            </w:r>
            <w:r w:rsidRPr="00E13EB3">
              <w:rPr>
                <w:rFonts w:ascii="Arial" w:hAnsi="Arial" w:cs="Arial"/>
                <w:sz w:val="24"/>
                <w:szCs w:val="24"/>
              </w:rPr>
              <w:t>ircumstances where there were no reasons provided by the Court for integrating prayer 9 with prayer 11, without any justification as to what the integration of prayer 9 and 11 was intended to achieve.</w:t>
            </w:r>
          </w:p>
          <w:p w:rsidR="00E13EB3" w:rsidRDefault="00E13EB3" w:rsidP="00E13EB3">
            <w:pPr>
              <w:pStyle w:val="ListParagraph"/>
              <w:tabs>
                <w:tab w:val="left" w:pos="1275"/>
              </w:tabs>
              <w:spacing w:line="360" w:lineRule="auto"/>
              <w:ind w:left="900"/>
              <w:jc w:val="both"/>
              <w:rPr>
                <w:rFonts w:ascii="Arial" w:hAnsi="Arial" w:cs="Arial"/>
                <w:sz w:val="24"/>
                <w:szCs w:val="24"/>
              </w:rPr>
            </w:pPr>
          </w:p>
          <w:p w:rsidR="00E13EB3" w:rsidRDefault="00E13EB3" w:rsidP="001925AE">
            <w:pPr>
              <w:pStyle w:val="ListParagraph"/>
              <w:numPr>
                <w:ilvl w:val="0"/>
                <w:numId w:val="16"/>
              </w:numPr>
              <w:tabs>
                <w:tab w:val="left" w:pos="1275"/>
              </w:tabs>
              <w:spacing w:line="360" w:lineRule="auto"/>
              <w:jc w:val="both"/>
              <w:rPr>
                <w:rFonts w:ascii="Arial" w:hAnsi="Arial" w:cs="Arial"/>
                <w:sz w:val="24"/>
                <w:szCs w:val="24"/>
              </w:rPr>
            </w:pPr>
            <w:r w:rsidRPr="00E13EB3">
              <w:rPr>
                <w:rFonts w:ascii="Arial" w:hAnsi="Arial" w:cs="Arial"/>
                <w:sz w:val="24"/>
                <w:szCs w:val="24"/>
              </w:rPr>
              <w:t>In concluding in terms of annexure (AMU-1) to dismiss prayer number ten (10), in the circumstances where there was no prope</w:t>
            </w:r>
            <w:r w:rsidR="00602571">
              <w:rPr>
                <w:rFonts w:ascii="Arial" w:hAnsi="Arial" w:cs="Arial"/>
                <w:sz w:val="24"/>
                <w:szCs w:val="24"/>
              </w:rPr>
              <w:t xml:space="preserve">r challenge mounted by </w:t>
            </w:r>
            <w:r w:rsidR="00F16D91">
              <w:rPr>
                <w:rFonts w:ascii="Arial" w:hAnsi="Arial" w:cs="Arial"/>
                <w:sz w:val="24"/>
                <w:szCs w:val="24"/>
              </w:rPr>
              <w:t>the first</w:t>
            </w:r>
            <w:r w:rsidR="00602571">
              <w:rPr>
                <w:rFonts w:ascii="Arial" w:hAnsi="Arial" w:cs="Arial"/>
                <w:sz w:val="24"/>
                <w:szCs w:val="24"/>
              </w:rPr>
              <w:t xml:space="preserve"> r</w:t>
            </w:r>
            <w:r w:rsidRPr="00E13EB3">
              <w:rPr>
                <w:rFonts w:ascii="Arial" w:hAnsi="Arial" w:cs="Arial"/>
                <w:sz w:val="24"/>
                <w:szCs w:val="24"/>
              </w:rPr>
              <w:t>espondent</w:t>
            </w:r>
            <w:r w:rsidR="00F16D91">
              <w:rPr>
                <w:rFonts w:ascii="Arial" w:hAnsi="Arial" w:cs="Arial"/>
                <w:sz w:val="24"/>
                <w:szCs w:val="24"/>
              </w:rPr>
              <w:t>, in which the Court went on a</w:t>
            </w:r>
            <w:r w:rsidRPr="00E13EB3">
              <w:rPr>
                <w:rFonts w:ascii="Arial" w:hAnsi="Arial" w:cs="Arial"/>
                <w:sz w:val="24"/>
                <w:szCs w:val="24"/>
              </w:rPr>
              <w:t xml:space="preserve"> frolic of her own to make a decision not supported by evidence and the law governing amendments of pleadings.</w:t>
            </w:r>
          </w:p>
          <w:p w:rsidR="00E13EB3" w:rsidRDefault="00E13EB3" w:rsidP="00E13EB3">
            <w:pPr>
              <w:pStyle w:val="ListParagraph"/>
              <w:tabs>
                <w:tab w:val="left" w:pos="1275"/>
              </w:tabs>
              <w:spacing w:line="360" w:lineRule="auto"/>
              <w:ind w:left="900"/>
              <w:jc w:val="both"/>
              <w:rPr>
                <w:rFonts w:ascii="Arial" w:hAnsi="Arial" w:cs="Arial"/>
                <w:sz w:val="24"/>
                <w:szCs w:val="24"/>
              </w:rPr>
            </w:pPr>
          </w:p>
          <w:p w:rsidR="00E13EB3" w:rsidRPr="00E13EB3" w:rsidRDefault="00E13EB3" w:rsidP="001925AE">
            <w:pPr>
              <w:pStyle w:val="ListParagraph"/>
              <w:numPr>
                <w:ilvl w:val="0"/>
                <w:numId w:val="16"/>
              </w:numPr>
              <w:tabs>
                <w:tab w:val="left" w:pos="1275"/>
              </w:tabs>
              <w:spacing w:line="360" w:lineRule="auto"/>
              <w:jc w:val="both"/>
              <w:rPr>
                <w:rFonts w:ascii="Arial" w:hAnsi="Arial" w:cs="Arial"/>
                <w:sz w:val="24"/>
                <w:szCs w:val="24"/>
              </w:rPr>
            </w:pPr>
            <w:r w:rsidRPr="00E13EB3">
              <w:rPr>
                <w:rFonts w:ascii="Arial" w:hAnsi="Arial" w:cs="Arial"/>
                <w:sz w:val="24"/>
                <w:szCs w:val="24"/>
              </w:rPr>
              <w:t>In concluding to refuse the applicant the opportunity to have his review application relating to his termination of employment heard on urgent basis and the decision to verbally refusing granting leave to the applicant to file on e-justice his Annexure (AMU-2A), (AMU-2B), (AMU-3) and (AMU-4) supporting an urgent application.</w:t>
            </w:r>
          </w:p>
          <w:p w:rsidR="00A65514" w:rsidRPr="00863E75" w:rsidRDefault="00A65514" w:rsidP="008630BE">
            <w:pPr>
              <w:tabs>
                <w:tab w:val="left" w:pos="1275"/>
              </w:tabs>
              <w:spacing w:line="360" w:lineRule="auto"/>
              <w:jc w:val="both"/>
              <w:rPr>
                <w:rFonts w:ascii="Arial" w:hAnsi="Arial" w:cs="Arial"/>
                <w:sz w:val="24"/>
                <w:szCs w:val="24"/>
              </w:rPr>
            </w:pPr>
          </w:p>
          <w:p w:rsidR="00112CFD" w:rsidRDefault="00A65514" w:rsidP="008630BE">
            <w:pPr>
              <w:tabs>
                <w:tab w:val="left" w:pos="1275"/>
              </w:tabs>
              <w:spacing w:line="360" w:lineRule="auto"/>
              <w:jc w:val="both"/>
              <w:rPr>
                <w:rFonts w:ascii="Arial" w:hAnsi="Arial" w:cs="Arial"/>
                <w:sz w:val="24"/>
                <w:szCs w:val="24"/>
              </w:rPr>
            </w:pPr>
            <w:r w:rsidRPr="00863E75">
              <w:rPr>
                <w:rFonts w:ascii="Arial" w:hAnsi="Arial" w:cs="Arial"/>
                <w:sz w:val="24"/>
                <w:szCs w:val="24"/>
              </w:rPr>
              <w:t>[</w:t>
            </w:r>
            <w:r w:rsidR="00E003E8">
              <w:rPr>
                <w:rFonts w:ascii="Arial" w:hAnsi="Arial" w:cs="Arial"/>
                <w:sz w:val="24"/>
                <w:szCs w:val="24"/>
              </w:rPr>
              <w:t>3</w:t>
            </w:r>
            <w:r w:rsidRPr="00863E75">
              <w:rPr>
                <w:rFonts w:ascii="Arial" w:hAnsi="Arial" w:cs="Arial"/>
                <w:sz w:val="24"/>
                <w:szCs w:val="24"/>
              </w:rPr>
              <w:t xml:space="preserve">]     </w:t>
            </w:r>
            <w:r w:rsidR="00E13EB3">
              <w:rPr>
                <w:rFonts w:ascii="Arial" w:hAnsi="Arial" w:cs="Arial"/>
                <w:sz w:val="24"/>
                <w:szCs w:val="24"/>
              </w:rPr>
              <w:t xml:space="preserve">The application for amendment of the notice of motion is an interlocutory application and therefore leave to </w:t>
            </w:r>
            <w:r w:rsidR="00112CFD">
              <w:rPr>
                <w:rFonts w:ascii="Arial" w:hAnsi="Arial" w:cs="Arial"/>
                <w:sz w:val="24"/>
                <w:szCs w:val="24"/>
              </w:rPr>
              <w:t xml:space="preserve">appeal is required. Mr Amukena, the applicant </w:t>
            </w:r>
            <w:r w:rsidR="00E003E8">
              <w:rPr>
                <w:rFonts w:ascii="Arial" w:hAnsi="Arial" w:cs="Arial"/>
                <w:sz w:val="24"/>
                <w:szCs w:val="24"/>
              </w:rPr>
              <w:t xml:space="preserve">appeared in </w:t>
            </w:r>
            <w:r w:rsidR="00112CFD">
              <w:rPr>
                <w:rFonts w:ascii="Arial" w:hAnsi="Arial" w:cs="Arial"/>
                <w:sz w:val="24"/>
                <w:szCs w:val="24"/>
              </w:rPr>
              <w:t>person</w:t>
            </w:r>
            <w:r w:rsidR="00E003E8">
              <w:rPr>
                <w:rFonts w:ascii="Arial" w:hAnsi="Arial" w:cs="Arial"/>
                <w:sz w:val="24"/>
                <w:szCs w:val="24"/>
              </w:rPr>
              <w:t xml:space="preserve"> and the application for leave to appeal was not opposed. </w:t>
            </w:r>
            <w:r w:rsidR="00112CFD">
              <w:rPr>
                <w:rFonts w:ascii="Arial" w:hAnsi="Arial" w:cs="Arial"/>
                <w:sz w:val="24"/>
                <w:szCs w:val="24"/>
              </w:rPr>
              <w:t xml:space="preserve"> </w:t>
            </w:r>
          </w:p>
          <w:p w:rsidR="00E003E8" w:rsidRDefault="00E003E8" w:rsidP="008630BE">
            <w:pPr>
              <w:tabs>
                <w:tab w:val="left" w:pos="1275"/>
              </w:tabs>
              <w:spacing w:line="360" w:lineRule="auto"/>
              <w:jc w:val="both"/>
              <w:rPr>
                <w:rFonts w:ascii="Arial" w:hAnsi="Arial" w:cs="Arial"/>
                <w:sz w:val="24"/>
                <w:szCs w:val="24"/>
                <w:u w:val="single"/>
              </w:rPr>
            </w:pPr>
          </w:p>
          <w:p w:rsidR="00A762C5" w:rsidRDefault="00BA4517" w:rsidP="008630BE">
            <w:pPr>
              <w:tabs>
                <w:tab w:val="left" w:pos="1275"/>
              </w:tabs>
              <w:spacing w:line="360" w:lineRule="auto"/>
              <w:jc w:val="both"/>
              <w:rPr>
                <w:rFonts w:ascii="Arial" w:hAnsi="Arial" w:cs="Arial"/>
                <w:sz w:val="24"/>
                <w:szCs w:val="24"/>
                <w:u w:val="single"/>
              </w:rPr>
            </w:pPr>
            <w:r w:rsidRPr="00112CFD">
              <w:rPr>
                <w:rFonts w:ascii="Arial" w:hAnsi="Arial" w:cs="Arial"/>
                <w:sz w:val="24"/>
                <w:szCs w:val="24"/>
                <w:u w:val="single"/>
              </w:rPr>
              <w:t>Ad first ground</w:t>
            </w:r>
          </w:p>
          <w:p w:rsidR="00595221" w:rsidRPr="00112CFD" w:rsidRDefault="00595221" w:rsidP="008630BE">
            <w:pPr>
              <w:tabs>
                <w:tab w:val="left" w:pos="1275"/>
              </w:tabs>
              <w:spacing w:line="360" w:lineRule="auto"/>
              <w:jc w:val="both"/>
              <w:rPr>
                <w:rFonts w:ascii="Arial" w:hAnsi="Arial" w:cs="Arial"/>
                <w:sz w:val="24"/>
                <w:szCs w:val="24"/>
                <w:u w:val="single"/>
              </w:rPr>
            </w:pPr>
          </w:p>
          <w:p w:rsidR="00202A62" w:rsidRDefault="00E13EB3" w:rsidP="008630BE">
            <w:pPr>
              <w:tabs>
                <w:tab w:val="left" w:pos="1275"/>
              </w:tabs>
              <w:spacing w:line="360" w:lineRule="auto"/>
              <w:jc w:val="both"/>
              <w:rPr>
                <w:rFonts w:ascii="Arial" w:hAnsi="Arial" w:cs="Arial"/>
                <w:sz w:val="24"/>
                <w:szCs w:val="24"/>
              </w:rPr>
            </w:pPr>
            <w:r>
              <w:rPr>
                <w:rFonts w:ascii="Arial" w:hAnsi="Arial" w:cs="Arial"/>
                <w:sz w:val="24"/>
                <w:szCs w:val="24"/>
              </w:rPr>
              <w:t>[</w:t>
            </w:r>
            <w:r w:rsidR="00E003E8">
              <w:rPr>
                <w:rFonts w:ascii="Arial" w:hAnsi="Arial" w:cs="Arial"/>
                <w:sz w:val="24"/>
                <w:szCs w:val="24"/>
              </w:rPr>
              <w:t>4</w:t>
            </w:r>
            <w:r>
              <w:rPr>
                <w:rFonts w:ascii="Arial" w:hAnsi="Arial" w:cs="Arial"/>
                <w:sz w:val="24"/>
                <w:szCs w:val="24"/>
              </w:rPr>
              <w:t>]     The court order</w:t>
            </w:r>
            <w:r w:rsidR="00B11B0F">
              <w:rPr>
                <w:rFonts w:ascii="Arial" w:hAnsi="Arial" w:cs="Arial"/>
                <w:sz w:val="24"/>
                <w:szCs w:val="24"/>
              </w:rPr>
              <w:t>ed</w:t>
            </w:r>
            <w:r>
              <w:rPr>
                <w:rFonts w:ascii="Arial" w:hAnsi="Arial" w:cs="Arial"/>
                <w:sz w:val="24"/>
                <w:szCs w:val="24"/>
              </w:rPr>
              <w:t xml:space="preserve"> that prayer </w:t>
            </w:r>
            <w:r w:rsidR="00F16D91">
              <w:rPr>
                <w:rFonts w:ascii="Arial" w:hAnsi="Arial" w:cs="Arial"/>
                <w:sz w:val="24"/>
                <w:szCs w:val="24"/>
              </w:rPr>
              <w:t>9</w:t>
            </w:r>
            <w:r w:rsidR="00106147">
              <w:rPr>
                <w:rFonts w:ascii="Arial" w:hAnsi="Arial" w:cs="Arial"/>
                <w:sz w:val="24"/>
                <w:szCs w:val="24"/>
              </w:rPr>
              <w:t xml:space="preserve"> </w:t>
            </w:r>
            <w:r>
              <w:rPr>
                <w:rFonts w:ascii="Arial" w:hAnsi="Arial" w:cs="Arial"/>
                <w:sz w:val="24"/>
                <w:szCs w:val="24"/>
              </w:rPr>
              <w:t xml:space="preserve">be read as an alternative to prayer </w:t>
            </w:r>
            <w:r w:rsidR="00F16D91">
              <w:rPr>
                <w:rFonts w:ascii="Arial" w:hAnsi="Arial" w:cs="Arial"/>
                <w:sz w:val="24"/>
                <w:szCs w:val="24"/>
              </w:rPr>
              <w:t xml:space="preserve">11 </w:t>
            </w:r>
            <w:r w:rsidR="00602571">
              <w:rPr>
                <w:rFonts w:ascii="Arial" w:hAnsi="Arial" w:cs="Arial"/>
                <w:sz w:val="24"/>
                <w:szCs w:val="24"/>
              </w:rPr>
              <w:t>p</w:t>
            </w:r>
            <w:r w:rsidR="007E2784">
              <w:rPr>
                <w:rFonts w:ascii="Arial" w:hAnsi="Arial" w:cs="Arial"/>
                <w:sz w:val="24"/>
                <w:szCs w:val="24"/>
              </w:rPr>
              <w:t>rayer</w:t>
            </w:r>
            <w:r w:rsidR="00202A62">
              <w:rPr>
                <w:rFonts w:ascii="Arial" w:hAnsi="Arial" w:cs="Arial"/>
                <w:sz w:val="24"/>
                <w:szCs w:val="24"/>
              </w:rPr>
              <w:t xml:space="preserve">.  </w:t>
            </w:r>
          </w:p>
          <w:p w:rsidR="00B11B0F" w:rsidRDefault="00202A62" w:rsidP="008630BE">
            <w:pPr>
              <w:tabs>
                <w:tab w:val="left" w:pos="1275"/>
              </w:tabs>
              <w:spacing w:line="360" w:lineRule="auto"/>
              <w:jc w:val="both"/>
              <w:rPr>
                <w:rFonts w:ascii="Arial" w:hAnsi="Arial" w:cs="Arial"/>
                <w:sz w:val="24"/>
                <w:szCs w:val="24"/>
              </w:rPr>
            </w:pPr>
            <w:r>
              <w:rPr>
                <w:rFonts w:ascii="Arial" w:hAnsi="Arial" w:cs="Arial"/>
                <w:sz w:val="24"/>
                <w:szCs w:val="24"/>
              </w:rPr>
              <w:t xml:space="preserve"> Prayer 9 r</w:t>
            </w:r>
            <w:r w:rsidR="00B11B0F">
              <w:rPr>
                <w:rFonts w:ascii="Arial" w:hAnsi="Arial" w:cs="Arial"/>
                <w:sz w:val="24"/>
                <w:szCs w:val="24"/>
              </w:rPr>
              <w:t>eads as follows:</w:t>
            </w:r>
          </w:p>
          <w:p w:rsidR="00B11B0F" w:rsidRDefault="00B11B0F" w:rsidP="008630BE">
            <w:pPr>
              <w:tabs>
                <w:tab w:val="left" w:pos="1275"/>
              </w:tabs>
              <w:spacing w:line="360" w:lineRule="auto"/>
              <w:jc w:val="both"/>
              <w:rPr>
                <w:rFonts w:ascii="Arial" w:hAnsi="Arial" w:cs="Arial"/>
                <w:sz w:val="24"/>
                <w:szCs w:val="24"/>
              </w:rPr>
            </w:pPr>
            <w:r>
              <w:rPr>
                <w:rFonts w:ascii="Arial" w:hAnsi="Arial" w:cs="Arial"/>
                <w:sz w:val="24"/>
                <w:szCs w:val="24"/>
              </w:rPr>
              <w:lastRenderedPageBreak/>
              <w:t xml:space="preserve">       ‘</w:t>
            </w:r>
            <w:r w:rsidRPr="00B11B0F">
              <w:rPr>
                <w:rFonts w:ascii="Arial" w:hAnsi="Arial" w:cs="Arial"/>
              </w:rPr>
              <w:t>An order to the 1</w:t>
            </w:r>
            <w:r w:rsidRPr="00B11B0F">
              <w:rPr>
                <w:rFonts w:ascii="Arial" w:hAnsi="Arial" w:cs="Arial"/>
                <w:vertAlign w:val="superscript"/>
              </w:rPr>
              <w:t>st</w:t>
            </w:r>
            <w:r w:rsidR="00602571">
              <w:rPr>
                <w:rFonts w:ascii="Arial" w:hAnsi="Arial" w:cs="Arial"/>
              </w:rPr>
              <w:t xml:space="preserve"> r</w:t>
            </w:r>
            <w:r w:rsidRPr="00B11B0F">
              <w:rPr>
                <w:rFonts w:ascii="Arial" w:hAnsi="Arial" w:cs="Arial"/>
              </w:rPr>
              <w:t>espondent to compensate the applicant for unproced</w:t>
            </w:r>
            <w:r w:rsidR="00602571">
              <w:rPr>
                <w:rFonts w:ascii="Arial" w:hAnsi="Arial" w:cs="Arial"/>
              </w:rPr>
              <w:t>ural dismissal as found by the a</w:t>
            </w:r>
            <w:r w:rsidRPr="00B11B0F">
              <w:rPr>
                <w:rFonts w:ascii="Arial" w:hAnsi="Arial" w:cs="Arial"/>
              </w:rPr>
              <w:t>rbitrator in line with the compensation granted by the 1</w:t>
            </w:r>
            <w:r w:rsidRPr="00B11B0F">
              <w:rPr>
                <w:rFonts w:ascii="Arial" w:hAnsi="Arial" w:cs="Arial"/>
                <w:vertAlign w:val="superscript"/>
              </w:rPr>
              <w:t>st</w:t>
            </w:r>
            <w:r w:rsidRPr="00B11B0F">
              <w:rPr>
                <w:rFonts w:ascii="Arial" w:hAnsi="Arial" w:cs="Arial"/>
              </w:rPr>
              <w:t xml:space="preserve"> respondent to Mr Yilonga for his procedural dismissal in which he was granted 15 months’ salary pay out, this order should be made in the interest of equality and consistency in the application of the law</w:t>
            </w:r>
            <w:r>
              <w:rPr>
                <w:rFonts w:ascii="Arial" w:hAnsi="Arial" w:cs="Arial"/>
                <w:sz w:val="24"/>
                <w:szCs w:val="24"/>
              </w:rPr>
              <w:t>.’</w:t>
            </w:r>
          </w:p>
          <w:p w:rsidR="00B11B0F" w:rsidRDefault="00B11B0F" w:rsidP="008630BE">
            <w:pPr>
              <w:tabs>
                <w:tab w:val="left" w:pos="1275"/>
              </w:tabs>
              <w:spacing w:line="360" w:lineRule="auto"/>
              <w:jc w:val="both"/>
              <w:rPr>
                <w:rFonts w:ascii="Arial" w:hAnsi="Arial" w:cs="Arial"/>
                <w:sz w:val="24"/>
                <w:szCs w:val="24"/>
              </w:rPr>
            </w:pPr>
          </w:p>
          <w:p w:rsidR="00B11B0F" w:rsidRDefault="00B11B0F" w:rsidP="00B11B0F">
            <w:pPr>
              <w:spacing w:line="360" w:lineRule="auto"/>
              <w:jc w:val="both"/>
              <w:rPr>
                <w:rFonts w:ascii="Arial" w:hAnsi="Arial" w:cs="Arial"/>
                <w:sz w:val="24"/>
                <w:szCs w:val="24"/>
              </w:rPr>
            </w:pPr>
            <w:r>
              <w:rPr>
                <w:rFonts w:ascii="Arial" w:hAnsi="Arial" w:cs="Arial"/>
                <w:sz w:val="24"/>
                <w:szCs w:val="24"/>
              </w:rPr>
              <w:t>[</w:t>
            </w:r>
            <w:r w:rsidR="00E003E8">
              <w:rPr>
                <w:rFonts w:ascii="Arial" w:hAnsi="Arial" w:cs="Arial"/>
                <w:sz w:val="24"/>
                <w:szCs w:val="24"/>
              </w:rPr>
              <w:t>5</w:t>
            </w:r>
            <w:r>
              <w:rPr>
                <w:rFonts w:ascii="Arial" w:hAnsi="Arial" w:cs="Arial"/>
                <w:sz w:val="24"/>
                <w:szCs w:val="24"/>
              </w:rPr>
              <w:t xml:space="preserve">]       Prayer </w:t>
            </w:r>
            <w:r w:rsidR="00106147">
              <w:rPr>
                <w:rFonts w:ascii="Arial" w:hAnsi="Arial" w:cs="Arial"/>
                <w:sz w:val="24"/>
                <w:szCs w:val="24"/>
              </w:rPr>
              <w:t>eleven</w:t>
            </w:r>
            <w:r>
              <w:rPr>
                <w:rFonts w:ascii="Arial" w:hAnsi="Arial" w:cs="Arial"/>
                <w:sz w:val="24"/>
                <w:szCs w:val="24"/>
              </w:rPr>
              <w:t xml:space="preserve"> reads as follows:</w:t>
            </w:r>
          </w:p>
          <w:p w:rsidR="00595221" w:rsidRDefault="00595221" w:rsidP="00B11B0F">
            <w:pPr>
              <w:spacing w:line="360" w:lineRule="auto"/>
              <w:jc w:val="both"/>
              <w:rPr>
                <w:rFonts w:ascii="Arial" w:hAnsi="Arial" w:cs="Arial"/>
                <w:sz w:val="24"/>
                <w:szCs w:val="24"/>
              </w:rPr>
            </w:pPr>
          </w:p>
          <w:p w:rsidR="00B11B0F" w:rsidRDefault="00B11B0F" w:rsidP="00B11B0F">
            <w:pPr>
              <w:spacing w:line="360" w:lineRule="auto"/>
              <w:jc w:val="both"/>
              <w:rPr>
                <w:rFonts w:ascii="Arial" w:hAnsi="Arial" w:cs="Arial"/>
                <w:sz w:val="24"/>
                <w:szCs w:val="24"/>
              </w:rPr>
            </w:pPr>
            <w:r>
              <w:rPr>
                <w:rFonts w:ascii="Arial" w:hAnsi="Arial" w:cs="Arial"/>
                <w:sz w:val="24"/>
                <w:szCs w:val="24"/>
              </w:rPr>
              <w:t xml:space="preserve">              </w:t>
            </w:r>
            <w:r w:rsidRPr="00C074E4">
              <w:rPr>
                <w:rFonts w:ascii="Arial" w:hAnsi="Arial" w:cs="Arial"/>
              </w:rPr>
              <w:t>‘</w:t>
            </w:r>
            <w:r w:rsidRPr="003E3C4E">
              <w:rPr>
                <w:rFonts w:ascii="Arial" w:hAnsi="Arial" w:cs="Arial"/>
              </w:rPr>
              <w:t xml:space="preserve">An order for retrospective </w:t>
            </w:r>
            <w:r w:rsidR="00C074E4" w:rsidRPr="003E3C4E">
              <w:rPr>
                <w:rFonts w:ascii="Arial" w:hAnsi="Arial" w:cs="Arial"/>
              </w:rPr>
              <w:t xml:space="preserve">reinstatement with back pay as from the date of dismissal with cost on the applications, alternatively compensation for 13 years’ remainder of the contract of employment, on grounds of dismissal motivated by corruption, tribalism, racism, whistleblowing and for failure to offer and guarantee safety and protection for whistleblowers as provided for in the contract of employment.’ </w:t>
            </w:r>
          </w:p>
          <w:p w:rsidR="00B11B0F" w:rsidRDefault="00B11B0F" w:rsidP="008630BE">
            <w:pPr>
              <w:tabs>
                <w:tab w:val="left" w:pos="1275"/>
              </w:tabs>
              <w:spacing w:line="360" w:lineRule="auto"/>
              <w:jc w:val="both"/>
              <w:rPr>
                <w:rFonts w:ascii="Arial" w:hAnsi="Arial" w:cs="Arial"/>
                <w:sz w:val="24"/>
                <w:szCs w:val="24"/>
              </w:rPr>
            </w:pPr>
            <w:r>
              <w:rPr>
                <w:rFonts w:ascii="Arial" w:hAnsi="Arial" w:cs="Arial"/>
                <w:sz w:val="24"/>
                <w:szCs w:val="24"/>
              </w:rPr>
              <w:t xml:space="preserve">         </w:t>
            </w:r>
          </w:p>
          <w:p w:rsidR="00E003E8" w:rsidRDefault="00E003E8" w:rsidP="008630BE">
            <w:pPr>
              <w:tabs>
                <w:tab w:val="left" w:pos="1275"/>
              </w:tabs>
              <w:spacing w:line="360" w:lineRule="auto"/>
              <w:jc w:val="both"/>
              <w:rPr>
                <w:rFonts w:ascii="Arial" w:hAnsi="Arial" w:cs="Arial"/>
                <w:sz w:val="24"/>
                <w:szCs w:val="24"/>
              </w:rPr>
            </w:pPr>
            <w:r>
              <w:rPr>
                <w:rFonts w:ascii="Arial" w:hAnsi="Arial" w:cs="Arial"/>
                <w:sz w:val="24"/>
                <w:szCs w:val="24"/>
              </w:rPr>
              <w:t>[6</w:t>
            </w:r>
            <w:r w:rsidR="00C074E4">
              <w:rPr>
                <w:rFonts w:ascii="Arial" w:hAnsi="Arial" w:cs="Arial"/>
                <w:sz w:val="24"/>
                <w:szCs w:val="24"/>
              </w:rPr>
              <w:t>]    The applicant filed several complaints with the Labour Commissioner ie</w:t>
            </w:r>
            <w:r>
              <w:rPr>
                <w:rFonts w:ascii="Arial" w:hAnsi="Arial" w:cs="Arial"/>
                <w:sz w:val="24"/>
                <w:szCs w:val="24"/>
              </w:rPr>
              <w:t>:</w:t>
            </w:r>
          </w:p>
          <w:p w:rsidR="00595221" w:rsidRDefault="00595221" w:rsidP="008630BE">
            <w:pPr>
              <w:tabs>
                <w:tab w:val="left" w:pos="1275"/>
              </w:tabs>
              <w:spacing w:line="360" w:lineRule="auto"/>
              <w:jc w:val="both"/>
              <w:rPr>
                <w:rFonts w:ascii="Arial" w:hAnsi="Arial" w:cs="Arial"/>
                <w:sz w:val="24"/>
                <w:szCs w:val="24"/>
              </w:rPr>
            </w:pPr>
          </w:p>
          <w:p w:rsidR="000314DC" w:rsidRPr="007E2784" w:rsidRDefault="003D5434" w:rsidP="00202A62">
            <w:pPr>
              <w:tabs>
                <w:tab w:val="left" w:pos="1275"/>
              </w:tabs>
              <w:spacing w:line="360" w:lineRule="auto"/>
              <w:jc w:val="both"/>
              <w:rPr>
                <w:rFonts w:ascii="Arial" w:hAnsi="Arial" w:cs="Arial"/>
                <w:sz w:val="24"/>
                <w:szCs w:val="24"/>
              </w:rPr>
            </w:pPr>
            <w:r w:rsidRPr="007E2784">
              <w:rPr>
                <w:rFonts w:ascii="Arial" w:hAnsi="Arial" w:cs="Arial"/>
                <w:sz w:val="24"/>
                <w:szCs w:val="24"/>
              </w:rPr>
              <w:t xml:space="preserve">NERU 44-19 – This matter concerns a </w:t>
            </w:r>
            <w:r w:rsidR="000314DC" w:rsidRPr="007E2784">
              <w:rPr>
                <w:rFonts w:ascii="Arial" w:hAnsi="Arial" w:cs="Arial"/>
                <w:sz w:val="24"/>
                <w:szCs w:val="24"/>
              </w:rPr>
              <w:t xml:space="preserve">written </w:t>
            </w:r>
            <w:r w:rsidR="00E003E8" w:rsidRPr="007E2784">
              <w:rPr>
                <w:rFonts w:ascii="Arial" w:hAnsi="Arial" w:cs="Arial"/>
                <w:sz w:val="24"/>
                <w:szCs w:val="24"/>
              </w:rPr>
              <w:t>warning given by the first respondent</w:t>
            </w:r>
            <w:r w:rsidR="000314DC" w:rsidRPr="007E2784">
              <w:rPr>
                <w:rFonts w:ascii="Arial" w:hAnsi="Arial" w:cs="Arial"/>
                <w:sz w:val="24"/>
                <w:szCs w:val="24"/>
              </w:rPr>
              <w:t xml:space="preserve"> after the applicant was charged with and found guilty of making remarks that can cause racial tension or has the potential to lead to racial tension. In this matter he prays for the written warning to be set aside.</w:t>
            </w:r>
            <w:r w:rsidR="005A30AC" w:rsidRPr="007E2784">
              <w:rPr>
                <w:rFonts w:ascii="Arial" w:hAnsi="Arial" w:cs="Arial"/>
                <w:sz w:val="24"/>
                <w:szCs w:val="24"/>
              </w:rPr>
              <w:t xml:space="preserve"> T</w:t>
            </w:r>
            <w:r w:rsidR="00602571" w:rsidRPr="007E2784">
              <w:rPr>
                <w:rFonts w:ascii="Arial" w:hAnsi="Arial" w:cs="Arial"/>
                <w:sz w:val="24"/>
                <w:szCs w:val="24"/>
              </w:rPr>
              <w:t>his claim was dismissed by the a</w:t>
            </w:r>
            <w:r w:rsidR="005A30AC" w:rsidRPr="007E2784">
              <w:rPr>
                <w:rFonts w:ascii="Arial" w:hAnsi="Arial" w:cs="Arial"/>
                <w:sz w:val="24"/>
                <w:szCs w:val="24"/>
              </w:rPr>
              <w:t>rbitrator.</w:t>
            </w:r>
          </w:p>
          <w:p w:rsidR="00202A62" w:rsidRPr="007E2784" w:rsidRDefault="00202A62" w:rsidP="00202A62">
            <w:pPr>
              <w:tabs>
                <w:tab w:val="left" w:pos="1275"/>
              </w:tabs>
              <w:spacing w:line="360" w:lineRule="auto"/>
              <w:jc w:val="both"/>
              <w:rPr>
                <w:rFonts w:ascii="Arial" w:hAnsi="Arial" w:cs="Arial"/>
                <w:sz w:val="24"/>
                <w:szCs w:val="24"/>
              </w:rPr>
            </w:pPr>
          </w:p>
          <w:p w:rsidR="00202A62" w:rsidRPr="007E2784" w:rsidRDefault="000314DC" w:rsidP="00202A62">
            <w:pPr>
              <w:tabs>
                <w:tab w:val="left" w:pos="1275"/>
              </w:tabs>
              <w:spacing w:line="360" w:lineRule="auto"/>
              <w:jc w:val="both"/>
              <w:rPr>
                <w:rFonts w:ascii="Arial" w:hAnsi="Arial" w:cs="Arial"/>
                <w:sz w:val="24"/>
                <w:szCs w:val="24"/>
              </w:rPr>
            </w:pPr>
            <w:r w:rsidRPr="007E2784">
              <w:rPr>
                <w:rFonts w:ascii="Arial" w:hAnsi="Arial" w:cs="Arial"/>
                <w:sz w:val="24"/>
                <w:szCs w:val="24"/>
              </w:rPr>
              <w:t>NERU 57-19 – This matter concerns the suspension of the applicant</w:t>
            </w:r>
            <w:r w:rsidR="00A83693" w:rsidRPr="007E2784">
              <w:rPr>
                <w:rFonts w:ascii="Arial" w:hAnsi="Arial" w:cs="Arial"/>
                <w:sz w:val="24"/>
                <w:szCs w:val="24"/>
              </w:rPr>
              <w:t xml:space="preserve">. He was suspended pending the hearing in terms whereof he was ultimately dismissed (See NERU 97-2019). Herein </w:t>
            </w:r>
            <w:r w:rsidRPr="007E2784">
              <w:rPr>
                <w:rFonts w:ascii="Arial" w:hAnsi="Arial" w:cs="Arial"/>
                <w:sz w:val="24"/>
                <w:szCs w:val="24"/>
              </w:rPr>
              <w:t xml:space="preserve">he claims that his suspension be lifted with immediate effect and that the </w:t>
            </w:r>
            <w:r w:rsidR="00602571" w:rsidRPr="007E2784">
              <w:rPr>
                <w:rFonts w:ascii="Arial" w:hAnsi="Arial" w:cs="Arial"/>
                <w:sz w:val="24"/>
                <w:szCs w:val="24"/>
              </w:rPr>
              <w:t>respondent restores</w:t>
            </w:r>
            <w:r w:rsidRPr="007E2784">
              <w:rPr>
                <w:rFonts w:ascii="Arial" w:hAnsi="Arial" w:cs="Arial"/>
                <w:sz w:val="24"/>
                <w:szCs w:val="24"/>
              </w:rPr>
              <w:t xml:space="preserve"> </w:t>
            </w:r>
            <w:r w:rsidR="00E003E8" w:rsidRPr="007E2784">
              <w:rPr>
                <w:rFonts w:ascii="Arial" w:hAnsi="Arial" w:cs="Arial"/>
                <w:sz w:val="24"/>
                <w:szCs w:val="24"/>
              </w:rPr>
              <w:t>his</w:t>
            </w:r>
            <w:r w:rsidRPr="007E2784">
              <w:rPr>
                <w:rFonts w:ascii="Arial" w:hAnsi="Arial" w:cs="Arial"/>
                <w:sz w:val="24"/>
                <w:szCs w:val="24"/>
              </w:rPr>
              <w:t xml:space="preserve"> work e-mail address with full access and functionality with immediate effect.</w:t>
            </w:r>
            <w:r w:rsidR="005A30AC" w:rsidRPr="007E2784">
              <w:rPr>
                <w:rFonts w:ascii="Arial" w:hAnsi="Arial" w:cs="Arial"/>
                <w:sz w:val="24"/>
                <w:szCs w:val="24"/>
              </w:rPr>
              <w:t xml:space="preserve"> Th</w:t>
            </w:r>
            <w:r w:rsidR="00602571" w:rsidRPr="007E2784">
              <w:rPr>
                <w:rFonts w:ascii="Arial" w:hAnsi="Arial" w:cs="Arial"/>
                <w:sz w:val="24"/>
                <w:szCs w:val="24"/>
              </w:rPr>
              <w:t>e a</w:t>
            </w:r>
            <w:r w:rsidR="00FB7140" w:rsidRPr="007E2784">
              <w:rPr>
                <w:rFonts w:ascii="Arial" w:hAnsi="Arial" w:cs="Arial"/>
                <w:sz w:val="24"/>
                <w:szCs w:val="24"/>
              </w:rPr>
              <w:t xml:space="preserve">rbitrator found that the suspension was unfair and ordered the respondent to pay compensation </w:t>
            </w:r>
            <w:r w:rsidR="00A83693" w:rsidRPr="007E2784">
              <w:rPr>
                <w:rFonts w:ascii="Arial" w:hAnsi="Arial" w:cs="Arial"/>
                <w:sz w:val="24"/>
                <w:szCs w:val="24"/>
              </w:rPr>
              <w:t>of four 4</w:t>
            </w:r>
            <w:r w:rsidR="00FB7140" w:rsidRPr="007E2784">
              <w:rPr>
                <w:rFonts w:ascii="Arial" w:hAnsi="Arial" w:cs="Arial"/>
                <w:sz w:val="24"/>
                <w:szCs w:val="24"/>
              </w:rPr>
              <w:t xml:space="preserve"> months’ salary.</w:t>
            </w:r>
          </w:p>
          <w:p w:rsidR="000314DC" w:rsidRPr="007E2784" w:rsidRDefault="00FB7140" w:rsidP="00202A62">
            <w:pPr>
              <w:tabs>
                <w:tab w:val="left" w:pos="1275"/>
              </w:tabs>
              <w:spacing w:line="360" w:lineRule="auto"/>
              <w:jc w:val="both"/>
              <w:rPr>
                <w:rFonts w:ascii="Arial" w:hAnsi="Arial" w:cs="Arial"/>
                <w:sz w:val="24"/>
                <w:szCs w:val="24"/>
              </w:rPr>
            </w:pPr>
            <w:r w:rsidRPr="007E2784">
              <w:rPr>
                <w:rFonts w:ascii="Arial" w:hAnsi="Arial" w:cs="Arial"/>
                <w:sz w:val="24"/>
                <w:szCs w:val="24"/>
              </w:rPr>
              <w:t xml:space="preserve"> </w:t>
            </w:r>
            <w:r w:rsidR="005A30AC" w:rsidRPr="007E2784">
              <w:rPr>
                <w:rFonts w:ascii="Arial" w:hAnsi="Arial" w:cs="Arial"/>
                <w:sz w:val="24"/>
                <w:szCs w:val="24"/>
              </w:rPr>
              <w:t xml:space="preserve"> </w:t>
            </w:r>
          </w:p>
          <w:p w:rsidR="00202A62" w:rsidRPr="007E2784" w:rsidRDefault="000314DC" w:rsidP="00202A62">
            <w:pPr>
              <w:tabs>
                <w:tab w:val="left" w:pos="1275"/>
              </w:tabs>
              <w:spacing w:line="360" w:lineRule="auto"/>
              <w:jc w:val="both"/>
              <w:rPr>
                <w:rFonts w:ascii="Arial" w:hAnsi="Arial" w:cs="Arial"/>
                <w:sz w:val="24"/>
                <w:szCs w:val="24"/>
              </w:rPr>
            </w:pPr>
            <w:r w:rsidRPr="007E2784">
              <w:rPr>
                <w:rFonts w:ascii="Arial" w:hAnsi="Arial" w:cs="Arial"/>
                <w:sz w:val="24"/>
                <w:szCs w:val="24"/>
              </w:rPr>
              <w:t>NERU 97-2019 – In this matter the applicant lodge</w:t>
            </w:r>
            <w:r w:rsidR="00FB7140" w:rsidRPr="007E2784">
              <w:rPr>
                <w:rFonts w:ascii="Arial" w:hAnsi="Arial" w:cs="Arial"/>
                <w:sz w:val="24"/>
                <w:szCs w:val="24"/>
              </w:rPr>
              <w:t>d</w:t>
            </w:r>
            <w:r w:rsidRPr="007E2784">
              <w:rPr>
                <w:rFonts w:ascii="Arial" w:hAnsi="Arial" w:cs="Arial"/>
                <w:sz w:val="24"/>
                <w:szCs w:val="24"/>
              </w:rPr>
              <w:t xml:space="preserve"> a complaint of unfair dismissal on 9 October 2019. He claimed to be reinstated to his former position with all the benefits that come with the said position.</w:t>
            </w:r>
            <w:r w:rsidR="00602571" w:rsidRPr="007E2784">
              <w:rPr>
                <w:rFonts w:ascii="Arial" w:hAnsi="Arial" w:cs="Arial"/>
                <w:sz w:val="24"/>
                <w:szCs w:val="24"/>
              </w:rPr>
              <w:t xml:space="preserve"> The a</w:t>
            </w:r>
            <w:r w:rsidR="00FB7140" w:rsidRPr="007E2784">
              <w:rPr>
                <w:rFonts w:ascii="Arial" w:hAnsi="Arial" w:cs="Arial"/>
                <w:sz w:val="24"/>
                <w:szCs w:val="24"/>
              </w:rPr>
              <w:t xml:space="preserve">rbitrator found that the dismissal was procedurally and substantively fair. </w:t>
            </w:r>
          </w:p>
          <w:p w:rsidR="000314DC" w:rsidRPr="007E2784" w:rsidRDefault="00FB7140" w:rsidP="00202A62">
            <w:pPr>
              <w:tabs>
                <w:tab w:val="left" w:pos="1275"/>
              </w:tabs>
              <w:spacing w:line="360" w:lineRule="auto"/>
              <w:jc w:val="both"/>
              <w:rPr>
                <w:rFonts w:ascii="Arial" w:hAnsi="Arial" w:cs="Arial"/>
                <w:sz w:val="24"/>
                <w:szCs w:val="24"/>
              </w:rPr>
            </w:pPr>
            <w:r w:rsidRPr="007E2784">
              <w:rPr>
                <w:rFonts w:ascii="Arial" w:hAnsi="Arial" w:cs="Arial"/>
                <w:sz w:val="24"/>
                <w:szCs w:val="24"/>
              </w:rPr>
              <w:t xml:space="preserve"> </w:t>
            </w:r>
          </w:p>
          <w:p w:rsidR="000314DC" w:rsidRPr="007E2784" w:rsidRDefault="000314DC" w:rsidP="00202A62">
            <w:pPr>
              <w:tabs>
                <w:tab w:val="left" w:pos="1275"/>
              </w:tabs>
              <w:spacing w:line="360" w:lineRule="auto"/>
              <w:jc w:val="both"/>
              <w:rPr>
                <w:rFonts w:ascii="Arial" w:hAnsi="Arial" w:cs="Arial"/>
                <w:sz w:val="24"/>
                <w:szCs w:val="24"/>
              </w:rPr>
            </w:pPr>
            <w:r w:rsidRPr="007E2784">
              <w:rPr>
                <w:rFonts w:ascii="Arial" w:hAnsi="Arial" w:cs="Arial"/>
                <w:sz w:val="24"/>
                <w:szCs w:val="24"/>
              </w:rPr>
              <w:t xml:space="preserve">NERU 38 -2020 This matter relates to a complaint of unfair labour practices, victimisation and discrimination in the workplace. In this matter </w:t>
            </w:r>
            <w:r w:rsidR="00E003E8" w:rsidRPr="007E2784">
              <w:rPr>
                <w:rFonts w:ascii="Arial" w:hAnsi="Arial" w:cs="Arial"/>
                <w:sz w:val="24"/>
                <w:szCs w:val="24"/>
              </w:rPr>
              <w:t xml:space="preserve">the applicant sought </w:t>
            </w:r>
            <w:r w:rsidRPr="007E2784">
              <w:rPr>
                <w:rFonts w:ascii="Arial" w:hAnsi="Arial" w:cs="Arial"/>
                <w:sz w:val="24"/>
                <w:szCs w:val="24"/>
              </w:rPr>
              <w:t>a declarato</w:t>
            </w:r>
            <w:r w:rsidR="00E003E8" w:rsidRPr="007E2784">
              <w:rPr>
                <w:rFonts w:ascii="Arial" w:hAnsi="Arial" w:cs="Arial"/>
                <w:sz w:val="24"/>
                <w:szCs w:val="24"/>
              </w:rPr>
              <w:t>ry order to be promoted to level</w:t>
            </w:r>
            <w:r w:rsidRPr="007E2784">
              <w:rPr>
                <w:rFonts w:ascii="Arial" w:hAnsi="Arial" w:cs="Arial"/>
                <w:sz w:val="24"/>
                <w:szCs w:val="24"/>
              </w:rPr>
              <w:t xml:space="preserve"> 6</w:t>
            </w:r>
            <w:r w:rsidR="00E003E8" w:rsidRPr="007E2784">
              <w:rPr>
                <w:rFonts w:ascii="Arial" w:hAnsi="Arial" w:cs="Arial"/>
                <w:sz w:val="24"/>
                <w:szCs w:val="24"/>
              </w:rPr>
              <w:t>,</w:t>
            </w:r>
            <w:r w:rsidRPr="007E2784">
              <w:rPr>
                <w:rFonts w:ascii="Arial" w:hAnsi="Arial" w:cs="Arial"/>
                <w:sz w:val="24"/>
                <w:szCs w:val="24"/>
              </w:rPr>
              <w:t xml:space="preserve"> alternatively that he be allowed to complete step 8 of </w:t>
            </w:r>
            <w:r w:rsidRPr="007E2784">
              <w:rPr>
                <w:rFonts w:ascii="Arial" w:hAnsi="Arial" w:cs="Arial"/>
                <w:sz w:val="24"/>
                <w:szCs w:val="24"/>
              </w:rPr>
              <w:lastRenderedPageBreak/>
              <w:t xml:space="preserve">level 6 of </w:t>
            </w:r>
            <w:r w:rsidR="00E003E8" w:rsidRPr="007E2784">
              <w:rPr>
                <w:rFonts w:ascii="Arial" w:hAnsi="Arial" w:cs="Arial"/>
                <w:sz w:val="24"/>
                <w:szCs w:val="24"/>
              </w:rPr>
              <w:t>an</w:t>
            </w:r>
            <w:r w:rsidRPr="007E2784">
              <w:rPr>
                <w:rFonts w:ascii="Arial" w:hAnsi="Arial" w:cs="Arial"/>
                <w:sz w:val="24"/>
                <w:szCs w:val="24"/>
              </w:rPr>
              <w:t xml:space="preserve"> assessment</w:t>
            </w:r>
            <w:r w:rsidR="00E003E8" w:rsidRPr="007E2784">
              <w:rPr>
                <w:rFonts w:ascii="Arial" w:hAnsi="Arial" w:cs="Arial"/>
                <w:sz w:val="24"/>
                <w:szCs w:val="24"/>
              </w:rPr>
              <w:t>;</w:t>
            </w:r>
            <w:r w:rsidRPr="007E2784">
              <w:rPr>
                <w:rFonts w:ascii="Arial" w:hAnsi="Arial" w:cs="Arial"/>
                <w:sz w:val="24"/>
                <w:szCs w:val="24"/>
              </w:rPr>
              <w:t xml:space="preserve"> and in the further alternative that the applicant should be provided with reasons why the applicant was prevented from starting and doing step 8 of level 6. </w:t>
            </w:r>
            <w:r w:rsidR="00E253D1" w:rsidRPr="007E2784">
              <w:rPr>
                <w:rFonts w:ascii="Arial" w:hAnsi="Arial" w:cs="Arial"/>
                <w:sz w:val="24"/>
                <w:szCs w:val="24"/>
              </w:rPr>
              <w:t>The applicant claimed remuneration of all the benefits associated with being promoted to level 6 from date he would have been promoted to level</w:t>
            </w:r>
            <w:r w:rsidR="007E2784">
              <w:rPr>
                <w:rFonts w:ascii="Arial" w:hAnsi="Arial" w:cs="Arial"/>
                <w:sz w:val="24"/>
                <w:szCs w:val="24"/>
              </w:rPr>
              <w:t xml:space="preserve"> 6</w:t>
            </w:r>
            <w:r w:rsidR="00E253D1" w:rsidRPr="007E2784">
              <w:rPr>
                <w:rFonts w:ascii="Arial" w:hAnsi="Arial" w:cs="Arial"/>
                <w:sz w:val="24"/>
                <w:szCs w:val="24"/>
              </w:rPr>
              <w:t xml:space="preserve"> </w:t>
            </w:r>
            <w:r w:rsidR="00602571" w:rsidRPr="007E2784">
              <w:rPr>
                <w:rFonts w:ascii="Arial" w:hAnsi="Arial" w:cs="Arial"/>
                <w:sz w:val="24"/>
                <w:szCs w:val="24"/>
              </w:rPr>
              <w:t>ie</w:t>
            </w:r>
            <w:r w:rsidR="00E253D1" w:rsidRPr="007E2784">
              <w:rPr>
                <w:rFonts w:ascii="Arial" w:hAnsi="Arial" w:cs="Arial"/>
                <w:sz w:val="24"/>
                <w:szCs w:val="24"/>
              </w:rPr>
              <w:t xml:space="preserve"> </w:t>
            </w:r>
            <w:r w:rsidRPr="007E2784">
              <w:rPr>
                <w:rFonts w:ascii="Arial" w:hAnsi="Arial" w:cs="Arial"/>
                <w:sz w:val="24"/>
                <w:szCs w:val="24"/>
              </w:rPr>
              <w:t>8 May 2018.</w:t>
            </w:r>
            <w:r w:rsidR="00FB7140" w:rsidRPr="007E2784">
              <w:rPr>
                <w:rFonts w:ascii="Arial" w:hAnsi="Arial" w:cs="Arial"/>
                <w:sz w:val="24"/>
                <w:szCs w:val="24"/>
              </w:rPr>
              <w:t xml:space="preserve"> T</w:t>
            </w:r>
            <w:r w:rsidR="00602571" w:rsidRPr="007E2784">
              <w:rPr>
                <w:rFonts w:ascii="Arial" w:hAnsi="Arial" w:cs="Arial"/>
                <w:sz w:val="24"/>
                <w:szCs w:val="24"/>
              </w:rPr>
              <w:t>his claim was dismissed by the a</w:t>
            </w:r>
            <w:r w:rsidR="00FB7140" w:rsidRPr="007E2784">
              <w:rPr>
                <w:rFonts w:ascii="Arial" w:hAnsi="Arial" w:cs="Arial"/>
                <w:sz w:val="24"/>
                <w:szCs w:val="24"/>
              </w:rPr>
              <w:t>rbitrator.</w:t>
            </w:r>
          </w:p>
          <w:p w:rsidR="000314DC" w:rsidRDefault="000314DC" w:rsidP="008630BE">
            <w:pPr>
              <w:tabs>
                <w:tab w:val="left" w:pos="1275"/>
              </w:tabs>
              <w:spacing w:line="360" w:lineRule="auto"/>
              <w:jc w:val="both"/>
              <w:rPr>
                <w:rFonts w:ascii="Arial" w:hAnsi="Arial" w:cs="Arial"/>
                <w:sz w:val="24"/>
                <w:szCs w:val="24"/>
              </w:rPr>
            </w:pPr>
          </w:p>
          <w:p w:rsidR="00A83693" w:rsidRDefault="00FB7140" w:rsidP="008630BE">
            <w:pPr>
              <w:tabs>
                <w:tab w:val="left" w:pos="1275"/>
              </w:tabs>
              <w:spacing w:line="360" w:lineRule="auto"/>
              <w:jc w:val="both"/>
              <w:rPr>
                <w:rFonts w:ascii="Arial" w:hAnsi="Arial" w:cs="Arial"/>
                <w:sz w:val="24"/>
                <w:szCs w:val="24"/>
              </w:rPr>
            </w:pPr>
            <w:r>
              <w:rPr>
                <w:rFonts w:ascii="Arial" w:hAnsi="Arial" w:cs="Arial"/>
                <w:sz w:val="24"/>
                <w:szCs w:val="24"/>
              </w:rPr>
              <w:t>[</w:t>
            </w:r>
            <w:r w:rsidR="00595221">
              <w:rPr>
                <w:rFonts w:ascii="Arial" w:hAnsi="Arial" w:cs="Arial"/>
                <w:sz w:val="24"/>
                <w:szCs w:val="24"/>
              </w:rPr>
              <w:t>7</w:t>
            </w:r>
            <w:r>
              <w:rPr>
                <w:rFonts w:ascii="Arial" w:hAnsi="Arial" w:cs="Arial"/>
                <w:sz w:val="24"/>
                <w:szCs w:val="24"/>
              </w:rPr>
              <w:t xml:space="preserve">]    The claims relate to different disputes during the employment of the applicant with the respondent. The claims for suspension and dismissal originated from the same facts as the applicant was first suspended and </w:t>
            </w:r>
            <w:r w:rsidR="00E253D1">
              <w:rPr>
                <w:rFonts w:ascii="Arial" w:hAnsi="Arial" w:cs="Arial"/>
                <w:sz w:val="24"/>
                <w:szCs w:val="24"/>
              </w:rPr>
              <w:t xml:space="preserve">thereafter </w:t>
            </w:r>
            <w:r>
              <w:rPr>
                <w:rFonts w:ascii="Arial" w:hAnsi="Arial" w:cs="Arial"/>
                <w:sz w:val="24"/>
                <w:szCs w:val="24"/>
              </w:rPr>
              <w:t xml:space="preserve">dismissed on the same </w:t>
            </w:r>
            <w:r w:rsidR="00E253D1">
              <w:rPr>
                <w:rFonts w:ascii="Arial" w:hAnsi="Arial" w:cs="Arial"/>
                <w:sz w:val="24"/>
                <w:szCs w:val="24"/>
              </w:rPr>
              <w:t>charge(s)</w:t>
            </w:r>
            <w:r>
              <w:rPr>
                <w:rFonts w:ascii="Arial" w:hAnsi="Arial" w:cs="Arial"/>
                <w:sz w:val="24"/>
                <w:szCs w:val="24"/>
              </w:rPr>
              <w:t>. Th</w:t>
            </w:r>
            <w:r w:rsidR="00E253D1">
              <w:rPr>
                <w:rFonts w:ascii="Arial" w:hAnsi="Arial" w:cs="Arial"/>
                <w:sz w:val="24"/>
                <w:szCs w:val="24"/>
              </w:rPr>
              <w:t>e</w:t>
            </w:r>
            <w:r>
              <w:rPr>
                <w:rFonts w:ascii="Arial" w:hAnsi="Arial" w:cs="Arial"/>
                <w:sz w:val="24"/>
                <w:szCs w:val="24"/>
              </w:rPr>
              <w:t xml:space="preserve"> applicant</w:t>
            </w:r>
            <w:r w:rsidR="00E253D1">
              <w:rPr>
                <w:rFonts w:ascii="Arial" w:hAnsi="Arial" w:cs="Arial"/>
                <w:sz w:val="24"/>
                <w:szCs w:val="24"/>
              </w:rPr>
              <w:t xml:space="preserve"> in the proposed amendments</w:t>
            </w:r>
            <w:r>
              <w:rPr>
                <w:rFonts w:ascii="Arial" w:hAnsi="Arial" w:cs="Arial"/>
                <w:sz w:val="24"/>
                <w:szCs w:val="24"/>
              </w:rPr>
              <w:t xml:space="preserve"> sought payment for both these claims separately when they clearly overlap. It was obvious that these two claims ought to be in the alternative and this was pointed out by Mr Ulrich, counsel for the </w:t>
            </w:r>
            <w:r w:rsidR="00E253D1">
              <w:rPr>
                <w:rFonts w:ascii="Arial" w:hAnsi="Arial" w:cs="Arial"/>
                <w:sz w:val="24"/>
                <w:szCs w:val="24"/>
              </w:rPr>
              <w:t>first respondent during argument. T</w:t>
            </w:r>
            <w:r w:rsidR="00A83693">
              <w:rPr>
                <w:rFonts w:ascii="Arial" w:hAnsi="Arial" w:cs="Arial"/>
                <w:sz w:val="24"/>
                <w:szCs w:val="24"/>
              </w:rPr>
              <w:t>his was in effect the reason for ordering that the relief sought in prayer</w:t>
            </w:r>
            <w:r w:rsidR="00E253D1">
              <w:rPr>
                <w:rFonts w:ascii="Arial" w:hAnsi="Arial" w:cs="Arial"/>
                <w:sz w:val="24"/>
                <w:szCs w:val="24"/>
              </w:rPr>
              <w:t xml:space="preserve"> nine</w:t>
            </w:r>
            <w:r w:rsidR="00A83693">
              <w:rPr>
                <w:rFonts w:ascii="Arial" w:hAnsi="Arial" w:cs="Arial"/>
                <w:sz w:val="24"/>
                <w:szCs w:val="24"/>
              </w:rPr>
              <w:t xml:space="preserve"> be read in the alternative to prayer </w:t>
            </w:r>
            <w:r w:rsidR="00202A62">
              <w:rPr>
                <w:rFonts w:ascii="Arial" w:hAnsi="Arial" w:cs="Arial"/>
                <w:sz w:val="24"/>
                <w:szCs w:val="24"/>
              </w:rPr>
              <w:t>11</w:t>
            </w:r>
            <w:r w:rsidR="00A83693">
              <w:rPr>
                <w:rFonts w:ascii="Arial" w:hAnsi="Arial" w:cs="Arial"/>
                <w:sz w:val="24"/>
                <w:szCs w:val="24"/>
              </w:rPr>
              <w:t xml:space="preserve">.  </w:t>
            </w:r>
          </w:p>
          <w:p w:rsidR="00A83693" w:rsidRDefault="00A83693" w:rsidP="008630BE">
            <w:pPr>
              <w:tabs>
                <w:tab w:val="left" w:pos="1275"/>
              </w:tabs>
              <w:spacing w:line="360" w:lineRule="auto"/>
              <w:jc w:val="both"/>
              <w:rPr>
                <w:rFonts w:ascii="Arial" w:hAnsi="Arial" w:cs="Arial"/>
                <w:sz w:val="24"/>
                <w:szCs w:val="24"/>
              </w:rPr>
            </w:pPr>
          </w:p>
          <w:p w:rsidR="00EF5B96" w:rsidRDefault="00A83693" w:rsidP="008630BE">
            <w:pPr>
              <w:tabs>
                <w:tab w:val="left" w:pos="1275"/>
              </w:tabs>
              <w:spacing w:line="360" w:lineRule="auto"/>
              <w:jc w:val="both"/>
              <w:rPr>
                <w:rFonts w:ascii="Arial" w:hAnsi="Arial" w:cs="Arial"/>
                <w:sz w:val="24"/>
                <w:szCs w:val="24"/>
              </w:rPr>
            </w:pPr>
            <w:r>
              <w:rPr>
                <w:rFonts w:ascii="Arial" w:hAnsi="Arial" w:cs="Arial"/>
                <w:sz w:val="24"/>
                <w:szCs w:val="24"/>
              </w:rPr>
              <w:t>[</w:t>
            </w:r>
            <w:r w:rsidR="00595221">
              <w:rPr>
                <w:rFonts w:ascii="Arial" w:hAnsi="Arial" w:cs="Arial"/>
                <w:sz w:val="24"/>
                <w:szCs w:val="24"/>
              </w:rPr>
              <w:t>8</w:t>
            </w:r>
            <w:r>
              <w:rPr>
                <w:rFonts w:ascii="Arial" w:hAnsi="Arial" w:cs="Arial"/>
                <w:sz w:val="24"/>
                <w:szCs w:val="24"/>
              </w:rPr>
              <w:t xml:space="preserve">]    </w:t>
            </w:r>
            <w:r w:rsidR="00EF5B96">
              <w:rPr>
                <w:rFonts w:ascii="Arial" w:hAnsi="Arial" w:cs="Arial"/>
                <w:sz w:val="24"/>
                <w:szCs w:val="24"/>
              </w:rPr>
              <w:t>The applicant corre</w:t>
            </w:r>
            <w:r w:rsidR="00E253D1">
              <w:rPr>
                <w:rFonts w:ascii="Arial" w:hAnsi="Arial" w:cs="Arial"/>
                <w:sz w:val="24"/>
                <w:szCs w:val="24"/>
              </w:rPr>
              <w:t xml:space="preserve">ctly indicated that the court in its ruling </w:t>
            </w:r>
            <w:r w:rsidR="00EF5B96">
              <w:rPr>
                <w:rFonts w:ascii="Arial" w:hAnsi="Arial" w:cs="Arial"/>
                <w:sz w:val="24"/>
                <w:szCs w:val="24"/>
              </w:rPr>
              <w:t>gave no reasons for this order. The reasons ho</w:t>
            </w:r>
            <w:r w:rsidR="007E2784">
              <w:rPr>
                <w:rFonts w:ascii="Arial" w:hAnsi="Arial" w:cs="Arial"/>
                <w:sz w:val="24"/>
                <w:szCs w:val="24"/>
              </w:rPr>
              <w:t xml:space="preserve">wever, at the time of noting the </w:t>
            </w:r>
            <w:r w:rsidR="00EF5B96">
              <w:rPr>
                <w:rFonts w:ascii="Arial" w:hAnsi="Arial" w:cs="Arial"/>
                <w:sz w:val="24"/>
                <w:szCs w:val="24"/>
              </w:rPr>
              <w:t xml:space="preserve">ruling in a shortened PDF form, appeared obvious to this </w:t>
            </w:r>
            <w:r w:rsidR="00E253D1">
              <w:rPr>
                <w:rFonts w:ascii="Arial" w:hAnsi="Arial" w:cs="Arial"/>
                <w:sz w:val="24"/>
                <w:szCs w:val="24"/>
              </w:rPr>
              <w:t xml:space="preserve">court. </w:t>
            </w:r>
            <w:r>
              <w:rPr>
                <w:rFonts w:ascii="Arial" w:hAnsi="Arial" w:cs="Arial"/>
                <w:sz w:val="24"/>
                <w:szCs w:val="24"/>
              </w:rPr>
              <w:t xml:space="preserve">In </w:t>
            </w:r>
            <w:r w:rsidRPr="00EF5B96">
              <w:rPr>
                <w:rFonts w:ascii="Arial" w:hAnsi="Arial" w:cs="Arial"/>
                <w:i/>
                <w:sz w:val="24"/>
                <w:szCs w:val="24"/>
              </w:rPr>
              <w:t xml:space="preserve">Hartzenberg </w:t>
            </w:r>
            <w:r w:rsidR="00EF5B96">
              <w:rPr>
                <w:rFonts w:ascii="Arial" w:hAnsi="Arial" w:cs="Arial"/>
                <w:i/>
                <w:sz w:val="24"/>
                <w:szCs w:val="24"/>
              </w:rPr>
              <w:t>v</w:t>
            </w:r>
            <w:r w:rsidRPr="00EF5B96">
              <w:rPr>
                <w:rFonts w:ascii="Arial" w:hAnsi="Arial" w:cs="Arial"/>
                <w:i/>
                <w:sz w:val="24"/>
                <w:szCs w:val="24"/>
              </w:rPr>
              <w:t xml:space="preserve"> Standard Bank Namibia L</w:t>
            </w:r>
            <w:r w:rsidR="00EF5B96">
              <w:rPr>
                <w:rFonts w:ascii="Arial" w:hAnsi="Arial" w:cs="Arial"/>
                <w:i/>
                <w:sz w:val="24"/>
                <w:szCs w:val="24"/>
              </w:rPr>
              <w:t>td</w:t>
            </w:r>
            <w:r w:rsidR="00EF5B96" w:rsidRPr="00EF5B96">
              <w:rPr>
                <w:rStyle w:val="FootnoteReference"/>
                <w:rFonts w:ascii="Arial" w:hAnsi="Arial" w:cs="Arial"/>
                <w:sz w:val="24"/>
                <w:szCs w:val="24"/>
              </w:rPr>
              <w:footnoteReference w:id="1"/>
            </w:r>
            <w:r w:rsidR="00EF5B96">
              <w:rPr>
                <w:rFonts w:ascii="Arial" w:hAnsi="Arial" w:cs="Arial"/>
                <w:sz w:val="24"/>
                <w:szCs w:val="24"/>
              </w:rPr>
              <w:t xml:space="preserve"> the court </w:t>
            </w:r>
            <w:r>
              <w:rPr>
                <w:rFonts w:ascii="Arial" w:hAnsi="Arial" w:cs="Arial"/>
                <w:sz w:val="24"/>
                <w:szCs w:val="24"/>
              </w:rPr>
              <w:t xml:space="preserve"> </w:t>
            </w:r>
            <w:r w:rsidR="00EF5B96">
              <w:rPr>
                <w:rFonts w:ascii="Arial" w:hAnsi="Arial" w:cs="Arial"/>
                <w:sz w:val="24"/>
                <w:szCs w:val="24"/>
              </w:rPr>
              <w:t>stated the following:</w:t>
            </w:r>
          </w:p>
          <w:p w:rsidR="003E3C4E" w:rsidRDefault="003E3C4E" w:rsidP="008630BE">
            <w:pPr>
              <w:tabs>
                <w:tab w:val="left" w:pos="1275"/>
              </w:tabs>
              <w:spacing w:line="360" w:lineRule="auto"/>
              <w:jc w:val="both"/>
              <w:rPr>
                <w:rFonts w:ascii="Arial" w:hAnsi="Arial" w:cs="Arial"/>
                <w:sz w:val="24"/>
                <w:szCs w:val="24"/>
              </w:rPr>
            </w:pPr>
          </w:p>
          <w:p w:rsidR="00EF5B96" w:rsidRPr="00EF5B96" w:rsidRDefault="00EF5B96" w:rsidP="00EF5B96">
            <w:pPr>
              <w:tabs>
                <w:tab w:val="left" w:pos="1275"/>
              </w:tabs>
              <w:spacing w:line="360" w:lineRule="auto"/>
              <w:jc w:val="both"/>
              <w:rPr>
                <w:rFonts w:ascii="Arial" w:hAnsi="Arial" w:cs="Arial"/>
              </w:rPr>
            </w:pPr>
            <w:r w:rsidRPr="00EF5B96">
              <w:rPr>
                <w:rFonts w:ascii="Arial" w:hAnsi="Arial" w:cs="Arial"/>
              </w:rPr>
              <w:t xml:space="preserve">           ‘Given the myriad of interlocutory skirmishes that occur during the lifespan of a case-managed case, it is a potentially impossible task to expect the managing judge to give fully researched judgments on each and every interlocutory motion that he or she has to adjudicate. However, as this court recognised in Buhrmann, parties have a right to reasons. In addition, the obligation (or rather discipline) to give reasons acts as an insurance against caprice and bias. The self-imposed discipline to give reasons for one's decisions has the salutary effect on the judicial officer that he or she can only act according to the law and the facts of the case; uninfluenced by extraneous factors. That said, it must be accepted that the extent of the reasons to be provided will depend on the circumstances of the case. In some cases the reasons for the order/ruling will be obvious from the exchange between the parties and bench. As often happens, a particular point might even be conceded in argument and would clearly provide the basis for the ruling/order that follows. It would be pedantic in the extreme to expect written reasons in such circumstances.’</w:t>
            </w:r>
          </w:p>
          <w:p w:rsidR="00EF5B96" w:rsidRDefault="00EF5B96" w:rsidP="008630BE">
            <w:pPr>
              <w:tabs>
                <w:tab w:val="left" w:pos="1275"/>
              </w:tabs>
              <w:spacing w:line="360" w:lineRule="auto"/>
              <w:jc w:val="both"/>
              <w:rPr>
                <w:rFonts w:ascii="Arial" w:hAnsi="Arial" w:cs="Arial"/>
                <w:sz w:val="24"/>
                <w:szCs w:val="24"/>
              </w:rPr>
            </w:pPr>
          </w:p>
          <w:p w:rsidR="001C081E" w:rsidRDefault="00EF5B96" w:rsidP="008630BE">
            <w:pPr>
              <w:tabs>
                <w:tab w:val="left" w:pos="1275"/>
              </w:tabs>
              <w:spacing w:line="360" w:lineRule="auto"/>
              <w:jc w:val="both"/>
              <w:rPr>
                <w:rFonts w:ascii="Arial" w:hAnsi="Arial" w:cs="Arial"/>
                <w:sz w:val="24"/>
                <w:szCs w:val="24"/>
              </w:rPr>
            </w:pPr>
            <w:r>
              <w:rPr>
                <w:rFonts w:ascii="Arial" w:hAnsi="Arial" w:cs="Arial"/>
                <w:sz w:val="24"/>
                <w:szCs w:val="24"/>
              </w:rPr>
              <w:lastRenderedPageBreak/>
              <w:t>[</w:t>
            </w:r>
            <w:r w:rsidR="00595221">
              <w:rPr>
                <w:rFonts w:ascii="Arial" w:hAnsi="Arial" w:cs="Arial"/>
                <w:sz w:val="24"/>
                <w:szCs w:val="24"/>
              </w:rPr>
              <w:t>9</w:t>
            </w:r>
            <w:r>
              <w:rPr>
                <w:rFonts w:ascii="Arial" w:hAnsi="Arial" w:cs="Arial"/>
                <w:sz w:val="24"/>
                <w:szCs w:val="24"/>
              </w:rPr>
              <w:t xml:space="preserve">]      </w:t>
            </w:r>
            <w:r w:rsidR="009B2D4B">
              <w:rPr>
                <w:rFonts w:ascii="Arial" w:hAnsi="Arial" w:cs="Arial"/>
                <w:sz w:val="24"/>
                <w:szCs w:val="24"/>
              </w:rPr>
              <w:t>S</w:t>
            </w:r>
            <w:r w:rsidR="007E2784">
              <w:rPr>
                <w:rFonts w:ascii="Arial" w:hAnsi="Arial" w:cs="Arial"/>
                <w:sz w:val="24"/>
                <w:szCs w:val="24"/>
              </w:rPr>
              <w:t>ection</w:t>
            </w:r>
            <w:r w:rsidR="001C081E" w:rsidRPr="001C081E">
              <w:rPr>
                <w:rFonts w:ascii="Arial" w:hAnsi="Arial" w:cs="Arial"/>
                <w:sz w:val="24"/>
                <w:szCs w:val="24"/>
              </w:rPr>
              <w:t xml:space="preserve"> 18(3) of the High Court Act 16 of 1990</w:t>
            </w:r>
            <w:r w:rsidR="001C081E">
              <w:rPr>
                <w:rFonts w:ascii="Arial" w:hAnsi="Arial" w:cs="Arial"/>
                <w:sz w:val="24"/>
                <w:szCs w:val="24"/>
              </w:rPr>
              <w:t xml:space="preserve"> </w:t>
            </w:r>
            <w:r w:rsidR="001C081E" w:rsidRPr="001C081E">
              <w:rPr>
                <w:rFonts w:ascii="Arial" w:hAnsi="Arial" w:cs="Arial"/>
                <w:sz w:val="24"/>
                <w:szCs w:val="24"/>
              </w:rPr>
              <w:t xml:space="preserve">provides that appeals against interlocutory orders are possible only with the leave of the court that had given the judgment or made the order or in the event that leave is refused by that court, the Supreme Court </w:t>
            </w:r>
            <w:r w:rsidR="007E2784">
              <w:rPr>
                <w:rFonts w:ascii="Arial" w:hAnsi="Arial" w:cs="Arial"/>
                <w:sz w:val="24"/>
                <w:szCs w:val="24"/>
              </w:rPr>
              <w:t>may grant</w:t>
            </w:r>
            <w:r w:rsidR="001C081E" w:rsidRPr="001C081E">
              <w:rPr>
                <w:rFonts w:ascii="Arial" w:hAnsi="Arial" w:cs="Arial"/>
                <w:sz w:val="24"/>
                <w:szCs w:val="24"/>
              </w:rPr>
              <w:t xml:space="preserve"> leave upon petition for leave to appeal.</w:t>
            </w:r>
            <w:r w:rsidR="001C081E">
              <w:rPr>
                <w:rFonts w:ascii="Arial" w:hAnsi="Arial" w:cs="Arial"/>
                <w:sz w:val="24"/>
                <w:szCs w:val="24"/>
              </w:rPr>
              <w:t xml:space="preserve"> In </w:t>
            </w:r>
            <w:r w:rsidR="001C081E" w:rsidRPr="001C081E">
              <w:rPr>
                <w:rFonts w:ascii="Arial" w:hAnsi="Arial" w:cs="Arial"/>
                <w:i/>
                <w:sz w:val="24"/>
                <w:szCs w:val="24"/>
              </w:rPr>
              <w:t>Marmorwerke Karibib (Pty) Ltd V Transnamib Holdings Lt</w:t>
            </w:r>
            <w:r w:rsidR="001C081E">
              <w:rPr>
                <w:rFonts w:ascii="Arial" w:hAnsi="Arial" w:cs="Arial"/>
                <w:i/>
                <w:sz w:val="24"/>
                <w:szCs w:val="24"/>
              </w:rPr>
              <w:t>d</w:t>
            </w:r>
            <w:r w:rsidR="001C081E" w:rsidRPr="001C081E">
              <w:rPr>
                <w:rFonts w:ascii="Arial" w:hAnsi="Arial" w:cs="Arial"/>
                <w:sz w:val="24"/>
                <w:szCs w:val="24"/>
              </w:rPr>
              <w:t xml:space="preserve"> </w:t>
            </w:r>
            <w:r w:rsidR="001C081E">
              <w:rPr>
                <w:rStyle w:val="FootnoteReference"/>
                <w:rFonts w:ascii="Arial" w:hAnsi="Arial" w:cs="Arial"/>
                <w:sz w:val="24"/>
                <w:szCs w:val="24"/>
              </w:rPr>
              <w:footnoteReference w:id="2"/>
            </w:r>
            <w:r w:rsidR="001C081E" w:rsidRPr="001C081E">
              <w:rPr>
                <w:rFonts w:ascii="Arial" w:hAnsi="Arial" w:cs="Arial"/>
                <w:sz w:val="24"/>
                <w:szCs w:val="24"/>
              </w:rPr>
              <w:t xml:space="preserve"> </w:t>
            </w:r>
            <w:r>
              <w:rPr>
                <w:rFonts w:ascii="Arial" w:hAnsi="Arial" w:cs="Arial"/>
                <w:sz w:val="24"/>
                <w:szCs w:val="24"/>
              </w:rPr>
              <w:t xml:space="preserve">court </w:t>
            </w:r>
            <w:r w:rsidR="001C081E">
              <w:rPr>
                <w:rFonts w:ascii="Arial" w:hAnsi="Arial" w:cs="Arial"/>
                <w:sz w:val="24"/>
                <w:szCs w:val="24"/>
              </w:rPr>
              <w:t>provided the following guidelines for when a judgment or order would be appealable:</w:t>
            </w:r>
          </w:p>
          <w:p w:rsidR="003E3C4E" w:rsidRDefault="003E3C4E" w:rsidP="008630BE">
            <w:pPr>
              <w:tabs>
                <w:tab w:val="left" w:pos="1275"/>
              </w:tabs>
              <w:spacing w:line="360" w:lineRule="auto"/>
              <w:jc w:val="both"/>
              <w:rPr>
                <w:rFonts w:ascii="Arial" w:hAnsi="Arial" w:cs="Arial"/>
                <w:sz w:val="24"/>
                <w:szCs w:val="24"/>
              </w:rPr>
            </w:pPr>
          </w:p>
          <w:p w:rsidR="008D6CB5" w:rsidRDefault="00C07FCE" w:rsidP="008630BE">
            <w:pPr>
              <w:tabs>
                <w:tab w:val="left" w:pos="1275"/>
              </w:tabs>
              <w:spacing w:line="360" w:lineRule="auto"/>
              <w:jc w:val="both"/>
              <w:rPr>
                <w:rFonts w:ascii="Arial" w:hAnsi="Arial" w:cs="Arial"/>
                <w:sz w:val="24"/>
                <w:szCs w:val="24"/>
              </w:rPr>
            </w:pPr>
            <w:r>
              <w:rPr>
                <w:rFonts w:ascii="Arial" w:hAnsi="Arial" w:cs="Arial"/>
                <w:sz w:val="24"/>
                <w:szCs w:val="24"/>
              </w:rPr>
              <w:t xml:space="preserve">              ‘</w:t>
            </w:r>
            <w:r w:rsidR="001C081E" w:rsidRPr="001C081E">
              <w:rPr>
                <w:rFonts w:ascii="Arial" w:hAnsi="Arial" w:cs="Arial"/>
                <w:sz w:val="24"/>
                <w:szCs w:val="24"/>
              </w:rPr>
              <w:t xml:space="preserve">[33] </w:t>
            </w:r>
            <w:r w:rsidR="001C081E" w:rsidRPr="008D6CB5">
              <w:rPr>
                <w:rFonts w:ascii="Arial" w:hAnsi="Arial" w:cs="Arial"/>
              </w:rPr>
              <w:t>A judgment or order will generally be appealable if it possesses the well-known three characteristics of appealability: (a) it is final in effect and not susceptible to alteration by the court of first instance; (b) it is definitive of the rights of the parties, ie it must grant definite and distinct relief; and (c) it disposes of at least a substantial portion of the relief claimed in the main proceedings</w:t>
            </w:r>
            <w:r w:rsidR="00202A62">
              <w:rPr>
                <w:rFonts w:ascii="Arial" w:hAnsi="Arial" w:cs="Arial"/>
                <w:sz w:val="24"/>
                <w:szCs w:val="24"/>
              </w:rPr>
              <w:t>.’</w:t>
            </w:r>
            <w:r w:rsidR="001C081E" w:rsidRPr="001C081E">
              <w:rPr>
                <w:rFonts w:ascii="Arial" w:hAnsi="Arial" w:cs="Arial"/>
                <w:sz w:val="24"/>
                <w:szCs w:val="24"/>
              </w:rPr>
              <w:t xml:space="preserve"> </w:t>
            </w:r>
          </w:p>
          <w:p w:rsidR="008D6CB5" w:rsidRDefault="008D6CB5" w:rsidP="008630BE">
            <w:pPr>
              <w:tabs>
                <w:tab w:val="left" w:pos="1275"/>
              </w:tabs>
              <w:spacing w:line="360" w:lineRule="auto"/>
              <w:jc w:val="both"/>
              <w:rPr>
                <w:rFonts w:ascii="Arial" w:hAnsi="Arial" w:cs="Arial"/>
                <w:sz w:val="24"/>
                <w:szCs w:val="24"/>
              </w:rPr>
            </w:pPr>
          </w:p>
          <w:p w:rsidR="008D6CB5" w:rsidRDefault="008D6CB5" w:rsidP="008630BE">
            <w:pPr>
              <w:tabs>
                <w:tab w:val="left" w:pos="1275"/>
              </w:tabs>
              <w:spacing w:line="360" w:lineRule="auto"/>
              <w:jc w:val="both"/>
              <w:rPr>
                <w:rFonts w:ascii="Arial" w:hAnsi="Arial" w:cs="Arial"/>
                <w:sz w:val="24"/>
                <w:szCs w:val="24"/>
              </w:rPr>
            </w:pPr>
            <w:r>
              <w:rPr>
                <w:rFonts w:ascii="Arial" w:hAnsi="Arial" w:cs="Arial"/>
                <w:sz w:val="24"/>
                <w:szCs w:val="24"/>
              </w:rPr>
              <w:t>[</w:t>
            </w:r>
            <w:r w:rsidR="00595221">
              <w:rPr>
                <w:rFonts w:ascii="Arial" w:hAnsi="Arial" w:cs="Arial"/>
                <w:sz w:val="24"/>
                <w:szCs w:val="24"/>
              </w:rPr>
              <w:t>10</w:t>
            </w:r>
            <w:r>
              <w:rPr>
                <w:rFonts w:ascii="Arial" w:hAnsi="Arial" w:cs="Arial"/>
                <w:sz w:val="24"/>
                <w:szCs w:val="24"/>
              </w:rPr>
              <w:t xml:space="preserve">]      The above order does not have the effect that prayer </w:t>
            </w:r>
            <w:r w:rsidR="00106147">
              <w:rPr>
                <w:rFonts w:ascii="Arial" w:hAnsi="Arial" w:cs="Arial"/>
                <w:sz w:val="24"/>
                <w:szCs w:val="24"/>
              </w:rPr>
              <w:t>nine</w:t>
            </w:r>
            <w:r>
              <w:rPr>
                <w:rFonts w:ascii="Arial" w:hAnsi="Arial" w:cs="Arial"/>
                <w:sz w:val="24"/>
                <w:szCs w:val="24"/>
              </w:rPr>
              <w:t xml:space="preserve"> has be</w:t>
            </w:r>
            <w:r w:rsidR="00202A62">
              <w:rPr>
                <w:rFonts w:ascii="Arial" w:hAnsi="Arial" w:cs="Arial"/>
                <w:sz w:val="24"/>
                <w:szCs w:val="24"/>
              </w:rPr>
              <w:t>en</w:t>
            </w:r>
            <w:r>
              <w:rPr>
                <w:rFonts w:ascii="Arial" w:hAnsi="Arial" w:cs="Arial"/>
                <w:sz w:val="24"/>
                <w:szCs w:val="24"/>
              </w:rPr>
              <w:t xml:space="preserve"> finally disposed </w:t>
            </w:r>
            <w:r w:rsidR="00202A62">
              <w:rPr>
                <w:rFonts w:ascii="Arial" w:hAnsi="Arial" w:cs="Arial"/>
                <w:sz w:val="24"/>
                <w:szCs w:val="24"/>
              </w:rPr>
              <w:t xml:space="preserve">of </w:t>
            </w:r>
            <w:r>
              <w:rPr>
                <w:rFonts w:ascii="Arial" w:hAnsi="Arial" w:cs="Arial"/>
                <w:sz w:val="24"/>
                <w:szCs w:val="24"/>
              </w:rPr>
              <w:t>and whilst it may be said that it is granting a definite and distinct relief, this court is of the view that it does not dispose of the relief claimed in the main application. It is this court</w:t>
            </w:r>
            <w:r w:rsidR="00202A62">
              <w:rPr>
                <w:rFonts w:ascii="Arial" w:hAnsi="Arial" w:cs="Arial"/>
                <w:sz w:val="24"/>
                <w:szCs w:val="24"/>
              </w:rPr>
              <w:t>’s</w:t>
            </w:r>
            <w:r>
              <w:rPr>
                <w:rFonts w:ascii="Arial" w:hAnsi="Arial" w:cs="Arial"/>
                <w:sz w:val="24"/>
                <w:szCs w:val="24"/>
              </w:rPr>
              <w:t xml:space="preserve"> considered view that in the event that this conclusion is flawed, that there are no reasonable prospects that the appellate court would come to a different conclusion. </w:t>
            </w:r>
          </w:p>
          <w:p w:rsidR="00BA4517" w:rsidRDefault="00BA4517" w:rsidP="008630BE">
            <w:pPr>
              <w:tabs>
                <w:tab w:val="left" w:pos="1275"/>
              </w:tabs>
              <w:spacing w:line="360" w:lineRule="auto"/>
              <w:jc w:val="both"/>
              <w:rPr>
                <w:rFonts w:ascii="Arial" w:hAnsi="Arial" w:cs="Arial"/>
                <w:sz w:val="24"/>
                <w:szCs w:val="24"/>
              </w:rPr>
            </w:pPr>
          </w:p>
          <w:p w:rsidR="00BA4517" w:rsidRDefault="00BA4517" w:rsidP="008630BE">
            <w:pPr>
              <w:tabs>
                <w:tab w:val="left" w:pos="1275"/>
              </w:tabs>
              <w:spacing w:line="360" w:lineRule="auto"/>
              <w:jc w:val="both"/>
              <w:rPr>
                <w:rFonts w:ascii="Arial" w:hAnsi="Arial" w:cs="Arial"/>
                <w:sz w:val="24"/>
                <w:szCs w:val="24"/>
                <w:u w:val="single"/>
              </w:rPr>
            </w:pPr>
            <w:r w:rsidRPr="00106147">
              <w:rPr>
                <w:rFonts w:ascii="Arial" w:hAnsi="Arial" w:cs="Arial"/>
                <w:sz w:val="24"/>
                <w:szCs w:val="24"/>
                <w:u w:val="single"/>
              </w:rPr>
              <w:t>Ad second ground</w:t>
            </w:r>
          </w:p>
          <w:p w:rsidR="00602571" w:rsidRPr="00106147" w:rsidRDefault="00602571" w:rsidP="008630BE">
            <w:pPr>
              <w:tabs>
                <w:tab w:val="left" w:pos="1275"/>
              </w:tabs>
              <w:spacing w:line="360" w:lineRule="auto"/>
              <w:jc w:val="both"/>
              <w:rPr>
                <w:rFonts w:ascii="Arial" w:hAnsi="Arial" w:cs="Arial"/>
                <w:sz w:val="24"/>
                <w:szCs w:val="24"/>
                <w:u w:val="single"/>
              </w:rPr>
            </w:pPr>
          </w:p>
          <w:p w:rsidR="00A65514" w:rsidRDefault="00A762C5" w:rsidP="008630BE">
            <w:pPr>
              <w:tabs>
                <w:tab w:val="left" w:pos="1275"/>
              </w:tabs>
              <w:spacing w:line="360" w:lineRule="auto"/>
              <w:jc w:val="both"/>
              <w:rPr>
                <w:rFonts w:ascii="Arial" w:hAnsi="Arial" w:cs="Arial"/>
                <w:sz w:val="24"/>
                <w:szCs w:val="24"/>
              </w:rPr>
            </w:pPr>
            <w:r>
              <w:rPr>
                <w:rFonts w:ascii="Arial" w:hAnsi="Arial" w:cs="Arial"/>
                <w:sz w:val="24"/>
                <w:szCs w:val="24"/>
              </w:rPr>
              <w:t>[</w:t>
            </w:r>
            <w:r w:rsidR="00595221">
              <w:rPr>
                <w:rFonts w:ascii="Arial" w:hAnsi="Arial" w:cs="Arial"/>
                <w:sz w:val="24"/>
                <w:szCs w:val="24"/>
              </w:rPr>
              <w:t>11</w:t>
            </w:r>
            <w:r>
              <w:rPr>
                <w:rFonts w:ascii="Arial" w:hAnsi="Arial" w:cs="Arial"/>
                <w:sz w:val="24"/>
                <w:szCs w:val="24"/>
              </w:rPr>
              <w:t xml:space="preserve">]  </w:t>
            </w:r>
            <w:r w:rsidR="003360A5">
              <w:rPr>
                <w:rFonts w:ascii="Arial" w:hAnsi="Arial" w:cs="Arial"/>
                <w:sz w:val="24"/>
                <w:szCs w:val="24"/>
              </w:rPr>
              <w:t xml:space="preserve">The applicant applied for the insertion of </w:t>
            </w:r>
            <w:r w:rsidR="00106147">
              <w:rPr>
                <w:rFonts w:ascii="Arial" w:hAnsi="Arial" w:cs="Arial"/>
                <w:sz w:val="24"/>
                <w:szCs w:val="24"/>
              </w:rPr>
              <w:t xml:space="preserve">prayer ten in the notice of motion </w:t>
            </w:r>
            <w:r w:rsidR="003360A5">
              <w:rPr>
                <w:rFonts w:ascii="Arial" w:hAnsi="Arial" w:cs="Arial"/>
                <w:sz w:val="24"/>
                <w:szCs w:val="24"/>
              </w:rPr>
              <w:t>and it reads as follows:</w:t>
            </w:r>
          </w:p>
          <w:p w:rsidR="003E3C4E" w:rsidRPr="00863E75" w:rsidRDefault="003E3C4E" w:rsidP="008630BE">
            <w:pPr>
              <w:tabs>
                <w:tab w:val="left" w:pos="1275"/>
              </w:tabs>
              <w:spacing w:line="360" w:lineRule="auto"/>
              <w:jc w:val="both"/>
              <w:rPr>
                <w:rFonts w:ascii="Arial" w:hAnsi="Arial" w:cs="Arial"/>
                <w:sz w:val="24"/>
                <w:szCs w:val="24"/>
              </w:rPr>
            </w:pPr>
          </w:p>
          <w:p w:rsidR="00A65514" w:rsidRPr="00863E75" w:rsidRDefault="00A65514" w:rsidP="008630BE">
            <w:pPr>
              <w:tabs>
                <w:tab w:val="left" w:pos="1275"/>
              </w:tabs>
              <w:spacing w:line="360" w:lineRule="auto"/>
              <w:jc w:val="both"/>
              <w:rPr>
                <w:rFonts w:ascii="Arial" w:hAnsi="Arial" w:cs="Arial"/>
              </w:rPr>
            </w:pPr>
            <w:r w:rsidRPr="00863E75">
              <w:rPr>
                <w:rFonts w:ascii="Arial" w:hAnsi="Arial" w:cs="Arial"/>
                <w:sz w:val="24"/>
                <w:szCs w:val="24"/>
              </w:rPr>
              <w:t xml:space="preserve">           </w:t>
            </w:r>
            <w:r w:rsidRPr="00863E75">
              <w:rPr>
                <w:rFonts w:ascii="Arial" w:hAnsi="Arial" w:cs="Arial"/>
              </w:rPr>
              <w:t>‘An order of compensation to hold the 1</w:t>
            </w:r>
            <w:r w:rsidRPr="00863E75">
              <w:rPr>
                <w:rFonts w:ascii="Arial" w:hAnsi="Arial" w:cs="Arial"/>
                <w:vertAlign w:val="superscript"/>
              </w:rPr>
              <w:t>st</w:t>
            </w:r>
            <w:r w:rsidRPr="00863E75">
              <w:rPr>
                <w:rFonts w:ascii="Arial" w:hAnsi="Arial" w:cs="Arial"/>
              </w:rPr>
              <w:t xml:space="preserve"> Respondent liable for failure to provide safe (sic) working environment and for failure to protect employees from harm, whether physical or emotional and for its failure to take actions against its senior employees who are guilty of tri</w:t>
            </w:r>
            <w:r w:rsidR="003E3C4E">
              <w:rPr>
                <w:rFonts w:ascii="Arial" w:hAnsi="Arial" w:cs="Arial"/>
              </w:rPr>
              <w:t>balism and r</w:t>
            </w:r>
            <w:r w:rsidRPr="00863E75">
              <w:rPr>
                <w:rFonts w:ascii="Arial" w:hAnsi="Arial" w:cs="Arial"/>
              </w:rPr>
              <w:t>acism.’</w:t>
            </w:r>
          </w:p>
          <w:p w:rsidR="008E7A93" w:rsidRPr="00863E75" w:rsidRDefault="008E7A93" w:rsidP="008630BE">
            <w:pPr>
              <w:tabs>
                <w:tab w:val="left" w:pos="1275"/>
              </w:tabs>
              <w:spacing w:line="360" w:lineRule="auto"/>
              <w:jc w:val="both"/>
              <w:rPr>
                <w:rFonts w:ascii="Arial" w:hAnsi="Arial" w:cs="Arial"/>
                <w:sz w:val="24"/>
                <w:szCs w:val="24"/>
              </w:rPr>
            </w:pPr>
          </w:p>
          <w:p w:rsidR="00BA4517" w:rsidRDefault="001E4F1E" w:rsidP="00C132B9">
            <w:pPr>
              <w:tabs>
                <w:tab w:val="left" w:pos="1275"/>
              </w:tabs>
              <w:spacing w:line="360" w:lineRule="auto"/>
              <w:jc w:val="both"/>
              <w:rPr>
                <w:rFonts w:ascii="Arial" w:hAnsi="Arial" w:cs="Arial"/>
                <w:sz w:val="24"/>
                <w:szCs w:val="24"/>
              </w:rPr>
            </w:pPr>
            <w:r w:rsidRPr="00863E75">
              <w:rPr>
                <w:rFonts w:ascii="Arial" w:hAnsi="Arial" w:cs="Arial"/>
                <w:sz w:val="24"/>
                <w:szCs w:val="24"/>
              </w:rPr>
              <w:t>[</w:t>
            </w:r>
            <w:r w:rsidR="00595221">
              <w:rPr>
                <w:rFonts w:ascii="Arial" w:hAnsi="Arial" w:cs="Arial"/>
                <w:sz w:val="24"/>
                <w:szCs w:val="24"/>
              </w:rPr>
              <w:t>12</w:t>
            </w:r>
            <w:r w:rsidRPr="00863E75">
              <w:rPr>
                <w:rFonts w:ascii="Arial" w:hAnsi="Arial" w:cs="Arial"/>
                <w:sz w:val="24"/>
                <w:szCs w:val="24"/>
              </w:rPr>
              <w:t xml:space="preserve">]   </w:t>
            </w:r>
            <w:r w:rsidR="003360A5">
              <w:rPr>
                <w:rFonts w:ascii="Arial" w:hAnsi="Arial" w:cs="Arial"/>
                <w:sz w:val="24"/>
                <w:szCs w:val="24"/>
              </w:rPr>
              <w:t>The respondent</w:t>
            </w:r>
            <w:r w:rsidR="00BA4517">
              <w:rPr>
                <w:rFonts w:ascii="Arial" w:hAnsi="Arial" w:cs="Arial"/>
                <w:sz w:val="24"/>
                <w:szCs w:val="24"/>
              </w:rPr>
              <w:t xml:space="preserve"> raised the following opposition to this ground:</w:t>
            </w:r>
          </w:p>
          <w:p w:rsidR="003E3C4E" w:rsidRDefault="003E3C4E" w:rsidP="00C132B9">
            <w:pPr>
              <w:tabs>
                <w:tab w:val="left" w:pos="1275"/>
              </w:tabs>
              <w:spacing w:line="360" w:lineRule="auto"/>
              <w:jc w:val="both"/>
              <w:rPr>
                <w:rFonts w:ascii="Arial" w:hAnsi="Arial" w:cs="Arial"/>
                <w:sz w:val="24"/>
                <w:szCs w:val="24"/>
              </w:rPr>
            </w:pPr>
          </w:p>
          <w:p w:rsidR="00BA4517" w:rsidRDefault="00BA4517" w:rsidP="00C132B9">
            <w:pPr>
              <w:tabs>
                <w:tab w:val="left" w:pos="1275"/>
              </w:tabs>
              <w:spacing w:line="360" w:lineRule="auto"/>
              <w:jc w:val="both"/>
              <w:rPr>
                <w:rFonts w:ascii="Arial" w:hAnsi="Arial" w:cs="Arial"/>
                <w:sz w:val="24"/>
                <w:szCs w:val="24"/>
              </w:rPr>
            </w:pPr>
            <w:r>
              <w:rPr>
                <w:rFonts w:ascii="Arial" w:hAnsi="Arial" w:cs="Arial"/>
                <w:sz w:val="24"/>
                <w:szCs w:val="24"/>
              </w:rPr>
              <w:t xml:space="preserve">               </w:t>
            </w:r>
            <w:r w:rsidR="00202A62">
              <w:rPr>
                <w:rFonts w:ascii="Arial" w:hAnsi="Arial" w:cs="Arial"/>
                <w:sz w:val="24"/>
                <w:szCs w:val="24"/>
              </w:rPr>
              <w:t>‘</w:t>
            </w:r>
            <w:r w:rsidR="00390BC9" w:rsidRPr="00BA4517">
              <w:rPr>
                <w:rFonts w:ascii="Arial" w:hAnsi="Arial" w:cs="Arial"/>
              </w:rPr>
              <w:t>Prayers</w:t>
            </w:r>
            <w:r w:rsidRPr="00BA4517">
              <w:rPr>
                <w:rFonts w:ascii="Arial" w:hAnsi="Arial" w:cs="Arial"/>
              </w:rPr>
              <w:t xml:space="preserve"> 8 to 11 of the desired amendments (paragraphs 2.8 to 2.11 herein) seek r</w:t>
            </w:r>
            <w:r w:rsidR="009B2D4B">
              <w:rPr>
                <w:rFonts w:ascii="Arial" w:hAnsi="Arial" w:cs="Arial"/>
              </w:rPr>
              <w:t xml:space="preserve">elief </w:t>
            </w:r>
            <w:r w:rsidR="009B2D4B">
              <w:rPr>
                <w:rFonts w:ascii="Arial" w:hAnsi="Arial" w:cs="Arial"/>
              </w:rPr>
              <w:lastRenderedPageBreak/>
              <w:t>which, in terms of s</w:t>
            </w:r>
            <w:r w:rsidRPr="00BA4517">
              <w:rPr>
                <w:rFonts w:ascii="Arial" w:hAnsi="Arial" w:cs="Arial"/>
              </w:rPr>
              <w:t>s 89(10)</w:t>
            </w:r>
            <w:r w:rsidRPr="00F90EEC">
              <w:rPr>
                <w:rFonts w:ascii="Arial" w:hAnsi="Arial" w:cs="Arial"/>
                <w:i/>
              </w:rPr>
              <w:t xml:space="preserve">(b) </w:t>
            </w:r>
            <w:r w:rsidRPr="00BA4517">
              <w:rPr>
                <w:rFonts w:ascii="Arial" w:hAnsi="Arial" w:cs="Arial"/>
              </w:rPr>
              <w:t xml:space="preserve">and </w:t>
            </w:r>
            <w:r w:rsidRPr="00F90EEC">
              <w:rPr>
                <w:rFonts w:ascii="Arial" w:hAnsi="Arial" w:cs="Arial"/>
                <w:i/>
              </w:rPr>
              <w:t>(c)</w:t>
            </w:r>
            <w:r w:rsidRPr="00BA4517">
              <w:rPr>
                <w:rFonts w:ascii="Arial" w:hAnsi="Arial" w:cs="Arial"/>
              </w:rPr>
              <w:t xml:space="preserve"> and section 117 of the Labour Act cannot be granted by this Honourable Court in review proceedings</w:t>
            </w:r>
            <w:r w:rsidRPr="00BA4517">
              <w:rPr>
                <w:rFonts w:ascii="Arial" w:hAnsi="Arial" w:cs="Arial"/>
                <w:sz w:val="24"/>
                <w:szCs w:val="24"/>
              </w:rPr>
              <w:t>.</w:t>
            </w:r>
            <w:r>
              <w:rPr>
                <w:rFonts w:ascii="Arial" w:hAnsi="Arial" w:cs="Arial"/>
                <w:sz w:val="24"/>
                <w:szCs w:val="24"/>
              </w:rPr>
              <w:t>;</w:t>
            </w:r>
            <w:r w:rsidR="00451597">
              <w:rPr>
                <w:rFonts w:ascii="Arial" w:hAnsi="Arial" w:cs="Arial"/>
                <w:sz w:val="24"/>
                <w:szCs w:val="24"/>
              </w:rPr>
              <w:t xml:space="preserve"> …</w:t>
            </w:r>
          </w:p>
          <w:p w:rsidR="00451597" w:rsidRDefault="00451597" w:rsidP="00451597">
            <w:pPr>
              <w:tabs>
                <w:tab w:val="left" w:pos="1275"/>
              </w:tabs>
              <w:spacing w:line="360" w:lineRule="auto"/>
              <w:jc w:val="both"/>
              <w:rPr>
                <w:rFonts w:ascii="Arial" w:hAnsi="Arial" w:cs="Arial"/>
              </w:rPr>
            </w:pPr>
          </w:p>
          <w:p w:rsidR="00451597" w:rsidRDefault="00451597" w:rsidP="00451597">
            <w:pPr>
              <w:tabs>
                <w:tab w:val="left" w:pos="1275"/>
              </w:tabs>
              <w:spacing w:line="360" w:lineRule="auto"/>
              <w:jc w:val="both"/>
              <w:rPr>
                <w:rFonts w:ascii="Arial" w:hAnsi="Arial" w:cs="Arial"/>
                <w:sz w:val="24"/>
                <w:szCs w:val="24"/>
              </w:rPr>
            </w:pPr>
            <w:r w:rsidRPr="00451597">
              <w:rPr>
                <w:rFonts w:ascii="Arial" w:hAnsi="Arial" w:cs="Arial"/>
              </w:rPr>
              <w:t>1st Respondent therefore is of the opinion that the proposed amendments serve</w:t>
            </w:r>
            <w:r>
              <w:rPr>
                <w:rFonts w:ascii="Arial" w:hAnsi="Arial" w:cs="Arial"/>
              </w:rPr>
              <w:t xml:space="preserve"> </w:t>
            </w:r>
            <w:r w:rsidRPr="00451597">
              <w:rPr>
                <w:rFonts w:ascii="Arial" w:hAnsi="Arial" w:cs="Arial"/>
              </w:rPr>
              <w:t>no purpose other than to introduce further delay in the already protracted matter</w:t>
            </w:r>
            <w:r>
              <w:rPr>
                <w:rFonts w:ascii="Arial" w:hAnsi="Arial" w:cs="Arial"/>
              </w:rPr>
              <w:t>.’</w:t>
            </w:r>
          </w:p>
          <w:p w:rsidR="00BA4517" w:rsidRDefault="00BA4517" w:rsidP="00C132B9">
            <w:pPr>
              <w:tabs>
                <w:tab w:val="left" w:pos="1275"/>
              </w:tabs>
              <w:spacing w:line="360" w:lineRule="auto"/>
              <w:jc w:val="both"/>
              <w:rPr>
                <w:rFonts w:ascii="Arial" w:hAnsi="Arial" w:cs="Arial"/>
                <w:sz w:val="24"/>
                <w:szCs w:val="24"/>
              </w:rPr>
            </w:pPr>
          </w:p>
          <w:p w:rsidR="00CC3445" w:rsidRDefault="003360A5" w:rsidP="00C132B9">
            <w:pPr>
              <w:tabs>
                <w:tab w:val="left" w:pos="1275"/>
              </w:tabs>
              <w:spacing w:line="360" w:lineRule="auto"/>
              <w:jc w:val="both"/>
              <w:rPr>
                <w:rFonts w:ascii="Arial" w:hAnsi="Arial" w:cs="Arial"/>
                <w:sz w:val="24"/>
                <w:szCs w:val="24"/>
              </w:rPr>
            </w:pPr>
            <w:r>
              <w:rPr>
                <w:rFonts w:ascii="Arial" w:hAnsi="Arial" w:cs="Arial"/>
                <w:sz w:val="24"/>
                <w:szCs w:val="24"/>
              </w:rPr>
              <w:t xml:space="preserve"> </w:t>
            </w:r>
            <w:r w:rsidR="00CC3445">
              <w:rPr>
                <w:rFonts w:ascii="Arial" w:hAnsi="Arial" w:cs="Arial"/>
                <w:sz w:val="24"/>
                <w:szCs w:val="24"/>
              </w:rPr>
              <w:t>[</w:t>
            </w:r>
            <w:r w:rsidR="00595221">
              <w:rPr>
                <w:rFonts w:ascii="Arial" w:hAnsi="Arial" w:cs="Arial"/>
                <w:sz w:val="24"/>
                <w:szCs w:val="24"/>
              </w:rPr>
              <w:t>13</w:t>
            </w:r>
            <w:r w:rsidR="00CC3445">
              <w:rPr>
                <w:rFonts w:ascii="Arial" w:hAnsi="Arial" w:cs="Arial"/>
                <w:sz w:val="24"/>
                <w:szCs w:val="24"/>
              </w:rPr>
              <w:t xml:space="preserve">]     The court gave the following reasons for not granting </w:t>
            </w:r>
            <w:r w:rsidR="00202A62">
              <w:rPr>
                <w:rFonts w:ascii="Arial" w:hAnsi="Arial" w:cs="Arial"/>
                <w:sz w:val="24"/>
                <w:szCs w:val="24"/>
              </w:rPr>
              <w:t>t</w:t>
            </w:r>
            <w:r w:rsidR="00CC3445">
              <w:rPr>
                <w:rFonts w:ascii="Arial" w:hAnsi="Arial" w:cs="Arial"/>
                <w:sz w:val="24"/>
                <w:szCs w:val="24"/>
              </w:rPr>
              <w:t>he amendment by the insertion of prayer 10:</w:t>
            </w:r>
          </w:p>
          <w:p w:rsidR="003E3C4E" w:rsidRDefault="003E3C4E" w:rsidP="00C132B9">
            <w:pPr>
              <w:tabs>
                <w:tab w:val="left" w:pos="1275"/>
              </w:tabs>
              <w:spacing w:line="360" w:lineRule="auto"/>
              <w:jc w:val="both"/>
              <w:rPr>
                <w:rFonts w:ascii="Arial" w:hAnsi="Arial" w:cs="Arial"/>
                <w:sz w:val="24"/>
                <w:szCs w:val="24"/>
              </w:rPr>
            </w:pPr>
          </w:p>
          <w:p w:rsidR="00CC3445" w:rsidRPr="00202A62" w:rsidRDefault="00CC3445" w:rsidP="00202A62">
            <w:pPr>
              <w:tabs>
                <w:tab w:val="left" w:pos="1275"/>
              </w:tabs>
              <w:spacing w:line="360" w:lineRule="auto"/>
              <w:jc w:val="both"/>
              <w:rPr>
                <w:rFonts w:ascii="Arial" w:hAnsi="Arial" w:cs="Arial"/>
              </w:rPr>
            </w:pPr>
            <w:r>
              <w:rPr>
                <w:rFonts w:ascii="Arial" w:hAnsi="Arial" w:cs="Arial"/>
                <w:sz w:val="24"/>
                <w:szCs w:val="24"/>
              </w:rPr>
              <w:t xml:space="preserve">                </w:t>
            </w:r>
            <w:r w:rsidR="003E3C4E" w:rsidRPr="00202A62">
              <w:rPr>
                <w:rFonts w:ascii="Arial" w:hAnsi="Arial" w:cs="Arial"/>
              </w:rPr>
              <w:t>‘</w:t>
            </w:r>
            <w:r w:rsidRPr="00202A62">
              <w:rPr>
                <w:rFonts w:ascii="Arial" w:hAnsi="Arial" w:cs="Arial"/>
              </w:rPr>
              <w:t>There is however one amendment proposed which is not only for clarification but is a complete new application to this court, seeking an order for compensation. To accede to this amendment would be highly prejudicial to the respondents in that it would necessitate the filing of supplementary affidavits and re-opening of the pleadings. Not only would this be detrimental to the respondent but also to the applicant who is seeking finality</w:t>
            </w:r>
            <w:r w:rsidR="00E253D1" w:rsidRPr="00202A62">
              <w:rPr>
                <w:rFonts w:ascii="Arial" w:hAnsi="Arial" w:cs="Arial"/>
              </w:rPr>
              <w:t xml:space="preserve"> in this matter. This amendment</w:t>
            </w:r>
            <w:r w:rsidRPr="00202A62">
              <w:rPr>
                <w:rFonts w:ascii="Arial" w:hAnsi="Arial" w:cs="Arial"/>
              </w:rPr>
              <w:t xml:space="preserve"> ought to be distinguished from those amendments which are proposed to clarify the initial application.’</w:t>
            </w:r>
          </w:p>
          <w:p w:rsidR="00CC3445" w:rsidRDefault="00CC3445" w:rsidP="00C132B9">
            <w:pPr>
              <w:tabs>
                <w:tab w:val="left" w:pos="1275"/>
              </w:tabs>
              <w:spacing w:line="360" w:lineRule="auto"/>
              <w:jc w:val="both"/>
              <w:rPr>
                <w:rFonts w:ascii="Arial Narrow" w:hAnsi="Arial Narrow" w:cs="Arial"/>
                <w:sz w:val="24"/>
                <w:szCs w:val="24"/>
              </w:rPr>
            </w:pPr>
          </w:p>
          <w:p w:rsidR="00390BC9" w:rsidRPr="00390BC9" w:rsidRDefault="00390BC9" w:rsidP="00390BC9">
            <w:pPr>
              <w:tabs>
                <w:tab w:val="left" w:pos="1275"/>
              </w:tabs>
              <w:spacing w:line="360" w:lineRule="auto"/>
              <w:jc w:val="both"/>
              <w:rPr>
                <w:rFonts w:ascii="Arial" w:hAnsi="Arial" w:cs="Arial"/>
                <w:sz w:val="24"/>
                <w:szCs w:val="24"/>
              </w:rPr>
            </w:pPr>
            <w:r>
              <w:rPr>
                <w:rFonts w:ascii="Arial" w:hAnsi="Arial" w:cs="Arial"/>
                <w:sz w:val="24"/>
                <w:szCs w:val="24"/>
              </w:rPr>
              <w:t>[</w:t>
            </w:r>
            <w:r w:rsidR="00595221">
              <w:rPr>
                <w:rFonts w:ascii="Arial" w:hAnsi="Arial" w:cs="Arial"/>
                <w:sz w:val="24"/>
                <w:szCs w:val="24"/>
              </w:rPr>
              <w:t>14</w:t>
            </w:r>
            <w:r w:rsidR="00562D9F">
              <w:rPr>
                <w:rFonts w:ascii="Arial" w:hAnsi="Arial" w:cs="Arial"/>
                <w:sz w:val="24"/>
                <w:szCs w:val="24"/>
              </w:rPr>
              <w:t>]       S</w:t>
            </w:r>
            <w:r w:rsidR="003E3C4E">
              <w:rPr>
                <w:rFonts w:ascii="Arial" w:hAnsi="Arial" w:cs="Arial"/>
                <w:sz w:val="24"/>
                <w:szCs w:val="24"/>
              </w:rPr>
              <w:t xml:space="preserve"> 89</w:t>
            </w:r>
            <w:r w:rsidRPr="00390BC9">
              <w:rPr>
                <w:rFonts w:ascii="Arial" w:hAnsi="Arial" w:cs="Arial"/>
                <w:sz w:val="24"/>
                <w:szCs w:val="24"/>
              </w:rPr>
              <w:t>(10)</w:t>
            </w:r>
            <w:r w:rsidR="00106147">
              <w:rPr>
                <w:rFonts w:ascii="Arial" w:hAnsi="Arial" w:cs="Arial"/>
                <w:sz w:val="24"/>
                <w:szCs w:val="24"/>
              </w:rPr>
              <w:t xml:space="preserve"> provides that, i</w:t>
            </w:r>
            <w:r w:rsidRPr="00390BC9">
              <w:rPr>
                <w:rFonts w:ascii="Arial" w:hAnsi="Arial" w:cs="Arial"/>
                <w:sz w:val="24"/>
                <w:szCs w:val="24"/>
              </w:rPr>
              <w:t>f the award is set aside, the Labour Court may-</w:t>
            </w:r>
          </w:p>
          <w:p w:rsidR="003E381D" w:rsidRPr="00390BC9" w:rsidRDefault="003E381D" w:rsidP="003E381D">
            <w:pPr>
              <w:tabs>
                <w:tab w:val="left" w:pos="1275"/>
              </w:tabs>
              <w:spacing w:line="360" w:lineRule="auto"/>
              <w:jc w:val="both"/>
              <w:rPr>
                <w:rFonts w:ascii="Arial" w:hAnsi="Arial" w:cs="Arial"/>
              </w:rPr>
            </w:pPr>
            <w:r>
              <w:rPr>
                <w:rFonts w:ascii="Arial" w:hAnsi="Arial" w:cs="Arial"/>
                <w:sz w:val="24"/>
                <w:szCs w:val="24"/>
              </w:rPr>
              <w:t xml:space="preserve">             ‘</w:t>
            </w:r>
            <w:r w:rsidRPr="00390BC9">
              <w:rPr>
                <w:rFonts w:ascii="Arial" w:hAnsi="Arial" w:cs="Arial"/>
              </w:rPr>
              <w:t>(a)</w:t>
            </w:r>
            <w:r>
              <w:rPr>
                <w:rFonts w:ascii="Arial" w:hAnsi="Arial" w:cs="Arial"/>
              </w:rPr>
              <w:t xml:space="preserve"> </w:t>
            </w:r>
            <w:r w:rsidRPr="00390BC9">
              <w:rPr>
                <w:rFonts w:ascii="Arial" w:hAnsi="Arial" w:cs="Arial"/>
              </w:rPr>
              <w:t>….</w:t>
            </w:r>
          </w:p>
          <w:p w:rsidR="003E381D" w:rsidRPr="00390BC9" w:rsidRDefault="003E381D" w:rsidP="003E381D">
            <w:pPr>
              <w:tabs>
                <w:tab w:val="left" w:pos="1275"/>
              </w:tabs>
              <w:spacing w:line="360" w:lineRule="auto"/>
              <w:jc w:val="both"/>
              <w:rPr>
                <w:rFonts w:ascii="Arial" w:hAnsi="Arial" w:cs="Arial"/>
              </w:rPr>
            </w:pPr>
            <w:r w:rsidRPr="00390BC9">
              <w:rPr>
                <w:rFonts w:ascii="Arial" w:hAnsi="Arial" w:cs="Arial"/>
              </w:rPr>
              <w:t>(b)</w:t>
            </w:r>
            <w:r>
              <w:rPr>
                <w:rFonts w:ascii="Arial" w:hAnsi="Arial" w:cs="Arial"/>
              </w:rPr>
              <w:t xml:space="preserve"> </w:t>
            </w:r>
            <w:r w:rsidRPr="00390BC9">
              <w:rPr>
                <w:rFonts w:ascii="Arial" w:hAnsi="Arial" w:cs="Arial"/>
              </w:rPr>
              <w:t>refer it back to the arbitrator or direct that a new arbitrator be designated; or</w:t>
            </w:r>
          </w:p>
          <w:p w:rsidR="003E381D" w:rsidRPr="00390BC9" w:rsidRDefault="003E381D" w:rsidP="003E381D">
            <w:pPr>
              <w:tabs>
                <w:tab w:val="left" w:pos="1275"/>
              </w:tabs>
              <w:spacing w:line="360" w:lineRule="auto"/>
              <w:jc w:val="both"/>
              <w:rPr>
                <w:rFonts w:ascii="Arial" w:hAnsi="Arial" w:cs="Arial"/>
              </w:rPr>
            </w:pPr>
            <w:r w:rsidRPr="00390BC9">
              <w:rPr>
                <w:rFonts w:ascii="Arial" w:hAnsi="Arial" w:cs="Arial"/>
              </w:rPr>
              <w:t>(c)</w:t>
            </w:r>
            <w:r>
              <w:rPr>
                <w:rFonts w:ascii="Arial" w:hAnsi="Arial" w:cs="Arial"/>
              </w:rPr>
              <w:t xml:space="preserve"> </w:t>
            </w:r>
            <w:r w:rsidRPr="00390BC9">
              <w:rPr>
                <w:rFonts w:ascii="Arial" w:hAnsi="Arial" w:cs="Arial"/>
              </w:rPr>
              <w:t>make any order it considers appropriate about the procedures to be followed to determine the dispute.</w:t>
            </w:r>
            <w:r>
              <w:rPr>
                <w:rFonts w:ascii="Arial" w:hAnsi="Arial" w:cs="Arial"/>
              </w:rPr>
              <w:t>’</w:t>
            </w:r>
            <w:r w:rsidRPr="00390BC9">
              <w:rPr>
                <w:rFonts w:ascii="Arial" w:hAnsi="Arial" w:cs="Arial"/>
              </w:rPr>
              <w:t xml:space="preserve">  </w:t>
            </w:r>
          </w:p>
          <w:p w:rsidR="00CC3445" w:rsidRPr="003E381D" w:rsidRDefault="00390BC9" w:rsidP="00C132B9">
            <w:pPr>
              <w:tabs>
                <w:tab w:val="left" w:pos="1275"/>
              </w:tabs>
              <w:spacing w:line="360" w:lineRule="auto"/>
              <w:jc w:val="both"/>
              <w:rPr>
                <w:rFonts w:ascii="Arial" w:hAnsi="Arial" w:cs="Arial"/>
              </w:rPr>
            </w:pPr>
            <w:r w:rsidRPr="00390BC9">
              <w:rPr>
                <w:rFonts w:ascii="Arial" w:hAnsi="Arial" w:cs="Arial"/>
                <w:sz w:val="24"/>
                <w:szCs w:val="24"/>
              </w:rPr>
              <w:tab/>
            </w:r>
            <w:r w:rsidRPr="00390BC9">
              <w:rPr>
                <w:rFonts w:ascii="Arial" w:hAnsi="Arial" w:cs="Arial"/>
              </w:rPr>
              <w:t xml:space="preserve"> </w:t>
            </w:r>
          </w:p>
          <w:p w:rsidR="00451597" w:rsidRDefault="00390BC9" w:rsidP="00C132B9">
            <w:pPr>
              <w:tabs>
                <w:tab w:val="left" w:pos="1275"/>
              </w:tabs>
              <w:spacing w:line="360" w:lineRule="auto"/>
              <w:jc w:val="both"/>
              <w:rPr>
                <w:rFonts w:ascii="Arial" w:hAnsi="Arial" w:cs="Arial"/>
                <w:sz w:val="24"/>
                <w:szCs w:val="24"/>
              </w:rPr>
            </w:pPr>
            <w:r>
              <w:rPr>
                <w:rFonts w:ascii="Arial" w:hAnsi="Arial" w:cs="Arial"/>
                <w:sz w:val="24"/>
                <w:szCs w:val="24"/>
              </w:rPr>
              <w:t>[</w:t>
            </w:r>
            <w:r w:rsidR="00595221">
              <w:rPr>
                <w:rFonts w:ascii="Arial" w:hAnsi="Arial" w:cs="Arial"/>
                <w:sz w:val="24"/>
                <w:szCs w:val="24"/>
              </w:rPr>
              <w:t>15</w:t>
            </w:r>
            <w:r>
              <w:rPr>
                <w:rFonts w:ascii="Arial" w:hAnsi="Arial" w:cs="Arial"/>
                <w:sz w:val="24"/>
                <w:szCs w:val="24"/>
              </w:rPr>
              <w:t xml:space="preserve">]    The applicant herein </w:t>
            </w:r>
            <w:r w:rsidR="003E381D">
              <w:rPr>
                <w:rFonts w:ascii="Arial" w:hAnsi="Arial" w:cs="Arial"/>
                <w:sz w:val="24"/>
                <w:szCs w:val="24"/>
              </w:rPr>
              <w:t>filed an application</w:t>
            </w:r>
            <w:r w:rsidR="00E253D1">
              <w:rPr>
                <w:rFonts w:ascii="Arial" w:hAnsi="Arial" w:cs="Arial"/>
                <w:sz w:val="24"/>
                <w:szCs w:val="24"/>
              </w:rPr>
              <w:t xml:space="preserve"> </w:t>
            </w:r>
            <w:r w:rsidR="00E253D1" w:rsidRPr="00F90EEC">
              <w:rPr>
                <w:rFonts w:ascii="Arial" w:hAnsi="Arial" w:cs="Arial"/>
                <w:sz w:val="24"/>
                <w:szCs w:val="24"/>
              </w:rPr>
              <w:t xml:space="preserve">for review. </w:t>
            </w:r>
            <w:r w:rsidRPr="00F90EEC">
              <w:rPr>
                <w:rFonts w:ascii="Arial" w:hAnsi="Arial" w:cs="Arial"/>
                <w:sz w:val="24"/>
                <w:szCs w:val="24"/>
              </w:rPr>
              <w:t>The claim for compensation as set out in the prayer was neve</w:t>
            </w:r>
            <w:r w:rsidR="00F90EEC" w:rsidRPr="00F90EEC">
              <w:rPr>
                <w:rFonts w:ascii="Arial" w:hAnsi="Arial" w:cs="Arial"/>
                <w:sz w:val="24"/>
                <w:szCs w:val="24"/>
              </w:rPr>
              <w:t>r part of any claim before the a</w:t>
            </w:r>
            <w:r w:rsidRPr="00F90EEC">
              <w:rPr>
                <w:rFonts w:ascii="Arial" w:hAnsi="Arial" w:cs="Arial"/>
                <w:sz w:val="24"/>
                <w:szCs w:val="24"/>
              </w:rPr>
              <w:t xml:space="preserve">rbitrator and it constitutes a new claim raised </w:t>
            </w:r>
            <w:r w:rsidR="00017895" w:rsidRPr="00F90EEC">
              <w:rPr>
                <w:rFonts w:ascii="Arial" w:hAnsi="Arial" w:cs="Arial"/>
                <w:sz w:val="24"/>
                <w:szCs w:val="24"/>
              </w:rPr>
              <w:t>for the first time before this court.</w:t>
            </w:r>
            <w:r w:rsidR="00106147" w:rsidRPr="00F90EEC">
              <w:rPr>
                <w:rFonts w:ascii="Arial" w:hAnsi="Arial" w:cs="Arial"/>
                <w:sz w:val="24"/>
                <w:szCs w:val="24"/>
              </w:rPr>
              <w:t xml:space="preserve"> Mr Amukena</w:t>
            </w:r>
            <w:r w:rsidR="00E253D1" w:rsidRPr="00F90EEC">
              <w:rPr>
                <w:rFonts w:ascii="Arial" w:hAnsi="Arial" w:cs="Arial"/>
                <w:sz w:val="24"/>
                <w:szCs w:val="24"/>
              </w:rPr>
              <w:t xml:space="preserve"> during his submissions in this court for leave to appeal, </w:t>
            </w:r>
            <w:r w:rsidR="007E2784">
              <w:rPr>
                <w:rFonts w:ascii="Arial" w:hAnsi="Arial" w:cs="Arial"/>
                <w:sz w:val="24"/>
                <w:szCs w:val="24"/>
              </w:rPr>
              <w:t xml:space="preserve">was unable to </w:t>
            </w:r>
            <w:r w:rsidR="00106147" w:rsidRPr="00F90EEC">
              <w:rPr>
                <w:rFonts w:ascii="Arial" w:hAnsi="Arial" w:cs="Arial"/>
                <w:sz w:val="24"/>
                <w:szCs w:val="24"/>
              </w:rPr>
              <w:t xml:space="preserve">point out </w:t>
            </w:r>
            <w:r w:rsidR="00E253D1" w:rsidRPr="00F90EEC">
              <w:rPr>
                <w:rFonts w:ascii="Arial" w:hAnsi="Arial" w:cs="Arial"/>
                <w:sz w:val="24"/>
                <w:szCs w:val="24"/>
              </w:rPr>
              <w:t>whe</w:t>
            </w:r>
            <w:r w:rsidR="007E2784">
              <w:rPr>
                <w:rFonts w:ascii="Arial" w:hAnsi="Arial" w:cs="Arial"/>
                <w:sz w:val="24"/>
                <w:szCs w:val="24"/>
              </w:rPr>
              <w:t>n this claim</w:t>
            </w:r>
            <w:r w:rsidR="003E381D">
              <w:rPr>
                <w:rFonts w:ascii="Arial" w:hAnsi="Arial" w:cs="Arial"/>
                <w:sz w:val="24"/>
                <w:szCs w:val="24"/>
              </w:rPr>
              <w:t xml:space="preserve"> </w:t>
            </w:r>
            <w:r w:rsidR="00F90EEC" w:rsidRPr="00F90EEC">
              <w:rPr>
                <w:rFonts w:ascii="Arial" w:hAnsi="Arial" w:cs="Arial"/>
                <w:sz w:val="24"/>
                <w:szCs w:val="24"/>
              </w:rPr>
              <w:t>served before the a</w:t>
            </w:r>
            <w:r w:rsidR="00E253D1" w:rsidRPr="00F90EEC">
              <w:rPr>
                <w:rFonts w:ascii="Arial" w:hAnsi="Arial" w:cs="Arial"/>
                <w:sz w:val="24"/>
                <w:szCs w:val="24"/>
              </w:rPr>
              <w:t>rbitrator.</w:t>
            </w:r>
            <w:r w:rsidR="00E253D1">
              <w:rPr>
                <w:rFonts w:ascii="Arial" w:hAnsi="Arial" w:cs="Arial"/>
                <w:sz w:val="24"/>
                <w:szCs w:val="24"/>
              </w:rPr>
              <w:t xml:space="preserve"> </w:t>
            </w:r>
          </w:p>
          <w:p w:rsidR="00E253D1" w:rsidRDefault="00E253D1" w:rsidP="00C132B9">
            <w:pPr>
              <w:tabs>
                <w:tab w:val="left" w:pos="1275"/>
              </w:tabs>
              <w:spacing w:line="360" w:lineRule="auto"/>
              <w:jc w:val="both"/>
              <w:rPr>
                <w:rFonts w:ascii="Arial" w:hAnsi="Arial" w:cs="Arial"/>
                <w:sz w:val="24"/>
                <w:szCs w:val="24"/>
              </w:rPr>
            </w:pPr>
          </w:p>
          <w:p w:rsidR="0070535F" w:rsidRDefault="00451597" w:rsidP="0070535F">
            <w:pPr>
              <w:tabs>
                <w:tab w:val="left" w:pos="1275"/>
              </w:tabs>
              <w:spacing w:line="360" w:lineRule="auto"/>
              <w:jc w:val="both"/>
              <w:rPr>
                <w:rFonts w:ascii="Arial" w:hAnsi="Arial" w:cs="Arial"/>
                <w:sz w:val="24"/>
                <w:szCs w:val="24"/>
              </w:rPr>
            </w:pPr>
            <w:r>
              <w:rPr>
                <w:rFonts w:ascii="Arial" w:hAnsi="Arial" w:cs="Arial"/>
                <w:sz w:val="24"/>
                <w:szCs w:val="24"/>
              </w:rPr>
              <w:t>[</w:t>
            </w:r>
            <w:r w:rsidR="00595221">
              <w:rPr>
                <w:rFonts w:ascii="Arial" w:hAnsi="Arial" w:cs="Arial"/>
                <w:sz w:val="24"/>
                <w:szCs w:val="24"/>
              </w:rPr>
              <w:t>16</w:t>
            </w:r>
            <w:r>
              <w:rPr>
                <w:rFonts w:ascii="Arial" w:hAnsi="Arial" w:cs="Arial"/>
                <w:sz w:val="24"/>
                <w:szCs w:val="24"/>
              </w:rPr>
              <w:t>]     Mr Ulrich during his argument</w:t>
            </w:r>
            <w:r w:rsidR="0003662B">
              <w:rPr>
                <w:rFonts w:ascii="Arial" w:hAnsi="Arial" w:cs="Arial"/>
                <w:sz w:val="24"/>
                <w:szCs w:val="24"/>
              </w:rPr>
              <w:t>,</w:t>
            </w:r>
            <w:r>
              <w:rPr>
                <w:rFonts w:ascii="Arial" w:hAnsi="Arial" w:cs="Arial"/>
                <w:sz w:val="24"/>
                <w:szCs w:val="24"/>
              </w:rPr>
              <w:t xml:space="preserve"> addressed the issue of p</w:t>
            </w:r>
            <w:r w:rsidR="0070535F">
              <w:rPr>
                <w:rFonts w:ascii="Arial" w:hAnsi="Arial" w:cs="Arial"/>
                <w:sz w:val="24"/>
                <w:szCs w:val="24"/>
              </w:rPr>
              <w:t xml:space="preserve">rejudice and the issue of costs indicating that the first respondent suffers severe prejudice particularly having to litigate with the prospect that no order as to costs would be made. </w:t>
            </w:r>
            <w:r>
              <w:rPr>
                <w:rFonts w:ascii="Arial" w:hAnsi="Arial" w:cs="Arial"/>
                <w:sz w:val="24"/>
                <w:szCs w:val="24"/>
              </w:rPr>
              <w:t xml:space="preserve">He argued that the applicant </w:t>
            </w:r>
            <w:r w:rsidR="0070535F">
              <w:rPr>
                <w:rFonts w:ascii="Arial" w:hAnsi="Arial" w:cs="Arial"/>
                <w:sz w:val="24"/>
                <w:szCs w:val="24"/>
              </w:rPr>
              <w:t xml:space="preserve">did </w:t>
            </w:r>
            <w:r>
              <w:rPr>
                <w:rFonts w:ascii="Arial" w:hAnsi="Arial" w:cs="Arial"/>
                <w:sz w:val="24"/>
                <w:szCs w:val="24"/>
              </w:rPr>
              <w:t>not address</w:t>
            </w:r>
            <w:r w:rsidR="0070535F">
              <w:rPr>
                <w:rFonts w:ascii="Arial" w:hAnsi="Arial" w:cs="Arial"/>
                <w:sz w:val="24"/>
                <w:szCs w:val="24"/>
              </w:rPr>
              <w:t xml:space="preserve"> the issue of prejudice. He furthermore argued that the amendments sought by the applicant </w:t>
            </w:r>
            <w:r w:rsidR="0003662B">
              <w:rPr>
                <w:rFonts w:ascii="Arial" w:hAnsi="Arial" w:cs="Arial"/>
                <w:sz w:val="24"/>
                <w:szCs w:val="24"/>
              </w:rPr>
              <w:t>were</w:t>
            </w:r>
            <w:r w:rsidR="0070535F">
              <w:rPr>
                <w:rFonts w:ascii="Arial" w:hAnsi="Arial" w:cs="Arial"/>
                <w:sz w:val="24"/>
                <w:szCs w:val="24"/>
              </w:rPr>
              <w:t xml:space="preserve"> substantial and that the proposed amendments range from reviewing actions of the third respondent to seeking declaratory </w:t>
            </w:r>
            <w:r w:rsidR="0070535F">
              <w:rPr>
                <w:rFonts w:ascii="Arial" w:hAnsi="Arial" w:cs="Arial"/>
                <w:sz w:val="24"/>
                <w:szCs w:val="24"/>
              </w:rPr>
              <w:lastRenderedPageBreak/>
              <w:t>orders about the validity of internal policies of the first respondent. He also highlighted that the appli</w:t>
            </w:r>
            <w:r w:rsidR="0003662B">
              <w:rPr>
                <w:rFonts w:ascii="Arial" w:hAnsi="Arial" w:cs="Arial"/>
                <w:sz w:val="24"/>
                <w:szCs w:val="24"/>
              </w:rPr>
              <w:t>cant is seeking remuneration o</w:t>
            </w:r>
            <w:r w:rsidR="0070535F">
              <w:rPr>
                <w:rFonts w:ascii="Arial" w:hAnsi="Arial" w:cs="Arial"/>
                <w:sz w:val="24"/>
                <w:szCs w:val="24"/>
              </w:rPr>
              <w:t>n terms that ha</w:t>
            </w:r>
            <w:r w:rsidR="003E381D">
              <w:rPr>
                <w:rFonts w:ascii="Arial" w:hAnsi="Arial" w:cs="Arial"/>
                <w:sz w:val="24"/>
                <w:szCs w:val="24"/>
              </w:rPr>
              <w:t>ve</w:t>
            </w:r>
            <w:r w:rsidR="0070535F">
              <w:rPr>
                <w:rFonts w:ascii="Arial" w:hAnsi="Arial" w:cs="Arial"/>
                <w:sz w:val="24"/>
                <w:szCs w:val="24"/>
              </w:rPr>
              <w:t xml:space="preserve"> never been revealed to this court, prayer ten being a case </w:t>
            </w:r>
            <w:r w:rsidR="0003662B">
              <w:rPr>
                <w:rFonts w:ascii="Arial" w:hAnsi="Arial" w:cs="Arial"/>
                <w:sz w:val="24"/>
                <w:szCs w:val="24"/>
              </w:rPr>
              <w:t>i</w:t>
            </w:r>
            <w:r w:rsidR="0070535F">
              <w:rPr>
                <w:rFonts w:ascii="Arial" w:hAnsi="Arial" w:cs="Arial"/>
                <w:sz w:val="24"/>
                <w:szCs w:val="24"/>
              </w:rPr>
              <w:t xml:space="preserve">n point. This court can hardly be accused of “going on a frolic of her own”. </w:t>
            </w:r>
            <w:r w:rsidR="0070535F" w:rsidRPr="0070535F">
              <w:rPr>
                <w:rFonts w:ascii="Arial" w:hAnsi="Arial" w:cs="Arial"/>
                <w:sz w:val="24"/>
                <w:szCs w:val="24"/>
              </w:rPr>
              <w:t>This court exercised its discretion not to grant leave to last minute amendments which would clearly be prejudicial to the other party particularly when that party is not entitled, as a rule, to recover costs.</w:t>
            </w:r>
          </w:p>
          <w:p w:rsidR="0070535F" w:rsidRDefault="0070535F" w:rsidP="00C132B9">
            <w:pPr>
              <w:tabs>
                <w:tab w:val="left" w:pos="1275"/>
              </w:tabs>
              <w:spacing w:line="360" w:lineRule="auto"/>
              <w:jc w:val="both"/>
              <w:rPr>
                <w:rFonts w:ascii="Arial" w:hAnsi="Arial" w:cs="Arial"/>
                <w:sz w:val="24"/>
                <w:szCs w:val="24"/>
              </w:rPr>
            </w:pPr>
          </w:p>
          <w:p w:rsidR="0070535F" w:rsidRDefault="0070535F" w:rsidP="00C132B9">
            <w:pPr>
              <w:tabs>
                <w:tab w:val="left" w:pos="1275"/>
              </w:tabs>
              <w:spacing w:line="360" w:lineRule="auto"/>
              <w:jc w:val="both"/>
              <w:rPr>
                <w:rFonts w:ascii="Arial" w:hAnsi="Arial" w:cs="Arial"/>
                <w:sz w:val="24"/>
                <w:szCs w:val="24"/>
              </w:rPr>
            </w:pPr>
            <w:r>
              <w:rPr>
                <w:rFonts w:ascii="Arial" w:hAnsi="Arial" w:cs="Arial"/>
                <w:sz w:val="24"/>
                <w:szCs w:val="24"/>
              </w:rPr>
              <w:t>[</w:t>
            </w:r>
            <w:r w:rsidR="00595221">
              <w:rPr>
                <w:rFonts w:ascii="Arial" w:hAnsi="Arial" w:cs="Arial"/>
                <w:sz w:val="24"/>
                <w:szCs w:val="24"/>
              </w:rPr>
              <w:t>17</w:t>
            </w:r>
            <w:r>
              <w:rPr>
                <w:rFonts w:ascii="Arial" w:hAnsi="Arial" w:cs="Arial"/>
                <w:sz w:val="24"/>
                <w:szCs w:val="24"/>
              </w:rPr>
              <w:t xml:space="preserve">]      </w:t>
            </w:r>
            <w:r w:rsidRPr="0070535F">
              <w:rPr>
                <w:rFonts w:ascii="Arial" w:hAnsi="Arial" w:cs="Arial"/>
                <w:sz w:val="24"/>
                <w:szCs w:val="24"/>
              </w:rPr>
              <w:t xml:space="preserve">The applicant failed to make out a case for this court to conclude that the appellate court would come to a different decision. </w:t>
            </w:r>
          </w:p>
          <w:p w:rsidR="00B00727" w:rsidRDefault="00B00727" w:rsidP="00C132B9">
            <w:pPr>
              <w:tabs>
                <w:tab w:val="left" w:pos="1275"/>
              </w:tabs>
              <w:spacing w:line="360" w:lineRule="auto"/>
              <w:jc w:val="both"/>
              <w:rPr>
                <w:rFonts w:ascii="Arial" w:hAnsi="Arial" w:cs="Arial"/>
                <w:sz w:val="24"/>
                <w:szCs w:val="24"/>
              </w:rPr>
            </w:pPr>
          </w:p>
          <w:p w:rsidR="0070535F" w:rsidRDefault="00B00727" w:rsidP="00C132B9">
            <w:pPr>
              <w:tabs>
                <w:tab w:val="left" w:pos="1275"/>
              </w:tabs>
              <w:spacing w:line="360" w:lineRule="auto"/>
              <w:jc w:val="both"/>
              <w:rPr>
                <w:rFonts w:ascii="Arial" w:hAnsi="Arial" w:cs="Arial"/>
                <w:sz w:val="24"/>
                <w:szCs w:val="24"/>
                <w:u w:val="single"/>
              </w:rPr>
            </w:pPr>
            <w:r w:rsidRPr="00B00727">
              <w:rPr>
                <w:rFonts w:ascii="Arial" w:hAnsi="Arial" w:cs="Arial"/>
                <w:sz w:val="24"/>
                <w:szCs w:val="24"/>
                <w:u w:val="single"/>
              </w:rPr>
              <w:t>Ad third ground</w:t>
            </w:r>
          </w:p>
          <w:p w:rsidR="00595221" w:rsidRPr="00B00727" w:rsidRDefault="00595221" w:rsidP="00C132B9">
            <w:pPr>
              <w:tabs>
                <w:tab w:val="left" w:pos="1275"/>
              </w:tabs>
              <w:spacing w:line="360" w:lineRule="auto"/>
              <w:jc w:val="both"/>
              <w:rPr>
                <w:rFonts w:ascii="Arial" w:hAnsi="Arial" w:cs="Arial"/>
                <w:sz w:val="24"/>
                <w:szCs w:val="24"/>
                <w:u w:val="single"/>
              </w:rPr>
            </w:pPr>
          </w:p>
          <w:p w:rsidR="00017895" w:rsidRDefault="00B00727" w:rsidP="00C132B9">
            <w:pPr>
              <w:tabs>
                <w:tab w:val="left" w:pos="1275"/>
              </w:tabs>
              <w:spacing w:line="360" w:lineRule="auto"/>
              <w:jc w:val="both"/>
              <w:rPr>
                <w:rFonts w:ascii="Arial" w:hAnsi="Arial" w:cs="Arial"/>
                <w:sz w:val="24"/>
                <w:szCs w:val="24"/>
              </w:rPr>
            </w:pPr>
            <w:r>
              <w:rPr>
                <w:rFonts w:ascii="Arial" w:hAnsi="Arial" w:cs="Arial"/>
                <w:sz w:val="24"/>
                <w:szCs w:val="24"/>
              </w:rPr>
              <w:t>[</w:t>
            </w:r>
            <w:r w:rsidR="00595221">
              <w:rPr>
                <w:rFonts w:ascii="Arial" w:hAnsi="Arial" w:cs="Arial"/>
                <w:sz w:val="24"/>
                <w:szCs w:val="24"/>
              </w:rPr>
              <w:t>18</w:t>
            </w:r>
            <w:r>
              <w:rPr>
                <w:rFonts w:ascii="Arial" w:hAnsi="Arial" w:cs="Arial"/>
                <w:sz w:val="24"/>
                <w:szCs w:val="24"/>
              </w:rPr>
              <w:t>]   The applicant</w:t>
            </w:r>
            <w:r w:rsidR="003E381D">
              <w:rPr>
                <w:rFonts w:ascii="Arial" w:hAnsi="Arial" w:cs="Arial"/>
                <w:sz w:val="24"/>
                <w:szCs w:val="24"/>
              </w:rPr>
              <w:t>’s</w:t>
            </w:r>
            <w:r>
              <w:rPr>
                <w:rFonts w:ascii="Arial" w:hAnsi="Arial" w:cs="Arial"/>
                <w:sz w:val="24"/>
                <w:szCs w:val="24"/>
              </w:rPr>
              <w:t xml:space="preserve"> third ground </w:t>
            </w:r>
            <w:r w:rsidR="0003662B">
              <w:rPr>
                <w:rFonts w:ascii="Arial" w:hAnsi="Arial" w:cs="Arial"/>
                <w:sz w:val="24"/>
                <w:szCs w:val="24"/>
              </w:rPr>
              <w:t>relates to the court’s refusal to grant</w:t>
            </w:r>
            <w:r>
              <w:rPr>
                <w:rFonts w:ascii="Arial" w:hAnsi="Arial" w:cs="Arial"/>
                <w:sz w:val="24"/>
                <w:szCs w:val="24"/>
              </w:rPr>
              <w:t xml:space="preserve"> the </w:t>
            </w:r>
            <w:r w:rsidR="00106147" w:rsidRPr="00E13EB3">
              <w:rPr>
                <w:rFonts w:ascii="Arial" w:hAnsi="Arial" w:cs="Arial"/>
                <w:sz w:val="24"/>
                <w:szCs w:val="24"/>
              </w:rPr>
              <w:t>applicant the opportunity</w:t>
            </w:r>
            <w:r w:rsidR="007E2784">
              <w:rPr>
                <w:rFonts w:ascii="Arial" w:hAnsi="Arial" w:cs="Arial"/>
                <w:sz w:val="24"/>
                <w:szCs w:val="24"/>
              </w:rPr>
              <w:t xml:space="preserve"> to have his review application</w:t>
            </w:r>
            <w:r w:rsidR="0003662B">
              <w:rPr>
                <w:rFonts w:ascii="Arial" w:hAnsi="Arial" w:cs="Arial"/>
                <w:sz w:val="24"/>
                <w:szCs w:val="24"/>
              </w:rPr>
              <w:t xml:space="preserve"> </w:t>
            </w:r>
            <w:r w:rsidR="00106147" w:rsidRPr="00E13EB3">
              <w:rPr>
                <w:rFonts w:ascii="Arial" w:hAnsi="Arial" w:cs="Arial"/>
                <w:sz w:val="24"/>
                <w:szCs w:val="24"/>
              </w:rPr>
              <w:t xml:space="preserve">heard on </w:t>
            </w:r>
            <w:r w:rsidR="003E381D">
              <w:rPr>
                <w:rFonts w:ascii="Arial" w:hAnsi="Arial" w:cs="Arial"/>
                <w:sz w:val="24"/>
                <w:szCs w:val="24"/>
              </w:rPr>
              <w:t xml:space="preserve"> an</w:t>
            </w:r>
            <w:r w:rsidR="009B2D4B">
              <w:rPr>
                <w:rFonts w:ascii="Arial" w:hAnsi="Arial" w:cs="Arial"/>
                <w:sz w:val="24"/>
                <w:szCs w:val="24"/>
              </w:rPr>
              <w:t xml:space="preserve"> </w:t>
            </w:r>
            <w:r w:rsidR="00106147" w:rsidRPr="00E13EB3">
              <w:rPr>
                <w:rFonts w:ascii="Arial" w:hAnsi="Arial" w:cs="Arial"/>
                <w:sz w:val="24"/>
                <w:szCs w:val="24"/>
              </w:rPr>
              <w:t xml:space="preserve">urgent basis and </w:t>
            </w:r>
            <w:r w:rsidR="0003662B">
              <w:rPr>
                <w:rFonts w:ascii="Arial" w:hAnsi="Arial" w:cs="Arial"/>
                <w:sz w:val="24"/>
                <w:szCs w:val="24"/>
              </w:rPr>
              <w:t xml:space="preserve">he is seeking leave to appeal </w:t>
            </w:r>
            <w:r w:rsidR="00106147" w:rsidRPr="00E13EB3">
              <w:rPr>
                <w:rFonts w:ascii="Arial" w:hAnsi="Arial" w:cs="Arial"/>
                <w:sz w:val="24"/>
                <w:szCs w:val="24"/>
              </w:rPr>
              <w:t xml:space="preserve">the </w:t>
            </w:r>
            <w:r w:rsidR="0003662B">
              <w:rPr>
                <w:rFonts w:ascii="Arial" w:hAnsi="Arial" w:cs="Arial"/>
                <w:sz w:val="24"/>
                <w:szCs w:val="24"/>
              </w:rPr>
              <w:t xml:space="preserve">verbal </w:t>
            </w:r>
            <w:r w:rsidR="00106147" w:rsidRPr="00E13EB3">
              <w:rPr>
                <w:rFonts w:ascii="Arial" w:hAnsi="Arial" w:cs="Arial"/>
                <w:sz w:val="24"/>
                <w:szCs w:val="24"/>
              </w:rPr>
              <w:t>decision to refus</w:t>
            </w:r>
            <w:r>
              <w:rPr>
                <w:rFonts w:ascii="Arial" w:hAnsi="Arial" w:cs="Arial"/>
                <w:sz w:val="24"/>
                <w:szCs w:val="24"/>
              </w:rPr>
              <w:t xml:space="preserve">e leave </w:t>
            </w:r>
            <w:r w:rsidR="00106147" w:rsidRPr="00E13EB3">
              <w:rPr>
                <w:rFonts w:ascii="Arial" w:hAnsi="Arial" w:cs="Arial"/>
                <w:sz w:val="24"/>
                <w:szCs w:val="24"/>
              </w:rPr>
              <w:t>to file Annexure</w:t>
            </w:r>
            <w:r w:rsidR="003E381D">
              <w:rPr>
                <w:rFonts w:ascii="Arial" w:hAnsi="Arial" w:cs="Arial"/>
                <w:sz w:val="24"/>
                <w:szCs w:val="24"/>
              </w:rPr>
              <w:t>s</w:t>
            </w:r>
            <w:r w:rsidR="00106147" w:rsidRPr="00E13EB3">
              <w:rPr>
                <w:rFonts w:ascii="Arial" w:hAnsi="Arial" w:cs="Arial"/>
                <w:sz w:val="24"/>
                <w:szCs w:val="24"/>
              </w:rPr>
              <w:t xml:space="preserve"> (AMU-2A), (AMU-2B), (AMU-3) and (AMU-4) </w:t>
            </w:r>
            <w:r>
              <w:rPr>
                <w:rFonts w:ascii="Arial" w:hAnsi="Arial" w:cs="Arial"/>
                <w:sz w:val="24"/>
                <w:szCs w:val="24"/>
              </w:rPr>
              <w:t xml:space="preserve">in support of </w:t>
            </w:r>
            <w:r w:rsidR="00106147" w:rsidRPr="00E13EB3">
              <w:rPr>
                <w:rFonts w:ascii="Arial" w:hAnsi="Arial" w:cs="Arial"/>
                <w:sz w:val="24"/>
                <w:szCs w:val="24"/>
              </w:rPr>
              <w:t>an urgent applicatio</w:t>
            </w:r>
            <w:r w:rsidR="0003662B">
              <w:rPr>
                <w:rFonts w:ascii="Arial" w:hAnsi="Arial" w:cs="Arial"/>
                <w:sz w:val="24"/>
                <w:szCs w:val="24"/>
              </w:rPr>
              <w:t>n</w:t>
            </w:r>
            <w:r w:rsidR="0003662B" w:rsidRPr="00E13EB3">
              <w:rPr>
                <w:rFonts w:ascii="Arial" w:hAnsi="Arial" w:cs="Arial"/>
                <w:sz w:val="24"/>
                <w:szCs w:val="24"/>
              </w:rPr>
              <w:t xml:space="preserve"> </w:t>
            </w:r>
            <w:r w:rsidR="0003662B">
              <w:rPr>
                <w:rFonts w:ascii="Arial" w:hAnsi="Arial" w:cs="Arial"/>
                <w:sz w:val="24"/>
                <w:szCs w:val="24"/>
              </w:rPr>
              <w:t>on e-justice</w:t>
            </w:r>
            <w:r>
              <w:rPr>
                <w:rFonts w:ascii="Arial" w:hAnsi="Arial" w:cs="Arial"/>
                <w:sz w:val="24"/>
                <w:szCs w:val="24"/>
              </w:rPr>
              <w:t>.</w:t>
            </w:r>
          </w:p>
          <w:p w:rsidR="0003662B" w:rsidRDefault="0003662B" w:rsidP="00C132B9">
            <w:pPr>
              <w:tabs>
                <w:tab w:val="left" w:pos="1275"/>
              </w:tabs>
              <w:spacing w:line="360" w:lineRule="auto"/>
              <w:jc w:val="both"/>
              <w:rPr>
                <w:rFonts w:ascii="Arial" w:hAnsi="Arial" w:cs="Arial"/>
                <w:sz w:val="24"/>
                <w:szCs w:val="24"/>
              </w:rPr>
            </w:pPr>
          </w:p>
          <w:p w:rsidR="00B00727" w:rsidRDefault="00B00727" w:rsidP="00C132B9">
            <w:pPr>
              <w:tabs>
                <w:tab w:val="left" w:pos="1275"/>
              </w:tabs>
              <w:spacing w:line="360" w:lineRule="auto"/>
              <w:jc w:val="both"/>
              <w:rPr>
                <w:rFonts w:ascii="Arial" w:hAnsi="Arial" w:cs="Arial"/>
                <w:sz w:val="24"/>
                <w:szCs w:val="24"/>
              </w:rPr>
            </w:pPr>
            <w:r>
              <w:rPr>
                <w:rFonts w:ascii="Arial" w:hAnsi="Arial" w:cs="Arial"/>
                <w:sz w:val="24"/>
                <w:szCs w:val="24"/>
              </w:rPr>
              <w:t>[</w:t>
            </w:r>
            <w:r w:rsidR="00595221">
              <w:rPr>
                <w:rFonts w:ascii="Arial" w:hAnsi="Arial" w:cs="Arial"/>
                <w:sz w:val="24"/>
                <w:szCs w:val="24"/>
              </w:rPr>
              <w:t>19</w:t>
            </w:r>
            <w:r w:rsidR="003E381D">
              <w:rPr>
                <w:rFonts w:ascii="Arial" w:hAnsi="Arial" w:cs="Arial"/>
                <w:sz w:val="24"/>
                <w:szCs w:val="24"/>
              </w:rPr>
              <w:t>]    In terms of s</w:t>
            </w:r>
            <w:r>
              <w:rPr>
                <w:rFonts w:ascii="Arial" w:hAnsi="Arial" w:cs="Arial"/>
                <w:sz w:val="24"/>
                <w:szCs w:val="24"/>
              </w:rPr>
              <w:t xml:space="preserve"> 18(3) of the High Court Act the applicant may appeal a judgment or order of this court. The decision/order of this court does not form part of the order </w:t>
            </w:r>
            <w:r w:rsidR="0003662B">
              <w:rPr>
                <w:rFonts w:ascii="Arial" w:hAnsi="Arial" w:cs="Arial"/>
                <w:sz w:val="24"/>
                <w:szCs w:val="24"/>
              </w:rPr>
              <w:t xml:space="preserve">dated 7 June 2023 and </w:t>
            </w:r>
            <w:r>
              <w:rPr>
                <w:rFonts w:ascii="Arial" w:hAnsi="Arial" w:cs="Arial"/>
                <w:sz w:val="24"/>
                <w:szCs w:val="24"/>
              </w:rPr>
              <w:t xml:space="preserve">it is not evident from this ground when such a decision/order has been made. Given the failure to provide particulars of the order/decision, this court is unable to consider this ground. </w:t>
            </w:r>
          </w:p>
          <w:p w:rsidR="000770FF" w:rsidRPr="00863E75" w:rsidRDefault="000770FF" w:rsidP="00F01DFE">
            <w:pPr>
              <w:pStyle w:val="ListParagraph"/>
              <w:tabs>
                <w:tab w:val="left" w:pos="1275"/>
              </w:tabs>
              <w:spacing w:line="360" w:lineRule="auto"/>
              <w:jc w:val="both"/>
              <w:rPr>
                <w:rFonts w:ascii="Arial" w:hAnsi="Arial" w:cs="Arial"/>
                <w:sz w:val="24"/>
                <w:szCs w:val="24"/>
              </w:rPr>
            </w:pPr>
          </w:p>
          <w:p w:rsidR="003D4F80" w:rsidRDefault="003D4F80" w:rsidP="00B308A9">
            <w:pPr>
              <w:spacing w:line="360" w:lineRule="auto"/>
              <w:jc w:val="both"/>
              <w:rPr>
                <w:rFonts w:ascii="Arial" w:hAnsi="Arial" w:cs="Arial"/>
                <w:sz w:val="24"/>
                <w:szCs w:val="24"/>
              </w:rPr>
            </w:pPr>
            <w:r w:rsidRPr="00863E75">
              <w:rPr>
                <w:rFonts w:ascii="Arial" w:hAnsi="Arial" w:cs="Arial"/>
                <w:sz w:val="24"/>
                <w:szCs w:val="24"/>
              </w:rPr>
              <w:t>[</w:t>
            </w:r>
            <w:r w:rsidR="00595221">
              <w:rPr>
                <w:rFonts w:ascii="Arial" w:hAnsi="Arial" w:cs="Arial"/>
                <w:sz w:val="24"/>
                <w:szCs w:val="24"/>
              </w:rPr>
              <w:t>20</w:t>
            </w:r>
            <w:r w:rsidRPr="00863E75">
              <w:rPr>
                <w:rFonts w:ascii="Arial" w:hAnsi="Arial" w:cs="Arial"/>
                <w:sz w:val="24"/>
                <w:szCs w:val="24"/>
              </w:rPr>
              <w:t>]    In the result the following order is made:</w:t>
            </w:r>
          </w:p>
          <w:p w:rsidR="00F16D91" w:rsidRPr="00E003E8" w:rsidRDefault="00F16D91" w:rsidP="00F16D91">
            <w:pPr>
              <w:pStyle w:val="ListParagraph"/>
              <w:numPr>
                <w:ilvl w:val="0"/>
                <w:numId w:val="21"/>
              </w:numPr>
              <w:spacing w:line="360" w:lineRule="auto"/>
              <w:jc w:val="both"/>
              <w:rPr>
                <w:rFonts w:ascii="Arial" w:hAnsi="Arial" w:cs="Arial"/>
                <w:sz w:val="24"/>
                <w:szCs w:val="24"/>
              </w:rPr>
            </w:pPr>
            <w:r w:rsidRPr="00E003E8">
              <w:rPr>
                <w:rFonts w:ascii="Arial" w:hAnsi="Arial" w:cs="Arial"/>
                <w:sz w:val="24"/>
                <w:szCs w:val="24"/>
              </w:rPr>
              <w:t>The application for leave to appeal is dismissed</w:t>
            </w:r>
            <w:r>
              <w:rPr>
                <w:rFonts w:ascii="Arial" w:hAnsi="Arial" w:cs="Arial"/>
                <w:sz w:val="24"/>
                <w:szCs w:val="24"/>
              </w:rPr>
              <w:t>.</w:t>
            </w:r>
          </w:p>
          <w:p w:rsidR="00F16D91" w:rsidRPr="00E003E8" w:rsidRDefault="00F16D91" w:rsidP="00F16D91">
            <w:pPr>
              <w:pStyle w:val="ListParagraph"/>
              <w:numPr>
                <w:ilvl w:val="0"/>
                <w:numId w:val="21"/>
              </w:numPr>
              <w:spacing w:line="360" w:lineRule="auto"/>
              <w:jc w:val="both"/>
              <w:rPr>
                <w:rFonts w:ascii="Arial" w:hAnsi="Arial" w:cs="Arial"/>
                <w:sz w:val="24"/>
                <w:szCs w:val="24"/>
              </w:rPr>
            </w:pPr>
            <w:r>
              <w:rPr>
                <w:rFonts w:ascii="Arial" w:hAnsi="Arial" w:cs="Arial"/>
                <w:sz w:val="24"/>
                <w:szCs w:val="24"/>
              </w:rPr>
              <w:t>No order as to costs is made.</w:t>
            </w:r>
          </w:p>
          <w:p w:rsidR="00AB44EA" w:rsidRPr="00F16D91" w:rsidRDefault="00F16D91" w:rsidP="00F16D91">
            <w:pPr>
              <w:pStyle w:val="ListParagraph"/>
              <w:numPr>
                <w:ilvl w:val="0"/>
                <w:numId w:val="21"/>
              </w:numPr>
              <w:spacing w:line="360" w:lineRule="auto"/>
              <w:rPr>
                <w:rFonts w:ascii="Arial" w:hAnsi="Arial" w:cs="Arial"/>
                <w:sz w:val="24"/>
                <w:szCs w:val="24"/>
              </w:rPr>
            </w:pPr>
            <w:r w:rsidRPr="00595221">
              <w:rPr>
                <w:rFonts w:ascii="Arial" w:hAnsi="Arial" w:cs="Arial"/>
                <w:sz w:val="24"/>
                <w:szCs w:val="24"/>
              </w:rPr>
              <w:t xml:space="preserve">The Registrar is to allocate this matter to another judge. </w:t>
            </w:r>
            <w:r w:rsidR="00204EF5" w:rsidRPr="00F16D91">
              <w:rPr>
                <w:rFonts w:ascii="Arial" w:hAnsi="Arial" w:cs="Arial"/>
                <w:sz w:val="24"/>
                <w:szCs w:val="24"/>
                <w:u w:val="single"/>
              </w:rPr>
              <w:t xml:space="preserve">          </w:t>
            </w:r>
          </w:p>
        </w:tc>
      </w:tr>
      <w:tr w:rsidR="008630BE" w:rsidRPr="00863E75" w:rsidTr="0004438E">
        <w:tc>
          <w:tcPr>
            <w:tcW w:w="4770" w:type="dxa"/>
          </w:tcPr>
          <w:p w:rsidR="008630BE" w:rsidRPr="00863E75" w:rsidRDefault="003E381D" w:rsidP="00D003EB">
            <w:pPr>
              <w:spacing w:line="360" w:lineRule="auto"/>
              <w:jc w:val="center"/>
              <w:rPr>
                <w:rFonts w:ascii="Arial" w:hAnsi="Arial" w:cs="Arial"/>
                <w:b/>
                <w:sz w:val="24"/>
                <w:szCs w:val="24"/>
              </w:rPr>
            </w:pPr>
            <w:r>
              <w:rPr>
                <w:rFonts w:ascii="Arial" w:hAnsi="Arial" w:cs="Arial"/>
                <w:b/>
                <w:sz w:val="24"/>
                <w:szCs w:val="24"/>
              </w:rPr>
              <w:lastRenderedPageBreak/>
              <w:t>Judges Signature:</w:t>
            </w:r>
            <w:r w:rsidR="00390BC9">
              <w:rPr>
                <w:rFonts w:ascii="Arial" w:hAnsi="Arial" w:cs="Arial"/>
                <w:b/>
                <w:sz w:val="24"/>
                <w:szCs w:val="24"/>
              </w:rPr>
              <w:t xml:space="preserve">   </w:t>
            </w:r>
          </w:p>
        </w:tc>
        <w:tc>
          <w:tcPr>
            <w:tcW w:w="4950" w:type="dxa"/>
            <w:gridSpan w:val="2"/>
          </w:tcPr>
          <w:p w:rsidR="008630BE" w:rsidRPr="00863E75" w:rsidRDefault="008630BE" w:rsidP="00D003EB">
            <w:pPr>
              <w:spacing w:line="360" w:lineRule="auto"/>
              <w:jc w:val="center"/>
              <w:rPr>
                <w:rFonts w:ascii="Arial" w:hAnsi="Arial" w:cs="Arial"/>
                <w:b/>
                <w:sz w:val="24"/>
                <w:szCs w:val="24"/>
              </w:rPr>
            </w:pPr>
            <w:r w:rsidRPr="00863E75">
              <w:rPr>
                <w:rFonts w:ascii="Arial" w:hAnsi="Arial" w:cs="Arial"/>
                <w:b/>
                <w:sz w:val="24"/>
                <w:szCs w:val="24"/>
              </w:rPr>
              <w:t>Note to the parties:</w:t>
            </w:r>
          </w:p>
        </w:tc>
      </w:tr>
      <w:tr w:rsidR="008630BE" w:rsidRPr="00863E75" w:rsidTr="0004438E">
        <w:trPr>
          <w:trHeight w:val="1114"/>
        </w:trPr>
        <w:tc>
          <w:tcPr>
            <w:tcW w:w="4770" w:type="dxa"/>
          </w:tcPr>
          <w:p w:rsidR="008630BE" w:rsidRPr="00863E75" w:rsidRDefault="008630BE" w:rsidP="00C05591">
            <w:pPr>
              <w:jc w:val="both"/>
              <w:rPr>
                <w:rFonts w:ascii="Arial" w:hAnsi="Arial" w:cs="Arial"/>
                <w:sz w:val="24"/>
                <w:szCs w:val="24"/>
              </w:rPr>
            </w:pPr>
          </w:p>
          <w:p w:rsidR="008630BE" w:rsidRPr="00863E75" w:rsidRDefault="008630BE" w:rsidP="00C05591">
            <w:pPr>
              <w:jc w:val="both"/>
              <w:rPr>
                <w:rFonts w:ascii="Arial" w:hAnsi="Arial" w:cs="Arial"/>
                <w:sz w:val="24"/>
                <w:szCs w:val="24"/>
              </w:rPr>
            </w:pPr>
          </w:p>
          <w:p w:rsidR="00AE0155" w:rsidRPr="00863E75" w:rsidRDefault="00AE0155" w:rsidP="00C05591">
            <w:pPr>
              <w:jc w:val="both"/>
              <w:rPr>
                <w:rFonts w:ascii="Arial" w:hAnsi="Arial" w:cs="Arial"/>
                <w:sz w:val="24"/>
                <w:szCs w:val="24"/>
              </w:rPr>
            </w:pPr>
          </w:p>
          <w:p w:rsidR="008630BE" w:rsidRPr="00863E75" w:rsidRDefault="008630BE" w:rsidP="00C05591">
            <w:pPr>
              <w:jc w:val="both"/>
              <w:rPr>
                <w:rFonts w:ascii="Arial" w:hAnsi="Arial" w:cs="Arial"/>
                <w:sz w:val="24"/>
                <w:szCs w:val="24"/>
              </w:rPr>
            </w:pPr>
          </w:p>
        </w:tc>
        <w:tc>
          <w:tcPr>
            <w:tcW w:w="4950" w:type="dxa"/>
            <w:gridSpan w:val="2"/>
          </w:tcPr>
          <w:p w:rsidR="008630BE" w:rsidRPr="00863E75" w:rsidRDefault="00D66983" w:rsidP="00C05591">
            <w:pPr>
              <w:jc w:val="both"/>
              <w:rPr>
                <w:rFonts w:ascii="Arial" w:hAnsi="Arial" w:cs="Arial"/>
                <w:sz w:val="24"/>
                <w:szCs w:val="24"/>
              </w:rPr>
            </w:pPr>
            <w:r w:rsidRPr="00863E75">
              <w:rPr>
                <w:rFonts w:ascii="Arial" w:hAnsi="Arial" w:cs="Arial"/>
                <w:sz w:val="24"/>
                <w:szCs w:val="24"/>
              </w:rPr>
              <w:t>Not applicable</w:t>
            </w:r>
          </w:p>
        </w:tc>
      </w:tr>
      <w:tr w:rsidR="008630BE" w:rsidRPr="00863E75" w:rsidTr="0004438E">
        <w:tc>
          <w:tcPr>
            <w:tcW w:w="9720" w:type="dxa"/>
            <w:gridSpan w:val="3"/>
          </w:tcPr>
          <w:p w:rsidR="008630BE" w:rsidRPr="00863E75" w:rsidRDefault="008630BE" w:rsidP="00541FB4">
            <w:pPr>
              <w:spacing w:line="360" w:lineRule="auto"/>
              <w:jc w:val="center"/>
              <w:rPr>
                <w:rFonts w:ascii="Arial" w:hAnsi="Arial" w:cs="Arial"/>
                <w:b/>
                <w:sz w:val="24"/>
                <w:szCs w:val="24"/>
              </w:rPr>
            </w:pPr>
            <w:r w:rsidRPr="00863E75">
              <w:rPr>
                <w:rFonts w:ascii="Arial" w:hAnsi="Arial" w:cs="Arial"/>
                <w:b/>
                <w:sz w:val="24"/>
                <w:szCs w:val="24"/>
              </w:rPr>
              <w:t>Counsel:</w:t>
            </w:r>
          </w:p>
        </w:tc>
      </w:tr>
      <w:tr w:rsidR="008630BE" w:rsidRPr="00863E75" w:rsidTr="0004438E">
        <w:tc>
          <w:tcPr>
            <w:tcW w:w="4770" w:type="dxa"/>
          </w:tcPr>
          <w:p w:rsidR="008630BE" w:rsidRPr="00863E75" w:rsidRDefault="008630BE" w:rsidP="00541FB4">
            <w:pPr>
              <w:spacing w:line="360" w:lineRule="auto"/>
              <w:jc w:val="center"/>
              <w:rPr>
                <w:rFonts w:ascii="Arial" w:hAnsi="Arial" w:cs="Arial"/>
                <w:b/>
                <w:sz w:val="24"/>
                <w:szCs w:val="24"/>
              </w:rPr>
            </w:pPr>
            <w:r w:rsidRPr="00863E75">
              <w:rPr>
                <w:rFonts w:ascii="Arial" w:hAnsi="Arial" w:cs="Arial"/>
                <w:b/>
                <w:sz w:val="24"/>
                <w:szCs w:val="24"/>
              </w:rPr>
              <w:t>Applicant</w:t>
            </w:r>
          </w:p>
        </w:tc>
        <w:tc>
          <w:tcPr>
            <w:tcW w:w="4950" w:type="dxa"/>
            <w:gridSpan w:val="2"/>
          </w:tcPr>
          <w:p w:rsidR="008630BE" w:rsidRPr="00863E75" w:rsidRDefault="008630BE" w:rsidP="00541FB4">
            <w:pPr>
              <w:spacing w:line="360" w:lineRule="auto"/>
              <w:jc w:val="center"/>
              <w:rPr>
                <w:rFonts w:ascii="Arial" w:hAnsi="Arial" w:cs="Arial"/>
                <w:b/>
                <w:sz w:val="24"/>
                <w:szCs w:val="24"/>
              </w:rPr>
            </w:pPr>
            <w:r w:rsidRPr="00863E75">
              <w:rPr>
                <w:rFonts w:ascii="Arial" w:hAnsi="Arial" w:cs="Arial"/>
                <w:b/>
                <w:sz w:val="24"/>
                <w:szCs w:val="24"/>
              </w:rPr>
              <w:t>Respondent</w:t>
            </w:r>
          </w:p>
        </w:tc>
      </w:tr>
      <w:tr w:rsidR="008630BE" w:rsidRPr="00863E75" w:rsidTr="00190A12">
        <w:trPr>
          <w:trHeight w:val="895"/>
        </w:trPr>
        <w:tc>
          <w:tcPr>
            <w:tcW w:w="4770" w:type="dxa"/>
          </w:tcPr>
          <w:p w:rsidR="008630BE" w:rsidRPr="00863E75" w:rsidRDefault="003E381D" w:rsidP="00C05591">
            <w:pPr>
              <w:jc w:val="center"/>
              <w:rPr>
                <w:rFonts w:ascii="Arial" w:hAnsi="Arial" w:cs="Arial"/>
                <w:sz w:val="24"/>
                <w:szCs w:val="24"/>
              </w:rPr>
            </w:pPr>
            <w:r>
              <w:rPr>
                <w:rFonts w:ascii="Arial" w:hAnsi="Arial" w:cs="Arial"/>
                <w:sz w:val="24"/>
                <w:szCs w:val="24"/>
              </w:rPr>
              <w:lastRenderedPageBreak/>
              <w:t>SM</w:t>
            </w:r>
            <w:r w:rsidR="00053A03" w:rsidRPr="00863E75">
              <w:rPr>
                <w:rFonts w:ascii="Arial" w:hAnsi="Arial" w:cs="Arial"/>
                <w:sz w:val="24"/>
                <w:szCs w:val="24"/>
              </w:rPr>
              <w:t xml:space="preserve"> Amukena</w:t>
            </w:r>
          </w:p>
          <w:p w:rsidR="003C5470" w:rsidRPr="00863E75" w:rsidRDefault="00053A03" w:rsidP="00C05591">
            <w:pPr>
              <w:jc w:val="center"/>
              <w:rPr>
                <w:rFonts w:ascii="Arial" w:hAnsi="Arial" w:cs="Arial"/>
                <w:sz w:val="24"/>
                <w:szCs w:val="24"/>
              </w:rPr>
            </w:pPr>
            <w:r w:rsidRPr="00863E75">
              <w:rPr>
                <w:rFonts w:ascii="Arial" w:hAnsi="Arial" w:cs="Arial"/>
                <w:sz w:val="24"/>
                <w:szCs w:val="24"/>
              </w:rPr>
              <w:t>Windhoek</w:t>
            </w:r>
          </w:p>
        </w:tc>
        <w:tc>
          <w:tcPr>
            <w:tcW w:w="4950" w:type="dxa"/>
            <w:gridSpan w:val="2"/>
          </w:tcPr>
          <w:p w:rsidR="008630BE" w:rsidRPr="00863E75" w:rsidRDefault="00053A03" w:rsidP="00C05591">
            <w:pPr>
              <w:jc w:val="center"/>
              <w:rPr>
                <w:rFonts w:ascii="Arial" w:hAnsi="Arial" w:cs="Arial"/>
                <w:sz w:val="24"/>
                <w:szCs w:val="24"/>
              </w:rPr>
            </w:pPr>
            <w:r w:rsidRPr="00863E75">
              <w:rPr>
                <w:rFonts w:ascii="Arial" w:hAnsi="Arial" w:cs="Arial"/>
                <w:sz w:val="24"/>
                <w:szCs w:val="24"/>
              </w:rPr>
              <w:t>B Ulrich</w:t>
            </w:r>
          </w:p>
          <w:p w:rsidR="003C5470" w:rsidRPr="00863E75" w:rsidRDefault="003E381D" w:rsidP="00C05591">
            <w:pPr>
              <w:jc w:val="center"/>
              <w:rPr>
                <w:rFonts w:ascii="Arial" w:hAnsi="Arial" w:cs="Arial"/>
                <w:sz w:val="24"/>
                <w:szCs w:val="24"/>
              </w:rPr>
            </w:pPr>
            <w:r>
              <w:rPr>
                <w:rFonts w:ascii="Arial" w:hAnsi="Arial" w:cs="Arial"/>
                <w:sz w:val="24"/>
                <w:szCs w:val="24"/>
              </w:rPr>
              <w:t xml:space="preserve">Of </w:t>
            </w:r>
            <w:r w:rsidR="00053A03" w:rsidRPr="00863E75">
              <w:rPr>
                <w:rFonts w:ascii="Arial" w:hAnsi="Arial" w:cs="Arial"/>
                <w:sz w:val="24"/>
                <w:szCs w:val="24"/>
              </w:rPr>
              <w:t>Angula Co Inc</w:t>
            </w:r>
            <w:r>
              <w:rPr>
                <w:rFonts w:ascii="Arial" w:hAnsi="Arial" w:cs="Arial"/>
                <w:sz w:val="24"/>
                <w:szCs w:val="24"/>
              </w:rPr>
              <w:t>.</w:t>
            </w:r>
          </w:p>
          <w:p w:rsidR="003C5470" w:rsidRPr="00863E75" w:rsidRDefault="00053A03" w:rsidP="00C05591">
            <w:pPr>
              <w:jc w:val="center"/>
              <w:rPr>
                <w:rFonts w:ascii="Arial" w:hAnsi="Arial" w:cs="Arial"/>
                <w:sz w:val="24"/>
                <w:szCs w:val="24"/>
              </w:rPr>
            </w:pPr>
            <w:r w:rsidRPr="00863E75">
              <w:rPr>
                <w:rFonts w:ascii="Arial" w:hAnsi="Arial" w:cs="Arial"/>
                <w:sz w:val="24"/>
                <w:szCs w:val="24"/>
              </w:rPr>
              <w:t>Windhoek</w:t>
            </w:r>
          </w:p>
        </w:tc>
      </w:tr>
    </w:tbl>
    <w:p w:rsidR="008630BE" w:rsidRPr="00863E75" w:rsidRDefault="008630BE" w:rsidP="008630BE">
      <w:pPr>
        <w:spacing w:after="0" w:line="360" w:lineRule="auto"/>
        <w:jc w:val="both"/>
        <w:rPr>
          <w:rFonts w:ascii="Arial" w:hAnsi="Arial" w:cs="Arial"/>
          <w:sz w:val="24"/>
          <w:szCs w:val="24"/>
        </w:rPr>
      </w:pPr>
    </w:p>
    <w:p w:rsidR="00700AAF" w:rsidRDefault="00700AAF" w:rsidP="008630BE">
      <w:pPr>
        <w:spacing w:after="0" w:line="360" w:lineRule="auto"/>
        <w:jc w:val="both"/>
        <w:rPr>
          <w:rFonts w:ascii="Arial Narrow" w:hAnsi="Arial Narrow"/>
          <w:sz w:val="24"/>
          <w:szCs w:val="24"/>
        </w:rPr>
      </w:pPr>
    </w:p>
    <w:p w:rsidR="00700AAF" w:rsidRDefault="00700AAF" w:rsidP="008630BE">
      <w:pPr>
        <w:spacing w:after="0" w:line="360" w:lineRule="auto"/>
        <w:jc w:val="both"/>
        <w:rPr>
          <w:rFonts w:ascii="Arial Narrow" w:hAnsi="Arial Narrow"/>
          <w:sz w:val="24"/>
          <w:szCs w:val="24"/>
        </w:rPr>
      </w:pPr>
    </w:p>
    <w:p w:rsidR="003E381D" w:rsidRDefault="003E381D" w:rsidP="008630BE">
      <w:pPr>
        <w:spacing w:after="0" w:line="360" w:lineRule="auto"/>
        <w:jc w:val="both"/>
        <w:rPr>
          <w:rFonts w:ascii="Arial Narrow" w:hAnsi="Arial Narrow"/>
          <w:sz w:val="24"/>
          <w:szCs w:val="24"/>
        </w:rPr>
      </w:pPr>
    </w:p>
    <w:p w:rsidR="003E381D" w:rsidRDefault="003E381D" w:rsidP="008630BE">
      <w:pPr>
        <w:spacing w:after="0" w:line="360" w:lineRule="auto"/>
        <w:jc w:val="both"/>
        <w:rPr>
          <w:rFonts w:ascii="Arial Narrow" w:hAnsi="Arial Narrow"/>
          <w:sz w:val="24"/>
          <w:szCs w:val="24"/>
        </w:rPr>
      </w:pPr>
    </w:p>
    <w:p w:rsidR="003E381D" w:rsidRDefault="003E381D" w:rsidP="008630BE">
      <w:pPr>
        <w:spacing w:after="0" w:line="360" w:lineRule="auto"/>
        <w:jc w:val="both"/>
        <w:rPr>
          <w:rFonts w:ascii="Arial Narrow" w:hAnsi="Arial Narrow"/>
          <w:sz w:val="24"/>
          <w:szCs w:val="24"/>
        </w:rPr>
      </w:pPr>
    </w:p>
    <w:p w:rsidR="003E381D" w:rsidRDefault="003E381D" w:rsidP="008630BE">
      <w:pPr>
        <w:spacing w:after="0" w:line="360" w:lineRule="auto"/>
        <w:jc w:val="both"/>
        <w:rPr>
          <w:rFonts w:ascii="Arial Narrow" w:hAnsi="Arial Narrow"/>
          <w:sz w:val="24"/>
          <w:szCs w:val="24"/>
        </w:rPr>
      </w:pPr>
    </w:p>
    <w:p w:rsidR="003E381D" w:rsidRDefault="003E381D" w:rsidP="008630BE">
      <w:pPr>
        <w:spacing w:after="0" w:line="360" w:lineRule="auto"/>
        <w:jc w:val="both"/>
        <w:rPr>
          <w:rFonts w:ascii="Arial Narrow" w:hAnsi="Arial Narrow"/>
          <w:sz w:val="24"/>
          <w:szCs w:val="24"/>
        </w:rPr>
      </w:pPr>
    </w:p>
    <w:p w:rsidR="003E381D" w:rsidRPr="00390BC9" w:rsidRDefault="003E381D" w:rsidP="003E381D">
      <w:pPr>
        <w:tabs>
          <w:tab w:val="left" w:pos="1275"/>
        </w:tabs>
        <w:spacing w:line="360" w:lineRule="auto"/>
        <w:jc w:val="both"/>
        <w:rPr>
          <w:rFonts w:ascii="Arial" w:hAnsi="Arial" w:cs="Arial"/>
        </w:rPr>
      </w:pPr>
      <w:r>
        <w:rPr>
          <w:rFonts w:ascii="Arial" w:hAnsi="Arial" w:cs="Arial"/>
          <w:sz w:val="24"/>
          <w:szCs w:val="24"/>
        </w:rPr>
        <w:tab/>
      </w:r>
      <w:r w:rsidRPr="00390BC9">
        <w:rPr>
          <w:rFonts w:ascii="Arial" w:hAnsi="Arial" w:cs="Arial"/>
        </w:rPr>
        <w:t xml:space="preserve"> </w:t>
      </w:r>
    </w:p>
    <w:p w:rsidR="00700AAF" w:rsidRDefault="00700AAF" w:rsidP="008630BE">
      <w:pPr>
        <w:spacing w:after="0" w:line="360" w:lineRule="auto"/>
        <w:jc w:val="both"/>
        <w:rPr>
          <w:rFonts w:ascii="Arial Narrow" w:hAnsi="Arial Narrow"/>
          <w:sz w:val="24"/>
          <w:szCs w:val="24"/>
        </w:rPr>
      </w:pPr>
    </w:p>
    <w:sectPr w:rsidR="00700AAF" w:rsidSect="00863E75">
      <w:headerReference w:type="default" r:id="rId12"/>
      <w:footerReference w:type="default" r:id="rId13"/>
      <w:pgSz w:w="11906" w:h="16838"/>
      <w:pgMar w:top="63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285" w:rsidRDefault="00BB3285" w:rsidP="008630BE">
      <w:pPr>
        <w:spacing w:after="0" w:line="240" w:lineRule="auto"/>
      </w:pPr>
      <w:r>
        <w:separator/>
      </w:r>
    </w:p>
  </w:endnote>
  <w:endnote w:type="continuationSeparator" w:id="0">
    <w:p w:rsidR="00BB3285" w:rsidRDefault="00BB3285" w:rsidP="0086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65" w:rsidRDefault="00E17E65">
    <w:pPr>
      <w:pStyle w:val="Footer"/>
      <w:jc w:val="right"/>
    </w:pPr>
  </w:p>
  <w:p w:rsidR="00E17E65" w:rsidRDefault="00E17E6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285" w:rsidRDefault="00BB3285" w:rsidP="008630BE">
      <w:pPr>
        <w:spacing w:after="0" w:line="240" w:lineRule="auto"/>
      </w:pPr>
      <w:r>
        <w:separator/>
      </w:r>
    </w:p>
  </w:footnote>
  <w:footnote w:type="continuationSeparator" w:id="0">
    <w:p w:rsidR="00BB3285" w:rsidRDefault="00BB3285" w:rsidP="008630BE">
      <w:pPr>
        <w:spacing w:after="0" w:line="240" w:lineRule="auto"/>
      </w:pPr>
      <w:r>
        <w:continuationSeparator/>
      </w:r>
    </w:p>
  </w:footnote>
  <w:footnote w:id="1">
    <w:p w:rsidR="00EF5B96" w:rsidRDefault="00EF5B96">
      <w:pPr>
        <w:pStyle w:val="FootnoteText"/>
      </w:pPr>
      <w:r>
        <w:rPr>
          <w:rStyle w:val="FootnoteReference"/>
        </w:rPr>
        <w:footnoteRef/>
      </w:r>
      <w:r>
        <w:t xml:space="preserve"> </w:t>
      </w:r>
      <w:r w:rsidRPr="00202A62">
        <w:rPr>
          <w:rFonts w:ascii="Arial" w:hAnsi="Arial" w:cs="Arial"/>
          <w:i/>
        </w:rPr>
        <w:t>Hartzenberg v Standard Bank Namibia Ltd</w:t>
      </w:r>
      <w:r w:rsidRPr="00202A62">
        <w:rPr>
          <w:rFonts w:ascii="Arial" w:hAnsi="Arial" w:cs="Arial"/>
        </w:rPr>
        <w:t xml:space="preserve"> 2016 (2) NR 307 (SC</w:t>
      </w:r>
      <w:r w:rsidR="00602571" w:rsidRPr="00202A62">
        <w:rPr>
          <w:rFonts w:ascii="Arial" w:hAnsi="Arial" w:cs="Arial"/>
        </w:rPr>
        <w:t>).</w:t>
      </w:r>
    </w:p>
  </w:footnote>
  <w:footnote w:id="2">
    <w:p w:rsidR="001C081E" w:rsidRPr="00202A62" w:rsidRDefault="001C081E">
      <w:pPr>
        <w:pStyle w:val="FootnoteText"/>
        <w:rPr>
          <w:rFonts w:ascii="Arial" w:hAnsi="Arial" w:cs="Arial"/>
        </w:rPr>
      </w:pPr>
      <w:r w:rsidRPr="00202A62">
        <w:rPr>
          <w:rStyle w:val="FootnoteReference"/>
          <w:rFonts w:ascii="Arial" w:hAnsi="Arial" w:cs="Arial"/>
        </w:rPr>
        <w:footnoteRef/>
      </w:r>
      <w:r w:rsidRPr="00202A62">
        <w:rPr>
          <w:rFonts w:ascii="Arial" w:hAnsi="Arial" w:cs="Arial"/>
          <w:i/>
        </w:rPr>
        <w:t>Marmorwerke Karibib (Pty) Ltd V Transnamib Holdings Ltd</w:t>
      </w:r>
      <w:r w:rsidRPr="00202A62">
        <w:rPr>
          <w:rFonts w:ascii="Arial" w:hAnsi="Arial" w:cs="Arial"/>
        </w:rPr>
        <w:t xml:space="preserve"> 2022 (3) NR 629 (SC)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395438"/>
      <w:docPartObj>
        <w:docPartGallery w:val="Page Numbers (Top of Page)"/>
        <w:docPartUnique/>
      </w:docPartObj>
    </w:sdtPr>
    <w:sdtEndPr>
      <w:rPr>
        <w:noProof/>
      </w:rPr>
    </w:sdtEndPr>
    <w:sdtContent>
      <w:p w:rsidR="00E17E65" w:rsidRDefault="00E17E65">
        <w:pPr>
          <w:pStyle w:val="Header"/>
          <w:jc w:val="right"/>
        </w:pPr>
        <w:r>
          <w:fldChar w:fldCharType="begin"/>
        </w:r>
        <w:r>
          <w:instrText xml:space="preserve"> PAGE   \* MERGEFORMAT </w:instrText>
        </w:r>
        <w:r>
          <w:fldChar w:fldCharType="separate"/>
        </w:r>
        <w:r w:rsidR="00E81302">
          <w:rPr>
            <w:noProof/>
          </w:rPr>
          <w:t>2</w:t>
        </w:r>
        <w:r>
          <w:rPr>
            <w:noProof/>
          </w:rPr>
          <w:fldChar w:fldCharType="end"/>
        </w:r>
      </w:p>
    </w:sdtContent>
  </w:sdt>
  <w:p w:rsidR="00E17E65" w:rsidRDefault="00E17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227D1"/>
    <w:multiLevelType w:val="hybridMultilevel"/>
    <w:tmpl w:val="8EC4892E"/>
    <w:lvl w:ilvl="0" w:tplc="4790DAAA">
      <w:start w:val="1"/>
      <w:numFmt w:val="lowerLetter"/>
      <w:lvlText w:val="(%1)"/>
      <w:lvlJc w:val="left"/>
      <w:pPr>
        <w:ind w:left="720" w:hanging="360"/>
      </w:pPr>
      <w:rPr>
        <w:rFonts w:ascii="Arial Narrow" w:eastAsiaTheme="minorHAnsi"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50F54"/>
    <w:multiLevelType w:val="hybridMultilevel"/>
    <w:tmpl w:val="9CD628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9FB6DE2"/>
    <w:multiLevelType w:val="hybridMultilevel"/>
    <w:tmpl w:val="FF306DFE"/>
    <w:lvl w:ilvl="0" w:tplc="02CA73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13304"/>
    <w:multiLevelType w:val="hybridMultilevel"/>
    <w:tmpl w:val="AD5C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C1E85"/>
    <w:multiLevelType w:val="hybridMultilevel"/>
    <w:tmpl w:val="18143FE0"/>
    <w:lvl w:ilvl="0" w:tplc="2A6033F8">
      <w:start w:val="3"/>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nsid w:val="25543B65"/>
    <w:multiLevelType w:val="hybridMultilevel"/>
    <w:tmpl w:val="F94C71EE"/>
    <w:lvl w:ilvl="0" w:tplc="18D2A07A">
      <w:start w:val="3"/>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nsid w:val="29931BE8"/>
    <w:multiLevelType w:val="multilevel"/>
    <w:tmpl w:val="FA02C052"/>
    <w:lvl w:ilvl="0">
      <w:start w:val="1"/>
      <w:numFmt w:val="decimal"/>
      <w:lvlText w:val="%1."/>
      <w:lvlJc w:val="left"/>
      <w:pPr>
        <w:tabs>
          <w:tab w:val="num" w:pos="720"/>
        </w:tabs>
        <w:ind w:left="720" w:hanging="360"/>
      </w:pPr>
      <w:rPr>
        <w:rFonts w:ascii="Verdana" w:eastAsia="Times New Roman"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1D22B6"/>
    <w:multiLevelType w:val="hybridMultilevel"/>
    <w:tmpl w:val="46186AC2"/>
    <w:lvl w:ilvl="0" w:tplc="61789F9A">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8">
    <w:nsid w:val="389B5BDD"/>
    <w:multiLevelType w:val="hybridMultilevel"/>
    <w:tmpl w:val="5DB8AFC6"/>
    <w:lvl w:ilvl="0" w:tplc="6886646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9">
    <w:nsid w:val="3C2350F7"/>
    <w:multiLevelType w:val="hybridMultilevel"/>
    <w:tmpl w:val="99E6BB98"/>
    <w:lvl w:ilvl="0" w:tplc="4790DAAA">
      <w:start w:val="1"/>
      <w:numFmt w:val="lowerLetter"/>
      <w:lvlText w:val="(%1)"/>
      <w:lvlJc w:val="left"/>
      <w:pPr>
        <w:ind w:left="720" w:hanging="360"/>
      </w:pPr>
      <w:rPr>
        <w:rFonts w:ascii="Arial Narrow" w:eastAsiaTheme="minorHAnsi"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6258A9"/>
    <w:multiLevelType w:val="hybridMultilevel"/>
    <w:tmpl w:val="DE52A8A4"/>
    <w:lvl w:ilvl="0" w:tplc="C9BE35F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5A4199"/>
    <w:multiLevelType w:val="hybridMultilevel"/>
    <w:tmpl w:val="3D9629C4"/>
    <w:lvl w:ilvl="0" w:tplc="1C70418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2">
    <w:nsid w:val="5B103BC3"/>
    <w:multiLevelType w:val="hybridMultilevel"/>
    <w:tmpl w:val="9CD628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C6C7005"/>
    <w:multiLevelType w:val="hybridMultilevel"/>
    <w:tmpl w:val="D49E5C26"/>
    <w:lvl w:ilvl="0" w:tplc="A13857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4E4030"/>
    <w:multiLevelType w:val="hybridMultilevel"/>
    <w:tmpl w:val="9CD628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612135E"/>
    <w:multiLevelType w:val="hybridMultilevel"/>
    <w:tmpl w:val="F9E8F606"/>
    <w:lvl w:ilvl="0" w:tplc="F8B8486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6">
    <w:nsid w:val="6AA1789C"/>
    <w:multiLevelType w:val="hybridMultilevel"/>
    <w:tmpl w:val="B92A1314"/>
    <w:lvl w:ilvl="0" w:tplc="B0E6E0C2">
      <w:start w:val="1"/>
      <w:numFmt w:val="decimal"/>
      <w:lvlText w:val="%1."/>
      <w:lvlJc w:val="left"/>
      <w:pPr>
        <w:ind w:left="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47E460F"/>
    <w:multiLevelType w:val="hybridMultilevel"/>
    <w:tmpl w:val="E2AC60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9C71371"/>
    <w:multiLevelType w:val="hybridMultilevel"/>
    <w:tmpl w:val="EF44BC22"/>
    <w:lvl w:ilvl="0" w:tplc="B0E6E0C2">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0">
    <w:nsid w:val="7E4623D6"/>
    <w:multiLevelType w:val="hybridMultilevel"/>
    <w:tmpl w:val="5DE69D9C"/>
    <w:lvl w:ilvl="0" w:tplc="2E2843E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7"/>
  </w:num>
  <w:num w:numId="3">
    <w:abstractNumId w:val="17"/>
  </w:num>
  <w:num w:numId="4">
    <w:abstractNumId w:val="0"/>
  </w:num>
  <w:num w:numId="5">
    <w:abstractNumId w:val="9"/>
  </w:num>
  <w:num w:numId="6">
    <w:abstractNumId w:val="13"/>
  </w:num>
  <w:num w:numId="7">
    <w:abstractNumId w:val="2"/>
  </w:num>
  <w:num w:numId="8">
    <w:abstractNumId w:val="6"/>
  </w:num>
  <w:num w:numId="9">
    <w:abstractNumId w:val="19"/>
  </w:num>
  <w:num w:numId="10">
    <w:abstractNumId w:val="16"/>
  </w:num>
  <w:num w:numId="11">
    <w:abstractNumId w:val="8"/>
  </w:num>
  <w:num w:numId="12">
    <w:abstractNumId w:val="18"/>
  </w:num>
  <w:num w:numId="13">
    <w:abstractNumId w:val="15"/>
  </w:num>
  <w:num w:numId="14">
    <w:abstractNumId w:val="3"/>
  </w:num>
  <w:num w:numId="15">
    <w:abstractNumId w:val="11"/>
  </w:num>
  <w:num w:numId="16">
    <w:abstractNumId w:val="20"/>
  </w:num>
  <w:num w:numId="17">
    <w:abstractNumId w:val="1"/>
  </w:num>
  <w:num w:numId="18">
    <w:abstractNumId w:val="5"/>
  </w:num>
  <w:num w:numId="19">
    <w:abstractNumId w:val="10"/>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BE"/>
    <w:rsid w:val="000016B8"/>
    <w:rsid w:val="00002861"/>
    <w:rsid w:val="00002D5E"/>
    <w:rsid w:val="00003B7F"/>
    <w:rsid w:val="00012496"/>
    <w:rsid w:val="00012747"/>
    <w:rsid w:val="0001525C"/>
    <w:rsid w:val="00015CFF"/>
    <w:rsid w:val="00017895"/>
    <w:rsid w:val="00017D80"/>
    <w:rsid w:val="000227BF"/>
    <w:rsid w:val="00025C66"/>
    <w:rsid w:val="000314DC"/>
    <w:rsid w:val="0003662B"/>
    <w:rsid w:val="00037221"/>
    <w:rsid w:val="00040976"/>
    <w:rsid w:val="00040EB6"/>
    <w:rsid w:val="0004438E"/>
    <w:rsid w:val="00050333"/>
    <w:rsid w:val="00052A20"/>
    <w:rsid w:val="00053A03"/>
    <w:rsid w:val="000550FE"/>
    <w:rsid w:val="00055D3F"/>
    <w:rsid w:val="000770FF"/>
    <w:rsid w:val="00080003"/>
    <w:rsid w:val="0008561A"/>
    <w:rsid w:val="00085B41"/>
    <w:rsid w:val="00086679"/>
    <w:rsid w:val="00086B70"/>
    <w:rsid w:val="00086BBE"/>
    <w:rsid w:val="00086FB3"/>
    <w:rsid w:val="00092FB8"/>
    <w:rsid w:val="000952FD"/>
    <w:rsid w:val="000A14F8"/>
    <w:rsid w:val="000A26C7"/>
    <w:rsid w:val="000A3C7F"/>
    <w:rsid w:val="000A5BC2"/>
    <w:rsid w:val="000A5FAE"/>
    <w:rsid w:val="000D138E"/>
    <w:rsid w:val="000D34AA"/>
    <w:rsid w:val="000D4FA4"/>
    <w:rsid w:val="000E4639"/>
    <w:rsid w:val="000E7E32"/>
    <w:rsid w:val="000F0C4C"/>
    <w:rsid w:val="00102785"/>
    <w:rsid w:val="00102FAB"/>
    <w:rsid w:val="001039AB"/>
    <w:rsid w:val="00106147"/>
    <w:rsid w:val="00106D77"/>
    <w:rsid w:val="00107B9A"/>
    <w:rsid w:val="00112CFD"/>
    <w:rsid w:val="00113262"/>
    <w:rsid w:val="0011616B"/>
    <w:rsid w:val="00116170"/>
    <w:rsid w:val="00117A61"/>
    <w:rsid w:val="00120FD9"/>
    <w:rsid w:val="00125981"/>
    <w:rsid w:val="001327DE"/>
    <w:rsid w:val="00134079"/>
    <w:rsid w:val="00135B3B"/>
    <w:rsid w:val="00141242"/>
    <w:rsid w:val="001414DC"/>
    <w:rsid w:val="00141DDD"/>
    <w:rsid w:val="001452D6"/>
    <w:rsid w:val="00145634"/>
    <w:rsid w:val="00146D0C"/>
    <w:rsid w:val="00161037"/>
    <w:rsid w:val="001621B5"/>
    <w:rsid w:val="00164F5B"/>
    <w:rsid w:val="001655B0"/>
    <w:rsid w:val="0017067A"/>
    <w:rsid w:val="00184E2F"/>
    <w:rsid w:val="00186B48"/>
    <w:rsid w:val="00190A12"/>
    <w:rsid w:val="00195B9B"/>
    <w:rsid w:val="001962DA"/>
    <w:rsid w:val="001A1829"/>
    <w:rsid w:val="001A2569"/>
    <w:rsid w:val="001B0C18"/>
    <w:rsid w:val="001B1BAC"/>
    <w:rsid w:val="001B2802"/>
    <w:rsid w:val="001B376F"/>
    <w:rsid w:val="001B4477"/>
    <w:rsid w:val="001B7035"/>
    <w:rsid w:val="001B7891"/>
    <w:rsid w:val="001C081E"/>
    <w:rsid w:val="001C11BD"/>
    <w:rsid w:val="001D5637"/>
    <w:rsid w:val="001E14F9"/>
    <w:rsid w:val="001E16C1"/>
    <w:rsid w:val="001E2575"/>
    <w:rsid w:val="001E3E29"/>
    <w:rsid w:val="001E40C7"/>
    <w:rsid w:val="001E4F1E"/>
    <w:rsid w:val="001F34DD"/>
    <w:rsid w:val="001F404D"/>
    <w:rsid w:val="001F507A"/>
    <w:rsid w:val="00202A62"/>
    <w:rsid w:val="00202D68"/>
    <w:rsid w:val="00204EF5"/>
    <w:rsid w:val="002064DB"/>
    <w:rsid w:val="00206E2D"/>
    <w:rsid w:val="002072DD"/>
    <w:rsid w:val="002113C1"/>
    <w:rsid w:val="00217A5D"/>
    <w:rsid w:val="0022144E"/>
    <w:rsid w:val="00223485"/>
    <w:rsid w:val="00223636"/>
    <w:rsid w:val="00225001"/>
    <w:rsid w:val="00230285"/>
    <w:rsid w:val="002314F0"/>
    <w:rsid w:val="0023465B"/>
    <w:rsid w:val="00234D7B"/>
    <w:rsid w:val="00236101"/>
    <w:rsid w:val="002415D9"/>
    <w:rsid w:val="00242A73"/>
    <w:rsid w:val="002477E7"/>
    <w:rsid w:val="00252331"/>
    <w:rsid w:val="002552E9"/>
    <w:rsid w:val="0026193A"/>
    <w:rsid w:val="00262BD9"/>
    <w:rsid w:val="00263082"/>
    <w:rsid w:val="0026416B"/>
    <w:rsid w:val="002656E5"/>
    <w:rsid w:val="00267DFF"/>
    <w:rsid w:val="00270EBA"/>
    <w:rsid w:val="00271482"/>
    <w:rsid w:val="002722C9"/>
    <w:rsid w:val="002739F6"/>
    <w:rsid w:val="002762F2"/>
    <w:rsid w:val="00276487"/>
    <w:rsid w:val="00276974"/>
    <w:rsid w:val="00276A7F"/>
    <w:rsid w:val="002775F5"/>
    <w:rsid w:val="0028203C"/>
    <w:rsid w:val="00284FFA"/>
    <w:rsid w:val="002862FF"/>
    <w:rsid w:val="00290A38"/>
    <w:rsid w:val="002928C7"/>
    <w:rsid w:val="00295D80"/>
    <w:rsid w:val="002A0C9B"/>
    <w:rsid w:val="002A2AC2"/>
    <w:rsid w:val="002A5195"/>
    <w:rsid w:val="002A7BCE"/>
    <w:rsid w:val="002C0287"/>
    <w:rsid w:val="002C3BC6"/>
    <w:rsid w:val="002C4EFA"/>
    <w:rsid w:val="002C649A"/>
    <w:rsid w:val="002C65CD"/>
    <w:rsid w:val="002D033B"/>
    <w:rsid w:val="002D327F"/>
    <w:rsid w:val="002D416F"/>
    <w:rsid w:val="002D6255"/>
    <w:rsid w:val="002D790B"/>
    <w:rsid w:val="002E096F"/>
    <w:rsid w:val="002E0E05"/>
    <w:rsid w:val="002E1B10"/>
    <w:rsid w:val="002E3C98"/>
    <w:rsid w:val="002E4BCB"/>
    <w:rsid w:val="002E4E97"/>
    <w:rsid w:val="002E6A69"/>
    <w:rsid w:val="002E6D77"/>
    <w:rsid w:val="002E76CA"/>
    <w:rsid w:val="002E7C6A"/>
    <w:rsid w:val="002F07A6"/>
    <w:rsid w:val="002F278C"/>
    <w:rsid w:val="002F350B"/>
    <w:rsid w:val="002F3D26"/>
    <w:rsid w:val="002F7AA3"/>
    <w:rsid w:val="003006CD"/>
    <w:rsid w:val="0030294B"/>
    <w:rsid w:val="00307031"/>
    <w:rsid w:val="003074BC"/>
    <w:rsid w:val="00313757"/>
    <w:rsid w:val="003147A1"/>
    <w:rsid w:val="003149B4"/>
    <w:rsid w:val="003201BD"/>
    <w:rsid w:val="00326D42"/>
    <w:rsid w:val="00331490"/>
    <w:rsid w:val="00331B22"/>
    <w:rsid w:val="00333C8B"/>
    <w:rsid w:val="00335393"/>
    <w:rsid w:val="003360A5"/>
    <w:rsid w:val="003408C9"/>
    <w:rsid w:val="0034195B"/>
    <w:rsid w:val="00344B74"/>
    <w:rsid w:val="0035233F"/>
    <w:rsid w:val="0035396A"/>
    <w:rsid w:val="003612CF"/>
    <w:rsid w:val="003621CB"/>
    <w:rsid w:val="003629E4"/>
    <w:rsid w:val="00367E70"/>
    <w:rsid w:val="00370D8A"/>
    <w:rsid w:val="00373B89"/>
    <w:rsid w:val="00376E2A"/>
    <w:rsid w:val="003845A0"/>
    <w:rsid w:val="00386550"/>
    <w:rsid w:val="0038691B"/>
    <w:rsid w:val="00390BC9"/>
    <w:rsid w:val="00396EF8"/>
    <w:rsid w:val="00396F09"/>
    <w:rsid w:val="003A6036"/>
    <w:rsid w:val="003A66C3"/>
    <w:rsid w:val="003B4C7E"/>
    <w:rsid w:val="003C0762"/>
    <w:rsid w:val="003C5470"/>
    <w:rsid w:val="003C55DA"/>
    <w:rsid w:val="003D1573"/>
    <w:rsid w:val="003D3E37"/>
    <w:rsid w:val="003D4F80"/>
    <w:rsid w:val="003D5434"/>
    <w:rsid w:val="003D6120"/>
    <w:rsid w:val="003D6C19"/>
    <w:rsid w:val="003E055C"/>
    <w:rsid w:val="003E123D"/>
    <w:rsid w:val="003E24CE"/>
    <w:rsid w:val="003E365C"/>
    <w:rsid w:val="003E37CB"/>
    <w:rsid w:val="003E381D"/>
    <w:rsid w:val="003E3C4E"/>
    <w:rsid w:val="003E64FC"/>
    <w:rsid w:val="003F6809"/>
    <w:rsid w:val="0042135C"/>
    <w:rsid w:val="004222E6"/>
    <w:rsid w:val="00434660"/>
    <w:rsid w:val="00435528"/>
    <w:rsid w:val="00437F8B"/>
    <w:rsid w:val="004431F2"/>
    <w:rsid w:val="004448D0"/>
    <w:rsid w:val="00445008"/>
    <w:rsid w:val="00446516"/>
    <w:rsid w:val="004512F1"/>
    <w:rsid w:val="00451597"/>
    <w:rsid w:val="00462819"/>
    <w:rsid w:val="00463F74"/>
    <w:rsid w:val="00464264"/>
    <w:rsid w:val="00464A1C"/>
    <w:rsid w:val="00466FAF"/>
    <w:rsid w:val="00473B40"/>
    <w:rsid w:val="004772FA"/>
    <w:rsid w:val="00477A58"/>
    <w:rsid w:val="00491EE8"/>
    <w:rsid w:val="004936DF"/>
    <w:rsid w:val="0049396E"/>
    <w:rsid w:val="004A0513"/>
    <w:rsid w:val="004A0F29"/>
    <w:rsid w:val="004A1E8A"/>
    <w:rsid w:val="004A5710"/>
    <w:rsid w:val="004B520E"/>
    <w:rsid w:val="004C44F7"/>
    <w:rsid w:val="004C4BE1"/>
    <w:rsid w:val="004C4DFF"/>
    <w:rsid w:val="004C506E"/>
    <w:rsid w:val="004C586D"/>
    <w:rsid w:val="004D4C55"/>
    <w:rsid w:val="004F28FC"/>
    <w:rsid w:val="004F29B0"/>
    <w:rsid w:val="004F5167"/>
    <w:rsid w:val="004F5799"/>
    <w:rsid w:val="005028F7"/>
    <w:rsid w:val="005028FC"/>
    <w:rsid w:val="0051720B"/>
    <w:rsid w:val="00521560"/>
    <w:rsid w:val="0052245E"/>
    <w:rsid w:val="00523D6A"/>
    <w:rsid w:val="0052765A"/>
    <w:rsid w:val="00532415"/>
    <w:rsid w:val="00541A83"/>
    <w:rsid w:val="00541E95"/>
    <w:rsid w:val="00541FB4"/>
    <w:rsid w:val="0054527F"/>
    <w:rsid w:val="00547EA2"/>
    <w:rsid w:val="00554507"/>
    <w:rsid w:val="005572AF"/>
    <w:rsid w:val="00562D9F"/>
    <w:rsid w:val="005662B6"/>
    <w:rsid w:val="00567B78"/>
    <w:rsid w:val="00570BC5"/>
    <w:rsid w:val="005778B2"/>
    <w:rsid w:val="005779A5"/>
    <w:rsid w:val="00587250"/>
    <w:rsid w:val="005874A7"/>
    <w:rsid w:val="005876D0"/>
    <w:rsid w:val="00595221"/>
    <w:rsid w:val="005952F7"/>
    <w:rsid w:val="005956AE"/>
    <w:rsid w:val="005A1216"/>
    <w:rsid w:val="005A169A"/>
    <w:rsid w:val="005A30AC"/>
    <w:rsid w:val="005A59DE"/>
    <w:rsid w:val="005A6102"/>
    <w:rsid w:val="005B183B"/>
    <w:rsid w:val="005B2055"/>
    <w:rsid w:val="005B52DB"/>
    <w:rsid w:val="005B754B"/>
    <w:rsid w:val="005C09D9"/>
    <w:rsid w:val="005C48E0"/>
    <w:rsid w:val="005C6299"/>
    <w:rsid w:val="005C7665"/>
    <w:rsid w:val="005D0A17"/>
    <w:rsid w:val="005D2B41"/>
    <w:rsid w:val="005E6357"/>
    <w:rsid w:val="005E6CB8"/>
    <w:rsid w:val="005F11E2"/>
    <w:rsid w:val="005F1F3A"/>
    <w:rsid w:val="005F368E"/>
    <w:rsid w:val="005F494A"/>
    <w:rsid w:val="005F5537"/>
    <w:rsid w:val="00602571"/>
    <w:rsid w:val="00610E06"/>
    <w:rsid w:val="00613B81"/>
    <w:rsid w:val="006149CC"/>
    <w:rsid w:val="00625018"/>
    <w:rsid w:val="00630E04"/>
    <w:rsid w:val="006325BA"/>
    <w:rsid w:val="00634359"/>
    <w:rsid w:val="00637857"/>
    <w:rsid w:val="00651817"/>
    <w:rsid w:val="00665EEE"/>
    <w:rsid w:val="006674DB"/>
    <w:rsid w:val="00670492"/>
    <w:rsid w:val="00670BAA"/>
    <w:rsid w:val="00695032"/>
    <w:rsid w:val="006A562E"/>
    <w:rsid w:val="006A6356"/>
    <w:rsid w:val="006B0D55"/>
    <w:rsid w:val="006B511B"/>
    <w:rsid w:val="006C476E"/>
    <w:rsid w:val="006C6604"/>
    <w:rsid w:val="006D1AAC"/>
    <w:rsid w:val="006D4C43"/>
    <w:rsid w:val="006E2851"/>
    <w:rsid w:val="006E74E6"/>
    <w:rsid w:val="006E7C68"/>
    <w:rsid w:val="006F1BA5"/>
    <w:rsid w:val="006F4D08"/>
    <w:rsid w:val="006F6AF8"/>
    <w:rsid w:val="00700AAF"/>
    <w:rsid w:val="00701EEA"/>
    <w:rsid w:val="007051B9"/>
    <w:rsid w:val="0070535F"/>
    <w:rsid w:val="00712CEF"/>
    <w:rsid w:val="007322A2"/>
    <w:rsid w:val="00733218"/>
    <w:rsid w:val="0073371F"/>
    <w:rsid w:val="00735470"/>
    <w:rsid w:val="00737AB4"/>
    <w:rsid w:val="007445ED"/>
    <w:rsid w:val="007449D3"/>
    <w:rsid w:val="007454B8"/>
    <w:rsid w:val="00746C50"/>
    <w:rsid w:val="007470F2"/>
    <w:rsid w:val="007533F7"/>
    <w:rsid w:val="00754122"/>
    <w:rsid w:val="00756858"/>
    <w:rsid w:val="00757756"/>
    <w:rsid w:val="00761D96"/>
    <w:rsid w:val="00762C0C"/>
    <w:rsid w:val="007634CF"/>
    <w:rsid w:val="00765B80"/>
    <w:rsid w:val="00771219"/>
    <w:rsid w:val="007769F3"/>
    <w:rsid w:val="007838DA"/>
    <w:rsid w:val="00791A9A"/>
    <w:rsid w:val="0079259C"/>
    <w:rsid w:val="00794DFE"/>
    <w:rsid w:val="007A3DFA"/>
    <w:rsid w:val="007A3E62"/>
    <w:rsid w:val="007A676B"/>
    <w:rsid w:val="007B53DC"/>
    <w:rsid w:val="007B5B8D"/>
    <w:rsid w:val="007C2795"/>
    <w:rsid w:val="007C3A5B"/>
    <w:rsid w:val="007C4FB2"/>
    <w:rsid w:val="007C54DC"/>
    <w:rsid w:val="007D0247"/>
    <w:rsid w:val="007D0812"/>
    <w:rsid w:val="007D3A83"/>
    <w:rsid w:val="007E1C32"/>
    <w:rsid w:val="007E2784"/>
    <w:rsid w:val="007E425F"/>
    <w:rsid w:val="007F51D9"/>
    <w:rsid w:val="008001FC"/>
    <w:rsid w:val="00803280"/>
    <w:rsid w:val="00806C11"/>
    <w:rsid w:val="00811280"/>
    <w:rsid w:val="008138EF"/>
    <w:rsid w:val="008169A7"/>
    <w:rsid w:val="00816A78"/>
    <w:rsid w:val="00821843"/>
    <w:rsid w:val="00822D38"/>
    <w:rsid w:val="00830E77"/>
    <w:rsid w:val="00831565"/>
    <w:rsid w:val="0083205D"/>
    <w:rsid w:val="00833288"/>
    <w:rsid w:val="00837F76"/>
    <w:rsid w:val="00844C87"/>
    <w:rsid w:val="008450AB"/>
    <w:rsid w:val="00852C83"/>
    <w:rsid w:val="0085663A"/>
    <w:rsid w:val="008630BE"/>
    <w:rsid w:val="00863E75"/>
    <w:rsid w:val="0086511D"/>
    <w:rsid w:val="008668D6"/>
    <w:rsid w:val="00866959"/>
    <w:rsid w:val="00867DEC"/>
    <w:rsid w:val="00870304"/>
    <w:rsid w:val="00873110"/>
    <w:rsid w:val="0088117E"/>
    <w:rsid w:val="00884D40"/>
    <w:rsid w:val="008870F8"/>
    <w:rsid w:val="00887C19"/>
    <w:rsid w:val="00892C07"/>
    <w:rsid w:val="008957FC"/>
    <w:rsid w:val="0089796D"/>
    <w:rsid w:val="008979E6"/>
    <w:rsid w:val="008A2B5D"/>
    <w:rsid w:val="008A5CF7"/>
    <w:rsid w:val="008C2A31"/>
    <w:rsid w:val="008D0047"/>
    <w:rsid w:val="008D3C14"/>
    <w:rsid w:val="008D6CB5"/>
    <w:rsid w:val="008E55AA"/>
    <w:rsid w:val="008E7A93"/>
    <w:rsid w:val="008F015F"/>
    <w:rsid w:val="008F47DB"/>
    <w:rsid w:val="008F5BAD"/>
    <w:rsid w:val="00901D37"/>
    <w:rsid w:val="009039B0"/>
    <w:rsid w:val="009057F6"/>
    <w:rsid w:val="00907995"/>
    <w:rsid w:val="009161B7"/>
    <w:rsid w:val="00924CB4"/>
    <w:rsid w:val="009253C9"/>
    <w:rsid w:val="00953BB8"/>
    <w:rsid w:val="009540EE"/>
    <w:rsid w:val="00961038"/>
    <w:rsid w:val="00976593"/>
    <w:rsid w:val="009862F7"/>
    <w:rsid w:val="009911E3"/>
    <w:rsid w:val="00996383"/>
    <w:rsid w:val="009A40EA"/>
    <w:rsid w:val="009A64A9"/>
    <w:rsid w:val="009B2D4B"/>
    <w:rsid w:val="009C3672"/>
    <w:rsid w:val="009D2939"/>
    <w:rsid w:val="009D37BC"/>
    <w:rsid w:val="009E4DBF"/>
    <w:rsid w:val="009E6564"/>
    <w:rsid w:val="009E6680"/>
    <w:rsid w:val="009F1EE3"/>
    <w:rsid w:val="009F387E"/>
    <w:rsid w:val="009F3DAB"/>
    <w:rsid w:val="009F780B"/>
    <w:rsid w:val="00A12871"/>
    <w:rsid w:val="00A13631"/>
    <w:rsid w:val="00A159B0"/>
    <w:rsid w:val="00A21F72"/>
    <w:rsid w:val="00A23AD1"/>
    <w:rsid w:val="00A23F76"/>
    <w:rsid w:val="00A25F68"/>
    <w:rsid w:val="00A31538"/>
    <w:rsid w:val="00A3207E"/>
    <w:rsid w:val="00A322ED"/>
    <w:rsid w:val="00A341E9"/>
    <w:rsid w:val="00A3605F"/>
    <w:rsid w:val="00A37653"/>
    <w:rsid w:val="00A43604"/>
    <w:rsid w:val="00A4384B"/>
    <w:rsid w:val="00A44FF6"/>
    <w:rsid w:val="00A4535A"/>
    <w:rsid w:val="00A4648D"/>
    <w:rsid w:val="00A52C14"/>
    <w:rsid w:val="00A63B84"/>
    <w:rsid w:val="00A64724"/>
    <w:rsid w:val="00A65514"/>
    <w:rsid w:val="00A655C9"/>
    <w:rsid w:val="00A70171"/>
    <w:rsid w:val="00A7045C"/>
    <w:rsid w:val="00A72120"/>
    <w:rsid w:val="00A759B0"/>
    <w:rsid w:val="00A762C5"/>
    <w:rsid w:val="00A774B7"/>
    <w:rsid w:val="00A828C6"/>
    <w:rsid w:val="00A83693"/>
    <w:rsid w:val="00A83BFF"/>
    <w:rsid w:val="00A908F9"/>
    <w:rsid w:val="00A9167F"/>
    <w:rsid w:val="00A9347F"/>
    <w:rsid w:val="00A95B6C"/>
    <w:rsid w:val="00A9610D"/>
    <w:rsid w:val="00AA5FAB"/>
    <w:rsid w:val="00AB0E68"/>
    <w:rsid w:val="00AB44EA"/>
    <w:rsid w:val="00AB5191"/>
    <w:rsid w:val="00AB5464"/>
    <w:rsid w:val="00AC07D5"/>
    <w:rsid w:val="00AC5312"/>
    <w:rsid w:val="00AC7681"/>
    <w:rsid w:val="00AC7A77"/>
    <w:rsid w:val="00AD4154"/>
    <w:rsid w:val="00AD6238"/>
    <w:rsid w:val="00AE0155"/>
    <w:rsid w:val="00AE0BDF"/>
    <w:rsid w:val="00AE1775"/>
    <w:rsid w:val="00AF2501"/>
    <w:rsid w:val="00AF6370"/>
    <w:rsid w:val="00AF64AE"/>
    <w:rsid w:val="00AF7D1A"/>
    <w:rsid w:val="00B00727"/>
    <w:rsid w:val="00B00A97"/>
    <w:rsid w:val="00B02A30"/>
    <w:rsid w:val="00B0508D"/>
    <w:rsid w:val="00B069AA"/>
    <w:rsid w:val="00B11B0F"/>
    <w:rsid w:val="00B144D1"/>
    <w:rsid w:val="00B14C76"/>
    <w:rsid w:val="00B151C4"/>
    <w:rsid w:val="00B27973"/>
    <w:rsid w:val="00B308A9"/>
    <w:rsid w:val="00B42A15"/>
    <w:rsid w:val="00B474E4"/>
    <w:rsid w:val="00B47C4B"/>
    <w:rsid w:val="00B53BE1"/>
    <w:rsid w:val="00B5451C"/>
    <w:rsid w:val="00B55E75"/>
    <w:rsid w:val="00B600B5"/>
    <w:rsid w:val="00B60932"/>
    <w:rsid w:val="00B6240A"/>
    <w:rsid w:val="00B631C3"/>
    <w:rsid w:val="00B63C6E"/>
    <w:rsid w:val="00B70BC2"/>
    <w:rsid w:val="00B760F2"/>
    <w:rsid w:val="00B8706F"/>
    <w:rsid w:val="00B9011F"/>
    <w:rsid w:val="00B93080"/>
    <w:rsid w:val="00B93E74"/>
    <w:rsid w:val="00BA4517"/>
    <w:rsid w:val="00BA5815"/>
    <w:rsid w:val="00BB3285"/>
    <w:rsid w:val="00BB33C4"/>
    <w:rsid w:val="00BB5B42"/>
    <w:rsid w:val="00BC08F7"/>
    <w:rsid w:val="00BC2700"/>
    <w:rsid w:val="00BC32B6"/>
    <w:rsid w:val="00BD6AE6"/>
    <w:rsid w:val="00BE4664"/>
    <w:rsid w:val="00BE4F5C"/>
    <w:rsid w:val="00BE70A6"/>
    <w:rsid w:val="00BE78B1"/>
    <w:rsid w:val="00BF5BC4"/>
    <w:rsid w:val="00BF6699"/>
    <w:rsid w:val="00BF749C"/>
    <w:rsid w:val="00BF7E62"/>
    <w:rsid w:val="00C01463"/>
    <w:rsid w:val="00C04F3C"/>
    <w:rsid w:val="00C05003"/>
    <w:rsid w:val="00C05591"/>
    <w:rsid w:val="00C0638F"/>
    <w:rsid w:val="00C074E4"/>
    <w:rsid w:val="00C07FAD"/>
    <w:rsid w:val="00C07FCE"/>
    <w:rsid w:val="00C10D99"/>
    <w:rsid w:val="00C132B9"/>
    <w:rsid w:val="00C15467"/>
    <w:rsid w:val="00C1707E"/>
    <w:rsid w:val="00C20104"/>
    <w:rsid w:val="00C37554"/>
    <w:rsid w:val="00C40D88"/>
    <w:rsid w:val="00C42E99"/>
    <w:rsid w:val="00C450B9"/>
    <w:rsid w:val="00C514E3"/>
    <w:rsid w:val="00C520B1"/>
    <w:rsid w:val="00C57669"/>
    <w:rsid w:val="00C60159"/>
    <w:rsid w:val="00C62658"/>
    <w:rsid w:val="00C62DB8"/>
    <w:rsid w:val="00C6521D"/>
    <w:rsid w:val="00C7406C"/>
    <w:rsid w:val="00C748E0"/>
    <w:rsid w:val="00C750B6"/>
    <w:rsid w:val="00C77D15"/>
    <w:rsid w:val="00C77F71"/>
    <w:rsid w:val="00C81D7C"/>
    <w:rsid w:val="00C876B6"/>
    <w:rsid w:val="00C92764"/>
    <w:rsid w:val="00C94A8A"/>
    <w:rsid w:val="00C971D3"/>
    <w:rsid w:val="00C977DD"/>
    <w:rsid w:val="00CA2B1A"/>
    <w:rsid w:val="00CB0BD4"/>
    <w:rsid w:val="00CB0C34"/>
    <w:rsid w:val="00CB4CC6"/>
    <w:rsid w:val="00CB60EB"/>
    <w:rsid w:val="00CC1801"/>
    <w:rsid w:val="00CC3445"/>
    <w:rsid w:val="00CC3ECE"/>
    <w:rsid w:val="00CC6EEB"/>
    <w:rsid w:val="00CD1865"/>
    <w:rsid w:val="00CD4F8B"/>
    <w:rsid w:val="00CE0B02"/>
    <w:rsid w:val="00CE0D62"/>
    <w:rsid w:val="00CE77C9"/>
    <w:rsid w:val="00CF0CDC"/>
    <w:rsid w:val="00CF4E80"/>
    <w:rsid w:val="00D002FD"/>
    <w:rsid w:val="00D003EB"/>
    <w:rsid w:val="00D01A66"/>
    <w:rsid w:val="00D01EC9"/>
    <w:rsid w:val="00D028A0"/>
    <w:rsid w:val="00D113E3"/>
    <w:rsid w:val="00D11C91"/>
    <w:rsid w:val="00D120A5"/>
    <w:rsid w:val="00D1425D"/>
    <w:rsid w:val="00D17DB9"/>
    <w:rsid w:val="00D251E9"/>
    <w:rsid w:val="00D31398"/>
    <w:rsid w:val="00D31BE0"/>
    <w:rsid w:val="00D32757"/>
    <w:rsid w:val="00D34ACC"/>
    <w:rsid w:val="00D45B0D"/>
    <w:rsid w:val="00D5067A"/>
    <w:rsid w:val="00D50FD7"/>
    <w:rsid w:val="00D51E64"/>
    <w:rsid w:val="00D529CF"/>
    <w:rsid w:val="00D5639A"/>
    <w:rsid w:val="00D573AB"/>
    <w:rsid w:val="00D61C6B"/>
    <w:rsid w:val="00D63ED9"/>
    <w:rsid w:val="00D65662"/>
    <w:rsid w:val="00D66983"/>
    <w:rsid w:val="00D71AFA"/>
    <w:rsid w:val="00D739AC"/>
    <w:rsid w:val="00D75210"/>
    <w:rsid w:val="00D803F8"/>
    <w:rsid w:val="00D806CB"/>
    <w:rsid w:val="00D85EF1"/>
    <w:rsid w:val="00D91AFF"/>
    <w:rsid w:val="00D940C6"/>
    <w:rsid w:val="00D9507C"/>
    <w:rsid w:val="00DA6AD4"/>
    <w:rsid w:val="00DB1DF8"/>
    <w:rsid w:val="00DB768F"/>
    <w:rsid w:val="00DC1A97"/>
    <w:rsid w:val="00DC3BC2"/>
    <w:rsid w:val="00DC4DBC"/>
    <w:rsid w:val="00DC70C8"/>
    <w:rsid w:val="00DD1638"/>
    <w:rsid w:val="00DD3309"/>
    <w:rsid w:val="00DD6757"/>
    <w:rsid w:val="00DD7D5D"/>
    <w:rsid w:val="00DE709B"/>
    <w:rsid w:val="00DE79D6"/>
    <w:rsid w:val="00DF1A7D"/>
    <w:rsid w:val="00DF1DCC"/>
    <w:rsid w:val="00DF1F7E"/>
    <w:rsid w:val="00DF522E"/>
    <w:rsid w:val="00DF5BC4"/>
    <w:rsid w:val="00DF68AE"/>
    <w:rsid w:val="00E003E8"/>
    <w:rsid w:val="00E03A0D"/>
    <w:rsid w:val="00E03E6C"/>
    <w:rsid w:val="00E06B0F"/>
    <w:rsid w:val="00E11536"/>
    <w:rsid w:val="00E13EB3"/>
    <w:rsid w:val="00E17E65"/>
    <w:rsid w:val="00E2393F"/>
    <w:rsid w:val="00E253D1"/>
    <w:rsid w:val="00E31E68"/>
    <w:rsid w:val="00E377A4"/>
    <w:rsid w:val="00E5053E"/>
    <w:rsid w:val="00E61144"/>
    <w:rsid w:val="00E625E1"/>
    <w:rsid w:val="00E6734D"/>
    <w:rsid w:val="00E720CD"/>
    <w:rsid w:val="00E72D20"/>
    <w:rsid w:val="00E7390B"/>
    <w:rsid w:val="00E73A60"/>
    <w:rsid w:val="00E7413F"/>
    <w:rsid w:val="00E77DF2"/>
    <w:rsid w:val="00E81302"/>
    <w:rsid w:val="00E85290"/>
    <w:rsid w:val="00E87207"/>
    <w:rsid w:val="00E90A9A"/>
    <w:rsid w:val="00E90B87"/>
    <w:rsid w:val="00E91352"/>
    <w:rsid w:val="00E97AF7"/>
    <w:rsid w:val="00EA38CA"/>
    <w:rsid w:val="00EA701E"/>
    <w:rsid w:val="00EB0A72"/>
    <w:rsid w:val="00EB2CCD"/>
    <w:rsid w:val="00EB3B54"/>
    <w:rsid w:val="00EB6E30"/>
    <w:rsid w:val="00EB724B"/>
    <w:rsid w:val="00EC459A"/>
    <w:rsid w:val="00ED4431"/>
    <w:rsid w:val="00ED4A09"/>
    <w:rsid w:val="00EE0573"/>
    <w:rsid w:val="00EE65D7"/>
    <w:rsid w:val="00EF4B80"/>
    <w:rsid w:val="00EF5B96"/>
    <w:rsid w:val="00EF6975"/>
    <w:rsid w:val="00F01DFE"/>
    <w:rsid w:val="00F02C62"/>
    <w:rsid w:val="00F04B05"/>
    <w:rsid w:val="00F14326"/>
    <w:rsid w:val="00F14CD4"/>
    <w:rsid w:val="00F16D91"/>
    <w:rsid w:val="00F30F3B"/>
    <w:rsid w:val="00F31D7C"/>
    <w:rsid w:val="00F35897"/>
    <w:rsid w:val="00F401C5"/>
    <w:rsid w:val="00F41217"/>
    <w:rsid w:val="00F43B39"/>
    <w:rsid w:val="00F45891"/>
    <w:rsid w:val="00F47C42"/>
    <w:rsid w:val="00F54FA2"/>
    <w:rsid w:val="00F60650"/>
    <w:rsid w:val="00F702F6"/>
    <w:rsid w:val="00F726B6"/>
    <w:rsid w:val="00F75429"/>
    <w:rsid w:val="00F75F6C"/>
    <w:rsid w:val="00F77992"/>
    <w:rsid w:val="00F80C2F"/>
    <w:rsid w:val="00F80F81"/>
    <w:rsid w:val="00F8546E"/>
    <w:rsid w:val="00F87BC1"/>
    <w:rsid w:val="00F90EEC"/>
    <w:rsid w:val="00F92FD3"/>
    <w:rsid w:val="00FA0641"/>
    <w:rsid w:val="00FA34EA"/>
    <w:rsid w:val="00FA3A5F"/>
    <w:rsid w:val="00FA6C22"/>
    <w:rsid w:val="00FB043A"/>
    <w:rsid w:val="00FB1412"/>
    <w:rsid w:val="00FB5B87"/>
    <w:rsid w:val="00FB6617"/>
    <w:rsid w:val="00FB7140"/>
    <w:rsid w:val="00FB7206"/>
    <w:rsid w:val="00FC0889"/>
    <w:rsid w:val="00FC617F"/>
    <w:rsid w:val="00FD2508"/>
    <w:rsid w:val="00FD37B0"/>
    <w:rsid w:val="00FD39BB"/>
    <w:rsid w:val="00FD3E21"/>
    <w:rsid w:val="00FD43C8"/>
    <w:rsid w:val="00FD4F2D"/>
    <w:rsid w:val="00FD525B"/>
    <w:rsid w:val="00FD6AA0"/>
    <w:rsid w:val="00FD6ADA"/>
    <w:rsid w:val="00FE0113"/>
    <w:rsid w:val="00FF0E66"/>
    <w:rsid w:val="00FF2CD2"/>
    <w:rsid w:val="00FF3412"/>
    <w:rsid w:val="00FF5636"/>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032CD-9619-4F98-BE8F-B5AC7D8A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60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0BE"/>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63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0BE"/>
    <w:rPr>
      <w:lang w:val="en-ZA"/>
    </w:rPr>
  </w:style>
  <w:style w:type="paragraph" w:styleId="ListParagraph">
    <w:name w:val="List Paragraph"/>
    <w:aliases w:val="Bullet Main"/>
    <w:basedOn w:val="Normal"/>
    <w:link w:val="ListParagraphChar"/>
    <w:uiPriority w:val="34"/>
    <w:qFormat/>
    <w:rsid w:val="008630BE"/>
    <w:pPr>
      <w:ind w:left="720"/>
      <w:contextualSpacing/>
    </w:pPr>
  </w:style>
  <w:style w:type="paragraph" w:customStyle="1" w:styleId="form-control-static">
    <w:name w:val="form-control-static"/>
    <w:basedOn w:val="Normal"/>
    <w:rsid w:val="008630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63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BE"/>
    <w:rPr>
      <w:lang w:val="en-ZA"/>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8630BE"/>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8630BE"/>
    <w:rPr>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8630BE"/>
    <w:rPr>
      <w:vertAlign w:val="superscript"/>
    </w:rPr>
  </w:style>
  <w:style w:type="character" w:customStyle="1" w:styleId="ListParagraphChar">
    <w:name w:val="List Paragraph Char"/>
    <w:aliases w:val="Bullet Main Char"/>
    <w:link w:val="ListParagraph"/>
    <w:uiPriority w:val="34"/>
    <w:locked/>
    <w:rsid w:val="008630BE"/>
    <w:rPr>
      <w:lang w:val="en-ZA"/>
    </w:rPr>
  </w:style>
  <w:style w:type="paragraph" w:styleId="NormalWeb">
    <w:name w:val="Normal (Web)"/>
    <w:basedOn w:val="Normal"/>
    <w:uiPriority w:val="99"/>
    <w:unhideWhenUsed/>
    <w:rsid w:val="008630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630BE"/>
    <w:rPr>
      <w:i/>
      <w:iCs/>
    </w:rPr>
  </w:style>
  <w:style w:type="character" w:styleId="Strong">
    <w:name w:val="Strong"/>
    <w:basedOn w:val="DefaultParagraphFont"/>
    <w:uiPriority w:val="22"/>
    <w:qFormat/>
    <w:rsid w:val="008630BE"/>
    <w:rPr>
      <w:b/>
      <w:bCs/>
    </w:rPr>
  </w:style>
  <w:style w:type="paragraph" w:styleId="BalloonText">
    <w:name w:val="Balloon Text"/>
    <w:basedOn w:val="Normal"/>
    <w:link w:val="BalloonTextChar"/>
    <w:uiPriority w:val="99"/>
    <w:semiHidden/>
    <w:unhideWhenUsed/>
    <w:rsid w:val="00C05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591"/>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2023-09-14T18:30:00+00:00</Judgment_x0020_Date>
    <Year xmlns="c1afb1bd-f2fb-40fd-9abb-aea55b4d7662">2023</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89E66-9E5F-4B7D-BB85-C2A003883C0A}"/>
</file>

<file path=customXml/itemProps2.xml><?xml version="1.0" encoding="utf-8"?>
<ds:datastoreItem xmlns:ds="http://schemas.openxmlformats.org/officeDocument/2006/customXml" ds:itemID="{EED5C433-C472-4578-BAF1-5795B2395E21}"/>
</file>

<file path=customXml/itemProps3.xml><?xml version="1.0" encoding="utf-8"?>
<ds:datastoreItem xmlns:ds="http://schemas.openxmlformats.org/officeDocument/2006/customXml" ds:itemID="{6A3B4860-07B8-48BB-ADCE-018D3F0DF836}"/>
</file>

<file path=customXml/itemProps4.xml><?xml version="1.0" encoding="utf-8"?>
<ds:datastoreItem xmlns:ds="http://schemas.openxmlformats.org/officeDocument/2006/customXml" ds:itemID="{82FC27B5-3BB1-4164-87CF-BB280D094C54}"/>
</file>

<file path=docProps/app.xml><?xml version="1.0" encoding="utf-8"?>
<Properties xmlns="http://schemas.openxmlformats.org/officeDocument/2006/extended-properties" xmlns:vt="http://schemas.openxmlformats.org/officeDocument/2006/docPropsVTypes">
  <Template>Normal</Template>
  <TotalTime>5</TotalTime>
  <Pages>1</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Amukena v Nampower (HC-MD-CIV-MOT-REV-2021-00092) [2023] NAHCMD 574 (15 September 2023)</dc:title>
  <dc:creator>Prinsloo Hannelie</dc:creator>
  <cp:lastModifiedBy>Bregitha Coetzee</cp:lastModifiedBy>
  <cp:revision>6</cp:revision>
  <cp:lastPrinted>2023-09-15T12:11:00Z</cp:lastPrinted>
  <dcterms:created xsi:type="dcterms:W3CDTF">2023-09-15T12:12:00Z</dcterms:created>
  <dcterms:modified xsi:type="dcterms:W3CDTF">2023-09-15T13:52:00Z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