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171CE8DB">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42902FE7" w14:textId="77777777" w:rsidR="00761F13" w:rsidRPr="004A5618" w:rsidRDefault="00761F13" w:rsidP="00B40844">
      <w:pPr>
        <w:spacing w:after="0" w:line="360" w:lineRule="auto"/>
        <w:jc w:val="center"/>
        <w:rPr>
          <w:rFonts w:ascii="Arial" w:hAnsi="Arial" w:cs="Arial"/>
          <w:b/>
          <w:sz w:val="24"/>
          <w:szCs w:val="24"/>
        </w:rPr>
      </w:pPr>
    </w:p>
    <w:p w14:paraId="1FE8AD31" w14:textId="4F8C740B"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761F13">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1F6173DB" w:rsidR="00B40844" w:rsidRPr="00FB3A08" w:rsidRDefault="00F11C19" w:rsidP="0061537D">
            <w:pPr>
              <w:jc w:val="both"/>
              <w:rPr>
                <w:rFonts w:ascii="Arial" w:hAnsi="Arial" w:cs="Arial"/>
                <w:sz w:val="24"/>
                <w:szCs w:val="24"/>
              </w:rPr>
            </w:pPr>
            <w:r w:rsidRPr="00FB3A08">
              <w:rPr>
                <w:rFonts w:ascii="Arial" w:hAnsi="Arial" w:cs="Arial"/>
                <w:sz w:val="24"/>
                <w:szCs w:val="24"/>
              </w:rPr>
              <w:t>EMPIRE FISHING COMPANY (PTY) LTD</w:t>
            </w:r>
            <w:r w:rsidR="00136505" w:rsidRPr="00FB3A08">
              <w:rPr>
                <w:rFonts w:ascii="Arial" w:hAnsi="Arial" w:cs="Arial"/>
                <w:sz w:val="24"/>
                <w:szCs w:val="24"/>
                <w:shd w:val="clear" w:color="auto" w:fill="FFFFFF"/>
              </w:rPr>
              <w:t xml:space="preserve"> // </w:t>
            </w:r>
            <w:r w:rsidRPr="00FB3A08">
              <w:rPr>
                <w:rFonts w:ascii="Arial" w:hAnsi="Arial" w:cs="Arial"/>
                <w:sz w:val="24"/>
                <w:szCs w:val="24"/>
              </w:rPr>
              <w:t>BISHOP KLEOPAS DUMENI &amp; 3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60378778" w:rsidR="00B40844" w:rsidRPr="00F11C19" w:rsidRDefault="00F11C19" w:rsidP="00937C89">
            <w:pPr>
              <w:spacing w:line="360" w:lineRule="auto"/>
              <w:jc w:val="both"/>
              <w:rPr>
                <w:rFonts w:ascii="Arial" w:hAnsi="Arial" w:cs="Arial"/>
                <w:sz w:val="24"/>
                <w:szCs w:val="24"/>
                <w:shd w:val="clear" w:color="auto" w:fill="FFFFFF"/>
              </w:rPr>
            </w:pPr>
            <w:r w:rsidRPr="00F11C19">
              <w:rPr>
                <w:rFonts w:ascii="Arial" w:hAnsi="Arial" w:cs="Arial"/>
                <w:sz w:val="24"/>
                <w:szCs w:val="24"/>
              </w:rPr>
              <w:t>HC-MD-CIV-ACT-CON-2021/00191</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77777777" w:rsidR="00B40844" w:rsidRPr="004A5618" w:rsidRDefault="00B40844" w:rsidP="00136505">
            <w:pPr>
              <w:spacing w:line="360" w:lineRule="auto"/>
              <w:jc w:val="both"/>
              <w:rPr>
                <w:rFonts w:ascii="Arial" w:hAnsi="Arial" w:cs="Arial"/>
                <w:sz w:val="24"/>
                <w:szCs w:val="24"/>
              </w:rPr>
            </w:pPr>
            <w:r w:rsidRPr="004A5618">
              <w:rPr>
                <w:rFonts w:ascii="Arial" w:hAnsi="Arial" w:cs="Arial"/>
                <w:sz w:val="24"/>
                <w:szCs w:val="24"/>
              </w:rPr>
              <w:t xml:space="preserve">HONOURABLE MR JUSTICE </w:t>
            </w:r>
            <w:r w:rsidR="00136505" w:rsidRPr="004A5618">
              <w:rPr>
                <w:rFonts w:ascii="Arial" w:hAnsi="Arial" w:cs="Arial"/>
                <w:sz w:val="24"/>
                <w:szCs w:val="24"/>
              </w:rPr>
              <w:t>PARKER</w:t>
            </w:r>
            <w:r w:rsidRPr="004A5618">
              <w:rPr>
                <w:rFonts w:ascii="Arial" w:hAnsi="Arial" w:cs="Arial"/>
                <w:sz w:val="24"/>
                <w:szCs w:val="24"/>
              </w:rPr>
              <w:t xml:space="preserve">, </w:t>
            </w:r>
            <w:r w:rsidR="00136505" w:rsidRPr="004A5618">
              <w:rPr>
                <w:rFonts w:ascii="Arial" w:hAnsi="Arial" w:cs="Arial"/>
                <w:sz w:val="24"/>
                <w:szCs w:val="24"/>
              </w:rPr>
              <w:t>ACTING</w:t>
            </w:r>
          </w:p>
        </w:tc>
        <w:tc>
          <w:tcPr>
            <w:tcW w:w="4974" w:type="dxa"/>
          </w:tcPr>
          <w:p w14:paraId="08D8ABA6" w14:textId="57A8FB5F" w:rsidR="00B40844" w:rsidRPr="004A5618" w:rsidRDefault="00761F13" w:rsidP="00937C89">
            <w:pPr>
              <w:spacing w:line="360" w:lineRule="auto"/>
              <w:jc w:val="both"/>
              <w:rPr>
                <w:rFonts w:ascii="Arial" w:hAnsi="Arial" w:cs="Arial"/>
                <w:b/>
                <w:sz w:val="24"/>
                <w:szCs w:val="24"/>
              </w:rPr>
            </w:pPr>
            <w:r>
              <w:rPr>
                <w:rFonts w:ascii="Arial" w:hAnsi="Arial" w:cs="Arial"/>
                <w:b/>
                <w:sz w:val="24"/>
                <w:szCs w:val="24"/>
              </w:rPr>
              <w:t>Heard on</w:t>
            </w:r>
            <w:r w:rsidR="00B40844" w:rsidRPr="004A5618">
              <w:rPr>
                <w:rFonts w:ascii="Arial" w:hAnsi="Arial" w:cs="Arial"/>
                <w:b/>
                <w:sz w:val="24"/>
                <w:szCs w:val="24"/>
              </w:rPr>
              <w:t>:</w:t>
            </w:r>
          </w:p>
          <w:p w14:paraId="7B3DC67C" w14:textId="136727A3" w:rsidR="00B40844" w:rsidRPr="004A5618" w:rsidRDefault="00FB3A08" w:rsidP="00FB3A08">
            <w:pPr>
              <w:spacing w:line="360" w:lineRule="auto"/>
              <w:jc w:val="both"/>
              <w:rPr>
                <w:rFonts w:ascii="Arial" w:hAnsi="Arial" w:cs="Arial"/>
                <w:sz w:val="24"/>
                <w:szCs w:val="24"/>
              </w:rPr>
            </w:pPr>
            <w:r>
              <w:rPr>
                <w:rFonts w:ascii="Arial" w:hAnsi="Arial" w:cs="Arial"/>
                <w:sz w:val="24"/>
                <w:szCs w:val="24"/>
              </w:rPr>
              <w:t>7-10</w:t>
            </w:r>
            <w:r w:rsidR="00C2633E" w:rsidRPr="004A5618">
              <w:rPr>
                <w:rFonts w:ascii="Arial" w:hAnsi="Arial" w:cs="Arial"/>
                <w:sz w:val="24"/>
                <w:szCs w:val="24"/>
              </w:rPr>
              <w:t xml:space="preserve"> </w:t>
            </w:r>
            <w:r>
              <w:rPr>
                <w:rFonts w:ascii="Arial" w:hAnsi="Arial" w:cs="Arial"/>
                <w:sz w:val="24"/>
                <w:szCs w:val="24"/>
              </w:rPr>
              <w:t>AUGUST</w:t>
            </w:r>
            <w:r w:rsidR="00B40844" w:rsidRPr="004A5618">
              <w:rPr>
                <w:rFonts w:ascii="Arial" w:hAnsi="Arial" w:cs="Arial"/>
                <w:sz w:val="24"/>
                <w:szCs w:val="24"/>
              </w:rPr>
              <w:t xml:space="preserve"> 202</w:t>
            </w:r>
            <w:r w:rsidR="00C2633E" w:rsidRPr="004A5618">
              <w:rPr>
                <w:rFonts w:ascii="Arial" w:hAnsi="Arial" w:cs="Arial"/>
                <w:sz w:val="24"/>
                <w:szCs w:val="24"/>
              </w:rPr>
              <w:t>3</w:t>
            </w:r>
            <w:r w:rsidR="00BB3D8B">
              <w:rPr>
                <w:rFonts w:ascii="Arial" w:hAnsi="Arial" w:cs="Arial"/>
                <w:sz w:val="24"/>
                <w:szCs w:val="24"/>
              </w:rPr>
              <w:t>; 14 AUGUST 2023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77777777" w:rsidR="00B40844" w:rsidRPr="004A5618" w:rsidRDefault="0061537D" w:rsidP="00B32493">
            <w:pPr>
              <w:spacing w:line="360" w:lineRule="auto"/>
              <w:jc w:val="both"/>
              <w:rPr>
                <w:rFonts w:ascii="Arial" w:hAnsi="Arial" w:cs="Arial"/>
                <w:b/>
                <w:sz w:val="24"/>
                <w:szCs w:val="24"/>
              </w:rPr>
            </w:pPr>
            <w:r w:rsidRPr="004A5618">
              <w:rPr>
                <w:rFonts w:ascii="Arial" w:hAnsi="Arial" w:cs="Arial"/>
                <w:sz w:val="24"/>
                <w:szCs w:val="24"/>
              </w:rPr>
              <w:t>2</w:t>
            </w:r>
            <w:r w:rsidR="00B32493" w:rsidRPr="004A5618">
              <w:rPr>
                <w:rFonts w:ascii="Arial" w:hAnsi="Arial" w:cs="Arial"/>
                <w:sz w:val="24"/>
                <w:szCs w:val="24"/>
              </w:rPr>
              <w:t>7</w:t>
            </w:r>
            <w:r w:rsidR="00136505" w:rsidRPr="004A5618">
              <w:rPr>
                <w:rFonts w:ascii="Arial" w:hAnsi="Arial" w:cs="Arial"/>
                <w:sz w:val="24"/>
                <w:szCs w:val="24"/>
              </w:rPr>
              <w:t xml:space="preserve"> </w:t>
            </w:r>
            <w:r w:rsidRPr="004A5618">
              <w:rPr>
                <w:rFonts w:ascii="Arial" w:hAnsi="Arial" w:cs="Arial"/>
                <w:sz w:val="24"/>
                <w:szCs w:val="24"/>
              </w:rPr>
              <w:t>SEPTEMBER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136505">
        <w:trPr>
          <w:trHeight w:val="876"/>
        </w:trPr>
        <w:tc>
          <w:tcPr>
            <w:tcW w:w="10206" w:type="dxa"/>
            <w:gridSpan w:val="3"/>
          </w:tcPr>
          <w:p w14:paraId="10F63DC5" w14:textId="1FDC81E8" w:rsidR="00B40844" w:rsidRPr="004A5618" w:rsidRDefault="00B40844" w:rsidP="00192EDB">
            <w:pPr>
              <w:spacing w:line="360" w:lineRule="auto"/>
              <w:ind w:left="2160" w:hanging="2127"/>
              <w:jc w:val="both"/>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r w:rsidR="00BB3D8B" w:rsidRPr="00BB3D8B">
              <w:rPr>
                <w:rFonts w:ascii="Arial" w:hAnsi="Arial" w:cs="Arial"/>
                <w:i/>
                <w:sz w:val="24"/>
                <w:szCs w:val="24"/>
              </w:rPr>
              <w:t>Empire Fishing Company (Pty) Ltd</w:t>
            </w:r>
            <w:r w:rsidR="00BB3D8B" w:rsidRPr="00BB3D8B">
              <w:rPr>
                <w:rFonts w:ascii="Arial" w:hAnsi="Arial" w:cs="Arial"/>
                <w:i/>
                <w:sz w:val="24"/>
                <w:szCs w:val="24"/>
                <w:shd w:val="clear" w:color="auto" w:fill="FFFFFF"/>
              </w:rPr>
              <w:t xml:space="preserve"> v </w:t>
            </w:r>
            <w:proofErr w:type="spellStart"/>
            <w:r w:rsidR="00BB3D8B" w:rsidRPr="00BB3D8B">
              <w:rPr>
                <w:rFonts w:ascii="Arial" w:hAnsi="Arial" w:cs="Arial"/>
                <w:i/>
                <w:sz w:val="24"/>
                <w:szCs w:val="24"/>
              </w:rPr>
              <w:t>Dumeni</w:t>
            </w:r>
            <w:proofErr w:type="spellEnd"/>
            <w:r w:rsidRPr="004A5618">
              <w:rPr>
                <w:rFonts w:ascii="Arial" w:hAnsi="Arial" w:cs="Arial"/>
                <w:sz w:val="24"/>
                <w:szCs w:val="24"/>
              </w:rPr>
              <w:t xml:space="preserve"> (</w:t>
            </w:r>
            <w:r w:rsidR="00BB3D8B" w:rsidRPr="00F11C19">
              <w:rPr>
                <w:rFonts w:ascii="Arial" w:hAnsi="Arial" w:cs="Arial"/>
                <w:sz w:val="24"/>
                <w:szCs w:val="24"/>
              </w:rPr>
              <w:t>HC-MD-CIV-ACT-CON-2021/00191</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192EDB">
              <w:rPr>
                <w:rFonts w:ascii="Arial" w:hAnsi="Arial" w:cs="Arial"/>
                <w:sz w:val="24"/>
                <w:szCs w:val="24"/>
              </w:rPr>
              <w:t>599</w:t>
            </w:r>
            <w:r w:rsidRPr="004A5618">
              <w:rPr>
                <w:rFonts w:ascii="Arial" w:hAnsi="Arial" w:cs="Arial"/>
                <w:sz w:val="24"/>
                <w:szCs w:val="24"/>
              </w:rPr>
              <w:t xml:space="preserve"> (</w:t>
            </w:r>
            <w:r w:rsidR="0061537D" w:rsidRPr="004A5618">
              <w:rPr>
                <w:rFonts w:ascii="Arial" w:hAnsi="Arial" w:cs="Arial"/>
                <w:sz w:val="24"/>
                <w:szCs w:val="24"/>
              </w:rPr>
              <w:t>2</w:t>
            </w:r>
            <w:r w:rsidR="00B32493" w:rsidRPr="004A5618">
              <w:rPr>
                <w:rFonts w:ascii="Arial" w:hAnsi="Arial" w:cs="Arial"/>
                <w:sz w:val="24"/>
                <w:szCs w:val="24"/>
              </w:rPr>
              <w:t>7</w:t>
            </w:r>
            <w:r w:rsidR="00136505" w:rsidRPr="004A5618">
              <w:rPr>
                <w:rFonts w:ascii="Arial" w:hAnsi="Arial" w:cs="Arial"/>
                <w:sz w:val="24"/>
                <w:szCs w:val="24"/>
              </w:rPr>
              <w:t xml:space="preserve"> </w:t>
            </w:r>
            <w:r w:rsidR="0061537D" w:rsidRPr="004A5618">
              <w:rPr>
                <w:rFonts w:ascii="Arial" w:hAnsi="Arial" w:cs="Arial"/>
                <w:sz w:val="24"/>
                <w:szCs w:val="24"/>
              </w:rPr>
              <w:t>September</w:t>
            </w:r>
            <w:r w:rsidR="00B47800" w:rsidRPr="004A5618">
              <w:rPr>
                <w:rFonts w:ascii="Arial" w:hAnsi="Arial" w:cs="Arial"/>
                <w:sz w:val="24"/>
                <w:szCs w:val="24"/>
              </w:rPr>
              <w:t xml:space="preserve"> 2023</w:t>
            </w:r>
            <w:r w:rsidRPr="004A5618">
              <w:rPr>
                <w:rFonts w:ascii="Arial" w:hAnsi="Arial" w:cs="Arial"/>
                <w:sz w:val="24"/>
                <w:szCs w:val="24"/>
              </w:rPr>
              <w:t>)</w:t>
            </w:r>
          </w:p>
        </w:tc>
      </w:tr>
      <w:tr w:rsidR="004609C6" w:rsidRPr="004A5618" w14:paraId="7B6FDC6E" w14:textId="77777777" w:rsidTr="004609C6">
        <w:trPr>
          <w:trHeight w:val="542"/>
        </w:trPr>
        <w:tc>
          <w:tcPr>
            <w:tcW w:w="10206" w:type="dxa"/>
            <w:gridSpan w:val="3"/>
          </w:tcPr>
          <w:p w14:paraId="64DFDEB6" w14:textId="19D14C7B" w:rsidR="004609C6" w:rsidRPr="004A5618" w:rsidRDefault="004609C6" w:rsidP="004609C6">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60C0A90F" w14:textId="77777777" w:rsidR="00B40844" w:rsidRPr="004A5618" w:rsidRDefault="00B40844" w:rsidP="00937C89">
            <w:pPr>
              <w:spacing w:line="360" w:lineRule="auto"/>
              <w:jc w:val="both"/>
              <w:rPr>
                <w:rFonts w:ascii="Arial" w:hAnsi="Arial" w:cs="Arial"/>
                <w:sz w:val="18"/>
                <w:szCs w:val="18"/>
              </w:rPr>
            </w:pPr>
          </w:p>
          <w:p w14:paraId="4A4C0027" w14:textId="77777777" w:rsidR="00D64884" w:rsidRPr="00190F2F" w:rsidRDefault="00D64884" w:rsidP="00D64884">
            <w:pPr>
              <w:pStyle w:val="ListParagraph"/>
              <w:numPr>
                <w:ilvl w:val="0"/>
                <w:numId w:val="13"/>
              </w:numPr>
              <w:spacing w:line="360" w:lineRule="auto"/>
              <w:ind w:left="743" w:hanging="710"/>
              <w:jc w:val="both"/>
              <w:rPr>
                <w:rFonts w:ascii="Arial" w:hAnsi="Arial" w:cs="Arial"/>
                <w:sz w:val="24"/>
                <w:szCs w:val="24"/>
              </w:rPr>
            </w:pPr>
            <w:r w:rsidRPr="00190F2F">
              <w:rPr>
                <w:rFonts w:ascii="Arial" w:hAnsi="Arial" w:cs="Arial"/>
                <w:sz w:val="24"/>
                <w:szCs w:val="24"/>
              </w:rPr>
              <w:t>Absolution from the instance is granted with costs.</w:t>
            </w:r>
          </w:p>
          <w:p w14:paraId="60AEBAEC" w14:textId="77777777" w:rsidR="00D64884" w:rsidRPr="00190F2F" w:rsidRDefault="00D64884" w:rsidP="00D64884">
            <w:pPr>
              <w:pStyle w:val="ListParagraph"/>
              <w:spacing w:line="360" w:lineRule="auto"/>
              <w:ind w:left="743" w:hanging="710"/>
              <w:jc w:val="both"/>
              <w:rPr>
                <w:rFonts w:ascii="Arial" w:hAnsi="Arial" w:cs="Arial"/>
                <w:sz w:val="24"/>
                <w:szCs w:val="24"/>
              </w:rPr>
            </w:pPr>
          </w:p>
          <w:p w14:paraId="2A45D903" w14:textId="77777777" w:rsidR="00D64884" w:rsidRPr="00190F2F" w:rsidRDefault="00D64884" w:rsidP="00D64884">
            <w:pPr>
              <w:pStyle w:val="ListParagraph"/>
              <w:numPr>
                <w:ilvl w:val="0"/>
                <w:numId w:val="13"/>
              </w:numPr>
              <w:spacing w:line="360" w:lineRule="auto"/>
              <w:ind w:left="743" w:hanging="710"/>
              <w:jc w:val="both"/>
              <w:rPr>
                <w:rFonts w:ascii="Arial" w:hAnsi="Arial" w:cs="Arial"/>
                <w:sz w:val="24"/>
                <w:szCs w:val="24"/>
              </w:rPr>
            </w:pPr>
            <w:r w:rsidRPr="00190F2F">
              <w:rPr>
                <w:rFonts w:ascii="Arial" w:hAnsi="Arial" w:cs="Arial"/>
                <w:sz w:val="24"/>
                <w:szCs w:val="24"/>
              </w:rPr>
              <w:t>The matter is considered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17850707"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t>R</w:t>
            </w:r>
            <w:r w:rsidR="004609C6">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656B5ECC" w14:textId="77777777" w:rsidR="004609C6" w:rsidRDefault="004609C6" w:rsidP="00ED76B2">
            <w:pPr>
              <w:spacing w:line="360" w:lineRule="auto"/>
              <w:jc w:val="both"/>
              <w:rPr>
                <w:rFonts w:ascii="Arial" w:hAnsi="Arial" w:cs="Arial"/>
                <w:sz w:val="24"/>
                <w:szCs w:val="24"/>
              </w:rPr>
            </w:pPr>
          </w:p>
          <w:p w14:paraId="3404A598" w14:textId="23CC0A9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15193DB" w14:textId="77777777" w:rsidR="003B03B0" w:rsidRPr="004A5618" w:rsidRDefault="003B03B0" w:rsidP="00ED76B2">
            <w:pPr>
              <w:spacing w:line="360" w:lineRule="auto"/>
              <w:jc w:val="both"/>
              <w:rPr>
                <w:rFonts w:ascii="Arial" w:hAnsi="Arial" w:cs="Arial"/>
                <w:sz w:val="24"/>
                <w:szCs w:val="24"/>
              </w:rPr>
            </w:pPr>
          </w:p>
          <w:p w14:paraId="55BC2947" w14:textId="77777777"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lastRenderedPageBreak/>
              <w:t>[1]</w:t>
            </w:r>
            <w:r w:rsidRPr="00190F2F">
              <w:rPr>
                <w:rFonts w:ascii="Arial" w:hAnsi="Arial" w:cs="Arial"/>
                <w:sz w:val="24"/>
                <w:szCs w:val="24"/>
              </w:rPr>
              <w:tab/>
              <w:t xml:space="preserve">After the close of the plaintiff’s case, the first and second defendants, represented by Mr </w:t>
            </w:r>
            <w:proofErr w:type="spellStart"/>
            <w:r w:rsidRPr="00190F2F">
              <w:rPr>
                <w:rFonts w:ascii="Arial" w:hAnsi="Arial" w:cs="Arial"/>
                <w:sz w:val="24"/>
                <w:szCs w:val="24"/>
              </w:rPr>
              <w:t>Shikongo</w:t>
            </w:r>
            <w:proofErr w:type="spellEnd"/>
            <w:r w:rsidRPr="00190F2F">
              <w:rPr>
                <w:rFonts w:ascii="Arial" w:hAnsi="Arial" w:cs="Arial"/>
                <w:sz w:val="24"/>
                <w:szCs w:val="24"/>
              </w:rPr>
              <w:t xml:space="preserve">, brought an application for absolution from the instance (‘the absolution application’). Mr </w:t>
            </w:r>
            <w:proofErr w:type="spellStart"/>
            <w:r w:rsidRPr="00190F2F">
              <w:rPr>
                <w:rFonts w:ascii="Arial" w:hAnsi="Arial" w:cs="Arial"/>
                <w:sz w:val="24"/>
                <w:szCs w:val="24"/>
              </w:rPr>
              <w:t>Chibwana</w:t>
            </w:r>
            <w:proofErr w:type="spellEnd"/>
            <w:r w:rsidRPr="00190F2F">
              <w:rPr>
                <w:rFonts w:ascii="Arial" w:hAnsi="Arial" w:cs="Arial"/>
                <w:sz w:val="24"/>
                <w:szCs w:val="24"/>
              </w:rPr>
              <w:t xml:space="preserve"> represents the plaintiff.</w:t>
            </w:r>
          </w:p>
          <w:p w14:paraId="2E887464" w14:textId="77777777" w:rsidR="00190F2F" w:rsidRPr="00190F2F" w:rsidRDefault="00190F2F" w:rsidP="00190F2F">
            <w:pPr>
              <w:spacing w:line="360" w:lineRule="auto"/>
              <w:jc w:val="both"/>
              <w:rPr>
                <w:rFonts w:ascii="Arial" w:hAnsi="Arial" w:cs="Arial"/>
                <w:sz w:val="24"/>
                <w:szCs w:val="24"/>
              </w:rPr>
            </w:pPr>
          </w:p>
          <w:p w14:paraId="43E5F3E0" w14:textId="77777777" w:rsidR="00190F2F" w:rsidRPr="00190F2F" w:rsidRDefault="00190F2F" w:rsidP="00190F2F">
            <w:pPr>
              <w:spacing w:line="360" w:lineRule="auto"/>
              <w:jc w:val="both"/>
              <w:rPr>
                <w:rFonts w:ascii="Arial" w:eastAsia="Calibri" w:hAnsi="Arial" w:cs="Arial"/>
                <w:sz w:val="24"/>
                <w:szCs w:val="24"/>
              </w:rPr>
            </w:pPr>
            <w:r w:rsidRPr="00190F2F">
              <w:rPr>
                <w:rFonts w:ascii="Arial" w:hAnsi="Arial" w:cs="Arial"/>
                <w:sz w:val="24"/>
                <w:szCs w:val="24"/>
              </w:rPr>
              <w:t>[2]</w:t>
            </w:r>
            <w:r w:rsidRPr="00190F2F">
              <w:rPr>
                <w:rFonts w:ascii="Arial" w:hAnsi="Arial" w:cs="Arial"/>
                <w:sz w:val="24"/>
                <w:szCs w:val="24"/>
              </w:rPr>
              <w:tab/>
              <w:t xml:space="preserve">The test for absolution from the instance has been settled by the authorities. The principles and approaches have been followed in several cases. They were approved by the Supreme Court in </w:t>
            </w:r>
            <w:bookmarkStart w:id="0" w:name="_Hlk143634360"/>
            <w:proofErr w:type="spellStart"/>
            <w:r w:rsidRPr="00190F2F">
              <w:rPr>
                <w:rFonts w:ascii="Arial" w:hAnsi="Arial" w:cs="Arial"/>
                <w:i/>
                <w:sz w:val="24"/>
                <w:szCs w:val="24"/>
              </w:rPr>
              <w:t>Stier</w:t>
            </w:r>
            <w:proofErr w:type="spellEnd"/>
            <w:r w:rsidRPr="00190F2F">
              <w:rPr>
                <w:rFonts w:ascii="Arial" w:hAnsi="Arial" w:cs="Arial"/>
                <w:i/>
                <w:sz w:val="24"/>
                <w:szCs w:val="24"/>
              </w:rPr>
              <w:t xml:space="preserve"> and Another v Henke</w:t>
            </w:r>
            <w:r w:rsidRPr="00190F2F">
              <w:rPr>
                <w:rStyle w:val="FootnoteReference"/>
                <w:rFonts w:ascii="Arial" w:hAnsi="Arial" w:cs="Arial"/>
                <w:i/>
                <w:sz w:val="24"/>
                <w:szCs w:val="24"/>
              </w:rPr>
              <w:footnoteReference w:id="1"/>
            </w:r>
            <w:r w:rsidRPr="00190F2F">
              <w:rPr>
                <w:rFonts w:ascii="Arial" w:hAnsi="Arial" w:cs="Arial"/>
                <w:i/>
                <w:sz w:val="24"/>
                <w:szCs w:val="24"/>
              </w:rPr>
              <w:t>.</w:t>
            </w:r>
            <w:r w:rsidRPr="00190F2F">
              <w:rPr>
                <w:rFonts w:ascii="Arial" w:hAnsi="Arial" w:cs="Arial"/>
                <w:sz w:val="24"/>
                <w:szCs w:val="24"/>
              </w:rPr>
              <w:t xml:space="preserve"> </w:t>
            </w:r>
            <w:bookmarkEnd w:id="0"/>
            <w:r w:rsidRPr="00190F2F">
              <w:rPr>
                <w:rFonts w:ascii="Arial" w:hAnsi="Arial" w:cs="Arial"/>
                <w:sz w:val="24"/>
                <w:szCs w:val="24"/>
              </w:rPr>
              <w:t>There, the Supreme Court stated:</w:t>
            </w:r>
          </w:p>
          <w:p w14:paraId="67C9A027" w14:textId="77777777" w:rsidR="00190F2F" w:rsidRPr="00190F2F" w:rsidRDefault="00190F2F" w:rsidP="00190F2F">
            <w:pPr>
              <w:spacing w:line="360" w:lineRule="auto"/>
              <w:jc w:val="both"/>
              <w:rPr>
                <w:rFonts w:ascii="Arial" w:hAnsi="Arial" w:cs="Arial"/>
                <w:sz w:val="24"/>
                <w:szCs w:val="24"/>
                <w:lang w:val="en-US"/>
              </w:rPr>
            </w:pPr>
          </w:p>
          <w:p w14:paraId="3D11F8D2" w14:textId="77777777" w:rsidR="00190F2F" w:rsidRPr="000A3558" w:rsidRDefault="00190F2F" w:rsidP="00190F2F">
            <w:pPr>
              <w:spacing w:line="360" w:lineRule="auto"/>
              <w:ind w:left="33" w:firstLine="676"/>
              <w:jc w:val="both"/>
              <w:rPr>
                <w:rFonts w:ascii="Arial" w:hAnsi="Arial" w:cs="Arial"/>
              </w:rPr>
            </w:pPr>
            <w:r w:rsidRPr="000A3558">
              <w:rPr>
                <w:rFonts w:ascii="Arial" w:hAnsi="Arial" w:cs="Arial"/>
              </w:rPr>
              <w:t>‘[4]</w:t>
            </w:r>
            <w:r w:rsidRPr="000A3558">
              <w:rPr>
                <w:rFonts w:ascii="Arial" w:hAnsi="Arial" w:cs="Arial"/>
              </w:rPr>
              <w:tab/>
              <w:t xml:space="preserve">At 92F-G, Harms JA in </w:t>
            </w:r>
            <w:r w:rsidRPr="000A3558">
              <w:rPr>
                <w:rFonts w:ascii="Arial" w:hAnsi="Arial" w:cs="Arial"/>
                <w:i/>
              </w:rPr>
              <w:t>Gordon Lloyd Page &amp; Associates v Rivera and Another</w:t>
            </w:r>
            <w:r w:rsidRPr="000A3558">
              <w:rPr>
                <w:rFonts w:ascii="Arial" w:hAnsi="Arial" w:cs="Arial"/>
              </w:rPr>
              <w:t xml:space="preserve"> 2001 (1) SA 88 (SCA) referred to the formulation of the test to be applied by a trial court when absolution is applied at the end of an appellant's (a plaintiff’s) case as appears in </w:t>
            </w:r>
            <w:r w:rsidRPr="000A3558">
              <w:rPr>
                <w:rFonts w:ascii="Arial" w:hAnsi="Arial" w:cs="Arial"/>
                <w:i/>
              </w:rPr>
              <w:t xml:space="preserve">Claude Neon Lights (SA) Ltd v Daniel </w:t>
            </w:r>
            <w:r w:rsidRPr="000A3558">
              <w:rPr>
                <w:rFonts w:ascii="Arial" w:hAnsi="Arial" w:cs="Arial"/>
              </w:rPr>
              <w:t>1976 (4) SA 403 (A) at 409 G-H:</w:t>
            </w:r>
          </w:p>
          <w:p w14:paraId="4CFDB725" w14:textId="77777777" w:rsidR="00190F2F" w:rsidRPr="000A3558" w:rsidRDefault="00190F2F" w:rsidP="00190F2F">
            <w:pPr>
              <w:spacing w:line="360" w:lineRule="auto"/>
              <w:ind w:left="709"/>
              <w:jc w:val="both"/>
              <w:rPr>
                <w:rFonts w:ascii="Arial" w:hAnsi="Arial" w:cs="Arial"/>
              </w:rPr>
            </w:pPr>
          </w:p>
          <w:p w14:paraId="75836568" w14:textId="41873C36" w:rsidR="00190F2F" w:rsidRPr="000A3558" w:rsidRDefault="00190F2F" w:rsidP="00190F2F">
            <w:pPr>
              <w:spacing w:line="360" w:lineRule="auto"/>
              <w:ind w:left="743" w:right="237"/>
              <w:jc w:val="both"/>
              <w:rPr>
                <w:rFonts w:ascii="Arial" w:hAnsi="Arial" w:cs="Arial"/>
              </w:rPr>
            </w:pPr>
            <w:r w:rsidRPr="000A3558">
              <w:rPr>
                <w:rFonts w:ascii="Arial" w:hAnsi="Arial" w:cs="Arial"/>
              </w:rPr>
              <w:t>“. .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or ought to) find for the plaintiff. (</w:t>
            </w:r>
            <w:r w:rsidRPr="000A3558">
              <w:rPr>
                <w:rFonts w:ascii="Arial" w:hAnsi="Arial" w:cs="Arial"/>
                <w:i/>
              </w:rPr>
              <w:t>Gascoyne v Paul and Hunter</w:t>
            </w:r>
            <w:r w:rsidRPr="000A3558">
              <w:rPr>
                <w:rFonts w:ascii="Arial" w:hAnsi="Arial" w:cs="Arial"/>
              </w:rPr>
              <w:t xml:space="preserve"> 1917 TPD 170 at 173; </w:t>
            </w:r>
            <w:proofErr w:type="spellStart"/>
            <w:r w:rsidRPr="000A3558">
              <w:rPr>
                <w:rFonts w:ascii="Arial" w:hAnsi="Arial" w:cs="Arial"/>
                <w:i/>
              </w:rPr>
              <w:t>Ruto</w:t>
            </w:r>
            <w:proofErr w:type="spellEnd"/>
            <w:r w:rsidRPr="000A3558">
              <w:rPr>
                <w:rFonts w:ascii="Arial" w:hAnsi="Arial" w:cs="Arial"/>
                <w:i/>
              </w:rPr>
              <w:t xml:space="preserve"> Flour Mills (Pty) Ltd v Adelson</w:t>
            </w:r>
            <w:r w:rsidR="00EC7A7D">
              <w:rPr>
                <w:rFonts w:ascii="Arial" w:hAnsi="Arial" w:cs="Arial"/>
              </w:rPr>
              <w:t xml:space="preserve"> (2) 1958 (4) SA 307 (T).)”</w:t>
            </w:r>
          </w:p>
          <w:p w14:paraId="1D4BD180" w14:textId="77777777" w:rsidR="000A3558" w:rsidRPr="000A3558" w:rsidRDefault="000A3558" w:rsidP="00190F2F">
            <w:pPr>
              <w:spacing w:line="360" w:lineRule="auto"/>
              <w:ind w:left="743" w:right="237"/>
              <w:jc w:val="both"/>
              <w:rPr>
                <w:rFonts w:ascii="Arial" w:hAnsi="Arial" w:cs="Arial"/>
                <w:lang w:val="en-ZA"/>
              </w:rPr>
            </w:pPr>
          </w:p>
          <w:p w14:paraId="4CD62DCF" w14:textId="77777777" w:rsidR="00190F2F" w:rsidRPr="000A3558" w:rsidRDefault="00190F2F" w:rsidP="00190F2F">
            <w:pPr>
              <w:spacing w:line="360" w:lineRule="auto"/>
              <w:ind w:left="709" w:hanging="589"/>
              <w:jc w:val="both"/>
              <w:rPr>
                <w:rFonts w:ascii="Arial" w:hAnsi="Arial" w:cs="Arial"/>
              </w:rPr>
            </w:pPr>
            <w:r w:rsidRPr="000A3558">
              <w:rPr>
                <w:rFonts w:ascii="Arial" w:hAnsi="Arial" w:cs="Arial"/>
              </w:rPr>
              <w:tab/>
              <w:t xml:space="preserve">“Harms JA went on to explain at 92H - 93A:  </w:t>
            </w:r>
          </w:p>
          <w:p w14:paraId="00B0D965" w14:textId="77777777" w:rsidR="000A3558" w:rsidRPr="000A3558" w:rsidRDefault="000A3558" w:rsidP="00190F2F">
            <w:pPr>
              <w:spacing w:line="360" w:lineRule="auto"/>
              <w:ind w:left="709" w:hanging="589"/>
              <w:jc w:val="both"/>
              <w:rPr>
                <w:rFonts w:ascii="Arial" w:hAnsi="Arial" w:cs="Arial"/>
              </w:rPr>
            </w:pPr>
          </w:p>
          <w:p w14:paraId="4FA82EBF" w14:textId="264C17A9" w:rsidR="00190F2F" w:rsidRPr="00190F2F" w:rsidRDefault="00190F2F" w:rsidP="000A3558">
            <w:pPr>
              <w:spacing w:line="360" w:lineRule="auto"/>
              <w:ind w:left="743" w:right="237"/>
              <w:jc w:val="both"/>
              <w:rPr>
                <w:rFonts w:ascii="Arial" w:hAnsi="Arial" w:cs="Arial"/>
                <w:sz w:val="24"/>
                <w:szCs w:val="24"/>
              </w:rPr>
            </w:pPr>
            <w:r w:rsidRPr="000A3558">
              <w:rPr>
                <w:rFonts w:ascii="Arial" w:hAnsi="Arial" w:cs="Arial"/>
              </w:rPr>
              <w:t>This implies that a plaintiff has to make out a prima facie case — in the sense that there is evidence relating to all the elements of the claim — to survive absolution because without such evidence no court could find for the plaintiff (</w:t>
            </w:r>
            <w:r w:rsidRPr="000A3558">
              <w:rPr>
                <w:rFonts w:ascii="Arial" w:hAnsi="Arial" w:cs="Arial"/>
                <w:i/>
              </w:rPr>
              <w:t xml:space="preserve">Marine &amp; Trade Insurance Co Ltd v Van der </w:t>
            </w:r>
            <w:proofErr w:type="spellStart"/>
            <w:r w:rsidRPr="000A3558">
              <w:rPr>
                <w:rFonts w:ascii="Arial" w:hAnsi="Arial" w:cs="Arial"/>
                <w:i/>
              </w:rPr>
              <w:t>Schyff</w:t>
            </w:r>
            <w:proofErr w:type="spellEnd"/>
            <w:r w:rsidRPr="000A3558">
              <w:rPr>
                <w:rFonts w:ascii="Arial" w:hAnsi="Arial" w:cs="Arial"/>
              </w:rPr>
              <w:t xml:space="preserve"> 1972 (1) SA 26 (A) at 37G-38A; </w:t>
            </w:r>
            <w:r w:rsidRPr="000A3558">
              <w:rPr>
                <w:rFonts w:ascii="Arial" w:hAnsi="Arial" w:cs="Arial"/>
                <w:i/>
              </w:rPr>
              <w:t xml:space="preserve">Schmidt </w:t>
            </w:r>
            <w:proofErr w:type="spellStart"/>
            <w:r w:rsidRPr="000A3558">
              <w:rPr>
                <w:rFonts w:ascii="Arial" w:hAnsi="Arial" w:cs="Arial"/>
                <w:i/>
              </w:rPr>
              <w:t>Bewysreg</w:t>
            </w:r>
            <w:proofErr w:type="spellEnd"/>
            <w:r w:rsidRPr="000A3558">
              <w:rPr>
                <w:rFonts w:ascii="Arial" w:hAnsi="Arial" w:cs="Arial"/>
              </w:rPr>
              <w:t xml:space="preserve"> 4 </w:t>
            </w:r>
            <w:proofErr w:type="spellStart"/>
            <w:r w:rsidRPr="000A3558">
              <w:rPr>
                <w:rFonts w:ascii="Arial" w:hAnsi="Arial" w:cs="Arial"/>
              </w:rPr>
              <w:t>ed</w:t>
            </w:r>
            <w:proofErr w:type="spellEnd"/>
            <w:r w:rsidRPr="000A3558">
              <w:rPr>
                <w:rFonts w:ascii="Arial" w:hAnsi="Arial" w:cs="Arial"/>
              </w:rPr>
              <w:t xml:space="preserve"> at 91-2). As far as inferences from the evidence are concerned, the inference relied upon by the plaintiff must be a reasonable one, not the only reasonable one (Schmidt at 93). The test has from time to time been formulated in different terms, especially it has been said that the court must consider whether there is ''evidence upon which a reasonable man might find for the plaintiff'' (Gascoyne (</w:t>
            </w:r>
            <w:proofErr w:type="spellStart"/>
            <w:r w:rsidRPr="000A3558">
              <w:rPr>
                <w:rFonts w:ascii="Arial" w:hAnsi="Arial" w:cs="Arial"/>
              </w:rPr>
              <w:t>loc</w:t>
            </w:r>
            <w:proofErr w:type="spellEnd"/>
            <w:r w:rsidRPr="000A3558">
              <w:rPr>
                <w:rFonts w:ascii="Arial" w:hAnsi="Arial" w:cs="Arial"/>
              </w:rPr>
              <w:t xml:space="preserve"> </w:t>
            </w:r>
            <w:proofErr w:type="spellStart"/>
            <w:r w:rsidRPr="000A3558">
              <w:rPr>
                <w:rFonts w:ascii="Arial" w:hAnsi="Arial" w:cs="Arial"/>
              </w:rPr>
              <w:t>cit</w:t>
            </w:r>
            <w:proofErr w:type="spellEnd"/>
            <w:r w:rsidRPr="000A3558">
              <w:rPr>
                <w:rFonts w:ascii="Arial" w:hAnsi="Arial" w:cs="Arial"/>
              </w:rPr>
              <w:t>)) — a test which had its origin in jury trials when the ''reasonable man'' was a reasonable member of the jury (</w:t>
            </w:r>
            <w:proofErr w:type="spellStart"/>
            <w:r w:rsidRPr="000A3558">
              <w:rPr>
                <w:rFonts w:ascii="Arial" w:hAnsi="Arial" w:cs="Arial"/>
                <w:i/>
              </w:rPr>
              <w:t>Ruto</w:t>
            </w:r>
            <w:proofErr w:type="spellEnd"/>
            <w:r w:rsidRPr="000A3558">
              <w:rPr>
                <w:rFonts w:ascii="Arial" w:hAnsi="Arial" w:cs="Arial"/>
                <w:i/>
              </w:rPr>
              <w:t xml:space="preserve"> Flour Mills</w:t>
            </w:r>
            <w:r w:rsidRPr="000A3558">
              <w:rPr>
                <w:rFonts w:ascii="Arial" w:hAnsi="Arial" w:cs="Arial"/>
              </w:rPr>
              <w:t xml:space="preserve">).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w:t>
            </w:r>
            <w:r w:rsidRPr="000A3558">
              <w:rPr>
                <w:rFonts w:ascii="Arial" w:hAnsi="Arial" w:cs="Arial"/>
              </w:rPr>
              <w:lastRenderedPageBreak/>
              <w:t>events, will nevertheless be granted sparingly but when the occasion arises, a court should order it in the interest of justice</w:t>
            </w:r>
            <w:r w:rsidR="000A3558" w:rsidRPr="000A3558">
              <w:rPr>
                <w:rFonts w:ascii="Arial" w:hAnsi="Arial" w:cs="Arial"/>
              </w:rPr>
              <w:t>.</w:t>
            </w:r>
            <w:r w:rsidRPr="000A3558">
              <w:rPr>
                <w:rFonts w:ascii="Arial" w:hAnsi="Arial" w:cs="Arial"/>
              </w:rPr>
              <w:t>...”</w:t>
            </w:r>
            <w:r w:rsidR="00EC7A7D">
              <w:rPr>
                <w:rFonts w:ascii="Arial" w:hAnsi="Arial" w:cs="Arial"/>
              </w:rPr>
              <w:t>’</w:t>
            </w:r>
            <w:r w:rsidRPr="000A3558">
              <w:rPr>
                <w:rFonts w:ascii="Arial" w:hAnsi="Arial" w:cs="Arial"/>
              </w:rPr>
              <w:t xml:space="preserve"> </w:t>
            </w:r>
            <w:r w:rsidRPr="00190F2F">
              <w:rPr>
                <w:rFonts w:ascii="Arial" w:hAnsi="Arial" w:cs="Arial"/>
                <w:sz w:val="24"/>
                <w:szCs w:val="24"/>
              </w:rPr>
              <w:t xml:space="preserve"> </w:t>
            </w:r>
          </w:p>
          <w:p w14:paraId="02163958" w14:textId="77777777" w:rsidR="00190F2F" w:rsidRPr="00190F2F" w:rsidRDefault="00190F2F" w:rsidP="00190F2F">
            <w:pPr>
              <w:spacing w:line="360" w:lineRule="auto"/>
              <w:ind w:left="709" w:hanging="589"/>
              <w:jc w:val="both"/>
              <w:rPr>
                <w:rFonts w:ascii="Arial" w:hAnsi="Arial" w:cs="Arial"/>
                <w:sz w:val="24"/>
                <w:szCs w:val="24"/>
              </w:rPr>
            </w:pPr>
          </w:p>
          <w:p w14:paraId="29A2A449" w14:textId="696AF21C" w:rsidR="00190F2F" w:rsidRPr="00190F2F" w:rsidRDefault="00190F2F" w:rsidP="000A3558">
            <w:pPr>
              <w:spacing w:line="360" w:lineRule="auto"/>
              <w:jc w:val="both"/>
              <w:rPr>
                <w:rFonts w:ascii="Arial" w:hAnsi="Arial" w:cs="Arial"/>
                <w:sz w:val="24"/>
                <w:szCs w:val="24"/>
              </w:rPr>
            </w:pPr>
            <w:r w:rsidRPr="00190F2F">
              <w:rPr>
                <w:rFonts w:ascii="Arial" w:hAnsi="Arial" w:cs="Arial"/>
                <w:sz w:val="24"/>
                <w:szCs w:val="24"/>
              </w:rPr>
              <w:t>[3]</w:t>
            </w:r>
            <w:r w:rsidRPr="00190F2F">
              <w:rPr>
                <w:rFonts w:ascii="Arial" w:hAnsi="Arial" w:cs="Arial"/>
                <w:sz w:val="24"/>
                <w:szCs w:val="24"/>
              </w:rPr>
              <w:tab/>
              <w:t xml:space="preserve">Additionally, in </w:t>
            </w:r>
            <w:proofErr w:type="spellStart"/>
            <w:r w:rsidRPr="00190F2F">
              <w:rPr>
                <w:rFonts w:ascii="Arial" w:hAnsi="Arial" w:cs="Arial"/>
                <w:i/>
                <w:sz w:val="24"/>
                <w:szCs w:val="24"/>
              </w:rPr>
              <w:t>Dannecker</w:t>
            </w:r>
            <w:proofErr w:type="spellEnd"/>
            <w:r w:rsidRPr="00190F2F">
              <w:rPr>
                <w:rFonts w:ascii="Arial" w:hAnsi="Arial" w:cs="Arial"/>
                <w:i/>
                <w:sz w:val="24"/>
                <w:szCs w:val="24"/>
              </w:rPr>
              <w:t xml:space="preserve"> v Leopard Tours Car &amp; Camping Hire CC</w:t>
            </w:r>
            <w:r w:rsidRPr="00190F2F">
              <w:rPr>
                <w:rStyle w:val="FootnoteReference"/>
                <w:rFonts w:ascii="Arial" w:hAnsi="Arial" w:cs="Arial"/>
                <w:i/>
                <w:sz w:val="24"/>
                <w:szCs w:val="24"/>
              </w:rPr>
              <w:footnoteReference w:id="2"/>
            </w:r>
            <w:r w:rsidR="00EC7A7D">
              <w:rPr>
                <w:rFonts w:ascii="Arial" w:hAnsi="Arial" w:cs="Arial"/>
                <w:sz w:val="24"/>
                <w:szCs w:val="24"/>
              </w:rPr>
              <w:t xml:space="preserve"> (I 2909/2006)</w:t>
            </w:r>
            <w:r w:rsidRPr="00190F2F">
              <w:rPr>
                <w:rFonts w:ascii="Arial" w:hAnsi="Arial" w:cs="Arial"/>
                <w:sz w:val="24"/>
                <w:szCs w:val="24"/>
              </w:rPr>
              <w:t xml:space="preserve">, </w:t>
            </w:r>
            <w:proofErr w:type="spellStart"/>
            <w:r w:rsidRPr="00190F2F">
              <w:rPr>
                <w:rFonts w:ascii="Arial" w:hAnsi="Arial" w:cs="Arial"/>
                <w:sz w:val="24"/>
                <w:szCs w:val="24"/>
              </w:rPr>
              <w:t>Damaseb</w:t>
            </w:r>
            <w:proofErr w:type="spellEnd"/>
            <w:r w:rsidRPr="00190F2F">
              <w:rPr>
                <w:rFonts w:ascii="Arial" w:hAnsi="Arial" w:cs="Arial"/>
                <w:sz w:val="24"/>
                <w:szCs w:val="24"/>
              </w:rPr>
              <w:t xml:space="preserve"> JP stated as follows on the test of absolution from the instance at the close of plaintiff’s case:</w:t>
            </w:r>
          </w:p>
          <w:p w14:paraId="5F854AA7" w14:textId="77777777" w:rsidR="00190F2F" w:rsidRPr="00190F2F" w:rsidRDefault="00190F2F" w:rsidP="00190F2F">
            <w:pPr>
              <w:spacing w:line="360" w:lineRule="auto"/>
              <w:jc w:val="both"/>
              <w:rPr>
                <w:rFonts w:ascii="Arial" w:hAnsi="Arial" w:cs="Arial"/>
                <w:sz w:val="24"/>
                <w:szCs w:val="24"/>
              </w:rPr>
            </w:pPr>
          </w:p>
          <w:p w14:paraId="178DDA1D" w14:textId="77777777" w:rsidR="00190F2F" w:rsidRPr="000A3558" w:rsidRDefault="00190F2F" w:rsidP="00190F2F">
            <w:pPr>
              <w:spacing w:line="360" w:lineRule="auto"/>
              <w:ind w:left="720"/>
              <w:jc w:val="both"/>
              <w:rPr>
                <w:rFonts w:ascii="Arial" w:hAnsi="Arial" w:cs="Arial"/>
                <w:u w:val="single"/>
              </w:rPr>
            </w:pPr>
            <w:r w:rsidRPr="000A3558">
              <w:rPr>
                <w:rFonts w:ascii="Arial" w:hAnsi="Arial" w:cs="Arial"/>
              </w:rPr>
              <w:t>‘</w:t>
            </w:r>
            <w:r w:rsidRPr="000A3558">
              <w:rPr>
                <w:rFonts w:ascii="Arial" w:hAnsi="Arial" w:cs="Arial"/>
                <w:u w:val="single"/>
              </w:rPr>
              <w:t>The test for absolution at the end of plaintiff’s case</w:t>
            </w:r>
          </w:p>
          <w:p w14:paraId="37F53E29" w14:textId="77777777" w:rsidR="00190F2F" w:rsidRPr="000A3558" w:rsidRDefault="00190F2F" w:rsidP="00190F2F">
            <w:pPr>
              <w:spacing w:line="360" w:lineRule="auto"/>
              <w:ind w:left="720"/>
              <w:jc w:val="both"/>
              <w:rPr>
                <w:rFonts w:ascii="Arial" w:hAnsi="Arial" w:cs="Arial"/>
              </w:rPr>
            </w:pPr>
          </w:p>
          <w:p w14:paraId="565E8A81" w14:textId="77777777" w:rsidR="00190F2F" w:rsidRPr="000A3558" w:rsidRDefault="00190F2F" w:rsidP="000A3558">
            <w:pPr>
              <w:spacing w:line="360" w:lineRule="auto"/>
              <w:ind w:left="33"/>
              <w:jc w:val="both"/>
              <w:rPr>
                <w:rFonts w:ascii="Arial" w:hAnsi="Arial" w:cs="Arial"/>
              </w:rPr>
            </w:pPr>
            <w:r w:rsidRPr="000A3558">
              <w:rPr>
                <w:rFonts w:ascii="Arial" w:hAnsi="Arial" w:cs="Arial"/>
              </w:rPr>
              <w:t>[25]</w:t>
            </w:r>
            <w:r w:rsidRPr="000A3558">
              <w:rPr>
                <w:rFonts w:ascii="Arial" w:hAnsi="Arial" w:cs="Arial"/>
              </w:rPr>
              <w:tab/>
              <w:t>The relevant test is not whether the evidence led by the plaintiff established what would finally be required to be established, but whether there is evidence upon which a court, applying its mind reasonably to such evidence, could or might (not should or ought to) find for the plaintiff. The reasoning at this stage is to be distinguished from the reasoning which the court applies at the end of the trial; which is: ‘is there evidence upon which a Court ought to give judgment in favour of the plaintiff?’</w:t>
            </w:r>
          </w:p>
          <w:p w14:paraId="03F44804" w14:textId="77777777" w:rsidR="00190F2F" w:rsidRPr="000A3558" w:rsidRDefault="00190F2F" w:rsidP="00190F2F">
            <w:pPr>
              <w:spacing w:line="360" w:lineRule="auto"/>
              <w:ind w:left="720"/>
              <w:jc w:val="both"/>
              <w:rPr>
                <w:rFonts w:ascii="Arial" w:hAnsi="Arial" w:cs="Arial"/>
              </w:rPr>
            </w:pPr>
          </w:p>
          <w:p w14:paraId="4D7B6A10" w14:textId="77777777" w:rsidR="00190F2F" w:rsidRPr="000A3558" w:rsidRDefault="00190F2F" w:rsidP="000A3558">
            <w:pPr>
              <w:spacing w:line="360" w:lineRule="auto"/>
              <w:ind w:left="33"/>
              <w:jc w:val="both"/>
              <w:rPr>
                <w:rFonts w:ascii="Arial" w:hAnsi="Arial" w:cs="Arial"/>
              </w:rPr>
            </w:pPr>
            <w:r w:rsidRPr="000A3558">
              <w:rPr>
                <w:rFonts w:ascii="Arial" w:hAnsi="Arial" w:cs="Arial"/>
              </w:rPr>
              <w:t>[26]</w:t>
            </w:r>
            <w:r w:rsidRPr="000A3558">
              <w:rPr>
                <w:rFonts w:ascii="Arial" w:hAnsi="Arial" w:cs="Arial"/>
              </w:rPr>
              <w:tab/>
              <w:t xml:space="preserve">The following considerations (which I shall call ‘the </w:t>
            </w:r>
            <w:proofErr w:type="spellStart"/>
            <w:r w:rsidRPr="000A3558">
              <w:rPr>
                <w:rFonts w:ascii="Arial" w:hAnsi="Arial" w:cs="Arial"/>
              </w:rPr>
              <w:t>Damaseb</w:t>
            </w:r>
            <w:proofErr w:type="spellEnd"/>
            <w:r w:rsidRPr="000A3558">
              <w:rPr>
                <w:rFonts w:ascii="Arial" w:hAnsi="Arial" w:cs="Arial"/>
              </w:rPr>
              <w:t xml:space="preserve"> considerations’) are in my view relevant and find application in the case before me:</w:t>
            </w:r>
          </w:p>
          <w:p w14:paraId="12A0D2E3" w14:textId="77777777" w:rsidR="00190F2F" w:rsidRPr="000A3558" w:rsidRDefault="00190F2F" w:rsidP="00190F2F">
            <w:pPr>
              <w:spacing w:line="360" w:lineRule="auto"/>
              <w:ind w:left="720"/>
              <w:jc w:val="both"/>
              <w:rPr>
                <w:rFonts w:ascii="Arial" w:hAnsi="Arial" w:cs="Arial"/>
              </w:rPr>
            </w:pPr>
          </w:p>
          <w:p w14:paraId="3EC71798" w14:textId="29FF7A5E" w:rsidR="00190F2F" w:rsidRDefault="00190F2F" w:rsidP="000A3558">
            <w:pPr>
              <w:pStyle w:val="ListParagraph"/>
              <w:numPr>
                <w:ilvl w:val="0"/>
                <w:numId w:val="14"/>
              </w:numPr>
              <w:spacing w:line="360" w:lineRule="auto"/>
              <w:ind w:left="33" w:firstLine="0"/>
              <w:jc w:val="both"/>
              <w:rPr>
                <w:rFonts w:ascii="Arial" w:hAnsi="Arial" w:cs="Arial"/>
              </w:rPr>
            </w:pPr>
            <w:r w:rsidRPr="000A3558">
              <w:rPr>
                <w:rFonts w:ascii="Arial" w:hAnsi="Arial" w:cs="Arial"/>
              </w:rPr>
              <w:t>Absolution at the end of plaintiff’s case ought only to be granted in a very clear case where the plaintiff has not made out a</w:t>
            </w:r>
            <w:r w:rsidR="00073060">
              <w:rPr>
                <w:rFonts w:ascii="Arial" w:hAnsi="Arial" w:cs="Arial"/>
              </w:rPr>
              <w:t>ny case at all, in fact and law.</w:t>
            </w:r>
          </w:p>
          <w:p w14:paraId="1440364E" w14:textId="77777777" w:rsidR="00073060" w:rsidRPr="000A3558" w:rsidRDefault="00073060" w:rsidP="00073060">
            <w:pPr>
              <w:pStyle w:val="ListParagraph"/>
              <w:spacing w:line="360" w:lineRule="auto"/>
              <w:ind w:left="33"/>
              <w:jc w:val="both"/>
              <w:rPr>
                <w:rFonts w:ascii="Arial" w:hAnsi="Arial" w:cs="Arial"/>
              </w:rPr>
            </w:pPr>
          </w:p>
          <w:p w14:paraId="76E106D8" w14:textId="77777777" w:rsidR="00190F2F" w:rsidRDefault="00190F2F" w:rsidP="000A3558">
            <w:pPr>
              <w:pStyle w:val="ListParagraph"/>
              <w:numPr>
                <w:ilvl w:val="0"/>
                <w:numId w:val="14"/>
              </w:numPr>
              <w:spacing w:line="360" w:lineRule="auto"/>
              <w:ind w:left="33" w:firstLine="0"/>
              <w:jc w:val="both"/>
              <w:rPr>
                <w:rFonts w:ascii="Arial" w:hAnsi="Arial" w:cs="Arial"/>
              </w:rPr>
            </w:pPr>
            <w:r w:rsidRPr="000A3558">
              <w:rPr>
                <w:rFonts w:ascii="Arial" w:hAnsi="Arial" w:cs="Arial"/>
              </w:rPr>
              <w:t>The plaintiff is not to be lightly shut out where the defence relied on by the defendant is peculiarly within the latter’s knowledge while the plaintiff had made out a case calling for an answer (or rebuttal) on oath.</w:t>
            </w:r>
          </w:p>
          <w:p w14:paraId="49061F5F" w14:textId="77777777" w:rsidR="00073060" w:rsidRPr="000A3558" w:rsidRDefault="00073060" w:rsidP="00073060">
            <w:pPr>
              <w:pStyle w:val="ListParagraph"/>
              <w:spacing w:line="360" w:lineRule="auto"/>
              <w:ind w:left="33"/>
              <w:jc w:val="both"/>
              <w:rPr>
                <w:rFonts w:ascii="Arial" w:hAnsi="Arial" w:cs="Arial"/>
              </w:rPr>
            </w:pPr>
          </w:p>
          <w:p w14:paraId="31D08A80" w14:textId="77777777" w:rsidR="00190F2F" w:rsidRDefault="00190F2F" w:rsidP="000A3558">
            <w:pPr>
              <w:pStyle w:val="ListParagraph"/>
              <w:numPr>
                <w:ilvl w:val="0"/>
                <w:numId w:val="14"/>
              </w:numPr>
              <w:spacing w:line="360" w:lineRule="auto"/>
              <w:ind w:left="33" w:firstLine="0"/>
              <w:jc w:val="both"/>
              <w:rPr>
                <w:rFonts w:ascii="Arial" w:hAnsi="Arial" w:cs="Arial"/>
              </w:rPr>
            </w:pPr>
            <w:r w:rsidRPr="000A3558">
              <w:rPr>
                <w:rFonts w:ascii="Arial" w:hAnsi="Arial" w:cs="Arial"/>
              </w:rPr>
              <w:t>The trier of fact should be on the guard for a defendant who attempts to invoke the absolution procedure to avoid coming into the witness box to answer uncomfortable facts having a bearing on both credibility and the weight of probabilities in the case.</w:t>
            </w:r>
          </w:p>
          <w:p w14:paraId="47E5A222" w14:textId="77777777" w:rsidR="00073060" w:rsidRPr="000A3558" w:rsidRDefault="00073060" w:rsidP="00073060">
            <w:pPr>
              <w:pStyle w:val="ListParagraph"/>
              <w:spacing w:line="360" w:lineRule="auto"/>
              <w:ind w:left="33"/>
              <w:jc w:val="both"/>
              <w:rPr>
                <w:rFonts w:ascii="Arial" w:hAnsi="Arial" w:cs="Arial"/>
              </w:rPr>
            </w:pPr>
          </w:p>
          <w:p w14:paraId="285E180F" w14:textId="77777777" w:rsidR="00190F2F" w:rsidRDefault="00190F2F" w:rsidP="000A3558">
            <w:pPr>
              <w:pStyle w:val="ListParagraph"/>
              <w:numPr>
                <w:ilvl w:val="0"/>
                <w:numId w:val="14"/>
              </w:numPr>
              <w:spacing w:line="360" w:lineRule="auto"/>
              <w:ind w:left="33" w:firstLine="0"/>
              <w:jc w:val="both"/>
              <w:rPr>
                <w:rFonts w:ascii="Arial" w:hAnsi="Arial" w:cs="Arial"/>
              </w:rPr>
            </w:pPr>
            <w:r w:rsidRPr="000A3558">
              <w:rPr>
                <w:rFonts w:ascii="Arial" w:hAnsi="Arial" w:cs="Arial"/>
              </w:rPr>
              <w:t>Where the plaintiff’s evidence gives rise to more than one plausible inference, anyone of which is in his or her favour in the sense of supporting his or cause of action and destructive of the version of the defence, absolution is an inappropriate remedy.</w:t>
            </w:r>
          </w:p>
          <w:p w14:paraId="7874F96D" w14:textId="77777777" w:rsidR="00073060" w:rsidRPr="000A3558" w:rsidRDefault="00073060" w:rsidP="00073060">
            <w:pPr>
              <w:pStyle w:val="ListParagraph"/>
              <w:spacing w:line="360" w:lineRule="auto"/>
              <w:ind w:left="33"/>
              <w:jc w:val="both"/>
              <w:rPr>
                <w:rFonts w:ascii="Arial" w:hAnsi="Arial" w:cs="Arial"/>
              </w:rPr>
            </w:pPr>
          </w:p>
          <w:p w14:paraId="3CCDBCD5" w14:textId="77777777" w:rsidR="00190F2F" w:rsidRPr="000A3558" w:rsidRDefault="00190F2F" w:rsidP="000A3558">
            <w:pPr>
              <w:pStyle w:val="ListParagraph"/>
              <w:numPr>
                <w:ilvl w:val="0"/>
                <w:numId w:val="14"/>
              </w:numPr>
              <w:spacing w:line="360" w:lineRule="auto"/>
              <w:ind w:left="33" w:firstLine="0"/>
              <w:jc w:val="both"/>
              <w:rPr>
                <w:rFonts w:ascii="Arial" w:hAnsi="Arial" w:cs="Arial"/>
              </w:rPr>
            </w:pPr>
            <w:r w:rsidRPr="000A3558">
              <w:rPr>
                <w:rFonts w:ascii="Arial" w:hAnsi="Arial" w:cs="Arial"/>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p>
          <w:p w14:paraId="3BD218DC" w14:textId="77777777" w:rsidR="00190F2F" w:rsidRPr="00190F2F" w:rsidRDefault="00190F2F" w:rsidP="00190F2F">
            <w:pPr>
              <w:spacing w:line="360" w:lineRule="auto"/>
              <w:ind w:hanging="11"/>
              <w:jc w:val="both"/>
              <w:rPr>
                <w:rFonts w:ascii="Arial" w:hAnsi="Arial" w:cs="Arial"/>
                <w:sz w:val="24"/>
                <w:szCs w:val="24"/>
              </w:rPr>
            </w:pPr>
          </w:p>
          <w:p w14:paraId="061095D4" w14:textId="46D70033"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[4]</w:t>
            </w:r>
            <w:r w:rsidRPr="00190F2F">
              <w:rPr>
                <w:rFonts w:ascii="Arial" w:hAnsi="Arial" w:cs="Arial"/>
                <w:sz w:val="24"/>
                <w:szCs w:val="24"/>
              </w:rPr>
              <w:tab/>
              <w:t>Another important principle which the court determining an absolution application should consider is this. The clause ‘applying its mind reasonably’, used by Harms JA in</w:t>
            </w:r>
            <w:r w:rsidRPr="00190F2F">
              <w:rPr>
                <w:rFonts w:ascii="Arial" w:hAnsi="Arial" w:cs="Arial"/>
                <w:i/>
                <w:sz w:val="24"/>
                <w:szCs w:val="24"/>
              </w:rPr>
              <w:t xml:space="preserve"> Neon Lights (SA) Ltd</w:t>
            </w:r>
            <w:r w:rsidRPr="00190F2F">
              <w:rPr>
                <w:rStyle w:val="FootnoteReference"/>
                <w:rFonts w:ascii="Arial" w:hAnsi="Arial" w:cs="Arial"/>
                <w:i/>
                <w:sz w:val="24"/>
                <w:szCs w:val="24"/>
              </w:rPr>
              <w:footnoteReference w:id="3"/>
            </w:r>
            <w:r w:rsidRPr="00190F2F">
              <w:rPr>
                <w:rFonts w:ascii="Arial" w:hAnsi="Arial" w:cs="Arial"/>
                <w:sz w:val="24"/>
                <w:szCs w:val="24"/>
              </w:rPr>
              <w:t xml:space="preserve">  requires the court not to consider the evidence </w:t>
            </w:r>
            <w:r w:rsidRPr="00190F2F">
              <w:rPr>
                <w:rFonts w:ascii="Arial" w:hAnsi="Arial" w:cs="Arial"/>
                <w:i/>
                <w:sz w:val="24"/>
                <w:szCs w:val="24"/>
              </w:rPr>
              <w:t xml:space="preserve">in </w:t>
            </w:r>
            <w:proofErr w:type="spellStart"/>
            <w:r w:rsidRPr="00190F2F">
              <w:rPr>
                <w:rFonts w:ascii="Arial" w:hAnsi="Arial" w:cs="Arial"/>
                <w:i/>
                <w:sz w:val="24"/>
                <w:szCs w:val="24"/>
              </w:rPr>
              <w:t>vacuo</w:t>
            </w:r>
            <w:proofErr w:type="spellEnd"/>
            <w:r w:rsidRPr="00190F2F">
              <w:rPr>
                <w:rFonts w:ascii="Arial" w:hAnsi="Arial" w:cs="Arial"/>
                <w:sz w:val="24"/>
                <w:szCs w:val="24"/>
              </w:rPr>
              <w:t xml:space="preserve"> but to consider the evidence in relation to the pleadings and in relation to the requirements of the law applicable to the case.</w:t>
            </w:r>
            <w:r w:rsidRPr="00190F2F">
              <w:rPr>
                <w:rStyle w:val="FootnoteReference"/>
                <w:rFonts w:ascii="Arial" w:hAnsi="Arial" w:cs="Arial"/>
                <w:sz w:val="24"/>
                <w:szCs w:val="24"/>
              </w:rPr>
              <w:footnoteReference w:id="4"/>
            </w:r>
          </w:p>
          <w:p w14:paraId="45509AB1" w14:textId="77777777" w:rsidR="00190F2F" w:rsidRPr="00190F2F" w:rsidRDefault="00190F2F" w:rsidP="00190F2F">
            <w:pPr>
              <w:spacing w:line="360" w:lineRule="auto"/>
              <w:jc w:val="both"/>
              <w:rPr>
                <w:rFonts w:ascii="Arial" w:hAnsi="Arial" w:cs="Arial"/>
                <w:sz w:val="24"/>
                <w:szCs w:val="24"/>
              </w:rPr>
            </w:pPr>
          </w:p>
          <w:p w14:paraId="404B4660" w14:textId="69A11FF3"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[5]</w:t>
            </w:r>
            <w:r w:rsidRPr="00190F2F">
              <w:rPr>
                <w:rFonts w:ascii="Arial" w:hAnsi="Arial" w:cs="Arial"/>
                <w:sz w:val="24"/>
                <w:szCs w:val="24"/>
              </w:rPr>
              <w:tab/>
              <w:t xml:space="preserve">In the instant matter, I see that the particulars of claim indicates undoubtedly that the plaintiff’s claim is based solely on a breach of contract on the part of the first defendant. The plaintiff averred that the contract was partly oral and partly written. The oral part was entered into between the plaintiff (represented by Mr Ephraim </w:t>
            </w:r>
            <w:proofErr w:type="spellStart"/>
            <w:r w:rsidRPr="00190F2F">
              <w:rPr>
                <w:rFonts w:ascii="Arial" w:hAnsi="Arial" w:cs="Arial"/>
                <w:sz w:val="24"/>
                <w:szCs w:val="24"/>
              </w:rPr>
              <w:t>Dozzee</w:t>
            </w:r>
            <w:proofErr w:type="spellEnd"/>
            <w:r w:rsidRPr="00190F2F">
              <w:rPr>
                <w:rFonts w:ascii="Arial" w:hAnsi="Arial" w:cs="Arial"/>
                <w:sz w:val="24"/>
                <w:szCs w:val="24"/>
              </w:rPr>
              <w:t xml:space="preserve"> </w:t>
            </w:r>
            <w:proofErr w:type="spellStart"/>
            <w:r w:rsidRPr="00190F2F">
              <w:rPr>
                <w:rFonts w:ascii="Arial" w:hAnsi="Arial" w:cs="Arial"/>
                <w:sz w:val="24"/>
                <w:szCs w:val="24"/>
              </w:rPr>
              <w:t>Iileka</w:t>
            </w:r>
            <w:proofErr w:type="spellEnd"/>
            <w:r w:rsidRPr="00190F2F">
              <w:rPr>
                <w:rFonts w:ascii="Arial" w:hAnsi="Arial" w:cs="Arial"/>
                <w:sz w:val="24"/>
                <w:szCs w:val="24"/>
              </w:rPr>
              <w:t xml:space="preserve">) and the first defendant, and the written part was entered into between the plaintiff (represented by Mr Ananias Martin) and the first defendant. Both </w:t>
            </w:r>
            <w:proofErr w:type="spellStart"/>
            <w:r w:rsidRPr="00190F2F">
              <w:rPr>
                <w:rFonts w:ascii="Arial" w:hAnsi="Arial" w:cs="Arial"/>
                <w:sz w:val="24"/>
                <w:szCs w:val="24"/>
              </w:rPr>
              <w:t>Iileka</w:t>
            </w:r>
            <w:proofErr w:type="spellEnd"/>
            <w:r w:rsidRPr="00190F2F">
              <w:rPr>
                <w:rFonts w:ascii="Arial" w:hAnsi="Arial" w:cs="Arial"/>
                <w:sz w:val="24"/>
                <w:szCs w:val="24"/>
              </w:rPr>
              <w:t xml:space="preserve"> and Martin were directors of the plaintiff at the relevant time. They appeared in the instant proceedings as </w:t>
            </w:r>
            <w:r w:rsidR="0052116D">
              <w:rPr>
                <w:rFonts w:ascii="Arial" w:hAnsi="Arial" w:cs="Arial"/>
                <w:sz w:val="24"/>
                <w:szCs w:val="24"/>
              </w:rPr>
              <w:t xml:space="preserve">the </w:t>
            </w:r>
            <w:r w:rsidRPr="00190F2F">
              <w:rPr>
                <w:rFonts w:ascii="Arial" w:hAnsi="Arial" w:cs="Arial"/>
                <w:sz w:val="24"/>
                <w:szCs w:val="24"/>
              </w:rPr>
              <w:t>plaintiff witnesses. It is crucial to underline my finding that the second defendant was not privy to the alleged contract. Furthermore, no order is sought against the third defendant, a public authority.</w:t>
            </w:r>
          </w:p>
          <w:p w14:paraId="22D7B50E" w14:textId="77777777" w:rsidR="00190F2F" w:rsidRPr="00190F2F" w:rsidRDefault="00190F2F" w:rsidP="00190F2F">
            <w:pPr>
              <w:spacing w:line="360" w:lineRule="auto"/>
              <w:jc w:val="both"/>
              <w:rPr>
                <w:rFonts w:ascii="Arial" w:hAnsi="Arial" w:cs="Arial"/>
                <w:sz w:val="24"/>
                <w:szCs w:val="24"/>
              </w:rPr>
            </w:pPr>
          </w:p>
          <w:p w14:paraId="4849AE4E" w14:textId="11AA220C"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[6]</w:t>
            </w:r>
            <w:r w:rsidRPr="00190F2F">
              <w:rPr>
                <w:rFonts w:ascii="Arial" w:hAnsi="Arial" w:cs="Arial"/>
                <w:sz w:val="24"/>
                <w:szCs w:val="24"/>
              </w:rPr>
              <w:tab/>
              <w:t>The plaintiff’s first, second and third alternative claims are in truth – as a matter of law – not alternative claims. They are consequential claims that might, not should, follow if t</w:t>
            </w:r>
            <w:r w:rsidR="00580446">
              <w:rPr>
                <w:rFonts w:ascii="Arial" w:hAnsi="Arial" w:cs="Arial"/>
                <w:sz w:val="24"/>
                <w:szCs w:val="24"/>
              </w:rPr>
              <w:t>he plaintiff’s main and primar</w:t>
            </w:r>
            <w:r w:rsidRPr="00190F2F">
              <w:rPr>
                <w:rFonts w:ascii="Arial" w:hAnsi="Arial" w:cs="Arial"/>
                <w:sz w:val="24"/>
                <w:szCs w:val="24"/>
              </w:rPr>
              <w:t>y claim wa</w:t>
            </w:r>
            <w:bookmarkStart w:id="1" w:name="_GoBack"/>
            <w:bookmarkEnd w:id="1"/>
            <w:r w:rsidRPr="00190F2F">
              <w:rPr>
                <w:rFonts w:ascii="Arial" w:hAnsi="Arial" w:cs="Arial"/>
                <w:sz w:val="24"/>
                <w:szCs w:val="24"/>
              </w:rPr>
              <w:t>s successful.</w:t>
            </w:r>
          </w:p>
          <w:p w14:paraId="4DB0C678" w14:textId="77777777" w:rsidR="00190F2F" w:rsidRPr="00190F2F" w:rsidRDefault="00190F2F" w:rsidP="00190F2F">
            <w:pPr>
              <w:spacing w:line="360" w:lineRule="auto"/>
              <w:jc w:val="both"/>
              <w:rPr>
                <w:rFonts w:ascii="Arial" w:hAnsi="Arial" w:cs="Arial"/>
                <w:sz w:val="24"/>
                <w:szCs w:val="24"/>
              </w:rPr>
            </w:pPr>
          </w:p>
          <w:p w14:paraId="11BAC529" w14:textId="77777777"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[7]</w:t>
            </w:r>
            <w:r w:rsidRPr="00190F2F">
              <w:rPr>
                <w:rFonts w:ascii="Arial" w:hAnsi="Arial" w:cs="Arial"/>
                <w:sz w:val="24"/>
                <w:szCs w:val="24"/>
              </w:rPr>
              <w:tab/>
              <w:t>I have found previously that the plaintiff’s claim is based solely on the said alleged contract. In that case, it is trite that the plaintiff – and the plaintiff alone – bears the burden of establishing the existence of the contract it has sued on. The first defendant bears no such onus. The requirement that he or she who alleges must prove is basic to our law.</w:t>
            </w:r>
            <w:r w:rsidRPr="00190F2F">
              <w:rPr>
                <w:rStyle w:val="FootnoteReference"/>
                <w:rFonts w:ascii="Arial" w:hAnsi="Arial" w:cs="Arial"/>
                <w:sz w:val="24"/>
                <w:szCs w:val="24"/>
              </w:rPr>
              <w:footnoteReference w:id="5"/>
            </w:r>
            <w:r w:rsidRPr="00190F2F">
              <w:rPr>
                <w:rFonts w:ascii="Arial" w:hAnsi="Arial" w:cs="Arial"/>
                <w:sz w:val="24"/>
                <w:szCs w:val="24"/>
              </w:rPr>
              <w:t xml:space="preserve"> Therefore, naturally, the next level of the enquiry is to consider the evidence that the plaintiff has placed before the court to establish, to a prima facie degree, the existence of the alleged contract, requiring answer from the first and second defendants.</w:t>
            </w:r>
            <w:r w:rsidRPr="00190F2F">
              <w:rPr>
                <w:rStyle w:val="FootnoteReference"/>
                <w:rFonts w:ascii="Arial" w:hAnsi="Arial" w:cs="Arial"/>
                <w:sz w:val="24"/>
                <w:szCs w:val="24"/>
              </w:rPr>
              <w:footnoteReference w:id="6"/>
            </w:r>
          </w:p>
          <w:p w14:paraId="452A6806" w14:textId="77777777" w:rsidR="00190F2F" w:rsidRPr="00190F2F" w:rsidRDefault="00190F2F" w:rsidP="00190F2F">
            <w:pPr>
              <w:spacing w:line="360" w:lineRule="auto"/>
              <w:jc w:val="both"/>
              <w:rPr>
                <w:rFonts w:ascii="Arial" w:hAnsi="Arial" w:cs="Arial"/>
                <w:sz w:val="24"/>
                <w:szCs w:val="24"/>
              </w:rPr>
            </w:pPr>
          </w:p>
          <w:p w14:paraId="06E57584" w14:textId="77777777"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[8]</w:t>
            </w:r>
            <w:r w:rsidRPr="00190F2F">
              <w:rPr>
                <w:rFonts w:ascii="Arial" w:hAnsi="Arial" w:cs="Arial"/>
                <w:sz w:val="24"/>
                <w:szCs w:val="24"/>
              </w:rPr>
              <w:tab/>
              <w:t xml:space="preserve">The plaintiff says that the contract sued on was partly written and partly oral. According to </w:t>
            </w:r>
            <w:proofErr w:type="spellStart"/>
            <w:r w:rsidRPr="00190F2F">
              <w:rPr>
                <w:rFonts w:ascii="Arial" w:hAnsi="Arial" w:cs="Arial"/>
                <w:sz w:val="24"/>
                <w:szCs w:val="24"/>
              </w:rPr>
              <w:t>Iileka</w:t>
            </w:r>
            <w:proofErr w:type="spellEnd"/>
            <w:r w:rsidRPr="00190F2F">
              <w:rPr>
                <w:rFonts w:ascii="Arial" w:hAnsi="Arial" w:cs="Arial"/>
                <w:sz w:val="24"/>
                <w:szCs w:val="24"/>
              </w:rPr>
              <w:t xml:space="preserve">, the oral part of the contract was entered into between him and the first defendant on a date that he could not recall. Martin testified that the written part of the contract is the ‘Last Will and Testament’ of the first defendant, dated 10 October 2015. It is the first defendant’s last </w:t>
            </w:r>
            <w:r w:rsidRPr="00190F2F">
              <w:rPr>
                <w:rFonts w:ascii="Arial" w:hAnsi="Arial" w:cs="Arial"/>
                <w:sz w:val="24"/>
                <w:szCs w:val="24"/>
              </w:rPr>
              <w:lastRenderedPageBreak/>
              <w:t xml:space="preserve">Will and Testament wherein he declared that to be his last testament and ‘revoked all codicils, wills and other testamentary writings that I made or may have made’. </w:t>
            </w:r>
          </w:p>
          <w:p w14:paraId="2BD9F96F" w14:textId="77777777" w:rsidR="00190F2F" w:rsidRPr="00190F2F" w:rsidRDefault="00190F2F" w:rsidP="00190F2F">
            <w:pPr>
              <w:spacing w:line="360" w:lineRule="auto"/>
              <w:jc w:val="both"/>
              <w:rPr>
                <w:rFonts w:ascii="Arial" w:hAnsi="Arial" w:cs="Arial"/>
                <w:sz w:val="24"/>
                <w:szCs w:val="24"/>
              </w:rPr>
            </w:pPr>
          </w:p>
          <w:p w14:paraId="6442DECE" w14:textId="638864B1"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[9]</w:t>
            </w:r>
            <w:r w:rsidRPr="00190F2F">
              <w:rPr>
                <w:rFonts w:ascii="Arial" w:hAnsi="Arial" w:cs="Arial"/>
                <w:sz w:val="24"/>
                <w:szCs w:val="24"/>
              </w:rPr>
              <w:tab/>
              <w:t>Nowhere in the last Will and Testament does the name of the plaintiff appear. The last Will and Testament cannot be a valid and enforceable contract for the following reasons. First, a contract is a composite and coherent juristic act concluded between two or more persons with the intention of creating legal obligations.</w:t>
            </w:r>
            <w:r w:rsidRPr="00190F2F">
              <w:rPr>
                <w:rStyle w:val="FootnoteReference"/>
                <w:rFonts w:ascii="Arial" w:hAnsi="Arial" w:cs="Arial"/>
                <w:sz w:val="24"/>
                <w:szCs w:val="24"/>
              </w:rPr>
              <w:footnoteReference w:id="7"/>
            </w:r>
            <w:r w:rsidRPr="00190F2F">
              <w:rPr>
                <w:rFonts w:ascii="Arial" w:hAnsi="Arial" w:cs="Arial"/>
                <w:sz w:val="24"/>
                <w:szCs w:val="24"/>
              </w:rPr>
              <w:t xml:space="preserve"> One cannot contract with oneself.</w:t>
            </w:r>
            <w:r w:rsidRPr="00190F2F">
              <w:rPr>
                <w:rStyle w:val="FootnoteReference"/>
                <w:rFonts w:ascii="Arial" w:hAnsi="Arial" w:cs="Arial"/>
                <w:sz w:val="24"/>
                <w:szCs w:val="24"/>
              </w:rPr>
              <w:footnoteReference w:id="8"/>
            </w:r>
            <w:r w:rsidRPr="00190F2F">
              <w:rPr>
                <w:rFonts w:ascii="Arial" w:hAnsi="Arial" w:cs="Arial"/>
                <w:sz w:val="24"/>
                <w:szCs w:val="24"/>
              </w:rPr>
              <w:t xml:space="preserve"> Second, the oral part of the contract was, on the evidence, settled in October 2000. </w:t>
            </w:r>
            <w:proofErr w:type="spellStart"/>
            <w:r w:rsidRPr="00190F2F">
              <w:rPr>
                <w:rFonts w:ascii="Arial" w:hAnsi="Arial" w:cs="Arial"/>
                <w:sz w:val="24"/>
                <w:szCs w:val="24"/>
              </w:rPr>
              <w:t>Iileka</w:t>
            </w:r>
            <w:proofErr w:type="spellEnd"/>
            <w:r w:rsidRPr="00190F2F">
              <w:rPr>
                <w:rFonts w:ascii="Arial" w:hAnsi="Arial" w:cs="Arial"/>
                <w:sz w:val="24"/>
                <w:szCs w:val="24"/>
              </w:rPr>
              <w:t xml:space="preserve"> did not testify that it was in their contemplation that 15 years from 2000 the first defendant would settle a will that would form part of the alleged oral contract. There is no evidence before the court that </w:t>
            </w:r>
            <w:proofErr w:type="spellStart"/>
            <w:r w:rsidRPr="00190F2F">
              <w:rPr>
                <w:rFonts w:ascii="Arial" w:hAnsi="Arial" w:cs="Arial"/>
                <w:sz w:val="24"/>
                <w:szCs w:val="24"/>
              </w:rPr>
              <w:t>Iileka</w:t>
            </w:r>
            <w:proofErr w:type="spellEnd"/>
            <w:r w:rsidRPr="00190F2F">
              <w:rPr>
                <w:rFonts w:ascii="Arial" w:hAnsi="Arial" w:cs="Arial"/>
                <w:sz w:val="24"/>
                <w:szCs w:val="24"/>
              </w:rPr>
              <w:t xml:space="preserve"> is a clairvoyant. What is more, the last Will and Testament does not make one iota of reference to any such oral contract concluded by and between the first defendant and the plaintiff, through </w:t>
            </w:r>
            <w:proofErr w:type="spellStart"/>
            <w:r w:rsidRPr="00190F2F">
              <w:rPr>
                <w:rFonts w:ascii="Arial" w:hAnsi="Arial" w:cs="Arial"/>
                <w:sz w:val="24"/>
                <w:szCs w:val="24"/>
              </w:rPr>
              <w:t>Iileka</w:t>
            </w:r>
            <w:proofErr w:type="spellEnd"/>
            <w:r w:rsidRPr="00190F2F">
              <w:rPr>
                <w:rFonts w:ascii="Arial" w:hAnsi="Arial" w:cs="Arial"/>
                <w:sz w:val="24"/>
                <w:szCs w:val="24"/>
              </w:rPr>
              <w:t xml:space="preserve"> 15 years previously.</w:t>
            </w:r>
          </w:p>
          <w:p w14:paraId="746A699D" w14:textId="77777777" w:rsidR="00190F2F" w:rsidRPr="00190F2F" w:rsidRDefault="00190F2F" w:rsidP="00190F2F">
            <w:pPr>
              <w:spacing w:line="360" w:lineRule="auto"/>
              <w:jc w:val="both"/>
              <w:rPr>
                <w:rFonts w:ascii="Arial" w:hAnsi="Arial" w:cs="Arial"/>
                <w:sz w:val="24"/>
                <w:szCs w:val="24"/>
              </w:rPr>
            </w:pPr>
          </w:p>
          <w:p w14:paraId="316291A4" w14:textId="77777777"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[10]</w:t>
            </w:r>
            <w:r w:rsidRPr="00190F2F">
              <w:rPr>
                <w:rFonts w:ascii="Arial" w:hAnsi="Arial" w:cs="Arial"/>
                <w:sz w:val="24"/>
                <w:szCs w:val="24"/>
              </w:rPr>
              <w:tab/>
              <w:t>The ineluctable conclusion is that the plaintiff has failed to prove the existence of the contract he relies on to sue the first defendant and the second defendant. I have found previously that the second defendant is not privy to the alleged contract.</w:t>
            </w:r>
          </w:p>
          <w:p w14:paraId="2D79FFBE" w14:textId="77777777" w:rsidR="00190F2F" w:rsidRPr="00190F2F" w:rsidRDefault="00190F2F" w:rsidP="00190F2F">
            <w:pPr>
              <w:spacing w:line="360" w:lineRule="auto"/>
              <w:jc w:val="both"/>
              <w:rPr>
                <w:rFonts w:ascii="Arial" w:hAnsi="Arial" w:cs="Arial"/>
                <w:sz w:val="24"/>
                <w:szCs w:val="24"/>
              </w:rPr>
            </w:pPr>
          </w:p>
          <w:p w14:paraId="3C54FA95" w14:textId="77777777"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[11]</w:t>
            </w:r>
            <w:r w:rsidRPr="00190F2F">
              <w:rPr>
                <w:rFonts w:ascii="Arial" w:hAnsi="Arial" w:cs="Arial"/>
                <w:sz w:val="24"/>
                <w:szCs w:val="24"/>
              </w:rPr>
              <w:tab/>
              <w:t xml:space="preserve">Of the view I have taken of the case, Mr </w:t>
            </w:r>
            <w:proofErr w:type="spellStart"/>
            <w:r w:rsidRPr="00190F2F">
              <w:rPr>
                <w:rFonts w:ascii="Arial" w:hAnsi="Arial" w:cs="Arial"/>
                <w:sz w:val="24"/>
                <w:szCs w:val="24"/>
              </w:rPr>
              <w:t>Chibwana’s</w:t>
            </w:r>
            <w:proofErr w:type="spellEnd"/>
            <w:r w:rsidRPr="00190F2F">
              <w:rPr>
                <w:rFonts w:ascii="Arial" w:hAnsi="Arial" w:cs="Arial"/>
                <w:sz w:val="24"/>
                <w:szCs w:val="24"/>
              </w:rPr>
              <w:t xml:space="preserve"> eloquent and forceful submission on the concept of ‘simulated contract’ is irrelevant. It is labour lost. It is of no assistance on the point under consideration. Indeed, it does not find application in this proceeding.</w:t>
            </w:r>
          </w:p>
          <w:p w14:paraId="231E08D0" w14:textId="77777777" w:rsidR="00190F2F" w:rsidRPr="00190F2F" w:rsidRDefault="00190F2F" w:rsidP="00190F2F">
            <w:pPr>
              <w:spacing w:line="360" w:lineRule="auto"/>
              <w:jc w:val="both"/>
              <w:rPr>
                <w:rFonts w:ascii="Arial" w:hAnsi="Arial" w:cs="Arial"/>
                <w:sz w:val="24"/>
                <w:szCs w:val="24"/>
              </w:rPr>
            </w:pPr>
          </w:p>
          <w:p w14:paraId="5244CF81" w14:textId="77777777"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[12]</w:t>
            </w:r>
            <w:r w:rsidRPr="00190F2F">
              <w:rPr>
                <w:rFonts w:ascii="Arial" w:hAnsi="Arial" w:cs="Arial"/>
                <w:sz w:val="24"/>
                <w:szCs w:val="24"/>
              </w:rPr>
              <w:tab/>
              <w:t xml:space="preserve">For the forgoing analysis and conclusions </w:t>
            </w:r>
            <w:proofErr w:type="spellStart"/>
            <w:r w:rsidRPr="00190F2F">
              <w:rPr>
                <w:rFonts w:ascii="Arial" w:hAnsi="Arial" w:cs="Arial"/>
                <w:sz w:val="24"/>
                <w:szCs w:val="24"/>
              </w:rPr>
              <w:t>thereanent</w:t>
            </w:r>
            <w:proofErr w:type="spellEnd"/>
            <w:r w:rsidRPr="00190F2F">
              <w:rPr>
                <w:rFonts w:ascii="Arial" w:hAnsi="Arial" w:cs="Arial"/>
                <w:sz w:val="24"/>
                <w:szCs w:val="24"/>
              </w:rPr>
              <w:t xml:space="preserve">, I find that the plaintiff has failed to surmount the bar set by the Supreme Court in </w:t>
            </w:r>
            <w:proofErr w:type="spellStart"/>
            <w:r w:rsidRPr="00190F2F">
              <w:rPr>
                <w:rFonts w:ascii="Arial" w:hAnsi="Arial" w:cs="Arial"/>
                <w:i/>
                <w:iCs/>
                <w:sz w:val="24"/>
                <w:szCs w:val="24"/>
              </w:rPr>
              <w:t>Stier</w:t>
            </w:r>
            <w:proofErr w:type="spellEnd"/>
            <w:r w:rsidRPr="00190F2F">
              <w:rPr>
                <w:rFonts w:ascii="Arial" w:hAnsi="Arial" w:cs="Arial"/>
                <w:i/>
                <w:iCs/>
                <w:sz w:val="24"/>
                <w:szCs w:val="24"/>
              </w:rPr>
              <w:t xml:space="preserve"> and Another v Henke</w:t>
            </w:r>
            <w:r w:rsidRPr="00190F2F">
              <w:rPr>
                <w:rStyle w:val="FootnoteReference"/>
                <w:rFonts w:ascii="Arial" w:hAnsi="Arial" w:cs="Arial"/>
                <w:i/>
                <w:iCs/>
                <w:sz w:val="24"/>
                <w:szCs w:val="24"/>
              </w:rPr>
              <w:footnoteReference w:id="9"/>
            </w:r>
            <w:r w:rsidRPr="00190F2F">
              <w:rPr>
                <w:rFonts w:ascii="Arial" w:hAnsi="Arial" w:cs="Arial"/>
                <w:sz w:val="24"/>
                <w:szCs w:val="24"/>
              </w:rPr>
              <w:t xml:space="preserve"> which is that for the plaintiff to survive absolution, the plaintiff must make out a prima facie case upon which a court could or might find for the plaintiff. The result is that the plaintiff has not made out a prima facie case, requiring the first defendant and the second defendant to answer.</w:t>
            </w:r>
          </w:p>
          <w:p w14:paraId="34D96DB1" w14:textId="77777777" w:rsidR="00190F2F" w:rsidRPr="00190F2F" w:rsidRDefault="00190F2F" w:rsidP="00190F2F">
            <w:pPr>
              <w:spacing w:line="360" w:lineRule="auto"/>
              <w:jc w:val="both"/>
              <w:rPr>
                <w:rFonts w:ascii="Arial" w:hAnsi="Arial" w:cs="Arial"/>
                <w:sz w:val="24"/>
                <w:szCs w:val="24"/>
              </w:rPr>
            </w:pPr>
          </w:p>
          <w:p w14:paraId="1451F360" w14:textId="77777777" w:rsidR="00190F2F" w:rsidRPr="00190F2F" w:rsidRDefault="00190F2F" w:rsidP="00190F2F">
            <w:pPr>
              <w:spacing w:line="360" w:lineRule="auto"/>
              <w:jc w:val="both"/>
              <w:rPr>
                <w:rFonts w:ascii="Arial" w:hAnsi="Arial" w:cs="Arial"/>
                <w:sz w:val="24"/>
                <w:szCs w:val="24"/>
              </w:rPr>
            </w:pPr>
            <w:r w:rsidRPr="00190F2F">
              <w:rPr>
                <w:rFonts w:ascii="Arial" w:hAnsi="Arial" w:cs="Arial"/>
                <w:sz w:val="24"/>
                <w:szCs w:val="24"/>
              </w:rPr>
              <w:t>[13]</w:t>
            </w:r>
            <w:r w:rsidRPr="00190F2F">
              <w:rPr>
                <w:rFonts w:ascii="Arial" w:hAnsi="Arial" w:cs="Arial"/>
                <w:sz w:val="24"/>
                <w:szCs w:val="24"/>
              </w:rPr>
              <w:tab/>
              <w:t>Based on these reasons, I order as follows:</w:t>
            </w:r>
          </w:p>
          <w:p w14:paraId="26F255B6" w14:textId="77777777" w:rsidR="00190F2F" w:rsidRPr="00190F2F" w:rsidRDefault="00190F2F" w:rsidP="00190F2F">
            <w:pPr>
              <w:spacing w:line="360" w:lineRule="auto"/>
              <w:jc w:val="both"/>
              <w:rPr>
                <w:rFonts w:ascii="Arial" w:hAnsi="Arial" w:cs="Arial"/>
                <w:sz w:val="24"/>
                <w:szCs w:val="24"/>
              </w:rPr>
            </w:pPr>
          </w:p>
          <w:p w14:paraId="39CEE48F" w14:textId="4A924944" w:rsidR="00190F2F" w:rsidRPr="00190F2F" w:rsidRDefault="00190F2F" w:rsidP="00D64884">
            <w:pPr>
              <w:pStyle w:val="ListParagraph"/>
              <w:numPr>
                <w:ilvl w:val="0"/>
                <w:numId w:val="15"/>
              </w:numPr>
              <w:spacing w:line="360" w:lineRule="auto"/>
              <w:ind w:hanging="687"/>
              <w:jc w:val="both"/>
              <w:rPr>
                <w:rFonts w:ascii="Arial" w:hAnsi="Arial" w:cs="Arial"/>
                <w:sz w:val="24"/>
                <w:szCs w:val="24"/>
              </w:rPr>
            </w:pPr>
            <w:r w:rsidRPr="00190F2F">
              <w:rPr>
                <w:rFonts w:ascii="Arial" w:hAnsi="Arial" w:cs="Arial"/>
                <w:sz w:val="24"/>
                <w:szCs w:val="24"/>
              </w:rPr>
              <w:t>Absolution from the instance is granted with costs.</w:t>
            </w:r>
          </w:p>
          <w:p w14:paraId="512319B1" w14:textId="77777777" w:rsidR="00190F2F" w:rsidRPr="00190F2F" w:rsidRDefault="00190F2F" w:rsidP="00073060">
            <w:pPr>
              <w:pStyle w:val="ListParagraph"/>
              <w:spacing w:line="360" w:lineRule="auto"/>
              <w:ind w:left="743" w:hanging="710"/>
              <w:jc w:val="both"/>
              <w:rPr>
                <w:rFonts w:ascii="Arial" w:hAnsi="Arial" w:cs="Arial"/>
                <w:sz w:val="24"/>
                <w:szCs w:val="24"/>
              </w:rPr>
            </w:pPr>
          </w:p>
          <w:p w14:paraId="4A9D69AD" w14:textId="77777777" w:rsidR="00190F2F" w:rsidRPr="00190F2F" w:rsidRDefault="00190F2F" w:rsidP="00D64884">
            <w:pPr>
              <w:pStyle w:val="ListParagraph"/>
              <w:numPr>
                <w:ilvl w:val="0"/>
                <w:numId w:val="15"/>
              </w:numPr>
              <w:spacing w:line="360" w:lineRule="auto"/>
              <w:ind w:left="743" w:hanging="710"/>
              <w:jc w:val="both"/>
              <w:rPr>
                <w:rFonts w:ascii="Arial" w:hAnsi="Arial" w:cs="Arial"/>
                <w:sz w:val="24"/>
                <w:szCs w:val="24"/>
              </w:rPr>
            </w:pPr>
            <w:r w:rsidRPr="00190F2F">
              <w:rPr>
                <w:rFonts w:ascii="Arial" w:hAnsi="Arial" w:cs="Arial"/>
                <w:sz w:val="24"/>
                <w:szCs w:val="24"/>
              </w:rPr>
              <w:lastRenderedPageBreak/>
              <w:t>The matter is considered finalised and removed from the roll.</w:t>
            </w:r>
          </w:p>
          <w:p w14:paraId="69A4C983" w14:textId="77777777" w:rsidR="00A85792" w:rsidRPr="004A5618" w:rsidRDefault="001E192B" w:rsidP="00B32493">
            <w:pPr>
              <w:tabs>
                <w:tab w:val="left" w:pos="729"/>
              </w:tabs>
              <w:spacing w:line="360" w:lineRule="auto"/>
              <w:ind w:left="743" w:hanging="710"/>
              <w:jc w:val="both"/>
              <w:rPr>
                <w:rFonts w:ascii="Arial" w:hAnsi="Arial" w:cs="Arial"/>
                <w:sz w:val="24"/>
                <w:szCs w:val="24"/>
              </w:rPr>
            </w:pPr>
            <w:r w:rsidRPr="004A5618">
              <w:rPr>
                <w:rFonts w:ascii="Arial" w:hAnsi="Arial" w:cs="Arial"/>
                <w:sz w:val="24"/>
                <w:szCs w:val="24"/>
              </w:rPr>
              <w:tab/>
            </w:r>
          </w:p>
          <w:p w14:paraId="71D39DDF" w14:textId="77777777" w:rsidR="00C04F28" w:rsidRPr="004A5618" w:rsidRDefault="00C04F28" w:rsidP="00B32493">
            <w:pPr>
              <w:pStyle w:val="ListParagraph"/>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77777777" w:rsidR="00B40844" w:rsidRPr="004A5618" w:rsidRDefault="00B40844"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7C75C70E" w14:textId="77777777" w:rsidR="00B40844" w:rsidRPr="004A5618" w:rsidRDefault="00B40844" w:rsidP="00937C89">
            <w:pPr>
              <w:spacing w:line="360" w:lineRule="auto"/>
              <w:jc w:val="both"/>
              <w:rPr>
                <w:rFonts w:ascii="Arial" w:hAnsi="Arial" w:cs="Arial"/>
                <w:sz w:val="24"/>
                <w:szCs w:val="24"/>
              </w:rPr>
            </w:pPr>
          </w:p>
          <w:p w14:paraId="4D626231" w14:textId="77777777" w:rsidR="00B40844" w:rsidRPr="004A5618" w:rsidRDefault="00B40844"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77777777" w:rsidR="00B40844" w:rsidRPr="004A5618" w:rsidRDefault="00B32493" w:rsidP="00937C89">
            <w:pPr>
              <w:spacing w:line="360" w:lineRule="auto"/>
              <w:jc w:val="center"/>
              <w:rPr>
                <w:rFonts w:ascii="Arial" w:hAnsi="Arial" w:cs="Arial"/>
                <w:b/>
                <w:sz w:val="24"/>
                <w:szCs w:val="24"/>
              </w:rPr>
            </w:pPr>
            <w:r w:rsidRPr="004A5618">
              <w:rPr>
                <w:rFonts w:ascii="Arial" w:hAnsi="Arial" w:cs="Arial"/>
                <w:b/>
                <w:sz w:val="24"/>
                <w:szCs w:val="24"/>
              </w:rPr>
              <w:t>Plaintiff</w:t>
            </w:r>
          </w:p>
        </w:tc>
        <w:tc>
          <w:tcPr>
            <w:tcW w:w="5436" w:type="dxa"/>
            <w:gridSpan w:val="2"/>
          </w:tcPr>
          <w:p w14:paraId="7EC49BF1" w14:textId="420064C2" w:rsidR="00B40844" w:rsidRPr="004A5618" w:rsidRDefault="00806C6B" w:rsidP="00937C89">
            <w:pPr>
              <w:spacing w:line="360" w:lineRule="auto"/>
              <w:jc w:val="center"/>
              <w:rPr>
                <w:rFonts w:ascii="Arial" w:hAnsi="Arial" w:cs="Arial"/>
                <w:b/>
                <w:sz w:val="24"/>
                <w:szCs w:val="24"/>
              </w:rPr>
            </w:pPr>
            <w:r>
              <w:rPr>
                <w:rFonts w:ascii="Arial" w:hAnsi="Arial" w:cs="Arial"/>
                <w:b/>
                <w:sz w:val="24"/>
                <w:szCs w:val="24"/>
              </w:rPr>
              <w:t>1</w:t>
            </w:r>
            <w:r w:rsidRPr="00806C6B">
              <w:rPr>
                <w:rFonts w:ascii="Arial" w:hAnsi="Arial" w:cs="Arial"/>
                <w:b/>
                <w:sz w:val="24"/>
                <w:szCs w:val="24"/>
                <w:vertAlign w:val="superscript"/>
              </w:rPr>
              <w:t>st</w:t>
            </w:r>
            <w:r>
              <w:rPr>
                <w:rFonts w:ascii="Arial" w:hAnsi="Arial" w:cs="Arial"/>
                <w:b/>
                <w:sz w:val="24"/>
                <w:szCs w:val="24"/>
              </w:rPr>
              <w:t xml:space="preserve"> &amp; 2</w:t>
            </w:r>
            <w:r w:rsidRPr="00806C6B">
              <w:rPr>
                <w:rFonts w:ascii="Arial" w:hAnsi="Arial" w:cs="Arial"/>
                <w:b/>
                <w:sz w:val="24"/>
                <w:szCs w:val="24"/>
                <w:vertAlign w:val="superscript"/>
              </w:rPr>
              <w:t>nd</w:t>
            </w:r>
            <w:r>
              <w:rPr>
                <w:rFonts w:ascii="Arial" w:hAnsi="Arial" w:cs="Arial"/>
                <w:b/>
                <w:sz w:val="24"/>
                <w:szCs w:val="24"/>
              </w:rPr>
              <w:t xml:space="preserve"> </w:t>
            </w:r>
            <w:r w:rsidR="00B32493" w:rsidRPr="004A5618">
              <w:rPr>
                <w:rFonts w:ascii="Arial" w:hAnsi="Arial" w:cs="Arial"/>
                <w:b/>
                <w:sz w:val="24"/>
                <w:szCs w:val="24"/>
              </w:rPr>
              <w:t>Defendant</w:t>
            </w:r>
          </w:p>
        </w:tc>
      </w:tr>
      <w:tr w:rsidR="00CA7995" w:rsidRPr="004A5618" w14:paraId="7F6632AA" w14:textId="77777777" w:rsidTr="00136505">
        <w:tc>
          <w:tcPr>
            <w:tcW w:w="4770" w:type="dxa"/>
          </w:tcPr>
          <w:p w14:paraId="2883611C" w14:textId="4F6121FE" w:rsidR="00B36EB8" w:rsidRPr="00B36EB8" w:rsidRDefault="00B36EB8" w:rsidP="00937C89">
            <w:pPr>
              <w:spacing w:line="360" w:lineRule="auto"/>
              <w:jc w:val="center"/>
              <w:rPr>
                <w:rFonts w:ascii="Arial" w:hAnsi="Arial" w:cs="Arial"/>
                <w:sz w:val="24"/>
                <w:szCs w:val="24"/>
              </w:rPr>
            </w:pPr>
            <w:r>
              <w:rPr>
                <w:rFonts w:ascii="Arial" w:hAnsi="Arial" w:cs="Arial"/>
                <w:sz w:val="24"/>
                <w:szCs w:val="24"/>
              </w:rPr>
              <w:t>T</w:t>
            </w:r>
            <w:r w:rsidRPr="00B36EB8">
              <w:rPr>
                <w:rFonts w:ascii="Arial" w:hAnsi="Arial" w:cs="Arial"/>
                <w:sz w:val="24"/>
                <w:szCs w:val="24"/>
              </w:rPr>
              <w:t xml:space="preserve"> </w:t>
            </w:r>
            <w:proofErr w:type="spellStart"/>
            <w:r>
              <w:rPr>
                <w:rFonts w:ascii="Arial" w:hAnsi="Arial" w:cs="Arial"/>
                <w:sz w:val="24"/>
                <w:szCs w:val="24"/>
              </w:rPr>
              <w:t>C</w:t>
            </w:r>
            <w:r w:rsidRPr="00B36EB8">
              <w:rPr>
                <w:rFonts w:ascii="Arial" w:hAnsi="Arial" w:cs="Arial"/>
                <w:sz w:val="24"/>
                <w:szCs w:val="24"/>
              </w:rPr>
              <w:t>hibwana</w:t>
            </w:r>
            <w:proofErr w:type="spellEnd"/>
            <w:r w:rsidRPr="00B36EB8">
              <w:rPr>
                <w:rFonts w:ascii="Arial" w:hAnsi="Arial" w:cs="Arial"/>
                <w:sz w:val="24"/>
                <w:szCs w:val="24"/>
              </w:rPr>
              <w:t xml:space="preserve"> </w:t>
            </w:r>
            <w:r w:rsidR="004802FB">
              <w:rPr>
                <w:rFonts w:ascii="Arial" w:hAnsi="Arial" w:cs="Arial"/>
                <w:sz w:val="24"/>
                <w:szCs w:val="24"/>
              </w:rPr>
              <w:t>(</w:t>
            </w:r>
            <w:r w:rsidRPr="00B36EB8">
              <w:rPr>
                <w:rFonts w:ascii="Arial" w:hAnsi="Arial" w:cs="Arial"/>
                <w:sz w:val="24"/>
                <w:szCs w:val="24"/>
              </w:rPr>
              <w:t>with</w:t>
            </w:r>
            <w:r w:rsidR="004802FB">
              <w:rPr>
                <w:rFonts w:ascii="Arial" w:hAnsi="Arial" w:cs="Arial"/>
                <w:sz w:val="24"/>
                <w:szCs w:val="24"/>
              </w:rPr>
              <w:t xml:space="preserve"> him</w:t>
            </w:r>
            <w:r w:rsidRPr="00B36EB8">
              <w:rPr>
                <w:rFonts w:ascii="Arial" w:hAnsi="Arial" w:cs="Arial"/>
                <w:sz w:val="24"/>
                <w:szCs w:val="24"/>
              </w:rPr>
              <w:t xml:space="preserve"> </w:t>
            </w:r>
            <w:r w:rsidR="00806C6B">
              <w:rPr>
                <w:rFonts w:ascii="Arial" w:hAnsi="Arial" w:cs="Arial"/>
                <w:sz w:val="24"/>
                <w:szCs w:val="24"/>
              </w:rPr>
              <w:t>N</w:t>
            </w:r>
            <w:r w:rsidRPr="00B36EB8">
              <w:rPr>
                <w:rFonts w:ascii="Arial" w:hAnsi="Arial" w:cs="Arial"/>
                <w:sz w:val="24"/>
                <w:szCs w:val="24"/>
              </w:rPr>
              <w:t> </w:t>
            </w:r>
            <w:proofErr w:type="spellStart"/>
            <w:r w:rsidR="00806C6B">
              <w:rPr>
                <w:rFonts w:ascii="Arial" w:hAnsi="Arial" w:cs="Arial"/>
                <w:sz w:val="24"/>
                <w:szCs w:val="24"/>
              </w:rPr>
              <w:t>M</w:t>
            </w:r>
            <w:r w:rsidR="00806C6B" w:rsidRPr="00B36EB8">
              <w:rPr>
                <w:rFonts w:ascii="Arial" w:hAnsi="Arial" w:cs="Arial"/>
                <w:sz w:val="24"/>
                <w:szCs w:val="24"/>
              </w:rPr>
              <w:t>hata</w:t>
            </w:r>
            <w:proofErr w:type="spellEnd"/>
            <w:r w:rsidR="004802FB">
              <w:rPr>
                <w:rFonts w:ascii="Arial" w:hAnsi="Arial" w:cs="Arial"/>
                <w:sz w:val="24"/>
                <w:szCs w:val="24"/>
              </w:rPr>
              <w:t>)</w:t>
            </w:r>
          </w:p>
          <w:p w14:paraId="5821C7F1" w14:textId="53313F0B" w:rsidR="00B40844" w:rsidRPr="00806C6B" w:rsidRDefault="00B32493" w:rsidP="00937C89">
            <w:pPr>
              <w:spacing w:line="360" w:lineRule="auto"/>
              <w:jc w:val="center"/>
              <w:rPr>
                <w:rFonts w:ascii="Arial" w:hAnsi="Arial" w:cs="Arial"/>
                <w:sz w:val="24"/>
                <w:szCs w:val="24"/>
              </w:rPr>
            </w:pPr>
            <w:r w:rsidRPr="00806C6B">
              <w:rPr>
                <w:rFonts w:ascii="Arial" w:hAnsi="Arial" w:cs="Arial"/>
                <w:sz w:val="24"/>
                <w:szCs w:val="24"/>
              </w:rPr>
              <w:t>Instructed by</w:t>
            </w:r>
          </w:p>
          <w:p w14:paraId="23004F6E" w14:textId="7A95CAE2" w:rsidR="00B40844" w:rsidRPr="004A5618" w:rsidRDefault="00806C6B" w:rsidP="00937C89">
            <w:pPr>
              <w:spacing w:line="360" w:lineRule="auto"/>
              <w:jc w:val="center"/>
              <w:rPr>
                <w:rFonts w:ascii="Arial" w:hAnsi="Arial" w:cs="Arial"/>
                <w:sz w:val="24"/>
                <w:szCs w:val="24"/>
              </w:rPr>
            </w:pPr>
            <w:proofErr w:type="spellStart"/>
            <w:r w:rsidRPr="00806C6B">
              <w:rPr>
                <w:rFonts w:ascii="Arial" w:hAnsi="Arial" w:cs="Arial"/>
                <w:sz w:val="24"/>
                <w:szCs w:val="24"/>
              </w:rPr>
              <w:t>Nambili</w:t>
            </w:r>
            <w:proofErr w:type="spellEnd"/>
            <w:r w:rsidRPr="00806C6B">
              <w:rPr>
                <w:rFonts w:ascii="Arial" w:hAnsi="Arial" w:cs="Arial"/>
                <w:sz w:val="24"/>
                <w:szCs w:val="24"/>
              </w:rPr>
              <w:t xml:space="preserve"> </w:t>
            </w:r>
            <w:proofErr w:type="spellStart"/>
            <w:r w:rsidRPr="00806C6B">
              <w:rPr>
                <w:rFonts w:ascii="Arial" w:hAnsi="Arial" w:cs="Arial"/>
                <w:sz w:val="24"/>
                <w:szCs w:val="24"/>
              </w:rPr>
              <w:t>Mhata</w:t>
            </w:r>
            <w:proofErr w:type="spellEnd"/>
            <w:r w:rsidRPr="00806C6B">
              <w:rPr>
                <w:rFonts w:ascii="Arial" w:hAnsi="Arial" w:cs="Arial"/>
                <w:sz w:val="24"/>
                <w:szCs w:val="24"/>
              </w:rPr>
              <w:t xml:space="preserve"> Legal Practitioners</w:t>
            </w:r>
            <w:r w:rsidR="00136505" w:rsidRPr="004A5618">
              <w:rPr>
                <w:rFonts w:ascii="Arial" w:hAnsi="Arial" w:cs="Arial"/>
                <w:sz w:val="24"/>
                <w:szCs w:val="24"/>
              </w:rPr>
              <w:t>, Windhoek</w:t>
            </w:r>
          </w:p>
          <w:p w14:paraId="5DF3F17F" w14:textId="77777777" w:rsidR="00B40844" w:rsidRPr="004A5618" w:rsidRDefault="00B40844" w:rsidP="00937C89">
            <w:pPr>
              <w:spacing w:line="360" w:lineRule="auto"/>
              <w:jc w:val="center"/>
              <w:rPr>
                <w:rFonts w:ascii="Arial" w:hAnsi="Arial" w:cs="Arial"/>
                <w:sz w:val="24"/>
                <w:szCs w:val="24"/>
              </w:rPr>
            </w:pPr>
          </w:p>
        </w:tc>
        <w:tc>
          <w:tcPr>
            <w:tcW w:w="5436" w:type="dxa"/>
            <w:gridSpan w:val="2"/>
          </w:tcPr>
          <w:p w14:paraId="02682EDF" w14:textId="65974D49" w:rsidR="00806C6B" w:rsidRPr="00806C6B" w:rsidRDefault="00806C6B" w:rsidP="00B62F2B">
            <w:pPr>
              <w:spacing w:line="360" w:lineRule="auto"/>
              <w:jc w:val="center"/>
              <w:rPr>
                <w:rFonts w:ascii="Arial" w:hAnsi="Arial" w:cs="Arial"/>
                <w:sz w:val="24"/>
                <w:szCs w:val="24"/>
              </w:rPr>
            </w:pPr>
            <w:r w:rsidRPr="00806C6B">
              <w:rPr>
                <w:rFonts w:ascii="Arial" w:hAnsi="Arial" w:cs="Arial"/>
                <w:sz w:val="24"/>
                <w:szCs w:val="24"/>
              </w:rPr>
              <w:t xml:space="preserve">E </w:t>
            </w:r>
            <w:proofErr w:type="spellStart"/>
            <w:r>
              <w:rPr>
                <w:rFonts w:ascii="Arial" w:hAnsi="Arial" w:cs="Arial"/>
                <w:sz w:val="24"/>
                <w:szCs w:val="24"/>
              </w:rPr>
              <w:t>S</w:t>
            </w:r>
            <w:r w:rsidRPr="00806C6B">
              <w:rPr>
                <w:rFonts w:ascii="Arial" w:hAnsi="Arial" w:cs="Arial"/>
                <w:sz w:val="24"/>
                <w:szCs w:val="24"/>
              </w:rPr>
              <w:t>hikongo</w:t>
            </w:r>
            <w:proofErr w:type="spellEnd"/>
          </w:p>
          <w:p w14:paraId="5F572AD5" w14:textId="1A99DD87" w:rsidR="00B62F2B" w:rsidRPr="00806C6B" w:rsidRDefault="00806C6B" w:rsidP="00B62F2B">
            <w:pPr>
              <w:spacing w:line="360" w:lineRule="auto"/>
              <w:jc w:val="center"/>
              <w:rPr>
                <w:rFonts w:ascii="Arial" w:hAnsi="Arial" w:cs="Arial"/>
                <w:sz w:val="24"/>
                <w:szCs w:val="24"/>
              </w:rPr>
            </w:pPr>
            <w:r w:rsidRPr="00806C6B">
              <w:rPr>
                <w:rFonts w:ascii="Arial" w:hAnsi="Arial" w:cs="Arial"/>
                <w:sz w:val="24"/>
                <w:szCs w:val="24"/>
              </w:rPr>
              <w:t>Of</w:t>
            </w:r>
          </w:p>
          <w:p w14:paraId="2E1320B2" w14:textId="084794AF" w:rsidR="00B62F2B" w:rsidRPr="004A5618" w:rsidRDefault="00806C6B" w:rsidP="00B62F2B">
            <w:pPr>
              <w:spacing w:line="360" w:lineRule="auto"/>
              <w:jc w:val="center"/>
              <w:rPr>
                <w:rFonts w:ascii="Arial" w:hAnsi="Arial" w:cs="Arial"/>
                <w:sz w:val="24"/>
                <w:szCs w:val="24"/>
              </w:rPr>
            </w:pPr>
            <w:proofErr w:type="spellStart"/>
            <w:r w:rsidRPr="00806C6B">
              <w:rPr>
                <w:rFonts w:ascii="Arial" w:hAnsi="Arial" w:cs="Arial"/>
                <w:sz w:val="24"/>
                <w:szCs w:val="24"/>
              </w:rPr>
              <w:t>Shikongo</w:t>
            </w:r>
            <w:proofErr w:type="spellEnd"/>
            <w:r w:rsidRPr="00806C6B">
              <w:rPr>
                <w:rFonts w:ascii="Arial" w:hAnsi="Arial" w:cs="Arial"/>
                <w:sz w:val="24"/>
                <w:szCs w:val="24"/>
              </w:rPr>
              <w:t xml:space="preserve"> Law Chambers</w:t>
            </w:r>
            <w:r w:rsidR="00B62F2B" w:rsidRPr="004A5618">
              <w:rPr>
                <w:rFonts w:ascii="Arial" w:hAnsi="Arial" w:cs="Arial"/>
                <w:sz w:val="24"/>
                <w:szCs w:val="24"/>
              </w:rPr>
              <w:t>, Windhoek</w:t>
            </w:r>
          </w:p>
          <w:p w14:paraId="2EDA150C" w14:textId="77777777" w:rsidR="00B62F2B" w:rsidRPr="004A5618" w:rsidRDefault="00B62F2B" w:rsidP="00FB27BC">
            <w:pPr>
              <w:spacing w:line="360" w:lineRule="auto"/>
              <w:jc w:val="center"/>
              <w:rPr>
                <w:rFonts w:ascii="Arial" w:hAnsi="Arial" w:cs="Arial"/>
                <w:sz w:val="24"/>
                <w:szCs w:val="24"/>
              </w:rPr>
            </w:pP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8C5D4" w14:textId="77777777" w:rsidR="007E373A" w:rsidRPr="004A5618" w:rsidRDefault="007E373A" w:rsidP="00B40844">
      <w:pPr>
        <w:spacing w:after="0" w:line="240" w:lineRule="auto"/>
      </w:pPr>
      <w:r w:rsidRPr="004A5618">
        <w:separator/>
      </w:r>
    </w:p>
  </w:endnote>
  <w:endnote w:type="continuationSeparator" w:id="0">
    <w:p w14:paraId="60069B89" w14:textId="77777777" w:rsidR="007E373A" w:rsidRPr="004A5618" w:rsidRDefault="007E373A"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72209" w14:textId="77777777" w:rsidR="007E373A" w:rsidRPr="004A5618" w:rsidRDefault="007E373A" w:rsidP="00B40844">
      <w:pPr>
        <w:spacing w:after="0" w:line="240" w:lineRule="auto"/>
      </w:pPr>
      <w:r w:rsidRPr="004A5618">
        <w:separator/>
      </w:r>
    </w:p>
  </w:footnote>
  <w:footnote w:type="continuationSeparator" w:id="0">
    <w:p w14:paraId="7C9B0D31" w14:textId="77777777" w:rsidR="007E373A" w:rsidRPr="004A5618" w:rsidRDefault="007E373A" w:rsidP="00B40844">
      <w:pPr>
        <w:spacing w:after="0" w:line="240" w:lineRule="auto"/>
      </w:pPr>
      <w:r w:rsidRPr="004A5618">
        <w:continuationSeparator/>
      </w:r>
    </w:p>
  </w:footnote>
  <w:footnote w:id="1">
    <w:p w14:paraId="13EBEB8A" w14:textId="77777777" w:rsidR="00190F2F" w:rsidRPr="001C06A5" w:rsidRDefault="00190F2F" w:rsidP="00190F2F">
      <w:pPr>
        <w:pStyle w:val="FootnoteText"/>
        <w:jc w:val="both"/>
        <w:rPr>
          <w:lang w:val="en-US"/>
        </w:rPr>
      </w:pPr>
      <w:r>
        <w:rPr>
          <w:rStyle w:val="FootnoteReference"/>
        </w:rPr>
        <w:footnoteRef/>
      </w:r>
      <w:r>
        <w:t xml:space="preserve"> </w:t>
      </w:r>
      <w:proofErr w:type="spellStart"/>
      <w:r>
        <w:rPr>
          <w:rFonts w:ascii="Arial" w:hAnsi="Arial" w:cs="Arial"/>
          <w:i/>
        </w:rPr>
        <w:t>Stier</w:t>
      </w:r>
      <w:proofErr w:type="spellEnd"/>
      <w:r>
        <w:rPr>
          <w:rFonts w:ascii="Arial" w:hAnsi="Arial" w:cs="Arial"/>
          <w:i/>
        </w:rPr>
        <w:t xml:space="preserve"> and Another v Henke</w:t>
      </w:r>
      <w:r>
        <w:rPr>
          <w:rFonts w:ascii="Arial" w:hAnsi="Arial" w:cs="Arial"/>
        </w:rPr>
        <w:t xml:space="preserve"> 2012 (1) NR 370 (SC).</w:t>
      </w:r>
    </w:p>
  </w:footnote>
  <w:footnote w:id="2">
    <w:p w14:paraId="5CB7D0DE" w14:textId="77777777" w:rsidR="00190F2F" w:rsidRPr="00073060" w:rsidRDefault="00190F2F" w:rsidP="00073060">
      <w:pPr>
        <w:pStyle w:val="FootnoteText"/>
        <w:jc w:val="both"/>
        <w:rPr>
          <w:rFonts w:ascii="Arial" w:hAnsi="Arial" w:cs="Arial"/>
          <w:lang w:val="en-US"/>
        </w:rPr>
      </w:pPr>
      <w:r w:rsidRPr="00073060">
        <w:rPr>
          <w:rStyle w:val="FootnoteReference"/>
          <w:rFonts w:ascii="Arial" w:hAnsi="Arial" w:cs="Arial"/>
        </w:rPr>
        <w:footnoteRef/>
      </w:r>
      <w:r w:rsidRPr="00073060">
        <w:rPr>
          <w:rFonts w:ascii="Arial" w:hAnsi="Arial" w:cs="Arial"/>
        </w:rPr>
        <w:t xml:space="preserve"> </w:t>
      </w:r>
      <w:proofErr w:type="spellStart"/>
      <w:r w:rsidRPr="00073060">
        <w:rPr>
          <w:rFonts w:ascii="Arial" w:hAnsi="Arial" w:cs="Arial"/>
          <w:i/>
        </w:rPr>
        <w:t>Dannecker</w:t>
      </w:r>
      <w:proofErr w:type="spellEnd"/>
      <w:r w:rsidRPr="00073060">
        <w:rPr>
          <w:rFonts w:ascii="Arial" w:hAnsi="Arial" w:cs="Arial"/>
          <w:i/>
        </w:rPr>
        <w:t xml:space="preserve"> v Leopard Tours Car &amp; Camping Hire CC</w:t>
      </w:r>
      <w:r w:rsidRPr="00073060">
        <w:rPr>
          <w:rFonts w:ascii="Arial" w:hAnsi="Arial" w:cs="Arial"/>
        </w:rPr>
        <w:t xml:space="preserve"> [2015] NAHCMD 30 (20 February 2015).</w:t>
      </w:r>
    </w:p>
  </w:footnote>
  <w:footnote w:id="3">
    <w:p w14:paraId="12D4B648" w14:textId="77777777" w:rsidR="00190F2F" w:rsidRPr="00073060" w:rsidRDefault="00190F2F" w:rsidP="00073060">
      <w:pPr>
        <w:pStyle w:val="FootnoteText"/>
        <w:jc w:val="both"/>
        <w:rPr>
          <w:rFonts w:ascii="Arial" w:hAnsi="Arial" w:cs="Arial"/>
          <w:iCs/>
          <w:lang w:val="en-US"/>
        </w:rPr>
      </w:pPr>
      <w:r w:rsidRPr="00073060">
        <w:rPr>
          <w:rStyle w:val="FootnoteReference"/>
          <w:rFonts w:ascii="Arial" w:hAnsi="Arial" w:cs="Arial"/>
        </w:rPr>
        <w:footnoteRef/>
      </w:r>
      <w:r w:rsidRPr="00073060">
        <w:rPr>
          <w:rFonts w:ascii="Arial" w:hAnsi="Arial" w:cs="Arial"/>
        </w:rPr>
        <w:t xml:space="preserve"> </w:t>
      </w:r>
      <w:r w:rsidRPr="00073060">
        <w:rPr>
          <w:rFonts w:ascii="Arial" w:hAnsi="Arial" w:cs="Arial"/>
          <w:i/>
        </w:rPr>
        <w:t>Neon Lights (SA) Ltd</w:t>
      </w:r>
      <w:r w:rsidRPr="00073060">
        <w:rPr>
          <w:rFonts w:ascii="Arial" w:hAnsi="Arial" w:cs="Arial"/>
          <w:iCs/>
        </w:rPr>
        <w:t>, see para 2 above.</w:t>
      </w:r>
    </w:p>
  </w:footnote>
  <w:footnote w:id="4">
    <w:p w14:paraId="0561B5A3" w14:textId="77777777" w:rsidR="00190F2F" w:rsidRPr="00073060" w:rsidRDefault="00190F2F" w:rsidP="00073060">
      <w:pPr>
        <w:pStyle w:val="FootnoteText"/>
        <w:jc w:val="both"/>
        <w:rPr>
          <w:rFonts w:ascii="Arial" w:hAnsi="Arial" w:cs="Arial"/>
          <w:lang w:val="en-US"/>
        </w:rPr>
      </w:pPr>
      <w:r w:rsidRPr="00073060">
        <w:rPr>
          <w:rStyle w:val="FootnoteReference"/>
          <w:rFonts w:ascii="Arial" w:hAnsi="Arial" w:cs="Arial"/>
        </w:rPr>
        <w:footnoteRef/>
      </w:r>
      <w:proofErr w:type="spellStart"/>
      <w:r w:rsidRPr="00073060">
        <w:rPr>
          <w:rFonts w:ascii="Arial" w:hAnsi="Arial" w:cs="Arial"/>
          <w:i/>
        </w:rPr>
        <w:t>Bidoli</w:t>
      </w:r>
      <w:proofErr w:type="spellEnd"/>
      <w:r w:rsidRPr="00073060">
        <w:rPr>
          <w:rFonts w:ascii="Arial" w:hAnsi="Arial" w:cs="Arial"/>
          <w:i/>
        </w:rPr>
        <w:t xml:space="preserve"> v </w:t>
      </w:r>
      <w:proofErr w:type="spellStart"/>
      <w:r w:rsidRPr="00073060">
        <w:rPr>
          <w:rFonts w:ascii="Arial" w:hAnsi="Arial" w:cs="Arial"/>
          <w:i/>
        </w:rPr>
        <w:t>Ellistron</w:t>
      </w:r>
      <w:proofErr w:type="spellEnd"/>
      <w:r w:rsidRPr="00073060">
        <w:rPr>
          <w:rFonts w:ascii="Arial" w:hAnsi="Arial" w:cs="Arial"/>
          <w:i/>
        </w:rPr>
        <w:t xml:space="preserve"> t/</w:t>
      </w:r>
      <w:proofErr w:type="gramStart"/>
      <w:r w:rsidRPr="00073060">
        <w:rPr>
          <w:rFonts w:ascii="Arial" w:hAnsi="Arial" w:cs="Arial"/>
          <w:i/>
        </w:rPr>
        <w:t>a</w:t>
      </w:r>
      <w:proofErr w:type="gramEnd"/>
      <w:r w:rsidRPr="00073060">
        <w:rPr>
          <w:rFonts w:ascii="Arial" w:hAnsi="Arial" w:cs="Arial"/>
          <w:i/>
        </w:rPr>
        <w:t xml:space="preserve"> </w:t>
      </w:r>
      <w:proofErr w:type="spellStart"/>
      <w:r w:rsidRPr="00073060">
        <w:rPr>
          <w:rFonts w:ascii="Arial" w:hAnsi="Arial" w:cs="Arial"/>
          <w:i/>
        </w:rPr>
        <w:t>Ellistron</w:t>
      </w:r>
      <w:proofErr w:type="spellEnd"/>
      <w:r w:rsidRPr="00073060">
        <w:rPr>
          <w:rFonts w:ascii="Arial" w:hAnsi="Arial" w:cs="Arial"/>
          <w:i/>
        </w:rPr>
        <w:t xml:space="preserve"> Truck &amp; Plaint</w:t>
      </w:r>
      <w:r w:rsidRPr="00073060">
        <w:rPr>
          <w:rFonts w:ascii="Arial" w:hAnsi="Arial" w:cs="Arial"/>
        </w:rPr>
        <w:t xml:space="preserve"> 2002 NR 451 at 453G.</w:t>
      </w:r>
    </w:p>
  </w:footnote>
  <w:footnote w:id="5">
    <w:p w14:paraId="1081DAA7" w14:textId="0EBBC228" w:rsidR="00190F2F" w:rsidRPr="00073060" w:rsidRDefault="00190F2F" w:rsidP="00073060">
      <w:pPr>
        <w:pStyle w:val="FootnoteText"/>
        <w:jc w:val="both"/>
        <w:rPr>
          <w:rFonts w:ascii="Arial" w:hAnsi="Arial" w:cs="Arial"/>
          <w:lang w:val="en-US"/>
        </w:rPr>
      </w:pPr>
      <w:r w:rsidRPr="00073060">
        <w:rPr>
          <w:rStyle w:val="FootnoteReference"/>
          <w:rFonts w:ascii="Arial" w:hAnsi="Arial" w:cs="Arial"/>
        </w:rPr>
        <w:footnoteRef/>
      </w:r>
      <w:r w:rsidRPr="00073060">
        <w:rPr>
          <w:rFonts w:ascii="Arial" w:hAnsi="Arial" w:cs="Arial"/>
        </w:rPr>
        <w:t xml:space="preserve"> </w:t>
      </w:r>
      <w:r w:rsidRPr="00073060">
        <w:rPr>
          <w:rFonts w:ascii="Arial" w:hAnsi="Arial" w:cs="Arial"/>
          <w:i/>
          <w:iCs/>
          <w:lang w:val="en-US"/>
        </w:rPr>
        <w:t>Pill</w:t>
      </w:r>
      <w:r w:rsidR="00CC3CC7">
        <w:rPr>
          <w:rFonts w:ascii="Arial" w:hAnsi="Arial" w:cs="Arial"/>
          <w:i/>
          <w:iCs/>
          <w:lang w:val="en-US"/>
        </w:rPr>
        <w:t>a</w:t>
      </w:r>
      <w:r w:rsidRPr="00073060">
        <w:rPr>
          <w:rFonts w:ascii="Arial" w:hAnsi="Arial" w:cs="Arial"/>
          <w:i/>
          <w:iCs/>
          <w:lang w:val="en-US"/>
        </w:rPr>
        <w:t xml:space="preserve">y v Krishna and </w:t>
      </w:r>
      <w:proofErr w:type="gramStart"/>
      <w:r w:rsidRPr="00073060">
        <w:rPr>
          <w:rFonts w:ascii="Arial" w:hAnsi="Arial" w:cs="Arial"/>
          <w:i/>
          <w:iCs/>
          <w:lang w:val="en-US"/>
        </w:rPr>
        <w:t>Another</w:t>
      </w:r>
      <w:proofErr w:type="gramEnd"/>
      <w:r w:rsidRPr="00073060">
        <w:rPr>
          <w:rFonts w:ascii="Arial" w:hAnsi="Arial" w:cs="Arial"/>
          <w:lang w:val="en-US"/>
        </w:rPr>
        <w:t xml:space="preserve"> 1946 AD 946.</w:t>
      </w:r>
    </w:p>
  </w:footnote>
  <w:footnote w:id="6">
    <w:p w14:paraId="60ADE121" w14:textId="77777777" w:rsidR="00190F2F" w:rsidRPr="00073060" w:rsidRDefault="00190F2F" w:rsidP="00073060">
      <w:pPr>
        <w:pStyle w:val="FootnoteText"/>
        <w:jc w:val="both"/>
        <w:rPr>
          <w:rFonts w:ascii="Arial" w:hAnsi="Arial" w:cs="Arial"/>
          <w:lang w:val="en-US"/>
        </w:rPr>
      </w:pPr>
      <w:r w:rsidRPr="00073060">
        <w:rPr>
          <w:rStyle w:val="FootnoteReference"/>
          <w:rFonts w:ascii="Arial" w:hAnsi="Arial" w:cs="Arial"/>
        </w:rPr>
        <w:footnoteRef/>
      </w:r>
      <w:r w:rsidRPr="00073060">
        <w:rPr>
          <w:rFonts w:ascii="Arial" w:hAnsi="Arial" w:cs="Arial"/>
        </w:rPr>
        <w:t xml:space="preserve"> </w:t>
      </w:r>
      <w:proofErr w:type="spellStart"/>
      <w:r w:rsidRPr="00073060">
        <w:rPr>
          <w:rFonts w:ascii="Arial" w:hAnsi="Arial" w:cs="Arial"/>
          <w:i/>
          <w:iCs/>
          <w:lang w:val="en-US"/>
        </w:rPr>
        <w:t>Stier</w:t>
      </w:r>
      <w:proofErr w:type="spellEnd"/>
      <w:r w:rsidRPr="00073060">
        <w:rPr>
          <w:rFonts w:ascii="Arial" w:hAnsi="Arial" w:cs="Arial"/>
          <w:i/>
          <w:iCs/>
          <w:lang w:val="en-US"/>
        </w:rPr>
        <w:t xml:space="preserve"> and Another v Henke</w:t>
      </w:r>
      <w:r w:rsidRPr="00073060">
        <w:rPr>
          <w:rFonts w:ascii="Arial" w:hAnsi="Arial" w:cs="Arial"/>
          <w:lang w:val="en-US"/>
        </w:rPr>
        <w:t xml:space="preserve"> (SO) footnote 1.</w:t>
      </w:r>
    </w:p>
  </w:footnote>
  <w:footnote w:id="7">
    <w:p w14:paraId="09A28C21" w14:textId="77777777" w:rsidR="00190F2F" w:rsidRPr="00073060" w:rsidRDefault="00190F2F" w:rsidP="00073060">
      <w:pPr>
        <w:pStyle w:val="FootnoteText"/>
        <w:jc w:val="both"/>
        <w:rPr>
          <w:rFonts w:ascii="Arial" w:hAnsi="Arial" w:cs="Arial"/>
          <w:lang w:val="en-US"/>
        </w:rPr>
      </w:pPr>
      <w:r w:rsidRPr="00073060">
        <w:rPr>
          <w:rStyle w:val="FootnoteReference"/>
          <w:rFonts w:ascii="Arial" w:hAnsi="Arial" w:cs="Arial"/>
        </w:rPr>
        <w:footnoteRef/>
      </w:r>
      <w:r w:rsidRPr="00073060">
        <w:rPr>
          <w:rFonts w:ascii="Arial" w:hAnsi="Arial" w:cs="Arial"/>
        </w:rPr>
        <w:t xml:space="preserve"> Dale Hutchinson (Ed) and Chris-James Pretorius (Ed) </w:t>
      </w:r>
      <w:r w:rsidRPr="00073060">
        <w:rPr>
          <w:rFonts w:ascii="Arial" w:hAnsi="Arial" w:cs="Arial"/>
          <w:i/>
          <w:iCs/>
        </w:rPr>
        <w:t>The Law of Contract in South Africa</w:t>
      </w:r>
      <w:r w:rsidRPr="00073060">
        <w:rPr>
          <w:rFonts w:ascii="Arial" w:hAnsi="Arial" w:cs="Arial"/>
        </w:rPr>
        <w:t xml:space="preserve"> 2 </w:t>
      </w:r>
      <w:proofErr w:type="spellStart"/>
      <w:proofErr w:type="gramStart"/>
      <w:r w:rsidRPr="00073060">
        <w:rPr>
          <w:rFonts w:ascii="Arial" w:hAnsi="Arial" w:cs="Arial"/>
        </w:rPr>
        <w:t>ed</w:t>
      </w:r>
      <w:proofErr w:type="spellEnd"/>
      <w:proofErr w:type="gramEnd"/>
      <w:r w:rsidRPr="00073060">
        <w:rPr>
          <w:rFonts w:ascii="Arial" w:hAnsi="Arial" w:cs="Arial"/>
        </w:rPr>
        <w:t xml:space="preserve"> (2014) at 6.</w:t>
      </w:r>
    </w:p>
  </w:footnote>
  <w:footnote w:id="8">
    <w:p w14:paraId="3BE678FF" w14:textId="77777777" w:rsidR="00190F2F" w:rsidRPr="00073060" w:rsidRDefault="00190F2F" w:rsidP="00073060">
      <w:pPr>
        <w:pStyle w:val="FootnoteText"/>
        <w:jc w:val="both"/>
        <w:rPr>
          <w:rFonts w:ascii="Arial" w:hAnsi="Arial" w:cs="Arial"/>
          <w:lang w:val="en-US"/>
        </w:rPr>
      </w:pPr>
      <w:r w:rsidRPr="00073060">
        <w:rPr>
          <w:rStyle w:val="FootnoteReference"/>
          <w:rFonts w:ascii="Arial" w:hAnsi="Arial" w:cs="Arial"/>
        </w:rPr>
        <w:footnoteRef/>
      </w:r>
      <w:r w:rsidRPr="00073060">
        <w:rPr>
          <w:rFonts w:ascii="Arial" w:hAnsi="Arial" w:cs="Arial"/>
        </w:rPr>
        <w:t xml:space="preserve"> </w:t>
      </w:r>
      <w:r w:rsidRPr="00073060">
        <w:rPr>
          <w:rFonts w:ascii="Arial" w:hAnsi="Arial" w:cs="Arial"/>
          <w:lang w:val="en-US"/>
        </w:rPr>
        <w:t xml:space="preserve">RH Christie </w:t>
      </w:r>
      <w:proofErr w:type="gramStart"/>
      <w:r w:rsidRPr="00073060">
        <w:rPr>
          <w:rFonts w:ascii="Arial" w:hAnsi="Arial" w:cs="Arial"/>
          <w:i/>
          <w:iCs/>
          <w:lang w:val="en-US"/>
        </w:rPr>
        <w:t>The</w:t>
      </w:r>
      <w:proofErr w:type="gramEnd"/>
      <w:r w:rsidRPr="00073060">
        <w:rPr>
          <w:rFonts w:ascii="Arial" w:hAnsi="Arial" w:cs="Arial"/>
          <w:i/>
          <w:iCs/>
          <w:lang w:val="en-US"/>
        </w:rPr>
        <w:t xml:space="preserve"> Law of Contract in South Africa</w:t>
      </w:r>
      <w:r w:rsidRPr="00073060">
        <w:rPr>
          <w:rFonts w:ascii="Arial" w:hAnsi="Arial" w:cs="Arial"/>
          <w:lang w:val="en-US"/>
        </w:rPr>
        <w:t xml:space="preserve"> 3 </w:t>
      </w:r>
      <w:proofErr w:type="spellStart"/>
      <w:r w:rsidRPr="00073060">
        <w:rPr>
          <w:rFonts w:ascii="Arial" w:hAnsi="Arial" w:cs="Arial"/>
          <w:lang w:val="en-US"/>
        </w:rPr>
        <w:t>ed</w:t>
      </w:r>
      <w:proofErr w:type="spellEnd"/>
      <w:r w:rsidRPr="00073060">
        <w:rPr>
          <w:rFonts w:ascii="Arial" w:hAnsi="Arial" w:cs="Arial"/>
          <w:lang w:val="en-US"/>
        </w:rPr>
        <w:t xml:space="preserve"> (1996) at 21.</w:t>
      </w:r>
    </w:p>
  </w:footnote>
  <w:footnote w:id="9">
    <w:p w14:paraId="13BCB285" w14:textId="77777777" w:rsidR="00190F2F" w:rsidRPr="00073060" w:rsidRDefault="00190F2F" w:rsidP="00073060">
      <w:pPr>
        <w:pStyle w:val="FootnoteText"/>
        <w:jc w:val="both"/>
        <w:rPr>
          <w:rFonts w:ascii="Arial" w:hAnsi="Arial" w:cs="Arial"/>
          <w:lang w:val="en-US"/>
        </w:rPr>
      </w:pPr>
      <w:r w:rsidRPr="00073060">
        <w:rPr>
          <w:rStyle w:val="FootnoteReference"/>
          <w:rFonts w:ascii="Arial" w:hAnsi="Arial" w:cs="Arial"/>
        </w:rPr>
        <w:footnoteRef/>
      </w:r>
      <w:r w:rsidRPr="00073060">
        <w:rPr>
          <w:rFonts w:ascii="Arial" w:hAnsi="Arial" w:cs="Arial"/>
        </w:rPr>
        <w:t xml:space="preserve"> </w:t>
      </w:r>
      <w:proofErr w:type="spellStart"/>
      <w:r w:rsidRPr="00073060">
        <w:rPr>
          <w:rFonts w:ascii="Arial" w:hAnsi="Arial" w:cs="Arial"/>
          <w:i/>
          <w:iCs/>
          <w:lang w:val="en-US"/>
        </w:rPr>
        <w:t>Stier</w:t>
      </w:r>
      <w:proofErr w:type="spellEnd"/>
      <w:r w:rsidRPr="00073060">
        <w:rPr>
          <w:rFonts w:ascii="Arial" w:hAnsi="Arial" w:cs="Arial"/>
          <w:i/>
          <w:iCs/>
          <w:lang w:val="en-US"/>
        </w:rPr>
        <w:t xml:space="preserve"> and Another v Henke</w:t>
      </w:r>
      <w:r w:rsidRPr="00073060">
        <w:rPr>
          <w:rFonts w:ascii="Arial" w:hAnsi="Arial" w:cs="Arial"/>
          <w:lang w:val="en-US"/>
        </w:rPr>
        <w:t xml:space="preserve"> footnote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192EDB">
          <w:rPr>
            <w:rFonts w:ascii="Arial" w:hAnsi="Arial" w:cs="Arial"/>
            <w:noProof/>
            <w:sz w:val="24"/>
            <w:szCs w:val="24"/>
          </w:rPr>
          <w:t>5</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10F70B4F"/>
    <w:multiLevelType w:val="hybridMultilevel"/>
    <w:tmpl w:val="E9FE71E0"/>
    <w:lvl w:ilvl="0" w:tplc="330488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61D5"/>
    <w:multiLevelType w:val="hybridMultilevel"/>
    <w:tmpl w:val="E5E4DE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0"/>
  </w:num>
  <w:num w:numId="3">
    <w:abstractNumId w:val="8"/>
  </w:num>
  <w:num w:numId="4">
    <w:abstractNumId w:val="2"/>
  </w:num>
  <w:num w:numId="5">
    <w:abstractNumId w:val="1"/>
  </w:num>
  <w:num w:numId="6">
    <w:abstractNumId w:val="7"/>
  </w:num>
  <w:num w:numId="7">
    <w:abstractNumId w:val="6"/>
  </w:num>
  <w:num w:numId="8">
    <w:abstractNumId w:val="13"/>
  </w:num>
  <w:num w:numId="9">
    <w:abstractNumId w:val="5"/>
  </w:num>
  <w:num w:numId="10">
    <w:abstractNumId w:val="3"/>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43914"/>
    <w:rsid w:val="00052806"/>
    <w:rsid w:val="00053646"/>
    <w:rsid w:val="0006006E"/>
    <w:rsid w:val="000650A0"/>
    <w:rsid w:val="00071E6A"/>
    <w:rsid w:val="00073060"/>
    <w:rsid w:val="000929C5"/>
    <w:rsid w:val="000A3558"/>
    <w:rsid w:val="000A6E7F"/>
    <w:rsid w:val="000B297E"/>
    <w:rsid w:val="000D1E23"/>
    <w:rsid w:val="000E7C99"/>
    <w:rsid w:val="000F2FD9"/>
    <w:rsid w:val="000F39A3"/>
    <w:rsid w:val="000F681E"/>
    <w:rsid w:val="00116AFB"/>
    <w:rsid w:val="00117280"/>
    <w:rsid w:val="001223B7"/>
    <w:rsid w:val="00124C63"/>
    <w:rsid w:val="00130339"/>
    <w:rsid w:val="00136505"/>
    <w:rsid w:val="00144967"/>
    <w:rsid w:val="00152FEA"/>
    <w:rsid w:val="00153ED0"/>
    <w:rsid w:val="00157447"/>
    <w:rsid w:val="0018718C"/>
    <w:rsid w:val="00190F2F"/>
    <w:rsid w:val="00192EDB"/>
    <w:rsid w:val="001B3825"/>
    <w:rsid w:val="001C33C5"/>
    <w:rsid w:val="001E097B"/>
    <w:rsid w:val="001E192B"/>
    <w:rsid w:val="001E2A2D"/>
    <w:rsid w:val="00217744"/>
    <w:rsid w:val="00224808"/>
    <w:rsid w:val="002317B0"/>
    <w:rsid w:val="0023549A"/>
    <w:rsid w:val="00240216"/>
    <w:rsid w:val="0024214E"/>
    <w:rsid w:val="002536EA"/>
    <w:rsid w:val="00276736"/>
    <w:rsid w:val="002863C2"/>
    <w:rsid w:val="00291C0F"/>
    <w:rsid w:val="002A4AA3"/>
    <w:rsid w:val="002B38E0"/>
    <w:rsid w:val="002C1EF6"/>
    <w:rsid w:val="002D20C5"/>
    <w:rsid w:val="002D407B"/>
    <w:rsid w:val="002E738E"/>
    <w:rsid w:val="002F06E3"/>
    <w:rsid w:val="00301CC7"/>
    <w:rsid w:val="00302F62"/>
    <w:rsid w:val="0030757C"/>
    <w:rsid w:val="00311DE0"/>
    <w:rsid w:val="0031523D"/>
    <w:rsid w:val="00322F39"/>
    <w:rsid w:val="00323AAF"/>
    <w:rsid w:val="00323E22"/>
    <w:rsid w:val="00340EA6"/>
    <w:rsid w:val="00371A8B"/>
    <w:rsid w:val="00371B8F"/>
    <w:rsid w:val="0038382D"/>
    <w:rsid w:val="003A18AD"/>
    <w:rsid w:val="003B03B0"/>
    <w:rsid w:val="003C2574"/>
    <w:rsid w:val="003D165C"/>
    <w:rsid w:val="003D3059"/>
    <w:rsid w:val="00404B70"/>
    <w:rsid w:val="00412278"/>
    <w:rsid w:val="00415F4F"/>
    <w:rsid w:val="00426C60"/>
    <w:rsid w:val="00431A65"/>
    <w:rsid w:val="004352E5"/>
    <w:rsid w:val="004358E2"/>
    <w:rsid w:val="00436B1E"/>
    <w:rsid w:val="00436C2B"/>
    <w:rsid w:val="004416D0"/>
    <w:rsid w:val="004609C6"/>
    <w:rsid w:val="00463486"/>
    <w:rsid w:val="004665B1"/>
    <w:rsid w:val="00466B36"/>
    <w:rsid w:val="00472769"/>
    <w:rsid w:val="00474C2A"/>
    <w:rsid w:val="00475B7A"/>
    <w:rsid w:val="004802FB"/>
    <w:rsid w:val="00490505"/>
    <w:rsid w:val="004907E4"/>
    <w:rsid w:val="004936A7"/>
    <w:rsid w:val="004A2D48"/>
    <w:rsid w:val="004A5618"/>
    <w:rsid w:val="004B6FA1"/>
    <w:rsid w:val="004C646F"/>
    <w:rsid w:val="004D7D3B"/>
    <w:rsid w:val="004E3BFB"/>
    <w:rsid w:val="004E6D2F"/>
    <w:rsid w:val="00503F36"/>
    <w:rsid w:val="00512AB9"/>
    <w:rsid w:val="0052116D"/>
    <w:rsid w:val="00523D75"/>
    <w:rsid w:val="00535F29"/>
    <w:rsid w:val="00536EFF"/>
    <w:rsid w:val="005629DA"/>
    <w:rsid w:val="00580446"/>
    <w:rsid w:val="00591DC6"/>
    <w:rsid w:val="00594F6C"/>
    <w:rsid w:val="005A0EBD"/>
    <w:rsid w:val="005A4D90"/>
    <w:rsid w:val="005B62A0"/>
    <w:rsid w:val="005B7449"/>
    <w:rsid w:val="005C0E24"/>
    <w:rsid w:val="005C21D7"/>
    <w:rsid w:val="005C3354"/>
    <w:rsid w:val="005C4157"/>
    <w:rsid w:val="005D6452"/>
    <w:rsid w:val="005E2DC4"/>
    <w:rsid w:val="005F325C"/>
    <w:rsid w:val="005F32EB"/>
    <w:rsid w:val="00610BF1"/>
    <w:rsid w:val="006115E2"/>
    <w:rsid w:val="0061537D"/>
    <w:rsid w:val="00672C76"/>
    <w:rsid w:val="00695745"/>
    <w:rsid w:val="006976D9"/>
    <w:rsid w:val="006A0BA4"/>
    <w:rsid w:val="006A1E08"/>
    <w:rsid w:val="006B5854"/>
    <w:rsid w:val="006B7521"/>
    <w:rsid w:val="006D0991"/>
    <w:rsid w:val="006D69E7"/>
    <w:rsid w:val="006D7450"/>
    <w:rsid w:val="006E0FD4"/>
    <w:rsid w:val="006F07B3"/>
    <w:rsid w:val="00700B1F"/>
    <w:rsid w:val="00702C62"/>
    <w:rsid w:val="00703171"/>
    <w:rsid w:val="00736DA4"/>
    <w:rsid w:val="007448FE"/>
    <w:rsid w:val="00746C0C"/>
    <w:rsid w:val="007600DB"/>
    <w:rsid w:val="00761F13"/>
    <w:rsid w:val="00766C68"/>
    <w:rsid w:val="0078274D"/>
    <w:rsid w:val="007853D8"/>
    <w:rsid w:val="007950C8"/>
    <w:rsid w:val="007979CA"/>
    <w:rsid w:val="007D0792"/>
    <w:rsid w:val="007D6C74"/>
    <w:rsid w:val="007E19C1"/>
    <w:rsid w:val="007E373A"/>
    <w:rsid w:val="007E43B6"/>
    <w:rsid w:val="007F564C"/>
    <w:rsid w:val="007F68C4"/>
    <w:rsid w:val="008006A3"/>
    <w:rsid w:val="00806C6B"/>
    <w:rsid w:val="00812409"/>
    <w:rsid w:val="00816D5D"/>
    <w:rsid w:val="00821A0C"/>
    <w:rsid w:val="008275AC"/>
    <w:rsid w:val="00835300"/>
    <w:rsid w:val="0087368D"/>
    <w:rsid w:val="00882F73"/>
    <w:rsid w:val="00883210"/>
    <w:rsid w:val="00890A20"/>
    <w:rsid w:val="00892D9A"/>
    <w:rsid w:val="008A1447"/>
    <w:rsid w:val="008B5D68"/>
    <w:rsid w:val="008B6223"/>
    <w:rsid w:val="008C2200"/>
    <w:rsid w:val="008D54B2"/>
    <w:rsid w:val="008E0730"/>
    <w:rsid w:val="008F59A0"/>
    <w:rsid w:val="00925D6E"/>
    <w:rsid w:val="009279BE"/>
    <w:rsid w:val="00933875"/>
    <w:rsid w:val="00937C89"/>
    <w:rsid w:val="009661E4"/>
    <w:rsid w:val="009733A9"/>
    <w:rsid w:val="009919F6"/>
    <w:rsid w:val="00997C11"/>
    <w:rsid w:val="009A5AD1"/>
    <w:rsid w:val="009A7A59"/>
    <w:rsid w:val="009B41E2"/>
    <w:rsid w:val="009C3275"/>
    <w:rsid w:val="009C35C9"/>
    <w:rsid w:val="009C6F3F"/>
    <w:rsid w:val="009D27E8"/>
    <w:rsid w:val="00A05FE8"/>
    <w:rsid w:val="00A10E40"/>
    <w:rsid w:val="00A13C7B"/>
    <w:rsid w:val="00A15CD1"/>
    <w:rsid w:val="00A22E0F"/>
    <w:rsid w:val="00A2391E"/>
    <w:rsid w:val="00A26B7B"/>
    <w:rsid w:val="00A3327E"/>
    <w:rsid w:val="00A50F13"/>
    <w:rsid w:val="00A66511"/>
    <w:rsid w:val="00A75ED6"/>
    <w:rsid w:val="00A85792"/>
    <w:rsid w:val="00A90F3E"/>
    <w:rsid w:val="00A9498C"/>
    <w:rsid w:val="00AA2EFA"/>
    <w:rsid w:val="00AA3ECB"/>
    <w:rsid w:val="00AD72DD"/>
    <w:rsid w:val="00B01B6C"/>
    <w:rsid w:val="00B119D6"/>
    <w:rsid w:val="00B121EA"/>
    <w:rsid w:val="00B32493"/>
    <w:rsid w:val="00B36EB8"/>
    <w:rsid w:val="00B40844"/>
    <w:rsid w:val="00B47800"/>
    <w:rsid w:val="00B50C99"/>
    <w:rsid w:val="00B56E34"/>
    <w:rsid w:val="00B5737E"/>
    <w:rsid w:val="00B61AC7"/>
    <w:rsid w:val="00B62F2B"/>
    <w:rsid w:val="00B808CB"/>
    <w:rsid w:val="00B845CF"/>
    <w:rsid w:val="00B92DE7"/>
    <w:rsid w:val="00B9407E"/>
    <w:rsid w:val="00BA2C89"/>
    <w:rsid w:val="00BA4C8B"/>
    <w:rsid w:val="00BB13F4"/>
    <w:rsid w:val="00BB3273"/>
    <w:rsid w:val="00BB3D8B"/>
    <w:rsid w:val="00BC5931"/>
    <w:rsid w:val="00BE31AD"/>
    <w:rsid w:val="00BF44EC"/>
    <w:rsid w:val="00C04F28"/>
    <w:rsid w:val="00C06EB4"/>
    <w:rsid w:val="00C2633E"/>
    <w:rsid w:val="00C3225B"/>
    <w:rsid w:val="00C47E3A"/>
    <w:rsid w:val="00C73D5D"/>
    <w:rsid w:val="00C76BDC"/>
    <w:rsid w:val="00CA7995"/>
    <w:rsid w:val="00CB1183"/>
    <w:rsid w:val="00CC3CC7"/>
    <w:rsid w:val="00CC7431"/>
    <w:rsid w:val="00CD62C0"/>
    <w:rsid w:val="00CE4631"/>
    <w:rsid w:val="00D04B6F"/>
    <w:rsid w:val="00D113DD"/>
    <w:rsid w:val="00D24453"/>
    <w:rsid w:val="00D25285"/>
    <w:rsid w:val="00D30D4D"/>
    <w:rsid w:val="00D32F8E"/>
    <w:rsid w:val="00D37DAA"/>
    <w:rsid w:val="00D5070E"/>
    <w:rsid w:val="00D547B6"/>
    <w:rsid w:val="00D6224D"/>
    <w:rsid w:val="00D64884"/>
    <w:rsid w:val="00D80947"/>
    <w:rsid w:val="00D960EA"/>
    <w:rsid w:val="00D965B8"/>
    <w:rsid w:val="00DA2283"/>
    <w:rsid w:val="00DA3668"/>
    <w:rsid w:val="00DB5AA2"/>
    <w:rsid w:val="00DD76E7"/>
    <w:rsid w:val="00E0573A"/>
    <w:rsid w:val="00E221FD"/>
    <w:rsid w:val="00E26A8B"/>
    <w:rsid w:val="00E41BE5"/>
    <w:rsid w:val="00E4469F"/>
    <w:rsid w:val="00E452F4"/>
    <w:rsid w:val="00E533BE"/>
    <w:rsid w:val="00E5361F"/>
    <w:rsid w:val="00E55FBE"/>
    <w:rsid w:val="00E62DB3"/>
    <w:rsid w:val="00E911FB"/>
    <w:rsid w:val="00E96F9E"/>
    <w:rsid w:val="00EA2DE2"/>
    <w:rsid w:val="00EB1AE0"/>
    <w:rsid w:val="00EC1776"/>
    <w:rsid w:val="00EC7A7D"/>
    <w:rsid w:val="00ED2C7B"/>
    <w:rsid w:val="00ED5B76"/>
    <w:rsid w:val="00ED7008"/>
    <w:rsid w:val="00ED76B2"/>
    <w:rsid w:val="00EF184A"/>
    <w:rsid w:val="00EF2FFD"/>
    <w:rsid w:val="00F0235A"/>
    <w:rsid w:val="00F05CAB"/>
    <w:rsid w:val="00F0783D"/>
    <w:rsid w:val="00F11C19"/>
    <w:rsid w:val="00F146F6"/>
    <w:rsid w:val="00F21EDB"/>
    <w:rsid w:val="00F3779B"/>
    <w:rsid w:val="00F4726A"/>
    <w:rsid w:val="00F47A1E"/>
    <w:rsid w:val="00F62189"/>
    <w:rsid w:val="00F65529"/>
    <w:rsid w:val="00F65903"/>
    <w:rsid w:val="00F72231"/>
    <w:rsid w:val="00F7691A"/>
    <w:rsid w:val="00F82EDF"/>
    <w:rsid w:val="00F84868"/>
    <w:rsid w:val="00F92D04"/>
    <w:rsid w:val="00FB27BC"/>
    <w:rsid w:val="00FB2E9E"/>
    <w:rsid w:val="00FB3A08"/>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190F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2023-09-26T18:30:00+00:00</Judgment_x0020_Date>
    <Year xmlns="c1afb1bd-f2fb-40fd-9abb-aea55b4d7662">2023</Year>
  </documentManagement>
</p:properties>
</file>

<file path=customXml/itemProps1.xml><?xml version="1.0" encoding="utf-8"?>
<ds:datastoreItem xmlns:ds="http://schemas.openxmlformats.org/officeDocument/2006/customXml" ds:itemID="{A8F6A4E6-26D8-42BF-8B47-FF38F5D5BFAB}"/>
</file>

<file path=customXml/itemProps2.xml><?xml version="1.0" encoding="utf-8"?>
<ds:datastoreItem xmlns:ds="http://schemas.openxmlformats.org/officeDocument/2006/customXml" ds:itemID="{136C4891-54F7-4C9D-BBB8-6BFC59D93FEB}"/>
</file>

<file path=customXml/itemProps3.xml><?xml version="1.0" encoding="utf-8"?>
<ds:datastoreItem xmlns:ds="http://schemas.openxmlformats.org/officeDocument/2006/customXml" ds:itemID="{F2B6D8A8-C0F5-4B3A-851D-44B69FD08F0B}"/>
</file>

<file path=customXml/itemProps4.xml><?xml version="1.0" encoding="utf-8"?>
<ds:datastoreItem xmlns:ds="http://schemas.openxmlformats.org/officeDocument/2006/customXml" ds:itemID="{0E2BFAE8-6E1D-4103-9B58-1BBCB0B4086A}"/>
</file>

<file path=docProps/app.xml><?xml version="1.0" encoding="utf-8"?>
<Properties xmlns="http://schemas.openxmlformats.org/officeDocument/2006/extended-properties" xmlns:vt="http://schemas.openxmlformats.org/officeDocument/2006/docPropsVTypes">
  <Template>Normal</Template>
  <TotalTime>80</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Fishing Company (Pty) Ltd v Dumeni (HC-MD-CIV-ACT-CON-2021-00191) [2023] NAHCMD 599 (27 September 2023)</dc:title>
  <dc:subject/>
  <dc:creator>shomany keister</dc:creator>
  <cp:keywords/>
  <dc:description/>
  <cp:lastModifiedBy>Lusia Simon</cp:lastModifiedBy>
  <cp:revision>19</cp:revision>
  <cp:lastPrinted>2023-09-26T13:19:00Z</cp:lastPrinted>
  <dcterms:created xsi:type="dcterms:W3CDTF">2023-09-14T14:31:00Z</dcterms:created>
  <dcterms:modified xsi:type="dcterms:W3CDTF">2023-09-26T13:23:00Z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