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4D3" w14:textId="1B413A0B" w:rsidR="00853524" w:rsidRPr="00F5062D" w:rsidRDefault="00853524" w:rsidP="00C036D4">
      <w:pPr>
        <w:jc w:val="center"/>
        <w:rPr>
          <w:b/>
        </w:rPr>
      </w:pPr>
      <w:r w:rsidRPr="00F5062D">
        <w:rPr>
          <w:b/>
        </w:rPr>
        <w:t>REPUBLIC OF NAMIBIA</w:t>
      </w:r>
    </w:p>
    <w:p w14:paraId="4D884DEA" w14:textId="05633A06" w:rsidR="00853524" w:rsidRPr="00F5062D" w:rsidRDefault="00853524" w:rsidP="00C036D4">
      <w:pPr>
        <w:jc w:val="center"/>
        <w:rPr>
          <w:b/>
        </w:rPr>
      </w:pPr>
      <w:r w:rsidRPr="00F5062D">
        <w:rPr>
          <w:b/>
          <w:noProof/>
          <w:lang w:eastAsia="en-ZA"/>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r w:rsidR="00920F28" w:rsidRPr="00F5062D">
        <w:rPr>
          <w:b/>
        </w:rPr>
        <w:t xml:space="preserve"> </w:t>
      </w:r>
    </w:p>
    <w:p w14:paraId="2D9FABC1" w14:textId="27B3BFDA" w:rsidR="008F20D3" w:rsidRPr="00F5062D" w:rsidRDefault="008F20D3" w:rsidP="00C036D4">
      <w:pPr>
        <w:jc w:val="center"/>
        <w:rPr>
          <w:b/>
        </w:rPr>
      </w:pPr>
      <w:r w:rsidRPr="00F5062D">
        <w:rPr>
          <w:b/>
        </w:rPr>
        <w:t xml:space="preserve">IN THE </w:t>
      </w:r>
      <w:r w:rsidR="0013112C" w:rsidRPr="00F5062D">
        <w:rPr>
          <w:b/>
        </w:rPr>
        <w:t xml:space="preserve">HIGH COURT OF NAMIBIA </w:t>
      </w:r>
    </w:p>
    <w:p w14:paraId="0121DDEF" w14:textId="186E6CBE" w:rsidR="00853524" w:rsidRPr="00F5062D" w:rsidRDefault="008F20D3" w:rsidP="00C036D4">
      <w:pPr>
        <w:jc w:val="center"/>
        <w:rPr>
          <w:b/>
        </w:rPr>
      </w:pPr>
      <w:r w:rsidRPr="00F5062D">
        <w:rPr>
          <w:b/>
        </w:rPr>
        <w:t>(MAIN DIVISION)</w:t>
      </w:r>
      <w:r w:rsidR="000979DC">
        <w:rPr>
          <w:b/>
        </w:rPr>
        <w:t>, WINDHOEK</w:t>
      </w:r>
    </w:p>
    <w:p w14:paraId="08B88304" w14:textId="77777777" w:rsidR="00A07B0C" w:rsidRPr="00F5062D" w:rsidRDefault="00A07B0C" w:rsidP="00756A35">
      <w:pPr>
        <w:spacing w:line="240" w:lineRule="auto"/>
        <w:jc w:val="center"/>
        <w:rPr>
          <w:bCs/>
        </w:rPr>
      </w:pPr>
    </w:p>
    <w:p w14:paraId="0B4BB7B9" w14:textId="1AA3137A" w:rsidR="00853524" w:rsidRPr="00F5062D" w:rsidRDefault="008F20D3" w:rsidP="00C036D4">
      <w:pPr>
        <w:jc w:val="center"/>
        <w:rPr>
          <w:b/>
        </w:rPr>
      </w:pPr>
      <w:r w:rsidRPr="00F5062D">
        <w:rPr>
          <w:b/>
        </w:rPr>
        <w:t xml:space="preserve">EX TEMPORE RULING </w:t>
      </w:r>
    </w:p>
    <w:p w14:paraId="4AB5AAC2" w14:textId="77777777" w:rsidR="00140A9D" w:rsidRPr="00F5062D" w:rsidRDefault="00140A9D" w:rsidP="00F5062D">
      <w:pPr>
        <w:spacing w:line="240" w:lineRule="auto"/>
        <w:jc w:val="center"/>
        <w:rPr>
          <w:b/>
        </w:rPr>
      </w:pPr>
    </w:p>
    <w:p w14:paraId="656267F7" w14:textId="4FFAD081" w:rsidR="00853524" w:rsidRPr="00F5062D" w:rsidRDefault="005610BF" w:rsidP="00C036D4">
      <w:pPr>
        <w:jc w:val="right"/>
        <w:rPr>
          <w:bCs/>
        </w:rPr>
      </w:pPr>
      <w:r w:rsidRPr="00F5062D">
        <w:t xml:space="preserve">             Case No.: </w:t>
      </w:r>
      <w:r w:rsidR="0013112C" w:rsidRPr="00F5062D">
        <w:rPr>
          <w:bCs/>
        </w:rPr>
        <w:t>HC-MD-</w:t>
      </w:r>
      <w:r w:rsidR="008F20D3" w:rsidRPr="00F5062D">
        <w:rPr>
          <w:bCs/>
        </w:rPr>
        <w:t>CIV-MOT-GEN-</w:t>
      </w:r>
      <w:r w:rsidR="0013112C" w:rsidRPr="00F5062D">
        <w:rPr>
          <w:bCs/>
        </w:rPr>
        <w:t>202</w:t>
      </w:r>
      <w:r w:rsidR="008F20D3" w:rsidRPr="00F5062D">
        <w:rPr>
          <w:bCs/>
        </w:rPr>
        <w:t>0/00373</w:t>
      </w:r>
    </w:p>
    <w:p w14:paraId="0B3B6951" w14:textId="77777777" w:rsidR="00853524" w:rsidRPr="00F5062D" w:rsidRDefault="00853524" w:rsidP="00F5062D">
      <w:pPr>
        <w:spacing w:line="240" w:lineRule="auto"/>
      </w:pPr>
    </w:p>
    <w:p w14:paraId="01440233" w14:textId="77777777" w:rsidR="00853524" w:rsidRPr="00F5062D" w:rsidRDefault="00853524" w:rsidP="00C036D4">
      <w:r w:rsidRPr="00F5062D">
        <w:t>In the matter between:</w:t>
      </w:r>
    </w:p>
    <w:p w14:paraId="291513BA" w14:textId="77777777" w:rsidR="00853524" w:rsidRPr="00F5062D" w:rsidRDefault="00853524" w:rsidP="00F5062D">
      <w:pPr>
        <w:spacing w:line="240" w:lineRule="auto"/>
      </w:pPr>
    </w:p>
    <w:p w14:paraId="28A29F10" w14:textId="34D46A9C" w:rsidR="00853524" w:rsidRPr="00F5062D" w:rsidRDefault="008F20D3" w:rsidP="00C036D4">
      <w:pPr>
        <w:pStyle w:val="Heading4"/>
        <w:numPr>
          <w:ilvl w:val="0"/>
          <w:numId w:val="0"/>
        </w:numPr>
        <w:rPr>
          <w:b/>
        </w:rPr>
      </w:pPr>
      <w:r w:rsidRPr="00F5062D">
        <w:rPr>
          <w:b/>
        </w:rPr>
        <w:t>ROBERT DOUTGAL WIRTZ</w:t>
      </w:r>
      <w:r w:rsidR="005226D1" w:rsidRPr="00F5062D">
        <w:rPr>
          <w:b/>
        </w:rPr>
        <w:tab/>
      </w:r>
      <w:r w:rsidR="005226D1" w:rsidRPr="00F5062D">
        <w:rPr>
          <w:b/>
        </w:rPr>
        <w:tab/>
      </w:r>
      <w:r w:rsidR="005226D1" w:rsidRPr="00F5062D">
        <w:rPr>
          <w:b/>
        </w:rPr>
        <w:tab/>
      </w:r>
      <w:r w:rsidR="005226D1" w:rsidRPr="00F5062D">
        <w:rPr>
          <w:b/>
        </w:rPr>
        <w:tab/>
        <w:t xml:space="preserve">       </w:t>
      </w:r>
      <w:r w:rsidRPr="00F5062D">
        <w:rPr>
          <w:b/>
        </w:rPr>
        <w:t xml:space="preserve">FIRST </w:t>
      </w:r>
      <w:r w:rsidR="0013112C" w:rsidRPr="00F5062D">
        <w:rPr>
          <w:b/>
        </w:rPr>
        <w:t>APPLICANT</w:t>
      </w:r>
    </w:p>
    <w:p w14:paraId="3BE31445" w14:textId="1E283222" w:rsidR="008F20D3" w:rsidRPr="00F5062D" w:rsidRDefault="008F20D3" w:rsidP="008F20D3">
      <w:pPr>
        <w:rPr>
          <w:b/>
          <w:bCs/>
        </w:rPr>
      </w:pPr>
      <w:r w:rsidRPr="00F5062D">
        <w:rPr>
          <w:b/>
          <w:bCs/>
        </w:rPr>
        <w:t>WINDHOEK RENOVATIONS CC</w:t>
      </w:r>
      <w:r w:rsidRPr="00F5062D">
        <w:rPr>
          <w:b/>
          <w:bCs/>
        </w:rPr>
        <w:tab/>
      </w:r>
      <w:r w:rsidRPr="00F5062D">
        <w:rPr>
          <w:b/>
          <w:bCs/>
        </w:rPr>
        <w:tab/>
      </w:r>
      <w:r w:rsidRPr="00F5062D">
        <w:rPr>
          <w:b/>
          <w:bCs/>
        </w:rPr>
        <w:tab/>
      </w:r>
      <w:r w:rsidRPr="00F5062D">
        <w:rPr>
          <w:b/>
          <w:bCs/>
        </w:rPr>
        <w:tab/>
        <w:t xml:space="preserve">  SECOND APPLICANT</w:t>
      </w:r>
    </w:p>
    <w:p w14:paraId="28A88F8F" w14:textId="77777777" w:rsidR="005610BF" w:rsidRPr="00F5062D" w:rsidRDefault="005610BF" w:rsidP="00756A35">
      <w:pPr>
        <w:spacing w:line="240" w:lineRule="auto"/>
      </w:pPr>
    </w:p>
    <w:p w14:paraId="35124039" w14:textId="77777777" w:rsidR="00853524" w:rsidRPr="00F5062D" w:rsidRDefault="00853524" w:rsidP="00C036D4">
      <w:r w:rsidRPr="00F5062D">
        <w:t>and</w:t>
      </w:r>
    </w:p>
    <w:p w14:paraId="65981685" w14:textId="77777777" w:rsidR="005610BF" w:rsidRPr="00F5062D" w:rsidRDefault="005610BF" w:rsidP="00756A35">
      <w:pPr>
        <w:spacing w:line="240" w:lineRule="auto"/>
        <w:rPr>
          <w:b/>
          <w:color w:val="000000" w:themeColor="text1"/>
        </w:rPr>
      </w:pPr>
    </w:p>
    <w:p w14:paraId="72A36D59" w14:textId="7953D36D" w:rsidR="008B1836" w:rsidRPr="00F5062D" w:rsidRDefault="008F20D3" w:rsidP="00F5062D">
      <w:pPr>
        <w:rPr>
          <w:b/>
          <w:color w:val="000000" w:themeColor="text1"/>
        </w:rPr>
      </w:pPr>
      <w:r w:rsidRPr="00F5062D">
        <w:rPr>
          <w:b/>
          <w:color w:val="000000" w:themeColor="text1"/>
        </w:rPr>
        <w:t>JOHANNES ERASMUS VAN WYK</w:t>
      </w:r>
      <w:r w:rsidR="0015202E" w:rsidRPr="00F5062D">
        <w:rPr>
          <w:b/>
          <w:color w:val="000000" w:themeColor="text1"/>
        </w:rPr>
        <w:tab/>
        <w:t xml:space="preserve">     </w:t>
      </w:r>
      <w:r w:rsidR="0013112C" w:rsidRPr="00F5062D">
        <w:rPr>
          <w:b/>
          <w:color w:val="000000" w:themeColor="text1"/>
        </w:rPr>
        <w:tab/>
      </w:r>
      <w:r w:rsidR="0013112C" w:rsidRPr="00F5062D">
        <w:rPr>
          <w:b/>
          <w:color w:val="000000" w:themeColor="text1"/>
        </w:rPr>
        <w:tab/>
        <w:t xml:space="preserve">  FIRST RESPONDENT</w:t>
      </w:r>
    </w:p>
    <w:p w14:paraId="749F8844" w14:textId="41E513EC" w:rsidR="005610BF" w:rsidRPr="00F5062D" w:rsidRDefault="008F20D3" w:rsidP="00F5062D">
      <w:pPr>
        <w:rPr>
          <w:b/>
          <w:color w:val="000000" w:themeColor="text1"/>
        </w:rPr>
      </w:pPr>
      <w:r w:rsidRPr="00F5062D">
        <w:rPr>
          <w:b/>
          <w:color w:val="000000" w:themeColor="text1"/>
        </w:rPr>
        <w:t>HARDROCK EARTHWORKS CC</w:t>
      </w:r>
      <w:r w:rsidR="0013112C" w:rsidRPr="00F5062D">
        <w:rPr>
          <w:b/>
          <w:color w:val="000000" w:themeColor="text1"/>
        </w:rPr>
        <w:tab/>
      </w:r>
      <w:r w:rsidR="0013112C" w:rsidRPr="00F5062D">
        <w:rPr>
          <w:b/>
          <w:color w:val="000000" w:themeColor="text1"/>
        </w:rPr>
        <w:tab/>
      </w:r>
      <w:r w:rsidR="005226D1" w:rsidRPr="00F5062D">
        <w:rPr>
          <w:b/>
          <w:color w:val="000000" w:themeColor="text1"/>
        </w:rPr>
        <w:t xml:space="preserve">    </w:t>
      </w:r>
      <w:r w:rsidR="0013112C" w:rsidRPr="00F5062D">
        <w:rPr>
          <w:b/>
          <w:color w:val="000000" w:themeColor="text1"/>
        </w:rPr>
        <w:tab/>
        <w:t xml:space="preserve">         SECOND RESPONDENT</w:t>
      </w:r>
    </w:p>
    <w:p w14:paraId="11C06559" w14:textId="0DE62BAB" w:rsidR="00853524" w:rsidRPr="00F5062D" w:rsidRDefault="00382515" w:rsidP="00756A35">
      <w:pPr>
        <w:spacing w:line="240" w:lineRule="auto"/>
        <w:rPr>
          <w:b/>
          <w:color w:val="000000" w:themeColor="text1"/>
        </w:rPr>
      </w:pPr>
      <w:r w:rsidRPr="00F5062D">
        <w:rPr>
          <w:b/>
          <w:color w:val="000000" w:themeColor="text1"/>
        </w:rPr>
        <w:tab/>
      </w:r>
      <w:r w:rsidR="00F40790" w:rsidRPr="00F5062D">
        <w:rPr>
          <w:b/>
          <w:color w:val="000000" w:themeColor="text1"/>
        </w:rPr>
        <w:t xml:space="preserve">                                                                                            </w:t>
      </w:r>
    </w:p>
    <w:p w14:paraId="1CFCD256" w14:textId="644ECD96" w:rsidR="00853524" w:rsidRPr="00F5062D" w:rsidRDefault="00853524" w:rsidP="005226D1">
      <w:pPr>
        <w:ind w:left="2160" w:hanging="2160"/>
        <w:rPr>
          <w:i/>
          <w:iCs/>
          <w:color w:val="000000" w:themeColor="text1"/>
        </w:rPr>
      </w:pPr>
      <w:r w:rsidRPr="00F5062D">
        <w:rPr>
          <w:b/>
        </w:rPr>
        <w:t>Neutral citation</w:t>
      </w:r>
      <w:r w:rsidR="001076B6" w:rsidRPr="00F5062D">
        <w:rPr>
          <w:b/>
        </w:rPr>
        <w:t>:</w:t>
      </w:r>
      <w:r w:rsidRPr="00F5062D">
        <w:rPr>
          <w:b/>
        </w:rPr>
        <w:tab/>
      </w:r>
      <w:r w:rsidR="008F20D3" w:rsidRPr="00F5062D">
        <w:rPr>
          <w:i/>
          <w:iCs/>
          <w:color w:val="000000" w:themeColor="text1"/>
        </w:rPr>
        <w:t xml:space="preserve">Wirtz v Van Wyk </w:t>
      </w:r>
      <w:r w:rsidR="005226D1" w:rsidRPr="00F5062D">
        <w:rPr>
          <w:iCs/>
          <w:color w:val="000000" w:themeColor="text1"/>
        </w:rPr>
        <w:t>(</w:t>
      </w:r>
      <w:r w:rsidR="0013112C" w:rsidRPr="00F5062D">
        <w:rPr>
          <w:iCs/>
          <w:color w:val="000000" w:themeColor="text1"/>
        </w:rPr>
        <w:t>HC-MD-</w:t>
      </w:r>
      <w:r w:rsidR="00F5062D">
        <w:rPr>
          <w:iCs/>
          <w:color w:val="000000" w:themeColor="text1"/>
        </w:rPr>
        <w:t>CIV-MOT-GEN-2020/00373</w:t>
      </w:r>
      <w:r w:rsidR="008F20D3" w:rsidRPr="00F5062D">
        <w:rPr>
          <w:iCs/>
          <w:color w:val="000000" w:themeColor="text1"/>
        </w:rPr>
        <w:t>)</w:t>
      </w:r>
      <w:r w:rsidR="00312FD1" w:rsidRPr="00F5062D">
        <w:rPr>
          <w:iCs/>
          <w:color w:val="000000" w:themeColor="text1"/>
        </w:rPr>
        <w:t xml:space="preserve"> [2023] NA</w:t>
      </w:r>
      <w:r w:rsidR="00F5062D">
        <w:rPr>
          <w:iCs/>
          <w:color w:val="000000" w:themeColor="text1"/>
        </w:rPr>
        <w:t>HCMD</w:t>
      </w:r>
      <w:r w:rsidR="00B4267F">
        <w:rPr>
          <w:b/>
          <w:iCs/>
          <w:color w:val="000000" w:themeColor="text1"/>
        </w:rPr>
        <w:t xml:space="preserve"> </w:t>
      </w:r>
      <w:r w:rsidR="00B4267F" w:rsidRPr="00B4267F">
        <w:rPr>
          <w:iCs/>
          <w:color w:val="000000" w:themeColor="text1"/>
        </w:rPr>
        <w:t>601</w:t>
      </w:r>
      <w:r w:rsidR="00F5062D">
        <w:rPr>
          <w:iCs/>
          <w:color w:val="000000" w:themeColor="text1"/>
        </w:rPr>
        <w:t xml:space="preserve"> </w:t>
      </w:r>
      <w:r w:rsidR="00312FD1" w:rsidRPr="00F5062D">
        <w:rPr>
          <w:iCs/>
          <w:color w:val="000000" w:themeColor="text1"/>
        </w:rPr>
        <w:t>(</w:t>
      </w:r>
      <w:r w:rsidR="008F20D3" w:rsidRPr="00F5062D">
        <w:rPr>
          <w:iCs/>
          <w:color w:val="000000" w:themeColor="text1"/>
        </w:rPr>
        <w:t>2</w:t>
      </w:r>
      <w:r w:rsidR="00312FD1" w:rsidRPr="00F5062D">
        <w:rPr>
          <w:iCs/>
          <w:color w:val="000000" w:themeColor="text1"/>
        </w:rPr>
        <w:t xml:space="preserve">1 </w:t>
      </w:r>
      <w:r w:rsidR="008F20D3" w:rsidRPr="00F5062D">
        <w:rPr>
          <w:iCs/>
          <w:color w:val="000000" w:themeColor="text1"/>
        </w:rPr>
        <w:t xml:space="preserve">September </w:t>
      </w:r>
      <w:r w:rsidR="005610BF" w:rsidRPr="00F5062D">
        <w:rPr>
          <w:iCs/>
          <w:color w:val="000000" w:themeColor="text1"/>
        </w:rPr>
        <w:t>2023)</w:t>
      </w:r>
    </w:p>
    <w:p w14:paraId="2A1E0044" w14:textId="77777777" w:rsidR="00853524" w:rsidRPr="00F5062D" w:rsidRDefault="00853524" w:rsidP="00C036D4">
      <w:pPr>
        <w:ind w:left="2160" w:hanging="2160"/>
      </w:pPr>
    </w:p>
    <w:p w14:paraId="6CFF978A" w14:textId="0FE6D938" w:rsidR="006D65BF" w:rsidRPr="00F5062D" w:rsidRDefault="00853524" w:rsidP="00C036D4">
      <w:pPr>
        <w:ind w:left="2160" w:hanging="2160"/>
        <w:rPr>
          <w:b/>
          <w:i/>
        </w:rPr>
      </w:pPr>
      <w:r w:rsidRPr="00F5062D">
        <w:rPr>
          <w:b/>
        </w:rPr>
        <w:t>Coram</w:t>
      </w:r>
      <w:r w:rsidR="001076B6" w:rsidRPr="00F5062D">
        <w:rPr>
          <w:b/>
        </w:rPr>
        <w:t>:</w:t>
      </w:r>
      <w:r w:rsidR="008B1836" w:rsidRPr="00F5062D">
        <w:tab/>
      </w:r>
      <w:r w:rsidR="006147C4" w:rsidRPr="00F5062D">
        <w:t>SCHIMMING-CHASE J</w:t>
      </w:r>
    </w:p>
    <w:p w14:paraId="1145F951" w14:textId="2C5F8DEE" w:rsidR="00853524" w:rsidRPr="00F5062D" w:rsidRDefault="00853524" w:rsidP="00C036D4">
      <w:pPr>
        <w:ind w:left="2160" w:hanging="2160"/>
        <w:rPr>
          <w:b/>
        </w:rPr>
      </w:pPr>
      <w:r w:rsidRPr="00F5062D">
        <w:rPr>
          <w:b/>
          <w:bCs/>
        </w:rPr>
        <w:t>Heard</w:t>
      </w:r>
      <w:r w:rsidR="001076B6" w:rsidRPr="00F5062D">
        <w:rPr>
          <w:b/>
          <w:bCs/>
        </w:rPr>
        <w:t>:</w:t>
      </w:r>
      <w:r w:rsidRPr="00F5062D">
        <w:tab/>
      </w:r>
      <w:r w:rsidR="008F20D3" w:rsidRPr="00F5062D">
        <w:rPr>
          <w:b/>
        </w:rPr>
        <w:t>21 September 2023</w:t>
      </w:r>
    </w:p>
    <w:p w14:paraId="6790F8B1" w14:textId="732B7CCB" w:rsidR="0096651E" w:rsidRPr="00705566" w:rsidRDefault="008F20D3" w:rsidP="00705566">
      <w:pPr>
        <w:ind w:left="2160" w:hanging="2160"/>
        <w:rPr>
          <w:b/>
          <w:bCs/>
        </w:rPr>
      </w:pPr>
      <w:r w:rsidRPr="00F5062D">
        <w:rPr>
          <w:b/>
          <w:bCs/>
        </w:rPr>
        <w:t>Delivered</w:t>
      </w:r>
      <w:r w:rsidR="001076B6" w:rsidRPr="00F5062D">
        <w:rPr>
          <w:b/>
          <w:bCs/>
        </w:rPr>
        <w:t>:</w:t>
      </w:r>
      <w:r w:rsidR="00334AFC" w:rsidRPr="00F5062D">
        <w:rPr>
          <w:b/>
          <w:bCs/>
        </w:rPr>
        <w:tab/>
      </w:r>
      <w:r w:rsidRPr="00F5062D">
        <w:rPr>
          <w:b/>
          <w:bCs/>
        </w:rPr>
        <w:t xml:space="preserve">21 September </w:t>
      </w:r>
      <w:r w:rsidR="00312FD1" w:rsidRPr="00F5062D">
        <w:rPr>
          <w:b/>
          <w:bCs/>
        </w:rPr>
        <w:t>2023</w:t>
      </w:r>
    </w:p>
    <w:p w14:paraId="6BE47DE3" w14:textId="628E3D15" w:rsidR="00853524" w:rsidRPr="00F5062D" w:rsidRDefault="00000000" w:rsidP="00C036D4">
      <w:pPr>
        <w:rPr>
          <w:bCs/>
        </w:rPr>
      </w:pPr>
      <w:r>
        <w:rPr>
          <w:bCs/>
        </w:rPr>
        <w:pict w14:anchorId="5E7E26FB">
          <v:rect id="_x0000_i1025" style="width:0;height:1.5pt" o:hralign="center" o:hrstd="t" o:hr="t" fillcolor="#a0a0a0" stroked="f"/>
        </w:pict>
      </w:r>
    </w:p>
    <w:p w14:paraId="37BE7084" w14:textId="4192C691" w:rsidR="00853524" w:rsidRPr="00F5062D" w:rsidRDefault="001F6CB9" w:rsidP="00C036D4">
      <w:pPr>
        <w:jc w:val="center"/>
        <w:rPr>
          <w:b/>
          <w:bCs/>
        </w:rPr>
      </w:pPr>
      <w:r w:rsidRPr="00F5062D">
        <w:rPr>
          <w:b/>
          <w:bCs/>
        </w:rPr>
        <w:t>ORDER</w:t>
      </w:r>
    </w:p>
    <w:p w14:paraId="1FEF45F5" w14:textId="77777777" w:rsidR="00853524" w:rsidRPr="00F5062D" w:rsidRDefault="00000000" w:rsidP="00C036D4">
      <w:pPr>
        <w:jc w:val="center"/>
        <w:rPr>
          <w:b/>
          <w:bCs/>
        </w:rPr>
      </w:pPr>
      <w:r>
        <w:rPr>
          <w:bCs/>
        </w:rPr>
        <w:pict w14:anchorId="28AA4E8A">
          <v:rect id="_x0000_i1026" style="width:0;height:1.5pt" o:hralign="center" o:hrstd="t" o:hr="t" fillcolor="#a0a0a0" stroked="f"/>
        </w:pict>
      </w:r>
    </w:p>
    <w:p w14:paraId="395B7EDA" w14:textId="77777777" w:rsidR="00853524" w:rsidRPr="00F5062D" w:rsidRDefault="00853524" w:rsidP="00756A35">
      <w:pPr>
        <w:spacing w:line="240" w:lineRule="auto"/>
        <w:rPr>
          <w:bCs/>
        </w:rPr>
      </w:pPr>
    </w:p>
    <w:p w14:paraId="3989991E" w14:textId="1785E1C5" w:rsidR="00564FC7" w:rsidRPr="00F5062D" w:rsidRDefault="00CE52C3" w:rsidP="00CE52C3">
      <w:pPr>
        <w:ind w:left="644" w:hanging="360"/>
        <w:rPr>
          <w:spacing w:val="0"/>
          <w:lang w:val="en-US"/>
        </w:rPr>
      </w:pPr>
      <w:bookmarkStart w:id="0" w:name="_Hlk146122081"/>
      <w:r w:rsidRPr="00F5062D">
        <w:rPr>
          <w:rFonts w:eastAsiaTheme="minorHAnsi"/>
          <w:spacing w:val="0"/>
          <w:lang w:val="en-US"/>
        </w:rPr>
        <w:t>1.</w:t>
      </w:r>
      <w:r w:rsidRPr="00F5062D">
        <w:rPr>
          <w:rFonts w:eastAsiaTheme="minorHAnsi"/>
          <w:spacing w:val="0"/>
          <w:lang w:val="en-US"/>
        </w:rPr>
        <w:tab/>
      </w:r>
      <w:r w:rsidR="00564FC7" w:rsidRPr="00F5062D">
        <w:rPr>
          <w:spacing w:val="0"/>
          <w:lang w:val="en-US"/>
        </w:rPr>
        <w:t>The applicant’s application for condonation is granted.</w:t>
      </w:r>
    </w:p>
    <w:p w14:paraId="6EC3DA41" w14:textId="77777777" w:rsidR="00564FC7" w:rsidRPr="00F5062D" w:rsidRDefault="00564FC7" w:rsidP="00756A35">
      <w:pPr>
        <w:spacing w:line="240" w:lineRule="auto"/>
        <w:rPr>
          <w:spacing w:val="0"/>
          <w:lang w:val="en-US"/>
        </w:rPr>
      </w:pPr>
    </w:p>
    <w:p w14:paraId="05AE33DA" w14:textId="53023A5D" w:rsidR="00564FC7" w:rsidRDefault="00CE52C3" w:rsidP="00CE52C3">
      <w:pPr>
        <w:ind w:left="644" w:hanging="360"/>
        <w:rPr>
          <w:spacing w:val="0"/>
          <w:lang w:val="en-US"/>
        </w:rPr>
      </w:pPr>
      <w:r>
        <w:rPr>
          <w:rFonts w:eastAsiaTheme="minorHAnsi"/>
          <w:spacing w:val="0"/>
          <w:lang w:val="en-US"/>
        </w:rPr>
        <w:t>2.</w:t>
      </w:r>
      <w:r>
        <w:rPr>
          <w:rFonts w:eastAsiaTheme="minorHAnsi"/>
          <w:spacing w:val="0"/>
          <w:lang w:val="en-US"/>
        </w:rPr>
        <w:tab/>
      </w:r>
      <w:r w:rsidR="008F20D3" w:rsidRPr="00F5062D">
        <w:rPr>
          <w:spacing w:val="0"/>
          <w:lang w:val="en-US"/>
        </w:rPr>
        <w:t xml:space="preserve">Leave to appeal to the Supreme Court against the order </w:t>
      </w:r>
      <w:r w:rsidR="00FE5740" w:rsidRPr="00F5062D">
        <w:rPr>
          <w:spacing w:val="0"/>
          <w:lang w:val="en-US"/>
        </w:rPr>
        <w:t xml:space="preserve">and judgment </w:t>
      </w:r>
      <w:r w:rsidR="008F20D3" w:rsidRPr="00F5062D">
        <w:rPr>
          <w:spacing w:val="0"/>
          <w:lang w:val="en-US"/>
        </w:rPr>
        <w:t xml:space="preserve">of </w:t>
      </w:r>
      <w:r w:rsidR="008F20D3" w:rsidRPr="00F5062D">
        <w:rPr>
          <w:spacing w:val="0"/>
          <w:lang w:val="en-US"/>
        </w:rPr>
        <w:lastRenderedPageBreak/>
        <w:t xml:space="preserve">this court dated 20 November 2020 and 8 December 2020 respectively in case number </w:t>
      </w:r>
      <w:r w:rsidR="00F5062D">
        <w:rPr>
          <w:spacing w:val="0"/>
          <w:lang w:val="en-US"/>
        </w:rPr>
        <w:t>(</w:t>
      </w:r>
      <w:r w:rsidR="008F20D3" w:rsidRPr="00F5062D">
        <w:rPr>
          <w:spacing w:val="0"/>
          <w:lang w:val="en-US"/>
        </w:rPr>
        <w:t>HC-MD-CIV-MOT-GEN-2020/00373) is granted.</w:t>
      </w:r>
    </w:p>
    <w:p w14:paraId="27222D58" w14:textId="77777777" w:rsidR="000979DC" w:rsidRPr="000979DC" w:rsidRDefault="000979DC" w:rsidP="00756A35">
      <w:pPr>
        <w:spacing w:line="240" w:lineRule="auto"/>
        <w:rPr>
          <w:spacing w:val="0"/>
          <w:lang w:val="en-US"/>
        </w:rPr>
      </w:pPr>
    </w:p>
    <w:p w14:paraId="0707D351" w14:textId="6639D08A" w:rsidR="00564FC7" w:rsidRPr="00F5062D" w:rsidRDefault="00CE52C3" w:rsidP="00CE52C3">
      <w:pPr>
        <w:ind w:left="644" w:hanging="360"/>
        <w:rPr>
          <w:spacing w:val="0"/>
          <w:lang w:val="en-US"/>
        </w:rPr>
      </w:pPr>
      <w:r w:rsidRPr="00F5062D">
        <w:rPr>
          <w:rFonts w:eastAsiaTheme="minorHAnsi"/>
          <w:spacing w:val="0"/>
          <w:lang w:val="en-US"/>
        </w:rPr>
        <w:t>3.</w:t>
      </w:r>
      <w:r w:rsidRPr="00F5062D">
        <w:rPr>
          <w:rFonts w:eastAsiaTheme="minorHAnsi"/>
          <w:spacing w:val="0"/>
          <w:lang w:val="en-US"/>
        </w:rPr>
        <w:tab/>
      </w:r>
      <w:r w:rsidR="00564FC7" w:rsidRPr="00F5062D">
        <w:rPr>
          <w:spacing w:val="0"/>
          <w:lang w:val="en-US"/>
        </w:rPr>
        <w:t xml:space="preserve">There shall </w:t>
      </w:r>
      <w:r w:rsidR="006F5F72" w:rsidRPr="00F5062D">
        <w:rPr>
          <w:spacing w:val="0"/>
          <w:lang w:val="en-US"/>
        </w:rPr>
        <w:t xml:space="preserve">be </w:t>
      </w:r>
      <w:r w:rsidR="00564FC7" w:rsidRPr="00F5062D">
        <w:rPr>
          <w:spacing w:val="0"/>
          <w:lang w:val="en-US"/>
        </w:rPr>
        <w:t>no order as to costs.</w:t>
      </w:r>
    </w:p>
    <w:p w14:paraId="524288D7" w14:textId="77777777" w:rsidR="00564FC7" w:rsidRPr="00F5062D" w:rsidRDefault="00564FC7" w:rsidP="00756A35">
      <w:pPr>
        <w:spacing w:line="240" w:lineRule="auto"/>
        <w:rPr>
          <w:spacing w:val="0"/>
        </w:rPr>
      </w:pPr>
    </w:p>
    <w:p w14:paraId="5D8885B5" w14:textId="2462328B" w:rsidR="00564FC7" w:rsidRPr="00F5062D" w:rsidRDefault="00CE52C3" w:rsidP="00CE52C3">
      <w:pPr>
        <w:ind w:left="644" w:hanging="360"/>
        <w:rPr>
          <w:spacing w:val="0"/>
          <w:lang w:val="en-US"/>
        </w:rPr>
      </w:pPr>
      <w:r w:rsidRPr="00F5062D">
        <w:rPr>
          <w:rFonts w:eastAsiaTheme="minorHAnsi"/>
          <w:spacing w:val="0"/>
          <w:lang w:val="en-US"/>
        </w:rPr>
        <w:t>4.</w:t>
      </w:r>
      <w:r w:rsidRPr="00F5062D">
        <w:rPr>
          <w:rFonts w:eastAsiaTheme="minorHAnsi"/>
          <w:spacing w:val="0"/>
          <w:lang w:val="en-US"/>
        </w:rPr>
        <w:tab/>
      </w:r>
      <w:r w:rsidR="00564FC7" w:rsidRPr="00F5062D">
        <w:rPr>
          <w:spacing w:val="0"/>
          <w:lang w:val="en-US"/>
        </w:rPr>
        <w:t xml:space="preserve">The matter is regarded as </w:t>
      </w:r>
      <w:proofErr w:type="spellStart"/>
      <w:r w:rsidR="00564FC7" w:rsidRPr="00F5062D">
        <w:rPr>
          <w:spacing w:val="0"/>
          <w:lang w:val="en-US"/>
        </w:rPr>
        <w:t>finali</w:t>
      </w:r>
      <w:r w:rsidR="00100DB6" w:rsidRPr="00F5062D">
        <w:rPr>
          <w:spacing w:val="0"/>
          <w:lang w:val="en-US"/>
        </w:rPr>
        <w:t>s</w:t>
      </w:r>
      <w:r w:rsidR="00564FC7" w:rsidRPr="00F5062D">
        <w:rPr>
          <w:spacing w:val="0"/>
          <w:lang w:val="en-US"/>
        </w:rPr>
        <w:t>ed</w:t>
      </w:r>
      <w:proofErr w:type="spellEnd"/>
      <w:r w:rsidR="00564FC7" w:rsidRPr="00F5062D">
        <w:rPr>
          <w:spacing w:val="0"/>
          <w:lang w:val="en-US"/>
        </w:rPr>
        <w:t xml:space="preserve"> and removed from the roll</w:t>
      </w:r>
      <w:bookmarkEnd w:id="0"/>
      <w:r w:rsidR="00564FC7" w:rsidRPr="00F5062D">
        <w:rPr>
          <w:spacing w:val="0"/>
          <w:lang w:val="en-US"/>
        </w:rPr>
        <w:t>.</w:t>
      </w:r>
    </w:p>
    <w:p w14:paraId="6BCDA908" w14:textId="77777777" w:rsidR="00853524" w:rsidRPr="00F5062D" w:rsidRDefault="00000000" w:rsidP="002A3FA1">
      <w:pPr>
        <w:rPr>
          <w:bCs/>
        </w:rPr>
      </w:pPr>
      <w:r>
        <w:rPr>
          <w:bCs/>
        </w:rPr>
        <w:pict w14:anchorId="2893D86E">
          <v:rect id="_x0000_i1027" style="width:0;height:1.5pt" o:hralign="center" o:hrstd="t" o:hr="t" fillcolor="#a0a0a0" stroked="f"/>
        </w:pict>
      </w:r>
    </w:p>
    <w:p w14:paraId="4BDA99AF" w14:textId="595F4F39" w:rsidR="00853524" w:rsidRPr="00F5062D" w:rsidRDefault="002C1A1C" w:rsidP="002A3FA1">
      <w:pPr>
        <w:jc w:val="center"/>
        <w:rPr>
          <w:b/>
        </w:rPr>
      </w:pPr>
      <w:r w:rsidRPr="00F5062D">
        <w:rPr>
          <w:b/>
          <w:i/>
          <w:iCs/>
        </w:rPr>
        <w:t xml:space="preserve"> </w:t>
      </w:r>
      <w:r w:rsidRPr="00F5062D">
        <w:rPr>
          <w:b/>
          <w:iCs/>
        </w:rPr>
        <w:t xml:space="preserve">EX TEMPORE </w:t>
      </w:r>
      <w:r w:rsidR="001F6CB9" w:rsidRPr="00F5062D">
        <w:rPr>
          <w:b/>
        </w:rPr>
        <w:t>JUDGMENT</w:t>
      </w:r>
    </w:p>
    <w:p w14:paraId="6A0C4395" w14:textId="4B00F404" w:rsidR="006F5F72" w:rsidRPr="00F5062D" w:rsidRDefault="00000000" w:rsidP="00F5062D">
      <w:pPr>
        <w:jc w:val="center"/>
        <w:rPr>
          <w:b/>
        </w:rPr>
      </w:pPr>
      <w:r>
        <w:rPr>
          <w:bCs/>
        </w:rPr>
        <w:pict w14:anchorId="4AE2B4B3">
          <v:rect id="_x0000_i1028" style="width:0;height:1.5pt" o:hralign="center" o:hrstd="t" o:hr="t" fillcolor="#a0a0a0" stroked="f"/>
        </w:pict>
      </w:r>
    </w:p>
    <w:p w14:paraId="7938F2A4" w14:textId="763FC757" w:rsidR="00C37A61" w:rsidRPr="00F5062D" w:rsidRDefault="006F4DCB" w:rsidP="00A07B0C">
      <w:r w:rsidRPr="00F5062D">
        <w:t>SCHIMMING-CHASE</w:t>
      </w:r>
      <w:r w:rsidR="00853524" w:rsidRPr="00F5062D">
        <w:t xml:space="preserve"> J</w:t>
      </w:r>
      <w:r w:rsidRPr="00F5062D">
        <w:t>:</w:t>
      </w:r>
    </w:p>
    <w:p w14:paraId="07CF5E54" w14:textId="77777777" w:rsidR="00A07B0C" w:rsidRPr="00F5062D" w:rsidRDefault="00A07B0C" w:rsidP="00A07B0C"/>
    <w:p w14:paraId="3887353E" w14:textId="7B1D0BFF" w:rsidR="00FF2012" w:rsidRPr="00CE52C3" w:rsidRDefault="00CE52C3" w:rsidP="00CE52C3">
      <w:pPr>
        <w:rPr>
          <w:shd w:val="clear" w:color="auto" w:fill="FFFFFF"/>
          <w:lang w:val="en-GB"/>
        </w:rPr>
      </w:pPr>
      <w:r w:rsidRPr="00F5062D">
        <w:rPr>
          <w:spacing w:val="0"/>
          <w:lang w:val="en-GB"/>
        </w:rPr>
        <w:t>[1]</w:t>
      </w:r>
      <w:r w:rsidRPr="00F5062D">
        <w:rPr>
          <w:spacing w:val="0"/>
          <w:lang w:val="en-GB"/>
        </w:rPr>
        <w:tab/>
      </w:r>
      <w:r w:rsidR="00C37A61" w:rsidRPr="00CE52C3">
        <w:rPr>
          <w:color w:val="222222"/>
        </w:rPr>
        <w:t>Th</w:t>
      </w:r>
      <w:r w:rsidR="00FE5740" w:rsidRPr="00CE52C3">
        <w:rPr>
          <w:color w:val="222222"/>
        </w:rPr>
        <w:t xml:space="preserve">is is an application for condonation for the late filing of an application for leave to appeal </w:t>
      </w:r>
      <w:r w:rsidR="00FF2012" w:rsidRPr="00CE52C3">
        <w:rPr>
          <w:color w:val="222222"/>
        </w:rPr>
        <w:t>envisaged</w:t>
      </w:r>
      <w:r w:rsidR="0096651E" w:rsidRPr="00CE52C3">
        <w:rPr>
          <w:color w:val="222222"/>
        </w:rPr>
        <w:t xml:space="preserve"> in</w:t>
      </w:r>
      <w:r w:rsidR="00FF2012" w:rsidRPr="00CE52C3">
        <w:rPr>
          <w:color w:val="222222"/>
        </w:rPr>
        <w:t xml:space="preserve"> terms of rule 115 (2)</w:t>
      </w:r>
      <w:r w:rsidR="0096651E" w:rsidRPr="00CE52C3">
        <w:rPr>
          <w:color w:val="222222"/>
        </w:rPr>
        <w:t xml:space="preserve"> of the rules of this court</w:t>
      </w:r>
      <w:r w:rsidR="00FF2012" w:rsidRPr="00CE52C3">
        <w:rPr>
          <w:color w:val="222222"/>
        </w:rPr>
        <w:t xml:space="preserve">, </w:t>
      </w:r>
      <w:r w:rsidR="0096651E" w:rsidRPr="00CE52C3">
        <w:rPr>
          <w:color w:val="222222"/>
        </w:rPr>
        <w:t xml:space="preserve">which requires </w:t>
      </w:r>
      <w:r w:rsidR="00FF2012" w:rsidRPr="00CE52C3">
        <w:rPr>
          <w:color w:val="222222"/>
        </w:rPr>
        <w:t>application</w:t>
      </w:r>
      <w:r w:rsidR="0096651E" w:rsidRPr="00CE52C3">
        <w:rPr>
          <w:color w:val="222222"/>
        </w:rPr>
        <w:t>s</w:t>
      </w:r>
      <w:r w:rsidR="00FF2012" w:rsidRPr="00CE52C3">
        <w:rPr>
          <w:color w:val="222222"/>
        </w:rPr>
        <w:t xml:space="preserve"> for leave to appeal </w:t>
      </w:r>
      <w:r w:rsidR="0096651E" w:rsidRPr="00CE52C3">
        <w:rPr>
          <w:color w:val="222222"/>
        </w:rPr>
        <w:t xml:space="preserve">to be brought </w:t>
      </w:r>
      <w:r w:rsidR="00FF2012" w:rsidRPr="00CE52C3">
        <w:rPr>
          <w:color w:val="222222"/>
        </w:rPr>
        <w:t xml:space="preserve">together with the grounds for the leave to appeal within 15 days after the date of the order appealed against. </w:t>
      </w:r>
    </w:p>
    <w:p w14:paraId="7AA21423" w14:textId="77777777" w:rsidR="00FF2012" w:rsidRPr="00F5062D" w:rsidRDefault="00FF2012" w:rsidP="00756A35">
      <w:pPr>
        <w:pStyle w:val="ListParagraph"/>
        <w:spacing w:after="0" w:line="240" w:lineRule="auto"/>
        <w:ind w:left="0"/>
        <w:rPr>
          <w:rFonts w:cs="Arial"/>
          <w:szCs w:val="24"/>
          <w:shd w:val="clear" w:color="auto" w:fill="FFFFFF"/>
          <w:lang w:val="en-GB"/>
        </w:rPr>
      </w:pPr>
    </w:p>
    <w:p w14:paraId="6F9835CC" w14:textId="3D2550C2" w:rsidR="004815C6" w:rsidRPr="00CE52C3" w:rsidRDefault="00CE52C3" w:rsidP="00CE52C3">
      <w:pPr>
        <w:rPr>
          <w:shd w:val="clear" w:color="auto" w:fill="FFFFFF"/>
          <w:lang w:val="en-GB"/>
        </w:rPr>
      </w:pPr>
      <w:r w:rsidRPr="00F5062D">
        <w:rPr>
          <w:spacing w:val="0"/>
          <w:lang w:val="en-GB"/>
        </w:rPr>
        <w:t>[2]</w:t>
      </w:r>
      <w:r w:rsidRPr="00F5062D">
        <w:rPr>
          <w:spacing w:val="0"/>
          <w:lang w:val="en-GB"/>
        </w:rPr>
        <w:tab/>
      </w:r>
      <w:r w:rsidR="00FF2012" w:rsidRPr="00CE52C3">
        <w:rPr>
          <w:color w:val="222222"/>
        </w:rPr>
        <w:t>The background facts leading to the application for condonation a</w:t>
      </w:r>
      <w:r w:rsidR="006147C4" w:rsidRPr="00CE52C3">
        <w:rPr>
          <w:color w:val="222222"/>
        </w:rPr>
        <w:t>re</w:t>
      </w:r>
      <w:r w:rsidR="00FF2012" w:rsidRPr="00CE52C3">
        <w:rPr>
          <w:color w:val="222222"/>
        </w:rPr>
        <w:t xml:space="preserve"> set out in the applicants</w:t>
      </w:r>
      <w:r w:rsidR="004815C6" w:rsidRPr="00CE52C3">
        <w:rPr>
          <w:color w:val="222222"/>
        </w:rPr>
        <w:t>’</w:t>
      </w:r>
      <w:r w:rsidR="00FF2012" w:rsidRPr="00CE52C3">
        <w:rPr>
          <w:color w:val="222222"/>
        </w:rPr>
        <w:t xml:space="preserve"> founding papers, </w:t>
      </w:r>
      <w:proofErr w:type="gramStart"/>
      <w:r w:rsidR="00FF2012" w:rsidRPr="00CE52C3">
        <w:rPr>
          <w:color w:val="222222"/>
        </w:rPr>
        <w:t>and also</w:t>
      </w:r>
      <w:proofErr w:type="gramEnd"/>
      <w:r w:rsidR="00FF2012" w:rsidRPr="00CE52C3">
        <w:rPr>
          <w:color w:val="222222"/>
        </w:rPr>
        <w:t xml:space="preserve"> appear in the Supreme </w:t>
      </w:r>
      <w:r w:rsidR="004815C6" w:rsidRPr="00CE52C3">
        <w:rPr>
          <w:color w:val="222222"/>
        </w:rPr>
        <w:t>Court</w:t>
      </w:r>
      <w:r w:rsidR="00FF2012" w:rsidRPr="00CE52C3">
        <w:rPr>
          <w:color w:val="222222"/>
        </w:rPr>
        <w:t xml:space="preserve"> decision of </w:t>
      </w:r>
      <w:r w:rsidR="00FF2012" w:rsidRPr="00CE52C3">
        <w:rPr>
          <w:i/>
          <w:iCs/>
          <w:color w:val="222222"/>
        </w:rPr>
        <w:t>Wirt</w:t>
      </w:r>
      <w:r w:rsidR="004815C6" w:rsidRPr="00CE52C3">
        <w:rPr>
          <w:i/>
          <w:iCs/>
          <w:color w:val="222222"/>
        </w:rPr>
        <w:t>z</w:t>
      </w:r>
      <w:r w:rsidR="00FF2012" w:rsidRPr="00CE52C3">
        <w:rPr>
          <w:i/>
          <w:iCs/>
          <w:color w:val="222222"/>
        </w:rPr>
        <w:t xml:space="preserve"> v van Wyk</w:t>
      </w:r>
      <w:r w:rsidR="004815C6" w:rsidRPr="00CE52C3">
        <w:rPr>
          <w:i/>
          <w:iCs/>
          <w:color w:val="222222"/>
        </w:rPr>
        <w:t>.</w:t>
      </w:r>
      <w:r w:rsidR="00FF2012" w:rsidRPr="00F5062D">
        <w:rPr>
          <w:rStyle w:val="FootnoteReference"/>
          <w:color w:val="222222"/>
        </w:rPr>
        <w:footnoteReference w:id="1"/>
      </w:r>
      <w:r w:rsidR="00FE5740" w:rsidRPr="00CE52C3">
        <w:rPr>
          <w:color w:val="222222"/>
        </w:rPr>
        <w:t xml:space="preserve"> </w:t>
      </w:r>
    </w:p>
    <w:p w14:paraId="3D54CD05" w14:textId="77777777" w:rsidR="004815C6" w:rsidRPr="00F5062D" w:rsidRDefault="004815C6" w:rsidP="004815C6">
      <w:pPr>
        <w:pStyle w:val="ListParagraph"/>
        <w:rPr>
          <w:rFonts w:cs="Arial"/>
          <w:color w:val="222222"/>
          <w:szCs w:val="24"/>
        </w:rPr>
      </w:pPr>
    </w:p>
    <w:p w14:paraId="50609E7B" w14:textId="374F2A2E" w:rsidR="0096651E" w:rsidRPr="00CE52C3" w:rsidRDefault="00CE52C3" w:rsidP="00CE52C3">
      <w:pPr>
        <w:rPr>
          <w:shd w:val="clear" w:color="auto" w:fill="FFFFFF"/>
          <w:lang w:val="en-GB"/>
        </w:rPr>
      </w:pPr>
      <w:r w:rsidRPr="00F5062D">
        <w:rPr>
          <w:spacing w:val="0"/>
          <w:lang w:val="en-GB"/>
        </w:rPr>
        <w:t>[3]</w:t>
      </w:r>
      <w:r w:rsidRPr="00F5062D">
        <w:rPr>
          <w:spacing w:val="0"/>
          <w:lang w:val="en-GB"/>
        </w:rPr>
        <w:tab/>
      </w:r>
      <w:r w:rsidR="004815C6" w:rsidRPr="00CE52C3">
        <w:rPr>
          <w:color w:val="222222"/>
        </w:rPr>
        <w:t xml:space="preserve">The applicants </w:t>
      </w:r>
      <w:r w:rsidR="0096651E" w:rsidRPr="00CE52C3">
        <w:rPr>
          <w:color w:val="222222"/>
        </w:rPr>
        <w:t xml:space="preserve">previously approached </w:t>
      </w:r>
      <w:r w:rsidR="004815C6" w:rsidRPr="00CE52C3">
        <w:rPr>
          <w:color w:val="222222"/>
        </w:rPr>
        <w:t>this court on an urgent basis seeking wide</w:t>
      </w:r>
      <w:r w:rsidR="00447E05" w:rsidRPr="00CE52C3">
        <w:rPr>
          <w:color w:val="222222"/>
        </w:rPr>
        <w:t>-</w:t>
      </w:r>
      <w:r w:rsidR="004815C6" w:rsidRPr="00CE52C3">
        <w:rPr>
          <w:color w:val="222222"/>
        </w:rPr>
        <w:t xml:space="preserve">ranging interim relief in the form of an interim interdict against the respondents pending the finalisation of an action between the parties. </w:t>
      </w:r>
    </w:p>
    <w:p w14:paraId="25ACA2E9" w14:textId="77777777" w:rsidR="0096651E" w:rsidRPr="00F5062D" w:rsidRDefault="0096651E" w:rsidP="0096651E">
      <w:pPr>
        <w:pStyle w:val="ListParagraph"/>
        <w:rPr>
          <w:rFonts w:cs="Arial"/>
          <w:color w:val="222222"/>
          <w:szCs w:val="24"/>
        </w:rPr>
      </w:pPr>
    </w:p>
    <w:p w14:paraId="68579694" w14:textId="4AC6F2AD" w:rsidR="004815C6" w:rsidRPr="00CE52C3" w:rsidRDefault="00CE52C3" w:rsidP="00CE52C3">
      <w:pPr>
        <w:rPr>
          <w:shd w:val="clear" w:color="auto" w:fill="FFFFFF"/>
          <w:lang w:val="en-GB"/>
        </w:rPr>
      </w:pPr>
      <w:r w:rsidRPr="00F5062D">
        <w:rPr>
          <w:spacing w:val="0"/>
          <w:lang w:val="en-GB"/>
        </w:rPr>
        <w:t>[4]</w:t>
      </w:r>
      <w:r w:rsidRPr="00F5062D">
        <w:rPr>
          <w:spacing w:val="0"/>
          <w:lang w:val="en-GB"/>
        </w:rPr>
        <w:tab/>
      </w:r>
      <w:r w:rsidR="004815C6" w:rsidRPr="00CE52C3">
        <w:rPr>
          <w:color w:val="222222"/>
        </w:rPr>
        <w:t xml:space="preserve">The first respondent </w:t>
      </w:r>
      <w:r w:rsidR="0096651E" w:rsidRPr="00CE52C3">
        <w:rPr>
          <w:color w:val="222222"/>
        </w:rPr>
        <w:t xml:space="preserve">(together </w:t>
      </w:r>
      <w:r w:rsidR="004815C6" w:rsidRPr="00CE52C3">
        <w:rPr>
          <w:color w:val="222222"/>
        </w:rPr>
        <w:t>with the first applicant are sole members of the second and third applicants,</w:t>
      </w:r>
      <w:r w:rsidR="00447E05" w:rsidRPr="00CE52C3">
        <w:rPr>
          <w:color w:val="222222"/>
        </w:rPr>
        <w:t xml:space="preserve"> </w:t>
      </w:r>
      <w:r w:rsidR="004815C6" w:rsidRPr="00CE52C3">
        <w:rPr>
          <w:color w:val="222222"/>
        </w:rPr>
        <w:t xml:space="preserve">which are close corporations in the ratio of 51:49 in respect of the second applicant and an equal membership in the third applicant) instituted an action against the applicants seeking the termination of the business relationship by terminating his membership of the close corporations against a division of their assets and a range of ancillary relief. </w:t>
      </w:r>
    </w:p>
    <w:p w14:paraId="0338A6A7" w14:textId="77777777" w:rsidR="004815C6" w:rsidRPr="00F5062D" w:rsidRDefault="004815C6" w:rsidP="004815C6">
      <w:pPr>
        <w:pStyle w:val="ListParagraph"/>
        <w:rPr>
          <w:rFonts w:cs="Arial"/>
          <w:color w:val="222222"/>
          <w:szCs w:val="24"/>
        </w:rPr>
      </w:pPr>
    </w:p>
    <w:p w14:paraId="46CE6471" w14:textId="038A0697" w:rsidR="004815C6" w:rsidRPr="00CE52C3" w:rsidRDefault="00CE52C3" w:rsidP="00CE52C3">
      <w:pPr>
        <w:rPr>
          <w:shd w:val="clear" w:color="auto" w:fill="FFFFFF"/>
          <w:lang w:val="en-GB"/>
        </w:rPr>
      </w:pPr>
      <w:r w:rsidRPr="00F5062D">
        <w:rPr>
          <w:spacing w:val="0"/>
          <w:lang w:val="en-GB"/>
        </w:rPr>
        <w:lastRenderedPageBreak/>
        <w:t>[5]</w:t>
      </w:r>
      <w:r w:rsidRPr="00F5062D">
        <w:rPr>
          <w:spacing w:val="0"/>
          <w:lang w:val="en-GB"/>
        </w:rPr>
        <w:tab/>
      </w:r>
      <w:r w:rsidR="004815C6" w:rsidRPr="00CE52C3">
        <w:rPr>
          <w:color w:val="222222"/>
        </w:rPr>
        <w:t>On 20 November 2020</w:t>
      </w:r>
      <w:r w:rsidR="009027A1" w:rsidRPr="00CE52C3">
        <w:rPr>
          <w:color w:val="222222"/>
        </w:rPr>
        <w:t>,</w:t>
      </w:r>
      <w:r w:rsidR="004815C6" w:rsidRPr="00CE52C3">
        <w:rPr>
          <w:color w:val="222222"/>
        </w:rPr>
        <w:t xml:space="preserve"> I made an order granting the applicants’ certain interim relief</w:t>
      </w:r>
      <w:r w:rsidR="00447E05" w:rsidRPr="00CE52C3">
        <w:rPr>
          <w:color w:val="222222"/>
        </w:rPr>
        <w:t xml:space="preserve"> and</w:t>
      </w:r>
      <w:r w:rsidR="004815C6" w:rsidRPr="00CE52C3">
        <w:rPr>
          <w:color w:val="222222"/>
        </w:rPr>
        <w:t xml:space="preserve"> refused certain other the relief sought. The reasons for the order followed on 8 December 2020. The applicants timeously filed their notice of appeal against the order in terms of rule 7(3)(</w:t>
      </w:r>
      <w:r w:rsidR="004815C6" w:rsidRPr="00CE52C3">
        <w:rPr>
          <w:i/>
          <w:color w:val="222222"/>
        </w:rPr>
        <w:t>a</w:t>
      </w:r>
      <w:r w:rsidR="004815C6" w:rsidRPr="00CE52C3">
        <w:rPr>
          <w:color w:val="222222"/>
        </w:rPr>
        <w:t xml:space="preserve">) of the Supreme Court Rules on 8 December 2020. They however did not file their supplemented notice of appeal within the required </w:t>
      </w:r>
      <w:proofErr w:type="gramStart"/>
      <w:r w:rsidR="004815C6" w:rsidRPr="00CE52C3">
        <w:rPr>
          <w:color w:val="222222"/>
        </w:rPr>
        <w:t>14 day</w:t>
      </w:r>
      <w:proofErr w:type="gramEnd"/>
      <w:r w:rsidR="004815C6" w:rsidRPr="00CE52C3">
        <w:rPr>
          <w:color w:val="222222"/>
        </w:rPr>
        <w:t xml:space="preserve"> period specified in rule 7(3)(</w:t>
      </w:r>
      <w:r w:rsidR="004815C6" w:rsidRPr="00CE52C3">
        <w:rPr>
          <w:i/>
          <w:color w:val="222222"/>
        </w:rPr>
        <w:t>a</w:t>
      </w:r>
      <w:r w:rsidR="004815C6" w:rsidRPr="00CE52C3">
        <w:rPr>
          <w:color w:val="222222"/>
        </w:rPr>
        <w:t xml:space="preserve">) – they only did so on 22 January 2021 (some two weeks later). </w:t>
      </w:r>
    </w:p>
    <w:p w14:paraId="76F017F1" w14:textId="77777777" w:rsidR="004815C6" w:rsidRPr="00F5062D" w:rsidRDefault="004815C6" w:rsidP="004815C6">
      <w:pPr>
        <w:pStyle w:val="ListParagraph"/>
        <w:rPr>
          <w:rFonts w:cs="Arial"/>
          <w:color w:val="222222"/>
          <w:szCs w:val="24"/>
        </w:rPr>
      </w:pPr>
    </w:p>
    <w:p w14:paraId="6BDA9DDB" w14:textId="700A34D0" w:rsidR="00A07B0C" w:rsidRPr="00CE52C3" w:rsidRDefault="00CE52C3" w:rsidP="00CE52C3">
      <w:pPr>
        <w:rPr>
          <w:shd w:val="clear" w:color="auto" w:fill="FFFFFF"/>
          <w:lang w:val="en-GB"/>
        </w:rPr>
      </w:pPr>
      <w:r w:rsidRPr="00F5062D">
        <w:rPr>
          <w:spacing w:val="0"/>
          <w:lang w:val="en-GB"/>
        </w:rPr>
        <w:t>[6]</w:t>
      </w:r>
      <w:r w:rsidRPr="00F5062D">
        <w:rPr>
          <w:spacing w:val="0"/>
          <w:lang w:val="en-GB"/>
        </w:rPr>
        <w:tab/>
      </w:r>
      <w:r w:rsidR="004815C6" w:rsidRPr="00CE52C3">
        <w:rPr>
          <w:color w:val="222222"/>
        </w:rPr>
        <w:t xml:space="preserve">A condonation application for this non-compliance was only lodged on 6 March 2023 seeking ‘to the extent necessary, reinstatement of the appeal’ – more than two years later. The condonation application was opposed by the respondents. </w:t>
      </w:r>
    </w:p>
    <w:p w14:paraId="0F1FE78B" w14:textId="77777777" w:rsidR="004815C6" w:rsidRPr="00F5062D" w:rsidRDefault="004815C6" w:rsidP="004815C6">
      <w:pPr>
        <w:pStyle w:val="ListParagraph"/>
        <w:rPr>
          <w:rFonts w:cs="Arial"/>
          <w:szCs w:val="24"/>
          <w:shd w:val="clear" w:color="auto" w:fill="FFFFFF"/>
          <w:lang w:val="en-GB"/>
        </w:rPr>
      </w:pPr>
    </w:p>
    <w:p w14:paraId="61D949E8" w14:textId="722C548C" w:rsidR="00D744C5" w:rsidRPr="00CE52C3" w:rsidRDefault="00CE52C3" w:rsidP="00CE52C3">
      <w:pPr>
        <w:rPr>
          <w:shd w:val="clear" w:color="auto" w:fill="FFFFFF"/>
          <w:lang w:val="en-GB"/>
        </w:rPr>
      </w:pPr>
      <w:r w:rsidRPr="00F5062D">
        <w:rPr>
          <w:spacing w:val="0"/>
          <w:lang w:val="en-GB"/>
        </w:rPr>
        <w:t>[7]</w:t>
      </w:r>
      <w:r w:rsidRPr="00F5062D">
        <w:rPr>
          <w:spacing w:val="0"/>
          <w:lang w:val="en-GB"/>
        </w:rPr>
        <w:tab/>
      </w:r>
      <w:r w:rsidR="004815C6" w:rsidRPr="00CE52C3">
        <w:rPr>
          <w:shd w:val="clear" w:color="auto" w:fill="FFFFFF"/>
          <w:lang w:val="en-GB"/>
        </w:rPr>
        <w:t xml:space="preserve">The issues for determination by the Supreme </w:t>
      </w:r>
      <w:r w:rsidR="0096651E" w:rsidRPr="00CE52C3">
        <w:rPr>
          <w:shd w:val="clear" w:color="auto" w:fill="FFFFFF"/>
          <w:lang w:val="en-GB"/>
        </w:rPr>
        <w:t>C</w:t>
      </w:r>
      <w:r w:rsidR="004815C6" w:rsidRPr="00CE52C3">
        <w:rPr>
          <w:shd w:val="clear" w:color="auto" w:fill="FFFFFF"/>
          <w:lang w:val="en-GB"/>
        </w:rPr>
        <w:t>ourt were whether condonation should be granted for the late filing of applicants’ supplementary notice of appeal and reinstating the appeal, and whether the applicants required leave to appeal my order</w:t>
      </w:r>
      <w:r w:rsidR="0096651E" w:rsidRPr="00CE52C3">
        <w:rPr>
          <w:shd w:val="clear" w:color="auto" w:fill="FFFFFF"/>
          <w:lang w:val="en-GB"/>
        </w:rPr>
        <w:t xml:space="preserve"> and judgment</w:t>
      </w:r>
      <w:r w:rsidR="004815C6" w:rsidRPr="00CE52C3">
        <w:rPr>
          <w:shd w:val="clear" w:color="auto" w:fill="FFFFFF"/>
          <w:lang w:val="en-GB"/>
        </w:rPr>
        <w:t>.</w:t>
      </w:r>
    </w:p>
    <w:p w14:paraId="67F541B0" w14:textId="77777777" w:rsidR="00D744C5" w:rsidRPr="00F5062D" w:rsidRDefault="00D744C5" w:rsidP="00D744C5">
      <w:pPr>
        <w:pStyle w:val="ListParagraph"/>
        <w:rPr>
          <w:rFonts w:cs="Arial"/>
          <w:szCs w:val="24"/>
          <w:shd w:val="clear" w:color="auto" w:fill="FFFFFF"/>
          <w:lang w:val="en-GB"/>
        </w:rPr>
      </w:pPr>
    </w:p>
    <w:p w14:paraId="1537A265" w14:textId="00699406" w:rsidR="00D744C5" w:rsidRPr="00CE52C3" w:rsidRDefault="00CE52C3" w:rsidP="00CE52C3">
      <w:pPr>
        <w:rPr>
          <w:shd w:val="clear" w:color="auto" w:fill="FFFFFF"/>
          <w:lang w:val="en-GB"/>
        </w:rPr>
      </w:pPr>
      <w:r w:rsidRPr="00F5062D">
        <w:rPr>
          <w:spacing w:val="0"/>
          <w:lang w:val="en-GB"/>
        </w:rPr>
        <w:t>[8]</w:t>
      </w:r>
      <w:r w:rsidRPr="00F5062D">
        <w:rPr>
          <w:spacing w:val="0"/>
          <w:lang w:val="en-GB"/>
        </w:rPr>
        <w:tab/>
      </w:r>
      <w:r w:rsidR="009027A1" w:rsidRPr="00CE52C3">
        <w:rPr>
          <w:shd w:val="clear" w:color="auto" w:fill="FFFFFF"/>
          <w:lang w:val="en-GB"/>
        </w:rPr>
        <w:t>In the</w:t>
      </w:r>
      <w:r w:rsidR="00D744C5" w:rsidRPr="00CE52C3">
        <w:rPr>
          <w:shd w:val="clear" w:color="auto" w:fill="FFFFFF"/>
          <w:lang w:val="en-GB"/>
        </w:rPr>
        <w:t xml:space="preserve"> judgment delivered on 28 April 2023, the </w:t>
      </w:r>
      <w:r w:rsidR="0096651E" w:rsidRPr="00CE52C3">
        <w:rPr>
          <w:shd w:val="clear" w:color="auto" w:fill="FFFFFF"/>
          <w:lang w:val="en-GB"/>
        </w:rPr>
        <w:t>S</w:t>
      </w:r>
      <w:r w:rsidR="00D744C5" w:rsidRPr="00CE52C3">
        <w:rPr>
          <w:shd w:val="clear" w:color="auto" w:fill="FFFFFF"/>
          <w:lang w:val="en-GB"/>
        </w:rPr>
        <w:t xml:space="preserve">upreme </w:t>
      </w:r>
      <w:r w:rsidR="0096651E" w:rsidRPr="00CE52C3">
        <w:rPr>
          <w:shd w:val="clear" w:color="auto" w:fill="FFFFFF"/>
          <w:lang w:val="en-GB"/>
        </w:rPr>
        <w:t>C</w:t>
      </w:r>
      <w:r w:rsidR="00D744C5" w:rsidRPr="00CE52C3">
        <w:rPr>
          <w:shd w:val="clear" w:color="auto" w:fill="FFFFFF"/>
          <w:lang w:val="en-GB"/>
        </w:rPr>
        <w:t xml:space="preserve">ourt held </w:t>
      </w:r>
      <w:r w:rsidR="00D744C5" w:rsidRPr="00CE52C3">
        <w:rPr>
          <w:i/>
          <w:iCs/>
          <w:shd w:val="clear" w:color="auto" w:fill="FFFFFF"/>
          <w:lang w:val="en-GB"/>
        </w:rPr>
        <w:t>inter alia</w:t>
      </w:r>
      <w:r w:rsidR="00D744C5" w:rsidRPr="00CE52C3">
        <w:rPr>
          <w:shd w:val="clear" w:color="auto" w:fill="FFFFFF"/>
          <w:lang w:val="en-GB"/>
        </w:rPr>
        <w:t xml:space="preserve"> as follows:</w:t>
      </w:r>
    </w:p>
    <w:p w14:paraId="125DB99C" w14:textId="77777777" w:rsidR="00D744C5" w:rsidRPr="009027A1" w:rsidRDefault="00D744C5" w:rsidP="009027A1">
      <w:pPr>
        <w:rPr>
          <w:shd w:val="clear" w:color="auto" w:fill="FFFFFF"/>
          <w:lang w:val="en-GB"/>
        </w:rPr>
      </w:pPr>
    </w:p>
    <w:p w14:paraId="31C99F52" w14:textId="2482CAF1" w:rsidR="00D744C5" w:rsidRPr="00F5062D" w:rsidRDefault="00D744C5" w:rsidP="000979DC">
      <w:pPr>
        <w:ind w:left="1440" w:hanging="720"/>
        <w:rPr>
          <w:shd w:val="clear" w:color="auto" w:fill="FFFFFF"/>
          <w:lang w:val="en-GB"/>
        </w:rPr>
      </w:pPr>
      <w:r w:rsidRPr="00F5062D">
        <w:rPr>
          <w:shd w:val="clear" w:color="auto" w:fill="FFFFFF"/>
          <w:lang w:val="en-GB"/>
        </w:rPr>
        <w:t>(a)</w:t>
      </w:r>
      <w:r w:rsidRPr="00F5062D">
        <w:rPr>
          <w:shd w:val="clear" w:color="auto" w:fill="FFFFFF"/>
          <w:lang w:val="en-GB"/>
        </w:rPr>
        <w:tab/>
      </w:r>
      <w:r w:rsidR="00D450E8">
        <w:rPr>
          <w:shd w:val="clear" w:color="auto" w:fill="FFFFFF"/>
          <w:lang w:val="en-GB"/>
        </w:rPr>
        <w:t>w</w:t>
      </w:r>
      <w:r w:rsidRPr="00F5062D">
        <w:rPr>
          <w:shd w:val="clear" w:color="auto" w:fill="FFFFFF"/>
          <w:lang w:val="en-GB"/>
        </w:rPr>
        <w:t xml:space="preserve">hilst the delay in filing the supplemented notice of appeal was not excessive, the explanation provided for doing so was weak, lacked specificity and </w:t>
      </w:r>
      <w:r w:rsidR="001C2DE2" w:rsidRPr="00F5062D">
        <w:rPr>
          <w:shd w:val="clear" w:color="auto" w:fill="FFFFFF"/>
          <w:lang w:val="en-GB"/>
        </w:rPr>
        <w:t>evinced</w:t>
      </w:r>
      <w:r w:rsidRPr="00F5062D">
        <w:rPr>
          <w:shd w:val="clear" w:color="auto" w:fill="FFFFFF"/>
          <w:lang w:val="en-GB"/>
        </w:rPr>
        <w:t xml:space="preserve"> conduct of consciously not complying with the rule, compounded by the failure to bring an application for condonation without delay afterwards.</w:t>
      </w:r>
      <w:r w:rsidR="001C2DE2" w:rsidRPr="00F5062D">
        <w:rPr>
          <w:rStyle w:val="FootnoteReference"/>
          <w:shd w:val="clear" w:color="auto" w:fill="FFFFFF"/>
          <w:lang w:val="en-GB"/>
        </w:rPr>
        <w:footnoteReference w:id="2"/>
      </w:r>
      <w:r w:rsidRPr="00F5062D">
        <w:rPr>
          <w:shd w:val="clear" w:color="auto" w:fill="FFFFFF"/>
          <w:lang w:val="en-GB"/>
        </w:rPr>
        <w:t xml:space="preserve"> </w:t>
      </w:r>
    </w:p>
    <w:p w14:paraId="60763008" w14:textId="77777777" w:rsidR="00D744C5" w:rsidRPr="00F5062D" w:rsidRDefault="00D744C5" w:rsidP="00D744C5">
      <w:pPr>
        <w:ind w:firstLine="720"/>
        <w:rPr>
          <w:shd w:val="clear" w:color="auto" w:fill="FFFFFF"/>
          <w:lang w:val="en-GB"/>
        </w:rPr>
      </w:pPr>
    </w:p>
    <w:p w14:paraId="10E72916" w14:textId="5AE1B129" w:rsidR="004815C6" w:rsidRPr="00F5062D" w:rsidRDefault="00D744C5" w:rsidP="000979DC">
      <w:pPr>
        <w:ind w:left="1440" w:hanging="720"/>
        <w:rPr>
          <w:shd w:val="clear" w:color="auto" w:fill="FFFFFF"/>
          <w:lang w:val="en-GB"/>
        </w:rPr>
      </w:pPr>
      <w:r w:rsidRPr="00F5062D">
        <w:rPr>
          <w:shd w:val="clear" w:color="auto" w:fill="FFFFFF"/>
          <w:lang w:val="en-GB"/>
        </w:rPr>
        <w:t>(b)</w:t>
      </w:r>
      <w:r w:rsidRPr="00F5062D">
        <w:rPr>
          <w:shd w:val="clear" w:color="auto" w:fill="FFFFFF"/>
          <w:lang w:val="en-GB"/>
        </w:rPr>
        <w:tab/>
        <w:t xml:space="preserve">The delay in bringing the condonation application – of more than two years – merely ascribed to as being an ‘oversight’ was highly </w:t>
      </w:r>
      <w:r w:rsidRPr="00F5062D">
        <w:rPr>
          <w:shd w:val="clear" w:color="auto" w:fill="FFFFFF"/>
          <w:lang w:val="en-GB"/>
        </w:rPr>
        <w:lastRenderedPageBreak/>
        <w:t>unsatisfactory especially in the context of where the practitioner was fully aware of the non-compliance with the rule.</w:t>
      </w:r>
      <w:r w:rsidR="001C2DE2" w:rsidRPr="00F5062D">
        <w:rPr>
          <w:rStyle w:val="FootnoteReference"/>
          <w:shd w:val="clear" w:color="auto" w:fill="FFFFFF"/>
          <w:lang w:val="en-GB"/>
        </w:rPr>
        <w:footnoteReference w:id="3"/>
      </w:r>
      <w:r w:rsidR="004815C6" w:rsidRPr="00F5062D">
        <w:rPr>
          <w:shd w:val="clear" w:color="auto" w:fill="FFFFFF"/>
          <w:lang w:val="en-GB"/>
        </w:rPr>
        <w:t xml:space="preserve"> </w:t>
      </w:r>
    </w:p>
    <w:p w14:paraId="32811B4B" w14:textId="77777777" w:rsidR="00D744C5" w:rsidRPr="00F5062D" w:rsidRDefault="00D744C5" w:rsidP="00D744C5">
      <w:pPr>
        <w:ind w:firstLine="720"/>
        <w:rPr>
          <w:shd w:val="clear" w:color="auto" w:fill="FFFFFF"/>
          <w:lang w:val="en-GB"/>
        </w:rPr>
      </w:pPr>
    </w:p>
    <w:p w14:paraId="53EBA368" w14:textId="3C149857" w:rsidR="00D744C5" w:rsidRPr="00F5062D" w:rsidRDefault="00D744C5" w:rsidP="000979DC">
      <w:pPr>
        <w:ind w:left="1440" w:hanging="720"/>
        <w:rPr>
          <w:shd w:val="clear" w:color="auto" w:fill="FFFFFF"/>
          <w:lang w:val="en-GB"/>
        </w:rPr>
      </w:pPr>
      <w:r w:rsidRPr="00F5062D">
        <w:rPr>
          <w:shd w:val="clear" w:color="auto" w:fill="FFFFFF"/>
          <w:lang w:val="en-GB"/>
        </w:rPr>
        <w:t>(c)</w:t>
      </w:r>
      <w:r w:rsidRPr="00F5062D">
        <w:rPr>
          <w:shd w:val="clear" w:color="auto" w:fill="FFFFFF"/>
          <w:lang w:val="en-GB"/>
        </w:rPr>
        <w:tab/>
      </w:r>
      <w:r w:rsidR="00C2196A" w:rsidRPr="00F5062D">
        <w:rPr>
          <w:shd w:val="clear" w:color="auto" w:fill="FFFFFF"/>
          <w:lang w:val="en-GB"/>
        </w:rPr>
        <w:t>G</w:t>
      </w:r>
      <w:r w:rsidRPr="00F5062D">
        <w:rPr>
          <w:shd w:val="clear" w:color="auto" w:fill="FFFFFF"/>
          <w:lang w:val="en-GB"/>
        </w:rPr>
        <w:t xml:space="preserve">iven the dual nature of the requirement of showing good cause in condonation applications (an acceptable explanation and prospects of success), this can mean at times that strong prospects of success can make up for a weak and insufficient explanation, therefore in determination of that application it </w:t>
      </w:r>
      <w:r w:rsidR="000979DC" w:rsidRPr="00F5062D">
        <w:rPr>
          <w:shd w:val="clear" w:color="auto" w:fill="FFFFFF"/>
          <w:lang w:val="en-GB"/>
        </w:rPr>
        <w:t>was appropriate</w:t>
      </w:r>
      <w:r w:rsidRPr="00F5062D">
        <w:rPr>
          <w:shd w:val="clear" w:color="auto" w:fill="FFFFFF"/>
          <w:lang w:val="en-GB"/>
        </w:rPr>
        <w:t xml:space="preserve"> to consider the prospects of success on appeal (whether leave to appeal was required).</w:t>
      </w:r>
      <w:r w:rsidR="001C2DE2" w:rsidRPr="00F5062D">
        <w:rPr>
          <w:rStyle w:val="FootnoteReference"/>
          <w:shd w:val="clear" w:color="auto" w:fill="FFFFFF"/>
          <w:lang w:val="en-GB"/>
        </w:rPr>
        <w:footnoteReference w:id="4"/>
      </w:r>
    </w:p>
    <w:p w14:paraId="66999739" w14:textId="77777777" w:rsidR="00D744C5" w:rsidRPr="00F5062D" w:rsidRDefault="00D744C5" w:rsidP="00D744C5">
      <w:pPr>
        <w:rPr>
          <w:shd w:val="clear" w:color="auto" w:fill="FFFFFF"/>
          <w:lang w:val="en-GB"/>
        </w:rPr>
      </w:pPr>
    </w:p>
    <w:p w14:paraId="6808FAB0" w14:textId="75750FFB" w:rsidR="00D744C5" w:rsidRPr="00F5062D" w:rsidRDefault="00D744C5" w:rsidP="000979DC">
      <w:pPr>
        <w:ind w:left="1440" w:hanging="720"/>
        <w:rPr>
          <w:color w:val="000000" w:themeColor="text1"/>
        </w:rPr>
      </w:pPr>
      <w:r w:rsidRPr="00F5062D">
        <w:rPr>
          <w:color w:val="000000" w:themeColor="text1"/>
        </w:rPr>
        <w:t>(d)</w:t>
      </w:r>
      <w:r w:rsidRPr="00F5062D">
        <w:rPr>
          <w:color w:val="000000" w:themeColor="text1"/>
        </w:rPr>
        <w:tab/>
      </w:r>
      <w:r w:rsidR="00C2196A" w:rsidRPr="00F5062D">
        <w:rPr>
          <w:color w:val="000000" w:themeColor="text1"/>
        </w:rPr>
        <w:t>T</w:t>
      </w:r>
      <w:r w:rsidRPr="00F5062D">
        <w:rPr>
          <w:color w:val="000000" w:themeColor="text1"/>
        </w:rPr>
        <w:t>he wide ranging interim relief sought in the urgent application was in essence to put in place temporary measures pending the determination of the main action akin to a dissolution of a partnership when terminating the membership in the close corporations to bring about the termination of the relationship which has gone awry. The nature of the temporary relief and order sought was directed at doing that and was thus interlocutory.</w:t>
      </w:r>
      <w:r w:rsidR="0096651E" w:rsidRPr="00F5062D">
        <w:rPr>
          <w:rStyle w:val="FootnoteReference"/>
          <w:color w:val="000000" w:themeColor="text1"/>
        </w:rPr>
        <w:footnoteReference w:id="5"/>
      </w:r>
      <w:r w:rsidRPr="00F5062D">
        <w:rPr>
          <w:color w:val="000000" w:themeColor="text1"/>
        </w:rPr>
        <w:t xml:space="preserve"> </w:t>
      </w:r>
    </w:p>
    <w:p w14:paraId="4DFF346A" w14:textId="77777777" w:rsidR="00D744C5" w:rsidRPr="00F5062D" w:rsidRDefault="00D744C5" w:rsidP="00D744C5">
      <w:pPr>
        <w:ind w:firstLine="720"/>
        <w:rPr>
          <w:color w:val="000000" w:themeColor="text1"/>
        </w:rPr>
      </w:pPr>
    </w:p>
    <w:p w14:paraId="7251E177" w14:textId="79621929" w:rsidR="0096651E" w:rsidRPr="00F5062D" w:rsidRDefault="00D744C5" w:rsidP="000979DC">
      <w:pPr>
        <w:ind w:left="1440" w:hanging="720"/>
        <w:rPr>
          <w:color w:val="000000" w:themeColor="text1"/>
        </w:rPr>
      </w:pPr>
      <w:r w:rsidRPr="00F5062D">
        <w:rPr>
          <w:color w:val="000000" w:themeColor="text1"/>
        </w:rPr>
        <w:t>(e)</w:t>
      </w:r>
      <w:r w:rsidRPr="00F5062D">
        <w:rPr>
          <w:color w:val="000000" w:themeColor="text1"/>
        </w:rPr>
        <w:tab/>
      </w:r>
      <w:r w:rsidR="00C2196A" w:rsidRPr="00F5062D">
        <w:rPr>
          <w:color w:val="000000" w:themeColor="text1"/>
        </w:rPr>
        <w:t>H</w:t>
      </w:r>
      <w:r w:rsidRPr="00F5062D">
        <w:rPr>
          <w:color w:val="000000" w:themeColor="text1"/>
        </w:rPr>
        <w:t xml:space="preserve">aving found that the order dismissing the interim relief sought was an interlocutory order, leave to appeal was thus </w:t>
      </w:r>
      <w:r w:rsidR="00447E05" w:rsidRPr="00F5062D">
        <w:rPr>
          <w:color w:val="000000" w:themeColor="text1"/>
        </w:rPr>
        <w:t xml:space="preserve">clearly </w:t>
      </w:r>
      <w:r w:rsidRPr="00F5062D">
        <w:rPr>
          <w:color w:val="000000" w:themeColor="text1"/>
        </w:rPr>
        <w:t xml:space="preserve">required in terms of s 18(3) of the High Court Act 16 of 1990. The condonation application could therefore </w:t>
      </w:r>
      <w:r w:rsidR="000979DC" w:rsidRPr="00F5062D">
        <w:rPr>
          <w:color w:val="000000" w:themeColor="text1"/>
        </w:rPr>
        <w:t>not succeed</w:t>
      </w:r>
      <w:r w:rsidRPr="00F5062D">
        <w:rPr>
          <w:color w:val="000000" w:themeColor="text1"/>
        </w:rPr>
        <w:t xml:space="preserve"> for this reason alone, and the appeal could not be heard without leave.</w:t>
      </w:r>
      <w:r w:rsidR="0096651E" w:rsidRPr="00F5062D">
        <w:rPr>
          <w:rStyle w:val="FootnoteReference"/>
          <w:color w:val="000000" w:themeColor="text1"/>
        </w:rPr>
        <w:footnoteReference w:id="6"/>
      </w:r>
    </w:p>
    <w:p w14:paraId="28CDCC36" w14:textId="77777777" w:rsidR="00D744C5" w:rsidRPr="00F5062D" w:rsidRDefault="00D744C5" w:rsidP="00D744C5">
      <w:pPr>
        <w:pStyle w:val="ListParagraph"/>
        <w:spacing w:after="0"/>
        <w:ind w:left="0"/>
        <w:rPr>
          <w:rFonts w:cs="Arial"/>
          <w:szCs w:val="24"/>
          <w:shd w:val="clear" w:color="auto" w:fill="FFFFFF"/>
          <w:lang w:val="en-GB"/>
        </w:rPr>
      </w:pPr>
    </w:p>
    <w:p w14:paraId="53F5C070" w14:textId="6B79464E" w:rsidR="0099539B" w:rsidRPr="00CE52C3" w:rsidRDefault="00CE52C3" w:rsidP="00CE52C3">
      <w:pPr>
        <w:rPr>
          <w:shd w:val="clear" w:color="auto" w:fill="FFFFFF"/>
          <w:lang w:val="en-GB"/>
        </w:rPr>
      </w:pPr>
      <w:r w:rsidRPr="00F5062D">
        <w:rPr>
          <w:spacing w:val="0"/>
          <w:lang w:val="en-GB"/>
        </w:rPr>
        <w:t>[9]</w:t>
      </w:r>
      <w:r w:rsidRPr="00F5062D">
        <w:rPr>
          <w:spacing w:val="0"/>
          <w:lang w:val="en-GB"/>
        </w:rPr>
        <w:tab/>
      </w:r>
      <w:r w:rsidR="00D744C5" w:rsidRPr="00CE52C3">
        <w:rPr>
          <w:shd w:val="clear" w:color="auto" w:fill="FFFFFF"/>
          <w:lang w:val="en-GB"/>
        </w:rPr>
        <w:t xml:space="preserve">The respondents oppose the appeal mainly </w:t>
      </w:r>
      <w:proofErr w:type="gramStart"/>
      <w:r w:rsidR="00D744C5" w:rsidRPr="00CE52C3">
        <w:rPr>
          <w:shd w:val="clear" w:color="auto" w:fill="FFFFFF"/>
          <w:lang w:val="en-GB"/>
        </w:rPr>
        <w:t>on the basis of</w:t>
      </w:r>
      <w:proofErr w:type="gramEnd"/>
      <w:r w:rsidR="00D744C5" w:rsidRPr="00CE52C3">
        <w:rPr>
          <w:shd w:val="clear" w:color="auto" w:fill="FFFFFF"/>
          <w:lang w:val="en-GB"/>
        </w:rPr>
        <w:t xml:space="preserve"> the </w:t>
      </w:r>
      <w:r w:rsidR="00C2196A" w:rsidRPr="00CE52C3">
        <w:rPr>
          <w:shd w:val="clear" w:color="auto" w:fill="FFFFFF"/>
          <w:lang w:val="en-GB"/>
        </w:rPr>
        <w:t xml:space="preserve">applicants’ </w:t>
      </w:r>
      <w:r w:rsidR="00D744C5" w:rsidRPr="00CE52C3">
        <w:rPr>
          <w:shd w:val="clear" w:color="auto" w:fill="FFFFFF"/>
          <w:lang w:val="en-GB"/>
        </w:rPr>
        <w:t>dilatory conduct in prosecuting the appeal before the Supreme Court, which the respondent</w:t>
      </w:r>
      <w:r w:rsidR="00C2196A" w:rsidRPr="00CE52C3">
        <w:rPr>
          <w:shd w:val="clear" w:color="auto" w:fill="FFFFFF"/>
          <w:lang w:val="en-GB"/>
        </w:rPr>
        <w:t>s</w:t>
      </w:r>
      <w:r w:rsidR="00D744C5" w:rsidRPr="00CE52C3">
        <w:rPr>
          <w:shd w:val="clear" w:color="auto" w:fill="FFFFFF"/>
          <w:lang w:val="en-GB"/>
        </w:rPr>
        <w:t xml:space="preserve"> say should be considered in this application for condonation for the late filing of the application for leave to appeal.</w:t>
      </w:r>
      <w:r w:rsidR="0099539B" w:rsidRPr="00CE52C3">
        <w:rPr>
          <w:shd w:val="clear" w:color="auto" w:fill="FFFFFF"/>
          <w:lang w:val="en-GB"/>
        </w:rPr>
        <w:t xml:space="preserve"> It is postulated that the condonation </w:t>
      </w:r>
      <w:r w:rsidR="0099539B" w:rsidRPr="00CE52C3">
        <w:rPr>
          <w:shd w:val="clear" w:color="auto" w:fill="FFFFFF"/>
          <w:lang w:val="en-GB"/>
        </w:rPr>
        <w:lastRenderedPageBreak/>
        <w:t>application should be refused because the condonation application was refused in the Supreme Court</w:t>
      </w:r>
      <w:r w:rsidR="00C2196A" w:rsidRPr="00CE52C3">
        <w:rPr>
          <w:shd w:val="clear" w:color="auto" w:fill="FFFFFF"/>
          <w:lang w:val="en-GB"/>
        </w:rPr>
        <w:t>, and that t</w:t>
      </w:r>
      <w:r w:rsidR="0099539B" w:rsidRPr="00CE52C3">
        <w:rPr>
          <w:shd w:val="clear" w:color="auto" w:fill="FFFFFF"/>
          <w:lang w:val="en-GB"/>
        </w:rPr>
        <w:t>he sentiments expressed in the Supreme Court regarding the applicants</w:t>
      </w:r>
      <w:r w:rsidR="00C2196A" w:rsidRPr="00CE52C3">
        <w:rPr>
          <w:shd w:val="clear" w:color="auto" w:fill="FFFFFF"/>
          <w:lang w:val="en-GB"/>
        </w:rPr>
        <w:t xml:space="preserve">’ </w:t>
      </w:r>
      <w:r w:rsidR="0099539B" w:rsidRPr="00CE52C3">
        <w:rPr>
          <w:shd w:val="clear" w:color="auto" w:fill="FFFFFF"/>
          <w:lang w:val="en-GB"/>
        </w:rPr>
        <w:t xml:space="preserve">remissness in taking two years to apply for condonation for the late filing of the </w:t>
      </w:r>
      <w:r w:rsidR="009027A1" w:rsidRPr="00CE52C3">
        <w:rPr>
          <w:shd w:val="clear" w:color="auto" w:fill="FFFFFF"/>
          <w:lang w:val="en-GB"/>
        </w:rPr>
        <w:t xml:space="preserve">supplementary notice </w:t>
      </w:r>
      <w:r w:rsidR="0099539B" w:rsidRPr="00CE52C3">
        <w:rPr>
          <w:shd w:val="clear" w:color="auto" w:fill="FFFFFF"/>
          <w:lang w:val="en-GB"/>
        </w:rPr>
        <w:t xml:space="preserve">are applicable to the application for condonation </w:t>
      </w:r>
      <w:r w:rsidR="00C2196A" w:rsidRPr="00CE52C3">
        <w:rPr>
          <w:shd w:val="clear" w:color="auto" w:fill="FFFFFF"/>
          <w:lang w:val="en-GB"/>
        </w:rPr>
        <w:t xml:space="preserve">in respect of the application for leave to appeal, which is </w:t>
      </w:r>
      <w:r w:rsidR="0099539B" w:rsidRPr="00CE52C3">
        <w:rPr>
          <w:shd w:val="clear" w:color="auto" w:fill="FFFFFF"/>
          <w:lang w:val="en-GB"/>
        </w:rPr>
        <w:t>before me.</w:t>
      </w:r>
    </w:p>
    <w:p w14:paraId="34896FB9" w14:textId="77777777" w:rsidR="0099539B" w:rsidRPr="00F5062D" w:rsidRDefault="0099539B" w:rsidP="0099539B">
      <w:pPr>
        <w:pStyle w:val="ListParagraph"/>
        <w:spacing w:after="0"/>
        <w:ind w:left="0"/>
        <w:rPr>
          <w:rFonts w:cs="Arial"/>
          <w:szCs w:val="24"/>
          <w:shd w:val="clear" w:color="auto" w:fill="FFFFFF"/>
          <w:lang w:val="en-GB"/>
        </w:rPr>
      </w:pPr>
    </w:p>
    <w:p w14:paraId="767F1CE2" w14:textId="6FF4AAD5" w:rsidR="0099539B" w:rsidRPr="00CE52C3" w:rsidRDefault="00CE52C3" w:rsidP="00CE52C3">
      <w:pPr>
        <w:rPr>
          <w:shd w:val="clear" w:color="auto" w:fill="FFFFFF"/>
          <w:lang w:val="en-GB"/>
        </w:rPr>
      </w:pPr>
      <w:r w:rsidRPr="00F5062D">
        <w:rPr>
          <w:spacing w:val="0"/>
          <w:lang w:val="en-GB"/>
        </w:rPr>
        <w:t>[10]</w:t>
      </w:r>
      <w:r w:rsidRPr="00F5062D">
        <w:rPr>
          <w:spacing w:val="0"/>
          <w:lang w:val="en-GB"/>
        </w:rPr>
        <w:tab/>
      </w:r>
      <w:r w:rsidR="0099539B" w:rsidRPr="00CE52C3">
        <w:rPr>
          <w:shd w:val="clear" w:color="auto" w:fill="FFFFFF"/>
          <w:lang w:val="en-GB"/>
        </w:rPr>
        <w:t xml:space="preserve">I have considered the </w:t>
      </w:r>
      <w:r w:rsidR="00C2196A" w:rsidRPr="00CE52C3">
        <w:rPr>
          <w:shd w:val="clear" w:color="auto" w:fill="FFFFFF"/>
          <w:lang w:val="en-GB"/>
        </w:rPr>
        <w:t>S</w:t>
      </w:r>
      <w:r w:rsidR="0099539B" w:rsidRPr="00CE52C3">
        <w:rPr>
          <w:shd w:val="clear" w:color="auto" w:fill="FFFFFF"/>
          <w:lang w:val="en-GB"/>
        </w:rPr>
        <w:t xml:space="preserve">upreme </w:t>
      </w:r>
      <w:r w:rsidR="00C2196A" w:rsidRPr="00CE52C3">
        <w:rPr>
          <w:shd w:val="clear" w:color="auto" w:fill="FFFFFF"/>
          <w:lang w:val="en-GB"/>
        </w:rPr>
        <w:t>C</w:t>
      </w:r>
      <w:r w:rsidR="0099539B" w:rsidRPr="00CE52C3">
        <w:rPr>
          <w:shd w:val="clear" w:color="auto" w:fill="FFFFFF"/>
          <w:lang w:val="en-GB"/>
        </w:rPr>
        <w:t xml:space="preserve">ourt judgment. It is true that the applicants were particularly </w:t>
      </w:r>
      <w:r w:rsidR="00C2196A" w:rsidRPr="00CE52C3">
        <w:rPr>
          <w:shd w:val="clear" w:color="auto" w:fill="FFFFFF"/>
          <w:lang w:val="en-GB"/>
        </w:rPr>
        <w:t>dilatory</w:t>
      </w:r>
      <w:r w:rsidR="0099539B" w:rsidRPr="00CE52C3">
        <w:rPr>
          <w:shd w:val="clear" w:color="auto" w:fill="FFFFFF"/>
          <w:lang w:val="en-GB"/>
        </w:rPr>
        <w:t xml:space="preserve">, and this is evidenced from </w:t>
      </w:r>
      <w:r w:rsidR="00C2196A" w:rsidRPr="00CE52C3">
        <w:rPr>
          <w:i/>
          <w:iCs/>
          <w:shd w:val="clear" w:color="auto" w:fill="FFFFFF"/>
          <w:lang w:val="en-GB"/>
        </w:rPr>
        <w:t xml:space="preserve">inter alia </w:t>
      </w:r>
      <w:r w:rsidR="0099539B" w:rsidRPr="00CE52C3">
        <w:rPr>
          <w:shd w:val="clear" w:color="auto" w:fill="FFFFFF"/>
          <w:lang w:val="en-GB"/>
        </w:rPr>
        <w:t>the following portions of the Supreme Court judgment</w:t>
      </w:r>
      <w:r w:rsidR="00C2196A" w:rsidRPr="00CE52C3">
        <w:rPr>
          <w:shd w:val="clear" w:color="auto" w:fill="FFFFFF"/>
          <w:lang w:val="en-GB"/>
        </w:rPr>
        <w:t xml:space="preserve">: </w:t>
      </w:r>
    </w:p>
    <w:p w14:paraId="7CD36D8F" w14:textId="77777777" w:rsidR="0099539B" w:rsidRPr="00F5062D" w:rsidRDefault="0099539B" w:rsidP="0099539B">
      <w:pPr>
        <w:rPr>
          <w:shd w:val="clear" w:color="auto" w:fill="FFFFFF"/>
          <w:lang w:val="en-GB"/>
        </w:rPr>
      </w:pPr>
    </w:p>
    <w:p w14:paraId="18E420B2" w14:textId="76F50854" w:rsidR="0099539B" w:rsidRPr="00756A35" w:rsidRDefault="0099539B" w:rsidP="0099539B">
      <w:pPr>
        <w:ind w:firstLine="720"/>
        <w:rPr>
          <w:sz w:val="20"/>
          <w:szCs w:val="20"/>
          <w:shd w:val="clear" w:color="auto" w:fill="FFFFFF"/>
          <w:lang w:val="en-GB"/>
        </w:rPr>
      </w:pPr>
      <w:r w:rsidRPr="00756A35">
        <w:rPr>
          <w:sz w:val="20"/>
          <w:szCs w:val="20"/>
          <w:shd w:val="clear" w:color="auto" w:fill="FFFFFF"/>
          <w:lang w:val="en-GB"/>
        </w:rPr>
        <w:t>‘The explanation thus lacks specificity. But the delay in bringing the condonation application – of more than two years – merely ascribed to as being an ‘oversight’ is highly unsatisfactory especially in the context of where the practitioner is fully aware of the non-compliance with the rule.’</w:t>
      </w:r>
      <w:r w:rsidRPr="00756A35">
        <w:rPr>
          <w:rStyle w:val="FootnoteReference"/>
          <w:sz w:val="20"/>
          <w:szCs w:val="20"/>
          <w:shd w:val="clear" w:color="auto" w:fill="FFFFFF"/>
          <w:lang w:val="en-GB"/>
        </w:rPr>
        <w:footnoteReference w:id="7"/>
      </w:r>
    </w:p>
    <w:p w14:paraId="2E9521A5" w14:textId="77777777" w:rsidR="0099539B" w:rsidRPr="00756A35" w:rsidRDefault="0099539B" w:rsidP="000979DC">
      <w:pPr>
        <w:spacing w:line="240" w:lineRule="auto"/>
        <w:ind w:firstLine="720"/>
        <w:rPr>
          <w:sz w:val="20"/>
          <w:szCs w:val="20"/>
          <w:shd w:val="clear" w:color="auto" w:fill="FFFFFF"/>
          <w:lang w:val="en-GB"/>
        </w:rPr>
      </w:pPr>
    </w:p>
    <w:p w14:paraId="7CF3D53B" w14:textId="47F73EB5" w:rsidR="0099539B" w:rsidRPr="00756A35" w:rsidRDefault="0099539B" w:rsidP="0099539B">
      <w:pPr>
        <w:rPr>
          <w:sz w:val="20"/>
          <w:szCs w:val="20"/>
          <w:shd w:val="clear" w:color="auto" w:fill="FFFFFF"/>
          <w:lang w:val="en-GB"/>
        </w:rPr>
      </w:pPr>
      <w:r w:rsidRPr="00756A35">
        <w:rPr>
          <w:sz w:val="20"/>
          <w:szCs w:val="20"/>
          <w:shd w:val="clear" w:color="auto" w:fill="FFFFFF"/>
          <w:lang w:val="en-GB"/>
        </w:rPr>
        <w:t>and</w:t>
      </w:r>
    </w:p>
    <w:p w14:paraId="70A79AFD" w14:textId="7302083E" w:rsidR="0099539B" w:rsidRPr="00756A35" w:rsidRDefault="0099539B" w:rsidP="0099539B">
      <w:pPr>
        <w:ind w:firstLine="720"/>
        <w:rPr>
          <w:sz w:val="20"/>
          <w:szCs w:val="20"/>
          <w:shd w:val="clear" w:color="auto" w:fill="FFFFFF"/>
          <w:lang w:val="en-GB"/>
        </w:rPr>
      </w:pPr>
      <w:r w:rsidRPr="00756A35">
        <w:rPr>
          <w:sz w:val="20"/>
          <w:szCs w:val="20"/>
          <w:shd w:val="clear" w:color="auto" w:fill="FFFFFF"/>
          <w:lang w:val="en-GB"/>
        </w:rPr>
        <w:t>‘This remissness and neglect on the part of appellants’ practitioner is unacceptable. Given the dual nature of the requirement of showing good cause in condonation applications, (an acceptable explanation and prospects of success), this can mean at times that strong prospects of success can make up for a weak and insufficient explanation. In determining this application for condonation, it is appropriate to consider the prospects of success on appeal.’</w:t>
      </w:r>
      <w:r w:rsidRPr="00756A35">
        <w:rPr>
          <w:rStyle w:val="FootnoteReference"/>
          <w:sz w:val="20"/>
          <w:szCs w:val="20"/>
          <w:shd w:val="clear" w:color="auto" w:fill="FFFFFF"/>
          <w:lang w:val="en-GB"/>
        </w:rPr>
        <w:footnoteReference w:id="8"/>
      </w:r>
    </w:p>
    <w:p w14:paraId="6FEEA3D2" w14:textId="77777777" w:rsidR="0099539B" w:rsidRPr="00F5062D" w:rsidRDefault="0099539B" w:rsidP="0099539B">
      <w:pPr>
        <w:ind w:firstLine="720"/>
        <w:rPr>
          <w:shd w:val="clear" w:color="auto" w:fill="FFFFFF"/>
          <w:lang w:val="en-GB"/>
        </w:rPr>
      </w:pPr>
    </w:p>
    <w:p w14:paraId="31FAC7E5" w14:textId="064F8AB7" w:rsidR="0099539B" w:rsidRPr="00CE52C3" w:rsidRDefault="00CE52C3" w:rsidP="00CE52C3">
      <w:pPr>
        <w:rPr>
          <w:shd w:val="clear" w:color="auto" w:fill="FFFFFF"/>
          <w:lang w:val="en-GB"/>
        </w:rPr>
      </w:pPr>
      <w:r w:rsidRPr="00F5062D">
        <w:rPr>
          <w:spacing w:val="0"/>
          <w:lang w:val="en-GB"/>
        </w:rPr>
        <w:t>[11]</w:t>
      </w:r>
      <w:r w:rsidRPr="00F5062D">
        <w:rPr>
          <w:spacing w:val="0"/>
          <w:lang w:val="en-GB"/>
        </w:rPr>
        <w:tab/>
      </w:r>
      <w:r w:rsidR="0099539B" w:rsidRPr="00CE52C3">
        <w:rPr>
          <w:shd w:val="clear" w:color="auto" w:fill="FFFFFF"/>
          <w:lang w:val="en-GB"/>
        </w:rPr>
        <w:t>It is evident from the above that the Supreme Court did not exercise its discretion to hold the remissness of the applicants against them to the extent that the Supreme Court refused to consider the merits.</w:t>
      </w:r>
      <w:r w:rsidR="00C2196A" w:rsidRPr="00CE52C3">
        <w:rPr>
          <w:shd w:val="clear" w:color="auto" w:fill="FFFFFF"/>
          <w:lang w:val="en-GB"/>
        </w:rPr>
        <w:t xml:space="preserve"> Condonation was refused for the failure to apply for leave to appeal. At least, this is how I understand the judgment of the Supreme Court.</w:t>
      </w:r>
      <w:r w:rsidR="0099539B" w:rsidRPr="00F5062D">
        <w:rPr>
          <w:rStyle w:val="FootnoteReference"/>
          <w:shd w:val="clear" w:color="auto" w:fill="FFFFFF"/>
          <w:lang w:val="en-GB"/>
        </w:rPr>
        <w:footnoteReference w:id="9"/>
      </w:r>
    </w:p>
    <w:p w14:paraId="0EEF9776" w14:textId="77777777" w:rsidR="0099539B" w:rsidRPr="00F5062D" w:rsidRDefault="0099539B" w:rsidP="0099539B">
      <w:pPr>
        <w:pStyle w:val="ListParagraph"/>
        <w:spacing w:after="0"/>
        <w:ind w:left="0"/>
        <w:rPr>
          <w:rFonts w:cs="Arial"/>
          <w:szCs w:val="24"/>
          <w:shd w:val="clear" w:color="auto" w:fill="FFFFFF"/>
          <w:lang w:val="en-GB"/>
        </w:rPr>
      </w:pPr>
    </w:p>
    <w:p w14:paraId="2EC8104B" w14:textId="04AD7557" w:rsidR="00592BD9" w:rsidRPr="00CE52C3" w:rsidRDefault="00CE52C3" w:rsidP="00CE52C3">
      <w:pPr>
        <w:rPr>
          <w:shd w:val="clear" w:color="auto" w:fill="FFFFFF"/>
          <w:lang w:val="en-GB"/>
        </w:rPr>
      </w:pPr>
      <w:r w:rsidRPr="00F5062D">
        <w:rPr>
          <w:spacing w:val="0"/>
          <w:lang w:val="en-GB"/>
        </w:rPr>
        <w:t>[12]</w:t>
      </w:r>
      <w:r w:rsidRPr="00F5062D">
        <w:rPr>
          <w:spacing w:val="0"/>
          <w:lang w:val="en-GB"/>
        </w:rPr>
        <w:tab/>
      </w:r>
      <w:r w:rsidR="0099539B" w:rsidRPr="00CE52C3">
        <w:rPr>
          <w:shd w:val="clear" w:color="auto" w:fill="FFFFFF"/>
          <w:lang w:val="en-GB"/>
        </w:rPr>
        <w:t>Instead the merits were still considered, and the applicants were left wanting because they followed the wrong procedure and should have applied for leave to appeal.</w:t>
      </w:r>
      <w:r w:rsidR="000979DC" w:rsidRPr="00CE52C3">
        <w:rPr>
          <w:shd w:val="clear" w:color="auto" w:fill="FFFFFF"/>
          <w:lang w:val="en-GB"/>
        </w:rPr>
        <w:t xml:space="preserve"> In this regard, the Supreme C</w:t>
      </w:r>
      <w:r w:rsidR="00592BD9" w:rsidRPr="00CE52C3">
        <w:rPr>
          <w:shd w:val="clear" w:color="auto" w:fill="FFFFFF"/>
          <w:lang w:val="en-GB"/>
        </w:rPr>
        <w:t xml:space="preserve">ourt concluded </w:t>
      </w:r>
      <w:proofErr w:type="gramStart"/>
      <w:r w:rsidR="00592BD9" w:rsidRPr="00CE52C3">
        <w:rPr>
          <w:shd w:val="clear" w:color="auto" w:fill="FFFFFF"/>
          <w:lang w:val="en-GB"/>
        </w:rPr>
        <w:t>that</w:t>
      </w:r>
      <w:proofErr w:type="gramEnd"/>
    </w:p>
    <w:p w14:paraId="4C25DFDB" w14:textId="77777777" w:rsidR="00592BD9" w:rsidRPr="00F5062D" w:rsidRDefault="00592BD9" w:rsidP="00592BD9">
      <w:pPr>
        <w:pStyle w:val="ListParagraph"/>
        <w:rPr>
          <w:rFonts w:cs="Arial"/>
          <w:szCs w:val="24"/>
          <w:shd w:val="clear" w:color="auto" w:fill="FFFFFF"/>
          <w:lang w:val="en-GB"/>
        </w:rPr>
      </w:pPr>
    </w:p>
    <w:p w14:paraId="094CEF76" w14:textId="617F8DDF" w:rsidR="00592BD9" w:rsidRPr="000979DC" w:rsidRDefault="00592BD9" w:rsidP="00592BD9">
      <w:pPr>
        <w:pStyle w:val="ListParagraph"/>
        <w:ind w:left="0" w:firstLine="720"/>
        <w:rPr>
          <w:rFonts w:cs="Arial"/>
          <w:sz w:val="22"/>
          <w:shd w:val="clear" w:color="auto" w:fill="FFFFFF"/>
          <w:lang w:val="en-GB"/>
        </w:rPr>
      </w:pPr>
      <w:r w:rsidRPr="000979DC">
        <w:rPr>
          <w:rFonts w:cs="Arial"/>
          <w:sz w:val="22"/>
          <w:shd w:val="clear" w:color="auto" w:fill="FFFFFF"/>
          <w:lang w:val="en-GB"/>
        </w:rPr>
        <w:lastRenderedPageBreak/>
        <w:t>‘…the order dismissing the interim relief sought in paragraph 3.1 and 3.2 is an interlocutory order and …leave to ap</w:t>
      </w:r>
      <w:r w:rsidR="000979DC">
        <w:rPr>
          <w:rFonts w:cs="Arial"/>
          <w:sz w:val="22"/>
          <w:shd w:val="clear" w:color="auto" w:fill="FFFFFF"/>
          <w:lang w:val="en-GB"/>
        </w:rPr>
        <w:t xml:space="preserve">peal was required in terms of </w:t>
      </w:r>
      <w:r w:rsidRPr="000979DC">
        <w:rPr>
          <w:rFonts w:cs="Arial"/>
          <w:sz w:val="22"/>
          <w:shd w:val="clear" w:color="auto" w:fill="FFFFFF"/>
          <w:lang w:val="en-GB"/>
        </w:rPr>
        <w:t>s 18(3)</w:t>
      </w:r>
      <w:r w:rsidRPr="000979DC">
        <w:rPr>
          <w:rStyle w:val="FootnoteReference"/>
          <w:rFonts w:cs="Arial"/>
          <w:sz w:val="22"/>
          <w:shd w:val="clear" w:color="auto" w:fill="FFFFFF"/>
          <w:lang w:val="en-GB"/>
        </w:rPr>
        <w:footnoteReference w:id="10"/>
      </w:r>
      <w:r w:rsidRPr="000979DC">
        <w:rPr>
          <w:rFonts w:cs="Arial"/>
          <w:sz w:val="22"/>
          <w:shd w:val="clear" w:color="auto" w:fill="FFFFFF"/>
          <w:lang w:val="en-GB"/>
        </w:rPr>
        <w:t>. The condonation application cannot succeed for this reason alone, given that the appeal itself could not properly serve before us without leave. The matter is accordingly to be struck from the roll with costs for this reason alone.’</w:t>
      </w:r>
      <w:r w:rsidR="00447E05" w:rsidRPr="000979DC">
        <w:rPr>
          <w:rStyle w:val="FootnoteReference"/>
          <w:rFonts w:cs="Arial"/>
          <w:sz w:val="22"/>
          <w:shd w:val="clear" w:color="auto" w:fill="FFFFFF"/>
          <w:lang w:val="en-GB"/>
        </w:rPr>
        <w:footnoteReference w:id="11"/>
      </w:r>
    </w:p>
    <w:p w14:paraId="4E96B8AD" w14:textId="77777777" w:rsidR="00E6642B" w:rsidRPr="00F5062D" w:rsidRDefault="00E6642B" w:rsidP="00E6642B">
      <w:pPr>
        <w:pStyle w:val="ListParagraph"/>
        <w:spacing w:after="0"/>
        <w:ind w:left="0"/>
        <w:rPr>
          <w:rFonts w:cs="Arial"/>
          <w:szCs w:val="24"/>
          <w:shd w:val="clear" w:color="auto" w:fill="FFFFFF"/>
          <w:lang w:val="en-GB"/>
        </w:rPr>
      </w:pPr>
    </w:p>
    <w:p w14:paraId="666E8271" w14:textId="5CC73E9F" w:rsidR="00592BD9" w:rsidRPr="00CE52C3" w:rsidRDefault="00CE52C3" w:rsidP="00CE52C3">
      <w:pPr>
        <w:rPr>
          <w:shd w:val="clear" w:color="auto" w:fill="FFFFFF"/>
          <w:lang w:val="en-GB"/>
        </w:rPr>
      </w:pPr>
      <w:r w:rsidRPr="00F5062D">
        <w:rPr>
          <w:spacing w:val="0"/>
          <w:lang w:val="en-GB"/>
        </w:rPr>
        <w:t>[13]</w:t>
      </w:r>
      <w:r w:rsidRPr="00F5062D">
        <w:rPr>
          <w:spacing w:val="0"/>
          <w:lang w:val="en-GB"/>
        </w:rPr>
        <w:tab/>
      </w:r>
      <w:r w:rsidR="00592BD9" w:rsidRPr="00CE52C3">
        <w:rPr>
          <w:shd w:val="clear" w:color="auto" w:fill="FFFFFF"/>
          <w:lang w:val="en-GB"/>
        </w:rPr>
        <w:t>To my mind, and based on the judgment of the Supreme Court, the applicants were indeed ill advised to note an appeal instead of apply</w:t>
      </w:r>
      <w:r w:rsidR="00F20F8F" w:rsidRPr="00CE52C3">
        <w:rPr>
          <w:shd w:val="clear" w:color="auto" w:fill="FFFFFF"/>
          <w:lang w:val="en-GB"/>
        </w:rPr>
        <w:t>ing</w:t>
      </w:r>
      <w:r w:rsidR="00592BD9" w:rsidRPr="00CE52C3">
        <w:rPr>
          <w:shd w:val="clear" w:color="auto" w:fill="FFFFFF"/>
          <w:lang w:val="en-GB"/>
        </w:rPr>
        <w:t xml:space="preserve"> for leave to appeal. Although the applicant</w:t>
      </w:r>
      <w:r w:rsidR="00447E05" w:rsidRPr="00CE52C3">
        <w:rPr>
          <w:shd w:val="clear" w:color="auto" w:fill="FFFFFF"/>
          <w:lang w:val="en-GB"/>
        </w:rPr>
        <w:t>s</w:t>
      </w:r>
      <w:r w:rsidR="00592BD9" w:rsidRPr="00CE52C3">
        <w:rPr>
          <w:shd w:val="clear" w:color="auto" w:fill="FFFFFF"/>
          <w:lang w:val="en-GB"/>
        </w:rPr>
        <w:t xml:space="preserve"> advanced reasons for noting the appeal, the Supreme Court held the applicants to </w:t>
      </w:r>
      <w:r w:rsidR="00C2196A" w:rsidRPr="00CE52C3">
        <w:rPr>
          <w:shd w:val="clear" w:color="auto" w:fill="FFFFFF"/>
          <w:lang w:val="en-GB"/>
        </w:rPr>
        <w:t xml:space="preserve">the provisions </w:t>
      </w:r>
      <w:r w:rsidR="000979DC" w:rsidRPr="00CE52C3">
        <w:rPr>
          <w:shd w:val="clear" w:color="auto" w:fill="FFFFFF"/>
          <w:lang w:val="en-GB"/>
        </w:rPr>
        <w:t>s18(</w:t>
      </w:r>
      <w:r w:rsidR="00592BD9" w:rsidRPr="00CE52C3">
        <w:rPr>
          <w:shd w:val="clear" w:color="auto" w:fill="FFFFFF"/>
          <w:lang w:val="en-GB"/>
        </w:rPr>
        <w:t>3) of the High Court Act 16 of 1990.</w:t>
      </w:r>
    </w:p>
    <w:p w14:paraId="670BF5D6" w14:textId="77777777" w:rsidR="00592BD9" w:rsidRPr="00F5062D" w:rsidRDefault="00592BD9" w:rsidP="00592BD9">
      <w:pPr>
        <w:pStyle w:val="ListParagraph"/>
        <w:spacing w:after="0"/>
        <w:ind w:left="0"/>
        <w:rPr>
          <w:rFonts w:cs="Arial"/>
          <w:szCs w:val="24"/>
          <w:shd w:val="clear" w:color="auto" w:fill="FFFFFF"/>
          <w:lang w:val="en-GB"/>
        </w:rPr>
      </w:pPr>
    </w:p>
    <w:p w14:paraId="2C3F115A" w14:textId="6CB527BE" w:rsidR="00592BD9" w:rsidRPr="00CE52C3" w:rsidRDefault="00CE52C3" w:rsidP="00CE52C3">
      <w:pPr>
        <w:rPr>
          <w:shd w:val="clear" w:color="auto" w:fill="FFFFFF"/>
          <w:lang w:val="en-GB"/>
        </w:rPr>
      </w:pPr>
      <w:r w:rsidRPr="00F5062D">
        <w:rPr>
          <w:spacing w:val="0"/>
          <w:lang w:val="en-GB"/>
        </w:rPr>
        <w:t>[14]</w:t>
      </w:r>
      <w:r w:rsidRPr="00F5062D">
        <w:rPr>
          <w:spacing w:val="0"/>
          <w:lang w:val="en-GB"/>
        </w:rPr>
        <w:tab/>
      </w:r>
      <w:r w:rsidR="00592BD9" w:rsidRPr="00CE52C3">
        <w:rPr>
          <w:shd w:val="clear" w:color="auto" w:fill="FFFFFF"/>
          <w:lang w:val="en-GB"/>
        </w:rPr>
        <w:t>For purposes of the application for condonation for the late filing of the application for leave to appeal, I note that the applicants acted with due haste and applied for leave to appeal within the period required by rule 115 of this court’s rules</w:t>
      </w:r>
      <w:r w:rsidR="000979DC" w:rsidRPr="00CE52C3">
        <w:rPr>
          <w:shd w:val="clear" w:color="auto" w:fill="FFFFFF"/>
          <w:lang w:val="en-GB"/>
        </w:rPr>
        <w:t>,</w:t>
      </w:r>
      <w:r w:rsidR="00592BD9" w:rsidRPr="00CE52C3">
        <w:rPr>
          <w:shd w:val="clear" w:color="auto" w:fill="FFFFFF"/>
          <w:lang w:val="en-GB"/>
        </w:rPr>
        <w:t xml:space="preserve"> after the</w:t>
      </w:r>
      <w:r w:rsidR="000979DC" w:rsidRPr="00CE52C3">
        <w:rPr>
          <w:shd w:val="clear" w:color="auto" w:fill="FFFFFF"/>
          <w:lang w:val="en-GB"/>
        </w:rPr>
        <w:t xml:space="preserve"> delivery of the Supreme Court j</w:t>
      </w:r>
      <w:r w:rsidR="00592BD9" w:rsidRPr="00CE52C3">
        <w:rPr>
          <w:shd w:val="clear" w:color="auto" w:fill="FFFFFF"/>
          <w:lang w:val="en-GB"/>
        </w:rPr>
        <w:t xml:space="preserve">udgment, which was on 28 April 2023. </w:t>
      </w:r>
    </w:p>
    <w:p w14:paraId="1E08668A" w14:textId="77777777" w:rsidR="00592BD9" w:rsidRPr="009027A1" w:rsidRDefault="00592BD9" w:rsidP="000979DC">
      <w:pPr>
        <w:rPr>
          <w:shd w:val="clear" w:color="auto" w:fill="FFFFFF"/>
          <w:lang w:val="en-GB"/>
        </w:rPr>
      </w:pPr>
    </w:p>
    <w:p w14:paraId="2460B87D" w14:textId="648C75E0" w:rsidR="00592BD9" w:rsidRPr="00CE52C3" w:rsidRDefault="00CE52C3" w:rsidP="00CE52C3">
      <w:pPr>
        <w:rPr>
          <w:shd w:val="clear" w:color="auto" w:fill="FFFFFF"/>
          <w:lang w:val="en-GB"/>
        </w:rPr>
      </w:pPr>
      <w:r w:rsidRPr="00F5062D">
        <w:rPr>
          <w:spacing w:val="0"/>
          <w:lang w:val="en-GB"/>
        </w:rPr>
        <w:t>[15]</w:t>
      </w:r>
      <w:r w:rsidRPr="00F5062D">
        <w:rPr>
          <w:spacing w:val="0"/>
          <w:lang w:val="en-GB"/>
        </w:rPr>
        <w:tab/>
      </w:r>
      <w:r w:rsidR="00447E05" w:rsidRPr="00CE52C3">
        <w:rPr>
          <w:shd w:val="clear" w:color="auto" w:fill="FFFFFF"/>
          <w:lang w:val="en-GB"/>
        </w:rPr>
        <w:t xml:space="preserve">Accordingly, </w:t>
      </w:r>
      <w:r w:rsidR="00592BD9" w:rsidRPr="00CE52C3">
        <w:rPr>
          <w:shd w:val="clear" w:color="auto" w:fill="FFFFFF"/>
          <w:lang w:val="en-GB"/>
        </w:rPr>
        <w:t>I do not believe that the delay that the Supreme Court dealt with should be considered in th</w:t>
      </w:r>
      <w:r w:rsidR="001C2DE2" w:rsidRPr="00CE52C3">
        <w:rPr>
          <w:shd w:val="clear" w:color="auto" w:fill="FFFFFF"/>
          <w:lang w:val="en-GB"/>
        </w:rPr>
        <w:t>e application before me</w:t>
      </w:r>
      <w:r w:rsidR="009027A1" w:rsidRPr="00CE52C3">
        <w:rPr>
          <w:shd w:val="clear" w:color="auto" w:fill="FFFFFF"/>
          <w:lang w:val="en-GB"/>
        </w:rPr>
        <w:t>, as</w:t>
      </w:r>
      <w:r w:rsidR="00592BD9" w:rsidRPr="00CE52C3">
        <w:rPr>
          <w:shd w:val="clear" w:color="auto" w:fill="FFFFFF"/>
          <w:lang w:val="en-GB"/>
        </w:rPr>
        <w:t xml:space="preserve"> the applicants acted within the </w:t>
      </w:r>
      <w:r w:rsidR="001C2DE2" w:rsidRPr="00CE52C3">
        <w:rPr>
          <w:shd w:val="clear" w:color="auto" w:fill="FFFFFF"/>
          <w:lang w:val="en-GB"/>
        </w:rPr>
        <w:t>necessary</w:t>
      </w:r>
      <w:r w:rsidR="00592BD9" w:rsidRPr="00CE52C3">
        <w:rPr>
          <w:shd w:val="clear" w:color="auto" w:fill="FFFFFF"/>
          <w:lang w:val="en-GB"/>
        </w:rPr>
        <w:t xml:space="preserve"> time limits after being made aware that leave to appeal is </w:t>
      </w:r>
      <w:r w:rsidR="001C2DE2" w:rsidRPr="00CE52C3">
        <w:rPr>
          <w:shd w:val="clear" w:color="auto" w:fill="FFFFFF"/>
          <w:lang w:val="en-GB"/>
        </w:rPr>
        <w:t>required</w:t>
      </w:r>
      <w:r w:rsidR="00592BD9" w:rsidRPr="00CE52C3">
        <w:rPr>
          <w:shd w:val="clear" w:color="auto" w:fill="FFFFFF"/>
          <w:lang w:val="en-GB"/>
        </w:rPr>
        <w:t>.</w:t>
      </w:r>
      <w:r w:rsidR="00447E05" w:rsidRPr="00CE52C3">
        <w:rPr>
          <w:shd w:val="clear" w:color="auto" w:fill="FFFFFF"/>
          <w:lang w:val="en-GB"/>
        </w:rPr>
        <w:t xml:space="preserve"> </w:t>
      </w:r>
    </w:p>
    <w:p w14:paraId="2D92604A" w14:textId="77777777" w:rsidR="00592BD9" w:rsidRPr="00F5062D" w:rsidRDefault="00592BD9" w:rsidP="00592BD9">
      <w:pPr>
        <w:pStyle w:val="ListParagraph"/>
        <w:rPr>
          <w:rFonts w:cs="Arial"/>
          <w:szCs w:val="24"/>
          <w:shd w:val="clear" w:color="auto" w:fill="FFFFFF"/>
          <w:lang w:val="en-GB"/>
        </w:rPr>
      </w:pPr>
    </w:p>
    <w:p w14:paraId="3B18D821" w14:textId="0681BECA" w:rsidR="001C2DE2" w:rsidRPr="00CE52C3" w:rsidRDefault="00CE52C3" w:rsidP="00CE52C3">
      <w:pPr>
        <w:rPr>
          <w:shd w:val="clear" w:color="auto" w:fill="FFFFFF"/>
          <w:lang w:val="en-GB"/>
        </w:rPr>
      </w:pPr>
      <w:r w:rsidRPr="00F5062D">
        <w:rPr>
          <w:spacing w:val="0"/>
          <w:lang w:val="en-GB"/>
        </w:rPr>
        <w:t>[16]</w:t>
      </w:r>
      <w:r w:rsidRPr="00F5062D">
        <w:rPr>
          <w:spacing w:val="0"/>
          <w:lang w:val="en-GB"/>
        </w:rPr>
        <w:tab/>
      </w:r>
      <w:r w:rsidR="00592BD9" w:rsidRPr="00CE52C3">
        <w:rPr>
          <w:shd w:val="clear" w:color="auto" w:fill="FFFFFF"/>
          <w:lang w:val="en-GB"/>
        </w:rPr>
        <w:t xml:space="preserve">Even if the delay was significant, the </w:t>
      </w:r>
      <w:r w:rsidR="001C2DE2" w:rsidRPr="00CE52C3">
        <w:rPr>
          <w:shd w:val="clear" w:color="auto" w:fill="FFFFFF"/>
          <w:lang w:val="en-GB"/>
        </w:rPr>
        <w:t>prospects</w:t>
      </w:r>
      <w:r w:rsidR="00592BD9" w:rsidRPr="00CE52C3">
        <w:rPr>
          <w:shd w:val="clear" w:color="auto" w:fill="FFFFFF"/>
          <w:lang w:val="en-GB"/>
        </w:rPr>
        <w:t xml:space="preserve"> of appeal are </w:t>
      </w:r>
      <w:r w:rsidR="00447E05" w:rsidRPr="00CE52C3">
        <w:rPr>
          <w:shd w:val="clear" w:color="auto" w:fill="FFFFFF"/>
          <w:lang w:val="en-GB"/>
        </w:rPr>
        <w:t>good</w:t>
      </w:r>
      <w:r w:rsidR="00592BD9" w:rsidRPr="00CE52C3">
        <w:rPr>
          <w:shd w:val="clear" w:color="auto" w:fill="FFFFFF"/>
          <w:lang w:val="en-GB"/>
        </w:rPr>
        <w:t xml:space="preserve">, given the sentiments expressed by the Supreme Court </w:t>
      </w:r>
      <w:r w:rsidR="001C2DE2" w:rsidRPr="00CE52C3">
        <w:rPr>
          <w:shd w:val="clear" w:color="auto" w:fill="FFFFFF"/>
          <w:lang w:val="en-GB"/>
        </w:rPr>
        <w:t>o</w:t>
      </w:r>
      <w:r w:rsidR="00592BD9" w:rsidRPr="00CE52C3">
        <w:rPr>
          <w:shd w:val="clear" w:color="auto" w:fill="FFFFFF"/>
          <w:lang w:val="en-GB"/>
        </w:rPr>
        <w:t xml:space="preserve">n the </w:t>
      </w:r>
      <w:r w:rsidR="001C2DE2" w:rsidRPr="00CE52C3">
        <w:rPr>
          <w:shd w:val="clear" w:color="auto" w:fill="FFFFFF"/>
          <w:lang w:val="en-GB"/>
        </w:rPr>
        <w:t xml:space="preserve">clearly </w:t>
      </w:r>
      <w:r w:rsidR="00592BD9" w:rsidRPr="00CE52C3">
        <w:rPr>
          <w:shd w:val="clear" w:color="auto" w:fill="FFFFFF"/>
          <w:lang w:val="en-GB"/>
        </w:rPr>
        <w:t xml:space="preserve">incorrect application of the test to be applied in factual disputes </w:t>
      </w:r>
      <w:r w:rsidR="00447E05" w:rsidRPr="00CE52C3">
        <w:rPr>
          <w:shd w:val="clear" w:color="auto" w:fill="FFFFFF"/>
          <w:lang w:val="en-GB"/>
        </w:rPr>
        <w:t xml:space="preserve">concerning applications for interim interdicts. </w:t>
      </w:r>
      <w:r w:rsidR="00592BD9" w:rsidRPr="00F5062D">
        <w:rPr>
          <w:rStyle w:val="FootnoteReference"/>
          <w:shd w:val="clear" w:color="auto" w:fill="FFFFFF"/>
          <w:lang w:val="en-GB"/>
        </w:rPr>
        <w:footnoteReference w:id="12"/>
      </w:r>
      <w:r w:rsidR="00C2196A" w:rsidRPr="00CE52C3">
        <w:rPr>
          <w:shd w:val="clear" w:color="auto" w:fill="FFFFFF"/>
          <w:lang w:val="en-GB"/>
        </w:rPr>
        <w:t xml:space="preserve"> The respondents would be hard-pressed to dispute this. </w:t>
      </w:r>
    </w:p>
    <w:p w14:paraId="43283537" w14:textId="77777777" w:rsidR="001C2DE2" w:rsidRPr="00F5062D" w:rsidRDefault="001C2DE2" w:rsidP="001C2DE2">
      <w:pPr>
        <w:pStyle w:val="ListParagraph"/>
        <w:rPr>
          <w:rFonts w:cs="Arial"/>
          <w:szCs w:val="24"/>
          <w:shd w:val="clear" w:color="auto" w:fill="FFFFFF"/>
          <w:lang w:val="en-GB"/>
        </w:rPr>
      </w:pPr>
    </w:p>
    <w:p w14:paraId="5A36D380" w14:textId="332303B1" w:rsidR="001C2DE2" w:rsidRPr="00CE52C3" w:rsidRDefault="00CE52C3" w:rsidP="00CE52C3">
      <w:pPr>
        <w:rPr>
          <w:shd w:val="clear" w:color="auto" w:fill="FFFFFF"/>
          <w:lang w:val="en-GB"/>
        </w:rPr>
      </w:pPr>
      <w:r w:rsidRPr="00F5062D">
        <w:rPr>
          <w:spacing w:val="0"/>
          <w:lang w:val="en-GB"/>
        </w:rPr>
        <w:t>[17]</w:t>
      </w:r>
      <w:r w:rsidRPr="00F5062D">
        <w:rPr>
          <w:spacing w:val="0"/>
          <w:lang w:val="en-GB"/>
        </w:rPr>
        <w:tab/>
      </w:r>
      <w:r w:rsidR="00447E05" w:rsidRPr="00CE52C3">
        <w:rPr>
          <w:shd w:val="clear" w:color="auto" w:fill="FFFFFF"/>
          <w:lang w:val="en-GB"/>
        </w:rPr>
        <w:t>F</w:t>
      </w:r>
      <w:r w:rsidR="00C2196A" w:rsidRPr="00CE52C3">
        <w:rPr>
          <w:shd w:val="clear" w:color="auto" w:fill="FFFFFF"/>
          <w:lang w:val="en-GB"/>
        </w:rPr>
        <w:t xml:space="preserve">or the above reasons, </w:t>
      </w:r>
      <w:r w:rsidR="001C2DE2" w:rsidRPr="00CE52C3">
        <w:rPr>
          <w:shd w:val="clear" w:color="auto" w:fill="FFFFFF"/>
          <w:lang w:val="en-GB"/>
        </w:rPr>
        <w:t xml:space="preserve">I am inclined to grant condonation, and grant leave </w:t>
      </w:r>
      <w:r w:rsidR="001C2DE2" w:rsidRPr="00CE52C3">
        <w:rPr>
          <w:shd w:val="clear" w:color="auto" w:fill="FFFFFF"/>
          <w:lang w:val="en-GB"/>
        </w:rPr>
        <w:lastRenderedPageBreak/>
        <w:t>to appeal.</w:t>
      </w:r>
    </w:p>
    <w:p w14:paraId="045CC5E5" w14:textId="77777777" w:rsidR="001C2DE2" w:rsidRPr="00F5062D" w:rsidRDefault="001C2DE2" w:rsidP="001C2DE2">
      <w:pPr>
        <w:pStyle w:val="ListParagraph"/>
        <w:rPr>
          <w:rFonts w:cs="Arial"/>
          <w:szCs w:val="24"/>
          <w:shd w:val="clear" w:color="auto" w:fill="FFFFFF"/>
          <w:lang w:val="en-GB"/>
        </w:rPr>
      </w:pPr>
    </w:p>
    <w:p w14:paraId="3E0A0483" w14:textId="51AEF596" w:rsidR="001C2DE2" w:rsidRPr="00CE52C3" w:rsidRDefault="00CE52C3" w:rsidP="00CE52C3">
      <w:pPr>
        <w:rPr>
          <w:shd w:val="clear" w:color="auto" w:fill="FFFFFF"/>
          <w:lang w:val="en-GB"/>
        </w:rPr>
      </w:pPr>
      <w:r w:rsidRPr="00F5062D">
        <w:rPr>
          <w:spacing w:val="0"/>
          <w:lang w:val="en-GB"/>
        </w:rPr>
        <w:t>[18]</w:t>
      </w:r>
      <w:r w:rsidRPr="00F5062D">
        <w:rPr>
          <w:spacing w:val="0"/>
          <w:lang w:val="en-GB"/>
        </w:rPr>
        <w:tab/>
      </w:r>
      <w:r w:rsidR="001C2DE2" w:rsidRPr="00CE52C3">
        <w:rPr>
          <w:shd w:val="clear" w:color="auto" w:fill="FFFFFF"/>
          <w:lang w:val="en-GB"/>
        </w:rPr>
        <w:t xml:space="preserve">As regards the question of costs, and in all fairness, I am not inclined to grant costs in this application. I take into consideration </w:t>
      </w:r>
      <w:r w:rsidR="00447E05" w:rsidRPr="00CE52C3">
        <w:rPr>
          <w:shd w:val="clear" w:color="auto" w:fill="FFFFFF"/>
          <w:lang w:val="en-GB"/>
        </w:rPr>
        <w:t xml:space="preserve">for these purposes only, </w:t>
      </w:r>
      <w:r w:rsidR="001C2DE2" w:rsidRPr="00CE52C3">
        <w:rPr>
          <w:shd w:val="clear" w:color="auto" w:fill="FFFFFF"/>
          <w:lang w:val="en-GB"/>
        </w:rPr>
        <w:t>the delay of the applicants and the opposition, which was not necessary given the prospects of success.</w:t>
      </w:r>
    </w:p>
    <w:p w14:paraId="215BDC79" w14:textId="77777777" w:rsidR="001C2DE2" w:rsidRPr="00F5062D" w:rsidRDefault="001C2DE2" w:rsidP="00705566">
      <w:pPr>
        <w:pStyle w:val="ListParagraph"/>
        <w:spacing w:line="240" w:lineRule="auto"/>
        <w:rPr>
          <w:rFonts w:cs="Arial"/>
          <w:szCs w:val="24"/>
          <w:shd w:val="clear" w:color="auto" w:fill="FFFFFF"/>
          <w:lang w:val="en-GB"/>
        </w:rPr>
      </w:pPr>
    </w:p>
    <w:p w14:paraId="70BB3EF4" w14:textId="10E4154D" w:rsidR="005226D1" w:rsidRPr="00CE52C3" w:rsidRDefault="00CE52C3" w:rsidP="00CE52C3">
      <w:pPr>
        <w:rPr>
          <w:shd w:val="clear" w:color="auto" w:fill="FFFFFF"/>
          <w:lang w:val="en-GB"/>
        </w:rPr>
      </w:pPr>
      <w:r w:rsidRPr="00F5062D">
        <w:rPr>
          <w:spacing w:val="0"/>
          <w:lang w:val="en-GB"/>
        </w:rPr>
        <w:t>[19]</w:t>
      </w:r>
      <w:r w:rsidRPr="00F5062D">
        <w:rPr>
          <w:spacing w:val="0"/>
          <w:lang w:val="en-GB"/>
        </w:rPr>
        <w:tab/>
      </w:r>
      <w:r w:rsidR="001C2DE2" w:rsidRPr="00CE52C3">
        <w:rPr>
          <w:shd w:val="clear" w:color="auto" w:fill="FFFFFF"/>
          <w:lang w:val="en-GB"/>
        </w:rPr>
        <w:t xml:space="preserve">In light of the foregoing, I make the following order: </w:t>
      </w:r>
    </w:p>
    <w:p w14:paraId="17D51584" w14:textId="77777777" w:rsidR="001C2DE2" w:rsidRPr="00F5062D" w:rsidRDefault="001C2DE2" w:rsidP="00705566">
      <w:pPr>
        <w:pStyle w:val="ListParagraph"/>
        <w:spacing w:after="0" w:line="240" w:lineRule="auto"/>
        <w:ind w:left="0"/>
        <w:rPr>
          <w:rFonts w:cs="Arial"/>
          <w:szCs w:val="24"/>
          <w:shd w:val="clear" w:color="auto" w:fill="FFFFFF"/>
          <w:lang w:val="en-GB"/>
        </w:rPr>
      </w:pPr>
    </w:p>
    <w:p w14:paraId="066B7369" w14:textId="7BD16EBD" w:rsidR="001C2DE2" w:rsidRPr="00705566" w:rsidRDefault="00CE52C3" w:rsidP="00CE52C3">
      <w:pPr>
        <w:ind w:left="720" w:hanging="360"/>
        <w:rPr>
          <w:spacing w:val="0"/>
          <w:lang w:val="en-US"/>
        </w:rPr>
      </w:pPr>
      <w:r w:rsidRPr="00705566">
        <w:rPr>
          <w:rFonts w:eastAsiaTheme="minorHAnsi"/>
          <w:spacing w:val="0"/>
          <w:lang w:val="en-US"/>
        </w:rPr>
        <w:t>1.</w:t>
      </w:r>
      <w:r w:rsidRPr="00705566">
        <w:rPr>
          <w:rFonts w:eastAsiaTheme="minorHAnsi"/>
          <w:spacing w:val="0"/>
          <w:lang w:val="en-US"/>
        </w:rPr>
        <w:tab/>
      </w:r>
      <w:r w:rsidR="001C2DE2" w:rsidRPr="00F5062D">
        <w:rPr>
          <w:spacing w:val="0"/>
          <w:lang w:val="en-US"/>
        </w:rPr>
        <w:t>The applicant’s application for condonation is granted.</w:t>
      </w:r>
    </w:p>
    <w:p w14:paraId="5B0E82B6" w14:textId="7EB18893" w:rsidR="001C2DE2" w:rsidRPr="00705566" w:rsidRDefault="00CE52C3" w:rsidP="00CE52C3">
      <w:pPr>
        <w:ind w:left="720" w:hanging="360"/>
        <w:rPr>
          <w:spacing w:val="0"/>
          <w:lang w:val="en-US"/>
        </w:rPr>
      </w:pPr>
      <w:r w:rsidRPr="00705566">
        <w:rPr>
          <w:rFonts w:eastAsiaTheme="minorHAnsi"/>
          <w:spacing w:val="0"/>
          <w:lang w:val="en-US"/>
        </w:rPr>
        <w:t>2.</w:t>
      </w:r>
      <w:r w:rsidRPr="00705566">
        <w:rPr>
          <w:rFonts w:eastAsiaTheme="minorHAnsi"/>
          <w:spacing w:val="0"/>
          <w:lang w:val="en-US"/>
        </w:rPr>
        <w:tab/>
      </w:r>
      <w:r w:rsidR="001C2DE2" w:rsidRPr="00F5062D">
        <w:rPr>
          <w:spacing w:val="0"/>
          <w:lang w:val="en-US"/>
        </w:rPr>
        <w:t>Leave to appeal to the Supreme Court against the order and judgment of this court dated 20 November 2020 and 8 December 2020 respectively in case number HC-MD-CIV-MOT-GEN-2020/00373) is granted.</w:t>
      </w:r>
    </w:p>
    <w:p w14:paraId="11840B34" w14:textId="0DF1575F" w:rsidR="001C2DE2" w:rsidRPr="00705566" w:rsidRDefault="00CE52C3" w:rsidP="00CE52C3">
      <w:pPr>
        <w:ind w:left="720" w:hanging="360"/>
        <w:rPr>
          <w:spacing w:val="0"/>
          <w:lang w:val="en-US"/>
        </w:rPr>
      </w:pPr>
      <w:r w:rsidRPr="00705566">
        <w:rPr>
          <w:rFonts w:eastAsiaTheme="minorHAnsi"/>
          <w:spacing w:val="0"/>
          <w:lang w:val="en-US"/>
        </w:rPr>
        <w:t>3.</w:t>
      </w:r>
      <w:r w:rsidRPr="00705566">
        <w:rPr>
          <w:rFonts w:eastAsiaTheme="minorHAnsi"/>
          <w:spacing w:val="0"/>
          <w:lang w:val="en-US"/>
        </w:rPr>
        <w:tab/>
      </w:r>
      <w:r w:rsidR="001C2DE2" w:rsidRPr="00F5062D">
        <w:rPr>
          <w:spacing w:val="0"/>
          <w:lang w:val="en-US"/>
        </w:rPr>
        <w:t>There shall be no order as to costs.</w:t>
      </w:r>
    </w:p>
    <w:p w14:paraId="08D48088" w14:textId="01D971DA" w:rsidR="005610BF" w:rsidRDefault="00CE52C3" w:rsidP="00CE52C3">
      <w:pPr>
        <w:ind w:left="720" w:hanging="360"/>
      </w:pPr>
      <w:r>
        <w:rPr>
          <w:rFonts w:eastAsiaTheme="minorHAnsi"/>
        </w:rPr>
        <w:t>4.</w:t>
      </w:r>
      <w:r>
        <w:rPr>
          <w:rFonts w:eastAsiaTheme="minorHAnsi"/>
        </w:rPr>
        <w:tab/>
      </w:r>
      <w:r w:rsidR="001C2DE2" w:rsidRPr="00F5062D">
        <w:t>The matter is regarded as finalised and removed from the roll</w:t>
      </w:r>
      <w:r w:rsidR="00705566">
        <w:t>.</w:t>
      </w:r>
    </w:p>
    <w:p w14:paraId="6E34AD27" w14:textId="77777777" w:rsidR="00705566" w:rsidRPr="00F5062D" w:rsidRDefault="00705566" w:rsidP="00705566">
      <w:pPr>
        <w:ind w:left="720"/>
      </w:pPr>
    </w:p>
    <w:p w14:paraId="00509BA4" w14:textId="77777777" w:rsidR="00BB03B8" w:rsidRPr="00F5062D" w:rsidRDefault="00BB03B8" w:rsidP="00146092">
      <w:pPr>
        <w:widowControl/>
        <w:jc w:val="left"/>
      </w:pPr>
    </w:p>
    <w:p w14:paraId="7B24043E" w14:textId="5133507D" w:rsidR="00853524" w:rsidRPr="00F5062D" w:rsidRDefault="00853524" w:rsidP="005610BF">
      <w:pPr>
        <w:widowControl/>
        <w:ind w:left="4320"/>
        <w:jc w:val="right"/>
      </w:pPr>
      <w:r w:rsidRPr="00F5062D">
        <w:t>____________________</w:t>
      </w:r>
    </w:p>
    <w:p w14:paraId="2FC3ACD2" w14:textId="138029EB" w:rsidR="00853524" w:rsidRPr="00F5062D" w:rsidRDefault="00853524" w:rsidP="005610BF">
      <w:pPr>
        <w:ind w:left="3600" w:firstLine="720"/>
        <w:jc w:val="right"/>
      </w:pPr>
      <w:r w:rsidRPr="00F5062D">
        <w:t>E</w:t>
      </w:r>
      <w:r w:rsidR="009A4927" w:rsidRPr="00F5062D">
        <w:t xml:space="preserve"> </w:t>
      </w:r>
      <w:r w:rsidRPr="00F5062D">
        <w:t>M SCHIMMING-CHASE</w:t>
      </w:r>
    </w:p>
    <w:p w14:paraId="46B13592" w14:textId="63A6223C" w:rsidR="00147336" w:rsidRDefault="00053826" w:rsidP="005610BF">
      <w:pPr>
        <w:jc w:val="right"/>
      </w:pPr>
      <w:r w:rsidRPr="00F5062D">
        <w:t xml:space="preserve">                                                                    </w:t>
      </w:r>
      <w:r w:rsidR="00853524" w:rsidRPr="00F5062D">
        <w:t>Judg</w:t>
      </w:r>
      <w:r w:rsidR="0012505E" w:rsidRPr="00F5062D">
        <w:t>e</w:t>
      </w:r>
      <w:r w:rsidR="00147336">
        <w:br w:type="page"/>
      </w:r>
    </w:p>
    <w:p w14:paraId="1C4F74C7" w14:textId="24680C6B" w:rsidR="00853524" w:rsidRPr="00D24E4F" w:rsidRDefault="00853524" w:rsidP="00C036D4">
      <w:pPr>
        <w:widowControl/>
        <w:jc w:val="left"/>
      </w:pPr>
      <w:r w:rsidRPr="00D24E4F">
        <w:lastRenderedPageBreak/>
        <w:t>APPEARANCES</w:t>
      </w:r>
    </w:p>
    <w:p w14:paraId="2F3FACC4" w14:textId="77777777" w:rsidR="00853524" w:rsidRPr="00D24E4F" w:rsidRDefault="00853524" w:rsidP="00C036D4">
      <w:pPr>
        <w:pStyle w:val="BodyText"/>
        <w:autoSpaceDE w:val="0"/>
        <w:autoSpaceDN w:val="0"/>
        <w:adjustRightInd w:val="0"/>
        <w:spacing w:line="360" w:lineRule="auto"/>
        <w:jc w:val="both"/>
        <w:rPr>
          <w:rFonts w:ascii="Arial" w:hAnsi="Arial" w:cs="Arial"/>
        </w:rPr>
      </w:pPr>
    </w:p>
    <w:p w14:paraId="5E52E45E" w14:textId="7466A97B" w:rsidR="001C2DE2" w:rsidRDefault="0013112C" w:rsidP="005610BF">
      <w:r>
        <w:t>APPLICANT</w:t>
      </w:r>
      <w:r w:rsidR="001C2DE2">
        <w:t>S</w:t>
      </w:r>
      <w:r w:rsidR="000E59B9" w:rsidRPr="00D24E4F">
        <w:t>:</w:t>
      </w:r>
      <w:r w:rsidR="000E59B9" w:rsidRPr="00D24E4F">
        <w:tab/>
      </w:r>
      <w:r w:rsidR="000E59B9" w:rsidRPr="00D24E4F">
        <w:tab/>
      </w:r>
      <w:r w:rsidR="000E59B9" w:rsidRPr="00D24E4F">
        <w:tab/>
      </w:r>
      <w:r w:rsidR="00705566">
        <w:tab/>
      </w:r>
      <w:r w:rsidR="001C2DE2">
        <w:t>T Barnard</w:t>
      </w:r>
    </w:p>
    <w:p w14:paraId="214B5EB1" w14:textId="3C4F5A8C" w:rsidR="005610BF" w:rsidRDefault="001C2DE2" w:rsidP="00705566">
      <w:pPr>
        <w:ind w:right="-482"/>
        <w:jc w:val="left"/>
      </w:pPr>
      <w:r>
        <w:tab/>
      </w:r>
      <w:r>
        <w:tab/>
      </w:r>
      <w:r>
        <w:tab/>
      </w:r>
      <w:r>
        <w:tab/>
      </w:r>
      <w:r w:rsidR="000E59B9" w:rsidRPr="00D24E4F">
        <w:tab/>
      </w:r>
      <w:r w:rsidR="00705566">
        <w:tab/>
        <w:t xml:space="preserve">Instructed by Dr Weder, </w:t>
      </w:r>
      <w:proofErr w:type="spellStart"/>
      <w:r w:rsidR="00705566">
        <w:t>Kauta</w:t>
      </w:r>
      <w:proofErr w:type="spellEnd"/>
      <w:r w:rsidR="00705566">
        <w:t xml:space="preserve"> &amp; </w:t>
      </w:r>
      <w:proofErr w:type="spellStart"/>
      <w:r>
        <w:t>Hoveka</w:t>
      </w:r>
      <w:proofErr w:type="spellEnd"/>
      <w:r w:rsidR="00CE4E33">
        <w:t>,</w:t>
      </w:r>
    </w:p>
    <w:p w14:paraId="3CAA1AD7" w14:textId="637C670B" w:rsidR="00053826" w:rsidRPr="00D24E4F" w:rsidRDefault="005610BF" w:rsidP="00705566">
      <w:pPr>
        <w:ind w:left="3600" w:firstLine="720"/>
      </w:pPr>
      <w:r>
        <w:t>Windhoek</w:t>
      </w:r>
    </w:p>
    <w:p w14:paraId="3689FA6C" w14:textId="77777777" w:rsidR="005610BF" w:rsidRDefault="005610BF" w:rsidP="00C036D4">
      <w:pPr>
        <w:autoSpaceDE w:val="0"/>
        <w:autoSpaceDN w:val="0"/>
        <w:adjustRightInd w:val="0"/>
      </w:pPr>
    </w:p>
    <w:p w14:paraId="1B285492" w14:textId="0400C999" w:rsidR="0015202E" w:rsidRDefault="0013112C" w:rsidP="005610BF">
      <w:pPr>
        <w:autoSpaceDE w:val="0"/>
        <w:autoSpaceDN w:val="0"/>
        <w:adjustRightInd w:val="0"/>
      </w:pPr>
      <w:r>
        <w:t>FIRST RESPONDENT</w:t>
      </w:r>
      <w:r w:rsidR="000E59B9" w:rsidRPr="00D24E4F">
        <w:t>:</w:t>
      </w:r>
      <w:r w:rsidR="0015202E">
        <w:tab/>
      </w:r>
      <w:r w:rsidR="0015202E">
        <w:tab/>
      </w:r>
      <w:r w:rsidR="00705566">
        <w:tab/>
      </w:r>
      <w:r w:rsidR="001C2DE2">
        <w:t xml:space="preserve">PCI Barnard </w:t>
      </w:r>
    </w:p>
    <w:p w14:paraId="1851C46B" w14:textId="2D42B738" w:rsidR="0015202E" w:rsidRDefault="0013112C" w:rsidP="00705566">
      <w:pPr>
        <w:autoSpaceDE w:val="0"/>
        <w:autoSpaceDN w:val="0"/>
        <w:adjustRightInd w:val="0"/>
      </w:pPr>
      <w:r>
        <w:tab/>
      </w:r>
      <w:r>
        <w:tab/>
      </w:r>
      <w:r>
        <w:tab/>
      </w:r>
      <w:r>
        <w:tab/>
      </w:r>
      <w:r>
        <w:tab/>
      </w:r>
      <w:r w:rsidR="00705566">
        <w:tab/>
      </w:r>
      <w:r w:rsidR="001C2DE2">
        <w:t>Instructed by</w:t>
      </w:r>
      <w:r w:rsidR="00705566">
        <w:t xml:space="preserve"> </w:t>
      </w:r>
      <w:proofErr w:type="spellStart"/>
      <w:r w:rsidR="001C2DE2">
        <w:t>Cronjé</w:t>
      </w:r>
      <w:proofErr w:type="spellEnd"/>
      <w:r w:rsidR="001C2DE2">
        <w:t xml:space="preserve"> Inc</w:t>
      </w:r>
      <w:r w:rsidR="00CE4E33">
        <w:t>,</w:t>
      </w:r>
    </w:p>
    <w:p w14:paraId="7252089C" w14:textId="7A7A241B" w:rsidR="005610BF" w:rsidRPr="00D24E4F" w:rsidRDefault="0015202E" w:rsidP="00705566">
      <w:pPr>
        <w:autoSpaceDE w:val="0"/>
        <w:autoSpaceDN w:val="0"/>
        <w:adjustRightInd w:val="0"/>
        <w:ind w:left="3600" w:firstLine="720"/>
      </w:pPr>
      <w:r>
        <w:t>Windhoek</w:t>
      </w:r>
    </w:p>
    <w:sectPr w:rsidR="005610BF" w:rsidRPr="00D24E4F" w:rsidSect="00465AD5">
      <w:headerReference w:type="even" r:id="rId12"/>
      <w:headerReference w:type="default" r:id="rId13"/>
      <w:headerReference w:type="first" r:id="rId14"/>
      <w:type w:val="continuous"/>
      <w:pgSz w:w="11907" w:h="16840" w:code="9"/>
      <w:pgMar w:top="1440" w:right="1800" w:bottom="1440" w:left="1800" w:header="720" w:footer="720" w:gutter="0"/>
      <w:pgNumType w:chapSep="period"/>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24A9" w14:textId="77777777" w:rsidR="00D20752" w:rsidRDefault="00D20752" w:rsidP="00867D73">
      <w:pPr>
        <w:spacing w:line="240" w:lineRule="auto"/>
      </w:pPr>
      <w:r>
        <w:separator/>
      </w:r>
    </w:p>
  </w:endnote>
  <w:endnote w:type="continuationSeparator" w:id="0">
    <w:p w14:paraId="4CFC39B7" w14:textId="77777777" w:rsidR="00D20752" w:rsidRDefault="00D20752"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ED6A" w14:textId="77777777" w:rsidR="00D20752" w:rsidRDefault="00D20752" w:rsidP="00867D73">
      <w:pPr>
        <w:spacing w:line="240" w:lineRule="auto"/>
      </w:pPr>
      <w:r>
        <w:separator/>
      </w:r>
    </w:p>
  </w:footnote>
  <w:footnote w:type="continuationSeparator" w:id="0">
    <w:p w14:paraId="4954D090" w14:textId="77777777" w:rsidR="00D20752" w:rsidRDefault="00D20752" w:rsidP="00867D73">
      <w:pPr>
        <w:spacing w:line="240" w:lineRule="auto"/>
      </w:pPr>
      <w:r>
        <w:continuationSeparator/>
      </w:r>
    </w:p>
  </w:footnote>
  <w:footnote w:id="1">
    <w:p w14:paraId="319FFF44" w14:textId="7B550B5A" w:rsidR="00FF2012" w:rsidRPr="00FF2012" w:rsidRDefault="00FF2012">
      <w:pPr>
        <w:pStyle w:val="FootnoteText"/>
        <w:rPr>
          <w:lang w:val="en-GB"/>
        </w:rPr>
      </w:pPr>
      <w:r>
        <w:rPr>
          <w:rStyle w:val="FootnoteReference"/>
        </w:rPr>
        <w:footnoteRef/>
      </w:r>
      <w:r>
        <w:t xml:space="preserve"> </w:t>
      </w:r>
      <w:r w:rsidR="002A3FA1" w:rsidRPr="002A3FA1">
        <w:rPr>
          <w:i/>
        </w:rPr>
        <w:t>Wirtz and Others v Van Wyk and Another</w:t>
      </w:r>
      <w:r w:rsidR="002A3FA1" w:rsidRPr="002A3FA1">
        <w:t xml:space="preserve"> (SA 105/2020) [2023] NASC 16 (28 April 2023</w:t>
      </w:r>
      <w:r w:rsidR="002A3FA1">
        <w:t>).</w:t>
      </w:r>
    </w:p>
  </w:footnote>
  <w:footnote w:id="2">
    <w:p w14:paraId="671442DB" w14:textId="24406543" w:rsidR="001C2DE2" w:rsidRPr="001C2DE2" w:rsidRDefault="001C2DE2">
      <w:pPr>
        <w:pStyle w:val="FootnoteText"/>
        <w:rPr>
          <w:lang w:val="en-GB"/>
        </w:rPr>
      </w:pPr>
      <w:r>
        <w:rPr>
          <w:rStyle w:val="FootnoteReference"/>
        </w:rPr>
        <w:footnoteRef/>
      </w:r>
      <w:r>
        <w:t xml:space="preserve"> </w:t>
      </w:r>
      <w:r w:rsidR="000D026E" w:rsidRPr="000D026E">
        <w:rPr>
          <w:i/>
        </w:rPr>
        <w:t>Wirtz and Others v Van Wyk and Another</w:t>
      </w:r>
      <w:r w:rsidR="000D026E" w:rsidRPr="000D026E">
        <w:t xml:space="preserve"> (SA 105</w:t>
      </w:r>
      <w:r w:rsidR="000D026E">
        <w:t xml:space="preserve">/2020) [2023] NASC 16 (28 April    </w:t>
      </w:r>
      <w:r w:rsidR="000D026E" w:rsidRPr="000D026E">
        <w:t>2023</w:t>
      </w:r>
      <w:r w:rsidR="000D026E">
        <w:t>)</w:t>
      </w:r>
      <w:r w:rsidRPr="009027A1">
        <w:rPr>
          <w:color w:val="000000" w:themeColor="text1"/>
        </w:rPr>
        <w:t xml:space="preserve">105/2020 </w:t>
      </w:r>
      <w:r w:rsidR="009027A1">
        <w:rPr>
          <w:color w:val="000000" w:themeColor="text1"/>
        </w:rPr>
        <w:t>para 19</w:t>
      </w:r>
      <w:r w:rsidRPr="009027A1">
        <w:rPr>
          <w:color w:val="000000" w:themeColor="text1"/>
        </w:rPr>
        <w:t>.</w:t>
      </w:r>
    </w:p>
  </w:footnote>
  <w:footnote w:id="3">
    <w:p w14:paraId="1F565D0B" w14:textId="68BD1F49" w:rsidR="001C2DE2" w:rsidRPr="009027A1" w:rsidRDefault="001C2DE2">
      <w:pPr>
        <w:pStyle w:val="FootnoteText"/>
        <w:rPr>
          <w:i/>
          <w:iCs/>
          <w:lang w:val="en-GB"/>
        </w:rPr>
      </w:pPr>
      <w:r>
        <w:rPr>
          <w:rStyle w:val="FootnoteReference"/>
        </w:rPr>
        <w:footnoteRef/>
      </w:r>
      <w:r>
        <w:t xml:space="preserve"> </w:t>
      </w:r>
      <w:r w:rsidRPr="009027A1">
        <w:rPr>
          <w:i/>
          <w:iCs/>
          <w:lang w:val="en-GB"/>
        </w:rPr>
        <w:t xml:space="preserve">Ibid. </w:t>
      </w:r>
    </w:p>
  </w:footnote>
  <w:footnote w:id="4">
    <w:p w14:paraId="7F5D2FFE" w14:textId="2FA46B89" w:rsidR="001C2DE2" w:rsidRPr="009027A1" w:rsidRDefault="001C2DE2">
      <w:pPr>
        <w:pStyle w:val="FootnoteText"/>
        <w:rPr>
          <w:lang w:val="en-GB"/>
        </w:rPr>
      </w:pPr>
      <w:r w:rsidRPr="009027A1">
        <w:rPr>
          <w:rStyle w:val="FootnoteReference"/>
        </w:rPr>
        <w:footnoteRef/>
      </w:r>
      <w:r w:rsidRPr="009027A1">
        <w:t xml:space="preserve"> </w:t>
      </w:r>
      <w:r w:rsidRPr="009027A1">
        <w:rPr>
          <w:i/>
          <w:iCs/>
          <w:lang w:val="en-GB"/>
        </w:rPr>
        <w:t xml:space="preserve">Wirtz v van Wyk </w:t>
      </w:r>
      <w:r w:rsidRPr="009027A1">
        <w:rPr>
          <w:color w:val="000000" w:themeColor="text1"/>
        </w:rPr>
        <w:t>SA 105/202</w:t>
      </w:r>
      <w:r w:rsidR="009027A1">
        <w:rPr>
          <w:color w:val="000000" w:themeColor="text1"/>
        </w:rPr>
        <w:t>0 paras 22 and 23</w:t>
      </w:r>
      <w:r w:rsidRPr="009027A1">
        <w:rPr>
          <w:color w:val="000000" w:themeColor="text1"/>
        </w:rPr>
        <w:t>.</w:t>
      </w:r>
    </w:p>
  </w:footnote>
  <w:footnote w:id="5">
    <w:p w14:paraId="0C2ADEFC" w14:textId="2A649BB9" w:rsidR="0096651E" w:rsidRPr="009027A1" w:rsidRDefault="0096651E">
      <w:pPr>
        <w:pStyle w:val="FootnoteText"/>
        <w:rPr>
          <w:lang w:val="en-GB"/>
        </w:rPr>
      </w:pPr>
      <w:r w:rsidRPr="009027A1">
        <w:rPr>
          <w:rStyle w:val="FootnoteReference"/>
        </w:rPr>
        <w:footnoteRef/>
      </w:r>
      <w:r w:rsidRPr="009027A1">
        <w:t xml:space="preserve"> </w:t>
      </w:r>
      <w:r w:rsidRPr="009027A1">
        <w:rPr>
          <w:i/>
          <w:iCs/>
          <w:lang w:val="en-GB"/>
        </w:rPr>
        <w:t xml:space="preserve">Wirtz v van Wyk </w:t>
      </w:r>
      <w:r w:rsidRPr="009027A1">
        <w:rPr>
          <w:color w:val="000000" w:themeColor="text1"/>
        </w:rPr>
        <w:t>SA 105/202</w:t>
      </w:r>
      <w:r w:rsidR="009027A1">
        <w:rPr>
          <w:color w:val="000000" w:themeColor="text1"/>
        </w:rPr>
        <w:t>0 para 33</w:t>
      </w:r>
      <w:r w:rsidRPr="009027A1">
        <w:rPr>
          <w:color w:val="000000" w:themeColor="text1"/>
        </w:rPr>
        <w:t>.</w:t>
      </w:r>
    </w:p>
  </w:footnote>
  <w:footnote w:id="6">
    <w:p w14:paraId="1D6C7D0A" w14:textId="5CCC36FA" w:rsidR="0096651E" w:rsidRPr="0096651E" w:rsidRDefault="0096651E">
      <w:pPr>
        <w:pStyle w:val="FootnoteText"/>
        <w:rPr>
          <w:lang w:val="en-GB"/>
        </w:rPr>
      </w:pPr>
      <w:r w:rsidRPr="009027A1">
        <w:rPr>
          <w:rStyle w:val="FootnoteReference"/>
        </w:rPr>
        <w:footnoteRef/>
      </w:r>
      <w:r w:rsidRPr="009027A1">
        <w:t xml:space="preserve"> </w:t>
      </w:r>
      <w:r w:rsidRPr="009027A1">
        <w:rPr>
          <w:i/>
          <w:iCs/>
          <w:lang w:val="en-GB"/>
        </w:rPr>
        <w:t xml:space="preserve">Wirtz v van Wyk </w:t>
      </w:r>
      <w:r w:rsidRPr="009027A1">
        <w:rPr>
          <w:color w:val="000000" w:themeColor="text1"/>
        </w:rPr>
        <w:t>SA 105/202</w:t>
      </w:r>
      <w:r w:rsidR="009027A1">
        <w:rPr>
          <w:color w:val="000000" w:themeColor="text1"/>
        </w:rPr>
        <w:t>0 para 34</w:t>
      </w:r>
      <w:r w:rsidRPr="009027A1">
        <w:rPr>
          <w:color w:val="000000" w:themeColor="text1"/>
        </w:rPr>
        <w:t>.</w:t>
      </w:r>
    </w:p>
  </w:footnote>
  <w:footnote w:id="7">
    <w:p w14:paraId="65AF174F" w14:textId="6F164FBD" w:rsidR="0099539B" w:rsidRPr="0099539B" w:rsidRDefault="0099539B" w:rsidP="00705566">
      <w:pPr>
        <w:pStyle w:val="FootnoteText"/>
        <w:rPr>
          <w:lang w:val="en-GB"/>
        </w:rPr>
      </w:pPr>
      <w:r>
        <w:rPr>
          <w:rStyle w:val="FootnoteReference"/>
        </w:rPr>
        <w:footnoteRef/>
      </w:r>
      <w:r>
        <w:t xml:space="preserve"> </w:t>
      </w:r>
      <w:r w:rsidR="009027A1">
        <w:rPr>
          <w:lang w:val="en-GB"/>
        </w:rPr>
        <w:t>At para 19</w:t>
      </w:r>
      <w:r>
        <w:rPr>
          <w:lang w:val="en-GB"/>
        </w:rPr>
        <w:t>.</w:t>
      </w:r>
    </w:p>
  </w:footnote>
  <w:footnote w:id="8">
    <w:p w14:paraId="5DE78FB8" w14:textId="38A65615" w:rsidR="0099539B" w:rsidRPr="0099539B" w:rsidRDefault="0099539B" w:rsidP="00705566">
      <w:pPr>
        <w:pStyle w:val="FootnoteText"/>
        <w:rPr>
          <w:lang w:val="en-GB"/>
        </w:rPr>
      </w:pPr>
      <w:r>
        <w:rPr>
          <w:rStyle w:val="FootnoteReference"/>
        </w:rPr>
        <w:footnoteRef/>
      </w:r>
      <w:r>
        <w:t xml:space="preserve"> </w:t>
      </w:r>
      <w:r w:rsidR="009027A1">
        <w:rPr>
          <w:lang w:val="en-GB"/>
        </w:rPr>
        <w:t>At para 22.</w:t>
      </w:r>
    </w:p>
  </w:footnote>
  <w:footnote w:id="9">
    <w:p w14:paraId="0FCDCBE5" w14:textId="71B6657E" w:rsidR="0099539B" w:rsidRPr="0099539B" w:rsidRDefault="0099539B" w:rsidP="00705566">
      <w:pPr>
        <w:pStyle w:val="FootnoteText"/>
        <w:rPr>
          <w:lang w:val="en-GB"/>
        </w:rPr>
      </w:pPr>
      <w:r>
        <w:rPr>
          <w:rStyle w:val="FootnoteReference"/>
        </w:rPr>
        <w:footnoteRef/>
      </w:r>
      <w:r>
        <w:t xml:space="preserve"> </w:t>
      </w:r>
      <w:proofErr w:type="spellStart"/>
      <w:r w:rsidR="00447E05">
        <w:rPr>
          <w:i/>
          <w:iCs/>
        </w:rPr>
        <w:t>Solsquare</w:t>
      </w:r>
      <w:proofErr w:type="spellEnd"/>
      <w:r w:rsidR="00447E05">
        <w:rPr>
          <w:i/>
          <w:iCs/>
        </w:rPr>
        <w:t xml:space="preserve"> Energy Pty) Ltd v </w:t>
      </w:r>
      <w:proofErr w:type="spellStart"/>
      <w:r w:rsidR="00447E05">
        <w:rPr>
          <w:i/>
          <w:iCs/>
        </w:rPr>
        <w:t>Luhl</w:t>
      </w:r>
      <w:proofErr w:type="spellEnd"/>
      <w:r w:rsidR="00447E05" w:rsidRPr="00447E05">
        <w:t xml:space="preserve"> (SA-45/2019) [2022]</w:t>
      </w:r>
      <w:r w:rsidR="00447E05">
        <w:rPr>
          <w:b/>
          <w:bCs/>
        </w:rPr>
        <w:t xml:space="preserve"> </w:t>
      </w:r>
      <w:r w:rsidR="00447E05" w:rsidRPr="00447E05">
        <w:t>NASC</w:t>
      </w:r>
      <w:r w:rsidR="00447E05">
        <w:rPr>
          <w:b/>
          <w:bCs/>
        </w:rPr>
        <w:t xml:space="preserve"> </w:t>
      </w:r>
      <w:r w:rsidR="00705566">
        <w:t>(25 August 222)</w:t>
      </w:r>
      <w:r w:rsidR="00447E05">
        <w:t xml:space="preserve"> par</w:t>
      </w:r>
      <w:r w:rsidR="009027A1">
        <w:t>a 108.</w:t>
      </w:r>
    </w:p>
  </w:footnote>
  <w:footnote w:id="10">
    <w:p w14:paraId="023A4755" w14:textId="46B84E17" w:rsidR="00592BD9" w:rsidRPr="00705566" w:rsidRDefault="00592BD9" w:rsidP="00705566">
      <w:pPr>
        <w:pStyle w:val="FootnoteText"/>
        <w:rPr>
          <w:lang w:val="en-GB"/>
        </w:rPr>
      </w:pPr>
      <w:r w:rsidRPr="00705566">
        <w:rPr>
          <w:rStyle w:val="FootnoteReference"/>
        </w:rPr>
        <w:footnoteRef/>
      </w:r>
      <w:r w:rsidRPr="00705566">
        <w:t xml:space="preserve"> </w:t>
      </w:r>
      <w:r w:rsidRPr="00705566">
        <w:rPr>
          <w:lang w:val="en-GB"/>
        </w:rPr>
        <w:t>High Court Act 16 of 1990.</w:t>
      </w:r>
    </w:p>
  </w:footnote>
  <w:footnote w:id="11">
    <w:p w14:paraId="7018D5D3" w14:textId="7464FDFF" w:rsidR="00447E05" w:rsidRPr="00705566" w:rsidRDefault="00447E05" w:rsidP="00705566">
      <w:pPr>
        <w:pStyle w:val="FootnoteText"/>
        <w:rPr>
          <w:lang w:val="en-GB"/>
        </w:rPr>
      </w:pPr>
      <w:r w:rsidRPr="00705566">
        <w:rPr>
          <w:rStyle w:val="FootnoteReference"/>
        </w:rPr>
        <w:footnoteRef/>
      </w:r>
      <w:r w:rsidRPr="00705566">
        <w:t xml:space="preserve"> </w:t>
      </w:r>
      <w:r w:rsidR="009027A1" w:rsidRPr="00705566">
        <w:rPr>
          <w:lang w:val="en-GB"/>
        </w:rPr>
        <w:t>At para 34</w:t>
      </w:r>
      <w:r w:rsidRPr="00705566">
        <w:rPr>
          <w:lang w:val="en-GB"/>
        </w:rPr>
        <w:t>.</w:t>
      </w:r>
    </w:p>
  </w:footnote>
  <w:footnote w:id="12">
    <w:p w14:paraId="6A69C94A" w14:textId="013BEE24" w:rsidR="00592BD9" w:rsidRPr="00592BD9" w:rsidRDefault="001C2DE2" w:rsidP="00705566">
      <w:pPr>
        <w:pStyle w:val="FootnoteText"/>
        <w:rPr>
          <w:lang w:val="en-GB"/>
        </w:rPr>
      </w:pPr>
      <w:r w:rsidRPr="00705566">
        <w:rPr>
          <w:rStyle w:val="FootnoteReference"/>
        </w:rPr>
        <w:footnoteRef/>
      </w:r>
      <w:r w:rsidR="00592BD9" w:rsidRPr="00705566">
        <w:t xml:space="preserve"> </w:t>
      </w:r>
      <w:r w:rsidRPr="00705566">
        <w:t>At para 31.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FC7" w14:textId="77777777" w:rsidR="00CB46C9" w:rsidRDefault="00CB46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AD5">
      <w:rPr>
        <w:rStyle w:val="PageNumber"/>
        <w:noProof/>
      </w:rPr>
      <w:t>8</w:t>
    </w:r>
    <w:r>
      <w:rPr>
        <w:rStyle w:val="PageNumber"/>
      </w:rPr>
      <w:fldChar w:fldCharType="end"/>
    </w:r>
  </w:p>
  <w:p w14:paraId="21F36492" w14:textId="77777777" w:rsidR="00CB46C9" w:rsidRDefault="00CB46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046536"/>
      <w:docPartObj>
        <w:docPartGallery w:val="Page Numbers (Top of Page)"/>
        <w:docPartUnique/>
      </w:docPartObj>
    </w:sdtPr>
    <w:sdtEndPr>
      <w:rPr>
        <w:noProof/>
      </w:rPr>
    </w:sdtEndPr>
    <w:sdtContent>
      <w:p w14:paraId="5A8DCC58" w14:textId="50BF8727" w:rsidR="00465AD5" w:rsidRDefault="00465AD5">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0E9895FD" w14:textId="63FD43D1" w:rsidR="00CB46C9" w:rsidRDefault="00CB46C9">
    <w:pP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011D" w14:textId="4C493D7E" w:rsidR="000979DC" w:rsidRPr="000979DC" w:rsidRDefault="000979DC">
    <w:pPr>
      <w:pStyle w:val="Header"/>
      <w:jc w:val="right"/>
    </w:pPr>
  </w:p>
  <w:p w14:paraId="44413FCB" w14:textId="77777777" w:rsidR="000979DC" w:rsidRDefault="00097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60DD1A"/>
    <w:lvl w:ilvl="0">
      <w:start w:val="1"/>
      <w:numFmt w:val="decimal"/>
      <w:pStyle w:val="Heading1"/>
      <w:lvlText w:val="[%1]"/>
      <w:lvlJc w:val="left"/>
      <w:pPr>
        <w:ind w:left="1211" w:hanging="360"/>
      </w:pPr>
      <w:rPr>
        <w:rFonts w:hint="default"/>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0000002"/>
    <w:multiLevelType w:val="singleLevel"/>
    <w:tmpl w:val="00000002"/>
    <w:name w:val="WW8Num18"/>
    <w:lvl w:ilvl="0">
      <w:start w:val="1"/>
      <w:numFmt w:val="lowerLetter"/>
      <w:lvlText w:val="(%1)"/>
      <w:lvlJc w:val="left"/>
      <w:pPr>
        <w:ind w:left="1350" w:hanging="630"/>
      </w:pPr>
      <w:rPr>
        <w:i/>
      </w:rPr>
    </w:lvl>
  </w:abstractNum>
  <w:abstractNum w:abstractNumId="2" w15:restartNumberingAfterBreak="0">
    <w:nsid w:val="09C33D37"/>
    <w:multiLevelType w:val="hybridMultilevel"/>
    <w:tmpl w:val="42A62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F4B67"/>
    <w:multiLevelType w:val="hybridMultilevel"/>
    <w:tmpl w:val="22A44124"/>
    <w:lvl w:ilvl="0" w:tplc="5C081486">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BA705F"/>
    <w:multiLevelType w:val="hybridMultilevel"/>
    <w:tmpl w:val="22A44124"/>
    <w:lvl w:ilvl="0" w:tplc="5C081486">
      <w:start w:val="1"/>
      <w:numFmt w:val="decimal"/>
      <w:lvlText w:val="%1."/>
      <w:lvlJc w:val="left"/>
      <w:pPr>
        <w:ind w:left="644" w:hanging="360"/>
      </w:pPr>
      <w:rPr>
        <w:rFonts w:ascii="Arial" w:eastAsiaTheme="minorHAnsi" w:hAnsi="Arial" w:cs="Arial"/>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15:restartNumberingAfterBreak="0">
    <w:nsid w:val="17E26E23"/>
    <w:multiLevelType w:val="hybridMultilevel"/>
    <w:tmpl w:val="E5300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F160A"/>
    <w:multiLevelType w:val="hybridMultilevel"/>
    <w:tmpl w:val="740C8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8" w15:restartNumberingAfterBreak="0">
    <w:nsid w:val="357D45FF"/>
    <w:multiLevelType w:val="hybridMultilevel"/>
    <w:tmpl w:val="815E9B40"/>
    <w:lvl w:ilvl="0" w:tplc="D9D8CA24">
      <w:start w:val="1"/>
      <w:numFmt w:val="lowerLetter"/>
      <w:lvlText w:val="(%1)"/>
      <w:lvlJc w:val="left"/>
      <w:pPr>
        <w:ind w:left="1288" w:hanging="360"/>
      </w:pPr>
      <w:rPr>
        <w:rFonts w:hint="default"/>
      </w:rPr>
    </w:lvl>
    <w:lvl w:ilvl="1" w:tplc="20000019" w:tentative="1">
      <w:start w:val="1"/>
      <w:numFmt w:val="lowerLetter"/>
      <w:lvlText w:val="%2."/>
      <w:lvlJc w:val="left"/>
      <w:pPr>
        <w:ind w:left="2008" w:hanging="360"/>
      </w:pPr>
    </w:lvl>
    <w:lvl w:ilvl="2" w:tplc="2000001B" w:tentative="1">
      <w:start w:val="1"/>
      <w:numFmt w:val="lowerRoman"/>
      <w:lvlText w:val="%3."/>
      <w:lvlJc w:val="right"/>
      <w:pPr>
        <w:ind w:left="2728" w:hanging="180"/>
      </w:pPr>
    </w:lvl>
    <w:lvl w:ilvl="3" w:tplc="2000000F" w:tentative="1">
      <w:start w:val="1"/>
      <w:numFmt w:val="decimal"/>
      <w:lvlText w:val="%4."/>
      <w:lvlJc w:val="left"/>
      <w:pPr>
        <w:ind w:left="3448" w:hanging="360"/>
      </w:pPr>
    </w:lvl>
    <w:lvl w:ilvl="4" w:tplc="20000019" w:tentative="1">
      <w:start w:val="1"/>
      <w:numFmt w:val="lowerLetter"/>
      <w:lvlText w:val="%5."/>
      <w:lvlJc w:val="left"/>
      <w:pPr>
        <w:ind w:left="4168" w:hanging="360"/>
      </w:pPr>
    </w:lvl>
    <w:lvl w:ilvl="5" w:tplc="2000001B" w:tentative="1">
      <w:start w:val="1"/>
      <w:numFmt w:val="lowerRoman"/>
      <w:lvlText w:val="%6."/>
      <w:lvlJc w:val="right"/>
      <w:pPr>
        <w:ind w:left="4888" w:hanging="180"/>
      </w:pPr>
    </w:lvl>
    <w:lvl w:ilvl="6" w:tplc="2000000F" w:tentative="1">
      <w:start w:val="1"/>
      <w:numFmt w:val="decimal"/>
      <w:lvlText w:val="%7."/>
      <w:lvlJc w:val="left"/>
      <w:pPr>
        <w:ind w:left="5608" w:hanging="360"/>
      </w:pPr>
    </w:lvl>
    <w:lvl w:ilvl="7" w:tplc="20000019" w:tentative="1">
      <w:start w:val="1"/>
      <w:numFmt w:val="lowerLetter"/>
      <w:lvlText w:val="%8."/>
      <w:lvlJc w:val="left"/>
      <w:pPr>
        <w:ind w:left="6328" w:hanging="360"/>
      </w:pPr>
    </w:lvl>
    <w:lvl w:ilvl="8" w:tplc="2000001B" w:tentative="1">
      <w:start w:val="1"/>
      <w:numFmt w:val="lowerRoman"/>
      <w:lvlText w:val="%9."/>
      <w:lvlJc w:val="right"/>
      <w:pPr>
        <w:ind w:left="7048" w:hanging="180"/>
      </w:pPr>
    </w:lvl>
  </w:abstractNum>
  <w:abstractNum w:abstractNumId="9" w15:restartNumberingAfterBreak="0">
    <w:nsid w:val="35E1400C"/>
    <w:multiLevelType w:val="hybridMultilevel"/>
    <w:tmpl w:val="A846177C"/>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A58DD"/>
    <w:multiLevelType w:val="hybridMultilevel"/>
    <w:tmpl w:val="8188E51C"/>
    <w:lvl w:ilvl="0" w:tplc="CD164870">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93ACC"/>
    <w:multiLevelType w:val="hybridMultilevel"/>
    <w:tmpl w:val="BA24A15C"/>
    <w:lvl w:ilvl="0" w:tplc="86B4253E">
      <w:start w:val="1"/>
      <w:numFmt w:val="lowerRoman"/>
      <w:pStyle w:val="Heading3"/>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2" w15:restartNumberingAfterBreak="0">
    <w:nsid w:val="521A697C"/>
    <w:multiLevelType w:val="hybridMultilevel"/>
    <w:tmpl w:val="44A037F8"/>
    <w:lvl w:ilvl="0" w:tplc="99782380">
      <w:start w:val="3"/>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54260793"/>
    <w:multiLevelType w:val="hybridMultilevel"/>
    <w:tmpl w:val="4766A41C"/>
    <w:lvl w:ilvl="0" w:tplc="DD802FDC">
      <w:start w:val="1"/>
      <w:numFmt w:val="decimal"/>
      <w:lvlText w:val="[%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E57CD"/>
    <w:multiLevelType w:val="hybridMultilevel"/>
    <w:tmpl w:val="0B90D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F2EA5"/>
    <w:multiLevelType w:val="hybridMultilevel"/>
    <w:tmpl w:val="417EE698"/>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97620"/>
    <w:multiLevelType w:val="hybridMultilevel"/>
    <w:tmpl w:val="22A44124"/>
    <w:lvl w:ilvl="0" w:tplc="FFFFFFFF">
      <w:start w:val="1"/>
      <w:numFmt w:val="decimal"/>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5B442FF"/>
    <w:multiLevelType w:val="hybridMultilevel"/>
    <w:tmpl w:val="3126C6B0"/>
    <w:lvl w:ilvl="0" w:tplc="84FC15EE">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7567526">
    <w:abstractNumId w:val="0"/>
  </w:num>
  <w:num w:numId="2" w16cid:durableId="1728600519">
    <w:abstractNumId w:val="7"/>
  </w:num>
  <w:num w:numId="3" w16cid:durableId="785661976">
    <w:abstractNumId w:val="11"/>
  </w:num>
  <w:num w:numId="4" w16cid:durableId="1897231235">
    <w:abstractNumId w:val="13"/>
  </w:num>
  <w:num w:numId="5" w16cid:durableId="633681529">
    <w:abstractNumId w:val="4"/>
  </w:num>
  <w:num w:numId="6" w16cid:durableId="1515416006">
    <w:abstractNumId w:val="2"/>
  </w:num>
  <w:num w:numId="7" w16cid:durableId="1892155721">
    <w:abstractNumId w:val="5"/>
  </w:num>
  <w:num w:numId="8" w16cid:durableId="541209523">
    <w:abstractNumId w:val="14"/>
  </w:num>
  <w:num w:numId="9" w16cid:durableId="1580939275">
    <w:abstractNumId w:val="6"/>
  </w:num>
  <w:num w:numId="10" w16cid:durableId="98768827">
    <w:abstractNumId w:val="10"/>
  </w:num>
  <w:num w:numId="11" w16cid:durableId="1942175825">
    <w:abstractNumId w:val="9"/>
  </w:num>
  <w:num w:numId="12" w16cid:durableId="1042094824">
    <w:abstractNumId w:val="15"/>
  </w:num>
  <w:num w:numId="13" w16cid:durableId="1650479719">
    <w:abstractNumId w:val="8"/>
  </w:num>
  <w:num w:numId="14" w16cid:durableId="1848516901">
    <w:abstractNumId w:val="17"/>
  </w:num>
  <w:num w:numId="15" w16cid:durableId="195625673">
    <w:abstractNumId w:val="3"/>
  </w:num>
  <w:num w:numId="16" w16cid:durableId="566957667">
    <w:abstractNumId w:val="12"/>
  </w:num>
  <w:num w:numId="17" w16cid:durableId="209716853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24"/>
    <w:rsid w:val="00000AD3"/>
    <w:rsid w:val="00001E44"/>
    <w:rsid w:val="000031EF"/>
    <w:rsid w:val="00005673"/>
    <w:rsid w:val="0001020A"/>
    <w:rsid w:val="00010EE2"/>
    <w:rsid w:val="00013787"/>
    <w:rsid w:val="00014C91"/>
    <w:rsid w:val="00015776"/>
    <w:rsid w:val="00016E2D"/>
    <w:rsid w:val="00016FEE"/>
    <w:rsid w:val="000178BA"/>
    <w:rsid w:val="000226A9"/>
    <w:rsid w:val="00024191"/>
    <w:rsid w:val="00027D48"/>
    <w:rsid w:val="000324F3"/>
    <w:rsid w:val="000409B6"/>
    <w:rsid w:val="00045453"/>
    <w:rsid w:val="0005086D"/>
    <w:rsid w:val="00051121"/>
    <w:rsid w:val="00051574"/>
    <w:rsid w:val="00053826"/>
    <w:rsid w:val="00063685"/>
    <w:rsid w:val="000650A6"/>
    <w:rsid w:val="00070A8F"/>
    <w:rsid w:val="0007119C"/>
    <w:rsid w:val="00072ED7"/>
    <w:rsid w:val="00072F8E"/>
    <w:rsid w:val="00083864"/>
    <w:rsid w:val="00083B84"/>
    <w:rsid w:val="00085D64"/>
    <w:rsid w:val="00087A71"/>
    <w:rsid w:val="00093246"/>
    <w:rsid w:val="00093CE9"/>
    <w:rsid w:val="000975CD"/>
    <w:rsid w:val="000979DC"/>
    <w:rsid w:val="00097B54"/>
    <w:rsid w:val="000A5F03"/>
    <w:rsid w:val="000A7AA5"/>
    <w:rsid w:val="000B1663"/>
    <w:rsid w:val="000B54E5"/>
    <w:rsid w:val="000B66A4"/>
    <w:rsid w:val="000B7750"/>
    <w:rsid w:val="000C20ED"/>
    <w:rsid w:val="000C4BBF"/>
    <w:rsid w:val="000C4C61"/>
    <w:rsid w:val="000C54BA"/>
    <w:rsid w:val="000C6711"/>
    <w:rsid w:val="000C75F9"/>
    <w:rsid w:val="000C7A3B"/>
    <w:rsid w:val="000D026E"/>
    <w:rsid w:val="000D3986"/>
    <w:rsid w:val="000D490E"/>
    <w:rsid w:val="000D617B"/>
    <w:rsid w:val="000D661F"/>
    <w:rsid w:val="000E05E7"/>
    <w:rsid w:val="000E0AC9"/>
    <w:rsid w:val="000E19D7"/>
    <w:rsid w:val="000E1E31"/>
    <w:rsid w:val="000E321B"/>
    <w:rsid w:val="000E3CA3"/>
    <w:rsid w:val="000E59B9"/>
    <w:rsid w:val="000E61B8"/>
    <w:rsid w:val="000E6332"/>
    <w:rsid w:val="000F1A80"/>
    <w:rsid w:val="000F3ED7"/>
    <w:rsid w:val="000F7F8A"/>
    <w:rsid w:val="00100DB6"/>
    <w:rsid w:val="0010488E"/>
    <w:rsid w:val="00105F5C"/>
    <w:rsid w:val="001063BC"/>
    <w:rsid w:val="001076B6"/>
    <w:rsid w:val="00110892"/>
    <w:rsid w:val="00115C5D"/>
    <w:rsid w:val="001173DC"/>
    <w:rsid w:val="00117DD9"/>
    <w:rsid w:val="0012505E"/>
    <w:rsid w:val="00127FC9"/>
    <w:rsid w:val="00130BF3"/>
    <w:rsid w:val="0013112C"/>
    <w:rsid w:val="0013471F"/>
    <w:rsid w:val="00135CE1"/>
    <w:rsid w:val="001367FF"/>
    <w:rsid w:val="00140A9D"/>
    <w:rsid w:val="0014460F"/>
    <w:rsid w:val="0014505C"/>
    <w:rsid w:val="00145ADF"/>
    <w:rsid w:val="00146092"/>
    <w:rsid w:val="00147336"/>
    <w:rsid w:val="0015202E"/>
    <w:rsid w:val="00156259"/>
    <w:rsid w:val="00157754"/>
    <w:rsid w:val="001600D3"/>
    <w:rsid w:val="00161ADB"/>
    <w:rsid w:val="00162921"/>
    <w:rsid w:val="00162FA5"/>
    <w:rsid w:val="0016314E"/>
    <w:rsid w:val="0016544A"/>
    <w:rsid w:val="00165969"/>
    <w:rsid w:val="00171961"/>
    <w:rsid w:val="00174E15"/>
    <w:rsid w:val="001763A5"/>
    <w:rsid w:val="00176DB6"/>
    <w:rsid w:val="00180C19"/>
    <w:rsid w:val="001825ED"/>
    <w:rsid w:val="001846B9"/>
    <w:rsid w:val="001846FB"/>
    <w:rsid w:val="00185464"/>
    <w:rsid w:val="00186562"/>
    <w:rsid w:val="0019079A"/>
    <w:rsid w:val="00193B50"/>
    <w:rsid w:val="00193D82"/>
    <w:rsid w:val="0019695F"/>
    <w:rsid w:val="0019700F"/>
    <w:rsid w:val="001A0782"/>
    <w:rsid w:val="001A1981"/>
    <w:rsid w:val="001A4178"/>
    <w:rsid w:val="001A7011"/>
    <w:rsid w:val="001B3027"/>
    <w:rsid w:val="001B39A8"/>
    <w:rsid w:val="001B4699"/>
    <w:rsid w:val="001B6D0D"/>
    <w:rsid w:val="001C2DE2"/>
    <w:rsid w:val="001C373C"/>
    <w:rsid w:val="001C5C4C"/>
    <w:rsid w:val="001C727F"/>
    <w:rsid w:val="001C79DE"/>
    <w:rsid w:val="001D0579"/>
    <w:rsid w:val="001D4C80"/>
    <w:rsid w:val="001D4E59"/>
    <w:rsid w:val="001D690F"/>
    <w:rsid w:val="001E1CC2"/>
    <w:rsid w:val="001E20BF"/>
    <w:rsid w:val="001E46B3"/>
    <w:rsid w:val="001E5489"/>
    <w:rsid w:val="001F4B3E"/>
    <w:rsid w:val="001F4D61"/>
    <w:rsid w:val="001F5190"/>
    <w:rsid w:val="001F6CB9"/>
    <w:rsid w:val="002023D0"/>
    <w:rsid w:val="002025F8"/>
    <w:rsid w:val="002076B9"/>
    <w:rsid w:val="00210D9A"/>
    <w:rsid w:val="00211B5D"/>
    <w:rsid w:val="00214E82"/>
    <w:rsid w:val="00216928"/>
    <w:rsid w:val="00222B92"/>
    <w:rsid w:val="00227218"/>
    <w:rsid w:val="00231AB5"/>
    <w:rsid w:val="0023417F"/>
    <w:rsid w:val="00237278"/>
    <w:rsid w:val="0024093F"/>
    <w:rsid w:val="00240999"/>
    <w:rsid w:val="00241AD6"/>
    <w:rsid w:val="0024419B"/>
    <w:rsid w:val="00244899"/>
    <w:rsid w:val="00247EF9"/>
    <w:rsid w:val="0025315E"/>
    <w:rsid w:val="0025677F"/>
    <w:rsid w:val="00257636"/>
    <w:rsid w:val="00257D35"/>
    <w:rsid w:val="00263E48"/>
    <w:rsid w:val="00264113"/>
    <w:rsid w:val="00266D54"/>
    <w:rsid w:val="0027073E"/>
    <w:rsid w:val="002719BF"/>
    <w:rsid w:val="00271D96"/>
    <w:rsid w:val="0027372B"/>
    <w:rsid w:val="0027567E"/>
    <w:rsid w:val="00275A78"/>
    <w:rsid w:val="00277B56"/>
    <w:rsid w:val="00277E0C"/>
    <w:rsid w:val="002812F7"/>
    <w:rsid w:val="00285FF7"/>
    <w:rsid w:val="00287908"/>
    <w:rsid w:val="00290268"/>
    <w:rsid w:val="002A0EEB"/>
    <w:rsid w:val="002A217F"/>
    <w:rsid w:val="002A3FA1"/>
    <w:rsid w:val="002A4EDC"/>
    <w:rsid w:val="002A70A8"/>
    <w:rsid w:val="002A7773"/>
    <w:rsid w:val="002A7BCD"/>
    <w:rsid w:val="002B1453"/>
    <w:rsid w:val="002B24D7"/>
    <w:rsid w:val="002B6CD0"/>
    <w:rsid w:val="002B7099"/>
    <w:rsid w:val="002C1A1C"/>
    <w:rsid w:val="002C5751"/>
    <w:rsid w:val="002D035C"/>
    <w:rsid w:val="002D08EE"/>
    <w:rsid w:val="002D0A9C"/>
    <w:rsid w:val="002D1C5A"/>
    <w:rsid w:val="002D31C9"/>
    <w:rsid w:val="002D47EB"/>
    <w:rsid w:val="002D4990"/>
    <w:rsid w:val="002D6750"/>
    <w:rsid w:val="002D6836"/>
    <w:rsid w:val="002D6B87"/>
    <w:rsid w:val="002D71A6"/>
    <w:rsid w:val="002D786B"/>
    <w:rsid w:val="002E30DE"/>
    <w:rsid w:val="002E380C"/>
    <w:rsid w:val="002E3BF2"/>
    <w:rsid w:val="002E56E4"/>
    <w:rsid w:val="002E6D61"/>
    <w:rsid w:val="002F09FA"/>
    <w:rsid w:val="002F1084"/>
    <w:rsid w:val="002F2ADC"/>
    <w:rsid w:val="002F3C44"/>
    <w:rsid w:val="002F6E63"/>
    <w:rsid w:val="003016C4"/>
    <w:rsid w:val="0030298A"/>
    <w:rsid w:val="00305200"/>
    <w:rsid w:val="00307C87"/>
    <w:rsid w:val="00307D34"/>
    <w:rsid w:val="00311B99"/>
    <w:rsid w:val="00312FD1"/>
    <w:rsid w:val="00316EA0"/>
    <w:rsid w:val="003209AD"/>
    <w:rsid w:val="00321344"/>
    <w:rsid w:val="003219ED"/>
    <w:rsid w:val="00333A65"/>
    <w:rsid w:val="00333E79"/>
    <w:rsid w:val="00334677"/>
    <w:rsid w:val="00334AFC"/>
    <w:rsid w:val="0033501B"/>
    <w:rsid w:val="00340D6A"/>
    <w:rsid w:val="003428D2"/>
    <w:rsid w:val="00347D03"/>
    <w:rsid w:val="00350278"/>
    <w:rsid w:val="003504E0"/>
    <w:rsid w:val="003517F4"/>
    <w:rsid w:val="00352F30"/>
    <w:rsid w:val="00354402"/>
    <w:rsid w:val="00360285"/>
    <w:rsid w:val="00365991"/>
    <w:rsid w:val="003668B7"/>
    <w:rsid w:val="00367F3E"/>
    <w:rsid w:val="0037192F"/>
    <w:rsid w:val="00373CDF"/>
    <w:rsid w:val="00376F2E"/>
    <w:rsid w:val="003770DD"/>
    <w:rsid w:val="00382515"/>
    <w:rsid w:val="00383735"/>
    <w:rsid w:val="00383E88"/>
    <w:rsid w:val="00384959"/>
    <w:rsid w:val="00391047"/>
    <w:rsid w:val="00392518"/>
    <w:rsid w:val="0039415D"/>
    <w:rsid w:val="00394CCF"/>
    <w:rsid w:val="003A006F"/>
    <w:rsid w:val="003A3CF2"/>
    <w:rsid w:val="003A3E0C"/>
    <w:rsid w:val="003A5FD0"/>
    <w:rsid w:val="003A636A"/>
    <w:rsid w:val="003A667E"/>
    <w:rsid w:val="003A7C97"/>
    <w:rsid w:val="003B1674"/>
    <w:rsid w:val="003C07FB"/>
    <w:rsid w:val="003C1894"/>
    <w:rsid w:val="003C30BF"/>
    <w:rsid w:val="003C3175"/>
    <w:rsid w:val="003C3E52"/>
    <w:rsid w:val="003C3EA1"/>
    <w:rsid w:val="003C42F0"/>
    <w:rsid w:val="003D158E"/>
    <w:rsid w:val="003D180E"/>
    <w:rsid w:val="003D1B0D"/>
    <w:rsid w:val="003D70E6"/>
    <w:rsid w:val="003E2C84"/>
    <w:rsid w:val="003E364B"/>
    <w:rsid w:val="003E3AA8"/>
    <w:rsid w:val="003E6394"/>
    <w:rsid w:val="003E6BED"/>
    <w:rsid w:val="003E70D0"/>
    <w:rsid w:val="003E7333"/>
    <w:rsid w:val="003F4C9B"/>
    <w:rsid w:val="003F5776"/>
    <w:rsid w:val="003F5D86"/>
    <w:rsid w:val="003F6093"/>
    <w:rsid w:val="003F6F0E"/>
    <w:rsid w:val="00400716"/>
    <w:rsid w:val="00400D96"/>
    <w:rsid w:val="004032BD"/>
    <w:rsid w:val="00403581"/>
    <w:rsid w:val="0040448F"/>
    <w:rsid w:val="00406D74"/>
    <w:rsid w:val="00410928"/>
    <w:rsid w:val="00414D46"/>
    <w:rsid w:val="00414F89"/>
    <w:rsid w:val="00415368"/>
    <w:rsid w:val="00422636"/>
    <w:rsid w:val="004229A8"/>
    <w:rsid w:val="00430666"/>
    <w:rsid w:val="0043111A"/>
    <w:rsid w:val="0043178F"/>
    <w:rsid w:val="00431D7B"/>
    <w:rsid w:val="004375AE"/>
    <w:rsid w:val="00437C3B"/>
    <w:rsid w:val="00440A23"/>
    <w:rsid w:val="004412A9"/>
    <w:rsid w:val="0044133E"/>
    <w:rsid w:val="00441FD6"/>
    <w:rsid w:val="0044236A"/>
    <w:rsid w:val="00442B69"/>
    <w:rsid w:val="00444DD0"/>
    <w:rsid w:val="00447E05"/>
    <w:rsid w:val="00452D35"/>
    <w:rsid w:val="00457F74"/>
    <w:rsid w:val="00465AD5"/>
    <w:rsid w:val="00466EE7"/>
    <w:rsid w:val="00467F45"/>
    <w:rsid w:val="00470471"/>
    <w:rsid w:val="0047151B"/>
    <w:rsid w:val="00472891"/>
    <w:rsid w:val="00477C76"/>
    <w:rsid w:val="00480A13"/>
    <w:rsid w:val="004815C6"/>
    <w:rsid w:val="00487CB0"/>
    <w:rsid w:val="00493180"/>
    <w:rsid w:val="00495BDE"/>
    <w:rsid w:val="00497186"/>
    <w:rsid w:val="004A24AC"/>
    <w:rsid w:val="004A2820"/>
    <w:rsid w:val="004A334F"/>
    <w:rsid w:val="004A3A4C"/>
    <w:rsid w:val="004A4AF2"/>
    <w:rsid w:val="004A58F6"/>
    <w:rsid w:val="004A5900"/>
    <w:rsid w:val="004A762E"/>
    <w:rsid w:val="004B2778"/>
    <w:rsid w:val="004B3FC8"/>
    <w:rsid w:val="004B5075"/>
    <w:rsid w:val="004B5E14"/>
    <w:rsid w:val="004C0E9A"/>
    <w:rsid w:val="004C2460"/>
    <w:rsid w:val="004C3E57"/>
    <w:rsid w:val="004C3E5C"/>
    <w:rsid w:val="004C3E84"/>
    <w:rsid w:val="004C4E6C"/>
    <w:rsid w:val="004C574D"/>
    <w:rsid w:val="004C713A"/>
    <w:rsid w:val="004D008F"/>
    <w:rsid w:val="004D7CF8"/>
    <w:rsid w:val="004E0048"/>
    <w:rsid w:val="004E16FD"/>
    <w:rsid w:val="004E2466"/>
    <w:rsid w:val="004E24E2"/>
    <w:rsid w:val="004E3A5D"/>
    <w:rsid w:val="004E3AEA"/>
    <w:rsid w:val="004E3D9F"/>
    <w:rsid w:val="004E4C08"/>
    <w:rsid w:val="004E7BF8"/>
    <w:rsid w:val="004F3395"/>
    <w:rsid w:val="004F3D79"/>
    <w:rsid w:val="00500299"/>
    <w:rsid w:val="0050055E"/>
    <w:rsid w:val="005011FC"/>
    <w:rsid w:val="00502403"/>
    <w:rsid w:val="00504963"/>
    <w:rsid w:val="00504DF7"/>
    <w:rsid w:val="00507804"/>
    <w:rsid w:val="0051036D"/>
    <w:rsid w:val="00515B97"/>
    <w:rsid w:val="00520409"/>
    <w:rsid w:val="00520746"/>
    <w:rsid w:val="00521176"/>
    <w:rsid w:val="0052144B"/>
    <w:rsid w:val="005226D1"/>
    <w:rsid w:val="00522C0C"/>
    <w:rsid w:val="00524FCF"/>
    <w:rsid w:val="00531A75"/>
    <w:rsid w:val="00531C33"/>
    <w:rsid w:val="00534EC6"/>
    <w:rsid w:val="005368A3"/>
    <w:rsid w:val="00536902"/>
    <w:rsid w:val="00536A0A"/>
    <w:rsid w:val="00536C1B"/>
    <w:rsid w:val="00547F1F"/>
    <w:rsid w:val="0055152A"/>
    <w:rsid w:val="00556AB7"/>
    <w:rsid w:val="005610BF"/>
    <w:rsid w:val="00562A56"/>
    <w:rsid w:val="00564D69"/>
    <w:rsid w:val="00564FC7"/>
    <w:rsid w:val="00564FD2"/>
    <w:rsid w:val="0056666C"/>
    <w:rsid w:val="0056674E"/>
    <w:rsid w:val="0056681E"/>
    <w:rsid w:val="00570A7D"/>
    <w:rsid w:val="00570D0B"/>
    <w:rsid w:val="005718E1"/>
    <w:rsid w:val="0057255A"/>
    <w:rsid w:val="0057760E"/>
    <w:rsid w:val="005807C6"/>
    <w:rsid w:val="00583CCB"/>
    <w:rsid w:val="0058685A"/>
    <w:rsid w:val="00590726"/>
    <w:rsid w:val="00590E8B"/>
    <w:rsid w:val="00591F68"/>
    <w:rsid w:val="00592BD9"/>
    <w:rsid w:val="00594D8C"/>
    <w:rsid w:val="00597431"/>
    <w:rsid w:val="005A31E6"/>
    <w:rsid w:val="005A6786"/>
    <w:rsid w:val="005A6ECB"/>
    <w:rsid w:val="005B04B8"/>
    <w:rsid w:val="005B28AD"/>
    <w:rsid w:val="005B3279"/>
    <w:rsid w:val="005B39C1"/>
    <w:rsid w:val="005B3AF2"/>
    <w:rsid w:val="005B4B91"/>
    <w:rsid w:val="005B6574"/>
    <w:rsid w:val="005B6D6B"/>
    <w:rsid w:val="005B78E3"/>
    <w:rsid w:val="005C03A3"/>
    <w:rsid w:val="005C0AD7"/>
    <w:rsid w:val="005C183C"/>
    <w:rsid w:val="005C2F88"/>
    <w:rsid w:val="005C4415"/>
    <w:rsid w:val="005C5E86"/>
    <w:rsid w:val="005C5F32"/>
    <w:rsid w:val="005D5F13"/>
    <w:rsid w:val="005D6252"/>
    <w:rsid w:val="005E2068"/>
    <w:rsid w:val="005E3952"/>
    <w:rsid w:val="005E51A6"/>
    <w:rsid w:val="005F05E6"/>
    <w:rsid w:val="005F2313"/>
    <w:rsid w:val="005F2BBE"/>
    <w:rsid w:val="005F3EC0"/>
    <w:rsid w:val="005F7044"/>
    <w:rsid w:val="0060209D"/>
    <w:rsid w:val="00603B05"/>
    <w:rsid w:val="00604C91"/>
    <w:rsid w:val="006050CC"/>
    <w:rsid w:val="00605E59"/>
    <w:rsid w:val="00606E93"/>
    <w:rsid w:val="00610B13"/>
    <w:rsid w:val="006146AC"/>
    <w:rsid w:val="006147C4"/>
    <w:rsid w:val="00615357"/>
    <w:rsid w:val="00616BEB"/>
    <w:rsid w:val="006201EB"/>
    <w:rsid w:val="0062079B"/>
    <w:rsid w:val="00622353"/>
    <w:rsid w:val="00625494"/>
    <w:rsid w:val="00630E6B"/>
    <w:rsid w:val="006313FB"/>
    <w:rsid w:val="00632F1C"/>
    <w:rsid w:val="00633456"/>
    <w:rsid w:val="00635001"/>
    <w:rsid w:val="00635820"/>
    <w:rsid w:val="00636471"/>
    <w:rsid w:val="00640853"/>
    <w:rsid w:val="006419B3"/>
    <w:rsid w:val="00642C9C"/>
    <w:rsid w:val="00643D8B"/>
    <w:rsid w:val="006461DE"/>
    <w:rsid w:val="00646AA0"/>
    <w:rsid w:val="00647FE5"/>
    <w:rsid w:val="006517D3"/>
    <w:rsid w:val="006539B7"/>
    <w:rsid w:val="00655DE0"/>
    <w:rsid w:val="006563E5"/>
    <w:rsid w:val="006573D4"/>
    <w:rsid w:val="00664B76"/>
    <w:rsid w:val="00667C0B"/>
    <w:rsid w:val="00670699"/>
    <w:rsid w:val="00680C7F"/>
    <w:rsid w:val="006814B2"/>
    <w:rsid w:val="00682AC4"/>
    <w:rsid w:val="006860BD"/>
    <w:rsid w:val="00687B62"/>
    <w:rsid w:val="00691776"/>
    <w:rsid w:val="00692E4F"/>
    <w:rsid w:val="00693E19"/>
    <w:rsid w:val="00695CD4"/>
    <w:rsid w:val="006A1816"/>
    <w:rsid w:val="006A3A69"/>
    <w:rsid w:val="006A42D1"/>
    <w:rsid w:val="006A7D62"/>
    <w:rsid w:val="006B3EE2"/>
    <w:rsid w:val="006B4221"/>
    <w:rsid w:val="006B4A65"/>
    <w:rsid w:val="006C1B65"/>
    <w:rsid w:val="006C22CB"/>
    <w:rsid w:val="006C4AA8"/>
    <w:rsid w:val="006C4FAE"/>
    <w:rsid w:val="006C7366"/>
    <w:rsid w:val="006D43D2"/>
    <w:rsid w:val="006D524F"/>
    <w:rsid w:val="006D6564"/>
    <w:rsid w:val="006D65BF"/>
    <w:rsid w:val="006E0D29"/>
    <w:rsid w:val="006E0F9A"/>
    <w:rsid w:val="006E3EA2"/>
    <w:rsid w:val="006E5F8D"/>
    <w:rsid w:val="006E69A8"/>
    <w:rsid w:val="006F133F"/>
    <w:rsid w:val="006F3377"/>
    <w:rsid w:val="006F4DCB"/>
    <w:rsid w:val="006F5F72"/>
    <w:rsid w:val="006F720F"/>
    <w:rsid w:val="00705566"/>
    <w:rsid w:val="007070E0"/>
    <w:rsid w:val="00710297"/>
    <w:rsid w:val="00712D16"/>
    <w:rsid w:val="007155E4"/>
    <w:rsid w:val="007200FB"/>
    <w:rsid w:val="00721509"/>
    <w:rsid w:val="007233E5"/>
    <w:rsid w:val="00723A0A"/>
    <w:rsid w:val="00724FDC"/>
    <w:rsid w:val="0072692A"/>
    <w:rsid w:val="00726BD2"/>
    <w:rsid w:val="0072728C"/>
    <w:rsid w:val="00732EFE"/>
    <w:rsid w:val="007330E9"/>
    <w:rsid w:val="00740067"/>
    <w:rsid w:val="00740AB0"/>
    <w:rsid w:val="00742A5D"/>
    <w:rsid w:val="007442DD"/>
    <w:rsid w:val="0075040C"/>
    <w:rsid w:val="007510C8"/>
    <w:rsid w:val="00753359"/>
    <w:rsid w:val="00754C6F"/>
    <w:rsid w:val="00755D63"/>
    <w:rsid w:val="00756A35"/>
    <w:rsid w:val="007603F4"/>
    <w:rsid w:val="00762395"/>
    <w:rsid w:val="00765944"/>
    <w:rsid w:val="0077034D"/>
    <w:rsid w:val="00772D12"/>
    <w:rsid w:val="00780102"/>
    <w:rsid w:val="00785D24"/>
    <w:rsid w:val="007865B5"/>
    <w:rsid w:val="007935D2"/>
    <w:rsid w:val="00793607"/>
    <w:rsid w:val="007A5F4E"/>
    <w:rsid w:val="007B1D29"/>
    <w:rsid w:val="007B2F5C"/>
    <w:rsid w:val="007B52EA"/>
    <w:rsid w:val="007B7AF6"/>
    <w:rsid w:val="007C3F4C"/>
    <w:rsid w:val="007D1502"/>
    <w:rsid w:val="007D3D85"/>
    <w:rsid w:val="007D4721"/>
    <w:rsid w:val="007D4F0A"/>
    <w:rsid w:val="007D5B99"/>
    <w:rsid w:val="007D71AB"/>
    <w:rsid w:val="007D7ABE"/>
    <w:rsid w:val="007E0468"/>
    <w:rsid w:val="007E0621"/>
    <w:rsid w:val="007E12E4"/>
    <w:rsid w:val="007E2130"/>
    <w:rsid w:val="007F2B89"/>
    <w:rsid w:val="007F3450"/>
    <w:rsid w:val="007F5084"/>
    <w:rsid w:val="007F569D"/>
    <w:rsid w:val="007F6100"/>
    <w:rsid w:val="007F6554"/>
    <w:rsid w:val="007F7ABD"/>
    <w:rsid w:val="0080635A"/>
    <w:rsid w:val="00806373"/>
    <w:rsid w:val="008077F3"/>
    <w:rsid w:val="00813B51"/>
    <w:rsid w:val="00814E3A"/>
    <w:rsid w:val="00814FE2"/>
    <w:rsid w:val="00815061"/>
    <w:rsid w:val="0081590F"/>
    <w:rsid w:val="008173A5"/>
    <w:rsid w:val="00822342"/>
    <w:rsid w:val="0082485F"/>
    <w:rsid w:val="00824AE6"/>
    <w:rsid w:val="00824C4F"/>
    <w:rsid w:val="00834AA4"/>
    <w:rsid w:val="008358E8"/>
    <w:rsid w:val="00836131"/>
    <w:rsid w:val="00840FFD"/>
    <w:rsid w:val="008411B2"/>
    <w:rsid w:val="00844780"/>
    <w:rsid w:val="008507E5"/>
    <w:rsid w:val="00851116"/>
    <w:rsid w:val="00851776"/>
    <w:rsid w:val="00853524"/>
    <w:rsid w:val="008552C7"/>
    <w:rsid w:val="008621CF"/>
    <w:rsid w:val="00862509"/>
    <w:rsid w:val="00862DBC"/>
    <w:rsid w:val="008665CF"/>
    <w:rsid w:val="00866EC4"/>
    <w:rsid w:val="00867D73"/>
    <w:rsid w:val="0087008D"/>
    <w:rsid w:val="008705FC"/>
    <w:rsid w:val="00874910"/>
    <w:rsid w:val="0088248A"/>
    <w:rsid w:val="008844A5"/>
    <w:rsid w:val="00885655"/>
    <w:rsid w:val="0088723F"/>
    <w:rsid w:val="00890991"/>
    <w:rsid w:val="00892889"/>
    <w:rsid w:val="00893153"/>
    <w:rsid w:val="008939CB"/>
    <w:rsid w:val="008A1B50"/>
    <w:rsid w:val="008A4252"/>
    <w:rsid w:val="008A443F"/>
    <w:rsid w:val="008A670E"/>
    <w:rsid w:val="008A7105"/>
    <w:rsid w:val="008B0B98"/>
    <w:rsid w:val="008B1118"/>
    <w:rsid w:val="008B1836"/>
    <w:rsid w:val="008B2C30"/>
    <w:rsid w:val="008B5984"/>
    <w:rsid w:val="008B61FB"/>
    <w:rsid w:val="008C3EE3"/>
    <w:rsid w:val="008C3F7C"/>
    <w:rsid w:val="008C6B68"/>
    <w:rsid w:val="008C724F"/>
    <w:rsid w:val="008D5327"/>
    <w:rsid w:val="008D5E53"/>
    <w:rsid w:val="008D7A77"/>
    <w:rsid w:val="008E0138"/>
    <w:rsid w:val="008E1361"/>
    <w:rsid w:val="008E35C3"/>
    <w:rsid w:val="008E3D66"/>
    <w:rsid w:val="008E5D02"/>
    <w:rsid w:val="008E6309"/>
    <w:rsid w:val="008E6BDB"/>
    <w:rsid w:val="008F20D3"/>
    <w:rsid w:val="008F29DB"/>
    <w:rsid w:val="008F3DD8"/>
    <w:rsid w:val="008F549A"/>
    <w:rsid w:val="008F59B4"/>
    <w:rsid w:val="008F6648"/>
    <w:rsid w:val="008F70BF"/>
    <w:rsid w:val="009002A5"/>
    <w:rsid w:val="00900D62"/>
    <w:rsid w:val="00900EFC"/>
    <w:rsid w:val="0090176D"/>
    <w:rsid w:val="009027A1"/>
    <w:rsid w:val="00903A22"/>
    <w:rsid w:val="00903C6E"/>
    <w:rsid w:val="00904FF4"/>
    <w:rsid w:val="00905FFF"/>
    <w:rsid w:val="00906BF4"/>
    <w:rsid w:val="00906D61"/>
    <w:rsid w:val="00913B34"/>
    <w:rsid w:val="00913E2F"/>
    <w:rsid w:val="00914691"/>
    <w:rsid w:val="00915DAC"/>
    <w:rsid w:val="0092066C"/>
    <w:rsid w:val="00920F28"/>
    <w:rsid w:val="0092115E"/>
    <w:rsid w:val="0092146F"/>
    <w:rsid w:val="009240AC"/>
    <w:rsid w:val="00925473"/>
    <w:rsid w:val="0092741F"/>
    <w:rsid w:val="0093023C"/>
    <w:rsid w:val="00932E18"/>
    <w:rsid w:val="00934A94"/>
    <w:rsid w:val="009366F1"/>
    <w:rsid w:val="00937089"/>
    <w:rsid w:val="00937265"/>
    <w:rsid w:val="00942B5B"/>
    <w:rsid w:val="00942F45"/>
    <w:rsid w:val="00944E88"/>
    <w:rsid w:val="009462CD"/>
    <w:rsid w:val="009462FC"/>
    <w:rsid w:val="00950943"/>
    <w:rsid w:val="00950B99"/>
    <w:rsid w:val="00952D40"/>
    <w:rsid w:val="00953461"/>
    <w:rsid w:val="00953FFC"/>
    <w:rsid w:val="0096179E"/>
    <w:rsid w:val="00964DF4"/>
    <w:rsid w:val="00965051"/>
    <w:rsid w:val="0096651E"/>
    <w:rsid w:val="0097405C"/>
    <w:rsid w:val="00974C63"/>
    <w:rsid w:val="00976BDB"/>
    <w:rsid w:val="00980D52"/>
    <w:rsid w:val="009824E5"/>
    <w:rsid w:val="00986AC9"/>
    <w:rsid w:val="009930C3"/>
    <w:rsid w:val="009933FE"/>
    <w:rsid w:val="00993D08"/>
    <w:rsid w:val="0099539B"/>
    <w:rsid w:val="009A12EB"/>
    <w:rsid w:val="009A254B"/>
    <w:rsid w:val="009A354E"/>
    <w:rsid w:val="009A4927"/>
    <w:rsid w:val="009A5007"/>
    <w:rsid w:val="009A707B"/>
    <w:rsid w:val="009B026F"/>
    <w:rsid w:val="009B055D"/>
    <w:rsid w:val="009B07B0"/>
    <w:rsid w:val="009B4960"/>
    <w:rsid w:val="009C0647"/>
    <w:rsid w:val="009C2458"/>
    <w:rsid w:val="009C43E4"/>
    <w:rsid w:val="009C45F1"/>
    <w:rsid w:val="009C4958"/>
    <w:rsid w:val="009D0A59"/>
    <w:rsid w:val="009D1158"/>
    <w:rsid w:val="009D2A5B"/>
    <w:rsid w:val="009D555E"/>
    <w:rsid w:val="009D6CC5"/>
    <w:rsid w:val="009E1DD7"/>
    <w:rsid w:val="009E215A"/>
    <w:rsid w:val="009E4C16"/>
    <w:rsid w:val="009E65CE"/>
    <w:rsid w:val="009E6C5E"/>
    <w:rsid w:val="009F3851"/>
    <w:rsid w:val="009F40B4"/>
    <w:rsid w:val="009F531F"/>
    <w:rsid w:val="009F53FD"/>
    <w:rsid w:val="009F6AC2"/>
    <w:rsid w:val="009F7910"/>
    <w:rsid w:val="009F7B94"/>
    <w:rsid w:val="00A00520"/>
    <w:rsid w:val="00A00DBD"/>
    <w:rsid w:val="00A04557"/>
    <w:rsid w:val="00A04BAD"/>
    <w:rsid w:val="00A058CE"/>
    <w:rsid w:val="00A066DB"/>
    <w:rsid w:val="00A07B0C"/>
    <w:rsid w:val="00A1072B"/>
    <w:rsid w:val="00A11A32"/>
    <w:rsid w:val="00A134C3"/>
    <w:rsid w:val="00A164F9"/>
    <w:rsid w:val="00A20919"/>
    <w:rsid w:val="00A26A4B"/>
    <w:rsid w:val="00A3136C"/>
    <w:rsid w:val="00A341ED"/>
    <w:rsid w:val="00A4258A"/>
    <w:rsid w:val="00A44195"/>
    <w:rsid w:val="00A46120"/>
    <w:rsid w:val="00A514A6"/>
    <w:rsid w:val="00A52125"/>
    <w:rsid w:val="00A55F19"/>
    <w:rsid w:val="00A57B46"/>
    <w:rsid w:val="00A57E84"/>
    <w:rsid w:val="00A6569C"/>
    <w:rsid w:val="00A65B85"/>
    <w:rsid w:val="00A66A69"/>
    <w:rsid w:val="00A66BDE"/>
    <w:rsid w:val="00A67FA9"/>
    <w:rsid w:val="00A72A55"/>
    <w:rsid w:val="00A72E3E"/>
    <w:rsid w:val="00A7452A"/>
    <w:rsid w:val="00A8094D"/>
    <w:rsid w:val="00A824DB"/>
    <w:rsid w:val="00A83182"/>
    <w:rsid w:val="00A87EE2"/>
    <w:rsid w:val="00A9094A"/>
    <w:rsid w:val="00A92315"/>
    <w:rsid w:val="00A92604"/>
    <w:rsid w:val="00A9317E"/>
    <w:rsid w:val="00A94D0B"/>
    <w:rsid w:val="00A973AE"/>
    <w:rsid w:val="00AA420E"/>
    <w:rsid w:val="00AA4837"/>
    <w:rsid w:val="00AA4D49"/>
    <w:rsid w:val="00AA58B7"/>
    <w:rsid w:val="00AA5C68"/>
    <w:rsid w:val="00AA73BA"/>
    <w:rsid w:val="00AA7A97"/>
    <w:rsid w:val="00AB1136"/>
    <w:rsid w:val="00AB2B3C"/>
    <w:rsid w:val="00AB4794"/>
    <w:rsid w:val="00AB56AC"/>
    <w:rsid w:val="00AB5D12"/>
    <w:rsid w:val="00AB6647"/>
    <w:rsid w:val="00AC4482"/>
    <w:rsid w:val="00AC6678"/>
    <w:rsid w:val="00AC6C11"/>
    <w:rsid w:val="00AC7A72"/>
    <w:rsid w:val="00AD1D1B"/>
    <w:rsid w:val="00AD4E77"/>
    <w:rsid w:val="00AD4FF1"/>
    <w:rsid w:val="00AD5017"/>
    <w:rsid w:val="00AD79B5"/>
    <w:rsid w:val="00AE123A"/>
    <w:rsid w:val="00AE2106"/>
    <w:rsid w:val="00AE477D"/>
    <w:rsid w:val="00AF09D9"/>
    <w:rsid w:val="00AF6829"/>
    <w:rsid w:val="00B01433"/>
    <w:rsid w:val="00B023C5"/>
    <w:rsid w:val="00B02F91"/>
    <w:rsid w:val="00B03333"/>
    <w:rsid w:val="00B03A94"/>
    <w:rsid w:val="00B05917"/>
    <w:rsid w:val="00B12E95"/>
    <w:rsid w:val="00B13B60"/>
    <w:rsid w:val="00B15B75"/>
    <w:rsid w:val="00B17B51"/>
    <w:rsid w:val="00B211D8"/>
    <w:rsid w:val="00B217A5"/>
    <w:rsid w:val="00B21F75"/>
    <w:rsid w:val="00B2259D"/>
    <w:rsid w:val="00B23222"/>
    <w:rsid w:val="00B234EC"/>
    <w:rsid w:val="00B263DA"/>
    <w:rsid w:val="00B308EF"/>
    <w:rsid w:val="00B322D3"/>
    <w:rsid w:val="00B32CC1"/>
    <w:rsid w:val="00B33DAF"/>
    <w:rsid w:val="00B4256E"/>
    <w:rsid w:val="00B4267F"/>
    <w:rsid w:val="00B43B5B"/>
    <w:rsid w:val="00B44EC1"/>
    <w:rsid w:val="00B46439"/>
    <w:rsid w:val="00B46B3B"/>
    <w:rsid w:val="00B47249"/>
    <w:rsid w:val="00B50397"/>
    <w:rsid w:val="00B5074D"/>
    <w:rsid w:val="00B50EF2"/>
    <w:rsid w:val="00B51244"/>
    <w:rsid w:val="00B512B8"/>
    <w:rsid w:val="00B5234D"/>
    <w:rsid w:val="00B52869"/>
    <w:rsid w:val="00B57C72"/>
    <w:rsid w:val="00B57D38"/>
    <w:rsid w:val="00B630F5"/>
    <w:rsid w:val="00B6528F"/>
    <w:rsid w:val="00B662F2"/>
    <w:rsid w:val="00B70DB8"/>
    <w:rsid w:val="00B74264"/>
    <w:rsid w:val="00B759EC"/>
    <w:rsid w:val="00B80D4B"/>
    <w:rsid w:val="00B80EF8"/>
    <w:rsid w:val="00B81E8B"/>
    <w:rsid w:val="00B8223D"/>
    <w:rsid w:val="00B82A89"/>
    <w:rsid w:val="00B8303E"/>
    <w:rsid w:val="00B83486"/>
    <w:rsid w:val="00B8465D"/>
    <w:rsid w:val="00B84F8E"/>
    <w:rsid w:val="00B85363"/>
    <w:rsid w:val="00B85E7B"/>
    <w:rsid w:val="00B936E0"/>
    <w:rsid w:val="00B95662"/>
    <w:rsid w:val="00B973FC"/>
    <w:rsid w:val="00B97C49"/>
    <w:rsid w:val="00B97D48"/>
    <w:rsid w:val="00B97ECE"/>
    <w:rsid w:val="00BA17B4"/>
    <w:rsid w:val="00BA203B"/>
    <w:rsid w:val="00BA2BA0"/>
    <w:rsid w:val="00BA2D6F"/>
    <w:rsid w:val="00BA3661"/>
    <w:rsid w:val="00BA5707"/>
    <w:rsid w:val="00BA5F19"/>
    <w:rsid w:val="00BA5F62"/>
    <w:rsid w:val="00BA62E3"/>
    <w:rsid w:val="00BA7207"/>
    <w:rsid w:val="00BA7FAD"/>
    <w:rsid w:val="00BB03B8"/>
    <w:rsid w:val="00BB1196"/>
    <w:rsid w:val="00BB2281"/>
    <w:rsid w:val="00BB540C"/>
    <w:rsid w:val="00BB7C52"/>
    <w:rsid w:val="00BC0919"/>
    <w:rsid w:val="00BC2852"/>
    <w:rsid w:val="00BC303B"/>
    <w:rsid w:val="00BC5027"/>
    <w:rsid w:val="00BD04DE"/>
    <w:rsid w:val="00BD09A7"/>
    <w:rsid w:val="00BD48E2"/>
    <w:rsid w:val="00BE0263"/>
    <w:rsid w:val="00BE31A3"/>
    <w:rsid w:val="00BE52F1"/>
    <w:rsid w:val="00BE6BAB"/>
    <w:rsid w:val="00BE72A7"/>
    <w:rsid w:val="00BF1D73"/>
    <w:rsid w:val="00BF37FD"/>
    <w:rsid w:val="00BF4616"/>
    <w:rsid w:val="00BF5362"/>
    <w:rsid w:val="00C00517"/>
    <w:rsid w:val="00C02A42"/>
    <w:rsid w:val="00C036D4"/>
    <w:rsid w:val="00C03808"/>
    <w:rsid w:val="00C07101"/>
    <w:rsid w:val="00C077DA"/>
    <w:rsid w:val="00C148C6"/>
    <w:rsid w:val="00C15F41"/>
    <w:rsid w:val="00C16E4A"/>
    <w:rsid w:val="00C2159C"/>
    <w:rsid w:val="00C2196A"/>
    <w:rsid w:val="00C22E73"/>
    <w:rsid w:val="00C30673"/>
    <w:rsid w:val="00C320AA"/>
    <w:rsid w:val="00C35AEF"/>
    <w:rsid w:val="00C37A61"/>
    <w:rsid w:val="00C4026A"/>
    <w:rsid w:val="00C411FB"/>
    <w:rsid w:val="00C44B26"/>
    <w:rsid w:val="00C45A81"/>
    <w:rsid w:val="00C50D5C"/>
    <w:rsid w:val="00C517CD"/>
    <w:rsid w:val="00C522FD"/>
    <w:rsid w:val="00C53115"/>
    <w:rsid w:val="00C53E83"/>
    <w:rsid w:val="00C54B9D"/>
    <w:rsid w:val="00C5721E"/>
    <w:rsid w:val="00C64774"/>
    <w:rsid w:val="00C65F21"/>
    <w:rsid w:val="00C66999"/>
    <w:rsid w:val="00C66DC7"/>
    <w:rsid w:val="00C670F1"/>
    <w:rsid w:val="00C7534F"/>
    <w:rsid w:val="00C76811"/>
    <w:rsid w:val="00C8033C"/>
    <w:rsid w:val="00C81590"/>
    <w:rsid w:val="00C83803"/>
    <w:rsid w:val="00C8567A"/>
    <w:rsid w:val="00C860B6"/>
    <w:rsid w:val="00C87180"/>
    <w:rsid w:val="00C91BD0"/>
    <w:rsid w:val="00CA0000"/>
    <w:rsid w:val="00CA6F10"/>
    <w:rsid w:val="00CB37F9"/>
    <w:rsid w:val="00CB46C9"/>
    <w:rsid w:val="00CB50B6"/>
    <w:rsid w:val="00CB73FA"/>
    <w:rsid w:val="00CC2442"/>
    <w:rsid w:val="00CD1079"/>
    <w:rsid w:val="00CD181C"/>
    <w:rsid w:val="00CD23C2"/>
    <w:rsid w:val="00CD266B"/>
    <w:rsid w:val="00CD2876"/>
    <w:rsid w:val="00CD6D81"/>
    <w:rsid w:val="00CE4CCA"/>
    <w:rsid w:val="00CE4E33"/>
    <w:rsid w:val="00CE52C3"/>
    <w:rsid w:val="00CE736A"/>
    <w:rsid w:val="00CE7F02"/>
    <w:rsid w:val="00CF196E"/>
    <w:rsid w:val="00CF3519"/>
    <w:rsid w:val="00CF4FDD"/>
    <w:rsid w:val="00CF68DF"/>
    <w:rsid w:val="00CF7085"/>
    <w:rsid w:val="00D01238"/>
    <w:rsid w:val="00D03261"/>
    <w:rsid w:val="00D03BE9"/>
    <w:rsid w:val="00D05290"/>
    <w:rsid w:val="00D06B02"/>
    <w:rsid w:val="00D07B8E"/>
    <w:rsid w:val="00D1074F"/>
    <w:rsid w:val="00D16257"/>
    <w:rsid w:val="00D20752"/>
    <w:rsid w:val="00D2082C"/>
    <w:rsid w:val="00D22901"/>
    <w:rsid w:val="00D24E4F"/>
    <w:rsid w:val="00D25820"/>
    <w:rsid w:val="00D31624"/>
    <w:rsid w:val="00D316B5"/>
    <w:rsid w:val="00D32E28"/>
    <w:rsid w:val="00D35271"/>
    <w:rsid w:val="00D450E8"/>
    <w:rsid w:val="00D52ADD"/>
    <w:rsid w:val="00D53972"/>
    <w:rsid w:val="00D550CC"/>
    <w:rsid w:val="00D56C6C"/>
    <w:rsid w:val="00D63218"/>
    <w:rsid w:val="00D6339D"/>
    <w:rsid w:val="00D6476E"/>
    <w:rsid w:val="00D65318"/>
    <w:rsid w:val="00D65DA7"/>
    <w:rsid w:val="00D6713E"/>
    <w:rsid w:val="00D70565"/>
    <w:rsid w:val="00D709D1"/>
    <w:rsid w:val="00D70F34"/>
    <w:rsid w:val="00D7245B"/>
    <w:rsid w:val="00D744C5"/>
    <w:rsid w:val="00D8237D"/>
    <w:rsid w:val="00D83A3C"/>
    <w:rsid w:val="00D846C8"/>
    <w:rsid w:val="00D84C43"/>
    <w:rsid w:val="00D85042"/>
    <w:rsid w:val="00D86343"/>
    <w:rsid w:val="00D877B1"/>
    <w:rsid w:val="00D920BA"/>
    <w:rsid w:val="00D92F77"/>
    <w:rsid w:val="00D9358D"/>
    <w:rsid w:val="00D944AE"/>
    <w:rsid w:val="00D96B8A"/>
    <w:rsid w:val="00DA04DF"/>
    <w:rsid w:val="00DA6AB4"/>
    <w:rsid w:val="00DA7497"/>
    <w:rsid w:val="00DB33AA"/>
    <w:rsid w:val="00DB4581"/>
    <w:rsid w:val="00DB5EC5"/>
    <w:rsid w:val="00DB652D"/>
    <w:rsid w:val="00DC0A0D"/>
    <w:rsid w:val="00DC2989"/>
    <w:rsid w:val="00DC52B4"/>
    <w:rsid w:val="00DC5B78"/>
    <w:rsid w:val="00DC620E"/>
    <w:rsid w:val="00DC6935"/>
    <w:rsid w:val="00DD0254"/>
    <w:rsid w:val="00DD04F8"/>
    <w:rsid w:val="00DD063D"/>
    <w:rsid w:val="00DD1A53"/>
    <w:rsid w:val="00DD3657"/>
    <w:rsid w:val="00DD410E"/>
    <w:rsid w:val="00DD69EF"/>
    <w:rsid w:val="00DD6AAE"/>
    <w:rsid w:val="00DD79D1"/>
    <w:rsid w:val="00DE21AA"/>
    <w:rsid w:val="00DE36E3"/>
    <w:rsid w:val="00DE4815"/>
    <w:rsid w:val="00DE4A11"/>
    <w:rsid w:val="00DE607E"/>
    <w:rsid w:val="00DE687F"/>
    <w:rsid w:val="00DE6AD4"/>
    <w:rsid w:val="00DE77EF"/>
    <w:rsid w:val="00DF2F71"/>
    <w:rsid w:val="00E05C98"/>
    <w:rsid w:val="00E06B6F"/>
    <w:rsid w:val="00E070CA"/>
    <w:rsid w:val="00E07289"/>
    <w:rsid w:val="00E121F1"/>
    <w:rsid w:val="00E12E44"/>
    <w:rsid w:val="00E13FE5"/>
    <w:rsid w:val="00E157C7"/>
    <w:rsid w:val="00E15D08"/>
    <w:rsid w:val="00E168BC"/>
    <w:rsid w:val="00E17D36"/>
    <w:rsid w:val="00E207D2"/>
    <w:rsid w:val="00E20D1F"/>
    <w:rsid w:val="00E2339A"/>
    <w:rsid w:val="00E251D5"/>
    <w:rsid w:val="00E26282"/>
    <w:rsid w:val="00E30A24"/>
    <w:rsid w:val="00E335FF"/>
    <w:rsid w:val="00E37357"/>
    <w:rsid w:val="00E3766B"/>
    <w:rsid w:val="00E403C2"/>
    <w:rsid w:val="00E41AE3"/>
    <w:rsid w:val="00E42669"/>
    <w:rsid w:val="00E432D1"/>
    <w:rsid w:val="00E5229D"/>
    <w:rsid w:val="00E539DE"/>
    <w:rsid w:val="00E54F9E"/>
    <w:rsid w:val="00E55795"/>
    <w:rsid w:val="00E5618B"/>
    <w:rsid w:val="00E562FB"/>
    <w:rsid w:val="00E574E7"/>
    <w:rsid w:val="00E6075F"/>
    <w:rsid w:val="00E60D91"/>
    <w:rsid w:val="00E6196B"/>
    <w:rsid w:val="00E6327F"/>
    <w:rsid w:val="00E6642B"/>
    <w:rsid w:val="00E669F4"/>
    <w:rsid w:val="00E66A15"/>
    <w:rsid w:val="00E7645E"/>
    <w:rsid w:val="00E82B50"/>
    <w:rsid w:val="00E83597"/>
    <w:rsid w:val="00E84EC5"/>
    <w:rsid w:val="00E87B59"/>
    <w:rsid w:val="00E90C91"/>
    <w:rsid w:val="00E92B40"/>
    <w:rsid w:val="00E930A8"/>
    <w:rsid w:val="00E940F5"/>
    <w:rsid w:val="00E9475D"/>
    <w:rsid w:val="00E94BFF"/>
    <w:rsid w:val="00E952DA"/>
    <w:rsid w:val="00E9744D"/>
    <w:rsid w:val="00E97F85"/>
    <w:rsid w:val="00EA1B5F"/>
    <w:rsid w:val="00EA2D24"/>
    <w:rsid w:val="00EA50DB"/>
    <w:rsid w:val="00EA6D85"/>
    <w:rsid w:val="00EA7AB5"/>
    <w:rsid w:val="00EB17AD"/>
    <w:rsid w:val="00EB3211"/>
    <w:rsid w:val="00EB4524"/>
    <w:rsid w:val="00EB60B6"/>
    <w:rsid w:val="00EB71C4"/>
    <w:rsid w:val="00EC1167"/>
    <w:rsid w:val="00EC1726"/>
    <w:rsid w:val="00EC40A6"/>
    <w:rsid w:val="00EC5429"/>
    <w:rsid w:val="00EC587D"/>
    <w:rsid w:val="00ED4799"/>
    <w:rsid w:val="00EE3A01"/>
    <w:rsid w:val="00EE4968"/>
    <w:rsid w:val="00EF1A8B"/>
    <w:rsid w:val="00EF4530"/>
    <w:rsid w:val="00EF46F6"/>
    <w:rsid w:val="00EF4E9B"/>
    <w:rsid w:val="00EF504B"/>
    <w:rsid w:val="00EF5B97"/>
    <w:rsid w:val="00EF638E"/>
    <w:rsid w:val="00F0054C"/>
    <w:rsid w:val="00F01B4D"/>
    <w:rsid w:val="00F03820"/>
    <w:rsid w:val="00F0529E"/>
    <w:rsid w:val="00F071D4"/>
    <w:rsid w:val="00F079AF"/>
    <w:rsid w:val="00F10AFE"/>
    <w:rsid w:val="00F12DCC"/>
    <w:rsid w:val="00F14228"/>
    <w:rsid w:val="00F14D6F"/>
    <w:rsid w:val="00F168F9"/>
    <w:rsid w:val="00F20F8F"/>
    <w:rsid w:val="00F21787"/>
    <w:rsid w:val="00F24CC4"/>
    <w:rsid w:val="00F250FE"/>
    <w:rsid w:val="00F26BA3"/>
    <w:rsid w:val="00F27103"/>
    <w:rsid w:val="00F31D14"/>
    <w:rsid w:val="00F326C8"/>
    <w:rsid w:val="00F331DF"/>
    <w:rsid w:val="00F33C9C"/>
    <w:rsid w:val="00F35357"/>
    <w:rsid w:val="00F366C4"/>
    <w:rsid w:val="00F40092"/>
    <w:rsid w:val="00F40790"/>
    <w:rsid w:val="00F40E48"/>
    <w:rsid w:val="00F441D3"/>
    <w:rsid w:val="00F47FFB"/>
    <w:rsid w:val="00F5062D"/>
    <w:rsid w:val="00F50E6D"/>
    <w:rsid w:val="00F5326C"/>
    <w:rsid w:val="00F54433"/>
    <w:rsid w:val="00F54B07"/>
    <w:rsid w:val="00F54D3C"/>
    <w:rsid w:val="00F5636F"/>
    <w:rsid w:val="00F602D6"/>
    <w:rsid w:val="00F60487"/>
    <w:rsid w:val="00F6058D"/>
    <w:rsid w:val="00F6200D"/>
    <w:rsid w:val="00F62CE4"/>
    <w:rsid w:val="00F6471C"/>
    <w:rsid w:val="00F6608A"/>
    <w:rsid w:val="00F67B26"/>
    <w:rsid w:val="00F73040"/>
    <w:rsid w:val="00F7418D"/>
    <w:rsid w:val="00F75287"/>
    <w:rsid w:val="00F77FAE"/>
    <w:rsid w:val="00F80622"/>
    <w:rsid w:val="00F82F17"/>
    <w:rsid w:val="00F84F29"/>
    <w:rsid w:val="00F85335"/>
    <w:rsid w:val="00F92D72"/>
    <w:rsid w:val="00F97355"/>
    <w:rsid w:val="00F97417"/>
    <w:rsid w:val="00F9779C"/>
    <w:rsid w:val="00F977CD"/>
    <w:rsid w:val="00F97D17"/>
    <w:rsid w:val="00FA0D02"/>
    <w:rsid w:val="00FA2093"/>
    <w:rsid w:val="00FB1263"/>
    <w:rsid w:val="00FB2E23"/>
    <w:rsid w:val="00FB30C6"/>
    <w:rsid w:val="00FB3696"/>
    <w:rsid w:val="00FB568A"/>
    <w:rsid w:val="00FC2247"/>
    <w:rsid w:val="00FC2E89"/>
    <w:rsid w:val="00FC49D0"/>
    <w:rsid w:val="00FC67C0"/>
    <w:rsid w:val="00FD07D9"/>
    <w:rsid w:val="00FD56DF"/>
    <w:rsid w:val="00FD5F0D"/>
    <w:rsid w:val="00FE320D"/>
    <w:rsid w:val="00FE5740"/>
    <w:rsid w:val="00FE5956"/>
    <w:rsid w:val="00FE6385"/>
    <w:rsid w:val="00FE66CA"/>
    <w:rsid w:val="00FE6902"/>
    <w:rsid w:val="00FF2012"/>
    <w:rsid w:val="00FF26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021F"/>
  <w15:docId w15:val="{BC9A0E22-F90D-4F9B-A8D1-65052823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FC7"/>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qFormat/>
    <w:rsid w:val="005368A3"/>
    <w:pPr>
      <w:numPr>
        <w:numId w:val="1"/>
      </w:numPr>
      <w:ind w:left="0" w:firstLine="0"/>
      <w:outlineLvl w:val="0"/>
    </w:pPr>
  </w:style>
  <w:style w:type="paragraph" w:styleId="Heading2">
    <w:name w:val="heading 2"/>
    <w:basedOn w:val="Normal"/>
    <w:next w:val="Normal"/>
    <w:link w:val="Heading2Char"/>
    <w:qFormat/>
    <w:rsid w:val="00257D35"/>
    <w:pPr>
      <w:numPr>
        <w:numId w:val="2"/>
      </w:numPr>
      <w:ind w:left="720" w:firstLine="0"/>
      <w:outlineLvl w:val="1"/>
    </w:pPr>
  </w:style>
  <w:style w:type="paragraph" w:styleId="Heading3">
    <w:name w:val="heading 3"/>
    <w:basedOn w:val="Normal"/>
    <w:next w:val="Normal"/>
    <w:qFormat/>
    <w:rsid w:val="0072728C"/>
    <w:pPr>
      <w:numPr>
        <w:numId w:val="3"/>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link w:val="HeaderChar"/>
    <w:uiPriority w:val="99"/>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qFormat/>
    <w:rsid w:val="00853524"/>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qFormat/>
    <w:rsid w:val="00853524"/>
    <w:rPr>
      <w:vertAlign w:val="superscript"/>
    </w:rPr>
  </w:style>
  <w:style w:type="character" w:customStyle="1" w:styleId="Heading1Char">
    <w:name w:val="Heading 1 Char"/>
    <w:basedOn w:val="DefaultParagraphFont"/>
    <w:link w:val="Heading1"/>
    <w:uiPriority w:val="9"/>
    <w:rsid w:val="005368A3"/>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aliases w:val="Bullet Main"/>
    <w:basedOn w:val="Normal"/>
    <w:link w:val="ListParagraphChar"/>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 w:type="character" w:customStyle="1" w:styleId="ListParagraphChar">
    <w:name w:val="List Paragraph Char"/>
    <w:aliases w:val="Bullet Main Char"/>
    <w:link w:val="ListParagraph"/>
    <w:uiPriority w:val="34"/>
    <w:locked/>
    <w:rsid w:val="005610BF"/>
    <w:rPr>
      <w:rFonts w:ascii="Arial" w:hAnsi="Arial"/>
      <w:sz w:val="24"/>
      <w:szCs w:val="22"/>
      <w:lang w:val="en-US" w:eastAsia="en-US"/>
    </w:rPr>
  </w:style>
  <w:style w:type="paragraph" w:styleId="NoSpacing">
    <w:name w:val="No Spacing"/>
    <w:uiPriority w:val="1"/>
    <w:qFormat/>
    <w:rsid w:val="00466EE7"/>
    <w:pPr>
      <w:widowControl w:val="0"/>
      <w:jc w:val="both"/>
    </w:pPr>
    <w:rPr>
      <w:rFonts w:ascii="Arial" w:hAnsi="Arial" w:cs="Arial"/>
      <w:spacing w:val="-3"/>
      <w:sz w:val="24"/>
      <w:szCs w:val="24"/>
      <w:lang w:eastAsia="en-US"/>
    </w:rPr>
  </w:style>
  <w:style w:type="character" w:customStyle="1" w:styleId="HeaderChar">
    <w:name w:val="Header Char"/>
    <w:basedOn w:val="DefaultParagraphFont"/>
    <w:link w:val="Header"/>
    <w:uiPriority w:val="99"/>
    <w:rsid w:val="000979DC"/>
    <w:rPr>
      <w:rFonts w:ascii="Arial" w:hAnsi="Arial" w:cs="Arial"/>
      <w:spacing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80774">
      <w:bodyDiv w:val="1"/>
      <w:marLeft w:val="0"/>
      <w:marRight w:val="0"/>
      <w:marTop w:val="0"/>
      <w:marBottom w:val="0"/>
      <w:divBdr>
        <w:top w:val="none" w:sz="0" w:space="0" w:color="auto"/>
        <w:left w:val="none" w:sz="0" w:space="0" w:color="auto"/>
        <w:bottom w:val="none" w:sz="0" w:space="0" w:color="auto"/>
        <w:right w:val="none" w:sz="0" w:space="0" w:color="auto"/>
      </w:divBdr>
    </w:div>
    <w:div w:id="1202479657">
      <w:bodyDiv w:val="1"/>
      <w:marLeft w:val="0"/>
      <w:marRight w:val="0"/>
      <w:marTop w:val="0"/>
      <w:marBottom w:val="0"/>
      <w:divBdr>
        <w:top w:val="none" w:sz="0" w:space="0" w:color="auto"/>
        <w:left w:val="none" w:sz="0" w:space="0" w:color="auto"/>
        <w:bottom w:val="none" w:sz="0" w:space="0" w:color="auto"/>
        <w:right w:val="none" w:sz="0" w:space="0" w:color="auto"/>
      </w:divBdr>
      <w:divsChild>
        <w:div w:id="396558597">
          <w:marLeft w:val="0"/>
          <w:marRight w:val="0"/>
          <w:marTop w:val="0"/>
          <w:marBottom w:val="0"/>
          <w:divBdr>
            <w:top w:val="none" w:sz="0" w:space="0" w:color="auto"/>
            <w:left w:val="none" w:sz="0" w:space="0" w:color="auto"/>
            <w:bottom w:val="none" w:sz="0" w:space="0" w:color="auto"/>
            <w:right w:val="none" w:sz="0" w:space="0" w:color="auto"/>
          </w:divBdr>
        </w:div>
        <w:div w:id="568734682">
          <w:marLeft w:val="0"/>
          <w:marRight w:val="0"/>
          <w:marTop w:val="0"/>
          <w:marBottom w:val="0"/>
          <w:divBdr>
            <w:top w:val="none" w:sz="0" w:space="0" w:color="auto"/>
            <w:left w:val="none" w:sz="0" w:space="0" w:color="auto"/>
            <w:bottom w:val="none" w:sz="0" w:space="0" w:color="auto"/>
            <w:right w:val="none" w:sz="0" w:space="0" w:color="auto"/>
          </w:divBdr>
        </w:div>
      </w:divsChild>
    </w:div>
    <w:div w:id="1482622763">
      <w:bodyDiv w:val="1"/>
      <w:marLeft w:val="0"/>
      <w:marRight w:val="0"/>
      <w:marTop w:val="0"/>
      <w:marBottom w:val="0"/>
      <w:divBdr>
        <w:top w:val="none" w:sz="0" w:space="0" w:color="auto"/>
        <w:left w:val="none" w:sz="0" w:space="0" w:color="auto"/>
        <w:bottom w:val="none" w:sz="0" w:space="0" w:color="auto"/>
        <w:right w:val="none" w:sz="0" w:space="0" w:color="auto"/>
      </w:divBdr>
    </w:div>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ocuments\Custom%20Office%20Templates\Pleading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2023-09-20T18:30:00+00:00</Judgment_x0020_Date>
    <Year xmlns="c1afb1bd-f2fb-40fd-9abb-aea55b4d7662">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15071-933D-4400-85F3-8971D0053EA0}">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E564E9D2-7094-4E2E-B0E6-BC8E574D0332}">
  <ds:schemaRefs>
    <ds:schemaRef ds:uri="http://schemas.openxmlformats.org/officeDocument/2006/bibliography"/>
  </ds:schemaRefs>
</ds:datastoreItem>
</file>

<file path=customXml/itemProps3.xml><?xml version="1.0" encoding="utf-8"?>
<ds:datastoreItem xmlns:ds="http://schemas.openxmlformats.org/officeDocument/2006/customXml" ds:itemID="{A8C17CF2-B70F-4729-A83F-2531A9278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0B55DE-1B08-434C-98A5-37F70A5C98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Affidavit</Template>
  <TotalTime>5</TotalTime>
  <Pages>8</Pages>
  <Words>1504</Words>
  <Characters>8633</Characters>
  <Application>Microsoft Office Word</Application>
  <DocSecurity>0</DocSecurity>
  <Lines>959</Lines>
  <Paragraphs>724</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Wirtz v Van Wyk (HC-MD-CIV-MOT-GEN-2020-00373) [2023] NAHCMD 601 (21 September 2023)</dc:title>
  <dc:subject/>
  <dc:creator>Monica</dc:creator>
  <cp:keywords/>
  <dc:description/>
  <cp:lastModifiedBy>Mariana Anguelov</cp:lastModifiedBy>
  <cp:revision>5</cp:revision>
  <cp:lastPrinted>2023-09-29T13:14:00Z</cp:lastPrinted>
  <dcterms:created xsi:type="dcterms:W3CDTF">2023-09-28T14:05:00Z</dcterms:created>
  <dcterms:modified xsi:type="dcterms:W3CDTF">2023-10-05T17:47:00Z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b6910caf408c31acfb96933886e011f04a99956a06965b9bd9452ad5b6b4abbc</vt:lpwstr>
  </property>
  <property fmtid="{D5CDD505-2E9C-101B-9397-08002B2CF9AE}" pid="3" name="ContentTypeId">
    <vt:lpwstr>0x0101000ECE0F99B3F8644397ECB0C536651393</vt:lpwstr>
  </property>
</Properties>
</file>