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A1AC7C" w14:textId="77777777" w:rsidR="00273209" w:rsidRPr="00247753" w:rsidRDefault="00273209" w:rsidP="00273209">
      <w:pPr>
        <w:spacing w:after="0"/>
        <w:ind w:left="2880" w:firstLine="720"/>
        <w:jc w:val="both"/>
        <w:rPr>
          <w:rFonts w:ascii="Arial" w:hAnsi="Arial" w:cs="Arial"/>
          <w:b/>
          <w:sz w:val="24"/>
          <w:szCs w:val="24"/>
        </w:rPr>
      </w:pPr>
      <w:r>
        <w:rPr>
          <w:noProof/>
        </w:rPr>
        <mc:AlternateContent>
          <mc:Choice Requires="wps">
            <w:drawing>
              <wp:anchor distT="0" distB="0" distL="114300" distR="114300" simplePos="0" relativeHeight="251659264" behindDoc="0" locked="0" layoutInCell="1" allowOverlap="1" wp14:anchorId="72E78C72" wp14:editId="3803DF7C">
                <wp:simplePos x="0" y="0"/>
                <wp:positionH relativeFrom="column">
                  <wp:posOffset>4552950</wp:posOffset>
                </wp:positionH>
                <wp:positionV relativeFrom="paragraph">
                  <wp:posOffset>-57150</wp:posOffset>
                </wp:positionV>
                <wp:extent cx="1562100" cy="24765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rgbClr val="FFFFFF"/>
                          </a:solidFill>
                          <a:miter lim="800000"/>
                          <a:headEnd/>
                          <a:tailEnd/>
                        </a:ln>
                      </wps:spPr>
                      <wps:txbx>
                        <w:txbxContent>
                          <w:p w14:paraId="41C83EC4" w14:textId="77777777" w:rsidR="003F2725" w:rsidRDefault="003F2725" w:rsidP="00273209">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B3DC30" id="_x0000_t202" coordsize="21600,21600" o:spt="202" path="m,l,21600r21600,l21600,xe">
                <v:stroke joinstyle="miter"/>
                <v:path gradientshapeok="t" o:connecttype="rect"/>
              </v:shapetype>
              <v:shape id="Text Box 2" o:spid="_x0000_s1026" type="#_x0000_t202" style="position:absolute;left:0;text-align:left;margin-left:358.5pt;margin-top:-4.5pt;width:123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" strokecolor="white">
                <v:textbox>
                  <w:txbxContent>
                    <w:p w:rsidR="003F2725" w:rsidRDefault="003F2725" w:rsidP="00273209">
                      <w:pPr>
                        <w:jc w:val="right"/>
                      </w:pPr>
                    </w:p>
                  </w:txbxContent>
                </v:textbox>
              </v:shape>
            </w:pict>
          </mc:Fallback>
        </mc:AlternateContent>
      </w:r>
      <w:r w:rsidRPr="00247753">
        <w:rPr>
          <w:rFonts w:ascii="Arial" w:hAnsi="Arial" w:cs="Arial"/>
          <w:b/>
          <w:sz w:val="24"/>
          <w:szCs w:val="24"/>
        </w:rPr>
        <w:t>REPUBLIC OF NAMIBIA</w:t>
      </w:r>
    </w:p>
    <w:p w14:paraId="5962E604" w14:textId="77777777" w:rsidR="00273209" w:rsidRPr="00247753" w:rsidRDefault="00273209" w:rsidP="00273209">
      <w:pPr>
        <w:spacing w:after="0"/>
        <w:ind w:left="2880" w:firstLine="720"/>
        <w:jc w:val="both"/>
        <w:rPr>
          <w:rFonts w:ascii="Arial" w:hAnsi="Arial" w:cs="Arial"/>
          <w:b/>
          <w:sz w:val="32"/>
          <w:szCs w:val="32"/>
        </w:rPr>
      </w:pPr>
      <w:r w:rsidRPr="00912A01">
        <w:rPr>
          <w:rFonts w:ascii="Arial" w:hAnsi="Arial" w:cs="Arial"/>
          <w:b/>
          <w:noProof/>
          <w:sz w:val="32"/>
          <w:szCs w:val="32"/>
        </w:rPr>
        <w:drawing>
          <wp:inline distT="0" distB="0" distL="0" distR="0" wp14:anchorId="07A16B72" wp14:editId="3C77931E">
            <wp:extent cx="1275715" cy="1329055"/>
            <wp:effectExtent l="0" t="0" r="635" b="4445"/>
            <wp:docPr id="1" name="Picture 1"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t of Arms.bm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75715" cy="1329055"/>
                    </a:xfrm>
                    <a:prstGeom prst="rect">
                      <a:avLst/>
                    </a:prstGeom>
                    <a:noFill/>
                    <a:ln>
                      <a:noFill/>
                    </a:ln>
                  </pic:spPr>
                </pic:pic>
              </a:graphicData>
            </a:graphic>
          </wp:inline>
        </w:drawing>
      </w:r>
    </w:p>
    <w:p w14:paraId="421F008B" w14:textId="77777777" w:rsidR="00273209" w:rsidRPr="00247753" w:rsidRDefault="00273209" w:rsidP="00273209">
      <w:pPr>
        <w:spacing w:after="0"/>
        <w:ind w:left="720" w:firstLine="720"/>
        <w:jc w:val="both"/>
        <w:rPr>
          <w:rFonts w:ascii="Arial" w:hAnsi="Arial" w:cs="Arial"/>
          <w:bCs/>
          <w:sz w:val="24"/>
          <w:szCs w:val="24"/>
        </w:rPr>
      </w:pPr>
      <w:r w:rsidRPr="00247753">
        <w:rPr>
          <w:rFonts w:ascii="Arial" w:hAnsi="Arial" w:cs="Arial"/>
          <w:b/>
          <w:sz w:val="24"/>
          <w:szCs w:val="24"/>
        </w:rPr>
        <w:t>HIGH COURT OF NAMIBIA MAIN DIVISION, WINDHOEK</w:t>
      </w:r>
    </w:p>
    <w:p w14:paraId="3A64AD36" w14:textId="77777777" w:rsidR="00273209" w:rsidRDefault="00273209" w:rsidP="009609EF">
      <w:pPr>
        <w:spacing w:after="0" w:line="240" w:lineRule="auto"/>
        <w:jc w:val="center"/>
        <w:rPr>
          <w:rFonts w:ascii="Arial" w:hAnsi="Arial" w:cs="Arial"/>
          <w:b/>
          <w:bCs/>
          <w:sz w:val="24"/>
          <w:szCs w:val="24"/>
        </w:rPr>
      </w:pPr>
    </w:p>
    <w:p w14:paraId="4355CCDB" w14:textId="77777777" w:rsidR="00273209" w:rsidRDefault="00273209" w:rsidP="00273209">
      <w:pPr>
        <w:spacing w:after="0"/>
        <w:jc w:val="center"/>
        <w:rPr>
          <w:rFonts w:ascii="Arial" w:hAnsi="Arial" w:cs="Arial"/>
          <w:b/>
          <w:bCs/>
          <w:sz w:val="24"/>
          <w:szCs w:val="24"/>
        </w:rPr>
      </w:pPr>
      <w:r>
        <w:rPr>
          <w:rFonts w:ascii="Arial" w:hAnsi="Arial" w:cs="Arial"/>
          <w:b/>
          <w:bCs/>
          <w:sz w:val="24"/>
          <w:szCs w:val="24"/>
        </w:rPr>
        <w:t>JUDGMENT</w:t>
      </w:r>
    </w:p>
    <w:p w14:paraId="4DA0B809" w14:textId="77777777" w:rsidR="00273209" w:rsidRPr="00247753" w:rsidRDefault="00273209" w:rsidP="00273209">
      <w:pPr>
        <w:spacing w:after="0"/>
        <w:jc w:val="center"/>
        <w:rPr>
          <w:rFonts w:ascii="Arial" w:hAnsi="Arial" w:cs="Arial"/>
          <w:b/>
          <w:sz w:val="24"/>
          <w:szCs w:val="24"/>
        </w:rPr>
      </w:pPr>
    </w:p>
    <w:p w14:paraId="29C1203D" w14:textId="77777777" w:rsidR="00273209" w:rsidRPr="00273209" w:rsidRDefault="00273209" w:rsidP="00273209">
      <w:pPr>
        <w:tabs>
          <w:tab w:val="right" w:pos="9000"/>
        </w:tabs>
        <w:spacing w:after="0"/>
        <w:jc w:val="right"/>
        <w:rPr>
          <w:rFonts w:ascii="Arial" w:hAnsi="Arial" w:cs="Arial"/>
          <w:sz w:val="24"/>
          <w:szCs w:val="24"/>
        </w:rPr>
      </w:pPr>
      <w:r w:rsidRPr="00273209">
        <w:rPr>
          <w:rFonts w:ascii="Arial" w:hAnsi="Arial" w:cs="Arial"/>
          <w:sz w:val="24"/>
          <w:szCs w:val="24"/>
        </w:rPr>
        <w:t>CASE NO: HC-MD-CIV-</w:t>
      </w:r>
      <w:r w:rsidR="003F1319" w:rsidRPr="00273209">
        <w:rPr>
          <w:rFonts w:ascii="Arial" w:hAnsi="Arial" w:cs="Arial"/>
          <w:sz w:val="24"/>
          <w:szCs w:val="24"/>
        </w:rPr>
        <w:t xml:space="preserve"> </w:t>
      </w:r>
      <w:r w:rsidRPr="00273209">
        <w:rPr>
          <w:rFonts w:ascii="Arial" w:hAnsi="Arial" w:cs="Arial"/>
          <w:sz w:val="24"/>
          <w:szCs w:val="24"/>
        </w:rPr>
        <w:t>MOT-GEN-2022/00336</w:t>
      </w:r>
    </w:p>
    <w:p w14:paraId="70FE9E5F" w14:textId="77777777" w:rsidR="00273209" w:rsidRPr="00247753" w:rsidRDefault="00273209" w:rsidP="00273209">
      <w:pPr>
        <w:spacing w:after="0"/>
        <w:jc w:val="both"/>
        <w:rPr>
          <w:rFonts w:ascii="Arial" w:hAnsi="Arial" w:cs="Arial"/>
          <w:sz w:val="24"/>
          <w:szCs w:val="24"/>
        </w:rPr>
      </w:pPr>
    </w:p>
    <w:p w14:paraId="730E9706" w14:textId="77777777" w:rsidR="00273209" w:rsidRPr="00247753" w:rsidRDefault="00273209" w:rsidP="00273209">
      <w:pPr>
        <w:spacing w:after="0"/>
        <w:jc w:val="both"/>
        <w:rPr>
          <w:rFonts w:ascii="Arial" w:hAnsi="Arial" w:cs="Arial"/>
          <w:sz w:val="24"/>
          <w:szCs w:val="24"/>
        </w:rPr>
      </w:pPr>
      <w:r w:rsidRPr="00247753">
        <w:rPr>
          <w:rFonts w:ascii="Arial" w:hAnsi="Arial" w:cs="Arial"/>
          <w:sz w:val="24"/>
          <w:szCs w:val="24"/>
        </w:rPr>
        <w:t>In the matter between:</w:t>
      </w:r>
    </w:p>
    <w:p w14:paraId="11C4AC68" w14:textId="77777777" w:rsidR="00273209" w:rsidRDefault="00273209" w:rsidP="00273209">
      <w:pPr>
        <w:spacing w:after="0"/>
        <w:ind w:left="2160" w:hanging="2160"/>
        <w:jc w:val="both"/>
        <w:rPr>
          <w:rFonts w:ascii="Arial" w:eastAsia="Times New Roman" w:hAnsi="Arial" w:cs="Arial"/>
          <w:b/>
          <w:color w:val="000000"/>
          <w:sz w:val="24"/>
          <w:szCs w:val="24"/>
        </w:rPr>
      </w:pPr>
    </w:p>
    <w:p w14:paraId="4116C28F" w14:textId="77777777" w:rsidR="00273209" w:rsidRDefault="00273209" w:rsidP="00273209">
      <w:pPr>
        <w:tabs>
          <w:tab w:val="right" w:pos="9356"/>
        </w:tabs>
        <w:spacing w:after="0"/>
        <w:rPr>
          <w:rFonts w:ascii="Arial" w:hAnsi="Arial" w:cs="Arial"/>
          <w:b/>
          <w:sz w:val="24"/>
          <w:szCs w:val="24"/>
        </w:rPr>
      </w:pPr>
      <w:r>
        <w:rPr>
          <w:rFonts w:ascii="Arial" w:hAnsi="Arial" w:cs="Arial"/>
          <w:b/>
          <w:sz w:val="24"/>
          <w:szCs w:val="24"/>
        </w:rPr>
        <w:t>HEIWAL INVESTMENTS (PROPR</w:t>
      </w:r>
      <w:r w:rsidR="003F1319">
        <w:rPr>
          <w:rFonts w:ascii="Arial" w:hAnsi="Arial" w:cs="Arial"/>
          <w:b/>
          <w:sz w:val="24"/>
          <w:szCs w:val="24"/>
        </w:rPr>
        <w:t>IETARY) LIMITED</w:t>
      </w:r>
      <w:r>
        <w:rPr>
          <w:rFonts w:ascii="Arial" w:hAnsi="Arial" w:cs="Arial"/>
          <w:b/>
          <w:sz w:val="24"/>
          <w:szCs w:val="24"/>
        </w:rPr>
        <w:tab/>
      </w:r>
      <w:r w:rsidR="003F1319">
        <w:rPr>
          <w:rFonts w:ascii="Arial" w:hAnsi="Arial" w:cs="Arial"/>
          <w:b/>
          <w:sz w:val="24"/>
          <w:szCs w:val="24"/>
        </w:rPr>
        <w:t xml:space="preserve">FIRST </w:t>
      </w:r>
      <w:r>
        <w:rPr>
          <w:rFonts w:ascii="Arial" w:hAnsi="Arial" w:cs="Arial"/>
          <w:b/>
          <w:sz w:val="24"/>
          <w:szCs w:val="24"/>
        </w:rPr>
        <w:t xml:space="preserve">APPLICANT </w:t>
      </w:r>
    </w:p>
    <w:p w14:paraId="2132CB4E" w14:textId="77777777" w:rsidR="00273209" w:rsidRDefault="003F1319" w:rsidP="00273209">
      <w:pPr>
        <w:tabs>
          <w:tab w:val="right" w:pos="9356"/>
        </w:tabs>
        <w:spacing w:after="0"/>
        <w:rPr>
          <w:rFonts w:ascii="Arial" w:hAnsi="Arial" w:cs="Arial"/>
          <w:b/>
          <w:sz w:val="24"/>
          <w:szCs w:val="24"/>
        </w:rPr>
      </w:pPr>
      <w:r>
        <w:rPr>
          <w:rFonts w:ascii="Arial" w:hAnsi="Arial" w:cs="Arial"/>
          <w:b/>
          <w:sz w:val="24"/>
          <w:szCs w:val="24"/>
        </w:rPr>
        <w:t>ROLAND ENKE</w:t>
      </w:r>
      <w:r>
        <w:rPr>
          <w:rFonts w:ascii="Arial" w:hAnsi="Arial" w:cs="Arial"/>
          <w:b/>
          <w:sz w:val="24"/>
          <w:szCs w:val="24"/>
        </w:rPr>
        <w:tab/>
        <w:t>SECOND APPLICANT</w:t>
      </w:r>
    </w:p>
    <w:p w14:paraId="34AE43A2" w14:textId="77777777" w:rsidR="003F1319" w:rsidRDefault="003F1319" w:rsidP="00273209">
      <w:pPr>
        <w:tabs>
          <w:tab w:val="right" w:pos="9356"/>
        </w:tabs>
        <w:spacing w:after="0"/>
        <w:rPr>
          <w:rFonts w:ascii="Arial" w:hAnsi="Arial" w:cs="Arial"/>
          <w:bCs/>
          <w:sz w:val="24"/>
          <w:szCs w:val="24"/>
        </w:rPr>
      </w:pPr>
    </w:p>
    <w:p w14:paraId="1C655E98" w14:textId="77777777" w:rsidR="00273209" w:rsidRDefault="00273209" w:rsidP="00273209">
      <w:pPr>
        <w:tabs>
          <w:tab w:val="right" w:pos="9356"/>
        </w:tabs>
        <w:spacing w:after="0"/>
        <w:rPr>
          <w:rFonts w:ascii="Arial" w:hAnsi="Arial" w:cs="Arial"/>
          <w:bCs/>
          <w:sz w:val="24"/>
          <w:szCs w:val="24"/>
        </w:rPr>
      </w:pPr>
      <w:r>
        <w:rPr>
          <w:rFonts w:ascii="Arial" w:hAnsi="Arial" w:cs="Arial"/>
          <w:bCs/>
          <w:sz w:val="24"/>
          <w:szCs w:val="24"/>
        </w:rPr>
        <w:t>and</w:t>
      </w:r>
    </w:p>
    <w:p w14:paraId="77EA9E4B" w14:textId="77777777" w:rsidR="00273209" w:rsidRDefault="00273209" w:rsidP="00273209">
      <w:pPr>
        <w:tabs>
          <w:tab w:val="right" w:pos="9356"/>
        </w:tabs>
        <w:spacing w:after="0"/>
        <w:rPr>
          <w:rFonts w:ascii="Arial" w:hAnsi="Arial" w:cs="Arial"/>
          <w:b/>
          <w:sz w:val="24"/>
          <w:szCs w:val="24"/>
        </w:rPr>
      </w:pPr>
    </w:p>
    <w:p w14:paraId="7EC7A279" w14:textId="1B12A883" w:rsidR="003F1319" w:rsidRDefault="003F1319" w:rsidP="00273209">
      <w:pPr>
        <w:tabs>
          <w:tab w:val="right" w:pos="9356"/>
        </w:tabs>
        <w:spacing w:after="0"/>
        <w:rPr>
          <w:rFonts w:ascii="Arial" w:hAnsi="Arial" w:cs="Arial"/>
          <w:b/>
          <w:sz w:val="24"/>
          <w:szCs w:val="24"/>
        </w:rPr>
      </w:pPr>
      <w:r>
        <w:rPr>
          <w:rFonts w:ascii="Arial" w:hAnsi="Arial" w:cs="Arial"/>
          <w:b/>
          <w:sz w:val="24"/>
          <w:szCs w:val="24"/>
        </w:rPr>
        <w:t>REGISTRAR: THE BUSINESS AND INTEL</w:t>
      </w:r>
      <w:r w:rsidR="00B9069F">
        <w:rPr>
          <w:rFonts w:ascii="Arial" w:hAnsi="Arial" w:cs="Arial"/>
          <w:b/>
          <w:sz w:val="24"/>
          <w:szCs w:val="24"/>
        </w:rPr>
        <w:t>L</w:t>
      </w:r>
      <w:r>
        <w:rPr>
          <w:rFonts w:ascii="Arial" w:hAnsi="Arial" w:cs="Arial"/>
          <w:b/>
          <w:sz w:val="24"/>
          <w:szCs w:val="24"/>
        </w:rPr>
        <w:t>ECTUAL</w:t>
      </w:r>
    </w:p>
    <w:p w14:paraId="4BB0E648" w14:textId="77777777" w:rsidR="00273209" w:rsidRDefault="003F1319" w:rsidP="00273209">
      <w:pPr>
        <w:tabs>
          <w:tab w:val="right" w:pos="9356"/>
        </w:tabs>
        <w:spacing w:after="0"/>
        <w:rPr>
          <w:rFonts w:ascii="Arial" w:hAnsi="Arial" w:cs="Arial"/>
          <w:b/>
          <w:sz w:val="24"/>
          <w:szCs w:val="24"/>
        </w:rPr>
      </w:pPr>
      <w:r>
        <w:rPr>
          <w:rFonts w:ascii="Arial" w:hAnsi="Arial" w:cs="Arial"/>
          <w:b/>
          <w:sz w:val="24"/>
          <w:szCs w:val="24"/>
        </w:rPr>
        <w:t>PROPERTY AUTHORITY OF NAMIBIA</w:t>
      </w:r>
      <w:r w:rsidR="00273209">
        <w:rPr>
          <w:rFonts w:ascii="Arial" w:hAnsi="Arial" w:cs="Arial"/>
          <w:b/>
          <w:sz w:val="24"/>
          <w:szCs w:val="24"/>
        </w:rPr>
        <w:tab/>
      </w:r>
      <w:r>
        <w:rPr>
          <w:rFonts w:ascii="Arial" w:hAnsi="Arial" w:cs="Arial"/>
          <w:b/>
          <w:sz w:val="24"/>
          <w:szCs w:val="24"/>
        </w:rPr>
        <w:t xml:space="preserve">FIRST </w:t>
      </w:r>
      <w:r w:rsidR="00273209">
        <w:rPr>
          <w:rFonts w:ascii="Arial" w:hAnsi="Arial" w:cs="Arial"/>
          <w:b/>
          <w:sz w:val="24"/>
          <w:szCs w:val="24"/>
        </w:rPr>
        <w:t>RESPONDENT</w:t>
      </w:r>
    </w:p>
    <w:p w14:paraId="5C7F2867" w14:textId="77777777" w:rsidR="003F1319" w:rsidRDefault="003F1319" w:rsidP="00273209">
      <w:pPr>
        <w:tabs>
          <w:tab w:val="right" w:pos="9356"/>
        </w:tabs>
        <w:spacing w:after="0"/>
        <w:rPr>
          <w:rFonts w:ascii="Arial" w:hAnsi="Arial" w:cs="Arial"/>
          <w:b/>
          <w:sz w:val="24"/>
          <w:szCs w:val="24"/>
        </w:rPr>
      </w:pPr>
      <w:r>
        <w:rPr>
          <w:rFonts w:ascii="Arial" w:hAnsi="Arial" w:cs="Arial"/>
          <w:b/>
          <w:sz w:val="24"/>
          <w:szCs w:val="24"/>
        </w:rPr>
        <w:t>ENKEHAUS MEDICAL CENTRE</w:t>
      </w:r>
      <w:r>
        <w:rPr>
          <w:rFonts w:ascii="Arial" w:hAnsi="Arial" w:cs="Arial"/>
          <w:b/>
          <w:sz w:val="24"/>
          <w:szCs w:val="24"/>
        </w:rPr>
        <w:tab/>
        <w:t>SECOND RESPONDENT</w:t>
      </w:r>
    </w:p>
    <w:p w14:paraId="153DE5DD" w14:textId="228D21AD" w:rsidR="003F1319" w:rsidRDefault="00B9069F" w:rsidP="00273209">
      <w:pPr>
        <w:tabs>
          <w:tab w:val="right" w:pos="9356"/>
        </w:tabs>
        <w:spacing w:after="0"/>
        <w:rPr>
          <w:rFonts w:ascii="Arial" w:hAnsi="Arial" w:cs="Arial"/>
          <w:b/>
          <w:sz w:val="24"/>
          <w:szCs w:val="24"/>
        </w:rPr>
      </w:pPr>
      <w:r>
        <w:rPr>
          <w:rFonts w:ascii="Arial" w:hAnsi="Arial" w:cs="Arial"/>
          <w:b/>
          <w:sz w:val="24"/>
          <w:szCs w:val="24"/>
        </w:rPr>
        <w:t>ENKEHAUS PHARMACY CC</w:t>
      </w:r>
      <w:r w:rsidR="003F1319">
        <w:rPr>
          <w:rFonts w:ascii="Arial" w:hAnsi="Arial" w:cs="Arial"/>
          <w:b/>
          <w:sz w:val="24"/>
          <w:szCs w:val="24"/>
        </w:rPr>
        <w:tab/>
        <w:t>THIRD RESPONDENT</w:t>
      </w:r>
    </w:p>
    <w:p w14:paraId="02A81F16" w14:textId="77777777" w:rsidR="003F1319" w:rsidRDefault="003F1319" w:rsidP="00273209">
      <w:pPr>
        <w:tabs>
          <w:tab w:val="right" w:pos="9356"/>
        </w:tabs>
        <w:spacing w:after="0"/>
        <w:rPr>
          <w:rFonts w:ascii="Arial" w:hAnsi="Arial" w:cs="Arial"/>
          <w:b/>
          <w:sz w:val="24"/>
          <w:szCs w:val="24"/>
        </w:rPr>
      </w:pPr>
      <w:r>
        <w:rPr>
          <w:rFonts w:ascii="Arial" w:hAnsi="Arial" w:cs="Arial"/>
          <w:b/>
          <w:sz w:val="24"/>
          <w:szCs w:val="24"/>
        </w:rPr>
        <w:t>ENKEHAUS PRIVATE HOSPITAL CC</w:t>
      </w:r>
      <w:r>
        <w:rPr>
          <w:rFonts w:ascii="Arial" w:hAnsi="Arial" w:cs="Arial"/>
          <w:b/>
          <w:sz w:val="24"/>
          <w:szCs w:val="24"/>
        </w:rPr>
        <w:tab/>
        <w:t>FOURTH RESPONDENT</w:t>
      </w:r>
    </w:p>
    <w:p w14:paraId="06BD53A1" w14:textId="77777777" w:rsidR="00273209" w:rsidRDefault="00273209" w:rsidP="00273209">
      <w:pPr>
        <w:tabs>
          <w:tab w:val="right" w:pos="9356"/>
        </w:tabs>
        <w:spacing w:after="0"/>
        <w:rPr>
          <w:rFonts w:ascii="Arial" w:hAnsi="Arial" w:cs="Arial"/>
          <w:b/>
          <w:sz w:val="24"/>
          <w:szCs w:val="24"/>
        </w:rPr>
      </w:pPr>
    </w:p>
    <w:p w14:paraId="283E09A7" w14:textId="4017D6AE" w:rsidR="00273209" w:rsidRDefault="00273209" w:rsidP="00273209">
      <w:pPr>
        <w:tabs>
          <w:tab w:val="right" w:pos="9356"/>
        </w:tabs>
        <w:spacing w:after="0"/>
        <w:ind w:left="1935" w:hanging="1935"/>
        <w:jc w:val="both"/>
        <w:rPr>
          <w:rFonts w:ascii="Arial" w:hAnsi="Arial" w:cs="Arial"/>
          <w:b/>
          <w:sz w:val="24"/>
          <w:szCs w:val="24"/>
        </w:rPr>
      </w:pPr>
      <w:r>
        <w:rPr>
          <w:rFonts w:ascii="Arial" w:hAnsi="Arial" w:cs="Arial"/>
          <w:b/>
          <w:sz w:val="24"/>
          <w:szCs w:val="24"/>
        </w:rPr>
        <w:t>Neutral Citation:</w:t>
      </w:r>
      <w:r>
        <w:rPr>
          <w:rFonts w:ascii="Arial" w:hAnsi="Arial" w:cs="Arial"/>
          <w:b/>
          <w:sz w:val="24"/>
          <w:szCs w:val="24"/>
        </w:rPr>
        <w:tab/>
        <w:t xml:space="preserve"> </w:t>
      </w:r>
      <w:proofErr w:type="spellStart"/>
      <w:r w:rsidR="003F1319">
        <w:rPr>
          <w:rFonts w:ascii="Arial" w:hAnsi="Arial" w:cs="Arial"/>
          <w:i/>
          <w:sz w:val="24"/>
          <w:szCs w:val="24"/>
        </w:rPr>
        <w:t>Heiwal</w:t>
      </w:r>
      <w:proofErr w:type="spellEnd"/>
      <w:r w:rsidR="003F1319">
        <w:rPr>
          <w:rFonts w:ascii="Arial" w:hAnsi="Arial" w:cs="Arial"/>
          <w:i/>
          <w:sz w:val="24"/>
          <w:szCs w:val="24"/>
        </w:rPr>
        <w:t xml:space="preserve"> Investments (Proprietary) </w:t>
      </w:r>
      <w:r w:rsidR="00E43EB3">
        <w:rPr>
          <w:rFonts w:ascii="Arial" w:hAnsi="Arial" w:cs="Arial"/>
          <w:i/>
          <w:sz w:val="24"/>
          <w:szCs w:val="24"/>
        </w:rPr>
        <w:t xml:space="preserve">Limited </w:t>
      </w:r>
      <w:r w:rsidR="00B9069F">
        <w:rPr>
          <w:rFonts w:ascii="Arial" w:hAnsi="Arial" w:cs="Arial"/>
          <w:i/>
          <w:sz w:val="24"/>
          <w:szCs w:val="24"/>
        </w:rPr>
        <w:t>v Registrar: The Business and Intel</w:t>
      </w:r>
      <w:r w:rsidR="004B5732">
        <w:rPr>
          <w:rFonts w:ascii="Arial" w:hAnsi="Arial" w:cs="Arial"/>
          <w:i/>
          <w:sz w:val="24"/>
          <w:szCs w:val="24"/>
        </w:rPr>
        <w:t xml:space="preserve">lectual Property Authority of Namibia </w:t>
      </w:r>
      <w:r w:rsidR="00E43EB3">
        <w:rPr>
          <w:rFonts w:ascii="Arial" w:hAnsi="Arial" w:cs="Arial"/>
          <w:sz w:val="24"/>
          <w:szCs w:val="24"/>
        </w:rPr>
        <w:t>(</w:t>
      </w:r>
      <w:r w:rsidR="003F1319">
        <w:rPr>
          <w:rFonts w:ascii="Arial" w:hAnsi="Arial" w:cs="Arial"/>
          <w:sz w:val="24"/>
          <w:szCs w:val="24"/>
        </w:rPr>
        <w:t>HC-MD-CIV-MOT-GEN-2022/00336</w:t>
      </w:r>
      <w:r>
        <w:rPr>
          <w:rFonts w:ascii="Arial" w:hAnsi="Arial" w:cs="Arial"/>
          <w:sz w:val="24"/>
          <w:szCs w:val="24"/>
        </w:rPr>
        <w:t xml:space="preserve">) </w:t>
      </w:r>
      <w:r w:rsidR="00607F18">
        <w:rPr>
          <w:rFonts w:ascii="Arial" w:hAnsi="Arial" w:cs="Arial"/>
          <w:sz w:val="24"/>
          <w:szCs w:val="24"/>
        </w:rPr>
        <w:t>[2023] NAHCMD 605</w:t>
      </w:r>
      <w:r w:rsidR="003F1319">
        <w:rPr>
          <w:rFonts w:ascii="Arial" w:hAnsi="Arial" w:cs="Arial"/>
          <w:sz w:val="24"/>
          <w:szCs w:val="24"/>
        </w:rPr>
        <w:t xml:space="preserve"> (29</w:t>
      </w:r>
      <w:r w:rsidR="00B50CA9">
        <w:rPr>
          <w:rFonts w:ascii="Arial" w:hAnsi="Arial" w:cs="Arial"/>
          <w:sz w:val="24"/>
          <w:szCs w:val="24"/>
        </w:rPr>
        <w:t xml:space="preserve"> September</w:t>
      </w:r>
      <w:r>
        <w:rPr>
          <w:rFonts w:ascii="Arial" w:hAnsi="Arial" w:cs="Arial"/>
          <w:sz w:val="24"/>
          <w:szCs w:val="24"/>
        </w:rPr>
        <w:t xml:space="preserve"> 2023)</w:t>
      </w:r>
      <w:r>
        <w:rPr>
          <w:rFonts w:ascii="Arial" w:hAnsi="Arial" w:cs="Arial"/>
          <w:b/>
          <w:i/>
          <w:sz w:val="24"/>
          <w:szCs w:val="24"/>
        </w:rPr>
        <w:tab/>
      </w:r>
    </w:p>
    <w:p w14:paraId="6F05250C" w14:textId="77777777" w:rsidR="00273209" w:rsidRDefault="00273209" w:rsidP="00273209">
      <w:pPr>
        <w:tabs>
          <w:tab w:val="right" w:pos="9356"/>
        </w:tabs>
        <w:spacing w:after="0"/>
        <w:rPr>
          <w:rFonts w:ascii="Arial" w:hAnsi="Arial" w:cs="Arial"/>
          <w:b/>
          <w:sz w:val="24"/>
          <w:szCs w:val="24"/>
        </w:rPr>
      </w:pPr>
      <w:r>
        <w:rPr>
          <w:rFonts w:ascii="Arial" w:hAnsi="Arial" w:cs="Arial"/>
          <w:b/>
          <w:sz w:val="24"/>
          <w:szCs w:val="24"/>
        </w:rPr>
        <w:tab/>
      </w:r>
    </w:p>
    <w:p w14:paraId="336B22B3" w14:textId="77777777" w:rsidR="00273209" w:rsidRDefault="00273209" w:rsidP="00273209">
      <w:pPr>
        <w:spacing w:after="0"/>
        <w:rPr>
          <w:rFonts w:ascii="Arial" w:hAnsi="Arial" w:cs="Arial"/>
          <w:b/>
          <w:sz w:val="24"/>
          <w:szCs w:val="24"/>
        </w:rPr>
      </w:pPr>
      <w:r>
        <w:rPr>
          <w:rFonts w:ascii="Arial" w:hAnsi="Arial" w:cs="Arial"/>
          <w:b/>
          <w:sz w:val="24"/>
          <w:szCs w:val="24"/>
        </w:rPr>
        <w:t>Coram:</w:t>
      </w:r>
      <w:r>
        <w:rPr>
          <w:rFonts w:ascii="Arial" w:hAnsi="Arial" w:cs="Arial"/>
          <w:b/>
          <w:sz w:val="24"/>
          <w:szCs w:val="24"/>
        </w:rPr>
        <w:tab/>
      </w:r>
      <w:r w:rsidRPr="009609EF">
        <w:rPr>
          <w:rFonts w:ascii="Arial" w:hAnsi="Arial" w:cs="Arial"/>
          <w:sz w:val="24"/>
          <w:szCs w:val="24"/>
        </w:rPr>
        <w:t>UEITELE J</w:t>
      </w:r>
    </w:p>
    <w:p w14:paraId="301F0D76" w14:textId="77777777" w:rsidR="00273209" w:rsidRDefault="00273209" w:rsidP="00273209">
      <w:pPr>
        <w:spacing w:after="0"/>
        <w:rPr>
          <w:rFonts w:ascii="Arial" w:hAnsi="Arial" w:cs="Arial"/>
          <w:b/>
          <w:sz w:val="24"/>
          <w:szCs w:val="24"/>
        </w:rPr>
      </w:pPr>
      <w:r>
        <w:rPr>
          <w:rFonts w:ascii="Arial" w:hAnsi="Arial" w:cs="Arial"/>
          <w:b/>
          <w:sz w:val="24"/>
          <w:szCs w:val="24"/>
        </w:rPr>
        <w:t xml:space="preserve">Heard: </w:t>
      </w:r>
      <w:r>
        <w:rPr>
          <w:rFonts w:ascii="Arial" w:hAnsi="Arial" w:cs="Arial"/>
          <w:b/>
          <w:sz w:val="24"/>
          <w:szCs w:val="24"/>
        </w:rPr>
        <w:tab/>
      </w:r>
      <w:r w:rsidR="009609EF">
        <w:rPr>
          <w:rFonts w:ascii="Arial" w:hAnsi="Arial" w:cs="Arial"/>
          <w:b/>
          <w:sz w:val="24"/>
          <w:szCs w:val="24"/>
        </w:rPr>
        <w:t>15 March 2023</w:t>
      </w:r>
    </w:p>
    <w:p w14:paraId="325438F1" w14:textId="77777777" w:rsidR="00273209" w:rsidRDefault="00273209" w:rsidP="00273209">
      <w:pPr>
        <w:spacing w:after="0"/>
        <w:rPr>
          <w:rFonts w:ascii="Arial" w:hAnsi="Arial" w:cs="Arial"/>
          <w:b/>
          <w:sz w:val="24"/>
          <w:szCs w:val="24"/>
        </w:rPr>
      </w:pPr>
      <w:r>
        <w:rPr>
          <w:rFonts w:ascii="Arial" w:hAnsi="Arial" w:cs="Arial"/>
          <w:b/>
          <w:sz w:val="24"/>
          <w:szCs w:val="24"/>
        </w:rPr>
        <w:t xml:space="preserve">Delivered: </w:t>
      </w:r>
      <w:r>
        <w:rPr>
          <w:rFonts w:ascii="Arial" w:hAnsi="Arial" w:cs="Arial"/>
          <w:b/>
          <w:sz w:val="24"/>
          <w:szCs w:val="24"/>
        </w:rPr>
        <w:tab/>
      </w:r>
      <w:r w:rsidR="00B50CA9">
        <w:rPr>
          <w:rFonts w:ascii="Arial" w:hAnsi="Arial" w:cs="Arial"/>
          <w:b/>
          <w:sz w:val="24"/>
          <w:szCs w:val="24"/>
        </w:rPr>
        <w:t>29</w:t>
      </w:r>
      <w:r w:rsidR="00AC48EE">
        <w:rPr>
          <w:rFonts w:ascii="Arial" w:hAnsi="Arial" w:cs="Arial"/>
          <w:b/>
          <w:sz w:val="24"/>
          <w:szCs w:val="24"/>
        </w:rPr>
        <w:t xml:space="preserve"> SEPTEMBER </w:t>
      </w:r>
      <w:r w:rsidRPr="009609EF">
        <w:rPr>
          <w:rFonts w:ascii="Arial" w:hAnsi="Arial" w:cs="Arial"/>
          <w:b/>
          <w:sz w:val="24"/>
          <w:szCs w:val="24"/>
        </w:rPr>
        <w:t>2023</w:t>
      </w:r>
    </w:p>
    <w:p w14:paraId="64193D8E" w14:textId="77777777" w:rsidR="004D1224" w:rsidRDefault="004D1224"/>
    <w:p w14:paraId="375B5FC8" w14:textId="77777777" w:rsidR="00AC48EE" w:rsidRPr="00AC48EE" w:rsidRDefault="005408D2" w:rsidP="00AC48EE">
      <w:pPr>
        <w:jc w:val="both"/>
        <w:rPr>
          <w:rFonts w:ascii="Arial" w:hAnsi="Arial" w:cs="Arial"/>
          <w:sz w:val="24"/>
          <w:szCs w:val="24"/>
        </w:rPr>
      </w:pPr>
      <w:proofErr w:type="spellStart"/>
      <w:r w:rsidRPr="005408D2">
        <w:rPr>
          <w:rFonts w:ascii="Arial" w:hAnsi="Arial" w:cs="Arial"/>
          <w:b/>
          <w:sz w:val="24"/>
          <w:szCs w:val="24"/>
        </w:rPr>
        <w:lastRenderedPageBreak/>
        <w:t>Flynote</w:t>
      </w:r>
      <w:proofErr w:type="spellEnd"/>
      <w:r w:rsidRPr="005408D2">
        <w:rPr>
          <w:rFonts w:ascii="Arial" w:hAnsi="Arial" w:cs="Arial"/>
          <w:b/>
          <w:sz w:val="24"/>
          <w:szCs w:val="24"/>
        </w:rPr>
        <w:t>:</w:t>
      </w:r>
      <w:r>
        <w:rPr>
          <w:rFonts w:ascii="Arial" w:hAnsi="Arial" w:cs="Arial"/>
          <w:b/>
          <w:sz w:val="24"/>
          <w:szCs w:val="24"/>
        </w:rPr>
        <w:t xml:space="preserve"> </w:t>
      </w:r>
      <w:r w:rsidR="00E93F6D">
        <w:rPr>
          <w:rFonts w:ascii="Arial" w:hAnsi="Arial" w:cs="Arial"/>
          <w:b/>
          <w:sz w:val="24"/>
          <w:szCs w:val="24"/>
        </w:rPr>
        <w:tab/>
      </w:r>
      <w:r w:rsidR="00B50CA9">
        <w:rPr>
          <w:rFonts w:ascii="Arial" w:hAnsi="Arial" w:cs="Arial"/>
          <w:i/>
          <w:sz w:val="24"/>
          <w:szCs w:val="24"/>
        </w:rPr>
        <w:t xml:space="preserve">Close corporation ‒ </w:t>
      </w:r>
      <w:r w:rsidR="00B50CA9">
        <w:rPr>
          <w:rFonts w:ascii="Arial" w:hAnsi="Arial" w:cs="Arial"/>
          <w:sz w:val="24"/>
          <w:szCs w:val="24"/>
        </w:rPr>
        <w:t xml:space="preserve">Name of ‒ </w:t>
      </w:r>
      <w:r w:rsidR="00AC48EE" w:rsidRPr="00AC48EE">
        <w:rPr>
          <w:rFonts w:ascii="Arial" w:hAnsi="Arial" w:cs="Arial"/>
          <w:sz w:val="24"/>
          <w:szCs w:val="24"/>
        </w:rPr>
        <w:t>Application for order directing close corporation to change its name in terms of s 20(2)(b) of Clos</w:t>
      </w:r>
      <w:r w:rsidR="00B50CA9">
        <w:rPr>
          <w:rFonts w:ascii="Arial" w:hAnsi="Arial" w:cs="Arial"/>
          <w:sz w:val="24"/>
          <w:szCs w:val="24"/>
        </w:rPr>
        <w:t>e Corporations Act 26 of 1988.</w:t>
      </w:r>
    </w:p>
    <w:p w14:paraId="47764469" w14:textId="03B94EE4" w:rsidR="003F1319" w:rsidRPr="00AC48EE" w:rsidRDefault="00AC48EE" w:rsidP="00AC48EE">
      <w:pPr>
        <w:jc w:val="both"/>
        <w:rPr>
          <w:rFonts w:ascii="Arial" w:hAnsi="Arial" w:cs="Arial"/>
          <w:sz w:val="24"/>
          <w:szCs w:val="24"/>
        </w:rPr>
      </w:pPr>
      <w:r w:rsidRPr="00AC48EE">
        <w:rPr>
          <w:rFonts w:ascii="Arial" w:hAnsi="Arial" w:cs="Arial"/>
          <w:i/>
          <w:sz w:val="24"/>
          <w:szCs w:val="24"/>
        </w:rPr>
        <w:t xml:space="preserve">Close Corporations Act 26 of 1988 </w:t>
      </w:r>
      <w:r w:rsidRPr="00AC48EE">
        <w:rPr>
          <w:rFonts w:ascii="Arial" w:hAnsi="Arial" w:cs="Arial"/>
          <w:sz w:val="24"/>
          <w:szCs w:val="24"/>
        </w:rPr>
        <w:t>to chang</w:t>
      </w:r>
      <w:r>
        <w:rPr>
          <w:rFonts w:ascii="Arial" w:hAnsi="Arial" w:cs="Arial"/>
          <w:sz w:val="24"/>
          <w:szCs w:val="24"/>
        </w:rPr>
        <w:t>e name of close corporations</w:t>
      </w:r>
      <w:r w:rsidR="004420A5">
        <w:rPr>
          <w:rFonts w:ascii="Arial" w:hAnsi="Arial" w:cs="Arial"/>
          <w:sz w:val="24"/>
          <w:szCs w:val="24"/>
        </w:rPr>
        <w:t xml:space="preserve"> ‒ </w:t>
      </w:r>
      <w:r w:rsidRPr="00AC48EE">
        <w:rPr>
          <w:rFonts w:ascii="Arial" w:hAnsi="Arial" w:cs="Arial"/>
          <w:sz w:val="24"/>
          <w:szCs w:val="24"/>
        </w:rPr>
        <w:t>Court holding s 20(2)(</w:t>
      </w:r>
      <w:r w:rsidRPr="00B50CA9">
        <w:rPr>
          <w:rFonts w:ascii="Arial" w:hAnsi="Arial" w:cs="Arial"/>
          <w:i/>
          <w:sz w:val="24"/>
          <w:szCs w:val="24"/>
        </w:rPr>
        <w:t>b</w:t>
      </w:r>
      <w:r w:rsidRPr="00AC48EE">
        <w:rPr>
          <w:rFonts w:ascii="Arial" w:hAnsi="Arial" w:cs="Arial"/>
          <w:sz w:val="24"/>
          <w:szCs w:val="24"/>
        </w:rPr>
        <w:t xml:space="preserve">) much wider than </w:t>
      </w:r>
      <w:r w:rsidR="004420A5">
        <w:rPr>
          <w:rFonts w:ascii="Arial" w:hAnsi="Arial" w:cs="Arial"/>
          <w:sz w:val="24"/>
          <w:szCs w:val="24"/>
        </w:rPr>
        <w:t xml:space="preserve">the causing of confusion ‒ </w:t>
      </w:r>
      <w:r w:rsidRPr="00AC48EE">
        <w:rPr>
          <w:rFonts w:ascii="Arial" w:hAnsi="Arial" w:cs="Arial"/>
          <w:sz w:val="24"/>
          <w:szCs w:val="24"/>
        </w:rPr>
        <w:t>Applicant successful if could show undesirability or likelihood of causing damage</w:t>
      </w:r>
      <w:r w:rsidR="00E219A2">
        <w:rPr>
          <w:rFonts w:ascii="Arial" w:hAnsi="Arial" w:cs="Arial"/>
          <w:sz w:val="24"/>
          <w:szCs w:val="24"/>
        </w:rPr>
        <w:t>.</w:t>
      </w:r>
      <w:r w:rsidRPr="00AC48EE">
        <w:rPr>
          <w:rFonts w:ascii="Arial" w:hAnsi="Arial" w:cs="Arial"/>
          <w:sz w:val="24"/>
          <w:szCs w:val="24"/>
        </w:rPr>
        <w:t xml:space="preserve"> </w:t>
      </w:r>
    </w:p>
    <w:p w14:paraId="1F2B584C" w14:textId="77777777" w:rsidR="00E43EB3" w:rsidRPr="00E43EB3" w:rsidRDefault="00E43EB3" w:rsidP="00D92C85">
      <w:pPr>
        <w:spacing w:after="0" w:line="240" w:lineRule="auto"/>
        <w:jc w:val="both"/>
        <w:rPr>
          <w:rFonts w:ascii="Arial" w:hAnsi="Arial" w:cs="Arial"/>
          <w:i/>
          <w:sz w:val="24"/>
          <w:szCs w:val="24"/>
        </w:rPr>
      </w:pPr>
    </w:p>
    <w:p w14:paraId="5CE72184" w14:textId="77777777" w:rsidR="00620443" w:rsidRDefault="00B02D76" w:rsidP="00EE4820">
      <w:pPr>
        <w:spacing w:after="0"/>
        <w:jc w:val="both"/>
        <w:rPr>
          <w:rFonts w:ascii="Arial" w:hAnsi="Arial" w:cs="Arial"/>
          <w:sz w:val="24"/>
          <w:szCs w:val="24"/>
        </w:rPr>
      </w:pPr>
      <w:r w:rsidRPr="00B02D76">
        <w:rPr>
          <w:rFonts w:ascii="Arial" w:hAnsi="Arial" w:cs="Arial"/>
          <w:b/>
          <w:sz w:val="24"/>
          <w:szCs w:val="24"/>
        </w:rPr>
        <w:t>Summary:</w:t>
      </w:r>
      <w:r>
        <w:rPr>
          <w:rFonts w:ascii="Arial" w:hAnsi="Arial" w:cs="Arial"/>
          <w:b/>
          <w:sz w:val="24"/>
          <w:szCs w:val="24"/>
        </w:rPr>
        <w:t xml:space="preserve"> </w:t>
      </w:r>
      <w:r w:rsidR="00E30038">
        <w:rPr>
          <w:rFonts w:ascii="Arial" w:hAnsi="Arial" w:cs="Arial"/>
          <w:sz w:val="24"/>
          <w:szCs w:val="24"/>
        </w:rPr>
        <w:t xml:space="preserve">The first applicant trades in the property and property letting business and is </w:t>
      </w:r>
      <w:r w:rsidR="001F71D0">
        <w:rPr>
          <w:rFonts w:ascii="Arial" w:hAnsi="Arial" w:cs="Arial"/>
          <w:sz w:val="24"/>
          <w:szCs w:val="24"/>
        </w:rPr>
        <w:t xml:space="preserve">alleged to be </w:t>
      </w:r>
      <w:r w:rsidR="00E30038">
        <w:rPr>
          <w:rFonts w:ascii="Arial" w:hAnsi="Arial" w:cs="Arial"/>
          <w:sz w:val="24"/>
          <w:szCs w:val="24"/>
        </w:rPr>
        <w:t xml:space="preserve">the current owner of </w:t>
      </w:r>
      <w:r w:rsidR="001F71D0">
        <w:rPr>
          <w:rFonts w:ascii="Arial" w:hAnsi="Arial" w:cs="Arial"/>
          <w:sz w:val="24"/>
          <w:szCs w:val="24"/>
        </w:rPr>
        <w:t xml:space="preserve">a building known as </w:t>
      </w:r>
      <w:r w:rsidR="00D72F7B">
        <w:rPr>
          <w:rFonts w:ascii="Arial" w:hAnsi="Arial" w:cs="Arial"/>
          <w:sz w:val="24"/>
          <w:szCs w:val="24"/>
        </w:rPr>
        <w:t>‘</w:t>
      </w:r>
      <w:proofErr w:type="spellStart"/>
      <w:r w:rsidR="00E30038">
        <w:rPr>
          <w:rFonts w:ascii="Arial" w:hAnsi="Arial" w:cs="Arial"/>
          <w:sz w:val="24"/>
          <w:szCs w:val="24"/>
        </w:rPr>
        <w:t>Enkenhaus</w:t>
      </w:r>
      <w:proofErr w:type="spellEnd"/>
      <w:r w:rsidR="00D72F7B">
        <w:rPr>
          <w:rFonts w:ascii="Arial" w:hAnsi="Arial" w:cs="Arial"/>
          <w:sz w:val="24"/>
          <w:szCs w:val="24"/>
        </w:rPr>
        <w:t>’</w:t>
      </w:r>
      <w:r w:rsidR="00E30038">
        <w:rPr>
          <w:rFonts w:ascii="Arial" w:hAnsi="Arial" w:cs="Arial"/>
          <w:sz w:val="24"/>
          <w:szCs w:val="24"/>
        </w:rPr>
        <w:t xml:space="preserve"> situated at erf 7070, </w:t>
      </w:r>
      <w:proofErr w:type="spellStart"/>
      <w:r w:rsidR="00EE4820">
        <w:rPr>
          <w:rFonts w:ascii="Arial" w:hAnsi="Arial" w:cs="Arial"/>
          <w:sz w:val="24"/>
          <w:szCs w:val="24"/>
        </w:rPr>
        <w:t>Banhof</w:t>
      </w:r>
      <w:proofErr w:type="spellEnd"/>
      <w:r w:rsidR="00E30038">
        <w:rPr>
          <w:rFonts w:ascii="Arial" w:hAnsi="Arial" w:cs="Arial"/>
          <w:sz w:val="24"/>
          <w:szCs w:val="24"/>
        </w:rPr>
        <w:t xml:space="preserve"> Street</w:t>
      </w:r>
      <w:r w:rsidR="001F71D0">
        <w:rPr>
          <w:rFonts w:ascii="Arial" w:hAnsi="Arial" w:cs="Arial"/>
          <w:sz w:val="24"/>
          <w:szCs w:val="24"/>
        </w:rPr>
        <w:t xml:space="preserve">, Windhoek. </w:t>
      </w:r>
      <w:r w:rsidR="005F726C">
        <w:rPr>
          <w:rFonts w:ascii="Arial" w:hAnsi="Arial" w:cs="Arial"/>
          <w:sz w:val="24"/>
          <w:szCs w:val="24"/>
        </w:rPr>
        <w:t>In 1969</w:t>
      </w:r>
      <w:r w:rsidR="00D92C85">
        <w:rPr>
          <w:rFonts w:ascii="Arial" w:hAnsi="Arial" w:cs="Arial"/>
          <w:sz w:val="24"/>
          <w:szCs w:val="24"/>
        </w:rPr>
        <w:t>,</w:t>
      </w:r>
      <w:r w:rsidR="005F726C">
        <w:rPr>
          <w:rFonts w:ascii="Arial" w:hAnsi="Arial" w:cs="Arial"/>
          <w:sz w:val="24"/>
          <w:szCs w:val="24"/>
        </w:rPr>
        <w:t xml:space="preserve"> the second applicant’s </w:t>
      </w:r>
      <w:r w:rsidR="00620443">
        <w:rPr>
          <w:rFonts w:ascii="Arial" w:hAnsi="Arial" w:cs="Arial"/>
          <w:sz w:val="24"/>
          <w:szCs w:val="24"/>
        </w:rPr>
        <w:t xml:space="preserve">father constructed a building called the Bastion building, which </w:t>
      </w:r>
      <w:r w:rsidR="001F71D0">
        <w:rPr>
          <w:rFonts w:ascii="Arial" w:hAnsi="Arial" w:cs="Arial"/>
          <w:sz w:val="24"/>
          <w:szCs w:val="24"/>
        </w:rPr>
        <w:t xml:space="preserve">later became </w:t>
      </w:r>
      <w:r w:rsidR="00620443">
        <w:rPr>
          <w:rFonts w:ascii="Arial" w:hAnsi="Arial" w:cs="Arial"/>
          <w:sz w:val="24"/>
          <w:szCs w:val="24"/>
        </w:rPr>
        <w:t>known as the first “</w:t>
      </w:r>
      <w:proofErr w:type="spellStart"/>
      <w:r w:rsidR="00620443">
        <w:rPr>
          <w:rFonts w:ascii="Arial" w:hAnsi="Arial" w:cs="Arial"/>
          <w:sz w:val="24"/>
          <w:szCs w:val="24"/>
        </w:rPr>
        <w:t>Enkenhaus</w:t>
      </w:r>
      <w:proofErr w:type="spellEnd"/>
      <w:r w:rsidR="00620443">
        <w:rPr>
          <w:rFonts w:ascii="Arial" w:hAnsi="Arial" w:cs="Arial"/>
          <w:sz w:val="24"/>
          <w:szCs w:val="24"/>
        </w:rPr>
        <w:t xml:space="preserve"> building”. </w:t>
      </w:r>
    </w:p>
    <w:p w14:paraId="29FDB0DA" w14:textId="77777777" w:rsidR="00EE4820" w:rsidRDefault="00EE4820" w:rsidP="00EE4820">
      <w:pPr>
        <w:spacing w:after="0"/>
        <w:jc w:val="both"/>
        <w:rPr>
          <w:rFonts w:ascii="Arial" w:hAnsi="Arial" w:cs="Arial"/>
          <w:sz w:val="24"/>
          <w:szCs w:val="24"/>
        </w:rPr>
      </w:pPr>
    </w:p>
    <w:p w14:paraId="04766441" w14:textId="77777777" w:rsidR="002A7898" w:rsidRDefault="002A7898" w:rsidP="00EE4820">
      <w:pPr>
        <w:spacing w:after="0"/>
        <w:jc w:val="both"/>
        <w:rPr>
          <w:rFonts w:ascii="Arial" w:hAnsi="Arial" w:cs="Arial"/>
          <w:sz w:val="24"/>
          <w:szCs w:val="24"/>
        </w:rPr>
      </w:pPr>
      <w:r>
        <w:rPr>
          <w:rFonts w:ascii="Arial" w:hAnsi="Arial" w:cs="Arial"/>
          <w:sz w:val="24"/>
          <w:szCs w:val="24"/>
        </w:rPr>
        <w:t>The second, third an</w:t>
      </w:r>
      <w:r w:rsidR="001D2DB9">
        <w:rPr>
          <w:rFonts w:ascii="Arial" w:hAnsi="Arial" w:cs="Arial"/>
          <w:sz w:val="24"/>
          <w:szCs w:val="24"/>
        </w:rPr>
        <w:t>d fourth respondents trade</w:t>
      </w:r>
      <w:r>
        <w:rPr>
          <w:rFonts w:ascii="Arial" w:hAnsi="Arial" w:cs="Arial"/>
          <w:sz w:val="24"/>
          <w:szCs w:val="24"/>
        </w:rPr>
        <w:t xml:space="preserve"> in the medical field, and have acquired a reputation in the field.</w:t>
      </w:r>
      <w:r w:rsidR="005A7A0A">
        <w:rPr>
          <w:rFonts w:ascii="Arial" w:hAnsi="Arial" w:cs="Arial"/>
          <w:sz w:val="24"/>
          <w:szCs w:val="24"/>
        </w:rPr>
        <w:t xml:space="preserve"> The second respondent operates </w:t>
      </w:r>
      <w:r w:rsidR="001F71D0">
        <w:rPr>
          <w:rFonts w:ascii="Arial" w:hAnsi="Arial" w:cs="Arial"/>
          <w:sz w:val="24"/>
          <w:szCs w:val="24"/>
        </w:rPr>
        <w:t xml:space="preserve">from </w:t>
      </w:r>
      <w:proofErr w:type="spellStart"/>
      <w:r w:rsidR="001F71D0">
        <w:rPr>
          <w:rFonts w:ascii="Arial" w:hAnsi="Arial" w:cs="Arial"/>
          <w:sz w:val="24"/>
          <w:szCs w:val="24"/>
        </w:rPr>
        <w:t>Enkehaus</w:t>
      </w:r>
      <w:proofErr w:type="spellEnd"/>
      <w:r w:rsidR="001F71D0">
        <w:rPr>
          <w:rFonts w:ascii="Arial" w:hAnsi="Arial" w:cs="Arial"/>
          <w:sz w:val="24"/>
          <w:szCs w:val="24"/>
        </w:rPr>
        <w:t xml:space="preserve"> building </w:t>
      </w:r>
      <w:r w:rsidR="001D2DB9">
        <w:rPr>
          <w:rFonts w:ascii="Arial" w:hAnsi="Arial" w:cs="Arial"/>
          <w:sz w:val="24"/>
          <w:szCs w:val="24"/>
        </w:rPr>
        <w:t>situated in</w:t>
      </w:r>
      <w:r w:rsidR="001F71D0">
        <w:rPr>
          <w:rFonts w:ascii="Arial" w:hAnsi="Arial" w:cs="Arial"/>
          <w:sz w:val="24"/>
          <w:szCs w:val="24"/>
        </w:rPr>
        <w:t xml:space="preserve"> </w:t>
      </w:r>
      <w:proofErr w:type="spellStart"/>
      <w:r w:rsidR="001F71D0">
        <w:rPr>
          <w:rFonts w:ascii="Arial" w:hAnsi="Arial" w:cs="Arial"/>
          <w:sz w:val="24"/>
          <w:szCs w:val="24"/>
        </w:rPr>
        <w:t>Banhof</w:t>
      </w:r>
      <w:proofErr w:type="spellEnd"/>
      <w:r w:rsidR="001F71D0">
        <w:rPr>
          <w:rFonts w:ascii="Arial" w:hAnsi="Arial" w:cs="Arial"/>
          <w:sz w:val="24"/>
          <w:szCs w:val="24"/>
        </w:rPr>
        <w:t xml:space="preserve"> Street,</w:t>
      </w:r>
      <w:r w:rsidR="001D2DB9">
        <w:rPr>
          <w:rFonts w:ascii="Arial" w:hAnsi="Arial" w:cs="Arial"/>
          <w:sz w:val="24"/>
          <w:szCs w:val="24"/>
        </w:rPr>
        <w:t xml:space="preserve"> Windhoek,</w:t>
      </w:r>
      <w:r w:rsidR="00D72F7B">
        <w:rPr>
          <w:rFonts w:ascii="Arial" w:hAnsi="Arial" w:cs="Arial"/>
          <w:sz w:val="24"/>
          <w:szCs w:val="24"/>
        </w:rPr>
        <w:t xml:space="preserve"> while the third</w:t>
      </w:r>
      <w:r w:rsidR="005A7A0A">
        <w:rPr>
          <w:rFonts w:ascii="Arial" w:hAnsi="Arial" w:cs="Arial"/>
          <w:sz w:val="24"/>
          <w:szCs w:val="24"/>
        </w:rPr>
        <w:t xml:space="preserve"> and </w:t>
      </w:r>
      <w:r w:rsidR="00D72F7B">
        <w:rPr>
          <w:rFonts w:ascii="Arial" w:hAnsi="Arial" w:cs="Arial"/>
          <w:sz w:val="24"/>
          <w:szCs w:val="24"/>
        </w:rPr>
        <w:t>fourth</w:t>
      </w:r>
      <w:r w:rsidR="005A7A0A">
        <w:rPr>
          <w:rFonts w:ascii="Arial" w:hAnsi="Arial" w:cs="Arial"/>
          <w:sz w:val="24"/>
          <w:szCs w:val="24"/>
        </w:rPr>
        <w:t xml:space="preserve"> respondents operate from Katima Mulilo.</w:t>
      </w:r>
    </w:p>
    <w:p w14:paraId="4CF0C8E9" w14:textId="77777777" w:rsidR="002A7898" w:rsidRDefault="002A7898" w:rsidP="00EE4820">
      <w:pPr>
        <w:spacing w:after="0"/>
        <w:jc w:val="both"/>
        <w:rPr>
          <w:rFonts w:ascii="Arial" w:hAnsi="Arial" w:cs="Arial"/>
          <w:sz w:val="24"/>
          <w:szCs w:val="24"/>
        </w:rPr>
      </w:pPr>
    </w:p>
    <w:p w14:paraId="4C586E6E" w14:textId="77777777" w:rsidR="001F71D0" w:rsidRDefault="001F71D0" w:rsidP="001F71D0">
      <w:pPr>
        <w:spacing w:after="0"/>
        <w:jc w:val="both"/>
        <w:rPr>
          <w:rStyle w:val="IntenseEmphasis"/>
          <w:rFonts w:ascii="Arial" w:hAnsi="Arial" w:cs="Arial"/>
          <w:i w:val="0"/>
          <w:color w:val="auto"/>
          <w:sz w:val="24"/>
          <w:szCs w:val="24"/>
        </w:rPr>
      </w:pPr>
      <w:r>
        <w:rPr>
          <w:rStyle w:val="IntenseEmphasis"/>
          <w:rFonts w:ascii="Arial" w:hAnsi="Arial" w:cs="Arial"/>
          <w:i w:val="0"/>
          <w:color w:val="auto"/>
          <w:sz w:val="24"/>
          <w:szCs w:val="24"/>
        </w:rPr>
        <w:t>O</w:t>
      </w:r>
      <w:r w:rsidRPr="007A79E3">
        <w:rPr>
          <w:rStyle w:val="IntenseEmphasis"/>
          <w:rFonts w:ascii="Arial" w:hAnsi="Arial" w:cs="Arial"/>
          <w:i w:val="0"/>
          <w:color w:val="auto"/>
          <w:sz w:val="24"/>
          <w:szCs w:val="24"/>
        </w:rPr>
        <w:t>n 22 June 2021,</w:t>
      </w:r>
      <w:r>
        <w:rPr>
          <w:rStyle w:val="IntenseEmphasis"/>
          <w:rFonts w:ascii="Arial" w:hAnsi="Arial" w:cs="Arial"/>
          <w:i w:val="0"/>
          <w:color w:val="auto"/>
          <w:sz w:val="24"/>
          <w:szCs w:val="24"/>
        </w:rPr>
        <w:t xml:space="preserve"> the second applicant instructed his legal practitioners</w:t>
      </w:r>
      <w:r w:rsidRPr="007A79E3">
        <w:rPr>
          <w:rStyle w:val="IntenseEmphasis"/>
          <w:rFonts w:ascii="Arial" w:hAnsi="Arial" w:cs="Arial"/>
          <w:i w:val="0"/>
          <w:color w:val="auto"/>
          <w:sz w:val="24"/>
          <w:szCs w:val="24"/>
        </w:rPr>
        <w:t xml:space="preserve"> </w:t>
      </w:r>
      <w:r>
        <w:rPr>
          <w:rStyle w:val="IntenseEmphasis"/>
          <w:rFonts w:ascii="Arial" w:hAnsi="Arial" w:cs="Arial"/>
          <w:i w:val="0"/>
          <w:color w:val="auto"/>
          <w:sz w:val="24"/>
          <w:szCs w:val="24"/>
        </w:rPr>
        <w:t>to address</w:t>
      </w:r>
      <w:r w:rsidRPr="007A79E3">
        <w:rPr>
          <w:rStyle w:val="IntenseEmphasis"/>
          <w:rFonts w:ascii="Arial" w:hAnsi="Arial" w:cs="Arial"/>
          <w:i w:val="0"/>
          <w:color w:val="auto"/>
          <w:sz w:val="24"/>
          <w:szCs w:val="24"/>
        </w:rPr>
        <w:t xml:space="preserve"> </w:t>
      </w:r>
      <w:r>
        <w:rPr>
          <w:rStyle w:val="IntenseEmphasis"/>
          <w:rFonts w:ascii="Arial" w:hAnsi="Arial" w:cs="Arial"/>
          <w:i w:val="0"/>
          <w:color w:val="auto"/>
          <w:sz w:val="24"/>
          <w:szCs w:val="24"/>
        </w:rPr>
        <w:t xml:space="preserve">(which they did) </w:t>
      </w:r>
      <w:r w:rsidRPr="007A79E3">
        <w:rPr>
          <w:rStyle w:val="IntenseEmphasis"/>
          <w:rFonts w:ascii="Arial" w:hAnsi="Arial" w:cs="Arial"/>
          <w:i w:val="0"/>
          <w:color w:val="auto"/>
          <w:sz w:val="24"/>
          <w:szCs w:val="24"/>
        </w:rPr>
        <w:t>a letter to the first respondent</w:t>
      </w:r>
      <w:r>
        <w:rPr>
          <w:rStyle w:val="IntenseEmphasis"/>
          <w:rFonts w:ascii="Arial" w:hAnsi="Arial" w:cs="Arial"/>
          <w:i w:val="0"/>
          <w:color w:val="auto"/>
          <w:sz w:val="24"/>
          <w:szCs w:val="24"/>
        </w:rPr>
        <w:t xml:space="preserve"> </w:t>
      </w:r>
      <w:r w:rsidRPr="007A79E3">
        <w:rPr>
          <w:rStyle w:val="IntenseEmphasis"/>
          <w:rFonts w:ascii="Arial" w:hAnsi="Arial" w:cs="Arial"/>
          <w:i w:val="0"/>
          <w:color w:val="auto"/>
          <w:sz w:val="24"/>
          <w:szCs w:val="24"/>
        </w:rPr>
        <w:t>in her capacity as Registrar of Close Corporations</w:t>
      </w:r>
      <w:r>
        <w:rPr>
          <w:rStyle w:val="IntenseEmphasis"/>
          <w:rFonts w:ascii="Arial" w:hAnsi="Arial" w:cs="Arial"/>
          <w:i w:val="0"/>
          <w:color w:val="auto"/>
          <w:sz w:val="24"/>
          <w:szCs w:val="24"/>
        </w:rPr>
        <w:t xml:space="preserve"> requesting her to order</w:t>
      </w:r>
      <w:r w:rsidRPr="007A79E3">
        <w:rPr>
          <w:rStyle w:val="IntenseEmphasis"/>
          <w:rFonts w:ascii="Arial" w:hAnsi="Arial" w:cs="Arial"/>
          <w:i w:val="0"/>
          <w:color w:val="auto"/>
          <w:sz w:val="24"/>
          <w:szCs w:val="24"/>
        </w:rPr>
        <w:t xml:space="preserve"> a </w:t>
      </w:r>
      <w:r w:rsidR="00D72F7B" w:rsidRPr="007A79E3">
        <w:rPr>
          <w:rStyle w:val="IntenseEmphasis"/>
          <w:rFonts w:ascii="Arial" w:hAnsi="Arial" w:cs="Arial"/>
          <w:i w:val="0"/>
          <w:color w:val="auto"/>
          <w:sz w:val="24"/>
          <w:szCs w:val="24"/>
        </w:rPr>
        <w:t xml:space="preserve">close corporation </w:t>
      </w:r>
      <w:r w:rsidRPr="007A79E3">
        <w:rPr>
          <w:rStyle w:val="IntenseEmphasis"/>
          <w:rFonts w:ascii="Arial" w:hAnsi="Arial" w:cs="Arial"/>
          <w:i w:val="0"/>
          <w:color w:val="auto"/>
          <w:sz w:val="24"/>
          <w:szCs w:val="24"/>
        </w:rPr>
        <w:t>registered as</w:t>
      </w:r>
      <w:r>
        <w:rPr>
          <w:rStyle w:val="IntenseEmphasis"/>
          <w:rFonts w:ascii="Arial" w:hAnsi="Arial" w:cs="Arial"/>
          <w:i w:val="0"/>
          <w:color w:val="auto"/>
          <w:sz w:val="24"/>
          <w:szCs w:val="24"/>
        </w:rPr>
        <w:t xml:space="preserve"> </w:t>
      </w:r>
      <w:proofErr w:type="spellStart"/>
      <w:r>
        <w:rPr>
          <w:rStyle w:val="IntenseEmphasis"/>
          <w:rFonts w:ascii="Arial" w:hAnsi="Arial" w:cs="Arial"/>
          <w:i w:val="0"/>
          <w:color w:val="auto"/>
          <w:sz w:val="24"/>
          <w:szCs w:val="24"/>
        </w:rPr>
        <w:t>Enkehaus</w:t>
      </w:r>
      <w:proofErr w:type="spellEnd"/>
      <w:r>
        <w:rPr>
          <w:rStyle w:val="IntenseEmphasis"/>
          <w:rFonts w:ascii="Arial" w:hAnsi="Arial" w:cs="Arial"/>
          <w:i w:val="0"/>
          <w:color w:val="auto"/>
          <w:sz w:val="24"/>
          <w:szCs w:val="24"/>
        </w:rPr>
        <w:t xml:space="preserve"> Private Hospital CC (</w:t>
      </w:r>
      <w:r w:rsidRPr="007A79E3">
        <w:rPr>
          <w:rStyle w:val="IntenseEmphasis"/>
          <w:rFonts w:ascii="Arial" w:hAnsi="Arial" w:cs="Arial"/>
          <w:i w:val="0"/>
          <w:color w:val="auto"/>
          <w:sz w:val="24"/>
          <w:szCs w:val="24"/>
        </w:rPr>
        <w:t>the fourth respondent) to change its name in terms of s 2</w:t>
      </w:r>
      <w:r>
        <w:rPr>
          <w:rStyle w:val="IntenseEmphasis"/>
          <w:rFonts w:ascii="Arial" w:hAnsi="Arial" w:cs="Arial"/>
          <w:i w:val="0"/>
          <w:color w:val="auto"/>
          <w:sz w:val="24"/>
          <w:szCs w:val="24"/>
        </w:rPr>
        <w:t>0 of the Close Corporations Act of 1988.</w:t>
      </w:r>
    </w:p>
    <w:p w14:paraId="77915F5A" w14:textId="77777777" w:rsidR="001F71D0" w:rsidRDefault="001F71D0" w:rsidP="00EE4820">
      <w:pPr>
        <w:spacing w:after="0"/>
        <w:jc w:val="both"/>
        <w:rPr>
          <w:rFonts w:ascii="Arial" w:hAnsi="Arial" w:cs="Arial"/>
          <w:sz w:val="24"/>
          <w:szCs w:val="24"/>
        </w:rPr>
      </w:pPr>
    </w:p>
    <w:p w14:paraId="1F040765" w14:textId="77777777" w:rsidR="00EE4820" w:rsidRDefault="002863E4" w:rsidP="002863E4">
      <w:pPr>
        <w:spacing w:after="0"/>
        <w:jc w:val="both"/>
        <w:rPr>
          <w:rFonts w:ascii="Arial" w:hAnsi="Arial" w:cs="Arial"/>
          <w:sz w:val="24"/>
          <w:szCs w:val="24"/>
        </w:rPr>
      </w:pPr>
      <w:r>
        <w:rPr>
          <w:rFonts w:ascii="Arial" w:hAnsi="Arial" w:cs="Arial"/>
          <w:sz w:val="24"/>
          <w:szCs w:val="24"/>
        </w:rPr>
        <w:t>The first respondent refused to</w:t>
      </w:r>
      <w:r w:rsidRPr="002863E4">
        <w:rPr>
          <w:rFonts w:ascii="Arial" w:hAnsi="Arial" w:cs="Arial"/>
          <w:sz w:val="24"/>
          <w:szCs w:val="24"/>
        </w:rPr>
        <w:t xml:space="preserve"> order </w:t>
      </w:r>
      <w:proofErr w:type="spellStart"/>
      <w:r w:rsidRPr="002863E4">
        <w:rPr>
          <w:rFonts w:ascii="Arial" w:hAnsi="Arial" w:cs="Arial"/>
          <w:sz w:val="24"/>
          <w:szCs w:val="24"/>
        </w:rPr>
        <w:t>Enkehaus</w:t>
      </w:r>
      <w:proofErr w:type="spellEnd"/>
      <w:r w:rsidRPr="002863E4">
        <w:rPr>
          <w:rFonts w:ascii="Arial" w:hAnsi="Arial" w:cs="Arial"/>
          <w:sz w:val="24"/>
          <w:szCs w:val="24"/>
        </w:rPr>
        <w:t xml:space="preserve"> Private Hospital CC to change their entity name in terms of section 20 of the Close Corporations Act, </w:t>
      </w:r>
      <w:r>
        <w:rPr>
          <w:rFonts w:ascii="Arial" w:hAnsi="Arial" w:cs="Arial"/>
          <w:sz w:val="24"/>
          <w:szCs w:val="24"/>
        </w:rPr>
        <w:t>hence this application. The second to the fourth respondents opposes the applicants’ application and raised four preliminary objections to the applicants</w:t>
      </w:r>
      <w:r w:rsidR="00D72F7B">
        <w:rPr>
          <w:rFonts w:ascii="Arial" w:hAnsi="Arial" w:cs="Arial"/>
          <w:sz w:val="24"/>
          <w:szCs w:val="24"/>
        </w:rPr>
        <w:t>’</w:t>
      </w:r>
      <w:r>
        <w:rPr>
          <w:rFonts w:ascii="Arial" w:hAnsi="Arial" w:cs="Arial"/>
          <w:sz w:val="24"/>
          <w:szCs w:val="24"/>
        </w:rPr>
        <w:t xml:space="preserve"> claim.</w:t>
      </w:r>
    </w:p>
    <w:p w14:paraId="789C5F5E" w14:textId="77777777" w:rsidR="002863E4" w:rsidRDefault="002863E4" w:rsidP="002863E4">
      <w:pPr>
        <w:spacing w:after="0"/>
        <w:jc w:val="both"/>
        <w:rPr>
          <w:rFonts w:ascii="Arial" w:hAnsi="Arial" w:cs="Arial"/>
          <w:sz w:val="24"/>
          <w:szCs w:val="24"/>
        </w:rPr>
      </w:pPr>
    </w:p>
    <w:p w14:paraId="22038366" w14:textId="77777777" w:rsidR="003E5F2B" w:rsidRDefault="002863E4" w:rsidP="002863E4">
      <w:pPr>
        <w:pStyle w:val="Default"/>
        <w:spacing w:line="360" w:lineRule="auto"/>
        <w:jc w:val="both"/>
        <w:rPr>
          <w:rFonts w:ascii="Arial" w:hAnsi="Arial" w:cs="Arial"/>
        </w:rPr>
      </w:pPr>
      <w:r w:rsidRPr="002863E4">
        <w:rPr>
          <w:rFonts w:ascii="Arial" w:hAnsi="Arial" w:cs="Arial"/>
          <w:i/>
        </w:rPr>
        <w:t>Held that</w:t>
      </w:r>
      <w:r w:rsidRPr="002863E4">
        <w:rPr>
          <w:rFonts w:ascii="Arial" w:hAnsi="Arial" w:cs="Arial"/>
        </w:rPr>
        <w:t xml:space="preserve"> section 20 of the Close Corporations Act</w:t>
      </w:r>
      <w:r>
        <w:rPr>
          <w:rFonts w:ascii="Arial" w:hAnsi="Arial" w:cs="Arial"/>
        </w:rPr>
        <w:t xml:space="preserve"> confers on an interested person the option to either approach the Registrar or a Court to seek an order directing a close corporation to change its name. But once the interested party has made an </w:t>
      </w:r>
      <w:r w:rsidR="00D72F7B">
        <w:rPr>
          <w:rFonts w:ascii="Arial" w:hAnsi="Arial" w:cs="Arial"/>
        </w:rPr>
        <w:t>election that</w:t>
      </w:r>
      <w:r>
        <w:rPr>
          <w:rFonts w:ascii="Arial" w:hAnsi="Arial" w:cs="Arial"/>
        </w:rPr>
        <w:t xml:space="preserve"> party must live with the consequences of its choice or election.</w:t>
      </w:r>
    </w:p>
    <w:p w14:paraId="7BD4A968" w14:textId="77777777" w:rsidR="003E5F2B" w:rsidRPr="003E5F2B" w:rsidRDefault="003E5F2B" w:rsidP="002863E4">
      <w:pPr>
        <w:pStyle w:val="Default"/>
        <w:spacing w:line="360" w:lineRule="auto"/>
        <w:jc w:val="both"/>
        <w:rPr>
          <w:rFonts w:ascii="Arial" w:hAnsi="Arial" w:cs="Arial"/>
          <w:i/>
        </w:rPr>
      </w:pPr>
    </w:p>
    <w:p w14:paraId="2873F451" w14:textId="77777777" w:rsidR="002863E4" w:rsidRDefault="003E5F2B" w:rsidP="002863E4">
      <w:pPr>
        <w:pStyle w:val="Default"/>
        <w:spacing w:line="360" w:lineRule="auto"/>
        <w:jc w:val="both"/>
        <w:rPr>
          <w:rFonts w:ascii="Arial" w:hAnsi="Arial" w:cs="Arial"/>
        </w:rPr>
      </w:pPr>
      <w:r w:rsidRPr="003E5F2B">
        <w:rPr>
          <w:rFonts w:ascii="Arial" w:hAnsi="Arial" w:cs="Arial"/>
          <w:i/>
        </w:rPr>
        <w:lastRenderedPageBreak/>
        <w:t>Held further that</w:t>
      </w:r>
      <w:r>
        <w:rPr>
          <w:rFonts w:ascii="Arial" w:hAnsi="Arial" w:cs="Arial"/>
        </w:rPr>
        <w:t xml:space="preserve"> a</w:t>
      </w:r>
      <w:r w:rsidR="002863E4">
        <w:rPr>
          <w:rFonts w:ascii="Arial" w:hAnsi="Arial" w:cs="Arial"/>
        </w:rPr>
        <w:t xml:space="preserve"> consequence of an election to approach the Registrar as contemplated in s 20(2)(a) is that once the party approaches the Registrar and the Registrar </w:t>
      </w:r>
      <w:proofErr w:type="gramStart"/>
      <w:r w:rsidR="002863E4">
        <w:rPr>
          <w:rFonts w:ascii="Arial" w:hAnsi="Arial" w:cs="Arial"/>
        </w:rPr>
        <w:t>makes a decision</w:t>
      </w:r>
      <w:proofErr w:type="gramEnd"/>
      <w:r w:rsidR="002863E4">
        <w:rPr>
          <w:rFonts w:ascii="Arial" w:hAnsi="Arial" w:cs="Arial"/>
        </w:rPr>
        <w:t xml:space="preserve"> that decision will remain valid and binding until set aside by a superior court.</w:t>
      </w:r>
      <w:r>
        <w:rPr>
          <w:rFonts w:ascii="Arial" w:hAnsi="Arial" w:cs="Arial"/>
        </w:rPr>
        <w:t xml:space="preserve"> The court on this basis refused to grant the relief sought by the applicant.</w:t>
      </w:r>
    </w:p>
    <w:p w14:paraId="037092E2" w14:textId="77777777" w:rsidR="002863E4" w:rsidRDefault="002863E4" w:rsidP="002863E4">
      <w:pPr>
        <w:spacing w:after="0"/>
        <w:jc w:val="both"/>
        <w:rPr>
          <w:rFonts w:ascii="Arial" w:hAnsi="Arial" w:cs="Arial"/>
          <w:i/>
          <w:sz w:val="24"/>
          <w:szCs w:val="24"/>
        </w:rPr>
      </w:pPr>
    </w:p>
    <w:p w14:paraId="10BF9835" w14:textId="77777777" w:rsidR="007566FC" w:rsidRDefault="00393001" w:rsidP="007566FC">
      <w:pPr>
        <w:spacing w:after="0"/>
        <w:jc w:val="both"/>
        <w:rPr>
          <w:rFonts w:ascii="Arial" w:hAnsi="Arial" w:cs="Arial"/>
          <w:sz w:val="24"/>
          <w:szCs w:val="24"/>
        </w:rPr>
      </w:pPr>
      <w:r>
        <w:rPr>
          <w:rFonts w:ascii="Arial" w:hAnsi="Arial" w:cs="Arial"/>
          <w:i/>
          <w:sz w:val="24"/>
          <w:szCs w:val="24"/>
        </w:rPr>
        <w:t xml:space="preserve">Held furthermore that </w:t>
      </w:r>
      <w:r>
        <w:rPr>
          <w:rFonts w:ascii="Arial" w:hAnsi="Arial" w:cs="Arial"/>
          <w:sz w:val="24"/>
          <w:szCs w:val="24"/>
        </w:rPr>
        <w:t xml:space="preserve">the applicants </w:t>
      </w:r>
      <w:r w:rsidR="007566FC">
        <w:rPr>
          <w:rFonts w:ascii="Arial" w:hAnsi="Arial" w:cs="Arial"/>
          <w:sz w:val="24"/>
          <w:szCs w:val="24"/>
        </w:rPr>
        <w:t xml:space="preserve">have, not placed before court any facts which point to the ‘undesirability’ of the names used by the respondents or the damages that the respondents are likely to cause to the applicants by using the names in question. </w:t>
      </w:r>
    </w:p>
    <w:p w14:paraId="213EF442" w14:textId="77777777" w:rsidR="00393001" w:rsidRPr="00393001" w:rsidRDefault="00393001" w:rsidP="002863E4">
      <w:pPr>
        <w:spacing w:after="0"/>
        <w:jc w:val="both"/>
        <w:rPr>
          <w:rFonts w:ascii="Arial" w:hAnsi="Arial" w:cs="Arial"/>
          <w:sz w:val="24"/>
          <w:szCs w:val="24"/>
        </w:rPr>
      </w:pPr>
      <w:r>
        <w:rPr>
          <w:rFonts w:ascii="Arial" w:hAnsi="Arial" w:cs="Arial"/>
          <w:sz w:val="24"/>
          <w:szCs w:val="24"/>
        </w:rPr>
        <w:t>.</w:t>
      </w:r>
    </w:p>
    <w:p w14:paraId="072D5B00" w14:textId="77777777" w:rsidR="00FA627B" w:rsidRPr="00FA627B" w:rsidRDefault="00FA627B" w:rsidP="00FA627B">
      <w:pPr>
        <w:pBdr>
          <w:bottom w:val="single" w:sz="12" w:space="1" w:color="auto"/>
        </w:pBdr>
        <w:jc w:val="both"/>
        <w:rPr>
          <w:rFonts w:ascii="Arial" w:hAnsi="Arial" w:cs="Arial"/>
          <w:b/>
          <w:sz w:val="24"/>
          <w:szCs w:val="24"/>
        </w:rPr>
      </w:pPr>
      <w:r w:rsidRPr="00FA627B">
        <w:rPr>
          <w:rFonts w:ascii="Arial" w:hAnsi="Arial" w:cs="Arial"/>
          <w:b/>
          <w:sz w:val="24"/>
          <w:szCs w:val="24"/>
        </w:rPr>
        <w:t>________________________________________</w:t>
      </w:r>
      <w:r w:rsidR="009D039A">
        <w:rPr>
          <w:rFonts w:ascii="Arial" w:hAnsi="Arial" w:cs="Arial"/>
          <w:b/>
          <w:sz w:val="24"/>
          <w:szCs w:val="24"/>
        </w:rPr>
        <w:t>_________________________</w:t>
      </w:r>
    </w:p>
    <w:p w14:paraId="7208CC5D" w14:textId="77777777" w:rsidR="00FA627B" w:rsidRPr="00FA627B" w:rsidRDefault="00FA627B" w:rsidP="00FA627B">
      <w:pPr>
        <w:pBdr>
          <w:bottom w:val="single" w:sz="12" w:space="1" w:color="auto"/>
        </w:pBdr>
        <w:jc w:val="center"/>
        <w:rPr>
          <w:rFonts w:ascii="Arial" w:hAnsi="Arial" w:cs="Arial"/>
          <w:b/>
          <w:sz w:val="24"/>
          <w:szCs w:val="24"/>
        </w:rPr>
      </w:pPr>
      <w:r w:rsidRPr="00FA627B">
        <w:rPr>
          <w:rFonts w:ascii="Arial" w:hAnsi="Arial" w:cs="Arial"/>
          <w:b/>
          <w:sz w:val="24"/>
          <w:szCs w:val="24"/>
        </w:rPr>
        <w:t>ORDER</w:t>
      </w:r>
    </w:p>
    <w:p w14:paraId="569502EC" w14:textId="77777777" w:rsidR="00FA627B" w:rsidRDefault="00FA627B" w:rsidP="00FA627B">
      <w:pPr>
        <w:pStyle w:val="ListParagraph"/>
        <w:jc w:val="both"/>
        <w:rPr>
          <w:rFonts w:ascii="Arial" w:hAnsi="Arial" w:cs="Arial"/>
          <w:sz w:val="24"/>
          <w:szCs w:val="24"/>
        </w:rPr>
      </w:pPr>
    </w:p>
    <w:p w14:paraId="2D9DEA62" w14:textId="77777777" w:rsidR="00FA627B" w:rsidRDefault="00D92C85" w:rsidP="00EE4820">
      <w:pPr>
        <w:pStyle w:val="ListParagraph"/>
        <w:numPr>
          <w:ilvl w:val="0"/>
          <w:numId w:val="3"/>
        </w:numPr>
        <w:tabs>
          <w:tab w:val="left" w:pos="709"/>
        </w:tabs>
        <w:ind w:left="0" w:firstLine="0"/>
        <w:jc w:val="both"/>
        <w:rPr>
          <w:rFonts w:ascii="Arial" w:hAnsi="Arial" w:cs="Arial"/>
          <w:sz w:val="24"/>
          <w:szCs w:val="24"/>
        </w:rPr>
      </w:pPr>
      <w:r>
        <w:rPr>
          <w:rFonts w:ascii="Arial" w:hAnsi="Arial" w:cs="Arial"/>
          <w:sz w:val="24"/>
          <w:szCs w:val="24"/>
        </w:rPr>
        <w:t>The first respondent</w:t>
      </w:r>
      <w:r w:rsidR="00EF746F">
        <w:rPr>
          <w:rFonts w:ascii="Arial" w:hAnsi="Arial" w:cs="Arial"/>
          <w:sz w:val="24"/>
          <w:szCs w:val="24"/>
        </w:rPr>
        <w:t>’</w:t>
      </w:r>
      <w:r>
        <w:rPr>
          <w:rFonts w:ascii="Arial" w:hAnsi="Arial" w:cs="Arial"/>
          <w:sz w:val="24"/>
          <w:szCs w:val="24"/>
        </w:rPr>
        <w:t>s</w:t>
      </w:r>
      <w:r w:rsidR="00FA627B">
        <w:rPr>
          <w:rFonts w:ascii="Arial" w:hAnsi="Arial" w:cs="Arial"/>
          <w:sz w:val="24"/>
          <w:szCs w:val="24"/>
        </w:rPr>
        <w:t xml:space="preserve"> decision dated 23 August 2021, declining the applicants</w:t>
      </w:r>
      <w:r>
        <w:rPr>
          <w:rFonts w:ascii="Arial" w:hAnsi="Arial" w:cs="Arial"/>
          <w:sz w:val="24"/>
          <w:szCs w:val="24"/>
        </w:rPr>
        <w:t>’</w:t>
      </w:r>
      <w:r w:rsidR="00FA627B">
        <w:rPr>
          <w:rFonts w:ascii="Arial" w:hAnsi="Arial" w:cs="Arial"/>
          <w:sz w:val="24"/>
          <w:szCs w:val="24"/>
        </w:rPr>
        <w:t xml:space="preserve"> demand</w:t>
      </w:r>
      <w:r w:rsidR="00EF746F">
        <w:rPr>
          <w:rFonts w:ascii="Arial" w:hAnsi="Arial" w:cs="Arial"/>
          <w:sz w:val="24"/>
          <w:szCs w:val="24"/>
        </w:rPr>
        <w:t>/request</w:t>
      </w:r>
      <w:r w:rsidR="00FA627B">
        <w:rPr>
          <w:rFonts w:ascii="Arial" w:hAnsi="Arial" w:cs="Arial"/>
          <w:sz w:val="24"/>
          <w:szCs w:val="24"/>
        </w:rPr>
        <w:t xml:space="preserve"> to order the second, third and fourth respondent to change their names, is hereby confirmed.</w:t>
      </w:r>
    </w:p>
    <w:p w14:paraId="1E35727E" w14:textId="77777777" w:rsidR="00FA627B" w:rsidRDefault="00FA627B" w:rsidP="00EE4820">
      <w:pPr>
        <w:pStyle w:val="ListParagraph"/>
        <w:tabs>
          <w:tab w:val="left" w:pos="709"/>
        </w:tabs>
        <w:ind w:left="0"/>
        <w:jc w:val="both"/>
        <w:rPr>
          <w:rFonts w:ascii="Arial" w:hAnsi="Arial" w:cs="Arial"/>
          <w:sz w:val="24"/>
          <w:szCs w:val="24"/>
        </w:rPr>
      </w:pPr>
    </w:p>
    <w:p w14:paraId="03760ACB" w14:textId="77777777" w:rsidR="00FA627B" w:rsidRDefault="00FA627B" w:rsidP="00EE4820">
      <w:pPr>
        <w:pStyle w:val="ListParagraph"/>
        <w:numPr>
          <w:ilvl w:val="0"/>
          <w:numId w:val="3"/>
        </w:numPr>
        <w:tabs>
          <w:tab w:val="left" w:pos="709"/>
        </w:tabs>
        <w:ind w:left="0" w:firstLine="0"/>
        <w:jc w:val="both"/>
        <w:rPr>
          <w:rFonts w:ascii="Arial" w:hAnsi="Arial" w:cs="Arial"/>
          <w:sz w:val="24"/>
          <w:szCs w:val="24"/>
        </w:rPr>
      </w:pPr>
      <w:r>
        <w:rPr>
          <w:rFonts w:ascii="Arial" w:hAnsi="Arial" w:cs="Arial"/>
          <w:sz w:val="24"/>
          <w:szCs w:val="24"/>
        </w:rPr>
        <w:t xml:space="preserve">The names of the second, third and fourth respondents not </w:t>
      </w:r>
      <w:r w:rsidR="00EF746F">
        <w:rPr>
          <w:rFonts w:ascii="Arial" w:hAnsi="Arial" w:cs="Arial"/>
          <w:sz w:val="24"/>
          <w:szCs w:val="24"/>
        </w:rPr>
        <w:t xml:space="preserve">undesirable nor are they </w:t>
      </w:r>
      <w:r>
        <w:rPr>
          <w:rFonts w:ascii="Arial" w:hAnsi="Arial" w:cs="Arial"/>
          <w:sz w:val="24"/>
          <w:szCs w:val="24"/>
        </w:rPr>
        <w:t>calculated to cause damage to the applicants in terms of the provisions of s 20(2) of the Close Corporation Act 26 of 1988.</w:t>
      </w:r>
    </w:p>
    <w:p w14:paraId="6288B801" w14:textId="77777777" w:rsidR="00FA627B" w:rsidRPr="002A1DD2" w:rsidRDefault="00FA627B" w:rsidP="00EE4820">
      <w:pPr>
        <w:pStyle w:val="ListParagraph"/>
        <w:tabs>
          <w:tab w:val="left" w:pos="709"/>
        </w:tabs>
        <w:ind w:left="0"/>
        <w:rPr>
          <w:rFonts w:ascii="Arial" w:hAnsi="Arial" w:cs="Arial"/>
          <w:sz w:val="24"/>
          <w:szCs w:val="24"/>
        </w:rPr>
      </w:pPr>
    </w:p>
    <w:p w14:paraId="3207E94A" w14:textId="77777777" w:rsidR="00FA627B" w:rsidRDefault="00FA627B" w:rsidP="00EE4820">
      <w:pPr>
        <w:pStyle w:val="ListParagraph"/>
        <w:numPr>
          <w:ilvl w:val="0"/>
          <w:numId w:val="3"/>
        </w:numPr>
        <w:tabs>
          <w:tab w:val="left" w:pos="709"/>
        </w:tabs>
        <w:ind w:left="0" w:firstLine="0"/>
        <w:jc w:val="both"/>
        <w:rPr>
          <w:rFonts w:ascii="Arial" w:hAnsi="Arial" w:cs="Arial"/>
          <w:sz w:val="24"/>
          <w:szCs w:val="24"/>
        </w:rPr>
      </w:pPr>
      <w:r>
        <w:rPr>
          <w:rFonts w:ascii="Arial" w:hAnsi="Arial" w:cs="Arial"/>
          <w:sz w:val="24"/>
          <w:szCs w:val="24"/>
        </w:rPr>
        <w:t xml:space="preserve">The applicants </w:t>
      </w:r>
      <w:r w:rsidR="00EF746F">
        <w:rPr>
          <w:rFonts w:ascii="Arial" w:hAnsi="Arial" w:cs="Arial"/>
          <w:sz w:val="24"/>
          <w:szCs w:val="24"/>
        </w:rPr>
        <w:t>must</w:t>
      </w:r>
      <w:r>
        <w:rPr>
          <w:rFonts w:ascii="Arial" w:hAnsi="Arial" w:cs="Arial"/>
          <w:sz w:val="24"/>
          <w:szCs w:val="24"/>
        </w:rPr>
        <w:t xml:space="preserve"> pay the second, third and fourth respondents cost of suit.</w:t>
      </w:r>
      <w:r w:rsidR="00EE4820">
        <w:rPr>
          <w:rFonts w:ascii="Arial" w:hAnsi="Arial" w:cs="Arial"/>
          <w:sz w:val="24"/>
          <w:szCs w:val="24"/>
        </w:rPr>
        <w:t xml:space="preserve"> Such costs to include the costs of one instructing and one instructed counsel.</w:t>
      </w:r>
    </w:p>
    <w:p w14:paraId="748D7713" w14:textId="77777777" w:rsidR="00FA627B" w:rsidRPr="002A1DD2" w:rsidRDefault="00FA627B" w:rsidP="00EE4820">
      <w:pPr>
        <w:pStyle w:val="ListParagraph"/>
        <w:tabs>
          <w:tab w:val="left" w:pos="709"/>
        </w:tabs>
        <w:ind w:left="0"/>
        <w:rPr>
          <w:rFonts w:ascii="Arial" w:hAnsi="Arial" w:cs="Arial"/>
          <w:sz w:val="24"/>
          <w:szCs w:val="24"/>
        </w:rPr>
      </w:pPr>
    </w:p>
    <w:p w14:paraId="721E00C5" w14:textId="77777777" w:rsidR="005A7A0A" w:rsidRDefault="00FA627B" w:rsidP="00EE4820">
      <w:pPr>
        <w:pStyle w:val="ListParagraph"/>
        <w:numPr>
          <w:ilvl w:val="0"/>
          <w:numId w:val="3"/>
        </w:numPr>
        <w:tabs>
          <w:tab w:val="left" w:pos="709"/>
        </w:tabs>
        <w:ind w:left="0" w:firstLine="0"/>
        <w:jc w:val="both"/>
        <w:rPr>
          <w:rFonts w:ascii="Arial" w:hAnsi="Arial" w:cs="Arial"/>
          <w:sz w:val="24"/>
          <w:szCs w:val="24"/>
        </w:rPr>
      </w:pPr>
      <w:r>
        <w:rPr>
          <w:rFonts w:ascii="Arial" w:hAnsi="Arial" w:cs="Arial"/>
          <w:sz w:val="24"/>
          <w:szCs w:val="24"/>
        </w:rPr>
        <w:t>The matter is considered finalized and is removed from the roll.</w:t>
      </w:r>
    </w:p>
    <w:p w14:paraId="041082ED" w14:textId="77777777" w:rsidR="007566FC" w:rsidRPr="00FA627B" w:rsidRDefault="007566FC" w:rsidP="007566FC">
      <w:pPr>
        <w:pStyle w:val="ListParagraph"/>
        <w:tabs>
          <w:tab w:val="left" w:pos="709"/>
        </w:tabs>
        <w:ind w:left="0"/>
        <w:jc w:val="both"/>
        <w:rPr>
          <w:rFonts w:ascii="Arial" w:hAnsi="Arial" w:cs="Arial"/>
          <w:sz w:val="24"/>
          <w:szCs w:val="24"/>
        </w:rPr>
      </w:pPr>
    </w:p>
    <w:p w14:paraId="087B6D3B" w14:textId="77777777" w:rsidR="00620443" w:rsidRPr="00D92C85" w:rsidRDefault="00580101" w:rsidP="00E43EB3">
      <w:pPr>
        <w:spacing w:line="240" w:lineRule="auto"/>
        <w:rPr>
          <w:rFonts w:ascii="Arial" w:hAnsi="Arial" w:cs="Arial"/>
          <w:b/>
          <w:sz w:val="24"/>
          <w:szCs w:val="24"/>
        </w:rPr>
      </w:pPr>
      <w:r w:rsidRPr="00D92C85">
        <w:rPr>
          <w:rFonts w:ascii="Arial" w:hAnsi="Arial" w:cs="Arial"/>
          <w:b/>
          <w:sz w:val="24"/>
          <w:szCs w:val="24"/>
        </w:rPr>
        <w:t>_________________________________________________________________</w:t>
      </w:r>
    </w:p>
    <w:p w14:paraId="021A2D94" w14:textId="77777777" w:rsidR="00620443" w:rsidRDefault="00620443" w:rsidP="006E43D7">
      <w:pPr>
        <w:pBdr>
          <w:bottom w:val="single" w:sz="12" w:space="1" w:color="auto"/>
        </w:pBdr>
        <w:jc w:val="center"/>
        <w:rPr>
          <w:rFonts w:ascii="Arial" w:hAnsi="Arial" w:cs="Arial"/>
          <w:b/>
          <w:sz w:val="24"/>
          <w:szCs w:val="24"/>
        </w:rPr>
      </w:pPr>
      <w:r w:rsidRPr="00D92C85">
        <w:rPr>
          <w:rFonts w:ascii="Arial" w:hAnsi="Arial" w:cs="Arial"/>
          <w:b/>
          <w:sz w:val="24"/>
          <w:szCs w:val="24"/>
        </w:rPr>
        <w:t>J</w:t>
      </w:r>
      <w:r w:rsidRPr="00620443">
        <w:rPr>
          <w:rFonts w:ascii="Arial" w:hAnsi="Arial" w:cs="Arial"/>
          <w:b/>
          <w:sz w:val="24"/>
          <w:szCs w:val="24"/>
        </w:rPr>
        <w:t>UDGMENT</w:t>
      </w:r>
    </w:p>
    <w:p w14:paraId="415342A2" w14:textId="77777777" w:rsidR="00620443" w:rsidRDefault="00620443" w:rsidP="00D92C85">
      <w:pPr>
        <w:spacing w:after="0" w:line="240" w:lineRule="auto"/>
        <w:jc w:val="both"/>
        <w:rPr>
          <w:rFonts w:ascii="Arial" w:hAnsi="Arial" w:cs="Arial"/>
          <w:sz w:val="24"/>
          <w:szCs w:val="24"/>
        </w:rPr>
      </w:pPr>
    </w:p>
    <w:p w14:paraId="32301FB7" w14:textId="77777777" w:rsidR="00263AC8" w:rsidRPr="003C43FC" w:rsidRDefault="00620443" w:rsidP="004D5AC6">
      <w:pPr>
        <w:spacing w:after="0"/>
        <w:jc w:val="both"/>
        <w:rPr>
          <w:rFonts w:ascii="Arial" w:hAnsi="Arial" w:cs="Arial"/>
          <w:b/>
          <w:sz w:val="24"/>
          <w:szCs w:val="24"/>
        </w:rPr>
      </w:pPr>
      <w:r w:rsidRPr="003C43FC">
        <w:rPr>
          <w:rFonts w:ascii="Arial" w:hAnsi="Arial" w:cs="Arial"/>
          <w:b/>
          <w:sz w:val="24"/>
          <w:szCs w:val="24"/>
        </w:rPr>
        <w:t>UEITELE J:</w:t>
      </w:r>
    </w:p>
    <w:p w14:paraId="7B3D784F" w14:textId="77777777" w:rsidR="00CD1802" w:rsidRDefault="00CD1802" w:rsidP="00D92C85">
      <w:pPr>
        <w:spacing w:after="0" w:line="240" w:lineRule="auto"/>
        <w:jc w:val="both"/>
        <w:rPr>
          <w:rFonts w:ascii="Arial" w:hAnsi="Arial" w:cs="Arial"/>
          <w:sz w:val="24"/>
          <w:szCs w:val="24"/>
          <w:u w:val="single"/>
        </w:rPr>
      </w:pPr>
    </w:p>
    <w:p w14:paraId="003D5DD2" w14:textId="77777777" w:rsidR="00263AC8" w:rsidRDefault="00263AC8" w:rsidP="004D5AC6">
      <w:pPr>
        <w:spacing w:after="0"/>
        <w:jc w:val="both"/>
        <w:rPr>
          <w:rFonts w:ascii="Arial" w:hAnsi="Arial" w:cs="Arial"/>
          <w:sz w:val="24"/>
          <w:szCs w:val="24"/>
          <w:u w:val="single"/>
        </w:rPr>
      </w:pPr>
      <w:r w:rsidRPr="00263AC8">
        <w:rPr>
          <w:rFonts w:ascii="Arial" w:hAnsi="Arial" w:cs="Arial"/>
          <w:sz w:val="24"/>
          <w:szCs w:val="24"/>
          <w:u w:val="single"/>
        </w:rPr>
        <w:t>Introduction</w:t>
      </w:r>
      <w:r w:rsidR="001B7167">
        <w:rPr>
          <w:rFonts w:ascii="Arial" w:hAnsi="Arial" w:cs="Arial"/>
          <w:sz w:val="24"/>
          <w:szCs w:val="24"/>
          <w:u w:val="single"/>
        </w:rPr>
        <w:t xml:space="preserve"> </w:t>
      </w:r>
    </w:p>
    <w:p w14:paraId="4D450327" w14:textId="77777777" w:rsidR="001B7167" w:rsidRDefault="001B7167" w:rsidP="004D5AC6">
      <w:pPr>
        <w:spacing w:after="0"/>
        <w:jc w:val="both"/>
        <w:rPr>
          <w:rFonts w:ascii="Arial" w:hAnsi="Arial" w:cs="Arial"/>
          <w:sz w:val="24"/>
          <w:szCs w:val="24"/>
          <w:u w:val="single"/>
        </w:rPr>
      </w:pPr>
    </w:p>
    <w:p w14:paraId="6B96BC0B" w14:textId="17635060" w:rsidR="002C2CC0" w:rsidRDefault="00AD42E8" w:rsidP="004D5AC6">
      <w:pPr>
        <w:spacing w:after="0"/>
        <w:jc w:val="both"/>
        <w:rPr>
          <w:rFonts w:ascii="Arial" w:hAnsi="Arial" w:cs="Arial"/>
          <w:sz w:val="24"/>
          <w:szCs w:val="24"/>
        </w:rPr>
      </w:pPr>
      <w:r>
        <w:rPr>
          <w:rFonts w:ascii="Arial" w:hAnsi="Arial" w:cs="Arial"/>
          <w:sz w:val="24"/>
          <w:szCs w:val="24"/>
        </w:rPr>
        <w:t>[1]</w:t>
      </w:r>
      <w:r>
        <w:rPr>
          <w:rFonts w:ascii="Arial" w:hAnsi="Arial" w:cs="Arial"/>
          <w:sz w:val="24"/>
          <w:szCs w:val="24"/>
        </w:rPr>
        <w:tab/>
      </w:r>
      <w:r w:rsidR="002C2CC0" w:rsidRPr="00350455">
        <w:rPr>
          <w:rFonts w:ascii="Arial" w:hAnsi="Arial" w:cs="Arial"/>
          <w:sz w:val="24"/>
          <w:szCs w:val="24"/>
        </w:rPr>
        <w:t>A name is necessary to the very existence of a company</w:t>
      </w:r>
      <w:r w:rsidR="00127D35">
        <w:rPr>
          <w:rFonts w:ascii="Arial" w:hAnsi="Arial" w:cs="Arial"/>
          <w:sz w:val="24"/>
          <w:szCs w:val="24"/>
        </w:rPr>
        <w:t xml:space="preserve"> this </w:t>
      </w:r>
      <w:r w:rsidR="004C70F2">
        <w:rPr>
          <w:rFonts w:ascii="Arial" w:hAnsi="Arial" w:cs="Arial"/>
          <w:sz w:val="24"/>
          <w:szCs w:val="24"/>
        </w:rPr>
        <w:t>includes a</w:t>
      </w:r>
      <w:r w:rsidR="00127D35">
        <w:rPr>
          <w:rFonts w:ascii="Arial" w:hAnsi="Arial" w:cs="Arial"/>
          <w:sz w:val="24"/>
          <w:szCs w:val="24"/>
        </w:rPr>
        <w:t xml:space="preserve"> close corporation</w:t>
      </w:r>
      <w:r w:rsidR="002C2CC0">
        <w:rPr>
          <w:rFonts w:ascii="Arial" w:hAnsi="Arial" w:cs="Arial"/>
          <w:sz w:val="24"/>
          <w:szCs w:val="24"/>
        </w:rPr>
        <w:t>;</w:t>
      </w:r>
      <w:r w:rsidR="002C2CC0" w:rsidRPr="00350455">
        <w:rPr>
          <w:rFonts w:ascii="Arial" w:hAnsi="Arial" w:cs="Arial"/>
          <w:sz w:val="24"/>
          <w:szCs w:val="24"/>
        </w:rPr>
        <w:t xml:space="preserve"> it is one</w:t>
      </w:r>
      <w:r w:rsidR="002C2CC0">
        <w:rPr>
          <w:rFonts w:ascii="Arial" w:hAnsi="Arial" w:cs="Arial"/>
          <w:sz w:val="24"/>
          <w:szCs w:val="24"/>
        </w:rPr>
        <w:t xml:space="preserve"> </w:t>
      </w:r>
      <w:r w:rsidR="00127D35">
        <w:rPr>
          <w:rFonts w:ascii="Arial" w:hAnsi="Arial" w:cs="Arial"/>
          <w:sz w:val="24"/>
          <w:szCs w:val="24"/>
        </w:rPr>
        <w:t xml:space="preserve">of the company's </w:t>
      </w:r>
      <w:r w:rsidR="004C70F2" w:rsidRPr="00350455">
        <w:rPr>
          <w:rFonts w:ascii="Arial" w:hAnsi="Arial" w:cs="Arial"/>
          <w:sz w:val="24"/>
          <w:szCs w:val="24"/>
        </w:rPr>
        <w:t>attributes and</w:t>
      </w:r>
      <w:r w:rsidR="002C2CC0">
        <w:rPr>
          <w:rFonts w:ascii="Arial" w:hAnsi="Arial" w:cs="Arial"/>
          <w:sz w:val="24"/>
          <w:szCs w:val="24"/>
        </w:rPr>
        <w:t xml:space="preserve"> is a means of identification.</w:t>
      </w:r>
      <w:r w:rsidR="002C2CC0" w:rsidRPr="00350455">
        <w:rPr>
          <w:rFonts w:ascii="Arial" w:hAnsi="Arial" w:cs="Arial"/>
          <w:sz w:val="24"/>
          <w:szCs w:val="24"/>
        </w:rPr>
        <w:t xml:space="preserve"> It is by means of a company's name that the company preserves its legal identity through changes of membership, business constitution and different spheres of activity</w:t>
      </w:r>
      <w:r w:rsidR="002C2CC0">
        <w:rPr>
          <w:rFonts w:ascii="Arial" w:hAnsi="Arial" w:cs="Arial"/>
          <w:sz w:val="24"/>
          <w:szCs w:val="24"/>
        </w:rPr>
        <w:t>. A suc</w:t>
      </w:r>
      <w:r w:rsidR="002C2CC0" w:rsidRPr="00350455">
        <w:rPr>
          <w:rFonts w:ascii="Arial" w:hAnsi="Arial" w:cs="Arial"/>
          <w:sz w:val="24"/>
          <w:szCs w:val="24"/>
        </w:rPr>
        <w:t xml:space="preserve">cessful business enterprise soon acquires a commercial goodwill in respect of its products or services that members of the public and consumers associate with the company name, so that a company name has become a more and more </w:t>
      </w:r>
      <w:proofErr w:type="gramStart"/>
      <w:r w:rsidR="002C2CC0" w:rsidRPr="00350455">
        <w:rPr>
          <w:rFonts w:ascii="Arial" w:hAnsi="Arial" w:cs="Arial"/>
          <w:sz w:val="24"/>
          <w:szCs w:val="24"/>
        </w:rPr>
        <w:t>valuable asset</w:t>
      </w:r>
      <w:proofErr w:type="gramEnd"/>
      <w:r w:rsidR="002C2CC0" w:rsidRPr="00350455">
        <w:rPr>
          <w:rFonts w:ascii="Arial" w:hAnsi="Arial" w:cs="Arial"/>
          <w:sz w:val="24"/>
          <w:szCs w:val="24"/>
        </w:rPr>
        <w:t xml:space="preserve"> in itself</w:t>
      </w:r>
      <w:r w:rsidR="002C2CC0">
        <w:rPr>
          <w:rStyle w:val="FootnoteReference"/>
          <w:rFonts w:ascii="Arial" w:hAnsi="Arial" w:cs="Arial"/>
          <w:sz w:val="24"/>
          <w:szCs w:val="24"/>
        </w:rPr>
        <w:footnoteReference w:id="1"/>
      </w:r>
      <w:r w:rsidR="002C2CC0" w:rsidRPr="00350455">
        <w:rPr>
          <w:rFonts w:ascii="Arial" w:hAnsi="Arial" w:cs="Arial"/>
          <w:sz w:val="24"/>
          <w:szCs w:val="24"/>
        </w:rPr>
        <w:t xml:space="preserve">. </w:t>
      </w:r>
    </w:p>
    <w:p w14:paraId="10B8E829" w14:textId="77777777" w:rsidR="00D92C85" w:rsidRDefault="00D92C85" w:rsidP="004D5AC6">
      <w:pPr>
        <w:spacing w:after="0"/>
        <w:jc w:val="both"/>
        <w:rPr>
          <w:rFonts w:ascii="Arial" w:hAnsi="Arial" w:cs="Arial"/>
          <w:sz w:val="24"/>
          <w:szCs w:val="24"/>
        </w:rPr>
      </w:pPr>
    </w:p>
    <w:p w14:paraId="20AF319B" w14:textId="4B298EBE" w:rsidR="00263AC8" w:rsidRDefault="002C2CC0" w:rsidP="004D5AC6">
      <w:pPr>
        <w:spacing w:after="0"/>
        <w:jc w:val="both"/>
        <w:rPr>
          <w:rFonts w:ascii="Arial" w:hAnsi="Arial" w:cs="Arial"/>
          <w:sz w:val="24"/>
          <w:szCs w:val="24"/>
        </w:rPr>
      </w:pPr>
      <w:r>
        <w:rPr>
          <w:rFonts w:ascii="Arial" w:hAnsi="Arial" w:cs="Arial"/>
          <w:sz w:val="24"/>
          <w:szCs w:val="24"/>
        </w:rPr>
        <w:t>[2]</w:t>
      </w:r>
      <w:r>
        <w:rPr>
          <w:rFonts w:ascii="Arial" w:hAnsi="Arial" w:cs="Arial"/>
          <w:sz w:val="24"/>
          <w:szCs w:val="24"/>
        </w:rPr>
        <w:tab/>
        <w:t>This case concerns</w:t>
      </w:r>
      <w:r w:rsidR="00CD1802">
        <w:rPr>
          <w:rFonts w:ascii="Arial" w:hAnsi="Arial" w:cs="Arial"/>
          <w:sz w:val="24"/>
          <w:szCs w:val="24"/>
        </w:rPr>
        <w:t xml:space="preserve"> the question</w:t>
      </w:r>
      <w:r>
        <w:rPr>
          <w:rFonts w:ascii="Arial" w:hAnsi="Arial" w:cs="Arial"/>
          <w:sz w:val="24"/>
          <w:szCs w:val="24"/>
        </w:rPr>
        <w:t xml:space="preserve"> as to how </w:t>
      </w:r>
      <w:r w:rsidRPr="00350455">
        <w:rPr>
          <w:rFonts w:ascii="Arial" w:hAnsi="Arial" w:cs="Arial"/>
          <w:sz w:val="24"/>
          <w:szCs w:val="24"/>
        </w:rPr>
        <w:t>far the law protects an</w:t>
      </w:r>
      <w:r>
        <w:rPr>
          <w:rFonts w:ascii="Arial" w:hAnsi="Arial" w:cs="Arial"/>
          <w:sz w:val="24"/>
          <w:szCs w:val="24"/>
        </w:rPr>
        <w:t xml:space="preserve"> established business enterprise</w:t>
      </w:r>
      <w:r w:rsidRPr="00350455">
        <w:rPr>
          <w:rFonts w:ascii="Arial" w:hAnsi="Arial" w:cs="Arial"/>
          <w:sz w:val="24"/>
          <w:szCs w:val="24"/>
        </w:rPr>
        <w:t xml:space="preserve"> from </w:t>
      </w:r>
      <w:r>
        <w:rPr>
          <w:rFonts w:ascii="Arial" w:hAnsi="Arial" w:cs="Arial"/>
          <w:sz w:val="24"/>
          <w:szCs w:val="24"/>
        </w:rPr>
        <w:t xml:space="preserve">other enterprises </w:t>
      </w:r>
      <w:r w:rsidR="00CD1802">
        <w:rPr>
          <w:rFonts w:ascii="Arial" w:hAnsi="Arial" w:cs="Arial"/>
          <w:sz w:val="24"/>
          <w:szCs w:val="24"/>
        </w:rPr>
        <w:t>using a name or</w:t>
      </w:r>
      <w:r>
        <w:rPr>
          <w:rFonts w:ascii="Arial" w:hAnsi="Arial" w:cs="Arial"/>
          <w:sz w:val="24"/>
          <w:szCs w:val="24"/>
        </w:rPr>
        <w:t xml:space="preserve"> names that are </w:t>
      </w:r>
      <w:proofErr w:type="gramStart"/>
      <w:r>
        <w:rPr>
          <w:rFonts w:ascii="Arial" w:hAnsi="Arial" w:cs="Arial"/>
          <w:sz w:val="24"/>
          <w:szCs w:val="24"/>
        </w:rPr>
        <w:t>similar to</w:t>
      </w:r>
      <w:proofErr w:type="gramEnd"/>
      <w:r>
        <w:rPr>
          <w:rFonts w:ascii="Arial" w:hAnsi="Arial" w:cs="Arial"/>
          <w:sz w:val="24"/>
          <w:szCs w:val="24"/>
        </w:rPr>
        <w:t xml:space="preserve"> its name. </w:t>
      </w:r>
      <w:r w:rsidR="003C43FC">
        <w:rPr>
          <w:rFonts w:ascii="Arial" w:hAnsi="Arial" w:cs="Arial"/>
          <w:sz w:val="24"/>
          <w:szCs w:val="24"/>
        </w:rPr>
        <w:t xml:space="preserve">The </w:t>
      </w:r>
      <w:r w:rsidR="00D92C85">
        <w:rPr>
          <w:rFonts w:ascii="Arial" w:hAnsi="Arial" w:cs="Arial"/>
          <w:sz w:val="24"/>
          <w:szCs w:val="24"/>
        </w:rPr>
        <w:t xml:space="preserve">first </w:t>
      </w:r>
      <w:r w:rsidR="003C43FC">
        <w:rPr>
          <w:rFonts w:ascii="Arial" w:hAnsi="Arial" w:cs="Arial"/>
          <w:sz w:val="24"/>
          <w:szCs w:val="24"/>
        </w:rPr>
        <w:t xml:space="preserve">applicant in this matter is a private company by the name of </w:t>
      </w:r>
      <w:proofErr w:type="spellStart"/>
      <w:r w:rsidR="001B7167">
        <w:rPr>
          <w:rFonts w:ascii="Arial" w:hAnsi="Arial" w:cs="Arial"/>
          <w:sz w:val="24"/>
          <w:szCs w:val="24"/>
        </w:rPr>
        <w:t>Heiwal</w:t>
      </w:r>
      <w:proofErr w:type="spellEnd"/>
      <w:r w:rsidR="001B7167">
        <w:rPr>
          <w:rFonts w:ascii="Arial" w:hAnsi="Arial" w:cs="Arial"/>
          <w:sz w:val="24"/>
          <w:szCs w:val="24"/>
        </w:rPr>
        <w:t xml:space="preserve"> Investments (Proprietary) Limited, a private company duly incorporated in terms of the company laws of Namibia</w:t>
      </w:r>
      <w:r w:rsidR="003C43FC">
        <w:rPr>
          <w:rFonts w:ascii="Arial" w:hAnsi="Arial" w:cs="Arial"/>
          <w:sz w:val="24"/>
          <w:szCs w:val="24"/>
        </w:rPr>
        <w:t xml:space="preserve">. The second applicant is Roland Enke, who is a director </w:t>
      </w:r>
      <w:r w:rsidR="00CD1802">
        <w:rPr>
          <w:rFonts w:ascii="Arial" w:hAnsi="Arial" w:cs="Arial"/>
          <w:sz w:val="24"/>
          <w:szCs w:val="24"/>
        </w:rPr>
        <w:t xml:space="preserve">of </w:t>
      </w:r>
      <w:proofErr w:type="spellStart"/>
      <w:r w:rsidR="003C43FC">
        <w:rPr>
          <w:rFonts w:ascii="Arial" w:hAnsi="Arial" w:cs="Arial"/>
          <w:sz w:val="24"/>
          <w:szCs w:val="24"/>
        </w:rPr>
        <w:t>Heiwal</w:t>
      </w:r>
      <w:proofErr w:type="spellEnd"/>
      <w:r w:rsidR="003C43FC">
        <w:rPr>
          <w:rFonts w:ascii="Arial" w:hAnsi="Arial" w:cs="Arial"/>
          <w:sz w:val="24"/>
          <w:szCs w:val="24"/>
        </w:rPr>
        <w:t xml:space="preserve"> Investments (Proprietary) Limited</w:t>
      </w:r>
      <w:r w:rsidR="00AD42E8">
        <w:rPr>
          <w:rFonts w:ascii="Arial" w:hAnsi="Arial" w:cs="Arial"/>
          <w:sz w:val="24"/>
          <w:szCs w:val="24"/>
        </w:rPr>
        <w:t>.</w:t>
      </w:r>
      <w:r w:rsidR="00CD1802">
        <w:rPr>
          <w:rFonts w:ascii="Arial" w:hAnsi="Arial" w:cs="Arial"/>
          <w:sz w:val="24"/>
          <w:szCs w:val="24"/>
        </w:rPr>
        <w:t xml:space="preserve"> I will in this judgment, for </w:t>
      </w:r>
      <w:proofErr w:type="gramStart"/>
      <w:r w:rsidR="00CD1802">
        <w:rPr>
          <w:rFonts w:ascii="Arial" w:hAnsi="Arial" w:cs="Arial"/>
          <w:sz w:val="24"/>
          <w:szCs w:val="24"/>
        </w:rPr>
        <w:t>convenience</w:t>
      </w:r>
      <w:proofErr w:type="gramEnd"/>
      <w:r w:rsidR="00CD1802">
        <w:rPr>
          <w:rFonts w:ascii="Arial" w:hAnsi="Arial" w:cs="Arial"/>
          <w:sz w:val="24"/>
          <w:szCs w:val="24"/>
        </w:rPr>
        <w:t xml:space="preserve"> sake, refer to the first and second applicant as the applicants. Where I need to refer to them </w:t>
      </w:r>
      <w:r w:rsidR="004C70F2">
        <w:rPr>
          <w:rFonts w:ascii="Arial" w:hAnsi="Arial" w:cs="Arial"/>
          <w:sz w:val="24"/>
          <w:szCs w:val="24"/>
        </w:rPr>
        <w:t>individually,</w:t>
      </w:r>
      <w:r w:rsidR="00CD1802">
        <w:rPr>
          <w:rFonts w:ascii="Arial" w:hAnsi="Arial" w:cs="Arial"/>
          <w:sz w:val="24"/>
          <w:szCs w:val="24"/>
        </w:rPr>
        <w:t xml:space="preserve"> I will refer to the first applicant as </w:t>
      </w:r>
      <w:proofErr w:type="spellStart"/>
      <w:r w:rsidR="00CD1802">
        <w:rPr>
          <w:rFonts w:ascii="Arial" w:hAnsi="Arial" w:cs="Arial"/>
          <w:sz w:val="24"/>
          <w:szCs w:val="24"/>
        </w:rPr>
        <w:t>Heiwal</w:t>
      </w:r>
      <w:proofErr w:type="spellEnd"/>
      <w:r w:rsidR="00CD1802">
        <w:rPr>
          <w:rFonts w:ascii="Arial" w:hAnsi="Arial" w:cs="Arial"/>
          <w:sz w:val="24"/>
          <w:szCs w:val="24"/>
        </w:rPr>
        <w:t xml:space="preserve"> Investments and </w:t>
      </w:r>
      <w:r w:rsidR="009D039A">
        <w:rPr>
          <w:rFonts w:ascii="Arial" w:hAnsi="Arial" w:cs="Arial"/>
          <w:sz w:val="24"/>
          <w:szCs w:val="24"/>
        </w:rPr>
        <w:t xml:space="preserve">to </w:t>
      </w:r>
      <w:r w:rsidR="00CD1802">
        <w:rPr>
          <w:rFonts w:ascii="Arial" w:hAnsi="Arial" w:cs="Arial"/>
          <w:sz w:val="24"/>
          <w:szCs w:val="24"/>
        </w:rPr>
        <w:t>the second applicant as Roland.</w:t>
      </w:r>
    </w:p>
    <w:p w14:paraId="7C0ED06F" w14:textId="77777777" w:rsidR="00CD1802" w:rsidRDefault="00CD1802" w:rsidP="004D5AC6">
      <w:pPr>
        <w:spacing w:after="0"/>
        <w:jc w:val="both"/>
        <w:rPr>
          <w:rFonts w:ascii="Arial" w:hAnsi="Arial" w:cs="Arial"/>
          <w:sz w:val="24"/>
          <w:szCs w:val="24"/>
        </w:rPr>
      </w:pPr>
    </w:p>
    <w:p w14:paraId="5F5F3D51" w14:textId="77777777" w:rsidR="00AD42E8" w:rsidRDefault="00CD1802" w:rsidP="004D5AC6">
      <w:pPr>
        <w:spacing w:after="0"/>
        <w:jc w:val="both"/>
        <w:rPr>
          <w:rFonts w:ascii="Arial" w:hAnsi="Arial" w:cs="Arial"/>
          <w:sz w:val="24"/>
          <w:szCs w:val="24"/>
        </w:rPr>
      </w:pPr>
      <w:r>
        <w:rPr>
          <w:rFonts w:ascii="Arial" w:hAnsi="Arial" w:cs="Arial"/>
          <w:sz w:val="24"/>
          <w:szCs w:val="24"/>
        </w:rPr>
        <w:t>[3</w:t>
      </w:r>
      <w:r w:rsidR="00AD42E8">
        <w:rPr>
          <w:rFonts w:ascii="Arial" w:hAnsi="Arial" w:cs="Arial"/>
          <w:sz w:val="24"/>
          <w:szCs w:val="24"/>
        </w:rPr>
        <w:t>]</w:t>
      </w:r>
      <w:r w:rsidR="00AD42E8">
        <w:rPr>
          <w:rFonts w:ascii="Arial" w:hAnsi="Arial" w:cs="Arial"/>
          <w:sz w:val="24"/>
          <w:szCs w:val="24"/>
        </w:rPr>
        <w:tab/>
      </w:r>
      <w:r>
        <w:rPr>
          <w:rFonts w:ascii="Arial" w:hAnsi="Arial" w:cs="Arial"/>
          <w:sz w:val="24"/>
          <w:szCs w:val="24"/>
        </w:rPr>
        <w:t xml:space="preserve">On 21 July </w:t>
      </w:r>
      <w:r w:rsidR="00AF4EFA">
        <w:rPr>
          <w:rFonts w:ascii="Arial" w:hAnsi="Arial" w:cs="Arial"/>
          <w:sz w:val="24"/>
          <w:szCs w:val="24"/>
        </w:rPr>
        <w:t>202</w:t>
      </w:r>
      <w:r w:rsidR="009D039A">
        <w:rPr>
          <w:rFonts w:ascii="Arial" w:hAnsi="Arial" w:cs="Arial"/>
          <w:sz w:val="24"/>
          <w:szCs w:val="24"/>
        </w:rPr>
        <w:t>2</w:t>
      </w:r>
      <w:r w:rsidR="00AF4EFA">
        <w:rPr>
          <w:rFonts w:ascii="Arial" w:hAnsi="Arial" w:cs="Arial"/>
          <w:sz w:val="24"/>
          <w:szCs w:val="24"/>
        </w:rPr>
        <w:t xml:space="preserve"> the applicants commence</w:t>
      </w:r>
      <w:r w:rsidR="009D039A">
        <w:rPr>
          <w:rFonts w:ascii="Arial" w:hAnsi="Arial" w:cs="Arial"/>
          <w:sz w:val="24"/>
          <w:szCs w:val="24"/>
        </w:rPr>
        <w:t>d</w:t>
      </w:r>
      <w:r w:rsidR="00AF4EFA">
        <w:rPr>
          <w:rFonts w:ascii="Arial" w:hAnsi="Arial" w:cs="Arial"/>
          <w:sz w:val="24"/>
          <w:szCs w:val="24"/>
        </w:rPr>
        <w:t xml:space="preserve"> proceedings in this court by notice of motion, in terms of which they </w:t>
      </w:r>
      <w:r w:rsidR="009D039A">
        <w:rPr>
          <w:rFonts w:ascii="Arial" w:hAnsi="Arial" w:cs="Arial"/>
          <w:sz w:val="24"/>
          <w:szCs w:val="24"/>
        </w:rPr>
        <w:t>sought an order:</w:t>
      </w:r>
    </w:p>
    <w:p w14:paraId="63C0242A" w14:textId="77777777" w:rsidR="009D039A" w:rsidRDefault="009D039A" w:rsidP="004D5AC6">
      <w:pPr>
        <w:spacing w:after="0"/>
        <w:jc w:val="both"/>
        <w:rPr>
          <w:rFonts w:ascii="Arial" w:hAnsi="Arial" w:cs="Arial"/>
          <w:sz w:val="24"/>
          <w:szCs w:val="24"/>
        </w:rPr>
      </w:pPr>
    </w:p>
    <w:p w14:paraId="5D3853FF" w14:textId="77777777" w:rsidR="00CF41B5" w:rsidRDefault="009D039A" w:rsidP="00EE4820">
      <w:pPr>
        <w:tabs>
          <w:tab w:val="left" w:pos="709"/>
          <w:tab w:val="left" w:pos="1276"/>
          <w:tab w:val="right" w:pos="9356"/>
        </w:tabs>
        <w:spacing w:after="0"/>
        <w:ind w:firstLine="709"/>
        <w:jc w:val="both"/>
        <w:rPr>
          <w:rFonts w:ascii="Arial" w:hAnsi="Arial" w:cs="Arial"/>
        </w:rPr>
      </w:pPr>
      <w:r w:rsidRPr="009D039A">
        <w:rPr>
          <w:rFonts w:ascii="Arial" w:hAnsi="Arial" w:cs="Arial"/>
        </w:rPr>
        <w:t>‘1</w:t>
      </w:r>
      <w:r w:rsidRPr="009D039A">
        <w:rPr>
          <w:rFonts w:ascii="Arial" w:hAnsi="Arial" w:cs="Arial"/>
        </w:rPr>
        <w:tab/>
        <w:t>The second (</w:t>
      </w:r>
      <w:proofErr w:type="spellStart"/>
      <w:r w:rsidRPr="009D039A">
        <w:rPr>
          <w:rFonts w:ascii="Arial" w:hAnsi="Arial" w:cs="Arial"/>
        </w:rPr>
        <w:t>Enkehaus</w:t>
      </w:r>
      <w:proofErr w:type="spellEnd"/>
      <w:r w:rsidRPr="009D039A">
        <w:rPr>
          <w:rFonts w:ascii="Arial" w:hAnsi="Arial" w:cs="Arial"/>
        </w:rPr>
        <w:t xml:space="preserve"> Medical Centre), third (</w:t>
      </w:r>
      <w:proofErr w:type="spellStart"/>
      <w:r w:rsidRPr="009D039A">
        <w:rPr>
          <w:rFonts w:ascii="Arial" w:hAnsi="Arial" w:cs="Arial"/>
        </w:rPr>
        <w:t>Enkehaus</w:t>
      </w:r>
      <w:proofErr w:type="spellEnd"/>
      <w:r w:rsidRPr="009D039A">
        <w:rPr>
          <w:rFonts w:ascii="Arial" w:hAnsi="Arial" w:cs="Arial"/>
        </w:rPr>
        <w:t xml:space="preserve"> Pharmacy Centre) and the fourth (</w:t>
      </w:r>
      <w:proofErr w:type="spellStart"/>
      <w:r w:rsidRPr="009D039A">
        <w:rPr>
          <w:rFonts w:ascii="Arial" w:hAnsi="Arial" w:cs="Arial"/>
        </w:rPr>
        <w:t>Enkehaus</w:t>
      </w:r>
      <w:proofErr w:type="spellEnd"/>
      <w:r w:rsidRPr="009D039A">
        <w:rPr>
          <w:rFonts w:ascii="Arial" w:hAnsi="Arial" w:cs="Arial"/>
        </w:rPr>
        <w:t xml:space="preserve"> Private Hospital CC) respondents are directed to change their names in terms of section 20</w:t>
      </w:r>
      <w:r w:rsidR="00CF41B5">
        <w:rPr>
          <w:rFonts w:ascii="Arial" w:hAnsi="Arial" w:cs="Arial"/>
        </w:rPr>
        <w:t>(2)</w:t>
      </w:r>
      <w:r w:rsidRPr="009D039A">
        <w:rPr>
          <w:rFonts w:ascii="Arial" w:hAnsi="Arial" w:cs="Arial"/>
        </w:rPr>
        <w:t>(b) of the Close Corporation Act, No. 26 of 1988, within 15 days of the order, by adopting a name which does not contain the name "</w:t>
      </w:r>
      <w:proofErr w:type="spellStart"/>
      <w:r w:rsidRPr="009D039A">
        <w:rPr>
          <w:rFonts w:ascii="Arial" w:hAnsi="Arial" w:cs="Arial"/>
        </w:rPr>
        <w:t>Enkehaus</w:t>
      </w:r>
      <w:proofErr w:type="spellEnd"/>
      <w:r w:rsidRPr="009D039A">
        <w:rPr>
          <w:rFonts w:ascii="Arial" w:hAnsi="Arial" w:cs="Arial"/>
        </w:rPr>
        <w:t xml:space="preserve">" or "Enke" (or any name which contains, or is similar to the </w:t>
      </w:r>
      <w:proofErr w:type="spellStart"/>
      <w:r w:rsidRPr="009D039A">
        <w:rPr>
          <w:rFonts w:ascii="Arial" w:hAnsi="Arial" w:cs="Arial"/>
        </w:rPr>
        <w:t>aforegoing</w:t>
      </w:r>
      <w:proofErr w:type="spellEnd"/>
      <w:r w:rsidRPr="009D039A">
        <w:rPr>
          <w:rFonts w:ascii="Arial" w:hAnsi="Arial" w:cs="Arial"/>
        </w:rPr>
        <w:t>).</w:t>
      </w:r>
    </w:p>
    <w:p w14:paraId="54FB3753" w14:textId="77777777" w:rsidR="00CF41B5" w:rsidRDefault="00CF41B5" w:rsidP="004D5AC6">
      <w:pPr>
        <w:tabs>
          <w:tab w:val="left" w:pos="709"/>
          <w:tab w:val="left" w:pos="1276"/>
          <w:tab w:val="right" w:pos="9356"/>
        </w:tabs>
        <w:spacing w:after="0"/>
        <w:jc w:val="both"/>
        <w:rPr>
          <w:rFonts w:ascii="Arial" w:hAnsi="Arial" w:cs="Arial"/>
        </w:rPr>
      </w:pPr>
    </w:p>
    <w:p w14:paraId="44865540" w14:textId="77777777" w:rsidR="009D039A" w:rsidRDefault="009D039A" w:rsidP="004D5AC6">
      <w:pPr>
        <w:tabs>
          <w:tab w:val="left" w:pos="709"/>
          <w:tab w:val="left" w:pos="1276"/>
          <w:tab w:val="right" w:pos="9356"/>
        </w:tabs>
        <w:spacing w:after="0"/>
        <w:jc w:val="both"/>
        <w:rPr>
          <w:rFonts w:ascii="Arial" w:hAnsi="Arial" w:cs="Arial"/>
        </w:rPr>
      </w:pPr>
      <w:r w:rsidRPr="009D039A">
        <w:rPr>
          <w:rFonts w:ascii="Arial" w:hAnsi="Arial" w:cs="Arial"/>
        </w:rPr>
        <w:t>2</w:t>
      </w:r>
      <w:r w:rsidR="00CF41B5">
        <w:rPr>
          <w:rFonts w:ascii="Arial" w:hAnsi="Arial" w:cs="Arial"/>
        </w:rPr>
        <w:tab/>
      </w:r>
      <w:r w:rsidRPr="009D039A">
        <w:rPr>
          <w:rFonts w:ascii="Arial" w:hAnsi="Arial" w:cs="Arial"/>
        </w:rPr>
        <w:t xml:space="preserve">Should the second, third and fourth defendants not comply with the order set out in prayer 1, the first respondent is directed to give effect to the aforesaid order within a period of 15 days commencing upon the expiry of the </w:t>
      </w:r>
      <w:proofErr w:type="gramStart"/>
      <w:r w:rsidRPr="009D039A">
        <w:rPr>
          <w:rFonts w:ascii="Arial" w:hAnsi="Arial" w:cs="Arial"/>
        </w:rPr>
        <w:t>15 d</w:t>
      </w:r>
      <w:r w:rsidR="00CF41B5">
        <w:rPr>
          <w:rFonts w:ascii="Arial" w:hAnsi="Arial" w:cs="Arial"/>
        </w:rPr>
        <w:t>ay</w:t>
      </w:r>
      <w:proofErr w:type="gramEnd"/>
      <w:r w:rsidR="00CF41B5">
        <w:rPr>
          <w:rFonts w:ascii="Arial" w:hAnsi="Arial" w:cs="Arial"/>
        </w:rPr>
        <w:t xml:space="preserve"> period referred to in prayer</w:t>
      </w:r>
      <w:r w:rsidRPr="009D039A">
        <w:rPr>
          <w:rFonts w:ascii="Arial" w:hAnsi="Arial" w:cs="Arial"/>
        </w:rPr>
        <w:t>.</w:t>
      </w:r>
    </w:p>
    <w:p w14:paraId="708159E1" w14:textId="77777777" w:rsidR="00CF41B5" w:rsidRPr="009D039A" w:rsidRDefault="00CF41B5" w:rsidP="004D5AC6">
      <w:pPr>
        <w:tabs>
          <w:tab w:val="left" w:pos="709"/>
          <w:tab w:val="left" w:pos="1276"/>
          <w:tab w:val="right" w:pos="9356"/>
        </w:tabs>
        <w:spacing w:after="0"/>
        <w:jc w:val="both"/>
        <w:rPr>
          <w:rFonts w:ascii="Arial" w:hAnsi="Arial" w:cs="Arial"/>
        </w:rPr>
      </w:pPr>
    </w:p>
    <w:p w14:paraId="2D620094" w14:textId="77777777" w:rsidR="009D039A" w:rsidRPr="009D039A" w:rsidRDefault="009D039A" w:rsidP="004D5AC6">
      <w:pPr>
        <w:spacing w:after="0"/>
        <w:jc w:val="both"/>
        <w:rPr>
          <w:rFonts w:ascii="Arial" w:hAnsi="Arial" w:cs="Arial"/>
        </w:rPr>
      </w:pPr>
      <w:r w:rsidRPr="009D039A">
        <w:rPr>
          <w:rFonts w:ascii="Arial" w:hAnsi="Arial" w:cs="Arial"/>
        </w:rPr>
        <w:t>3</w:t>
      </w:r>
      <w:r w:rsidR="00CF41B5">
        <w:rPr>
          <w:rFonts w:ascii="Arial" w:hAnsi="Arial" w:cs="Arial"/>
        </w:rPr>
        <w:tab/>
      </w:r>
      <w:r w:rsidRPr="009D039A">
        <w:rPr>
          <w:rFonts w:ascii="Arial" w:hAnsi="Arial" w:cs="Arial"/>
        </w:rPr>
        <w:t>Any respondent electing to oppose the application (jointly and severally, the one paying the others to be absolved) is ordered to pay the costs of this action, being the costs of one instructing and two instructed legal practitioners.</w:t>
      </w:r>
      <w:r w:rsidR="007710AB">
        <w:rPr>
          <w:rFonts w:ascii="Arial" w:hAnsi="Arial" w:cs="Arial"/>
        </w:rPr>
        <w:t xml:space="preserve">’ </w:t>
      </w:r>
    </w:p>
    <w:p w14:paraId="23BD00B7" w14:textId="77777777" w:rsidR="009D039A" w:rsidRDefault="009D039A" w:rsidP="004D5AC6">
      <w:pPr>
        <w:spacing w:after="0"/>
        <w:jc w:val="both"/>
        <w:rPr>
          <w:rFonts w:ascii="Arial" w:hAnsi="Arial" w:cs="Arial"/>
          <w:sz w:val="24"/>
          <w:szCs w:val="24"/>
        </w:rPr>
      </w:pPr>
    </w:p>
    <w:p w14:paraId="24D122E1" w14:textId="77777777" w:rsidR="00AD42E8" w:rsidRDefault="00AD42E8" w:rsidP="004D5AC6">
      <w:pPr>
        <w:tabs>
          <w:tab w:val="left" w:pos="567"/>
          <w:tab w:val="right" w:pos="9356"/>
        </w:tabs>
        <w:spacing w:after="0"/>
        <w:jc w:val="both"/>
        <w:rPr>
          <w:rFonts w:ascii="Arial" w:hAnsi="Arial" w:cs="Arial"/>
          <w:sz w:val="24"/>
          <w:szCs w:val="24"/>
        </w:rPr>
      </w:pPr>
      <w:r>
        <w:rPr>
          <w:rFonts w:ascii="Arial" w:hAnsi="Arial" w:cs="Arial"/>
          <w:sz w:val="24"/>
          <w:szCs w:val="24"/>
        </w:rPr>
        <w:t>[</w:t>
      </w:r>
      <w:r w:rsidR="007710AB">
        <w:rPr>
          <w:rFonts w:ascii="Arial" w:hAnsi="Arial" w:cs="Arial"/>
          <w:sz w:val="24"/>
          <w:szCs w:val="24"/>
        </w:rPr>
        <w:t>4</w:t>
      </w:r>
      <w:r w:rsidR="00AD0400">
        <w:rPr>
          <w:rFonts w:ascii="Arial" w:hAnsi="Arial" w:cs="Arial"/>
          <w:sz w:val="24"/>
          <w:szCs w:val="24"/>
        </w:rPr>
        <w:t>]</w:t>
      </w:r>
      <w:r w:rsidR="00AD0400">
        <w:rPr>
          <w:rFonts w:ascii="Arial" w:hAnsi="Arial" w:cs="Arial"/>
          <w:sz w:val="24"/>
          <w:szCs w:val="24"/>
        </w:rPr>
        <w:tab/>
      </w:r>
      <w:r w:rsidR="007710AB">
        <w:rPr>
          <w:rFonts w:ascii="Arial" w:hAnsi="Arial" w:cs="Arial"/>
          <w:sz w:val="24"/>
          <w:szCs w:val="24"/>
        </w:rPr>
        <w:tab/>
      </w:r>
      <w:r w:rsidR="00B86D64">
        <w:rPr>
          <w:rFonts w:ascii="Arial" w:hAnsi="Arial" w:cs="Arial"/>
          <w:sz w:val="24"/>
          <w:szCs w:val="24"/>
        </w:rPr>
        <w:t>Of the four respondents</w:t>
      </w:r>
      <w:r w:rsidR="00D92C85">
        <w:rPr>
          <w:rFonts w:ascii="Arial" w:hAnsi="Arial" w:cs="Arial"/>
          <w:sz w:val="24"/>
          <w:szCs w:val="24"/>
        </w:rPr>
        <w:t>,</w:t>
      </w:r>
      <w:r w:rsidR="00B86D64">
        <w:rPr>
          <w:rFonts w:ascii="Arial" w:hAnsi="Arial" w:cs="Arial"/>
          <w:sz w:val="24"/>
          <w:szCs w:val="24"/>
        </w:rPr>
        <w:t xml:space="preserve"> three indicated that they will and in fact opposed the relief sought by the applicants. The first respondent, </w:t>
      </w:r>
      <w:r w:rsidR="00B86D64">
        <w:rPr>
          <w:rFonts w:ascii="Arial" w:hAnsi="Arial" w:cs="Arial"/>
          <w:sz w:val="24"/>
          <w:szCs w:val="24"/>
          <w:lang w:val="en-GB"/>
        </w:rPr>
        <w:t xml:space="preserve">Registrar: </w:t>
      </w:r>
      <w:r w:rsidR="00B86D64" w:rsidRPr="00B86D64">
        <w:rPr>
          <w:rFonts w:ascii="Arial" w:hAnsi="Arial" w:cs="Arial"/>
          <w:sz w:val="24"/>
          <w:szCs w:val="24"/>
        </w:rPr>
        <w:t xml:space="preserve">Business </w:t>
      </w:r>
      <w:r w:rsidR="00B86D64">
        <w:rPr>
          <w:rFonts w:ascii="Arial" w:hAnsi="Arial" w:cs="Arial"/>
          <w:sz w:val="24"/>
          <w:szCs w:val="24"/>
        </w:rPr>
        <w:t>a</w:t>
      </w:r>
      <w:r w:rsidR="00B86D64" w:rsidRPr="00B86D64">
        <w:rPr>
          <w:rFonts w:ascii="Arial" w:hAnsi="Arial" w:cs="Arial"/>
          <w:sz w:val="24"/>
          <w:szCs w:val="24"/>
        </w:rPr>
        <w:t>nd Intellectual</w:t>
      </w:r>
      <w:r w:rsidR="00B86D64">
        <w:rPr>
          <w:rFonts w:ascii="Arial" w:hAnsi="Arial" w:cs="Arial"/>
          <w:sz w:val="24"/>
          <w:szCs w:val="24"/>
        </w:rPr>
        <w:t xml:space="preserve"> </w:t>
      </w:r>
      <w:r w:rsidR="00B86D64" w:rsidRPr="00B86D64">
        <w:rPr>
          <w:rFonts w:ascii="Arial" w:hAnsi="Arial" w:cs="Arial"/>
          <w:sz w:val="24"/>
          <w:szCs w:val="24"/>
        </w:rPr>
        <w:t xml:space="preserve">Property Authority </w:t>
      </w:r>
      <w:r w:rsidR="00B86D64">
        <w:rPr>
          <w:rFonts w:ascii="Arial" w:hAnsi="Arial" w:cs="Arial"/>
          <w:sz w:val="24"/>
          <w:szCs w:val="24"/>
        </w:rPr>
        <w:t>o</w:t>
      </w:r>
      <w:r w:rsidR="00B86D64" w:rsidRPr="00B86D64">
        <w:rPr>
          <w:rFonts w:ascii="Arial" w:hAnsi="Arial" w:cs="Arial"/>
          <w:sz w:val="24"/>
          <w:szCs w:val="24"/>
        </w:rPr>
        <w:t>f Namibia</w:t>
      </w:r>
      <w:r w:rsidR="00D92C85">
        <w:rPr>
          <w:rFonts w:ascii="Arial" w:hAnsi="Arial" w:cs="Arial"/>
          <w:sz w:val="24"/>
          <w:szCs w:val="24"/>
        </w:rPr>
        <w:t>,</w:t>
      </w:r>
      <w:r w:rsidR="00A94322">
        <w:rPr>
          <w:rFonts w:ascii="Arial" w:hAnsi="Arial" w:cs="Arial"/>
          <w:sz w:val="24"/>
          <w:szCs w:val="24"/>
        </w:rPr>
        <w:t xml:space="preserve"> is</w:t>
      </w:r>
      <w:r w:rsidR="00B86D64" w:rsidRPr="00B86D64">
        <w:rPr>
          <w:rFonts w:ascii="Arial" w:hAnsi="Arial" w:cs="Arial"/>
          <w:sz w:val="24"/>
          <w:szCs w:val="24"/>
          <w:lang w:val="en-GB"/>
        </w:rPr>
        <w:t xml:space="preserve"> a nominal respondent.</w:t>
      </w:r>
      <w:r w:rsidR="00B86D64">
        <w:rPr>
          <w:rFonts w:ascii="Arial" w:hAnsi="Arial" w:cs="Arial"/>
          <w:sz w:val="24"/>
          <w:szCs w:val="24"/>
        </w:rPr>
        <w:t xml:space="preserve"> </w:t>
      </w:r>
      <w:r w:rsidR="00AD0400">
        <w:rPr>
          <w:rFonts w:ascii="Arial" w:hAnsi="Arial" w:cs="Arial"/>
          <w:sz w:val="24"/>
          <w:szCs w:val="24"/>
        </w:rPr>
        <w:t xml:space="preserve">The second respondent is </w:t>
      </w:r>
      <w:proofErr w:type="spellStart"/>
      <w:r w:rsidR="00AD0400">
        <w:rPr>
          <w:rFonts w:ascii="Arial" w:hAnsi="Arial" w:cs="Arial"/>
          <w:sz w:val="24"/>
          <w:szCs w:val="24"/>
        </w:rPr>
        <w:t>Enke</w:t>
      </w:r>
      <w:r>
        <w:rPr>
          <w:rFonts w:ascii="Arial" w:hAnsi="Arial" w:cs="Arial"/>
          <w:sz w:val="24"/>
          <w:szCs w:val="24"/>
        </w:rPr>
        <w:t>haus</w:t>
      </w:r>
      <w:proofErr w:type="spellEnd"/>
      <w:r>
        <w:rPr>
          <w:rFonts w:ascii="Arial" w:hAnsi="Arial" w:cs="Arial"/>
          <w:sz w:val="24"/>
          <w:szCs w:val="24"/>
        </w:rPr>
        <w:t xml:space="preserve"> Medical Centre CC</w:t>
      </w:r>
      <w:r w:rsidR="00AD0400">
        <w:rPr>
          <w:rFonts w:ascii="Arial" w:hAnsi="Arial" w:cs="Arial"/>
          <w:sz w:val="24"/>
          <w:szCs w:val="24"/>
        </w:rPr>
        <w:t>,</w:t>
      </w:r>
      <w:r w:rsidR="00AD0400" w:rsidRPr="00AD0400">
        <w:rPr>
          <w:rFonts w:ascii="Arial" w:hAnsi="Arial" w:cs="Arial"/>
          <w:sz w:val="24"/>
          <w:szCs w:val="24"/>
        </w:rPr>
        <w:t xml:space="preserve"> a cl</w:t>
      </w:r>
      <w:r w:rsidR="00607F18">
        <w:rPr>
          <w:rFonts w:ascii="Arial" w:hAnsi="Arial" w:cs="Arial"/>
          <w:sz w:val="24"/>
          <w:szCs w:val="24"/>
        </w:rPr>
        <w:t xml:space="preserve">ose corporation duly </w:t>
      </w:r>
      <w:proofErr w:type="spellStart"/>
      <w:r w:rsidR="00607F18">
        <w:rPr>
          <w:rFonts w:ascii="Arial" w:hAnsi="Arial" w:cs="Arial"/>
          <w:sz w:val="24"/>
          <w:szCs w:val="24"/>
        </w:rPr>
        <w:t>incorporat</w:t>
      </w:r>
      <w:r w:rsidR="00AD0400" w:rsidRPr="00AD0400">
        <w:rPr>
          <w:rFonts w:ascii="Arial" w:hAnsi="Arial" w:cs="Arial"/>
          <w:sz w:val="24"/>
          <w:szCs w:val="24"/>
        </w:rPr>
        <w:t>d</w:t>
      </w:r>
      <w:proofErr w:type="spellEnd"/>
      <w:r w:rsidR="00AD0400" w:rsidRPr="00AD0400">
        <w:rPr>
          <w:rFonts w:ascii="Arial" w:hAnsi="Arial" w:cs="Arial"/>
          <w:sz w:val="24"/>
          <w:szCs w:val="24"/>
        </w:rPr>
        <w:t xml:space="preserve"> in terms of the laws of th</w:t>
      </w:r>
      <w:r w:rsidR="00B86D64">
        <w:rPr>
          <w:rFonts w:ascii="Arial" w:hAnsi="Arial" w:cs="Arial"/>
          <w:sz w:val="24"/>
          <w:szCs w:val="24"/>
        </w:rPr>
        <w:t>is</w:t>
      </w:r>
      <w:r w:rsidR="00AD0400" w:rsidRPr="00AD0400">
        <w:rPr>
          <w:rFonts w:ascii="Arial" w:hAnsi="Arial" w:cs="Arial"/>
          <w:sz w:val="24"/>
          <w:szCs w:val="24"/>
        </w:rPr>
        <w:t xml:space="preserve"> </w:t>
      </w:r>
      <w:r w:rsidR="00B86D64">
        <w:rPr>
          <w:rFonts w:ascii="Arial" w:hAnsi="Arial" w:cs="Arial"/>
          <w:sz w:val="24"/>
          <w:szCs w:val="24"/>
        </w:rPr>
        <w:t>Republic.</w:t>
      </w:r>
      <w:r w:rsidR="00AD0400">
        <w:rPr>
          <w:rFonts w:ascii="Arial" w:hAnsi="Arial" w:cs="Arial"/>
          <w:sz w:val="24"/>
          <w:szCs w:val="24"/>
        </w:rPr>
        <w:t xml:space="preserve"> The </w:t>
      </w:r>
      <w:r w:rsidR="00B86D64">
        <w:rPr>
          <w:rFonts w:ascii="Arial" w:hAnsi="Arial" w:cs="Arial"/>
          <w:sz w:val="24"/>
          <w:szCs w:val="24"/>
        </w:rPr>
        <w:t>third</w:t>
      </w:r>
      <w:r w:rsidR="00AD0400">
        <w:rPr>
          <w:rFonts w:ascii="Arial" w:hAnsi="Arial" w:cs="Arial"/>
          <w:sz w:val="24"/>
          <w:szCs w:val="24"/>
        </w:rPr>
        <w:t xml:space="preserve"> respondent is </w:t>
      </w:r>
      <w:proofErr w:type="spellStart"/>
      <w:r w:rsidR="00AD0400">
        <w:rPr>
          <w:rFonts w:ascii="Arial" w:hAnsi="Arial" w:cs="Arial"/>
          <w:sz w:val="24"/>
          <w:szCs w:val="24"/>
        </w:rPr>
        <w:t>Enkehaus</w:t>
      </w:r>
      <w:proofErr w:type="spellEnd"/>
      <w:r w:rsidR="00AD0400">
        <w:rPr>
          <w:rFonts w:ascii="Arial" w:hAnsi="Arial" w:cs="Arial"/>
          <w:sz w:val="24"/>
          <w:szCs w:val="24"/>
        </w:rPr>
        <w:t xml:space="preserve"> Pharmacy CC, </w:t>
      </w:r>
      <w:r w:rsidR="00AD0400" w:rsidRPr="00AD0400">
        <w:rPr>
          <w:rFonts w:ascii="Arial" w:hAnsi="Arial" w:cs="Arial"/>
          <w:sz w:val="24"/>
          <w:szCs w:val="24"/>
        </w:rPr>
        <w:t>a close corporation duly incorporated in terms of the laws of th</w:t>
      </w:r>
      <w:r w:rsidR="00A94322">
        <w:rPr>
          <w:rFonts w:ascii="Arial" w:hAnsi="Arial" w:cs="Arial"/>
          <w:sz w:val="24"/>
          <w:szCs w:val="24"/>
        </w:rPr>
        <w:t>is</w:t>
      </w:r>
      <w:r w:rsidR="00AD0400" w:rsidRPr="00AD0400">
        <w:rPr>
          <w:rFonts w:ascii="Arial" w:hAnsi="Arial" w:cs="Arial"/>
          <w:sz w:val="24"/>
          <w:szCs w:val="24"/>
        </w:rPr>
        <w:t xml:space="preserve"> </w:t>
      </w:r>
      <w:r w:rsidR="00B86D64">
        <w:rPr>
          <w:rFonts w:ascii="Arial" w:hAnsi="Arial" w:cs="Arial"/>
          <w:sz w:val="24"/>
          <w:szCs w:val="24"/>
        </w:rPr>
        <w:t>R</w:t>
      </w:r>
      <w:r w:rsidR="00AD0400" w:rsidRPr="00AD0400">
        <w:rPr>
          <w:rFonts w:ascii="Arial" w:hAnsi="Arial" w:cs="Arial"/>
          <w:sz w:val="24"/>
          <w:szCs w:val="24"/>
        </w:rPr>
        <w:t>epublic</w:t>
      </w:r>
      <w:r w:rsidR="00B86D64">
        <w:rPr>
          <w:rFonts w:ascii="Arial" w:hAnsi="Arial" w:cs="Arial"/>
          <w:sz w:val="24"/>
          <w:szCs w:val="24"/>
        </w:rPr>
        <w:t xml:space="preserve"> and the </w:t>
      </w:r>
      <w:r w:rsidR="00AD0400">
        <w:rPr>
          <w:rFonts w:ascii="Arial" w:hAnsi="Arial" w:cs="Arial"/>
          <w:sz w:val="24"/>
          <w:szCs w:val="24"/>
        </w:rPr>
        <w:t xml:space="preserve">fourth respondent is </w:t>
      </w:r>
      <w:proofErr w:type="spellStart"/>
      <w:r w:rsidR="00AD0400">
        <w:rPr>
          <w:rFonts w:ascii="Arial" w:hAnsi="Arial" w:cs="Arial"/>
          <w:sz w:val="24"/>
          <w:szCs w:val="24"/>
        </w:rPr>
        <w:t>Enkehaus</w:t>
      </w:r>
      <w:proofErr w:type="spellEnd"/>
      <w:r w:rsidR="00AD0400">
        <w:rPr>
          <w:rFonts w:ascii="Arial" w:hAnsi="Arial" w:cs="Arial"/>
          <w:sz w:val="24"/>
          <w:szCs w:val="24"/>
        </w:rPr>
        <w:t xml:space="preserve"> Private Hospital CC, a close corporation duly incorporated in terms of the laws of th</w:t>
      </w:r>
      <w:r w:rsidR="00B86D64">
        <w:rPr>
          <w:rFonts w:ascii="Arial" w:hAnsi="Arial" w:cs="Arial"/>
          <w:sz w:val="24"/>
          <w:szCs w:val="24"/>
        </w:rPr>
        <w:t>is</w:t>
      </w:r>
      <w:r w:rsidR="00AD0400">
        <w:rPr>
          <w:rFonts w:ascii="Arial" w:hAnsi="Arial" w:cs="Arial"/>
          <w:sz w:val="24"/>
          <w:szCs w:val="24"/>
        </w:rPr>
        <w:t xml:space="preserve"> </w:t>
      </w:r>
      <w:r w:rsidR="00B86D64">
        <w:rPr>
          <w:rFonts w:ascii="Arial" w:hAnsi="Arial" w:cs="Arial"/>
          <w:sz w:val="24"/>
          <w:szCs w:val="24"/>
        </w:rPr>
        <w:t>R</w:t>
      </w:r>
      <w:r w:rsidR="00AD0400">
        <w:rPr>
          <w:rFonts w:ascii="Arial" w:hAnsi="Arial" w:cs="Arial"/>
          <w:sz w:val="24"/>
          <w:szCs w:val="24"/>
        </w:rPr>
        <w:t>epublic</w:t>
      </w:r>
      <w:r w:rsidR="00B86D64">
        <w:rPr>
          <w:rFonts w:ascii="Arial" w:hAnsi="Arial" w:cs="Arial"/>
          <w:sz w:val="24"/>
          <w:szCs w:val="24"/>
        </w:rPr>
        <w:t xml:space="preserve">. </w:t>
      </w:r>
      <w:r w:rsidR="00AD0400">
        <w:rPr>
          <w:rFonts w:ascii="Arial" w:hAnsi="Arial" w:cs="Arial"/>
          <w:sz w:val="24"/>
          <w:szCs w:val="24"/>
        </w:rPr>
        <w:t>Dr Ernest Kombo</w:t>
      </w:r>
      <w:r w:rsidR="00056906">
        <w:rPr>
          <w:rFonts w:ascii="Arial" w:hAnsi="Arial" w:cs="Arial"/>
          <w:sz w:val="24"/>
          <w:szCs w:val="24"/>
        </w:rPr>
        <w:t>, who deposed to the answering</w:t>
      </w:r>
      <w:r w:rsidR="00A94322">
        <w:rPr>
          <w:rFonts w:ascii="Arial" w:hAnsi="Arial" w:cs="Arial"/>
          <w:sz w:val="24"/>
          <w:szCs w:val="24"/>
        </w:rPr>
        <w:t xml:space="preserve"> affidavit on behalf of the respondents</w:t>
      </w:r>
      <w:r w:rsidR="00056906">
        <w:rPr>
          <w:rFonts w:ascii="Arial" w:hAnsi="Arial" w:cs="Arial"/>
          <w:sz w:val="24"/>
          <w:szCs w:val="24"/>
        </w:rPr>
        <w:t>,</w:t>
      </w:r>
      <w:r w:rsidR="00AD0400">
        <w:rPr>
          <w:rFonts w:ascii="Arial" w:hAnsi="Arial" w:cs="Arial"/>
          <w:sz w:val="24"/>
          <w:szCs w:val="24"/>
        </w:rPr>
        <w:t xml:space="preserve"> is the </w:t>
      </w:r>
      <w:r w:rsidR="002836C4">
        <w:rPr>
          <w:rFonts w:ascii="Arial" w:hAnsi="Arial" w:cs="Arial"/>
          <w:sz w:val="24"/>
          <w:szCs w:val="24"/>
        </w:rPr>
        <w:t>sole registered member of the second, third and fourth respondent.</w:t>
      </w:r>
    </w:p>
    <w:p w14:paraId="0633E6A3" w14:textId="77777777" w:rsidR="002836C4" w:rsidRDefault="002836C4" w:rsidP="004D5AC6">
      <w:pPr>
        <w:spacing w:after="0"/>
        <w:jc w:val="both"/>
        <w:rPr>
          <w:rFonts w:ascii="Arial" w:hAnsi="Arial" w:cs="Arial"/>
          <w:sz w:val="24"/>
          <w:szCs w:val="24"/>
        </w:rPr>
      </w:pPr>
    </w:p>
    <w:p w14:paraId="1023A6FA" w14:textId="77777777" w:rsidR="004D5AC6" w:rsidRDefault="002836C4" w:rsidP="004D5AC6">
      <w:pPr>
        <w:spacing w:after="0"/>
        <w:jc w:val="both"/>
        <w:rPr>
          <w:rFonts w:ascii="Arial" w:hAnsi="Arial" w:cs="Arial"/>
          <w:sz w:val="24"/>
          <w:szCs w:val="24"/>
          <w:lang w:val="en-ZA"/>
        </w:rPr>
      </w:pPr>
      <w:r>
        <w:rPr>
          <w:rFonts w:ascii="Arial" w:hAnsi="Arial" w:cs="Arial"/>
          <w:sz w:val="24"/>
          <w:szCs w:val="24"/>
        </w:rPr>
        <w:t>[</w:t>
      </w:r>
      <w:r w:rsidR="004D5AC6">
        <w:rPr>
          <w:rFonts w:ascii="Arial" w:hAnsi="Arial" w:cs="Arial"/>
          <w:sz w:val="24"/>
          <w:szCs w:val="24"/>
        </w:rPr>
        <w:t>5</w:t>
      </w:r>
      <w:r>
        <w:rPr>
          <w:rFonts w:ascii="Arial" w:hAnsi="Arial" w:cs="Arial"/>
          <w:sz w:val="24"/>
          <w:szCs w:val="24"/>
        </w:rPr>
        <w:t>]</w:t>
      </w:r>
      <w:r>
        <w:rPr>
          <w:rFonts w:ascii="Arial" w:hAnsi="Arial" w:cs="Arial"/>
          <w:sz w:val="24"/>
          <w:szCs w:val="24"/>
        </w:rPr>
        <w:tab/>
      </w:r>
      <w:r w:rsidR="004D5AC6" w:rsidRPr="004D5AC6">
        <w:rPr>
          <w:rFonts w:ascii="Arial" w:hAnsi="Arial" w:cs="Arial"/>
          <w:sz w:val="24"/>
          <w:szCs w:val="24"/>
          <w:lang w:val="en-ZA"/>
        </w:rPr>
        <w:t xml:space="preserve">I find it appropriate to, for best understanding of the issues that are involved in this matter, give a brief background of </w:t>
      </w:r>
      <w:r w:rsidR="004D5AC6">
        <w:rPr>
          <w:rFonts w:ascii="Arial" w:hAnsi="Arial" w:cs="Arial"/>
          <w:sz w:val="24"/>
          <w:szCs w:val="24"/>
          <w:lang w:val="en-ZA"/>
        </w:rPr>
        <w:t>the facts that</w:t>
      </w:r>
      <w:r w:rsidR="004D5AC6" w:rsidRPr="004D5AC6">
        <w:rPr>
          <w:rFonts w:ascii="Arial" w:hAnsi="Arial" w:cs="Arial"/>
          <w:sz w:val="24"/>
          <w:szCs w:val="24"/>
          <w:lang w:val="en-ZA"/>
        </w:rPr>
        <w:t>, g</w:t>
      </w:r>
      <w:r w:rsidR="009274BC">
        <w:rPr>
          <w:rFonts w:ascii="Arial" w:hAnsi="Arial" w:cs="Arial"/>
          <w:sz w:val="24"/>
          <w:szCs w:val="24"/>
          <w:lang w:val="en-ZA"/>
        </w:rPr>
        <w:t>a</w:t>
      </w:r>
      <w:r w:rsidR="004D5AC6" w:rsidRPr="004D5AC6">
        <w:rPr>
          <w:rFonts w:ascii="Arial" w:hAnsi="Arial" w:cs="Arial"/>
          <w:sz w:val="24"/>
          <w:szCs w:val="24"/>
          <w:lang w:val="en-ZA"/>
        </w:rPr>
        <w:t>v</w:t>
      </w:r>
      <w:r w:rsidR="004D5AC6">
        <w:rPr>
          <w:rFonts w:ascii="Arial" w:hAnsi="Arial" w:cs="Arial"/>
          <w:sz w:val="24"/>
          <w:szCs w:val="24"/>
          <w:lang w:val="en-ZA"/>
        </w:rPr>
        <w:t>e</w:t>
      </w:r>
      <w:r w:rsidR="004D5AC6" w:rsidRPr="004D5AC6">
        <w:rPr>
          <w:rFonts w:ascii="Arial" w:hAnsi="Arial" w:cs="Arial"/>
          <w:sz w:val="24"/>
          <w:szCs w:val="24"/>
          <w:lang w:val="en-ZA"/>
        </w:rPr>
        <w:t xml:space="preserve"> rise to the </w:t>
      </w:r>
      <w:r w:rsidR="004D5AC6">
        <w:rPr>
          <w:rFonts w:ascii="Arial" w:hAnsi="Arial" w:cs="Arial"/>
          <w:sz w:val="24"/>
          <w:szCs w:val="24"/>
          <w:lang w:val="en-ZA"/>
        </w:rPr>
        <w:t>app</w:t>
      </w:r>
      <w:r w:rsidR="009274BC">
        <w:rPr>
          <w:rFonts w:ascii="Arial" w:hAnsi="Arial" w:cs="Arial"/>
          <w:sz w:val="24"/>
          <w:szCs w:val="24"/>
          <w:lang w:val="en-ZA"/>
        </w:rPr>
        <w:t>licants</w:t>
      </w:r>
      <w:r w:rsidR="004D5AC6">
        <w:rPr>
          <w:rFonts w:ascii="Arial" w:hAnsi="Arial" w:cs="Arial"/>
          <w:sz w:val="24"/>
          <w:szCs w:val="24"/>
          <w:lang w:val="en-ZA"/>
        </w:rPr>
        <w:t xml:space="preserve"> instituting the claim that is now</w:t>
      </w:r>
      <w:r w:rsidR="004D5AC6" w:rsidRPr="004D5AC6">
        <w:rPr>
          <w:rFonts w:ascii="Arial" w:hAnsi="Arial" w:cs="Arial"/>
          <w:sz w:val="24"/>
          <w:szCs w:val="24"/>
          <w:lang w:val="en-ZA"/>
        </w:rPr>
        <w:t xml:space="preserve"> before this court.</w:t>
      </w:r>
    </w:p>
    <w:p w14:paraId="42C97B4B" w14:textId="77777777" w:rsidR="00D92C85" w:rsidRDefault="00D92C85" w:rsidP="004D5AC6">
      <w:pPr>
        <w:spacing w:after="0"/>
        <w:jc w:val="both"/>
        <w:rPr>
          <w:rFonts w:ascii="Arial" w:hAnsi="Arial" w:cs="Arial"/>
          <w:sz w:val="24"/>
          <w:szCs w:val="24"/>
          <w:lang w:val="en-ZA"/>
        </w:rPr>
      </w:pPr>
    </w:p>
    <w:p w14:paraId="468BC81C" w14:textId="77777777" w:rsidR="004D5AC6" w:rsidRPr="004D5AC6" w:rsidRDefault="004D5AC6" w:rsidP="004D5AC6">
      <w:pPr>
        <w:spacing w:after="0"/>
        <w:jc w:val="both"/>
        <w:rPr>
          <w:rFonts w:ascii="Arial" w:hAnsi="Arial" w:cs="Arial"/>
          <w:sz w:val="24"/>
          <w:szCs w:val="24"/>
          <w:u w:val="single"/>
          <w:lang w:val="en-ZA"/>
        </w:rPr>
      </w:pPr>
      <w:r w:rsidRPr="004D5AC6">
        <w:rPr>
          <w:rFonts w:ascii="Arial" w:hAnsi="Arial" w:cs="Arial"/>
          <w:sz w:val="24"/>
          <w:szCs w:val="24"/>
          <w:u w:val="single"/>
          <w:lang w:val="en-ZA"/>
        </w:rPr>
        <w:t>Factual Background.</w:t>
      </w:r>
    </w:p>
    <w:p w14:paraId="7B88A82B" w14:textId="77777777" w:rsidR="004D5AC6" w:rsidRDefault="004D5AC6" w:rsidP="004D5AC6">
      <w:pPr>
        <w:spacing w:after="0"/>
        <w:jc w:val="both"/>
        <w:rPr>
          <w:rFonts w:ascii="Arial" w:hAnsi="Arial" w:cs="Arial"/>
          <w:sz w:val="24"/>
          <w:szCs w:val="24"/>
        </w:rPr>
      </w:pPr>
    </w:p>
    <w:p w14:paraId="44A87D32" w14:textId="77777777" w:rsidR="00FE6077" w:rsidRDefault="004D5AC6" w:rsidP="004D5AC6">
      <w:pPr>
        <w:spacing w:after="0"/>
        <w:jc w:val="both"/>
        <w:rPr>
          <w:rFonts w:ascii="Arial" w:hAnsi="Arial" w:cs="Arial"/>
          <w:sz w:val="24"/>
          <w:szCs w:val="24"/>
        </w:rPr>
      </w:pPr>
      <w:r>
        <w:rPr>
          <w:rFonts w:ascii="Arial" w:hAnsi="Arial" w:cs="Arial"/>
          <w:sz w:val="24"/>
          <w:szCs w:val="24"/>
        </w:rPr>
        <w:t>[6]</w:t>
      </w:r>
      <w:r>
        <w:rPr>
          <w:rFonts w:ascii="Arial" w:hAnsi="Arial" w:cs="Arial"/>
          <w:sz w:val="24"/>
          <w:szCs w:val="24"/>
        </w:rPr>
        <w:tab/>
      </w:r>
      <w:r w:rsidR="009E0AEA" w:rsidRPr="00FE6077">
        <w:rPr>
          <w:rFonts w:ascii="Arial" w:hAnsi="Arial" w:cs="Arial"/>
          <w:sz w:val="24"/>
          <w:szCs w:val="24"/>
        </w:rPr>
        <w:t xml:space="preserve">The background facts that I gathered from the pleadings </w:t>
      </w:r>
      <w:r w:rsidRPr="00FE6077">
        <w:rPr>
          <w:rFonts w:ascii="Arial" w:hAnsi="Arial" w:cs="Arial"/>
          <w:sz w:val="24"/>
          <w:szCs w:val="24"/>
        </w:rPr>
        <w:t xml:space="preserve">are </w:t>
      </w:r>
      <w:r w:rsidR="00FE6077" w:rsidRPr="00FE6077">
        <w:rPr>
          <w:rFonts w:ascii="Arial" w:hAnsi="Arial" w:cs="Arial"/>
          <w:sz w:val="24"/>
          <w:szCs w:val="24"/>
        </w:rPr>
        <w:t>not complicated</w:t>
      </w:r>
      <w:r w:rsidRPr="00FE6077">
        <w:rPr>
          <w:rFonts w:ascii="Arial" w:hAnsi="Arial" w:cs="Arial"/>
          <w:sz w:val="24"/>
          <w:szCs w:val="24"/>
        </w:rPr>
        <w:t xml:space="preserve"> and are to a large extent not in dispute and</w:t>
      </w:r>
      <w:r w:rsidR="00FE6077">
        <w:rPr>
          <w:rFonts w:ascii="Arial" w:hAnsi="Arial" w:cs="Arial"/>
          <w:sz w:val="24"/>
          <w:szCs w:val="24"/>
        </w:rPr>
        <w:t xml:space="preserve"> they are as follows. During 1957,</w:t>
      </w:r>
      <w:r w:rsidR="00FE6077" w:rsidRPr="00FE6077">
        <w:rPr>
          <w:rFonts w:ascii="Arial" w:hAnsi="Arial" w:cs="Arial"/>
          <w:sz w:val="24"/>
          <w:szCs w:val="24"/>
        </w:rPr>
        <w:t xml:space="preserve"> </w:t>
      </w:r>
      <w:r w:rsidR="00FE6077">
        <w:rPr>
          <w:rFonts w:ascii="Arial" w:hAnsi="Arial" w:cs="Arial"/>
          <w:sz w:val="24"/>
          <w:szCs w:val="24"/>
        </w:rPr>
        <w:t xml:space="preserve">the late Hans- Herman Enke, who is the father of Roland, </w:t>
      </w:r>
      <w:r w:rsidR="00FE6077" w:rsidRPr="00FE6077">
        <w:rPr>
          <w:rFonts w:ascii="Arial" w:hAnsi="Arial" w:cs="Arial"/>
          <w:sz w:val="24"/>
          <w:szCs w:val="24"/>
        </w:rPr>
        <w:t xml:space="preserve">established </w:t>
      </w:r>
      <w:r w:rsidR="00FE6077">
        <w:rPr>
          <w:rFonts w:ascii="Arial" w:hAnsi="Arial" w:cs="Arial"/>
          <w:sz w:val="24"/>
          <w:szCs w:val="24"/>
        </w:rPr>
        <w:t xml:space="preserve">a business known at the time as </w:t>
      </w:r>
      <w:r w:rsidR="00FE6077" w:rsidRPr="00FE6077">
        <w:rPr>
          <w:rFonts w:ascii="Arial" w:hAnsi="Arial" w:cs="Arial"/>
          <w:sz w:val="24"/>
          <w:szCs w:val="24"/>
        </w:rPr>
        <w:t xml:space="preserve">H.H. Enke Office Machines (Proprietary) Limited, which business was located at number 4 </w:t>
      </w:r>
      <w:proofErr w:type="spellStart"/>
      <w:r w:rsidR="00FE6077" w:rsidRPr="00FE6077">
        <w:rPr>
          <w:rFonts w:ascii="Arial" w:hAnsi="Arial" w:cs="Arial"/>
          <w:sz w:val="24"/>
          <w:szCs w:val="24"/>
        </w:rPr>
        <w:t>Trift</w:t>
      </w:r>
      <w:proofErr w:type="spellEnd"/>
      <w:r w:rsidR="00FE6077" w:rsidRPr="00FE6077">
        <w:rPr>
          <w:rFonts w:ascii="Arial" w:hAnsi="Arial" w:cs="Arial"/>
          <w:sz w:val="24"/>
          <w:szCs w:val="24"/>
        </w:rPr>
        <w:t xml:space="preserve"> Street Ausspannplatz, Windhoek (which location today is known as the Carl List building). This business traded in the sale and servicing of office machines.</w:t>
      </w:r>
    </w:p>
    <w:p w14:paraId="0ED7BF82" w14:textId="77777777" w:rsidR="00FE6077" w:rsidRDefault="00FE6077" w:rsidP="004D5AC6">
      <w:pPr>
        <w:spacing w:after="0"/>
        <w:jc w:val="both"/>
        <w:rPr>
          <w:rFonts w:ascii="Arial" w:hAnsi="Arial" w:cs="Arial"/>
          <w:sz w:val="24"/>
          <w:szCs w:val="24"/>
        </w:rPr>
      </w:pPr>
    </w:p>
    <w:p w14:paraId="05DA97A0" w14:textId="77777777" w:rsidR="00A77454" w:rsidRDefault="00FE6077" w:rsidP="004D5AC6">
      <w:pPr>
        <w:spacing w:after="0"/>
        <w:jc w:val="both"/>
        <w:rPr>
          <w:rFonts w:ascii="Arial" w:hAnsi="Arial" w:cs="Arial"/>
          <w:sz w:val="24"/>
          <w:szCs w:val="24"/>
        </w:rPr>
      </w:pPr>
      <w:r>
        <w:rPr>
          <w:rFonts w:ascii="Arial" w:hAnsi="Arial" w:cs="Arial"/>
          <w:sz w:val="24"/>
          <w:szCs w:val="24"/>
        </w:rPr>
        <w:t>[7]</w:t>
      </w:r>
      <w:r>
        <w:rPr>
          <w:rFonts w:ascii="Arial" w:hAnsi="Arial" w:cs="Arial"/>
          <w:sz w:val="24"/>
          <w:szCs w:val="24"/>
        </w:rPr>
        <w:tab/>
      </w:r>
      <w:r w:rsidRPr="00A77454">
        <w:rPr>
          <w:rFonts w:ascii="Arial" w:hAnsi="Arial" w:cs="Arial"/>
          <w:sz w:val="24"/>
          <w:szCs w:val="24"/>
        </w:rPr>
        <w:t>During</w:t>
      </w:r>
      <w:r w:rsidR="009E0AEA" w:rsidRPr="00A77454">
        <w:rPr>
          <w:rFonts w:ascii="Arial" w:hAnsi="Arial" w:cs="Arial"/>
          <w:sz w:val="24"/>
          <w:szCs w:val="24"/>
        </w:rPr>
        <w:t xml:space="preserve"> </w:t>
      </w:r>
      <w:r w:rsidR="00FD3DD4" w:rsidRPr="00A77454">
        <w:rPr>
          <w:rFonts w:ascii="Arial" w:hAnsi="Arial" w:cs="Arial"/>
          <w:sz w:val="24"/>
          <w:szCs w:val="24"/>
        </w:rPr>
        <w:t xml:space="preserve">the year </w:t>
      </w:r>
      <w:r w:rsidR="00D92C85">
        <w:rPr>
          <w:rFonts w:ascii="Arial" w:hAnsi="Arial" w:cs="Arial"/>
          <w:sz w:val="24"/>
          <w:szCs w:val="24"/>
        </w:rPr>
        <w:t xml:space="preserve">1969, the </w:t>
      </w:r>
      <w:r w:rsidR="009E0AEA" w:rsidRPr="00A77454">
        <w:rPr>
          <w:rFonts w:ascii="Arial" w:hAnsi="Arial" w:cs="Arial"/>
          <w:sz w:val="24"/>
          <w:szCs w:val="24"/>
        </w:rPr>
        <w:t xml:space="preserve">late Hans- Herman Enke </w:t>
      </w:r>
      <w:r w:rsidR="00FD3DD4" w:rsidRPr="00A77454">
        <w:rPr>
          <w:rFonts w:ascii="Arial" w:hAnsi="Arial" w:cs="Arial"/>
          <w:sz w:val="24"/>
          <w:szCs w:val="24"/>
        </w:rPr>
        <w:t>started to construct</w:t>
      </w:r>
      <w:r w:rsidR="009E0AEA" w:rsidRPr="00A77454">
        <w:rPr>
          <w:rFonts w:ascii="Arial" w:hAnsi="Arial" w:cs="Arial"/>
          <w:sz w:val="24"/>
          <w:szCs w:val="24"/>
        </w:rPr>
        <w:t xml:space="preserve"> a building called the Bastion Station Building, which </w:t>
      </w:r>
      <w:r w:rsidR="00CC4D51">
        <w:rPr>
          <w:rFonts w:ascii="Arial" w:hAnsi="Arial" w:cs="Arial"/>
          <w:sz w:val="24"/>
          <w:szCs w:val="24"/>
        </w:rPr>
        <w:t xml:space="preserve">allegedly </w:t>
      </w:r>
      <w:r w:rsidRPr="00A77454">
        <w:rPr>
          <w:rFonts w:ascii="Arial" w:hAnsi="Arial" w:cs="Arial"/>
          <w:sz w:val="24"/>
          <w:szCs w:val="24"/>
        </w:rPr>
        <w:t xml:space="preserve">later became </w:t>
      </w:r>
      <w:r w:rsidR="009E0AEA" w:rsidRPr="00A77454">
        <w:rPr>
          <w:rFonts w:ascii="Arial" w:hAnsi="Arial" w:cs="Arial"/>
          <w:sz w:val="24"/>
          <w:szCs w:val="24"/>
        </w:rPr>
        <w:t xml:space="preserve">known </w:t>
      </w:r>
      <w:r w:rsidRPr="00A77454">
        <w:rPr>
          <w:rFonts w:ascii="Arial" w:hAnsi="Arial" w:cs="Arial"/>
          <w:sz w:val="24"/>
          <w:szCs w:val="24"/>
        </w:rPr>
        <w:t xml:space="preserve">as the </w:t>
      </w:r>
      <w:proofErr w:type="spellStart"/>
      <w:r w:rsidR="009E0AEA" w:rsidRPr="00A77454">
        <w:rPr>
          <w:rFonts w:ascii="Arial" w:hAnsi="Arial" w:cs="Arial"/>
          <w:sz w:val="24"/>
          <w:szCs w:val="24"/>
        </w:rPr>
        <w:t>Enkehaus</w:t>
      </w:r>
      <w:proofErr w:type="spellEnd"/>
      <w:r w:rsidR="009E0AEA" w:rsidRPr="00A77454">
        <w:rPr>
          <w:rFonts w:ascii="Arial" w:hAnsi="Arial" w:cs="Arial"/>
          <w:sz w:val="24"/>
          <w:szCs w:val="24"/>
        </w:rPr>
        <w:t xml:space="preserve"> building in Windhoek.</w:t>
      </w:r>
      <w:r w:rsidR="00FD3DD4" w:rsidRPr="00A77454">
        <w:rPr>
          <w:rFonts w:ascii="Arial" w:hAnsi="Arial" w:cs="Arial"/>
          <w:sz w:val="24"/>
          <w:szCs w:val="24"/>
        </w:rPr>
        <w:t xml:space="preserve"> During the year </w:t>
      </w:r>
      <w:r w:rsidR="009E0AEA" w:rsidRPr="00A77454">
        <w:rPr>
          <w:rFonts w:ascii="Arial" w:hAnsi="Arial" w:cs="Arial"/>
          <w:sz w:val="24"/>
          <w:szCs w:val="24"/>
        </w:rPr>
        <w:t xml:space="preserve">1974, the late Hans- Herman Enke incorporated </w:t>
      </w:r>
      <w:proofErr w:type="spellStart"/>
      <w:r w:rsidR="00FD3DD4" w:rsidRPr="00A77454">
        <w:rPr>
          <w:rFonts w:ascii="Arial" w:hAnsi="Arial" w:cs="Arial"/>
          <w:sz w:val="24"/>
          <w:szCs w:val="24"/>
        </w:rPr>
        <w:t>Heiwal</w:t>
      </w:r>
      <w:proofErr w:type="spellEnd"/>
      <w:r w:rsidR="00FD3DD4" w:rsidRPr="00A77454">
        <w:rPr>
          <w:rFonts w:ascii="Arial" w:hAnsi="Arial" w:cs="Arial"/>
          <w:sz w:val="24"/>
          <w:szCs w:val="24"/>
        </w:rPr>
        <w:t xml:space="preserve"> Investments (Pty) Ltd </w:t>
      </w:r>
      <w:r w:rsidR="009E0AEA" w:rsidRPr="00A77454">
        <w:rPr>
          <w:rFonts w:ascii="Arial" w:hAnsi="Arial" w:cs="Arial"/>
          <w:sz w:val="24"/>
          <w:szCs w:val="24"/>
        </w:rPr>
        <w:t>and subsequently acquire</w:t>
      </w:r>
      <w:r w:rsidR="00FD3DD4" w:rsidRPr="00A77454">
        <w:rPr>
          <w:rFonts w:ascii="Arial" w:hAnsi="Arial" w:cs="Arial"/>
          <w:sz w:val="24"/>
          <w:szCs w:val="24"/>
        </w:rPr>
        <w:t>d</w:t>
      </w:r>
      <w:r w:rsidR="009E0AEA" w:rsidRPr="00A77454">
        <w:rPr>
          <w:rFonts w:ascii="Arial" w:hAnsi="Arial" w:cs="Arial"/>
          <w:sz w:val="24"/>
          <w:szCs w:val="24"/>
        </w:rPr>
        <w:t xml:space="preserve"> a </w:t>
      </w:r>
      <w:r w:rsidR="009E0AEA" w:rsidRPr="00A77454">
        <w:rPr>
          <w:rFonts w:ascii="Arial" w:hAnsi="Arial" w:cs="Arial"/>
          <w:sz w:val="24"/>
          <w:szCs w:val="24"/>
        </w:rPr>
        <w:lastRenderedPageBreak/>
        <w:t xml:space="preserve">building </w:t>
      </w:r>
      <w:r w:rsidR="00FD3DD4" w:rsidRPr="00A77454">
        <w:rPr>
          <w:rFonts w:ascii="Arial" w:hAnsi="Arial" w:cs="Arial"/>
          <w:sz w:val="24"/>
          <w:szCs w:val="24"/>
        </w:rPr>
        <w:t>i</w:t>
      </w:r>
      <w:r w:rsidR="009E0AEA" w:rsidRPr="00A77454">
        <w:rPr>
          <w:rFonts w:ascii="Arial" w:hAnsi="Arial" w:cs="Arial"/>
          <w:sz w:val="24"/>
          <w:szCs w:val="24"/>
        </w:rPr>
        <w:t xml:space="preserve">n </w:t>
      </w:r>
      <w:proofErr w:type="spellStart"/>
      <w:r w:rsidR="009E0AEA" w:rsidRPr="00A77454">
        <w:rPr>
          <w:rFonts w:ascii="Arial" w:hAnsi="Arial" w:cs="Arial"/>
          <w:sz w:val="24"/>
          <w:szCs w:val="24"/>
        </w:rPr>
        <w:t>B</w:t>
      </w:r>
      <w:r w:rsidR="00FD3DD4" w:rsidRPr="00A77454">
        <w:rPr>
          <w:rFonts w:ascii="Arial" w:hAnsi="Arial" w:cs="Arial"/>
          <w:sz w:val="24"/>
          <w:szCs w:val="24"/>
        </w:rPr>
        <w:t>ű</w:t>
      </w:r>
      <w:r w:rsidR="009E0AEA" w:rsidRPr="00A77454">
        <w:rPr>
          <w:rFonts w:ascii="Arial" w:hAnsi="Arial" w:cs="Arial"/>
          <w:sz w:val="24"/>
          <w:szCs w:val="24"/>
        </w:rPr>
        <w:t>low</w:t>
      </w:r>
      <w:proofErr w:type="spellEnd"/>
      <w:r w:rsidR="009E0AEA" w:rsidRPr="00A77454">
        <w:rPr>
          <w:rFonts w:ascii="Arial" w:hAnsi="Arial" w:cs="Arial"/>
          <w:sz w:val="24"/>
          <w:szCs w:val="24"/>
        </w:rPr>
        <w:t xml:space="preserve"> Street, Windhoek which </w:t>
      </w:r>
      <w:r w:rsidR="00CC4D51">
        <w:rPr>
          <w:rFonts w:ascii="Arial" w:hAnsi="Arial" w:cs="Arial"/>
          <w:sz w:val="24"/>
          <w:szCs w:val="24"/>
        </w:rPr>
        <w:t xml:space="preserve">allegedly </w:t>
      </w:r>
      <w:r w:rsidR="00FD3DD4" w:rsidRPr="00A77454">
        <w:rPr>
          <w:rFonts w:ascii="Arial" w:hAnsi="Arial" w:cs="Arial"/>
          <w:sz w:val="24"/>
          <w:szCs w:val="24"/>
        </w:rPr>
        <w:t>also became</w:t>
      </w:r>
      <w:r w:rsidR="009E0AEA" w:rsidRPr="00A77454">
        <w:rPr>
          <w:rFonts w:ascii="Arial" w:hAnsi="Arial" w:cs="Arial"/>
          <w:sz w:val="24"/>
          <w:szCs w:val="24"/>
        </w:rPr>
        <w:t xml:space="preserve"> known as </w:t>
      </w:r>
      <w:r w:rsidR="00FD3DD4" w:rsidRPr="00A77454">
        <w:rPr>
          <w:rFonts w:ascii="Arial" w:hAnsi="Arial" w:cs="Arial"/>
          <w:sz w:val="24"/>
          <w:szCs w:val="24"/>
        </w:rPr>
        <w:t>‘</w:t>
      </w:r>
      <w:proofErr w:type="spellStart"/>
      <w:r w:rsidR="009E0AEA" w:rsidRPr="00A77454">
        <w:rPr>
          <w:rFonts w:ascii="Arial" w:hAnsi="Arial" w:cs="Arial"/>
          <w:sz w:val="24"/>
          <w:szCs w:val="24"/>
        </w:rPr>
        <w:t>Enkehaus</w:t>
      </w:r>
      <w:proofErr w:type="spellEnd"/>
      <w:r w:rsidR="00FD3DD4" w:rsidRPr="00A77454">
        <w:rPr>
          <w:rFonts w:ascii="Arial" w:hAnsi="Arial" w:cs="Arial"/>
          <w:sz w:val="24"/>
          <w:szCs w:val="24"/>
        </w:rPr>
        <w:t>’</w:t>
      </w:r>
      <w:r w:rsidR="009E0AEA" w:rsidRPr="00A77454">
        <w:rPr>
          <w:rFonts w:ascii="Arial" w:hAnsi="Arial" w:cs="Arial"/>
          <w:sz w:val="24"/>
          <w:szCs w:val="24"/>
        </w:rPr>
        <w:t xml:space="preserve">. </w:t>
      </w:r>
      <w:proofErr w:type="spellStart"/>
      <w:r w:rsidR="00CC4D51">
        <w:rPr>
          <w:rFonts w:ascii="Arial" w:hAnsi="Arial" w:cs="Arial"/>
          <w:sz w:val="24"/>
          <w:szCs w:val="24"/>
        </w:rPr>
        <w:t>Mr</w:t>
      </w:r>
      <w:proofErr w:type="spellEnd"/>
      <w:r w:rsidR="00CC4D51">
        <w:rPr>
          <w:rFonts w:ascii="Arial" w:hAnsi="Arial" w:cs="Arial"/>
          <w:sz w:val="24"/>
          <w:szCs w:val="24"/>
        </w:rPr>
        <w:t xml:space="preserve"> Roland alleges, without submitting any proof to that effect</w:t>
      </w:r>
      <w:r w:rsidR="00D92C85">
        <w:rPr>
          <w:rFonts w:ascii="Arial" w:hAnsi="Arial" w:cs="Arial"/>
          <w:sz w:val="24"/>
          <w:szCs w:val="24"/>
        </w:rPr>
        <w:t>,</w:t>
      </w:r>
      <w:r w:rsidR="00CC4D51">
        <w:rPr>
          <w:rFonts w:ascii="Arial" w:hAnsi="Arial" w:cs="Arial"/>
          <w:sz w:val="24"/>
          <w:szCs w:val="24"/>
        </w:rPr>
        <w:t xml:space="preserve"> that </w:t>
      </w:r>
      <w:proofErr w:type="spellStart"/>
      <w:r w:rsidR="00FD3DD4" w:rsidRPr="00A77454">
        <w:rPr>
          <w:rFonts w:ascii="Arial" w:hAnsi="Arial" w:cs="Arial"/>
          <w:sz w:val="24"/>
          <w:szCs w:val="24"/>
        </w:rPr>
        <w:t>Heiwal</w:t>
      </w:r>
      <w:proofErr w:type="spellEnd"/>
      <w:r w:rsidR="00FD3DD4" w:rsidRPr="00A77454">
        <w:rPr>
          <w:rFonts w:ascii="Arial" w:hAnsi="Arial" w:cs="Arial"/>
          <w:sz w:val="24"/>
          <w:szCs w:val="24"/>
        </w:rPr>
        <w:t xml:space="preserve"> Investments as the owner of the building that was situated in </w:t>
      </w:r>
      <w:proofErr w:type="spellStart"/>
      <w:r w:rsidR="00FD3DD4" w:rsidRPr="00A77454">
        <w:rPr>
          <w:rFonts w:ascii="Arial" w:hAnsi="Arial" w:cs="Arial"/>
          <w:sz w:val="24"/>
          <w:szCs w:val="24"/>
        </w:rPr>
        <w:t>Bűlow</w:t>
      </w:r>
      <w:proofErr w:type="spellEnd"/>
      <w:r w:rsidR="00FD3DD4" w:rsidRPr="00A77454">
        <w:rPr>
          <w:rFonts w:ascii="Arial" w:hAnsi="Arial" w:cs="Arial"/>
          <w:sz w:val="24"/>
          <w:szCs w:val="24"/>
        </w:rPr>
        <w:t xml:space="preserve"> Street</w:t>
      </w:r>
      <w:r w:rsidR="00D92C85">
        <w:rPr>
          <w:rFonts w:ascii="Arial" w:hAnsi="Arial" w:cs="Arial"/>
          <w:sz w:val="24"/>
          <w:szCs w:val="24"/>
        </w:rPr>
        <w:t>,</w:t>
      </w:r>
      <w:r w:rsidR="00FD3DD4" w:rsidRPr="00A77454">
        <w:rPr>
          <w:rFonts w:ascii="Arial" w:hAnsi="Arial" w:cs="Arial"/>
          <w:sz w:val="24"/>
          <w:szCs w:val="24"/>
        </w:rPr>
        <w:t xml:space="preserve"> effected renovations to that building</w:t>
      </w:r>
      <w:r w:rsidR="00A77454" w:rsidRPr="00A77454">
        <w:rPr>
          <w:rFonts w:ascii="Arial" w:hAnsi="Arial" w:cs="Arial"/>
          <w:sz w:val="24"/>
          <w:szCs w:val="24"/>
        </w:rPr>
        <w:t xml:space="preserve"> and H.H. Enke Office Machines (Proprietary) Limited traded from that building</w:t>
      </w:r>
      <w:r w:rsidR="00FD3DD4" w:rsidRPr="00A77454">
        <w:rPr>
          <w:rFonts w:ascii="Arial" w:hAnsi="Arial" w:cs="Arial"/>
          <w:sz w:val="24"/>
          <w:szCs w:val="24"/>
        </w:rPr>
        <w:t xml:space="preserve">. </w:t>
      </w:r>
    </w:p>
    <w:p w14:paraId="2DF78DD9" w14:textId="77777777" w:rsidR="00A77454" w:rsidRDefault="00A77454" w:rsidP="004D5AC6">
      <w:pPr>
        <w:spacing w:after="0"/>
        <w:jc w:val="both"/>
        <w:rPr>
          <w:rFonts w:ascii="Arial" w:hAnsi="Arial" w:cs="Arial"/>
          <w:sz w:val="24"/>
          <w:szCs w:val="24"/>
        </w:rPr>
      </w:pPr>
    </w:p>
    <w:p w14:paraId="0D098491" w14:textId="77777777" w:rsidR="00D92C85" w:rsidRDefault="00A77454" w:rsidP="008B7E2C">
      <w:pPr>
        <w:spacing w:after="0"/>
        <w:jc w:val="both"/>
        <w:rPr>
          <w:rFonts w:ascii="Arial" w:hAnsi="Arial" w:cs="Arial"/>
          <w:sz w:val="24"/>
          <w:szCs w:val="24"/>
        </w:rPr>
      </w:pPr>
      <w:r>
        <w:rPr>
          <w:rFonts w:ascii="Arial" w:hAnsi="Arial" w:cs="Arial"/>
          <w:sz w:val="24"/>
          <w:szCs w:val="24"/>
        </w:rPr>
        <w:t>[8]</w:t>
      </w:r>
      <w:r>
        <w:rPr>
          <w:rFonts w:ascii="Arial" w:hAnsi="Arial" w:cs="Arial"/>
          <w:sz w:val="24"/>
          <w:szCs w:val="24"/>
        </w:rPr>
        <w:tab/>
      </w:r>
      <w:r w:rsidRPr="00A77454">
        <w:rPr>
          <w:rFonts w:ascii="Arial" w:hAnsi="Arial" w:cs="Arial"/>
          <w:sz w:val="24"/>
          <w:szCs w:val="24"/>
        </w:rPr>
        <w:t xml:space="preserve">It is not clear from the evidence before court as to when </w:t>
      </w:r>
      <w:proofErr w:type="spellStart"/>
      <w:r w:rsidRPr="00A77454">
        <w:rPr>
          <w:rFonts w:ascii="Arial" w:hAnsi="Arial" w:cs="Arial"/>
          <w:sz w:val="24"/>
          <w:szCs w:val="24"/>
        </w:rPr>
        <w:t>Heiwal</w:t>
      </w:r>
      <w:proofErr w:type="spellEnd"/>
      <w:r w:rsidRPr="00A77454">
        <w:rPr>
          <w:rFonts w:ascii="Arial" w:hAnsi="Arial" w:cs="Arial"/>
          <w:sz w:val="24"/>
          <w:szCs w:val="24"/>
        </w:rPr>
        <w:t xml:space="preserve"> Investments </w:t>
      </w:r>
      <w:r w:rsidR="0071133A">
        <w:rPr>
          <w:rFonts w:ascii="Arial" w:hAnsi="Arial" w:cs="Arial"/>
          <w:sz w:val="24"/>
          <w:szCs w:val="24"/>
        </w:rPr>
        <w:t xml:space="preserve">allegedly </w:t>
      </w:r>
      <w:r w:rsidRPr="00A77454">
        <w:rPr>
          <w:rFonts w:ascii="Arial" w:hAnsi="Arial" w:cs="Arial"/>
          <w:sz w:val="24"/>
          <w:szCs w:val="24"/>
        </w:rPr>
        <w:t xml:space="preserve">acquired a building situated at erf 7070 </w:t>
      </w:r>
      <w:proofErr w:type="spellStart"/>
      <w:r w:rsidRPr="00A77454">
        <w:rPr>
          <w:rFonts w:ascii="Arial" w:hAnsi="Arial" w:cs="Arial"/>
          <w:sz w:val="24"/>
          <w:szCs w:val="24"/>
        </w:rPr>
        <w:t>Banhof</w:t>
      </w:r>
      <w:proofErr w:type="spellEnd"/>
      <w:r w:rsidRPr="00A77454">
        <w:rPr>
          <w:rFonts w:ascii="Arial" w:hAnsi="Arial" w:cs="Arial"/>
          <w:sz w:val="24"/>
          <w:szCs w:val="24"/>
        </w:rPr>
        <w:t xml:space="preserve"> Street</w:t>
      </w:r>
      <w:r w:rsidR="00D92C85">
        <w:rPr>
          <w:rFonts w:ascii="Arial" w:hAnsi="Arial" w:cs="Arial"/>
          <w:sz w:val="24"/>
          <w:szCs w:val="24"/>
        </w:rPr>
        <w:t>,</w:t>
      </w:r>
      <w:r w:rsidRPr="00A77454">
        <w:rPr>
          <w:rFonts w:ascii="Arial" w:hAnsi="Arial" w:cs="Arial"/>
          <w:sz w:val="24"/>
          <w:szCs w:val="24"/>
        </w:rPr>
        <w:t xml:space="preserve"> but from the evidence before court</w:t>
      </w:r>
      <w:r w:rsidR="00D92C85">
        <w:rPr>
          <w:rFonts w:ascii="Arial" w:hAnsi="Arial" w:cs="Arial"/>
          <w:sz w:val="24"/>
          <w:szCs w:val="24"/>
        </w:rPr>
        <w:t>,</w:t>
      </w:r>
      <w:r w:rsidRPr="00A77454">
        <w:rPr>
          <w:rFonts w:ascii="Arial" w:hAnsi="Arial" w:cs="Arial"/>
          <w:sz w:val="24"/>
          <w:szCs w:val="24"/>
        </w:rPr>
        <w:t xml:space="preserve"> it appears that during the year </w:t>
      </w:r>
      <w:r>
        <w:rPr>
          <w:rFonts w:ascii="Arial" w:hAnsi="Arial" w:cs="Arial"/>
          <w:sz w:val="24"/>
          <w:szCs w:val="24"/>
        </w:rPr>
        <w:t xml:space="preserve">1988 </w:t>
      </w:r>
      <w:r w:rsidRPr="00A77454">
        <w:rPr>
          <w:rFonts w:ascii="Arial" w:hAnsi="Arial" w:cs="Arial"/>
          <w:sz w:val="24"/>
          <w:szCs w:val="24"/>
        </w:rPr>
        <w:t xml:space="preserve">H.H. Enke Office Machines (Proprietary) Limited moved (from </w:t>
      </w:r>
      <w:r>
        <w:rPr>
          <w:rFonts w:ascii="Arial" w:hAnsi="Arial" w:cs="Arial"/>
          <w:sz w:val="24"/>
          <w:szCs w:val="24"/>
        </w:rPr>
        <w:t xml:space="preserve">the building in </w:t>
      </w:r>
      <w:proofErr w:type="spellStart"/>
      <w:r w:rsidRPr="00A77454">
        <w:rPr>
          <w:rFonts w:ascii="Arial" w:hAnsi="Arial" w:cs="Arial"/>
          <w:sz w:val="24"/>
          <w:szCs w:val="24"/>
        </w:rPr>
        <w:t>Bűlow</w:t>
      </w:r>
      <w:proofErr w:type="spellEnd"/>
      <w:r w:rsidRPr="00A77454">
        <w:rPr>
          <w:rFonts w:ascii="Arial" w:hAnsi="Arial" w:cs="Arial"/>
          <w:sz w:val="24"/>
          <w:szCs w:val="24"/>
        </w:rPr>
        <w:t xml:space="preserve"> Street) to </w:t>
      </w:r>
      <w:r>
        <w:rPr>
          <w:rFonts w:ascii="Arial" w:hAnsi="Arial" w:cs="Arial"/>
          <w:sz w:val="24"/>
          <w:szCs w:val="24"/>
        </w:rPr>
        <w:t xml:space="preserve">a building situated on </w:t>
      </w:r>
      <w:r w:rsidRPr="00A77454">
        <w:rPr>
          <w:rFonts w:ascii="Arial" w:hAnsi="Arial" w:cs="Arial"/>
          <w:sz w:val="24"/>
          <w:szCs w:val="24"/>
        </w:rPr>
        <w:t xml:space="preserve">Erf 7070, </w:t>
      </w:r>
      <w:proofErr w:type="spellStart"/>
      <w:r w:rsidRPr="00A77454">
        <w:rPr>
          <w:rFonts w:ascii="Arial" w:hAnsi="Arial" w:cs="Arial"/>
          <w:sz w:val="24"/>
          <w:szCs w:val="24"/>
        </w:rPr>
        <w:t>Banhof</w:t>
      </w:r>
      <w:proofErr w:type="spellEnd"/>
      <w:r w:rsidRPr="00A77454">
        <w:rPr>
          <w:rFonts w:ascii="Arial" w:hAnsi="Arial" w:cs="Arial"/>
          <w:sz w:val="24"/>
          <w:szCs w:val="24"/>
        </w:rPr>
        <w:t xml:space="preserve"> Street</w:t>
      </w:r>
      <w:r>
        <w:rPr>
          <w:rFonts w:ascii="Arial" w:hAnsi="Arial" w:cs="Arial"/>
          <w:sz w:val="24"/>
          <w:szCs w:val="24"/>
        </w:rPr>
        <w:t xml:space="preserve">. The building situated at Erf 7070 in </w:t>
      </w:r>
      <w:proofErr w:type="spellStart"/>
      <w:r>
        <w:rPr>
          <w:rFonts w:ascii="Arial" w:hAnsi="Arial" w:cs="Arial"/>
          <w:sz w:val="24"/>
          <w:szCs w:val="24"/>
        </w:rPr>
        <w:t>Banhof</w:t>
      </w:r>
      <w:proofErr w:type="spellEnd"/>
      <w:r>
        <w:rPr>
          <w:rFonts w:ascii="Arial" w:hAnsi="Arial" w:cs="Arial"/>
          <w:sz w:val="24"/>
          <w:szCs w:val="24"/>
        </w:rPr>
        <w:t xml:space="preserve"> </w:t>
      </w:r>
      <w:r w:rsidR="008B7E2C">
        <w:rPr>
          <w:rFonts w:ascii="Arial" w:hAnsi="Arial" w:cs="Arial"/>
          <w:sz w:val="24"/>
          <w:szCs w:val="24"/>
        </w:rPr>
        <w:t>Street</w:t>
      </w:r>
      <w:r>
        <w:rPr>
          <w:rFonts w:ascii="Arial" w:hAnsi="Arial" w:cs="Arial"/>
          <w:sz w:val="24"/>
          <w:szCs w:val="24"/>
        </w:rPr>
        <w:t xml:space="preserve"> is also known as </w:t>
      </w:r>
      <w:proofErr w:type="spellStart"/>
      <w:r>
        <w:rPr>
          <w:rFonts w:ascii="Arial" w:hAnsi="Arial" w:cs="Arial"/>
          <w:sz w:val="24"/>
          <w:szCs w:val="24"/>
        </w:rPr>
        <w:t>Enkehaus</w:t>
      </w:r>
      <w:proofErr w:type="spellEnd"/>
      <w:r>
        <w:rPr>
          <w:rFonts w:ascii="Arial" w:hAnsi="Arial" w:cs="Arial"/>
          <w:sz w:val="24"/>
          <w:szCs w:val="24"/>
        </w:rPr>
        <w:t xml:space="preserve"> and the building is </w:t>
      </w:r>
      <w:r w:rsidR="00CC4D51">
        <w:rPr>
          <w:rFonts w:ascii="Arial" w:hAnsi="Arial" w:cs="Arial"/>
          <w:sz w:val="24"/>
          <w:szCs w:val="24"/>
        </w:rPr>
        <w:t>according to Roland</w:t>
      </w:r>
      <w:r w:rsidR="00D92C85">
        <w:rPr>
          <w:rFonts w:ascii="Arial" w:hAnsi="Arial" w:cs="Arial"/>
          <w:sz w:val="24"/>
          <w:szCs w:val="24"/>
        </w:rPr>
        <w:t>,</w:t>
      </w:r>
      <w:r w:rsidR="00CC4D51">
        <w:rPr>
          <w:rFonts w:ascii="Arial" w:hAnsi="Arial" w:cs="Arial"/>
          <w:sz w:val="24"/>
          <w:szCs w:val="24"/>
        </w:rPr>
        <w:t xml:space="preserve"> owned</w:t>
      </w:r>
      <w:r>
        <w:rPr>
          <w:rFonts w:ascii="Arial" w:hAnsi="Arial" w:cs="Arial"/>
          <w:sz w:val="24"/>
          <w:szCs w:val="24"/>
        </w:rPr>
        <w:t xml:space="preserve"> by </w:t>
      </w:r>
      <w:proofErr w:type="spellStart"/>
      <w:r w:rsidRPr="00A77454">
        <w:rPr>
          <w:rFonts w:ascii="Arial" w:hAnsi="Arial" w:cs="Arial"/>
          <w:sz w:val="24"/>
          <w:szCs w:val="24"/>
        </w:rPr>
        <w:t>Heiwal</w:t>
      </w:r>
      <w:proofErr w:type="spellEnd"/>
      <w:r w:rsidRPr="00A77454">
        <w:rPr>
          <w:rFonts w:ascii="Arial" w:hAnsi="Arial" w:cs="Arial"/>
          <w:sz w:val="24"/>
          <w:szCs w:val="24"/>
        </w:rPr>
        <w:t xml:space="preserve"> Investments.</w:t>
      </w:r>
    </w:p>
    <w:p w14:paraId="412F7422" w14:textId="77777777" w:rsidR="00CC4D51" w:rsidRDefault="008B7E2C" w:rsidP="008B7E2C">
      <w:pPr>
        <w:spacing w:after="0"/>
        <w:jc w:val="both"/>
        <w:rPr>
          <w:rFonts w:ascii="Arial" w:hAnsi="Arial" w:cs="Arial"/>
          <w:sz w:val="24"/>
          <w:szCs w:val="24"/>
        </w:rPr>
      </w:pPr>
      <w:r>
        <w:rPr>
          <w:rFonts w:ascii="Arial" w:hAnsi="Arial" w:cs="Arial"/>
          <w:sz w:val="24"/>
          <w:szCs w:val="24"/>
        </w:rPr>
        <w:t xml:space="preserve"> </w:t>
      </w:r>
    </w:p>
    <w:p w14:paraId="548724CD" w14:textId="77777777" w:rsidR="00CC4D51" w:rsidRDefault="00CC4D51" w:rsidP="008B7E2C">
      <w:pPr>
        <w:spacing w:after="0"/>
        <w:jc w:val="both"/>
        <w:rPr>
          <w:rFonts w:ascii="Arial" w:hAnsi="Arial" w:cs="Arial"/>
          <w:sz w:val="24"/>
          <w:szCs w:val="24"/>
        </w:rPr>
      </w:pPr>
      <w:r>
        <w:rPr>
          <w:rFonts w:ascii="Arial" w:hAnsi="Arial" w:cs="Arial"/>
          <w:sz w:val="24"/>
          <w:szCs w:val="24"/>
        </w:rPr>
        <w:t>[9]</w:t>
      </w:r>
      <w:r>
        <w:rPr>
          <w:rFonts w:ascii="Arial" w:hAnsi="Arial" w:cs="Arial"/>
          <w:sz w:val="24"/>
          <w:szCs w:val="24"/>
        </w:rPr>
        <w:tab/>
        <w:t xml:space="preserve">I pause here and express my doubts about the accuracy of the allegation that the building situated on Erf 7070 </w:t>
      </w:r>
      <w:proofErr w:type="spellStart"/>
      <w:r>
        <w:rPr>
          <w:rFonts w:ascii="Arial" w:hAnsi="Arial" w:cs="Arial"/>
          <w:sz w:val="24"/>
          <w:szCs w:val="24"/>
        </w:rPr>
        <w:t>Banhof</w:t>
      </w:r>
      <w:proofErr w:type="spellEnd"/>
      <w:r>
        <w:rPr>
          <w:rFonts w:ascii="Arial" w:hAnsi="Arial" w:cs="Arial"/>
          <w:sz w:val="24"/>
          <w:szCs w:val="24"/>
        </w:rPr>
        <w:t xml:space="preserve"> Street is owned </w:t>
      </w:r>
      <w:r w:rsidR="004D1224">
        <w:rPr>
          <w:rFonts w:ascii="Arial" w:hAnsi="Arial" w:cs="Arial"/>
          <w:sz w:val="24"/>
          <w:szCs w:val="24"/>
        </w:rPr>
        <w:t xml:space="preserve">by </w:t>
      </w:r>
      <w:proofErr w:type="spellStart"/>
      <w:r>
        <w:rPr>
          <w:rFonts w:ascii="Arial" w:hAnsi="Arial" w:cs="Arial"/>
          <w:sz w:val="24"/>
          <w:szCs w:val="24"/>
        </w:rPr>
        <w:t>Heiwal</w:t>
      </w:r>
      <w:proofErr w:type="spellEnd"/>
      <w:r>
        <w:rPr>
          <w:rFonts w:ascii="Arial" w:hAnsi="Arial" w:cs="Arial"/>
          <w:sz w:val="24"/>
          <w:szCs w:val="24"/>
        </w:rPr>
        <w:t xml:space="preserve"> Investments. My doubt is based on </w:t>
      </w:r>
      <w:r w:rsidR="004D1224">
        <w:rPr>
          <w:rFonts w:ascii="Arial" w:hAnsi="Arial" w:cs="Arial"/>
          <w:sz w:val="24"/>
          <w:szCs w:val="24"/>
        </w:rPr>
        <w:t>three</w:t>
      </w:r>
      <w:r>
        <w:rPr>
          <w:rFonts w:ascii="Arial" w:hAnsi="Arial" w:cs="Arial"/>
          <w:sz w:val="24"/>
          <w:szCs w:val="24"/>
        </w:rPr>
        <w:t xml:space="preserve"> facts</w:t>
      </w:r>
      <w:r w:rsidR="00D92C85">
        <w:rPr>
          <w:rFonts w:ascii="Arial" w:hAnsi="Arial" w:cs="Arial"/>
          <w:sz w:val="24"/>
          <w:szCs w:val="24"/>
        </w:rPr>
        <w:t>,</w:t>
      </w:r>
      <w:r>
        <w:rPr>
          <w:rFonts w:ascii="Arial" w:hAnsi="Arial" w:cs="Arial"/>
          <w:sz w:val="24"/>
          <w:szCs w:val="24"/>
        </w:rPr>
        <w:t xml:space="preserve"> the first being that Roland did not tender into evidence proof in the form of a title deed </w:t>
      </w:r>
      <w:r w:rsidR="004D1224">
        <w:rPr>
          <w:rFonts w:ascii="Arial" w:hAnsi="Arial" w:cs="Arial"/>
          <w:sz w:val="24"/>
          <w:szCs w:val="24"/>
        </w:rPr>
        <w:t xml:space="preserve">as regards </w:t>
      </w:r>
      <w:r>
        <w:rPr>
          <w:rFonts w:ascii="Arial" w:hAnsi="Arial" w:cs="Arial"/>
          <w:sz w:val="24"/>
          <w:szCs w:val="24"/>
        </w:rPr>
        <w:t>the ownership of the building. Secondly</w:t>
      </w:r>
      <w:r w:rsidR="00D92C85">
        <w:rPr>
          <w:rFonts w:ascii="Arial" w:hAnsi="Arial" w:cs="Arial"/>
          <w:sz w:val="24"/>
          <w:szCs w:val="24"/>
        </w:rPr>
        <w:t>,</w:t>
      </w:r>
      <w:r>
        <w:rPr>
          <w:rFonts w:ascii="Arial" w:hAnsi="Arial" w:cs="Arial"/>
          <w:sz w:val="24"/>
          <w:szCs w:val="24"/>
        </w:rPr>
        <w:t xml:space="preserve"> Roland tendered into evidence a valuation </w:t>
      </w:r>
      <w:r w:rsidR="004D1224">
        <w:rPr>
          <w:rFonts w:ascii="Arial" w:hAnsi="Arial" w:cs="Arial"/>
          <w:sz w:val="24"/>
          <w:szCs w:val="24"/>
        </w:rPr>
        <w:t xml:space="preserve">report, which </w:t>
      </w:r>
      <w:r>
        <w:rPr>
          <w:rFonts w:ascii="Arial" w:hAnsi="Arial" w:cs="Arial"/>
          <w:sz w:val="24"/>
          <w:szCs w:val="24"/>
        </w:rPr>
        <w:t xml:space="preserve">was commissioned </w:t>
      </w:r>
      <w:r w:rsidR="004D1224">
        <w:rPr>
          <w:rFonts w:ascii="Arial" w:hAnsi="Arial" w:cs="Arial"/>
          <w:sz w:val="24"/>
          <w:szCs w:val="24"/>
        </w:rPr>
        <w:t xml:space="preserve">during the year </w:t>
      </w:r>
      <w:r>
        <w:rPr>
          <w:rFonts w:ascii="Arial" w:hAnsi="Arial" w:cs="Arial"/>
          <w:sz w:val="24"/>
          <w:szCs w:val="24"/>
        </w:rPr>
        <w:t xml:space="preserve">2020 relating to the building situated on erf 7070 </w:t>
      </w:r>
      <w:proofErr w:type="spellStart"/>
      <w:r>
        <w:rPr>
          <w:rFonts w:ascii="Arial" w:hAnsi="Arial" w:cs="Arial"/>
          <w:sz w:val="24"/>
          <w:szCs w:val="24"/>
        </w:rPr>
        <w:t>Banhof</w:t>
      </w:r>
      <w:proofErr w:type="spellEnd"/>
      <w:r>
        <w:rPr>
          <w:rFonts w:ascii="Arial" w:hAnsi="Arial" w:cs="Arial"/>
          <w:sz w:val="24"/>
          <w:szCs w:val="24"/>
        </w:rPr>
        <w:t xml:space="preserve"> Street</w:t>
      </w:r>
      <w:r w:rsidR="004D1224">
        <w:rPr>
          <w:rFonts w:ascii="Arial" w:hAnsi="Arial" w:cs="Arial"/>
          <w:sz w:val="24"/>
          <w:szCs w:val="24"/>
        </w:rPr>
        <w:t xml:space="preserve">. The </w:t>
      </w:r>
      <w:r>
        <w:rPr>
          <w:rFonts w:ascii="Arial" w:hAnsi="Arial" w:cs="Arial"/>
          <w:sz w:val="24"/>
          <w:szCs w:val="24"/>
        </w:rPr>
        <w:t>valuation report was for estate purpose</w:t>
      </w:r>
      <w:r w:rsidR="00D5186C">
        <w:rPr>
          <w:rFonts w:ascii="Arial" w:hAnsi="Arial" w:cs="Arial"/>
          <w:sz w:val="24"/>
          <w:szCs w:val="24"/>
        </w:rPr>
        <w:t>s</w:t>
      </w:r>
      <w:r>
        <w:rPr>
          <w:rFonts w:ascii="Arial" w:hAnsi="Arial" w:cs="Arial"/>
          <w:sz w:val="24"/>
          <w:szCs w:val="24"/>
        </w:rPr>
        <w:t xml:space="preserve"> in respect of the estate of the late Hans-Herman Enke. If the building belongs to </w:t>
      </w:r>
      <w:proofErr w:type="spellStart"/>
      <w:r>
        <w:rPr>
          <w:rFonts w:ascii="Arial" w:hAnsi="Arial" w:cs="Arial"/>
          <w:sz w:val="24"/>
          <w:szCs w:val="24"/>
        </w:rPr>
        <w:t>Heiwal</w:t>
      </w:r>
      <w:proofErr w:type="spellEnd"/>
      <w:r>
        <w:rPr>
          <w:rFonts w:ascii="Arial" w:hAnsi="Arial" w:cs="Arial"/>
          <w:sz w:val="24"/>
          <w:szCs w:val="24"/>
        </w:rPr>
        <w:t xml:space="preserve"> Investments why would its value be of any relevance to the late Enke’s estate? </w:t>
      </w:r>
      <w:r w:rsidR="00D5186C">
        <w:rPr>
          <w:rFonts w:ascii="Arial" w:hAnsi="Arial" w:cs="Arial"/>
          <w:sz w:val="24"/>
          <w:szCs w:val="24"/>
        </w:rPr>
        <w:t>The third basis of my doubt is that d</w:t>
      </w:r>
      <w:r w:rsidR="004D1224">
        <w:rPr>
          <w:rFonts w:ascii="Arial" w:hAnsi="Arial" w:cs="Arial"/>
          <w:sz w:val="24"/>
          <w:szCs w:val="24"/>
        </w:rPr>
        <w:t>uring May 2020 the late Hans-Herman Enke in his personal capacity concluded a lease agreement in respect of the property</w:t>
      </w:r>
      <w:r w:rsidR="00D5186C">
        <w:rPr>
          <w:rFonts w:ascii="Arial" w:hAnsi="Arial" w:cs="Arial"/>
          <w:sz w:val="24"/>
          <w:szCs w:val="24"/>
        </w:rPr>
        <w:t xml:space="preserve"> (Erf 7070 </w:t>
      </w:r>
      <w:proofErr w:type="spellStart"/>
      <w:r w:rsidR="00D5186C">
        <w:rPr>
          <w:rFonts w:ascii="Arial" w:hAnsi="Arial" w:cs="Arial"/>
          <w:sz w:val="24"/>
          <w:szCs w:val="24"/>
        </w:rPr>
        <w:t>Banhof</w:t>
      </w:r>
      <w:proofErr w:type="spellEnd"/>
      <w:r w:rsidR="00D5186C">
        <w:rPr>
          <w:rFonts w:ascii="Arial" w:hAnsi="Arial" w:cs="Arial"/>
          <w:sz w:val="24"/>
          <w:szCs w:val="24"/>
        </w:rPr>
        <w:t xml:space="preserve"> Street)</w:t>
      </w:r>
      <w:r w:rsidR="004D1224">
        <w:rPr>
          <w:rFonts w:ascii="Arial" w:hAnsi="Arial" w:cs="Arial"/>
          <w:sz w:val="24"/>
          <w:szCs w:val="24"/>
        </w:rPr>
        <w:t>. Why would the late Enke conclude a lease agreement in his personal capacity if the building belong</w:t>
      </w:r>
      <w:r w:rsidR="00D5186C">
        <w:rPr>
          <w:rFonts w:ascii="Arial" w:hAnsi="Arial" w:cs="Arial"/>
          <w:sz w:val="24"/>
          <w:szCs w:val="24"/>
        </w:rPr>
        <w:t>ed</w:t>
      </w:r>
      <w:r w:rsidR="004D1224">
        <w:rPr>
          <w:rFonts w:ascii="Arial" w:hAnsi="Arial" w:cs="Arial"/>
          <w:sz w:val="24"/>
          <w:szCs w:val="24"/>
        </w:rPr>
        <w:t xml:space="preserve"> to </w:t>
      </w:r>
      <w:proofErr w:type="spellStart"/>
      <w:r w:rsidR="004D1224">
        <w:rPr>
          <w:rFonts w:ascii="Arial" w:hAnsi="Arial" w:cs="Arial"/>
          <w:sz w:val="24"/>
          <w:szCs w:val="24"/>
        </w:rPr>
        <w:t>Heiwal</w:t>
      </w:r>
      <w:proofErr w:type="spellEnd"/>
      <w:r w:rsidR="004D1224">
        <w:rPr>
          <w:rFonts w:ascii="Arial" w:hAnsi="Arial" w:cs="Arial"/>
          <w:sz w:val="24"/>
          <w:szCs w:val="24"/>
        </w:rPr>
        <w:t xml:space="preserve"> Investments? </w:t>
      </w:r>
    </w:p>
    <w:p w14:paraId="5F9BAE41" w14:textId="77777777" w:rsidR="00CC4D51" w:rsidRDefault="00CC4D51" w:rsidP="008B7E2C">
      <w:pPr>
        <w:spacing w:after="0"/>
        <w:jc w:val="both"/>
        <w:rPr>
          <w:rFonts w:ascii="Arial" w:hAnsi="Arial" w:cs="Arial"/>
          <w:sz w:val="24"/>
          <w:szCs w:val="24"/>
        </w:rPr>
      </w:pPr>
    </w:p>
    <w:p w14:paraId="7278CF06" w14:textId="77777777" w:rsidR="00F239EE" w:rsidRDefault="00CC4D51" w:rsidP="00E627DB">
      <w:pPr>
        <w:spacing w:after="0"/>
        <w:jc w:val="both"/>
        <w:rPr>
          <w:rFonts w:ascii="Arial" w:hAnsi="Arial" w:cs="Arial"/>
          <w:sz w:val="24"/>
          <w:szCs w:val="24"/>
        </w:rPr>
      </w:pPr>
      <w:r>
        <w:rPr>
          <w:rFonts w:ascii="Arial" w:hAnsi="Arial" w:cs="Arial"/>
          <w:sz w:val="24"/>
          <w:szCs w:val="24"/>
        </w:rPr>
        <w:t>[10]</w:t>
      </w:r>
      <w:r>
        <w:rPr>
          <w:rFonts w:ascii="Arial" w:hAnsi="Arial" w:cs="Arial"/>
          <w:sz w:val="24"/>
          <w:szCs w:val="24"/>
        </w:rPr>
        <w:tab/>
        <w:t xml:space="preserve">I now return to the background facts. </w:t>
      </w:r>
      <w:r w:rsidR="008B7E2C">
        <w:rPr>
          <w:rFonts w:ascii="Arial" w:hAnsi="Arial" w:cs="Arial"/>
          <w:sz w:val="24"/>
          <w:szCs w:val="24"/>
        </w:rPr>
        <w:t>The late Enke</w:t>
      </w:r>
      <w:r w:rsidR="004D1224">
        <w:rPr>
          <w:rFonts w:ascii="Arial" w:hAnsi="Arial" w:cs="Arial"/>
          <w:sz w:val="24"/>
          <w:szCs w:val="24"/>
        </w:rPr>
        <w:t>,</w:t>
      </w:r>
      <w:r w:rsidR="008B7E2C">
        <w:rPr>
          <w:rFonts w:ascii="Arial" w:hAnsi="Arial" w:cs="Arial"/>
          <w:sz w:val="24"/>
          <w:szCs w:val="24"/>
        </w:rPr>
        <w:t xml:space="preserve"> during </w:t>
      </w:r>
      <w:r w:rsidR="004D1224">
        <w:rPr>
          <w:rFonts w:ascii="Arial" w:hAnsi="Arial" w:cs="Arial"/>
          <w:sz w:val="24"/>
          <w:szCs w:val="24"/>
        </w:rPr>
        <w:t xml:space="preserve">the year </w:t>
      </w:r>
      <w:r w:rsidR="008B7E2C">
        <w:rPr>
          <w:rFonts w:ascii="Arial" w:hAnsi="Arial" w:cs="Arial"/>
          <w:sz w:val="24"/>
          <w:szCs w:val="24"/>
        </w:rPr>
        <w:t xml:space="preserve">1992 sold his shares </w:t>
      </w:r>
      <w:r w:rsidR="008B7E2C" w:rsidRPr="00FE6077">
        <w:rPr>
          <w:rFonts w:ascii="Arial" w:hAnsi="Arial" w:cs="Arial"/>
          <w:sz w:val="24"/>
          <w:szCs w:val="24"/>
        </w:rPr>
        <w:t>in H.H. Enke Office</w:t>
      </w:r>
      <w:r w:rsidR="008B7E2C">
        <w:rPr>
          <w:rFonts w:ascii="Arial" w:hAnsi="Arial" w:cs="Arial"/>
          <w:sz w:val="24"/>
          <w:szCs w:val="24"/>
        </w:rPr>
        <w:t xml:space="preserve"> Machines (Proprietary) Limited</w:t>
      </w:r>
      <w:r w:rsidR="004D1224">
        <w:rPr>
          <w:rFonts w:ascii="Arial" w:hAnsi="Arial" w:cs="Arial"/>
          <w:sz w:val="24"/>
          <w:szCs w:val="24"/>
        </w:rPr>
        <w:t>. W</w:t>
      </w:r>
      <w:r w:rsidR="008B7E2C">
        <w:rPr>
          <w:rFonts w:ascii="Arial" w:hAnsi="Arial" w:cs="Arial"/>
          <w:sz w:val="24"/>
          <w:szCs w:val="24"/>
        </w:rPr>
        <w:t>hat is not clear from the evidence is whether what was sold was just the shares or the business as a going concern and its name.</w:t>
      </w:r>
      <w:r w:rsidR="005F6781">
        <w:rPr>
          <w:rFonts w:ascii="Arial" w:hAnsi="Arial" w:cs="Arial"/>
          <w:sz w:val="24"/>
          <w:szCs w:val="24"/>
        </w:rPr>
        <w:t xml:space="preserve"> </w:t>
      </w:r>
      <w:r w:rsidR="00D92C85">
        <w:rPr>
          <w:rFonts w:ascii="Arial" w:hAnsi="Arial" w:cs="Arial"/>
          <w:sz w:val="24"/>
          <w:szCs w:val="24"/>
        </w:rPr>
        <w:t>As I ind</w:t>
      </w:r>
      <w:r w:rsidR="004D1224">
        <w:rPr>
          <w:rFonts w:ascii="Arial" w:hAnsi="Arial" w:cs="Arial"/>
          <w:sz w:val="24"/>
          <w:szCs w:val="24"/>
        </w:rPr>
        <w:t>icated earlier</w:t>
      </w:r>
      <w:r w:rsidR="00D92C85">
        <w:rPr>
          <w:rFonts w:ascii="Arial" w:hAnsi="Arial" w:cs="Arial"/>
          <w:sz w:val="24"/>
          <w:szCs w:val="24"/>
        </w:rPr>
        <w:t>,</w:t>
      </w:r>
      <w:r w:rsidR="004D1224">
        <w:rPr>
          <w:rFonts w:ascii="Arial" w:hAnsi="Arial" w:cs="Arial"/>
          <w:sz w:val="24"/>
          <w:szCs w:val="24"/>
        </w:rPr>
        <w:t xml:space="preserve"> on 01</w:t>
      </w:r>
      <w:r w:rsidR="005F6781">
        <w:rPr>
          <w:rFonts w:ascii="Arial" w:hAnsi="Arial" w:cs="Arial"/>
          <w:sz w:val="24"/>
          <w:szCs w:val="24"/>
        </w:rPr>
        <w:t xml:space="preserve"> May 2015 the late</w:t>
      </w:r>
      <w:r w:rsidR="004D1224">
        <w:rPr>
          <w:rFonts w:ascii="Arial" w:hAnsi="Arial" w:cs="Arial"/>
          <w:sz w:val="24"/>
          <w:szCs w:val="24"/>
        </w:rPr>
        <w:t xml:space="preserve"> Hans-</w:t>
      </w:r>
      <w:r w:rsidR="005F6781">
        <w:rPr>
          <w:rFonts w:ascii="Arial" w:hAnsi="Arial" w:cs="Arial"/>
          <w:sz w:val="24"/>
          <w:szCs w:val="24"/>
        </w:rPr>
        <w:t>Herman Enke concluded a lease agreement in respect of the building</w:t>
      </w:r>
      <w:r w:rsidR="008C45C3">
        <w:rPr>
          <w:rFonts w:ascii="Arial" w:hAnsi="Arial" w:cs="Arial"/>
          <w:sz w:val="24"/>
          <w:szCs w:val="24"/>
        </w:rPr>
        <w:t xml:space="preserve"> (</w:t>
      </w:r>
      <w:r w:rsidR="004D1224">
        <w:rPr>
          <w:rFonts w:ascii="Arial" w:hAnsi="Arial" w:cs="Arial"/>
          <w:sz w:val="24"/>
          <w:szCs w:val="24"/>
        </w:rPr>
        <w:t xml:space="preserve">that is </w:t>
      </w:r>
      <w:r w:rsidR="008C45C3">
        <w:rPr>
          <w:rFonts w:ascii="Arial" w:hAnsi="Arial" w:cs="Arial"/>
          <w:sz w:val="24"/>
          <w:szCs w:val="24"/>
        </w:rPr>
        <w:t xml:space="preserve">the building known as </w:t>
      </w:r>
      <w:proofErr w:type="spellStart"/>
      <w:r w:rsidR="00A57CB4">
        <w:rPr>
          <w:rFonts w:ascii="Arial" w:hAnsi="Arial" w:cs="Arial"/>
          <w:sz w:val="24"/>
          <w:szCs w:val="24"/>
        </w:rPr>
        <w:t>Enkehaus</w:t>
      </w:r>
      <w:proofErr w:type="spellEnd"/>
      <w:r w:rsidR="005F6781">
        <w:rPr>
          <w:rFonts w:ascii="Arial" w:hAnsi="Arial" w:cs="Arial"/>
          <w:sz w:val="24"/>
          <w:szCs w:val="24"/>
        </w:rPr>
        <w:t xml:space="preserve"> situated </w:t>
      </w:r>
      <w:r w:rsidR="004D1224">
        <w:rPr>
          <w:rFonts w:ascii="Arial" w:hAnsi="Arial" w:cs="Arial"/>
          <w:sz w:val="24"/>
          <w:szCs w:val="24"/>
        </w:rPr>
        <w:t xml:space="preserve">on </w:t>
      </w:r>
      <w:r w:rsidR="005F6781">
        <w:rPr>
          <w:rFonts w:ascii="Arial" w:hAnsi="Arial" w:cs="Arial"/>
          <w:sz w:val="24"/>
          <w:szCs w:val="24"/>
        </w:rPr>
        <w:t>Erf 7070</w:t>
      </w:r>
      <w:r w:rsidR="004D1224">
        <w:rPr>
          <w:rFonts w:ascii="Arial" w:hAnsi="Arial" w:cs="Arial"/>
          <w:sz w:val="24"/>
          <w:szCs w:val="24"/>
        </w:rPr>
        <w:t xml:space="preserve">, </w:t>
      </w:r>
      <w:proofErr w:type="spellStart"/>
      <w:r w:rsidR="004D1224">
        <w:rPr>
          <w:rFonts w:ascii="Arial" w:hAnsi="Arial" w:cs="Arial"/>
          <w:sz w:val="24"/>
          <w:szCs w:val="24"/>
        </w:rPr>
        <w:t>Banhof</w:t>
      </w:r>
      <w:proofErr w:type="spellEnd"/>
      <w:r w:rsidR="004D1224">
        <w:rPr>
          <w:rFonts w:ascii="Arial" w:hAnsi="Arial" w:cs="Arial"/>
          <w:sz w:val="24"/>
          <w:szCs w:val="24"/>
        </w:rPr>
        <w:t xml:space="preserve"> Street)</w:t>
      </w:r>
      <w:r w:rsidR="005F6781">
        <w:rPr>
          <w:rFonts w:ascii="Arial" w:hAnsi="Arial" w:cs="Arial"/>
          <w:sz w:val="24"/>
          <w:szCs w:val="24"/>
        </w:rPr>
        <w:t xml:space="preserve"> for a period of </w:t>
      </w:r>
      <w:r w:rsidR="005F6781">
        <w:rPr>
          <w:rFonts w:ascii="Arial" w:hAnsi="Arial" w:cs="Arial"/>
          <w:sz w:val="24"/>
          <w:szCs w:val="24"/>
        </w:rPr>
        <w:lastRenderedPageBreak/>
        <w:t xml:space="preserve">one year, with an entity known as </w:t>
      </w:r>
      <w:proofErr w:type="spellStart"/>
      <w:r w:rsidR="005F6781">
        <w:rPr>
          <w:rFonts w:ascii="Arial" w:hAnsi="Arial" w:cs="Arial"/>
          <w:sz w:val="24"/>
          <w:szCs w:val="24"/>
        </w:rPr>
        <w:t>Mwelasse</w:t>
      </w:r>
      <w:proofErr w:type="spellEnd"/>
      <w:r w:rsidR="005F6781">
        <w:rPr>
          <w:rFonts w:ascii="Arial" w:hAnsi="Arial" w:cs="Arial"/>
          <w:sz w:val="24"/>
          <w:szCs w:val="24"/>
        </w:rPr>
        <w:t xml:space="preserve"> Investment CC. </w:t>
      </w:r>
      <w:r w:rsidR="008C45C3">
        <w:rPr>
          <w:rFonts w:ascii="Arial" w:hAnsi="Arial" w:cs="Arial"/>
          <w:sz w:val="24"/>
          <w:szCs w:val="24"/>
        </w:rPr>
        <w:t xml:space="preserve">From the evidence </w:t>
      </w:r>
      <w:r w:rsidR="004D1224">
        <w:rPr>
          <w:rFonts w:ascii="Arial" w:hAnsi="Arial" w:cs="Arial"/>
          <w:sz w:val="24"/>
          <w:szCs w:val="24"/>
        </w:rPr>
        <w:t xml:space="preserve">before </w:t>
      </w:r>
      <w:proofErr w:type="gramStart"/>
      <w:r w:rsidR="004D1224">
        <w:rPr>
          <w:rFonts w:ascii="Arial" w:hAnsi="Arial" w:cs="Arial"/>
          <w:sz w:val="24"/>
          <w:szCs w:val="24"/>
        </w:rPr>
        <w:t>court</w:t>
      </w:r>
      <w:proofErr w:type="gramEnd"/>
      <w:r w:rsidR="004D1224">
        <w:rPr>
          <w:rFonts w:ascii="Arial" w:hAnsi="Arial" w:cs="Arial"/>
          <w:sz w:val="24"/>
          <w:szCs w:val="24"/>
        </w:rPr>
        <w:t xml:space="preserve"> it is apparent that as from the </w:t>
      </w:r>
      <w:r w:rsidR="008C45C3">
        <w:rPr>
          <w:rFonts w:ascii="Arial" w:hAnsi="Arial" w:cs="Arial"/>
          <w:sz w:val="24"/>
          <w:szCs w:val="24"/>
        </w:rPr>
        <w:t>year 2016</w:t>
      </w:r>
      <w:r w:rsidR="007A79E3">
        <w:rPr>
          <w:rFonts w:ascii="Arial" w:hAnsi="Arial" w:cs="Arial"/>
          <w:sz w:val="24"/>
          <w:szCs w:val="24"/>
        </w:rPr>
        <w:t xml:space="preserve"> the second respondent, </w:t>
      </w:r>
      <w:proofErr w:type="spellStart"/>
      <w:r w:rsidR="007A79E3">
        <w:rPr>
          <w:rFonts w:ascii="Arial" w:hAnsi="Arial" w:cs="Arial"/>
          <w:sz w:val="24"/>
          <w:szCs w:val="24"/>
        </w:rPr>
        <w:t>Enkehaus</w:t>
      </w:r>
      <w:proofErr w:type="spellEnd"/>
      <w:r w:rsidR="007A79E3">
        <w:rPr>
          <w:rFonts w:ascii="Arial" w:hAnsi="Arial" w:cs="Arial"/>
          <w:sz w:val="24"/>
          <w:szCs w:val="24"/>
        </w:rPr>
        <w:t xml:space="preserve"> Medical Centre CC, has</w:t>
      </w:r>
      <w:r w:rsidR="004D1224">
        <w:rPr>
          <w:rFonts w:ascii="Arial" w:hAnsi="Arial" w:cs="Arial"/>
          <w:sz w:val="24"/>
          <w:szCs w:val="24"/>
        </w:rPr>
        <w:t xml:space="preserve"> been </w:t>
      </w:r>
      <w:r w:rsidR="008C45C3">
        <w:rPr>
          <w:rFonts w:ascii="Arial" w:hAnsi="Arial" w:cs="Arial"/>
          <w:sz w:val="24"/>
          <w:szCs w:val="24"/>
        </w:rPr>
        <w:t>subleasing a portion of that</w:t>
      </w:r>
      <w:r w:rsidR="00A57CB4">
        <w:rPr>
          <w:rFonts w:ascii="Arial" w:hAnsi="Arial" w:cs="Arial"/>
          <w:sz w:val="24"/>
          <w:szCs w:val="24"/>
        </w:rPr>
        <w:t xml:space="preserve"> building from </w:t>
      </w:r>
      <w:proofErr w:type="spellStart"/>
      <w:r w:rsidR="00A57CB4">
        <w:rPr>
          <w:rFonts w:ascii="Arial" w:hAnsi="Arial" w:cs="Arial"/>
          <w:sz w:val="24"/>
          <w:szCs w:val="24"/>
        </w:rPr>
        <w:t>Mwelasse</w:t>
      </w:r>
      <w:proofErr w:type="spellEnd"/>
      <w:r w:rsidR="00A57CB4">
        <w:rPr>
          <w:rFonts w:ascii="Arial" w:hAnsi="Arial" w:cs="Arial"/>
          <w:sz w:val="24"/>
          <w:szCs w:val="24"/>
        </w:rPr>
        <w:t xml:space="preserve"> Investment CC.</w:t>
      </w:r>
    </w:p>
    <w:p w14:paraId="1FAB0A19" w14:textId="77777777" w:rsidR="00FD3DD4" w:rsidRPr="007A79E3" w:rsidRDefault="00FD3DD4" w:rsidP="00E627DB">
      <w:pPr>
        <w:spacing w:after="0"/>
        <w:jc w:val="both"/>
        <w:rPr>
          <w:rFonts w:ascii="Arial" w:hAnsi="Arial" w:cs="Arial"/>
          <w:sz w:val="24"/>
          <w:szCs w:val="24"/>
        </w:rPr>
      </w:pPr>
    </w:p>
    <w:p w14:paraId="7FAF30BA" w14:textId="77777777" w:rsidR="007A79E3" w:rsidRDefault="007A79E3" w:rsidP="00E627DB">
      <w:pPr>
        <w:spacing w:after="0"/>
        <w:jc w:val="both"/>
        <w:rPr>
          <w:rStyle w:val="IntenseEmphasis"/>
          <w:rFonts w:ascii="Arial" w:hAnsi="Arial" w:cs="Arial"/>
          <w:i w:val="0"/>
          <w:color w:val="auto"/>
          <w:sz w:val="24"/>
          <w:szCs w:val="24"/>
        </w:rPr>
      </w:pPr>
      <w:r w:rsidRPr="007A79E3">
        <w:rPr>
          <w:rStyle w:val="IntenseEmphasis"/>
          <w:rFonts w:ascii="Arial" w:hAnsi="Arial" w:cs="Arial"/>
          <w:i w:val="0"/>
          <w:color w:val="auto"/>
          <w:sz w:val="24"/>
          <w:szCs w:val="24"/>
        </w:rPr>
        <w:t>[11]</w:t>
      </w:r>
      <w:r w:rsidRPr="007A79E3">
        <w:rPr>
          <w:rStyle w:val="IntenseEmphasis"/>
          <w:rFonts w:ascii="Arial" w:hAnsi="Arial" w:cs="Arial"/>
          <w:i w:val="0"/>
          <w:color w:val="auto"/>
          <w:sz w:val="24"/>
          <w:szCs w:val="24"/>
        </w:rPr>
        <w:tab/>
        <w:t xml:space="preserve">On </w:t>
      </w:r>
      <w:r w:rsidR="006D6888" w:rsidRPr="007A79E3">
        <w:rPr>
          <w:rStyle w:val="IntenseEmphasis"/>
          <w:rFonts w:ascii="Arial" w:hAnsi="Arial" w:cs="Arial"/>
          <w:i w:val="0"/>
          <w:color w:val="auto"/>
          <w:sz w:val="24"/>
          <w:szCs w:val="24"/>
        </w:rPr>
        <w:t xml:space="preserve">04 June 2021, </w:t>
      </w:r>
      <w:r w:rsidRPr="007A79E3">
        <w:rPr>
          <w:rStyle w:val="IntenseEmphasis"/>
          <w:rFonts w:ascii="Arial" w:hAnsi="Arial" w:cs="Arial"/>
          <w:i w:val="0"/>
          <w:color w:val="auto"/>
          <w:sz w:val="24"/>
          <w:szCs w:val="24"/>
        </w:rPr>
        <w:t xml:space="preserve">Roland </w:t>
      </w:r>
      <w:r w:rsidR="006D6888" w:rsidRPr="007A79E3">
        <w:rPr>
          <w:rStyle w:val="IntenseEmphasis"/>
          <w:rFonts w:ascii="Arial" w:hAnsi="Arial" w:cs="Arial"/>
          <w:i w:val="0"/>
          <w:color w:val="auto"/>
          <w:sz w:val="24"/>
          <w:szCs w:val="24"/>
        </w:rPr>
        <w:t xml:space="preserve">instructed </w:t>
      </w:r>
      <w:r w:rsidRPr="007A79E3">
        <w:rPr>
          <w:rStyle w:val="IntenseEmphasis"/>
          <w:rFonts w:ascii="Arial" w:hAnsi="Arial" w:cs="Arial"/>
          <w:i w:val="0"/>
          <w:color w:val="auto"/>
          <w:sz w:val="24"/>
          <w:szCs w:val="24"/>
        </w:rPr>
        <w:t>his</w:t>
      </w:r>
      <w:r w:rsidR="006D6888" w:rsidRPr="007A79E3">
        <w:rPr>
          <w:rStyle w:val="IntenseEmphasis"/>
          <w:rFonts w:ascii="Arial" w:hAnsi="Arial" w:cs="Arial"/>
          <w:i w:val="0"/>
          <w:color w:val="auto"/>
          <w:sz w:val="24"/>
          <w:szCs w:val="24"/>
        </w:rPr>
        <w:t xml:space="preserve"> legal practitioners, as</w:t>
      </w:r>
      <w:r w:rsidRPr="007A79E3">
        <w:rPr>
          <w:rStyle w:val="IntenseEmphasis"/>
          <w:rFonts w:ascii="Arial" w:hAnsi="Arial" w:cs="Arial"/>
          <w:i w:val="0"/>
          <w:color w:val="auto"/>
          <w:sz w:val="24"/>
          <w:szCs w:val="24"/>
        </w:rPr>
        <w:t xml:space="preserve"> his</w:t>
      </w:r>
      <w:r w:rsidR="006D6888" w:rsidRPr="007A79E3">
        <w:rPr>
          <w:rStyle w:val="IntenseEmphasis"/>
          <w:rFonts w:ascii="Arial" w:hAnsi="Arial" w:cs="Arial"/>
          <w:i w:val="0"/>
          <w:color w:val="auto"/>
          <w:sz w:val="24"/>
          <w:szCs w:val="24"/>
        </w:rPr>
        <w:t xml:space="preserve"> agent, to apply for the registration of a trademark "</w:t>
      </w:r>
      <w:proofErr w:type="spellStart"/>
      <w:r w:rsidR="006D6888" w:rsidRPr="007A79E3">
        <w:rPr>
          <w:rStyle w:val="IntenseEmphasis"/>
          <w:rFonts w:ascii="Arial" w:hAnsi="Arial" w:cs="Arial"/>
          <w:i w:val="0"/>
          <w:color w:val="auto"/>
          <w:sz w:val="24"/>
          <w:szCs w:val="24"/>
        </w:rPr>
        <w:t>Enkehaus</w:t>
      </w:r>
      <w:proofErr w:type="spellEnd"/>
      <w:r w:rsidR="006D6888" w:rsidRPr="007A79E3">
        <w:rPr>
          <w:rStyle w:val="IntenseEmphasis"/>
          <w:rFonts w:ascii="Arial" w:hAnsi="Arial" w:cs="Arial"/>
          <w:i w:val="0"/>
          <w:color w:val="auto"/>
          <w:sz w:val="24"/>
          <w:szCs w:val="24"/>
        </w:rPr>
        <w:t xml:space="preserve">" in terms of s140 of the Industrial Property Act 1 of 2012 ("the Industrial Property Act"). </w:t>
      </w:r>
      <w:r>
        <w:rPr>
          <w:rStyle w:val="IntenseEmphasis"/>
          <w:rFonts w:ascii="Arial" w:hAnsi="Arial" w:cs="Arial"/>
          <w:i w:val="0"/>
          <w:color w:val="auto"/>
          <w:sz w:val="24"/>
          <w:szCs w:val="24"/>
        </w:rPr>
        <w:t xml:space="preserve">Alleging that he for the first </w:t>
      </w:r>
      <w:r w:rsidR="00D92C85">
        <w:rPr>
          <w:rStyle w:val="IntenseEmphasis"/>
          <w:rFonts w:ascii="Arial" w:hAnsi="Arial" w:cs="Arial"/>
          <w:i w:val="0"/>
          <w:color w:val="auto"/>
          <w:sz w:val="24"/>
          <w:szCs w:val="24"/>
        </w:rPr>
        <w:t xml:space="preserve">time </w:t>
      </w:r>
      <w:r>
        <w:rPr>
          <w:rStyle w:val="IntenseEmphasis"/>
          <w:rFonts w:ascii="Arial" w:hAnsi="Arial" w:cs="Arial"/>
          <w:i w:val="0"/>
          <w:color w:val="auto"/>
          <w:sz w:val="24"/>
          <w:szCs w:val="24"/>
        </w:rPr>
        <w:t>be</w:t>
      </w:r>
      <w:r w:rsidR="00D92C85">
        <w:rPr>
          <w:rStyle w:val="IntenseEmphasis"/>
          <w:rFonts w:ascii="Arial" w:hAnsi="Arial" w:cs="Arial"/>
          <w:i w:val="0"/>
          <w:color w:val="auto"/>
          <w:sz w:val="24"/>
          <w:szCs w:val="24"/>
        </w:rPr>
        <w:t xml:space="preserve">came aware of the existence of </w:t>
      </w:r>
      <w:r w:rsidR="00BB73FA">
        <w:rPr>
          <w:rStyle w:val="IntenseEmphasis"/>
          <w:rFonts w:ascii="Arial" w:hAnsi="Arial" w:cs="Arial"/>
          <w:i w:val="0"/>
          <w:color w:val="auto"/>
          <w:sz w:val="24"/>
          <w:szCs w:val="24"/>
        </w:rPr>
        <w:t xml:space="preserve">a close corporation with the name </w:t>
      </w:r>
      <w:proofErr w:type="spellStart"/>
      <w:r w:rsidR="00BB73FA">
        <w:rPr>
          <w:rStyle w:val="IntenseEmphasis"/>
          <w:rFonts w:ascii="Arial" w:hAnsi="Arial" w:cs="Arial"/>
          <w:i w:val="0"/>
          <w:color w:val="auto"/>
          <w:sz w:val="24"/>
          <w:szCs w:val="24"/>
        </w:rPr>
        <w:t>Enkehaus</w:t>
      </w:r>
      <w:proofErr w:type="spellEnd"/>
      <w:r w:rsidR="00BB73FA">
        <w:rPr>
          <w:rStyle w:val="IntenseEmphasis"/>
          <w:rFonts w:ascii="Arial" w:hAnsi="Arial" w:cs="Arial"/>
          <w:i w:val="0"/>
          <w:color w:val="auto"/>
          <w:sz w:val="24"/>
          <w:szCs w:val="24"/>
        </w:rPr>
        <w:t>, Private Hospital, CC, o</w:t>
      </w:r>
      <w:r w:rsidR="006D6888" w:rsidRPr="007A79E3">
        <w:rPr>
          <w:rStyle w:val="IntenseEmphasis"/>
          <w:rFonts w:ascii="Arial" w:hAnsi="Arial" w:cs="Arial"/>
          <w:i w:val="0"/>
          <w:color w:val="auto"/>
          <w:sz w:val="24"/>
          <w:szCs w:val="24"/>
        </w:rPr>
        <w:t xml:space="preserve">n 22 June 2021, </w:t>
      </w:r>
      <w:r w:rsidR="00BB73FA">
        <w:rPr>
          <w:rStyle w:val="IntenseEmphasis"/>
          <w:rFonts w:ascii="Arial" w:hAnsi="Arial" w:cs="Arial"/>
          <w:i w:val="0"/>
          <w:color w:val="auto"/>
          <w:sz w:val="24"/>
          <w:szCs w:val="24"/>
        </w:rPr>
        <w:t>instructed his legal practitioners</w:t>
      </w:r>
      <w:r w:rsidRPr="007A79E3">
        <w:rPr>
          <w:rStyle w:val="IntenseEmphasis"/>
          <w:rFonts w:ascii="Arial" w:hAnsi="Arial" w:cs="Arial"/>
          <w:i w:val="0"/>
          <w:color w:val="auto"/>
          <w:sz w:val="24"/>
          <w:szCs w:val="24"/>
        </w:rPr>
        <w:t xml:space="preserve"> </w:t>
      </w:r>
      <w:r w:rsidR="00BB73FA">
        <w:rPr>
          <w:rStyle w:val="IntenseEmphasis"/>
          <w:rFonts w:ascii="Arial" w:hAnsi="Arial" w:cs="Arial"/>
          <w:i w:val="0"/>
          <w:color w:val="auto"/>
          <w:sz w:val="24"/>
          <w:szCs w:val="24"/>
        </w:rPr>
        <w:t xml:space="preserve">to </w:t>
      </w:r>
      <w:r w:rsidR="00D92C85">
        <w:rPr>
          <w:rStyle w:val="IntenseEmphasis"/>
          <w:rFonts w:ascii="Arial" w:hAnsi="Arial" w:cs="Arial"/>
          <w:i w:val="0"/>
          <w:color w:val="auto"/>
          <w:sz w:val="24"/>
          <w:szCs w:val="24"/>
        </w:rPr>
        <w:t>address</w:t>
      </w:r>
      <w:r w:rsidR="006D6888" w:rsidRPr="007A79E3">
        <w:rPr>
          <w:rStyle w:val="IntenseEmphasis"/>
          <w:rFonts w:ascii="Arial" w:hAnsi="Arial" w:cs="Arial"/>
          <w:i w:val="0"/>
          <w:color w:val="auto"/>
          <w:sz w:val="24"/>
          <w:szCs w:val="24"/>
        </w:rPr>
        <w:t xml:space="preserve"> </w:t>
      </w:r>
      <w:r w:rsidR="00BB73FA">
        <w:rPr>
          <w:rStyle w:val="IntenseEmphasis"/>
          <w:rFonts w:ascii="Arial" w:hAnsi="Arial" w:cs="Arial"/>
          <w:i w:val="0"/>
          <w:color w:val="auto"/>
          <w:sz w:val="24"/>
          <w:szCs w:val="24"/>
        </w:rPr>
        <w:t xml:space="preserve">(which they did) </w:t>
      </w:r>
      <w:r w:rsidR="006D6888" w:rsidRPr="007A79E3">
        <w:rPr>
          <w:rStyle w:val="IntenseEmphasis"/>
          <w:rFonts w:ascii="Arial" w:hAnsi="Arial" w:cs="Arial"/>
          <w:i w:val="0"/>
          <w:color w:val="auto"/>
          <w:sz w:val="24"/>
          <w:szCs w:val="24"/>
        </w:rPr>
        <w:t>a letter to the first respondent</w:t>
      </w:r>
      <w:r>
        <w:rPr>
          <w:rStyle w:val="IntenseEmphasis"/>
          <w:rFonts w:ascii="Arial" w:hAnsi="Arial" w:cs="Arial"/>
          <w:i w:val="0"/>
          <w:color w:val="auto"/>
          <w:sz w:val="24"/>
          <w:szCs w:val="24"/>
        </w:rPr>
        <w:t xml:space="preserve"> (Registrar: Business and Intellectual Property Authority Namibia) </w:t>
      </w:r>
      <w:r w:rsidR="006D6888" w:rsidRPr="007A79E3">
        <w:rPr>
          <w:rStyle w:val="IntenseEmphasis"/>
          <w:rFonts w:ascii="Arial" w:hAnsi="Arial" w:cs="Arial"/>
          <w:i w:val="0"/>
          <w:color w:val="auto"/>
          <w:sz w:val="24"/>
          <w:szCs w:val="24"/>
        </w:rPr>
        <w:t>in her capacity as Registrar of Close Corporations</w:t>
      </w:r>
      <w:r>
        <w:rPr>
          <w:rStyle w:val="IntenseEmphasis"/>
          <w:rFonts w:ascii="Arial" w:hAnsi="Arial" w:cs="Arial"/>
          <w:i w:val="0"/>
          <w:color w:val="auto"/>
          <w:sz w:val="24"/>
          <w:szCs w:val="24"/>
        </w:rPr>
        <w:t xml:space="preserve"> requesting her to order</w:t>
      </w:r>
      <w:r w:rsidR="006D6888" w:rsidRPr="007A79E3">
        <w:rPr>
          <w:rStyle w:val="IntenseEmphasis"/>
          <w:rFonts w:ascii="Arial" w:hAnsi="Arial" w:cs="Arial"/>
          <w:i w:val="0"/>
          <w:color w:val="auto"/>
          <w:sz w:val="24"/>
          <w:szCs w:val="24"/>
        </w:rPr>
        <w:t xml:space="preserve"> a </w:t>
      </w:r>
      <w:r w:rsidR="007C72BB" w:rsidRPr="007A79E3">
        <w:rPr>
          <w:rStyle w:val="IntenseEmphasis"/>
          <w:rFonts w:ascii="Arial" w:hAnsi="Arial" w:cs="Arial"/>
          <w:i w:val="0"/>
          <w:color w:val="auto"/>
          <w:sz w:val="24"/>
          <w:szCs w:val="24"/>
        </w:rPr>
        <w:t xml:space="preserve">close corporation </w:t>
      </w:r>
      <w:r w:rsidR="006D6888" w:rsidRPr="007A79E3">
        <w:rPr>
          <w:rStyle w:val="IntenseEmphasis"/>
          <w:rFonts w:ascii="Arial" w:hAnsi="Arial" w:cs="Arial"/>
          <w:i w:val="0"/>
          <w:color w:val="auto"/>
          <w:sz w:val="24"/>
          <w:szCs w:val="24"/>
        </w:rPr>
        <w:t>registered as</w:t>
      </w:r>
      <w:r w:rsidR="00D92C85">
        <w:rPr>
          <w:rStyle w:val="IntenseEmphasis"/>
          <w:rFonts w:ascii="Arial" w:hAnsi="Arial" w:cs="Arial"/>
          <w:i w:val="0"/>
          <w:color w:val="auto"/>
          <w:sz w:val="24"/>
          <w:szCs w:val="24"/>
        </w:rPr>
        <w:t xml:space="preserve"> </w:t>
      </w:r>
      <w:proofErr w:type="spellStart"/>
      <w:r w:rsidR="00D92C85">
        <w:rPr>
          <w:rStyle w:val="IntenseEmphasis"/>
          <w:rFonts w:ascii="Arial" w:hAnsi="Arial" w:cs="Arial"/>
          <w:i w:val="0"/>
          <w:color w:val="auto"/>
          <w:sz w:val="24"/>
          <w:szCs w:val="24"/>
        </w:rPr>
        <w:t>Enkehaus</w:t>
      </w:r>
      <w:proofErr w:type="spellEnd"/>
      <w:r w:rsidR="00D92C85">
        <w:rPr>
          <w:rStyle w:val="IntenseEmphasis"/>
          <w:rFonts w:ascii="Arial" w:hAnsi="Arial" w:cs="Arial"/>
          <w:i w:val="0"/>
          <w:color w:val="auto"/>
          <w:sz w:val="24"/>
          <w:szCs w:val="24"/>
        </w:rPr>
        <w:t xml:space="preserve"> Private Hospital CC (</w:t>
      </w:r>
      <w:r w:rsidR="006D6888" w:rsidRPr="007A79E3">
        <w:rPr>
          <w:rStyle w:val="IntenseEmphasis"/>
          <w:rFonts w:ascii="Arial" w:hAnsi="Arial" w:cs="Arial"/>
          <w:i w:val="0"/>
          <w:color w:val="auto"/>
          <w:sz w:val="24"/>
          <w:szCs w:val="24"/>
        </w:rPr>
        <w:t>the fourth respondent) to change its name in terms of s 2</w:t>
      </w:r>
      <w:r w:rsidR="007C72BB">
        <w:rPr>
          <w:rStyle w:val="IntenseEmphasis"/>
          <w:rFonts w:ascii="Arial" w:hAnsi="Arial" w:cs="Arial"/>
          <w:i w:val="0"/>
          <w:color w:val="auto"/>
          <w:sz w:val="24"/>
          <w:szCs w:val="24"/>
        </w:rPr>
        <w:t>0 of the Close Corporations Act.</w:t>
      </w:r>
    </w:p>
    <w:p w14:paraId="7EED52FE" w14:textId="77777777" w:rsidR="007A79E3" w:rsidRPr="00BB73FA" w:rsidRDefault="007A79E3" w:rsidP="00E627DB">
      <w:pPr>
        <w:spacing w:after="0"/>
        <w:jc w:val="both"/>
        <w:rPr>
          <w:rStyle w:val="IntenseEmphasis"/>
          <w:rFonts w:ascii="Arial" w:hAnsi="Arial" w:cs="Arial"/>
          <w:i w:val="0"/>
          <w:color w:val="auto"/>
          <w:sz w:val="24"/>
          <w:szCs w:val="24"/>
        </w:rPr>
      </w:pPr>
    </w:p>
    <w:p w14:paraId="7195CB30" w14:textId="77777777" w:rsidR="006D6888" w:rsidRDefault="00BB73FA" w:rsidP="00E627DB">
      <w:pPr>
        <w:spacing w:after="0"/>
        <w:jc w:val="both"/>
        <w:rPr>
          <w:rFonts w:ascii="Arial" w:hAnsi="Arial" w:cs="Arial"/>
          <w:sz w:val="24"/>
          <w:szCs w:val="24"/>
        </w:rPr>
      </w:pPr>
      <w:r w:rsidRPr="00BB73FA">
        <w:rPr>
          <w:rStyle w:val="IntenseEmphasis"/>
          <w:rFonts w:ascii="Arial" w:hAnsi="Arial" w:cs="Arial"/>
          <w:i w:val="0"/>
          <w:color w:val="auto"/>
          <w:sz w:val="24"/>
          <w:szCs w:val="24"/>
        </w:rPr>
        <w:t>[12]</w:t>
      </w:r>
      <w:r w:rsidRPr="00BB73FA">
        <w:rPr>
          <w:rStyle w:val="IntenseEmphasis"/>
          <w:rFonts w:ascii="Arial" w:hAnsi="Arial" w:cs="Arial"/>
          <w:i w:val="0"/>
          <w:color w:val="auto"/>
          <w:sz w:val="24"/>
          <w:szCs w:val="24"/>
        </w:rPr>
        <w:tab/>
        <w:t xml:space="preserve">On </w:t>
      </w:r>
      <w:r w:rsidR="006D6888" w:rsidRPr="00BB73FA">
        <w:rPr>
          <w:rFonts w:ascii="Arial" w:hAnsi="Arial" w:cs="Arial"/>
          <w:sz w:val="24"/>
          <w:szCs w:val="24"/>
        </w:rPr>
        <w:t xml:space="preserve">23 August 2021, the </w:t>
      </w:r>
      <w:r w:rsidRPr="00BB73FA">
        <w:rPr>
          <w:rStyle w:val="IntenseEmphasis"/>
          <w:rFonts w:ascii="Arial" w:hAnsi="Arial" w:cs="Arial"/>
          <w:i w:val="0"/>
          <w:color w:val="auto"/>
          <w:sz w:val="24"/>
          <w:szCs w:val="24"/>
        </w:rPr>
        <w:t xml:space="preserve">Registrar: Business and Intellectual Property Authority Namibia (I will, in this judgment for ease of reference refer to her as the Registrar of Business) </w:t>
      </w:r>
      <w:r w:rsidR="006D6888" w:rsidRPr="00BB73FA">
        <w:rPr>
          <w:rFonts w:ascii="Arial" w:hAnsi="Arial" w:cs="Arial"/>
          <w:sz w:val="24"/>
          <w:szCs w:val="24"/>
        </w:rPr>
        <w:t xml:space="preserve">responded to </w:t>
      </w:r>
      <w:r w:rsidRPr="00BB73FA">
        <w:rPr>
          <w:rFonts w:ascii="Arial" w:hAnsi="Arial" w:cs="Arial"/>
          <w:sz w:val="24"/>
          <w:szCs w:val="24"/>
        </w:rPr>
        <w:t>Roland’s</w:t>
      </w:r>
      <w:r w:rsidR="006D6888" w:rsidRPr="00BB73FA">
        <w:rPr>
          <w:rFonts w:ascii="Arial" w:hAnsi="Arial" w:cs="Arial"/>
          <w:sz w:val="24"/>
          <w:szCs w:val="24"/>
        </w:rPr>
        <w:t xml:space="preserve"> legal </w:t>
      </w:r>
      <w:r w:rsidR="006D6888" w:rsidRPr="00BB73FA">
        <w:rPr>
          <w:rFonts w:ascii="Arial" w:hAnsi="Arial" w:cs="Arial"/>
          <w:spacing w:val="-5"/>
          <w:sz w:val="24"/>
          <w:szCs w:val="24"/>
        </w:rPr>
        <w:t xml:space="preserve">practitioners' letter of 22 June </w:t>
      </w:r>
      <w:r w:rsidRPr="00BB73FA">
        <w:rPr>
          <w:rFonts w:ascii="Arial" w:hAnsi="Arial" w:cs="Arial"/>
          <w:spacing w:val="-5"/>
          <w:sz w:val="24"/>
          <w:szCs w:val="24"/>
        </w:rPr>
        <w:t>2021. In her response</w:t>
      </w:r>
      <w:r w:rsidR="00D92C85">
        <w:rPr>
          <w:rFonts w:ascii="Arial" w:hAnsi="Arial" w:cs="Arial"/>
          <w:spacing w:val="-5"/>
          <w:sz w:val="24"/>
          <w:szCs w:val="24"/>
        </w:rPr>
        <w:t>,</w:t>
      </w:r>
      <w:r w:rsidRPr="00BB73FA">
        <w:rPr>
          <w:rFonts w:ascii="Arial" w:hAnsi="Arial" w:cs="Arial"/>
          <w:spacing w:val="-5"/>
          <w:sz w:val="24"/>
          <w:szCs w:val="24"/>
        </w:rPr>
        <w:t xml:space="preserve"> the Registrar of Business</w:t>
      </w:r>
      <w:r>
        <w:rPr>
          <w:rFonts w:ascii="Arial" w:hAnsi="Arial" w:cs="Arial"/>
          <w:spacing w:val="-5"/>
          <w:sz w:val="24"/>
          <w:szCs w:val="24"/>
        </w:rPr>
        <w:t xml:space="preserve"> </w:t>
      </w:r>
      <w:r>
        <w:rPr>
          <w:rFonts w:ascii="Arial" w:hAnsi="Arial" w:cs="Arial"/>
          <w:sz w:val="24"/>
          <w:szCs w:val="24"/>
        </w:rPr>
        <w:t>amongst other matters stated the following:</w:t>
      </w:r>
    </w:p>
    <w:p w14:paraId="1AA0E674" w14:textId="77777777" w:rsidR="00EE4820" w:rsidRPr="00BB73FA" w:rsidRDefault="00EE4820" w:rsidP="00E627DB">
      <w:pPr>
        <w:spacing w:after="0"/>
        <w:jc w:val="both"/>
        <w:rPr>
          <w:rFonts w:ascii="Arial" w:hAnsi="Arial" w:cs="Arial"/>
          <w:sz w:val="24"/>
          <w:szCs w:val="24"/>
        </w:rPr>
      </w:pPr>
    </w:p>
    <w:p w14:paraId="29B5A6EA" w14:textId="77777777" w:rsidR="006D6888" w:rsidRDefault="00BB73FA" w:rsidP="00E627DB">
      <w:pPr>
        <w:spacing w:after="0"/>
        <w:ind w:firstLine="709"/>
        <w:jc w:val="both"/>
        <w:rPr>
          <w:rFonts w:ascii="Arial" w:hAnsi="Arial" w:cs="Arial"/>
          <w:spacing w:val="-3"/>
        </w:rPr>
      </w:pPr>
      <w:r w:rsidRPr="00BB73FA">
        <w:rPr>
          <w:rFonts w:ascii="Arial" w:hAnsi="Arial" w:cs="Arial"/>
          <w:w w:val="105"/>
        </w:rPr>
        <w:t>‘</w:t>
      </w:r>
      <w:r w:rsidR="00E627DB">
        <w:rPr>
          <w:rFonts w:ascii="Arial" w:hAnsi="Arial" w:cs="Arial"/>
          <w:w w:val="105"/>
        </w:rPr>
        <w:t>…</w:t>
      </w:r>
      <w:r w:rsidR="006D6888" w:rsidRPr="00BB73FA">
        <w:rPr>
          <w:rFonts w:ascii="Arial" w:hAnsi="Arial" w:cs="Arial"/>
          <w:spacing w:val="1"/>
        </w:rPr>
        <w:t xml:space="preserve">This letter serves as an acknowledgement of receipt your letter dated 22 </w:t>
      </w:r>
      <w:r w:rsidR="006D6888" w:rsidRPr="00BB73FA">
        <w:rPr>
          <w:rFonts w:ascii="Arial" w:hAnsi="Arial" w:cs="Arial"/>
        </w:rPr>
        <w:t xml:space="preserve">June 2021 and BIPA takes note of the content therein. BIPA </w:t>
      </w:r>
      <w:r w:rsidR="001B0D92" w:rsidRPr="00BB73FA">
        <w:rPr>
          <w:rFonts w:ascii="Arial" w:hAnsi="Arial" w:cs="Arial"/>
        </w:rPr>
        <w:t>apologizes</w:t>
      </w:r>
      <w:r w:rsidR="006D6888" w:rsidRPr="00BB73FA">
        <w:rPr>
          <w:rFonts w:ascii="Arial" w:hAnsi="Arial" w:cs="Arial"/>
        </w:rPr>
        <w:t xml:space="preserve"> for </w:t>
      </w:r>
      <w:r w:rsidR="006D6888" w:rsidRPr="00BB73FA">
        <w:rPr>
          <w:rFonts w:ascii="Arial" w:hAnsi="Arial" w:cs="Arial"/>
          <w:spacing w:val="-3"/>
        </w:rPr>
        <w:t>the delay in responding to your letter.</w:t>
      </w:r>
    </w:p>
    <w:p w14:paraId="38D13061" w14:textId="77777777" w:rsidR="00E627DB" w:rsidRPr="00BB73FA" w:rsidRDefault="00E627DB" w:rsidP="00E627DB">
      <w:pPr>
        <w:spacing w:after="0"/>
        <w:ind w:firstLine="709"/>
        <w:jc w:val="both"/>
        <w:rPr>
          <w:rFonts w:ascii="Arial" w:hAnsi="Arial" w:cs="Arial"/>
          <w:spacing w:val="1"/>
        </w:rPr>
      </w:pPr>
    </w:p>
    <w:p w14:paraId="4C39DD1E" w14:textId="77777777" w:rsidR="006D6888" w:rsidRDefault="006D6888" w:rsidP="00E627DB">
      <w:pPr>
        <w:spacing w:after="0"/>
        <w:jc w:val="both"/>
        <w:rPr>
          <w:rFonts w:ascii="Arial" w:hAnsi="Arial" w:cs="Arial"/>
          <w:spacing w:val="1"/>
        </w:rPr>
      </w:pPr>
      <w:r w:rsidRPr="00BB73FA">
        <w:rPr>
          <w:rFonts w:ascii="Arial" w:hAnsi="Arial" w:cs="Arial"/>
          <w:spacing w:val="-1"/>
        </w:rPr>
        <w:t xml:space="preserve">It has come to the Registrar of Business' attention that your client, Roland </w:t>
      </w:r>
      <w:r w:rsidRPr="00BB73FA">
        <w:rPr>
          <w:rFonts w:ascii="Arial" w:hAnsi="Arial" w:cs="Arial"/>
        </w:rPr>
        <w:t>Enke, filed for an application to trademark "</w:t>
      </w:r>
      <w:proofErr w:type="spellStart"/>
      <w:r w:rsidRPr="00BB73FA">
        <w:rPr>
          <w:rFonts w:ascii="Arial" w:hAnsi="Arial" w:cs="Arial"/>
        </w:rPr>
        <w:t>Enkehaus</w:t>
      </w:r>
      <w:proofErr w:type="spellEnd"/>
      <w:r w:rsidRPr="00BB73FA">
        <w:rPr>
          <w:rFonts w:ascii="Arial" w:hAnsi="Arial" w:cs="Arial"/>
        </w:rPr>
        <w:t xml:space="preserve">" under trademark </w:t>
      </w:r>
      <w:r w:rsidRPr="00BB73FA">
        <w:rPr>
          <w:rFonts w:ascii="Arial" w:hAnsi="Arial" w:cs="Arial"/>
          <w:spacing w:val="1"/>
        </w:rPr>
        <w:t>number NA/T/2021/473 on 16 June 2021.</w:t>
      </w:r>
    </w:p>
    <w:p w14:paraId="62E4A69B" w14:textId="77777777" w:rsidR="00E627DB" w:rsidRPr="00BB73FA" w:rsidRDefault="00E627DB" w:rsidP="00E627DB">
      <w:pPr>
        <w:spacing w:after="0"/>
        <w:jc w:val="both"/>
        <w:rPr>
          <w:rFonts w:ascii="Arial" w:hAnsi="Arial" w:cs="Arial"/>
          <w:spacing w:val="-1"/>
        </w:rPr>
      </w:pPr>
    </w:p>
    <w:p w14:paraId="78D878EC" w14:textId="77777777" w:rsidR="006D6888" w:rsidRDefault="006D6888" w:rsidP="00E627DB">
      <w:pPr>
        <w:spacing w:after="0"/>
        <w:jc w:val="both"/>
        <w:rPr>
          <w:rFonts w:ascii="Arial" w:hAnsi="Arial" w:cs="Arial"/>
          <w:spacing w:val="-10"/>
          <w:u w:val="single"/>
        </w:rPr>
      </w:pPr>
      <w:r w:rsidRPr="00BB73FA">
        <w:rPr>
          <w:rFonts w:ascii="Arial" w:hAnsi="Arial" w:cs="Arial"/>
          <w:spacing w:val="4"/>
        </w:rPr>
        <w:t xml:space="preserve">We regret to inform you that your trademark application for the name </w:t>
      </w:r>
      <w:r w:rsidRPr="00BB73FA">
        <w:rPr>
          <w:rFonts w:ascii="Arial" w:hAnsi="Arial" w:cs="Arial"/>
          <w:spacing w:val="1"/>
        </w:rPr>
        <w:t>"</w:t>
      </w:r>
      <w:proofErr w:type="spellStart"/>
      <w:r w:rsidRPr="00BB73FA">
        <w:rPr>
          <w:rFonts w:ascii="Arial" w:hAnsi="Arial" w:cs="Arial"/>
          <w:spacing w:val="1"/>
        </w:rPr>
        <w:t>Enkehaus</w:t>
      </w:r>
      <w:proofErr w:type="spellEnd"/>
      <w:r w:rsidRPr="00BB73FA">
        <w:rPr>
          <w:rFonts w:ascii="Arial" w:hAnsi="Arial" w:cs="Arial"/>
          <w:spacing w:val="1"/>
        </w:rPr>
        <w:t xml:space="preserve">" was erroneously filed by the Registrar as there is already an </w:t>
      </w:r>
      <w:r w:rsidRPr="00BB73FA">
        <w:rPr>
          <w:rFonts w:ascii="Arial" w:hAnsi="Arial" w:cs="Arial"/>
          <w:spacing w:val="2"/>
        </w:rPr>
        <w:t xml:space="preserve">entity as you are aware, by the name </w:t>
      </w:r>
      <w:proofErr w:type="spellStart"/>
      <w:r w:rsidRPr="00BB73FA">
        <w:rPr>
          <w:rFonts w:ascii="Arial" w:hAnsi="Arial" w:cs="Arial"/>
          <w:spacing w:val="2"/>
        </w:rPr>
        <w:t>Enkehaus</w:t>
      </w:r>
      <w:proofErr w:type="spellEnd"/>
      <w:r w:rsidRPr="00BB73FA">
        <w:rPr>
          <w:rFonts w:ascii="Arial" w:hAnsi="Arial" w:cs="Arial"/>
          <w:spacing w:val="2"/>
        </w:rPr>
        <w:t xml:space="preserve"> Private Hospital </w:t>
      </w:r>
      <w:r w:rsidR="00E627DB" w:rsidRPr="00BB73FA">
        <w:rPr>
          <w:rFonts w:ascii="Arial" w:hAnsi="Arial" w:cs="Arial"/>
          <w:spacing w:val="2"/>
        </w:rPr>
        <w:t>CC that</w:t>
      </w:r>
      <w:r w:rsidRPr="00BB73FA">
        <w:rPr>
          <w:rFonts w:ascii="Arial" w:hAnsi="Arial" w:cs="Arial"/>
          <w:spacing w:val="2"/>
        </w:rPr>
        <w:t xml:space="preserve"> </w:t>
      </w:r>
      <w:r w:rsidRPr="00BB73FA">
        <w:rPr>
          <w:rFonts w:ascii="Arial" w:hAnsi="Arial" w:cs="Arial"/>
        </w:rPr>
        <w:t xml:space="preserve">has been registered as far back as 2020. </w:t>
      </w:r>
      <w:r w:rsidRPr="00EE4820">
        <w:rPr>
          <w:rFonts w:ascii="Arial" w:hAnsi="Arial" w:cs="Arial"/>
          <w:u w:val="single"/>
        </w:rPr>
        <w:t xml:space="preserve">It is against this </w:t>
      </w:r>
      <w:proofErr w:type="gramStart"/>
      <w:r w:rsidRPr="00EE4820">
        <w:rPr>
          <w:rFonts w:ascii="Arial" w:hAnsi="Arial" w:cs="Arial"/>
          <w:u w:val="single"/>
        </w:rPr>
        <w:t>background  that</w:t>
      </w:r>
      <w:proofErr w:type="gramEnd"/>
      <w:r w:rsidRPr="00EE4820">
        <w:rPr>
          <w:rFonts w:ascii="Arial" w:hAnsi="Arial" w:cs="Arial"/>
          <w:u w:val="single"/>
        </w:rPr>
        <w:t xml:space="preserve"> the Registrar will not order </w:t>
      </w:r>
      <w:proofErr w:type="spellStart"/>
      <w:r w:rsidRPr="00EE4820">
        <w:rPr>
          <w:rFonts w:ascii="Arial" w:hAnsi="Arial" w:cs="Arial"/>
          <w:u w:val="single"/>
        </w:rPr>
        <w:t>Enkehaus</w:t>
      </w:r>
      <w:proofErr w:type="spellEnd"/>
      <w:r w:rsidRPr="00EE4820">
        <w:rPr>
          <w:rFonts w:ascii="Arial" w:hAnsi="Arial" w:cs="Arial"/>
          <w:u w:val="single"/>
        </w:rPr>
        <w:t xml:space="preserve"> Private Hospital CC to </w:t>
      </w:r>
      <w:r w:rsidRPr="00EE4820">
        <w:rPr>
          <w:rFonts w:ascii="Arial" w:hAnsi="Arial" w:cs="Arial"/>
          <w:spacing w:val="7"/>
          <w:u w:val="single"/>
        </w:rPr>
        <w:lastRenderedPageBreak/>
        <w:t xml:space="preserve">change their entity name in terms of section 20 of the Close  </w:t>
      </w:r>
      <w:r w:rsidRPr="00EE4820">
        <w:rPr>
          <w:rFonts w:ascii="Arial" w:hAnsi="Arial" w:cs="Arial"/>
          <w:spacing w:val="-10"/>
          <w:u w:val="single"/>
        </w:rPr>
        <w:t>Corporations Act, 1988 (Act No. 26 of 1988</w:t>
      </w:r>
      <w:r w:rsidR="001B0D92" w:rsidRPr="00EE4820">
        <w:rPr>
          <w:rFonts w:ascii="Arial" w:hAnsi="Arial" w:cs="Arial"/>
          <w:spacing w:val="-10"/>
        </w:rPr>
        <w:t>)…</w:t>
      </w:r>
      <w:r w:rsidR="001B0D92" w:rsidRPr="001B0D92">
        <w:rPr>
          <w:rFonts w:ascii="Arial" w:hAnsi="Arial" w:cs="Arial"/>
          <w:spacing w:val="-10"/>
        </w:rPr>
        <w:t>’</w:t>
      </w:r>
      <w:r w:rsidR="001B0D92">
        <w:rPr>
          <w:rFonts w:ascii="Arial" w:hAnsi="Arial" w:cs="Arial"/>
          <w:spacing w:val="-10"/>
          <w:u w:val="single"/>
        </w:rPr>
        <w:t xml:space="preserve"> </w:t>
      </w:r>
    </w:p>
    <w:p w14:paraId="23A3F62A" w14:textId="77777777" w:rsidR="00905B90" w:rsidRDefault="00B32801" w:rsidP="00E627DB">
      <w:pPr>
        <w:spacing w:after="0"/>
        <w:jc w:val="both"/>
        <w:rPr>
          <w:rFonts w:ascii="Arial" w:hAnsi="Arial" w:cs="Arial"/>
          <w:sz w:val="24"/>
          <w:szCs w:val="24"/>
        </w:rPr>
      </w:pPr>
      <w:r>
        <w:rPr>
          <w:rFonts w:ascii="Arial" w:hAnsi="Arial" w:cs="Arial"/>
          <w:sz w:val="24"/>
          <w:szCs w:val="24"/>
        </w:rPr>
        <w:t>[</w:t>
      </w:r>
      <w:r w:rsidR="00A57CB4">
        <w:rPr>
          <w:rFonts w:ascii="Arial" w:hAnsi="Arial" w:cs="Arial"/>
          <w:sz w:val="24"/>
          <w:szCs w:val="24"/>
        </w:rPr>
        <w:t>1</w:t>
      </w:r>
      <w:r w:rsidR="00E627DB">
        <w:rPr>
          <w:rFonts w:ascii="Arial" w:hAnsi="Arial" w:cs="Arial"/>
          <w:sz w:val="24"/>
          <w:szCs w:val="24"/>
        </w:rPr>
        <w:t>3</w:t>
      </w:r>
      <w:r>
        <w:rPr>
          <w:rFonts w:ascii="Arial" w:hAnsi="Arial" w:cs="Arial"/>
          <w:sz w:val="24"/>
          <w:szCs w:val="24"/>
        </w:rPr>
        <w:t>]</w:t>
      </w:r>
      <w:r>
        <w:rPr>
          <w:rFonts w:ascii="Arial" w:hAnsi="Arial" w:cs="Arial"/>
          <w:sz w:val="24"/>
          <w:szCs w:val="24"/>
        </w:rPr>
        <w:tab/>
      </w:r>
      <w:r w:rsidR="00E627DB">
        <w:rPr>
          <w:rFonts w:ascii="Arial" w:hAnsi="Arial" w:cs="Arial"/>
          <w:sz w:val="24"/>
          <w:szCs w:val="24"/>
        </w:rPr>
        <w:t xml:space="preserve"> Roland is aggrieved by the decision of the Registrar of Business’ refusal to order </w:t>
      </w:r>
      <w:r w:rsidR="00E627DB">
        <w:rPr>
          <w:rStyle w:val="IntenseEmphasis"/>
          <w:rFonts w:ascii="Arial" w:hAnsi="Arial" w:cs="Arial"/>
          <w:i w:val="0"/>
          <w:color w:val="auto"/>
          <w:sz w:val="24"/>
          <w:szCs w:val="24"/>
        </w:rPr>
        <w:t xml:space="preserve">the </w:t>
      </w:r>
      <w:r w:rsidR="007C72BB" w:rsidRPr="007A79E3">
        <w:rPr>
          <w:rStyle w:val="IntenseEmphasis"/>
          <w:rFonts w:ascii="Arial" w:hAnsi="Arial" w:cs="Arial"/>
          <w:i w:val="0"/>
          <w:color w:val="auto"/>
          <w:sz w:val="24"/>
          <w:szCs w:val="24"/>
        </w:rPr>
        <w:t>close co</w:t>
      </w:r>
      <w:r w:rsidR="00E627DB" w:rsidRPr="007A79E3">
        <w:rPr>
          <w:rStyle w:val="IntenseEmphasis"/>
          <w:rFonts w:ascii="Arial" w:hAnsi="Arial" w:cs="Arial"/>
          <w:i w:val="0"/>
          <w:color w:val="auto"/>
          <w:sz w:val="24"/>
          <w:szCs w:val="24"/>
        </w:rPr>
        <w:t xml:space="preserve">rporation registered as </w:t>
      </w:r>
      <w:proofErr w:type="spellStart"/>
      <w:r w:rsidR="00E627DB" w:rsidRPr="007A79E3">
        <w:rPr>
          <w:rStyle w:val="IntenseEmphasis"/>
          <w:rFonts w:ascii="Arial" w:hAnsi="Arial" w:cs="Arial"/>
          <w:i w:val="0"/>
          <w:color w:val="auto"/>
          <w:sz w:val="24"/>
          <w:szCs w:val="24"/>
        </w:rPr>
        <w:t>Enkehaus</w:t>
      </w:r>
      <w:proofErr w:type="spellEnd"/>
      <w:r w:rsidR="00E627DB" w:rsidRPr="007A79E3">
        <w:rPr>
          <w:rStyle w:val="IntenseEmphasis"/>
          <w:rFonts w:ascii="Arial" w:hAnsi="Arial" w:cs="Arial"/>
          <w:i w:val="0"/>
          <w:color w:val="auto"/>
          <w:sz w:val="24"/>
          <w:szCs w:val="24"/>
        </w:rPr>
        <w:t xml:space="preserve"> Private Hospital CC (the fourth respondent) to change its name in terms of s 20</w:t>
      </w:r>
      <w:r w:rsidR="00F26D15">
        <w:rPr>
          <w:rStyle w:val="IntenseEmphasis"/>
          <w:rFonts w:ascii="Arial" w:hAnsi="Arial" w:cs="Arial"/>
          <w:i w:val="0"/>
          <w:color w:val="auto"/>
          <w:sz w:val="24"/>
          <w:szCs w:val="24"/>
        </w:rPr>
        <w:t xml:space="preserve"> of the Close Corporations Act. </w:t>
      </w:r>
      <w:r w:rsidR="00905B90">
        <w:rPr>
          <w:rStyle w:val="IntenseEmphasis"/>
          <w:rFonts w:ascii="Arial" w:hAnsi="Arial" w:cs="Arial"/>
          <w:i w:val="0"/>
          <w:color w:val="auto"/>
          <w:sz w:val="24"/>
          <w:szCs w:val="24"/>
        </w:rPr>
        <w:t>Based on that grievanc</w:t>
      </w:r>
      <w:r w:rsidR="00F26D15">
        <w:rPr>
          <w:rStyle w:val="IntenseEmphasis"/>
          <w:rFonts w:ascii="Arial" w:hAnsi="Arial" w:cs="Arial"/>
          <w:i w:val="0"/>
          <w:color w:val="auto"/>
          <w:sz w:val="24"/>
          <w:szCs w:val="24"/>
        </w:rPr>
        <w:t>e the applicants instituted these</w:t>
      </w:r>
      <w:r w:rsidR="00905B90">
        <w:rPr>
          <w:rStyle w:val="IntenseEmphasis"/>
          <w:rFonts w:ascii="Arial" w:hAnsi="Arial" w:cs="Arial"/>
          <w:i w:val="0"/>
          <w:color w:val="auto"/>
          <w:sz w:val="24"/>
          <w:szCs w:val="24"/>
        </w:rPr>
        <w:t xml:space="preserve"> proceedings claiming the relief that I set out in </w:t>
      </w:r>
      <w:r w:rsidR="00905B90">
        <w:rPr>
          <w:rFonts w:ascii="Arial" w:hAnsi="Arial" w:cs="Arial"/>
          <w:sz w:val="24"/>
          <w:szCs w:val="24"/>
        </w:rPr>
        <w:t>paragraph [3] of this judgment.</w:t>
      </w:r>
    </w:p>
    <w:p w14:paraId="6427699F" w14:textId="77777777" w:rsidR="00905B90" w:rsidRDefault="00905B90" w:rsidP="00E627DB">
      <w:pPr>
        <w:spacing w:after="0"/>
        <w:jc w:val="both"/>
        <w:rPr>
          <w:rFonts w:ascii="Arial" w:hAnsi="Arial" w:cs="Arial"/>
          <w:sz w:val="24"/>
          <w:szCs w:val="24"/>
        </w:rPr>
      </w:pPr>
    </w:p>
    <w:p w14:paraId="570BD3B9" w14:textId="77777777" w:rsidR="003C4B4C" w:rsidRDefault="003C4B4C" w:rsidP="00E627DB">
      <w:pPr>
        <w:spacing w:after="0"/>
        <w:jc w:val="both"/>
        <w:rPr>
          <w:rFonts w:ascii="Arial" w:hAnsi="Arial" w:cs="Arial"/>
          <w:sz w:val="24"/>
          <w:szCs w:val="24"/>
        </w:rPr>
      </w:pPr>
      <w:r>
        <w:rPr>
          <w:rFonts w:ascii="Arial" w:hAnsi="Arial" w:cs="Arial"/>
          <w:sz w:val="24"/>
          <w:szCs w:val="24"/>
        </w:rPr>
        <w:t>[14]</w:t>
      </w:r>
      <w:r>
        <w:rPr>
          <w:rFonts w:ascii="Arial" w:hAnsi="Arial" w:cs="Arial"/>
          <w:sz w:val="24"/>
          <w:szCs w:val="24"/>
        </w:rPr>
        <w:tab/>
        <w:t xml:space="preserve"> On </w:t>
      </w:r>
      <w:r w:rsidR="00816D36">
        <w:rPr>
          <w:rFonts w:ascii="Arial" w:hAnsi="Arial" w:cs="Arial"/>
          <w:sz w:val="24"/>
          <w:szCs w:val="24"/>
        </w:rPr>
        <w:t>28 July 2022 the second, third and fourth respondents</w:t>
      </w:r>
      <w:r w:rsidR="00181108">
        <w:rPr>
          <w:rFonts w:ascii="Arial" w:hAnsi="Arial" w:cs="Arial"/>
          <w:sz w:val="24"/>
          <w:szCs w:val="24"/>
        </w:rPr>
        <w:t xml:space="preserve"> (the respondents) signified their intention to oppose the applicants’ claim. On 17 August 2022</w:t>
      </w:r>
      <w:r w:rsidR="00F26D15">
        <w:rPr>
          <w:rFonts w:ascii="Arial" w:hAnsi="Arial" w:cs="Arial"/>
          <w:sz w:val="24"/>
          <w:szCs w:val="24"/>
        </w:rPr>
        <w:t>,</w:t>
      </w:r>
      <w:r w:rsidR="00181108">
        <w:rPr>
          <w:rFonts w:ascii="Arial" w:hAnsi="Arial" w:cs="Arial"/>
          <w:sz w:val="24"/>
          <w:szCs w:val="24"/>
        </w:rPr>
        <w:t xml:space="preserve"> the respondents delivered their answering affidavit to the applicants</w:t>
      </w:r>
      <w:r w:rsidR="007C72BB">
        <w:rPr>
          <w:rFonts w:ascii="Arial" w:hAnsi="Arial" w:cs="Arial"/>
          <w:sz w:val="24"/>
          <w:szCs w:val="24"/>
        </w:rPr>
        <w:t>’</w:t>
      </w:r>
      <w:r w:rsidR="00181108">
        <w:rPr>
          <w:rFonts w:ascii="Arial" w:hAnsi="Arial" w:cs="Arial"/>
          <w:sz w:val="24"/>
          <w:szCs w:val="24"/>
        </w:rPr>
        <w:t xml:space="preserve"> founding affidavit. In the answering affidavit</w:t>
      </w:r>
      <w:r w:rsidR="00F26D15">
        <w:rPr>
          <w:rFonts w:ascii="Arial" w:hAnsi="Arial" w:cs="Arial"/>
          <w:sz w:val="24"/>
          <w:szCs w:val="24"/>
        </w:rPr>
        <w:t>,</w:t>
      </w:r>
      <w:r w:rsidR="00181108">
        <w:rPr>
          <w:rFonts w:ascii="Arial" w:hAnsi="Arial" w:cs="Arial"/>
          <w:sz w:val="24"/>
          <w:szCs w:val="24"/>
        </w:rPr>
        <w:t xml:space="preserve"> the respondents raised four preliminary objections to the applicants</w:t>
      </w:r>
      <w:r w:rsidR="00F26D15">
        <w:rPr>
          <w:rFonts w:ascii="Arial" w:hAnsi="Arial" w:cs="Arial"/>
          <w:sz w:val="24"/>
          <w:szCs w:val="24"/>
        </w:rPr>
        <w:t>’</w:t>
      </w:r>
      <w:r w:rsidR="00181108">
        <w:rPr>
          <w:rFonts w:ascii="Arial" w:hAnsi="Arial" w:cs="Arial"/>
          <w:sz w:val="24"/>
          <w:szCs w:val="24"/>
        </w:rPr>
        <w:t xml:space="preserve"> claim. </w:t>
      </w:r>
    </w:p>
    <w:p w14:paraId="7BC64DAD" w14:textId="77777777" w:rsidR="00181108" w:rsidRDefault="00181108" w:rsidP="00E627DB">
      <w:pPr>
        <w:spacing w:after="0"/>
        <w:jc w:val="both"/>
        <w:rPr>
          <w:rFonts w:ascii="Arial" w:hAnsi="Arial" w:cs="Arial"/>
          <w:sz w:val="24"/>
          <w:szCs w:val="24"/>
        </w:rPr>
      </w:pPr>
    </w:p>
    <w:p w14:paraId="019ECE27" w14:textId="77777777" w:rsidR="0089497C" w:rsidRDefault="00181108" w:rsidP="0089497C">
      <w:pPr>
        <w:spacing w:after="0"/>
        <w:jc w:val="both"/>
        <w:rPr>
          <w:rFonts w:ascii="Arial" w:hAnsi="Arial" w:cs="Arial"/>
          <w:sz w:val="24"/>
          <w:szCs w:val="24"/>
        </w:rPr>
      </w:pPr>
      <w:r>
        <w:rPr>
          <w:rFonts w:ascii="Arial" w:hAnsi="Arial" w:cs="Arial"/>
          <w:sz w:val="24"/>
          <w:szCs w:val="24"/>
        </w:rPr>
        <w:t>[15]</w:t>
      </w:r>
      <w:r>
        <w:rPr>
          <w:rFonts w:ascii="Arial" w:hAnsi="Arial" w:cs="Arial"/>
          <w:sz w:val="24"/>
          <w:szCs w:val="24"/>
        </w:rPr>
        <w:tab/>
        <w:t xml:space="preserve"> The first preliminary object</w:t>
      </w:r>
      <w:r w:rsidR="00F26D15">
        <w:rPr>
          <w:rFonts w:ascii="Arial" w:hAnsi="Arial" w:cs="Arial"/>
          <w:sz w:val="24"/>
          <w:szCs w:val="24"/>
        </w:rPr>
        <w:t>ion</w:t>
      </w:r>
      <w:r>
        <w:rPr>
          <w:rFonts w:ascii="Arial" w:hAnsi="Arial" w:cs="Arial"/>
          <w:sz w:val="24"/>
          <w:szCs w:val="24"/>
        </w:rPr>
        <w:t xml:space="preserve"> is to the effect that s</w:t>
      </w:r>
      <w:r w:rsidRPr="00181108">
        <w:rPr>
          <w:rFonts w:ascii="Arial" w:hAnsi="Arial" w:cs="Arial"/>
          <w:sz w:val="24"/>
          <w:szCs w:val="24"/>
        </w:rPr>
        <w:t xml:space="preserve"> 20(2) </w:t>
      </w:r>
      <w:r w:rsidR="00F26D15">
        <w:rPr>
          <w:rFonts w:ascii="Arial" w:hAnsi="Arial" w:cs="Arial"/>
          <w:sz w:val="24"/>
          <w:szCs w:val="24"/>
        </w:rPr>
        <w:t xml:space="preserve">of the Close Corporations Act </w:t>
      </w:r>
      <w:r w:rsidRPr="00181108">
        <w:rPr>
          <w:rFonts w:ascii="Arial" w:hAnsi="Arial" w:cs="Arial"/>
          <w:sz w:val="24"/>
          <w:szCs w:val="24"/>
        </w:rPr>
        <w:t>creates two distinct alternative st</w:t>
      </w:r>
      <w:r w:rsidR="00F26D15">
        <w:rPr>
          <w:rFonts w:ascii="Arial" w:hAnsi="Arial" w:cs="Arial"/>
          <w:sz w:val="24"/>
          <w:szCs w:val="24"/>
        </w:rPr>
        <w:t xml:space="preserve">atutory remedies. In terms of s </w:t>
      </w:r>
      <w:r w:rsidRPr="00181108">
        <w:rPr>
          <w:rFonts w:ascii="Arial" w:hAnsi="Arial" w:cs="Arial"/>
          <w:sz w:val="24"/>
          <w:szCs w:val="24"/>
        </w:rPr>
        <w:t>20(2)(</w:t>
      </w:r>
      <w:r w:rsidRPr="00F26D15">
        <w:rPr>
          <w:rFonts w:ascii="Arial" w:hAnsi="Arial" w:cs="Arial"/>
          <w:i/>
          <w:sz w:val="24"/>
          <w:szCs w:val="24"/>
        </w:rPr>
        <w:t>a</w:t>
      </w:r>
      <w:r w:rsidRPr="00181108">
        <w:rPr>
          <w:rFonts w:ascii="Arial" w:hAnsi="Arial" w:cs="Arial"/>
          <w:sz w:val="24"/>
          <w:szCs w:val="24"/>
        </w:rPr>
        <w:t>) of the</w:t>
      </w:r>
      <w:r w:rsidR="00F26D15">
        <w:rPr>
          <w:rFonts w:ascii="Arial" w:hAnsi="Arial" w:cs="Arial"/>
          <w:sz w:val="24"/>
          <w:szCs w:val="24"/>
        </w:rPr>
        <w:t xml:space="preserve"> Close Corporation</w:t>
      </w:r>
      <w:r w:rsidRPr="00181108">
        <w:rPr>
          <w:rFonts w:ascii="Arial" w:hAnsi="Arial" w:cs="Arial"/>
          <w:sz w:val="24"/>
          <w:szCs w:val="24"/>
        </w:rPr>
        <w:t xml:space="preserve"> Act</w:t>
      </w:r>
      <w:r w:rsidR="00F26D15">
        <w:rPr>
          <w:rFonts w:ascii="Arial" w:hAnsi="Arial" w:cs="Arial"/>
          <w:sz w:val="24"/>
          <w:szCs w:val="24"/>
        </w:rPr>
        <w:t>,</w:t>
      </w:r>
      <w:r w:rsidRPr="00181108">
        <w:rPr>
          <w:rFonts w:ascii="Arial" w:hAnsi="Arial" w:cs="Arial"/>
          <w:sz w:val="24"/>
          <w:szCs w:val="24"/>
        </w:rPr>
        <w:t xml:space="preserve"> an interested person may make application to the </w:t>
      </w:r>
      <w:r>
        <w:rPr>
          <w:rFonts w:ascii="Arial" w:hAnsi="Arial" w:cs="Arial"/>
          <w:sz w:val="24"/>
          <w:szCs w:val="24"/>
        </w:rPr>
        <w:t xml:space="preserve">Registrar of Business </w:t>
      </w:r>
      <w:r w:rsidRPr="00181108">
        <w:rPr>
          <w:rFonts w:ascii="Arial" w:hAnsi="Arial" w:cs="Arial"/>
          <w:sz w:val="24"/>
          <w:szCs w:val="24"/>
        </w:rPr>
        <w:t>within a period of one year</w:t>
      </w:r>
      <w:r>
        <w:rPr>
          <w:rFonts w:ascii="Arial" w:hAnsi="Arial" w:cs="Arial"/>
          <w:sz w:val="24"/>
          <w:szCs w:val="24"/>
        </w:rPr>
        <w:t xml:space="preserve"> whereas in terms of s </w:t>
      </w:r>
      <w:r w:rsidRPr="00181108">
        <w:rPr>
          <w:rFonts w:ascii="Arial" w:hAnsi="Arial" w:cs="Arial"/>
          <w:sz w:val="24"/>
          <w:szCs w:val="24"/>
        </w:rPr>
        <w:t>20(2)(</w:t>
      </w:r>
      <w:r w:rsidRPr="00F26D15">
        <w:rPr>
          <w:rFonts w:ascii="Arial" w:hAnsi="Arial" w:cs="Arial"/>
          <w:i/>
          <w:sz w:val="24"/>
          <w:szCs w:val="24"/>
        </w:rPr>
        <w:t>b</w:t>
      </w:r>
      <w:r w:rsidR="00F26D15">
        <w:rPr>
          <w:rFonts w:ascii="Arial" w:hAnsi="Arial" w:cs="Arial"/>
          <w:sz w:val="24"/>
          <w:szCs w:val="24"/>
        </w:rPr>
        <w:t xml:space="preserve">), </w:t>
      </w:r>
      <w:r w:rsidRPr="00181108">
        <w:rPr>
          <w:rFonts w:ascii="Arial" w:hAnsi="Arial" w:cs="Arial"/>
          <w:sz w:val="24"/>
          <w:szCs w:val="24"/>
        </w:rPr>
        <w:t xml:space="preserve">an interested person may make application to court within a period of two years. </w:t>
      </w:r>
      <w:r>
        <w:rPr>
          <w:rFonts w:ascii="Arial" w:hAnsi="Arial" w:cs="Arial"/>
          <w:sz w:val="24"/>
          <w:szCs w:val="24"/>
        </w:rPr>
        <w:t xml:space="preserve">The respondents contend that the </w:t>
      </w:r>
      <w:r w:rsidRPr="00181108">
        <w:rPr>
          <w:rFonts w:ascii="Arial" w:hAnsi="Arial" w:cs="Arial"/>
          <w:sz w:val="24"/>
          <w:szCs w:val="24"/>
        </w:rPr>
        <w:t>applicant</w:t>
      </w:r>
      <w:r>
        <w:rPr>
          <w:rFonts w:ascii="Arial" w:hAnsi="Arial" w:cs="Arial"/>
          <w:sz w:val="24"/>
          <w:szCs w:val="24"/>
        </w:rPr>
        <w:t>s</w:t>
      </w:r>
      <w:r w:rsidRPr="00181108">
        <w:rPr>
          <w:rFonts w:ascii="Arial" w:hAnsi="Arial" w:cs="Arial"/>
          <w:sz w:val="24"/>
          <w:szCs w:val="24"/>
        </w:rPr>
        <w:t xml:space="preserve"> made an elec</w:t>
      </w:r>
      <w:r>
        <w:rPr>
          <w:rFonts w:ascii="Arial" w:hAnsi="Arial" w:cs="Arial"/>
          <w:sz w:val="24"/>
          <w:szCs w:val="24"/>
        </w:rPr>
        <w:t>tio</w:t>
      </w:r>
      <w:r w:rsidR="00F26D15">
        <w:rPr>
          <w:rFonts w:ascii="Arial" w:hAnsi="Arial" w:cs="Arial"/>
          <w:sz w:val="24"/>
          <w:szCs w:val="24"/>
        </w:rPr>
        <w:t>n to invoke s</w:t>
      </w:r>
      <w:r>
        <w:rPr>
          <w:rFonts w:ascii="Arial" w:hAnsi="Arial" w:cs="Arial"/>
          <w:sz w:val="24"/>
          <w:szCs w:val="24"/>
        </w:rPr>
        <w:t xml:space="preserve"> 20(2)(</w:t>
      </w:r>
      <w:r w:rsidRPr="00F26D15">
        <w:rPr>
          <w:rFonts w:ascii="Arial" w:hAnsi="Arial" w:cs="Arial"/>
          <w:i/>
          <w:sz w:val="24"/>
          <w:szCs w:val="24"/>
        </w:rPr>
        <w:t>a</w:t>
      </w:r>
      <w:r>
        <w:rPr>
          <w:rFonts w:ascii="Arial" w:hAnsi="Arial" w:cs="Arial"/>
          <w:sz w:val="24"/>
          <w:szCs w:val="24"/>
        </w:rPr>
        <w:t xml:space="preserve">). Accordingly, so the respondents contend, the applicants </w:t>
      </w:r>
      <w:r w:rsidR="00F26D15">
        <w:rPr>
          <w:rFonts w:ascii="Arial" w:hAnsi="Arial" w:cs="Arial"/>
          <w:sz w:val="24"/>
          <w:szCs w:val="24"/>
        </w:rPr>
        <w:t>are</w:t>
      </w:r>
      <w:r w:rsidRPr="00181108">
        <w:rPr>
          <w:rFonts w:ascii="Arial" w:hAnsi="Arial" w:cs="Arial"/>
          <w:sz w:val="24"/>
          <w:szCs w:val="24"/>
        </w:rPr>
        <w:t xml:space="preserve"> in law precluded from simultaneously seeking relief under the</w:t>
      </w:r>
      <w:r w:rsidR="0089497C">
        <w:rPr>
          <w:rFonts w:ascii="Arial" w:hAnsi="Arial" w:cs="Arial"/>
          <w:sz w:val="24"/>
          <w:szCs w:val="24"/>
        </w:rPr>
        <w:t xml:space="preserve"> alternative remedy created i</w:t>
      </w:r>
      <w:r w:rsidRPr="00181108">
        <w:rPr>
          <w:rFonts w:ascii="Arial" w:hAnsi="Arial" w:cs="Arial"/>
          <w:sz w:val="24"/>
          <w:szCs w:val="24"/>
        </w:rPr>
        <w:t>n s</w:t>
      </w:r>
      <w:r w:rsidR="00F26D15">
        <w:rPr>
          <w:rFonts w:ascii="Arial" w:hAnsi="Arial" w:cs="Arial"/>
          <w:sz w:val="24"/>
          <w:szCs w:val="24"/>
        </w:rPr>
        <w:t xml:space="preserve"> </w:t>
      </w:r>
      <w:r w:rsidRPr="00181108">
        <w:rPr>
          <w:rFonts w:ascii="Arial" w:hAnsi="Arial" w:cs="Arial"/>
          <w:sz w:val="24"/>
          <w:szCs w:val="24"/>
        </w:rPr>
        <w:t>22(2)(</w:t>
      </w:r>
      <w:r w:rsidRPr="00F26D15">
        <w:rPr>
          <w:rFonts w:ascii="Arial" w:hAnsi="Arial" w:cs="Arial"/>
          <w:i/>
          <w:sz w:val="24"/>
          <w:szCs w:val="24"/>
        </w:rPr>
        <w:t>b)</w:t>
      </w:r>
      <w:r w:rsidRPr="00181108">
        <w:rPr>
          <w:rFonts w:ascii="Arial" w:hAnsi="Arial" w:cs="Arial"/>
          <w:sz w:val="24"/>
          <w:szCs w:val="24"/>
        </w:rPr>
        <w:t xml:space="preserve"> of </w:t>
      </w:r>
      <w:r w:rsidR="00F26D15">
        <w:rPr>
          <w:rFonts w:ascii="Arial" w:hAnsi="Arial" w:cs="Arial"/>
          <w:sz w:val="24"/>
          <w:szCs w:val="24"/>
        </w:rPr>
        <w:t>the Close Corporation Act.</w:t>
      </w:r>
    </w:p>
    <w:p w14:paraId="44575BA6" w14:textId="77777777" w:rsidR="0089497C" w:rsidRDefault="0089497C" w:rsidP="0089497C">
      <w:pPr>
        <w:spacing w:after="0"/>
        <w:jc w:val="both"/>
        <w:rPr>
          <w:rFonts w:ascii="Arial" w:hAnsi="Arial" w:cs="Arial"/>
          <w:sz w:val="24"/>
          <w:szCs w:val="24"/>
        </w:rPr>
      </w:pPr>
    </w:p>
    <w:p w14:paraId="6663D2F5" w14:textId="77777777" w:rsidR="0089497C" w:rsidRDefault="007C72BB" w:rsidP="0089497C">
      <w:pPr>
        <w:spacing w:after="0"/>
        <w:jc w:val="both"/>
        <w:rPr>
          <w:rFonts w:ascii="Arial" w:hAnsi="Arial" w:cs="Arial"/>
          <w:sz w:val="24"/>
          <w:szCs w:val="24"/>
        </w:rPr>
      </w:pPr>
      <w:r>
        <w:rPr>
          <w:rFonts w:ascii="Arial" w:hAnsi="Arial" w:cs="Arial"/>
          <w:sz w:val="24"/>
          <w:szCs w:val="24"/>
        </w:rPr>
        <w:t>[16]</w:t>
      </w:r>
      <w:r>
        <w:rPr>
          <w:rFonts w:ascii="Arial" w:hAnsi="Arial" w:cs="Arial"/>
          <w:sz w:val="24"/>
          <w:szCs w:val="24"/>
        </w:rPr>
        <w:tab/>
      </w:r>
      <w:r w:rsidR="0089497C">
        <w:rPr>
          <w:rFonts w:ascii="Arial" w:hAnsi="Arial" w:cs="Arial"/>
          <w:sz w:val="24"/>
          <w:szCs w:val="24"/>
        </w:rPr>
        <w:t xml:space="preserve">The second preliminary objection relates to the period within which the application may be lodged. The respondents contend that the applicants lodged their application in excess of the two </w:t>
      </w:r>
      <w:proofErr w:type="gramStart"/>
      <w:r w:rsidR="0089497C">
        <w:rPr>
          <w:rFonts w:ascii="Arial" w:hAnsi="Arial" w:cs="Arial"/>
          <w:sz w:val="24"/>
          <w:szCs w:val="24"/>
        </w:rPr>
        <w:t>year</w:t>
      </w:r>
      <w:r w:rsidR="00F26D15">
        <w:rPr>
          <w:rFonts w:ascii="Arial" w:hAnsi="Arial" w:cs="Arial"/>
          <w:sz w:val="24"/>
          <w:szCs w:val="24"/>
        </w:rPr>
        <w:t>s’</w:t>
      </w:r>
      <w:proofErr w:type="gramEnd"/>
      <w:r w:rsidR="0089497C">
        <w:rPr>
          <w:rFonts w:ascii="Arial" w:hAnsi="Arial" w:cs="Arial"/>
          <w:sz w:val="24"/>
          <w:szCs w:val="24"/>
        </w:rPr>
        <w:t xml:space="preserve"> contemplated in s 20(2)(</w:t>
      </w:r>
      <w:r w:rsidR="0089497C" w:rsidRPr="00F26D15">
        <w:rPr>
          <w:rFonts w:ascii="Arial" w:hAnsi="Arial" w:cs="Arial"/>
          <w:i/>
          <w:sz w:val="24"/>
          <w:szCs w:val="24"/>
        </w:rPr>
        <w:t>b</w:t>
      </w:r>
      <w:r w:rsidR="0089497C">
        <w:rPr>
          <w:rFonts w:ascii="Arial" w:hAnsi="Arial" w:cs="Arial"/>
          <w:sz w:val="24"/>
          <w:szCs w:val="24"/>
        </w:rPr>
        <w:t xml:space="preserve">) and that this court has no jurisdiction </w:t>
      </w:r>
      <w:r w:rsidR="00181108" w:rsidRPr="00181108">
        <w:rPr>
          <w:rFonts w:ascii="Arial" w:hAnsi="Arial" w:cs="Arial"/>
          <w:sz w:val="24"/>
          <w:szCs w:val="24"/>
        </w:rPr>
        <w:t>or power to condone the late filing of the application.</w:t>
      </w:r>
      <w:r w:rsidR="0089497C">
        <w:rPr>
          <w:rFonts w:ascii="Arial" w:hAnsi="Arial" w:cs="Arial"/>
          <w:sz w:val="24"/>
          <w:szCs w:val="24"/>
        </w:rPr>
        <w:t xml:space="preserve"> The third preliminary objection is the respondents’ contention that the </w:t>
      </w:r>
      <w:r w:rsidR="00181108" w:rsidRPr="00181108">
        <w:rPr>
          <w:rFonts w:ascii="Arial" w:hAnsi="Arial" w:cs="Arial"/>
          <w:sz w:val="24"/>
          <w:szCs w:val="24"/>
        </w:rPr>
        <w:t>applicants</w:t>
      </w:r>
      <w:r w:rsidR="0089497C">
        <w:rPr>
          <w:rFonts w:ascii="Arial" w:hAnsi="Arial" w:cs="Arial"/>
          <w:sz w:val="24"/>
          <w:szCs w:val="24"/>
        </w:rPr>
        <w:t>’</w:t>
      </w:r>
      <w:r w:rsidR="00181108" w:rsidRPr="00181108">
        <w:rPr>
          <w:rFonts w:ascii="Arial" w:hAnsi="Arial" w:cs="Arial"/>
          <w:sz w:val="24"/>
          <w:szCs w:val="24"/>
        </w:rPr>
        <w:t xml:space="preserve"> application lacks averments </w:t>
      </w:r>
      <w:r w:rsidR="0089497C">
        <w:rPr>
          <w:rFonts w:ascii="Arial" w:hAnsi="Arial" w:cs="Arial"/>
          <w:sz w:val="24"/>
          <w:szCs w:val="24"/>
        </w:rPr>
        <w:t xml:space="preserve">that are </w:t>
      </w:r>
      <w:r w:rsidR="00181108" w:rsidRPr="00181108">
        <w:rPr>
          <w:rFonts w:ascii="Arial" w:hAnsi="Arial" w:cs="Arial"/>
          <w:sz w:val="24"/>
          <w:szCs w:val="24"/>
        </w:rPr>
        <w:t>necessary to sustain a cause of action under section 20(2)(</w:t>
      </w:r>
      <w:r w:rsidR="00181108" w:rsidRPr="00F26D15">
        <w:rPr>
          <w:rFonts w:ascii="Arial" w:hAnsi="Arial" w:cs="Arial"/>
          <w:i/>
          <w:sz w:val="24"/>
          <w:szCs w:val="24"/>
        </w:rPr>
        <w:t>b</w:t>
      </w:r>
      <w:r w:rsidR="00181108" w:rsidRPr="00181108">
        <w:rPr>
          <w:rFonts w:ascii="Arial" w:hAnsi="Arial" w:cs="Arial"/>
          <w:sz w:val="24"/>
          <w:szCs w:val="24"/>
        </w:rPr>
        <w:t>) of the Close Corporations Act</w:t>
      </w:r>
      <w:r w:rsidR="0089497C">
        <w:rPr>
          <w:rFonts w:ascii="Arial" w:hAnsi="Arial" w:cs="Arial"/>
          <w:sz w:val="24"/>
          <w:szCs w:val="24"/>
        </w:rPr>
        <w:t>,</w:t>
      </w:r>
      <w:r w:rsidR="00181108" w:rsidRPr="00181108">
        <w:rPr>
          <w:rFonts w:ascii="Arial" w:hAnsi="Arial" w:cs="Arial"/>
          <w:sz w:val="24"/>
          <w:szCs w:val="24"/>
        </w:rPr>
        <w:t xml:space="preserve"> in that the second applicant does not allege that the second to fourth respondents' names are undesirable or </w:t>
      </w:r>
      <w:r w:rsidR="0089497C">
        <w:rPr>
          <w:rFonts w:ascii="Arial" w:hAnsi="Arial" w:cs="Arial"/>
          <w:sz w:val="24"/>
          <w:szCs w:val="24"/>
        </w:rPr>
        <w:t xml:space="preserve">are </w:t>
      </w:r>
      <w:r w:rsidR="00181108" w:rsidRPr="00181108">
        <w:rPr>
          <w:rFonts w:ascii="Arial" w:hAnsi="Arial" w:cs="Arial"/>
          <w:sz w:val="24"/>
          <w:szCs w:val="24"/>
        </w:rPr>
        <w:t>calculated to cause damage in relation to himself as an applicant.</w:t>
      </w:r>
    </w:p>
    <w:p w14:paraId="1EA0FCA3" w14:textId="77777777" w:rsidR="0089497C" w:rsidRDefault="0089497C" w:rsidP="0089497C">
      <w:pPr>
        <w:spacing w:after="0"/>
        <w:jc w:val="both"/>
        <w:rPr>
          <w:rFonts w:ascii="Arial" w:hAnsi="Arial" w:cs="Arial"/>
          <w:sz w:val="24"/>
          <w:szCs w:val="24"/>
        </w:rPr>
      </w:pPr>
    </w:p>
    <w:p w14:paraId="2108C7D1" w14:textId="77777777" w:rsidR="00181108" w:rsidRDefault="0089497C" w:rsidP="0089497C">
      <w:pPr>
        <w:spacing w:after="0"/>
        <w:jc w:val="both"/>
        <w:rPr>
          <w:rFonts w:ascii="Arial" w:hAnsi="Arial" w:cs="Arial"/>
          <w:sz w:val="24"/>
          <w:szCs w:val="24"/>
        </w:rPr>
      </w:pPr>
      <w:r>
        <w:rPr>
          <w:rFonts w:ascii="Arial" w:hAnsi="Arial" w:cs="Arial"/>
          <w:sz w:val="24"/>
          <w:szCs w:val="24"/>
        </w:rPr>
        <w:lastRenderedPageBreak/>
        <w:t>[17]</w:t>
      </w:r>
      <w:r>
        <w:rPr>
          <w:rFonts w:ascii="Arial" w:hAnsi="Arial" w:cs="Arial"/>
          <w:sz w:val="24"/>
          <w:szCs w:val="24"/>
        </w:rPr>
        <w:tab/>
        <w:t xml:space="preserve">The fourth and final preliminary objection is that the </w:t>
      </w:r>
      <w:r w:rsidR="00181108" w:rsidRPr="00181108">
        <w:rPr>
          <w:rFonts w:ascii="Arial" w:hAnsi="Arial" w:cs="Arial"/>
          <w:sz w:val="24"/>
          <w:szCs w:val="24"/>
        </w:rPr>
        <w:t xml:space="preserve">relief </w:t>
      </w:r>
      <w:r>
        <w:rPr>
          <w:rFonts w:ascii="Arial" w:hAnsi="Arial" w:cs="Arial"/>
          <w:sz w:val="24"/>
          <w:szCs w:val="24"/>
        </w:rPr>
        <w:t xml:space="preserve">which the </w:t>
      </w:r>
      <w:r w:rsidR="00181108" w:rsidRPr="00181108">
        <w:rPr>
          <w:rFonts w:ascii="Arial" w:hAnsi="Arial" w:cs="Arial"/>
          <w:sz w:val="24"/>
          <w:szCs w:val="24"/>
        </w:rPr>
        <w:t xml:space="preserve">applicants seek against </w:t>
      </w:r>
      <w:r>
        <w:rPr>
          <w:rFonts w:ascii="Arial" w:hAnsi="Arial" w:cs="Arial"/>
          <w:sz w:val="24"/>
          <w:szCs w:val="24"/>
        </w:rPr>
        <w:t xml:space="preserve">the Registrar of Business </w:t>
      </w:r>
      <w:r w:rsidR="00181108" w:rsidRPr="00181108">
        <w:rPr>
          <w:rFonts w:ascii="Arial" w:hAnsi="Arial" w:cs="Arial"/>
          <w:sz w:val="24"/>
          <w:szCs w:val="24"/>
        </w:rPr>
        <w:t>is incompetent.</w:t>
      </w:r>
      <w:r>
        <w:rPr>
          <w:rFonts w:ascii="Arial" w:hAnsi="Arial" w:cs="Arial"/>
          <w:sz w:val="24"/>
          <w:szCs w:val="24"/>
        </w:rPr>
        <w:t xml:space="preserve"> The incompetence arises from the fact that the</w:t>
      </w:r>
      <w:r w:rsidR="00181108" w:rsidRPr="00181108">
        <w:rPr>
          <w:rFonts w:ascii="Arial" w:hAnsi="Arial" w:cs="Arial"/>
          <w:sz w:val="24"/>
          <w:szCs w:val="24"/>
        </w:rPr>
        <w:t xml:space="preserve"> decision of the</w:t>
      </w:r>
      <w:r>
        <w:rPr>
          <w:rFonts w:ascii="Arial" w:hAnsi="Arial" w:cs="Arial"/>
          <w:sz w:val="24"/>
          <w:szCs w:val="24"/>
        </w:rPr>
        <w:t xml:space="preserve"> Registrar of Business’ </w:t>
      </w:r>
      <w:r w:rsidR="00181108" w:rsidRPr="00181108">
        <w:rPr>
          <w:rFonts w:ascii="Arial" w:hAnsi="Arial" w:cs="Arial"/>
          <w:sz w:val="24"/>
          <w:szCs w:val="24"/>
        </w:rPr>
        <w:t>rejecting the second applicant's section 20(2)</w:t>
      </w:r>
      <w:r w:rsidR="00181108" w:rsidRPr="00F26D15">
        <w:rPr>
          <w:rFonts w:ascii="Arial" w:hAnsi="Arial" w:cs="Arial"/>
          <w:i/>
          <w:sz w:val="24"/>
          <w:szCs w:val="24"/>
        </w:rPr>
        <w:t>(a</w:t>
      </w:r>
      <w:r w:rsidR="00181108" w:rsidRPr="00181108">
        <w:rPr>
          <w:rFonts w:ascii="Arial" w:hAnsi="Arial" w:cs="Arial"/>
          <w:sz w:val="24"/>
          <w:szCs w:val="24"/>
        </w:rPr>
        <w:t xml:space="preserve">) application </w:t>
      </w:r>
      <w:proofErr w:type="gramStart"/>
      <w:r w:rsidR="00181108" w:rsidRPr="00181108">
        <w:rPr>
          <w:rFonts w:ascii="Arial" w:hAnsi="Arial" w:cs="Arial"/>
          <w:sz w:val="24"/>
          <w:szCs w:val="24"/>
        </w:rPr>
        <w:t>stands, and</w:t>
      </w:r>
      <w:proofErr w:type="gramEnd"/>
      <w:r w:rsidR="00181108" w:rsidRPr="00181108">
        <w:rPr>
          <w:rFonts w:ascii="Arial" w:hAnsi="Arial" w:cs="Arial"/>
          <w:sz w:val="24"/>
          <w:szCs w:val="24"/>
        </w:rPr>
        <w:t xml:space="preserve"> is not </w:t>
      </w:r>
      <w:r w:rsidR="00986ECE" w:rsidRPr="00181108">
        <w:rPr>
          <w:rFonts w:ascii="Arial" w:hAnsi="Arial" w:cs="Arial"/>
          <w:sz w:val="24"/>
          <w:szCs w:val="24"/>
        </w:rPr>
        <w:t>sought to</w:t>
      </w:r>
      <w:r w:rsidR="00181108" w:rsidRPr="00181108">
        <w:rPr>
          <w:rFonts w:ascii="Arial" w:hAnsi="Arial" w:cs="Arial"/>
          <w:sz w:val="24"/>
          <w:szCs w:val="24"/>
        </w:rPr>
        <w:t xml:space="preserve"> be set aside in this application.</w:t>
      </w:r>
    </w:p>
    <w:p w14:paraId="68E66528" w14:textId="77777777" w:rsidR="007566FC" w:rsidRDefault="007566FC" w:rsidP="0089497C">
      <w:pPr>
        <w:spacing w:after="0"/>
        <w:jc w:val="both"/>
        <w:rPr>
          <w:rFonts w:ascii="Arial" w:hAnsi="Arial" w:cs="Arial"/>
          <w:sz w:val="24"/>
          <w:szCs w:val="24"/>
        </w:rPr>
      </w:pPr>
    </w:p>
    <w:p w14:paraId="69C38D44" w14:textId="77777777" w:rsidR="00986ECE" w:rsidRPr="00181108" w:rsidRDefault="00F26D15" w:rsidP="0089497C">
      <w:pPr>
        <w:spacing w:after="0"/>
        <w:jc w:val="both"/>
        <w:rPr>
          <w:rFonts w:ascii="Arial" w:hAnsi="Arial" w:cs="Arial"/>
          <w:sz w:val="24"/>
          <w:szCs w:val="24"/>
        </w:rPr>
      </w:pPr>
      <w:r>
        <w:rPr>
          <w:rFonts w:ascii="Arial" w:hAnsi="Arial" w:cs="Arial"/>
          <w:sz w:val="24"/>
          <w:szCs w:val="24"/>
        </w:rPr>
        <w:t>[18]</w:t>
      </w:r>
      <w:r>
        <w:rPr>
          <w:rFonts w:ascii="Arial" w:hAnsi="Arial" w:cs="Arial"/>
          <w:sz w:val="24"/>
          <w:szCs w:val="24"/>
        </w:rPr>
        <w:tab/>
        <w:t xml:space="preserve"> I will before, </w:t>
      </w:r>
      <w:r w:rsidR="00986ECE">
        <w:rPr>
          <w:rFonts w:ascii="Arial" w:hAnsi="Arial" w:cs="Arial"/>
          <w:sz w:val="24"/>
          <w:szCs w:val="24"/>
        </w:rPr>
        <w:t>I deal with the merits of the application, consider the preliminary objections raised by the respondents. I will start off and considered the first and fourth objections together.</w:t>
      </w:r>
    </w:p>
    <w:p w14:paraId="0E0F4C76" w14:textId="77777777" w:rsidR="00181108" w:rsidRDefault="00181108" w:rsidP="00E627DB">
      <w:pPr>
        <w:spacing w:after="0"/>
        <w:jc w:val="both"/>
        <w:rPr>
          <w:rFonts w:ascii="Arial" w:hAnsi="Arial" w:cs="Arial"/>
          <w:sz w:val="24"/>
          <w:szCs w:val="24"/>
        </w:rPr>
      </w:pPr>
    </w:p>
    <w:p w14:paraId="7BF50DC6" w14:textId="77777777" w:rsidR="00986ECE" w:rsidRPr="003F2725" w:rsidRDefault="00986ECE" w:rsidP="00E627DB">
      <w:pPr>
        <w:spacing w:after="0"/>
        <w:jc w:val="both"/>
        <w:rPr>
          <w:rFonts w:ascii="Arial" w:hAnsi="Arial" w:cs="Arial"/>
          <w:sz w:val="24"/>
          <w:szCs w:val="24"/>
          <w:u w:val="single"/>
        </w:rPr>
      </w:pPr>
      <w:r w:rsidRPr="003F2725">
        <w:rPr>
          <w:rFonts w:ascii="Arial" w:hAnsi="Arial" w:cs="Arial"/>
          <w:sz w:val="24"/>
          <w:szCs w:val="24"/>
          <w:u w:val="single"/>
        </w:rPr>
        <w:t>Are the applicants precluded from seek</w:t>
      </w:r>
      <w:r w:rsidR="00282FB1" w:rsidRPr="003F2725">
        <w:rPr>
          <w:rFonts w:ascii="Arial" w:hAnsi="Arial" w:cs="Arial"/>
          <w:sz w:val="24"/>
          <w:szCs w:val="24"/>
          <w:u w:val="single"/>
        </w:rPr>
        <w:t>ing the</w:t>
      </w:r>
      <w:r w:rsidRPr="003F2725">
        <w:rPr>
          <w:rFonts w:ascii="Arial" w:hAnsi="Arial" w:cs="Arial"/>
          <w:sz w:val="24"/>
          <w:szCs w:val="24"/>
          <w:u w:val="single"/>
        </w:rPr>
        <w:t xml:space="preserve"> relief under s 20(2)(</w:t>
      </w:r>
      <w:proofErr w:type="gramStart"/>
      <w:r w:rsidRPr="003F2725">
        <w:rPr>
          <w:rFonts w:ascii="Arial" w:hAnsi="Arial" w:cs="Arial"/>
          <w:sz w:val="24"/>
          <w:szCs w:val="24"/>
          <w:u w:val="single"/>
        </w:rPr>
        <w:t>a)&amp;</w:t>
      </w:r>
      <w:proofErr w:type="gramEnd"/>
      <w:r w:rsidRPr="003F2725">
        <w:rPr>
          <w:rFonts w:ascii="Arial" w:hAnsi="Arial" w:cs="Arial"/>
          <w:sz w:val="24"/>
          <w:szCs w:val="24"/>
          <w:u w:val="single"/>
        </w:rPr>
        <w:t xml:space="preserve"> (b) ?</w:t>
      </w:r>
    </w:p>
    <w:p w14:paraId="031E6D01" w14:textId="77777777" w:rsidR="00986ECE" w:rsidRPr="00986ECE" w:rsidRDefault="00986ECE" w:rsidP="00E627DB">
      <w:pPr>
        <w:spacing w:after="0"/>
        <w:jc w:val="both"/>
        <w:rPr>
          <w:rFonts w:ascii="Arial" w:hAnsi="Arial" w:cs="Arial"/>
          <w:i/>
          <w:sz w:val="24"/>
          <w:szCs w:val="24"/>
          <w:u w:val="single"/>
        </w:rPr>
      </w:pPr>
    </w:p>
    <w:p w14:paraId="41486D72" w14:textId="77777777" w:rsidR="00617D34" w:rsidRDefault="00986ECE" w:rsidP="00E627DB">
      <w:pPr>
        <w:spacing w:after="0"/>
        <w:jc w:val="both"/>
        <w:rPr>
          <w:rFonts w:ascii="Arial" w:hAnsi="Arial" w:cs="Arial"/>
          <w:sz w:val="24"/>
          <w:szCs w:val="24"/>
        </w:rPr>
      </w:pPr>
      <w:r>
        <w:rPr>
          <w:rFonts w:ascii="Arial" w:hAnsi="Arial" w:cs="Arial"/>
          <w:sz w:val="24"/>
          <w:szCs w:val="24"/>
        </w:rPr>
        <w:t>[19]</w:t>
      </w:r>
      <w:r>
        <w:rPr>
          <w:rFonts w:ascii="Arial" w:hAnsi="Arial" w:cs="Arial"/>
          <w:sz w:val="24"/>
          <w:szCs w:val="24"/>
        </w:rPr>
        <w:tab/>
        <w:t xml:space="preserve">Counsel for the applicants argued that the </w:t>
      </w:r>
      <w:r w:rsidR="00BF0701">
        <w:rPr>
          <w:rFonts w:ascii="Arial" w:hAnsi="Arial" w:cs="Arial"/>
          <w:sz w:val="24"/>
          <w:szCs w:val="24"/>
        </w:rPr>
        <w:t>respondents’</w:t>
      </w:r>
      <w:r>
        <w:rPr>
          <w:rFonts w:ascii="Arial" w:hAnsi="Arial" w:cs="Arial"/>
          <w:sz w:val="24"/>
          <w:szCs w:val="24"/>
        </w:rPr>
        <w:t xml:space="preserve"> first preliminary</w:t>
      </w:r>
      <w:r w:rsidR="00BF0701">
        <w:rPr>
          <w:rFonts w:ascii="Arial" w:hAnsi="Arial" w:cs="Arial"/>
          <w:sz w:val="24"/>
          <w:szCs w:val="24"/>
        </w:rPr>
        <w:t xml:space="preserve"> objection is misplaced because; first the applicants are not seeking a “pa</w:t>
      </w:r>
      <w:r w:rsidR="00BF0701" w:rsidRPr="00BF0701">
        <w:rPr>
          <w:rFonts w:ascii="Arial" w:hAnsi="Arial" w:cs="Arial"/>
          <w:sz w:val="24"/>
          <w:szCs w:val="24"/>
        </w:rPr>
        <w:t>rallel/simultaneous relief” under the alternative remedy created in s</w:t>
      </w:r>
      <w:r w:rsidR="00282FB1">
        <w:rPr>
          <w:rFonts w:ascii="Arial" w:hAnsi="Arial" w:cs="Arial"/>
          <w:sz w:val="24"/>
          <w:szCs w:val="24"/>
        </w:rPr>
        <w:t xml:space="preserve"> </w:t>
      </w:r>
      <w:r w:rsidR="00BF0701" w:rsidRPr="00BF0701">
        <w:rPr>
          <w:rFonts w:ascii="Arial" w:hAnsi="Arial" w:cs="Arial"/>
          <w:sz w:val="24"/>
          <w:szCs w:val="24"/>
        </w:rPr>
        <w:t>20(2)(</w:t>
      </w:r>
      <w:r w:rsidR="00BF0701" w:rsidRPr="00F26D15">
        <w:rPr>
          <w:rFonts w:ascii="Arial" w:hAnsi="Arial" w:cs="Arial"/>
          <w:i/>
          <w:sz w:val="24"/>
          <w:szCs w:val="24"/>
        </w:rPr>
        <w:t>b</w:t>
      </w:r>
      <w:r w:rsidR="00BF0701" w:rsidRPr="00BF0701">
        <w:rPr>
          <w:rFonts w:ascii="Arial" w:hAnsi="Arial" w:cs="Arial"/>
          <w:sz w:val="24"/>
          <w:szCs w:val="24"/>
        </w:rPr>
        <w:t xml:space="preserve">) of the </w:t>
      </w:r>
      <w:r w:rsidR="00BF0701">
        <w:rPr>
          <w:rFonts w:ascii="Arial" w:hAnsi="Arial" w:cs="Arial"/>
          <w:sz w:val="24"/>
          <w:szCs w:val="24"/>
        </w:rPr>
        <w:t xml:space="preserve">Close Corporation </w:t>
      </w:r>
      <w:r w:rsidR="00F26D15">
        <w:rPr>
          <w:rFonts w:ascii="Arial" w:hAnsi="Arial" w:cs="Arial"/>
          <w:sz w:val="24"/>
          <w:szCs w:val="24"/>
        </w:rPr>
        <w:t xml:space="preserve">Act </w:t>
      </w:r>
      <w:r w:rsidR="00BF0701">
        <w:rPr>
          <w:rFonts w:ascii="Arial" w:hAnsi="Arial" w:cs="Arial"/>
          <w:sz w:val="24"/>
          <w:szCs w:val="24"/>
        </w:rPr>
        <w:t>because there is no appeal pending before the R</w:t>
      </w:r>
      <w:r w:rsidR="00617D34">
        <w:rPr>
          <w:rFonts w:ascii="Arial" w:hAnsi="Arial" w:cs="Arial"/>
          <w:sz w:val="24"/>
          <w:szCs w:val="24"/>
        </w:rPr>
        <w:t>egistrar of</w:t>
      </w:r>
      <w:r w:rsidR="00BF0701">
        <w:rPr>
          <w:rFonts w:ascii="Arial" w:hAnsi="Arial" w:cs="Arial"/>
          <w:sz w:val="24"/>
          <w:szCs w:val="24"/>
        </w:rPr>
        <w:t xml:space="preserve"> Business </w:t>
      </w:r>
      <w:r w:rsidR="00BF0701" w:rsidRPr="00BF0701">
        <w:rPr>
          <w:rFonts w:ascii="Arial" w:hAnsi="Arial" w:cs="Arial"/>
          <w:sz w:val="24"/>
          <w:szCs w:val="24"/>
        </w:rPr>
        <w:t xml:space="preserve">regarding the </w:t>
      </w:r>
      <w:r w:rsidR="00617D34">
        <w:rPr>
          <w:rFonts w:ascii="Arial" w:hAnsi="Arial" w:cs="Arial"/>
          <w:sz w:val="24"/>
          <w:szCs w:val="24"/>
        </w:rPr>
        <w:t xml:space="preserve">applicants’ </w:t>
      </w:r>
      <w:r w:rsidR="00BF0701" w:rsidRPr="00BF0701">
        <w:rPr>
          <w:rFonts w:ascii="Arial" w:hAnsi="Arial" w:cs="Arial"/>
          <w:sz w:val="24"/>
          <w:szCs w:val="24"/>
        </w:rPr>
        <w:t>application in terms of s 20(2)(</w:t>
      </w:r>
      <w:r w:rsidR="00BF0701" w:rsidRPr="00F26D15">
        <w:rPr>
          <w:rFonts w:ascii="Arial" w:hAnsi="Arial" w:cs="Arial"/>
          <w:i/>
          <w:sz w:val="24"/>
          <w:szCs w:val="24"/>
        </w:rPr>
        <w:t>a</w:t>
      </w:r>
      <w:r w:rsidR="00BF0701" w:rsidRPr="00BF0701">
        <w:rPr>
          <w:rFonts w:ascii="Arial" w:hAnsi="Arial" w:cs="Arial"/>
          <w:sz w:val="24"/>
          <w:szCs w:val="24"/>
        </w:rPr>
        <w:t>)</w:t>
      </w:r>
      <w:r w:rsidR="00F26D15">
        <w:rPr>
          <w:rFonts w:ascii="Arial" w:hAnsi="Arial" w:cs="Arial"/>
          <w:sz w:val="24"/>
          <w:szCs w:val="24"/>
        </w:rPr>
        <w:t xml:space="preserve"> of the Close Corporation Act. </w:t>
      </w:r>
      <w:r w:rsidR="00617D34">
        <w:rPr>
          <w:rFonts w:ascii="Arial" w:hAnsi="Arial" w:cs="Arial"/>
          <w:sz w:val="24"/>
          <w:szCs w:val="24"/>
        </w:rPr>
        <w:t xml:space="preserve">Counsel for the applicants further argued that the appeal referred to in the applicants founding affidavit </w:t>
      </w:r>
      <w:r w:rsidR="00BF0701" w:rsidRPr="00BF0701">
        <w:rPr>
          <w:rFonts w:ascii="Arial" w:hAnsi="Arial" w:cs="Arial"/>
          <w:sz w:val="24"/>
          <w:szCs w:val="24"/>
        </w:rPr>
        <w:t xml:space="preserve">relate to a refusal by the Registrar of </w:t>
      </w:r>
      <w:r w:rsidR="00BF0701">
        <w:rPr>
          <w:rFonts w:ascii="Arial" w:hAnsi="Arial" w:cs="Arial"/>
          <w:sz w:val="24"/>
          <w:szCs w:val="24"/>
        </w:rPr>
        <w:t xml:space="preserve">Business </w:t>
      </w:r>
      <w:r w:rsidR="00BF0701" w:rsidRPr="00BF0701">
        <w:rPr>
          <w:rFonts w:ascii="Arial" w:hAnsi="Arial" w:cs="Arial"/>
          <w:sz w:val="24"/>
          <w:szCs w:val="24"/>
        </w:rPr>
        <w:t>to register a trademark under the Industrial Property Act</w:t>
      </w:r>
      <w:r w:rsidR="00BF0701">
        <w:rPr>
          <w:rFonts w:ascii="Arial" w:hAnsi="Arial" w:cs="Arial"/>
          <w:sz w:val="24"/>
          <w:szCs w:val="24"/>
        </w:rPr>
        <w:t xml:space="preserve">, whilst the present application concerns </w:t>
      </w:r>
      <w:r w:rsidR="00BF0701" w:rsidRPr="00BF0701">
        <w:rPr>
          <w:rFonts w:ascii="Arial" w:hAnsi="Arial" w:cs="Arial"/>
          <w:sz w:val="24"/>
          <w:szCs w:val="24"/>
        </w:rPr>
        <w:t>s 20(2)(</w:t>
      </w:r>
      <w:r w:rsidR="00BF0701" w:rsidRPr="00F26D15">
        <w:rPr>
          <w:rFonts w:ascii="Arial" w:hAnsi="Arial" w:cs="Arial"/>
          <w:i/>
          <w:sz w:val="24"/>
          <w:szCs w:val="24"/>
        </w:rPr>
        <w:t>b</w:t>
      </w:r>
      <w:r w:rsidR="00BF0701" w:rsidRPr="00BF0701">
        <w:rPr>
          <w:rFonts w:ascii="Arial" w:hAnsi="Arial" w:cs="Arial"/>
          <w:sz w:val="24"/>
          <w:szCs w:val="24"/>
        </w:rPr>
        <w:t xml:space="preserve">) of the Close Corporations Act. </w:t>
      </w:r>
    </w:p>
    <w:p w14:paraId="129B7D18" w14:textId="77777777" w:rsidR="00617D34" w:rsidRDefault="00617D34" w:rsidP="00E627DB">
      <w:pPr>
        <w:spacing w:after="0"/>
        <w:jc w:val="both"/>
        <w:rPr>
          <w:rFonts w:ascii="Arial" w:hAnsi="Arial" w:cs="Arial"/>
          <w:sz w:val="24"/>
          <w:szCs w:val="24"/>
        </w:rPr>
      </w:pPr>
    </w:p>
    <w:p w14:paraId="721AC18E" w14:textId="77777777" w:rsidR="00BF0701" w:rsidRDefault="00617D34" w:rsidP="00E627DB">
      <w:pPr>
        <w:spacing w:after="0"/>
        <w:jc w:val="both"/>
        <w:rPr>
          <w:rFonts w:ascii="Arial" w:hAnsi="Arial" w:cs="Arial"/>
          <w:sz w:val="24"/>
          <w:szCs w:val="24"/>
        </w:rPr>
      </w:pPr>
      <w:r>
        <w:rPr>
          <w:rFonts w:ascii="Arial" w:hAnsi="Arial" w:cs="Arial"/>
          <w:sz w:val="24"/>
          <w:szCs w:val="24"/>
        </w:rPr>
        <w:t>[20]</w:t>
      </w:r>
      <w:r>
        <w:rPr>
          <w:rFonts w:ascii="Arial" w:hAnsi="Arial" w:cs="Arial"/>
          <w:sz w:val="24"/>
          <w:szCs w:val="24"/>
        </w:rPr>
        <w:tab/>
        <w:t>Counsel</w:t>
      </w:r>
      <w:r w:rsidR="007C72BB">
        <w:rPr>
          <w:rFonts w:ascii="Arial" w:hAnsi="Arial" w:cs="Arial"/>
          <w:sz w:val="24"/>
          <w:szCs w:val="24"/>
        </w:rPr>
        <w:t xml:space="preserve"> for applicants </w:t>
      </w:r>
      <w:r>
        <w:rPr>
          <w:rFonts w:ascii="Arial" w:hAnsi="Arial" w:cs="Arial"/>
          <w:sz w:val="24"/>
          <w:szCs w:val="24"/>
        </w:rPr>
        <w:t xml:space="preserve">proceeded and argued that the </w:t>
      </w:r>
      <w:r w:rsidR="00BF0701" w:rsidRPr="00BF0701">
        <w:rPr>
          <w:rFonts w:ascii="Arial" w:hAnsi="Arial" w:cs="Arial"/>
          <w:sz w:val="24"/>
          <w:szCs w:val="24"/>
        </w:rPr>
        <w:t>Close Corporations Act</w:t>
      </w:r>
      <w:r w:rsidR="00BF0701">
        <w:rPr>
          <w:rFonts w:ascii="Arial" w:hAnsi="Arial" w:cs="Arial"/>
          <w:sz w:val="24"/>
          <w:szCs w:val="24"/>
        </w:rPr>
        <w:t xml:space="preserve"> </w:t>
      </w:r>
      <w:r w:rsidR="00BF0701" w:rsidRPr="00BF0701">
        <w:rPr>
          <w:rFonts w:ascii="Arial" w:hAnsi="Arial" w:cs="Arial"/>
          <w:sz w:val="24"/>
          <w:szCs w:val="24"/>
        </w:rPr>
        <w:t xml:space="preserve">does not create a right of appeal against the decisions of the </w:t>
      </w:r>
      <w:r>
        <w:rPr>
          <w:rFonts w:ascii="Arial" w:hAnsi="Arial" w:cs="Arial"/>
          <w:sz w:val="24"/>
          <w:szCs w:val="24"/>
        </w:rPr>
        <w:t>Registrar of Business</w:t>
      </w:r>
      <w:r w:rsidR="00BF0701">
        <w:rPr>
          <w:rFonts w:ascii="Arial" w:hAnsi="Arial" w:cs="Arial"/>
          <w:sz w:val="24"/>
          <w:szCs w:val="24"/>
        </w:rPr>
        <w:t xml:space="preserve"> and thirdly</w:t>
      </w:r>
      <w:r w:rsidR="00F26D15">
        <w:rPr>
          <w:rFonts w:ascii="Arial" w:hAnsi="Arial" w:cs="Arial"/>
          <w:sz w:val="24"/>
          <w:szCs w:val="24"/>
        </w:rPr>
        <w:t>,</w:t>
      </w:r>
      <w:r w:rsidR="00BF0701">
        <w:rPr>
          <w:rFonts w:ascii="Arial" w:hAnsi="Arial" w:cs="Arial"/>
          <w:sz w:val="24"/>
          <w:szCs w:val="24"/>
        </w:rPr>
        <w:t xml:space="preserve"> </w:t>
      </w:r>
      <w:r w:rsidR="00BF0701" w:rsidRPr="00BF0701">
        <w:rPr>
          <w:rFonts w:ascii="Arial" w:hAnsi="Arial" w:cs="Arial"/>
          <w:sz w:val="24"/>
          <w:szCs w:val="24"/>
        </w:rPr>
        <w:t>the applicant</w:t>
      </w:r>
      <w:r w:rsidR="00BF0701">
        <w:rPr>
          <w:rFonts w:ascii="Arial" w:hAnsi="Arial" w:cs="Arial"/>
          <w:sz w:val="24"/>
          <w:szCs w:val="24"/>
        </w:rPr>
        <w:t>s</w:t>
      </w:r>
      <w:r w:rsidR="00BF0701" w:rsidRPr="00BF0701">
        <w:rPr>
          <w:rFonts w:ascii="Arial" w:hAnsi="Arial" w:cs="Arial"/>
          <w:sz w:val="24"/>
          <w:szCs w:val="24"/>
        </w:rPr>
        <w:t xml:space="preserve"> </w:t>
      </w:r>
      <w:r w:rsidR="00BF0701">
        <w:rPr>
          <w:rFonts w:ascii="Arial" w:hAnsi="Arial" w:cs="Arial"/>
          <w:sz w:val="24"/>
          <w:szCs w:val="24"/>
        </w:rPr>
        <w:t xml:space="preserve">are not </w:t>
      </w:r>
      <w:r w:rsidR="00BF0701" w:rsidRPr="00BF0701">
        <w:rPr>
          <w:rFonts w:ascii="Arial" w:hAnsi="Arial" w:cs="Arial"/>
          <w:sz w:val="24"/>
          <w:szCs w:val="24"/>
        </w:rPr>
        <w:t>precluded from applying to this C</w:t>
      </w:r>
      <w:r w:rsidR="00F26D15">
        <w:rPr>
          <w:rFonts w:ascii="Arial" w:hAnsi="Arial" w:cs="Arial"/>
          <w:sz w:val="24"/>
          <w:szCs w:val="24"/>
        </w:rPr>
        <w:t>ourt for an order in terms of s</w:t>
      </w:r>
      <w:r w:rsidR="00BF0701" w:rsidRPr="00BF0701">
        <w:rPr>
          <w:rFonts w:ascii="Arial" w:hAnsi="Arial" w:cs="Arial"/>
          <w:sz w:val="24"/>
          <w:szCs w:val="24"/>
        </w:rPr>
        <w:t xml:space="preserve"> 20(2)(</w:t>
      </w:r>
      <w:r w:rsidR="00BF0701" w:rsidRPr="00F26D15">
        <w:rPr>
          <w:rFonts w:ascii="Arial" w:hAnsi="Arial" w:cs="Arial"/>
          <w:i/>
          <w:sz w:val="24"/>
          <w:szCs w:val="24"/>
        </w:rPr>
        <w:t>b</w:t>
      </w:r>
      <w:r w:rsidR="00BF0701" w:rsidRPr="00BF0701">
        <w:rPr>
          <w:rFonts w:ascii="Arial" w:hAnsi="Arial" w:cs="Arial"/>
          <w:sz w:val="24"/>
          <w:szCs w:val="24"/>
        </w:rPr>
        <w:t xml:space="preserve">) </w:t>
      </w:r>
      <w:proofErr w:type="gramStart"/>
      <w:r w:rsidR="00BF0701" w:rsidRPr="00BF0701">
        <w:rPr>
          <w:rFonts w:ascii="Arial" w:hAnsi="Arial" w:cs="Arial"/>
          <w:sz w:val="24"/>
          <w:szCs w:val="24"/>
        </w:rPr>
        <w:t>by virtue of the fact that</w:t>
      </w:r>
      <w:proofErr w:type="gramEnd"/>
      <w:r w:rsidR="00BF0701" w:rsidRPr="00BF0701">
        <w:rPr>
          <w:rFonts w:ascii="Arial" w:hAnsi="Arial" w:cs="Arial"/>
          <w:sz w:val="24"/>
          <w:szCs w:val="24"/>
        </w:rPr>
        <w:t xml:space="preserve"> it has exercised a right under section 20(2)(a). Section 20(2) of the Act is clear and unambiguous</w:t>
      </w:r>
      <w:r w:rsidR="00BF0701">
        <w:rPr>
          <w:rFonts w:ascii="Arial" w:hAnsi="Arial" w:cs="Arial"/>
          <w:sz w:val="24"/>
          <w:szCs w:val="24"/>
        </w:rPr>
        <w:t>, it is permissive and affords an interested party a choice, argued counsel for the applicant.</w:t>
      </w:r>
    </w:p>
    <w:p w14:paraId="07805B80" w14:textId="77777777" w:rsidR="00BF0701" w:rsidRDefault="00BF0701" w:rsidP="00E627DB">
      <w:pPr>
        <w:spacing w:after="0"/>
        <w:jc w:val="both"/>
        <w:rPr>
          <w:rFonts w:ascii="Arial" w:hAnsi="Arial" w:cs="Arial"/>
          <w:sz w:val="24"/>
          <w:szCs w:val="24"/>
        </w:rPr>
      </w:pPr>
    </w:p>
    <w:p w14:paraId="6242FB2A" w14:textId="77777777" w:rsidR="00BE3635" w:rsidRDefault="00BE3635" w:rsidP="00E627DB">
      <w:pPr>
        <w:spacing w:after="0"/>
        <w:jc w:val="both"/>
        <w:rPr>
          <w:rFonts w:ascii="Arial" w:hAnsi="Arial" w:cs="Arial"/>
          <w:sz w:val="24"/>
          <w:szCs w:val="24"/>
        </w:rPr>
      </w:pPr>
      <w:r>
        <w:rPr>
          <w:rFonts w:ascii="Arial" w:hAnsi="Arial" w:cs="Arial"/>
          <w:sz w:val="24"/>
          <w:szCs w:val="24"/>
        </w:rPr>
        <w:t>[2</w:t>
      </w:r>
      <w:r w:rsidR="00617D34">
        <w:rPr>
          <w:rFonts w:ascii="Arial" w:hAnsi="Arial" w:cs="Arial"/>
          <w:sz w:val="24"/>
          <w:szCs w:val="24"/>
        </w:rPr>
        <w:t>1</w:t>
      </w:r>
      <w:r>
        <w:rPr>
          <w:rFonts w:ascii="Arial" w:hAnsi="Arial" w:cs="Arial"/>
          <w:sz w:val="24"/>
          <w:szCs w:val="24"/>
        </w:rPr>
        <w:t>]</w:t>
      </w:r>
      <w:r>
        <w:rPr>
          <w:rFonts w:ascii="Arial" w:hAnsi="Arial" w:cs="Arial"/>
          <w:sz w:val="24"/>
          <w:szCs w:val="24"/>
        </w:rPr>
        <w:tab/>
      </w:r>
      <w:r w:rsidR="00617D34">
        <w:rPr>
          <w:rFonts w:ascii="Arial" w:hAnsi="Arial" w:cs="Arial"/>
          <w:sz w:val="24"/>
          <w:szCs w:val="24"/>
        </w:rPr>
        <w:t xml:space="preserve">I agree with counsel for the applicants that the applicants are not pursuing a </w:t>
      </w:r>
      <w:r w:rsidR="000240B1">
        <w:rPr>
          <w:rFonts w:ascii="Arial" w:hAnsi="Arial" w:cs="Arial"/>
          <w:sz w:val="24"/>
          <w:szCs w:val="24"/>
        </w:rPr>
        <w:t>‘</w:t>
      </w:r>
      <w:r w:rsidR="00617D34" w:rsidRPr="000240B1">
        <w:rPr>
          <w:rFonts w:ascii="Arial" w:hAnsi="Arial" w:cs="Arial"/>
          <w:i/>
          <w:sz w:val="24"/>
          <w:szCs w:val="24"/>
        </w:rPr>
        <w:t>parallel/simultaneous relief</w:t>
      </w:r>
      <w:r w:rsidR="000240B1" w:rsidRPr="000240B1">
        <w:rPr>
          <w:rFonts w:ascii="Arial" w:hAnsi="Arial" w:cs="Arial"/>
          <w:i/>
          <w:sz w:val="24"/>
          <w:szCs w:val="24"/>
        </w:rPr>
        <w:t>’</w:t>
      </w:r>
      <w:r w:rsidR="00617D34" w:rsidRPr="00BF0701">
        <w:rPr>
          <w:rFonts w:ascii="Arial" w:hAnsi="Arial" w:cs="Arial"/>
          <w:sz w:val="24"/>
          <w:szCs w:val="24"/>
        </w:rPr>
        <w:t xml:space="preserve"> under the alternative remedy created in s</w:t>
      </w:r>
      <w:r w:rsidR="00617D34">
        <w:rPr>
          <w:rFonts w:ascii="Arial" w:hAnsi="Arial" w:cs="Arial"/>
          <w:sz w:val="24"/>
          <w:szCs w:val="24"/>
        </w:rPr>
        <w:t xml:space="preserve"> </w:t>
      </w:r>
      <w:r w:rsidR="00617D34" w:rsidRPr="00BF0701">
        <w:rPr>
          <w:rFonts w:ascii="Arial" w:hAnsi="Arial" w:cs="Arial"/>
          <w:sz w:val="24"/>
          <w:szCs w:val="24"/>
        </w:rPr>
        <w:t>20(2)(</w:t>
      </w:r>
      <w:r w:rsidR="00617D34" w:rsidRPr="00F26D15">
        <w:rPr>
          <w:rFonts w:ascii="Arial" w:hAnsi="Arial" w:cs="Arial"/>
          <w:i/>
          <w:sz w:val="24"/>
          <w:szCs w:val="24"/>
        </w:rPr>
        <w:t>b</w:t>
      </w:r>
      <w:r w:rsidR="00617D34" w:rsidRPr="00BF0701">
        <w:rPr>
          <w:rFonts w:ascii="Arial" w:hAnsi="Arial" w:cs="Arial"/>
          <w:sz w:val="24"/>
          <w:szCs w:val="24"/>
        </w:rPr>
        <w:t xml:space="preserve">) of the </w:t>
      </w:r>
      <w:r w:rsidR="00617D34">
        <w:rPr>
          <w:rFonts w:ascii="Arial" w:hAnsi="Arial" w:cs="Arial"/>
          <w:sz w:val="24"/>
          <w:szCs w:val="24"/>
        </w:rPr>
        <w:t xml:space="preserve">Close Corporation </w:t>
      </w:r>
      <w:r w:rsidR="00617D34" w:rsidRPr="00BF0701">
        <w:rPr>
          <w:rFonts w:ascii="Arial" w:hAnsi="Arial" w:cs="Arial"/>
          <w:sz w:val="24"/>
          <w:szCs w:val="24"/>
        </w:rPr>
        <w:t>Act,</w:t>
      </w:r>
      <w:r w:rsidR="00617D34">
        <w:rPr>
          <w:rFonts w:ascii="Arial" w:hAnsi="Arial" w:cs="Arial"/>
          <w:sz w:val="24"/>
          <w:szCs w:val="24"/>
        </w:rPr>
        <w:t xml:space="preserve"> because there is no </w:t>
      </w:r>
      <w:r w:rsidR="007C72BB">
        <w:rPr>
          <w:rFonts w:ascii="Arial" w:hAnsi="Arial" w:cs="Arial"/>
          <w:sz w:val="24"/>
          <w:szCs w:val="24"/>
        </w:rPr>
        <w:t xml:space="preserve">application or </w:t>
      </w:r>
      <w:r w:rsidR="00617D34">
        <w:rPr>
          <w:rFonts w:ascii="Arial" w:hAnsi="Arial" w:cs="Arial"/>
          <w:sz w:val="24"/>
          <w:szCs w:val="24"/>
        </w:rPr>
        <w:t xml:space="preserve">appeal pending before the Registrar of Business or other tribunal against the Registrar of Business’ refusal </w:t>
      </w:r>
      <w:r w:rsidR="00617D34">
        <w:rPr>
          <w:rFonts w:ascii="Arial" w:hAnsi="Arial" w:cs="Arial"/>
          <w:sz w:val="24"/>
          <w:szCs w:val="24"/>
        </w:rPr>
        <w:lastRenderedPageBreak/>
        <w:t>to direct the respondents to change their names</w:t>
      </w:r>
      <w:r w:rsidR="000240B1">
        <w:rPr>
          <w:rFonts w:ascii="Arial" w:hAnsi="Arial" w:cs="Arial"/>
          <w:sz w:val="24"/>
          <w:szCs w:val="24"/>
        </w:rPr>
        <w:t xml:space="preserve">. The appeal that was </w:t>
      </w:r>
      <w:r w:rsidR="0083738C">
        <w:rPr>
          <w:rFonts w:ascii="Arial" w:hAnsi="Arial" w:cs="Arial"/>
          <w:sz w:val="24"/>
          <w:szCs w:val="24"/>
        </w:rPr>
        <w:t>pending was</w:t>
      </w:r>
      <w:r w:rsidR="000240B1">
        <w:rPr>
          <w:rFonts w:ascii="Arial" w:hAnsi="Arial" w:cs="Arial"/>
          <w:sz w:val="24"/>
          <w:szCs w:val="24"/>
        </w:rPr>
        <w:t xml:space="preserve"> an appeal against the Registrar’s decision in terms of the</w:t>
      </w:r>
      <w:r w:rsidR="0083738C" w:rsidRPr="0083738C">
        <w:rPr>
          <w:rFonts w:ascii="Arial" w:hAnsi="Arial" w:cs="Arial"/>
          <w:sz w:val="24"/>
          <w:szCs w:val="24"/>
        </w:rPr>
        <w:t xml:space="preserve"> Industrial Property Act 1 of 2012</w:t>
      </w:r>
      <w:r w:rsidR="0083738C">
        <w:rPr>
          <w:rFonts w:ascii="Arial" w:hAnsi="Arial" w:cs="Arial"/>
          <w:sz w:val="24"/>
          <w:szCs w:val="24"/>
        </w:rPr>
        <w:t>.</w:t>
      </w:r>
      <w:r w:rsidR="000240B1">
        <w:rPr>
          <w:rStyle w:val="FootnoteReference"/>
          <w:rFonts w:ascii="Arial" w:hAnsi="Arial" w:cs="Arial"/>
          <w:sz w:val="24"/>
          <w:szCs w:val="24"/>
        </w:rPr>
        <w:footnoteReference w:id="2"/>
      </w:r>
    </w:p>
    <w:p w14:paraId="3EAA66E7" w14:textId="77777777" w:rsidR="007566FC" w:rsidRDefault="007566FC" w:rsidP="00E627DB">
      <w:pPr>
        <w:spacing w:after="0"/>
        <w:jc w:val="both"/>
        <w:rPr>
          <w:rFonts w:ascii="Arial" w:hAnsi="Arial" w:cs="Arial"/>
          <w:sz w:val="24"/>
          <w:szCs w:val="24"/>
        </w:rPr>
      </w:pPr>
    </w:p>
    <w:p w14:paraId="2A3A944B" w14:textId="77777777" w:rsidR="0083738C" w:rsidRDefault="00F26D15" w:rsidP="00E627DB">
      <w:pPr>
        <w:spacing w:after="0"/>
        <w:jc w:val="both"/>
        <w:rPr>
          <w:rFonts w:ascii="Arial" w:hAnsi="Arial" w:cs="Arial"/>
          <w:sz w:val="24"/>
          <w:szCs w:val="24"/>
        </w:rPr>
      </w:pPr>
      <w:r>
        <w:rPr>
          <w:rFonts w:ascii="Arial" w:hAnsi="Arial" w:cs="Arial"/>
          <w:sz w:val="24"/>
          <w:szCs w:val="24"/>
        </w:rPr>
        <w:t>[22]</w:t>
      </w:r>
      <w:r>
        <w:rPr>
          <w:rFonts w:ascii="Arial" w:hAnsi="Arial" w:cs="Arial"/>
          <w:sz w:val="24"/>
          <w:szCs w:val="24"/>
        </w:rPr>
        <w:tab/>
        <w:t xml:space="preserve">I, </w:t>
      </w:r>
      <w:proofErr w:type="gramStart"/>
      <w:r>
        <w:rPr>
          <w:rFonts w:ascii="Arial" w:hAnsi="Arial" w:cs="Arial"/>
          <w:sz w:val="24"/>
          <w:szCs w:val="24"/>
        </w:rPr>
        <w:t>however</w:t>
      </w:r>
      <w:proofErr w:type="gramEnd"/>
      <w:r>
        <w:rPr>
          <w:rFonts w:ascii="Arial" w:hAnsi="Arial" w:cs="Arial"/>
          <w:sz w:val="24"/>
          <w:szCs w:val="24"/>
        </w:rPr>
        <w:t xml:space="preserve"> do </w:t>
      </w:r>
      <w:r w:rsidR="0083738C">
        <w:rPr>
          <w:rFonts w:ascii="Arial" w:hAnsi="Arial" w:cs="Arial"/>
          <w:sz w:val="24"/>
          <w:szCs w:val="24"/>
        </w:rPr>
        <w:t xml:space="preserve">not agree with counsel that it can exercise both options granted </w:t>
      </w:r>
      <w:r w:rsidR="00391FDC">
        <w:rPr>
          <w:rFonts w:ascii="Arial" w:hAnsi="Arial" w:cs="Arial"/>
          <w:sz w:val="24"/>
          <w:szCs w:val="24"/>
        </w:rPr>
        <w:t xml:space="preserve">to </w:t>
      </w:r>
      <w:r w:rsidR="0083738C">
        <w:rPr>
          <w:rFonts w:ascii="Arial" w:hAnsi="Arial" w:cs="Arial"/>
          <w:sz w:val="24"/>
          <w:szCs w:val="24"/>
        </w:rPr>
        <w:t>it by s 20(2)</w:t>
      </w:r>
      <w:r>
        <w:rPr>
          <w:rFonts w:ascii="Arial" w:hAnsi="Arial" w:cs="Arial"/>
          <w:sz w:val="24"/>
          <w:szCs w:val="24"/>
        </w:rPr>
        <w:t xml:space="preserve"> of the Close Corporations Act. </w:t>
      </w:r>
      <w:r w:rsidR="0083738C">
        <w:rPr>
          <w:rFonts w:ascii="Arial" w:hAnsi="Arial" w:cs="Arial"/>
          <w:sz w:val="24"/>
          <w:szCs w:val="24"/>
        </w:rPr>
        <w:t xml:space="preserve">I do not agree for the following reasons. </w:t>
      </w:r>
      <w:r w:rsidR="0083738C" w:rsidRPr="0083738C">
        <w:rPr>
          <w:rFonts w:ascii="Arial" w:hAnsi="Arial" w:cs="Arial"/>
          <w:sz w:val="24"/>
          <w:szCs w:val="24"/>
        </w:rPr>
        <w:t xml:space="preserve">Section 20(2) of the </w:t>
      </w:r>
      <w:r w:rsidR="0083738C">
        <w:rPr>
          <w:rFonts w:ascii="Arial" w:hAnsi="Arial" w:cs="Arial"/>
          <w:sz w:val="24"/>
          <w:szCs w:val="24"/>
        </w:rPr>
        <w:t>Close Corporations Act, reads as follows:</w:t>
      </w:r>
    </w:p>
    <w:p w14:paraId="2457DC10" w14:textId="77777777" w:rsidR="00F26D15" w:rsidRDefault="00F26D15" w:rsidP="00E627DB">
      <w:pPr>
        <w:spacing w:after="0"/>
        <w:jc w:val="both"/>
        <w:rPr>
          <w:rFonts w:ascii="Arial" w:hAnsi="Arial" w:cs="Arial"/>
          <w:sz w:val="24"/>
          <w:szCs w:val="24"/>
        </w:rPr>
      </w:pPr>
    </w:p>
    <w:p w14:paraId="59A20AFB" w14:textId="77777777" w:rsidR="0083738C" w:rsidRDefault="0083738C" w:rsidP="0083738C">
      <w:pPr>
        <w:spacing w:after="0"/>
        <w:ind w:firstLine="709"/>
        <w:jc w:val="both"/>
        <w:rPr>
          <w:rFonts w:ascii="Arial" w:hAnsi="Arial" w:cs="Arial"/>
        </w:rPr>
      </w:pPr>
      <w:r w:rsidRPr="0083738C">
        <w:rPr>
          <w:rFonts w:ascii="Arial" w:hAnsi="Arial" w:cs="Arial"/>
        </w:rPr>
        <w:t xml:space="preserve">‘(2) </w:t>
      </w:r>
      <w:r w:rsidRPr="0083738C">
        <w:rPr>
          <w:rFonts w:ascii="Arial" w:hAnsi="Arial" w:cs="Arial"/>
        </w:rPr>
        <w:tab/>
        <w:t xml:space="preserve">Any interested person may – </w:t>
      </w:r>
    </w:p>
    <w:p w14:paraId="388C2FBA" w14:textId="77777777" w:rsidR="0083738C" w:rsidRDefault="0083738C" w:rsidP="0083738C">
      <w:pPr>
        <w:pStyle w:val="ListParagraph"/>
        <w:numPr>
          <w:ilvl w:val="0"/>
          <w:numId w:val="10"/>
        </w:numPr>
        <w:spacing w:after="0"/>
        <w:ind w:left="0" w:firstLine="0"/>
        <w:jc w:val="both"/>
        <w:rPr>
          <w:rFonts w:ascii="Arial" w:hAnsi="Arial" w:cs="Arial"/>
        </w:rPr>
      </w:pPr>
      <w:r w:rsidRPr="0083738C">
        <w:rPr>
          <w:rFonts w:ascii="Arial" w:hAnsi="Arial" w:cs="Arial"/>
        </w:rPr>
        <w:t xml:space="preserve">within a period of one year referred to in subsection (1), on payment of the prescribed fee apply in writing to the Registrar for an order directing the corporation to change its name on the ground of undesirability or that such name is calculated to cause damage to the applicant; or </w:t>
      </w:r>
    </w:p>
    <w:p w14:paraId="750FC5AA" w14:textId="77777777" w:rsidR="0083738C" w:rsidRDefault="0083738C" w:rsidP="0083738C">
      <w:pPr>
        <w:pStyle w:val="ListParagraph"/>
        <w:spacing w:after="0"/>
        <w:ind w:left="0"/>
        <w:jc w:val="both"/>
        <w:rPr>
          <w:rFonts w:ascii="Arial" w:hAnsi="Arial" w:cs="Arial"/>
        </w:rPr>
      </w:pPr>
    </w:p>
    <w:p w14:paraId="791EF574" w14:textId="77777777" w:rsidR="0083738C" w:rsidRDefault="0083738C" w:rsidP="0083738C">
      <w:pPr>
        <w:pStyle w:val="ListParagraph"/>
        <w:numPr>
          <w:ilvl w:val="0"/>
          <w:numId w:val="10"/>
        </w:numPr>
        <w:spacing w:after="0"/>
        <w:ind w:left="0" w:firstLine="0"/>
        <w:jc w:val="both"/>
        <w:rPr>
          <w:rFonts w:ascii="Arial" w:hAnsi="Arial" w:cs="Arial"/>
        </w:rPr>
      </w:pPr>
      <w:r w:rsidRPr="0083738C">
        <w:rPr>
          <w:rFonts w:ascii="Arial" w:hAnsi="Arial" w:cs="Arial"/>
        </w:rPr>
        <w:t>within a period of two years after the registration of a founding statement apply to a Court for an order directing the corporation to change its name on the ground of undesirability or that such name is calculated to cause damage to the applicant, and the Court may on such application m</w:t>
      </w:r>
      <w:r>
        <w:rPr>
          <w:rFonts w:ascii="Arial" w:hAnsi="Arial" w:cs="Arial"/>
        </w:rPr>
        <w:t xml:space="preserve">ake such order as it deems fit.’ </w:t>
      </w:r>
    </w:p>
    <w:p w14:paraId="33BB5628" w14:textId="77777777" w:rsidR="0083738C" w:rsidRPr="0083738C" w:rsidRDefault="0083738C" w:rsidP="0083738C">
      <w:pPr>
        <w:pStyle w:val="ListParagraph"/>
        <w:rPr>
          <w:rFonts w:ascii="Arial" w:hAnsi="Arial" w:cs="Arial"/>
        </w:rPr>
      </w:pPr>
    </w:p>
    <w:p w14:paraId="34E50F7A" w14:textId="77777777" w:rsidR="00976E04" w:rsidRDefault="00391FDC" w:rsidP="00391FDC">
      <w:pPr>
        <w:pStyle w:val="Default"/>
        <w:spacing w:line="360" w:lineRule="auto"/>
        <w:jc w:val="both"/>
        <w:rPr>
          <w:rFonts w:ascii="Arial" w:hAnsi="Arial" w:cs="Arial"/>
        </w:rPr>
      </w:pPr>
      <w:r w:rsidRPr="00391FDC">
        <w:rPr>
          <w:rFonts w:ascii="Arial" w:hAnsi="Arial" w:cs="Arial"/>
        </w:rPr>
        <w:t>[23]</w:t>
      </w:r>
      <w:r w:rsidRPr="00391FDC">
        <w:rPr>
          <w:rFonts w:ascii="Arial" w:hAnsi="Arial" w:cs="Arial"/>
        </w:rPr>
        <w:tab/>
      </w:r>
      <w:r>
        <w:rPr>
          <w:rFonts w:ascii="Arial" w:hAnsi="Arial" w:cs="Arial"/>
        </w:rPr>
        <w:t xml:space="preserve">What is clear from the above quoted section is the fact the section confers on an interested person the option to either approach the Registrar or a Court to seek an order directing a close corporation to change its name. But once the interested party has made an </w:t>
      </w:r>
      <w:r w:rsidR="00F26D15">
        <w:rPr>
          <w:rFonts w:ascii="Arial" w:hAnsi="Arial" w:cs="Arial"/>
        </w:rPr>
        <w:t>election</w:t>
      </w:r>
      <w:r w:rsidR="002863E4">
        <w:rPr>
          <w:rFonts w:ascii="Arial" w:hAnsi="Arial" w:cs="Arial"/>
        </w:rPr>
        <w:t>, that</w:t>
      </w:r>
      <w:r>
        <w:rPr>
          <w:rFonts w:ascii="Arial" w:hAnsi="Arial" w:cs="Arial"/>
        </w:rPr>
        <w:t xml:space="preserve"> party must live with the consequences </w:t>
      </w:r>
      <w:r w:rsidR="00976E04">
        <w:rPr>
          <w:rFonts w:ascii="Arial" w:hAnsi="Arial" w:cs="Arial"/>
        </w:rPr>
        <w:t>of its choice or election</w:t>
      </w:r>
      <w:r>
        <w:rPr>
          <w:rFonts w:ascii="Arial" w:hAnsi="Arial" w:cs="Arial"/>
        </w:rPr>
        <w:t>. A consequence of an election to approach the Registrar as contemplated in</w:t>
      </w:r>
      <w:r w:rsidR="00976E04">
        <w:rPr>
          <w:rFonts w:ascii="Arial" w:hAnsi="Arial" w:cs="Arial"/>
        </w:rPr>
        <w:t xml:space="preserve"> s 20(2)(a) is that once the party approaches the Registrar and the Registrar </w:t>
      </w:r>
      <w:proofErr w:type="gramStart"/>
      <w:r w:rsidR="00976E04">
        <w:rPr>
          <w:rFonts w:ascii="Arial" w:hAnsi="Arial" w:cs="Arial"/>
        </w:rPr>
        <w:t>makes a decision</w:t>
      </w:r>
      <w:proofErr w:type="gramEnd"/>
      <w:r w:rsidR="00976E04">
        <w:rPr>
          <w:rFonts w:ascii="Arial" w:hAnsi="Arial" w:cs="Arial"/>
        </w:rPr>
        <w:t xml:space="preserve"> that decision will remain valid and binding until set aside by a superior court.  </w:t>
      </w:r>
    </w:p>
    <w:p w14:paraId="528F9815" w14:textId="77777777" w:rsidR="00976E04" w:rsidRDefault="00976E04" w:rsidP="00391FDC">
      <w:pPr>
        <w:pStyle w:val="Default"/>
        <w:spacing w:line="360" w:lineRule="auto"/>
        <w:jc w:val="both"/>
        <w:rPr>
          <w:rFonts w:ascii="Arial" w:hAnsi="Arial" w:cs="Arial"/>
        </w:rPr>
      </w:pPr>
    </w:p>
    <w:p w14:paraId="69CA3285" w14:textId="77777777" w:rsidR="00391FDC" w:rsidRPr="00FE0AA0" w:rsidRDefault="00976E04" w:rsidP="00391FDC">
      <w:pPr>
        <w:pStyle w:val="Default"/>
        <w:spacing w:line="360" w:lineRule="auto"/>
        <w:jc w:val="both"/>
        <w:rPr>
          <w:rFonts w:ascii="Arial" w:hAnsi="Arial" w:cs="Arial"/>
          <w:color w:val="auto"/>
        </w:rPr>
      </w:pPr>
      <w:r>
        <w:rPr>
          <w:rFonts w:ascii="Arial" w:hAnsi="Arial" w:cs="Arial"/>
        </w:rPr>
        <w:t>[24]</w:t>
      </w:r>
      <w:r>
        <w:rPr>
          <w:rFonts w:ascii="Arial" w:hAnsi="Arial" w:cs="Arial"/>
        </w:rPr>
        <w:tab/>
        <w:t xml:space="preserve">The above principle was enunciated in the matter of </w:t>
      </w:r>
      <w:proofErr w:type="spellStart"/>
      <w:r w:rsidR="00391FDC" w:rsidRPr="00FE0AA0">
        <w:rPr>
          <w:rFonts w:ascii="Arial" w:hAnsi="Arial" w:cs="Arial"/>
          <w:i/>
          <w:iCs/>
          <w:color w:val="auto"/>
        </w:rPr>
        <w:t>Oudekraal</w:t>
      </w:r>
      <w:proofErr w:type="spellEnd"/>
      <w:r w:rsidR="00391FDC" w:rsidRPr="00FE0AA0">
        <w:rPr>
          <w:rFonts w:ascii="Arial" w:hAnsi="Arial" w:cs="Arial"/>
          <w:i/>
          <w:iCs/>
          <w:color w:val="auto"/>
        </w:rPr>
        <w:t xml:space="preserve"> Estates (Pty) Ltd v City of Cape Town &amp; others</w:t>
      </w:r>
      <w:r w:rsidR="00391FDC" w:rsidRPr="00FE0AA0">
        <w:rPr>
          <w:rStyle w:val="FootnoteReference"/>
          <w:rFonts w:ascii="Arial" w:hAnsi="Arial" w:cs="Arial"/>
          <w:i/>
          <w:iCs/>
          <w:color w:val="auto"/>
          <w:sz w:val="20"/>
          <w:szCs w:val="20"/>
        </w:rPr>
        <w:footnoteReference w:id="3"/>
      </w:r>
      <w:r w:rsidR="00391FDC" w:rsidRPr="00FE0AA0">
        <w:rPr>
          <w:rFonts w:ascii="Arial" w:hAnsi="Arial" w:cs="Arial"/>
          <w:i/>
          <w:iCs/>
          <w:color w:val="auto"/>
        </w:rPr>
        <w:t xml:space="preserve"> </w:t>
      </w:r>
      <w:r w:rsidRPr="00976E04">
        <w:rPr>
          <w:rFonts w:ascii="Arial" w:hAnsi="Arial" w:cs="Arial"/>
          <w:iCs/>
          <w:color w:val="auto"/>
        </w:rPr>
        <w:t xml:space="preserve">which </w:t>
      </w:r>
      <w:r w:rsidR="00391FDC" w:rsidRPr="00976E04">
        <w:rPr>
          <w:rFonts w:ascii="Arial" w:hAnsi="Arial" w:cs="Arial"/>
          <w:iCs/>
          <w:color w:val="auto"/>
        </w:rPr>
        <w:t>has</w:t>
      </w:r>
      <w:r w:rsidR="00391FDC" w:rsidRPr="00FE0AA0">
        <w:rPr>
          <w:rFonts w:ascii="Arial" w:hAnsi="Arial" w:cs="Arial"/>
          <w:iCs/>
          <w:color w:val="auto"/>
        </w:rPr>
        <w:t xml:space="preserve"> been referred to with approval in </w:t>
      </w:r>
      <w:proofErr w:type="gramStart"/>
      <w:r w:rsidR="00391FDC" w:rsidRPr="00FE0AA0">
        <w:rPr>
          <w:rFonts w:ascii="Arial" w:hAnsi="Arial" w:cs="Arial"/>
          <w:iCs/>
          <w:color w:val="auto"/>
        </w:rPr>
        <w:t>a number of</w:t>
      </w:r>
      <w:proofErr w:type="gramEnd"/>
      <w:r w:rsidR="00391FDC" w:rsidRPr="00FE0AA0">
        <w:rPr>
          <w:rFonts w:ascii="Arial" w:hAnsi="Arial" w:cs="Arial"/>
          <w:iCs/>
          <w:color w:val="auto"/>
        </w:rPr>
        <w:t xml:space="preserve"> cases in this jurisdiction. The</w:t>
      </w:r>
      <w:r w:rsidR="00391FDC" w:rsidRPr="00FE0AA0">
        <w:rPr>
          <w:rFonts w:ascii="Arial" w:hAnsi="Arial" w:cs="Arial"/>
          <w:i/>
          <w:iCs/>
          <w:color w:val="auto"/>
        </w:rPr>
        <w:t xml:space="preserve"> ‘</w:t>
      </w:r>
      <w:proofErr w:type="spellStart"/>
      <w:r w:rsidR="00391FDC" w:rsidRPr="00FE0AA0">
        <w:rPr>
          <w:rFonts w:ascii="Arial" w:hAnsi="Arial" w:cs="Arial"/>
          <w:i/>
          <w:iCs/>
          <w:color w:val="auto"/>
        </w:rPr>
        <w:t>Oudekraal</w:t>
      </w:r>
      <w:proofErr w:type="spellEnd"/>
      <w:r w:rsidR="00391FDC" w:rsidRPr="00FE0AA0">
        <w:rPr>
          <w:rFonts w:ascii="Arial" w:hAnsi="Arial" w:cs="Arial"/>
          <w:i/>
          <w:iCs/>
          <w:color w:val="auto"/>
        </w:rPr>
        <w:t xml:space="preserve"> principle’ </w:t>
      </w:r>
      <w:r w:rsidR="00391FDC" w:rsidRPr="00FE0AA0">
        <w:rPr>
          <w:rFonts w:ascii="Arial" w:hAnsi="Arial" w:cs="Arial"/>
          <w:color w:val="auto"/>
        </w:rPr>
        <w:t xml:space="preserve">entails that once </w:t>
      </w:r>
      <w:r>
        <w:rPr>
          <w:rFonts w:ascii="Arial" w:hAnsi="Arial" w:cs="Arial"/>
          <w:color w:val="auto"/>
        </w:rPr>
        <w:t xml:space="preserve">a public </w:t>
      </w:r>
      <w:r w:rsidR="00F26D15">
        <w:rPr>
          <w:rFonts w:ascii="Arial" w:hAnsi="Arial" w:cs="Arial"/>
          <w:color w:val="auto"/>
        </w:rPr>
        <w:t xml:space="preserve">body </w:t>
      </w:r>
      <w:r w:rsidR="00F26D15" w:rsidRPr="00FE0AA0">
        <w:rPr>
          <w:rFonts w:ascii="Arial" w:hAnsi="Arial" w:cs="Arial"/>
          <w:color w:val="auto"/>
        </w:rPr>
        <w:t>has</w:t>
      </w:r>
      <w:r w:rsidR="00391FDC" w:rsidRPr="00FE0AA0">
        <w:rPr>
          <w:rFonts w:ascii="Arial" w:hAnsi="Arial" w:cs="Arial"/>
          <w:color w:val="auto"/>
        </w:rPr>
        <w:t xml:space="preserve"> made a</w:t>
      </w:r>
      <w:r>
        <w:rPr>
          <w:rFonts w:ascii="Arial" w:hAnsi="Arial" w:cs="Arial"/>
          <w:color w:val="auto"/>
        </w:rPr>
        <w:t>n administrative</w:t>
      </w:r>
      <w:r w:rsidRPr="00976E04">
        <w:rPr>
          <w:rFonts w:ascii="Arial" w:hAnsi="Arial" w:cs="Arial"/>
          <w:color w:val="auto"/>
        </w:rPr>
        <w:t xml:space="preserve"> </w:t>
      </w:r>
      <w:r w:rsidRPr="00FE0AA0">
        <w:rPr>
          <w:rFonts w:ascii="Arial" w:hAnsi="Arial" w:cs="Arial"/>
          <w:color w:val="auto"/>
        </w:rPr>
        <w:t>decision</w:t>
      </w:r>
      <w:r>
        <w:rPr>
          <w:rFonts w:ascii="Arial" w:hAnsi="Arial" w:cs="Arial"/>
          <w:color w:val="auto"/>
        </w:rPr>
        <w:t xml:space="preserve"> (whether the decision is right or </w:t>
      </w:r>
      <w:r>
        <w:rPr>
          <w:rFonts w:ascii="Arial" w:hAnsi="Arial" w:cs="Arial"/>
          <w:color w:val="auto"/>
        </w:rPr>
        <w:lastRenderedPageBreak/>
        <w:t>wrong or defective)</w:t>
      </w:r>
      <w:r w:rsidR="00391FDC" w:rsidRPr="00FE0AA0">
        <w:rPr>
          <w:rFonts w:ascii="Arial" w:hAnsi="Arial" w:cs="Arial"/>
          <w:color w:val="auto"/>
        </w:rPr>
        <w:t xml:space="preserve"> it </w:t>
      </w:r>
      <w:r w:rsidR="00F26D15">
        <w:rPr>
          <w:rFonts w:ascii="Arial" w:hAnsi="Arial" w:cs="Arial"/>
          <w:color w:val="auto"/>
        </w:rPr>
        <w:t>(</w:t>
      </w:r>
      <w:r>
        <w:rPr>
          <w:rFonts w:ascii="Arial" w:hAnsi="Arial" w:cs="Arial"/>
          <w:color w:val="auto"/>
        </w:rPr>
        <w:t>the administrative body</w:t>
      </w:r>
      <w:r w:rsidR="00F26D15">
        <w:rPr>
          <w:rFonts w:ascii="Arial" w:hAnsi="Arial" w:cs="Arial"/>
          <w:color w:val="auto"/>
        </w:rPr>
        <w:t>)</w:t>
      </w:r>
      <w:r>
        <w:rPr>
          <w:rFonts w:ascii="Arial" w:hAnsi="Arial" w:cs="Arial"/>
          <w:color w:val="auto"/>
        </w:rPr>
        <w:t xml:space="preserve"> </w:t>
      </w:r>
      <w:r w:rsidR="00391FDC" w:rsidRPr="00FE0AA0">
        <w:rPr>
          <w:rFonts w:ascii="Arial" w:hAnsi="Arial" w:cs="Arial"/>
          <w:color w:val="auto"/>
        </w:rPr>
        <w:t xml:space="preserve">has no power to change </w:t>
      </w:r>
      <w:r>
        <w:rPr>
          <w:rFonts w:ascii="Arial" w:hAnsi="Arial" w:cs="Arial"/>
          <w:color w:val="auto"/>
        </w:rPr>
        <w:t>the administrative</w:t>
      </w:r>
      <w:r w:rsidRPr="00976E04">
        <w:rPr>
          <w:rFonts w:ascii="Arial" w:hAnsi="Arial" w:cs="Arial"/>
          <w:color w:val="auto"/>
        </w:rPr>
        <w:t xml:space="preserve"> </w:t>
      </w:r>
      <w:r w:rsidRPr="00FE0AA0">
        <w:rPr>
          <w:rFonts w:ascii="Arial" w:hAnsi="Arial" w:cs="Arial"/>
          <w:color w:val="auto"/>
        </w:rPr>
        <w:t>decision</w:t>
      </w:r>
      <w:r>
        <w:rPr>
          <w:rFonts w:ascii="Arial" w:hAnsi="Arial" w:cs="Arial"/>
          <w:color w:val="auto"/>
        </w:rPr>
        <w:t xml:space="preserve"> </w:t>
      </w:r>
      <w:r w:rsidR="00391FDC" w:rsidRPr="00FE0AA0">
        <w:rPr>
          <w:rFonts w:ascii="Arial" w:hAnsi="Arial" w:cs="Arial"/>
          <w:color w:val="auto"/>
        </w:rPr>
        <w:t>or set it aside</w:t>
      </w:r>
      <w:r w:rsidR="00F26D15">
        <w:rPr>
          <w:rFonts w:ascii="Arial" w:hAnsi="Arial" w:cs="Arial"/>
          <w:color w:val="auto"/>
        </w:rPr>
        <w:t>. E</w:t>
      </w:r>
      <w:r>
        <w:rPr>
          <w:rFonts w:ascii="Arial" w:hAnsi="Arial" w:cs="Arial"/>
          <w:color w:val="auto"/>
        </w:rPr>
        <w:t xml:space="preserve">ven defective </w:t>
      </w:r>
      <w:r w:rsidR="00391FDC" w:rsidRPr="00FE0AA0">
        <w:rPr>
          <w:rFonts w:ascii="Arial" w:hAnsi="Arial" w:cs="Arial"/>
          <w:color w:val="auto"/>
        </w:rPr>
        <w:t xml:space="preserve">decisions of </w:t>
      </w:r>
      <w:r>
        <w:rPr>
          <w:rFonts w:ascii="Arial" w:hAnsi="Arial" w:cs="Arial"/>
          <w:color w:val="auto"/>
        </w:rPr>
        <w:t xml:space="preserve">administrative bodies </w:t>
      </w:r>
      <w:r w:rsidR="00391FDC" w:rsidRPr="00FE0AA0">
        <w:rPr>
          <w:rFonts w:ascii="Arial" w:hAnsi="Arial" w:cs="Arial"/>
          <w:color w:val="auto"/>
        </w:rPr>
        <w:t>remain binding until they are set aside through judicial review.</w:t>
      </w:r>
    </w:p>
    <w:p w14:paraId="0D0110CE" w14:textId="77777777" w:rsidR="00391FDC" w:rsidRPr="00FE0AA0" w:rsidRDefault="00391FDC" w:rsidP="00391FDC">
      <w:pPr>
        <w:pStyle w:val="Default"/>
        <w:spacing w:line="360" w:lineRule="auto"/>
        <w:jc w:val="both"/>
        <w:rPr>
          <w:rFonts w:ascii="Arial" w:hAnsi="Arial" w:cs="Arial"/>
          <w:color w:val="auto"/>
        </w:rPr>
      </w:pPr>
    </w:p>
    <w:p w14:paraId="7CEE654E" w14:textId="77777777" w:rsidR="00391FDC" w:rsidRPr="00FE0AA0" w:rsidRDefault="00391FDC" w:rsidP="00976E04">
      <w:pPr>
        <w:pStyle w:val="Default"/>
        <w:spacing w:line="360" w:lineRule="auto"/>
        <w:jc w:val="both"/>
        <w:rPr>
          <w:rFonts w:ascii="Arial" w:hAnsi="Arial" w:cs="Arial"/>
          <w:color w:val="auto"/>
        </w:rPr>
      </w:pPr>
      <w:r w:rsidRPr="00FE0AA0">
        <w:rPr>
          <w:rFonts w:ascii="Arial" w:hAnsi="Arial" w:cs="Arial"/>
          <w:color w:val="auto"/>
        </w:rPr>
        <w:t>[</w:t>
      </w:r>
      <w:r w:rsidR="00976E04">
        <w:rPr>
          <w:rFonts w:ascii="Arial" w:hAnsi="Arial" w:cs="Arial"/>
          <w:color w:val="auto"/>
        </w:rPr>
        <w:t>25</w:t>
      </w:r>
      <w:r w:rsidRPr="00FE0AA0">
        <w:rPr>
          <w:rFonts w:ascii="Arial" w:hAnsi="Arial" w:cs="Arial"/>
          <w:color w:val="auto"/>
        </w:rPr>
        <w:t>]</w:t>
      </w:r>
      <w:r w:rsidRPr="00FE0AA0">
        <w:rPr>
          <w:rFonts w:ascii="Arial" w:hAnsi="Arial" w:cs="Arial"/>
          <w:color w:val="auto"/>
        </w:rPr>
        <w:tab/>
        <w:t xml:space="preserve">In </w:t>
      </w:r>
      <w:r w:rsidRPr="00FE0AA0">
        <w:rPr>
          <w:rFonts w:ascii="Arial" w:hAnsi="Arial" w:cs="Arial"/>
          <w:i/>
          <w:color w:val="auto"/>
        </w:rPr>
        <w:t>Minister of Finance v Merlus Seafood Processors (Pty) L</w:t>
      </w:r>
      <w:r w:rsidR="00976E04" w:rsidRPr="00FE0AA0">
        <w:rPr>
          <w:rFonts w:ascii="Arial" w:hAnsi="Arial" w:cs="Arial"/>
          <w:i/>
          <w:color w:val="auto"/>
        </w:rPr>
        <w:t>td</w:t>
      </w:r>
      <w:r w:rsidR="00976E04">
        <w:rPr>
          <w:rStyle w:val="FootnoteReference"/>
          <w:rFonts w:ascii="Arial" w:hAnsi="Arial" w:cs="Arial"/>
          <w:i/>
          <w:color w:val="auto"/>
        </w:rPr>
        <w:footnoteReference w:id="4"/>
      </w:r>
      <w:r w:rsidR="00976E04" w:rsidRPr="00FE0AA0">
        <w:rPr>
          <w:rFonts w:ascii="Arial" w:hAnsi="Arial" w:cs="Arial"/>
          <w:color w:val="auto"/>
        </w:rPr>
        <w:t xml:space="preserve"> </w:t>
      </w:r>
      <w:proofErr w:type="spellStart"/>
      <w:r w:rsidRPr="00FE0AA0">
        <w:rPr>
          <w:rFonts w:ascii="Arial" w:hAnsi="Arial" w:cs="Arial"/>
          <w:color w:val="auto"/>
        </w:rPr>
        <w:t>Mainga</w:t>
      </w:r>
      <w:proofErr w:type="spellEnd"/>
      <w:r w:rsidRPr="00FE0AA0">
        <w:rPr>
          <w:rFonts w:ascii="Arial" w:hAnsi="Arial" w:cs="Arial"/>
          <w:color w:val="auto"/>
        </w:rPr>
        <w:t xml:space="preserve"> JA discuss the </w:t>
      </w:r>
      <w:proofErr w:type="spellStart"/>
      <w:r w:rsidR="00976E04" w:rsidRPr="00FE0AA0">
        <w:rPr>
          <w:rFonts w:ascii="Arial" w:hAnsi="Arial" w:cs="Arial"/>
          <w:i/>
          <w:iCs/>
          <w:color w:val="auto"/>
        </w:rPr>
        <w:t>Oudekraal</w:t>
      </w:r>
      <w:proofErr w:type="spellEnd"/>
      <w:r w:rsidR="00976E04" w:rsidRPr="00FE0AA0">
        <w:rPr>
          <w:rFonts w:ascii="Arial" w:hAnsi="Arial" w:cs="Arial"/>
          <w:i/>
          <w:iCs/>
          <w:color w:val="auto"/>
        </w:rPr>
        <w:t xml:space="preserve"> </w:t>
      </w:r>
      <w:r w:rsidRPr="00FE0AA0">
        <w:rPr>
          <w:rFonts w:ascii="Arial" w:hAnsi="Arial" w:cs="Arial"/>
          <w:color w:val="auto"/>
        </w:rPr>
        <w:t>principle as follows:</w:t>
      </w:r>
    </w:p>
    <w:p w14:paraId="60B1638F" w14:textId="77777777" w:rsidR="00391FDC" w:rsidRDefault="00391FDC" w:rsidP="00976E04">
      <w:pPr>
        <w:pStyle w:val="Default"/>
        <w:spacing w:line="360" w:lineRule="auto"/>
        <w:jc w:val="both"/>
        <w:rPr>
          <w:rFonts w:ascii="Arial" w:hAnsi="Arial" w:cs="Arial"/>
          <w:color w:val="auto"/>
          <w:sz w:val="22"/>
          <w:szCs w:val="22"/>
        </w:rPr>
      </w:pPr>
    </w:p>
    <w:p w14:paraId="10455977" w14:textId="77777777" w:rsidR="00391FDC" w:rsidRDefault="00391FDC" w:rsidP="00976E04">
      <w:pPr>
        <w:pStyle w:val="Default"/>
        <w:spacing w:line="360" w:lineRule="auto"/>
        <w:ind w:firstLine="709"/>
        <w:jc w:val="both"/>
        <w:rPr>
          <w:rFonts w:ascii="Arial" w:hAnsi="Arial" w:cs="Arial"/>
          <w:color w:val="auto"/>
          <w:sz w:val="22"/>
          <w:szCs w:val="22"/>
        </w:rPr>
      </w:pPr>
      <w:r w:rsidRPr="00FE0AA0">
        <w:rPr>
          <w:rFonts w:ascii="Arial" w:hAnsi="Arial" w:cs="Arial"/>
          <w:color w:val="auto"/>
          <w:sz w:val="22"/>
          <w:szCs w:val="22"/>
        </w:rPr>
        <w:t>‘The apparent anomaly (that an unlawful act can produce legally effective consequences) is sometimes attributed to the effect of a presumption that administrative acts are valid, which is explained as follows by Lawrence Baxter Administrative Law at 355:</w:t>
      </w:r>
    </w:p>
    <w:p w14:paraId="4F85EF04" w14:textId="77777777" w:rsidR="00391FDC" w:rsidRPr="00FE0AA0" w:rsidRDefault="00391FDC" w:rsidP="00976E04">
      <w:pPr>
        <w:pStyle w:val="Default"/>
        <w:spacing w:line="360" w:lineRule="auto"/>
        <w:jc w:val="both"/>
        <w:rPr>
          <w:rFonts w:ascii="Arial" w:hAnsi="Arial" w:cs="Arial"/>
          <w:color w:val="auto"/>
          <w:sz w:val="22"/>
          <w:szCs w:val="22"/>
        </w:rPr>
      </w:pPr>
    </w:p>
    <w:p w14:paraId="602F3C8D" w14:textId="77777777" w:rsidR="00391FDC" w:rsidRPr="00FE0AA0" w:rsidRDefault="00391FDC" w:rsidP="00224218">
      <w:pPr>
        <w:pStyle w:val="Default"/>
        <w:spacing w:line="360" w:lineRule="auto"/>
        <w:ind w:firstLine="709"/>
        <w:jc w:val="both"/>
        <w:rPr>
          <w:rFonts w:ascii="Arial" w:hAnsi="Arial" w:cs="Arial"/>
          <w:color w:val="auto"/>
          <w:sz w:val="22"/>
          <w:szCs w:val="22"/>
        </w:rPr>
      </w:pPr>
      <w:r w:rsidRPr="00FE0AA0">
        <w:rPr>
          <w:rFonts w:ascii="Arial" w:hAnsi="Arial" w:cs="Arial"/>
          <w:color w:val="auto"/>
          <w:sz w:val="22"/>
          <w:szCs w:val="22"/>
        </w:rPr>
        <w:t xml:space="preserve">There exists an evidential presumption of validity expressed by the </w:t>
      </w:r>
      <w:r w:rsidRPr="00FE0AA0">
        <w:rPr>
          <w:rFonts w:ascii="Arial" w:hAnsi="Arial" w:cs="Arial"/>
          <w:i/>
          <w:color w:val="auto"/>
          <w:sz w:val="22"/>
          <w:szCs w:val="22"/>
        </w:rPr>
        <w:t xml:space="preserve">maxim omnia </w:t>
      </w:r>
      <w:proofErr w:type="spellStart"/>
      <w:r w:rsidRPr="00FE0AA0">
        <w:rPr>
          <w:rFonts w:ascii="Arial" w:hAnsi="Arial" w:cs="Arial"/>
          <w:i/>
          <w:color w:val="auto"/>
          <w:sz w:val="22"/>
          <w:szCs w:val="22"/>
        </w:rPr>
        <w:t>praesumuntur</w:t>
      </w:r>
      <w:proofErr w:type="spellEnd"/>
      <w:r w:rsidRPr="00FE0AA0">
        <w:rPr>
          <w:rFonts w:ascii="Arial" w:hAnsi="Arial" w:cs="Arial"/>
          <w:i/>
          <w:color w:val="auto"/>
          <w:sz w:val="22"/>
          <w:szCs w:val="22"/>
        </w:rPr>
        <w:t xml:space="preserve"> rite </w:t>
      </w:r>
      <w:proofErr w:type="spellStart"/>
      <w:r w:rsidRPr="00FE0AA0">
        <w:rPr>
          <w:rFonts w:ascii="Arial" w:hAnsi="Arial" w:cs="Arial"/>
          <w:i/>
          <w:color w:val="auto"/>
          <w:sz w:val="22"/>
          <w:szCs w:val="22"/>
        </w:rPr>
        <w:t>esse</w:t>
      </w:r>
      <w:proofErr w:type="spellEnd"/>
      <w:r w:rsidRPr="00FE0AA0">
        <w:rPr>
          <w:rFonts w:ascii="Arial" w:hAnsi="Arial" w:cs="Arial"/>
          <w:i/>
          <w:color w:val="auto"/>
          <w:sz w:val="22"/>
          <w:szCs w:val="22"/>
        </w:rPr>
        <w:t xml:space="preserve"> acta</w:t>
      </w:r>
      <w:r w:rsidRPr="00FE0AA0">
        <w:rPr>
          <w:rFonts w:ascii="Arial" w:hAnsi="Arial" w:cs="Arial"/>
          <w:color w:val="auto"/>
          <w:sz w:val="22"/>
          <w:szCs w:val="22"/>
        </w:rPr>
        <w:t xml:space="preserve">; and until the act in question is found to be unlawful by a court, there is no certainty that it is. Hence it is sometimes argued that unlawful administrative acts are 'voidable' because they </w:t>
      </w:r>
      <w:proofErr w:type="gramStart"/>
      <w:r w:rsidRPr="00FE0AA0">
        <w:rPr>
          <w:rFonts w:ascii="Arial" w:hAnsi="Arial" w:cs="Arial"/>
          <w:color w:val="auto"/>
          <w:sz w:val="22"/>
          <w:szCs w:val="22"/>
        </w:rPr>
        <w:t>have to</w:t>
      </w:r>
      <w:proofErr w:type="gramEnd"/>
      <w:r w:rsidRPr="00FE0AA0">
        <w:rPr>
          <w:rFonts w:ascii="Arial" w:hAnsi="Arial" w:cs="Arial"/>
          <w:color w:val="auto"/>
          <w:sz w:val="22"/>
          <w:szCs w:val="22"/>
        </w:rPr>
        <w:t xml:space="preserve"> be annulled.</w:t>
      </w:r>
      <w:r w:rsidR="00224218">
        <w:rPr>
          <w:rFonts w:ascii="Arial" w:hAnsi="Arial" w:cs="Arial"/>
          <w:color w:val="auto"/>
          <w:sz w:val="22"/>
          <w:szCs w:val="22"/>
        </w:rPr>
        <w:t>’</w:t>
      </w:r>
    </w:p>
    <w:p w14:paraId="0F32CDBC" w14:textId="77777777" w:rsidR="00391FDC" w:rsidRDefault="00391FDC" w:rsidP="00976E04">
      <w:pPr>
        <w:pStyle w:val="Default"/>
        <w:spacing w:line="360" w:lineRule="auto"/>
        <w:jc w:val="both"/>
        <w:rPr>
          <w:rFonts w:ascii="Arial" w:hAnsi="Arial" w:cs="Arial"/>
          <w:color w:val="auto"/>
          <w:sz w:val="22"/>
          <w:szCs w:val="22"/>
        </w:rPr>
      </w:pPr>
    </w:p>
    <w:p w14:paraId="2B0B56FA" w14:textId="77777777" w:rsidR="00391FDC" w:rsidRPr="00FE0AA0" w:rsidRDefault="00391FDC" w:rsidP="00224218">
      <w:pPr>
        <w:pStyle w:val="Default"/>
        <w:spacing w:line="360" w:lineRule="auto"/>
        <w:ind w:firstLine="709"/>
        <w:jc w:val="both"/>
        <w:rPr>
          <w:rFonts w:ascii="Arial" w:hAnsi="Arial" w:cs="Arial"/>
          <w:color w:val="auto"/>
          <w:sz w:val="22"/>
          <w:szCs w:val="22"/>
        </w:rPr>
      </w:pPr>
      <w:r w:rsidRPr="00FE0AA0">
        <w:rPr>
          <w:rFonts w:ascii="Arial" w:hAnsi="Arial" w:cs="Arial"/>
          <w:color w:val="auto"/>
          <w:sz w:val="22"/>
          <w:szCs w:val="22"/>
        </w:rPr>
        <w:t xml:space="preserve">'At other times it has been explained on little more than pragmatic grounds. </w:t>
      </w:r>
      <w:r w:rsidRPr="00FE0AA0">
        <w:rPr>
          <w:rFonts w:ascii="Arial" w:hAnsi="Arial" w:cs="Arial"/>
          <w:i/>
          <w:color w:val="auto"/>
          <w:sz w:val="22"/>
          <w:szCs w:val="22"/>
        </w:rPr>
        <w:t xml:space="preserve">In </w:t>
      </w:r>
      <w:proofErr w:type="spellStart"/>
      <w:r w:rsidRPr="00FE0AA0">
        <w:rPr>
          <w:rFonts w:ascii="Arial" w:hAnsi="Arial" w:cs="Arial"/>
          <w:i/>
          <w:color w:val="auto"/>
          <w:sz w:val="22"/>
          <w:szCs w:val="22"/>
        </w:rPr>
        <w:t>Harnaker</w:t>
      </w:r>
      <w:proofErr w:type="spellEnd"/>
      <w:r w:rsidRPr="00FE0AA0">
        <w:rPr>
          <w:rFonts w:ascii="Arial" w:hAnsi="Arial" w:cs="Arial"/>
          <w:i/>
          <w:color w:val="auto"/>
          <w:sz w:val="22"/>
          <w:szCs w:val="22"/>
        </w:rPr>
        <w:t xml:space="preserve"> v Minister of the Interior</w:t>
      </w:r>
      <w:r w:rsidRPr="00FE0AA0">
        <w:rPr>
          <w:rFonts w:ascii="Arial" w:hAnsi="Arial" w:cs="Arial"/>
          <w:color w:val="auto"/>
          <w:sz w:val="22"/>
          <w:szCs w:val="22"/>
        </w:rPr>
        <w:t xml:space="preserve"> 1965 (1) SA 372 (C) Corbett J said at 381C that where a court declines to set aside an invalid act on the grounds of delay (the same would apply where it declines to do so on other grounds) (</w:t>
      </w:r>
      <w:proofErr w:type="spellStart"/>
      <w:r w:rsidRPr="00FE0AA0">
        <w:rPr>
          <w:rFonts w:ascii="Arial" w:hAnsi="Arial" w:cs="Arial"/>
          <w:color w:val="auto"/>
          <w:sz w:val="22"/>
          <w:szCs w:val="22"/>
        </w:rPr>
        <w:t>i</w:t>
      </w:r>
      <w:proofErr w:type="spellEnd"/>
      <w:r w:rsidRPr="00FE0AA0">
        <w:rPr>
          <w:rFonts w:ascii="Arial" w:hAnsi="Arial" w:cs="Arial"/>
          <w:color w:val="auto"/>
          <w:sz w:val="22"/>
          <w:szCs w:val="22"/>
        </w:rPr>
        <w:t xml:space="preserve">)n a sense delay would . . . 'validate' a nullity. Or as Lord Radcliffe said in </w:t>
      </w:r>
      <w:r w:rsidRPr="003F2725">
        <w:rPr>
          <w:rFonts w:ascii="Arial" w:hAnsi="Arial" w:cs="Arial"/>
          <w:i/>
          <w:color w:val="auto"/>
          <w:sz w:val="22"/>
          <w:szCs w:val="22"/>
        </w:rPr>
        <w:t xml:space="preserve">Smith v East </w:t>
      </w:r>
      <w:proofErr w:type="spellStart"/>
      <w:r w:rsidRPr="003F2725">
        <w:rPr>
          <w:rFonts w:ascii="Arial" w:hAnsi="Arial" w:cs="Arial"/>
          <w:i/>
          <w:color w:val="auto"/>
          <w:sz w:val="22"/>
          <w:szCs w:val="22"/>
        </w:rPr>
        <w:t>Elloe</w:t>
      </w:r>
      <w:proofErr w:type="spellEnd"/>
      <w:r w:rsidRPr="003F2725">
        <w:rPr>
          <w:rFonts w:ascii="Arial" w:hAnsi="Arial" w:cs="Arial"/>
          <w:i/>
          <w:color w:val="auto"/>
          <w:sz w:val="22"/>
          <w:szCs w:val="22"/>
        </w:rPr>
        <w:t xml:space="preserve"> Rural District Counc</w:t>
      </w:r>
      <w:r w:rsidRPr="00FE0AA0">
        <w:rPr>
          <w:rFonts w:ascii="Arial" w:hAnsi="Arial" w:cs="Arial"/>
          <w:color w:val="auto"/>
          <w:sz w:val="22"/>
          <w:szCs w:val="22"/>
        </w:rPr>
        <w:t xml:space="preserve">il [1956] AC 736 (HL) at 769 – 70 ([1956] 1 All ER 855 at 871H; [1956] 2 WLR 88):  </w:t>
      </w:r>
    </w:p>
    <w:p w14:paraId="6D1478B4" w14:textId="77777777" w:rsidR="00391FDC" w:rsidRDefault="00391FDC" w:rsidP="00976E04">
      <w:pPr>
        <w:pStyle w:val="Default"/>
        <w:spacing w:line="360" w:lineRule="auto"/>
        <w:jc w:val="both"/>
        <w:rPr>
          <w:rFonts w:ascii="Arial" w:hAnsi="Arial" w:cs="Arial"/>
          <w:color w:val="auto"/>
          <w:sz w:val="22"/>
          <w:szCs w:val="22"/>
        </w:rPr>
      </w:pPr>
    </w:p>
    <w:p w14:paraId="456780F5" w14:textId="77777777" w:rsidR="00391FDC" w:rsidRPr="00FE0AA0" w:rsidRDefault="00391FDC" w:rsidP="00976E04">
      <w:pPr>
        <w:pStyle w:val="Default"/>
        <w:spacing w:line="360" w:lineRule="auto"/>
        <w:ind w:firstLine="720"/>
        <w:jc w:val="both"/>
        <w:rPr>
          <w:rFonts w:ascii="Arial" w:hAnsi="Arial" w:cs="Arial"/>
          <w:color w:val="auto"/>
        </w:rPr>
      </w:pPr>
      <w:r w:rsidRPr="00FE0AA0">
        <w:rPr>
          <w:rFonts w:ascii="Arial" w:hAnsi="Arial" w:cs="Arial"/>
          <w:color w:val="auto"/>
          <w:sz w:val="22"/>
          <w:szCs w:val="22"/>
        </w:rPr>
        <w:t>An [administrative] order . . . is still an act capable of legal consequences. It bears no brand of invalidity upon its forehead. Unless the necessary proceedings are taken at law to establish the cause of invalidity and to get it quashed or otherwise upset, it will remain as effective for its ostensible purpose as the most impeccable of orders.'</w:t>
      </w:r>
      <w:r w:rsidRPr="00FE0AA0">
        <w:rPr>
          <w:rFonts w:ascii="Arial" w:hAnsi="Arial" w:cs="Arial"/>
          <w:color w:val="auto"/>
        </w:rPr>
        <w:t xml:space="preserve"> </w:t>
      </w:r>
    </w:p>
    <w:p w14:paraId="2ECB22AD" w14:textId="77777777" w:rsidR="00391FDC" w:rsidRPr="00FE0AA0" w:rsidRDefault="00391FDC" w:rsidP="00391FDC">
      <w:pPr>
        <w:pStyle w:val="Default"/>
        <w:spacing w:line="360" w:lineRule="auto"/>
        <w:jc w:val="both"/>
        <w:rPr>
          <w:rFonts w:ascii="Arial" w:hAnsi="Arial" w:cs="Arial"/>
          <w:color w:val="auto"/>
        </w:rPr>
      </w:pPr>
    </w:p>
    <w:p w14:paraId="41FE215C" w14:textId="77777777" w:rsidR="0020543B" w:rsidRDefault="00391FDC" w:rsidP="00391FDC">
      <w:pPr>
        <w:pStyle w:val="Default"/>
        <w:spacing w:line="360" w:lineRule="auto"/>
        <w:jc w:val="both"/>
        <w:rPr>
          <w:rFonts w:ascii="Arial" w:hAnsi="Arial" w:cs="Arial"/>
          <w:color w:val="auto"/>
        </w:rPr>
      </w:pPr>
      <w:r w:rsidRPr="00FE0AA0">
        <w:rPr>
          <w:rFonts w:ascii="Arial" w:hAnsi="Arial" w:cs="Arial"/>
          <w:color w:val="auto"/>
        </w:rPr>
        <w:t>[</w:t>
      </w:r>
      <w:r w:rsidR="00832FF2">
        <w:rPr>
          <w:rFonts w:ascii="Arial" w:hAnsi="Arial" w:cs="Arial"/>
          <w:color w:val="auto"/>
        </w:rPr>
        <w:t>26</w:t>
      </w:r>
      <w:r w:rsidRPr="00FE0AA0">
        <w:rPr>
          <w:rFonts w:ascii="Arial" w:hAnsi="Arial" w:cs="Arial"/>
          <w:color w:val="auto"/>
        </w:rPr>
        <w:t>]</w:t>
      </w:r>
      <w:r w:rsidRPr="00FE0AA0">
        <w:rPr>
          <w:rFonts w:ascii="Arial" w:hAnsi="Arial" w:cs="Arial"/>
          <w:color w:val="auto"/>
        </w:rPr>
        <w:tab/>
        <w:t xml:space="preserve">The </w:t>
      </w:r>
      <w:r w:rsidR="00832FF2">
        <w:rPr>
          <w:rFonts w:ascii="Arial" w:hAnsi="Arial" w:cs="Arial"/>
          <w:color w:val="auto"/>
        </w:rPr>
        <w:t xml:space="preserve">decision by the Registrar of Business to refuse to order the respondents to change their names undoubtedly </w:t>
      </w:r>
      <w:r w:rsidR="00832FF2" w:rsidRPr="00FE0AA0">
        <w:rPr>
          <w:rFonts w:ascii="Arial" w:hAnsi="Arial" w:cs="Arial"/>
          <w:color w:val="auto"/>
        </w:rPr>
        <w:t>constitutes</w:t>
      </w:r>
      <w:r w:rsidRPr="00FE0AA0">
        <w:rPr>
          <w:rFonts w:ascii="Arial" w:hAnsi="Arial" w:cs="Arial"/>
          <w:color w:val="auto"/>
        </w:rPr>
        <w:t xml:space="preserve"> an administrative </w:t>
      </w:r>
      <w:r w:rsidR="00832FF2">
        <w:rPr>
          <w:rFonts w:ascii="Arial" w:hAnsi="Arial" w:cs="Arial"/>
          <w:color w:val="auto"/>
        </w:rPr>
        <w:t>decision</w:t>
      </w:r>
      <w:r w:rsidRPr="00FE0AA0">
        <w:rPr>
          <w:rFonts w:ascii="Arial" w:hAnsi="Arial" w:cs="Arial"/>
          <w:color w:val="auto"/>
        </w:rPr>
        <w:t xml:space="preserve"> which remains valid until set aside</w:t>
      </w:r>
      <w:r w:rsidR="00832FF2">
        <w:rPr>
          <w:rFonts w:ascii="Arial" w:hAnsi="Arial" w:cs="Arial"/>
          <w:color w:val="auto"/>
        </w:rPr>
        <w:t xml:space="preserve"> by a competent court</w:t>
      </w:r>
      <w:r w:rsidRPr="00FE0AA0">
        <w:rPr>
          <w:rStyle w:val="FootnoteReference"/>
          <w:rFonts w:ascii="Arial" w:hAnsi="Arial" w:cs="Arial"/>
          <w:color w:val="auto"/>
        </w:rPr>
        <w:footnoteReference w:id="5"/>
      </w:r>
      <w:r w:rsidR="00224218">
        <w:rPr>
          <w:rFonts w:ascii="Arial" w:hAnsi="Arial" w:cs="Arial"/>
          <w:color w:val="auto"/>
        </w:rPr>
        <w:t>.</w:t>
      </w:r>
      <w:r w:rsidR="00832FF2">
        <w:rPr>
          <w:rFonts w:ascii="Arial" w:hAnsi="Arial" w:cs="Arial"/>
          <w:color w:val="auto"/>
        </w:rPr>
        <w:t xml:space="preserve"> </w:t>
      </w:r>
      <w:r w:rsidRPr="00FE0AA0">
        <w:rPr>
          <w:rFonts w:ascii="Arial" w:hAnsi="Arial" w:cs="Arial"/>
          <w:color w:val="auto"/>
        </w:rPr>
        <w:t>The decision made by t</w:t>
      </w:r>
      <w:r>
        <w:rPr>
          <w:rFonts w:ascii="Arial" w:hAnsi="Arial" w:cs="Arial"/>
          <w:color w:val="auto"/>
        </w:rPr>
        <w:t xml:space="preserve">he </w:t>
      </w:r>
      <w:r w:rsidR="00832FF2">
        <w:rPr>
          <w:rFonts w:ascii="Arial" w:hAnsi="Arial" w:cs="Arial"/>
          <w:color w:val="auto"/>
        </w:rPr>
        <w:t xml:space="preserve">Registrar of Business </w:t>
      </w:r>
      <w:r w:rsidRPr="00FE0AA0">
        <w:rPr>
          <w:rFonts w:ascii="Arial" w:hAnsi="Arial" w:cs="Arial"/>
          <w:color w:val="auto"/>
        </w:rPr>
        <w:t>has legal consequences.</w:t>
      </w:r>
      <w:r w:rsidR="00436787">
        <w:rPr>
          <w:rFonts w:ascii="Arial" w:hAnsi="Arial" w:cs="Arial"/>
          <w:color w:val="auto"/>
        </w:rPr>
        <w:t xml:space="preserve"> Counsel for the applicants argued that </w:t>
      </w:r>
      <w:r w:rsidR="00436787">
        <w:rPr>
          <w:rFonts w:ascii="Arial" w:hAnsi="Arial" w:cs="Arial"/>
        </w:rPr>
        <w:t xml:space="preserve">the </w:t>
      </w:r>
      <w:r w:rsidR="00436787" w:rsidRPr="00BF0701">
        <w:rPr>
          <w:rFonts w:ascii="Arial" w:hAnsi="Arial" w:cs="Arial"/>
        </w:rPr>
        <w:t>Close Corporations Act</w:t>
      </w:r>
      <w:r w:rsidR="00224218">
        <w:rPr>
          <w:rFonts w:ascii="Arial" w:hAnsi="Arial" w:cs="Arial"/>
        </w:rPr>
        <w:t>,</w:t>
      </w:r>
      <w:r w:rsidR="00436787">
        <w:rPr>
          <w:rFonts w:ascii="Arial" w:hAnsi="Arial" w:cs="Arial"/>
        </w:rPr>
        <w:t xml:space="preserve"> </w:t>
      </w:r>
      <w:r w:rsidR="00436787" w:rsidRPr="00BF0701">
        <w:rPr>
          <w:rFonts w:ascii="Arial" w:hAnsi="Arial" w:cs="Arial"/>
        </w:rPr>
        <w:t xml:space="preserve">does not create a right of appeal against the </w:t>
      </w:r>
      <w:r w:rsidR="00436787" w:rsidRPr="00BF0701">
        <w:rPr>
          <w:rFonts w:ascii="Arial" w:hAnsi="Arial" w:cs="Arial"/>
        </w:rPr>
        <w:lastRenderedPageBreak/>
        <w:t xml:space="preserve">decisions of the </w:t>
      </w:r>
      <w:r w:rsidR="00436787">
        <w:rPr>
          <w:rFonts w:ascii="Arial" w:hAnsi="Arial" w:cs="Arial"/>
        </w:rPr>
        <w:t>Registrar of Business</w:t>
      </w:r>
      <w:r w:rsidR="00436787">
        <w:rPr>
          <w:rFonts w:ascii="Arial" w:hAnsi="Arial" w:cs="Arial"/>
          <w:color w:val="auto"/>
        </w:rPr>
        <w:t>.</w:t>
      </w:r>
      <w:r w:rsidR="00224218">
        <w:rPr>
          <w:rFonts w:ascii="Arial" w:hAnsi="Arial" w:cs="Arial"/>
          <w:color w:val="auto"/>
        </w:rPr>
        <w:t xml:space="preserve"> This argument is fallacious, s</w:t>
      </w:r>
      <w:r w:rsidR="00436787">
        <w:rPr>
          <w:rFonts w:ascii="Arial" w:hAnsi="Arial" w:cs="Arial"/>
          <w:color w:val="auto"/>
        </w:rPr>
        <w:t xml:space="preserve"> 20</w:t>
      </w:r>
      <w:r w:rsidR="0020543B">
        <w:rPr>
          <w:rFonts w:ascii="Arial" w:hAnsi="Arial" w:cs="Arial"/>
          <w:color w:val="auto"/>
        </w:rPr>
        <w:t>(6)</w:t>
      </w:r>
      <w:r w:rsidR="00224218">
        <w:rPr>
          <w:rFonts w:ascii="Arial" w:hAnsi="Arial" w:cs="Arial"/>
          <w:color w:val="auto"/>
        </w:rPr>
        <w:t xml:space="preserve"> of the Close Corporation Act </w:t>
      </w:r>
      <w:r w:rsidR="0020543B">
        <w:rPr>
          <w:rFonts w:ascii="Arial" w:hAnsi="Arial" w:cs="Arial"/>
          <w:color w:val="auto"/>
        </w:rPr>
        <w:t>reads that:</w:t>
      </w:r>
    </w:p>
    <w:p w14:paraId="4D52B072" w14:textId="77777777" w:rsidR="0020543B" w:rsidRDefault="0020543B" w:rsidP="00391FDC">
      <w:pPr>
        <w:pStyle w:val="Default"/>
        <w:spacing w:line="360" w:lineRule="auto"/>
        <w:jc w:val="both"/>
        <w:rPr>
          <w:rFonts w:ascii="Arial" w:hAnsi="Arial" w:cs="Arial"/>
          <w:color w:val="auto"/>
          <w:sz w:val="22"/>
          <w:szCs w:val="22"/>
        </w:rPr>
      </w:pPr>
    </w:p>
    <w:p w14:paraId="7847E013" w14:textId="77777777" w:rsidR="0020543B" w:rsidRPr="0020543B" w:rsidRDefault="0020543B" w:rsidP="0020543B">
      <w:pPr>
        <w:pStyle w:val="Default"/>
        <w:spacing w:line="360" w:lineRule="auto"/>
        <w:ind w:firstLine="709"/>
        <w:jc w:val="both"/>
        <w:rPr>
          <w:rFonts w:ascii="Arial" w:hAnsi="Arial" w:cs="Arial"/>
          <w:color w:val="auto"/>
          <w:sz w:val="22"/>
          <w:szCs w:val="22"/>
        </w:rPr>
      </w:pPr>
      <w:r>
        <w:rPr>
          <w:rFonts w:ascii="Arial" w:hAnsi="Arial" w:cs="Arial"/>
          <w:color w:val="auto"/>
          <w:sz w:val="22"/>
          <w:szCs w:val="22"/>
        </w:rPr>
        <w:t>‘</w:t>
      </w:r>
      <w:r w:rsidRPr="0020543B">
        <w:rPr>
          <w:rFonts w:ascii="Arial" w:hAnsi="Arial" w:cs="Arial"/>
          <w:color w:val="auto"/>
          <w:sz w:val="22"/>
          <w:szCs w:val="22"/>
        </w:rPr>
        <w:t xml:space="preserve">(6) </w:t>
      </w:r>
      <w:r>
        <w:rPr>
          <w:rFonts w:ascii="Arial" w:hAnsi="Arial" w:cs="Arial"/>
          <w:color w:val="auto"/>
          <w:sz w:val="22"/>
          <w:szCs w:val="22"/>
        </w:rPr>
        <w:tab/>
      </w:r>
      <w:r w:rsidRPr="0020543B">
        <w:rPr>
          <w:rFonts w:ascii="Arial" w:hAnsi="Arial" w:cs="Arial"/>
          <w:color w:val="auto"/>
          <w:sz w:val="22"/>
          <w:szCs w:val="22"/>
        </w:rPr>
        <w:t>Any person feeling aggrieved by any decision or order of the Registrar under this section</w:t>
      </w:r>
      <w:r>
        <w:rPr>
          <w:rFonts w:ascii="Arial" w:hAnsi="Arial" w:cs="Arial"/>
          <w:color w:val="auto"/>
          <w:sz w:val="22"/>
          <w:szCs w:val="22"/>
        </w:rPr>
        <w:t xml:space="preserve"> [that is under s 20] </w:t>
      </w:r>
      <w:r w:rsidRPr="0020543B">
        <w:rPr>
          <w:rFonts w:ascii="Arial" w:hAnsi="Arial" w:cs="Arial"/>
          <w:color w:val="auto"/>
          <w:sz w:val="22"/>
          <w:szCs w:val="22"/>
        </w:rPr>
        <w:t>may, within one month after the date of such decision or order, apply to the High Court of Namibia for relief, and the Court may consider the merits of any such matter, receive further evidence and make any order it deems fit.</w:t>
      </w:r>
      <w:r>
        <w:rPr>
          <w:rFonts w:ascii="Arial" w:hAnsi="Arial" w:cs="Arial"/>
          <w:color w:val="auto"/>
          <w:sz w:val="22"/>
          <w:szCs w:val="22"/>
        </w:rPr>
        <w:t>’</w:t>
      </w:r>
    </w:p>
    <w:p w14:paraId="786C30DC" w14:textId="77777777" w:rsidR="0020543B" w:rsidRDefault="0020543B" w:rsidP="00391FDC">
      <w:pPr>
        <w:pStyle w:val="Default"/>
        <w:spacing w:line="360" w:lineRule="auto"/>
        <w:jc w:val="both"/>
        <w:rPr>
          <w:rFonts w:ascii="Arial" w:hAnsi="Arial" w:cs="Arial"/>
          <w:color w:val="auto"/>
        </w:rPr>
      </w:pPr>
    </w:p>
    <w:p w14:paraId="699B60C7" w14:textId="77777777" w:rsidR="00391FDC" w:rsidRDefault="0020543B" w:rsidP="00182772">
      <w:pPr>
        <w:pStyle w:val="Default"/>
        <w:spacing w:line="360" w:lineRule="auto"/>
        <w:jc w:val="both"/>
        <w:rPr>
          <w:rFonts w:ascii="Arial" w:hAnsi="Arial" w:cs="Arial"/>
          <w:color w:val="auto"/>
        </w:rPr>
      </w:pPr>
      <w:r>
        <w:rPr>
          <w:rFonts w:ascii="Arial" w:hAnsi="Arial" w:cs="Arial"/>
          <w:color w:val="auto"/>
        </w:rPr>
        <w:t>[27]</w:t>
      </w:r>
      <w:r>
        <w:rPr>
          <w:rFonts w:ascii="Arial" w:hAnsi="Arial" w:cs="Arial"/>
          <w:color w:val="auto"/>
        </w:rPr>
        <w:tab/>
        <w:t xml:space="preserve"> What is </w:t>
      </w:r>
      <w:r w:rsidR="00254098">
        <w:rPr>
          <w:rFonts w:ascii="Arial" w:hAnsi="Arial" w:cs="Arial"/>
          <w:color w:val="auto"/>
        </w:rPr>
        <w:t xml:space="preserve">as </w:t>
      </w:r>
      <w:r>
        <w:rPr>
          <w:rFonts w:ascii="Arial" w:hAnsi="Arial" w:cs="Arial"/>
          <w:color w:val="auto"/>
        </w:rPr>
        <w:t xml:space="preserve">clear as daylight is the fact that an interested person has the right to approach this Court for a remedy if it is aggrieved by a decision of the Registrar. </w:t>
      </w:r>
      <w:proofErr w:type="gramStart"/>
      <w:r w:rsidR="00832FF2">
        <w:rPr>
          <w:rFonts w:ascii="Arial" w:hAnsi="Arial" w:cs="Arial"/>
          <w:color w:val="auto"/>
        </w:rPr>
        <w:t>I</w:t>
      </w:r>
      <w:proofErr w:type="gramEnd"/>
      <w:r w:rsidR="00832FF2">
        <w:rPr>
          <w:rFonts w:ascii="Arial" w:hAnsi="Arial" w:cs="Arial"/>
          <w:color w:val="auto"/>
        </w:rPr>
        <w:t xml:space="preserve"> therefore</w:t>
      </w:r>
      <w:r w:rsidR="00224218">
        <w:rPr>
          <w:rFonts w:ascii="Arial" w:hAnsi="Arial" w:cs="Arial"/>
          <w:color w:val="auto"/>
        </w:rPr>
        <w:t>,</w:t>
      </w:r>
      <w:r w:rsidR="00832FF2">
        <w:rPr>
          <w:rFonts w:ascii="Arial" w:hAnsi="Arial" w:cs="Arial"/>
          <w:color w:val="auto"/>
        </w:rPr>
        <w:t xml:space="preserve"> find that this court cannot just ignore the decision by the Registrar and act as if such a decision was nonexistent. I further find that if this court makes orders or decision</w:t>
      </w:r>
      <w:r>
        <w:rPr>
          <w:rFonts w:ascii="Arial" w:hAnsi="Arial" w:cs="Arial"/>
          <w:color w:val="auto"/>
        </w:rPr>
        <w:t>s</w:t>
      </w:r>
      <w:r w:rsidR="00832FF2">
        <w:rPr>
          <w:rFonts w:ascii="Arial" w:hAnsi="Arial" w:cs="Arial"/>
          <w:color w:val="auto"/>
        </w:rPr>
        <w:t xml:space="preserve"> disregarding the existence of administrative </w:t>
      </w:r>
      <w:r>
        <w:rPr>
          <w:rFonts w:ascii="Arial" w:hAnsi="Arial" w:cs="Arial"/>
          <w:color w:val="auto"/>
        </w:rPr>
        <w:t xml:space="preserve">order and decisions made by administrative bodies that will be an </w:t>
      </w:r>
      <w:r w:rsidR="00832FF2">
        <w:rPr>
          <w:rFonts w:ascii="Arial" w:hAnsi="Arial" w:cs="Arial"/>
          <w:color w:val="auto"/>
        </w:rPr>
        <w:t xml:space="preserve">invitation for anarchy which is inimical to the rule of law. On </w:t>
      </w:r>
      <w:proofErr w:type="gramStart"/>
      <w:r w:rsidR="00832FF2">
        <w:rPr>
          <w:rFonts w:ascii="Arial" w:hAnsi="Arial" w:cs="Arial"/>
          <w:color w:val="auto"/>
        </w:rPr>
        <w:t>this bases</w:t>
      </w:r>
      <w:proofErr w:type="gramEnd"/>
      <w:r w:rsidR="00832FF2">
        <w:rPr>
          <w:rFonts w:ascii="Arial" w:hAnsi="Arial" w:cs="Arial"/>
          <w:color w:val="auto"/>
        </w:rPr>
        <w:t xml:space="preserve"> I will refuse to grant the orders sought by the applicants.</w:t>
      </w:r>
    </w:p>
    <w:p w14:paraId="08DCB20D" w14:textId="77777777" w:rsidR="00832FF2" w:rsidRDefault="00832FF2" w:rsidP="00182772">
      <w:pPr>
        <w:pStyle w:val="Default"/>
        <w:spacing w:line="360" w:lineRule="auto"/>
        <w:jc w:val="both"/>
        <w:rPr>
          <w:rFonts w:ascii="Arial" w:hAnsi="Arial" w:cs="Arial"/>
          <w:color w:val="auto"/>
        </w:rPr>
      </w:pPr>
    </w:p>
    <w:p w14:paraId="15A74496" w14:textId="77777777" w:rsidR="00832FF2" w:rsidRPr="00FE0AA0" w:rsidRDefault="00832FF2" w:rsidP="00182772">
      <w:pPr>
        <w:pStyle w:val="Default"/>
        <w:spacing w:line="360" w:lineRule="auto"/>
        <w:jc w:val="both"/>
        <w:rPr>
          <w:rFonts w:ascii="Arial" w:hAnsi="Arial" w:cs="Arial"/>
          <w:color w:val="auto"/>
        </w:rPr>
      </w:pPr>
      <w:r>
        <w:rPr>
          <w:rFonts w:ascii="Arial" w:hAnsi="Arial" w:cs="Arial"/>
          <w:color w:val="auto"/>
        </w:rPr>
        <w:t>[2</w:t>
      </w:r>
      <w:r w:rsidR="0020543B">
        <w:rPr>
          <w:rFonts w:ascii="Arial" w:hAnsi="Arial" w:cs="Arial"/>
          <w:color w:val="auto"/>
        </w:rPr>
        <w:t>8</w:t>
      </w:r>
      <w:r>
        <w:rPr>
          <w:rFonts w:ascii="Arial" w:hAnsi="Arial" w:cs="Arial"/>
          <w:color w:val="auto"/>
        </w:rPr>
        <w:t>]</w:t>
      </w:r>
      <w:r>
        <w:rPr>
          <w:rFonts w:ascii="Arial" w:hAnsi="Arial" w:cs="Arial"/>
          <w:color w:val="auto"/>
        </w:rPr>
        <w:tab/>
      </w:r>
      <w:r w:rsidR="009F0291">
        <w:rPr>
          <w:rFonts w:ascii="Arial" w:hAnsi="Arial" w:cs="Arial"/>
          <w:color w:val="auto"/>
        </w:rPr>
        <w:t xml:space="preserve"> The conclusion that I have reached in the preceding paragraph makes it unnecessary for me to consider the other preliminary objections raised by the respondents.</w:t>
      </w:r>
      <w:r>
        <w:rPr>
          <w:rFonts w:ascii="Arial" w:hAnsi="Arial" w:cs="Arial"/>
          <w:color w:val="auto"/>
        </w:rPr>
        <w:t xml:space="preserve"> </w:t>
      </w:r>
      <w:r w:rsidR="00D861E5">
        <w:rPr>
          <w:rFonts w:ascii="Arial" w:hAnsi="Arial" w:cs="Arial"/>
          <w:color w:val="auto"/>
        </w:rPr>
        <w:t>There is,</w:t>
      </w:r>
      <w:r w:rsidR="009F0291">
        <w:rPr>
          <w:rFonts w:ascii="Arial" w:hAnsi="Arial" w:cs="Arial"/>
          <w:color w:val="auto"/>
        </w:rPr>
        <w:t xml:space="preserve"> however, also </w:t>
      </w:r>
      <w:r>
        <w:rPr>
          <w:rFonts w:ascii="Arial" w:hAnsi="Arial" w:cs="Arial"/>
          <w:color w:val="auto"/>
        </w:rPr>
        <w:t xml:space="preserve">another basis on which </w:t>
      </w:r>
      <w:r w:rsidR="009F0291">
        <w:rPr>
          <w:rFonts w:ascii="Arial" w:hAnsi="Arial" w:cs="Arial"/>
          <w:color w:val="auto"/>
        </w:rPr>
        <w:t xml:space="preserve">I will refuse the relief sought by the applicants. </w:t>
      </w:r>
    </w:p>
    <w:p w14:paraId="4CFEFA3F" w14:textId="77777777" w:rsidR="0083738C" w:rsidRDefault="0083738C" w:rsidP="00182772">
      <w:pPr>
        <w:pStyle w:val="ListParagraph"/>
        <w:spacing w:after="0"/>
        <w:ind w:left="0"/>
        <w:jc w:val="both"/>
        <w:rPr>
          <w:rFonts w:ascii="Arial" w:hAnsi="Arial" w:cs="Arial"/>
          <w:sz w:val="24"/>
          <w:szCs w:val="24"/>
        </w:rPr>
      </w:pPr>
    </w:p>
    <w:p w14:paraId="6CD30EDD" w14:textId="77777777" w:rsidR="003F2725" w:rsidRPr="007B6035" w:rsidRDefault="003F2725" w:rsidP="00182772">
      <w:pPr>
        <w:pStyle w:val="ListParagraph"/>
        <w:spacing w:after="0"/>
        <w:ind w:left="0"/>
        <w:jc w:val="both"/>
        <w:rPr>
          <w:rFonts w:ascii="Arial" w:hAnsi="Arial" w:cs="Arial"/>
          <w:sz w:val="24"/>
          <w:szCs w:val="24"/>
          <w:u w:val="single"/>
        </w:rPr>
      </w:pPr>
      <w:r w:rsidRPr="007B6035">
        <w:rPr>
          <w:rFonts w:ascii="Arial" w:hAnsi="Arial" w:cs="Arial"/>
          <w:sz w:val="24"/>
          <w:szCs w:val="24"/>
          <w:u w:val="single"/>
        </w:rPr>
        <w:t>Are the names of the respondents undesirable or calculated to cause the applicants damage?</w:t>
      </w:r>
    </w:p>
    <w:p w14:paraId="77EE152A" w14:textId="77777777" w:rsidR="003F2725" w:rsidRDefault="003F2725" w:rsidP="00182772">
      <w:pPr>
        <w:pStyle w:val="ListParagraph"/>
        <w:spacing w:after="0"/>
        <w:ind w:left="0"/>
        <w:jc w:val="both"/>
        <w:rPr>
          <w:rFonts w:ascii="Arial" w:hAnsi="Arial" w:cs="Arial"/>
          <w:sz w:val="24"/>
          <w:szCs w:val="24"/>
        </w:rPr>
      </w:pPr>
    </w:p>
    <w:p w14:paraId="03AEE738" w14:textId="77777777" w:rsidR="006D5672" w:rsidRDefault="007B6035" w:rsidP="00182772">
      <w:pPr>
        <w:pStyle w:val="ListParagraph"/>
        <w:spacing w:after="0"/>
        <w:ind w:left="0"/>
        <w:jc w:val="both"/>
        <w:rPr>
          <w:rFonts w:ascii="Arial" w:hAnsi="Arial" w:cs="Arial"/>
          <w:sz w:val="24"/>
          <w:szCs w:val="24"/>
        </w:rPr>
      </w:pPr>
      <w:r>
        <w:rPr>
          <w:rFonts w:ascii="Arial" w:hAnsi="Arial" w:cs="Arial"/>
          <w:sz w:val="24"/>
          <w:szCs w:val="24"/>
        </w:rPr>
        <w:t>[29]</w:t>
      </w:r>
      <w:r>
        <w:rPr>
          <w:rFonts w:ascii="Arial" w:hAnsi="Arial" w:cs="Arial"/>
          <w:sz w:val="24"/>
          <w:szCs w:val="24"/>
        </w:rPr>
        <w:tab/>
      </w:r>
      <w:r w:rsidRPr="007B6035">
        <w:rPr>
          <w:rFonts w:ascii="Arial" w:hAnsi="Arial" w:cs="Arial"/>
          <w:sz w:val="24"/>
          <w:szCs w:val="24"/>
        </w:rPr>
        <w:t xml:space="preserve">The </w:t>
      </w:r>
      <w:proofErr w:type="gramStart"/>
      <w:r>
        <w:rPr>
          <w:rFonts w:ascii="Arial" w:hAnsi="Arial" w:cs="Arial"/>
          <w:sz w:val="24"/>
          <w:szCs w:val="24"/>
        </w:rPr>
        <w:t>applicants</w:t>
      </w:r>
      <w:proofErr w:type="gramEnd"/>
      <w:r w:rsidR="006D5672">
        <w:rPr>
          <w:rFonts w:ascii="Arial" w:hAnsi="Arial" w:cs="Arial"/>
          <w:sz w:val="24"/>
          <w:szCs w:val="24"/>
        </w:rPr>
        <w:t xml:space="preserve"> application </w:t>
      </w:r>
      <w:r>
        <w:rPr>
          <w:rFonts w:ascii="Arial" w:hAnsi="Arial" w:cs="Arial"/>
          <w:sz w:val="24"/>
          <w:szCs w:val="24"/>
        </w:rPr>
        <w:t xml:space="preserve">is based </w:t>
      </w:r>
      <w:r w:rsidRPr="007B6035">
        <w:rPr>
          <w:rFonts w:ascii="Arial" w:hAnsi="Arial" w:cs="Arial"/>
          <w:sz w:val="24"/>
          <w:szCs w:val="24"/>
        </w:rPr>
        <w:t>on s 20(2)(</w:t>
      </w:r>
      <w:r w:rsidRPr="00224218">
        <w:rPr>
          <w:rFonts w:ascii="Arial" w:hAnsi="Arial" w:cs="Arial"/>
          <w:i/>
          <w:sz w:val="24"/>
          <w:szCs w:val="24"/>
        </w:rPr>
        <w:t>b</w:t>
      </w:r>
      <w:r w:rsidR="00224218">
        <w:rPr>
          <w:rFonts w:ascii="Arial" w:hAnsi="Arial" w:cs="Arial"/>
          <w:sz w:val="24"/>
          <w:szCs w:val="24"/>
        </w:rPr>
        <w:t>) of the Close Corporations Act</w:t>
      </w:r>
      <w:r>
        <w:rPr>
          <w:rFonts w:ascii="Arial" w:hAnsi="Arial" w:cs="Arial"/>
          <w:sz w:val="24"/>
          <w:szCs w:val="24"/>
        </w:rPr>
        <w:t xml:space="preserve">. In </w:t>
      </w:r>
      <w:proofErr w:type="spellStart"/>
      <w:r w:rsidR="006D5672" w:rsidRPr="006D5672">
        <w:rPr>
          <w:rFonts w:ascii="Arial" w:hAnsi="Arial" w:cs="Arial"/>
          <w:i/>
          <w:sz w:val="24"/>
          <w:szCs w:val="24"/>
        </w:rPr>
        <w:t>Gonschorek</w:t>
      </w:r>
      <w:proofErr w:type="spellEnd"/>
      <w:r w:rsidR="006D5672" w:rsidRPr="006D5672">
        <w:rPr>
          <w:rFonts w:ascii="Arial" w:hAnsi="Arial" w:cs="Arial"/>
          <w:i/>
          <w:sz w:val="24"/>
          <w:szCs w:val="24"/>
        </w:rPr>
        <w:t xml:space="preserve"> and Others v Asmus and Another</w:t>
      </w:r>
      <w:r w:rsidR="006D5672">
        <w:rPr>
          <w:rStyle w:val="FootnoteReference"/>
          <w:rFonts w:ascii="Arial" w:hAnsi="Arial" w:cs="Arial"/>
          <w:i/>
          <w:sz w:val="24"/>
          <w:szCs w:val="24"/>
        </w:rPr>
        <w:footnoteReference w:id="6"/>
      </w:r>
      <w:r w:rsidR="006D5672" w:rsidRPr="006D5672">
        <w:rPr>
          <w:rFonts w:ascii="Arial" w:hAnsi="Arial" w:cs="Arial"/>
          <w:sz w:val="24"/>
          <w:szCs w:val="24"/>
        </w:rPr>
        <w:t xml:space="preserve"> </w:t>
      </w:r>
      <w:r w:rsidR="006D5672">
        <w:rPr>
          <w:rFonts w:ascii="Arial" w:hAnsi="Arial" w:cs="Arial"/>
          <w:sz w:val="24"/>
          <w:szCs w:val="24"/>
        </w:rPr>
        <w:t xml:space="preserve">the Supreme Court observed that although at </w:t>
      </w:r>
      <w:r w:rsidRPr="007B6035">
        <w:rPr>
          <w:rFonts w:ascii="Arial" w:hAnsi="Arial" w:cs="Arial"/>
          <w:sz w:val="24"/>
          <w:szCs w:val="24"/>
        </w:rPr>
        <w:t>the root of s 20(2)(</w:t>
      </w:r>
      <w:r w:rsidRPr="00224218">
        <w:rPr>
          <w:rFonts w:ascii="Arial" w:hAnsi="Arial" w:cs="Arial"/>
          <w:i/>
          <w:sz w:val="24"/>
          <w:szCs w:val="24"/>
        </w:rPr>
        <w:t>b</w:t>
      </w:r>
      <w:r w:rsidRPr="007B6035">
        <w:rPr>
          <w:rFonts w:ascii="Arial" w:hAnsi="Arial" w:cs="Arial"/>
          <w:sz w:val="24"/>
          <w:szCs w:val="24"/>
        </w:rPr>
        <w:t>) lies the likelihood of confusion between the names, a reading of the authorities shows that the enquiry in terms of s 20(2)(</w:t>
      </w:r>
      <w:r w:rsidRPr="00224218">
        <w:rPr>
          <w:rFonts w:ascii="Arial" w:hAnsi="Arial" w:cs="Arial"/>
          <w:i/>
          <w:sz w:val="24"/>
          <w:szCs w:val="24"/>
        </w:rPr>
        <w:t>b</w:t>
      </w:r>
      <w:r w:rsidRPr="007B6035">
        <w:rPr>
          <w:rFonts w:ascii="Arial" w:hAnsi="Arial" w:cs="Arial"/>
          <w:sz w:val="24"/>
          <w:szCs w:val="24"/>
        </w:rPr>
        <w:t>) is much wider and that an applicant would be successful if it ca</w:t>
      </w:r>
      <w:r w:rsidR="006D5672">
        <w:rPr>
          <w:rFonts w:ascii="Arial" w:hAnsi="Arial" w:cs="Arial"/>
          <w:sz w:val="24"/>
          <w:szCs w:val="24"/>
        </w:rPr>
        <w:t xml:space="preserve">n show either </w:t>
      </w:r>
      <w:r w:rsidR="006D5672" w:rsidRPr="00144DC9">
        <w:rPr>
          <w:rFonts w:ascii="Arial" w:hAnsi="Arial" w:cs="Arial"/>
          <w:sz w:val="24"/>
          <w:szCs w:val="24"/>
          <w:u w:val="single"/>
        </w:rPr>
        <w:t>undesirability</w:t>
      </w:r>
      <w:r w:rsidRPr="00144DC9">
        <w:rPr>
          <w:rFonts w:ascii="Arial" w:hAnsi="Arial" w:cs="Arial"/>
          <w:sz w:val="24"/>
          <w:szCs w:val="24"/>
          <w:u w:val="single"/>
        </w:rPr>
        <w:t xml:space="preserve"> or that the name was calculated to cause damage</w:t>
      </w:r>
      <w:r w:rsidRPr="007B6035">
        <w:rPr>
          <w:rFonts w:ascii="Arial" w:hAnsi="Arial" w:cs="Arial"/>
          <w:sz w:val="24"/>
          <w:szCs w:val="24"/>
        </w:rPr>
        <w:t>.</w:t>
      </w:r>
    </w:p>
    <w:p w14:paraId="67E905AA" w14:textId="77777777" w:rsidR="006D5672" w:rsidRDefault="006D5672" w:rsidP="00182772">
      <w:pPr>
        <w:pStyle w:val="ListParagraph"/>
        <w:spacing w:after="0"/>
        <w:ind w:left="0"/>
        <w:jc w:val="both"/>
        <w:rPr>
          <w:rFonts w:ascii="Arial" w:hAnsi="Arial" w:cs="Arial"/>
          <w:sz w:val="24"/>
          <w:szCs w:val="24"/>
        </w:rPr>
      </w:pPr>
    </w:p>
    <w:p w14:paraId="718B3F0B" w14:textId="77777777" w:rsidR="006D5672" w:rsidRPr="003F2725" w:rsidRDefault="006D5672" w:rsidP="00182772">
      <w:pPr>
        <w:pStyle w:val="ListParagraph"/>
        <w:spacing w:after="0"/>
        <w:ind w:left="0"/>
        <w:jc w:val="both"/>
        <w:rPr>
          <w:rFonts w:ascii="Arial" w:hAnsi="Arial" w:cs="Arial"/>
          <w:sz w:val="24"/>
          <w:szCs w:val="24"/>
        </w:rPr>
      </w:pPr>
      <w:r>
        <w:rPr>
          <w:rFonts w:ascii="Arial" w:hAnsi="Arial" w:cs="Arial"/>
          <w:sz w:val="24"/>
          <w:szCs w:val="24"/>
        </w:rPr>
        <w:lastRenderedPageBreak/>
        <w:t>[30]</w:t>
      </w:r>
      <w:r>
        <w:rPr>
          <w:rFonts w:ascii="Arial" w:hAnsi="Arial" w:cs="Arial"/>
          <w:sz w:val="24"/>
          <w:szCs w:val="24"/>
        </w:rPr>
        <w:tab/>
        <w:t xml:space="preserve">In </w:t>
      </w:r>
      <w:r w:rsidR="007B6035" w:rsidRPr="006D5672">
        <w:rPr>
          <w:rFonts w:ascii="Arial" w:hAnsi="Arial" w:cs="Arial"/>
          <w:i/>
          <w:sz w:val="24"/>
          <w:szCs w:val="24"/>
        </w:rPr>
        <w:t>Peregrine Group (Pty) Ltd and Others v Peregrine Holdings Ltd and Others</w:t>
      </w:r>
      <w:r>
        <w:rPr>
          <w:rStyle w:val="FootnoteReference"/>
          <w:rFonts w:ascii="Arial" w:hAnsi="Arial" w:cs="Arial"/>
          <w:i/>
          <w:sz w:val="24"/>
          <w:szCs w:val="24"/>
        </w:rPr>
        <w:footnoteReference w:id="7"/>
      </w:r>
      <w:r w:rsidR="007B6035" w:rsidRPr="003264CF">
        <w:rPr>
          <w:rFonts w:ascii="Arial" w:hAnsi="Arial" w:cs="Arial"/>
          <w:sz w:val="24"/>
          <w:szCs w:val="24"/>
        </w:rPr>
        <w:t xml:space="preserve"> </w:t>
      </w:r>
      <w:r w:rsidRPr="003264CF">
        <w:rPr>
          <w:rFonts w:ascii="Arial" w:hAnsi="Arial" w:cs="Arial"/>
          <w:sz w:val="24"/>
          <w:szCs w:val="24"/>
        </w:rPr>
        <w:t>the court accepted th</w:t>
      </w:r>
      <w:r w:rsidR="00C500C5">
        <w:rPr>
          <w:rFonts w:ascii="Arial" w:hAnsi="Arial" w:cs="Arial"/>
          <w:sz w:val="24"/>
          <w:szCs w:val="24"/>
        </w:rPr>
        <w:t>e</w:t>
      </w:r>
      <w:r w:rsidRPr="003264CF">
        <w:rPr>
          <w:rFonts w:ascii="Arial" w:hAnsi="Arial" w:cs="Arial"/>
          <w:sz w:val="24"/>
          <w:szCs w:val="24"/>
        </w:rPr>
        <w:t xml:space="preserve"> </w:t>
      </w:r>
      <w:r w:rsidR="003264CF" w:rsidRPr="003264CF">
        <w:rPr>
          <w:rFonts w:ascii="Arial" w:hAnsi="Arial" w:cs="Arial"/>
          <w:sz w:val="24"/>
          <w:szCs w:val="24"/>
        </w:rPr>
        <w:t>approach suggested by</w:t>
      </w:r>
      <w:r w:rsidR="003264CF">
        <w:rPr>
          <w:rFonts w:ascii="Arial" w:hAnsi="Arial" w:cs="Arial"/>
          <w:sz w:val="24"/>
          <w:szCs w:val="24"/>
        </w:rPr>
        <w:t xml:space="preserve"> </w:t>
      </w:r>
      <w:r w:rsidR="003264CF" w:rsidRPr="003264CF">
        <w:rPr>
          <w:rFonts w:ascii="Arial" w:hAnsi="Arial" w:cs="Arial"/>
          <w:sz w:val="24"/>
          <w:szCs w:val="24"/>
        </w:rPr>
        <w:t>Cilliers</w:t>
      </w:r>
      <w:r w:rsidR="003264CF">
        <w:rPr>
          <w:rFonts w:ascii="Arial" w:hAnsi="Arial" w:cs="Arial"/>
          <w:sz w:val="24"/>
          <w:szCs w:val="24"/>
        </w:rPr>
        <w:t xml:space="preserve"> that</w:t>
      </w:r>
      <w:r w:rsidR="003264CF">
        <w:rPr>
          <w:rStyle w:val="FootnoteReference"/>
          <w:rFonts w:ascii="Arial" w:hAnsi="Arial" w:cs="Arial"/>
          <w:sz w:val="24"/>
          <w:szCs w:val="24"/>
        </w:rPr>
        <w:footnoteReference w:id="8"/>
      </w:r>
      <w:r w:rsidR="003264CF" w:rsidRPr="003264CF">
        <w:rPr>
          <w:rFonts w:ascii="Arial" w:hAnsi="Arial" w:cs="Arial"/>
          <w:sz w:val="24"/>
          <w:szCs w:val="24"/>
        </w:rPr>
        <w:t xml:space="preserve">, </w:t>
      </w:r>
      <w:r w:rsidR="003264CF">
        <w:rPr>
          <w:rFonts w:ascii="Arial" w:hAnsi="Arial" w:cs="Arial"/>
          <w:i/>
          <w:sz w:val="24"/>
          <w:szCs w:val="24"/>
        </w:rPr>
        <w:t xml:space="preserve"> </w:t>
      </w:r>
    </w:p>
    <w:p w14:paraId="05FE859B" w14:textId="77777777" w:rsidR="003264CF" w:rsidRDefault="003264CF" w:rsidP="00182772">
      <w:pPr>
        <w:pStyle w:val="ListParagraph"/>
        <w:spacing w:after="0"/>
        <w:ind w:left="0"/>
        <w:jc w:val="both"/>
        <w:rPr>
          <w:rFonts w:ascii="Arial" w:hAnsi="Arial" w:cs="Arial"/>
          <w:sz w:val="24"/>
          <w:szCs w:val="24"/>
        </w:rPr>
      </w:pPr>
    </w:p>
    <w:p w14:paraId="1058417C" w14:textId="77777777" w:rsidR="003F2725" w:rsidRDefault="003F2725" w:rsidP="00FC20C2">
      <w:pPr>
        <w:pStyle w:val="ListParagraph"/>
        <w:spacing w:after="0"/>
        <w:ind w:left="0" w:firstLine="709"/>
        <w:jc w:val="both"/>
        <w:rPr>
          <w:rFonts w:ascii="Arial" w:hAnsi="Arial" w:cs="Arial"/>
          <w:sz w:val="24"/>
          <w:szCs w:val="24"/>
        </w:rPr>
      </w:pPr>
      <w:r w:rsidRPr="003264CF">
        <w:rPr>
          <w:rFonts w:ascii="Arial" w:hAnsi="Arial" w:cs="Arial"/>
        </w:rPr>
        <w:t xml:space="preserve">'The merits to be considered by the Court are whether, on a balance of probability and on the evidence before it, </w:t>
      </w:r>
      <w:r w:rsidRPr="00C500C5">
        <w:rPr>
          <w:rFonts w:ascii="Arial" w:hAnsi="Arial" w:cs="Arial"/>
          <w:u w:val="single"/>
        </w:rPr>
        <w:t xml:space="preserve">the existing company has such vested rights in its name </w:t>
      </w:r>
      <w:r w:rsidRPr="003264CF">
        <w:rPr>
          <w:rFonts w:ascii="Arial" w:hAnsi="Arial" w:cs="Arial"/>
        </w:rPr>
        <w:t>or particular words in its name that the registration of the new company or the amended name of another company is undesirable, or whethe</w:t>
      </w:r>
      <w:r w:rsidR="003264CF">
        <w:rPr>
          <w:rFonts w:ascii="Arial" w:hAnsi="Arial" w:cs="Arial"/>
        </w:rPr>
        <w:t>r the existing company has</w:t>
      </w:r>
      <w:r w:rsidRPr="003264CF">
        <w:rPr>
          <w:rFonts w:ascii="Arial" w:hAnsi="Arial" w:cs="Arial"/>
        </w:rPr>
        <w:t xml:space="preserve"> shown not only that confusion or deception is likely, but if either ensues it will probably cause it damage. This distinction clearly delineates the two pillars of the protection </w:t>
      </w:r>
      <w:r w:rsidRPr="003264CF">
        <w:rPr>
          <w:rFonts w:ascii="Arial" w:hAnsi="Arial" w:cs="Arial"/>
          <w:u w:val="single"/>
        </w:rPr>
        <w:t>against the similar company names</w:t>
      </w:r>
      <w:r w:rsidRPr="003264CF">
        <w:rPr>
          <w:rFonts w:ascii="Arial" w:hAnsi="Arial" w:cs="Arial"/>
        </w:rPr>
        <w:t xml:space="preserve"> </w:t>
      </w:r>
      <w:r w:rsidR="003264CF">
        <w:rPr>
          <w:rFonts w:ascii="Arial" w:hAnsi="Arial" w:cs="Arial"/>
        </w:rPr>
        <w:t>...</w:t>
      </w:r>
      <w:r w:rsidRPr="003F2725">
        <w:rPr>
          <w:rFonts w:ascii="Arial" w:hAnsi="Arial" w:cs="Arial"/>
          <w:sz w:val="24"/>
          <w:szCs w:val="24"/>
        </w:rPr>
        <w:t>.'</w:t>
      </w:r>
    </w:p>
    <w:p w14:paraId="24D4F20A" w14:textId="77777777" w:rsidR="00182772" w:rsidRPr="003F2725" w:rsidRDefault="00182772" w:rsidP="00182772">
      <w:pPr>
        <w:pStyle w:val="ListParagraph"/>
        <w:spacing w:after="0"/>
        <w:ind w:left="0"/>
        <w:jc w:val="both"/>
        <w:rPr>
          <w:rFonts w:ascii="Arial" w:hAnsi="Arial" w:cs="Arial"/>
          <w:sz w:val="24"/>
          <w:szCs w:val="24"/>
        </w:rPr>
      </w:pPr>
    </w:p>
    <w:p w14:paraId="185621C2" w14:textId="77777777" w:rsidR="00C500C5" w:rsidRDefault="00C500C5" w:rsidP="00182772">
      <w:pPr>
        <w:spacing w:after="0"/>
        <w:jc w:val="both"/>
        <w:rPr>
          <w:rFonts w:ascii="Arial" w:hAnsi="Arial" w:cs="Arial"/>
          <w:sz w:val="24"/>
          <w:szCs w:val="24"/>
        </w:rPr>
      </w:pPr>
      <w:r>
        <w:rPr>
          <w:rFonts w:ascii="Arial" w:hAnsi="Arial" w:cs="Arial"/>
          <w:sz w:val="24"/>
          <w:szCs w:val="24"/>
        </w:rPr>
        <w:t>[31]</w:t>
      </w:r>
      <w:r>
        <w:rPr>
          <w:rFonts w:ascii="Arial" w:hAnsi="Arial" w:cs="Arial"/>
          <w:sz w:val="24"/>
          <w:szCs w:val="24"/>
        </w:rPr>
        <w:tab/>
      </w:r>
      <w:r w:rsidR="003F2725" w:rsidRPr="00C500C5">
        <w:rPr>
          <w:rFonts w:ascii="Arial" w:hAnsi="Arial" w:cs="Arial"/>
          <w:sz w:val="24"/>
          <w:szCs w:val="24"/>
        </w:rPr>
        <w:t>Concerning the 'undesirable' inquiry</w:t>
      </w:r>
      <w:r w:rsidR="00224218">
        <w:rPr>
          <w:rFonts w:ascii="Arial" w:hAnsi="Arial" w:cs="Arial"/>
          <w:sz w:val="24"/>
          <w:szCs w:val="24"/>
        </w:rPr>
        <w:t>,</w:t>
      </w:r>
      <w:r w:rsidR="003F2725" w:rsidRPr="00C500C5">
        <w:rPr>
          <w:rFonts w:ascii="Arial" w:hAnsi="Arial" w:cs="Arial"/>
          <w:sz w:val="24"/>
          <w:szCs w:val="24"/>
        </w:rPr>
        <w:t xml:space="preserve"> </w:t>
      </w:r>
      <w:r>
        <w:rPr>
          <w:rFonts w:ascii="Arial" w:hAnsi="Arial" w:cs="Arial"/>
          <w:sz w:val="24"/>
          <w:szCs w:val="24"/>
        </w:rPr>
        <w:t>the Supreme Court of Appeal accepted that:</w:t>
      </w:r>
    </w:p>
    <w:p w14:paraId="3B59C4D3" w14:textId="77777777" w:rsidR="00C500C5" w:rsidRPr="003F2725" w:rsidRDefault="00C500C5" w:rsidP="00182772">
      <w:pPr>
        <w:spacing w:after="0"/>
        <w:jc w:val="both"/>
        <w:rPr>
          <w:rFonts w:ascii="Arial" w:hAnsi="Arial" w:cs="Arial"/>
          <w:sz w:val="24"/>
          <w:szCs w:val="24"/>
        </w:rPr>
      </w:pPr>
    </w:p>
    <w:p w14:paraId="7DE0B913" w14:textId="77777777" w:rsidR="00C500C5" w:rsidRDefault="00224218" w:rsidP="00182772">
      <w:pPr>
        <w:pStyle w:val="ListParagraph"/>
        <w:spacing w:after="0"/>
        <w:ind w:left="0" w:firstLine="709"/>
        <w:jc w:val="both"/>
        <w:rPr>
          <w:rFonts w:ascii="Arial" w:hAnsi="Arial" w:cs="Arial"/>
          <w:sz w:val="24"/>
          <w:szCs w:val="24"/>
        </w:rPr>
      </w:pPr>
      <w:r>
        <w:rPr>
          <w:rFonts w:ascii="Arial" w:hAnsi="Arial" w:cs="Arial"/>
        </w:rPr>
        <w:t>“</w:t>
      </w:r>
      <w:r w:rsidR="00C500C5" w:rsidRPr="00C500C5">
        <w:rPr>
          <w:rFonts w:ascii="Arial" w:hAnsi="Arial" w:cs="Arial"/>
        </w:rPr>
        <w:t xml:space="preserve">… </w:t>
      </w:r>
      <w:r w:rsidR="003F2725" w:rsidRPr="00C500C5">
        <w:rPr>
          <w:rFonts w:ascii="Arial" w:hAnsi="Arial" w:cs="Arial"/>
        </w:rPr>
        <w:t>it is inappropriate to attempt to circumscribe the circumstances under which the registrati</w:t>
      </w:r>
      <w:r w:rsidR="003264CF" w:rsidRPr="00C500C5">
        <w:rPr>
          <w:rFonts w:ascii="Arial" w:hAnsi="Arial" w:cs="Arial"/>
        </w:rPr>
        <w:t xml:space="preserve">on of a company name might be </w:t>
      </w:r>
      <w:r w:rsidR="003F2725" w:rsidRPr="00C500C5">
        <w:rPr>
          <w:rFonts w:ascii="Arial" w:hAnsi="Arial" w:cs="Arial"/>
        </w:rPr>
        <w:t xml:space="preserve">found to be ''undesirable''. To do so would negate the very flexibility intended by the Legislature by the introduction of the undesirability test in the section and the wide discretion conferred upon the Court to ''make such order as it deems fit''. For the purposes of the present </w:t>
      </w:r>
      <w:proofErr w:type="gramStart"/>
      <w:r w:rsidR="003F2725" w:rsidRPr="00C500C5">
        <w:rPr>
          <w:rFonts w:ascii="Arial" w:hAnsi="Arial" w:cs="Arial"/>
        </w:rPr>
        <w:t>matter</w:t>
      </w:r>
      <w:proofErr w:type="gramEnd"/>
      <w:r w:rsidR="003F2725" w:rsidRPr="00C500C5">
        <w:rPr>
          <w:rFonts w:ascii="Arial" w:hAnsi="Arial" w:cs="Arial"/>
        </w:rPr>
        <w:t xml:space="preserve"> it suffices to say that, where the names of companies are the same or substantially s</w:t>
      </w:r>
      <w:r w:rsidR="003264CF" w:rsidRPr="00C500C5">
        <w:rPr>
          <w:rFonts w:ascii="Arial" w:hAnsi="Arial" w:cs="Arial"/>
        </w:rPr>
        <w:t>imilar and where there is a</w:t>
      </w:r>
      <w:r w:rsidR="003F2725" w:rsidRPr="00C500C5">
        <w:rPr>
          <w:rFonts w:ascii="Arial" w:hAnsi="Arial" w:cs="Arial"/>
        </w:rPr>
        <w:t xml:space="preserve"> likelihood that members of the public will be confused in their dealings with the competing parties, these are important factors which the Court will take into account when considering whether or not a name is ''undesirable''. It does not follow that the mere existence of the same or similar names on the register (wi</w:t>
      </w:r>
      <w:r>
        <w:rPr>
          <w:rFonts w:ascii="Arial" w:hAnsi="Arial" w:cs="Arial"/>
        </w:rPr>
        <w:t>thout more) is ''undesirable''.</w:t>
      </w:r>
    </w:p>
    <w:p w14:paraId="312919B8" w14:textId="77777777" w:rsidR="00C500C5" w:rsidRDefault="00C500C5" w:rsidP="00182772">
      <w:pPr>
        <w:pStyle w:val="ListParagraph"/>
        <w:spacing w:after="0"/>
        <w:ind w:left="0"/>
        <w:jc w:val="both"/>
        <w:rPr>
          <w:rFonts w:ascii="Arial" w:hAnsi="Arial" w:cs="Arial"/>
          <w:sz w:val="24"/>
          <w:szCs w:val="24"/>
        </w:rPr>
      </w:pPr>
    </w:p>
    <w:p w14:paraId="10CC7F97" w14:textId="77777777" w:rsidR="00C500C5" w:rsidRPr="00C500C5" w:rsidRDefault="00C500C5" w:rsidP="00182772">
      <w:pPr>
        <w:spacing w:after="0"/>
        <w:jc w:val="both"/>
        <w:rPr>
          <w:rFonts w:ascii="Arial" w:hAnsi="Arial" w:cs="Arial"/>
          <w:sz w:val="24"/>
          <w:szCs w:val="24"/>
        </w:rPr>
      </w:pPr>
      <w:r>
        <w:rPr>
          <w:rFonts w:ascii="Arial" w:hAnsi="Arial" w:cs="Arial"/>
          <w:sz w:val="24"/>
          <w:szCs w:val="24"/>
        </w:rPr>
        <w:t>[32]</w:t>
      </w:r>
      <w:r>
        <w:rPr>
          <w:rFonts w:ascii="Arial" w:hAnsi="Arial" w:cs="Arial"/>
          <w:sz w:val="24"/>
          <w:szCs w:val="24"/>
        </w:rPr>
        <w:tab/>
        <w:t>As regards the second leg of the section namely</w:t>
      </w:r>
      <w:r w:rsidR="003F2725" w:rsidRPr="00C500C5">
        <w:rPr>
          <w:rFonts w:ascii="Arial" w:hAnsi="Arial" w:cs="Arial"/>
          <w:sz w:val="24"/>
          <w:szCs w:val="24"/>
        </w:rPr>
        <w:t xml:space="preserve"> 'calculated to cause damage', usually resolves itself in the same inquiry, namely the likel</w:t>
      </w:r>
      <w:r>
        <w:rPr>
          <w:rFonts w:ascii="Arial" w:hAnsi="Arial" w:cs="Arial"/>
          <w:sz w:val="24"/>
          <w:szCs w:val="24"/>
        </w:rPr>
        <w:t>ihood of confusion or deception.</w:t>
      </w:r>
      <w:r w:rsidR="0063465D">
        <w:rPr>
          <w:rFonts w:ascii="Arial" w:hAnsi="Arial" w:cs="Arial"/>
          <w:sz w:val="24"/>
          <w:szCs w:val="24"/>
        </w:rPr>
        <w:t xml:space="preserve"> In </w:t>
      </w:r>
      <w:r w:rsidR="0063465D" w:rsidRPr="0063465D">
        <w:rPr>
          <w:rFonts w:ascii="Arial" w:hAnsi="Arial" w:cs="Arial"/>
          <w:i/>
          <w:sz w:val="24"/>
          <w:szCs w:val="24"/>
        </w:rPr>
        <w:t>Hollywood Curl (Pty) Ltd v Twins Products (Pty) Ltd</w:t>
      </w:r>
      <w:r w:rsidR="0063465D">
        <w:rPr>
          <w:rStyle w:val="FootnoteReference"/>
          <w:rFonts w:ascii="Arial" w:hAnsi="Arial" w:cs="Arial"/>
          <w:i/>
          <w:sz w:val="24"/>
          <w:szCs w:val="24"/>
        </w:rPr>
        <w:footnoteReference w:id="9"/>
      </w:r>
      <w:r w:rsidR="0063465D" w:rsidRPr="0063465D">
        <w:rPr>
          <w:rFonts w:ascii="Arial" w:hAnsi="Arial" w:cs="Arial"/>
          <w:sz w:val="24"/>
          <w:szCs w:val="24"/>
        </w:rPr>
        <w:t xml:space="preserve"> </w:t>
      </w:r>
      <w:r w:rsidR="0063465D">
        <w:rPr>
          <w:rFonts w:ascii="Arial" w:hAnsi="Arial" w:cs="Arial"/>
          <w:sz w:val="24"/>
          <w:szCs w:val="24"/>
        </w:rPr>
        <w:t xml:space="preserve"> the court reasoned that:</w:t>
      </w:r>
    </w:p>
    <w:p w14:paraId="10476BDF" w14:textId="77777777" w:rsidR="0063465D" w:rsidRPr="0063465D" w:rsidRDefault="0063465D" w:rsidP="00182772">
      <w:pPr>
        <w:spacing w:after="0"/>
        <w:ind w:firstLine="709"/>
        <w:jc w:val="both"/>
        <w:rPr>
          <w:rFonts w:ascii="Arial" w:hAnsi="Arial" w:cs="Arial"/>
        </w:rPr>
      </w:pPr>
    </w:p>
    <w:p w14:paraId="1F01FD57" w14:textId="77777777" w:rsidR="00C500C5" w:rsidRDefault="0063465D" w:rsidP="00182772">
      <w:pPr>
        <w:spacing w:after="0"/>
        <w:ind w:firstLine="709"/>
        <w:jc w:val="both"/>
        <w:rPr>
          <w:rFonts w:ascii="Arial" w:hAnsi="Arial" w:cs="Arial"/>
        </w:rPr>
      </w:pPr>
      <w:r w:rsidRPr="0063465D">
        <w:rPr>
          <w:rFonts w:ascii="Arial" w:hAnsi="Arial" w:cs="Arial"/>
        </w:rPr>
        <w:t>‘</w:t>
      </w:r>
      <w:r w:rsidR="00C500C5" w:rsidRPr="0063465D">
        <w:rPr>
          <w:rFonts w:ascii="Arial" w:hAnsi="Arial" w:cs="Arial"/>
        </w:rPr>
        <w:t>The registration of a company by a nam</w:t>
      </w:r>
      <w:r w:rsidRPr="0063465D">
        <w:rPr>
          <w:rFonts w:ascii="Arial" w:hAnsi="Arial" w:cs="Arial"/>
        </w:rPr>
        <w:t xml:space="preserve">e cannot, </w:t>
      </w:r>
      <w:proofErr w:type="gramStart"/>
      <w:r w:rsidRPr="0063465D">
        <w:rPr>
          <w:rFonts w:ascii="Arial" w:hAnsi="Arial" w:cs="Arial"/>
        </w:rPr>
        <w:t xml:space="preserve">in the nature of </w:t>
      </w:r>
      <w:r w:rsidR="00C500C5" w:rsidRPr="0063465D">
        <w:rPr>
          <w:rFonts w:ascii="Arial" w:hAnsi="Arial" w:cs="Arial"/>
        </w:rPr>
        <w:t>things</w:t>
      </w:r>
      <w:proofErr w:type="gramEnd"/>
      <w:r w:rsidR="00C500C5" w:rsidRPr="0063465D">
        <w:rPr>
          <w:rFonts w:ascii="Arial" w:hAnsi="Arial" w:cs="Arial"/>
        </w:rPr>
        <w:t xml:space="preserve">, by itself cause damage to the objector. Actual damage can be caused only if the company carries on activities </w:t>
      </w:r>
      <w:proofErr w:type="gramStart"/>
      <w:r w:rsidR="00C500C5" w:rsidRPr="0063465D">
        <w:rPr>
          <w:rFonts w:ascii="Arial" w:hAnsi="Arial" w:cs="Arial"/>
        </w:rPr>
        <w:t>in the course of</w:t>
      </w:r>
      <w:proofErr w:type="gramEnd"/>
      <w:r w:rsidR="00C500C5" w:rsidRPr="0063465D">
        <w:rPr>
          <w:rFonts w:ascii="Arial" w:hAnsi="Arial" w:cs="Arial"/>
        </w:rPr>
        <w:t xml:space="preserve"> which it uses its name. But in the ordinary course of things a </w:t>
      </w:r>
      <w:r w:rsidR="00C500C5" w:rsidRPr="0063465D">
        <w:rPr>
          <w:rFonts w:ascii="Arial" w:hAnsi="Arial" w:cs="Arial"/>
        </w:rPr>
        <w:lastRenderedPageBreak/>
        <w:t>trading company is likely to carry on activities, and hence the registration of a company may be calculated to cause damage to the objector</w:t>
      </w:r>
      <w:r w:rsidRPr="0063465D">
        <w:rPr>
          <w:rFonts w:ascii="Arial" w:hAnsi="Arial" w:cs="Arial"/>
        </w:rPr>
        <w:t>…</w:t>
      </w:r>
      <w:r w:rsidR="00C500C5" w:rsidRPr="0063465D">
        <w:rPr>
          <w:rFonts w:ascii="Arial" w:hAnsi="Arial" w:cs="Arial"/>
        </w:rPr>
        <w:t>Registration of a company by a name identical with that by which a company is already registered may serve as an example. Plainly such a registration is calculated to cause damage to the latter company. It is calculated to</w:t>
      </w:r>
      <w:r w:rsidRPr="0063465D">
        <w:rPr>
          <w:rFonts w:ascii="Arial" w:hAnsi="Arial" w:cs="Arial"/>
        </w:rPr>
        <w:t xml:space="preserve"> cause confusion between the </w:t>
      </w:r>
      <w:r w:rsidR="00C500C5" w:rsidRPr="0063465D">
        <w:rPr>
          <w:rFonts w:ascii="Arial" w:hAnsi="Arial" w:cs="Arial"/>
        </w:rPr>
        <w:t>businesses conducted by the two companies; or to affect the latter company in</w:t>
      </w:r>
      <w:r w:rsidRPr="0063465D">
        <w:rPr>
          <w:rFonts w:ascii="Arial" w:hAnsi="Arial" w:cs="Arial"/>
        </w:rPr>
        <w:t xml:space="preserve"> </w:t>
      </w:r>
      <w:r w:rsidR="00C500C5" w:rsidRPr="0063465D">
        <w:rPr>
          <w:rFonts w:ascii="Arial" w:hAnsi="Arial" w:cs="Arial"/>
        </w:rPr>
        <w:t>its business by diverting customers to the new company; or to affect the credit or goodwill of the latter company.</w:t>
      </w:r>
      <w:r w:rsidRPr="0063465D">
        <w:rPr>
          <w:rFonts w:ascii="Arial" w:hAnsi="Arial" w:cs="Arial"/>
        </w:rPr>
        <w:t xml:space="preserve"> </w:t>
      </w:r>
      <w:r>
        <w:rPr>
          <w:rFonts w:ascii="Arial" w:hAnsi="Arial" w:cs="Arial"/>
        </w:rPr>
        <w:t>…</w:t>
      </w:r>
      <w:r w:rsidR="00C500C5" w:rsidRPr="0063465D">
        <w:rPr>
          <w:rFonts w:ascii="Arial" w:hAnsi="Arial" w:cs="Arial"/>
        </w:rPr>
        <w:t xml:space="preserve">What s 45(2) contemplates is not a factual but an abstract inquiry - not an inquiry whether damage has occurred or will occur, but an inquiry whether 'in the ordinary course of things', 'in the ordinary sense of business', and having regard to any relevant circumstances, the </w:t>
      </w:r>
      <w:r w:rsidRPr="0063465D">
        <w:rPr>
          <w:rFonts w:ascii="Arial" w:hAnsi="Arial" w:cs="Arial"/>
        </w:rPr>
        <w:t xml:space="preserve">registration of the company </w:t>
      </w:r>
      <w:r w:rsidR="00C500C5" w:rsidRPr="0063465D">
        <w:rPr>
          <w:rFonts w:ascii="Arial" w:hAnsi="Arial" w:cs="Arial"/>
        </w:rPr>
        <w:t>by the name concerned is likely to cause damage to the objector. If damage has in fact occurred, that would be relevant only insofar as it may tend to show that it was a likely result.</w:t>
      </w:r>
      <w:r>
        <w:rPr>
          <w:rFonts w:ascii="Arial" w:hAnsi="Arial" w:cs="Arial"/>
        </w:rPr>
        <w:t>’</w:t>
      </w:r>
    </w:p>
    <w:p w14:paraId="2A60B658" w14:textId="77777777" w:rsidR="0063465D" w:rsidRPr="00EA4312" w:rsidRDefault="0063465D" w:rsidP="00182772">
      <w:pPr>
        <w:spacing w:after="0"/>
        <w:jc w:val="both"/>
        <w:rPr>
          <w:rFonts w:ascii="Arial" w:hAnsi="Arial" w:cs="Arial"/>
          <w:sz w:val="24"/>
          <w:szCs w:val="24"/>
        </w:rPr>
      </w:pPr>
    </w:p>
    <w:p w14:paraId="5B40093C" w14:textId="77777777" w:rsidR="00182772" w:rsidRPr="00EA4312" w:rsidRDefault="00144DC9" w:rsidP="00182772">
      <w:pPr>
        <w:spacing w:after="0"/>
        <w:jc w:val="both"/>
        <w:rPr>
          <w:rFonts w:ascii="Arial" w:hAnsi="Arial" w:cs="Arial"/>
          <w:color w:val="000000"/>
          <w:sz w:val="24"/>
          <w:szCs w:val="24"/>
        </w:rPr>
      </w:pPr>
      <w:r w:rsidRPr="00EA4312">
        <w:rPr>
          <w:rFonts w:ascii="Arial" w:hAnsi="Arial" w:cs="Arial"/>
          <w:sz w:val="24"/>
          <w:szCs w:val="24"/>
        </w:rPr>
        <w:t>[33]</w:t>
      </w:r>
      <w:r w:rsidRPr="00EA4312">
        <w:rPr>
          <w:rFonts w:ascii="Arial" w:hAnsi="Arial" w:cs="Arial"/>
          <w:sz w:val="24"/>
          <w:szCs w:val="24"/>
        </w:rPr>
        <w:tab/>
        <w:t>In the present matter it appears that the applicants are seeking an order in terms of s 20(2)(</w:t>
      </w:r>
      <w:r w:rsidRPr="00224218">
        <w:rPr>
          <w:rFonts w:ascii="Arial" w:hAnsi="Arial" w:cs="Arial"/>
          <w:i/>
          <w:sz w:val="24"/>
          <w:szCs w:val="24"/>
        </w:rPr>
        <w:t>b</w:t>
      </w:r>
      <w:r w:rsidRPr="00EA4312">
        <w:rPr>
          <w:rFonts w:ascii="Arial" w:hAnsi="Arial" w:cs="Arial"/>
          <w:sz w:val="24"/>
          <w:szCs w:val="24"/>
        </w:rPr>
        <w:t xml:space="preserve">) because the </w:t>
      </w:r>
      <w:r w:rsidRPr="00EA4312">
        <w:rPr>
          <w:rFonts w:ascii="Arial" w:hAnsi="Arial" w:cs="Arial"/>
          <w:color w:val="000000"/>
          <w:spacing w:val="8"/>
          <w:sz w:val="24"/>
          <w:szCs w:val="24"/>
        </w:rPr>
        <w:t xml:space="preserve">name </w:t>
      </w:r>
      <w:proofErr w:type="spellStart"/>
      <w:r w:rsidRPr="00EA4312">
        <w:rPr>
          <w:rFonts w:ascii="Arial" w:hAnsi="Arial" w:cs="Arial"/>
          <w:color w:val="000000"/>
          <w:spacing w:val="8"/>
          <w:sz w:val="24"/>
          <w:szCs w:val="24"/>
        </w:rPr>
        <w:t>Enkehaus</w:t>
      </w:r>
      <w:proofErr w:type="spellEnd"/>
      <w:r w:rsidRPr="00EA4312">
        <w:rPr>
          <w:rFonts w:ascii="Arial" w:hAnsi="Arial" w:cs="Arial"/>
          <w:color w:val="000000"/>
          <w:spacing w:val="8"/>
          <w:sz w:val="24"/>
          <w:szCs w:val="24"/>
        </w:rPr>
        <w:t xml:space="preserve"> is </w:t>
      </w:r>
      <w:r w:rsidRPr="00EA4312">
        <w:rPr>
          <w:rFonts w:ascii="Arial" w:hAnsi="Arial" w:cs="Arial"/>
          <w:color w:val="000000"/>
          <w:spacing w:val="3"/>
          <w:sz w:val="24"/>
          <w:szCs w:val="24"/>
        </w:rPr>
        <w:t xml:space="preserve">derived from and associated with Roland’s family name and has been used in </w:t>
      </w:r>
      <w:r w:rsidRPr="00EA4312">
        <w:rPr>
          <w:rFonts w:ascii="Arial" w:hAnsi="Arial" w:cs="Arial"/>
          <w:color w:val="000000"/>
          <w:sz w:val="24"/>
          <w:szCs w:val="24"/>
        </w:rPr>
        <w:t xml:space="preserve">relation to his family business carried on under his family name for decades. Roland in his </w:t>
      </w:r>
      <w:r w:rsidR="00182772" w:rsidRPr="00EA4312">
        <w:rPr>
          <w:rFonts w:ascii="Arial" w:hAnsi="Arial" w:cs="Arial"/>
          <w:color w:val="000000"/>
          <w:sz w:val="24"/>
          <w:szCs w:val="24"/>
        </w:rPr>
        <w:t>founding affidavit</w:t>
      </w:r>
      <w:r w:rsidRPr="00EA4312">
        <w:rPr>
          <w:rFonts w:ascii="Arial" w:hAnsi="Arial" w:cs="Arial"/>
          <w:color w:val="000000"/>
          <w:sz w:val="24"/>
          <w:szCs w:val="24"/>
        </w:rPr>
        <w:t xml:space="preserve"> set</w:t>
      </w:r>
      <w:r w:rsidR="00182772" w:rsidRPr="00EA4312">
        <w:rPr>
          <w:rFonts w:ascii="Arial" w:hAnsi="Arial" w:cs="Arial"/>
          <w:color w:val="000000"/>
          <w:sz w:val="24"/>
          <w:szCs w:val="24"/>
        </w:rPr>
        <w:t>s</w:t>
      </w:r>
      <w:r w:rsidRPr="00EA4312">
        <w:rPr>
          <w:rFonts w:ascii="Arial" w:hAnsi="Arial" w:cs="Arial"/>
          <w:color w:val="000000"/>
          <w:sz w:val="24"/>
          <w:szCs w:val="24"/>
        </w:rPr>
        <w:t xml:space="preserve"> out the </w:t>
      </w:r>
      <w:r w:rsidR="00182772" w:rsidRPr="00EA4312">
        <w:rPr>
          <w:rFonts w:ascii="Arial" w:hAnsi="Arial" w:cs="Arial"/>
          <w:color w:val="000000"/>
          <w:sz w:val="24"/>
          <w:szCs w:val="24"/>
        </w:rPr>
        <w:t xml:space="preserve">reasons why they (that is </w:t>
      </w:r>
      <w:proofErr w:type="spellStart"/>
      <w:r w:rsidR="00182772" w:rsidRPr="00EA4312">
        <w:rPr>
          <w:rFonts w:ascii="Arial" w:hAnsi="Arial" w:cs="Arial"/>
          <w:color w:val="000000"/>
          <w:sz w:val="24"/>
          <w:szCs w:val="24"/>
        </w:rPr>
        <w:t>Heiwal</w:t>
      </w:r>
      <w:proofErr w:type="spellEnd"/>
      <w:r w:rsidR="00182772" w:rsidRPr="00EA4312">
        <w:rPr>
          <w:rFonts w:ascii="Arial" w:hAnsi="Arial" w:cs="Arial"/>
          <w:color w:val="000000"/>
          <w:sz w:val="24"/>
          <w:szCs w:val="24"/>
        </w:rPr>
        <w:t xml:space="preserve"> Investments and he) are seeking an order directing the respondents to change their names as follows:</w:t>
      </w:r>
    </w:p>
    <w:p w14:paraId="42AF36A3" w14:textId="77777777" w:rsidR="00182772" w:rsidRPr="00182772" w:rsidRDefault="00182772" w:rsidP="00182772">
      <w:pPr>
        <w:spacing w:after="0"/>
        <w:jc w:val="both"/>
        <w:rPr>
          <w:rFonts w:ascii="Arial" w:hAnsi="Arial" w:cs="Arial"/>
          <w:color w:val="000000"/>
        </w:rPr>
      </w:pPr>
    </w:p>
    <w:p w14:paraId="56CFDE02" w14:textId="77777777" w:rsidR="00182772" w:rsidRPr="00EA4312" w:rsidRDefault="00224218" w:rsidP="00182772">
      <w:pPr>
        <w:tabs>
          <w:tab w:val="decimal" w:pos="851"/>
        </w:tabs>
        <w:spacing w:after="0"/>
        <w:ind w:firstLine="709"/>
        <w:jc w:val="both"/>
        <w:rPr>
          <w:rStyle w:val="IntenseEmphasis"/>
          <w:rFonts w:ascii="Arial" w:hAnsi="Arial" w:cs="Arial"/>
          <w:i w:val="0"/>
          <w:color w:val="auto"/>
        </w:rPr>
      </w:pPr>
      <w:r>
        <w:rPr>
          <w:rStyle w:val="IntenseEmphasis"/>
          <w:rFonts w:ascii="Arial" w:hAnsi="Arial" w:cs="Arial"/>
          <w:i w:val="0"/>
          <w:color w:val="auto"/>
        </w:rPr>
        <w:t>‘</w:t>
      </w:r>
      <w:r w:rsidR="00182772" w:rsidRPr="00EA4312">
        <w:rPr>
          <w:rStyle w:val="IntenseEmphasis"/>
          <w:rFonts w:ascii="Arial" w:hAnsi="Arial" w:cs="Arial"/>
          <w:i w:val="0"/>
          <w:color w:val="auto"/>
        </w:rPr>
        <w:t>28.</w:t>
      </w:r>
      <w:r w:rsidR="00182772" w:rsidRPr="00EA4312">
        <w:rPr>
          <w:rStyle w:val="IntenseEmphasis"/>
          <w:rFonts w:ascii="Arial" w:hAnsi="Arial" w:cs="Arial"/>
          <w:i w:val="0"/>
          <w:color w:val="auto"/>
        </w:rPr>
        <w:tab/>
        <w:t>I am advised that a close corporation acquires legal personality and corporate status by virtue of its registration in terms of the Act. The starting point in registering a close corporation is to reserve a name which is not, in the words of section 19(1) of the Act, "in the opinion of the Registrar, undesirable"….</w:t>
      </w:r>
    </w:p>
    <w:p w14:paraId="7F84E7E9" w14:textId="77777777" w:rsidR="00182772" w:rsidRPr="00EA4312" w:rsidRDefault="00182772" w:rsidP="00182772">
      <w:pPr>
        <w:tabs>
          <w:tab w:val="decimal" w:pos="851"/>
        </w:tabs>
        <w:spacing w:after="0"/>
        <w:ind w:firstLine="709"/>
        <w:jc w:val="both"/>
        <w:rPr>
          <w:rStyle w:val="IntenseEmphasis"/>
          <w:rFonts w:ascii="Arial" w:hAnsi="Arial" w:cs="Arial"/>
          <w:i w:val="0"/>
          <w:color w:val="auto"/>
        </w:rPr>
      </w:pPr>
    </w:p>
    <w:p w14:paraId="28C1D925" w14:textId="77777777" w:rsidR="00182772" w:rsidRDefault="00182772" w:rsidP="00182772">
      <w:pPr>
        <w:numPr>
          <w:ilvl w:val="0"/>
          <w:numId w:val="11"/>
        </w:numPr>
        <w:tabs>
          <w:tab w:val="decimal" w:pos="648"/>
        </w:tabs>
        <w:spacing w:after="0"/>
        <w:ind w:left="0"/>
        <w:jc w:val="both"/>
        <w:rPr>
          <w:rStyle w:val="IntenseEmphasis"/>
          <w:rFonts w:ascii="Arial" w:hAnsi="Arial" w:cs="Arial"/>
          <w:i w:val="0"/>
          <w:color w:val="auto"/>
        </w:rPr>
      </w:pPr>
      <w:r w:rsidRPr="00EA4312">
        <w:rPr>
          <w:rStyle w:val="IntenseEmphasis"/>
          <w:rFonts w:ascii="Arial" w:hAnsi="Arial" w:cs="Arial"/>
          <w:i w:val="0"/>
          <w:color w:val="auto"/>
        </w:rPr>
        <w:t xml:space="preserve">As evident from the founding statements of the second to fourth respondents, the members of those Close Corporations do not bear the family name Enke, nor do their family names otherwise resemble the family name Enke in any way. As pointed out above, the name </w:t>
      </w:r>
      <w:proofErr w:type="spellStart"/>
      <w:r w:rsidRPr="00EA4312">
        <w:rPr>
          <w:rStyle w:val="IntenseEmphasis"/>
          <w:rFonts w:ascii="Arial" w:hAnsi="Arial" w:cs="Arial"/>
          <w:i w:val="0"/>
          <w:color w:val="auto"/>
        </w:rPr>
        <w:t>Enkehaus</w:t>
      </w:r>
      <w:proofErr w:type="spellEnd"/>
      <w:r w:rsidRPr="00EA4312">
        <w:rPr>
          <w:rStyle w:val="IntenseEmphasis"/>
          <w:rFonts w:ascii="Arial" w:hAnsi="Arial" w:cs="Arial"/>
          <w:i w:val="0"/>
          <w:color w:val="auto"/>
        </w:rPr>
        <w:t xml:space="preserve"> is derived from and associated with my family name and has been used in relation to my family business carried on under my family name for decades. It has also been used by the first applicant since 1988, which is, as shown, owns the </w:t>
      </w:r>
      <w:proofErr w:type="spellStart"/>
      <w:r w:rsidRPr="00EA4312">
        <w:rPr>
          <w:rStyle w:val="IntenseEmphasis"/>
          <w:rFonts w:ascii="Arial" w:hAnsi="Arial" w:cs="Arial"/>
          <w:i w:val="0"/>
          <w:color w:val="auto"/>
        </w:rPr>
        <w:t>Enkehaus</w:t>
      </w:r>
      <w:proofErr w:type="spellEnd"/>
      <w:r w:rsidRPr="00EA4312">
        <w:rPr>
          <w:rStyle w:val="IntenseEmphasis"/>
          <w:rFonts w:ascii="Arial" w:hAnsi="Arial" w:cs="Arial"/>
          <w:i w:val="0"/>
          <w:color w:val="auto"/>
        </w:rPr>
        <w:t xml:space="preserve"> building in </w:t>
      </w:r>
      <w:proofErr w:type="spellStart"/>
      <w:r w:rsidR="00EA4312" w:rsidRPr="00EA4312">
        <w:rPr>
          <w:rStyle w:val="IntenseEmphasis"/>
          <w:rFonts w:ascii="Arial" w:hAnsi="Arial" w:cs="Arial"/>
          <w:i w:val="0"/>
          <w:color w:val="auto"/>
        </w:rPr>
        <w:t>Banhof</w:t>
      </w:r>
      <w:proofErr w:type="spellEnd"/>
      <w:r w:rsidRPr="00EA4312">
        <w:rPr>
          <w:rStyle w:val="IntenseEmphasis"/>
          <w:rFonts w:ascii="Arial" w:hAnsi="Arial" w:cs="Arial"/>
          <w:i w:val="0"/>
          <w:color w:val="auto"/>
        </w:rPr>
        <w:t xml:space="preserve"> Street and owned the previous </w:t>
      </w:r>
      <w:proofErr w:type="spellStart"/>
      <w:r w:rsidRPr="00EA4312">
        <w:rPr>
          <w:rStyle w:val="IntenseEmphasis"/>
          <w:rFonts w:ascii="Arial" w:hAnsi="Arial" w:cs="Arial"/>
          <w:i w:val="0"/>
          <w:color w:val="auto"/>
        </w:rPr>
        <w:t>Enkehaus</w:t>
      </w:r>
      <w:proofErr w:type="spellEnd"/>
      <w:r w:rsidRPr="00EA4312">
        <w:rPr>
          <w:rStyle w:val="IntenseEmphasis"/>
          <w:rFonts w:ascii="Arial" w:hAnsi="Arial" w:cs="Arial"/>
          <w:i w:val="0"/>
          <w:color w:val="auto"/>
        </w:rPr>
        <w:t xml:space="preserve"> in Billow Street. As shown, the shareholders of the first applicant are my family members and I</w:t>
      </w:r>
      <w:r w:rsidR="00EA4312">
        <w:rPr>
          <w:rStyle w:val="IntenseEmphasis"/>
          <w:rFonts w:ascii="Arial" w:hAnsi="Arial" w:cs="Arial"/>
          <w:i w:val="0"/>
          <w:color w:val="auto"/>
        </w:rPr>
        <w:t>…</w:t>
      </w:r>
    </w:p>
    <w:p w14:paraId="2FB431E4" w14:textId="77777777" w:rsidR="00EA4312" w:rsidRPr="00EA4312" w:rsidRDefault="00EA4312" w:rsidP="00EA4312">
      <w:pPr>
        <w:tabs>
          <w:tab w:val="decimal" w:pos="648"/>
        </w:tabs>
        <w:spacing w:after="0"/>
        <w:jc w:val="both"/>
        <w:rPr>
          <w:rStyle w:val="IntenseEmphasis"/>
          <w:rFonts w:ascii="Arial" w:hAnsi="Arial" w:cs="Arial"/>
          <w:i w:val="0"/>
          <w:color w:val="auto"/>
        </w:rPr>
      </w:pPr>
    </w:p>
    <w:p w14:paraId="2EEABC50" w14:textId="77777777" w:rsidR="00B153D0" w:rsidRPr="00EA4312" w:rsidRDefault="00182772" w:rsidP="00C54DA5">
      <w:pPr>
        <w:numPr>
          <w:ilvl w:val="0"/>
          <w:numId w:val="12"/>
        </w:numPr>
        <w:tabs>
          <w:tab w:val="clear" w:pos="576"/>
          <w:tab w:val="decimal" w:pos="648"/>
        </w:tabs>
        <w:spacing w:after="0"/>
        <w:ind w:left="0"/>
        <w:jc w:val="both"/>
        <w:rPr>
          <w:rStyle w:val="IntenseEmphasis"/>
          <w:rFonts w:ascii="Arial" w:hAnsi="Arial" w:cs="Arial"/>
          <w:i w:val="0"/>
          <w:color w:val="auto"/>
        </w:rPr>
      </w:pPr>
      <w:r w:rsidRPr="00EA4312">
        <w:rPr>
          <w:rStyle w:val="IntenseEmphasis"/>
          <w:rFonts w:ascii="Arial" w:hAnsi="Arial" w:cs="Arial"/>
          <w:i w:val="0"/>
          <w:color w:val="auto"/>
          <w:u w:val="single"/>
        </w:rPr>
        <w:t>I am advised and submit that both the first applicant and I have a property or quasi property right to the use and enjoyment of my own family name Enke, as well as to the use and enjoyment of the name "</w:t>
      </w:r>
      <w:proofErr w:type="spellStart"/>
      <w:r w:rsidRPr="00EA4312">
        <w:rPr>
          <w:rStyle w:val="IntenseEmphasis"/>
          <w:rFonts w:ascii="Arial" w:hAnsi="Arial" w:cs="Arial"/>
          <w:i w:val="0"/>
          <w:color w:val="auto"/>
          <w:u w:val="single"/>
        </w:rPr>
        <w:t>Enkehaus</w:t>
      </w:r>
      <w:proofErr w:type="spellEnd"/>
      <w:r w:rsidRPr="00EA4312">
        <w:rPr>
          <w:rStyle w:val="IntenseEmphasis"/>
          <w:rFonts w:ascii="Arial" w:hAnsi="Arial" w:cs="Arial"/>
          <w:i w:val="0"/>
          <w:color w:val="auto"/>
          <w:u w:val="single"/>
        </w:rPr>
        <w:t xml:space="preserve">" which is based on and derived from my family </w:t>
      </w:r>
      <w:r w:rsidRPr="00EA4312">
        <w:rPr>
          <w:rStyle w:val="IntenseEmphasis"/>
          <w:rFonts w:ascii="Arial" w:hAnsi="Arial" w:cs="Arial"/>
          <w:i w:val="0"/>
          <w:color w:val="auto"/>
          <w:u w:val="single"/>
        </w:rPr>
        <w:lastRenderedPageBreak/>
        <w:t>name Enke. That extends to the carrying on of business and the selling of goods and rendering of services (including letting) under the name "</w:t>
      </w:r>
      <w:proofErr w:type="spellStart"/>
      <w:r w:rsidRPr="00EA4312">
        <w:rPr>
          <w:rStyle w:val="IntenseEmphasis"/>
          <w:rFonts w:ascii="Arial" w:hAnsi="Arial" w:cs="Arial"/>
          <w:i w:val="0"/>
          <w:color w:val="auto"/>
          <w:u w:val="single"/>
        </w:rPr>
        <w:t>Enkehaus</w:t>
      </w:r>
      <w:proofErr w:type="spellEnd"/>
      <w:r w:rsidRPr="00EA4312">
        <w:rPr>
          <w:rStyle w:val="IntenseEmphasis"/>
          <w:rFonts w:ascii="Arial" w:hAnsi="Arial" w:cs="Arial"/>
          <w:i w:val="0"/>
          <w:color w:val="auto"/>
          <w:u w:val="single"/>
        </w:rPr>
        <w:t xml:space="preserve">". The principals of the second to the fourth respondents have no such rights. This right of the applicants is an absolute right, </w:t>
      </w:r>
      <w:r w:rsidRPr="00EA4312">
        <w:rPr>
          <w:rStyle w:val="IntenseEmphasis"/>
          <w:rFonts w:ascii="Arial" w:hAnsi="Arial" w:cs="Arial"/>
          <w:i w:val="0"/>
          <w:color w:val="auto"/>
        </w:rPr>
        <w:t xml:space="preserve">which I have been advised is subject to certain exceptions in law, (none of which apply in this instance). One of those exceptions is that others with the same family name can (again subject to certain exceptions) also use that name. As shown, this is not the case as far as the second to fourth respondents are concerned. The existence of this absolute right of the applicants alone, I am advised, renders the registration of the names of the second to fourth respondents (bearing the name </w:t>
      </w:r>
      <w:proofErr w:type="spellStart"/>
      <w:r w:rsidRPr="00EA4312">
        <w:rPr>
          <w:rStyle w:val="IntenseEmphasis"/>
          <w:rFonts w:ascii="Arial" w:hAnsi="Arial" w:cs="Arial"/>
          <w:i w:val="0"/>
          <w:color w:val="auto"/>
        </w:rPr>
        <w:t>Enkehaus</w:t>
      </w:r>
      <w:proofErr w:type="spellEnd"/>
      <w:r w:rsidRPr="00EA4312">
        <w:rPr>
          <w:rStyle w:val="IntenseEmphasis"/>
          <w:rFonts w:ascii="Arial" w:hAnsi="Arial" w:cs="Arial"/>
          <w:i w:val="0"/>
          <w:color w:val="auto"/>
        </w:rPr>
        <w:t>) undesirable within the meaning of section 20(2)(b) of the Close Corporations Act</w:t>
      </w:r>
      <w:r w:rsidR="00EA4312">
        <w:rPr>
          <w:rStyle w:val="IntenseEmphasis"/>
          <w:rFonts w:ascii="Arial" w:hAnsi="Arial" w:cs="Arial"/>
          <w:i w:val="0"/>
          <w:color w:val="auto"/>
        </w:rPr>
        <w:t>…’</w:t>
      </w:r>
    </w:p>
    <w:p w14:paraId="7E4723A6" w14:textId="77777777" w:rsidR="00EA4312" w:rsidRDefault="00EA4312" w:rsidP="00C54DA5">
      <w:pPr>
        <w:spacing w:after="0"/>
        <w:jc w:val="both"/>
        <w:rPr>
          <w:rFonts w:ascii="Arial" w:hAnsi="Arial" w:cs="Arial"/>
          <w:sz w:val="24"/>
          <w:szCs w:val="24"/>
        </w:rPr>
      </w:pPr>
    </w:p>
    <w:p w14:paraId="0A2F884D" w14:textId="77777777" w:rsidR="00EA4312" w:rsidRPr="00EA4312" w:rsidRDefault="00EA4312" w:rsidP="00C54DA5">
      <w:pPr>
        <w:spacing w:after="0"/>
        <w:jc w:val="both"/>
        <w:rPr>
          <w:rFonts w:ascii="Arial" w:hAnsi="Arial" w:cs="Arial"/>
          <w:sz w:val="24"/>
          <w:szCs w:val="24"/>
        </w:rPr>
      </w:pPr>
      <w:r>
        <w:rPr>
          <w:rFonts w:ascii="Arial" w:hAnsi="Arial" w:cs="Arial"/>
          <w:sz w:val="24"/>
          <w:szCs w:val="24"/>
        </w:rPr>
        <w:t>[34]</w:t>
      </w:r>
      <w:r>
        <w:rPr>
          <w:rFonts w:ascii="Arial" w:hAnsi="Arial" w:cs="Arial"/>
          <w:sz w:val="24"/>
          <w:szCs w:val="24"/>
        </w:rPr>
        <w:tab/>
        <w:t>I have no doubt that Roland was ill a</w:t>
      </w:r>
      <w:r w:rsidR="00224218">
        <w:rPr>
          <w:rFonts w:ascii="Arial" w:hAnsi="Arial" w:cs="Arial"/>
          <w:sz w:val="24"/>
          <w:szCs w:val="24"/>
        </w:rPr>
        <w:t>dvised or received wrong advise</w:t>
      </w:r>
      <w:r>
        <w:rPr>
          <w:rFonts w:ascii="Arial" w:hAnsi="Arial" w:cs="Arial"/>
          <w:sz w:val="24"/>
          <w:szCs w:val="24"/>
        </w:rPr>
        <w:t xml:space="preserve">. I say so because Strydom AJA in </w:t>
      </w:r>
      <w:proofErr w:type="spellStart"/>
      <w:r w:rsidR="00C54DA5" w:rsidRPr="00C54DA5">
        <w:rPr>
          <w:rFonts w:ascii="Arial" w:hAnsi="Arial" w:cs="Arial"/>
          <w:i/>
          <w:sz w:val="24"/>
          <w:szCs w:val="24"/>
        </w:rPr>
        <w:t>Gonschorek</w:t>
      </w:r>
      <w:proofErr w:type="spellEnd"/>
      <w:r w:rsidR="00C54DA5" w:rsidRPr="00C54DA5">
        <w:rPr>
          <w:rFonts w:ascii="Arial" w:hAnsi="Arial" w:cs="Arial"/>
          <w:i/>
          <w:sz w:val="24"/>
          <w:szCs w:val="24"/>
        </w:rPr>
        <w:t xml:space="preserve"> and Others v Asmus and Another</w:t>
      </w:r>
      <w:r w:rsidR="00C54DA5">
        <w:rPr>
          <w:rStyle w:val="FootnoteReference"/>
          <w:rFonts w:ascii="Arial" w:hAnsi="Arial" w:cs="Arial"/>
          <w:i/>
          <w:sz w:val="24"/>
          <w:szCs w:val="24"/>
        </w:rPr>
        <w:footnoteReference w:id="10"/>
      </w:r>
      <w:r w:rsidR="00C54DA5">
        <w:rPr>
          <w:rFonts w:ascii="Arial" w:hAnsi="Arial" w:cs="Arial"/>
          <w:sz w:val="24"/>
          <w:szCs w:val="24"/>
        </w:rPr>
        <w:t xml:space="preserve"> held that the </w:t>
      </w:r>
      <w:r w:rsidR="00C54DA5" w:rsidRPr="00EA4312">
        <w:rPr>
          <w:rFonts w:ascii="Arial" w:hAnsi="Arial" w:cs="Arial"/>
          <w:sz w:val="24"/>
          <w:szCs w:val="24"/>
        </w:rPr>
        <w:t>essence</w:t>
      </w:r>
      <w:r w:rsidRPr="00EA4312">
        <w:rPr>
          <w:rFonts w:ascii="Arial" w:hAnsi="Arial" w:cs="Arial"/>
          <w:sz w:val="24"/>
          <w:szCs w:val="24"/>
        </w:rPr>
        <w:t xml:space="preserve"> of what is protected by the </w:t>
      </w:r>
      <w:r w:rsidR="00086BA5">
        <w:rPr>
          <w:rFonts w:ascii="Arial" w:hAnsi="Arial" w:cs="Arial"/>
          <w:sz w:val="24"/>
          <w:szCs w:val="24"/>
        </w:rPr>
        <w:t xml:space="preserve">law and the </w:t>
      </w:r>
      <w:r w:rsidRPr="00EA4312">
        <w:rPr>
          <w:rFonts w:ascii="Arial" w:hAnsi="Arial" w:cs="Arial"/>
          <w:sz w:val="24"/>
          <w:szCs w:val="24"/>
        </w:rPr>
        <w:t xml:space="preserve">courts is the </w:t>
      </w:r>
      <w:r w:rsidRPr="00086BA5">
        <w:rPr>
          <w:rFonts w:ascii="Arial" w:hAnsi="Arial" w:cs="Arial"/>
          <w:sz w:val="24"/>
          <w:szCs w:val="24"/>
          <w:u w:val="single"/>
        </w:rPr>
        <w:t>reputation of a business</w:t>
      </w:r>
      <w:r w:rsidRPr="00EA4312">
        <w:rPr>
          <w:rFonts w:ascii="Arial" w:hAnsi="Arial" w:cs="Arial"/>
          <w:sz w:val="24"/>
          <w:szCs w:val="24"/>
        </w:rPr>
        <w:t xml:space="preserve">. </w:t>
      </w:r>
      <w:r w:rsidR="00C54DA5">
        <w:rPr>
          <w:rFonts w:ascii="Arial" w:hAnsi="Arial" w:cs="Arial"/>
          <w:sz w:val="24"/>
          <w:szCs w:val="24"/>
        </w:rPr>
        <w:t xml:space="preserve">The learned judge with approval quoted </w:t>
      </w:r>
      <w:r w:rsidRPr="00EA4312">
        <w:rPr>
          <w:rFonts w:ascii="Arial" w:hAnsi="Arial" w:cs="Arial"/>
          <w:sz w:val="24"/>
          <w:szCs w:val="24"/>
        </w:rPr>
        <w:t xml:space="preserve">Van </w:t>
      </w:r>
      <w:proofErr w:type="spellStart"/>
      <w:r w:rsidRPr="00EA4312">
        <w:rPr>
          <w:rFonts w:ascii="Arial" w:hAnsi="Arial" w:cs="Arial"/>
          <w:sz w:val="24"/>
          <w:szCs w:val="24"/>
        </w:rPr>
        <w:t>Dijkhorst</w:t>
      </w:r>
      <w:proofErr w:type="spellEnd"/>
      <w:r w:rsidRPr="00EA4312">
        <w:rPr>
          <w:rFonts w:ascii="Arial" w:hAnsi="Arial" w:cs="Arial"/>
          <w:sz w:val="24"/>
          <w:szCs w:val="24"/>
        </w:rPr>
        <w:t xml:space="preserve"> J</w:t>
      </w:r>
      <w:r w:rsidR="00C54DA5">
        <w:rPr>
          <w:rStyle w:val="FootnoteReference"/>
          <w:rFonts w:ascii="Arial" w:hAnsi="Arial" w:cs="Arial"/>
          <w:sz w:val="24"/>
          <w:szCs w:val="24"/>
        </w:rPr>
        <w:footnoteReference w:id="11"/>
      </w:r>
      <w:r w:rsidR="00C54DA5" w:rsidRPr="00EA4312">
        <w:rPr>
          <w:rFonts w:ascii="Arial" w:hAnsi="Arial" w:cs="Arial"/>
          <w:sz w:val="24"/>
          <w:szCs w:val="24"/>
        </w:rPr>
        <w:t xml:space="preserve">, </w:t>
      </w:r>
      <w:r w:rsidR="00C54DA5">
        <w:rPr>
          <w:rFonts w:ascii="Arial" w:hAnsi="Arial" w:cs="Arial"/>
          <w:sz w:val="24"/>
          <w:szCs w:val="24"/>
        </w:rPr>
        <w:t xml:space="preserve">as stating </w:t>
      </w:r>
      <w:proofErr w:type="gramStart"/>
      <w:r w:rsidR="00C54DA5">
        <w:rPr>
          <w:rFonts w:ascii="Arial" w:hAnsi="Arial" w:cs="Arial"/>
          <w:sz w:val="24"/>
          <w:szCs w:val="24"/>
        </w:rPr>
        <w:t>that :</w:t>
      </w:r>
      <w:proofErr w:type="gramEnd"/>
    </w:p>
    <w:p w14:paraId="5C8CA226" w14:textId="77777777" w:rsidR="00C54DA5" w:rsidRDefault="00C54DA5" w:rsidP="00C54DA5">
      <w:pPr>
        <w:spacing w:after="0"/>
        <w:jc w:val="both"/>
        <w:rPr>
          <w:rFonts w:ascii="Arial" w:hAnsi="Arial" w:cs="Arial"/>
          <w:sz w:val="24"/>
          <w:szCs w:val="24"/>
        </w:rPr>
      </w:pPr>
    </w:p>
    <w:p w14:paraId="1A358424" w14:textId="77777777" w:rsidR="00EA4312" w:rsidRDefault="00C54DA5" w:rsidP="00C54DA5">
      <w:pPr>
        <w:spacing w:after="0"/>
        <w:ind w:firstLine="709"/>
        <w:jc w:val="both"/>
        <w:rPr>
          <w:rFonts w:ascii="Arial" w:hAnsi="Arial" w:cs="Arial"/>
        </w:rPr>
      </w:pPr>
      <w:r w:rsidRPr="00C54DA5">
        <w:rPr>
          <w:rFonts w:ascii="Arial" w:hAnsi="Arial" w:cs="Arial"/>
        </w:rPr>
        <w:t>‘</w:t>
      </w:r>
      <w:r w:rsidR="00EA4312" w:rsidRPr="00C54DA5">
        <w:rPr>
          <w:rFonts w:ascii="Arial" w:hAnsi="Arial" w:cs="Arial"/>
        </w:rPr>
        <w:t xml:space="preserve">In every passing off case two propositions </w:t>
      </w:r>
      <w:proofErr w:type="gramStart"/>
      <w:r w:rsidR="00EA4312" w:rsidRPr="00C54DA5">
        <w:rPr>
          <w:rFonts w:ascii="Arial" w:hAnsi="Arial" w:cs="Arial"/>
        </w:rPr>
        <w:t>have to</w:t>
      </w:r>
      <w:proofErr w:type="gramEnd"/>
      <w:r w:rsidR="00EA4312" w:rsidRPr="00C54DA5">
        <w:rPr>
          <w:rFonts w:ascii="Arial" w:hAnsi="Arial" w:cs="Arial"/>
        </w:rPr>
        <w:t xml:space="preserve"> be established by a plaintiff before he can succeed. The first is</w:t>
      </w:r>
      <w:r w:rsidRPr="00C54DA5">
        <w:rPr>
          <w:rFonts w:ascii="Arial" w:hAnsi="Arial" w:cs="Arial"/>
        </w:rPr>
        <w:t xml:space="preserve"> that his name, mark, </w:t>
      </w:r>
      <w:proofErr w:type="gramStart"/>
      <w:r w:rsidRPr="00C54DA5">
        <w:rPr>
          <w:rFonts w:ascii="Arial" w:hAnsi="Arial" w:cs="Arial"/>
        </w:rPr>
        <w:t>sign</w:t>
      </w:r>
      <w:proofErr w:type="gramEnd"/>
      <w:r w:rsidRPr="00C54DA5">
        <w:rPr>
          <w:rFonts w:ascii="Arial" w:hAnsi="Arial" w:cs="Arial"/>
        </w:rPr>
        <w:t xml:space="preserve"> or</w:t>
      </w:r>
      <w:r w:rsidR="00EA4312" w:rsidRPr="00C54DA5">
        <w:rPr>
          <w:rFonts w:ascii="Arial" w:hAnsi="Arial" w:cs="Arial"/>
        </w:rPr>
        <w:t xml:space="preserve"> get-up has become distinctive, that is, that in the eyes of the public it has acquired a significance or meaning as indicating a particular origin of the goods (business, services) in respect of which that feature is used. This is called reputation. The second is that the use of the feature concerned was likely to deceive and thus cause confusion and injury, actual or probable, to the </w:t>
      </w:r>
      <w:r w:rsidR="00EA4312" w:rsidRPr="00086BA5">
        <w:rPr>
          <w:rFonts w:ascii="Arial" w:hAnsi="Arial" w:cs="Arial"/>
          <w:i/>
          <w:u w:val="single"/>
        </w:rPr>
        <w:t>goodwill of the plaintiff's business</w:t>
      </w:r>
      <w:r w:rsidR="00EA4312" w:rsidRPr="00C54DA5">
        <w:rPr>
          <w:rFonts w:ascii="Arial" w:hAnsi="Arial" w:cs="Arial"/>
        </w:rPr>
        <w:t>.</w:t>
      </w:r>
      <w:r w:rsidRPr="00C54DA5">
        <w:rPr>
          <w:rFonts w:ascii="Arial" w:hAnsi="Arial" w:cs="Arial"/>
        </w:rPr>
        <w:t>’</w:t>
      </w:r>
      <w:r w:rsidR="00086BA5">
        <w:rPr>
          <w:rFonts w:ascii="Arial" w:hAnsi="Arial" w:cs="Arial"/>
        </w:rPr>
        <w:t xml:space="preserve"> </w:t>
      </w:r>
      <w:r w:rsidR="00086BA5" w:rsidRPr="00086BA5">
        <w:rPr>
          <w:rFonts w:ascii="Arial" w:hAnsi="Arial" w:cs="Arial"/>
          <w:sz w:val="24"/>
          <w:szCs w:val="24"/>
        </w:rPr>
        <w:t>[Italicized and underlined for emphasis]</w:t>
      </w:r>
    </w:p>
    <w:p w14:paraId="121B27FB" w14:textId="77777777" w:rsidR="00C54DA5" w:rsidRPr="00C54DA5" w:rsidRDefault="00C54DA5" w:rsidP="00C54DA5">
      <w:pPr>
        <w:spacing w:after="0"/>
        <w:ind w:firstLine="709"/>
        <w:jc w:val="both"/>
        <w:rPr>
          <w:rFonts w:ascii="Arial" w:hAnsi="Arial" w:cs="Arial"/>
        </w:rPr>
      </w:pPr>
    </w:p>
    <w:p w14:paraId="36D985ED" w14:textId="77777777" w:rsidR="00480F13" w:rsidRDefault="00C54DA5" w:rsidP="00EA4312">
      <w:pPr>
        <w:spacing w:after="0"/>
        <w:jc w:val="both"/>
        <w:rPr>
          <w:rFonts w:ascii="Arial" w:hAnsi="Arial" w:cs="Arial"/>
          <w:sz w:val="24"/>
          <w:szCs w:val="24"/>
        </w:rPr>
      </w:pPr>
      <w:r>
        <w:rPr>
          <w:rFonts w:ascii="Arial" w:hAnsi="Arial" w:cs="Arial"/>
          <w:sz w:val="24"/>
          <w:szCs w:val="24"/>
        </w:rPr>
        <w:t>[35]</w:t>
      </w:r>
      <w:r>
        <w:rPr>
          <w:rFonts w:ascii="Arial" w:hAnsi="Arial" w:cs="Arial"/>
          <w:sz w:val="24"/>
          <w:szCs w:val="24"/>
        </w:rPr>
        <w:tab/>
        <w:t>The learned judge after referring to the above authorities and others held that b</w:t>
      </w:r>
      <w:r w:rsidR="00EA4312" w:rsidRPr="00EA4312">
        <w:rPr>
          <w:rFonts w:ascii="Arial" w:hAnsi="Arial" w:cs="Arial"/>
          <w:sz w:val="24"/>
          <w:szCs w:val="24"/>
        </w:rPr>
        <w:t>ecause nobody can lay claim to a monopoly in a family name, or a descriptive or generic word, the courts would, in the first instance, protect the applicant if the name has acquired a secondary meaning or if it is proved that the goods have acquire</w:t>
      </w:r>
      <w:r>
        <w:rPr>
          <w:rFonts w:ascii="Arial" w:hAnsi="Arial" w:cs="Arial"/>
          <w:sz w:val="24"/>
          <w:szCs w:val="24"/>
        </w:rPr>
        <w:t xml:space="preserve">d a reputation and that the </w:t>
      </w:r>
      <w:r w:rsidR="00EA4312" w:rsidRPr="00EA4312">
        <w:rPr>
          <w:rFonts w:ascii="Arial" w:hAnsi="Arial" w:cs="Arial"/>
          <w:sz w:val="24"/>
          <w:szCs w:val="24"/>
        </w:rPr>
        <w:t>defendant has led the public to believe that they are buying the goods of the plaintiff.</w:t>
      </w:r>
      <w:r>
        <w:rPr>
          <w:rFonts w:ascii="Arial" w:hAnsi="Arial" w:cs="Arial"/>
          <w:sz w:val="24"/>
          <w:szCs w:val="24"/>
        </w:rPr>
        <w:t xml:space="preserve"> </w:t>
      </w:r>
      <w:r w:rsidR="00EA4312" w:rsidRPr="00EA4312">
        <w:rPr>
          <w:rFonts w:ascii="Arial" w:hAnsi="Arial" w:cs="Arial"/>
          <w:sz w:val="24"/>
          <w:szCs w:val="24"/>
        </w:rPr>
        <w:t>In the second instance</w:t>
      </w:r>
      <w:r w:rsidR="00224218">
        <w:rPr>
          <w:rFonts w:ascii="Arial" w:hAnsi="Arial" w:cs="Arial"/>
          <w:sz w:val="24"/>
          <w:szCs w:val="24"/>
        </w:rPr>
        <w:t>,</w:t>
      </w:r>
      <w:r w:rsidR="00EA4312" w:rsidRPr="00EA4312">
        <w:rPr>
          <w:rFonts w:ascii="Arial" w:hAnsi="Arial" w:cs="Arial"/>
          <w:sz w:val="24"/>
          <w:szCs w:val="24"/>
        </w:rPr>
        <w:t xml:space="preserve"> the courts will grant a plaintiff protection if there is proof of relevant reputation and/or that the name or get-up of </w:t>
      </w:r>
      <w:r w:rsidR="00EA4312" w:rsidRPr="00EA4312">
        <w:rPr>
          <w:rFonts w:ascii="Arial" w:hAnsi="Arial" w:cs="Arial"/>
          <w:sz w:val="24"/>
          <w:szCs w:val="24"/>
        </w:rPr>
        <w:lastRenderedPageBreak/>
        <w:t>the defendant's goods are likely to confuse a substantial number of the public in believing that the goods of the defendant are those of the plaintiff.</w:t>
      </w:r>
    </w:p>
    <w:p w14:paraId="51F3A259" w14:textId="77777777" w:rsidR="00C54DA5" w:rsidRDefault="00C54DA5" w:rsidP="00EA4312">
      <w:pPr>
        <w:spacing w:after="0"/>
        <w:jc w:val="both"/>
        <w:rPr>
          <w:rFonts w:ascii="Arial" w:hAnsi="Arial" w:cs="Arial"/>
          <w:sz w:val="24"/>
          <w:szCs w:val="24"/>
        </w:rPr>
      </w:pPr>
    </w:p>
    <w:p w14:paraId="0AA81497" w14:textId="77777777" w:rsidR="009A49A4" w:rsidRDefault="00C54DA5" w:rsidP="00FC20C2">
      <w:pPr>
        <w:spacing w:after="0"/>
        <w:jc w:val="both"/>
        <w:rPr>
          <w:rFonts w:ascii="Arial" w:hAnsi="Arial" w:cs="Arial"/>
          <w:sz w:val="24"/>
          <w:szCs w:val="24"/>
        </w:rPr>
      </w:pPr>
      <w:r>
        <w:rPr>
          <w:rFonts w:ascii="Arial" w:hAnsi="Arial" w:cs="Arial"/>
          <w:sz w:val="24"/>
          <w:szCs w:val="24"/>
        </w:rPr>
        <w:t>[36]</w:t>
      </w:r>
      <w:r>
        <w:rPr>
          <w:rFonts w:ascii="Arial" w:hAnsi="Arial" w:cs="Arial"/>
          <w:sz w:val="24"/>
          <w:szCs w:val="24"/>
        </w:rPr>
        <w:tab/>
        <w:t xml:space="preserve"> In the present matter</w:t>
      </w:r>
      <w:r w:rsidR="00224218">
        <w:rPr>
          <w:rFonts w:ascii="Arial" w:hAnsi="Arial" w:cs="Arial"/>
          <w:sz w:val="24"/>
          <w:szCs w:val="24"/>
        </w:rPr>
        <w:t>,</w:t>
      </w:r>
      <w:r>
        <w:rPr>
          <w:rFonts w:ascii="Arial" w:hAnsi="Arial" w:cs="Arial"/>
          <w:sz w:val="24"/>
          <w:szCs w:val="24"/>
        </w:rPr>
        <w:t xml:space="preserve"> it is furthermore so that</w:t>
      </w:r>
      <w:r w:rsidR="00086BA5">
        <w:rPr>
          <w:rFonts w:ascii="Arial" w:hAnsi="Arial" w:cs="Arial"/>
          <w:sz w:val="24"/>
          <w:szCs w:val="24"/>
        </w:rPr>
        <w:t xml:space="preserve"> </w:t>
      </w:r>
      <w:proofErr w:type="spellStart"/>
      <w:r>
        <w:rPr>
          <w:rFonts w:ascii="Arial" w:hAnsi="Arial" w:cs="Arial"/>
          <w:sz w:val="24"/>
          <w:szCs w:val="24"/>
        </w:rPr>
        <w:t>Enkehaus</w:t>
      </w:r>
      <w:proofErr w:type="spellEnd"/>
      <w:r>
        <w:rPr>
          <w:rFonts w:ascii="Arial" w:hAnsi="Arial" w:cs="Arial"/>
          <w:sz w:val="24"/>
          <w:szCs w:val="24"/>
        </w:rPr>
        <w:t xml:space="preserve"> is not the name of a</w:t>
      </w:r>
      <w:r w:rsidR="00086BA5">
        <w:rPr>
          <w:rFonts w:ascii="Arial" w:hAnsi="Arial" w:cs="Arial"/>
          <w:sz w:val="24"/>
          <w:szCs w:val="24"/>
        </w:rPr>
        <w:t xml:space="preserve">n existing </w:t>
      </w:r>
      <w:r>
        <w:rPr>
          <w:rFonts w:ascii="Arial" w:hAnsi="Arial" w:cs="Arial"/>
          <w:sz w:val="24"/>
          <w:szCs w:val="24"/>
        </w:rPr>
        <w:t>company or business of the applicants</w:t>
      </w:r>
      <w:r w:rsidR="00086BA5">
        <w:rPr>
          <w:rFonts w:ascii="Arial" w:hAnsi="Arial" w:cs="Arial"/>
          <w:sz w:val="24"/>
          <w:szCs w:val="24"/>
        </w:rPr>
        <w:t xml:space="preserve">, the applicants are therefore not seeking to protect </w:t>
      </w:r>
      <w:r w:rsidR="00086BA5" w:rsidRPr="00086BA5">
        <w:rPr>
          <w:rFonts w:ascii="Arial" w:hAnsi="Arial" w:cs="Arial"/>
          <w:sz w:val="24"/>
          <w:szCs w:val="24"/>
        </w:rPr>
        <w:t>vested rights in t</w:t>
      </w:r>
      <w:r w:rsidR="00086BA5">
        <w:rPr>
          <w:rFonts w:ascii="Arial" w:hAnsi="Arial" w:cs="Arial"/>
          <w:sz w:val="24"/>
          <w:szCs w:val="24"/>
        </w:rPr>
        <w:t xml:space="preserve">he </w:t>
      </w:r>
      <w:r w:rsidR="00086BA5" w:rsidRPr="00086BA5">
        <w:rPr>
          <w:rFonts w:ascii="Arial" w:hAnsi="Arial" w:cs="Arial"/>
          <w:sz w:val="24"/>
          <w:szCs w:val="24"/>
        </w:rPr>
        <w:t>name</w:t>
      </w:r>
      <w:r w:rsidR="00086BA5">
        <w:rPr>
          <w:rFonts w:ascii="Arial" w:hAnsi="Arial" w:cs="Arial"/>
          <w:sz w:val="24"/>
          <w:szCs w:val="24"/>
        </w:rPr>
        <w:t xml:space="preserve"> of an existing company</w:t>
      </w:r>
      <w:r w:rsidR="00224218">
        <w:rPr>
          <w:rFonts w:ascii="Arial" w:hAnsi="Arial" w:cs="Arial"/>
          <w:sz w:val="24"/>
          <w:szCs w:val="24"/>
        </w:rPr>
        <w:t xml:space="preserve">. </w:t>
      </w:r>
      <w:r w:rsidR="00086BA5">
        <w:rPr>
          <w:rFonts w:ascii="Arial" w:hAnsi="Arial" w:cs="Arial"/>
          <w:sz w:val="24"/>
          <w:szCs w:val="24"/>
        </w:rPr>
        <w:t xml:space="preserve"> The name in question </w:t>
      </w:r>
      <w:r>
        <w:rPr>
          <w:rFonts w:ascii="Arial" w:hAnsi="Arial" w:cs="Arial"/>
          <w:sz w:val="24"/>
          <w:szCs w:val="24"/>
        </w:rPr>
        <w:t>is simply</w:t>
      </w:r>
      <w:r w:rsidR="00086BA5">
        <w:rPr>
          <w:rFonts w:ascii="Arial" w:hAnsi="Arial" w:cs="Arial"/>
          <w:sz w:val="24"/>
          <w:szCs w:val="24"/>
        </w:rPr>
        <w:t xml:space="preserve"> the </w:t>
      </w:r>
      <w:r>
        <w:rPr>
          <w:rFonts w:ascii="Arial" w:hAnsi="Arial" w:cs="Arial"/>
          <w:sz w:val="24"/>
          <w:szCs w:val="24"/>
        </w:rPr>
        <w:t>name of a building or buildings that at one time belonged to the plaintiff’</w:t>
      </w:r>
      <w:r w:rsidR="009A49A4">
        <w:rPr>
          <w:rFonts w:ascii="Arial" w:hAnsi="Arial" w:cs="Arial"/>
          <w:sz w:val="24"/>
          <w:szCs w:val="24"/>
        </w:rPr>
        <w:t>s father.</w:t>
      </w:r>
      <w:r>
        <w:rPr>
          <w:rFonts w:ascii="Arial" w:hAnsi="Arial" w:cs="Arial"/>
          <w:sz w:val="24"/>
          <w:szCs w:val="24"/>
        </w:rPr>
        <w:t xml:space="preserve"> On the evidence that was placed before me there was no thread of evidence that the buildings </w:t>
      </w:r>
      <w:r w:rsidR="009A49A4">
        <w:rPr>
          <w:rFonts w:ascii="Arial" w:hAnsi="Arial" w:cs="Arial"/>
          <w:sz w:val="24"/>
          <w:szCs w:val="24"/>
        </w:rPr>
        <w:t>‘</w:t>
      </w:r>
      <w:proofErr w:type="spellStart"/>
      <w:r>
        <w:rPr>
          <w:rFonts w:ascii="Arial" w:hAnsi="Arial" w:cs="Arial"/>
          <w:sz w:val="24"/>
          <w:szCs w:val="24"/>
        </w:rPr>
        <w:t>Enkehause</w:t>
      </w:r>
      <w:proofErr w:type="spellEnd"/>
      <w:r w:rsidR="009A49A4">
        <w:rPr>
          <w:rFonts w:ascii="Arial" w:hAnsi="Arial" w:cs="Arial"/>
          <w:sz w:val="24"/>
          <w:szCs w:val="24"/>
        </w:rPr>
        <w:t>’</w:t>
      </w:r>
      <w:r>
        <w:rPr>
          <w:rFonts w:ascii="Arial" w:hAnsi="Arial" w:cs="Arial"/>
          <w:sz w:val="24"/>
          <w:szCs w:val="24"/>
        </w:rPr>
        <w:t xml:space="preserve"> at one time or the other belonged to the </w:t>
      </w:r>
      <w:proofErr w:type="spellStart"/>
      <w:r>
        <w:rPr>
          <w:rFonts w:ascii="Arial" w:hAnsi="Arial" w:cs="Arial"/>
          <w:sz w:val="24"/>
          <w:szCs w:val="24"/>
        </w:rPr>
        <w:t>Heiwal</w:t>
      </w:r>
      <w:proofErr w:type="spellEnd"/>
      <w:r>
        <w:rPr>
          <w:rFonts w:ascii="Arial" w:hAnsi="Arial" w:cs="Arial"/>
          <w:sz w:val="24"/>
          <w:szCs w:val="24"/>
        </w:rPr>
        <w:t xml:space="preserve"> Investments or to R</w:t>
      </w:r>
      <w:r w:rsidR="009A49A4">
        <w:rPr>
          <w:rFonts w:ascii="Arial" w:hAnsi="Arial" w:cs="Arial"/>
          <w:sz w:val="24"/>
          <w:szCs w:val="24"/>
        </w:rPr>
        <w:t xml:space="preserve">oland. The evidence before me point to the fact that </w:t>
      </w:r>
      <w:proofErr w:type="spellStart"/>
      <w:r w:rsidR="009A49A4">
        <w:rPr>
          <w:rFonts w:ascii="Arial" w:hAnsi="Arial" w:cs="Arial"/>
          <w:sz w:val="24"/>
          <w:szCs w:val="24"/>
        </w:rPr>
        <w:t>Enkehause</w:t>
      </w:r>
      <w:proofErr w:type="spellEnd"/>
      <w:r w:rsidR="009A49A4">
        <w:rPr>
          <w:rFonts w:ascii="Arial" w:hAnsi="Arial" w:cs="Arial"/>
          <w:sz w:val="24"/>
          <w:szCs w:val="24"/>
        </w:rPr>
        <w:t xml:space="preserve"> building was the property of the late Hans Herman </w:t>
      </w:r>
      <w:proofErr w:type="gramStart"/>
      <w:r w:rsidR="009A49A4">
        <w:rPr>
          <w:rFonts w:ascii="Arial" w:hAnsi="Arial" w:cs="Arial"/>
          <w:sz w:val="24"/>
          <w:szCs w:val="24"/>
        </w:rPr>
        <w:t>Enke</w:t>
      </w:r>
      <w:proofErr w:type="gramEnd"/>
      <w:r w:rsidR="009A49A4">
        <w:rPr>
          <w:rFonts w:ascii="Arial" w:hAnsi="Arial" w:cs="Arial"/>
          <w:sz w:val="24"/>
          <w:szCs w:val="24"/>
        </w:rPr>
        <w:t xml:space="preserve"> and the building is currently the property of the Estate Late Enke. The applicants </w:t>
      </w:r>
      <w:proofErr w:type="gramStart"/>
      <w:r w:rsidR="009A49A4">
        <w:rPr>
          <w:rFonts w:ascii="Arial" w:hAnsi="Arial" w:cs="Arial"/>
          <w:sz w:val="24"/>
          <w:szCs w:val="24"/>
        </w:rPr>
        <w:t>have</w:t>
      </w:r>
      <w:proofErr w:type="gramEnd"/>
      <w:r w:rsidR="009A49A4">
        <w:rPr>
          <w:rFonts w:ascii="Arial" w:hAnsi="Arial" w:cs="Arial"/>
          <w:sz w:val="24"/>
          <w:szCs w:val="24"/>
        </w:rPr>
        <w:t xml:space="preserve"> furthermore</w:t>
      </w:r>
      <w:r w:rsidR="00224218">
        <w:rPr>
          <w:rFonts w:ascii="Arial" w:hAnsi="Arial" w:cs="Arial"/>
          <w:sz w:val="24"/>
          <w:szCs w:val="24"/>
        </w:rPr>
        <w:t>,</w:t>
      </w:r>
      <w:r w:rsidR="009A49A4">
        <w:rPr>
          <w:rFonts w:ascii="Arial" w:hAnsi="Arial" w:cs="Arial"/>
          <w:sz w:val="24"/>
          <w:szCs w:val="24"/>
        </w:rPr>
        <w:t xml:space="preserve"> not placed before court any facts which point to </w:t>
      </w:r>
      <w:r w:rsidR="00FC20C2">
        <w:rPr>
          <w:rFonts w:ascii="Arial" w:hAnsi="Arial" w:cs="Arial"/>
          <w:sz w:val="24"/>
          <w:szCs w:val="24"/>
        </w:rPr>
        <w:t xml:space="preserve">the ‘undesirability’ </w:t>
      </w:r>
      <w:r w:rsidR="00086BA5">
        <w:rPr>
          <w:rFonts w:ascii="Arial" w:hAnsi="Arial" w:cs="Arial"/>
          <w:sz w:val="24"/>
          <w:szCs w:val="24"/>
        </w:rPr>
        <w:t xml:space="preserve">of the names used by the respondents </w:t>
      </w:r>
      <w:r w:rsidR="00FC20C2">
        <w:rPr>
          <w:rFonts w:ascii="Arial" w:hAnsi="Arial" w:cs="Arial"/>
          <w:sz w:val="24"/>
          <w:szCs w:val="24"/>
        </w:rPr>
        <w:t xml:space="preserve">or </w:t>
      </w:r>
      <w:r w:rsidR="00086BA5">
        <w:rPr>
          <w:rFonts w:ascii="Arial" w:hAnsi="Arial" w:cs="Arial"/>
          <w:sz w:val="24"/>
          <w:szCs w:val="24"/>
        </w:rPr>
        <w:t xml:space="preserve">the damages that the respondents are </w:t>
      </w:r>
      <w:r w:rsidR="007566FC">
        <w:rPr>
          <w:rFonts w:ascii="Arial" w:hAnsi="Arial" w:cs="Arial"/>
          <w:sz w:val="24"/>
          <w:szCs w:val="24"/>
        </w:rPr>
        <w:t xml:space="preserve">likely to cause to the applicants for using the names in question. </w:t>
      </w:r>
    </w:p>
    <w:p w14:paraId="6D2A99AD" w14:textId="77777777" w:rsidR="00EB72EF" w:rsidRDefault="00EB72EF" w:rsidP="004D5AC6">
      <w:pPr>
        <w:spacing w:after="0"/>
        <w:jc w:val="both"/>
        <w:rPr>
          <w:rFonts w:ascii="Arial" w:hAnsi="Arial" w:cs="Arial"/>
          <w:sz w:val="24"/>
          <w:szCs w:val="24"/>
        </w:rPr>
      </w:pPr>
    </w:p>
    <w:p w14:paraId="1656843A" w14:textId="77777777" w:rsidR="00AC48EE" w:rsidRDefault="00FC20C2" w:rsidP="004D5AC6">
      <w:pPr>
        <w:spacing w:after="0"/>
        <w:jc w:val="both"/>
        <w:rPr>
          <w:rFonts w:ascii="Arial" w:hAnsi="Arial" w:cs="Arial"/>
          <w:sz w:val="24"/>
          <w:szCs w:val="24"/>
        </w:rPr>
      </w:pPr>
      <w:r>
        <w:rPr>
          <w:rFonts w:ascii="Arial" w:hAnsi="Arial" w:cs="Arial"/>
          <w:sz w:val="24"/>
          <w:szCs w:val="24"/>
        </w:rPr>
        <w:t>[37</w:t>
      </w:r>
      <w:r w:rsidR="00EB72EF">
        <w:rPr>
          <w:rFonts w:ascii="Arial" w:hAnsi="Arial" w:cs="Arial"/>
          <w:sz w:val="24"/>
          <w:szCs w:val="24"/>
        </w:rPr>
        <w:t>]</w:t>
      </w:r>
      <w:r w:rsidR="00EB72EF">
        <w:rPr>
          <w:rFonts w:ascii="Arial" w:hAnsi="Arial" w:cs="Arial"/>
          <w:sz w:val="24"/>
          <w:szCs w:val="24"/>
        </w:rPr>
        <w:tab/>
      </w:r>
      <w:r w:rsidR="00681D4F" w:rsidRPr="00681D4F">
        <w:rPr>
          <w:rFonts w:ascii="Arial" w:hAnsi="Arial" w:cs="Arial"/>
          <w:sz w:val="24"/>
          <w:szCs w:val="24"/>
        </w:rPr>
        <w:t xml:space="preserve">In the result I have come to the conclusion that the </w:t>
      </w:r>
      <w:r w:rsidR="00AC48EE">
        <w:rPr>
          <w:rFonts w:ascii="Arial" w:hAnsi="Arial" w:cs="Arial"/>
          <w:sz w:val="24"/>
          <w:szCs w:val="24"/>
        </w:rPr>
        <w:t>applicants</w:t>
      </w:r>
      <w:r w:rsidR="00681D4F" w:rsidRPr="00681D4F">
        <w:rPr>
          <w:rFonts w:ascii="Arial" w:hAnsi="Arial" w:cs="Arial"/>
          <w:sz w:val="24"/>
          <w:szCs w:val="24"/>
        </w:rPr>
        <w:t xml:space="preserve"> have </w:t>
      </w:r>
      <w:r w:rsidR="00AC48EE">
        <w:rPr>
          <w:rFonts w:ascii="Arial" w:hAnsi="Arial" w:cs="Arial"/>
          <w:sz w:val="24"/>
          <w:szCs w:val="24"/>
        </w:rPr>
        <w:t xml:space="preserve">not </w:t>
      </w:r>
      <w:r w:rsidR="00681D4F" w:rsidRPr="00681D4F">
        <w:rPr>
          <w:rFonts w:ascii="Arial" w:hAnsi="Arial" w:cs="Arial"/>
          <w:sz w:val="24"/>
          <w:szCs w:val="24"/>
        </w:rPr>
        <w:t xml:space="preserve">made out a case for relief </w:t>
      </w:r>
      <w:r w:rsidR="00AC48EE">
        <w:rPr>
          <w:rFonts w:ascii="Arial" w:hAnsi="Arial" w:cs="Arial"/>
          <w:sz w:val="24"/>
          <w:szCs w:val="24"/>
        </w:rPr>
        <w:t xml:space="preserve">they </w:t>
      </w:r>
      <w:proofErr w:type="gramStart"/>
      <w:r w:rsidR="00AC48EE">
        <w:rPr>
          <w:rFonts w:ascii="Arial" w:hAnsi="Arial" w:cs="Arial"/>
          <w:sz w:val="24"/>
          <w:szCs w:val="24"/>
        </w:rPr>
        <w:t>seek</w:t>
      </w:r>
      <w:proofErr w:type="gramEnd"/>
      <w:r w:rsidR="00AC48EE">
        <w:rPr>
          <w:rFonts w:ascii="Arial" w:hAnsi="Arial" w:cs="Arial"/>
          <w:sz w:val="24"/>
          <w:szCs w:val="24"/>
        </w:rPr>
        <w:t xml:space="preserve"> </w:t>
      </w:r>
      <w:r w:rsidR="00681D4F" w:rsidRPr="00681D4F">
        <w:rPr>
          <w:rFonts w:ascii="Arial" w:hAnsi="Arial" w:cs="Arial"/>
          <w:sz w:val="24"/>
          <w:szCs w:val="24"/>
        </w:rPr>
        <w:t xml:space="preserve">and </w:t>
      </w:r>
      <w:r w:rsidR="00AC48EE">
        <w:rPr>
          <w:rFonts w:ascii="Arial" w:hAnsi="Arial" w:cs="Arial"/>
          <w:sz w:val="24"/>
          <w:szCs w:val="24"/>
        </w:rPr>
        <w:t xml:space="preserve">I must </w:t>
      </w:r>
      <w:r w:rsidR="00681D4F" w:rsidRPr="00681D4F">
        <w:rPr>
          <w:rFonts w:ascii="Arial" w:hAnsi="Arial" w:cs="Arial"/>
          <w:sz w:val="24"/>
          <w:szCs w:val="24"/>
        </w:rPr>
        <w:t>consequently</w:t>
      </w:r>
      <w:r w:rsidR="00AC48EE">
        <w:rPr>
          <w:rFonts w:ascii="Arial" w:hAnsi="Arial" w:cs="Arial"/>
          <w:sz w:val="24"/>
          <w:szCs w:val="24"/>
        </w:rPr>
        <w:t xml:space="preserve"> dismiss their application</w:t>
      </w:r>
      <w:r w:rsidR="00681D4F" w:rsidRPr="00681D4F">
        <w:rPr>
          <w:rFonts w:ascii="Arial" w:hAnsi="Arial" w:cs="Arial"/>
          <w:sz w:val="24"/>
          <w:szCs w:val="24"/>
        </w:rPr>
        <w:t xml:space="preserve">. </w:t>
      </w:r>
      <w:r w:rsidR="00AC48EE">
        <w:rPr>
          <w:rFonts w:ascii="Arial" w:hAnsi="Arial" w:cs="Arial"/>
          <w:sz w:val="24"/>
          <w:szCs w:val="24"/>
        </w:rPr>
        <w:t>As regards costs no reasons have been advanced why cost must not follow the course.</w:t>
      </w:r>
    </w:p>
    <w:p w14:paraId="101B5AA6" w14:textId="77777777" w:rsidR="00AC48EE" w:rsidRDefault="00AC48EE" w:rsidP="004D5AC6">
      <w:pPr>
        <w:spacing w:after="0"/>
        <w:jc w:val="both"/>
        <w:rPr>
          <w:rFonts w:ascii="Arial" w:hAnsi="Arial" w:cs="Arial"/>
          <w:sz w:val="24"/>
          <w:szCs w:val="24"/>
        </w:rPr>
      </w:pPr>
    </w:p>
    <w:p w14:paraId="047140EA" w14:textId="77777777" w:rsidR="00AC48EE" w:rsidRPr="00224218" w:rsidRDefault="00AC48EE" w:rsidP="004D5AC6">
      <w:pPr>
        <w:spacing w:after="0"/>
        <w:jc w:val="both"/>
        <w:rPr>
          <w:rFonts w:ascii="Arial" w:hAnsi="Arial" w:cs="Arial"/>
          <w:sz w:val="24"/>
          <w:szCs w:val="24"/>
          <w:u w:val="single"/>
        </w:rPr>
      </w:pPr>
      <w:r w:rsidRPr="00224218">
        <w:rPr>
          <w:rFonts w:ascii="Arial" w:hAnsi="Arial" w:cs="Arial"/>
          <w:sz w:val="24"/>
          <w:szCs w:val="24"/>
          <w:u w:val="single"/>
        </w:rPr>
        <w:t>Order</w:t>
      </w:r>
    </w:p>
    <w:p w14:paraId="07D403BD" w14:textId="77777777" w:rsidR="00AC48EE" w:rsidRDefault="00AC48EE" w:rsidP="00224218">
      <w:pPr>
        <w:spacing w:after="0" w:line="240" w:lineRule="auto"/>
        <w:jc w:val="both"/>
        <w:rPr>
          <w:rFonts w:ascii="Arial" w:hAnsi="Arial" w:cs="Arial"/>
          <w:sz w:val="24"/>
          <w:szCs w:val="24"/>
        </w:rPr>
      </w:pPr>
    </w:p>
    <w:p w14:paraId="6BA01C02" w14:textId="77777777" w:rsidR="00EB72EF" w:rsidRDefault="00AC48EE" w:rsidP="004D5AC6">
      <w:pPr>
        <w:spacing w:after="0"/>
        <w:jc w:val="both"/>
        <w:rPr>
          <w:rFonts w:ascii="Arial" w:hAnsi="Arial" w:cs="Arial"/>
          <w:sz w:val="24"/>
          <w:szCs w:val="24"/>
        </w:rPr>
      </w:pPr>
      <w:r>
        <w:rPr>
          <w:rFonts w:ascii="Arial" w:hAnsi="Arial" w:cs="Arial"/>
          <w:sz w:val="24"/>
          <w:szCs w:val="24"/>
        </w:rPr>
        <w:t>[38]</w:t>
      </w:r>
      <w:r>
        <w:rPr>
          <w:rFonts w:ascii="Arial" w:hAnsi="Arial" w:cs="Arial"/>
          <w:sz w:val="24"/>
          <w:szCs w:val="24"/>
        </w:rPr>
        <w:tab/>
      </w:r>
      <w:r w:rsidR="00B730FB">
        <w:rPr>
          <w:rFonts w:ascii="Arial" w:hAnsi="Arial" w:cs="Arial"/>
          <w:sz w:val="24"/>
          <w:szCs w:val="24"/>
        </w:rPr>
        <w:t>For the reasons set out in this judgment</w:t>
      </w:r>
      <w:r w:rsidR="00224218">
        <w:rPr>
          <w:rFonts w:ascii="Arial" w:hAnsi="Arial" w:cs="Arial"/>
          <w:sz w:val="24"/>
          <w:szCs w:val="24"/>
        </w:rPr>
        <w:t>,</w:t>
      </w:r>
      <w:r w:rsidR="00B730FB">
        <w:rPr>
          <w:rFonts w:ascii="Arial" w:hAnsi="Arial" w:cs="Arial"/>
          <w:sz w:val="24"/>
          <w:szCs w:val="24"/>
        </w:rPr>
        <w:t xml:space="preserve"> I make the following order.</w:t>
      </w:r>
    </w:p>
    <w:p w14:paraId="785F7B53" w14:textId="77777777" w:rsidR="002A1DD2" w:rsidRDefault="002A1DD2" w:rsidP="004D5AC6">
      <w:pPr>
        <w:spacing w:after="0"/>
        <w:jc w:val="both"/>
        <w:rPr>
          <w:rFonts w:ascii="Arial" w:hAnsi="Arial" w:cs="Arial"/>
          <w:sz w:val="24"/>
          <w:szCs w:val="24"/>
        </w:rPr>
      </w:pPr>
    </w:p>
    <w:p w14:paraId="020B1013" w14:textId="77777777" w:rsidR="002A1DD2" w:rsidRPr="00B730FB" w:rsidRDefault="00AC48EE" w:rsidP="004D5AC6">
      <w:pPr>
        <w:pStyle w:val="ListParagraph"/>
        <w:numPr>
          <w:ilvl w:val="0"/>
          <w:numId w:val="4"/>
        </w:numPr>
        <w:spacing w:after="0"/>
        <w:ind w:left="0" w:firstLine="0"/>
        <w:jc w:val="both"/>
        <w:rPr>
          <w:rFonts w:ascii="Arial" w:hAnsi="Arial" w:cs="Arial"/>
          <w:sz w:val="24"/>
          <w:szCs w:val="24"/>
        </w:rPr>
      </w:pPr>
      <w:r>
        <w:rPr>
          <w:rFonts w:ascii="Arial" w:hAnsi="Arial" w:cs="Arial"/>
          <w:sz w:val="24"/>
          <w:szCs w:val="24"/>
        </w:rPr>
        <w:t>The first respondent</w:t>
      </w:r>
      <w:r w:rsidR="002A1DD2" w:rsidRPr="00B730FB">
        <w:rPr>
          <w:rFonts w:ascii="Arial" w:hAnsi="Arial" w:cs="Arial"/>
          <w:sz w:val="24"/>
          <w:szCs w:val="24"/>
        </w:rPr>
        <w:t>’</w:t>
      </w:r>
      <w:r>
        <w:rPr>
          <w:rFonts w:ascii="Arial" w:hAnsi="Arial" w:cs="Arial"/>
          <w:sz w:val="24"/>
          <w:szCs w:val="24"/>
        </w:rPr>
        <w:t>s</w:t>
      </w:r>
      <w:r w:rsidR="002A1DD2" w:rsidRPr="00B730FB">
        <w:rPr>
          <w:rFonts w:ascii="Arial" w:hAnsi="Arial" w:cs="Arial"/>
          <w:sz w:val="24"/>
          <w:szCs w:val="24"/>
        </w:rPr>
        <w:t xml:space="preserve"> decision dated 23 August 2021, declining the applicants</w:t>
      </w:r>
      <w:r w:rsidR="007566FC">
        <w:rPr>
          <w:rFonts w:ascii="Arial" w:hAnsi="Arial" w:cs="Arial"/>
          <w:sz w:val="24"/>
          <w:szCs w:val="24"/>
        </w:rPr>
        <w:t>’</w:t>
      </w:r>
      <w:r w:rsidR="002A1DD2" w:rsidRPr="00B730FB">
        <w:rPr>
          <w:rFonts w:ascii="Arial" w:hAnsi="Arial" w:cs="Arial"/>
          <w:sz w:val="24"/>
          <w:szCs w:val="24"/>
        </w:rPr>
        <w:t xml:space="preserve"> demand</w:t>
      </w:r>
      <w:r w:rsidR="007566FC">
        <w:rPr>
          <w:rFonts w:ascii="Arial" w:hAnsi="Arial" w:cs="Arial"/>
          <w:sz w:val="24"/>
          <w:szCs w:val="24"/>
        </w:rPr>
        <w:t>/request</w:t>
      </w:r>
      <w:r w:rsidR="002A1DD2" w:rsidRPr="00B730FB">
        <w:rPr>
          <w:rFonts w:ascii="Arial" w:hAnsi="Arial" w:cs="Arial"/>
          <w:sz w:val="24"/>
          <w:szCs w:val="24"/>
        </w:rPr>
        <w:t xml:space="preserve"> to order the second, third and fourth respondent to change their names, is hereby confirmed.</w:t>
      </w:r>
    </w:p>
    <w:p w14:paraId="7D74522F" w14:textId="77777777" w:rsidR="002A1DD2" w:rsidRDefault="002A1DD2" w:rsidP="004D5AC6">
      <w:pPr>
        <w:pStyle w:val="ListParagraph"/>
        <w:spacing w:after="0"/>
        <w:ind w:left="0"/>
        <w:jc w:val="both"/>
        <w:rPr>
          <w:rFonts w:ascii="Arial" w:hAnsi="Arial" w:cs="Arial"/>
          <w:sz w:val="24"/>
          <w:szCs w:val="24"/>
        </w:rPr>
      </w:pPr>
    </w:p>
    <w:p w14:paraId="7281D87F" w14:textId="77777777" w:rsidR="002A1DD2" w:rsidRDefault="002A1DD2" w:rsidP="004D5AC6">
      <w:pPr>
        <w:pStyle w:val="ListParagraph"/>
        <w:numPr>
          <w:ilvl w:val="0"/>
          <w:numId w:val="4"/>
        </w:numPr>
        <w:spacing w:after="0"/>
        <w:ind w:left="0" w:firstLine="0"/>
        <w:jc w:val="both"/>
        <w:rPr>
          <w:rFonts w:ascii="Arial" w:hAnsi="Arial" w:cs="Arial"/>
          <w:sz w:val="24"/>
          <w:szCs w:val="24"/>
        </w:rPr>
      </w:pPr>
      <w:r>
        <w:rPr>
          <w:rFonts w:ascii="Arial" w:hAnsi="Arial" w:cs="Arial"/>
          <w:sz w:val="24"/>
          <w:szCs w:val="24"/>
        </w:rPr>
        <w:t>The names of the second, third and fourth respondents not undesirable and calculated to cause damage to the applicants in terms of the provisions of s 20(2) of the Close Corporation Act 26 of 1988.</w:t>
      </w:r>
    </w:p>
    <w:p w14:paraId="7A5B87FA" w14:textId="77777777" w:rsidR="002A1DD2" w:rsidRPr="002A1DD2" w:rsidRDefault="002A1DD2" w:rsidP="004D5AC6">
      <w:pPr>
        <w:pStyle w:val="ListParagraph"/>
        <w:spacing w:after="0"/>
        <w:ind w:left="0"/>
        <w:jc w:val="both"/>
        <w:rPr>
          <w:rFonts w:ascii="Arial" w:hAnsi="Arial" w:cs="Arial"/>
          <w:sz w:val="24"/>
          <w:szCs w:val="24"/>
        </w:rPr>
      </w:pPr>
    </w:p>
    <w:p w14:paraId="247C8E2A" w14:textId="77777777" w:rsidR="002A1DD2" w:rsidRDefault="002A1DD2" w:rsidP="004D5AC6">
      <w:pPr>
        <w:pStyle w:val="ListParagraph"/>
        <w:numPr>
          <w:ilvl w:val="0"/>
          <w:numId w:val="4"/>
        </w:numPr>
        <w:spacing w:after="0"/>
        <w:ind w:left="0" w:firstLine="0"/>
        <w:jc w:val="both"/>
        <w:rPr>
          <w:rFonts w:ascii="Arial" w:hAnsi="Arial" w:cs="Arial"/>
          <w:sz w:val="24"/>
          <w:szCs w:val="24"/>
        </w:rPr>
      </w:pPr>
      <w:r>
        <w:rPr>
          <w:rFonts w:ascii="Arial" w:hAnsi="Arial" w:cs="Arial"/>
          <w:sz w:val="24"/>
          <w:szCs w:val="24"/>
        </w:rPr>
        <w:t xml:space="preserve">The applicants </w:t>
      </w:r>
      <w:r w:rsidR="00AC48EE">
        <w:rPr>
          <w:rFonts w:ascii="Arial" w:hAnsi="Arial" w:cs="Arial"/>
          <w:sz w:val="24"/>
          <w:szCs w:val="24"/>
        </w:rPr>
        <w:t xml:space="preserve">must </w:t>
      </w:r>
      <w:r>
        <w:rPr>
          <w:rFonts w:ascii="Arial" w:hAnsi="Arial" w:cs="Arial"/>
          <w:sz w:val="24"/>
          <w:szCs w:val="24"/>
        </w:rPr>
        <w:t>pay the second, third and fourth respondents cost of suit.</w:t>
      </w:r>
      <w:r w:rsidR="00AC48EE">
        <w:rPr>
          <w:rFonts w:ascii="Arial" w:hAnsi="Arial" w:cs="Arial"/>
          <w:sz w:val="24"/>
          <w:szCs w:val="24"/>
        </w:rPr>
        <w:t xml:space="preserve"> Such costs to include the costs of one instructing and one instructed counsel.</w:t>
      </w:r>
    </w:p>
    <w:p w14:paraId="59669CF9" w14:textId="77777777" w:rsidR="002A1DD2" w:rsidRDefault="002A1DD2" w:rsidP="004D5AC6">
      <w:pPr>
        <w:pStyle w:val="ListParagraph"/>
        <w:numPr>
          <w:ilvl w:val="0"/>
          <w:numId w:val="4"/>
        </w:numPr>
        <w:spacing w:after="0"/>
        <w:ind w:left="0" w:firstLine="0"/>
        <w:jc w:val="both"/>
        <w:rPr>
          <w:rFonts w:ascii="Arial" w:hAnsi="Arial" w:cs="Arial"/>
          <w:sz w:val="24"/>
          <w:szCs w:val="24"/>
        </w:rPr>
      </w:pPr>
      <w:r>
        <w:rPr>
          <w:rFonts w:ascii="Arial" w:hAnsi="Arial" w:cs="Arial"/>
          <w:sz w:val="24"/>
          <w:szCs w:val="24"/>
        </w:rPr>
        <w:lastRenderedPageBreak/>
        <w:t>The matter is considered finalized and is removed from the roll.</w:t>
      </w:r>
    </w:p>
    <w:p w14:paraId="50A0F3BE" w14:textId="77777777" w:rsidR="00FA627B" w:rsidRDefault="00FA627B" w:rsidP="002A1DD2">
      <w:pPr>
        <w:jc w:val="both"/>
        <w:rPr>
          <w:rFonts w:ascii="Arial" w:hAnsi="Arial" w:cs="Arial"/>
          <w:sz w:val="24"/>
          <w:szCs w:val="24"/>
        </w:rPr>
      </w:pPr>
    </w:p>
    <w:p w14:paraId="49B3A075" w14:textId="77777777" w:rsidR="00503A66" w:rsidRDefault="00503A66" w:rsidP="002A1DD2">
      <w:pPr>
        <w:jc w:val="both"/>
        <w:rPr>
          <w:rFonts w:ascii="Arial" w:hAnsi="Arial" w:cs="Arial"/>
          <w:sz w:val="24"/>
          <w:szCs w:val="24"/>
        </w:rPr>
      </w:pPr>
    </w:p>
    <w:p w14:paraId="0B1F7994" w14:textId="77777777" w:rsidR="002A1DD2" w:rsidRDefault="002A1DD2" w:rsidP="00AC48EE">
      <w:pPr>
        <w:spacing w:after="0" w:line="240" w:lineRule="auto"/>
        <w:jc w:val="right"/>
        <w:rPr>
          <w:rFonts w:ascii="Arial" w:hAnsi="Arial" w:cs="Arial"/>
          <w:sz w:val="24"/>
          <w:szCs w:val="24"/>
        </w:rPr>
      </w:pPr>
      <w:r>
        <w:rPr>
          <w:rFonts w:ascii="Arial" w:hAnsi="Arial" w:cs="Arial"/>
          <w:sz w:val="24"/>
          <w:szCs w:val="24"/>
        </w:rPr>
        <w:t>_____________________</w:t>
      </w:r>
    </w:p>
    <w:p w14:paraId="5187EAC5" w14:textId="77777777" w:rsidR="002A1DD2" w:rsidRDefault="002A1DD2" w:rsidP="00AC48EE">
      <w:pPr>
        <w:spacing w:after="0" w:line="240" w:lineRule="auto"/>
        <w:jc w:val="right"/>
        <w:rPr>
          <w:rFonts w:ascii="Arial" w:hAnsi="Arial" w:cs="Arial"/>
          <w:sz w:val="24"/>
          <w:szCs w:val="24"/>
        </w:rPr>
      </w:pPr>
      <w:r>
        <w:rPr>
          <w:rFonts w:ascii="Arial" w:hAnsi="Arial" w:cs="Arial"/>
          <w:sz w:val="24"/>
          <w:szCs w:val="24"/>
        </w:rPr>
        <w:t xml:space="preserve">UEITELE </w:t>
      </w:r>
      <w:r w:rsidR="00AC48EE">
        <w:rPr>
          <w:rFonts w:ascii="Arial" w:hAnsi="Arial" w:cs="Arial"/>
          <w:sz w:val="24"/>
          <w:szCs w:val="24"/>
        </w:rPr>
        <w:t>SFI</w:t>
      </w:r>
    </w:p>
    <w:p w14:paraId="664676C2" w14:textId="77777777" w:rsidR="00FA627B" w:rsidRDefault="002A1DD2" w:rsidP="00AC48EE">
      <w:pPr>
        <w:spacing w:after="0" w:line="240" w:lineRule="auto"/>
        <w:jc w:val="right"/>
        <w:rPr>
          <w:rFonts w:ascii="Arial" w:hAnsi="Arial" w:cs="Arial"/>
          <w:sz w:val="24"/>
          <w:szCs w:val="24"/>
        </w:rPr>
      </w:pPr>
      <w:r>
        <w:rPr>
          <w:rFonts w:ascii="Arial" w:hAnsi="Arial" w:cs="Arial"/>
          <w:sz w:val="24"/>
          <w:szCs w:val="24"/>
        </w:rPr>
        <w:t>Judge</w:t>
      </w:r>
    </w:p>
    <w:p w14:paraId="3846DF99" w14:textId="77777777" w:rsidR="009609EF" w:rsidRDefault="009609EF" w:rsidP="002A1DD2">
      <w:pPr>
        <w:rPr>
          <w:rFonts w:ascii="Arial" w:hAnsi="Arial" w:cs="Arial"/>
          <w:sz w:val="24"/>
          <w:szCs w:val="24"/>
        </w:rPr>
      </w:pPr>
    </w:p>
    <w:p w14:paraId="11FCB25F" w14:textId="77777777" w:rsidR="00AC48EE" w:rsidRDefault="00AC48EE">
      <w:pPr>
        <w:spacing w:line="259" w:lineRule="auto"/>
        <w:rPr>
          <w:rFonts w:ascii="Arial" w:hAnsi="Arial" w:cs="Arial"/>
          <w:sz w:val="24"/>
          <w:szCs w:val="24"/>
        </w:rPr>
      </w:pPr>
      <w:r>
        <w:rPr>
          <w:rFonts w:ascii="Arial" w:hAnsi="Arial" w:cs="Arial"/>
          <w:sz w:val="24"/>
          <w:szCs w:val="24"/>
        </w:rPr>
        <w:br w:type="page"/>
      </w:r>
    </w:p>
    <w:p w14:paraId="2653AC6C" w14:textId="77777777" w:rsidR="002A1DD2" w:rsidRPr="00224218" w:rsidRDefault="002A1DD2" w:rsidP="002A1DD2">
      <w:pPr>
        <w:rPr>
          <w:rFonts w:ascii="Arial" w:hAnsi="Arial" w:cs="Arial"/>
          <w:sz w:val="24"/>
          <w:szCs w:val="24"/>
        </w:rPr>
      </w:pPr>
      <w:r w:rsidRPr="00224218">
        <w:rPr>
          <w:rFonts w:ascii="Arial" w:hAnsi="Arial" w:cs="Arial"/>
          <w:sz w:val="24"/>
          <w:szCs w:val="24"/>
        </w:rPr>
        <w:lastRenderedPageBreak/>
        <w:t>APPEARANCES:</w:t>
      </w:r>
    </w:p>
    <w:p w14:paraId="730A70C4" w14:textId="77777777" w:rsidR="002A1DD2" w:rsidRDefault="002A1DD2" w:rsidP="00751DCE">
      <w:pPr>
        <w:spacing w:line="240" w:lineRule="auto"/>
        <w:rPr>
          <w:rFonts w:ascii="Arial" w:hAnsi="Arial" w:cs="Arial"/>
          <w:sz w:val="24"/>
          <w:szCs w:val="24"/>
        </w:rPr>
      </w:pPr>
    </w:p>
    <w:p w14:paraId="7294FE9E" w14:textId="77777777" w:rsidR="002A1DD2" w:rsidRDefault="00751DCE" w:rsidP="00751DCE">
      <w:pPr>
        <w:spacing w:line="240" w:lineRule="auto"/>
        <w:rPr>
          <w:rFonts w:ascii="Arial" w:hAnsi="Arial" w:cs="Arial"/>
          <w:sz w:val="24"/>
          <w:szCs w:val="24"/>
        </w:rPr>
      </w:pPr>
      <w:r>
        <w:rPr>
          <w:rFonts w:ascii="Arial" w:hAnsi="Arial" w:cs="Arial"/>
          <w:sz w:val="24"/>
          <w:szCs w:val="24"/>
        </w:rPr>
        <w:t>APPLICANTS</w:t>
      </w:r>
      <w:r w:rsidR="002A1DD2">
        <w:rPr>
          <w:rFonts w:ascii="Arial" w:hAnsi="Arial" w:cs="Arial"/>
          <w:sz w:val="24"/>
          <w:szCs w:val="24"/>
        </w:rPr>
        <w:t>:</w:t>
      </w:r>
      <w:r w:rsidR="009F208C">
        <w:rPr>
          <w:rFonts w:ascii="Arial" w:hAnsi="Arial" w:cs="Arial"/>
          <w:sz w:val="24"/>
          <w:szCs w:val="24"/>
        </w:rPr>
        <w:tab/>
      </w:r>
      <w:r w:rsidR="009F208C">
        <w:rPr>
          <w:rFonts w:ascii="Arial" w:hAnsi="Arial" w:cs="Arial"/>
          <w:sz w:val="24"/>
          <w:szCs w:val="24"/>
        </w:rPr>
        <w:tab/>
      </w:r>
      <w:r w:rsidR="009F208C">
        <w:rPr>
          <w:rFonts w:ascii="Arial" w:hAnsi="Arial" w:cs="Arial"/>
          <w:sz w:val="24"/>
          <w:szCs w:val="24"/>
        </w:rPr>
        <w:tab/>
      </w:r>
      <w:r w:rsidR="009F208C">
        <w:rPr>
          <w:rFonts w:ascii="Arial" w:hAnsi="Arial" w:cs="Arial"/>
          <w:sz w:val="24"/>
          <w:szCs w:val="24"/>
        </w:rPr>
        <w:tab/>
        <w:t xml:space="preserve">N </w:t>
      </w:r>
      <w:proofErr w:type="spellStart"/>
      <w:r w:rsidR="009F208C">
        <w:rPr>
          <w:rFonts w:ascii="Arial" w:hAnsi="Arial" w:cs="Arial"/>
          <w:sz w:val="24"/>
          <w:szCs w:val="24"/>
        </w:rPr>
        <w:t>Bassingwaighte</w:t>
      </w:r>
      <w:proofErr w:type="spellEnd"/>
      <w:r w:rsidR="009F208C">
        <w:rPr>
          <w:rFonts w:ascii="Arial" w:hAnsi="Arial" w:cs="Arial"/>
          <w:sz w:val="24"/>
          <w:szCs w:val="24"/>
        </w:rPr>
        <w:t xml:space="preserve"> assisted by</w:t>
      </w:r>
      <w:r>
        <w:rPr>
          <w:rFonts w:ascii="Arial" w:hAnsi="Arial" w:cs="Arial"/>
          <w:sz w:val="24"/>
          <w:szCs w:val="24"/>
        </w:rPr>
        <w:t xml:space="preserve"> </w:t>
      </w:r>
    </w:p>
    <w:p w14:paraId="58F8F77F" w14:textId="77777777" w:rsidR="00751DCE" w:rsidRDefault="00751DCE" w:rsidP="00751DCE">
      <w:pPr>
        <w:spacing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E </w:t>
      </w:r>
      <w:proofErr w:type="spellStart"/>
      <w:r>
        <w:rPr>
          <w:rFonts w:ascii="Arial" w:hAnsi="Arial" w:cs="Arial"/>
          <w:sz w:val="24"/>
          <w:szCs w:val="24"/>
        </w:rPr>
        <w:t>Nekwaya</w:t>
      </w:r>
      <w:proofErr w:type="spellEnd"/>
    </w:p>
    <w:p w14:paraId="623BA5F7" w14:textId="77777777" w:rsidR="00224218" w:rsidRDefault="00751DCE" w:rsidP="00751DCE">
      <w:pPr>
        <w:spacing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AC48EE">
        <w:rPr>
          <w:rFonts w:ascii="Arial" w:hAnsi="Arial" w:cs="Arial"/>
          <w:sz w:val="24"/>
          <w:szCs w:val="24"/>
        </w:rPr>
        <w:t xml:space="preserve">Instructed by </w:t>
      </w:r>
      <w:proofErr w:type="spellStart"/>
      <w:r w:rsidR="00AC48EE">
        <w:rPr>
          <w:rFonts w:ascii="Arial" w:hAnsi="Arial" w:cs="Arial"/>
          <w:sz w:val="24"/>
          <w:szCs w:val="24"/>
        </w:rPr>
        <w:t>LorentzAngula</w:t>
      </w:r>
      <w:proofErr w:type="spellEnd"/>
      <w:r w:rsidR="00AC48EE">
        <w:rPr>
          <w:rFonts w:ascii="Arial" w:hAnsi="Arial" w:cs="Arial"/>
          <w:sz w:val="24"/>
          <w:szCs w:val="24"/>
        </w:rPr>
        <w:t>,</w:t>
      </w:r>
    </w:p>
    <w:p w14:paraId="255AE4FA" w14:textId="77777777" w:rsidR="00751DCE" w:rsidRDefault="00751DCE" w:rsidP="00224218">
      <w:pPr>
        <w:spacing w:line="240" w:lineRule="auto"/>
        <w:ind w:left="3600" w:firstLine="720"/>
        <w:rPr>
          <w:rFonts w:ascii="Arial" w:hAnsi="Arial" w:cs="Arial"/>
          <w:sz w:val="24"/>
          <w:szCs w:val="24"/>
        </w:rPr>
      </w:pPr>
      <w:r>
        <w:rPr>
          <w:rFonts w:ascii="Arial" w:hAnsi="Arial" w:cs="Arial"/>
          <w:sz w:val="24"/>
          <w:szCs w:val="24"/>
        </w:rPr>
        <w:t>Windhoek</w:t>
      </w:r>
    </w:p>
    <w:p w14:paraId="2B0F020B" w14:textId="77777777" w:rsidR="00751DCE" w:rsidRDefault="00751DCE" w:rsidP="00751DCE">
      <w:pPr>
        <w:spacing w:line="240" w:lineRule="auto"/>
        <w:rPr>
          <w:rFonts w:ascii="Arial" w:hAnsi="Arial" w:cs="Arial"/>
          <w:sz w:val="24"/>
          <w:szCs w:val="24"/>
        </w:rPr>
      </w:pPr>
    </w:p>
    <w:p w14:paraId="79CE34D0" w14:textId="77777777" w:rsidR="00751DCE" w:rsidRDefault="00751DCE" w:rsidP="00751DCE">
      <w:pPr>
        <w:spacing w:line="240" w:lineRule="auto"/>
        <w:rPr>
          <w:rFonts w:ascii="Arial" w:hAnsi="Arial" w:cs="Arial"/>
          <w:sz w:val="24"/>
          <w:szCs w:val="24"/>
        </w:rPr>
      </w:pPr>
    </w:p>
    <w:p w14:paraId="76CD0113" w14:textId="77777777" w:rsidR="00751DCE" w:rsidRDefault="00751DCE" w:rsidP="00751DCE">
      <w:pPr>
        <w:spacing w:line="240" w:lineRule="auto"/>
        <w:rPr>
          <w:rFonts w:ascii="Arial" w:hAnsi="Arial" w:cs="Arial"/>
          <w:sz w:val="24"/>
          <w:szCs w:val="24"/>
        </w:rPr>
      </w:pPr>
      <w:r>
        <w:rPr>
          <w:rFonts w:ascii="Arial" w:hAnsi="Arial" w:cs="Arial"/>
          <w:sz w:val="24"/>
          <w:szCs w:val="24"/>
        </w:rPr>
        <w:t>RESPONDENTS: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AC48EE">
        <w:rPr>
          <w:rFonts w:ascii="Arial" w:hAnsi="Arial" w:cs="Arial"/>
          <w:sz w:val="24"/>
          <w:szCs w:val="24"/>
        </w:rPr>
        <w:t>J</w:t>
      </w:r>
      <w:r>
        <w:rPr>
          <w:rFonts w:ascii="Arial" w:hAnsi="Arial" w:cs="Arial"/>
          <w:sz w:val="24"/>
          <w:szCs w:val="24"/>
        </w:rPr>
        <w:t xml:space="preserve"> Diedericks</w:t>
      </w:r>
    </w:p>
    <w:p w14:paraId="31AF3D4D" w14:textId="77777777" w:rsidR="00751DCE" w:rsidRDefault="00751DCE" w:rsidP="00AC48EE">
      <w:pPr>
        <w:spacing w:line="240" w:lineRule="auto"/>
        <w:ind w:left="4678" w:hanging="425"/>
        <w:rPr>
          <w:rFonts w:ascii="Arial" w:hAnsi="Arial" w:cs="Arial"/>
          <w:sz w:val="24"/>
          <w:szCs w:val="24"/>
        </w:rPr>
      </w:pPr>
      <w:r>
        <w:rPr>
          <w:rFonts w:ascii="Arial" w:hAnsi="Arial" w:cs="Arial"/>
          <w:sz w:val="24"/>
          <w:szCs w:val="24"/>
        </w:rPr>
        <w:t>Instructed by Afrika Jantjies &amp;</w:t>
      </w:r>
      <w:r w:rsidR="00AC48EE">
        <w:rPr>
          <w:rFonts w:ascii="Arial" w:hAnsi="Arial" w:cs="Arial"/>
          <w:sz w:val="24"/>
          <w:szCs w:val="24"/>
        </w:rPr>
        <w:t xml:space="preserve"> </w:t>
      </w:r>
      <w:r w:rsidRPr="00751DCE">
        <w:rPr>
          <w:rFonts w:ascii="Arial" w:hAnsi="Arial" w:cs="Arial"/>
          <w:sz w:val="24"/>
          <w:szCs w:val="24"/>
        </w:rPr>
        <w:t>Associates,</w:t>
      </w:r>
    </w:p>
    <w:p w14:paraId="2ACF6F24" w14:textId="77777777" w:rsidR="00751DCE" w:rsidRDefault="00751DCE" w:rsidP="00AC48EE">
      <w:pPr>
        <w:spacing w:line="240" w:lineRule="auto"/>
        <w:rPr>
          <w:rFonts w:ascii="Arial" w:hAnsi="Arial" w:cs="Arial"/>
          <w:sz w:val="24"/>
          <w:szCs w:val="24"/>
        </w:rPr>
      </w:pPr>
      <w:r>
        <w:rPr>
          <w:rFonts w:ascii="Arial" w:hAnsi="Arial" w:cs="Arial"/>
          <w:sz w:val="24"/>
          <w:szCs w:val="24"/>
        </w:rPr>
        <w:tab/>
      </w:r>
      <w:r w:rsidR="00224218">
        <w:rPr>
          <w:rFonts w:ascii="Arial" w:hAnsi="Arial" w:cs="Arial"/>
          <w:sz w:val="24"/>
          <w:szCs w:val="24"/>
        </w:rPr>
        <w:tab/>
      </w:r>
      <w:r w:rsidR="00224218">
        <w:rPr>
          <w:rFonts w:ascii="Arial" w:hAnsi="Arial" w:cs="Arial"/>
          <w:sz w:val="24"/>
          <w:szCs w:val="24"/>
        </w:rPr>
        <w:tab/>
      </w:r>
      <w:r w:rsidR="00224218">
        <w:rPr>
          <w:rFonts w:ascii="Arial" w:hAnsi="Arial" w:cs="Arial"/>
          <w:sz w:val="24"/>
          <w:szCs w:val="24"/>
        </w:rPr>
        <w:tab/>
      </w:r>
      <w:r w:rsidR="00224218">
        <w:rPr>
          <w:rFonts w:ascii="Arial" w:hAnsi="Arial" w:cs="Arial"/>
          <w:sz w:val="24"/>
          <w:szCs w:val="24"/>
        </w:rPr>
        <w:tab/>
        <w:t xml:space="preserve">   </w:t>
      </w:r>
      <w:r w:rsidR="00224218">
        <w:rPr>
          <w:rFonts w:ascii="Arial" w:hAnsi="Arial" w:cs="Arial"/>
          <w:sz w:val="24"/>
          <w:szCs w:val="24"/>
        </w:rPr>
        <w:tab/>
      </w:r>
      <w:r>
        <w:rPr>
          <w:rFonts w:ascii="Arial" w:hAnsi="Arial" w:cs="Arial"/>
          <w:sz w:val="24"/>
          <w:szCs w:val="24"/>
        </w:rPr>
        <w:t xml:space="preserve">Windhoek </w:t>
      </w:r>
    </w:p>
    <w:sectPr w:rsidR="00751DCE" w:rsidSect="00503A66">
      <w:headerReference w:type="default" r:id="rId12"/>
      <w:pgSz w:w="11906" w:h="16838"/>
      <w:pgMar w:top="844" w:right="1700" w:bottom="1135"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8D280B" w14:textId="77777777" w:rsidR="006A340E" w:rsidRDefault="006A340E" w:rsidP="0044612C">
      <w:pPr>
        <w:spacing w:after="0" w:line="240" w:lineRule="auto"/>
      </w:pPr>
      <w:r>
        <w:separator/>
      </w:r>
    </w:p>
  </w:endnote>
  <w:endnote w:type="continuationSeparator" w:id="0">
    <w:p w14:paraId="6459A665" w14:textId="77777777" w:rsidR="006A340E" w:rsidRDefault="006A340E" w:rsidP="004461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AB8B83" w14:textId="77777777" w:rsidR="006A340E" w:rsidRDefault="006A340E" w:rsidP="0044612C">
      <w:pPr>
        <w:spacing w:after="0" w:line="240" w:lineRule="auto"/>
      </w:pPr>
      <w:r>
        <w:separator/>
      </w:r>
    </w:p>
  </w:footnote>
  <w:footnote w:type="continuationSeparator" w:id="0">
    <w:p w14:paraId="0C0DE48D" w14:textId="77777777" w:rsidR="006A340E" w:rsidRDefault="006A340E" w:rsidP="0044612C">
      <w:pPr>
        <w:spacing w:after="0" w:line="240" w:lineRule="auto"/>
      </w:pPr>
      <w:r>
        <w:continuationSeparator/>
      </w:r>
    </w:p>
  </w:footnote>
  <w:footnote w:id="1">
    <w:p w14:paraId="58560DC1" w14:textId="77777777" w:rsidR="003F2725" w:rsidRPr="002C2CC0" w:rsidRDefault="003F2725" w:rsidP="002C2CC0">
      <w:pPr>
        <w:pStyle w:val="FootnoteText"/>
        <w:tabs>
          <w:tab w:val="left" w:pos="284"/>
        </w:tabs>
        <w:ind w:left="284" w:hanging="284"/>
        <w:jc w:val="both"/>
        <w:rPr>
          <w:rFonts w:ascii="Arial" w:hAnsi="Arial" w:cs="Arial"/>
        </w:rPr>
      </w:pPr>
      <w:r w:rsidRPr="002C2CC0">
        <w:rPr>
          <w:rStyle w:val="FootnoteReference"/>
          <w:rFonts w:ascii="Arial" w:hAnsi="Arial" w:cs="Arial"/>
        </w:rPr>
        <w:footnoteRef/>
      </w:r>
      <w:r w:rsidRPr="002C2CC0">
        <w:rPr>
          <w:rFonts w:ascii="Arial" w:hAnsi="Arial" w:cs="Arial"/>
        </w:rPr>
        <w:t xml:space="preserve"> </w:t>
      </w:r>
      <w:r w:rsidRPr="002C2CC0">
        <w:rPr>
          <w:rFonts w:ascii="Arial" w:hAnsi="Arial" w:cs="Arial"/>
        </w:rPr>
        <w:tab/>
        <w:t xml:space="preserve">JB Cilliers, </w:t>
      </w:r>
      <w:r w:rsidRPr="002C2CC0">
        <w:rPr>
          <w:rFonts w:ascii="Arial" w:hAnsi="Arial" w:cs="Arial"/>
          <w:i/>
        </w:rPr>
        <w:t>'Similar Company Names: A Comparative Analysis and Suggested Approach - Part 1'</w:t>
      </w:r>
      <w:r w:rsidRPr="002C2CC0">
        <w:rPr>
          <w:rFonts w:ascii="Arial" w:hAnsi="Arial" w:cs="Arial"/>
        </w:rPr>
        <w:t xml:space="preserve"> (1998) 61(4) </w:t>
      </w:r>
      <w:proofErr w:type="spellStart"/>
      <w:r w:rsidRPr="002C2CC0">
        <w:rPr>
          <w:rFonts w:ascii="Arial" w:hAnsi="Arial" w:cs="Arial"/>
        </w:rPr>
        <w:t>Tydskrif</w:t>
      </w:r>
      <w:proofErr w:type="spellEnd"/>
      <w:r w:rsidRPr="002C2CC0">
        <w:rPr>
          <w:rFonts w:ascii="Arial" w:hAnsi="Arial" w:cs="Arial"/>
        </w:rPr>
        <w:t xml:space="preserve"> </w:t>
      </w:r>
      <w:proofErr w:type="spellStart"/>
      <w:r w:rsidRPr="002C2CC0">
        <w:rPr>
          <w:rFonts w:ascii="Arial" w:hAnsi="Arial" w:cs="Arial"/>
        </w:rPr>
        <w:t>vir</w:t>
      </w:r>
      <w:proofErr w:type="spellEnd"/>
      <w:r w:rsidRPr="002C2CC0">
        <w:rPr>
          <w:rFonts w:ascii="Arial" w:hAnsi="Arial" w:cs="Arial"/>
        </w:rPr>
        <w:t xml:space="preserve"> </w:t>
      </w:r>
      <w:proofErr w:type="spellStart"/>
      <w:r w:rsidRPr="002C2CC0">
        <w:rPr>
          <w:rFonts w:ascii="Arial" w:hAnsi="Arial" w:cs="Arial"/>
        </w:rPr>
        <w:t>Hedendaagse</w:t>
      </w:r>
      <w:proofErr w:type="spellEnd"/>
      <w:r w:rsidRPr="002C2CC0">
        <w:rPr>
          <w:rFonts w:ascii="Arial" w:hAnsi="Arial" w:cs="Arial"/>
        </w:rPr>
        <w:t xml:space="preserve"> </w:t>
      </w:r>
      <w:proofErr w:type="spellStart"/>
      <w:r w:rsidRPr="002C2CC0">
        <w:rPr>
          <w:rFonts w:ascii="Arial" w:hAnsi="Arial" w:cs="Arial"/>
        </w:rPr>
        <w:t>Romeins-Hollandse</w:t>
      </w:r>
      <w:proofErr w:type="spellEnd"/>
      <w:r w:rsidRPr="002C2CC0">
        <w:rPr>
          <w:rFonts w:ascii="Arial" w:hAnsi="Arial" w:cs="Arial"/>
        </w:rPr>
        <w:t xml:space="preserve"> Reg </w:t>
      </w:r>
      <w:r>
        <w:rPr>
          <w:rFonts w:ascii="Arial" w:hAnsi="Arial" w:cs="Arial"/>
        </w:rPr>
        <w:t>(THRHR) (</w:t>
      </w:r>
      <w:r w:rsidRPr="002C2CC0">
        <w:rPr>
          <w:rFonts w:ascii="Arial" w:hAnsi="Arial" w:cs="Arial"/>
        </w:rPr>
        <w:t>Journal for Contemporary Roman-Dutch Law) 582</w:t>
      </w:r>
      <w:r>
        <w:rPr>
          <w:rFonts w:ascii="Arial" w:hAnsi="Arial" w:cs="Arial"/>
        </w:rPr>
        <w:t>.</w:t>
      </w:r>
    </w:p>
  </w:footnote>
  <w:footnote w:id="2">
    <w:p w14:paraId="785A9115" w14:textId="77777777" w:rsidR="003F2725" w:rsidRDefault="003F2725" w:rsidP="00D72F7B">
      <w:pPr>
        <w:pStyle w:val="FootnoteText"/>
        <w:tabs>
          <w:tab w:val="left" w:pos="284"/>
        </w:tabs>
        <w:ind w:left="284" w:hanging="284"/>
      </w:pPr>
      <w:r w:rsidRPr="000240B1">
        <w:rPr>
          <w:rStyle w:val="FootnoteReference"/>
          <w:rFonts w:ascii="Arial" w:hAnsi="Arial" w:cs="Arial"/>
        </w:rPr>
        <w:footnoteRef/>
      </w:r>
      <w:r w:rsidRPr="000240B1">
        <w:rPr>
          <w:rFonts w:ascii="Arial" w:hAnsi="Arial" w:cs="Arial"/>
        </w:rPr>
        <w:t xml:space="preserve"> </w:t>
      </w:r>
      <w:r w:rsidRPr="000240B1">
        <w:rPr>
          <w:rFonts w:ascii="Arial" w:hAnsi="Arial" w:cs="Arial"/>
        </w:rPr>
        <w:tab/>
        <w:t xml:space="preserve">See the matter of </w:t>
      </w:r>
      <w:r w:rsidRPr="000240B1">
        <w:rPr>
          <w:rFonts w:ascii="Arial" w:hAnsi="Arial" w:cs="Arial"/>
          <w:i/>
        </w:rPr>
        <w:t xml:space="preserve">Enke v The Registrar: Industrial Property </w:t>
      </w:r>
      <w:r w:rsidRPr="000240B1">
        <w:rPr>
          <w:rFonts w:ascii="Arial" w:hAnsi="Arial" w:cs="Arial"/>
        </w:rPr>
        <w:t>(IPT 1/2022) [2023] NAHCMD 190 (14 April 2023)</w:t>
      </w:r>
      <w:r>
        <w:rPr>
          <w:rFonts w:ascii="Arial" w:hAnsi="Arial" w:cs="Arial"/>
        </w:rPr>
        <w:t>.</w:t>
      </w:r>
    </w:p>
  </w:footnote>
  <w:footnote w:id="3">
    <w:p w14:paraId="457CC904" w14:textId="77777777" w:rsidR="003F2725" w:rsidRPr="00976E04" w:rsidRDefault="003F2725" w:rsidP="00976E04">
      <w:pPr>
        <w:pStyle w:val="FootnoteText"/>
        <w:tabs>
          <w:tab w:val="left" w:pos="284"/>
        </w:tabs>
        <w:jc w:val="both"/>
        <w:rPr>
          <w:rFonts w:ascii="Arial" w:hAnsi="Arial" w:cs="Arial"/>
          <w:lang w:val="af-ZA"/>
        </w:rPr>
      </w:pPr>
      <w:r w:rsidRPr="00976E04">
        <w:rPr>
          <w:rStyle w:val="FootnoteReference"/>
          <w:rFonts w:ascii="Arial" w:hAnsi="Arial" w:cs="Arial"/>
        </w:rPr>
        <w:footnoteRef/>
      </w:r>
      <w:r w:rsidRPr="00976E04">
        <w:rPr>
          <w:rFonts w:ascii="Arial" w:hAnsi="Arial" w:cs="Arial"/>
        </w:rPr>
        <w:t xml:space="preserve"> </w:t>
      </w:r>
      <w:r w:rsidRPr="00976E04">
        <w:rPr>
          <w:rFonts w:ascii="Arial" w:hAnsi="Arial" w:cs="Arial"/>
        </w:rPr>
        <w:tab/>
      </w:r>
      <w:proofErr w:type="spellStart"/>
      <w:r w:rsidRPr="00976E04">
        <w:rPr>
          <w:rFonts w:ascii="Arial" w:hAnsi="Arial" w:cs="Arial"/>
          <w:i/>
          <w:iCs/>
        </w:rPr>
        <w:t>Oudekraal</w:t>
      </w:r>
      <w:proofErr w:type="spellEnd"/>
      <w:r w:rsidRPr="00976E04">
        <w:rPr>
          <w:rFonts w:ascii="Arial" w:hAnsi="Arial" w:cs="Arial"/>
          <w:i/>
          <w:iCs/>
        </w:rPr>
        <w:t xml:space="preserve"> Estates (Pty) Ltd v City of Cape Town &amp; others</w:t>
      </w:r>
      <w:r w:rsidRPr="00976E04">
        <w:rPr>
          <w:rFonts w:ascii="Arial" w:hAnsi="Arial" w:cs="Arial"/>
        </w:rPr>
        <w:t xml:space="preserve"> 2004 (6) SA 222 (SCA).</w:t>
      </w:r>
    </w:p>
  </w:footnote>
  <w:footnote w:id="4">
    <w:p w14:paraId="5F3877FE" w14:textId="77777777" w:rsidR="003F2725" w:rsidRDefault="003F2725" w:rsidP="00976E04">
      <w:pPr>
        <w:pStyle w:val="FootnoteText"/>
        <w:tabs>
          <w:tab w:val="left" w:pos="284"/>
        </w:tabs>
      </w:pPr>
      <w:r w:rsidRPr="00976E04">
        <w:rPr>
          <w:rStyle w:val="FootnoteReference"/>
          <w:rFonts w:ascii="Arial" w:hAnsi="Arial" w:cs="Arial"/>
        </w:rPr>
        <w:footnoteRef/>
      </w:r>
      <w:r w:rsidRPr="00976E04">
        <w:rPr>
          <w:rFonts w:ascii="Arial" w:hAnsi="Arial" w:cs="Arial"/>
        </w:rPr>
        <w:t xml:space="preserve"> </w:t>
      </w:r>
      <w:r w:rsidRPr="00976E04">
        <w:rPr>
          <w:rFonts w:ascii="Arial" w:hAnsi="Arial" w:cs="Arial"/>
        </w:rPr>
        <w:tab/>
      </w:r>
      <w:r w:rsidRPr="00976E04">
        <w:rPr>
          <w:rFonts w:ascii="Arial" w:hAnsi="Arial" w:cs="Arial"/>
          <w:i/>
        </w:rPr>
        <w:t>Minister of Finance v Merlus Seafood Processors (Pty) Ltd</w:t>
      </w:r>
      <w:r w:rsidRPr="00976E04">
        <w:rPr>
          <w:rFonts w:ascii="Arial" w:hAnsi="Arial" w:cs="Arial"/>
        </w:rPr>
        <w:t xml:space="preserve"> 2016 (4) NR 1042 (SC)</w:t>
      </w:r>
    </w:p>
  </w:footnote>
  <w:footnote w:id="5">
    <w:p w14:paraId="14602770" w14:textId="77777777" w:rsidR="003F2725" w:rsidRPr="00171F03" w:rsidRDefault="003F2725" w:rsidP="00D861E5">
      <w:pPr>
        <w:tabs>
          <w:tab w:val="left" w:pos="284"/>
        </w:tabs>
        <w:spacing w:after="0" w:line="240" w:lineRule="auto"/>
        <w:ind w:left="284" w:hanging="284"/>
        <w:jc w:val="both"/>
        <w:rPr>
          <w:rFonts w:ascii="Arial" w:hAnsi="Arial" w:cs="Arial"/>
          <w:sz w:val="20"/>
          <w:szCs w:val="20"/>
        </w:rPr>
      </w:pPr>
      <w:r w:rsidRPr="00E54344">
        <w:rPr>
          <w:rStyle w:val="FootnoteReference"/>
          <w:rFonts w:ascii="Arial" w:hAnsi="Arial" w:cs="Arial"/>
          <w:sz w:val="20"/>
          <w:szCs w:val="20"/>
        </w:rPr>
        <w:footnoteRef/>
      </w:r>
      <w:r w:rsidRPr="00E54344">
        <w:rPr>
          <w:rFonts w:ascii="Arial" w:hAnsi="Arial" w:cs="Arial"/>
          <w:sz w:val="20"/>
          <w:szCs w:val="20"/>
        </w:rPr>
        <w:t xml:space="preserve"> </w:t>
      </w:r>
      <w:r>
        <w:rPr>
          <w:rFonts w:ascii="Arial" w:hAnsi="Arial" w:cs="Arial"/>
          <w:sz w:val="20"/>
          <w:szCs w:val="20"/>
        </w:rPr>
        <w:tab/>
      </w:r>
      <w:r w:rsidRPr="00E54344">
        <w:rPr>
          <w:rFonts w:ascii="Arial" w:hAnsi="Arial" w:cs="Arial"/>
          <w:sz w:val="20"/>
          <w:szCs w:val="20"/>
          <w:lang w:val="af-ZA"/>
        </w:rPr>
        <w:t xml:space="preserve">Oudekraal Principle supra as refered to and applied  in </w:t>
      </w:r>
      <w:r w:rsidRPr="00E54344">
        <w:rPr>
          <w:rFonts w:ascii="Arial" w:hAnsi="Arial" w:cs="Arial"/>
          <w:i/>
          <w:sz w:val="20"/>
          <w:szCs w:val="20"/>
        </w:rPr>
        <w:t xml:space="preserve">Fernandes v </w:t>
      </w:r>
      <w:proofErr w:type="spellStart"/>
      <w:r w:rsidRPr="00E54344">
        <w:rPr>
          <w:rFonts w:ascii="Arial" w:hAnsi="Arial" w:cs="Arial"/>
          <w:i/>
          <w:sz w:val="20"/>
          <w:szCs w:val="20"/>
        </w:rPr>
        <w:t>Baleia</w:t>
      </w:r>
      <w:proofErr w:type="spellEnd"/>
      <w:r w:rsidRPr="00E54344">
        <w:rPr>
          <w:rFonts w:ascii="Arial" w:hAnsi="Arial" w:cs="Arial"/>
          <w:i/>
          <w:sz w:val="20"/>
          <w:szCs w:val="20"/>
        </w:rPr>
        <w:t xml:space="preserve"> Do Mar Industrial Safety Supplies CC </w:t>
      </w:r>
      <w:r w:rsidRPr="00E54344">
        <w:rPr>
          <w:rFonts w:ascii="Arial" w:hAnsi="Arial" w:cs="Arial"/>
          <w:sz w:val="20"/>
          <w:szCs w:val="20"/>
        </w:rPr>
        <w:t>(</w:t>
      </w:r>
      <w:r w:rsidRPr="00E54344">
        <w:rPr>
          <w:rFonts w:ascii="Arial" w:hAnsi="Arial" w:cs="Arial"/>
          <w:sz w:val="20"/>
          <w:szCs w:val="20"/>
          <w:shd w:val="clear" w:color="auto" w:fill="FFFFFF"/>
        </w:rPr>
        <w:t>HC-MD-CIV-MOT-GEN-2017/00204</w:t>
      </w:r>
      <w:r w:rsidRPr="00E54344">
        <w:rPr>
          <w:rFonts w:ascii="Arial" w:hAnsi="Arial" w:cs="Arial"/>
          <w:sz w:val="20"/>
          <w:szCs w:val="20"/>
        </w:rPr>
        <w:t>) [2018] NAHCMD 337 (17 October 2018) at [44]</w:t>
      </w:r>
      <w:r>
        <w:rPr>
          <w:rFonts w:ascii="Arial" w:hAnsi="Arial" w:cs="Arial"/>
          <w:sz w:val="20"/>
          <w:szCs w:val="20"/>
        </w:rPr>
        <w:t>.</w:t>
      </w:r>
    </w:p>
  </w:footnote>
  <w:footnote w:id="6">
    <w:p w14:paraId="47D5B733" w14:textId="77777777" w:rsidR="006D5672" w:rsidRPr="003264CF" w:rsidRDefault="006D5672" w:rsidP="006D5672">
      <w:pPr>
        <w:pStyle w:val="FootnoteText"/>
        <w:tabs>
          <w:tab w:val="left" w:pos="284"/>
        </w:tabs>
        <w:ind w:left="284" w:hanging="284"/>
        <w:jc w:val="both"/>
        <w:rPr>
          <w:rFonts w:ascii="Arial" w:hAnsi="Arial" w:cs="Arial"/>
        </w:rPr>
      </w:pPr>
      <w:r w:rsidRPr="003264CF">
        <w:rPr>
          <w:rStyle w:val="FootnoteReference"/>
          <w:rFonts w:ascii="Arial" w:hAnsi="Arial" w:cs="Arial"/>
        </w:rPr>
        <w:footnoteRef/>
      </w:r>
      <w:r w:rsidR="00224218">
        <w:rPr>
          <w:rFonts w:ascii="Arial" w:hAnsi="Arial" w:cs="Arial"/>
        </w:rPr>
        <w:t xml:space="preserve"> </w:t>
      </w:r>
      <w:proofErr w:type="spellStart"/>
      <w:r w:rsidRPr="003264CF">
        <w:rPr>
          <w:rFonts w:ascii="Arial" w:hAnsi="Arial" w:cs="Arial"/>
          <w:i/>
        </w:rPr>
        <w:t>Gonschorek</w:t>
      </w:r>
      <w:proofErr w:type="spellEnd"/>
      <w:r w:rsidRPr="003264CF">
        <w:rPr>
          <w:rFonts w:ascii="Arial" w:hAnsi="Arial" w:cs="Arial"/>
          <w:i/>
        </w:rPr>
        <w:t xml:space="preserve"> and Others v Asmus and Another</w:t>
      </w:r>
      <w:r w:rsidRPr="003264CF">
        <w:rPr>
          <w:rFonts w:ascii="Arial" w:hAnsi="Arial" w:cs="Arial"/>
        </w:rPr>
        <w:t xml:space="preserve"> 2008 (1) NR 262 (SC)</w:t>
      </w:r>
      <w:r w:rsidR="00224218">
        <w:rPr>
          <w:rFonts w:ascii="Arial" w:hAnsi="Arial" w:cs="Arial"/>
        </w:rPr>
        <w:t>.</w:t>
      </w:r>
    </w:p>
  </w:footnote>
  <w:footnote w:id="7">
    <w:p w14:paraId="6CE1EC40" w14:textId="77777777" w:rsidR="006D5672" w:rsidRPr="003264CF" w:rsidRDefault="006D5672" w:rsidP="006D5672">
      <w:pPr>
        <w:pStyle w:val="FootnoteText"/>
        <w:tabs>
          <w:tab w:val="left" w:pos="284"/>
        </w:tabs>
        <w:ind w:left="284" w:hanging="284"/>
        <w:jc w:val="both"/>
        <w:rPr>
          <w:rFonts w:ascii="Arial" w:hAnsi="Arial" w:cs="Arial"/>
        </w:rPr>
      </w:pPr>
      <w:r w:rsidRPr="003264CF">
        <w:rPr>
          <w:rStyle w:val="FootnoteReference"/>
          <w:rFonts w:ascii="Arial" w:hAnsi="Arial" w:cs="Arial"/>
        </w:rPr>
        <w:footnoteRef/>
      </w:r>
      <w:r w:rsidR="00224218">
        <w:rPr>
          <w:rFonts w:ascii="Arial" w:hAnsi="Arial" w:cs="Arial"/>
        </w:rPr>
        <w:t xml:space="preserve"> </w:t>
      </w:r>
      <w:r w:rsidRPr="003264CF">
        <w:rPr>
          <w:rFonts w:ascii="Arial" w:hAnsi="Arial" w:cs="Arial"/>
          <w:i/>
        </w:rPr>
        <w:t xml:space="preserve">Peregrine Group (Pty) Ltd and Others v Peregrine Holdings Ltd and Others </w:t>
      </w:r>
      <w:r w:rsidR="00224218">
        <w:rPr>
          <w:rFonts w:ascii="Arial" w:hAnsi="Arial" w:cs="Arial"/>
        </w:rPr>
        <w:t xml:space="preserve">2001 (3) SA 1268(SCA) </w:t>
      </w:r>
      <w:r w:rsidRPr="003264CF">
        <w:rPr>
          <w:rFonts w:ascii="Arial" w:hAnsi="Arial" w:cs="Arial"/>
        </w:rPr>
        <w:t>at 1274.</w:t>
      </w:r>
    </w:p>
  </w:footnote>
  <w:footnote w:id="8">
    <w:p w14:paraId="32315374" w14:textId="77777777" w:rsidR="003264CF" w:rsidRDefault="003264CF" w:rsidP="003264CF">
      <w:pPr>
        <w:pStyle w:val="FootnoteText"/>
        <w:tabs>
          <w:tab w:val="left" w:pos="284"/>
        </w:tabs>
      </w:pPr>
      <w:r w:rsidRPr="003264CF">
        <w:rPr>
          <w:rStyle w:val="FootnoteReference"/>
          <w:rFonts w:ascii="Arial" w:hAnsi="Arial" w:cs="Arial"/>
        </w:rPr>
        <w:footnoteRef/>
      </w:r>
      <w:r w:rsidR="00224218">
        <w:rPr>
          <w:rFonts w:ascii="Arial" w:hAnsi="Arial" w:cs="Arial"/>
        </w:rPr>
        <w:t xml:space="preserve"> </w:t>
      </w:r>
      <w:r w:rsidRPr="003264CF">
        <w:rPr>
          <w:rFonts w:ascii="Arial" w:hAnsi="Arial" w:cs="Arial"/>
        </w:rPr>
        <w:t xml:space="preserve">JB Cilliers </w:t>
      </w:r>
      <w:r w:rsidRPr="003264CF">
        <w:rPr>
          <w:rFonts w:ascii="Arial" w:hAnsi="Arial" w:cs="Arial"/>
          <w:i/>
        </w:rPr>
        <w:t>supra</w:t>
      </w:r>
      <w:r w:rsidRPr="003264CF">
        <w:rPr>
          <w:rFonts w:ascii="Arial" w:hAnsi="Arial" w:cs="Arial"/>
        </w:rPr>
        <w:t xml:space="preserve"> footnote No. 1.</w:t>
      </w:r>
    </w:p>
  </w:footnote>
  <w:footnote w:id="9">
    <w:p w14:paraId="295B5AE4" w14:textId="77777777" w:rsidR="0063465D" w:rsidRPr="0063465D" w:rsidRDefault="0063465D" w:rsidP="0063465D">
      <w:pPr>
        <w:pStyle w:val="FootnoteText"/>
        <w:tabs>
          <w:tab w:val="left" w:pos="284"/>
        </w:tabs>
        <w:rPr>
          <w:rFonts w:ascii="Arial" w:hAnsi="Arial" w:cs="Arial"/>
        </w:rPr>
      </w:pPr>
      <w:r w:rsidRPr="0063465D">
        <w:rPr>
          <w:rStyle w:val="FootnoteReference"/>
          <w:rFonts w:ascii="Arial" w:hAnsi="Arial" w:cs="Arial"/>
        </w:rPr>
        <w:footnoteRef/>
      </w:r>
      <w:r w:rsidR="00224218">
        <w:rPr>
          <w:rFonts w:ascii="Arial" w:hAnsi="Arial" w:cs="Arial"/>
        </w:rPr>
        <w:t xml:space="preserve"> </w:t>
      </w:r>
      <w:r w:rsidRPr="0063465D">
        <w:rPr>
          <w:rFonts w:ascii="Arial" w:hAnsi="Arial" w:cs="Arial"/>
          <w:i/>
        </w:rPr>
        <w:t>Hollywood Curl (Pty) Ltd v Twins Products (Pty) Ltd</w:t>
      </w:r>
      <w:r w:rsidRPr="0063465D">
        <w:rPr>
          <w:rFonts w:ascii="Arial" w:hAnsi="Arial" w:cs="Arial"/>
        </w:rPr>
        <w:t xml:space="preserve"> (2) 1989 (1) SA 255 (A) at 266.</w:t>
      </w:r>
    </w:p>
  </w:footnote>
  <w:footnote w:id="10">
    <w:p w14:paraId="30BA96D3" w14:textId="77777777" w:rsidR="00C54DA5" w:rsidRPr="00503A66" w:rsidRDefault="00C54DA5" w:rsidP="00C54DA5">
      <w:pPr>
        <w:pStyle w:val="FootnoteText"/>
        <w:tabs>
          <w:tab w:val="left" w:pos="284"/>
        </w:tabs>
        <w:rPr>
          <w:rFonts w:ascii="Arial" w:hAnsi="Arial" w:cs="Arial"/>
        </w:rPr>
      </w:pPr>
      <w:r w:rsidRPr="00503A66">
        <w:rPr>
          <w:rStyle w:val="FootnoteReference"/>
          <w:rFonts w:ascii="Arial" w:hAnsi="Arial" w:cs="Arial"/>
        </w:rPr>
        <w:footnoteRef/>
      </w:r>
      <w:r w:rsidRPr="00503A66">
        <w:rPr>
          <w:rFonts w:ascii="Arial" w:hAnsi="Arial" w:cs="Arial"/>
        </w:rPr>
        <w:t xml:space="preserve"> </w:t>
      </w:r>
      <w:r w:rsidR="00503A66" w:rsidRPr="00503A66">
        <w:rPr>
          <w:rFonts w:ascii="Arial" w:hAnsi="Arial" w:cs="Arial"/>
          <w:i/>
        </w:rPr>
        <w:t>Supra</w:t>
      </w:r>
      <w:r w:rsidR="00503A66" w:rsidRPr="00503A66">
        <w:rPr>
          <w:rFonts w:ascii="Arial" w:hAnsi="Arial" w:cs="Arial"/>
        </w:rPr>
        <w:t xml:space="preserve"> footnote 8.</w:t>
      </w:r>
    </w:p>
  </w:footnote>
  <w:footnote w:id="11">
    <w:p w14:paraId="0138E6C3" w14:textId="77777777" w:rsidR="00C54DA5" w:rsidRDefault="00C54DA5" w:rsidP="00503A66">
      <w:pPr>
        <w:pStyle w:val="FootnoteText"/>
        <w:tabs>
          <w:tab w:val="left" w:pos="284"/>
        </w:tabs>
        <w:ind w:left="284" w:hanging="284"/>
      </w:pPr>
      <w:r w:rsidRPr="00503A66">
        <w:rPr>
          <w:rStyle w:val="FootnoteReference"/>
          <w:rFonts w:ascii="Arial" w:hAnsi="Arial" w:cs="Arial"/>
        </w:rPr>
        <w:footnoteRef/>
      </w:r>
      <w:r w:rsidRPr="00503A66">
        <w:rPr>
          <w:rFonts w:ascii="Arial" w:hAnsi="Arial" w:cs="Arial"/>
        </w:rPr>
        <w:t xml:space="preserve"> </w:t>
      </w:r>
      <w:r w:rsidR="00503A66" w:rsidRPr="00503A66">
        <w:rPr>
          <w:rFonts w:ascii="Arial" w:hAnsi="Arial" w:cs="Arial"/>
          <w:i/>
        </w:rPr>
        <w:t>Bress Designs (Pty) Ltd v G Y Lounge Suite Manufacturers (Pty) Ltd and Another</w:t>
      </w:r>
      <w:r w:rsidR="00503A66" w:rsidRPr="00503A66">
        <w:rPr>
          <w:rFonts w:ascii="Arial" w:hAnsi="Arial" w:cs="Arial"/>
        </w:rPr>
        <w:t xml:space="preserve"> 1991 (2) SA 455 (W).</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0459490"/>
      <w:docPartObj>
        <w:docPartGallery w:val="Page Numbers (Top of Page)"/>
        <w:docPartUnique/>
      </w:docPartObj>
    </w:sdtPr>
    <w:sdtEndPr>
      <w:rPr>
        <w:noProof/>
      </w:rPr>
    </w:sdtEndPr>
    <w:sdtContent>
      <w:p w14:paraId="7BA0D14C" w14:textId="77777777" w:rsidR="003F2725" w:rsidRDefault="003F2725">
        <w:pPr>
          <w:pStyle w:val="Header"/>
          <w:jc w:val="right"/>
        </w:pPr>
        <w:r>
          <w:fldChar w:fldCharType="begin"/>
        </w:r>
        <w:r>
          <w:instrText xml:space="preserve"> PAGE   \* MERGEFORMAT </w:instrText>
        </w:r>
        <w:r>
          <w:fldChar w:fldCharType="separate"/>
        </w:r>
        <w:r w:rsidR="00E219A2">
          <w:rPr>
            <w:noProof/>
          </w:rPr>
          <w:t>18</w:t>
        </w:r>
        <w:r>
          <w:rPr>
            <w:noProof/>
          </w:rPr>
          <w:fldChar w:fldCharType="end"/>
        </w:r>
      </w:p>
    </w:sdtContent>
  </w:sdt>
  <w:p w14:paraId="638A40A0" w14:textId="77777777" w:rsidR="003F2725" w:rsidRDefault="003F272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D36123"/>
    <w:multiLevelType w:val="multilevel"/>
    <w:tmpl w:val="7A86C5BC"/>
    <w:lvl w:ilvl="0">
      <w:start w:val="2"/>
      <w:numFmt w:val="decimal"/>
      <w:lvlText w:val="%1."/>
      <w:lvlJc w:val="left"/>
      <w:pPr>
        <w:tabs>
          <w:tab w:val="decimal" w:pos="288"/>
        </w:tabs>
        <w:ind w:left="720"/>
      </w:pPr>
      <w:rPr>
        <w:rFonts w:ascii="Arial" w:hAnsi="Arial"/>
        <w:strike w:val="0"/>
        <w:color w:val="000000"/>
        <w:spacing w:val="6"/>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B00722B"/>
    <w:multiLevelType w:val="hybridMultilevel"/>
    <w:tmpl w:val="B8AC2C0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5282622"/>
    <w:multiLevelType w:val="hybridMultilevel"/>
    <w:tmpl w:val="38EC403E"/>
    <w:lvl w:ilvl="0" w:tplc="4386D38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091333"/>
    <w:multiLevelType w:val="multilevel"/>
    <w:tmpl w:val="79B4939C"/>
    <w:lvl w:ilvl="0">
      <w:start w:val="28"/>
      <w:numFmt w:val="decimal"/>
      <w:lvlText w:val="%1."/>
      <w:lvlJc w:val="left"/>
      <w:pPr>
        <w:tabs>
          <w:tab w:val="decimal" w:pos="648"/>
        </w:tabs>
        <w:ind w:left="720"/>
      </w:pPr>
      <w:rPr>
        <w:rFonts w:ascii="Arial" w:hAnsi="Arial"/>
        <w:b/>
        <w:strike w:val="0"/>
        <w:color w:val="000000"/>
        <w:spacing w:val="-2"/>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32A7DC7"/>
    <w:multiLevelType w:val="multilevel"/>
    <w:tmpl w:val="6B96F7F4"/>
    <w:lvl w:ilvl="0">
      <w:start w:val="31"/>
      <w:numFmt w:val="decimal"/>
      <w:lvlText w:val="%1."/>
      <w:lvlJc w:val="left"/>
      <w:pPr>
        <w:tabs>
          <w:tab w:val="decimal" w:pos="-2"/>
        </w:tabs>
        <w:ind w:left="142"/>
      </w:pPr>
      <w:rPr>
        <w:rFonts w:ascii="Arial" w:hAnsi="Arial"/>
        <w:b w:val="0"/>
        <w:strike w:val="0"/>
        <w:color w:val="000000"/>
        <w:spacing w:val="9"/>
        <w:w w:val="100"/>
        <w:sz w:val="22"/>
        <w:szCs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D1E7452"/>
    <w:multiLevelType w:val="multilevel"/>
    <w:tmpl w:val="59AA65CC"/>
    <w:lvl w:ilvl="0">
      <w:start w:val="6"/>
      <w:numFmt w:val="decimal"/>
      <w:lvlText w:val="%1."/>
      <w:lvlJc w:val="left"/>
      <w:pPr>
        <w:tabs>
          <w:tab w:val="decimal" w:pos="288"/>
        </w:tabs>
        <w:ind w:left="720"/>
      </w:pPr>
      <w:rPr>
        <w:rFonts w:ascii="Verdana" w:hAnsi="Verdana"/>
        <w:strike w:val="0"/>
        <w:color w:val="000000"/>
        <w:spacing w:val="-3"/>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E254F01"/>
    <w:multiLevelType w:val="hybridMultilevel"/>
    <w:tmpl w:val="D1008D12"/>
    <w:lvl w:ilvl="0" w:tplc="7B4452B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403A44BF"/>
    <w:multiLevelType w:val="hybridMultilevel"/>
    <w:tmpl w:val="8CE84C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8437B1E"/>
    <w:multiLevelType w:val="multilevel"/>
    <w:tmpl w:val="26A038FC"/>
    <w:lvl w:ilvl="0">
      <w:start w:val="25"/>
      <w:numFmt w:val="decimal"/>
      <w:lvlText w:val="%1."/>
      <w:lvlJc w:val="left"/>
      <w:pPr>
        <w:tabs>
          <w:tab w:val="decimal" w:pos="792"/>
        </w:tabs>
        <w:ind w:left="720"/>
      </w:pPr>
      <w:rPr>
        <w:rFonts w:ascii="Verdana" w:hAnsi="Verdana"/>
        <w:strike w:val="0"/>
        <w:color w:val="000000"/>
        <w:spacing w:val="-5"/>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D091A1A"/>
    <w:multiLevelType w:val="multilevel"/>
    <w:tmpl w:val="1564ED6A"/>
    <w:lvl w:ilvl="0">
      <w:start w:val="22"/>
      <w:numFmt w:val="decimal"/>
      <w:lvlText w:val="%1."/>
      <w:lvlJc w:val="left"/>
      <w:pPr>
        <w:tabs>
          <w:tab w:val="decimal" w:pos="648"/>
        </w:tabs>
        <w:ind w:left="720"/>
      </w:pPr>
      <w:rPr>
        <w:rFonts w:ascii="Arial" w:hAnsi="Arial"/>
        <w:b/>
        <w:strike w:val="0"/>
        <w:color w:val="000000"/>
        <w:spacing w:val="-1"/>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1566310"/>
    <w:multiLevelType w:val="hybridMultilevel"/>
    <w:tmpl w:val="B7523D3A"/>
    <w:lvl w:ilvl="0" w:tplc="7B5C18E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C861736"/>
    <w:multiLevelType w:val="multilevel"/>
    <w:tmpl w:val="B568DC08"/>
    <w:lvl w:ilvl="0">
      <w:start w:val="33"/>
      <w:numFmt w:val="decimal"/>
      <w:lvlText w:val="%1."/>
      <w:lvlJc w:val="left"/>
      <w:pPr>
        <w:tabs>
          <w:tab w:val="decimal" w:pos="576"/>
        </w:tabs>
        <w:ind w:left="720"/>
      </w:pPr>
      <w:rPr>
        <w:rFonts w:ascii="Arial" w:hAnsi="Arial"/>
        <w:b w:val="0"/>
        <w:strike w:val="0"/>
        <w:color w:val="000000"/>
        <w:spacing w:val="3"/>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23767FB"/>
    <w:multiLevelType w:val="multilevel"/>
    <w:tmpl w:val="C35E6582"/>
    <w:lvl w:ilvl="0">
      <w:start w:val="15"/>
      <w:numFmt w:val="decimal"/>
      <w:lvlText w:val="%1."/>
      <w:lvlJc w:val="left"/>
      <w:pPr>
        <w:tabs>
          <w:tab w:val="decimal" w:pos="648"/>
        </w:tabs>
        <w:ind w:left="720"/>
      </w:pPr>
      <w:rPr>
        <w:rFonts w:ascii="Arial" w:hAnsi="Arial"/>
        <w:b/>
        <w:strike w:val="0"/>
        <w:color w:val="000000"/>
        <w:spacing w:val="-5"/>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690376550">
    <w:abstractNumId w:val="6"/>
  </w:num>
  <w:num w:numId="2" w16cid:durableId="176894647">
    <w:abstractNumId w:val="2"/>
  </w:num>
  <w:num w:numId="3" w16cid:durableId="1629626015">
    <w:abstractNumId w:val="7"/>
  </w:num>
  <w:num w:numId="4" w16cid:durableId="1875776473">
    <w:abstractNumId w:val="1"/>
  </w:num>
  <w:num w:numId="5" w16cid:durableId="1323390532">
    <w:abstractNumId w:val="12"/>
  </w:num>
  <w:num w:numId="6" w16cid:durableId="384181836">
    <w:abstractNumId w:val="9"/>
  </w:num>
  <w:num w:numId="7" w16cid:durableId="1342782407">
    <w:abstractNumId w:val="8"/>
  </w:num>
  <w:num w:numId="8" w16cid:durableId="1301420926">
    <w:abstractNumId w:val="0"/>
  </w:num>
  <w:num w:numId="9" w16cid:durableId="154883896">
    <w:abstractNumId w:val="5"/>
  </w:num>
  <w:num w:numId="10" w16cid:durableId="1398481538">
    <w:abstractNumId w:val="10"/>
  </w:num>
  <w:num w:numId="11" w16cid:durableId="1611547351">
    <w:abstractNumId w:val="4"/>
  </w:num>
  <w:num w:numId="12" w16cid:durableId="1601067190">
    <w:abstractNumId w:val="11"/>
  </w:num>
  <w:num w:numId="13" w16cid:durableId="12305796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3209"/>
    <w:rsid w:val="000240B1"/>
    <w:rsid w:val="00056906"/>
    <w:rsid w:val="00086BA5"/>
    <w:rsid w:val="00092A50"/>
    <w:rsid w:val="00127D35"/>
    <w:rsid w:val="00144DC9"/>
    <w:rsid w:val="001612B8"/>
    <w:rsid w:val="001671A6"/>
    <w:rsid w:val="00181108"/>
    <w:rsid w:val="00182772"/>
    <w:rsid w:val="00184123"/>
    <w:rsid w:val="00196710"/>
    <w:rsid w:val="001A4FFA"/>
    <w:rsid w:val="001B0D92"/>
    <w:rsid w:val="001B7167"/>
    <w:rsid w:val="001D2DB9"/>
    <w:rsid w:val="001F2F7C"/>
    <w:rsid w:val="001F71D0"/>
    <w:rsid w:val="0020543B"/>
    <w:rsid w:val="002069B6"/>
    <w:rsid w:val="00224218"/>
    <w:rsid w:val="00245E66"/>
    <w:rsid w:val="00254098"/>
    <w:rsid w:val="00263AC8"/>
    <w:rsid w:val="00267318"/>
    <w:rsid w:val="00273209"/>
    <w:rsid w:val="00282FB1"/>
    <w:rsid w:val="002836C4"/>
    <w:rsid w:val="002863E4"/>
    <w:rsid w:val="00291EF6"/>
    <w:rsid w:val="002A1DD2"/>
    <w:rsid w:val="002A3DEC"/>
    <w:rsid w:val="002A4294"/>
    <w:rsid w:val="002A7898"/>
    <w:rsid w:val="002C2CC0"/>
    <w:rsid w:val="002C4620"/>
    <w:rsid w:val="002E6273"/>
    <w:rsid w:val="003264CF"/>
    <w:rsid w:val="003266EB"/>
    <w:rsid w:val="003769FB"/>
    <w:rsid w:val="00391FDC"/>
    <w:rsid w:val="00393001"/>
    <w:rsid w:val="003A4FEA"/>
    <w:rsid w:val="003C43FC"/>
    <w:rsid w:val="003C4B4C"/>
    <w:rsid w:val="003E5F2B"/>
    <w:rsid w:val="003F1319"/>
    <w:rsid w:val="003F2725"/>
    <w:rsid w:val="00436787"/>
    <w:rsid w:val="004420A5"/>
    <w:rsid w:val="0044612C"/>
    <w:rsid w:val="00456529"/>
    <w:rsid w:val="00480F13"/>
    <w:rsid w:val="004901C7"/>
    <w:rsid w:val="004B5732"/>
    <w:rsid w:val="004C6053"/>
    <w:rsid w:val="004C70F2"/>
    <w:rsid w:val="004D1224"/>
    <w:rsid w:val="004D5287"/>
    <w:rsid w:val="004D5AC6"/>
    <w:rsid w:val="004E7D6D"/>
    <w:rsid w:val="00503A66"/>
    <w:rsid w:val="005408D2"/>
    <w:rsid w:val="005517FB"/>
    <w:rsid w:val="00580101"/>
    <w:rsid w:val="005A7A0A"/>
    <w:rsid w:val="005C4CC4"/>
    <w:rsid w:val="005F6781"/>
    <w:rsid w:val="005F726C"/>
    <w:rsid w:val="00607F18"/>
    <w:rsid w:val="00617D34"/>
    <w:rsid w:val="00620443"/>
    <w:rsid w:val="006269E2"/>
    <w:rsid w:val="0063465D"/>
    <w:rsid w:val="00681D4F"/>
    <w:rsid w:val="00692948"/>
    <w:rsid w:val="00693478"/>
    <w:rsid w:val="006A340E"/>
    <w:rsid w:val="006D5672"/>
    <w:rsid w:val="006D6888"/>
    <w:rsid w:val="006E43D7"/>
    <w:rsid w:val="006E7130"/>
    <w:rsid w:val="006F2F0F"/>
    <w:rsid w:val="0070059F"/>
    <w:rsid w:val="00706D50"/>
    <w:rsid w:val="0071133A"/>
    <w:rsid w:val="0073760C"/>
    <w:rsid w:val="0074356E"/>
    <w:rsid w:val="00751DCE"/>
    <w:rsid w:val="007566FC"/>
    <w:rsid w:val="007710AB"/>
    <w:rsid w:val="00793F15"/>
    <w:rsid w:val="007A79E3"/>
    <w:rsid w:val="007B6035"/>
    <w:rsid w:val="007C72BB"/>
    <w:rsid w:val="00801412"/>
    <w:rsid w:val="00816D36"/>
    <w:rsid w:val="00832FF2"/>
    <w:rsid w:val="0083738C"/>
    <w:rsid w:val="00886970"/>
    <w:rsid w:val="0089497C"/>
    <w:rsid w:val="00894B90"/>
    <w:rsid w:val="008B3645"/>
    <w:rsid w:val="008B7E2C"/>
    <w:rsid w:val="008C45C3"/>
    <w:rsid w:val="009043EF"/>
    <w:rsid w:val="00905B90"/>
    <w:rsid w:val="009274BC"/>
    <w:rsid w:val="009538B7"/>
    <w:rsid w:val="009609EF"/>
    <w:rsid w:val="00973C3E"/>
    <w:rsid w:val="00976E04"/>
    <w:rsid w:val="00986ECE"/>
    <w:rsid w:val="00993AF1"/>
    <w:rsid w:val="009A49A4"/>
    <w:rsid w:val="009A5350"/>
    <w:rsid w:val="009D039A"/>
    <w:rsid w:val="009E0AEA"/>
    <w:rsid w:val="009F0291"/>
    <w:rsid w:val="009F208C"/>
    <w:rsid w:val="00A47305"/>
    <w:rsid w:val="00A57CB4"/>
    <w:rsid w:val="00A631DA"/>
    <w:rsid w:val="00A77454"/>
    <w:rsid w:val="00A94322"/>
    <w:rsid w:val="00AA206A"/>
    <w:rsid w:val="00AA5493"/>
    <w:rsid w:val="00AC48EE"/>
    <w:rsid w:val="00AD0400"/>
    <w:rsid w:val="00AD42E8"/>
    <w:rsid w:val="00AF4EFA"/>
    <w:rsid w:val="00B02D76"/>
    <w:rsid w:val="00B1183C"/>
    <w:rsid w:val="00B153D0"/>
    <w:rsid w:val="00B32801"/>
    <w:rsid w:val="00B50CA9"/>
    <w:rsid w:val="00B50E58"/>
    <w:rsid w:val="00B62E6E"/>
    <w:rsid w:val="00B730FB"/>
    <w:rsid w:val="00B74DBC"/>
    <w:rsid w:val="00B86D64"/>
    <w:rsid w:val="00B9069F"/>
    <w:rsid w:val="00BA2D97"/>
    <w:rsid w:val="00BB73FA"/>
    <w:rsid w:val="00BC260B"/>
    <w:rsid w:val="00BC3D31"/>
    <w:rsid w:val="00BD1322"/>
    <w:rsid w:val="00BE3635"/>
    <w:rsid w:val="00BF0701"/>
    <w:rsid w:val="00C15FBB"/>
    <w:rsid w:val="00C500C5"/>
    <w:rsid w:val="00C54DA5"/>
    <w:rsid w:val="00C6381A"/>
    <w:rsid w:val="00C665D7"/>
    <w:rsid w:val="00C76A6B"/>
    <w:rsid w:val="00CB3E8B"/>
    <w:rsid w:val="00CC4D51"/>
    <w:rsid w:val="00CD0E28"/>
    <w:rsid w:val="00CD1802"/>
    <w:rsid w:val="00CE00EE"/>
    <w:rsid w:val="00CE2A0B"/>
    <w:rsid w:val="00CF41B5"/>
    <w:rsid w:val="00D5186C"/>
    <w:rsid w:val="00D72034"/>
    <w:rsid w:val="00D72F7B"/>
    <w:rsid w:val="00D7465E"/>
    <w:rsid w:val="00D861E5"/>
    <w:rsid w:val="00D92C85"/>
    <w:rsid w:val="00E219A2"/>
    <w:rsid w:val="00E30038"/>
    <w:rsid w:val="00E43EB3"/>
    <w:rsid w:val="00E627DB"/>
    <w:rsid w:val="00E7415D"/>
    <w:rsid w:val="00E9202F"/>
    <w:rsid w:val="00E92270"/>
    <w:rsid w:val="00E93F6D"/>
    <w:rsid w:val="00EA4312"/>
    <w:rsid w:val="00EB72EF"/>
    <w:rsid w:val="00ED1151"/>
    <w:rsid w:val="00EE4820"/>
    <w:rsid w:val="00EF573B"/>
    <w:rsid w:val="00EF5A65"/>
    <w:rsid w:val="00EF746F"/>
    <w:rsid w:val="00F02D5D"/>
    <w:rsid w:val="00F235E3"/>
    <w:rsid w:val="00F239EE"/>
    <w:rsid w:val="00F26D15"/>
    <w:rsid w:val="00F710FB"/>
    <w:rsid w:val="00F749C4"/>
    <w:rsid w:val="00FA627B"/>
    <w:rsid w:val="00FC20C2"/>
    <w:rsid w:val="00FD3DD4"/>
    <w:rsid w:val="00FE607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4E699F"/>
  <w15:chartTrackingRefBased/>
  <w15:docId w15:val="{604AA7D8-D677-4188-876D-5CF688F3D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3209"/>
    <w:pPr>
      <w:spacing w:line="360" w:lineRule="auto"/>
    </w:pPr>
    <w:rPr>
      <w:rFonts w:ascii="Calibri" w:eastAsia="Calibri" w:hAnsi="Calibri" w:cs="Times New Roman"/>
      <w:lang w:val="en-US"/>
    </w:rPr>
  </w:style>
  <w:style w:type="paragraph" w:styleId="Heading2">
    <w:name w:val="heading 2"/>
    <w:basedOn w:val="Normal"/>
    <w:next w:val="Normal"/>
    <w:link w:val="Heading2Char"/>
    <w:uiPriority w:val="9"/>
    <w:semiHidden/>
    <w:unhideWhenUsed/>
    <w:qFormat/>
    <w:rsid w:val="00092A5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qFormat/>
    <w:rsid w:val="0044612C"/>
    <w:pPr>
      <w:spacing w:after="0" w:line="240" w:lineRule="auto"/>
    </w:pPr>
    <w:rPr>
      <w:sz w:val="20"/>
      <w:szCs w:val="20"/>
    </w:rPr>
  </w:style>
  <w:style w:type="character" w:customStyle="1" w:styleId="FootnoteTextChar">
    <w:name w:val="Footnote Text Char"/>
    <w:basedOn w:val="DefaultParagraphFont"/>
    <w:link w:val="FootnoteText"/>
    <w:uiPriority w:val="99"/>
    <w:rsid w:val="0044612C"/>
    <w:rPr>
      <w:rFonts w:ascii="Calibri" w:eastAsia="Calibri" w:hAnsi="Calibri" w:cs="Times New Roman"/>
      <w:sz w:val="20"/>
      <w:szCs w:val="20"/>
      <w:lang w:val="en-US"/>
    </w:rPr>
  </w:style>
  <w:style w:type="character" w:styleId="FootnoteReference">
    <w:name w:val="footnote reference"/>
    <w:basedOn w:val="DefaultParagraphFont"/>
    <w:unhideWhenUsed/>
    <w:rsid w:val="0044612C"/>
    <w:rPr>
      <w:vertAlign w:val="superscript"/>
    </w:rPr>
  </w:style>
  <w:style w:type="character" w:styleId="Hyperlink">
    <w:name w:val="Hyperlink"/>
    <w:basedOn w:val="DefaultParagraphFont"/>
    <w:uiPriority w:val="99"/>
    <w:unhideWhenUsed/>
    <w:rsid w:val="0044612C"/>
    <w:rPr>
      <w:color w:val="0563C1" w:themeColor="hyperlink"/>
      <w:u w:val="single"/>
    </w:rPr>
  </w:style>
  <w:style w:type="paragraph" w:styleId="ListParagraph">
    <w:name w:val="List Paragraph"/>
    <w:basedOn w:val="Normal"/>
    <w:uiPriority w:val="34"/>
    <w:qFormat/>
    <w:rsid w:val="001671A6"/>
    <w:pPr>
      <w:ind w:left="720"/>
      <w:contextualSpacing/>
    </w:pPr>
  </w:style>
  <w:style w:type="character" w:customStyle="1" w:styleId="Heading2Char">
    <w:name w:val="Heading 2 Char"/>
    <w:basedOn w:val="DefaultParagraphFont"/>
    <w:link w:val="Heading2"/>
    <w:uiPriority w:val="9"/>
    <w:semiHidden/>
    <w:rsid w:val="00092A50"/>
    <w:rPr>
      <w:rFonts w:asciiTheme="majorHAnsi" w:eastAsiaTheme="majorEastAsia" w:hAnsiTheme="majorHAnsi" w:cstheme="majorBidi"/>
      <w:color w:val="2E74B5" w:themeColor="accent1" w:themeShade="BF"/>
      <w:sz w:val="26"/>
      <w:szCs w:val="26"/>
      <w:lang w:val="en-US"/>
    </w:rPr>
  </w:style>
  <w:style w:type="paragraph" w:styleId="Header">
    <w:name w:val="header"/>
    <w:basedOn w:val="Normal"/>
    <w:link w:val="HeaderChar"/>
    <w:uiPriority w:val="99"/>
    <w:unhideWhenUsed/>
    <w:rsid w:val="00FA62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627B"/>
    <w:rPr>
      <w:rFonts w:ascii="Calibri" w:eastAsia="Calibri" w:hAnsi="Calibri" w:cs="Times New Roman"/>
      <w:lang w:val="en-US"/>
    </w:rPr>
  </w:style>
  <w:style w:type="paragraph" w:styleId="Footer">
    <w:name w:val="footer"/>
    <w:basedOn w:val="Normal"/>
    <w:link w:val="FooterChar"/>
    <w:uiPriority w:val="99"/>
    <w:unhideWhenUsed/>
    <w:rsid w:val="00FA62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627B"/>
    <w:rPr>
      <w:rFonts w:ascii="Calibri" w:eastAsia="Calibri" w:hAnsi="Calibri" w:cs="Times New Roman"/>
      <w:lang w:val="en-US"/>
    </w:rPr>
  </w:style>
  <w:style w:type="paragraph" w:styleId="BalloonText">
    <w:name w:val="Balloon Text"/>
    <w:basedOn w:val="Normal"/>
    <w:link w:val="BalloonTextChar"/>
    <w:uiPriority w:val="99"/>
    <w:semiHidden/>
    <w:unhideWhenUsed/>
    <w:rsid w:val="009F20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208C"/>
    <w:rPr>
      <w:rFonts w:ascii="Segoe UI" w:eastAsia="Calibri" w:hAnsi="Segoe UI" w:cs="Segoe UI"/>
      <w:sz w:val="18"/>
      <w:szCs w:val="18"/>
      <w:lang w:val="en-US"/>
    </w:rPr>
  </w:style>
  <w:style w:type="character" w:styleId="IntenseEmphasis">
    <w:name w:val="Intense Emphasis"/>
    <w:basedOn w:val="DefaultParagraphFont"/>
    <w:uiPriority w:val="21"/>
    <w:qFormat/>
    <w:rsid w:val="007A79E3"/>
    <w:rPr>
      <w:i/>
      <w:iCs/>
      <w:color w:val="5B9BD5" w:themeColor="accent1"/>
    </w:rPr>
  </w:style>
  <w:style w:type="paragraph" w:customStyle="1" w:styleId="Default">
    <w:name w:val="Default"/>
    <w:rsid w:val="00391FDC"/>
    <w:pPr>
      <w:autoSpaceDE w:val="0"/>
      <w:autoSpaceDN w:val="0"/>
      <w:adjustRightInd w:val="0"/>
      <w:spacing w:after="0" w:line="240" w:lineRule="auto"/>
    </w:pPr>
    <w:rPr>
      <w:rFonts w:ascii="Times New Roman" w:hAnsi="Times New Roman" w:cs="Times New Roman"/>
      <w:color w:val="000000"/>
      <w:sz w:val="24"/>
      <w:szCs w:val="24"/>
      <w:lang w:val="en-US"/>
    </w:rPr>
  </w:style>
  <w:style w:type="character" w:styleId="CommentReference">
    <w:name w:val="annotation reference"/>
    <w:basedOn w:val="DefaultParagraphFont"/>
    <w:uiPriority w:val="99"/>
    <w:semiHidden/>
    <w:unhideWhenUsed/>
    <w:rsid w:val="004420A5"/>
    <w:rPr>
      <w:sz w:val="16"/>
      <w:szCs w:val="16"/>
    </w:rPr>
  </w:style>
  <w:style w:type="paragraph" w:styleId="CommentText">
    <w:name w:val="annotation text"/>
    <w:basedOn w:val="Normal"/>
    <w:link w:val="CommentTextChar"/>
    <w:uiPriority w:val="99"/>
    <w:semiHidden/>
    <w:unhideWhenUsed/>
    <w:rsid w:val="004420A5"/>
    <w:pPr>
      <w:spacing w:line="240" w:lineRule="auto"/>
    </w:pPr>
    <w:rPr>
      <w:sz w:val="20"/>
      <w:szCs w:val="20"/>
    </w:rPr>
  </w:style>
  <w:style w:type="character" w:customStyle="1" w:styleId="CommentTextChar">
    <w:name w:val="Comment Text Char"/>
    <w:basedOn w:val="DefaultParagraphFont"/>
    <w:link w:val="CommentText"/>
    <w:uiPriority w:val="99"/>
    <w:semiHidden/>
    <w:rsid w:val="004420A5"/>
    <w:rPr>
      <w:rFonts w:ascii="Calibri" w:eastAsia="Calibri" w:hAnsi="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4420A5"/>
    <w:rPr>
      <w:b/>
      <w:bCs/>
    </w:rPr>
  </w:style>
  <w:style w:type="character" w:customStyle="1" w:styleId="CommentSubjectChar">
    <w:name w:val="Comment Subject Char"/>
    <w:basedOn w:val="CommentTextChar"/>
    <w:link w:val="CommentSubject"/>
    <w:uiPriority w:val="99"/>
    <w:semiHidden/>
    <w:rsid w:val="004420A5"/>
    <w:rPr>
      <w:rFonts w:ascii="Calibri" w:eastAsia="Calibri" w:hAnsi="Calibri"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21567">
      <w:bodyDiv w:val="1"/>
      <w:marLeft w:val="0"/>
      <w:marRight w:val="0"/>
      <w:marTop w:val="0"/>
      <w:marBottom w:val="0"/>
      <w:divBdr>
        <w:top w:val="none" w:sz="0" w:space="0" w:color="auto"/>
        <w:left w:val="none" w:sz="0" w:space="0" w:color="auto"/>
        <w:bottom w:val="none" w:sz="0" w:space="0" w:color="auto"/>
        <w:right w:val="none" w:sz="0" w:space="0" w:color="auto"/>
      </w:divBdr>
    </w:div>
    <w:div w:id="35786988">
      <w:bodyDiv w:val="1"/>
      <w:marLeft w:val="0"/>
      <w:marRight w:val="0"/>
      <w:marTop w:val="0"/>
      <w:marBottom w:val="0"/>
      <w:divBdr>
        <w:top w:val="none" w:sz="0" w:space="0" w:color="auto"/>
        <w:left w:val="none" w:sz="0" w:space="0" w:color="auto"/>
        <w:bottom w:val="none" w:sz="0" w:space="0" w:color="auto"/>
        <w:right w:val="none" w:sz="0" w:space="0" w:color="auto"/>
      </w:divBdr>
    </w:div>
    <w:div w:id="513885821">
      <w:bodyDiv w:val="1"/>
      <w:marLeft w:val="0"/>
      <w:marRight w:val="0"/>
      <w:marTop w:val="0"/>
      <w:marBottom w:val="0"/>
      <w:divBdr>
        <w:top w:val="none" w:sz="0" w:space="0" w:color="auto"/>
        <w:left w:val="none" w:sz="0" w:space="0" w:color="auto"/>
        <w:bottom w:val="none" w:sz="0" w:space="0" w:color="auto"/>
        <w:right w:val="none" w:sz="0" w:space="0" w:color="auto"/>
      </w:divBdr>
    </w:div>
    <w:div w:id="803736104">
      <w:bodyDiv w:val="1"/>
      <w:marLeft w:val="0"/>
      <w:marRight w:val="0"/>
      <w:marTop w:val="0"/>
      <w:marBottom w:val="0"/>
      <w:divBdr>
        <w:top w:val="none" w:sz="0" w:space="0" w:color="auto"/>
        <w:left w:val="none" w:sz="0" w:space="0" w:color="auto"/>
        <w:bottom w:val="none" w:sz="0" w:space="0" w:color="auto"/>
        <w:right w:val="none" w:sz="0" w:space="0" w:color="auto"/>
      </w:divBdr>
    </w:div>
    <w:div w:id="1432969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2023-09-28T18:30:00+00:00</Judgment_x0020_Date>
    <Year xmlns="c1afb1bd-f2fb-40fd-9abb-aea55b4d7662">2023</Year>
  </documentManagement>
</p:properties>
</file>

<file path=customXml/itemProps1.xml><?xml version="1.0" encoding="utf-8"?>
<ds:datastoreItem xmlns:ds="http://schemas.openxmlformats.org/officeDocument/2006/customXml" ds:itemID="{AEA486FE-AD23-4CB8-BF67-33BD09B6BAD6}">
  <ds:schemaRefs>
    <ds:schemaRef ds:uri="http://schemas.openxmlformats.org/officeDocument/2006/bibliography"/>
  </ds:schemaRefs>
</ds:datastoreItem>
</file>

<file path=customXml/itemProps2.xml><?xml version="1.0" encoding="utf-8"?>
<ds:datastoreItem xmlns:ds="http://schemas.openxmlformats.org/officeDocument/2006/customXml" ds:itemID="{FEF31234-EA41-40E4-A3FE-7CB4274128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a0f4bd-1162-49ac-b85f-dfe96a90bc01"/>
    <ds:schemaRef ds:uri="c1afb1bd-f2fb-40fd-9abb-aea55b4d76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CBEA240-6A06-44A5-8A8D-49D3AFBAA368}">
  <ds:schemaRefs>
    <ds:schemaRef ds:uri="http://schemas.microsoft.com/sharepoint/v3/contenttype/forms"/>
  </ds:schemaRefs>
</ds:datastoreItem>
</file>

<file path=customXml/itemProps4.xml><?xml version="1.0" encoding="utf-8"?>
<ds:datastoreItem xmlns:ds="http://schemas.openxmlformats.org/officeDocument/2006/customXml" ds:itemID="{72ABA9A2-2C06-461C-8B90-093FC75FF0F3}">
  <ds:schemaRefs>
    <ds:schemaRef ds:uri="http://schemas.microsoft.com/office/2006/metadata/properties"/>
    <ds:schemaRef ds:uri="http://schemas.microsoft.com/office/infopath/2007/PartnerControls"/>
    <ds:schemaRef ds:uri="17a0f4bd-1162-49ac-b85f-dfe96a90bc01"/>
    <ds:schemaRef ds:uri="c1afb1bd-f2fb-40fd-9abb-aea55b4d7662"/>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18</Pages>
  <Words>4908</Words>
  <Characters>28178</Characters>
  <Application>Microsoft Office Word</Application>
  <DocSecurity>0</DocSecurity>
  <Lines>3130</Lines>
  <Paragraphs>2363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Heiwal Investments (Proprietary) Limited v Registrar-BIPA (HC-MD-CIV-MOT-GEN-2022-00336) [2023] NAHCMD 605 (29 Sep 2023)</dc:title>
  <dc:subject/>
  <dc:creator>Emilia Mulunga</dc:creator>
  <cp:keywords/>
  <dc:description/>
  <cp:lastModifiedBy>Mariana Anguelov</cp:lastModifiedBy>
  <cp:revision>9</cp:revision>
  <cp:lastPrinted>2023-10-02T07:46:00Z</cp:lastPrinted>
  <dcterms:created xsi:type="dcterms:W3CDTF">2023-10-02T08:27:00Z</dcterms:created>
  <dcterms:modified xsi:type="dcterms:W3CDTF">2023-10-05T17:24:00Z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