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A31C" w14:textId="77777777"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14:paraId="3B2D4DA7" w14:textId="77777777"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8240" behindDoc="0" locked="0" layoutInCell="1" allowOverlap="1" wp14:anchorId="705E8A23" wp14:editId="5ACB4FF8">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14:paraId="5408C979" w14:textId="77777777" w:rsidR="00B40844" w:rsidRPr="006E026B" w:rsidRDefault="007F5C7B" w:rsidP="009143F4">
      <w:pPr>
        <w:spacing w:after="0" w:line="360" w:lineRule="auto"/>
        <w:jc w:val="center"/>
        <w:rPr>
          <w:rFonts w:ascii="Arial" w:hAnsi="Arial" w:cs="Arial"/>
          <w:bCs/>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14:paraId="7C7DC957" w14:textId="77777777" w:rsidR="00B40844" w:rsidRDefault="008006A3" w:rsidP="009143F4">
      <w:pPr>
        <w:pStyle w:val="Heading3"/>
      </w:pPr>
      <w:r>
        <w:t>RULING</w:t>
      </w:r>
    </w:p>
    <w:p w14:paraId="61E006CF" w14:textId="77777777" w:rsidR="00002E9A" w:rsidRDefault="00002E9A" w:rsidP="009143F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14:paraId="33C7EF2D" w14:textId="77777777" w:rsidTr="00002E9A">
        <w:trPr>
          <w:trHeight w:val="1396"/>
        </w:trPr>
        <w:tc>
          <w:tcPr>
            <w:tcW w:w="6366" w:type="dxa"/>
            <w:gridSpan w:val="2"/>
            <w:vMerge w:val="restart"/>
          </w:tcPr>
          <w:p w14:paraId="6A722623" w14:textId="77777777"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14:paraId="5953894F" w14:textId="4A5F3E92" w:rsidR="00087410" w:rsidRPr="00F412BB" w:rsidRDefault="00F412BB" w:rsidP="00F412BB">
            <w:pPr>
              <w:pStyle w:val="NormalWeb"/>
              <w:rPr>
                <w:rFonts w:ascii="Arial" w:hAnsi="Arial" w:cs="Arial"/>
              </w:rPr>
            </w:pPr>
            <w:r w:rsidRPr="00F412BB">
              <w:rPr>
                <w:rFonts w:ascii="Arial" w:hAnsi="Arial" w:cs="Arial"/>
              </w:rPr>
              <w:t xml:space="preserve">HELVI NDILIMEKE UUSHONA </w:t>
            </w:r>
            <w:r>
              <w:rPr>
                <w:rFonts w:ascii="Arial" w:hAnsi="Arial" w:cs="Arial"/>
              </w:rPr>
              <w:t xml:space="preserve">                     </w:t>
            </w:r>
            <w:r w:rsidR="00087410" w:rsidRPr="00CE55EE">
              <w:rPr>
                <w:rFonts w:ascii="Arial" w:hAnsi="Arial" w:cs="Arial"/>
              </w:rPr>
              <w:t>APPLICANT</w:t>
            </w:r>
          </w:p>
          <w:p w14:paraId="74C789FE" w14:textId="77777777" w:rsidR="00087410" w:rsidRPr="00087410" w:rsidRDefault="00087410" w:rsidP="00087410">
            <w:pPr>
              <w:spacing w:line="360" w:lineRule="auto"/>
              <w:jc w:val="both"/>
              <w:rPr>
                <w:rFonts w:ascii="Arial" w:hAnsi="Arial" w:cs="Arial"/>
                <w:sz w:val="24"/>
                <w:szCs w:val="24"/>
              </w:rPr>
            </w:pPr>
          </w:p>
          <w:p w14:paraId="2605BD80" w14:textId="77777777" w:rsidR="00087410" w:rsidRPr="00087410" w:rsidRDefault="00087410" w:rsidP="00087410">
            <w:pPr>
              <w:spacing w:line="360" w:lineRule="auto"/>
              <w:jc w:val="both"/>
              <w:rPr>
                <w:rFonts w:ascii="Arial" w:hAnsi="Arial" w:cs="Arial"/>
                <w:sz w:val="24"/>
                <w:szCs w:val="24"/>
              </w:rPr>
            </w:pPr>
            <w:r w:rsidRPr="00087410">
              <w:rPr>
                <w:rFonts w:ascii="Arial" w:hAnsi="Arial" w:cs="Arial"/>
                <w:sz w:val="24"/>
                <w:szCs w:val="24"/>
              </w:rPr>
              <w:t>and</w:t>
            </w:r>
          </w:p>
          <w:p w14:paraId="4543A474" w14:textId="77777777" w:rsidR="00087410" w:rsidRPr="00087410" w:rsidRDefault="00087410" w:rsidP="00087410">
            <w:pPr>
              <w:spacing w:line="360" w:lineRule="auto"/>
              <w:jc w:val="both"/>
              <w:rPr>
                <w:rFonts w:ascii="Arial" w:hAnsi="Arial" w:cs="Arial"/>
                <w:sz w:val="24"/>
                <w:szCs w:val="24"/>
              </w:rPr>
            </w:pPr>
          </w:p>
          <w:p w14:paraId="4F08BE85" w14:textId="5D9870BD" w:rsidR="00087410" w:rsidRDefault="00897D39" w:rsidP="00087410">
            <w:pPr>
              <w:spacing w:line="360" w:lineRule="auto"/>
              <w:jc w:val="both"/>
              <w:rPr>
                <w:rFonts w:ascii="Arial" w:hAnsi="Arial" w:cs="Arial"/>
                <w:sz w:val="24"/>
                <w:szCs w:val="24"/>
              </w:rPr>
            </w:pPr>
            <w:r>
              <w:rPr>
                <w:rFonts w:ascii="Arial" w:hAnsi="Arial" w:cs="Arial"/>
                <w:sz w:val="24"/>
                <w:szCs w:val="24"/>
              </w:rPr>
              <w:t>CITY OF WINDHOEK</w:t>
            </w:r>
            <w:r w:rsidR="007F5C7B" w:rsidRPr="007F5C7B">
              <w:rPr>
                <w:rFonts w:ascii="Arial" w:hAnsi="Arial" w:cs="Arial"/>
                <w:sz w:val="24"/>
                <w:szCs w:val="24"/>
              </w:rPr>
              <w:tab/>
            </w:r>
            <w:r w:rsidR="007F5C7B">
              <w:rPr>
                <w:rFonts w:ascii="Arial" w:hAnsi="Arial" w:cs="Arial"/>
                <w:sz w:val="24"/>
                <w:szCs w:val="24"/>
              </w:rPr>
              <w:t xml:space="preserve"> </w:t>
            </w:r>
            <w:r>
              <w:rPr>
                <w:rFonts w:ascii="Arial" w:hAnsi="Arial" w:cs="Arial"/>
                <w:sz w:val="24"/>
                <w:szCs w:val="24"/>
              </w:rPr>
              <w:t xml:space="preserve">                </w:t>
            </w:r>
            <w:r w:rsidR="007F5C7B">
              <w:rPr>
                <w:rFonts w:ascii="Arial" w:hAnsi="Arial" w:cs="Arial"/>
                <w:sz w:val="24"/>
                <w:szCs w:val="24"/>
              </w:rPr>
              <w:t xml:space="preserve"> </w:t>
            </w:r>
            <w:r>
              <w:rPr>
                <w:rFonts w:ascii="Arial" w:hAnsi="Arial" w:cs="Arial"/>
                <w:sz w:val="24"/>
                <w:szCs w:val="24"/>
              </w:rPr>
              <w:t>1</w:t>
            </w:r>
            <w:r w:rsidRPr="00897D39">
              <w:rPr>
                <w:rFonts w:ascii="Arial" w:hAnsi="Arial" w:cs="Arial"/>
                <w:sz w:val="24"/>
                <w:szCs w:val="24"/>
                <w:vertAlign w:val="superscript"/>
              </w:rPr>
              <w:t>ST</w:t>
            </w:r>
            <w:r>
              <w:rPr>
                <w:rFonts w:ascii="Arial" w:hAnsi="Arial" w:cs="Arial"/>
                <w:sz w:val="24"/>
                <w:szCs w:val="24"/>
              </w:rPr>
              <w:t xml:space="preserve"> </w:t>
            </w:r>
            <w:r w:rsidR="00087410" w:rsidRPr="00CE55EE">
              <w:rPr>
                <w:rFonts w:ascii="Arial" w:hAnsi="Arial" w:cs="Arial"/>
                <w:sz w:val="24"/>
                <w:szCs w:val="24"/>
              </w:rPr>
              <w:t>RESPONDENT</w:t>
            </w:r>
          </w:p>
          <w:p w14:paraId="5D369976" w14:textId="66CEB7CC" w:rsidR="00F525A8" w:rsidRDefault="00F525A8" w:rsidP="00F525A8">
            <w:pPr>
              <w:pStyle w:val="NormalWeb"/>
              <w:rPr>
                <w:rFonts w:ascii="Arial" w:hAnsi="Arial" w:cs="Arial"/>
              </w:rPr>
            </w:pPr>
            <w:r w:rsidRPr="00F525A8">
              <w:rPr>
                <w:rFonts w:ascii="Arial" w:hAnsi="Arial" w:cs="Arial"/>
              </w:rPr>
              <w:t xml:space="preserve">REDFORCE DEBT MANAGEMENT </w:t>
            </w:r>
            <w:r>
              <w:rPr>
                <w:rFonts w:ascii="Arial" w:hAnsi="Arial" w:cs="Arial"/>
              </w:rPr>
              <w:t xml:space="preserve">  2</w:t>
            </w:r>
            <w:r w:rsidRPr="00F525A8">
              <w:rPr>
                <w:rFonts w:ascii="Arial" w:hAnsi="Arial" w:cs="Arial"/>
                <w:vertAlign w:val="superscript"/>
              </w:rPr>
              <w:t>ND</w:t>
            </w:r>
            <w:r>
              <w:rPr>
                <w:rFonts w:ascii="Arial" w:hAnsi="Arial" w:cs="Arial"/>
              </w:rPr>
              <w:t xml:space="preserve"> RESPONDENT</w:t>
            </w:r>
          </w:p>
          <w:p w14:paraId="2E501CEA" w14:textId="243A9F57" w:rsidR="00897D39" w:rsidRPr="00FA248F" w:rsidRDefault="00FA248F" w:rsidP="00FA248F">
            <w:pPr>
              <w:pStyle w:val="NormalWeb"/>
              <w:rPr>
                <w:rFonts w:ascii="Arial" w:hAnsi="Arial" w:cs="Arial"/>
              </w:rPr>
            </w:pPr>
            <w:r w:rsidRPr="00FA248F">
              <w:rPr>
                <w:rFonts w:ascii="Arial" w:hAnsi="Arial" w:cs="Arial"/>
              </w:rPr>
              <w:t xml:space="preserve">ALBERTUS BEBE /HUSEB </w:t>
            </w:r>
            <w:r>
              <w:rPr>
                <w:rFonts w:ascii="Arial" w:hAnsi="Arial" w:cs="Arial"/>
              </w:rPr>
              <w:t xml:space="preserve">               3</w:t>
            </w:r>
            <w:r w:rsidRPr="00FA248F">
              <w:rPr>
                <w:rFonts w:ascii="Arial" w:hAnsi="Arial" w:cs="Arial"/>
                <w:vertAlign w:val="superscript"/>
              </w:rPr>
              <w:t>RD</w:t>
            </w:r>
            <w:r>
              <w:rPr>
                <w:rFonts w:ascii="Arial" w:hAnsi="Arial" w:cs="Arial"/>
              </w:rPr>
              <w:t xml:space="preserve"> RESPONDENT</w:t>
            </w:r>
          </w:p>
          <w:p w14:paraId="1D81DFFE" w14:textId="77777777" w:rsidR="00002E9A" w:rsidRPr="00002E9A" w:rsidRDefault="00002E9A" w:rsidP="00CE55EE">
            <w:pPr>
              <w:spacing w:line="360" w:lineRule="auto"/>
              <w:jc w:val="both"/>
              <w:rPr>
                <w:rFonts w:ascii="Arial" w:hAnsi="Arial" w:cs="Arial"/>
                <w:sz w:val="24"/>
                <w:szCs w:val="24"/>
              </w:rPr>
            </w:pPr>
          </w:p>
        </w:tc>
        <w:tc>
          <w:tcPr>
            <w:tcW w:w="4110" w:type="dxa"/>
          </w:tcPr>
          <w:p w14:paraId="04D43B12" w14:textId="77777777" w:rsidR="00311199" w:rsidRDefault="00B40844" w:rsidP="00311199">
            <w:pPr>
              <w:spacing w:line="360" w:lineRule="auto"/>
              <w:jc w:val="both"/>
              <w:rPr>
                <w:rFonts w:ascii="Arial" w:hAnsi="Arial" w:cs="Arial"/>
                <w:b/>
                <w:sz w:val="24"/>
                <w:szCs w:val="24"/>
              </w:rPr>
            </w:pPr>
            <w:r w:rsidRPr="00CA7995">
              <w:rPr>
                <w:rFonts w:ascii="Arial" w:hAnsi="Arial" w:cs="Arial"/>
                <w:b/>
                <w:sz w:val="24"/>
                <w:szCs w:val="24"/>
              </w:rPr>
              <w:t>Case No:</w:t>
            </w:r>
          </w:p>
          <w:p w14:paraId="4E8B5985" w14:textId="3CE6FF12" w:rsidR="00311199" w:rsidRPr="00311199" w:rsidRDefault="00311199" w:rsidP="00311199">
            <w:pPr>
              <w:spacing w:line="360" w:lineRule="auto"/>
              <w:jc w:val="both"/>
              <w:rPr>
                <w:rFonts w:ascii="Arial" w:hAnsi="Arial" w:cs="Arial"/>
                <w:b/>
                <w:sz w:val="24"/>
                <w:szCs w:val="24"/>
              </w:rPr>
            </w:pPr>
            <w:r w:rsidRPr="00311199">
              <w:rPr>
                <w:rFonts w:ascii="Arial" w:hAnsi="Arial" w:cs="Arial"/>
                <w:sz w:val="24"/>
                <w:szCs w:val="24"/>
              </w:rPr>
              <w:t xml:space="preserve">HC-MD-CIV-MOT-GEN-2023/00377 </w:t>
            </w:r>
          </w:p>
          <w:p w14:paraId="2EB012A4" w14:textId="3BAF48DF" w:rsidR="001541FE" w:rsidRPr="001541FE" w:rsidRDefault="001541FE" w:rsidP="00937C89">
            <w:pPr>
              <w:spacing w:line="360" w:lineRule="auto"/>
              <w:jc w:val="both"/>
              <w:rPr>
                <w:rFonts w:ascii="Arial" w:hAnsi="Arial" w:cs="Arial"/>
                <w:sz w:val="24"/>
                <w:szCs w:val="24"/>
                <w:shd w:val="clear" w:color="auto" w:fill="FFFFFF"/>
              </w:rPr>
            </w:pPr>
          </w:p>
        </w:tc>
      </w:tr>
      <w:tr w:rsidR="00CA7995" w:rsidRPr="00CA7995" w14:paraId="2CE4CF77" w14:textId="77777777" w:rsidTr="00FA248F">
        <w:trPr>
          <w:trHeight w:val="3202"/>
        </w:trPr>
        <w:tc>
          <w:tcPr>
            <w:tcW w:w="6366" w:type="dxa"/>
            <w:gridSpan w:val="2"/>
            <w:vMerge/>
          </w:tcPr>
          <w:p w14:paraId="182F63C6" w14:textId="77777777" w:rsidR="00B40844" w:rsidRPr="00CA7995" w:rsidRDefault="00B40844" w:rsidP="00937C89">
            <w:pPr>
              <w:spacing w:line="360" w:lineRule="auto"/>
              <w:jc w:val="both"/>
              <w:rPr>
                <w:rFonts w:ascii="Arial" w:hAnsi="Arial" w:cs="Arial"/>
                <w:sz w:val="24"/>
                <w:szCs w:val="24"/>
              </w:rPr>
            </w:pPr>
          </w:p>
        </w:tc>
        <w:tc>
          <w:tcPr>
            <w:tcW w:w="4110" w:type="dxa"/>
          </w:tcPr>
          <w:p w14:paraId="6D134EE9"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14:paraId="18C73263"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14:paraId="4E10CFA0" w14:textId="77777777" w:rsidTr="00002E9A">
        <w:trPr>
          <w:trHeight w:val="965"/>
        </w:trPr>
        <w:tc>
          <w:tcPr>
            <w:tcW w:w="6366" w:type="dxa"/>
            <w:gridSpan w:val="2"/>
            <w:vMerge w:val="restart"/>
          </w:tcPr>
          <w:p w14:paraId="60F7D75A"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14:paraId="1F0D90B5" w14:textId="77777777"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14:paraId="667530A4"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14:paraId="38D7E8F5" w14:textId="4A270F75" w:rsidR="00B40844" w:rsidRPr="00CA7995" w:rsidRDefault="00311199" w:rsidP="00C2633E">
            <w:pPr>
              <w:spacing w:line="360" w:lineRule="auto"/>
              <w:jc w:val="both"/>
              <w:rPr>
                <w:rFonts w:ascii="Arial" w:hAnsi="Arial" w:cs="Arial"/>
                <w:sz w:val="24"/>
                <w:szCs w:val="24"/>
              </w:rPr>
            </w:pPr>
            <w:r>
              <w:rPr>
                <w:rFonts w:ascii="Arial" w:hAnsi="Arial" w:cs="Arial"/>
                <w:sz w:val="24"/>
                <w:szCs w:val="24"/>
                <w:lang w:val="en-US"/>
              </w:rPr>
              <w:t>13 September</w:t>
            </w:r>
            <w:r w:rsidR="00002E9A" w:rsidRPr="00732939">
              <w:rPr>
                <w:rFonts w:ascii="Arial" w:hAnsi="Arial" w:cs="Arial"/>
                <w:sz w:val="24"/>
                <w:szCs w:val="24"/>
                <w:lang w:val="en-US"/>
              </w:rPr>
              <w:t xml:space="preserve"> 2023</w:t>
            </w:r>
          </w:p>
        </w:tc>
      </w:tr>
      <w:tr w:rsidR="00CA7995" w:rsidRPr="00CA7995" w14:paraId="3B0CC4A8" w14:textId="77777777" w:rsidTr="00002E9A">
        <w:trPr>
          <w:trHeight w:val="991"/>
        </w:trPr>
        <w:tc>
          <w:tcPr>
            <w:tcW w:w="6366" w:type="dxa"/>
            <w:gridSpan w:val="2"/>
            <w:vMerge/>
          </w:tcPr>
          <w:p w14:paraId="75FA180B" w14:textId="77777777" w:rsidR="00B40844" w:rsidRPr="00CA7995" w:rsidRDefault="00B40844" w:rsidP="00937C89">
            <w:pPr>
              <w:spacing w:line="360" w:lineRule="auto"/>
              <w:jc w:val="both"/>
              <w:rPr>
                <w:rFonts w:ascii="Arial" w:hAnsi="Arial" w:cs="Arial"/>
                <w:b/>
                <w:sz w:val="24"/>
                <w:szCs w:val="24"/>
              </w:rPr>
            </w:pPr>
          </w:p>
        </w:tc>
        <w:tc>
          <w:tcPr>
            <w:tcW w:w="4110" w:type="dxa"/>
          </w:tcPr>
          <w:p w14:paraId="167965EB" w14:textId="77777777"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14:paraId="4A47AEE1" w14:textId="1356C311" w:rsidR="00B40844" w:rsidRPr="00CA7995" w:rsidRDefault="003274EA" w:rsidP="00C2633E">
            <w:pPr>
              <w:spacing w:line="360" w:lineRule="auto"/>
              <w:jc w:val="both"/>
              <w:rPr>
                <w:rFonts w:ascii="Arial" w:hAnsi="Arial" w:cs="Arial"/>
                <w:b/>
                <w:sz w:val="24"/>
                <w:szCs w:val="24"/>
              </w:rPr>
            </w:pPr>
            <w:r>
              <w:rPr>
                <w:rFonts w:ascii="Arial" w:hAnsi="Arial" w:cs="Arial"/>
                <w:sz w:val="24"/>
                <w:szCs w:val="24"/>
                <w:lang w:val="en-US"/>
              </w:rPr>
              <w:t>3 October</w:t>
            </w:r>
            <w:r w:rsidR="00E922FB">
              <w:rPr>
                <w:rFonts w:ascii="Arial" w:hAnsi="Arial" w:cs="Arial"/>
                <w:sz w:val="24"/>
                <w:szCs w:val="24"/>
                <w:lang w:val="en-US"/>
              </w:rPr>
              <w:t xml:space="preserve"> </w:t>
            </w:r>
            <w:r w:rsidR="00002E9A">
              <w:rPr>
                <w:rFonts w:ascii="Arial" w:hAnsi="Arial" w:cs="Arial"/>
                <w:sz w:val="24"/>
                <w:szCs w:val="24"/>
                <w:lang w:val="en-US"/>
              </w:rPr>
              <w:t>2023</w:t>
            </w:r>
          </w:p>
        </w:tc>
      </w:tr>
      <w:tr w:rsidR="00CA7995" w:rsidRPr="00CA7995" w14:paraId="67B48995" w14:textId="77777777" w:rsidTr="00002E9A">
        <w:trPr>
          <w:trHeight w:val="876"/>
        </w:trPr>
        <w:tc>
          <w:tcPr>
            <w:tcW w:w="10476" w:type="dxa"/>
            <w:gridSpan w:val="3"/>
          </w:tcPr>
          <w:p w14:paraId="73E12F7A" w14:textId="77777777" w:rsidR="009A084E" w:rsidRDefault="009A084E" w:rsidP="009A084E">
            <w:pPr>
              <w:spacing w:line="360" w:lineRule="auto"/>
              <w:jc w:val="both"/>
              <w:rPr>
                <w:rFonts w:ascii="Arial" w:hAnsi="Arial" w:cs="Arial"/>
                <w:b/>
                <w:sz w:val="24"/>
                <w:szCs w:val="24"/>
              </w:rPr>
            </w:pPr>
          </w:p>
          <w:p w14:paraId="102ED43B" w14:textId="77777777" w:rsidR="009143F4" w:rsidRDefault="00B40844" w:rsidP="00043D34">
            <w:pPr>
              <w:spacing w:line="360" w:lineRule="auto"/>
              <w:jc w:val="both"/>
              <w:rPr>
                <w:rFonts w:ascii="Arial" w:hAnsi="Arial" w:cs="Arial"/>
                <w:sz w:val="24"/>
                <w:szCs w:val="24"/>
              </w:rPr>
            </w:pPr>
            <w:r w:rsidRPr="00CA7995">
              <w:rPr>
                <w:rFonts w:ascii="Arial" w:hAnsi="Arial" w:cs="Arial"/>
                <w:b/>
                <w:sz w:val="24"/>
                <w:szCs w:val="24"/>
              </w:rPr>
              <w:t xml:space="preserve">Neutral citation: </w:t>
            </w:r>
            <w:r w:rsidR="003274EA">
              <w:rPr>
                <w:rFonts w:ascii="Arial" w:hAnsi="Arial" w:cs="Arial"/>
                <w:bCs/>
                <w:i/>
                <w:iCs/>
                <w:sz w:val="24"/>
                <w:szCs w:val="24"/>
              </w:rPr>
              <w:t xml:space="preserve">Uushona v City of Windhoek </w:t>
            </w:r>
            <w:r w:rsidR="000F14E3" w:rsidRPr="00884653">
              <w:rPr>
                <w:rFonts w:ascii="Arial" w:hAnsi="Arial" w:cs="Arial"/>
                <w:bCs/>
                <w:iCs/>
                <w:sz w:val="24"/>
                <w:szCs w:val="24"/>
              </w:rPr>
              <w:t>(</w:t>
            </w:r>
            <w:r w:rsidR="000F14E3" w:rsidRPr="00884653">
              <w:rPr>
                <w:rFonts w:ascii="Arial" w:hAnsi="Arial" w:cs="Arial"/>
                <w:sz w:val="24"/>
                <w:szCs w:val="24"/>
              </w:rPr>
              <w:t>HC</w:t>
            </w:r>
            <w:r w:rsidR="000F14E3" w:rsidRPr="00311199">
              <w:rPr>
                <w:rFonts w:ascii="Arial" w:hAnsi="Arial" w:cs="Arial"/>
                <w:sz w:val="24"/>
                <w:szCs w:val="24"/>
              </w:rPr>
              <w:t>-MD-CIV-MOT-GEN-2023/00377</w:t>
            </w:r>
            <w:r w:rsidR="000F14E3">
              <w:rPr>
                <w:rFonts w:ascii="Arial" w:hAnsi="Arial" w:cs="Arial"/>
                <w:sz w:val="24"/>
                <w:szCs w:val="24"/>
              </w:rPr>
              <w:t xml:space="preserve">) [2023] </w:t>
            </w:r>
          </w:p>
          <w:p w14:paraId="20E76258" w14:textId="6715760C" w:rsidR="00B40844" w:rsidRPr="00FC5B60" w:rsidRDefault="009143F4" w:rsidP="009143F4">
            <w:pPr>
              <w:spacing w:line="360" w:lineRule="auto"/>
              <w:jc w:val="both"/>
              <w:rPr>
                <w:rFonts w:ascii="Arial" w:hAnsi="Arial" w:cs="Arial"/>
                <w:b/>
                <w:sz w:val="24"/>
                <w:szCs w:val="24"/>
              </w:rPr>
            </w:pPr>
            <w:r>
              <w:rPr>
                <w:rFonts w:ascii="Arial" w:hAnsi="Arial" w:cs="Arial"/>
                <w:sz w:val="24"/>
                <w:szCs w:val="24"/>
              </w:rPr>
              <w:t xml:space="preserve">                            </w:t>
            </w:r>
            <w:r w:rsidR="000F14E3">
              <w:rPr>
                <w:rFonts w:ascii="Arial" w:hAnsi="Arial" w:cs="Arial"/>
                <w:sz w:val="24"/>
                <w:szCs w:val="24"/>
              </w:rPr>
              <w:t xml:space="preserve">NAHCMD </w:t>
            </w:r>
            <w:r>
              <w:rPr>
                <w:rFonts w:ascii="Arial" w:hAnsi="Arial" w:cs="Arial"/>
                <w:sz w:val="24"/>
                <w:szCs w:val="24"/>
              </w:rPr>
              <w:t>611</w:t>
            </w:r>
            <w:r w:rsidR="000F14E3">
              <w:rPr>
                <w:rFonts w:ascii="Arial" w:hAnsi="Arial" w:cs="Arial"/>
                <w:sz w:val="24"/>
                <w:szCs w:val="24"/>
              </w:rPr>
              <w:t xml:space="preserve"> (3 October 2023)</w:t>
            </w:r>
            <w:bookmarkStart w:id="0" w:name="_GoBack"/>
            <w:bookmarkEnd w:id="0"/>
          </w:p>
        </w:tc>
      </w:tr>
      <w:tr w:rsidR="00CA7995" w:rsidRPr="00CA7995" w14:paraId="043897CC" w14:textId="77777777" w:rsidTr="00002E9A">
        <w:tc>
          <w:tcPr>
            <w:tcW w:w="10476" w:type="dxa"/>
            <w:gridSpan w:val="3"/>
          </w:tcPr>
          <w:p w14:paraId="71C62662" w14:textId="307FE852" w:rsidR="00B40844" w:rsidRPr="0041454F" w:rsidRDefault="004630FE" w:rsidP="00937C89">
            <w:pPr>
              <w:spacing w:line="360" w:lineRule="auto"/>
              <w:jc w:val="both"/>
              <w:rPr>
                <w:rFonts w:ascii="Arial" w:hAnsi="Arial" w:cs="Arial"/>
                <w:b/>
                <w:sz w:val="24"/>
                <w:szCs w:val="24"/>
              </w:rPr>
            </w:pPr>
            <w:r w:rsidRPr="0041454F">
              <w:rPr>
                <w:rFonts w:ascii="Arial" w:hAnsi="Arial" w:cs="Arial"/>
                <w:b/>
                <w:sz w:val="24"/>
                <w:szCs w:val="24"/>
              </w:rPr>
              <w:t>IT IS ORDERED THAT:</w:t>
            </w:r>
          </w:p>
          <w:p w14:paraId="59BB8166" w14:textId="77777777" w:rsidR="00CE55EE" w:rsidRPr="0041454F" w:rsidRDefault="00CE55EE" w:rsidP="00CE55EE">
            <w:pPr>
              <w:pStyle w:val="ListParagraph"/>
            </w:pPr>
          </w:p>
          <w:p w14:paraId="27338B9E" w14:textId="08F0B6A5" w:rsidR="00043D34" w:rsidRPr="00730C79" w:rsidRDefault="004630FE" w:rsidP="00043D34">
            <w:pPr>
              <w:pStyle w:val="ListParagraph"/>
              <w:numPr>
                <w:ilvl w:val="0"/>
                <w:numId w:val="10"/>
              </w:numPr>
              <w:spacing w:line="360" w:lineRule="auto"/>
              <w:jc w:val="both"/>
              <w:rPr>
                <w:rFonts w:ascii="Arial" w:hAnsi="Arial" w:cs="Arial"/>
                <w:sz w:val="24"/>
                <w:szCs w:val="24"/>
                <w:lang w:val="en-US"/>
              </w:rPr>
            </w:pPr>
            <w:r w:rsidRPr="00730C79">
              <w:rPr>
                <w:rFonts w:ascii="Arial" w:hAnsi="Arial" w:cs="Arial"/>
                <w:sz w:val="24"/>
                <w:szCs w:val="24"/>
              </w:rPr>
              <w:t>T</w:t>
            </w:r>
            <w:r w:rsidR="00043D34" w:rsidRPr="00730C79">
              <w:rPr>
                <w:rFonts w:ascii="Arial" w:hAnsi="Arial" w:cs="Arial"/>
                <w:sz w:val="24"/>
                <w:szCs w:val="24"/>
              </w:rPr>
              <w:t xml:space="preserve">he first respondent </w:t>
            </w:r>
            <w:r w:rsidR="00157984" w:rsidRPr="00A31FCA">
              <w:rPr>
                <w:rFonts w:ascii="Arial" w:hAnsi="Arial" w:cs="Arial"/>
                <w:sz w:val="24"/>
                <w:szCs w:val="24"/>
              </w:rPr>
              <w:t>is ordered to pay</w:t>
            </w:r>
            <w:r w:rsidR="00043D34" w:rsidRPr="00A31FCA">
              <w:rPr>
                <w:rFonts w:ascii="Arial" w:hAnsi="Arial" w:cs="Arial"/>
                <w:sz w:val="24"/>
                <w:szCs w:val="24"/>
              </w:rPr>
              <w:t xml:space="preserve"> the</w:t>
            </w:r>
            <w:r w:rsidR="00043D34" w:rsidRPr="00730C79">
              <w:rPr>
                <w:rFonts w:ascii="Arial" w:hAnsi="Arial" w:cs="Arial"/>
                <w:sz w:val="24"/>
                <w:szCs w:val="24"/>
              </w:rPr>
              <w:t xml:space="preserve"> disbursements reasonably incurred by the applicant.</w:t>
            </w:r>
          </w:p>
          <w:p w14:paraId="7F7FFAB2" w14:textId="122F4D54" w:rsidR="00043D34" w:rsidRPr="0041454F" w:rsidRDefault="004630FE" w:rsidP="00043D34">
            <w:pPr>
              <w:pStyle w:val="ListParagraph"/>
              <w:numPr>
                <w:ilvl w:val="0"/>
                <w:numId w:val="10"/>
              </w:numPr>
              <w:spacing w:line="360" w:lineRule="auto"/>
              <w:rPr>
                <w:rFonts w:ascii="Arial" w:hAnsi="Arial" w:cs="Arial"/>
                <w:b/>
                <w:sz w:val="24"/>
                <w:szCs w:val="24"/>
              </w:rPr>
            </w:pPr>
            <w:r w:rsidRPr="0041454F">
              <w:rPr>
                <w:rFonts w:ascii="Arial" w:hAnsi="Arial" w:cs="Arial"/>
                <w:sz w:val="24"/>
                <w:szCs w:val="24"/>
              </w:rPr>
              <w:t>S</w:t>
            </w:r>
            <w:r w:rsidR="00043D34" w:rsidRPr="0041454F">
              <w:rPr>
                <w:rFonts w:ascii="Arial" w:hAnsi="Arial" w:cs="Arial"/>
                <w:sz w:val="24"/>
                <w:szCs w:val="24"/>
              </w:rPr>
              <w:t>uch disbursements are to be taxed</w:t>
            </w:r>
            <w:r w:rsidRPr="0041454F">
              <w:rPr>
                <w:rFonts w:ascii="Arial" w:hAnsi="Arial" w:cs="Arial"/>
                <w:sz w:val="24"/>
                <w:szCs w:val="24"/>
              </w:rPr>
              <w:t xml:space="preserve"> by the taxing master</w:t>
            </w:r>
            <w:r w:rsidR="00043D34" w:rsidRPr="0041454F">
              <w:rPr>
                <w:rFonts w:ascii="Arial" w:hAnsi="Arial" w:cs="Arial"/>
                <w:sz w:val="24"/>
                <w:szCs w:val="24"/>
              </w:rPr>
              <w:t>.</w:t>
            </w:r>
          </w:p>
          <w:p w14:paraId="767F143E" w14:textId="7BDEA381" w:rsidR="009A084E" w:rsidRPr="007F5C7B" w:rsidRDefault="009A084E" w:rsidP="00043D34">
            <w:pPr>
              <w:pStyle w:val="BodyText"/>
              <w:tabs>
                <w:tab w:val="clear" w:pos="729"/>
              </w:tabs>
              <w:ind w:left="720"/>
            </w:pPr>
          </w:p>
        </w:tc>
      </w:tr>
      <w:tr w:rsidR="00CA7995" w:rsidRPr="00CA7995" w14:paraId="434A4EE1" w14:textId="77777777" w:rsidTr="00002E9A">
        <w:trPr>
          <w:trHeight w:val="548"/>
        </w:trPr>
        <w:tc>
          <w:tcPr>
            <w:tcW w:w="10476" w:type="dxa"/>
            <w:gridSpan w:val="3"/>
          </w:tcPr>
          <w:p w14:paraId="05293DC6" w14:textId="77777777" w:rsidR="009A084E" w:rsidRDefault="009A084E" w:rsidP="008F5871">
            <w:pPr>
              <w:tabs>
                <w:tab w:val="right" w:pos="9693"/>
              </w:tabs>
              <w:spacing w:line="360" w:lineRule="auto"/>
              <w:jc w:val="both"/>
              <w:rPr>
                <w:rFonts w:ascii="Arial" w:hAnsi="Arial" w:cs="Arial"/>
                <w:b/>
                <w:sz w:val="24"/>
                <w:szCs w:val="24"/>
                <w:lang w:val="en-US"/>
              </w:rPr>
            </w:pPr>
          </w:p>
          <w:p w14:paraId="1A337633" w14:textId="77777777"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14:paraId="2D09D109" w14:textId="77777777" w:rsidTr="00002E9A">
        <w:tc>
          <w:tcPr>
            <w:tcW w:w="10476" w:type="dxa"/>
            <w:gridSpan w:val="3"/>
          </w:tcPr>
          <w:p w14:paraId="14C0EB1A" w14:textId="77777777" w:rsidR="007F5C7B" w:rsidRDefault="007F5C7B" w:rsidP="00ED76B2">
            <w:pPr>
              <w:spacing w:line="360" w:lineRule="auto"/>
              <w:jc w:val="both"/>
              <w:rPr>
                <w:rFonts w:ascii="Arial" w:hAnsi="Arial" w:cs="Arial"/>
                <w:sz w:val="24"/>
                <w:szCs w:val="24"/>
              </w:rPr>
            </w:pPr>
          </w:p>
          <w:p w14:paraId="4808045C" w14:textId="77777777" w:rsidR="00E12D38" w:rsidRDefault="00E12D38" w:rsidP="00ED76B2">
            <w:pPr>
              <w:spacing w:line="360" w:lineRule="auto"/>
              <w:jc w:val="both"/>
              <w:rPr>
                <w:rFonts w:ascii="Arial" w:hAnsi="Arial" w:cs="Arial"/>
                <w:sz w:val="24"/>
                <w:szCs w:val="24"/>
              </w:rPr>
            </w:pPr>
            <w:r>
              <w:rPr>
                <w:rFonts w:ascii="Arial" w:hAnsi="Arial" w:cs="Arial"/>
                <w:sz w:val="24"/>
                <w:szCs w:val="24"/>
              </w:rPr>
              <w:t>PRINSLOO J:</w:t>
            </w:r>
          </w:p>
          <w:p w14:paraId="769C14EF" w14:textId="77777777" w:rsidR="0075139D" w:rsidRDefault="0075139D" w:rsidP="00ED76B2">
            <w:pPr>
              <w:spacing w:line="360" w:lineRule="auto"/>
              <w:jc w:val="both"/>
              <w:rPr>
                <w:rFonts w:ascii="Arial" w:hAnsi="Arial" w:cs="Arial"/>
                <w:sz w:val="24"/>
                <w:szCs w:val="24"/>
              </w:rPr>
            </w:pPr>
          </w:p>
          <w:p w14:paraId="573DE602" w14:textId="379FFFC3" w:rsidR="00426BC4" w:rsidRPr="0041454F" w:rsidRDefault="00CE55EE" w:rsidP="00426BC4">
            <w:pPr>
              <w:pStyle w:val="ListParagraph"/>
              <w:numPr>
                <w:ilvl w:val="0"/>
                <w:numId w:val="8"/>
              </w:numPr>
              <w:spacing w:line="360" w:lineRule="auto"/>
              <w:ind w:left="0" w:firstLine="0"/>
              <w:jc w:val="both"/>
              <w:rPr>
                <w:rFonts w:ascii="Arial" w:hAnsi="Arial" w:cs="Arial"/>
                <w:sz w:val="24"/>
                <w:szCs w:val="24"/>
              </w:rPr>
            </w:pPr>
            <w:r w:rsidRPr="00426BC4">
              <w:rPr>
                <w:rFonts w:ascii="Arial" w:hAnsi="Arial" w:cs="Arial"/>
                <w:sz w:val="24"/>
                <w:szCs w:val="24"/>
              </w:rPr>
              <w:t xml:space="preserve">This </w:t>
            </w:r>
            <w:r w:rsidR="0079130A" w:rsidRPr="00426BC4">
              <w:rPr>
                <w:rFonts w:ascii="Arial" w:hAnsi="Arial" w:cs="Arial"/>
                <w:sz w:val="24"/>
                <w:szCs w:val="24"/>
              </w:rPr>
              <w:t>c</w:t>
            </w:r>
            <w:r w:rsidR="00426BC4" w:rsidRPr="00426BC4">
              <w:rPr>
                <w:rFonts w:ascii="Arial" w:hAnsi="Arial" w:cs="Arial"/>
                <w:sz w:val="24"/>
                <w:szCs w:val="24"/>
              </w:rPr>
              <w:t>ase emanated</w:t>
            </w:r>
            <w:r w:rsidR="00426BC4">
              <w:rPr>
                <w:rFonts w:ascii="Arial" w:hAnsi="Arial" w:cs="Arial"/>
                <w:sz w:val="24"/>
                <w:szCs w:val="24"/>
              </w:rPr>
              <w:t xml:space="preserve"> from an urgent application </w:t>
            </w:r>
            <w:r w:rsidR="002673F0">
              <w:rPr>
                <w:rFonts w:ascii="Arial" w:hAnsi="Arial" w:cs="Arial"/>
                <w:sz w:val="24"/>
                <w:szCs w:val="24"/>
              </w:rPr>
              <w:t xml:space="preserve">initiated by the applicant against the </w:t>
            </w:r>
            <w:r w:rsidR="00A64A83">
              <w:rPr>
                <w:rFonts w:ascii="Arial" w:hAnsi="Arial" w:cs="Arial"/>
                <w:sz w:val="24"/>
                <w:szCs w:val="24"/>
              </w:rPr>
              <w:t xml:space="preserve">first- and second </w:t>
            </w:r>
            <w:r w:rsidR="002673F0">
              <w:rPr>
                <w:rFonts w:ascii="Arial" w:hAnsi="Arial" w:cs="Arial"/>
                <w:sz w:val="24"/>
                <w:szCs w:val="24"/>
              </w:rPr>
              <w:t xml:space="preserve">respondents </w:t>
            </w:r>
            <w:r w:rsidR="00426BC4">
              <w:rPr>
                <w:rFonts w:ascii="Arial" w:hAnsi="Arial" w:cs="Arial"/>
                <w:sz w:val="24"/>
                <w:szCs w:val="24"/>
              </w:rPr>
              <w:t xml:space="preserve">for </w:t>
            </w:r>
            <w:r w:rsidR="00426BC4" w:rsidRPr="003C14C6">
              <w:rPr>
                <w:rFonts w:ascii="Arial" w:hAnsi="Arial" w:cs="Arial"/>
                <w:sz w:val="24"/>
                <w:szCs w:val="24"/>
              </w:rPr>
              <w:t xml:space="preserve">a </w:t>
            </w:r>
            <w:r w:rsidR="00426BC4" w:rsidRPr="003C14C6">
              <w:rPr>
                <w:rFonts w:ascii="Arial" w:hAnsi="Arial" w:cs="Arial"/>
                <w:sz w:val="24"/>
                <w:szCs w:val="24"/>
                <w:lang w:val="en-US"/>
              </w:rPr>
              <w:t>mandament van spol</w:t>
            </w:r>
            <w:r w:rsidR="00426BC4" w:rsidRPr="0041454F">
              <w:rPr>
                <w:rFonts w:ascii="Arial" w:hAnsi="Arial" w:cs="Arial"/>
                <w:sz w:val="24"/>
                <w:szCs w:val="24"/>
                <w:lang w:val="en-US"/>
              </w:rPr>
              <w:t xml:space="preserve">ie incorporating an interdict and certain ancillary relief </w:t>
            </w:r>
            <w:r w:rsidR="00426BC4" w:rsidRPr="0041454F">
              <w:rPr>
                <w:rFonts w:ascii="Arial" w:hAnsi="Arial" w:cs="Arial"/>
                <w:i/>
                <w:sz w:val="24"/>
                <w:szCs w:val="24"/>
                <w:lang w:val="en-US"/>
              </w:rPr>
              <w:t>pe</w:t>
            </w:r>
            <w:r w:rsidR="00043D34" w:rsidRPr="0041454F">
              <w:rPr>
                <w:rFonts w:ascii="Arial" w:hAnsi="Arial" w:cs="Arial"/>
                <w:i/>
                <w:sz w:val="24"/>
                <w:szCs w:val="24"/>
                <w:lang w:val="en-US"/>
              </w:rPr>
              <w:t>n</w:t>
            </w:r>
            <w:r w:rsidR="00426BC4" w:rsidRPr="0041454F">
              <w:rPr>
                <w:rFonts w:ascii="Arial" w:hAnsi="Arial" w:cs="Arial"/>
                <w:i/>
                <w:sz w:val="24"/>
                <w:szCs w:val="24"/>
                <w:lang w:val="en-US"/>
              </w:rPr>
              <w:t>dente lite</w:t>
            </w:r>
            <w:r w:rsidR="00426BC4" w:rsidRPr="0041454F">
              <w:rPr>
                <w:rFonts w:ascii="Arial" w:hAnsi="Arial" w:cs="Arial"/>
                <w:sz w:val="24"/>
                <w:szCs w:val="24"/>
                <w:lang w:val="en-US"/>
              </w:rPr>
              <w:t xml:space="preserve">. The </w:t>
            </w:r>
            <w:r w:rsidR="003D3522" w:rsidRPr="0041454F">
              <w:rPr>
                <w:rFonts w:ascii="Arial" w:hAnsi="Arial" w:cs="Arial"/>
                <w:sz w:val="24"/>
                <w:szCs w:val="24"/>
                <w:lang w:val="en-US"/>
              </w:rPr>
              <w:t xml:space="preserve">matter </w:t>
            </w:r>
            <w:r w:rsidR="004679EA" w:rsidRPr="0041454F">
              <w:rPr>
                <w:rFonts w:ascii="Arial" w:hAnsi="Arial" w:cs="Arial"/>
                <w:sz w:val="24"/>
                <w:szCs w:val="24"/>
                <w:lang w:val="en-US"/>
              </w:rPr>
              <w:t>became</w:t>
            </w:r>
            <w:r w:rsidR="003D3522" w:rsidRPr="0041454F">
              <w:rPr>
                <w:rFonts w:ascii="Arial" w:hAnsi="Arial" w:cs="Arial"/>
                <w:sz w:val="24"/>
                <w:szCs w:val="24"/>
                <w:lang w:val="en-US"/>
              </w:rPr>
              <w:t xml:space="preserve"> settled </w:t>
            </w:r>
            <w:r w:rsidR="004630FE" w:rsidRPr="0041454F">
              <w:rPr>
                <w:rFonts w:ascii="Arial" w:hAnsi="Arial" w:cs="Arial"/>
                <w:sz w:val="24"/>
                <w:szCs w:val="24"/>
                <w:lang w:val="en-US"/>
              </w:rPr>
              <w:t xml:space="preserve">except </w:t>
            </w:r>
            <w:r w:rsidR="0041454F">
              <w:rPr>
                <w:rFonts w:ascii="Arial" w:hAnsi="Arial" w:cs="Arial"/>
                <w:sz w:val="24"/>
                <w:szCs w:val="24"/>
                <w:lang w:val="en-US"/>
              </w:rPr>
              <w:t xml:space="preserve">for </w:t>
            </w:r>
            <w:r w:rsidR="003D3522" w:rsidRPr="0041454F">
              <w:rPr>
                <w:rFonts w:ascii="Arial" w:hAnsi="Arial" w:cs="Arial"/>
                <w:sz w:val="24"/>
                <w:szCs w:val="24"/>
                <w:lang w:val="en-US"/>
              </w:rPr>
              <w:t xml:space="preserve">the </w:t>
            </w:r>
            <w:r w:rsidR="007911AE" w:rsidRPr="0041454F">
              <w:rPr>
                <w:rFonts w:ascii="Arial" w:hAnsi="Arial" w:cs="Arial"/>
                <w:sz w:val="24"/>
                <w:szCs w:val="24"/>
                <w:lang w:val="en-US"/>
              </w:rPr>
              <w:t xml:space="preserve">issue involving costs. </w:t>
            </w:r>
            <w:r w:rsidR="00BA032E" w:rsidRPr="0041454F">
              <w:rPr>
                <w:rFonts w:ascii="Arial" w:hAnsi="Arial" w:cs="Arial"/>
                <w:sz w:val="24"/>
                <w:szCs w:val="24"/>
                <w:lang w:val="en-US"/>
              </w:rPr>
              <w:t xml:space="preserve">The applicant is claiming </w:t>
            </w:r>
            <w:r w:rsidR="00E86E0B" w:rsidRPr="0041454F">
              <w:rPr>
                <w:rFonts w:ascii="Arial" w:hAnsi="Arial" w:cs="Arial"/>
                <w:sz w:val="24"/>
                <w:szCs w:val="24"/>
                <w:lang w:val="en-US"/>
              </w:rPr>
              <w:t xml:space="preserve">costs on an </w:t>
            </w:r>
            <w:r w:rsidR="00BA032E" w:rsidRPr="0041454F">
              <w:rPr>
                <w:rFonts w:ascii="Arial" w:hAnsi="Arial" w:cs="Arial"/>
                <w:sz w:val="24"/>
                <w:szCs w:val="24"/>
                <w:lang w:val="en-US"/>
              </w:rPr>
              <w:t>attorney-client-</w:t>
            </w:r>
            <w:r w:rsidR="00E86E0B" w:rsidRPr="0041454F">
              <w:rPr>
                <w:rFonts w:ascii="Arial" w:hAnsi="Arial" w:cs="Arial"/>
                <w:sz w:val="24"/>
                <w:szCs w:val="24"/>
                <w:lang w:val="en-US"/>
              </w:rPr>
              <w:t xml:space="preserve">scale </w:t>
            </w:r>
            <w:r w:rsidR="00BA032E" w:rsidRPr="0041454F">
              <w:rPr>
                <w:rFonts w:ascii="Arial" w:hAnsi="Arial" w:cs="Arial"/>
                <w:sz w:val="24"/>
                <w:szCs w:val="24"/>
                <w:lang w:val="en-US"/>
              </w:rPr>
              <w:t xml:space="preserve">against the </w:t>
            </w:r>
            <w:r w:rsidR="00B35836" w:rsidRPr="0041454F">
              <w:rPr>
                <w:rFonts w:ascii="Arial" w:hAnsi="Arial" w:cs="Arial"/>
                <w:sz w:val="24"/>
                <w:szCs w:val="24"/>
                <w:lang w:val="en-US"/>
              </w:rPr>
              <w:t>respondents</w:t>
            </w:r>
            <w:r w:rsidR="00C445AF" w:rsidRPr="0041454F">
              <w:rPr>
                <w:rFonts w:ascii="Arial" w:hAnsi="Arial" w:cs="Arial"/>
                <w:sz w:val="24"/>
                <w:szCs w:val="24"/>
                <w:lang w:val="en-US"/>
              </w:rPr>
              <w:t xml:space="preserve">. </w:t>
            </w:r>
            <w:r w:rsidR="00B35836" w:rsidRPr="0041454F">
              <w:rPr>
                <w:rFonts w:ascii="Arial" w:hAnsi="Arial" w:cs="Arial"/>
                <w:sz w:val="24"/>
                <w:szCs w:val="24"/>
                <w:lang w:val="en-US"/>
              </w:rPr>
              <w:t xml:space="preserve">The </w:t>
            </w:r>
            <w:r w:rsidR="00043D34" w:rsidRPr="0041454F">
              <w:rPr>
                <w:rFonts w:ascii="Arial" w:hAnsi="Arial" w:cs="Arial"/>
                <w:sz w:val="24"/>
                <w:szCs w:val="24"/>
                <w:lang w:val="en-US"/>
              </w:rPr>
              <w:t>City of Windhoek (the COW)</w:t>
            </w:r>
            <w:r w:rsidR="00B35836" w:rsidRPr="0041454F">
              <w:rPr>
                <w:rFonts w:ascii="Arial" w:hAnsi="Arial" w:cs="Arial"/>
                <w:sz w:val="24"/>
                <w:szCs w:val="24"/>
                <w:lang w:val="en-US"/>
              </w:rPr>
              <w:t xml:space="preserve"> is the only </w:t>
            </w:r>
            <w:r w:rsidR="00663543" w:rsidRPr="0041454F">
              <w:rPr>
                <w:rFonts w:ascii="Arial" w:hAnsi="Arial" w:cs="Arial"/>
                <w:sz w:val="24"/>
                <w:szCs w:val="24"/>
                <w:lang w:val="en-US"/>
              </w:rPr>
              <w:t>party who opposed the application, hence</w:t>
            </w:r>
            <w:r w:rsidR="009143F4">
              <w:rPr>
                <w:rFonts w:ascii="Arial" w:hAnsi="Arial" w:cs="Arial"/>
                <w:sz w:val="24"/>
                <w:szCs w:val="24"/>
                <w:lang w:val="en-US"/>
              </w:rPr>
              <w:t>,</w:t>
            </w:r>
            <w:r w:rsidR="00663543" w:rsidRPr="0041454F">
              <w:rPr>
                <w:rFonts w:ascii="Arial" w:hAnsi="Arial" w:cs="Arial"/>
                <w:sz w:val="24"/>
                <w:szCs w:val="24"/>
                <w:lang w:val="en-US"/>
              </w:rPr>
              <w:t xml:space="preserve"> costs </w:t>
            </w:r>
            <w:r w:rsidR="00043D34" w:rsidRPr="0041454F">
              <w:rPr>
                <w:rFonts w:ascii="Arial" w:hAnsi="Arial" w:cs="Arial"/>
                <w:sz w:val="24"/>
                <w:szCs w:val="24"/>
                <w:lang w:val="en-US"/>
              </w:rPr>
              <w:t>are</w:t>
            </w:r>
            <w:r w:rsidR="00663543" w:rsidRPr="0041454F">
              <w:rPr>
                <w:rFonts w:ascii="Arial" w:hAnsi="Arial" w:cs="Arial"/>
                <w:sz w:val="24"/>
                <w:szCs w:val="24"/>
                <w:lang w:val="en-US"/>
              </w:rPr>
              <w:t xml:space="preserve"> only </w:t>
            </w:r>
            <w:r w:rsidR="006C2A0D" w:rsidRPr="0041454F">
              <w:rPr>
                <w:rFonts w:ascii="Arial" w:hAnsi="Arial" w:cs="Arial"/>
                <w:sz w:val="24"/>
                <w:szCs w:val="24"/>
                <w:lang w:val="en-US"/>
              </w:rPr>
              <w:t>claimed</w:t>
            </w:r>
            <w:r w:rsidR="00663543" w:rsidRPr="0041454F">
              <w:rPr>
                <w:rFonts w:ascii="Arial" w:hAnsi="Arial" w:cs="Arial"/>
                <w:sz w:val="24"/>
                <w:szCs w:val="24"/>
                <w:lang w:val="en-US"/>
              </w:rPr>
              <w:t xml:space="preserve"> against the first respondent</w:t>
            </w:r>
            <w:r w:rsidR="006C2A0D" w:rsidRPr="0041454F">
              <w:rPr>
                <w:rFonts w:ascii="Arial" w:hAnsi="Arial" w:cs="Arial"/>
                <w:sz w:val="24"/>
                <w:szCs w:val="24"/>
                <w:lang w:val="en-US"/>
              </w:rPr>
              <w:t>.</w:t>
            </w:r>
          </w:p>
          <w:p w14:paraId="7F6E763D" w14:textId="77777777" w:rsidR="00C445AF" w:rsidRPr="0041454F" w:rsidRDefault="00C445AF" w:rsidP="00C445AF">
            <w:pPr>
              <w:pStyle w:val="ListParagraph"/>
              <w:spacing w:line="360" w:lineRule="auto"/>
              <w:ind w:left="0"/>
              <w:jc w:val="both"/>
              <w:rPr>
                <w:rFonts w:ascii="Arial" w:hAnsi="Arial" w:cs="Arial"/>
                <w:sz w:val="24"/>
                <w:szCs w:val="24"/>
              </w:rPr>
            </w:pPr>
          </w:p>
          <w:p w14:paraId="7B5D72B4" w14:textId="111C70AD" w:rsidR="00AB1759" w:rsidRPr="00AB1759" w:rsidRDefault="002D2DFE" w:rsidP="009143F4">
            <w:pPr>
              <w:pStyle w:val="BodyText"/>
              <w:numPr>
                <w:ilvl w:val="0"/>
                <w:numId w:val="8"/>
              </w:numPr>
              <w:tabs>
                <w:tab w:val="clear" w:pos="729"/>
              </w:tabs>
              <w:ind w:left="0" w:firstLine="0"/>
              <w:rPr>
                <w:u w:val="single"/>
              </w:rPr>
            </w:pPr>
            <w:r w:rsidRPr="0041454F">
              <w:t xml:space="preserve">On 16 August 2023, the </w:t>
            </w:r>
            <w:r w:rsidR="00043D34" w:rsidRPr="0041454F">
              <w:t>COW</w:t>
            </w:r>
            <w:r w:rsidRPr="0041454F">
              <w:t xml:space="preserve"> </w:t>
            </w:r>
            <w:r w:rsidR="00D84126" w:rsidRPr="0041454F">
              <w:t>suspended</w:t>
            </w:r>
            <w:r w:rsidR="008568BB" w:rsidRPr="0041454F">
              <w:t xml:space="preserve"> the applicant’s water and electricity supply</w:t>
            </w:r>
            <w:r w:rsidR="00754FA7" w:rsidRPr="0041454F">
              <w:t xml:space="preserve"> (municipal supply)</w:t>
            </w:r>
            <w:r w:rsidR="008568BB" w:rsidRPr="0041454F">
              <w:t xml:space="preserve"> </w:t>
            </w:r>
            <w:r w:rsidR="004630FE" w:rsidRPr="0041454F">
              <w:t xml:space="preserve">at </w:t>
            </w:r>
            <w:r w:rsidR="009573FE" w:rsidRPr="0041454F">
              <w:t>Erf</w:t>
            </w:r>
            <w:r w:rsidR="009573FE">
              <w:t xml:space="preserve"> 7267, Hans Dietrich Gens</w:t>
            </w:r>
            <w:r w:rsidR="00D815A5">
              <w:t>cher Street, Shandumbala, Katutura, Windhoek</w:t>
            </w:r>
            <w:r w:rsidR="00AB1759">
              <w:t xml:space="preserve"> (the property)</w:t>
            </w:r>
            <w:r w:rsidR="009143F4">
              <w:t>,</w:t>
            </w:r>
            <w:r w:rsidR="00D815A5">
              <w:t xml:space="preserve"> </w:t>
            </w:r>
            <w:r w:rsidR="008568BB">
              <w:t xml:space="preserve">which prompted the applicant to </w:t>
            </w:r>
            <w:r w:rsidR="00CE6E7F">
              <w:t xml:space="preserve">approach this court </w:t>
            </w:r>
            <w:r w:rsidR="008E1897">
              <w:t>for an order</w:t>
            </w:r>
            <w:r w:rsidR="008842F6">
              <w:t xml:space="preserve">, </w:t>
            </w:r>
            <w:r w:rsidR="008842F6" w:rsidRPr="00A31FCA">
              <w:t>inter alia,</w:t>
            </w:r>
            <w:r w:rsidR="008842F6">
              <w:t xml:space="preserve"> (a)</w:t>
            </w:r>
            <w:r w:rsidR="008E1897">
              <w:t xml:space="preserve"> directing the first and second respondents </w:t>
            </w:r>
            <w:r w:rsidR="009143F4">
              <w:t>to restore the municipal supply of water and electricity immediately</w:t>
            </w:r>
            <w:r w:rsidR="009E3011">
              <w:t xml:space="preserve"> </w:t>
            </w:r>
            <w:r w:rsidR="0005519E">
              <w:t xml:space="preserve">and </w:t>
            </w:r>
            <w:r w:rsidR="008842F6">
              <w:t xml:space="preserve">(b) </w:t>
            </w:r>
            <w:r w:rsidR="00870F6D">
              <w:t>interdict and restrain</w:t>
            </w:r>
            <w:r w:rsidR="00790426">
              <w:t xml:space="preserve"> the first and second respondents </w:t>
            </w:r>
            <w:r w:rsidR="00D305D4">
              <w:t xml:space="preserve">from terminating the municipal supply of water and electricity pending the outcome of </w:t>
            </w:r>
            <w:r w:rsidR="009E3011">
              <w:t>an appeal to the Supreme Court</w:t>
            </w:r>
            <w:r w:rsidR="00790426">
              <w:t>,</w:t>
            </w:r>
            <w:r w:rsidR="009E3011">
              <w:t xml:space="preserve"> which appeal</w:t>
            </w:r>
            <w:r w:rsidR="00AB1759">
              <w:t xml:space="preserve"> </w:t>
            </w:r>
            <w:r w:rsidR="009E3011">
              <w:t xml:space="preserve">involves the </w:t>
            </w:r>
            <w:r w:rsidR="00AB1759">
              <w:t>aforementioned property.</w:t>
            </w:r>
            <w:r w:rsidR="00796B3A">
              <w:t xml:space="preserve"> The applicant also claimed relief in the form of damages, however</w:t>
            </w:r>
            <w:r w:rsidR="00D823D9">
              <w:t>,</w:t>
            </w:r>
            <w:r w:rsidR="00796B3A">
              <w:t xml:space="preserve"> such claim was abandoned</w:t>
            </w:r>
            <w:r w:rsidR="005A0858">
              <w:t>.</w:t>
            </w:r>
          </w:p>
          <w:p w14:paraId="4B065A9A" w14:textId="77777777" w:rsidR="00AB1759" w:rsidRDefault="00AB1759" w:rsidP="009143F4">
            <w:pPr>
              <w:pStyle w:val="ListParagraph"/>
              <w:spacing w:line="360" w:lineRule="auto"/>
            </w:pPr>
          </w:p>
          <w:p w14:paraId="2CFE34BD" w14:textId="7A9855A6" w:rsidR="00636DE7" w:rsidRPr="00636DE7" w:rsidRDefault="00754FA7" w:rsidP="009143F4">
            <w:pPr>
              <w:pStyle w:val="BodyText"/>
              <w:numPr>
                <w:ilvl w:val="0"/>
                <w:numId w:val="8"/>
              </w:numPr>
              <w:tabs>
                <w:tab w:val="clear" w:pos="729"/>
              </w:tabs>
              <w:ind w:left="0" w:firstLine="0"/>
              <w:rPr>
                <w:u w:val="single"/>
              </w:rPr>
            </w:pPr>
            <w:r>
              <w:t>On 2</w:t>
            </w:r>
            <w:r w:rsidR="00D541D1">
              <w:t>5</w:t>
            </w:r>
            <w:r>
              <w:t xml:space="preserve"> August 2023</w:t>
            </w:r>
            <w:r w:rsidR="00D823D9">
              <w:t>,</w:t>
            </w:r>
            <w:r>
              <w:t xml:space="preserve"> </w:t>
            </w:r>
            <w:r w:rsidR="00D541D1">
              <w:t xml:space="preserve">it was </w:t>
            </w:r>
            <w:r w:rsidR="00E5520E">
              <w:t>submitted</w:t>
            </w:r>
            <w:r w:rsidR="00D541D1">
              <w:t xml:space="preserve"> to this court that </w:t>
            </w:r>
            <w:r>
              <w:t xml:space="preserve">the </w:t>
            </w:r>
            <w:r w:rsidR="00D541D1">
              <w:t xml:space="preserve">municipal supply </w:t>
            </w:r>
            <w:r w:rsidR="004630FE" w:rsidRPr="0041454F">
              <w:t>of</w:t>
            </w:r>
            <w:r w:rsidR="004630FE">
              <w:t xml:space="preserve"> </w:t>
            </w:r>
            <w:r w:rsidR="001A6EBD">
              <w:t xml:space="preserve">the property </w:t>
            </w:r>
            <w:r w:rsidR="00D541D1">
              <w:t xml:space="preserve">was restored on 21 August 2023 and </w:t>
            </w:r>
            <w:r w:rsidR="001C70B5">
              <w:t xml:space="preserve">that the </w:t>
            </w:r>
            <w:r w:rsidR="00043D34">
              <w:t>COW</w:t>
            </w:r>
            <w:r w:rsidR="001C70B5">
              <w:t xml:space="preserve"> </w:t>
            </w:r>
            <w:r w:rsidR="00D823D9">
              <w:t>would</w:t>
            </w:r>
            <w:r w:rsidR="001C70B5">
              <w:t xml:space="preserve"> make a concession towards </w:t>
            </w:r>
            <w:r w:rsidR="00AB5416">
              <w:t xml:space="preserve">the </w:t>
            </w:r>
            <w:r w:rsidR="00BF09BF">
              <w:t xml:space="preserve">interdictory </w:t>
            </w:r>
            <w:r w:rsidR="00AB5416">
              <w:t xml:space="preserve">relief claimed </w:t>
            </w:r>
            <w:r w:rsidR="00BF09BF">
              <w:t xml:space="preserve">by the </w:t>
            </w:r>
            <w:r w:rsidR="00043D34">
              <w:t>applicant</w:t>
            </w:r>
            <w:r w:rsidR="00BF09BF">
              <w:t>. The parties</w:t>
            </w:r>
            <w:r w:rsidR="00E5520E">
              <w:t xml:space="preserve"> then</w:t>
            </w:r>
            <w:r w:rsidR="00BF09BF">
              <w:t xml:space="preserve"> indicated to the court that the only issue that remains is </w:t>
            </w:r>
            <w:r w:rsidR="00341C3F">
              <w:t xml:space="preserve">costs and that the parties </w:t>
            </w:r>
            <w:r w:rsidR="00D60432">
              <w:t xml:space="preserve">want to argue costs. </w:t>
            </w:r>
          </w:p>
          <w:p w14:paraId="057AA044" w14:textId="77777777" w:rsidR="00636DE7" w:rsidRPr="00636DE7" w:rsidRDefault="00636DE7" w:rsidP="00636DE7">
            <w:pPr>
              <w:pStyle w:val="BodyText"/>
              <w:tabs>
                <w:tab w:val="clear" w:pos="729"/>
              </w:tabs>
              <w:rPr>
                <w:u w:val="single"/>
              </w:rPr>
            </w:pPr>
          </w:p>
          <w:p w14:paraId="25F53EDD" w14:textId="0B1B59FE" w:rsidR="009C6C61" w:rsidRPr="00081ECD" w:rsidRDefault="00D629AC" w:rsidP="00081ECD">
            <w:pPr>
              <w:pStyle w:val="BodyText"/>
              <w:numPr>
                <w:ilvl w:val="0"/>
                <w:numId w:val="8"/>
              </w:numPr>
              <w:tabs>
                <w:tab w:val="clear" w:pos="729"/>
              </w:tabs>
              <w:ind w:left="0" w:firstLine="0"/>
              <w:rPr>
                <w:u w:val="single"/>
              </w:rPr>
            </w:pPr>
            <w:r>
              <w:t xml:space="preserve">As alluded </w:t>
            </w:r>
            <w:r w:rsidR="00D823D9">
              <w:t xml:space="preserve">to </w:t>
            </w:r>
            <w:r>
              <w:t xml:space="preserve">above, </w:t>
            </w:r>
            <w:r w:rsidR="00545F98">
              <w:t>t</w:t>
            </w:r>
            <w:r w:rsidR="009A084E">
              <w:t xml:space="preserve">he applicant </w:t>
            </w:r>
            <w:r w:rsidR="00CE55EE">
              <w:t xml:space="preserve">is seeking an order </w:t>
            </w:r>
            <w:r w:rsidR="00E01143">
              <w:t xml:space="preserve">from this court directing the </w:t>
            </w:r>
            <w:r w:rsidR="00043D34">
              <w:t>COW</w:t>
            </w:r>
            <w:r w:rsidR="00E01143">
              <w:t xml:space="preserve"> to pay the costs incurred by </w:t>
            </w:r>
            <w:r w:rsidR="00043D34">
              <w:t>her</w:t>
            </w:r>
            <w:r w:rsidR="00E01143">
              <w:t xml:space="preserve"> on an attorney-client</w:t>
            </w:r>
            <w:r w:rsidR="00D823D9">
              <w:t xml:space="preserve"> </w:t>
            </w:r>
            <w:r w:rsidR="00E01143">
              <w:t>scale</w:t>
            </w:r>
            <w:r w:rsidR="001C2C1C">
              <w:t xml:space="preserve">. </w:t>
            </w:r>
            <w:r w:rsidR="00636DE7">
              <w:t>It is this issue that requires determination</w:t>
            </w:r>
            <w:r w:rsidR="00885038">
              <w:t xml:space="preserve"> by this court</w:t>
            </w:r>
            <w:r w:rsidR="00636DE7">
              <w:t>.</w:t>
            </w:r>
          </w:p>
          <w:p w14:paraId="07BBD121" w14:textId="77777777" w:rsidR="004630FE" w:rsidRDefault="004630FE" w:rsidP="00CE55EE">
            <w:pPr>
              <w:pStyle w:val="BodyText"/>
              <w:rPr>
                <w:u w:val="single"/>
              </w:rPr>
            </w:pPr>
          </w:p>
          <w:p w14:paraId="28127440" w14:textId="0CF8A537" w:rsidR="00CE55EE" w:rsidRDefault="00CE55EE" w:rsidP="00CE55EE">
            <w:pPr>
              <w:pStyle w:val="BodyText"/>
              <w:rPr>
                <w:u w:val="single"/>
              </w:rPr>
            </w:pPr>
            <w:r w:rsidRPr="0004663E">
              <w:rPr>
                <w:u w:val="single"/>
              </w:rPr>
              <w:t>Arguments advanced</w:t>
            </w:r>
          </w:p>
          <w:p w14:paraId="67027910" w14:textId="77777777" w:rsidR="00CE55EE" w:rsidRDefault="00CE55EE" w:rsidP="00CE55EE">
            <w:pPr>
              <w:pStyle w:val="BodyText"/>
              <w:rPr>
                <w:u w:val="single"/>
              </w:rPr>
            </w:pPr>
          </w:p>
          <w:p w14:paraId="64EB5565" w14:textId="77777777" w:rsidR="00CE55EE" w:rsidRDefault="00CE55EE" w:rsidP="00CE55EE">
            <w:pPr>
              <w:pStyle w:val="BodyText"/>
              <w:rPr>
                <w:i/>
              </w:rPr>
            </w:pPr>
            <w:r w:rsidRPr="0004663E">
              <w:rPr>
                <w:i/>
              </w:rPr>
              <w:t>On behalf of the applicant</w:t>
            </w:r>
          </w:p>
          <w:p w14:paraId="3337E3D3" w14:textId="77777777" w:rsidR="007F5C7B" w:rsidRPr="0004663E" w:rsidRDefault="007F5C7B" w:rsidP="00CE55EE">
            <w:pPr>
              <w:pStyle w:val="BodyText"/>
              <w:rPr>
                <w:i/>
              </w:rPr>
            </w:pPr>
          </w:p>
          <w:p w14:paraId="3AE7CA0B" w14:textId="26540F61" w:rsidR="00CE55EE" w:rsidRPr="00267E92" w:rsidRDefault="00CE55EE" w:rsidP="00641262">
            <w:pPr>
              <w:pStyle w:val="BodyText"/>
              <w:numPr>
                <w:ilvl w:val="0"/>
                <w:numId w:val="8"/>
              </w:numPr>
              <w:tabs>
                <w:tab w:val="clear" w:pos="729"/>
              </w:tabs>
              <w:ind w:left="0" w:firstLine="0"/>
              <w:rPr>
                <w:i/>
              </w:rPr>
            </w:pPr>
            <w:r>
              <w:lastRenderedPageBreak/>
              <w:t xml:space="preserve">Ms </w:t>
            </w:r>
            <w:r w:rsidR="00C200C7">
              <w:t xml:space="preserve">Uushona, appearing in person, </w:t>
            </w:r>
            <w:r w:rsidR="00DC6EB5">
              <w:t>argued that</w:t>
            </w:r>
            <w:r w:rsidR="009707BD">
              <w:t xml:space="preserve"> she was compelled by the unjust actions of the respondents</w:t>
            </w:r>
            <w:r w:rsidR="009143F4">
              <w:t>,</w:t>
            </w:r>
            <w:r w:rsidR="009707BD">
              <w:t xml:space="preserve"> as well as their violation of her constitutional right to adequate </w:t>
            </w:r>
            <w:r w:rsidR="00520B23">
              <w:t xml:space="preserve">housing, to initiate legal proceedings against the respondents </w:t>
            </w:r>
            <w:r w:rsidR="009143F4">
              <w:t>to</w:t>
            </w:r>
            <w:r w:rsidR="00520B23">
              <w:t xml:space="preserve"> defend this right and obtain justice.</w:t>
            </w:r>
          </w:p>
          <w:p w14:paraId="3293822F" w14:textId="77777777" w:rsidR="00267E92" w:rsidRPr="00267E92" w:rsidRDefault="00267E92" w:rsidP="00267E92">
            <w:pPr>
              <w:pStyle w:val="BodyText"/>
              <w:tabs>
                <w:tab w:val="clear" w:pos="729"/>
              </w:tabs>
              <w:rPr>
                <w:i/>
              </w:rPr>
            </w:pPr>
          </w:p>
          <w:p w14:paraId="539CDAA1" w14:textId="785D9B4B" w:rsidR="00F848AA" w:rsidRPr="00A20DA3" w:rsidRDefault="009143F4" w:rsidP="009143F4">
            <w:pPr>
              <w:pStyle w:val="BodyText"/>
              <w:numPr>
                <w:ilvl w:val="0"/>
                <w:numId w:val="8"/>
              </w:numPr>
              <w:tabs>
                <w:tab w:val="clear" w:pos="729"/>
              </w:tabs>
              <w:ind w:left="0" w:firstLine="0"/>
              <w:rPr>
                <w:i/>
              </w:rPr>
            </w:pPr>
            <w:r>
              <w:rPr>
                <w:iCs/>
              </w:rPr>
              <w:t>Ms Uushona contends</w:t>
            </w:r>
            <w:r w:rsidR="008354F6">
              <w:rPr>
                <w:iCs/>
              </w:rPr>
              <w:t xml:space="preserve"> that because the court granted the relief she sought, she is regarded as the </w:t>
            </w:r>
            <w:r w:rsidR="00E61375">
              <w:rPr>
                <w:iCs/>
              </w:rPr>
              <w:t>successful party and</w:t>
            </w:r>
            <w:r>
              <w:rPr>
                <w:iCs/>
              </w:rPr>
              <w:t>,</w:t>
            </w:r>
            <w:r w:rsidR="00E61375">
              <w:rPr>
                <w:iCs/>
              </w:rPr>
              <w:t xml:space="preserve"> for that reason</w:t>
            </w:r>
            <w:r>
              <w:rPr>
                <w:iCs/>
              </w:rPr>
              <w:t>,</w:t>
            </w:r>
            <w:r w:rsidR="00E61375">
              <w:rPr>
                <w:iCs/>
              </w:rPr>
              <w:t xml:space="preserve"> entitled to costs</w:t>
            </w:r>
            <w:r w:rsidR="004B5671">
              <w:rPr>
                <w:iCs/>
              </w:rPr>
              <w:t>. Ms Uus</w:t>
            </w:r>
            <w:r w:rsidR="00C22BFA">
              <w:rPr>
                <w:iCs/>
              </w:rPr>
              <w:t xml:space="preserve">hona further contends that because of the </w:t>
            </w:r>
            <w:r w:rsidR="00043D34">
              <w:rPr>
                <w:iCs/>
              </w:rPr>
              <w:t>COW’s</w:t>
            </w:r>
            <w:r w:rsidR="00C22BFA">
              <w:rPr>
                <w:iCs/>
              </w:rPr>
              <w:t xml:space="preserve"> </w:t>
            </w:r>
            <w:r w:rsidR="00081FD2">
              <w:rPr>
                <w:iCs/>
              </w:rPr>
              <w:t>behaviour</w:t>
            </w:r>
            <w:r w:rsidR="00D823D9">
              <w:rPr>
                <w:iCs/>
              </w:rPr>
              <w:t>,</w:t>
            </w:r>
            <w:r w:rsidR="00081FD2">
              <w:rPr>
                <w:iCs/>
              </w:rPr>
              <w:t xml:space="preserve"> </w:t>
            </w:r>
            <w:r w:rsidR="00C22BFA">
              <w:rPr>
                <w:iCs/>
              </w:rPr>
              <w:t>she was forced to</w:t>
            </w:r>
            <w:r w:rsidR="00C2131B">
              <w:rPr>
                <w:iCs/>
              </w:rPr>
              <w:t xml:space="preserve"> </w:t>
            </w:r>
            <w:r w:rsidR="00D42EA3">
              <w:rPr>
                <w:iCs/>
              </w:rPr>
              <w:t xml:space="preserve">incur costs in </w:t>
            </w:r>
            <w:r w:rsidR="00C2131B">
              <w:rPr>
                <w:iCs/>
              </w:rPr>
              <w:t>perform</w:t>
            </w:r>
            <w:r w:rsidR="00D42EA3">
              <w:rPr>
                <w:iCs/>
              </w:rPr>
              <w:t>ing</w:t>
            </w:r>
            <w:r w:rsidR="00C2131B">
              <w:rPr>
                <w:iCs/>
              </w:rPr>
              <w:t xml:space="preserve"> tasks which would ordinarily be performed by a legal practitioner, such as</w:t>
            </w:r>
            <w:r w:rsidR="00A163CE">
              <w:rPr>
                <w:iCs/>
              </w:rPr>
              <w:t xml:space="preserve"> perusing documents, drafting affidavits, </w:t>
            </w:r>
            <w:r w:rsidR="00D823D9">
              <w:rPr>
                <w:iCs/>
              </w:rPr>
              <w:t>making</w:t>
            </w:r>
            <w:r w:rsidR="00A163CE">
              <w:rPr>
                <w:iCs/>
              </w:rPr>
              <w:t xml:space="preserve"> telephone calls, copies and initiating proceedings in court</w:t>
            </w:r>
            <w:r w:rsidR="00B879FE">
              <w:rPr>
                <w:iCs/>
              </w:rPr>
              <w:t xml:space="preserve"> and</w:t>
            </w:r>
            <w:r w:rsidR="00E13799">
              <w:rPr>
                <w:iCs/>
              </w:rPr>
              <w:t xml:space="preserve"> </w:t>
            </w:r>
            <w:r w:rsidR="00D823D9">
              <w:rPr>
                <w:iCs/>
              </w:rPr>
              <w:t>travelling</w:t>
            </w:r>
            <w:r w:rsidR="00E13799">
              <w:rPr>
                <w:iCs/>
              </w:rPr>
              <w:t xml:space="preserve"> fees to </w:t>
            </w:r>
            <w:r w:rsidR="004630FE" w:rsidRPr="0041454F">
              <w:rPr>
                <w:iCs/>
              </w:rPr>
              <w:t xml:space="preserve">appear </w:t>
            </w:r>
            <w:r w:rsidR="00E13799" w:rsidRPr="0041454F">
              <w:rPr>
                <w:iCs/>
              </w:rPr>
              <w:t>before</w:t>
            </w:r>
            <w:r w:rsidR="00E13799">
              <w:rPr>
                <w:iCs/>
              </w:rPr>
              <w:t xml:space="preserve"> court</w:t>
            </w:r>
            <w:r w:rsidR="00D42EA3">
              <w:rPr>
                <w:iCs/>
              </w:rPr>
              <w:t xml:space="preserve">. </w:t>
            </w:r>
            <w:r w:rsidR="00F848AA" w:rsidRPr="00911B40">
              <w:rPr>
                <w:iCs/>
              </w:rPr>
              <w:t xml:space="preserve">It is Ms Uushona’s submission that there is no difference between the terms ‘costs’ and </w:t>
            </w:r>
            <w:r w:rsidR="000C7802" w:rsidRPr="00911B40">
              <w:rPr>
                <w:iCs/>
              </w:rPr>
              <w:t>‘disbursements’</w:t>
            </w:r>
            <w:r w:rsidR="00887C34">
              <w:rPr>
                <w:iCs/>
              </w:rPr>
              <w:t>.</w:t>
            </w:r>
          </w:p>
          <w:p w14:paraId="1BFA82A8" w14:textId="77777777" w:rsidR="00A20DA3" w:rsidRPr="00730C79" w:rsidRDefault="00A20DA3" w:rsidP="009143F4">
            <w:pPr>
              <w:pStyle w:val="ListParagraph"/>
              <w:spacing w:line="360" w:lineRule="auto"/>
              <w:rPr>
                <w:rFonts w:ascii="Arial" w:hAnsi="Arial" w:cs="Arial"/>
              </w:rPr>
            </w:pPr>
          </w:p>
          <w:p w14:paraId="2DBE29FA" w14:textId="3A1B94D7" w:rsidR="00C200C7" w:rsidRPr="00911116" w:rsidRDefault="00A20DA3" w:rsidP="009143F4">
            <w:pPr>
              <w:pStyle w:val="BodyText"/>
              <w:numPr>
                <w:ilvl w:val="0"/>
                <w:numId w:val="8"/>
              </w:numPr>
              <w:tabs>
                <w:tab w:val="clear" w:pos="729"/>
              </w:tabs>
              <w:ind w:left="0" w:firstLine="0"/>
              <w:rPr>
                <w:i/>
              </w:rPr>
            </w:pPr>
            <w:r>
              <w:rPr>
                <w:iCs/>
              </w:rPr>
              <w:t xml:space="preserve">Ms Uushona </w:t>
            </w:r>
            <w:r w:rsidR="002E3636">
              <w:rPr>
                <w:iCs/>
              </w:rPr>
              <w:t>argues</w:t>
            </w:r>
            <w:r w:rsidR="000A3468">
              <w:rPr>
                <w:iCs/>
              </w:rPr>
              <w:t xml:space="preserve"> that she is entitled to costs on an attorney-client</w:t>
            </w:r>
            <w:r w:rsidR="00D823D9">
              <w:rPr>
                <w:iCs/>
              </w:rPr>
              <w:t xml:space="preserve"> </w:t>
            </w:r>
            <w:r w:rsidR="000A3468">
              <w:rPr>
                <w:iCs/>
              </w:rPr>
              <w:t>scale</w:t>
            </w:r>
            <w:r w:rsidR="009143F4">
              <w:rPr>
                <w:iCs/>
              </w:rPr>
              <w:t>,</w:t>
            </w:r>
            <w:r w:rsidR="000A3468">
              <w:rPr>
                <w:iCs/>
              </w:rPr>
              <w:t xml:space="preserve"> </w:t>
            </w:r>
            <w:r w:rsidR="002E3636">
              <w:rPr>
                <w:iCs/>
              </w:rPr>
              <w:t xml:space="preserve">which argument is premised on </w:t>
            </w:r>
            <w:r w:rsidR="007E1721">
              <w:rPr>
                <w:iCs/>
              </w:rPr>
              <w:t xml:space="preserve">the </w:t>
            </w:r>
            <w:r w:rsidR="00043D34">
              <w:rPr>
                <w:iCs/>
              </w:rPr>
              <w:t>COW</w:t>
            </w:r>
            <w:r w:rsidR="007E1721">
              <w:rPr>
                <w:iCs/>
              </w:rPr>
              <w:t>’s</w:t>
            </w:r>
            <w:r w:rsidR="00277C68">
              <w:rPr>
                <w:iCs/>
              </w:rPr>
              <w:t xml:space="preserve"> alleged</w:t>
            </w:r>
            <w:r w:rsidR="007E1721">
              <w:rPr>
                <w:iCs/>
              </w:rPr>
              <w:t xml:space="preserve"> ‘abuse of court process’</w:t>
            </w:r>
            <w:r w:rsidR="00E82296">
              <w:rPr>
                <w:iCs/>
              </w:rPr>
              <w:t xml:space="preserve">, its </w:t>
            </w:r>
            <w:r w:rsidR="00BE2A89">
              <w:rPr>
                <w:iCs/>
              </w:rPr>
              <w:t xml:space="preserve">conduct </w:t>
            </w:r>
            <w:r w:rsidR="00B3562E">
              <w:rPr>
                <w:iCs/>
              </w:rPr>
              <w:t>which is</w:t>
            </w:r>
            <w:r w:rsidR="00221034">
              <w:rPr>
                <w:iCs/>
              </w:rPr>
              <w:t xml:space="preserve"> ‘</w:t>
            </w:r>
            <w:r w:rsidR="001700F8">
              <w:rPr>
                <w:iCs/>
              </w:rPr>
              <w:t>frivolous</w:t>
            </w:r>
            <w:r w:rsidR="00C37C92">
              <w:rPr>
                <w:iCs/>
              </w:rPr>
              <w:t xml:space="preserve">, vindictive, </w:t>
            </w:r>
            <w:r w:rsidR="001700F8">
              <w:rPr>
                <w:iCs/>
              </w:rPr>
              <w:t>oppressive, reckless</w:t>
            </w:r>
            <w:r w:rsidR="00CA0C5A">
              <w:rPr>
                <w:iCs/>
              </w:rPr>
              <w:t xml:space="preserve"> and vexatious’</w:t>
            </w:r>
            <w:r w:rsidR="00E82296">
              <w:rPr>
                <w:iCs/>
              </w:rPr>
              <w:t xml:space="preserve"> and the fact that she regards herself as the ‘successful party’ in this application.</w:t>
            </w:r>
          </w:p>
          <w:p w14:paraId="199DC7FB" w14:textId="77777777" w:rsidR="00911116" w:rsidRPr="0004663E" w:rsidRDefault="00911116" w:rsidP="00911116">
            <w:pPr>
              <w:pStyle w:val="BodyText"/>
              <w:tabs>
                <w:tab w:val="clear" w:pos="729"/>
              </w:tabs>
              <w:rPr>
                <w:i/>
              </w:rPr>
            </w:pPr>
          </w:p>
          <w:p w14:paraId="693EED26" w14:textId="687E4FB4" w:rsidR="00CE55EE" w:rsidRDefault="00CE55EE" w:rsidP="00CE55EE">
            <w:pPr>
              <w:pStyle w:val="BodyText"/>
              <w:rPr>
                <w:i/>
              </w:rPr>
            </w:pPr>
            <w:r>
              <w:rPr>
                <w:i/>
              </w:rPr>
              <w:t>On behalf of the</w:t>
            </w:r>
            <w:r w:rsidR="00664FEA">
              <w:rPr>
                <w:i/>
              </w:rPr>
              <w:t xml:space="preserve"> first</w:t>
            </w:r>
            <w:r>
              <w:rPr>
                <w:i/>
              </w:rPr>
              <w:t xml:space="preserve"> respondent</w:t>
            </w:r>
          </w:p>
          <w:p w14:paraId="2E1CACE3" w14:textId="77777777" w:rsidR="00CE55EE" w:rsidRPr="0004663E" w:rsidRDefault="00CE55EE" w:rsidP="00CE55EE">
            <w:pPr>
              <w:pStyle w:val="BodyText"/>
              <w:rPr>
                <w:i/>
              </w:rPr>
            </w:pPr>
          </w:p>
          <w:p w14:paraId="6D3D9F47" w14:textId="13C4EDCB" w:rsidR="00CE55EE" w:rsidRDefault="00CE55EE" w:rsidP="0059629D">
            <w:pPr>
              <w:pStyle w:val="BodyText"/>
              <w:numPr>
                <w:ilvl w:val="0"/>
                <w:numId w:val="8"/>
              </w:numPr>
              <w:tabs>
                <w:tab w:val="clear" w:pos="729"/>
              </w:tabs>
              <w:ind w:left="0" w:firstLine="0"/>
            </w:pPr>
            <w:r>
              <w:t>Mr</w:t>
            </w:r>
            <w:r w:rsidR="00200718">
              <w:t xml:space="preserve"> Tjituri</w:t>
            </w:r>
            <w:r w:rsidR="00C57315">
              <w:t xml:space="preserve">, for the </w:t>
            </w:r>
            <w:r w:rsidR="00043D34">
              <w:t>COW</w:t>
            </w:r>
            <w:r w:rsidR="00C57315">
              <w:t xml:space="preserve">, </w:t>
            </w:r>
            <w:r>
              <w:t xml:space="preserve">argued </w:t>
            </w:r>
            <w:r w:rsidRPr="009A084E">
              <w:t xml:space="preserve">that </w:t>
            </w:r>
            <w:r w:rsidR="005E7338">
              <w:t xml:space="preserve">the </w:t>
            </w:r>
            <w:r w:rsidR="00043D34">
              <w:t>COW</w:t>
            </w:r>
            <w:r w:rsidR="005E7338">
              <w:t xml:space="preserve"> was</w:t>
            </w:r>
            <w:r w:rsidR="009143F4">
              <w:t>,</w:t>
            </w:r>
            <w:r w:rsidR="005E7338">
              <w:t xml:space="preserve"> by virtue of</w:t>
            </w:r>
            <w:r w:rsidR="001E681F">
              <w:t xml:space="preserve"> </w:t>
            </w:r>
            <w:r w:rsidR="0064475B" w:rsidRPr="00043D34">
              <w:t>r</w:t>
            </w:r>
            <w:r w:rsidR="00F55D65" w:rsidRPr="00043D34">
              <w:t xml:space="preserve">egulation 21 of the Water Supply </w:t>
            </w:r>
            <w:r w:rsidR="0064475B" w:rsidRPr="00043D34">
              <w:t>R</w:t>
            </w:r>
            <w:r w:rsidR="00F55D65" w:rsidRPr="00043D34">
              <w:t>egulations</w:t>
            </w:r>
            <w:r w:rsidR="009143F4">
              <w:t>,</w:t>
            </w:r>
            <w:r w:rsidR="00880B7C" w:rsidRPr="00043D34">
              <w:rPr>
                <w:rStyle w:val="FootnoteReference"/>
              </w:rPr>
              <w:footnoteReference w:id="2"/>
            </w:r>
            <w:r w:rsidR="001E681F">
              <w:t xml:space="preserve"> </w:t>
            </w:r>
            <w:r w:rsidR="00DD127F">
              <w:t xml:space="preserve">entitled to </w:t>
            </w:r>
            <w:r w:rsidR="00C833C0">
              <w:t>disconnect municipal supplies to the property</w:t>
            </w:r>
            <w:r w:rsidR="0064475B">
              <w:t xml:space="preserve">. This regulation </w:t>
            </w:r>
            <w:r w:rsidR="00F04FF9">
              <w:t xml:space="preserve">gives the </w:t>
            </w:r>
            <w:r w:rsidR="00043D34" w:rsidRPr="00043D34">
              <w:t>C</w:t>
            </w:r>
            <w:r w:rsidR="00DA5CAC" w:rsidRPr="00043D34">
              <w:t xml:space="preserve">ouncil for the </w:t>
            </w:r>
            <w:r w:rsidR="00B91C11" w:rsidRPr="00043D34">
              <w:t>Municipality of Windhoek</w:t>
            </w:r>
            <w:r w:rsidR="00F04FF9">
              <w:t xml:space="preserve"> the </w:t>
            </w:r>
            <w:r w:rsidR="00AC0AC9">
              <w:t>power</w:t>
            </w:r>
            <w:r w:rsidR="00F04FF9">
              <w:t xml:space="preserve"> to </w:t>
            </w:r>
            <w:r w:rsidR="00ED02E5">
              <w:t xml:space="preserve">suspend </w:t>
            </w:r>
            <w:r w:rsidR="002420AF">
              <w:t xml:space="preserve">forthwith the supply of water to a consumer who </w:t>
            </w:r>
            <w:r w:rsidR="00B42328">
              <w:t>faile</w:t>
            </w:r>
            <w:r w:rsidR="00641799">
              <w:t xml:space="preserve">d </w:t>
            </w:r>
            <w:r w:rsidR="00B42328">
              <w:t xml:space="preserve">to pay </w:t>
            </w:r>
            <w:r w:rsidR="008E665F">
              <w:t xml:space="preserve">accounts due to the </w:t>
            </w:r>
            <w:r w:rsidR="009978C3">
              <w:t>c</w:t>
            </w:r>
            <w:r w:rsidR="008E665F">
              <w:t>ouncil</w:t>
            </w:r>
            <w:r w:rsidR="002B735C">
              <w:t>.</w:t>
            </w:r>
          </w:p>
          <w:p w14:paraId="431DD658" w14:textId="77777777" w:rsidR="00FD35F6" w:rsidRDefault="00FD35F6" w:rsidP="00FD35F6">
            <w:pPr>
              <w:pStyle w:val="BodyText"/>
              <w:tabs>
                <w:tab w:val="clear" w:pos="729"/>
              </w:tabs>
            </w:pPr>
          </w:p>
          <w:p w14:paraId="694745A3" w14:textId="2BB06BBF" w:rsidR="00FD35F6" w:rsidRDefault="00200718" w:rsidP="009143F4">
            <w:pPr>
              <w:pStyle w:val="BodyText"/>
              <w:numPr>
                <w:ilvl w:val="0"/>
                <w:numId w:val="8"/>
              </w:numPr>
              <w:tabs>
                <w:tab w:val="clear" w:pos="729"/>
              </w:tabs>
              <w:ind w:left="0" w:firstLine="0"/>
            </w:pPr>
            <w:r>
              <w:t>Mr Tjitu</w:t>
            </w:r>
            <w:r w:rsidR="00A254B9">
              <w:t>ri</w:t>
            </w:r>
            <w:r w:rsidR="002C4AA4">
              <w:t xml:space="preserve"> </w:t>
            </w:r>
            <w:r w:rsidR="00A254B9">
              <w:t xml:space="preserve">submitted that </w:t>
            </w:r>
            <w:r w:rsidR="00ED051E">
              <w:t xml:space="preserve">(a) </w:t>
            </w:r>
            <w:r w:rsidR="00A254B9">
              <w:t xml:space="preserve">the disconnection </w:t>
            </w:r>
            <w:r w:rsidR="00CF6ED4">
              <w:t>was the result of</w:t>
            </w:r>
            <w:r w:rsidR="00A254B9">
              <w:t xml:space="preserve"> a</w:t>
            </w:r>
            <w:r w:rsidR="00CF6ED4">
              <w:t xml:space="preserve">n </w:t>
            </w:r>
            <w:r w:rsidR="00A254B9">
              <w:t>account</w:t>
            </w:r>
            <w:r w:rsidR="00CF6ED4">
              <w:t xml:space="preserve"> </w:t>
            </w:r>
            <w:r w:rsidR="00B64332">
              <w:t>registered</w:t>
            </w:r>
            <w:r w:rsidR="00AC2D5C">
              <w:t xml:space="preserve"> with the council over the property,</w:t>
            </w:r>
            <w:r w:rsidR="00A254B9">
              <w:t xml:space="preserve"> which</w:t>
            </w:r>
            <w:r w:rsidR="00AC2D5C">
              <w:t xml:space="preserve"> </w:t>
            </w:r>
            <w:r w:rsidR="00A254B9">
              <w:t>has been in arrears for months</w:t>
            </w:r>
            <w:r w:rsidR="00A97D0C">
              <w:t>,</w:t>
            </w:r>
            <w:r w:rsidR="00ED051E">
              <w:t xml:space="preserve"> and (b) it</w:t>
            </w:r>
            <w:r w:rsidR="00D51D80">
              <w:t xml:space="preserve"> is for this</w:t>
            </w:r>
            <w:r w:rsidR="00846C57">
              <w:t xml:space="preserve"> reason </w:t>
            </w:r>
            <w:r w:rsidR="00D51D80">
              <w:t xml:space="preserve">that </w:t>
            </w:r>
            <w:r w:rsidR="00846C57">
              <w:t xml:space="preserve">the </w:t>
            </w:r>
            <w:r w:rsidR="00043D34">
              <w:t>COW</w:t>
            </w:r>
            <w:r w:rsidR="00846C57">
              <w:t xml:space="preserve"> was not </w:t>
            </w:r>
            <w:r w:rsidR="009143F4">
              <w:t>frivolous</w:t>
            </w:r>
            <w:r w:rsidR="00F36229">
              <w:t xml:space="preserve"> or malicious in suspending the municip</w:t>
            </w:r>
            <w:r w:rsidR="00A424F6">
              <w:t xml:space="preserve">al supplies but </w:t>
            </w:r>
            <w:r w:rsidR="00420637">
              <w:t>it ‘</w:t>
            </w:r>
            <w:r w:rsidR="00A424F6">
              <w:t>was intended to resolve an accoun</w:t>
            </w:r>
            <w:r w:rsidR="00674224">
              <w:t>t over which it provided municipal service’.</w:t>
            </w:r>
          </w:p>
          <w:p w14:paraId="1A99EE37" w14:textId="77777777" w:rsidR="0066097E" w:rsidRDefault="0066097E" w:rsidP="009143F4">
            <w:pPr>
              <w:pStyle w:val="ListParagraph"/>
              <w:spacing w:line="360" w:lineRule="auto"/>
            </w:pPr>
          </w:p>
          <w:p w14:paraId="28585B46" w14:textId="4DC80645" w:rsidR="0059629D" w:rsidRDefault="0066097E" w:rsidP="009143F4">
            <w:pPr>
              <w:pStyle w:val="BodyText"/>
              <w:numPr>
                <w:ilvl w:val="0"/>
                <w:numId w:val="8"/>
              </w:numPr>
              <w:tabs>
                <w:tab w:val="clear" w:pos="729"/>
              </w:tabs>
              <w:ind w:left="0" w:firstLine="0"/>
            </w:pPr>
            <w:r>
              <w:t>Mr Tjituri further submits that the municipal supplies w</w:t>
            </w:r>
            <w:r w:rsidR="009143F4">
              <w:t>ere</w:t>
            </w:r>
            <w:r>
              <w:t xml:space="preserve"> reconnected immediately upon </w:t>
            </w:r>
            <w:r w:rsidR="005623D9">
              <w:t>learning the situation on the ground and the plight of the applicant</w:t>
            </w:r>
            <w:r w:rsidR="00C47A81">
              <w:t xml:space="preserve"> (</w:t>
            </w:r>
            <w:r w:rsidR="00043D34">
              <w:t>with reference to</w:t>
            </w:r>
            <w:r w:rsidR="00C47A81">
              <w:t xml:space="preserve"> the </w:t>
            </w:r>
            <w:r w:rsidR="00B05C7A">
              <w:t>matter pending before the Supreme Court)</w:t>
            </w:r>
            <w:r w:rsidR="009143F4">
              <w:t>,</w:t>
            </w:r>
            <w:r w:rsidR="00CC1254">
              <w:t xml:space="preserve"> and for this reason</w:t>
            </w:r>
            <w:r w:rsidR="00507C14">
              <w:t xml:space="preserve"> alone</w:t>
            </w:r>
            <w:r w:rsidR="009143F4">
              <w:t>,</w:t>
            </w:r>
            <w:r w:rsidR="00CC1254">
              <w:t xml:space="preserve"> the municipal supplies were </w:t>
            </w:r>
            <w:r w:rsidR="00CC1254">
              <w:lastRenderedPageBreak/>
              <w:t>restored</w:t>
            </w:r>
            <w:r w:rsidR="00720886">
              <w:t xml:space="preserve">. </w:t>
            </w:r>
            <w:r w:rsidR="00090DAB">
              <w:t xml:space="preserve">Mr Tjituri submits that </w:t>
            </w:r>
            <w:r w:rsidR="005F4E06">
              <w:t xml:space="preserve">for the above reasons, </w:t>
            </w:r>
            <w:r w:rsidR="00090DAB">
              <w:t>the applicant is not entitled to any costs, including disbursement</w:t>
            </w:r>
            <w:r w:rsidR="009143F4">
              <w:t>,</w:t>
            </w:r>
            <w:r w:rsidR="00090DAB">
              <w:t xml:space="preserve"> which might have been reasonably and </w:t>
            </w:r>
            <w:r w:rsidR="004630FE" w:rsidRPr="0041454F">
              <w:t>necessarily</w:t>
            </w:r>
            <w:r w:rsidR="00090DAB">
              <w:t xml:space="preserve"> </w:t>
            </w:r>
            <w:r w:rsidR="00857087">
              <w:t xml:space="preserve">incurred </w:t>
            </w:r>
            <w:r w:rsidR="00090DAB">
              <w:t>to bring this application before court.</w:t>
            </w:r>
          </w:p>
          <w:p w14:paraId="141D74A1" w14:textId="77777777" w:rsidR="0059629D" w:rsidRDefault="0059629D" w:rsidP="007F5C7B">
            <w:pPr>
              <w:pStyle w:val="Heading1"/>
              <w:outlineLvl w:val="0"/>
            </w:pPr>
          </w:p>
          <w:p w14:paraId="764D37EF" w14:textId="63ECF26F" w:rsidR="007F5C7B" w:rsidRPr="007F5C7B" w:rsidRDefault="00CE55EE" w:rsidP="009143F4">
            <w:pPr>
              <w:pStyle w:val="Heading1"/>
              <w:spacing w:line="360" w:lineRule="auto"/>
              <w:outlineLvl w:val="0"/>
            </w:pPr>
            <w:r w:rsidRPr="001147AD">
              <w:t>Discussion</w:t>
            </w:r>
          </w:p>
          <w:p w14:paraId="0B67D565" w14:textId="77777777" w:rsidR="00CE55EE" w:rsidRPr="00ED686D" w:rsidRDefault="00CE55EE" w:rsidP="009143F4">
            <w:pPr>
              <w:spacing w:line="360" w:lineRule="auto"/>
              <w:jc w:val="both"/>
            </w:pPr>
          </w:p>
          <w:p w14:paraId="55ACD122" w14:textId="402460BC" w:rsidR="00B629F1" w:rsidRDefault="00D44261" w:rsidP="009143F4">
            <w:pPr>
              <w:pStyle w:val="BodyText"/>
              <w:numPr>
                <w:ilvl w:val="0"/>
                <w:numId w:val="8"/>
              </w:numPr>
              <w:tabs>
                <w:tab w:val="clear" w:pos="729"/>
              </w:tabs>
              <w:ind w:left="0" w:firstLine="0"/>
            </w:pPr>
            <w:r>
              <w:t>Save to state that t</w:t>
            </w:r>
            <w:r w:rsidR="0057427E">
              <w:t xml:space="preserve">he general rule is that costs follow the </w:t>
            </w:r>
            <w:r w:rsidR="00D823D9">
              <w:t>result</w:t>
            </w:r>
            <w:r w:rsidR="001D45E6">
              <w:t>,</w:t>
            </w:r>
            <w:r>
              <w:t xml:space="preserve"> and a</w:t>
            </w:r>
            <w:r w:rsidR="0057427E" w:rsidRPr="00070971">
              <w:t xml:space="preserve"> secondary</w:t>
            </w:r>
            <w:r w:rsidR="0057427E">
              <w:t xml:space="preserve"> general rule is that costs are in the discretion of the court</w:t>
            </w:r>
            <w:r w:rsidR="004630FE">
              <w:t>,</w:t>
            </w:r>
            <w:r w:rsidR="0057427E" w:rsidRPr="0057427E">
              <w:rPr>
                <w:vertAlign w:val="superscript"/>
              </w:rPr>
              <w:footnoteReference w:id="3"/>
            </w:r>
            <w:r>
              <w:t xml:space="preserve"> </w:t>
            </w:r>
            <w:r w:rsidR="00CE55EE">
              <w:t xml:space="preserve">I do not intend to engage in a long discussion on the </w:t>
            </w:r>
            <w:r w:rsidR="00707B1F">
              <w:t>traditional approach</w:t>
            </w:r>
            <w:r w:rsidR="003E4EDF">
              <w:t xml:space="preserve"> to costs in private law litigation</w:t>
            </w:r>
            <w:r w:rsidR="00CE55EE">
              <w:t xml:space="preserve"> as there </w:t>
            </w:r>
            <w:r w:rsidR="009A084E">
              <w:t>have</w:t>
            </w:r>
            <w:r w:rsidR="00CE55EE">
              <w:t xml:space="preserve"> been man</w:t>
            </w:r>
            <w:r w:rsidR="00CE55EE" w:rsidRPr="009A084E">
              <w:t>y judgment</w:t>
            </w:r>
            <w:r w:rsidR="00BD1EDA" w:rsidRPr="009A084E">
              <w:t>s</w:t>
            </w:r>
            <w:r w:rsidR="00CE55EE" w:rsidRPr="009A084E">
              <w:t xml:space="preserve"> </w:t>
            </w:r>
            <w:r w:rsidR="004630FE" w:rsidRPr="0041454F">
              <w:t>delivered</w:t>
            </w:r>
            <w:r w:rsidR="004630FE">
              <w:t xml:space="preserve"> </w:t>
            </w:r>
            <w:r w:rsidR="00CE55EE" w:rsidRPr="009A084E">
              <w:t xml:space="preserve">by this court in this regard. </w:t>
            </w:r>
            <w:r w:rsidR="00F71AC1">
              <w:t xml:space="preserve">However, </w:t>
            </w:r>
            <w:r w:rsidR="001D45E6">
              <w:t>given</w:t>
            </w:r>
            <w:r w:rsidR="00D93FE9">
              <w:t xml:space="preserve"> the circumstances of this case, I deem it appropriate to </w:t>
            </w:r>
            <w:r w:rsidR="00AB7D05">
              <w:t>deal with costs awarded in favour of a litigant who represented himself or herself</w:t>
            </w:r>
            <w:r w:rsidR="00D81658">
              <w:t xml:space="preserve"> (often referred to as ‘lay litigants’)</w:t>
            </w:r>
            <w:r w:rsidR="004A5752">
              <w:t xml:space="preserve"> </w:t>
            </w:r>
            <w:r w:rsidR="00AF743B">
              <w:t>more comprehensively</w:t>
            </w:r>
            <w:r w:rsidR="00A93677">
              <w:t>.</w:t>
            </w:r>
          </w:p>
          <w:p w14:paraId="55BC6F4A" w14:textId="77777777" w:rsidR="00DA25FA" w:rsidRDefault="00DA25FA" w:rsidP="00DA25FA">
            <w:pPr>
              <w:pStyle w:val="BodyText"/>
              <w:tabs>
                <w:tab w:val="clear" w:pos="729"/>
              </w:tabs>
            </w:pPr>
          </w:p>
          <w:p w14:paraId="73F9A6CA" w14:textId="28C377F9" w:rsidR="00CE55EE" w:rsidRDefault="00CE55EE" w:rsidP="00CE55EE">
            <w:pPr>
              <w:pStyle w:val="BodyText"/>
              <w:numPr>
                <w:ilvl w:val="0"/>
                <w:numId w:val="8"/>
              </w:numPr>
              <w:tabs>
                <w:tab w:val="clear" w:pos="729"/>
              </w:tabs>
              <w:ind w:left="0" w:firstLine="0"/>
            </w:pPr>
            <w:r>
              <w:t xml:space="preserve">In respect </w:t>
            </w:r>
            <w:r w:rsidR="00BD1EDA">
              <w:t xml:space="preserve">of </w:t>
            </w:r>
            <w:r w:rsidR="00A93677">
              <w:t>costs</w:t>
            </w:r>
            <w:r w:rsidR="007D018B">
              <w:t xml:space="preserve"> </w:t>
            </w:r>
            <w:r w:rsidR="00DA220D">
              <w:t xml:space="preserve">awarded to a lay litigant, </w:t>
            </w:r>
            <w:r>
              <w:t xml:space="preserve">rule </w:t>
            </w:r>
            <w:r w:rsidR="00DA220D">
              <w:t xml:space="preserve">125(12) </w:t>
            </w:r>
            <w:r>
              <w:t>pertinently provides that:</w:t>
            </w:r>
          </w:p>
          <w:p w14:paraId="4B80783C" w14:textId="77777777" w:rsidR="007F5C7B" w:rsidRDefault="007F5C7B" w:rsidP="007F5C7B">
            <w:pPr>
              <w:pStyle w:val="BodyText"/>
              <w:tabs>
                <w:tab w:val="clear" w:pos="729"/>
              </w:tabs>
            </w:pPr>
          </w:p>
          <w:p w14:paraId="1A91825F" w14:textId="0D60FABD" w:rsidR="007D018B" w:rsidRPr="00ED686D" w:rsidRDefault="00E46F7E" w:rsidP="007D018B">
            <w:pPr>
              <w:pStyle w:val="BodyText"/>
              <w:rPr>
                <w:sz w:val="22"/>
                <w:szCs w:val="22"/>
              </w:rPr>
            </w:pPr>
            <w:r w:rsidRPr="00E46F7E">
              <w:rPr>
                <w:sz w:val="22"/>
                <w:szCs w:val="22"/>
              </w:rPr>
              <w:tab/>
            </w:r>
            <w:r w:rsidR="007F5C7B">
              <w:rPr>
                <w:sz w:val="22"/>
                <w:szCs w:val="22"/>
              </w:rPr>
              <w:t>‘</w:t>
            </w:r>
            <w:r w:rsidR="00E2575B">
              <w:rPr>
                <w:sz w:val="22"/>
                <w:szCs w:val="22"/>
              </w:rPr>
              <w:t xml:space="preserve">Despite rule 124 and this rule, where costs are </w:t>
            </w:r>
            <w:r w:rsidR="00DC260E">
              <w:rPr>
                <w:sz w:val="22"/>
                <w:szCs w:val="22"/>
              </w:rPr>
              <w:t xml:space="preserve">awarded in favour of a litigant who represents himself or herself, such litigant’s costs are </w:t>
            </w:r>
            <w:r w:rsidR="00DC260E" w:rsidRPr="0001059A">
              <w:rPr>
                <w:sz w:val="22"/>
                <w:szCs w:val="22"/>
                <w:u w:val="single"/>
              </w:rPr>
              <w:t>limited to disbursements</w:t>
            </w:r>
            <w:r w:rsidR="001E4F49" w:rsidRPr="0001059A">
              <w:rPr>
                <w:sz w:val="22"/>
                <w:szCs w:val="22"/>
                <w:u w:val="single"/>
              </w:rPr>
              <w:t xml:space="preserve"> necessarily and reasonably incurred</w:t>
            </w:r>
            <w:r w:rsidR="0001059A">
              <w:rPr>
                <w:sz w:val="22"/>
                <w:szCs w:val="22"/>
              </w:rPr>
              <w:t>…’</w:t>
            </w:r>
          </w:p>
          <w:p w14:paraId="5A1B1479" w14:textId="627D3219" w:rsidR="00CE55EE" w:rsidRDefault="00CE55EE" w:rsidP="00CE55EE">
            <w:pPr>
              <w:pStyle w:val="BodyText"/>
              <w:rPr>
                <w:sz w:val="22"/>
                <w:szCs w:val="22"/>
              </w:rPr>
            </w:pPr>
            <w:r>
              <w:rPr>
                <w:sz w:val="22"/>
                <w:szCs w:val="22"/>
              </w:rPr>
              <w:t>(my emphasis)</w:t>
            </w:r>
          </w:p>
          <w:p w14:paraId="19DF4E76" w14:textId="77777777" w:rsidR="00F52BEC" w:rsidRDefault="00F52BEC" w:rsidP="00F52BEC">
            <w:pPr>
              <w:pStyle w:val="BodyText"/>
              <w:tabs>
                <w:tab w:val="clear" w:pos="729"/>
              </w:tabs>
            </w:pPr>
          </w:p>
          <w:p w14:paraId="4D276571" w14:textId="0DA5685A" w:rsidR="000A0CAC" w:rsidRDefault="00B73D85" w:rsidP="002364C6">
            <w:pPr>
              <w:pStyle w:val="BodyText"/>
              <w:numPr>
                <w:ilvl w:val="0"/>
                <w:numId w:val="8"/>
              </w:numPr>
              <w:tabs>
                <w:tab w:val="clear" w:pos="729"/>
              </w:tabs>
              <w:ind w:left="0" w:firstLine="0"/>
            </w:pPr>
            <w:r>
              <w:t>What the applicant struggles to grasp is that there is a distinct difference between ‘costs’ and ‘disbursements’</w:t>
            </w:r>
            <w:r w:rsidR="00D14F76">
              <w:t xml:space="preserve"> and ‘attorney’ and ‘lay litigant’. </w:t>
            </w:r>
          </w:p>
          <w:p w14:paraId="1E9CBB04" w14:textId="77777777" w:rsidR="008E1643" w:rsidRPr="008E1643" w:rsidRDefault="008E1643" w:rsidP="008E1643">
            <w:pPr>
              <w:pStyle w:val="BodyText"/>
              <w:tabs>
                <w:tab w:val="clear" w:pos="729"/>
              </w:tabs>
              <w:rPr>
                <w:i/>
                <w:iCs/>
              </w:rPr>
            </w:pPr>
          </w:p>
          <w:p w14:paraId="6830033F" w14:textId="7474D302" w:rsidR="00AF40BE" w:rsidRPr="00363302" w:rsidRDefault="00AF40BE" w:rsidP="00363302">
            <w:pPr>
              <w:pStyle w:val="BodyText"/>
              <w:numPr>
                <w:ilvl w:val="0"/>
                <w:numId w:val="8"/>
              </w:numPr>
              <w:tabs>
                <w:tab w:val="clear" w:pos="729"/>
              </w:tabs>
              <w:ind w:left="0" w:firstLine="0"/>
            </w:pPr>
            <w:r w:rsidRPr="00363302">
              <w:t xml:space="preserve">In </w:t>
            </w:r>
            <w:r w:rsidRPr="00D823D9">
              <w:rPr>
                <w:i/>
                <w:iCs/>
              </w:rPr>
              <w:t xml:space="preserve">Kamwi v Standard </w:t>
            </w:r>
            <w:r w:rsidRPr="0041454F">
              <w:rPr>
                <w:i/>
                <w:iCs/>
              </w:rPr>
              <w:t>Bank Namibia Ltd</w:t>
            </w:r>
            <w:r w:rsidRPr="0041454F">
              <w:rPr>
                <w:vertAlign w:val="superscript"/>
              </w:rPr>
              <w:footnoteReference w:id="4"/>
            </w:r>
            <w:r w:rsidRPr="0041454F">
              <w:t xml:space="preserve"> Van Niekerk J, with reference to the definition of the word ‘disburse’, </w:t>
            </w:r>
            <w:r w:rsidR="004630FE" w:rsidRPr="0041454F">
              <w:t>the court</w:t>
            </w:r>
            <w:r w:rsidR="004630FE">
              <w:t xml:space="preserve"> </w:t>
            </w:r>
            <w:r w:rsidRPr="00363302">
              <w:t>held as follows:</w:t>
            </w:r>
          </w:p>
          <w:p w14:paraId="14F96D0B" w14:textId="77777777" w:rsidR="00AF40BE" w:rsidRPr="00286AFA" w:rsidRDefault="00AF40BE" w:rsidP="00AF40BE">
            <w:pPr>
              <w:pStyle w:val="NoSpacing"/>
              <w:spacing w:line="360" w:lineRule="auto"/>
              <w:jc w:val="both"/>
              <w:rPr>
                <w:rFonts w:ascii="Arial" w:hAnsi="Arial" w:cs="Arial"/>
                <w:color w:val="000000" w:themeColor="text1"/>
                <w:lang w:val="en-US" w:eastAsia="en-GB"/>
              </w:rPr>
            </w:pPr>
          </w:p>
          <w:p w14:paraId="3FD9091A" w14:textId="2650CFB7" w:rsidR="00AF40BE" w:rsidRPr="00043D34" w:rsidRDefault="00043D34" w:rsidP="00AF40BE">
            <w:pPr>
              <w:pStyle w:val="NoSpacing"/>
              <w:spacing w:line="360" w:lineRule="auto"/>
              <w:ind w:firstLine="720"/>
              <w:jc w:val="both"/>
              <w:rPr>
                <w:rFonts w:ascii="Arial" w:hAnsi="Arial" w:cs="Arial"/>
                <w:color w:val="000000" w:themeColor="text1"/>
                <w:lang w:val="en-US" w:eastAsia="en-GB"/>
              </w:rPr>
            </w:pPr>
            <w:r>
              <w:rPr>
                <w:rFonts w:ascii="Arial" w:hAnsi="Arial" w:cs="Arial"/>
                <w:color w:val="000000" w:themeColor="text1"/>
                <w:lang w:val="en-US" w:eastAsia="en-GB"/>
              </w:rPr>
              <w:t xml:space="preserve">‘[24] </w:t>
            </w:r>
            <w:r w:rsidR="00AF40BE" w:rsidRPr="00043D34">
              <w:rPr>
                <w:rFonts w:ascii="Arial" w:hAnsi="Arial" w:cs="Arial"/>
                <w:color w:val="000000" w:themeColor="text1"/>
                <w:lang w:eastAsia="en-GB"/>
              </w:rPr>
              <w:t>I think it is also relevant that the applicant, in his approach to the matter, ignores the essential meaning of the word 'disburse', which is 't</w:t>
            </w:r>
            <w:r w:rsidR="00AF40BE" w:rsidRPr="00043D34">
              <w:rPr>
                <w:rFonts w:ascii="Arial" w:hAnsi="Arial" w:cs="Arial"/>
                <w:color w:val="000000" w:themeColor="text1"/>
                <w:lang w:val="en-US" w:eastAsia="en-GB"/>
              </w:rPr>
              <w:t xml:space="preserve">o </w:t>
            </w:r>
            <w:r w:rsidR="00AF40BE" w:rsidRPr="00043D34">
              <w:rPr>
                <w:rFonts w:ascii="Arial" w:hAnsi="Arial" w:cs="Arial"/>
                <w:color w:val="000000" w:themeColor="text1"/>
                <w:lang w:eastAsia="en-GB"/>
              </w:rPr>
              <w:t>pay out', the noun being 'disbursement' (Collins Concise English Dictionary 3 ed 1992), which is defined as 'a paying out; that which is paid' (Chambers Twentieth Century Dictionary new edition 1972); and 'money expended' (Webster's Comprehensive Reference Dictionary and Encyclopedia).</w:t>
            </w:r>
            <w:r>
              <w:rPr>
                <w:rFonts w:ascii="Arial" w:hAnsi="Arial" w:cs="Arial"/>
                <w:color w:val="000000" w:themeColor="text1"/>
                <w:lang w:val="en-US" w:eastAsia="en-GB"/>
              </w:rPr>
              <w:t>’</w:t>
            </w:r>
          </w:p>
          <w:p w14:paraId="11C2BEE6" w14:textId="77777777" w:rsidR="00AA1C63" w:rsidRDefault="00AA1C63" w:rsidP="00AA1C63">
            <w:pPr>
              <w:pStyle w:val="NoSpacing"/>
              <w:spacing w:line="360" w:lineRule="auto"/>
              <w:jc w:val="both"/>
              <w:rPr>
                <w:rFonts w:ascii="Arial" w:hAnsi="Arial" w:cs="Arial"/>
                <w:color w:val="000000" w:themeColor="text1"/>
                <w:lang w:val="en-US" w:eastAsia="en-GB"/>
              </w:rPr>
            </w:pPr>
          </w:p>
          <w:p w14:paraId="5F1645D7" w14:textId="5AC1A8A6" w:rsidR="00D55A61" w:rsidRPr="008D2A1A" w:rsidRDefault="004F5EE8" w:rsidP="00B8388B">
            <w:pPr>
              <w:pStyle w:val="BodyText"/>
              <w:numPr>
                <w:ilvl w:val="0"/>
                <w:numId w:val="8"/>
              </w:numPr>
              <w:tabs>
                <w:tab w:val="clear" w:pos="729"/>
              </w:tabs>
              <w:ind w:left="0" w:firstLine="0"/>
            </w:pPr>
            <w:r>
              <w:lastRenderedPageBreak/>
              <w:t xml:space="preserve">The learned author, </w:t>
            </w:r>
            <w:r w:rsidR="00AA1C63" w:rsidRPr="00C7665C">
              <w:rPr>
                <w:i/>
                <w:iCs/>
              </w:rPr>
              <w:t>Cilliers</w:t>
            </w:r>
            <w:r>
              <w:t>,</w:t>
            </w:r>
            <w:r w:rsidR="00D15195">
              <w:t> defines the concept of ‘costs’</w:t>
            </w:r>
            <w:r w:rsidR="00AA1C63" w:rsidRPr="00AA1C63">
              <w:t xml:space="preserve"> as being the sum of money a court orders one party in proceedings to pay to another party as compensation for the expense of litigation incurred.</w:t>
            </w:r>
            <w:r w:rsidR="00C7665C">
              <w:rPr>
                <w:rStyle w:val="FootnoteReference"/>
              </w:rPr>
              <w:footnoteReference w:id="5"/>
            </w:r>
            <w:r w:rsidR="00AA1C63">
              <w:t xml:space="preserve"> </w:t>
            </w:r>
          </w:p>
          <w:p w14:paraId="58EFAE08" w14:textId="77777777" w:rsidR="00EE2B0D" w:rsidRDefault="00EE2B0D" w:rsidP="00B8388B">
            <w:pPr>
              <w:pStyle w:val="BodyText"/>
              <w:tabs>
                <w:tab w:val="clear" w:pos="729"/>
              </w:tabs>
              <w:rPr>
                <w:i/>
                <w:iCs/>
              </w:rPr>
            </w:pPr>
          </w:p>
          <w:p w14:paraId="29327C27" w14:textId="58978CE9" w:rsidR="00F82047" w:rsidRDefault="00F82047" w:rsidP="00F82047">
            <w:pPr>
              <w:pStyle w:val="BodyText"/>
              <w:numPr>
                <w:ilvl w:val="0"/>
                <w:numId w:val="8"/>
              </w:numPr>
              <w:tabs>
                <w:tab w:val="clear" w:pos="729"/>
              </w:tabs>
              <w:ind w:left="0" w:firstLine="0"/>
            </w:pPr>
            <w:r>
              <w:t xml:space="preserve">The Supreme Court in </w:t>
            </w:r>
            <w:r w:rsidRPr="00F82047">
              <w:rPr>
                <w:i/>
                <w:iCs/>
              </w:rPr>
              <w:t>Kamwi v Standard Bank Namibia Ltd</w:t>
            </w:r>
            <w:r w:rsidRPr="005371F3">
              <w:rPr>
                <w:rStyle w:val="FootnoteReference"/>
              </w:rPr>
              <w:footnoteReference w:id="6"/>
            </w:r>
            <w:r w:rsidRPr="00610392">
              <w:t xml:space="preserve"> </w:t>
            </w:r>
            <w:r>
              <w:t xml:space="preserve">defined </w:t>
            </w:r>
            <w:r w:rsidRPr="00337336">
              <w:t>a</w:t>
            </w:r>
            <w:r w:rsidRPr="002B0C44">
              <w:t xml:space="preserve"> lay</w:t>
            </w:r>
            <w:r w:rsidR="00481BA9">
              <w:t xml:space="preserve"> litigant</w:t>
            </w:r>
            <w:r w:rsidRPr="002B0C44">
              <w:t xml:space="preserve"> </w:t>
            </w:r>
            <w:r w:rsidR="00481BA9">
              <w:t>‘</w:t>
            </w:r>
            <w:r w:rsidRPr="00337336">
              <w:t>as</w:t>
            </w:r>
            <w:r w:rsidRPr="002B0C44">
              <w:t xml:space="preserve"> a person not professionally trained or qualified in law</w:t>
            </w:r>
            <w:r w:rsidR="00D823D9">
              <w:t>’</w:t>
            </w:r>
            <w:r w:rsidRPr="00337336">
              <w:t>.</w:t>
            </w:r>
          </w:p>
          <w:p w14:paraId="417D7741" w14:textId="77777777" w:rsidR="009143F4" w:rsidRPr="00730C79" w:rsidRDefault="009143F4" w:rsidP="008D2A1A">
            <w:pPr>
              <w:pStyle w:val="BodyText"/>
              <w:tabs>
                <w:tab w:val="clear" w:pos="729"/>
              </w:tabs>
              <w:rPr>
                <w:iCs/>
              </w:rPr>
            </w:pPr>
          </w:p>
          <w:p w14:paraId="514635D1" w14:textId="7D2C1FFE" w:rsidR="008D2A1A" w:rsidRPr="00605B43" w:rsidRDefault="008D2A1A" w:rsidP="008D2A1A">
            <w:pPr>
              <w:pStyle w:val="BodyText"/>
              <w:numPr>
                <w:ilvl w:val="0"/>
                <w:numId w:val="8"/>
              </w:numPr>
              <w:tabs>
                <w:tab w:val="clear" w:pos="729"/>
              </w:tabs>
              <w:ind w:left="0" w:firstLine="0"/>
            </w:pPr>
            <w:r w:rsidRPr="009055A5">
              <w:t xml:space="preserve">The general rule </w:t>
            </w:r>
            <w:r w:rsidRPr="0041454F">
              <w:t>with regard</w:t>
            </w:r>
            <w:r w:rsidR="004630FE" w:rsidRPr="0041454F">
              <w:t>s</w:t>
            </w:r>
            <w:r w:rsidRPr="009055A5">
              <w:t xml:space="preserve"> to </w:t>
            </w:r>
            <w:r w:rsidR="009143F4">
              <w:t>lay persons</w:t>
            </w:r>
            <w:r w:rsidRPr="009055A5">
              <w:t xml:space="preserve"> acting for themselves is that they are not allowed to recover fees in respect of their own time and effort in presenting or defending civil litigation but only disbursements necessitated by such litigation.</w:t>
            </w:r>
            <w:r w:rsidRPr="00605B43">
              <w:rPr>
                <w:vertAlign w:val="superscript"/>
              </w:rPr>
              <w:footnoteReference w:id="7"/>
            </w:r>
            <w:r>
              <w:t xml:space="preserve"> </w:t>
            </w:r>
            <w:r w:rsidRPr="00605B43">
              <w:t xml:space="preserve">I deem it appropriate to quote the following passage by Frank AJA, also </w:t>
            </w:r>
            <w:r w:rsidRPr="00BD15A3">
              <w:rPr>
                <w:i/>
                <w:iCs/>
              </w:rPr>
              <w:t>in Kamwi v Standard Bank Namibia Ltd</w:t>
            </w:r>
            <w:r w:rsidR="00FD108D">
              <w:t xml:space="preserve">, supra, </w:t>
            </w:r>
            <w:r w:rsidRPr="00605B43">
              <w:t>where he held that:</w:t>
            </w:r>
          </w:p>
          <w:p w14:paraId="0D8B68B9" w14:textId="77777777" w:rsidR="008D2A1A" w:rsidRPr="0049070B" w:rsidRDefault="008D2A1A" w:rsidP="008D2A1A">
            <w:pPr>
              <w:pStyle w:val="NoSpacing"/>
              <w:spacing w:line="360" w:lineRule="auto"/>
              <w:jc w:val="both"/>
              <w:rPr>
                <w:rFonts w:ascii="Arial" w:hAnsi="Arial" w:cs="Arial"/>
                <w:lang w:val="en-US"/>
              </w:rPr>
            </w:pPr>
          </w:p>
          <w:p w14:paraId="4B262929" w14:textId="23ED6735" w:rsidR="00F82047" w:rsidRPr="0098592A" w:rsidRDefault="000B370D" w:rsidP="008D2A1A">
            <w:pPr>
              <w:pStyle w:val="NoSpacing"/>
              <w:spacing w:line="360" w:lineRule="auto"/>
              <w:ind w:firstLine="720"/>
              <w:jc w:val="both"/>
              <w:rPr>
                <w:rFonts w:ascii="Arial" w:hAnsi="Arial" w:cs="Arial"/>
                <w:color w:val="000000" w:themeColor="text1"/>
                <w:lang w:val="en-US" w:eastAsia="en-GB"/>
              </w:rPr>
            </w:pPr>
            <w:r w:rsidRPr="0098592A">
              <w:rPr>
                <w:rFonts w:ascii="Arial" w:hAnsi="Arial" w:cs="Arial"/>
                <w:color w:val="000000" w:themeColor="text1"/>
              </w:rPr>
              <w:t>‘</w:t>
            </w:r>
            <w:r w:rsidR="008D2A1A" w:rsidRPr="0098592A">
              <w:rPr>
                <w:rFonts w:ascii="Arial" w:hAnsi="Arial" w:cs="Arial"/>
                <w:color w:val="000000" w:themeColor="text1"/>
              </w:rPr>
              <w:t>Only admitted legal practitioners are allowed to represent litigants in litigation and to charge a fee in respect of such services and costs are allowed in respect of the reasonable fees charged by an admitted legal practitioner who represented a client in such litigation. Where a person represents him or herself such person obviously is not using a legal practitioner to assist him or her and hence there are no legal costs in this regard. Persons who are not admitted legal practitioners are in this respect lay persons as they are not professionally qualified in the sense that they cannot represent others in litigation</w:t>
            </w:r>
            <w:r w:rsidRPr="0098592A">
              <w:rPr>
                <w:rFonts w:ascii="Arial" w:hAnsi="Arial" w:cs="Arial"/>
                <w:color w:val="000000" w:themeColor="text1"/>
              </w:rPr>
              <w:t>.’</w:t>
            </w:r>
            <w:r w:rsidR="008D2A1A" w:rsidRPr="0098592A">
              <w:rPr>
                <w:rStyle w:val="FootnoteReference"/>
                <w:rFonts w:ascii="Arial" w:hAnsi="Arial" w:cs="Arial"/>
                <w:color w:val="000000" w:themeColor="text1"/>
                <w:sz w:val="24"/>
                <w:szCs w:val="24"/>
              </w:rPr>
              <w:footnoteReference w:id="8"/>
            </w:r>
          </w:p>
          <w:p w14:paraId="54FEBE97" w14:textId="77777777" w:rsidR="00337336" w:rsidRDefault="00337336" w:rsidP="00337336">
            <w:pPr>
              <w:pStyle w:val="BodyText"/>
              <w:tabs>
                <w:tab w:val="clear" w:pos="729"/>
              </w:tabs>
            </w:pPr>
          </w:p>
          <w:p w14:paraId="5D42806C" w14:textId="0E81AAD4" w:rsidR="003C45F5" w:rsidRPr="003C45F5" w:rsidRDefault="003C45F5" w:rsidP="003C45F5">
            <w:pPr>
              <w:pStyle w:val="BodyText"/>
              <w:numPr>
                <w:ilvl w:val="0"/>
                <w:numId w:val="8"/>
              </w:numPr>
              <w:tabs>
                <w:tab w:val="clear" w:pos="729"/>
              </w:tabs>
              <w:ind w:left="0" w:firstLine="0"/>
            </w:pPr>
            <w:r w:rsidRPr="003C45F5">
              <w:t xml:space="preserve">In </w:t>
            </w:r>
            <w:r w:rsidRPr="003C45F5">
              <w:rPr>
                <w:i/>
                <w:iCs/>
              </w:rPr>
              <w:t>Christian v Metropolitan Life Namibia Retirement Annuity Fund</w:t>
            </w:r>
            <w:r w:rsidR="009143F4">
              <w:rPr>
                <w:i/>
                <w:iCs/>
              </w:rPr>
              <w:t>,</w:t>
            </w:r>
            <w:r w:rsidRPr="003C45F5">
              <w:rPr>
                <w:vertAlign w:val="superscript"/>
              </w:rPr>
              <w:footnoteReference w:id="9"/>
            </w:r>
            <w:r w:rsidRPr="003C45F5">
              <w:rPr>
                <w:vertAlign w:val="superscript"/>
              </w:rPr>
              <w:t> </w:t>
            </w:r>
            <w:r w:rsidRPr="003C45F5">
              <w:t xml:space="preserve"> the applicant, who appeared in person, sought </w:t>
            </w:r>
            <w:r w:rsidRPr="005D7FBD">
              <w:t>payment of all costs in th</w:t>
            </w:r>
            <w:r w:rsidRPr="003C45F5">
              <w:t>at</w:t>
            </w:r>
            <w:r w:rsidRPr="005D7FBD">
              <w:t xml:space="preserve"> matter. </w:t>
            </w:r>
            <w:r w:rsidRPr="003C45F5">
              <w:t xml:space="preserve">The Supreme Court, however, refused to grant such </w:t>
            </w:r>
            <w:r w:rsidR="009143F4">
              <w:t xml:space="preserve">an </w:t>
            </w:r>
            <w:r w:rsidRPr="003C45F5">
              <w:t xml:space="preserve">order as it held that </w:t>
            </w:r>
            <w:r w:rsidRPr="005D7FBD">
              <w:t xml:space="preserve">the issue of costs does not arise except in the form of such disbursements </w:t>
            </w:r>
            <w:r w:rsidRPr="003C45F5">
              <w:t xml:space="preserve">the appellant </w:t>
            </w:r>
            <w:r w:rsidRPr="005D7FBD">
              <w:t>may have</w:t>
            </w:r>
            <w:r w:rsidRPr="003C45F5">
              <w:t xml:space="preserve"> </w:t>
            </w:r>
            <w:r w:rsidRPr="005D7FBD">
              <w:t xml:space="preserve">reasonably incurred in pursuing </w:t>
            </w:r>
            <w:r w:rsidRPr="003C45F5">
              <w:t>the matter as he is a lay litigant.</w:t>
            </w:r>
          </w:p>
          <w:p w14:paraId="2942C614" w14:textId="77777777" w:rsidR="008E5A05" w:rsidRDefault="008E5A05" w:rsidP="008E5A05">
            <w:pPr>
              <w:pStyle w:val="BodyText"/>
              <w:tabs>
                <w:tab w:val="clear" w:pos="729"/>
              </w:tabs>
            </w:pPr>
          </w:p>
          <w:p w14:paraId="039C5107" w14:textId="06A479C1" w:rsidR="009D7C8D" w:rsidRPr="00E5694E" w:rsidRDefault="009D7C8D" w:rsidP="009D7C8D">
            <w:pPr>
              <w:pStyle w:val="BodyText"/>
              <w:numPr>
                <w:ilvl w:val="0"/>
                <w:numId w:val="8"/>
              </w:numPr>
              <w:tabs>
                <w:tab w:val="clear" w:pos="729"/>
              </w:tabs>
              <w:ind w:left="0" w:firstLine="0"/>
            </w:pPr>
            <w:r w:rsidRPr="00532830">
              <w:t xml:space="preserve">A lay litigant is only entitled to his actual disbursement reasonably incurred. Such a disbursement may or may not be the same as those prescribed where legal practitioners are involved. That is for the </w:t>
            </w:r>
            <w:r w:rsidR="003C12A7">
              <w:t>taxing master</w:t>
            </w:r>
            <w:r w:rsidRPr="00532830">
              <w:t xml:space="preserve"> to determine. The concept </w:t>
            </w:r>
            <w:r w:rsidR="009143F4">
              <w:t xml:space="preserve">of </w:t>
            </w:r>
            <w:r w:rsidRPr="00532830">
              <w:t xml:space="preserve">‘actual disbursement </w:t>
            </w:r>
            <w:r w:rsidRPr="00532830">
              <w:lastRenderedPageBreak/>
              <w:t>reasonably incurred’ merely confirms that</w:t>
            </w:r>
            <w:r w:rsidR="009143F4">
              <w:t>,</w:t>
            </w:r>
            <w:r w:rsidRPr="00532830">
              <w:t xml:space="preserve"> in some instances actual expenses may also be unreasonably incurred.</w:t>
            </w:r>
            <w:r w:rsidRPr="009D7C8D">
              <w:rPr>
                <w:vertAlign w:val="superscript"/>
              </w:rPr>
              <w:footnoteReference w:id="10"/>
            </w:r>
            <w:r w:rsidRPr="009D7C8D">
              <w:rPr>
                <w:vertAlign w:val="superscript"/>
              </w:rPr>
              <w:t xml:space="preserve"> </w:t>
            </w:r>
          </w:p>
          <w:p w14:paraId="04AE05C8" w14:textId="77777777" w:rsidR="00CE55EE" w:rsidRDefault="00CE55EE" w:rsidP="00CE55EE">
            <w:pPr>
              <w:pStyle w:val="BodyText"/>
            </w:pPr>
          </w:p>
          <w:p w14:paraId="3116EB65" w14:textId="117CA03B" w:rsidR="007F5C7B" w:rsidRDefault="00CE55EE" w:rsidP="001218B4">
            <w:pPr>
              <w:pStyle w:val="BodyText"/>
              <w:numPr>
                <w:ilvl w:val="0"/>
                <w:numId w:val="8"/>
              </w:numPr>
              <w:tabs>
                <w:tab w:val="clear" w:pos="729"/>
              </w:tabs>
              <w:ind w:left="0" w:firstLine="0"/>
            </w:pPr>
            <w:r>
              <w:t xml:space="preserve">One </w:t>
            </w:r>
            <w:r w:rsidRPr="009A084E">
              <w:t xml:space="preserve">should not </w:t>
            </w:r>
            <w:r w:rsidR="003C12A7" w:rsidRPr="009A084E">
              <w:t>lo</w:t>
            </w:r>
            <w:r w:rsidR="003C12A7">
              <w:t>s</w:t>
            </w:r>
            <w:r w:rsidR="003C12A7" w:rsidRPr="009A084E">
              <w:t>e</w:t>
            </w:r>
            <w:r w:rsidRPr="009A084E">
              <w:t xml:space="preserve"> sight of </w:t>
            </w:r>
            <w:r w:rsidR="004F42CF">
              <w:t xml:space="preserve">the </w:t>
            </w:r>
            <w:r w:rsidR="003C12A7">
              <w:t>purpose</w:t>
            </w:r>
            <w:r w:rsidR="006E558F" w:rsidRPr="009A084E">
              <w:t xml:space="preserve"> </w:t>
            </w:r>
            <w:r w:rsidRPr="009A084E">
              <w:t xml:space="preserve">of </w:t>
            </w:r>
            <w:r w:rsidR="00255302">
              <w:t>a cost award</w:t>
            </w:r>
            <w:r w:rsidR="006646EF">
              <w:t xml:space="preserve">, which is to </w:t>
            </w:r>
            <w:r w:rsidR="00AA3468" w:rsidRPr="00D04635">
              <w:t>create a legal mechanism whereby a successful litigant may be fairly reimbursed for the reasonable legal expenses he or she was compelled to incur by either initiating or defending legal proceedings as a result of another litigant's unjust actions or omissions in the dispute</w:t>
            </w:r>
            <w:r w:rsidR="009143F4">
              <w:t>. Still, one</w:t>
            </w:r>
            <w:r w:rsidR="00855DD9">
              <w:t xml:space="preserve"> </w:t>
            </w:r>
            <w:r w:rsidR="00667658">
              <w:t xml:space="preserve">is not entitled to </w:t>
            </w:r>
            <w:r w:rsidR="00FC6BA1">
              <w:t>make a living or a profit out of lay litigation.</w:t>
            </w:r>
            <w:r w:rsidR="00F85D16">
              <w:rPr>
                <w:rStyle w:val="FootnoteReference"/>
              </w:rPr>
              <w:footnoteReference w:id="11"/>
            </w:r>
          </w:p>
          <w:p w14:paraId="3DC341D4" w14:textId="77777777" w:rsidR="005C2460" w:rsidRPr="004F5EE8" w:rsidRDefault="005C2460" w:rsidP="004F5EE8">
            <w:pPr>
              <w:pStyle w:val="NoSpacing"/>
              <w:spacing w:line="360" w:lineRule="auto"/>
              <w:jc w:val="both"/>
              <w:rPr>
                <w:rFonts w:ascii="Arial" w:hAnsi="Arial" w:cs="Arial"/>
                <w:i/>
                <w:iCs/>
                <w:sz w:val="24"/>
                <w:szCs w:val="24"/>
              </w:rPr>
            </w:pPr>
          </w:p>
          <w:p w14:paraId="16C7689B" w14:textId="751BACB4" w:rsidR="001F1CE5" w:rsidRDefault="001F1CE5" w:rsidP="000622ED">
            <w:pPr>
              <w:pStyle w:val="BodyText"/>
              <w:numPr>
                <w:ilvl w:val="0"/>
                <w:numId w:val="8"/>
              </w:numPr>
              <w:tabs>
                <w:tab w:val="clear" w:pos="729"/>
              </w:tabs>
              <w:ind w:left="0" w:firstLine="0"/>
            </w:pPr>
            <w:r w:rsidRPr="005B3BD0">
              <w:rPr>
                <w:i/>
                <w:iCs/>
              </w:rPr>
              <w:t>Cilliers</w:t>
            </w:r>
            <w:r w:rsidR="00094EBB">
              <w:t>, supra,</w:t>
            </w:r>
            <w:r w:rsidR="005B3BD0">
              <w:t xml:space="preserve"> defines</w:t>
            </w:r>
            <w:r w:rsidR="005B3BD0" w:rsidRPr="005B3BD0">
              <w:t xml:space="preserve"> </w:t>
            </w:r>
            <w:r w:rsidR="005B3BD0">
              <w:t>a</w:t>
            </w:r>
            <w:r w:rsidRPr="000622ED">
              <w:t>ttorney-and-client costs a</w:t>
            </w:r>
            <w:r w:rsidR="005B3BD0">
              <w:t>s</w:t>
            </w:r>
            <w:r w:rsidRPr="000622ED">
              <w:t xml:space="preserve"> the costs that an attorney is entitled to recover from a client for the disbursements made on behalf of the client and for professional services rendered.</w:t>
            </w:r>
            <w:r w:rsidRPr="000622ED">
              <w:rPr>
                <w:vertAlign w:val="superscript"/>
              </w:rPr>
              <w:footnoteReference w:id="12"/>
            </w:r>
          </w:p>
          <w:p w14:paraId="345A18DB" w14:textId="77777777" w:rsidR="000622ED" w:rsidRPr="000622ED" w:rsidRDefault="000622ED" w:rsidP="000622ED">
            <w:pPr>
              <w:pStyle w:val="BodyText"/>
              <w:tabs>
                <w:tab w:val="clear" w:pos="729"/>
              </w:tabs>
            </w:pPr>
          </w:p>
          <w:p w14:paraId="3047A647" w14:textId="0048C245" w:rsidR="008A2D42" w:rsidRDefault="00874205" w:rsidP="005C2460">
            <w:pPr>
              <w:pStyle w:val="BodyText"/>
              <w:numPr>
                <w:ilvl w:val="0"/>
                <w:numId w:val="8"/>
              </w:numPr>
              <w:tabs>
                <w:tab w:val="clear" w:pos="729"/>
              </w:tabs>
              <w:ind w:left="0" w:firstLine="0"/>
            </w:pPr>
            <w:r>
              <w:t xml:space="preserve">The learned author </w:t>
            </w:r>
            <w:r w:rsidR="005B50B7">
              <w:t>further</w:t>
            </w:r>
            <w:r w:rsidR="008A2D42" w:rsidRPr="005C2460">
              <w:t xml:space="preserve"> states the following regarding the granting of costs on</w:t>
            </w:r>
            <w:r w:rsidR="005B50B7">
              <w:t xml:space="preserve"> an</w:t>
            </w:r>
            <w:r w:rsidR="008A2D42" w:rsidRPr="005C2460">
              <w:t xml:space="preserve"> attorney</w:t>
            </w:r>
            <w:r w:rsidR="005B50B7">
              <w:t>-a</w:t>
            </w:r>
            <w:r w:rsidR="008A2D42" w:rsidRPr="005C2460">
              <w:t>nd</w:t>
            </w:r>
            <w:r w:rsidR="005B50B7">
              <w:t>-</w:t>
            </w:r>
            <w:r w:rsidR="008A2D42" w:rsidRPr="005C2460">
              <w:t>client scale:  </w:t>
            </w:r>
          </w:p>
          <w:p w14:paraId="3504FFB5" w14:textId="77777777" w:rsidR="005B3BD0" w:rsidRDefault="005B3BD0" w:rsidP="005B3BD0">
            <w:pPr>
              <w:pStyle w:val="BodyText"/>
              <w:tabs>
                <w:tab w:val="clear" w:pos="729"/>
              </w:tabs>
            </w:pPr>
          </w:p>
          <w:p w14:paraId="15270978" w14:textId="02518752" w:rsidR="005C2460" w:rsidRPr="005C2460" w:rsidRDefault="005C2460" w:rsidP="009143F4">
            <w:pPr>
              <w:pStyle w:val="BodyText"/>
              <w:tabs>
                <w:tab w:val="clear" w:pos="729"/>
              </w:tabs>
              <w:ind w:firstLine="734"/>
              <w:rPr>
                <w:sz w:val="22"/>
                <w:szCs w:val="22"/>
              </w:rPr>
            </w:pPr>
            <w:r w:rsidRPr="005C2460">
              <w:rPr>
                <w:sz w:val="22"/>
                <w:szCs w:val="22"/>
              </w:rPr>
              <w:t>'The ordinary rule is that the successful party is awarded costs as between party and party. An award of attorney and client costs is not lightly granted by the court: the court leans against awarding attorney and client costs, and will grant such costs only on rare occasions. It is clear that normally, the court does not order a litigant to pay the costs of another litigant on the basis of attorney and client unless some special grounds are present.'</w:t>
            </w:r>
            <w:r w:rsidR="00874205">
              <w:rPr>
                <w:rStyle w:val="FootnoteReference"/>
                <w:i/>
                <w:iCs/>
              </w:rPr>
              <w:footnoteReference w:id="13"/>
            </w:r>
            <w:r w:rsidRPr="005C2460">
              <w:rPr>
                <w:sz w:val="22"/>
                <w:szCs w:val="22"/>
              </w:rPr>
              <w:t> </w:t>
            </w:r>
          </w:p>
          <w:p w14:paraId="3C90E747" w14:textId="77777777" w:rsidR="00782634" w:rsidRDefault="00782634" w:rsidP="009143F4">
            <w:pPr>
              <w:pStyle w:val="BodyText"/>
              <w:tabs>
                <w:tab w:val="clear" w:pos="729"/>
              </w:tabs>
            </w:pPr>
          </w:p>
          <w:p w14:paraId="33E9BF7B" w14:textId="02449046" w:rsidR="007D018B" w:rsidRDefault="00CD73DF" w:rsidP="009143F4">
            <w:pPr>
              <w:pStyle w:val="BodyText"/>
              <w:numPr>
                <w:ilvl w:val="0"/>
                <w:numId w:val="8"/>
              </w:numPr>
              <w:tabs>
                <w:tab w:val="clear" w:pos="729"/>
              </w:tabs>
              <w:ind w:left="0" w:firstLine="0"/>
            </w:pPr>
            <w:r>
              <w:t xml:space="preserve">In considering the definitions of a ‘lay </w:t>
            </w:r>
            <w:r w:rsidR="0047691B">
              <w:t>litigant</w:t>
            </w:r>
            <w:r>
              <w:t>’, ‘disbursements’</w:t>
            </w:r>
            <w:r w:rsidR="005E4423">
              <w:t>,</w:t>
            </w:r>
            <w:r>
              <w:t xml:space="preserve"> ‘costs’</w:t>
            </w:r>
            <w:r w:rsidR="00DD44B0">
              <w:t xml:space="preserve"> </w:t>
            </w:r>
            <w:r w:rsidR="005E4423">
              <w:t>and ‘attorney</w:t>
            </w:r>
            <w:r w:rsidR="006F07E0">
              <w:t>-client</w:t>
            </w:r>
            <w:r w:rsidR="00C21C02">
              <w:t>-scale</w:t>
            </w:r>
            <w:r w:rsidR="005E4423">
              <w:t xml:space="preserve">’ </w:t>
            </w:r>
            <w:r w:rsidR="00DD44B0">
              <w:t>as set out above, it</w:t>
            </w:r>
            <w:r w:rsidR="00377DDB">
              <w:t xml:space="preserve"> is not</w:t>
            </w:r>
            <w:r w:rsidR="00DD44B0">
              <w:t xml:space="preserve"> necessary</w:t>
            </w:r>
            <w:r w:rsidR="00377DDB">
              <w:t xml:space="preserve"> for me</w:t>
            </w:r>
            <w:r w:rsidR="00DD44B0">
              <w:t xml:space="preserve"> to </w:t>
            </w:r>
            <w:r w:rsidR="00C21C02">
              <w:t>write an essay</w:t>
            </w:r>
            <w:r w:rsidR="00DD44B0">
              <w:t xml:space="preserve"> o</w:t>
            </w:r>
            <w:r w:rsidR="00C21C02">
              <w:t>n</w:t>
            </w:r>
            <w:r w:rsidR="00DD44B0">
              <w:t xml:space="preserve"> whether the appellant is entitled to costs on an attorney</w:t>
            </w:r>
            <w:r w:rsidR="00C21C02">
              <w:t>-</w:t>
            </w:r>
            <w:r w:rsidR="00DD44B0">
              <w:t>and</w:t>
            </w:r>
            <w:r w:rsidR="00C21C02">
              <w:t>-</w:t>
            </w:r>
            <w:r w:rsidR="00DD44B0">
              <w:t xml:space="preserve">client scale. </w:t>
            </w:r>
            <w:r w:rsidR="006005B9" w:rsidRPr="0041454F">
              <w:t>For</w:t>
            </w:r>
            <w:r w:rsidR="0027525F" w:rsidRPr="0041454F">
              <w:t xml:space="preserve"> </w:t>
            </w:r>
            <w:r w:rsidR="009143F4">
              <w:t xml:space="preserve">the </w:t>
            </w:r>
            <w:r w:rsidR="006005B9" w:rsidRPr="0041454F">
              <w:t>reason</w:t>
            </w:r>
            <w:r w:rsidR="006005B9">
              <w:t xml:space="preserve"> that the app</w:t>
            </w:r>
            <w:r w:rsidR="008803DD">
              <w:t>licant</w:t>
            </w:r>
            <w:r w:rsidR="006005B9">
              <w:t xml:space="preserve"> is a lay litigant and not an attorney, who</w:t>
            </w:r>
            <w:r w:rsidR="0027525F">
              <w:t>se only expenses were disbursements and not costs, she is</w:t>
            </w:r>
            <w:r w:rsidR="00CD42CD">
              <w:t xml:space="preserve"> not</w:t>
            </w:r>
            <w:r w:rsidR="00A24D5E">
              <w:t xml:space="preserve"> entitled to </w:t>
            </w:r>
            <w:r w:rsidR="009143F4">
              <w:t>attorney-client costs</w:t>
            </w:r>
            <w:r w:rsidR="00A24D5E">
              <w:t>.</w:t>
            </w:r>
          </w:p>
          <w:p w14:paraId="67EF5C03" w14:textId="77777777" w:rsidR="00A24D5E" w:rsidRDefault="00A24D5E" w:rsidP="009143F4">
            <w:pPr>
              <w:pStyle w:val="BodyText"/>
              <w:tabs>
                <w:tab w:val="clear" w:pos="729"/>
              </w:tabs>
            </w:pPr>
          </w:p>
          <w:p w14:paraId="3B9BDE4B" w14:textId="02EF9A90" w:rsidR="00D22412" w:rsidRDefault="00CE55EE" w:rsidP="009143F4">
            <w:pPr>
              <w:pStyle w:val="BodyText"/>
              <w:numPr>
                <w:ilvl w:val="0"/>
                <w:numId w:val="8"/>
              </w:numPr>
              <w:tabs>
                <w:tab w:val="clear" w:pos="729"/>
              </w:tabs>
              <w:ind w:left="0" w:firstLine="0"/>
            </w:pPr>
            <w:r>
              <w:t>In my view</w:t>
            </w:r>
            <w:r w:rsidR="004E32FB">
              <w:t>, t</w:t>
            </w:r>
            <w:r w:rsidR="00255302" w:rsidRPr="004E32FB">
              <w:t>he principle is simple</w:t>
            </w:r>
            <w:r w:rsidR="009143F4">
              <w:t>.</w:t>
            </w:r>
            <w:r w:rsidR="00D22412">
              <w:t xml:space="preserve"> </w:t>
            </w:r>
            <w:r w:rsidR="009143F4">
              <w:t>T</w:t>
            </w:r>
            <w:r w:rsidR="00D22412">
              <w:t>he applicant is entitled to recoup her actual disbursements</w:t>
            </w:r>
            <w:r w:rsidR="00DD2EB4">
              <w:t>,</w:t>
            </w:r>
            <w:r w:rsidR="00D22412">
              <w:t xml:space="preserve"> reasonably incurred, </w:t>
            </w:r>
            <w:r w:rsidR="0060087D">
              <w:t>without being enriched at the expense of the respondent.</w:t>
            </w:r>
          </w:p>
          <w:p w14:paraId="65ABCA1F" w14:textId="77777777" w:rsidR="00D22412" w:rsidRDefault="00D22412" w:rsidP="00D22412">
            <w:pPr>
              <w:pStyle w:val="ListParagraph"/>
            </w:pPr>
          </w:p>
          <w:p w14:paraId="3ED79B44" w14:textId="67C3F21F" w:rsidR="00255302" w:rsidRPr="00FF325F" w:rsidRDefault="00255302" w:rsidP="00255302">
            <w:pPr>
              <w:pStyle w:val="BodyText"/>
              <w:numPr>
                <w:ilvl w:val="0"/>
                <w:numId w:val="8"/>
              </w:numPr>
              <w:tabs>
                <w:tab w:val="clear" w:pos="729"/>
              </w:tabs>
              <w:ind w:left="0" w:firstLine="0"/>
            </w:pPr>
            <w:r w:rsidRPr="004E32FB">
              <w:t xml:space="preserve"> </w:t>
            </w:r>
            <w:r w:rsidR="00FF325F">
              <w:t xml:space="preserve">I am guided by </w:t>
            </w:r>
            <w:r w:rsidR="00182CC4">
              <w:t xml:space="preserve">the court in </w:t>
            </w:r>
            <w:r w:rsidR="00182CC4" w:rsidRPr="00182CC4">
              <w:rPr>
                <w:i/>
                <w:iCs/>
              </w:rPr>
              <w:t>Nationwide Detectives &amp; Professional Practitioners CC v Standard Bank of Namibia Ltd</w:t>
            </w:r>
            <w:r w:rsidR="00043D34">
              <w:rPr>
                <w:i/>
                <w:iCs/>
              </w:rPr>
              <w:t>,</w:t>
            </w:r>
            <w:r w:rsidR="00182CC4" w:rsidRPr="00DD2EB4">
              <w:rPr>
                <w:rStyle w:val="FootnoteReference"/>
              </w:rPr>
              <w:footnoteReference w:id="14"/>
            </w:r>
            <w:r w:rsidR="00182CC4">
              <w:t xml:space="preserve"> where </w:t>
            </w:r>
            <w:r w:rsidR="00FF325F">
              <w:t xml:space="preserve">Heathcote AJ, as he then was, </w:t>
            </w:r>
            <w:r w:rsidR="00182CC4">
              <w:t>held that</w:t>
            </w:r>
            <w:r w:rsidR="0001080B">
              <w:t xml:space="preserve">: </w:t>
            </w:r>
            <w:r w:rsidR="00732EA9">
              <w:t>‘</w:t>
            </w:r>
            <w:r w:rsidR="00FF325F">
              <w:t>w</w:t>
            </w:r>
            <w:r w:rsidRPr="00FF325F">
              <w:t>hen granting an order of costs in favour of a lay litigant</w:t>
            </w:r>
            <w:r w:rsidR="00A65C9C">
              <w:t>,</w:t>
            </w:r>
            <w:r w:rsidR="00FF325F">
              <w:t xml:space="preserve"> </w:t>
            </w:r>
            <w:r w:rsidRPr="00FF325F">
              <w:t>the court</w:t>
            </w:r>
            <w:r w:rsidR="0093526A">
              <w:t xml:space="preserve"> </w:t>
            </w:r>
            <w:r w:rsidRPr="00FF325F">
              <w:t xml:space="preserve">should not simply use the word ‘costs’, but should rather make an order in terms of which the lay litigant is awarded ‘costs limited to actual disbursements reasonably </w:t>
            </w:r>
            <w:r w:rsidR="0093526A">
              <w:t>incurred</w:t>
            </w:r>
            <w:r w:rsidR="00547B89">
              <w:t>.</w:t>
            </w:r>
            <w:r w:rsidRPr="00FF325F">
              <w:t xml:space="preserve"> This is so because, per recognised definition, the concept of costs includes expenses for the labour of a qualified legal practitioner, which can never be applicable </w:t>
            </w:r>
            <w:r w:rsidRPr="00FF325F">
              <w:rPr>
                <w:lang w:val="en-US"/>
              </w:rPr>
              <w:t xml:space="preserve">to </w:t>
            </w:r>
            <w:r w:rsidRPr="00FF325F">
              <w:t>a lay litigant.</w:t>
            </w:r>
            <w:r w:rsidR="00732EA9">
              <w:t>’</w:t>
            </w:r>
          </w:p>
          <w:p w14:paraId="1D0230F7" w14:textId="77777777" w:rsidR="001541F5" w:rsidRPr="00AB7BAE" w:rsidRDefault="001541F5" w:rsidP="00AB7BAE">
            <w:pPr>
              <w:spacing w:line="360" w:lineRule="auto"/>
              <w:jc w:val="both"/>
              <w:rPr>
                <w:rFonts w:ascii="Arial" w:hAnsi="Arial" w:cs="Arial"/>
                <w:sz w:val="24"/>
                <w:szCs w:val="24"/>
                <w:u w:val="single"/>
              </w:rPr>
            </w:pPr>
          </w:p>
          <w:p w14:paraId="781D29AD" w14:textId="77777777" w:rsidR="0047362B" w:rsidRDefault="0047362B" w:rsidP="005D0587">
            <w:pPr>
              <w:tabs>
                <w:tab w:val="left" w:pos="729"/>
              </w:tabs>
              <w:spacing w:line="360" w:lineRule="auto"/>
              <w:jc w:val="both"/>
              <w:rPr>
                <w:rFonts w:ascii="Arial" w:hAnsi="Arial" w:cs="Arial"/>
                <w:sz w:val="24"/>
                <w:szCs w:val="24"/>
                <w:u w:val="single"/>
              </w:rPr>
            </w:pPr>
            <w:r w:rsidRPr="0047362B">
              <w:rPr>
                <w:rFonts w:ascii="Arial" w:hAnsi="Arial" w:cs="Arial"/>
                <w:sz w:val="24"/>
                <w:szCs w:val="24"/>
                <w:u w:val="single"/>
              </w:rPr>
              <w:t>Order</w:t>
            </w:r>
          </w:p>
          <w:p w14:paraId="11D4C9A9" w14:textId="77777777" w:rsidR="0047362B" w:rsidRPr="0047362B" w:rsidRDefault="0047362B" w:rsidP="00E922FB">
            <w:pPr>
              <w:tabs>
                <w:tab w:val="left" w:pos="729"/>
              </w:tabs>
              <w:spacing w:line="360" w:lineRule="auto"/>
              <w:jc w:val="both"/>
              <w:rPr>
                <w:rFonts w:ascii="Arial" w:hAnsi="Arial" w:cs="Arial"/>
                <w:sz w:val="24"/>
                <w:szCs w:val="24"/>
                <w:u w:val="single"/>
              </w:rPr>
            </w:pPr>
          </w:p>
          <w:p w14:paraId="2B491CF5" w14:textId="239B65F5" w:rsidR="0047362B" w:rsidRDefault="001D7F5F" w:rsidP="0047362B">
            <w:pPr>
              <w:tabs>
                <w:tab w:val="left" w:pos="729"/>
              </w:tabs>
              <w:spacing w:line="360" w:lineRule="auto"/>
              <w:jc w:val="both"/>
              <w:rPr>
                <w:rFonts w:ascii="Arial" w:hAnsi="Arial" w:cs="Arial"/>
                <w:sz w:val="24"/>
                <w:szCs w:val="24"/>
              </w:rPr>
            </w:pPr>
            <w:r>
              <w:rPr>
                <w:rFonts w:ascii="Arial" w:hAnsi="Arial" w:cs="Arial"/>
                <w:sz w:val="24"/>
                <w:szCs w:val="24"/>
              </w:rPr>
              <w:t>[</w:t>
            </w:r>
            <w:r w:rsidR="00630346">
              <w:rPr>
                <w:rFonts w:ascii="Arial" w:hAnsi="Arial" w:cs="Arial"/>
                <w:sz w:val="24"/>
                <w:szCs w:val="24"/>
              </w:rPr>
              <w:t>26</w:t>
            </w:r>
            <w:r w:rsidR="00C85435" w:rsidRPr="00C85435">
              <w:rPr>
                <w:rFonts w:ascii="Arial" w:hAnsi="Arial" w:cs="Arial"/>
                <w:sz w:val="24"/>
                <w:szCs w:val="24"/>
              </w:rPr>
              <w:t>]</w:t>
            </w:r>
            <w:r w:rsidR="00C85435" w:rsidRPr="00C85435">
              <w:rPr>
                <w:rFonts w:ascii="Arial" w:hAnsi="Arial" w:cs="Arial"/>
                <w:sz w:val="24"/>
                <w:szCs w:val="24"/>
              </w:rPr>
              <w:tab/>
              <w:t>As a result, I make the order as set out above.</w:t>
            </w:r>
          </w:p>
          <w:p w14:paraId="2EE89E33" w14:textId="77777777" w:rsidR="004F42CF" w:rsidRPr="00CA7995" w:rsidRDefault="004F42CF" w:rsidP="0047362B">
            <w:pPr>
              <w:tabs>
                <w:tab w:val="left" w:pos="729"/>
              </w:tabs>
              <w:spacing w:line="360" w:lineRule="auto"/>
              <w:jc w:val="both"/>
              <w:rPr>
                <w:rFonts w:ascii="Arial" w:hAnsi="Arial" w:cs="Arial"/>
                <w:sz w:val="24"/>
                <w:szCs w:val="24"/>
              </w:rPr>
            </w:pPr>
          </w:p>
        </w:tc>
      </w:tr>
      <w:tr w:rsidR="00CA7995" w:rsidRPr="00CA7995" w14:paraId="40594D33" w14:textId="77777777" w:rsidTr="0000513F">
        <w:tc>
          <w:tcPr>
            <w:tcW w:w="5232" w:type="dxa"/>
          </w:tcPr>
          <w:p w14:paraId="6CA51D2F" w14:textId="53D0D58C" w:rsidR="00B40844" w:rsidRPr="00CA7995" w:rsidRDefault="00730C79" w:rsidP="00ED76B2">
            <w:pPr>
              <w:spacing w:line="360" w:lineRule="auto"/>
              <w:jc w:val="center"/>
              <w:rPr>
                <w:rFonts w:ascii="Arial" w:hAnsi="Arial" w:cs="Arial"/>
                <w:b/>
                <w:sz w:val="24"/>
                <w:szCs w:val="24"/>
              </w:rPr>
            </w:pPr>
            <w:r>
              <w:rPr>
                <w:rFonts w:ascii="Arial" w:hAnsi="Arial" w:cs="Arial"/>
                <w:b/>
                <w:sz w:val="24"/>
                <w:szCs w:val="24"/>
              </w:rPr>
              <w:lastRenderedPageBreak/>
              <w:t>Judge’s signature</w:t>
            </w:r>
          </w:p>
        </w:tc>
        <w:tc>
          <w:tcPr>
            <w:tcW w:w="5244" w:type="dxa"/>
            <w:gridSpan w:val="2"/>
          </w:tcPr>
          <w:p w14:paraId="155D88E4"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14:paraId="1B675E9C" w14:textId="77777777" w:rsidTr="0000513F">
        <w:trPr>
          <w:trHeight w:val="1114"/>
        </w:trPr>
        <w:tc>
          <w:tcPr>
            <w:tcW w:w="5232" w:type="dxa"/>
          </w:tcPr>
          <w:p w14:paraId="3CF3641C" w14:textId="77777777" w:rsidR="00B40844" w:rsidRPr="00CA7995" w:rsidRDefault="00B40844" w:rsidP="00937C89">
            <w:pPr>
              <w:spacing w:line="360" w:lineRule="auto"/>
              <w:jc w:val="both"/>
              <w:rPr>
                <w:rFonts w:ascii="Arial" w:hAnsi="Arial" w:cs="Arial"/>
                <w:sz w:val="24"/>
                <w:szCs w:val="24"/>
              </w:rPr>
            </w:pPr>
          </w:p>
          <w:p w14:paraId="6054640E" w14:textId="77777777" w:rsidR="0000513F" w:rsidRDefault="0000513F" w:rsidP="00937C89">
            <w:pPr>
              <w:spacing w:line="360" w:lineRule="auto"/>
              <w:jc w:val="both"/>
              <w:rPr>
                <w:rFonts w:ascii="Arial" w:hAnsi="Arial" w:cs="Arial"/>
                <w:sz w:val="24"/>
                <w:szCs w:val="24"/>
              </w:rPr>
            </w:pPr>
          </w:p>
          <w:p w14:paraId="208F5DC8" w14:textId="77777777" w:rsidR="00B40844" w:rsidRPr="00CA7995" w:rsidRDefault="00B40844" w:rsidP="00937C89">
            <w:pPr>
              <w:spacing w:line="360" w:lineRule="auto"/>
              <w:jc w:val="both"/>
              <w:rPr>
                <w:rFonts w:ascii="Arial" w:hAnsi="Arial" w:cs="Arial"/>
                <w:sz w:val="24"/>
                <w:szCs w:val="24"/>
              </w:rPr>
            </w:pPr>
          </w:p>
        </w:tc>
        <w:tc>
          <w:tcPr>
            <w:tcW w:w="5244" w:type="dxa"/>
            <w:gridSpan w:val="2"/>
          </w:tcPr>
          <w:p w14:paraId="370D7C53" w14:textId="77777777"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14:paraId="4C9728BB" w14:textId="77777777" w:rsidTr="00002E9A">
        <w:tc>
          <w:tcPr>
            <w:tcW w:w="10476" w:type="dxa"/>
            <w:gridSpan w:val="3"/>
          </w:tcPr>
          <w:p w14:paraId="67A55412" w14:textId="77777777"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14:paraId="15C12766" w14:textId="77777777" w:rsidTr="0000513F">
        <w:tc>
          <w:tcPr>
            <w:tcW w:w="5232" w:type="dxa"/>
          </w:tcPr>
          <w:p w14:paraId="5E0260E1" w14:textId="77777777" w:rsidR="00B40844" w:rsidRPr="00CA7995" w:rsidRDefault="001B52B9" w:rsidP="00937C89">
            <w:pPr>
              <w:spacing w:line="360" w:lineRule="auto"/>
              <w:jc w:val="center"/>
              <w:rPr>
                <w:rFonts w:ascii="Arial" w:hAnsi="Arial" w:cs="Arial"/>
                <w:b/>
                <w:sz w:val="24"/>
                <w:szCs w:val="24"/>
              </w:rPr>
            </w:pPr>
            <w:r>
              <w:rPr>
                <w:rFonts w:ascii="Arial" w:hAnsi="Arial" w:cs="Arial"/>
                <w:b/>
                <w:sz w:val="24"/>
                <w:szCs w:val="24"/>
              </w:rPr>
              <w:t>Applicant</w:t>
            </w:r>
          </w:p>
        </w:tc>
        <w:tc>
          <w:tcPr>
            <w:tcW w:w="5244" w:type="dxa"/>
            <w:gridSpan w:val="2"/>
          </w:tcPr>
          <w:p w14:paraId="1C4B7481" w14:textId="1FFA0491" w:rsidR="00B40844" w:rsidRPr="00CA7995" w:rsidRDefault="00246685" w:rsidP="00937C89">
            <w:pPr>
              <w:spacing w:line="360" w:lineRule="auto"/>
              <w:jc w:val="center"/>
              <w:rPr>
                <w:rFonts w:ascii="Arial" w:hAnsi="Arial" w:cs="Arial"/>
                <w:b/>
                <w:sz w:val="24"/>
                <w:szCs w:val="24"/>
              </w:rPr>
            </w:pPr>
            <w:r>
              <w:rPr>
                <w:rFonts w:ascii="Arial" w:hAnsi="Arial" w:cs="Arial"/>
                <w:b/>
                <w:sz w:val="24"/>
                <w:szCs w:val="24"/>
              </w:rPr>
              <w:t xml:space="preserve">First </w:t>
            </w:r>
            <w:r w:rsidR="001B52B9">
              <w:rPr>
                <w:rFonts w:ascii="Arial" w:hAnsi="Arial" w:cs="Arial"/>
                <w:b/>
                <w:sz w:val="24"/>
                <w:szCs w:val="24"/>
              </w:rPr>
              <w:t>Respondent</w:t>
            </w:r>
          </w:p>
        </w:tc>
      </w:tr>
      <w:tr w:rsidR="00CA7995" w:rsidRPr="00CA7995" w14:paraId="4FB7C326" w14:textId="77777777" w:rsidTr="0000513F">
        <w:tc>
          <w:tcPr>
            <w:tcW w:w="5232" w:type="dxa"/>
          </w:tcPr>
          <w:p w14:paraId="77613EAD" w14:textId="6B0838C2" w:rsidR="00246685" w:rsidRPr="0041454F" w:rsidRDefault="00246685" w:rsidP="00937C89">
            <w:pPr>
              <w:spacing w:line="360" w:lineRule="auto"/>
              <w:jc w:val="center"/>
              <w:rPr>
                <w:rFonts w:ascii="Arial" w:hAnsi="Arial" w:cs="Arial"/>
                <w:sz w:val="24"/>
                <w:szCs w:val="24"/>
              </w:rPr>
            </w:pPr>
          </w:p>
          <w:p w14:paraId="2E111FD0" w14:textId="50235ADA" w:rsidR="00B40844" w:rsidRPr="0041454F" w:rsidRDefault="008A10F9" w:rsidP="00937C89">
            <w:pPr>
              <w:spacing w:line="360" w:lineRule="auto"/>
              <w:jc w:val="center"/>
              <w:rPr>
                <w:rFonts w:ascii="Arial" w:hAnsi="Arial" w:cs="Arial"/>
                <w:sz w:val="24"/>
                <w:szCs w:val="24"/>
              </w:rPr>
            </w:pPr>
            <w:r w:rsidRPr="0041454F">
              <w:rPr>
                <w:rFonts w:ascii="Arial" w:hAnsi="Arial" w:cs="Arial"/>
                <w:sz w:val="24"/>
                <w:szCs w:val="24"/>
              </w:rPr>
              <w:t>H Uushona</w:t>
            </w:r>
          </w:p>
          <w:p w14:paraId="61FE4B66" w14:textId="285426AA" w:rsidR="005D0587" w:rsidRPr="0041454F" w:rsidRDefault="008A10F9" w:rsidP="00937C89">
            <w:pPr>
              <w:spacing w:line="360" w:lineRule="auto"/>
              <w:jc w:val="center"/>
              <w:rPr>
                <w:rFonts w:ascii="Arial" w:hAnsi="Arial" w:cs="Arial"/>
                <w:sz w:val="24"/>
                <w:szCs w:val="24"/>
              </w:rPr>
            </w:pPr>
            <w:r w:rsidRPr="0041454F">
              <w:rPr>
                <w:rFonts w:ascii="Arial" w:hAnsi="Arial" w:cs="Arial"/>
                <w:sz w:val="24"/>
                <w:szCs w:val="24"/>
              </w:rPr>
              <w:t>In person</w:t>
            </w:r>
            <w:r w:rsidR="004630FE" w:rsidRPr="0041454F">
              <w:rPr>
                <w:rFonts w:ascii="Arial" w:hAnsi="Arial" w:cs="Arial"/>
                <w:sz w:val="24"/>
                <w:szCs w:val="24"/>
              </w:rPr>
              <w:t>,</w:t>
            </w:r>
          </w:p>
          <w:p w14:paraId="2C6648EB" w14:textId="7B0AB191" w:rsidR="004630FE" w:rsidRPr="0041454F" w:rsidRDefault="004630FE" w:rsidP="00937C89">
            <w:pPr>
              <w:spacing w:line="360" w:lineRule="auto"/>
              <w:jc w:val="center"/>
              <w:rPr>
                <w:rFonts w:ascii="Arial" w:hAnsi="Arial" w:cs="Arial"/>
                <w:sz w:val="24"/>
                <w:szCs w:val="24"/>
              </w:rPr>
            </w:pPr>
            <w:r w:rsidRPr="0041454F">
              <w:rPr>
                <w:rFonts w:ascii="Arial" w:hAnsi="Arial" w:cs="Arial"/>
                <w:sz w:val="24"/>
                <w:szCs w:val="24"/>
              </w:rPr>
              <w:t xml:space="preserve">Windhoek </w:t>
            </w:r>
          </w:p>
          <w:p w14:paraId="44C8FC5F" w14:textId="3B69BCC8" w:rsidR="00B40844" w:rsidRPr="0041454F" w:rsidRDefault="00B40844" w:rsidP="00246685">
            <w:pPr>
              <w:spacing w:line="360" w:lineRule="auto"/>
              <w:jc w:val="center"/>
              <w:rPr>
                <w:rFonts w:ascii="Arial" w:hAnsi="Arial" w:cs="Arial"/>
                <w:sz w:val="24"/>
                <w:szCs w:val="24"/>
              </w:rPr>
            </w:pPr>
          </w:p>
        </w:tc>
        <w:tc>
          <w:tcPr>
            <w:tcW w:w="5244" w:type="dxa"/>
            <w:gridSpan w:val="2"/>
          </w:tcPr>
          <w:p w14:paraId="038F98CB" w14:textId="77777777" w:rsidR="00246685" w:rsidRPr="0041454F" w:rsidRDefault="00246685" w:rsidP="001B52B9">
            <w:pPr>
              <w:spacing w:line="360" w:lineRule="auto"/>
              <w:jc w:val="center"/>
              <w:rPr>
                <w:rFonts w:ascii="Arial" w:hAnsi="Arial" w:cs="Arial"/>
                <w:sz w:val="24"/>
                <w:szCs w:val="24"/>
              </w:rPr>
            </w:pPr>
          </w:p>
          <w:p w14:paraId="6D86A5CC" w14:textId="68AE58BF" w:rsidR="001B52B9" w:rsidRPr="0041454F" w:rsidRDefault="00682D21" w:rsidP="001B52B9">
            <w:pPr>
              <w:spacing w:line="360" w:lineRule="auto"/>
              <w:jc w:val="center"/>
              <w:rPr>
                <w:rFonts w:ascii="Arial" w:hAnsi="Arial" w:cs="Arial"/>
                <w:sz w:val="24"/>
                <w:szCs w:val="24"/>
              </w:rPr>
            </w:pPr>
            <w:r w:rsidRPr="0041454F">
              <w:rPr>
                <w:rFonts w:ascii="Arial" w:hAnsi="Arial" w:cs="Arial"/>
                <w:sz w:val="24"/>
                <w:szCs w:val="24"/>
              </w:rPr>
              <w:t>M Tjituri</w:t>
            </w:r>
            <w:r w:rsidR="00246685" w:rsidRPr="0041454F">
              <w:rPr>
                <w:rFonts w:ascii="Arial" w:hAnsi="Arial" w:cs="Arial"/>
                <w:sz w:val="24"/>
                <w:szCs w:val="24"/>
              </w:rPr>
              <w:t xml:space="preserve"> </w:t>
            </w:r>
          </w:p>
          <w:p w14:paraId="6193626B" w14:textId="60767CC9" w:rsidR="001B52B9" w:rsidRPr="0041454F" w:rsidRDefault="00730C79" w:rsidP="001B52B9">
            <w:pPr>
              <w:spacing w:line="360" w:lineRule="auto"/>
              <w:jc w:val="center"/>
              <w:rPr>
                <w:rFonts w:ascii="Arial" w:hAnsi="Arial" w:cs="Arial"/>
                <w:sz w:val="24"/>
                <w:szCs w:val="24"/>
              </w:rPr>
            </w:pPr>
            <w:r>
              <w:rPr>
                <w:rFonts w:ascii="Arial" w:hAnsi="Arial" w:cs="Arial"/>
                <w:sz w:val="24"/>
                <w:szCs w:val="24"/>
              </w:rPr>
              <w:t>o</w:t>
            </w:r>
            <w:r w:rsidR="009143F4">
              <w:rPr>
                <w:rFonts w:ascii="Arial" w:hAnsi="Arial" w:cs="Arial"/>
                <w:sz w:val="24"/>
                <w:szCs w:val="24"/>
              </w:rPr>
              <w:t xml:space="preserve">f </w:t>
            </w:r>
            <w:r w:rsidR="00682D21" w:rsidRPr="0041454F">
              <w:rPr>
                <w:rFonts w:ascii="Arial" w:hAnsi="Arial" w:cs="Arial"/>
                <w:sz w:val="24"/>
                <w:szCs w:val="24"/>
              </w:rPr>
              <w:t>Tjituri Law Chambers</w:t>
            </w:r>
            <w:r w:rsidR="004630FE" w:rsidRPr="0041454F">
              <w:rPr>
                <w:rFonts w:ascii="Arial" w:hAnsi="Arial" w:cs="Arial"/>
                <w:sz w:val="24"/>
                <w:szCs w:val="24"/>
              </w:rPr>
              <w:t>,</w:t>
            </w:r>
          </w:p>
          <w:p w14:paraId="488920AF" w14:textId="7232150D" w:rsidR="0000513F" w:rsidRPr="0041454F" w:rsidRDefault="004630FE" w:rsidP="004630FE">
            <w:pPr>
              <w:spacing w:line="360" w:lineRule="auto"/>
              <w:jc w:val="center"/>
              <w:rPr>
                <w:rFonts w:ascii="Arial" w:hAnsi="Arial" w:cs="Arial"/>
                <w:sz w:val="24"/>
                <w:szCs w:val="24"/>
              </w:rPr>
            </w:pPr>
            <w:r w:rsidRPr="0041454F">
              <w:rPr>
                <w:rFonts w:ascii="Arial" w:hAnsi="Arial" w:cs="Arial"/>
                <w:sz w:val="24"/>
                <w:szCs w:val="24"/>
              </w:rPr>
              <w:t>Windhoek</w:t>
            </w:r>
          </w:p>
        </w:tc>
      </w:tr>
    </w:tbl>
    <w:p w14:paraId="57C66005" w14:textId="2CB0DD8A" w:rsidR="00B845CF" w:rsidRDefault="00B845CF"/>
    <w:sectPr w:rsidR="00B845CF" w:rsidSect="00E12D38">
      <w:headerReference w:type="default" r:id="rId12"/>
      <w:footerReference w:type="default" r:id="rId13"/>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DB95" w14:textId="77777777" w:rsidR="00BE19AC" w:rsidRDefault="00BE19AC" w:rsidP="00B40844">
      <w:pPr>
        <w:spacing w:after="0" w:line="240" w:lineRule="auto"/>
      </w:pPr>
      <w:r>
        <w:separator/>
      </w:r>
    </w:p>
  </w:endnote>
  <w:endnote w:type="continuationSeparator" w:id="0">
    <w:p w14:paraId="7DEE4077" w14:textId="77777777" w:rsidR="00BE19AC" w:rsidRDefault="00BE19AC" w:rsidP="00B40844">
      <w:pPr>
        <w:spacing w:after="0" w:line="240" w:lineRule="auto"/>
      </w:pPr>
      <w:r>
        <w:continuationSeparator/>
      </w:r>
    </w:p>
  </w:endnote>
  <w:endnote w:type="continuationNotice" w:id="1">
    <w:p w14:paraId="0B67D5DE" w14:textId="77777777" w:rsidR="00BE19AC" w:rsidRDefault="00BE1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604C" w14:textId="77777777"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74FED" w14:textId="77777777" w:rsidR="00BE19AC" w:rsidRDefault="00BE19AC" w:rsidP="00B40844">
      <w:pPr>
        <w:spacing w:after="0" w:line="240" w:lineRule="auto"/>
      </w:pPr>
      <w:r>
        <w:separator/>
      </w:r>
    </w:p>
  </w:footnote>
  <w:footnote w:type="continuationSeparator" w:id="0">
    <w:p w14:paraId="65F66F4E" w14:textId="77777777" w:rsidR="00BE19AC" w:rsidRDefault="00BE19AC" w:rsidP="00B40844">
      <w:pPr>
        <w:spacing w:after="0" w:line="240" w:lineRule="auto"/>
      </w:pPr>
      <w:r>
        <w:continuationSeparator/>
      </w:r>
    </w:p>
  </w:footnote>
  <w:footnote w:type="continuationNotice" w:id="1">
    <w:p w14:paraId="68232AEC" w14:textId="77777777" w:rsidR="00BE19AC" w:rsidRDefault="00BE19AC">
      <w:pPr>
        <w:spacing w:after="0" w:line="240" w:lineRule="auto"/>
      </w:pPr>
    </w:p>
  </w:footnote>
  <w:footnote w:id="2">
    <w:p w14:paraId="6FB13C23" w14:textId="556E44FB" w:rsidR="00880B7C" w:rsidRPr="003C5408" w:rsidRDefault="00880B7C" w:rsidP="003C5408">
      <w:pPr>
        <w:pStyle w:val="NoSpacing"/>
        <w:spacing w:line="360" w:lineRule="auto"/>
        <w:jc w:val="both"/>
        <w:rPr>
          <w:rFonts w:ascii="Arial" w:hAnsi="Arial" w:cs="Arial"/>
          <w:sz w:val="20"/>
          <w:szCs w:val="20"/>
          <w:lang w:val="en-GB"/>
        </w:rPr>
      </w:pPr>
      <w:r w:rsidRPr="003C5408">
        <w:rPr>
          <w:rStyle w:val="FootnoteReference"/>
          <w:rFonts w:ascii="Arial" w:hAnsi="Arial" w:cs="Arial"/>
          <w:sz w:val="20"/>
          <w:szCs w:val="20"/>
        </w:rPr>
        <w:footnoteRef/>
      </w:r>
      <w:r w:rsidRPr="003C5408">
        <w:rPr>
          <w:rFonts w:ascii="Arial" w:hAnsi="Arial" w:cs="Arial"/>
          <w:sz w:val="20"/>
          <w:szCs w:val="20"/>
        </w:rPr>
        <w:t xml:space="preserve"> The Water Supply Regulations promulgated under General Notice No. 367 of 16 December 1996, as amended by General Notice No. 151 of 1 July 1997</w:t>
      </w:r>
      <w:r w:rsidR="00043D34">
        <w:rPr>
          <w:rFonts w:ascii="Arial" w:hAnsi="Arial" w:cs="Arial"/>
          <w:sz w:val="20"/>
          <w:szCs w:val="20"/>
        </w:rPr>
        <w:t>. It should be noted that the first respondent merely referred to the ‘Water Regulations</w:t>
      </w:r>
      <w:r w:rsidR="004630FE">
        <w:rPr>
          <w:rFonts w:ascii="Arial" w:hAnsi="Arial" w:cs="Arial"/>
          <w:sz w:val="20"/>
          <w:szCs w:val="20"/>
        </w:rPr>
        <w:t>’</w:t>
      </w:r>
      <w:r w:rsidR="00043D34">
        <w:rPr>
          <w:rFonts w:ascii="Arial" w:hAnsi="Arial" w:cs="Arial"/>
          <w:sz w:val="20"/>
          <w:szCs w:val="20"/>
        </w:rPr>
        <w:t xml:space="preserve"> in its heads of argument. </w:t>
      </w:r>
    </w:p>
  </w:footnote>
  <w:footnote w:id="3">
    <w:p w14:paraId="7E9BD955" w14:textId="75584ABA" w:rsidR="0057427E" w:rsidRPr="00967B69" w:rsidRDefault="0057427E" w:rsidP="006011FA">
      <w:pPr>
        <w:pStyle w:val="NoSpacing"/>
        <w:spacing w:line="360" w:lineRule="auto"/>
        <w:jc w:val="both"/>
        <w:rPr>
          <w:rFonts w:ascii="Arial" w:hAnsi="Arial" w:cs="Arial"/>
          <w:color w:val="000000" w:themeColor="text1"/>
          <w:sz w:val="20"/>
          <w:szCs w:val="20"/>
          <w:lang w:val="en-US"/>
        </w:rPr>
      </w:pPr>
      <w:r w:rsidRPr="00967B69">
        <w:rPr>
          <w:rStyle w:val="FootnoteReference"/>
          <w:rFonts w:ascii="Arial" w:hAnsi="Arial" w:cs="Arial"/>
          <w:color w:val="000000" w:themeColor="text1"/>
          <w:sz w:val="20"/>
          <w:szCs w:val="20"/>
        </w:rPr>
        <w:footnoteRef/>
      </w:r>
      <w:r w:rsidRPr="00967B69">
        <w:rPr>
          <w:rFonts w:ascii="Arial" w:hAnsi="Arial" w:cs="Arial"/>
          <w:color w:val="000000" w:themeColor="text1"/>
          <w:sz w:val="20"/>
          <w:szCs w:val="20"/>
        </w:rPr>
        <w:t xml:space="preserve"> </w:t>
      </w:r>
      <w:r w:rsidRPr="00967B69">
        <w:rPr>
          <w:rFonts w:ascii="Arial" w:hAnsi="Arial" w:cs="Arial"/>
          <w:i/>
          <w:iCs/>
          <w:color w:val="000000" w:themeColor="text1"/>
          <w:sz w:val="20"/>
          <w:szCs w:val="20"/>
        </w:rPr>
        <w:t>Nambundu v Endobo Properties CC</w:t>
      </w:r>
      <w:r w:rsidRPr="00967B69">
        <w:rPr>
          <w:rFonts w:ascii="Arial" w:hAnsi="Arial" w:cs="Arial"/>
          <w:color w:val="000000" w:themeColor="text1"/>
          <w:sz w:val="20"/>
          <w:szCs w:val="20"/>
        </w:rPr>
        <w:t xml:space="preserve"> (SA 87-2020) [2023] NASC (2 August 2023)</w:t>
      </w:r>
      <w:r w:rsidR="00734667" w:rsidRPr="00967B69">
        <w:rPr>
          <w:rFonts w:ascii="Arial" w:hAnsi="Arial" w:cs="Arial"/>
          <w:color w:val="000000" w:themeColor="text1"/>
          <w:sz w:val="20"/>
          <w:szCs w:val="20"/>
        </w:rPr>
        <w:t xml:space="preserve"> at para 21.</w:t>
      </w:r>
    </w:p>
  </w:footnote>
  <w:footnote w:id="4">
    <w:p w14:paraId="7E862DDB" w14:textId="1CE92FE2" w:rsidR="00AF40BE" w:rsidRPr="00967B69" w:rsidRDefault="00AF40BE" w:rsidP="006011FA">
      <w:pPr>
        <w:pStyle w:val="NoSpacing"/>
        <w:spacing w:line="360" w:lineRule="auto"/>
        <w:jc w:val="both"/>
        <w:rPr>
          <w:rFonts w:ascii="Arial" w:hAnsi="Arial" w:cs="Arial"/>
          <w:color w:val="000000" w:themeColor="text1"/>
          <w:sz w:val="20"/>
          <w:szCs w:val="20"/>
          <w:lang w:val="en-US"/>
        </w:rPr>
      </w:pPr>
      <w:r w:rsidRPr="00967B69">
        <w:rPr>
          <w:rStyle w:val="FootnoteReference"/>
          <w:rFonts w:ascii="Arial" w:hAnsi="Arial" w:cs="Arial"/>
          <w:color w:val="000000" w:themeColor="text1"/>
          <w:sz w:val="20"/>
          <w:szCs w:val="20"/>
        </w:rPr>
        <w:footnoteRef/>
      </w:r>
      <w:r w:rsidRPr="00967B69">
        <w:rPr>
          <w:rFonts w:ascii="Arial" w:hAnsi="Arial" w:cs="Arial"/>
          <w:color w:val="000000" w:themeColor="text1"/>
          <w:sz w:val="20"/>
          <w:szCs w:val="20"/>
        </w:rPr>
        <w:t xml:space="preserve"> </w:t>
      </w:r>
      <w:r w:rsidR="00D823D9" w:rsidRPr="00D823D9">
        <w:rPr>
          <w:rFonts w:ascii="Arial" w:hAnsi="Arial" w:cs="Arial"/>
          <w:i/>
          <w:iCs/>
          <w:sz w:val="20"/>
          <w:szCs w:val="20"/>
        </w:rPr>
        <w:t>Kamwi v Standard Bank Namibia Ltd</w:t>
      </w:r>
      <w:r w:rsidR="00D823D9" w:rsidRPr="00D823D9">
        <w:rPr>
          <w:rFonts w:ascii="Arial" w:hAnsi="Arial" w:cs="Arial"/>
          <w:color w:val="000000" w:themeColor="text1"/>
          <w:sz w:val="20"/>
          <w:szCs w:val="20"/>
          <w:shd w:val="clear" w:color="auto" w:fill="FFFFFF"/>
        </w:rPr>
        <w:t xml:space="preserve"> </w:t>
      </w:r>
      <w:r w:rsidRPr="00D823D9">
        <w:rPr>
          <w:rFonts w:ascii="Arial" w:hAnsi="Arial" w:cs="Arial"/>
          <w:color w:val="000000" w:themeColor="text1"/>
          <w:sz w:val="20"/>
          <w:szCs w:val="20"/>
          <w:shd w:val="clear" w:color="auto" w:fill="FFFFFF"/>
        </w:rPr>
        <w:t>2015 (3) NR 678 (HC</w:t>
      </w:r>
      <w:r w:rsidR="00043D34" w:rsidRPr="00D823D9">
        <w:rPr>
          <w:rFonts w:ascii="Arial" w:hAnsi="Arial" w:cs="Arial"/>
          <w:color w:val="000000" w:themeColor="text1"/>
          <w:sz w:val="20"/>
          <w:szCs w:val="20"/>
          <w:shd w:val="clear" w:color="auto" w:fill="FFFFFF"/>
        </w:rPr>
        <w:t>)</w:t>
      </w:r>
      <w:r w:rsidR="00043D34" w:rsidRPr="00043D34">
        <w:rPr>
          <w:rFonts w:ascii="Arial" w:hAnsi="Arial" w:cs="Arial"/>
          <w:color w:val="000000" w:themeColor="text1"/>
          <w:sz w:val="20"/>
          <w:szCs w:val="20"/>
        </w:rPr>
        <w:t xml:space="preserve"> </w:t>
      </w:r>
      <w:r w:rsidR="00043D34" w:rsidRPr="00967B69">
        <w:rPr>
          <w:rFonts w:ascii="Arial" w:hAnsi="Arial" w:cs="Arial"/>
          <w:color w:val="000000" w:themeColor="text1"/>
          <w:sz w:val="20"/>
          <w:szCs w:val="20"/>
        </w:rPr>
        <w:t xml:space="preserve">at </w:t>
      </w:r>
      <w:r w:rsidR="00043D34" w:rsidRPr="00967B69">
        <w:rPr>
          <w:rFonts w:ascii="Arial" w:hAnsi="Arial" w:cs="Arial"/>
          <w:color w:val="000000" w:themeColor="text1"/>
          <w:sz w:val="20"/>
          <w:szCs w:val="20"/>
          <w:lang w:val="en-US"/>
        </w:rPr>
        <w:t>685I – 686B</w:t>
      </w:r>
      <w:r w:rsidR="00043D34">
        <w:rPr>
          <w:rFonts w:ascii="Arial" w:hAnsi="Arial" w:cs="Arial"/>
          <w:color w:val="000000" w:themeColor="text1"/>
          <w:sz w:val="20"/>
          <w:szCs w:val="20"/>
          <w:shd w:val="clear" w:color="auto" w:fill="FFFFFF"/>
        </w:rPr>
        <w:t>.</w:t>
      </w:r>
      <w:r w:rsidRPr="00967B69">
        <w:rPr>
          <w:rFonts w:ascii="Arial" w:hAnsi="Arial" w:cs="Arial"/>
          <w:color w:val="000000" w:themeColor="text1"/>
          <w:sz w:val="20"/>
          <w:szCs w:val="20"/>
          <w:shd w:val="clear" w:color="auto" w:fill="FFFFFF"/>
        </w:rPr>
        <w:t xml:space="preserve"> </w:t>
      </w:r>
    </w:p>
  </w:footnote>
  <w:footnote w:id="5">
    <w:p w14:paraId="3851531D" w14:textId="3A373643" w:rsidR="00C7665C" w:rsidRPr="00967B69" w:rsidRDefault="00C7665C" w:rsidP="006011FA">
      <w:pPr>
        <w:pStyle w:val="NoSpacing"/>
        <w:spacing w:line="360" w:lineRule="auto"/>
        <w:jc w:val="both"/>
        <w:rPr>
          <w:rFonts w:ascii="Arial" w:hAnsi="Arial" w:cs="Arial"/>
          <w:color w:val="000000" w:themeColor="text1"/>
          <w:sz w:val="20"/>
          <w:szCs w:val="20"/>
          <w:lang w:val="en-US"/>
        </w:rPr>
      </w:pPr>
      <w:r w:rsidRPr="00967B69">
        <w:rPr>
          <w:rStyle w:val="FootnoteReference"/>
          <w:rFonts w:ascii="Arial" w:hAnsi="Arial" w:cs="Arial"/>
          <w:color w:val="000000" w:themeColor="text1"/>
          <w:sz w:val="20"/>
          <w:szCs w:val="20"/>
        </w:rPr>
        <w:footnoteRef/>
      </w:r>
      <w:r w:rsidRPr="00967B69">
        <w:rPr>
          <w:rFonts w:ascii="Arial" w:hAnsi="Arial" w:cs="Arial"/>
          <w:color w:val="000000" w:themeColor="text1"/>
          <w:sz w:val="20"/>
          <w:szCs w:val="20"/>
        </w:rPr>
        <w:t xml:space="preserve"> </w:t>
      </w:r>
      <w:r w:rsidRPr="00967B69">
        <w:rPr>
          <w:rFonts w:ascii="Arial" w:hAnsi="Arial" w:cs="Arial"/>
          <w:color w:val="000000" w:themeColor="text1"/>
          <w:sz w:val="20"/>
          <w:szCs w:val="20"/>
          <w:shd w:val="clear" w:color="auto" w:fill="FFFFFF"/>
        </w:rPr>
        <w:t>A C Cilliers</w:t>
      </w:r>
      <w:r w:rsidRPr="00967B69">
        <w:rPr>
          <w:rStyle w:val="apple-converted-space"/>
          <w:rFonts w:ascii="Arial" w:hAnsi="Arial" w:cs="Arial"/>
          <w:color w:val="000000" w:themeColor="text1"/>
          <w:sz w:val="20"/>
          <w:szCs w:val="20"/>
          <w:shd w:val="clear" w:color="auto" w:fill="FFFFFF"/>
        </w:rPr>
        <w:t> </w:t>
      </w:r>
      <w:r w:rsidRPr="00967B69">
        <w:rPr>
          <w:rStyle w:val="italic"/>
          <w:rFonts w:ascii="Arial" w:hAnsi="Arial" w:cs="Arial"/>
          <w:i/>
          <w:iCs/>
          <w:color w:val="000000" w:themeColor="text1"/>
          <w:sz w:val="20"/>
          <w:szCs w:val="20"/>
        </w:rPr>
        <w:t>Law of Costs</w:t>
      </w:r>
      <w:r w:rsidRPr="00967B69">
        <w:rPr>
          <w:rStyle w:val="apple-converted-space"/>
          <w:rFonts w:ascii="Arial" w:hAnsi="Arial" w:cs="Arial"/>
          <w:color w:val="000000" w:themeColor="text1"/>
          <w:sz w:val="20"/>
          <w:szCs w:val="20"/>
          <w:shd w:val="clear" w:color="auto" w:fill="FFFFFF"/>
        </w:rPr>
        <w:t> </w:t>
      </w:r>
      <w:r w:rsidR="004B69CF" w:rsidRPr="00967B69">
        <w:rPr>
          <w:rStyle w:val="apple-converted-space"/>
          <w:rFonts w:ascii="Arial" w:hAnsi="Arial" w:cs="Arial"/>
          <w:color w:val="000000" w:themeColor="text1"/>
          <w:sz w:val="20"/>
          <w:szCs w:val="20"/>
          <w:shd w:val="clear" w:color="auto" w:fill="FFFFFF"/>
        </w:rPr>
        <w:t xml:space="preserve">issue </w:t>
      </w:r>
      <w:r w:rsidR="00FC7411" w:rsidRPr="00967B69">
        <w:rPr>
          <w:rStyle w:val="apple-converted-space"/>
          <w:rFonts w:ascii="Arial" w:hAnsi="Arial" w:cs="Arial"/>
          <w:color w:val="000000" w:themeColor="text1"/>
          <w:sz w:val="20"/>
          <w:szCs w:val="20"/>
          <w:shd w:val="clear" w:color="auto" w:fill="FFFFFF"/>
        </w:rPr>
        <w:t xml:space="preserve">46 </w:t>
      </w:r>
      <w:r w:rsidRPr="00967B69">
        <w:rPr>
          <w:rFonts w:ascii="Arial" w:hAnsi="Arial" w:cs="Arial"/>
          <w:color w:val="000000" w:themeColor="text1"/>
          <w:sz w:val="20"/>
          <w:szCs w:val="20"/>
          <w:shd w:val="clear" w:color="auto" w:fill="FFFFFF"/>
        </w:rPr>
        <w:t>par</w:t>
      </w:r>
      <w:r w:rsidR="00FC7411" w:rsidRPr="00967B69">
        <w:rPr>
          <w:rFonts w:ascii="Arial" w:hAnsi="Arial" w:cs="Arial"/>
          <w:color w:val="000000" w:themeColor="text1"/>
          <w:sz w:val="20"/>
          <w:szCs w:val="20"/>
          <w:shd w:val="clear" w:color="auto" w:fill="FFFFFF"/>
        </w:rPr>
        <w:t xml:space="preserve"> </w:t>
      </w:r>
      <w:r w:rsidRPr="00967B69">
        <w:rPr>
          <w:rFonts w:ascii="Arial" w:hAnsi="Arial" w:cs="Arial"/>
          <w:color w:val="000000" w:themeColor="text1"/>
          <w:sz w:val="20"/>
          <w:szCs w:val="20"/>
          <w:shd w:val="clear" w:color="auto" w:fill="FFFFFF"/>
        </w:rPr>
        <w:t>1.03</w:t>
      </w:r>
    </w:p>
  </w:footnote>
  <w:footnote w:id="6">
    <w:p w14:paraId="2FB9D03A" w14:textId="438B5ED7" w:rsidR="00F82047" w:rsidRPr="00967B69" w:rsidRDefault="00F82047" w:rsidP="006011FA">
      <w:pPr>
        <w:pStyle w:val="NoSpacing"/>
        <w:spacing w:line="360" w:lineRule="auto"/>
        <w:jc w:val="both"/>
        <w:rPr>
          <w:rFonts w:ascii="Arial" w:hAnsi="Arial" w:cs="Arial"/>
          <w:color w:val="000000" w:themeColor="text1"/>
          <w:sz w:val="20"/>
          <w:szCs w:val="20"/>
          <w:lang w:val="en-US"/>
        </w:rPr>
      </w:pPr>
      <w:r w:rsidRPr="00967B69">
        <w:rPr>
          <w:rStyle w:val="FootnoteReference"/>
          <w:rFonts w:ascii="Arial" w:hAnsi="Arial" w:cs="Arial"/>
          <w:color w:val="000000" w:themeColor="text1"/>
          <w:sz w:val="20"/>
          <w:szCs w:val="20"/>
        </w:rPr>
        <w:footnoteRef/>
      </w:r>
      <w:r w:rsidRPr="00967B69">
        <w:rPr>
          <w:rFonts w:ascii="Arial" w:hAnsi="Arial" w:cs="Arial"/>
          <w:color w:val="000000" w:themeColor="text1"/>
          <w:sz w:val="20"/>
          <w:szCs w:val="20"/>
        </w:rPr>
        <w:t xml:space="preserve"> </w:t>
      </w:r>
      <w:r w:rsidR="00043D34" w:rsidRPr="00967B69">
        <w:rPr>
          <w:rFonts w:ascii="Arial" w:hAnsi="Arial" w:cs="Arial"/>
          <w:i/>
          <w:iCs/>
          <w:color w:val="000000" w:themeColor="text1"/>
          <w:sz w:val="20"/>
          <w:szCs w:val="20"/>
          <w:shd w:val="clear" w:color="auto" w:fill="FFFFFF"/>
        </w:rPr>
        <w:t>Kamwi v Standard Bank Namibia Ltd</w:t>
      </w:r>
      <w:r w:rsidR="00043D34">
        <w:rPr>
          <w:rFonts w:ascii="Arial" w:hAnsi="Arial" w:cs="Arial"/>
          <w:i/>
          <w:iCs/>
          <w:color w:val="000000" w:themeColor="text1"/>
          <w:sz w:val="20"/>
          <w:szCs w:val="20"/>
          <w:shd w:val="clear" w:color="auto" w:fill="FFFFFF"/>
        </w:rPr>
        <w:t xml:space="preserve"> </w:t>
      </w:r>
      <w:r w:rsidR="00043D34" w:rsidRPr="00967B69">
        <w:rPr>
          <w:rFonts w:ascii="Arial" w:hAnsi="Arial" w:cs="Arial"/>
          <w:color w:val="000000" w:themeColor="text1"/>
          <w:sz w:val="20"/>
          <w:szCs w:val="20"/>
        </w:rPr>
        <w:t xml:space="preserve">2020 (4) NR 1038 (SC) </w:t>
      </w:r>
      <w:r w:rsidR="00043D34">
        <w:rPr>
          <w:rFonts w:ascii="Arial" w:hAnsi="Arial" w:cs="Arial"/>
          <w:color w:val="000000" w:themeColor="text1"/>
          <w:sz w:val="20"/>
          <w:szCs w:val="20"/>
        </w:rPr>
        <w:t>at para 11.</w:t>
      </w:r>
    </w:p>
  </w:footnote>
  <w:footnote w:id="7">
    <w:p w14:paraId="1EFB50AC" w14:textId="760F1768" w:rsidR="008D2A1A" w:rsidRPr="00967B69" w:rsidRDefault="008D2A1A" w:rsidP="006011FA">
      <w:pPr>
        <w:pStyle w:val="NoSpacing"/>
        <w:spacing w:line="360" w:lineRule="auto"/>
        <w:jc w:val="both"/>
        <w:rPr>
          <w:rFonts w:ascii="Arial" w:hAnsi="Arial" w:cs="Arial"/>
          <w:color w:val="000000" w:themeColor="text1"/>
          <w:sz w:val="20"/>
          <w:szCs w:val="20"/>
          <w:lang w:val="en-US"/>
        </w:rPr>
      </w:pPr>
      <w:r w:rsidRPr="00967B69">
        <w:rPr>
          <w:rStyle w:val="FootnoteReference"/>
          <w:rFonts w:ascii="Arial" w:hAnsi="Arial" w:cs="Arial"/>
          <w:color w:val="000000" w:themeColor="text1"/>
          <w:sz w:val="20"/>
          <w:szCs w:val="20"/>
        </w:rPr>
        <w:footnoteRef/>
      </w:r>
      <w:r w:rsidRPr="00967B69">
        <w:rPr>
          <w:rFonts w:ascii="Arial" w:hAnsi="Arial" w:cs="Arial"/>
          <w:color w:val="000000" w:themeColor="text1"/>
          <w:sz w:val="20"/>
          <w:szCs w:val="20"/>
        </w:rPr>
        <w:t xml:space="preserve"> </w:t>
      </w:r>
      <w:r w:rsidR="00844B8A" w:rsidRPr="004630FE">
        <w:rPr>
          <w:rFonts w:ascii="Arial" w:hAnsi="Arial" w:cs="Arial"/>
          <w:iCs/>
          <w:color w:val="000000" w:themeColor="text1"/>
          <w:sz w:val="20"/>
          <w:szCs w:val="20"/>
        </w:rPr>
        <w:t>Ibid</w:t>
      </w:r>
      <w:r w:rsidRPr="00967B69">
        <w:rPr>
          <w:rFonts w:ascii="Arial" w:hAnsi="Arial" w:cs="Arial"/>
          <w:color w:val="000000" w:themeColor="text1"/>
          <w:sz w:val="20"/>
          <w:szCs w:val="20"/>
        </w:rPr>
        <w:t xml:space="preserve"> </w:t>
      </w:r>
      <w:r w:rsidR="00844B8A">
        <w:rPr>
          <w:rFonts w:ascii="Arial" w:hAnsi="Arial" w:cs="Arial"/>
          <w:color w:val="000000" w:themeColor="text1"/>
          <w:sz w:val="20"/>
          <w:szCs w:val="20"/>
          <w:lang w:val="en-US"/>
        </w:rPr>
        <w:t>a</w:t>
      </w:r>
      <w:r w:rsidRPr="00967B69">
        <w:rPr>
          <w:rFonts w:ascii="Arial" w:hAnsi="Arial" w:cs="Arial"/>
          <w:color w:val="000000" w:themeColor="text1"/>
          <w:sz w:val="20"/>
          <w:szCs w:val="20"/>
          <w:lang w:val="en-US"/>
        </w:rPr>
        <w:t>t 1042D</w:t>
      </w:r>
      <w:r w:rsidR="00874205">
        <w:rPr>
          <w:rFonts w:ascii="Arial" w:hAnsi="Arial" w:cs="Arial"/>
          <w:color w:val="000000" w:themeColor="text1"/>
          <w:sz w:val="20"/>
          <w:szCs w:val="20"/>
          <w:lang w:val="en-US"/>
        </w:rPr>
        <w:t>.</w:t>
      </w:r>
    </w:p>
  </w:footnote>
  <w:footnote w:id="8">
    <w:p w14:paraId="2A52907B" w14:textId="3C01E7FE" w:rsidR="008D2A1A" w:rsidRPr="00967B69" w:rsidRDefault="008D2A1A" w:rsidP="006011FA">
      <w:pPr>
        <w:pStyle w:val="NoSpacing"/>
        <w:spacing w:line="360" w:lineRule="auto"/>
        <w:jc w:val="both"/>
        <w:rPr>
          <w:rFonts w:ascii="Arial" w:hAnsi="Arial" w:cs="Arial"/>
          <w:color w:val="000000" w:themeColor="text1"/>
          <w:sz w:val="20"/>
          <w:szCs w:val="20"/>
          <w:lang w:val="en-US"/>
        </w:rPr>
      </w:pPr>
      <w:r w:rsidRPr="00967B69">
        <w:rPr>
          <w:rStyle w:val="FootnoteReference"/>
          <w:rFonts w:ascii="Arial" w:hAnsi="Arial" w:cs="Arial"/>
          <w:color w:val="000000" w:themeColor="text1"/>
          <w:sz w:val="20"/>
          <w:szCs w:val="20"/>
        </w:rPr>
        <w:footnoteRef/>
      </w:r>
      <w:r w:rsidRPr="00967B69">
        <w:rPr>
          <w:rFonts w:ascii="Arial" w:hAnsi="Arial" w:cs="Arial"/>
          <w:color w:val="000000" w:themeColor="text1"/>
          <w:sz w:val="20"/>
          <w:szCs w:val="20"/>
        </w:rPr>
        <w:t xml:space="preserve"> </w:t>
      </w:r>
      <w:r w:rsidR="00844B8A" w:rsidRPr="004630FE">
        <w:rPr>
          <w:rFonts w:ascii="Arial" w:hAnsi="Arial" w:cs="Arial"/>
          <w:iCs/>
          <w:color w:val="000000" w:themeColor="text1"/>
          <w:sz w:val="20"/>
          <w:szCs w:val="20"/>
        </w:rPr>
        <w:t>Ibid</w:t>
      </w:r>
      <w:r w:rsidRPr="004630FE">
        <w:rPr>
          <w:rFonts w:ascii="Arial" w:hAnsi="Arial" w:cs="Arial"/>
          <w:color w:val="000000" w:themeColor="text1"/>
          <w:sz w:val="20"/>
          <w:szCs w:val="20"/>
        </w:rPr>
        <w:t xml:space="preserve"> </w:t>
      </w:r>
      <w:r w:rsidR="00844B8A">
        <w:rPr>
          <w:rFonts w:ascii="Arial" w:hAnsi="Arial" w:cs="Arial"/>
          <w:color w:val="000000" w:themeColor="text1"/>
          <w:sz w:val="20"/>
          <w:szCs w:val="20"/>
          <w:lang w:val="en-US"/>
        </w:rPr>
        <w:t>a</w:t>
      </w:r>
      <w:r w:rsidRPr="00967B69">
        <w:rPr>
          <w:rFonts w:ascii="Arial" w:hAnsi="Arial" w:cs="Arial"/>
          <w:color w:val="000000" w:themeColor="text1"/>
          <w:sz w:val="20"/>
          <w:szCs w:val="20"/>
          <w:lang w:val="en-US"/>
        </w:rPr>
        <w:t>t 1042G-H</w:t>
      </w:r>
      <w:r w:rsidR="00874205">
        <w:rPr>
          <w:rFonts w:ascii="Arial" w:hAnsi="Arial" w:cs="Arial"/>
          <w:color w:val="000000" w:themeColor="text1"/>
          <w:sz w:val="20"/>
          <w:szCs w:val="20"/>
          <w:lang w:val="en-US"/>
        </w:rPr>
        <w:t>.</w:t>
      </w:r>
    </w:p>
  </w:footnote>
  <w:footnote w:id="9">
    <w:p w14:paraId="5B459835" w14:textId="03E7CD8F" w:rsidR="003C45F5" w:rsidRPr="00967B69" w:rsidRDefault="003C45F5" w:rsidP="006011FA">
      <w:pPr>
        <w:pStyle w:val="NoSpacing"/>
        <w:spacing w:line="360" w:lineRule="auto"/>
        <w:jc w:val="both"/>
        <w:rPr>
          <w:rFonts w:ascii="Arial" w:hAnsi="Arial" w:cs="Arial"/>
          <w:color w:val="000000" w:themeColor="text1"/>
          <w:sz w:val="20"/>
          <w:szCs w:val="20"/>
          <w:lang w:val="en-US"/>
        </w:rPr>
      </w:pPr>
      <w:r w:rsidRPr="00967B69">
        <w:rPr>
          <w:rStyle w:val="FootnoteReference"/>
          <w:rFonts w:ascii="Arial" w:hAnsi="Arial" w:cs="Arial"/>
          <w:color w:val="000000" w:themeColor="text1"/>
          <w:sz w:val="20"/>
          <w:szCs w:val="20"/>
        </w:rPr>
        <w:footnoteRef/>
      </w:r>
      <w:r w:rsidRPr="00967B69">
        <w:rPr>
          <w:rFonts w:ascii="Arial" w:hAnsi="Arial" w:cs="Arial"/>
          <w:color w:val="000000" w:themeColor="text1"/>
          <w:sz w:val="20"/>
          <w:szCs w:val="20"/>
        </w:rPr>
        <w:t xml:space="preserve"> </w:t>
      </w:r>
      <w:r w:rsidR="00874205" w:rsidRPr="00874205">
        <w:rPr>
          <w:rFonts w:ascii="Arial" w:hAnsi="Arial" w:cs="Arial"/>
          <w:i/>
          <w:iCs/>
          <w:sz w:val="20"/>
          <w:szCs w:val="20"/>
        </w:rPr>
        <w:t>Christian v Metropolitan Life Namibia Retirement Annuity Fund</w:t>
      </w:r>
      <w:r w:rsidR="00874205" w:rsidRPr="00967B69">
        <w:rPr>
          <w:rFonts w:ascii="Arial" w:hAnsi="Arial" w:cs="Arial"/>
          <w:color w:val="000000" w:themeColor="text1"/>
          <w:sz w:val="20"/>
          <w:szCs w:val="20"/>
          <w:shd w:val="clear" w:color="auto" w:fill="FFFFFF"/>
        </w:rPr>
        <w:t xml:space="preserve"> </w:t>
      </w:r>
      <w:r w:rsidRPr="00967B69">
        <w:rPr>
          <w:rFonts w:ascii="Arial" w:hAnsi="Arial" w:cs="Arial"/>
          <w:color w:val="000000" w:themeColor="text1"/>
          <w:sz w:val="20"/>
          <w:szCs w:val="20"/>
          <w:shd w:val="clear" w:color="auto" w:fill="FFFFFF"/>
        </w:rPr>
        <w:t xml:space="preserve">2008 (2) NR 753 (SC) at </w:t>
      </w:r>
      <w:r w:rsidRPr="00967B69">
        <w:rPr>
          <w:rFonts w:ascii="Arial" w:hAnsi="Arial" w:cs="Arial"/>
          <w:color w:val="000000" w:themeColor="text1"/>
          <w:sz w:val="20"/>
          <w:szCs w:val="20"/>
        </w:rPr>
        <w:t>774I – 775A</w:t>
      </w:r>
      <w:r w:rsidR="004630FE">
        <w:rPr>
          <w:rFonts w:ascii="Arial" w:hAnsi="Arial" w:cs="Arial"/>
          <w:color w:val="000000" w:themeColor="text1"/>
          <w:sz w:val="20"/>
          <w:szCs w:val="20"/>
        </w:rPr>
        <w:t>.</w:t>
      </w:r>
    </w:p>
  </w:footnote>
  <w:footnote w:id="10">
    <w:p w14:paraId="1EDD2FB8" w14:textId="14EF0766" w:rsidR="009D7C8D" w:rsidRPr="0041689A" w:rsidRDefault="009D7C8D" w:rsidP="00043D34">
      <w:pPr>
        <w:pStyle w:val="NoSpacing"/>
        <w:spacing w:line="360" w:lineRule="auto"/>
        <w:jc w:val="both"/>
        <w:rPr>
          <w:lang w:val="en-US"/>
        </w:rPr>
      </w:pPr>
      <w:r w:rsidRPr="00967B69">
        <w:rPr>
          <w:rStyle w:val="FootnoteReference"/>
          <w:rFonts w:ascii="Arial" w:hAnsi="Arial" w:cs="Arial"/>
          <w:color w:val="000000" w:themeColor="text1"/>
          <w:sz w:val="20"/>
          <w:szCs w:val="20"/>
        </w:rPr>
        <w:footnoteRef/>
      </w:r>
      <w:r w:rsidRPr="00967B69">
        <w:rPr>
          <w:rFonts w:ascii="Arial" w:hAnsi="Arial" w:cs="Arial"/>
          <w:color w:val="000000" w:themeColor="text1"/>
          <w:sz w:val="20"/>
          <w:szCs w:val="20"/>
        </w:rPr>
        <w:t xml:space="preserve"> </w:t>
      </w:r>
      <w:r w:rsidRPr="00022EBC">
        <w:rPr>
          <w:rFonts w:ascii="Arial" w:hAnsi="Arial" w:cs="Arial"/>
          <w:i/>
          <w:iCs/>
          <w:color w:val="000000" w:themeColor="text1"/>
          <w:sz w:val="20"/>
          <w:szCs w:val="20"/>
        </w:rPr>
        <w:t>Nationwide Detectives &amp; Professional Practitioners CC v Standard Bank of Namibia Ltd 2007</w:t>
      </w:r>
      <w:r w:rsidRPr="00967B69">
        <w:rPr>
          <w:rFonts w:ascii="Arial" w:hAnsi="Arial" w:cs="Arial"/>
          <w:color w:val="000000" w:themeColor="text1"/>
          <w:sz w:val="20"/>
          <w:szCs w:val="20"/>
        </w:rPr>
        <w:t xml:space="preserve"> (2) NR 592 (HC) at </w:t>
      </w:r>
      <w:r w:rsidRPr="00967B69">
        <w:rPr>
          <w:rFonts w:ascii="Arial" w:hAnsi="Arial" w:cs="Arial"/>
          <w:color w:val="000000" w:themeColor="text1"/>
          <w:sz w:val="20"/>
          <w:szCs w:val="20"/>
          <w:lang w:val="en-US"/>
        </w:rPr>
        <w:t>599F</w:t>
      </w:r>
      <w:r w:rsidR="00043D34">
        <w:rPr>
          <w:rFonts w:ascii="Arial" w:hAnsi="Arial" w:cs="Arial"/>
          <w:color w:val="000000" w:themeColor="text1"/>
          <w:sz w:val="20"/>
          <w:szCs w:val="20"/>
          <w:lang w:val="en-US"/>
        </w:rPr>
        <w:t>.</w:t>
      </w:r>
    </w:p>
  </w:footnote>
  <w:footnote w:id="11">
    <w:p w14:paraId="79C3D9DF" w14:textId="1993D542" w:rsidR="00F85D16" w:rsidRPr="006011FA" w:rsidRDefault="00F85D16" w:rsidP="00043D34">
      <w:pPr>
        <w:pStyle w:val="NoSpacing"/>
        <w:spacing w:line="360" w:lineRule="auto"/>
        <w:jc w:val="both"/>
        <w:rPr>
          <w:rFonts w:ascii="Arial" w:hAnsi="Arial" w:cs="Arial"/>
          <w:color w:val="000000" w:themeColor="text1"/>
          <w:sz w:val="20"/>
          <w:szCs w:val="20"/>
        </w:rPr>
      </w:pPr>
      <w:r w:rsidRPr="006011FA">
        <w:rPr>
          <w:rStyle w:val="FootnoteReference"/>
          <w:rFonts w:ascii="Arial" w:hAnsi="Arial" w:cs="Arial"/>
          <w:color w:val="000000" w:themeColor="text1"/>
          <w:sz w:val="20"/>
          <w:szCs w:val="20"/>
        </w:rPr>
        <w:footnoteRef/>
      </w:r>
      <w:r w:rsidRPr="006011FA">
        <w:rPr>
          <w:rFonts w:ascii="Arial" w:hAnsi="Arial" w:cs="Arial"/>
          <w:color w:val="000000" w:themeColor="text1"/>
          <w:sz w:val="20"/>
          <w:szCs w:val="20"/>
        </w:rPr>
        <w:t xml:space="preserve"> </w:t>
      </w:r>
      <w:r w:rsidR="00566718" w:rsidRPr="006011FA">
        <w:rPr>
          <w:rStyle w:val="result-title"/>
          <w:rFonts w:ascii="Arial" w:hAnsi="Arial" w:cs="Arial"/>
          <w:i/>
          <w:iCs/>
          <w:color w:val="000000" w:themeColor="text1"/>
          <w:sz w:val="20"/>
          <w:szCs w:val="20"/>
        </w:rPr>
        <w:t>Afshani and Another v Vaatz</w:t>
      </w:r>
      <w:r w:rsidR="00566718" w:rsidRPr="006011FA">
        <w:rPr>
          <w:rStyle w:val="result-title"/>
          <w:rFonts w:ascii="Arial" w:hAnsi="Arial" w:cs="Arial"/>
          <w:color w:val="000000" w:themeColor="text1"/>
          <w:sz w:val="20"/>
          <w:szCs w:val="20"/>
        </w:rPr>
        <w:t xml:space="preserve"> 2007 (2) NR 381 (SC) at 390D</w:t>
      </w:r>
      <w:r w:rsidR="00043D34">
        <w:rPr>
          <w:rStyle w:val="result-title"/>
          <w:rFonts w:ascii="Arial" w:hAnsi="Arial" w:cs="Arial"/>
          <w:color w:val="000000" w:themeColor="text1"/>
          <w:sz w:val="20"/>
          <w:szCs w:val="20"/>
        </w:rPr>
        <w:t>.</w:t>
      </w:r>
    </w:p>
  </w:footnote>
  <w:footnote w:id="12">
    <w:p w14:paraId="0DC10076" w14:textId="5769068A" w:rsidR="001F1CE5" w:rsidRPr="006011FA" w:rsidRDefault="001F1CE5" w:rsidP="00043D34">
      <w:pPr>
        <w:pStyle w:val="NoSpacing"/>
        <w:spacing w:line="360" w:lineRule="auto"/>
        <w:jc w:val="both"/>
        <w:rPr>
          <w:rFonts w:ascii="Arial" w:hAnsi="Arial" w:cs="Arial"/>
          <w:color w:val="000000" w:themeColor="text1"/>
          <w:sz w:val="20"/>
          <w:szCs w:val="20"/>
          <w:lang w:val="en-US"/>
        </w:rPr>
      </w:pPr>
      <w:r w:rsidRPr="006011FA">
        <w:rPr>
          <w:rStyle w:val="FootnoteReference"/>
          <w:rFonts w:ascii="Arial" w:hAnsi="Arial" w:cs="Arial"/>
          <w:color w:val="000000" w:themeColor="text1"/>
          <w:sz w:val="20"/>
          <w:szCs w:val="20"/>
        </w:rPr>
        <w:footnoteRef/>
      </w:r>
      <w:r w:rsidRPr="006011FA">
        <w:rPr>
          <w:rFonts w:ascii="Arial" w:hAnsi="Arial" w:cs="Arial"/>
          <w:color w:val="000000" w:themeColor="text1"/>
          <w:sz w:val="20"/>
          <w:szCs w:val="20"/>
        </w:rPr>
        <w:t xml:space="preserve"> </w:t>
      </w:r>
      <w:r w:rsidR="000622ED" w:rsidRPr="006011FA">
        <w:rPr>
          <w:rFonts w:ascii="Arial" w:hAnsi="Arial" w:cs="Arial"/>
          <w:color w:val="000000" w:themeColor="text1"/>
          <w:sz w:val="20"/>
          <w:szCs w:val="20"/>
          <w:shd w:val="clear" w:color="auto" w:fill="FFFFFF"/>
        </w:rPr>
        <w:t xml:space="preserve">AC Cilliers </w:t>
      </w:r>
      <w:r w:rsidR="000622ED" w:rsidRPr="00D15195">
        <w:rPr>
          <w:rFonts w:ascii="Arial" w:hAnsi="Arial" w:cs="Arial"/>
          <w:i/>
          <w:color w:val="000000" w:themeColor="text1"/>
          <w:sz w:val="20"/>
          <w:szCs w:val="20"/>
          <w:shd w:val="clear" w:color="auto" w:fill="FFFFFF"/>
        </w:rPr>
        <w:t>Law of Costs</w:t>
      </w:r>
      <w:r w:rsidR="000622ED" w:rsidRPr="006011FA">
        <w:rPr>
          <w:rFonts w:ascii="Arial" w:hAnsi="Arial" w:cs="Arial"/>
          <w:color w:val="000000" w:themeColor="text1"/>
          <w:sz w:val="20"/>
          <w:szCs w:val="20"/>
          <w:shd w:val="clear" w:color="auto" w:fill="FFFFFF"/>
        </w:rPr>
        <w:t xml:space="preserve"> 3</w:t>
      </w:r>
      <w:r w:rsidR="000622ED" w:rsidRPr="006011FA">
        <w:rPr>
          <w:rFonts w:ascii="Arial" w:hAnsi="Arial" w:cs="Arial"/>
          <w:color w:val="000000" w:themeColor="text1"/>
          <w:sz w:val="20"/>
          <w:szCs w:val="20"/>
          <w:shd w:val="clear" w:color="auto" w:fill="FFFFFF"/>
          <w:vertAlign w:val="superscript"/>
        </w:rPr>
        <w:t>rd</w:t>
      </w:r>
      <w:r w:rsidR="000622ED" w:rsidRPr="006011FA">
        <w:rPr>
          <w:rFonts w:ascii="Arial" w:hAnsi="Arial" w:cs="Arial"/>
          <w:color w:val="000000" w:themeColor="text1"/>
          <w:sz w:val="20"/>
          <w:szCs w:val="20"/>
          <w:shd w:val="clear" w:color="auto" w:fill="FFFFFF"/>
        </w:rPr>
        <w:t xml:space="preserve"> edition</w:t>
      </w:r>
      <w:r w:rsidR="007A39DD">
        <w:rPr>
          <w:rFonts w:ascii="Arial" w:hAnsi="Arial" w:cs="Arial"/>
          <w:color w:val="000000" w:themeColor="text1"/>
          <w:sz w:val="20"/>
          <w:szCs w:val="20"/>
          <w:shd w:val="clear" w:color="auto" w:fill="FFFFFF"/>
        </w:rPr>
        <w:t xml:space="preserve"> </w:t>
      </w:r>
      <w:r w:rsidR="000622ED" w:rsidRPr="006011FA">
        <w:rPr>
          <w:rFonts w:ascii="Arial" w:hAnsi="Arial" w:cs="Arial"/>
          <w:color w:val="000000" w:themeColor="text1"/>
          <w:sz w:val="20"/>
          <w:szCs w:val="20"/>
          <w:shd w:val="clear" w:color="auto" w:fill="FFFFFF"/>
        </w:rPr>
        <w:t>at 4.02</w:t>
      </w:r>
      <w:r w:rsidR="00043D34">
        <w:rPr>
          <w:rFonts w:ascii="Arial" w:hAnsi="Arial" w:cs="Arial"/>
          <w:color w:val="000000" w:themeColor="text1"/>
          <w:sz w:val="20"/>
          <w:szCs w:val="20"/>
          <w:shd w:val="clear" w:color="auto" w:fill="FFFFFF"/>
        </w:rPr>
        <w:t>.</w:t>
      </w:r>
    </w:p>
  </w:footnote>
  <w:footnote w:id="13">
    <w:p w14:paraId="0CC0F563" w14:textId="732CB37F" w:rsidR="00874205" w:rsidRPr="006011FA" w:rsidRDefault="00874205" w:rsidP="00043D34">
      <w:pPr>
        <w:pStyle w:val="NoSpacing"/>
        <w:spacing w:line="360" w:lineRule="auto"/>
        <w:jc w:val="both"/>
        <w:rPr>
          <w:rFonts w:ascii="Arial" w:hAnsi="Arial" w:cs="Arial"/>
          <w:color w:val="000000" w:themeColor="text1"/>
          <w:sz w:val="20"/>
          <w:szCs w:val="20"/>
          <w:lang w:val="en-US"/>
        </w:rPr>
      </w:pPr>
      <w:r w:rsidRPr="006011FA">
        <w:rPr>
          <w:rStyle w:val="FootnoteReference"/>
          <w:rFonts w:ascii="Arial" w:hAnsi="Arial" w:cs="Arial"/>
          <w:color w:val="000000" w:themeColor="text1"/>
          <w:sz w:val="20"/>
          <w:szCs w:val="20"/>
        </w:rPr>
        <w:footnoteRef/>
      </w:r>
      <w:r w:rsidRPr="006011FA">
        <w:rPr>
          <w:rFonts w:ascii="Arial" w:hAnsi="Arial" w:cs="Arial"/>
          <w:color w:val="000000" w:themeColor="text1"/>
          <w:sz w:val="20"/>
          <w:szCs w:val="20"/>
        </w:rPr>
        <w:t xml:space="preserve"> </w:t>
      </w:r>
      <w:r>
        <w:rPr>
          <w:rFonts w:ascii="Arial" w:hAnsi="Arial" w:cs="Arial"/>
          <w:color w:val="000000" w:themeColor="text1"/>
          <w:sz w:val="20"/>
          <w:szCs w:val="20"/>
          <w:shd w:val="clear" w:color="auto" w:fill="FFFFFF"/>
        </w:rPr>
        <w:t>Ibid</w:t>
      </w:r>
      <w:r w:rsidRPr="00967B69">
        <w:rPr>
          <w:rStyle w:val="apple-converted-space"/>
          <w:rFonts w:ascii="Arial" w:hAnsi="Arial" w:cs="Arial"/>
          <w:color w:val="000000" w:themeColor="text1"/>
          <w:sz w:val="20"/>
          <w:szCs w:val="20"/>
          <w:shd w:val="clear" w:color="auto" w:fill="FFFFFF"/>
        </w:rPr>
        <w:t> </w:t>
      </w:r>
      <w:r>
        <w:rPr>
          <w:rFonts w:ascii="Arial" w:hAnsi="Arial" w:cs="Arial"/>
          <w:color w:val="000000" w:themeColor="text1"/>
          <w:sz w:val="20"/>
          <w:szCs w:val="20"/>
          <w:shd w:val="clear" w:color="auto" w:fill="FFFFFF"/>
        </w:rPr>
        <w:t>at</w:t>
      </w:r>
      <w:r w:rsidRPr="00967B69">
        <w:rPr>
          <w:rFonts w:ascii="Arial" w:hAnsi="Arial" w:cs="Arial"/>
          <w:color w:val="000000" w:themeColor="text1"/>
          <w:sz w:val="20"/>
          <w:szCs w:val="20"/>
          <w:shd w:val="clear" w:color="auto" w:fill="FFFFFF"/>
        </w:rPr>
        <w:t xml:space="preserve"> 4.09</w:t>
      </w:r>
      <w:r w:rsidR="00043D34">
        <w:rPr>
          <w:rFonts w:ascii="Arial" w:hAnsi="Arial" w:cs="Arial"/>
          <w:color w:val="000000" w:themeColor="text1"/>
          <w:sz w:val="20"/>
          <w:szCs w:val="20"/>
          <w:shd w:val="clear" w:color="auto" w:fill="FFFFFF"/>
        </w:rPr>
        <w:t>.</w:t>
      </w:r>
      <w:r w:rsidRPr="006011FA">
        <w:rPr>
          <w:rFonts w:ascii="Arial" w:hAnsi="Arial" w:cs="Arial"/>
          <w:color w:val="000000" w:themeColor="text1"/>
          <w:sz w:val="20"/>
          <w:szCs w:val="20"/>
          <w:shd w:val="clear" w:color="auto" w:fill="FFFFFF"/>
        </w:rPr>
        <w:t xml:space="preserve"> </w:t>
      </w:r>
    </w:p>
  </w:footnote>
  <w:footnote w:id="14">
    <w:p w14:paraId="34049185" w14:textId="62B4F963" w:rsidR="00182CC4" w:rsidRPr="006011FA" w:rsidRDefault="00182CC4" w:rsidP="006011FA">
      <w:pPr>
        <w:pStyle w:val="NoSpacing"/>
        <w:spacing w:line="360" w:lineRule="auto"/>
        <w:jc w:val="both"/>
        <w:rPr>
          <w:rFonts w:ascii="Arial" w:hAnsi="Arial" w:cs="Arial"/>
          <w:color w:val="000000" w:themeColor="text1"/>
          <w:sz w:val="20"/>
          <w:szCs w:val="20"/>
          <w:lang w:val="en-US"/>
        </w:rPr>
      </w:pPr>
      <w:r w:rsidRPr="006011FA">
        <w:rPr>
          <w:rStyle w:val="FootnoteReference"/>
          <w:rFonts w:ascii="Arial" w:hAnsi="Arial" w:cs="Arial"/>
          <w:color w:val="000000" w:themeColor="text1"/>
          <w:sz w:val="20"/>
          <w:szCs w:val="20"/>
        </w:rPr>
        <w:footnoteRef/>
      </w:r>
      <w:r w:rsidRPr="006011FA">
        <w:rPr>
          <w:rFonts w:ascii="Arial" w:hAnsi="Arial" w:cs="Arial"/>
          <w:color w:val="000000" w:themeColor="text1"/>
          <w:sz w:val="20"/>
          <w:szCs w:val="20"/>
        </w:rPr>
        <w:t xml:space="preserve"> </w:t>
      </w:r>
      <w:r w:rsidR="00967F4D">
        <w:rPr>
          <w:rFonts w:ascii="Arial" w:hAnsi="Arial" w:cs="Arial"/>
          <w:color w:val="000000" w:themeColor="text1"/>
          <w:sz w:val="20"/>
          <w:szCs w:val="20"/>
        </w:rPr>
        <w:t>Ibid</w:t>
      </w:r>
      <w:r w:rsidRPr="006011FA">
        <w:rPr>
          <w:rFonts w:ascii="Arial" w:hAnsi="Arial" w:cs="Arial"/>
          <w:color w:val="000000" w:themeColor="text1"/>
          <w:sz w:val="20"/>
          <w:szCs w:val="20"/>
        </w:rPr>
        <w:t xml:space="preserve"> at </w:t>
      </w:r>
      <w:r w:rsidRPr="006011FA">
        <w:rPr>
          <w:rFonts w:ascii="Arial" w:hAnsi="Arial" w:cs="Arial"/>
          <w:color w:val="000000" w:themeColor="text1"/>
          <w:sz w:val="20"/>
          <w:szCs w:val="20"/>
          <w:lang w:val="en-US"/>
        </w:rPr>
        <w:t>599C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82913"/>
      <w:docPartObj>
        <w:docPartGallery w:val="Page Numbers (Top of Page)"/>
        <w:docPartUnique/>
      </w:docPartObj>
    </w:sdtPr>
    <w:sdtEndPr>
      <w:rPr>
        <w:rFonts w:ascii="Arial" w:hAnsi="Arial" w:cs="Arial"/>
        <w:noProof/>
        <w:sz w:val="24"/>
        <w:szCs w:val="24"/>
      </w:rPr>
    </w:sdtEndPr>
    <w:sdtContent>
      <w:p w14:paraId="6FCDD304" w14:textId="77777777" w:rsidR="00E12D38" w:rsidRPr="00E12D38" w:rsidRDefault="00E12D38">
        <w:pPr>
          <w:pStyle w:val="Header"/>
          <w:jc w:val="right"/>
          <w:rPr>
            <w:rFonts w:ascii="Arial" w:hAnsi="Arial" w:cs="Arial"/>
            <w:sz w:val="24"/>
            <w:szCs w:val="24"/>
          </w:rPr>
        </w:pPr>
        <w:r w:rsidRPr="00E12D38">
          <w:rPr>
            <w:rFonts w:ascii="Arial" w:hAnsi="Arial" w:cs="Arial"/>
            <w:sz w:val="24"/>
            <w:szCs w:val="24"/>
          </w:rPr>
          <w:fldChar w:fldCharType="begin"/>
        </w:r>
        <w:r w:rsidRPr="00E12D38">
          <w:rPr>
            <w:rFonts w:ascii="Arial" w:hAnsi="Arial" w:cs="Arial"/>
            <w:sz w:val="24"/>
            <w:szCs w:val="24"/>
          </w:rPr>
          <w:instrText xml:space="preserve"> PAGE   \* MERGEFORMAT </w:instrText>
        </w:r>
        <w:r w:rsidRPr="00E12D38">
          <w:rPr>
            <w:rFonts w:ascii="Arial" w:hAnsi="Arial" w:cs="Arial"/>
            <w:sz w:val="24"/>
            <w:szCs w:val="24"/>
          </w:rPr>
          <w:fldChar w:fldCharType="separate"/>
        </w:r>
        <w:r w:rsidR="00884653">
          <w:rPr>
            <w:rFonts w:ascii="Arial" w:hAnsi="Arial" w:cs="Arial"/>
            <w:noProof/>
            <w:sz w:val="24"/>
            <w:szCs w:val="24"/>
          </w:rPr>
          <w:t>7</w:t>
        </w:r>
        <w:r w:rsidRPr="00E12D38">
          <w:rPr>
            <w:rFonts w:ascii="Arial" w:hAnsi="Arial" w:cs="Arial"/>
            <w:noProof/>
            <w:sz w:val="24"/>
            <w:szCs w:val="24"/>
          </w:rPr>
          <w:fldChar w:fldCharType="end"/>
        </w:r>
      </w:p>
    </w:sdtContent>
  </w:sdt>
  <w:p w14:paraId="4625283B" w14:textId="77777777" w:rsidR="00E12D38" w:rsidRDefault="00E1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1661300F"/>
    <w:multiLevelType w:val="hybridMultilevel"/>
    <w:tmpl w:val="9F12E1BA"/>
    <w:lvl w:ilvl="0" w:tplc="5AA254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A2542B"/>
    <w:multiLevelType w:val="hybridMultilevel"/>
    <w:tmpl w:val="A88EE250"/>
    <w:lvl w:ilvl="0" w:tplc="B298EEB6">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B7F39"/>
    <w:multiLevelType w:val="hybridMultilevel"/>
    <w:tmpl w:val="40BE20C0"/>
    <w:lvl w:ilvl="0" w:tplc="E02A28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05B64"/>
    <w:multiLevelType w:val="hybridMultilevel"/>
    <w:tmpl w:val="D780F034"/>
    <w:lvl w:ilvl="0" w:tplc="B9D6B7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4"/>
  </w:num>
  <w:num w:numId="9">
    <w:abstractNumId w:val="9"/>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0106"/>
    <w:rsid w:val="00002E9A"/>
    <w:rsid w:val="00002F5E"/>
    <w:rsid w:val="0000513F"/>
    <w:rsid w:val="0001059A"/>
    <w:rsid w:val="0001080B"/>
    <w:rsid w:val="000142CE"/>
    <w:rsid w:val="00015808"/>
    <w:rsid w:val="00022EBC"/>
    <w:rsid w:val="00030A66"/>
    <w:rsid w:val="00036AD7"/>
    <w:rsid w:val="00036F0C"/>
    <w:rsid w:val="00043D34"/>
    <w:rsid w:val="00052806"/>
    <w:rsid w:val="00053646"/>
    <w:rsid w:val="0005519E"/>
    <w:rsid w:val="000600F3"/>
    <w:rsid w:val="000622ED"/>
    <w:rsid w:val="0008039D"/>
    <w:rsid w:val="00081ECD"/>
    <w:rsid w:val="00081FD2"/>
    <w:rsid w:val="00087410"/>
    <w:rsid w:val="00090DAB"/>
    <w:rsid w:val="000929C5"/>
    <w:rsid w:val="00094EBB"/>
    <w:rsid w:val="000A0CAC"/>
    <w:rsid w:val="000A3468"/>
    <w:rsid w:val="000A6E7F"/>
    <w:rsid w:val="000A7B52"/>
    <w:rsid w:val="000B36B0"/>
    <w:rsid w:val="000B370D"/>
    <w:rsid w:val="000C0091"/>
    <w:rsid w:val="000C7802"/>
    <w:rsid w:val="000D3C9C"/>
    <w:rsid w:val="000F14E3"/>
    <w:rsid w:val="000F39A3"/>
    <w:rsid w:val="000F4439"/>
    <w:rsid w:val="000F4C86"/>
    <w:rsid w:val="000F681E"/>
    <w:rsid w:val="00112F8B"/>
    <w:rsid w:val="0011306E"/>
    <w:rsid w:val="00116AFB"/>
    <w:rsid w:val="001218B4"/>
    <w:rsid w:val="001223B7"/>
    <w:rsid w:val="00123475"/>
    <w:rsid w:val="00124C63"/>
    <w:rsid w:val="001375D8"/>
    <w:rsid w:val="00137F1A"/>
    <w:rsid w:val="001467AD"/>
    <w:rsid w:val="00150C64"/>
    <w:rsid w:val="00151F40"/>
    <w:rsid w:val="00152FEA"/>
    <w:rsid w:val="001541F5"/>
    <w:rsid w:val="001541FE"/>
    <w:rsid w:val="00157984"/>
    <w:rsid w:val="0016667E"/>
    <w:rsid w:val="001700F8"/>
    <w:rsid w:val="0017037C"/>
    <w:rsid w:val="00182CC4"/>
    <w:rsid w:val="0018718C"/>
    <w:rsid w:val="001A6EBD"/>
    <w:rsid w:val="001B3825"/>
    <w:rsid w:val="001B52B9"/>
    <w:rsid w:val="001C2C1C"/>
    <w:rsid w:val="001C70B5"/>
    <w:rsid w:val="001D45E6"/>
    <w:rsid w:val="001D7F5F"/>
    <w:rsid w:val="001E097B"/>
    <w:rsid w:val="001E4F49"/>
    <w:rsid w:val="001E681F"/>
    <w:rsid w:val="001F1CE5"/>
    <w:rsid w:val="001F21B8"/>
    <w:rsid w:val="001F4799"/>
    <w:rsid w:val="00200718"/>
    <w:rsid w:val="00207B1B"/>
    <w:rsid w:val="00212EC4"/>
    <w:rsid w:val="00214B00"/>
    <w:rsid w:val="00217744"/>
    <w:rsid w:val="00221034"/>
    <w:rsid w:val="00222FF1"/>
    <w:rsid w:val="00224808"/>
    <w:rsid w:val="002317B0"/>
    <w:rsid w:val="00232E65"/>
    <w:rsid w:val="0023549A"/>
    <w:rsid w:val="002420AF"/>
    <w:rsid w:val="00246685"/>
    <w:rsid w:val="002536EA"/>
    <w:rsid w:val="00255302"/>
    <w:rsid w:val="002673F0"/>
    <w:rsid w:val="00267E92"/>
    <w:rsid w:val="002741C0"/>
    <w:rsid w:val="0027525F"/>
    <w:rsid w:val="002752BD"/>
    <w:rsid w:val="00276736"/>
    <w:rsid w:val="00277C68"/>
    <w:rsid w:val="002904A6"/>
    <w:rsid w:val="00296DAB"/>
    <w:rsid w:val="002A36E4"/>
    <w:rsid w:val="002A4AA3"/>
    <w:rsid w:val="002B03AA"/>
    <w:rsid w:val="002B08A1"/>
    <w:rsid w:val="002B38E0"/>
    <w:rsid w:val="002B735C"/>
    <w:rsid w:val="002C1EF6"/>
    <w:rsid w:val="002C4AA4"/>
    <w:rsid w:val="002D20C5"/>
    <w:rsid w:val="002D2DFE"/>
    <w:rsid w:val="002E3636"/>
    <w:rsid w:val="002E738E"/>
    <w:rsid w:val="00300F0B"/>
    <w:rsid w:val="003012C1"/>
    <w:rsid w:val="00311199"/>
    <w:rsid w:val="0031523D"/>
    <w:rsid w:val="00322F39"/>
    <w:rsid w:val="00323AAF"/>
    <w:rsid w:val="00323E22"/>
    <w:rsid w:val="003274EA"/>
    <w:rsid w:val="003327BC"/>
    <w:rsid w:val="00337336"/>
    <w:rsid w:val="00340EA6"/>
    <w:rsid w:val="00341C3F"/>
    <w:rsid w:val="003422F5"/>
    <w:rsid w:val="0035590B"/>
    <w:rsid w:val="0035617B"/>
    <w:rsid w:val="00363302"/>
    <w:rsid w:val="00371B8F"/>
    <w:rsid w:val="00377DDB"/>
    <w:rsid w:val="003802C5"/>
    <w:rsid w:val="003814D7"/>
    <w:rsid w:val="0038382D"/>
    <w:rsid w:val="00393DD5"/>
    <w:rsid w:val="003970DB"/>
    <w:rsid w:val="003A18AD"/>
    <w:rsid w:val="003A49EA"/>
    <w:rsid w:val="003C12A7"/>
    <w:rsid w:val="003C14C6"/>
    <w:rsid w:val="003C2574"/>
    <w:rsid w:val="003C45F5"/>
    <w:rsid w:val="003C5408"/>
    <w:rsid w:val="003D165C"/>
    <w:rsid w:val="003D227E"/>
    <w:rsid w:val="003D3059"/>
    <w:rsid w:val="003D3522"/>
    <w:rsid w:val="003E4EDF"/>
    <w:rsid w:val="00404B70"/>
    <w:rsid w:val="00412278"/>
    <w:rsid w:val="0041454F"/>
    <w:rsid w:val="0041689A"/>
    <w:rsid w:val="00417EFA"/>
    <w:rsid w:val="00420637"/>
    <w:rsid w:val="004211D2"/>
    <w:rsid w:val="00426BC4"/>
    <w:rsid w:val="00426C60"/>
    <w:rsid w:val="00431A65"/>
    <w:rsid w:val="00432D66"/>
    <w:rsid w:val="004352E5"/>
    <w:rsid w:val="004358E2"/>
    <w:rsid w:val="00436C2B"/>
    <w:rsid w:val="00442FA7"/>
    <w:rsid w:val="0044564D"/>
    <w:rsid w:val="00460467"/>
    <w:rsid w:val="004630FE"/>
    <w:rsid w:val="00463486"/>
    <w:rsid w:val="004665B1"/>
    <w:rsid w:val="00466B36"/>
    <w:rsid w:val="004679EA"/>
    <w:rsid w:val="0047362B"/>
    <w:rsid w:val="00474C2A"/>
    <w:rsid w:val="00475B7A"/>
    <w:rsid w:val="0047691B"/>
    <w:rsid w:val="00481BA9"/>
    <w:rsid w:val="0048586B"/>
    <w:rsid w:val="004907E4"/>
    <w:rsid w:val="00490DDC"/>
    <w:rsid w:val="004936A7"/>
    <w:rsid w:val="004A1B08"/>
    <w:rsid w:val="004A2D48"/>
    <w:rsid w:val="004A5752"/>
    <w:rsid w:val="004B5671"/>
    <w:rsid w:val="004B69CF"/>
    <w:rsid w:val="004C646F"/>
    <w:rsid w:val="004D680E"/>
    <w:rsid w:val="004E32FB"/>
    <w:rsid w:val="004F42CF"/>
    <w:rsid w:val="004F5EE8"/>
    <w:rsid w:val="004F7DFE"/>
    <w:rsid w:val="00503F36"/>
    <w:rsid w:val="00507C14"/>
    <w:rsid w:val="00520B23"/>
    <w:rsid w:val="00522BE2"/>
    <w:rsid w:val="00523D6B"/>
    <w:rsid w:val="00531E29"/>
    <w:rsid w:val="00532830"/>
    <w:rsid w:val="00535F29"/>
    <w:rsid w:val="00536EFF"/>
    <w:rsid w:val="005371F3"/>
    <w:rsid w:val="00545F98"/>
    <w:rsid w:val="00546141"/>
    <w:rsid w:val="00547B89"/>
    <w:rsid w:val="00552964"/>
    <w:rsid w:val="005623D9"/>
    <w:rsid w:val="005629DA"/>
    <w:rsid w:val="00564A4A"/>
    <w:rsid w:val="00566718"/>
    <w:rsid w:val="005676AD"/>
    <w:rsid w:val="005707AD"/>
    <w:rsid w:val="00573A7E"/>
    <w:rsid w:val="0057427E"/>
    <w:rsid w:val="00594F6C"/>
    <w:rsid w:val="0059629D"/>
    <w:rsid w:val="005A0858"/>
    <w:rsid w:val="005A4D90"/>
    <w:rsid w:val="005B3BD0"/>
    <w:rsid w:val="005B50B7"/>
    <w:rsid w:val="005B5C1E"/>
    <w:rsid w:val="005B62A0"/>
    <w:rsid w:val="005C0E24"/>
    <w:rsid w:val="005C21D7"/>
    <w:rsid w:val="005C2460"/>
    <w:rsid w:val="005C3354"/>
    <w:rsid w:val="005D0587"/>
    <w:rsid w:val="005D7BD0"/>
    <w:rsid w:val="005E31CF"/>
    <w:rsid w:val="005E4423"/>
    <w:rsid w:val="005E7338"/>
    <w:rsid w:val="005F325C"/>
    <w:rsid w:val="005F32EB"/>
    <w:rsid w:val="005F4E06"/>
    <w:rsid w:val="006005B9"/>
    <w:rsid w:val="0060087D"/>
    <w:rsid w:val="006011FA"/>
    <w:rsid w:val="00604332"/>
    <w:rsid w:val="006054FA"/>
    <w:rsid w:val="00605B43"/>
    <w:rsid w:val="00610BF1"/>
    <w:rsid w:val="006115E2"/>
    <w:rsid w:val="00612FDA"/>
    <w:rsid w:val="006165CC"/>
    <w:rsid w:val="00627FC3"/>
    <w:rsid w:val="00630346"/>
    <w:rsid w:val="00633BA1"/>
    <w:rsid w:val="00636DE7"/>
    <w:rsid w:val="00641262"/>
    <w:rsid w:val="00641799"/>
    <w:rsid w:val="0064475B"/>
    <w:rsid w:val="00652898"/>
    <w:rsid w:val="0066097E"/>
    <w:rsid w:val="00661149"/>
    <w:rsid w:val="00663543"/>
    <w:rsid w:val="006646EF"/>
    <w:rsid w:val="00664FEA"/>
    <w:rsid w:val="00667658"/>
    <w:rsid w:val="00672C76"/>
    <w:rsid w:val="00674224"/>
    <w:rsid w:val="006829AD"/>
    <w:rsid w:val="00682D21"/>
    <w:rsid w:val="00695745"/>
    <w:rsid w:val="006976D9"/>
    <w:rsid w:val="006A0BA4"/>
    <w:rsid w:val="006A0CAF"/>
    <w:rsid w:val="006A393E"/>
    <w:rsid w:val="006A3F5E"/>
    <w:rsid w:val="006A416C"/>
    <w:rsid w:val="006B6FC9"/>
    <w:rsid w:val="006B7521"/>
    <w:rsid w:val="006C2A0D"/>
    <w:rsid w:val="006C38E0"/>
    <w:rsid w:val="006D0991"/>
    <w:rsid w:val="006D7203"/>
    <w:rsid w:val="006D7450"/>
    <w:rsid w:val="006E0FD4"/>
    <w:rsid w:val="006E558F"/>
    <w:rsid w:val="006F07E0"/>
    <w:rsid w:val="006F5A01"/>
    <w:rsid w:val="00702C62"/>
    <w:rsid w:val="00703171"/>
    <w:rsid w:val="00707B1F"/>
    <w:rsid w:val="00715728"/>
    <w:rsid w:val="00720886"/>
    <w:rsid w:val="00730C79"/>
    <w:rsid w:val="00732939"/>
    <w:rsid w:val="00732EA9"/>
    <w:rsid w:val="00734667"/>
    <w:rsid w:val="00736DA4"/>
    <w:rsid w:val="00737C3D"/>
    <w:rsid w:val="007418B9"/>
    <w:rsid w:val="007426FB"/>
    <w:rsid w:val="00746C0C"/>
    <w:rsid w:val="0075139D"/>
    <w:rsid w:val="00753EBB"/>
    <w:rsid w:val="00754FA7"/>
    <w:rsid w:val="00756C80"/>
    <w:rsid w:val="00761869"/>
    <w:rsid w:val="00766C68"/>
    <w:rsid w:val="00782634"/>
    <w:rsid w:val="0078274D"/>
    <w:rsid w:val="007853D8"/>
    <w:rsid w:val="00790426"/>
    <w:rsid w:val="007911AE"/>
    <w:rsid w:val="0079130A"/>
    <w:rsid w:val="007950C8"/>
    <w:rsid w:val="00796B3A"/>
    <w:rsid w:val="00796B9C"/>
    <w:rsid w:val="007A26A3"/>
    <w:rsid w:val="007A39DD"/>
    <w:rsid w:val="007C3AF9"/>
    <w:rsid w:val="007D018B"/>
    <w:rsid w:val="007D0792"/>
    <w:rsid w:val="007D6C74"/>
    <w:rsid w:val="007D7BD7"/>
    <w:rsid w:val="007E1721"/>
    <w:rsid w:val="007E25C7"/>
    <w:rsid w:val="007F4BE9"/>
    <w:rsid w:val="007F5C7B"/>
    <w:rsid w:val="007F68C4"/>
    <w:rsid w:val="008006A3"/>
    <w:rsid w:val="00805692"/>
    <w:rsid w:val="00812409"/>
    <w:rsid w:val="00815ED1"/>
    <w:rsid w:val="00816D5D"/>
    <w:rsid w:val="008200B5"/>
    <w:rsid w:val="00821A0C"/>
    <w:rsid w:val="008275AC"/>
    <w:rsid w:val="00834425"/>
    <w:rsid w:val="00835300"/>
    <w:rsid w:val="008354F6"/>
    <w:rsid w:val="0084304C"/>
    <w:rsid w:val="00844B8A"/>
    <w:rsid w:val="0084650C"/>
    <w:rsid w:val="00846C57"/>
    <w:rsid w:val="008547F7"/>
    <w:rsid w:val="00855DD9"/>
    <w:rsid w:val="008568BB"/>
    <w:rsid w:val="00857087"/>
    <w:rsid w:val="00864E2E"/>
    <w:rsid w:val="00870F6D"/>
    <w:rsid w:val="00872071"/>
    <w:rsid w:val="00874205"/>
    <w:rsid w:val="008803DD"/>
    <w:rsid w:val="00880B7C"/>
    <w:rsid w:val="00880BD8"/>
    <w:rsid w:val="00881AFD"/>
    <w:rsid w:val="00882F73"/>
    <w:rsid w:val="008842F6"/>
    <w:rsid w:val="00884653"/>
    <w:rsid w:val="00885038"/>
    <w:rsid w:val="00887C34"/>
    <w:rsid w:val="00890A20"/>
    <w:rsid w:val="00892D9A"/>
    <w:rsid w:val="008954C3"/>
    <w:rsid w:val="00897D39"/>
    <w:rsid w:val="008A10F9"/>
    <w:rsid w:val="008A1447"/>
    <w:rsid w:val="008A2D42"/>
    <w:rsid w:val="008B0888"/>
    <w:rsid w:val="008B171D"/>
    <w:rsid w:val="008C2200"/>
    <w:rsid w:val="008D2A1A"/>
    <w:rsid w:val="008E0730"/>
    <w:rsid w:val="008E1643"/>
    <w:rsid w:val="008E1897"/>
    <w:rsid w:val="008E5A05"/>
    <w:rsid w:val="008E665F"/>
    <w:rsid w:val="008F5871"/>
    <w:rsid w:val="008F59A0"/>
    <w:rsid w:val="009042CA"/>
    <w:rsid w:val="00904837"/>
    <w:rsid w:val="0091061F"/>
    <w:rsid w:val="00911116"/>
    <w:rsid w:val="00911B40"/>
    <w:rsid w:val="009143F4"/>
    <w:rsid w:val="009279BE"/>
    <w:rsid w:val="0093526A"/>
    <w:rsid w:val="00937C89"/>
    <w:rsid w:val="009573FE"/>
    <w:rsid w:val="00960AE2"/>
    <w:rsid w:val="00967B69"/>
    <w:rsid w:val="00967F4D"/>
    <w:rsid w:val="00970745"/>
    <w:rsid w:val="009707BD"/>
    <w:rsid w:val="009733A9"/>
    <w:rsid w:val="00976E14"/>
    <w:rsid w:val="0098592A"/>
    <w:rsid w:val="00990873"/>
    <w:rsid w:val="009919F6"/>
    <w:rsid w:val="00993DC8"/>
    <w:rsid w:val="009978C3"/>
    <w:rsid w:val="00997C11"/>
    <w:rsid w:val="009A084E"/>
    <w:rsid w:val="009A3624"/>
    <w:rsid w:val="009A4CE1"/>
    <w:rsid w:val="009A7A59"/>
    <w:rsid w:val="009A7DA2"/>
    <w:rsid w:val="009C35C9"/>
    <w:rsid w:val="009C6C61"/>
    <w:rsid w:val="009C6F3F"/>
    <w:rsid w:val="009D27E8"/>
    <w:rsid w:val="009D7C8D"/>
    <w:rsid w:val="009E3011"/>
    <w:rsid w:val="009F2DF5"/>
    <w:rsid w:val="00A00050"/>
    <w:rsid w:val="00A10E40"/>
    <w:rsid w:val="00A15CD1"/>
    <w:rsid w:val="00A163CE"/>
    <w:rsid w:val="00A20DA3"/>
    <w:rsid w:val="00A22E0F"/>
    <w:rsid w:val="00A24D5E"/>
    <w:rsid w:val="00A254B9"/>
    <w:rsid w:val="00A26B7B"/>
    <w:rsid w:val="00A274DE"/>
    <w:rsid w:val="00A31FCA"/>
    <w:rsid w:val="00A3327E"/>
    <w:rsid w:val="00A424F6"/>
    <w:rsid w:val="00A50F13"/>
    <w:rsid w:val="00A566E3"/>
    <w:rsid w:val="00A644EB"/>
    <w:rsid w:val="00A64A83"/>
    <w:rsid w:val="00A65C9C"/>
    <w:rsid w:val="00A66511"/>
    <w:rsid w:val="00A66651"/>
    <w:rsid w:val="00A75ED6"/>
    <w:rsid w:val="00A77ED5"/>
    <w:rsid w:val="00A93677"/>
    <w:rsid w:val="00A97D0C"/>
    <w:rsid w:val="00AA1C63"/>
    <w:rsid w:val="00AA1F63"/>
    <w:rsid w:val="00AA3468"/>
    <w:rsid w:val="00AA3ECB"/>
    <w:rsid w:val="00AB1759"/>
    <w:rsid w:val="00AB5416"/>
    <w:rsid w:val="00AB7BAE"/>
    <w:rsid w:val="00AB7D05"/>
    <w:rsid w:val="00AC0AC9"/>
    <w:rsid w:val="00AC2D5C"/>
    <w:rsid w:val="00AC2D80"/>
    <w:rsid w:val="00AD0015"/>
    <w:rsid w:val="00AD0548"/>
    <w:rsid w:val="00AD55B8"/>
    <w:rsid w:val="00AD72DD"/>
    <w:rsid w:val="00AF40BE"/>
    <w:rsid w:val="00AF743B"/>
    <w:rsid w:val="00B01B6C"/>
    <w:rsid w:val="00B0314D"/>
    <w:rsid w:val="00B03A5D"/>
    <w:rsid w:val="00B04070"/>
    <w:rsid w:val="00B05C7A"/>
    <w:rsid w:val="00B121EA"/>
    <w:rsid w:val="00B20587"/>
    <w:rsid w:val="00B271D7"/>
    <w:rsid w:val="00B325B6"/>
    <w:rsid w:val="00B3562E"/>
    <w:rsid w:val="00B35836"/>
    <w:rsid w:val="00B35C06"/>
    <w:rsid w:val="00B40844"/>
    <w:rsid w:val="00B42328"/>
    <w:rsid w:val="00B450A1"/>
    <w:rsid w:val="00B45971"/>
    <w:rsid w:val="00B463CA"/>
    <w:rsid w:val="00B47078"/>
    <w:rsid w:val="00B47800"/>
    <w:rsid w:val="00B50C99"/>
    <w:rsid w:val="00B513CE"/>
    <w:rsid w:val="00B51531"/>
    <w:rsid w:val="00B56E34"/>
    <w:rsid w:val="00B5737E"/>
    <w:rsid w:val="00B61AC7"/>
    <w:rsid w:val="00B629F1"/>
    <w:rsid w:val="00B64332"/>
    <w:rsid w:val="00B675BA"/>
    <w:rsid w:val="00B73D85"/>
    <w:rsid w:val="00B808CB"/>
    <w:rsid w:val="00B8388B"/>
    <w:rsid w:val="00B845CF"/>
    <w:rsid w:val="00B84648"/>
    <w:rsid w:val="00B879FE"/>
    <w:rsid w:val="00B91C11"/>
    <w:rsid w:val="00B91E71"/>
    <w:rsid w:val="00B92DE7"/>
    <w:rsid w:val="00B9407E"/>
    <w:rsid w:val="00B964BB"/>
    <w:rsid w:val="00BA032E"/>
    <w:rsid w:val="00BB13F4"/>
    <w:rsid w:val="00BB3273"/>
    <w:rsid w:val="00BC5931"/>
    <w:rsid w:val="00BD15A3"/>
    <w:rsid w:val="00BD1EDA"/>
    <w:rsid w:val="00BE03AE"/>
    <w:rsid w:val="00BE19AC"/>
    <w:rsid w:val="00BE2A89"/>
    <w:rsid w:val="00BE31AD"/>
    <w:rsid w:val="00BF09BF"/>
    <w:rsid w:val="00BF1806"/>
    <w:rsid w:val="00BF53E4"/>
    <w:rsid w:val="00BF77C2"/>
    <w:rsid w:val="00BF7A15"/>
    <w:rsid w:val="00C04F28"/>
    <w:rsid w:val="00C06EB4"/>
    <w:rsid w:val="00C200C7"/>
    <w:rsid w:val="00C2131B"/>
    <w:rsid w:val="00C21C02"/>
    <w:rsid w:val="00C22BFA"/>
    <w:rsid w:val="00C2633E"/>
    <w:rsid w:val="00C267D4"/>
    <w:rsid w:val="00C30A81"/>
    <w:rsid w:val="00C37C92"/>
    <w:rsid w:val="00C445AF"/>
    <w:rsid w:val="00C47A81"/>
    <w:rsid w:val="00C50AB1"/>
    <w:rsid w:val="00C57315"/>
    <w:rsid w:val="00C64E94"/>
    <w:rsid w:val="00C66F3E"/>
    <w:rsid w:val="00C73D5D"/>
    <w:rsid w:val="00C765F2"/>
    <w:rsid w:val="00C7665C"/>
    <w:rsid w:val="00C777C7"/>
    <w:rsid w:val="00C833C0"/>
    <w:rsid w:val="00C83610"/>
    <w:rsid w:val="00C85435"/>
    <w:rsid w:val="00CA0C5A"/>
    <w:rsid w:val="00CA7995"/>
    <w:rsid w:val="00CB09C0"/>
    <w:rsid w:val="00CC1254"/>
    <w:rsid w:val="00CC7431"/>
    <w:rsid w:val="00CD42CD"/>
    <w:rsid w:val="00CD47EF"/>
    <w:rsid w:val="00CD62C0"/>
    <w:rsid w:val="00CD73DF"/>
    <w:rsid w:val="00CE55EE"/>
    <w:rsid w:val="00CE57AA"/>
    <w:rsid w:val="00CE6A65"/>
    <w:rsid w:val="00CE6E7F"/>
    <w:rsid w:val="00CF472D"/>
    <w:rsid w:val="00CF6ED4"/>
    <w:rsid w:val="00D04635"/>
    <w:rsid w:val="00D113DD"/>
    <w:rsid w:val="00D1205A"/>
    <w:rsid w:val="00D14EF6"/>
    <w:rsid w:val="00D14F76"/>
    <w:rsid w:val="00D15195"/>
    <w:rsid w:val="00D16BB2"/>
    <w:rsid w:val="00D21A1F"/>
    <w:rsid w:val="00D22412"/>
    <w:rsid w:val="00D24453"/>
    <w:rsid w:val="00D25285"/>
    <w:rsid w:val="00D25B16"/>
    <w:rsid w:val="00D27404"/>
    <w:rsid w:val="00D305D4"/>
    <w:rsid w:val="00D30D4D"/>
    <w:rsid w:val="00D361C8"/>
    <w:rsid w:val="00D37DAA"/>
    <w:rsid w:val="00D41711"/>
    <w:rsid w:val="00D42EA3"/>
    <w:rsid w:val="00D437BC"/>
    <w:rsid w:val="00D44261"/>
    <w:rsid w:val="00D5070E"/>
    <w:rsid w:val="00D51D80"/>
    <w:rsid w:val="00D51E49"/>
    <w:rsid w:val="00D541D1"/>
    <w:rsid w:val="00D547B6"/>
    <w:rsid w:val="00D55A61"/>
    <w:rsid w:val="00D60432"/>
    <w:rsid w:val="00D6224D"/>
    <w:rsid w:val="00D629AC"/>
    <w:rsid w:val="00D65186"/>
    <w:rsid w:val="00D66488"/>
    <w:rsid w:val="00D8015A"/>
    <w:rsid w:val="00D80947"/>
    <w:rsid w:val="00D815A5"/>
    <w:rsid w:val="00D81658"/>
    <w:rsid w:val="00D823D9"/>
    <w:rsid w:val="00D831E8"/>
    <w:rsid w:val="00D8329F"/>
    <w:rsid w:val="00D84126"/>
    <w:rsid w:val="00D93FE9"/>
    <w:rsid w:val="00D960EA"/>
    <w:rsid w:val="00DA0130"/>
    <w:rsid w:val="00DA220D"/>
    <w:rsid w:val="00DA25FA"/>
    <w:rsid w:val="00DA45F0"/>
    <w:rsid w:val="00DA5CAC"/>
    <w:rsid w:val="00DB2EAA"/>
    <w:rsid w:val="00DB3A04"/>
    <w:rsid w:val="00DB5AA2"/>
    <w:rsid w:val="00DC260E"/>
    <w:rsid w:val="00DC6EB5"/>
    <w:rsid w:val="00DD127F"/>
    <w:rsid w:val="00DD2EB4"/>
    <w:rsid w:val="00DD44B0"/>
    <w:rsid w:val="00DD76E7"/>
    <w:rsid w:val="00E01143"/>
    <w:rsid w:val="00E0573A"/>
    <w:rsid w:val="00E12D38"/>
    <w:rsid w:val="00E13799"/>
    <w:rsid w:val="00E221FD"/>
    <w:rsid w:val="00E2575B"/>
    <w:rsid w:val="00E317B8"/>
    <w:rsid w:val="00E33022"/>
    <w:rsid w:val="00E41BE5"/>
    <w:rsid w:val="00E46F7E"/>
    <w:rsid w:val="00E533BE"/>
    <w:rsid w:val="00E540B7"/>
    <w:rsid w:val="00E5520E"/>
    <w:rsid w:val="00E5694E"/>
    <w:rsid w:val="00E60B4B"/>
    <w:rsid w:val="00E61375"/>
    <w:rsid w:val="00E62DB3"/>
    <w:rsid w:val="00E702B9"/>
    <w:rsid w:val="00E74746"/>
    <w:rsid w:val="00E82296"/>
    <w:rsid w:val="00E86E0B"/>
    <w:rsid w:val="00E922FB"/>
    <w:rsid w:val="00E94EF0"/>
    <w:rsid w:val="00E957BB"/>
    <w:rsid w:val="00E96F9E"/>
    <w:rsid w:val="00EA2DE2"/>
    <w:rsid w:val="00EB1AE0"/>
    <w:rsid w:val="00EC29B1"/>
    <w:rsid w:val="00EC4EB8"/>
    <w:rsid w:val="00ED02E5"/>
    <w:rsid w:val="00ED051E"/>
    <w:rsid w:val="00ED0803"/>
    <w:rsid w:val="00ED5B76"/>
    <w:rsid w:val="00ED7008"/>
    <w:rsid w:val="00ED76B2"/>
    <w:rsid w:val="00EE2B0D"/>
    <w:rsid w:val="00EE2C57"/>
    <w:rsid w:val="00EF184A"/>
    <w:rsid w:val="00EF2FFD"/>
    <w:rsid w:val="00EF604A"/>
    <w:rsid w:val="00F00E21"/>
    <w:rsid w:val="00F0235A"/>
    <w:rsid w:val="00F04FF9"/>
    <w:rsid w:val="00F05CAB"/>
    <w:rsid w:val="00F0783D"/>
    <w:rsid w:val="00F170AB"/>
    <w:rsid w:val="00F32983"/>
    <w:rsid w:val="00F36229"/>
    <w:rsid w:val="00F36C36"/>
    <w:rsid w:val="00F412BB"/>
    <w:rsid w:val="00F43E96"/>
    <w:rsid w:val="00F502F0"/>
    <w:rsid w:val="00F525A8"/>
    <w:rsid w:val="00F52BEC"/>
    <w:rsid w:val="00F55D65"/>
    <w:rsid w:val="00F6276E"/>
    <w:rsid w:val="00F65529"/>
    <w:rsid w:val="00F65903"/>
    <w:rsid w:val="00F71AC1"/>
    <w:rsid w:val="00F72231"/>
    <w:rsid w:val="00F7691A"/>
    <w:rsid w:val="00F82047"/>
    <w:rsid w:val="00F82EDF"/>
    <w:rsid w:val="00F848AA"/>
    <w:rsid w:val="00F85D16"/>
    <w:rsid w:val="00F86130"/>
    <w:rsid w:val="00F92D04"/>
    <w:rsid w:val="00FA07D9"/>
    <w:rsid w:val="00FA248F"/>
    <w:rsid w:val="00FB0A6D"/>
    <w:rsid w:val="00FB2E9E"/>
    <w:rsid w:val="00FB44FB"/>
    <w:rsid w:val="00FB4837"/>
    <w:rsid w:val="00FB4BD5"/>
    <w:rsid w:val="00FB5F14"/>
    <w:rsid w:val="00FC2237"/>
    <w:rsid w:val="00FC5B60"/>
    <w:rsid w:val="00FC6BA1"/>
    <w:rsid w:val="00FC6F2E"/>
    <w:rsid w:val="00FC7411"/>
    <w:rsid w:val="00FC7793"/>
    <w:rsid w:val="00FD050D"/>
    <w:rsid w:val="00FD108D"/>
    <w:rsid w:val="00FD35F6"/>
    <w:rsid w:val="00FD68B7"/>
    <w:rsid w:val="00FE1B43"/>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5013"/>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CE55EE"/>
    <w:pPr>
      <w:keepNext/>
      <w:outlineLvl w:val="0"/>
    </w:pPr>
    <w:rPr>
      <w:rFonts w:ascii="Arial" w:hAnsi="Arial" w:cs="Arial"/>
      <w:sz w:val="24"/>
      <w:szCs w:val="24"/>
      <w:u w:val="single"/>
      <w:lang w:val="en-US"/>
    </w:rPr>
  </w:style>
  <w:style w:type="paragraph" w:styleId="Heading2">
    <w:name w:val="heading 2"/>
    <w:basedOn w:val="Normal"/>
    <w:next w:val="Normal"/>
    <w:link w:val="Heading2Char"/>
    <w:uiPriority w:val="9"/>
    <w:unhideWhenUsed/>
    <w:qFormat/>
    <w:rsid w:val="00CB0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43F4"/>
    <w:pPr>
      <w:keepNext/>
      <w:spacing w:after="0" w:line="360" w:lineRule="auto"/>
      <w:jc w:val="cente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B40844"/>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4_G,FR"/>
    <w:basedOn w:val="DefaultParagraphFont"/>
    <w:link w:val="4GCharCharCharChar"/>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6A3F5E"/>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6A3F5E"/>
    <w:rPr>
      <w:rFonts w:ascii="Arial" w:hAnsi="Arial" w:cs="Arial"/>
      <w:sz w:val="24"/>
      <w:szCs w:val="24"/>
      <w:lang w:val="en-ZA"/>
    </w:rPr>
  </w:style>
  <w:style w:type="paragraph" w:styleId="Header">
    <w:name w:val="header"/>
    <w:basedOn w:val="Normal"/>
    <w:link w:val="HeaderChar"/>
    <w:uiPriority w:val="99"/>
    <w:unhideWhenUsed/>
    <w:rsid w:val="00E1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38"/>
    <w:rPr>
      <w:lang w:val="en-ZA"/>
    </w:rPr>
  </w:style>
  <w:style w:type="character" w:customStyle="1" w:styleId="Heading1Char">
    <w:name w:val="Heading 1 Char"/>
    <w:basedOn w:val="DefaultParagraphFont"/>
    <w:link w:val="Heading1"/>
    <w:uiPriority w:val="9"/>
    <w:rsid w:val="00CE55EE"/>
    <w:rPr>
      <w:rFonts w:ascii="Arial" w:hAnsi="Arial" w:cs="Arial"/>
      <w:sz w:val="24"/>
      <w:szCs w:val="24"/>
      <w:u w:val="single"/>
    </w:rPr>
  </w:style>
  <w:style w:type="paragraph" w:customStyle="1" w:styleId="4GCharCharCharChar">
    <w:name w:val="4_G Char Char Char Char"/>
    <w:aliases w:val="ftref Char Char Char Char,-E Fußnotenzeichen Char Char Char Char,16 Point Char Char Char Char,Superscript 6 Point Char Char Char Char,Carattere Char1 Char Char Char Char,ftref,-E Fußnotenzeichen"/>
    <w:basedOn w:val="Normal"/>
    <w:link w:val="FootnoteReference"/>
    <w:uiPriority w:val="99"/>
    <w:rsid w:val="0057427E"/>
    <w:pPr>
      <w:spacing w:line="240" w:lineRule="exact"/>
      <w:ind w:firstLine="144"/>
      <w:jc w:val="both"/>
    </w:pPr>
    <w:rPr>
      <w:vertAlign w:val="superscript"/>
      <w:lang w:val="en-US"/>
    </w:rPr>
  </w:style>
  <w:style w:type="paragraph" w:styleId="NoSpacing">
    <w:name w:val="No Spacing"/>
    <w:uiPriority w:val="1"/>
    <w:qFormat/>
    <w:rsid w:val="00715728"/>
    <w:pPr>
      <w:spacing w:after="0" w:line="240" w:lineRule="auto"/>
    </w:pPr>
    <w:rPr>
      <w:lang w:val="en-ZA"/>
    </w:rPr>
  </w:style>
  <w:style w:type="paragraph" w:customStyle="1" w:styleId="lrpara">
    <w:name w:val="lrpara"/>
    <w:basedOn w:val="Normal"/>
    <w:rsid w:val="00976E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rquote">
    <w:name w:val="lrquote"/>
    <w:basedOn w:val="Normal"/>
    <w:rsid w:val="00976E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76E14"/>
  </w:style>
  <w:style w:type="character" w:customStyle="1" w:styleId="mc0">
    <w:name w:val="mc"/>
    <w:basedOn w:val="DefaultParagraphFont"/>
    <w:rsid w:val="00976E14"/>
  </w:style>
  <w:style w:type="character" w:customStyle="1" w:styleId="Heading2Char">
    <w:name w:val="Heading 2 Char"/>
    <w:basedOn w:val="DefaultParagraphFont"/>
    <w:link w:val="Heading2"/>
    <w:uiPriority w:val="9"/>
    <w:rsid w:val="00CB09C0"/>
    <w:rPr>
      <w:rFonts w:asciiTheme="majorHAnsi" w:eastAsiaTheme="majorEastAsia" w:hAnsiTheme="majorHAnsi" w:cstheme="majorBidi"/>
      <w:color w:val="2E74B5" w:themeColor="accent1" w:themeShade="BF"/>
      <w:sz w:val="26"/>
      <w:szCs w:val="26"/>
      <w:lang w:val="en-ZA"/>
    </w:rPr>
  </w:style>
  <w:style w:type="character" w:customStyle="1" w:styleId="result-title">
    <w:name w:val="result-title"/>
    <w:basedOn w:val="DefaultParagraphFont"/>
    <w:rsid w:val="00CB09C0"/>
  </w:style>
  <w:style w:type="character" w:customStyle="1" w:styleId="italic">
    <w:name w:val="italic"/>
    <w:basedOn w:val="DefaultParagraphFont"/>
    <w:rsid w:val="00AA1C63"/>
  </w:style>
  <w:style w:type="character" w:customStyle="1" w:styleId="footnoteanchor">
    <w:name w:val="footnoteanchor"/>
    <w:basedOn w:val="DefaultParagraphFont"/>
    <w:rsid w:val="00AA1C63"/>
  </w:style>
  <w:style w:type="character" w:styleId="Hyperlink">
    <w:name w:val="Hyperlink"/>
    <w:basedOn w:val="DefaultParagraphFont"/>
    <w:uiPriority w:val="99"/>
    <w:semiHidden/>
    <w:unhideWhenUsed/>
    <w:rsid w:val="00AA1C63"/>
    <w:rPr>
      <w:color w:val="0000FF"/>
      <w:u w:val="single"/>
    </w:rPr>
  </w:style>
  <w:style w:type="paragraph" w:customStyle="1" w:styleId="parafullout">
    <w:name w:val="parafullout"/>
    <w:basedOn w:val="Normal"/>
    <w:rsid w:val="00782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782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phit">
    <w:name w:val="lphit"/>
    <w:basedOn w:val="DefaultParagraphFont"/>
    <w:rsid w:val="00782634"/>
  </w:style>
  <w:style w:type="character" w:styleId="FollowedHyperlink">
    <w:name w:val="FollowedHyperlink"/>
    <w:basedOn w:val="DefaultParagraphFont"/>
    <w:uiPriority w:val="99"/>
    <w:semiHidden/>
    <w:unhideWhenUsed/>
    <w:rsid w:val="00782634"/>
    <w:rPr>
      <w:color w:val="954F72" w:themeColor="followedHyperlink"/>
      <w:u w:val="single"/>
    </w:rPr>
  </w:style>
  <w:style w:type="character" w:customStyle="1" w:styleId="Heading3Char">
    <w:name w:val="Heading 3 Char"/>
    <w:basedOn w:val="DefaultParagraphFont"/>
    <w:link w:val="Heading3"/>
    <w:uiPriority w:val="9"/>
    <w:rsid w:val="009143F4"/>
    <w:rPr>
      <w:rFonts w:ascii="Arial" w:hAnsi="Arial" w:cs="Arial"/>
      <w:b/>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347">
      <w:bodyDiv w:val="1"/>
      <w:marLeft w:val="0"/>
      <w:marRight w:val="0"/>
      <w:marTop w:val="0"/>
      <w:marBottom w:val="0"/>
      <w:divBdr>
        <w:top w:val="none" w:sz="0" w:space="0" w:color="auto"/>
        <w:left w:val="none" w:sz="0" w:space="0" w:color="auto"/>
        <w:bottom w:val="none" w:sz="0" w:space="0" w:color="auto"/>
        <w:right w:val="none" w:sz="0" w:space="0" w:color="auto"/>
      </w:divBdr>
      <w:divsChild>
        <w:div w:id="690491907">
          <w:marLeft w:val="0"/>
          <w:marRight w:val="0"/>
          <w:marTop w:val="0"/>
          <w:marBottom w:val="0"/>
          <w:divBdr>
            <w:top w:val="none" w:sz="0" w:space="0" w:color="auto"/>
            <w:left w:val="none" w:sz="0" w:space="0" w:color="auto"/>
            <w:bottom w:val="none" w:sz="0" w:space="0" w:color="auto"/>
            <w:right w:val="none" w:sz="0" w:space="0" w:color="auto"/>
          </w:divBdr>
          <w:divsChild>
            <w:div w:id="167642827">
              <w:marLeft w:val="0"/>
              <w:marRight w:val="0"/>
              <w:marTop w:val="0"/>
              <w:marBottom w:val="0"/>
              <w:divBdr>
                <w:top w:val="none" w:sz="0" w:space="0" w:color="auto"/>
                <w:left w:val="none" w:sz="0" w:space="0" w:color="auto"/>
                <w:bottom w:val="none" w:sz="0" w:space="0" w:color="auto"/>
                <w:right w:val="none" w:sz="0" w:space="0" w:color="auto"/>
              </w:divBdr>
              <w:divsChild>
                <w:div w:id="227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6675">
      <w:bodyDiv w:val="1"/>
      <w:marLeft w:val="0"/>
      <w:marRight w:val="0"/>
      <w:marTop w:val="0"/>
      <w:marBottom w:val="0"/>
      <w:divBdr>
        <w:top w:val="none" w:sz="0" w:space="0" w:color="auto"/>
        <w:left w:val="none" w:sz="0" w:space="0" w:color="auto"/>
        <w:bottom w:val="none" w:sz="0" w:space="0" w:color="auto"/>
        <w:right w:val="none" w:sz="0" w:space="0" w:color="auto"/>
      </w:divBdr>
    </w:div>
    <w:div w:id="280041855">
      <w:bodyDiv w:val="1"/>
      <w:marLeft w:val="0"/>
      <w:marRight w:val="0"/>
      <w:marTop w:val="0"/>
      <w:marBottom w:val="0"/>
      <w:divBdr>
        <w:top w:val="none" w:sz="0" w:space="0" w:color="auto"/>
        <w:left w:val="none" w:sz="0" w:space="0" w:color="auto"/>
        <w:bottom w:val="none" w:sz="0" w:space="0" w:color="auto"/>
        <w:right w:val="none" w:sz="0" w:space="0" w:color="auto"/>
      </w:divBdr>
      <w:divsChild>
        <w:div w:id="1560743510">
          <w:marLeft w:val="0"/>
          <w:marRight w:val="0"/>
          <w:marTop w:val="0"/>
          <w:marBottom w:val="0"/>
          <w:divBdr>
            <w:top w:val="none" w:sz="0" w:space="0" w:color="auto"/>
            <w:left w:val="none" w:sz="0" w:space="0" w:color="auto"/>
            <w:bottom w:val="none" w:sz="0" w:space="0" w:color="auto"/>
            <w:right w:val="none" w:sz="0" w:space="0" w:color="auto"/>
          </w:divBdr>
          <w:divsChild>
            <w:div w:id="1674145979">
              <w:marLeft w:val="0"/>
              <w:marRight w:val="0"/>
              <w:marTop w:val="0"/>
              <w:marBottom w:val="0"/>
              <w:divBdr>
                <w:top w:val="none" w:sz="0" w:space="0" w:color="auto"/>
                <w:left w:val="none" w:sz="0" w:space="0" w:color="auto"/>
                <w:bottom w:val="none" w:sz="0" w:space="0" w:color="auto"/>
                <w:right w:val="none" w:sz="0" w:space="0" w:color="auto"/>
              </w:divBdr>
              <w:divsChild>
                <w:div w:id="13654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84671">
      <w:bodyDiv w:val="1"/>
      <w:marLeft w:val="0"/>
      <w:marRight w:val="0"/>
      <w:marTop w:val="0"/>
      <w:marBottom w:val="0"/>
      <w:divBdr>
        <w:top w:val="none" w:sz="0" w:space="0" w:color="auto"/>
        <w:left w:val="none" w:sz="0" w:space="0" w:color="auto"/>
        <w:bottom w:val="none" w:sz="0" w:space="0" w:color="auto"/>
        <w:right w:val="none" w:sz="0" w:space="0" w:color="auto"/>
      </w:divBdr>
    </w:div>
    <w:div w:id="467091694">
      <w:bodyDiv w:val="1"/>
      <w:marLeft w:val="0"/>
      <w:marRight w:val="0"/>
      <w:marTop w:val="0"/>
      <w:marBottom w:val="0"/>
      <w:divBdr>
        <w:top w:val="none" w:sz="0" w:space="0" w:color="auto"/>
        <w:left w:val="none" w:sz="0" w:space="0" w:color="auto"/>
        <w:bottom w:val="none" w:sz="0" w:space="0" w:color="auto"/>
        <w:right w:val="none" w:sz="0" w:space="0" w:color="auto"/>
      </w:divBdr>
      <w:divsChild>
        <w:div w:id="110394668">
          <w:marLeft w:val="0"/>
          <w:marRight w:val="0"/>
          <w:marTop w:val="0"/>
          <w:marBottom w:val="0"/>
          <w:divBdr>
            <w:top w:val="none" w:sz="0" w:space="0" w:color="auto"/>
            <w:left w:val="none" w:sz="0" w:space="0" w:color="auto"/>
            <w:bottom w:val="none" w:sz="0" w:space="0" w:color="auto"/>
            <w:right w:val="none" w:sz="0" w:space="0" w:color="auto"/>
          </w:divBdr>
          <w:divsChild>
            <w:div w:id="872963055">
              <w:marLeft w:val="0"/>
              <w:marRight w:val="0"/>
              <w:marTop w:val="0"/>
              <w:marBottom w:val="0"/>
              <w:divBdr>
                <w:top w:val="none" w:sz="0" w:space="0" w:color="auto"/>
                <w:left w:val="none" w:sz="0" w:space="0" w:color="auto"/>
                <w:bottom w:val="none" w:sz="0" w:space="0" w:color="auto"/>
                <w:right w:val="none" w:sz="0" w:space="0" w:color="auto"/>
              </w:divBdr>
              <w:divsChild>
                <w:div w:id="19645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9095">
      <w:bodyDiv w:val="1"/>
      <w:marLeft w:val="0"/>
      <w:marRight w:val="0"/>
      <w:marTop w:val="0"/>
      <w:marBottom w:val="0"/>
      <w:divBdr>
        <w:top w:val="none" w:sz="0" w:space="0" w:color="auto"/>
        <w:left w:val="none" w:sz="0" w:space="0" w:color="auto"/>
        <w:bottom w:val="none" w:sz="0" w:space="0" w:color="auto"/>
        <w:right w:val="none" w:sz="0" w:space="0" w:color="auto"/>
      </w:divBdr>
    </w:div>
    <w:div w:id="1022587875">
      <w:bodyDiv w:val="1"/>
      <w:marLeft w:val="0"/>
      <w:marRight w:val="0"/>
      <w:marTop w:val="0"/>
      <w:marBottom w:val="0"/>
      <w:divBdr>
        <w:top w:val="none" w:sz="0" w:space="0" w:color="auto"/>
        <w:left w:val="none" w:sz="0" w:space="0" w:color="auto"/>
        <w:bottom w:val="none" w:sz="0" w:space="0" w:color="auto"/>
        <w:right w:val="none" w:sz="0" w:space="0" w:color="auto"/>
      </w:divBdr>
      <w:divsChild>
        <w:div w:id="1160386456">
          <w:marLeft w:val="0"/>
          <w:marRight w:val="0"/>
          <w:marTop w:val="0"/>
          <w:marBottom w:val="0"/>
          <w:divBdr>
            <w:top w:val="none" w:sz="0" w:space="0" w:color="auto"/>
            <w:left w:val="none" w:sz="0" w:space="0" w:color="auto"/>
            <w:bottom w:val="none" w:sz="0" w:space="0" w:color="auto"/>
            <w:right w:val="none" w:sz="0" w:space="0" w:color="auto"/>
          </w:divBdr>
          <w:divsChild>
            <w:div w:id="1232545713">
              <w:marLeft w:val="0"/>
              <w:marRight w:val="0"/>
              <w:marTop w:val="0"/>
              <w:marBottom w:val="0"/>
              <w:divBdr>
                <w:top w:val="none" w:sz="0" w:space="0" w:color="auto"/>
                <w:left w:val="none" w:sz="0" w:space="0" w:color="auto"/>
                <w:bottom w:val="none" w:sz="0" w:space="0" w:color="auto"/>
                <w:right w:val="none" w:sz="0" w:space="0" w:color="auto"/>
              </w:divBdr>
              <w:divsChild>
                <w:div w:id="37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9733">
      <w:bodyDiv w:val="1"/>
      <w:marLeft w:val="0"/>
      <w:marRight w:val="0"/>
      <w:marTop w:val="0"/>
      <w:marBottom w:val="0"/>
      <w:divBdr>
        <w:top w:val="none" w:sz="0" w:space="0" w:color="auto"/>
        <w:left w:val="none" w:sz="0" w:space="0" w:color="auto"/>
        <w:bottom w:val="none" w:sz="0" w:space="0" w:color="auto"/>
        <w:right w:val="none" w:sz="0" w:space="0" w:color="auto"/>
      </w:divBdr>
    </w:div>
    <w:div w:id="1299145624">
      <w:bodyDiv w:val="1"/>
      <w:marLeft w:val="0"/>
      <w:marRight w:val="0"/>
      <w:marTop w:val="0"/>
      <w:marBottom w:val="0"/>
      <w:divBdr>
        <w:top w:val="none" w:sz="0" w:space="0" w:color="auto"/>
        <w:left w:val="none" w:sz="0" w:space="0" w:color="auto"/>
        <w:bottom w:val="none" w:sz="0" w:space="0" w:color="auto"/>
        <w:right w:val="none" w:sz="0" w:space="0" w:color="auto"/>
      </w:divBdr>
      <w:divsChild>
        <w:div w:id="1260989151">
          <w:marLeft w:val="0"/>
          <w:marRight w:val="0"/>
          <w:marTop w:val="0"/>
          <w:marBottom w:val="0"/>
          <w:divBdr>
            <w:top w:val="none" w:sz="0" w:space="0" w:color="auto"/>
            <w:left w:val="none" w:sz="0" w:space="0" w:color="auto"/>
            <w:bottom w:val="none" w:sz="0" w:space="0" w:color="auto"/>
            <w:right w:val="none" w:sz="0" w:space="0" w:color="auto"/>
          </w:divBdr>
          <w:divsChild>
            <w:div w:id="1714502495">
              <w:marLeft w:val="0"/>
              <w:marRight w:val="0"/>
              <w:marTop w:val="0"/>
              <w:marBottom w:val="0"/>
              <w:divBdr>
                <w:top w:val="none" w:sz="0" w:space="0" w:color="auto"/>
                <w:left w:val="none" w:sz="0" w:space="0" w:color="auto"/>
                <w:bottom w:val="none" w:sz="0" w:space="0" w:color="auto"/>
                <w:right w:val="none" w:sz="0" w:space="0" w:color="auto"/>
              </w:divBdr>
              <w:divsChild>
                <w:div w:id="3149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7805">
      <w:bodyDiv w:val="1"/>
      <w:marLeft w:val="0"/>
      <w:marRight w:val="0"/>
      <w:marTop w:val="0"/>
      <w:marBottom w:val="0"/>
      <w:divBdr>
        <w:top w:val="none" w:sz="0" w:space="0" w:color="auto"/>
        <w:left w:val="none" w:sz="0" w:space="0" w:color="auto"/>
        <w:bottom w:val="none" w:sz="0" w:space="0" w:color="auto"/>
        <w:right w:val="none" w:sz="0" w:space="0" w:color="auto"/>
      </w:divBdr>
      <w:divsChild>
        <w:div w:id="350112688">
          <w:marLeft w:val="0"/>
          <w:marRight w:val="0"/>
          <w:marTop w:val="0"/>
          <w:marBottom w:val="0"/>
          <w:divBdr>
            <w:top w:val="none" w:sz="0" w:space="0" w:color="auto"/>
            <w:left w:val="none" w:sz="0" w:space="0" w:color="auto"/>
            <w:bottom w:val="none" w:sz="0" w:space="0" w:color="auto"/>
            <w:right w:val="none" w:sz="0" w:space="0" w:color="auto"/>
          </w:divBdr>
          <w:divsChild>
            <w:div w:id="405808087">
              <w:marLeft w:val="0"/>
              <w:marRight w:val="0"/>
              <w:marTop w:val="0"/>
              <w:marBottom w:val="0"/>
              <w:divBdr>
                <w:top w:val="none" w:sz="0" w:space="0" w:color="auto"/>
                <w:left w:val="none" w:sz="0" w:space="0" w:color="auto"/>
                <w:bottom w:val="none" w:sz="0" w:space="0" w:color="auto"/>
                <w:right w:val="none" w:sz="0" w:space="0" w:color="auto"/>
              </w:divBdr>
              <w:divsChild>
                <w:div w:id="19533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4344">
      <w:bodyDiv w:val="1"/>
      <w:marLeft w:val="0"/>
      <w:marRight w:val="0"/>
      <w:marTop w:val="0"/>
      <w:marBottom w:val="0"/>
      <w:divBdr>
        <w:top w:val="none" w:sz="0" w:space="0" w:color="auto"/>
        <w:left w:val="none" w:sz="0" w:space="0" w:color="auto"/>
        <w:bottom w:val="none" w:sz="0" w:space="0" w:color="auto"/>
        <w:right w:val="none" w:sz="0" w:space="0" w:color="auto"/>
      </w:divBdr>
      <w:divsChild>
        <w:div w:id="110125876">
          <w:marLeft w:val="0"/>
          <w:marRight w:val="0"/>
          <w:marTop w:val="0"/>
          <w:marBottom w:val="0"/>
          <w:divBdr>
            <w:top w:val="none" w:sz="0" w:space="0" w:color="auto"/>
            <w:left w:val="none" w:sz="0" w:space="0" w:color="auto"/>
            <w:bottom w:val="none" w:sz="0" w:space="0" w:color="auto"/>
            <w:right w:val="none" w:sz="0" w:space="0" w:color="auto"/>
          </w:divBdr>
          <w:divsChild>
            <w:div w:id="1263757680">
              <w:marLeft w:val="0"/>
              <w:marRight w:val="0"/>
              <w:marTop w:val="0"/>
              <w:marBottom w:val="0"/>
              <w:divBdr>
                <w:top w:val="none" w:sz="0" w:space="0" w:color="auto"/>
                <w:left w:val="none" w:sz="0" w:space="0" w:color="auto"/>
                <w:bottom w:val="none" w:sz="0" w:space="0" w:color="auto"/>
                <w:right w:val="none" w:sz="0" w:space="0" w:color="auto"/>
              </w:divBdr>
              <w:divsChild>
                <w:div w:id="9863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54823">
      <w:bodyDiv w:val="1"/>
      <w:marLeft w:val="0"/>
      <w:marRight w:val="0"/>
      <w:marTop w:val="0"/>
      <w:marBottom w:val="0"/>
      <w:divBdr>
        <w:top w:val="none" w:sz="0" w:space="0" w:color="auto"/>
        <w:left w:val="none" w:sz="0" w:space="0" w:color="auto"/>
        <w:bottom w:val="none" w:sz="0" w:space="0" w:color="auto"/>
        <w:right w:val="none" w:sz="0" w:space="0" w:color="auto"/>
      </w:divBdr>
    </w:div>
    <w:div w:id="1623803696">
      <w:bodyDiv w:val="1"/>
      <w:marLeft w:val="0"/>
      <w:marRight w:val="0"/>
      <w:marTop w:val="0"/>
      <w:marBottom w:val="0"/>
      <w:divBdr>
        <w:top w:val="none" w:sz="0" w:space="0" w:color="auto"/>
        <w:left w:val="none" w:sz="0" w:space="0" w:color="auto"/>
        <w:bottom w:val="none" w:sz="0" w:space="0" w:color="auto"/>
        <w:right w:val="none" w:sz="0" w:space="0" w:color="auto"/>
      </w:divBdr>
      <w:divsChild>
        <w:div w:id="1666861978">
          <w:marLeft w:val="0"/>
          <w:marRight w:val="0"/>
          <w:marTop w:val="0"/>
          <w:marBottom w:val="0"/>
          <w:divBdr>
            <w:top w:val="none" w:sz="0" w:space="0" w:color="auto"/>
            <w:left w:val="none" w:sz="0" w:space="0" w:color="auto"/>
            <w:bottom w:val="none" w:sz="0" w:space="0" w:color="auto"/>
            <w:right w:val="none" w:sz="0" w:space="0" w:color="auto"/>
          </w:divBdr>
          <w:divsChild>
            <w:div w:id="873689072">
              <w:marLeft w:val="0"/>
              <w:marRight w:val="0"/>
              <w:marTop w:val="0"/>
              <w:marBottom w:val="0"/>
              <w:divBdr>
                <w:top w:val="none" w:sz="0" w:space="0" w:color="auto"/>
                <w:left w:val="none" w:sz="0" w:space="0" w:color="auto"/>
                <w:bottom w:val="none" w:sz="0" w:space="0" w:color="auto"/>
                <w:right w:val="none" w:sz="0" w:space="0" w:color="auto"/>
              </w:divBdr>
              <w:divsChild>
                <w:div w:id="18045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71482">
      <w:bodyDiv w:val="1"/>
      <w:marLeft w:val="0"/>
      <w:marRight w:val="0"/>
      <w:marTop w:val="0"/>
      <w:marBottom w:val="0"/>
      <w:divBdr>
        <w:top w:val="none" w:sz="0" w:space="0" w:color="auto"/>
        <w:left w:val="none" w:sz="0" w:space="0" w:color="auto"/>
        <w:bottom w:val="none" w:sz="0" w:space="0" w:color="auto"/>
        <w:right w:val="none" w:sz="0" w:space="0" w:color="auto"/>
      </w:divBdr>
      <w:divsChild>
        <w:div w:id="443229386">
          <w:marLeft w:val="0"/>
          <w:marRight w:val="0"/>
          <w:marTop w:val="0"/>
          <w:marBottom w:val="0"/>
          <w:divBdr>
            <w:top w:val="none" w:sz="0" w:space="0" w:color="auto"/>
            <w:left w:val="none" w:sz="0" w:space="0" w:color="auto"/>
            <w:bottom w:val="none" w:sz="0" w:space="0" w:color="auto"/>
            <w:right w:val="none" w:sz="0" w:space="0" w:color="auto"/>
          </w:divBdr>
          <w:divsChild>
            <w:div w:id="1023631891">
              <w:marLeft w:val="0"/>
              <w:marRight w:val="0"/>
              <w:marTop w:val="0"/>
              <w:marBottom w:val="0"/>
              <w:divBdr>
                <w:top w:val="none" w:sz="0" w:space="0" w:color="auto"/>
                <w:left w:val="none" w:sz="0" w:space="0" w:color="auto"/>
                <w:bottom w:val="none" w:sz="0" w:space="0" w:color="auto"/>
                <w:right w:val="none" w:sz="0" w:space="0" w:color="auto"/>
              </w:divBdr>
              <w:divsChild>
                <w:div w:id="12362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0227">
      <w:bodyDiv w:val="1"/>
      <w:marLeft w:val="0"/>
      <w:marRight w:val="0"/>
      <w:marTop w:val="0"/>
      <w:marBottom w:val="0"/>
      <w:divBdr>
        <w:top w:val="none" w:sz="0" w:space="0" w:color="auto"/>
        <w:left w:val="none" w:sz="0" w:space="0" w:color="auto"/>
        <w:bottom w:val="none" w:sz="0" w:space="0" w:color="auto"/>
        <w:right w:val="none" w:sz="0" w:space="0" w:color="auto"/>
      </w:divBdr>
      <w:divsChild>
        <w:div w:id="1191801250">
          <w:marLeft w:val="0"/>
          <w:marRight w:val="0"/>
          <w:marTop w:val="0"/>
          <w:marBottom w:val="0"/>
          <w:divBdr>
            <w:top w:val="none" w:sz="0" w:space="0" w:color="auto"/>
            <w:left w:val="none" w:sz="0" w:space="0" w:color="auto"/>
            <w:bottom w:val="none" w:sz="0" w:space="0" w:color="auto"/>
            <w:right w:val="none" w:sz="0" w:space="0" w:color="auto"/>
          </w:divBdr>
          <w:divsChild>
            <w:div w:id="1341933071">
              <w:marLeft w:val="0"/>
              <w:marRight w:val="0"/>
              <w:marTop w:val="0"/>
              <w:marBottom w:val="0"/>
              <w:divBdr>
                <w:top w:val="none" w:sz="0" w:space="0" w:color="auto"/>
                <w:left w:val="none" w:sz="0" w:space="0" w:color="auto"/>
                <w:bottom w:val="none" w:sz="0" w:space="0" w:color="auto"/>
                <w:right w:val="none" w:sz="0" w:space="0" w:color="auto"/>
              </w:divBdr>
              <w:divsChild>
                <w:div w:id="2654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5988">
      <w:bodyDiv w:val="1"/>
      <w:marLeft w:val="0"/>
      <w:marRight w:val="0"/>
      <w:marTop w:val="0"/>
      <w:marBottom w:val="0"/>
      <w:divBdr>
        <w:top w:val="none" w:sz="0" w:space="0" w:color="auto"/>
        <w:left w:val="none" w:sz="0" w:space="0" w:color="auto"/>
        <w:bottom w:val="none" w:sz="0" w:space="0" w:color="auto"/>
        <w:right w:val="none" w:sz="0" w:space="0" w:color="auto"/>
      </w:divBdr>
      <w:divsChild>
        <w:div w:id="235940560">
          <w:marLeft w:val="0"/>
          <w:marRight w:val="0"/>
          <w:marTop w:val="0"/>
          <w:marBottom w:val="0"/>
          <w:divBdr>
            <w:top w:val="none" w:sz="0" w:space="0" w:color="auto"/>
            <w:left w:val="none" w:sz="0" w:space="0" w:color="auto"/>
            <w:bottom w:val="none" w:sz="0" w:space="0" w:color="auto"/>
            <w:right w:val="none" w:sz="0" w:space="0" w:color="auto"/>
          </w:divBdr>
          <w:divsChild>
            <w:div w:id="773399992">
              <w:marLeft w:val="0"/>
              <w:marRight w:val="0"/>
              <w:marTop w:val="0"/>
              <w:marBottom w:val="0"/>
              <w:divBdr>
                <w:top w:val="none" w:sz="0" w:space="0" w:color="auto"/>
                <w:left w:val="none" w:sz="0" w:space="0" w:color="auto"/>
                <w:bottom w:val="none" w:sz="0" w:space="0" w:color="auto"/>
                <w:right w:val="none" w:sz="0" w:space="0" w:color="auto"/>
              </w:divBdr>
              <w:divsChild>
                <w:div w:id="9044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2023-10-02T18:30:00+00:00</Judgment_x0020_Date>
    <Year xmlns="c1afb1bd-f2fb-40fd-9abb-aea55b4d7662">2023</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3AED-FAAD-4BBF-86C3-037990849AEC}"/>
</file>

<file path=customXml/itemProps2.xml><?xml version="1.0" encoding="utf-8"?>
<ds:datastoreItem xmlns:ds="http://schemas.openxmlformats.org/officeDocument/2006/customXml" ds:itemID="{B65F9930-A70F-4DCF-B286-D8A259F5EB07}"/>
</file>

<file path=customXml/itemProps3.xml><?xml version="1.0" encoding="utf-8"?>
<ds:datastoreItem xmlns:ds="http://schemas.openxmlformats.org/officeDocument/2006/customXml" ds:itemID="{7D8D69DF-B9E4-4841-AFAC-B1469F8685CC}"/>
</file>

<file path=customXml/itemProps4.xml><?xml version="1.0" encoding="utf-8"?>
<ds:datastoreItem xmlns:ds="http://schemas.openxmlformats.org/officeDocument/2006/customXml" ds:itemID="{C9D9270B-60DC-4999-AA15-6CA4BDBE2B67}"/>
</file>

<file path=docProps/app.xml><?xml version="1.0" encoding="utf-8"?>
<Properties xmlns="http://schemas.openxmlformats.org/officeDocument/2006/extended-properties" xmlns:vt="http://schemas.openxmlformats.org/officeDocument/2006/docPropsVTypes">
  <Template>Normal</Template>
  <TotalTime>2</TotalTime>
  <Pages>1</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Nedbank Namibia Ltd v Jantjies (INT-HC-DECIMMPRO-2023-00144) [2023] NAHCMD 465 (4 August 2023)</vt:lpstr>
    </vt:vector>
  </TitlesOfParts>
  <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Uushona v City of Windhoek (HC-MD-CIV-MOT-GEN-2023-00377) [2023] NAHCMD 611 (3 October 2023)</dc:title>
  <dc:subject/>
  <dc:creator>shomany keister</dc:creator>
  <cp:keywords/>
  <dc:description/>
  <cp:lastModifiedBy>Bregitha Coetzee</cp:lastModifiedBy>
  <cp:revision>4</cp:revision>
  <cp:lastPrinted>2023-10-03T09:57:00Z</cp:lastPrinted>
  <dcterms:created xsi:type="dcterms:W3CDTF">2023-10-03T10:05:00Z</dcterms:created>
  <dcterms:modified xsi:type="dcterms:W3CDTF">2023-10-03T14:04:00Z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3f772c309a9ad030a27b9669272ce1ebc8f4ae1590c9438bd4e7e51bc9337b28</vt:lpwstr>
  </property>
  <property fmtid="{D5CDD505-2E9C-101B-9397-08002B2CF9AE}" pid="3" name="ContentTypeId">
    <vt:lpwstr>0x0101000ECE0F99B3F8644397ECB0C536651393</vt:lpwstr>
  </property>
</Properties>
</file>