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US"/>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05F36159" w14:textId="77777777" w:rsidR="001A13C3" w:rsidRDefault="00FE0A83" w:rsidP="0061537D">
            <w:pPr>
              <w:jc w:val="both"/>
              <w:rPr>
                <w:rFonts w:ascii="Arial" w:hAnsi="Arial" w:cs="Arial"/>
                <w:sz w:val="24"/>
                <w:szCs w:val="24"/>
              </w:rPr>
            </w:pPr>
            <w:r w:rsidRPr="00163FB4">
              <w:rPr>
                <w:rFonts w:ascii="Arial" w:hAnsi="Arial" w:cs="Arial"/>
                <w:sz w:val="24"/>
                <w:szCs w:val="24"/>
              </w:rPr>
              <w:t xml:space="preserve">DR. WEDER, KAUTA &amp; HOVEKA INC. &amp; </w:t>
            </w:r>
            <w:r w:rsidR="001A13C3">
              <w:rPr>
                <w:rFonts w:ascii="Arial" w:hAnsi="Arial" w:cs="Arial"/>
                <w:sz w:val="24"/>
                <w:szCs w:val="24"/>
              </w:rPr>
              <w:t>AN</w:t>
            </w:r>
            <w:r w:rsidRPr="00163FB4">
              <w:rPr>
                <w:rFonts w:ascii="Arial" w:hAnsi="Arial" w:cs="Arial"/>
                <w:sz w:val="24"/>
                <w:szCs w:val="24"/>
              </w:rPr>
              <w:t>OTHER</w:t>
            </w:r>
            <w:r w:rsidR="001A13C3">
              <w:rPr>
                <w:rFonts w:ascii="Arial" w:hAnsi="Arial" w:cs="Arial"/>
                <w:sz w:val="24"/>
                <w:szCs w:val="24"/>
              </w:rPr>
              <w:t xml:space="preserve"> </w:t>
            </w:r>
            <w:r w:rsidR="00136505" w:rsidRPr="00163FB4">
              <w:rPr>
                <w:rFonts w:ascii="Arial" w:hAnsi="Arial" w:cs="Arial"/>
                <w:sz w:val="24"/>
                <w:szCs w:val="24"/>
                <w:shd w:val="clear" w:color="auto" w:fill="FFFFFF"/>
              </w:rPr>
              <w:t xml:space="preserve">// </w:t>
            </w:r>
            <w:r w:rsidRPr="00163FB4">
              <w:rPr>
                <w:rFonts w:ascii="Arial" w:hAnsi="Arial" w:cs="Arial"/>
                <w:sz w:val="24"/>
                <w:szCs w:val="24"/>
              </w:rPr>
              <w:t>NAMIBIA COMPETITION COMMISSION &amp; 2 OTHERS</w:t>
            </w:r>
            <w:r w:rsidR="001A13C3">
              <w:rPr>
                <w:rFonts w:ascii="Arial" w:hAnsi="Arial" w:cs="Arial"/>
                <w:sz w:val="24"/>
                <w:szCs w:val="24"/>
              </w:rPr>
              <w:t xml:space="preserve">; </w:t>
            </w:r>
          </w:p>
          <w:p w14:paraId="2FA1AB34" w14:textId="77777777" w:rsidR="007008BE" w:rsidRDefault="007008BE" w:rsidP="0061537D">
            <w:pPr>
              <w:jc w:val="both"/>
              <w:rPr>
                <w:rFonts w:ascii="Arial" w:hAnsi="Arial" w:cs="Arial"/>
                <w:sz w:val="24"/>
                <w:szCs w:val="24"/>
              </w:rPr>
            </w:pPr>
          </w:p>
          <w:p w14:paraId="20EAB700" w14:textId="4CECD88A" w:rsidR="00B40844" w:rsidRPr="00163FB4" w:rsidRDefault="001A13C3" w:rsidP="0061537D">
            <w:pPr>
              <w:jc w:val="both"/>
              <w:rPr>
                <w:rFonts w:ascii="Arial" w:hAnsi="Arial" w:cs="Arial"/>
                <w:sz w:val="24"/>
                <w:szCs w:val="24"/>
              </w:rPr>
            </w:pPr>
            <w:r w:rsidRPr="00163FB4">
              <w:rPr>
                <w:rFonts w:ascii="Arial" w:hAnsi="Arial" w:cs="Arial"/>
                <w:sz w:val="24"/>
                <w:szCs w:val="24"/>
              </w:rPr>
              <w:t>DR. WEDER, KAUTA &amp; HOVEKA INC.</w:t>
            </w:r>
            <w:r>
              <w:rPr>
                <w:rFonts w:ascii="Arial" w:hAnsi="Arial" w:cs="Arial"/>
                <w:sz w:val="24"/>
                <w:szCs w:val="24"/>
              </w:rPr>
              <w:t xml:space="preserve"> </w:t>
            </w:r>
            <w:r w:rsidRPr="00163FB4">
              <w:rPr>
                <w:rFonts w:ascii="Arial" w:hAnsi="Arial" w:cs="Arial"/>
                <w:sz w:val="24"/>
                <w:szCs w:val="24"/>
                <w:shd w:val="clear" w:color="auto" w:fill="FFFFFF"/>
              </w:rPr>
              <w:t xml:space="preserve">// </w:t>
            </w:r>
            <w:r w:rsidRPr="00163FB4">
              <w:rPr>
                <w:rFonts w:ascii="Arial" w:hAnsi="Arial" w:cs="Arial"/>
                <w:sz w:val="24"/>
                <w:szCs w:val="24"/>
              </w:rPr>
              <w:t>NAMIBIA COMPETITION COMMISSION &amp; 2 OTHERS</w:t>
            </w:r>
            <w:r>
              <w:rPr>
                <w:rFonts w:ascii="Arial" w:hAnsi="Arial" w:cs="Arial"/>
                <w:sz w:val="24"/>
                <w:szCs w:val="24"/>
              </w:rPr>
              <w:t xml:space="preserve">  </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0A90C565" w14:textId="77777777" w:rsidR="00B40844" w:rsidRDefault="00FE0A83" w:rsidP="00937C89">
            <w:pPr>
              <w:spacing w:line="360" w:lineRule="auto"/>
              <w:jc w:val="both"/>
              <w:rPr>
                <w:rFonts w:ascii="Arial" w:hAnsi="Arial" w:cs="Arial"/>
                <w:sz w:val="24"/>
                <w:szCs w:val="24"/>
              </w:rPr>
            </w:pPr>
            <w:r w:rsidRPr="00FE0A83">
              <w:rPr>
                <w:rFonts w:ascii="Arial" w:hAnsi="Arial" w:cs="Arial"/>
                <w:sz w:val="24"/>
                <w:szCs w:val="24"/>
              </w:rPr>
              <w:t>HC-MD-CIV-MOT-REV-2022/00355</w:t>
            </w:r>
          </w:p>
          <w:p w14:paraId="7CF4C181" w14:textId="3A2DAC9F" w:rsidR="00865F37" w:rsidRPr="00865F37" w:rsidRDefault="00865F37" w:rsidP="00937C89">
            <w:pPr>
              <w:spacing w:line="360" w:lineRule="auto"/>
              <w:jc w:val="both"/>
              <w:rPr>
                <w:rFonts w:ascii="Arial" w:hAnsi="Arial" w:cs="Arial"/>
                <w:sz w:val="24"/>
                <w:szCs w:val="24"/>
              </w:rPr>
            </w:pPr>
            <w:r>
              <w:rPr>
                <w:rFonts w:ascii="Arial" w:hAnsi="Arial" w:cs="Arial"/>
                <w:sz w:val="24"/>
                <w:szCs w:val="24"/>
              </w:rPr>
              <w:t>HC-MD-CIV-MOT-REV-2022/00357</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77777777" w:rsidR="00B40844" w:rsidRPr="004A5618" w:rsidRDefault="00B40844" w:rsidP="00136505">
            <w:pPr>
              <w:spacing w:line="360" w:lineRule="auto"/>
              <w:jc w:val="both"/>
              <w:rPr>
                <w:rFonts w:ascii="Arial" w:hAnsi="Arial" w:cs="Arial"/>
                <w:sz w:val="24"/>
                <w:szCs w:val="24"/>
              </w:rPr>
            </w:pPr>
            <w:r w:rsidRPr="004A5618">
              <w:rPr>
                <w:rFonts w:ascii="Arial" w:hAnsi="Arial" w:cs="Arial"/>
                <w:sz w:val="24"/>
                <w:szCs w:val="24"/>
              </w:rPr>
              <w:t xml:space="preserve">HONOURABLE MR JUSTICE </w:t>
            </w:r>
            <w:r w:rsidR="00136505" w:rsidRPr="004A5618">
              <w:rPr>
                <w:rFonts w:ascii="Arial" w:hAnsi="Arial" w:cs="Arial"/>
                <w:sz w:val="24"/>
                <w:szCs w:val="24"/>
              </w:rPr>
              <w:t>PARKER</w:t>
            </w:r>
            <w:r w:rsidRPr="004A5618">
              <w:rPr>
                <w:rFonts w:ascii="Arial" w:hAnsi="Arial" w:cs="Arial"/>
                <w:sz w:val="24"/>
                <w:szCs w:val="24"/>
              </w:rPr>
              <w:t xml:space="preserve">, </w:t>
            </w:r>
            <w:r w:rsidR="00136505" w:rsidRPr="004A5618">
              <w:rPr>
                <w:rFonts w:ascii="Arial" w:hAnsi="Arial" w:cs="Arial"/>
                <w:sz w:val="24"/>
                <w:szCs w:val="24"/>
              </w:rPr>
              <w:t>ACTING</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58DA5D39" w:rsidR="00B40844" w:rsidRPr="004A5618" w:rsidRDefault="00163FB4" w:rsidP="0061537D">
            <w:pPr>
              <w:spacing w:line="360" w:lineRule="auto"/>
              <w:jc w:val="both"/>
              <w:rPr>
                <w:rFonts w:ascii="Arial" w:hAnsi="Arial" w:cs="Arial"/>
                <w:sz w:val="24"/>
                <w:szCs w:val="24"/>
              </w:rPr>
            </w:pPr>
            <w:r>
              <w:rPr>
                <w:rFonts w:ascii="Arial" w:hAnsi="Arial" w:cs="Arial"/>
                <w:sz w:val="24"/>
                <w:szCs w:val="24"/>
              </w:rPr>
              <w:t>14</w:t>
            </w:r>
            <w:r w:rsidR="00C2633E" w:rsidRPr="004A5618">
              <w:rPr>
                <w:rFonts w:ascii="Arial" w:hAnsi="Arial" w:cs="Arial"/>
                <w:sz w:val="24"/>
                <w:szCs w:val="24"/>
              </w:rPr>
              <w:t xml:space="preserve"> </w:t>
            </w:r>
            <w:r w:rsidR="0061537D" w:rsidRPr="004A5618">
              <w:rPr>
                <w:rFonts w:ascii="Arial" w:hAnsi="Arial" w:cs="Arial"/>
                <w:sz w:val="24"/>
                <w:szCs w:val="24"/>
              </w:rPr>
              <w:t>SEPTEMBER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19D21BC7" w:rsidR="00B40844" w:rsidRPr="004A5618" w:rsidRDefault="00BB3C0C" w:rsidP="00BB3C0C">
            <w:pPr>
              <w:spacing w:line="360" w:lineRule="auto"/>
              <w:jc w:val="both"/>
              <w:rPr>
                <w:rFonts w:ascii="Arial" w:hAnsi="Arial" w:cs="Arial"/>
                <w:b/>
                <w:sz w:val="24"/>
                <w:szCs w:val="24"/>
              </w:rPr>
            </w:pPr>
            <w:r>
              <w:rPr>
                <w:rFonts w:ascii="Arial" w:hAnsi="Arial" w:cs="Arial"/>
                <w:sz w:val="24"/>
                <w:szCs w:val="24"/>
              </w:rPr>
              <w:t>4</w:t>
            </w:r>
            <w:r w:rsidR="00136505" w:rsidRPr="004A5618">
              <w:rPr>
                <w:rFonts w:ascii="Arial" w:hAnsi="Arial" w:cs="Arial"/>
                <w:sz w:val="24"/>
                <w:szCs w:val="24"/>
              </w:rPr>
              <w:t xml:space="preserve"> </w:t>
            </w:r>
            <w:r>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52946988" w:rsidR="00B40844" w:rsidRPr="004A5618" w:rsidRDefault="00B40844" w:rsidP="00450650">
            <w:pPr>
              <w:spacing w:line="360" w:lineRule="auto"/>
              <w:ind w:left="2019" w:hanging="1986"/>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r w:rsidR="00BB3C0C" w:rsidRPr="00865F37">
              <w:rPr>
                <w:rFonts w:ascii="Arial" w:hAnsi="Arial" w:cs="Arial"/>
                <w:i/>
                <w:sz w:val="24"/>
                <w:szCs w:val="24"/>
              </w:rPr>
              <w:t>Dr. Weder, Kauta &amp; Hoveka Inc</w:t>
            </w:r>
            <w:r w:rsidR="00BB3C0C" w:rsidRPr="00163FB4">
              <w:rPr>
                <w:rFonts w:ascii="Arial" w:hAnsi="Arial" w:cs="Arial"/>
                <w:sz w:val="24"/>
                <w:szCs w:val="24"/>
              </w:rPr>
              <w:t>.</w:t>
            </w:r>
            <w:r w:rsidR="00BB3C0C" w:rsidRPr="004A5618">
              <w:rPr>
                <w:rFonts w:ascii="Arial" w:hAnsi="Arial" w:cs="Arial"/>
                <w:i/>
                <w:sz w:val="24"/>
                <w:szCs w:val="24"/>
                <w:shd w:val="clear" w:color="auto" w:fill="FFFFFF"/>
              </w:rPr>
              <w:t xml:space="preserve"> v </w:t>
            </w:r>
            <w:r w:rsidR="00BB3C0C" w:rsidRPr="00865F37">
              <w:rPr>
                <w:rFonts w:ascii="Arial" w:hAnsi="Arial" w:cs="Arial"/>
                <w:i/>
                <w:sz w:val="24"/>
                <w:szCs w:val="24"/>
              </w:rPr>
              <w:t>Namibia Competition Commission</w:t>
            </w:r>
            <w:r w:rsidRPr="004A5618">
              <w:rPr>
                <w:rFonts w:ascii="Arial" w:hAnsi="Arial" w:cs="Arial"/>
                <w:sz w:val="24"/>
                <w:szCs w:val="24"/>
              </w:rPr>
              <w:t xml:space="preserve"> (</w:t>
            </w:r>
            <w:r w:rsidR="00BB3C0C" w:rsidRPr="00FE0A83">
              <w:rPr>
                <w:rFonts w:ascii="Arial" w:hAnsi="Arial" w:cs="Arial"/>
                <w:sz w:val="24"/>
                <w:szCs w:val="24"/>
              </w:rPr>
              <w:t>HC-MD-CIV-MOT-REV-2022/00355</w:t>
            </w:r>
            <w:bookmarkStart w:id="0" w:name="_GoBack"/>
            <w:bookmarkEnd w:id="0"/>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450650">
              <w:rPr>
                <w:rFonts w:ascii="Arial" w:hAnsi="Arial" w:cs="Arial"/>
                <w:sz w:val="24"/>
                <w:szCs w:val="24"/>
              </w:rPr>
              <w:t>613</w:t>
            </w:r>
            <w:r w:rsidRPr="004A5618">
              <w:rPr>
                <w:rFonts w:ascii="Arial" w:hAnsi="Arial" w:cs="Arial"/>
                <w:sz w:val="24"/>
                <w:szCs w:val="24"/>
              </w:rPr>
              <w:t xml:space="preserve"> (</w:t>
            </w:r>
            <w:r w:rsidR="00BB3C0C">
              <w:rPr>
                <w:rFonts w:ascii="Arial" w:hAnsi="Arial" w:cs="Arial"/>
                <w:sz w:val="24"/>
                <w:szCs w:val="24"/>
              </w:rPr>
              <w:t>4</w:t>
            </w:r>
            <w:r w:rsidR="00136505" w:rsidRPr="004A5618">
              <w:rPr>
                <w:rFonts w:ascii="Arial" w:hAnsi="Arial" w:cs="Arial"/>
                <w:sz w:val="24"/>
                <w:szCs w:val="24"/>
              </w:rPr>
              <w:t xml:space="preserve"> </w:t>
            </w:r>
            <w:r w:rsidR="00BB3C0C">
              <w:rPr>
                <w:rFonts w:ascii="Arial" w:hAnsi="Arial" w:cs="Arial"/>
                <w:sz w:val="24"/>
                <w:szCs w:val="24"/>
              </w:rPr>
              <w:t>October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60C0A90F" w14:textId="77777777" w:rsidR="00B40844" w:rsidRPr="004A5618" w:rsidRDefault="00B40844" w:rsidP="00937C89">
            <w:pPr>
              <w:spacing w:line="360" w:lineRule="auto"/>
              <w:jc w:val="both"/>
              <w:rPr>
                <w:rFonts w:ascii="Arial" w:hAnsi="Arial" w:cs="Arial"/>
                <w:sz w:val="18"/>
                <w:szCs w:val="18"/>
              </w:rPr>
            </w:pPr>
          </w:p>
          <w:p w14:paraId="79CF1D7B" w14:textId="77777777" w:rsidR="004E3BFB" w:rsidRPr="004A5618" w:rsidRDefault="004E3BFB" w:rsidP="00937C89">
            <w:pPr>
              <w:spacing w:line="360" w:lineRule="auto"/>
              <w:jc w:val="both"/>
              <w:rPr>
                <w:rFonts w:ascii="Arial" w:hAnsi="Arial" w:cs="Arial"/>
                <w:b/>
                <w:sz w:val="24"/>
                <w:szCs w:val="24"/>
              </w:rPr>
            </w:pPr>
          </w:p>
          <w:p w14:paraId="4F690F97" w14:textId="0FBDFEF6" w:rsidR="00002760" w:rsidRPr="004A5618" w:rsidRDefault="00002760" w:rsidP="00002760">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 xml:space="preserve">The interlocutory applications are dismissed with costs, including costs of one instructing counsel and two instructed counsel, and the costs are capped in terms of rule 32(11) of the </w:t>
            </w:r>
            <w:r w:rsidR="001A13C3">
              <w:rPr>
                <w:rFonts w:ascii="Arial" w:hAnsi="Arial" w:cs="Arial"/>
                <w:sz w:val="24"/>
                <w:szCs w:val="24"/>
              </w:rPr>
              <w:t xml:space="preserve">rules </w:t>
            </w:r>
            <w:r>
              <w:rPr>
                <w:rFonts w:ascii="Arial" w:hAnsi="Arial" w:cs="Arial"/>
                <w:sz w:val="24"/>
                <w:szCs w:val="24"/>
              </w:rPr>
              <w:t>of court.</w:t>
            </w:r>
          </w:p>
          <w:p w14:paraId="0C880081" w14:textId="77777777" w:rsidR="00002760" w:rsidRPr="004A5618" w:rsidRDefault="00002760" w:rsidP="00002760">
            <w:pPr>
              <w:pStyle w:val="ListParagraph"/>
              <w:spacing w:line="360" w:lineRule="auto"/>
              <w:ind w:left="743" w:hanging="710"/>
              <w:jc w:val="both"/>
              <w:rPr>
                <w:rFonts w:ascii="Arial" w:hAnsi="Arial" w:cs="Arial"/>
                <w:sz w:val="24"/>
                <w:szCs w:val="24"/>
              </w:rPr>
            </w:pPr>
          </w:p>
          <w:p w14:paraId="588816E0" w14:textId="77777777" w:rsidR="00002760" w:rsidRPr="004A5618" w:rsidRDefault="00002760" w:rsidP="00002760">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Counsel and the parties (if unrepresented by counsel) are called upon to attend a status hearing at 08h30 on 18 October 2023 to determine the conduct of the main applications.</w:t>
            </w:r>
          </w:p>
          <w:p w14:paraId="77E26A2F" w14:textId="77777777" w:rsidR="00002760" w:rsidRPr="004A5618" w:rsidRDefault="00002760" w:rsidP="00002760">
            <w:pPr>
              <w:pStyle w:val="ListParagraph"/>
              <w:spacing w:line="360" w:lineRule="auto"/>
              <w:ind w:left="743" w:hanging="710"/>
              <w:rPr>
                <w:rFonts w:ascii="Arial" w:hAnsi="Arial" w:cs="Arial"/>
                <w:sz w:val="24"/>
                <w:szCs w:val="24"/>
              </w:rPr>
            </w:pPr>
          </w:p>
          <w:p w14:paraId="441092F9" w14:textId="052B6B0E" w:rsidR="00002760" w:rsidRPr="00437666" w:rsidRDefault="00002760" w:rsidP="00002760">
            <w:pPr>
              <w:pStyle w:val="ListParagraph"/>
              <w:numPr>
                <w:ilvl w:val="0"/>
                <w:numId w:val="11"/>
              </w:numPr>
              <w:tabs>
                <w:tab w:val="left" w:pos="729"/>
              </w:tabs>
              <w:spacing w:line="360" w:lineRule="auto"/>
              <w:ind w:left="743" w:hanging="710"/>
              <w:jc w:val="both"/>
              <w:rPr>
                <w:rFonts w:ascii="Arial" w:hAnsi="Arial" w:cs="Arial"/>
                <w:sz w:val="24"/>
                <w:szCs w:val="24"/>
              </w:rPr>
            </w:pPr>
            <w:r w:rsidRPr="00437666">
              <w:rPr>
                <w:rFonts w:ascii="Arial" w:hAnsi="Arial" w:cs="Arial"/>
                <w:sz w:val="24"/>
                <w:szCs w:val="24"/>
              </w:rPr>
              <w:lastRenderedPageBreak/>
              <w:t>The interlocutory applications are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051414D6"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15193DB" w14:textId="77777777" w:rsidR="003B03B0" w:rsidRDefault="003B03B0" w:rsidP="00ED76B2">
            <w:pPr>
              <w:spacing w:line="360" w:lineRule="auto"/>
              <w:jc w:val="both"/>
              <w:rPr>
                <w:rFonts w:ascii="Arial" w:hAnsi="Arial" w:cs="Arial"/>
                <w:sz w:val="24"/>
                <w:szCs w:val="24"/>
              </w:rPr>
            </w:pPr>
          </w:p>
          <w:p w14:paraId="40A2AC43" w14:textId="77777777" w:rsidR="005B62C7" w:rsidRPr="005B62C7" w:rsidRDefault="005B62C7" w:rsidP="00ED76B2">
            <w:pPr>
              <w:spacing w:line="360" w:lineRule="auto"/>
              <w:jc w:val="both"/>
              <w:rPr>
                <w:rFonts w:ascii="Arial" w:hAnsi="Arial" w:cs="Arial"/>
                <w:sz w:val="24"/>
                <w:szCs w:val="24"/>
                <w:u w:val="single"/>
              </w:rPr>
            </w:pPr>
            <w:r w:rsidRPr="005B62C7">
              <w:rPr>
                <w:rFonts w:ascii="Arial" w:hAnsi="Arial" w:cs="Arial"/>
                <w:sz w:val="24"/>
                <w:szCs w:val="24"/>
                <w:u w:val="single"/>
              </w:rPr>
              <w:t>Introduction</w:t>
            </w:r>
          </w:p>
          <w:p w14:paraId="3BB76114" w14:textId="77777777" w:rsidR="005B62C7" w:rsidRPr="004A5618" w:rsidRDefault="005B62C7" w:rsidP="00ED76B2">
            <w:pPr>
              <w:spacing w:line="360" w:lineRule="auto"/>
              <w:jc w:val="both"/>
              <w:rPr>
                <w:rFonts w:ascii="Arial" w:hAnsi="Arial" w:cs="Arial"/>
                <w:sz w:val="24"/>
                <w:szCs w:val="24"/>
              </w:rPr>
            </w:pPr>
          </w:p>
          <w:p w14:paraId="21A21805" w14:textId="7CAE80F7"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Pr="004A5618">
              <w:rPr>
                <w:rFonts w:ascii="Arial" w:hAnsi="Arial" w:cs="Arial"/>
                <w:sz w:val="24"/>
                <w:szCs w:val="24"/>
              </w:rPr>
              <w:tab/>
            </w:r>
            <w:r w:rsidR="00204A1F">
              <w:rPr>
                <w:rFonts w:ascii="Arial" w:hAnsi="Arial" w:cs="Arial"/>
                <w:sz w:val="24"/>
                <w:szCs w:val="24"/>
              </w:rPr>
              <w:t>There are presently two interlocutory applications – interlocutory to two review applications (‘the main application</w:t>
            </w:r>
            <w:r w:rsidR="00AE0185">
              <w:rPr>
                <w:rFonts w:ascii="Arial" w:hAnsi="Arial" w:cs="Arial"/>
                <w:sz w:val="24"/>
                <w:szCs w:val="24"/>
              </w:rPr>
              <w:t>s</w:t>
            </w:r>
            <w:r w:rsidR="00204A1F">
              <w:rPr>
                <w:rFonts w:ascii="Arial" w:hAnsi="Arial" w:cs="Arial"/>
                <w:sz w:val="24"/>
                <w:szCs w:val="24"/>
              </w:rPr>
              <w:t xml:space="preserve">’).  For good reason and by agreement between the parties, the main applications </w:t>
            </w:r>
            <w:r w:rsidR="00AE0185">
              <w:rPr>
                <w:rFonts w:ascii="Arial" w:hAnsi="Arial" w:cs="Arial"/>
                <w:sz w:val="24"/>
                <w:szCs w:val="24"/>
              </w:rPr>
              <w:t>were</w:t>
            </w:r>
            <w:r w:rsidR="00204A1F">
              <w:rPr>
                <w:rFonts w:ascii="Arial" w:hAnsi="Arial" w:cs="Arial"/>
                <w:sz w:val="24"/>
                <w:szCs w:val="24"/>
              </w:rPr>
              <w:t xml:space="preserve"> set down and </w:t>
            </w:r>
            <w:r w:rsidR="00AE0185">
              <w:rPr>
                <w:rFonts w:ascii="Arial" w:hAnsi="Arial" w:cs="Arial"/>
                <w:sz w:val="24"/>
                <w:szCs w:val="24"/>
              </w:rPr>
              <w:t xml:space="preserve">to </w:t>
            </w:r>
            <w:r w:rsidR="00450650">
              <w:rPr>
                <w:rFonts w:ascii="Arial" w:hAnsi="Arial" w:cs="Arial"/>
                <w:sz w:val="24"/>
                <w:szCs w:val="24"/>
              </w:rPr>
              <w:t xml:space="preserve">be heard together. </w:t>
            </w:r>
            <w:r w:rsidR="00204A1F">
              <w:rPr>
                <w:rFonts w:ascii="Arial" w:hAnsi="Arial" w:cs="Arial"/>
                <w:sz w:val="24"/>
                <w:szCs w:val="24"/>
              </w:rPr>
              <w:t>Mr Bhana SC (with him Ms Williams) represents the applicants, and Mr Gotz SC (with him Mr Nekwaya) represents the first respondent, the Competition Commission (‘the Commission’).</w:t>
            </w:r>
          </w:p>
          <w:p w14:paraId="62803B06" w14:textId="77777777" w:rsidR="00B32493" w:rsidRPr="004A5618" w:rsidRDefault="00B32493" w:rsidP="00B32493">
            <w:pPr>
              <w:spacing w:line="360" w:lineRule="auto"/>
              <w:jc w:val="both"/>
              <w:rPr>
                <w:rFonts w:ascii="Arial" w:hAnsi="Arial" w:cs="Arial"/>
                <w:sz w:val="24"/>
                <w:szCs w:val="24"/>
              </w:rPr>
            </w:pPr>
          </w:p>
          <w:p w14:paraId="6C6552C2" w14:textId="6064E4AF"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9F1FA2">
              <w:rPr>
                <w:rFonts w:ascii="Arial" w:hAnsi="Arial" w:cs="Arial"/>
                <w:sz w:val="24"/>
                <w:szCs w:val="24"/>
              </w:rPr>
              <w:t xml:space="preserve">The purpose of the interlocutory applications is said by Mr Bhana to be to seek ‘a complete record of two decisions of the Competition Commission’ (the first respondent).  In that event, I see that the determination </w:t>
            </w:r>
            <w:r w:rsidR="006F1CCC">
              <w:rPr>
                <w:rFonts w:ascii="Arial" w:hAnsi="Arial" w:cs="Arial"/>
                <w:sz w:val="24"/>
                <w:szCs w:val="24"/>
              </w:rPr>
              <w:t>of the interlocutory applications turns on an extre</w:t>
            </w:r>
            <w:r w:rsidR="00BE3978">
              <w:rPr>
                <w:rFonts w:ascii="Arial" w:hAnsi="Arial" w:cs="Arial"/>
                <w:sz w:val="24"/>
                <w:szCs w:val="24"/>
              </w:rPr>
              <w:t xml:space="preserve">mely short and narrow compass. </w:t>
            </w:r>
            <w:r w:rsidR="006F1CCC">
              <w:rPr>
                <w:rFonts w:ascii="Arial" w:hAnsi="Arial" w:cs="Arial"/>
                <w:sz w:val="24"/>
                <w:szCs w:val="24"/>
              </w:rPr>
              <w:t>It lies in the inter</w:t>
            </w:r>
            <w:r w:rsidR="00EF249A">
              <w:rPr>
                <w:rFonts w:ascii="Arial" w:hAnsi="Arial" w:cs="Arial"/>
                <w:sz w:val="24"/>
                <w:szCs w:val="24"/>
              </w:rPr>
              <w:t>pretation and application of the relevant provisions of rules 28, 65, 66, 70 (3) and, tangentially and in parentheses, rule 76.</w:t>
            </w:r>
          </w:p>
          <w:p w14:paraId="0624C6CE" w14:textId="77777777" w:rsidR="00B32493" w:rsidRPr="004A5618" w:rsidRDefault="00B32493" w:rsidP="00B32493">
            <w:pPr>
              <w:spacing w:line="360" w:lineRule="auto"/>
              <w:jc w:val="both"/>
              <w:rPr>
                <w:rFonts w:ascii="Arial" w:hAnsi="Arial" w:cs="Arial"/>
                <w:sz w:val="24"/>
                <w:szCs w:val="24"/>
              </w:rPr>
            </w:pPr>
          </w:p>
          <w:p w14:paraId="4BEB76B8" w14:textId="28109652"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[3]</w:t>
            </w:r>
            <w:r w:rsidRPr="004A5618">
              <w:rPr>
                <w:rFonts w:ascii="Arial" w:hAnsi="Arial" w:cs="Arial"/>
                <w:sz w:val="24"/>
                <w:szCs w:val="24"/>
              </w:rPr>
              <w:tab/>
            </w:r>
            <w:r w:rsidR="00EF249A">
              <w:rPr>
                <w:rFonts w:ascii="Arial" w:hAnsi="Arial" w:cs="Arial"/>
                <w:sz w:val="24"/>
                <w:szCs w:val="24"/>
              </w:rPr>
              <w:t>The discovery rule applic</w:t>
            </w:r>
            <w:r w:rsidR="001721EB">
              <w:rPr>
                <w:rFonts w:ascii="Arial" w:hAnsi="Arial" w:cs="Arial"/>
                <w:sz w:val="24"/>
                <w:szCs w:val="24"/>
              </w:rPr>
              <w:t>able in the instant proceeding is rule 28 of the rules of court.</w:t>
            </w:r>
            <w:r w:rsidR="001721EB">
              <w:rPr>
                <w:rStyle w:val="FootnoteReference"/>
                <w:rFonts w:ascii="Arial" w:hAnsi="Arial" w:cs="Arial"/>
                <w:sz w:val="24"/>
                <w:szCs w:val="24"/>
              </w:rPr>
              <w:footnoteReference w:id="1"/>
            </w:r>
            <w:r w:rsidR="001721EB">
              <w:rPr>
                <w:rFonts w:ascii="Arial" w:hAnsi="Arial" w:cs="Arial"/>
                <w:sz w:val="24"/>
                <w:szCs w:val="24"/>
              </w:rPr>
              <w:t xml:space="preserve"> Rule 28 provides for discovery and rule 70(3) makes rule 28 applicable to di</w:t>
            </w:r>
            <w:r w:rsidR="00BE3978">
              <w:rPr>
                <w:rFonts w:ascii="Arial" w:hAnsi="Arial" w:cs="Arial"/>
                <w:sz w:val="24"/>
                <w:szCs w:val="24"/>
              </w:rPr>
              <w:t xml:space="preserve">scovery in motion proceedings. </w:t>
            </w:r>
            <w:r w:rsidR="001721EB">
              <w:rPr>
                <w:rFonts w:ascii="Arial" w:hAnsi="Arial" w:cs="Arial"/>
                <w:sz w:val="24"/>
                <w:szCs w:val="24"/>
              </w:rPr>
              <w:t>In motion proceedings</w:t>
            </w:r>
            <w:r w:rsidR="00AE0185">
              <w:rPr>
                <w:rFonts w:ascii="Arial" w:hAnsi="Arial" w:cs="Arial"/>
                <w:sz w:val="24"/>
                <w:szCs w:val="24"/>
              </w:rPr>
              <w:t xml:space="preserve">, </w:t>
            </w:r>
            <w:r w:rsidR="001721EB">
              <w:rPr>
                <w:rFonts w:ascii="Arial" w:hAnsi="Arial" w:cs="Arial"/>
                <w:sz w:val="24"/>
                <w:szCs w:val="24"/>
              </w:rPr>
              <w:t>an application for discovery must satisfy the court that e</w:t>
            </w:r>
            <w:r w:rsidR="00BE3978">
              <w:rPr>
                <w:rFonts w:ascii="Arial" w:hAnsi="Arial" w:cs="Arial"/>
                <w:sz w:val="24"/>
                <w:szCs w:val="24"/>
              </w:rPr>
              <w:t>xceptional circumstances exist</w:t>
            </w:r>
            <w:r w:rsidR="001721EB">
              <w:rPr>
                <w:rFonts w:ascii="Arial" w:hAnsi="Arial" w:cs="Arial"/>
                <w:sz w:val="24"/>
                <w:szCs w:val="24"/>
              </w:rPr>
              <w:t>.</w:t>
            </w:r>
            <w:r w:rsidR="001721EB">
              <w:rPr>
                <w:rStyle w:val="FootnoteReference"/>
                <w:rFonts w:ascii="Arial" w:hAnsi="Arial" w:cs="Arial"/>
                <w:sz w:val="24"/>
                <w:szCs w:val="24"/>
              </w:rPr>
              <w:footnoteReference w:id="2"/>
            </w:r>
            <w:r w:rsidR="009D24DC">
              <w:rPr>
                <w:rFonts w:ascii="Arial" w:hAnsi="Arial" w:cs="Arial"/>
                <w:sz w:val="24"/>
                <w:szCs w:val="24"/>
              </w:rPr>
              <w:t xml:space="preserve"> </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2116E7BF"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[4]</w:t>
            </w:r>
            <w:r w:rsidRPr="004A5618">
              <w:rPr>
                <w:rFonts w:ascii="Arial" w:hAnsi="Arial" w:cs="Arial"/>
                <w:sz w:val="24"/>
                <w:szCs w:val="24"/>
              </w:rPr>
              <w:tab/>
            </w:r>
            <w:r w:rsidR="009D24DC">
              <w:rPr>
                <w:rFonts w:ascii="Arial" w:hAnsi="Arial" w:cs="Arial"/>
                <w:sz w:val="24"/>
                <w:szCs w:val="24"/>
              </w:rPr>
              <w:t>It is important to note this:  Unlike</w:t>
            </w:r>
            <w:r w:rsidR="00586B27">
              <w:rPr>
                <w:rFonts w:ascii="Arial" w:hAnsi="Arial" w:cs="Arial"/>
                <w:sz w:val="24"/>
                <w:szCs w:val="24"/>
              </w:rPr>
              <w:t xml:space="preserve"> the provision in the repealed rule 35(1) of the rules of court where the document sought should be a document merely ‘relating to any matter in question</w:t>
            </w:r>
            <w:r w:rsidR="00AE0185">
              <w:rPr>
                <w:rFonts w:ascii="Arial" w:hAnsi="Arial" w:cs="Arial"/>
                <w:sz w:val="24"/>
                <w:szCs w:val="24"/>
              </w:rPr>
              <w:t>’</w:t>
            </w:r>
            <w:r w:rsidR="00586B27">
              <w:rPr>
                <w:rFonts w:ascii="Arial" w:hAnsi="Arial" w:cs="Arial"/>
                <w:sz w:val="24"/>
                <w:szCs w:val="24"/>
              </w:rPr>
              <w:t xml:space="preserve"> in such action or motion, in rule 28(1)</w:t>
            </w:r>
            <w:r w:rsidR="00C14AB5">
              <w:rPr>
                <w:rFonts w:ascii="Arial" w:hAnsi="Arial" w:cs="Arial"/>
                <w:sz w:val="24"/>
                <w:szCs w:val="24"/>
              </w:rPr>
              <w:t>,</w:t>
            </w:r>
            <w:r w:rsidR="00586B27">
              <w:rPr>
                <w:rFonts w:ascii="Arial" w:hAnsi="Arial" w:cs="Arial"/>
                <w:sz w:val="24"/>
                <w:szCs w:val="24"/>
              </w:rPr>
              <w:t xml:space="preserve"> the provision is that the document sought should be ‘relevant to the mater in question’ and they should be ‘proportionate to the</w:t>
            </w:r>
            <w:r w:rsidR="00450650">
              <w:rPr>
                <w:rFonts w:ascii="Arial" w:hAnsi="Arial" w:cs="Arial"/>
                <w:sz w:val="24"/>
                <w:szCs w:val="24"/>
              </w:rPr>
              <w:t xml:space="preserve"> needs of the case’. </w:t>
            </w:r>
            <w:r w:rsidR="00586B27">
              <w:rPr>
                <w:rFonts w:ascii="Arial" w:hAnsi="Arial" w:cs="Arial"/>
                <w:sz w:val="24"/>
                <w:szCs w:val="24"/>
              </w:rPr>
              <w:t xml:space="preserve">There is a wide and deep yawning gap between the requirements in the repealed rules and the current rules of court.  A greater burden is now placed on the applicant who must now establish that the documents he or she requires are documents ‘that are not only relevant </w:t>
            </w:r>
            <w:r w:rsidR="00586B27">
              <w:rPr>
                <w:rFonts w:ascii="Arial" w:hAnsi="Arial" w:cs="Arial"/>
                <w:sz w:val="24"/>
                <w:szCs w:val="24"/>
              </w:rPr>
              <w:lastRenderedPageBreak/>
              <w:t>to the matter in question’ but also ‘that (they) are proportionate to the needs of the case’, and not merely that they are documents ‘relating to any matter in question’. These are onerous and peremptory requirements.</w:t>
            </w:r>
          </w:p>
          <w:p w14:paraId="29CD2336" w14:textId="77777777" w:rsidR="00B32493" w:rsidRPr="004A5618" w:rsidRDefault="00B32493" w:rsidP="00B32493">
            <w:pPr>
              <w:spacing w:line="360" w:lineRule="auto"/>
              <w:jc w:val="both"/>
              <w:rPr>
                <w:rFonts w:ascii="Arial" w:hAnsi="Arial" w:cs="Arial"/>
                <w:sz w:val="24"/>
                <w:szCs w:val="24"/>
              </w:rPr>
            </w:pPr>
          </w:p>
          <w:p w14:paraId="4D437C49" w14:textId="583C34F2" w:rsidR="00B32493" w:rsidRPr="004A5618" w:rsidRDefault="00B32493" w:rsidP="008E5E3D">
            <w:pPr>
              <w:spacing w:line="360" w:lineRule="auto"/>
              <w:jc w:val="both"/>
              <w:rPr>
                <w:rFonts w:ascii="Arial" w:hAnsi="Arial" w:cs="Arial"/>
              </w:rPr>
            </w:pPr>
            <w:r w:rsidRPr="004A5618">
              <w:rPr>
                <w:rFonts w:ascii="Arial" w:hAnsi="Arial" w:cs="Arial"/>
                <w:sz w:val="24"/>
                <w:szCs w:val="24"/>
              </w:rPr>
              <w:t>[5]</w:t>
            </w:r>
            <w:r w:rsidRPr="004A5618">
              <w:rPr>
                <w:rFonts w:ascii="Arial" w:hAnsi="Arial" w:cs="Arial"/>
                <w:sz w:val="24"/>
                <w:szCs w:val="24"/>
              </w:rPr>
              <w:tab/>
            </w:r>
            <w:r w:rsidR="001822C1">
              <w:rPr>
                <w:rFonts w:ascii="Arial" w:hAnsi="Arial" w:cs="Arial"/>
                <w:sz w:val="24"/>
                <w:szCs w:val="24"/>
              </w:rPr>
              <w:t xml:space="preserve">It follows inevitably that </w:t>
            </w:r>
            <w:r w:rsidR="006734C7">
              <w:rPr>
                <w:rFonts w:ascii="Arial" w:hAnsi="Arial" w:cs="Arial"/>
                <w:sz w:val="24"/>
                <w:szCs w:val="24"/>
              </w:rPr>
              <w:t xml:space="preserve">the </w:t>
            </w:r>
            <w:r w:rsidR="001822C1">
              <w:rPr>
                <w:rFonts w:ascii="Arial" w:hAnsi="Arial" w:cs="Arial"/>
                <w:sz w:val="24"/>
                <w:szCs w:val="24"/>
              </w:rPr>
              <w:t>authorities in South African cases on rule 35(1) of the repealed rules as to the requirement relating to general discovery are of no assistance when interpreting and applying rule 28(1) of the rules of court.</w:t>
            </w:r>
            <w:r w:rsidR="00450650">
              <w:rPr>
                <w:rFonts w:ascii="Arial" w:hAnsi="Arial" w:cs="Arial"/>
                <w:sz w:val="24"/>
                <w:szCs w:val="24"/>
              </w:rPr>
              <w:t xml:space="preserve"> </w:t>
            </w:r>
            <w:r w:rsidR="00522621">
              <w:rPr>
                <w:rFonts w:ascii="Arial" w:hAnsi="Arial" w:cs="Arial"/>
                <w:sz w:val="24"/>
                <w:szCs w:val="24"/>
              </w:rPr>
              <w:t>Furthermore, as a matter of course, South African authorities on the repealed rule 53 are also irrelevant in the instant proceedings.</w:t>
            </w:r>
          </w:p>
          <w:p w14:paraId="3103EDE3" w14:textId="77777777" w:rsidR="00B32493" w:rsidRPr="004A5618" w:rsidRDefault="00B32493" w:rsidP="00B32493">
            <w:pPr>
              <w:spacing w:line="360" w:lineRule="auto"/>
              <w:jc w:val="both"/>
              <w:rPr>
                <w:rFonts w:ascii="Arial" w:hAnsi="Arial" w:cs="Arial"/>
                <w:sz w:val="24"/>
                <w:szCs w:val="24"/>
              </w:rPr>
            </w:pPr>
          </w:p>
          <w:p w14:paraId="6A805D8A" w14:textId="617188D5" w:rsidR="00B32493" w:rsidRDefault="00B32493" w:rsidP="008E5E3D">
            <w:pPr>
              <w:spacing w:line="360" w:lineRule="auto"/>
              <w:jc w:val="both"/>
              <w:rPr>
                <w:rFonts w:ascii="Arial" w:hAnsi="Arial" w:cs="Arial"/>
                <w:sz w:val="24"/>
                <w:szCs w:val="24"/>
              </w:rPr>
            </w:pPr>
            <w:r w:rsidRPr="004A5618">
              <w:rPr>
                <w:rFonts w:ascii="Arial" w:hAnsi="Arial" w:cs="Arial"/>
                <w:sz w:val="24"/>
                <w:szCs w:val="24"/>
              </w:rPr>
              <w:t>[6]</w:t>
            </w:r>
            <w:r w:rsidRPr="004A5618">
              <w:rPr>
                <w:rFonts w:ascii="Arial" w:hAnsi="Arial" w:cs="Arial"/>
                <w:sz w:val="24"/>
                <w:szCs w:val="24"/>
              </w:rPr>
              <w:tab/>
            </w:r>
            <w:r w:rsidR="009B600F">
              <w:rPr>
                <w:rFonts w:ascii="Arial" w:hAnsi="Arial" w:cs="Arial"/>
                <w:sz w:val="24"/>
                <w:szCs w:val="24"/>
              </w:rPr>
              <w:t xml:space="preserve">On the meaning of ‘relevance’ GD Nokes in his work </w:t>
            </w:r>
            <w:r w:rsidR="009B600F" w:rsidRPr="007B2BC4">
              <w:rPr>
                <w:rFonts w:ascii="Arial" w:hAnsi="Arial" w:cs="Arial"/>
                <w:i/>
                <w:sz w:val="24"/>
                <w:szCs w:val="24"/>
              </w:rPr>
              <w:t>An Introduction to Evidence</w:t>
            </w:r>
            <w:r w:rsidR="009B600F">
              <w:rPr>
                <w:rFonts w:ascii="Arial" w:hAnsi="Arial" w:cs="Arial"/>
                <w:sz w:val="24"/>
                <w:szCs w:val="24"/>
              </w:rPr>
              <w:t xml:space="preserve"> states:</w:t>
            </w:r>
          </w:p>
          <w:p w14:paraId="5B9B38E8" w14:textId="77777777" w:rsidR="009B600F" w:rsidRDefault="009B600F" w:rsidP="008E5E3D">
            <w:pPr>
              <w:spacing w:line="360" w:lineRule="auto"/>
              <w:jc w:val="both"/>
              <w:rPr>
                <w:rFonts w:ascii="Arial" w:hAnsi="Arial" w:cs="Arial"/>
                <w:sz w:val="24"/>
                <w:szCs w:val="24"/>
              </w:rPr>
            </w:pPr>
          </w:p>
          <w:p w14:paraId="5ABDECC9" w14:textId="288A38C6" w:rsidR="009B600F" w:rsidRPr="004A5618" w:rsidRDefault="009B600F" w:rsidP="008E5E3D">
            <w:pPr>
              <w:spacing w:line="360" w:lineRule="auto"/>
              <w:jc w:val="both"/>
              <w:rPr>
                <w:rFonts w:ascii="Arial" w:hAnsi="Arial" w:cs="Arial"/>
                <w:sz w:val="24"/>
                <w:szCs w:val="24"/>
              </w:rPr>
            </w:pPr>
            <w:r w:rsidRPr="004A5618">
              <w:rPr>
                <w:rFonts w:ascii="Arial" w:hAnsi="Arial" w:cs="Arial"/>
                <w:sz w:val="24"/>
                <w:szCs w:val="24"/>
              </w:rPr>
              <w:tab/>
            </w:r>
            <w:r>
              <w:rPr>
                <w:rFonts w:ascii="Arial" w:hAnsi="Arial" w:cs="Arial"/>
                <w:sz w:val="24"/>
                <w:szCs w:val="24"/>
              </w:rPr>
              <w:t>‘</w:t>
            </w:r>
            <w:r w:rsidRPr="007B2BC4">
              <w:rPr>
                <w:rFonts w:ascii="Arial" w:hAnsi="Arial" w:cs="Arial"/>
              </w:rPr>
              <w:t>Thayer (</w:t>
            </w:r>
            <w:r w:rsidRPr="007B2BC4">
              <w:rPr>
                <w:rFonts w:ascii="Arial" w:hAnsi="Arial" w:cs="Arial"/>
                <w:i/>
              </w:rPr>
              <w:t>A Treatise on the Law of Evidence</w:t>
            </w:r>
            <w:r w:rsidRPr="007B2BC4">
              <w:rPr>
                <w:rFonts w:ascii="Arial" w:hAnsi="Arial" w:cs="Arial"/>
              </w:rPr>
              <w:t>), 12 ed Reprinted 1948) asserted that the law furnishes no test of relevancy; and more than half of a century later framers of a draft code in the United States declared that relevant evidence means evidence having any tendency in reason to prove any materials fact….these American pronouncements can be adopted</w:t>
            </w:r>
            <w:r>
              <w:rPr>
                <w:rFonts w:ascii="Arial" w:hAnsi="Arial" w:cs="Arial"/>
                <w:sz w:val="24"/>
                <w:szCs w:val="24"/>
              </w:rPr>
              <w:t>.’</w:t>
            </w:r>
            <w:r>
              <w:rPr>
                <w:rStyle w:val="FootnoteReference"/>
                <w:rFonts w:ascii="Arial" w:hAnsi="Arial" w:cs="Arial"/>
                <w:sz w:val="24"/>
                <w:szCs w:val="24"/>
              </w:rPr>
              <w:footnoteReference w:id="3"/>
            </w:r>
          </w:p>
          <w:p w14:paraId="599172B0" w14:textId="77777777" w:rsidR="00B32493" w:rsidRPr="004A5618" w:rsidRDefault="00B32493" w:rsidP="00B32493">
            <w:pPr>
              <w:spacing w:line="360" w:lineRule="auto"/>
              <w:jc w:val="both"/>
              <w:rPr>
                <w:rFonts w:ascii="Arial" w:hAnsi="Arial" w:cs="Arial"/>
                <w:sz w:val="24"/>
                <w:szCs w:val="24"/>
              </w:rPr>
            </w:pPr>
          </w:p>
          <w:p w14:paraId="59E6A03A" w14:textId="1775B8FC" w:rsidR="00B32493" w:rsidRPr="004A5618" w:rsidRDefault="00B32493" w:rsidP="008E5E3D">
            <w:pPr>
              <w:spacing w:line="360" w:lineRule="auto"/>
              <w:jc w:val="both"/>
              <w:rPr>
                <w:rFonts w:ascii="Arial" w:hAnsi="Arial" w:cs="Arial"/>
              </w:rPr>
            </w:pPr>
            <w:r w:rsidRPr="004A5618">
              <w:rPr>
                <w:rFonts w:ascii="Arial" w:hAnsi="Arial" w:cs="Arial"/>
                <w:sz w:val="24"/>
                <w:szCs w:val="24"/>
              </w:rPr>
              <w:t>[7]</w:t>
            </w:r>
            <w:r w:rsidRPr="004A5618">
              <w:rPr>
                <w:rFonts w:ascii="Arial" w:hAnsi="Arial" w:cs="Arial"/>
                <w:sz w:val="24"/>
                <w:szCs w:val="24"/>
              </w:rPr>
              <w:tab/>
            </w:r>
            <w:r w:rsidR="006E014E">
              <w:rPr>
                <w:rFonts w:ascii="Arial" w:hAnsi="Arial" w:cs="Arial"/>
                <w:sz w:val="24"/>
                <w:szCs w:val="24"/>
              </w:rPr>
              <w:t>Thus, the applicants bear the burden of satisfying the court that the documents they now seek are not only relevant to that matter in question, that is, the main applications, but also that they are proportionate to needs of the case</w:t>
            </w:r>
            <w:r w:rsidR="00D86F11">
              <w:rPr>
                <w:rFonts w:ascii="Arial" w:hAnsi="Arial" w:cs="Arial"/>
                <w:sz w:val="24"/>
                <w:szCs w:val="24"/>
              </w:rPr>
              <w:t xml:space="preserve"> concerned</w:t>
            </w:r>
            <w:r w:rsidR="006E014E">
              <w:rPr>
                <w:rFonts w:ascii="Arial" w:hAnsi="Arial" w:cs="Arial"/>
                <w:sz w:val="24"/>
                <w:szCs w:val="24"/>
              </w:rPr>
              <w:t>.</w:t>
            </w:r>
          </w:p>
          <w:p w14:paraId="7F9DBA0B" w14:textId="77777777" w:rsidR="00B32493" w:rsidRPr="004A5618" w:rsidRDefault="00B32493" w:rsidP="00B32493">
            <w:pPr>
              <w:spacing w:line="360" w:lineRule="auto"/>
              <w:jc w:val="both"/>
              <w:rPr>
                <w:rFonts w:ascii="Arial" w:hAnsi="Arial" w:cs="Arial"/>
                <w:sz w:val="24"/>
                <w:szCs w:val="24"/>
              </w:rPr>
            </w:pPr>
          </w:p>
          <w:p w14:paraId="60F72431" w14:textId="3A72D4DD"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[8]</w:t>
            </w:r>
            <w:r w:rsidRPr="004A5618">
              <w:rPr>
                <w:rFonts w:ascii="Arial" w:hAnsi="Arial" w:cs="Arial"/>
                <w:sz w:val="24"/>
                <w:szCs w:val="24"/>
              </w:rPr>
              <w:tab/>
            </w:r>
            <w:r w:rsidR="006E014E">
              <w:rPr>
                <w:rFonts w:ascii="Arial" w:hAnsi="Arial" w:cs="Arial"/>
                <w:sz w:val="24"/>
                <w:szCs w:val="24"/>
              </w:rPr>
              <w:t xml:space="preserve">I find </w:t>
            </w:r>
            <w:r w:rsidR="007C2B88">
              <w:rPr>
                <w:rFonts w:ascii="Arial" w:hAnsi="Arial" w:cs="Arial"/>
                <w:sz w:val="24"/>
                <w:szCs w:val="24"/>
              </w:rPr>
              <w:t>that the notice of motion filed on 2 August 2022 under</w:t>
            </w:r>
            <w:r w:rsidR="00D86F11">
              <w:rPr>
                <w:rFonts w:ascii="Arial" w:hAnsi="Arial" w:cs="Arial"/>
                <w:sz w:val="24"/>
                <w:szCs w:val="24"/>
              </w:rPr>
              <w:t xml:space="preserve"> C</w:t>
            </w:r>
            <w:r w:rsidR="006E014E">
              <w:rPr>
                <w:rFonts w:ascii="Arial" w:hAnsi="Arial" w:cs="Arial"/>
                <w:sz w:val="24"/>
                <w:szCs w:val="24"/>
              </w:rPr>
              <w:t xml:space="preserve">ase </w:t>
            </w:r>
            <w:r w:rsidR="00D86F11">
              <w:rPr>
                <w:rFonts w:ascii="Arial" w:hAnsi="Arial" w:cs="Arial"/>
                <w:sz w:val="24"/>
                <w:szCs w:val="24"/>
              </w:rPr>
              <w:t>N</w:t>
            </w:r>
            <w:r w:rsidR="006E014E">
              <w:rPr>
                <w:rFonts w:ascii="Arial" w:hAnsi="Arial" w:cs="Arial"/>
                <w:sz w:val="24"/>
                <w:szCs w:val="24"/>
              </w:rPr>
              <w:t>o. 2022/00355</w:t>
            </w:r>
            <w:r w:rsidR="007C2B88">
              <w:rPr>
                <w:rFonts w:ascii="Arial" w:hAnsi="Arial" w:cs="Arial"/>
                <w:sz w:val="24"/>
                <w:szCs w:val="24"/>
              </w:rPr>
              <w:t xml:space="preserve"> indicate that</w:t>
            </w:r>
            <w:r w:rsidR="006E014E">
              <w:rPr>
                <w:rFonts w:ascii="Arial" w:hAnsi="Arial" w:cs="Arial"/>
                <w:sz w:val="24"/>
                <w:szCs w:val="24"/>
              </w:rPr>
              <w:t xml:space="preserve"> the applicants elected to approach the court in terms of rule 65 of the </w:t>
            </w:r>
            <w:r w:rsidR="00D03B96">
              <w:rPr>
                <w:rFonts w:ascii="Arial" w:hAnsi="Arial" w:cs="Arial"/>
                <w:sz w:val="24"/>
                <w:szCs w:val="24"/>
              </w:rPr>
              <w:t xml:space="preserve">rules of court.  It is the same with </w:t>
            </w:r>
            <w:r w:rsidR="007C2B88">
              <w:rPr>
                <w:rFonts w:ascii="Arial" w:hAnsi="Arial" w:cs="Arial"/>
                <w:sz w:val="24"/>
                <w:szCs w:val="24"/>
              </w:rPr>
              <w:t xml:space="preserve">the notice of motion under </w:t>
            </w:r>
            <w:r w:rsidR="00D03B96">
              <w:rPr>
                <w:rFonts w:ascii="Arial" w:hAnsi="Arial" w:cs="Arial"/>
                <w:sz w:val="24"/>
                <w:szCs w:val="24"/>
              </w:rPr>
              <w:t xml:space="preserve">Case No. 2022/00357, </w:t>
            </w:r>
            <w:r w:rsidR="00287097">
              <w:rPr>
                <w:rFonts w:ascii="Arial" w:hAnsi="Arial" w:cs="Arial"/>
                <w:sz w:val="24"/>
                <w:szCs w:val="24"/>
              </w:rPr>
              <w:t xml:space="preserve">filed on 29 July 2022.  </w:t>
            </w:r>
            <w:r w:rsidR="007C2B88">
              <w:rPr>
                <w:rFonts w:ascii="Arial" w:hAnsi="Arial" w:cs="Arial"/>
                <w:sz w:val="24"/>
                <w:szCs w:val="24"/>
              </w:rPr>
              <w:t>Thus, the applicants brought both applications</w:t>
            </w:r>
            <w:r w:rsidR="00787EE4">
              <w:rPr>
                <w:rFonts w:ascii="Arial" w:hAnsi="Arial" w:cs="Arial"/>
                <w:sz w:val="24"/>
                <w:szCs w:val="24"/>
              </w:rPr>
              <w:t xml:space="preserve"> in</w:t>
            </w:r>
            <w:r w:rsidR="00287097">
              <w:rPr>
                <w:rFonts w:ascii="Arial" w:hAnsi="Arial" w:cs="Arial"/>
                <w:sz w:val="24"/>
                <w:szCs w:val="24"/>
              </w:rPr>
              <w:t xml:space="preserve"> terms of rule 65 and not </w:t>
            </w:r>
            <w:r w:rsidR="00843040">
              <w:rPr>
                <w:rFonts w:ascii="Arial" w:hAnsi="Arial" w:cs="Arial"/>
                <w:sz w:val="24"/>
                <w:szCs w:val="24"/>
              </w:rPr>
              <w:t xml:space="preserve">rule 76 of the rules of court. </w:t>
            </w:r>
            <w:r w:rsidR="00287097">
              <w:rPr>
                <w:rFonts w:ascii="Arial" w:hAnsi="Arial" w:cs="Arial"/>
                <w:sz w:val="24"/>
                <w:szCs w:val="24"/>
              </w:rPr>
              <w:t xml:space="preserve">The </w:t>
            </w:r>
            <w:r w:rsidR="00100870">
              <w:rPr>
                <w:rFonts w:ascii="Arial" w:hAnsi="Arial" w:cs="Arial"/>
                <w:sz w:val="24"/>
                <w:szCs w:val="24"/>
              </w:rPr>
              <w:t>applicants were entitled to make that election, so we are told by the Supreme Court.</w:t>
            </w:r>
            <w:r w:rsidR="00787EE4">
              <w:rPr>
                <w:rStyle w:val="FootnoteReference"/>
                <w:rFonts w:ascii="Arial" w:hAnsi="Arial" w:cs="Arial"/>
                <w:sz w:val="24"/>
                <w:szCs w:val="24"/>
              </w:rPr>
              <w:footnoteReference w:id="4"/>
            </w:r>
            <w:r w:rsidR="00100870">
              <w:rPr>
                <w:rFonts w:ascii="Arial" w:hAnsi="Arial" w:cs="Arial"/>
                <w:sz w:val="24"/>
                <w:szCs w:val="24"/>
              </w:rPr>
              <w:t xml:space="preserve"> Having made that election, the applicants were not entitled to the procedural largesse granted by rule 76 of the rules of court. The applicants waived their procedural right under rule 76.</w:t>
            </w:r>
            <w:r w:rsidR="00100870">
              <w:rPr>
                <w:rStyle w:val="FootnoteReference"/>
                <w:rFonts w:ascii="Arial" w:hAnsi="Arial" w:cs="Arial"/>
                <w:sz w:val="24"/>
                <w:szCs w:val="24"/>
              </w:rPr>
              <w:footnoteReference w:id="5"/>
            </w:r>
            <w:r w:rsidR="00100870">
              <w:rPr>
                <w:rFonts w:ascii="Arial" w:hAnsi="Arial" w:cs="Arial"/>
                <w:sz w:val="24"/>
                <w:szCs w:val="24"/>
              </w:rPr>
              <w:t xml:space="preserve"> </w:t>
            </w:r>
          </w:p>
          <w:p w14:paraId="043450BC" w14:textId="77777777" w:rsidR="00B32493" w:rsidRPr="004A5618" w:rsidRDefault="00B32493" w:rsidP="00B32493">
            <w:pPr>
              <w:spacing w:line="360" w:lineRule="auto"/>
              <w:jc w:val="both"/>
              <w:rPr>
                <w:rFonts w:ascii="Arial" w:hAnsi="Arial" w:cs="Arial"/>
                <w:sz w:val="24"/>
                <w:szCs w:val="24"/>
              </w:rPr>
            </w:pPr>
          </w:p>
          <w:p w14:paraId="6609E31C" w14:textId="4FC0CF34"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[9]</w:t>
            </w:r>
            <w:r w:rsidRPr="004A5618">
              <w:rPr>
                <w:rFonts w:ascii="Arial" w:hAnsi="Arial" w:cs="Arial"/>
                <w:sz w:val="24"/>
                <w:szCs w:val="24"/>
              </w:rPr>
              <w:tab/>
            </w:r>
            <w:r w:rsidR="00787EE4">
              <w:rPr>
                <w:rFonts w:ascii="Arial" w:hAnsi="Arial" w:cs="Arial"/>
                <w:sz w:val="24"/>
                <w:szCs w:val="24"/>
              </w:rPr>
              <w:t>Therefore, w</w:t>
            </w:r>
            <w:r w:rsidR="00100870">
              <w:rPr>
                <w:rFonts w:ascii="Arial" w:hAnsi="Arial" w:cs="Arial"/>
                <w:sz w:val="24"/>
                <w:szCs w:val="24"/>
              </w:rPr>
              <w:t>hat they are entitled to is their procedura</w:t>
            </w:r>
            <w:r w:rsidR="00450650">
              <w:rPr>
                <w:rFonts w:ascii="Arial" w:hAnsi="Arial" w:cs="Arial"/>
                <w:sz w:val="24"/>
                <w:szCs w:val="24"/>
              </w:rPr>
              <w:t xml:space="preserve">l right under rules 28 and 65. </w:t>
            </w:r>
            <w:r w:rsidR="00100870">
              <w:rPr>
                <w:rFonts w:ascii="Arial" w:hAnsi="Arial" w:cs="Arial"/>
                <w:sz w:val="24"/>
                <w:szCs w:val="24"/>
              </w:rPr>
              <w:t>In that event, under rule 28, they must satisfy the court that the documents sought are not only relevant to</w:t>
            </w:r>
            <w:r w:rsidR="00787EE4">
              <w:rPr>
                <w:rFonts w:ascii="Arial" w:hAnsi="Arial" w:cs="Arial"/>
                <w:sz w:val="24"/>
                <w:szCs w:val="24"/>
              </w:rPr>
              <w:t xml:space="preserve"> </w:t>
            </w:r>
            <w:r w:rsidR="00100870">
              <w:rPr>
                <w:rFonts w:ascii="Arial" w:hAnsi="Arial" w:cs="Arial"/>
                <w:sz w:val="24"/>
                <w:szCs w:val="24"/>
              </w:rPr>
              <w:t>the review application</w:t>
            </w:r>
            <w:r w:rsidR="00787EE4">
              <w:rPr>
                <w:rFonts w:ascii="Arial" w:hAnsi="Arial" w:cs="Arial"/>
                <w:sz w:val="24"/>
                <w:szCs w:val="24"/>
              </w:rPr>
              <w:t xml:space="preserve"> </w:t>
            </w:r>
            <w:r w:rsidR="00AE16BF">
              <w:rPr>
                <w:rFonts w:ascii="Arial" w:hAnsi="Arial" w:cs="Arial"/>
                <w:sz w:val="24"/>
                <w:szCs w:val="24"/>
              </w:rPr>
              <w:t>concerned but</w:t>
            </w:r>
            <w:r w:rsidR="00100870">
              <w:rPr>
                <w:rFonts w:ascii="Arial" w:hAnsi="Arial" w:cs="Arial"/>
                <w:sz w:val="24"/>
                <w:szCs w:val="24"/>
              </w:rPr>
              <w:t xml:space="preserve"> are </w:t>
            </w:r>
            <w:r w:rsidR="00787EE4">
              <w:rPr>
                <w:rFonts w:ascii="Arial" w:hAnsi="Arial" w:cs="Arial"/>
                <w:sz w:val="24"/>
                <w:szCs w:val="24"/>
              </w:rPr>
              <w:t xml:space="preserve">also </w:t>
            </w:r>
            <w:r w:rsidR="00100870">
              <w:rPr>
                <w:rFonts w:ascii="Arial" w:hAnsi="Arial" w:cs="Arial"/>
                <w:sz w:val="24"/>
                <w:szCs w:val="24"/>
              </w:rPr>
              <w:t>proportionate to the needs of the case</w:t>
            </w:r>
            <w:r w:rsidR="00787EE4">
              <w:rPr>
                <w:rFonts w:ascii="Arial" w:hAnsi="Arial" w:cs="Arial"/>
                <w:sz w:val="24"/>
                <w:szCs w:val="24"/>
              </w:rPr>
              <w:t xml:space="preserve"> concerned</w:t>
            </w:r>
            <w:r w:rsidR="00100870">
              <w:rPr>
                <w:rFonts w:ascii="Arial" w:hAnsi="Arial" w:cs="Arial"/>
                <w:sz w:val="24"/>
                <w:szCs w:val="24"/>
              </w:rPr>
              <w:t>.</w:t>
            </w:r>
          </w:p>
          <w:p w14:paraId="245A8676" w14:textId="77777777" w:rsidR="00B32493" w:rsidRPr="004A5618" w:rsidRDefault="00B32493" w:rsidP="00B32493">
            <w:pPr>
              <w:spacing w:line="360" w:lineRule="auto"/>
              <w:jc w:val="both"/>
              <w:rPr>
                <w:rFonts w:ascii="Arial" w:hAnsi="Arial" w:cs="Arial"/>
                <w:sz w:val="24"/>
                <w:szCs w:val="24"/>
              </w:rPr>
            </w:pPr>
          </w:p>
          <w:p w14:paraId="3FE515D0" w14:textId="3F526D21"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[10]</w:t>
            </w:r>
            <w:r w:rsidRPr="004A5618">
              <w:rPr>
                <w:rFonts w:ascii="Arial" w:hAnsi="Arial" w:cs="Arial"/>
                <w:sz w:val="24"/>
                <w:szCs w:val="24"/>
              </w:rPr>
              <w:tab/>
            </w:r>
            <w:r w:rsidR="00100870">
              <w:rPr>
                <w:rFonts w:ascii="Arial" w:hAnsi="Arial" w:cs="Arial"/>
                <w:sz w:val="24"/>
                <w:szCs w:val="24"/>
              </w:rPr>
              <w:t>Unlike the applicant who has brought a review application under rule 76, the applicants in Case No. 2022/00355 and Case No. 2022/00357 are not entitled to any record – complete or incomplete</w:t>
            </w:r>
            <w:r w:rsidR="00AE16BF">
              <w:rPr>
                <w:rFonts w:ascii="Arial" w:hAnsi="Arial" w:cs="Arial"/>
                <w:sz w:val="24"/>
                <w:szCs w:val="24"/>
              </w:rPr>
              <w:t xml:space="preserve"> – </w:t>
            </w:r>
            <w:r w:rsidR="00100870">
              <w:rPr>
                <w:rFonts w:ascii="Arial" w:hAnsi="Arial" w:cs="Arial"/>
                <w:sz w:val="24"/>
                <w:szCs w:val="24"/>
              </w:rPr>
              <w:t xml:space="preserve">as aforesaid. The fact that the applicants filed notices in terms of rule 76(6) matters tuppence.  The applicants’ effort is met with the maxim </w:t>
            </w:r>
            <w:r w:rsidR="00100870" w:rsidRPr="0075019C">
              <w:rPr>
                <w:rFonts w:ascii="Arial" w:hAnsi="Arial" w:cs="Arial"/>
                <w:i/>
                <w:sz w:val="24"/>
                <w:szCs w:val="24"/>
              </w:rPr>
              <w:t>ex nihilo nihil fit</w:t>
            </w:r>
            <w:r w:rsidR="00100870">
              <w:rPr>
                <w:rFonts w:ascii="Arial" w:hAnsi="Arial" w:cs="Arial"/>
                <w:sz w:val="24"/>
                <w:szCs w:val="24"/>
              </w:rPr>
              <w:t>.  It is labour lost.</w:t>
            </w:r>
          </w:p>
          <w:p w14:paraId="5282A833" w14:textId="77777777" w:rsidR="00B32493" w:rsidRPr="004A5618" w:rsidRDefault="00B32493" w:rsidP="00B32493">
            <w:pPr>
              <w:spacing w:line="360" w:lineRule="auto"/>
              <w:jc w:val="both"/>
              <w:rPr>
                <w:rFonts w:ascii="Arial" w:hAnsi="Arial" w:cs="Arial"/>
                <w:sz w:val="24"/>
                <w:szCs w:val="24"/>
              </w:rPr>
            </w:pPr>
          </w:p>
          <w:p w14:paraId="797B8BFC" w14:textId="695A5180"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[11]</w:t>
            </w:r>
            <w:r w:rsidRPr="004A5618">
              <w:rPr>
                <w:rFonts w:ascii="Arial" w:hAnsi="Arial" w:cs="Arial"/>
                <w:sz w:val="24"/>
                <w:szCs w:val="24"/>
              </w:rPr>
              <w:tab/>
            </w:r>
            <w:r w:rsidR="009856AB">
              <w:rPr>
                <w:rFonts w:ascii="Arial" w:hAnsi="Arial" w:cs="Arial"/>
                <w:sz w:val="24"/>
                <w:szCs w:val="24"/>
              </w:rPr>
              <w:t xml:space="preserve">The respondents acted wrongly in blindly following the applicants </w:t>
            </w:r>
            <w:r w:rsidR="00AE16BF">
              <w:rPr>
                <w:rFonts w:ascii="Arial" w:hAnsi="Arial" w:cs="Arial"/>
                <w:sz w:val="24"/>
                <w:szCs w:val="24"/>
              </w:rPr>
              <w:t>as regards</w:t>
            </w:r>
            <w:r w:rsidR="009856AB">
              <w:rPr>
                <w:rFonts w:ascii="Arial" w:hAnsi="Arial" w:cs="Arial"/>
                <w:sz w:val="24"/>
                <w:szCs w:val="24"/>
              </w:rPr>
              <w:t xml:space="preserve"> the notices and acting</w:t>
            </w:r>
            <w:r w:rsidR="0075019C">
              <w:rPr>
                <w:rFonts w:ascii="Arial" w:hAnsi="Arial" w:cs="Arial"/>
                <w:sz w:val="24"/>
                <w:szCs w:val="24"/>
              </w:rPr>
              <w:t xml:space="preserve"> in response to those notices. </w:t>
            </w:r>
            <w:r w:rsidR="009856AB">
              <w:rPr>
                <w:rFonts w:ascii="Arial" w:hAnsi="Arial" w:cs="Arial"/>
                <w:sz w:val="24"/>
                <w:szCs w:val="24"/>
              </w:rPr>
              <w:t>Tho</w:t>
            </w:r>
            <w:r w:rsidR="0075019C">
              <w:rPr>
                <w:rFonts w:ascii="Arial" w:hAnsi="Arial" w:cs="Arial"/>
                <w:sz w:val="24"/>
                <w:szCs w:val="24"/>
              </w:rPr>
              <w:t xml:space="preserve">se </w:t>
            </w:r>
            <w:r w:rsidR="00AE16BF">
              <w:rPr>
                <w:rFonts w:ascii="Arial" w:hAnsi="Arial" w:cs="Arial"/>
                <w:sz w:val="24"/>
                <w:szCs w:val="24"/>
              </w:rPr>
              <w:t xml:space="preserve">wrongful </w:t>
            </w:r>
            <w:r w:rsidR="0075019C">
              <w:rPr>
                <w:rFonts w:ascii="Arial" w:hAnsi="Arial" w:cs="Arial"/>
                <w:sz w:val="24"/>
                <w:szCs w:val="24"/>
              </w:rPr>
              <w:t xml:space="preserve">acts do not bind the court. </w:t>
            </w:r>
            <w:r w:rsidR="009856AB">
              <w:rPr>
                <w:rFonts w:ascii="Arial" w:hAnsi="Arial" w:cs="Arial"/>
                <w:sz w:val="24"/>
                <w:szCs w:val="24"/>
              </w:rPr>
              <w:t xml:space="preserve">The court would be perpetuating an </w:t>
            </w:r>
            <w:r w:rsidR="00AE16BF">
              <w:rPr>
                <w:rFonts w:ascii="Arial" w:hAnsi="Arial" w:cs="Arial"/>
                <w:sz w:val="24"/>
                <w:szCs w:val="24"/>
              </w:rPr>
              <w:t>illegality if</w:t>
            </w:r>
            <w:r w:rsidR="009856AB">
              <w:rPr>
                <w:rFonts w:ascii="Arial" w:hAnsi="Arial" w:cs="Arial"/>
                <w:sz w:val="24"/>
                <w:szCs w:val="24"/>
              </w:rPr>
              <w:t xml:space="preserve"> it were to accept the misreading of </w:t>
            </w:r>
            <w:r w:rsidR="0075019C">
              <w:rPr>
                <w:rFonts w:ascii="Arial" w:hAnsi="Arial" w:cs="Arial"/>
                <w:sz w:val="24"/>
                <w:szCs w:val="24"/>
              </w:rPr>
              <w:t>t</w:t>
            </w:r>
            <w:r w:rsidR="009856AB">
              <w:rPr>
                <w:rFonts w:ascii="Arial" w:hAnsi="Arial" w:cs="Arial"/>
                <w:sz w:val="24"/>
                <w:szCs w:val="24"/>
              </w:rPr>
              <w:t>he rules by both the applicants and the respondent</w:t>
            </w:r>
            <w:r w:rsidR="00AE16BF">
              <w:rPr>
                <w:rFonts w:ascii="Arial" w:hAnsi="Arial" w:cs="Arial"/>
                <w:sz w:val="24"/>
                <w:szCs w:val="24"/>
              </w:rPr>
              <w:t>s</w:t>
            </w:r>
            <w:r w:rsidR="009856AB">
              <w:rPr>
                <w:rFonts w:ascii="Arial" w:hAnsi="Arial" w:cs="Arial"/>
                <w:sz w:val="24"/>
                <w:szCs w:val="24"/>
              </w:rPr>
              <w:t>. I shall, therefore</w:t>
            </w:r>
            <w:r w:rsidR="00AE16BF">
              <w:rPr>
                <w:rFonts w:ascii="Arial" w:hAnsi="Arial" w:cs="Arial"/>
                <w:sz w:val="24"/>
                <w:szCs w:val="24"/>
              </w:rPr>
              <w:t>,</w:t>
            </w:r>
            <w:r w:rsidR="009856AB">
              <w:rPr>
                <w:rFonts w:ascii="Arial" w:hAnsi="Arial" w:cs="Arial"/>
                <w:sz w:val="24"/>
                <w:szCs w:val="24"/>
              </w:rPr>
              <w:t xml:space="preserve"> not waste my time considering any reference to rule 76.  </w:t>
            </w:r>
          </w:p>
          <w:p w14:paraId="13B62C20" w14:textId="77777777" w:rsidR="00B32493" w:rsidRPr="004A5618" w:rsidRDefault="00B32493" w:rsidP="00B32493">
            <w:pPr>
              <w:spacing w:line="360" w:lineRule="auto"/>
              <w:jc w:val="both"/>
              <w:rPr>
                <w:rFonts w:ascii="Arial" w:hAnsi="Arial" w:cs="Arial"/>
                <w:sz w:val="24"/>
                <w:szCs w:val="24"/>
              </w:rPr>
            </w:pPr>
          </w:p>
          <w:p w14:paraId="657CB5D2" w14:textId="68FCA0B3" w:rsidR="00E452F4" w:rsidRDefault="009A5AD1" w:rsidP="00B32493">
            <w:pPr>
              <w:spacing w:line="360" w:lineRule="auto"/>
              <w:jc w:val="both"/>
              <w:rPr>
                <w:rFonts w:ascii="Arial" w:hAnsi="Arial" w:cs="Arial"/>
                <w:sz w:val="24"/>
                <w:szCs w:val="24"/>
              </w:rPr>
            </w:pPr>
            <w:r w:rsidRPr="004A5618">
              <w:rPr>
                <w:rFonts w:ascii="Arial" w:hAnsi="Arial" w:cs="Arial"/>
                <w:sz w:val="24"/>
                <w:szCs w:val="24"/>
              </w:rPr>
              <w:t>[12]</w:t>
            </w:r>
            <w:r w:rsidRPr="004A5618">
              <w:rPr>
                <w:rFonts w:ascii="Arial" w:hAnsi="Arial" w:cs="Arial"/>
                <w:sz w:val="24"/>
                <w:szCs w:val="24"/>
              </w:rPr>
              <w:tab/>
            </w:r>
            <w:r w:rsidR="005334B7">
              <w:rPr>
                <w:rFonts w:ascii="Arial" w:hAnsi="Arial" w:cs="Arial"/>
                <w:sz w:val="24"/>
                <w:szCs w:val="24"/>
              </w:rPr>
              <w:t xml:space="preserve">Doubtless, the applicable rule on discovery in the </w:t>
            </w:r>
            <w:r w:rsidR="00AE16BF">
              <w:rPr>
                <w:rFonts w:ascii="Arial" w:hAnsi="Arial" w:cs="Arial"/>
                <w:sz w:val="24"/>
                <w:szCs w:val="24"/>
              </w:rPr>
              <w:t>applications</w:t>
            </w:r>
            <w:r w:rsidR="0075019C">
              <w:rPr>
                <w:rFonts w:ascii="Arial" w:hAnsi="Arial" w:cs="Arial"/>
                <w:sz w:val="24"/>
                <w:szCs w:val="24"/>
              </w:rPr>
              <w:t xml:space="preserve"> must be rule 28. </w:t>
            </w:r>
            <w:r w:rsidR="005334B7">
              <w:rPr>
                <w:rFonts w:ascii="Arial" w:hAnsi="Arial" w:cs="Arial"/>
                <w:sz w:val="24"/>
                <w:szCs w:val="24"/>
              </w:rPr>
              <w:t>It follows irrefragably that the applicants bear the onus of establishing to the satisfaction of the court that the documents sought are not only relevant to the matter in question, but also that they are proportionate to the needs of the case in hand.</w:t>
            </w:r>
            <w:r w:rsidR="005334B7">
              <w:rPr>
                <w:rStyle w:val="FootnoteReference"/>
                <w:rFonts w:ascii="Arial" w:hAnsi="Arial" w:cs="Arial"/>
                <w:sz w:val="24"/>
                <w:szCs w:val="24"/>
              </w:rPr>
              <w:footnoteReference w:id="6"/>
            </w:r>
            <w:r w:rsidR="00D6655A">
              <w:rPr>
                <w:rFonts w:ascii="Arial" w:hAnsi="Arial" w:cs="Arial"/>
                <w:sz w:val="24"/>
                <w:szCs w:val="24"/>
              </w:rPr>
              <w:t xml:space="preserve"> The respondents bear no burden</w:t>
            </w:r>
            <w:r w:rsidR="005C715D">
              <w:rPr>
                <w:rFonts w:ascii="Arial" w:hAnsi="Arial" w:cs="Arial"/>
                <w:sz w:val="24"/>
                <w:szCs w:val="24"/>
              </w:rPr>
              <w:t xml:space="preserve"> – none at all – </w:t>
            </w:r>
            <w:r w:rsidR="00D6655A">
              <w:rPr>
                <w:rFonts w:ascii="Arial" w:hAnsi="Arial" w:cs="Arial"/>
                <w:sz w:val="24"/>
                <w:szCs w:val="24"/>
              </w:rPr>
              <w:t xml:space="preserve">to establish to the satisfaction of the court that the documents are not relevant to the matter in question and are not proportionate to the needs of </w:t>
            </w:r>
            <w:r w:rsidR="00DA1708">
              <w:rPr>
                <w:rFonts w:ascii="Arial" w:hAnsi="Arial" w:cs="Arial"/>
                <w:sz w:val="24"/>
                <w:szCs w:val="24"/>
              </w:rPr>
              <w:t>t</w:t>
            </w:r>
            <w:r w:rsidR="00D6655A">
              <w:rPr>
                <w:rFonts w:ascii="Arial" w:hAnsi="Arial" w:cs="Arial"/>
                <w:sz w:val="24"/>
                <w:szCs w:val="24"/>
              </w:rPr>
              <w:t>he case</w:t>
            </w:r>
            <w:r w:rsidR="005C715D">
              <w:rPr>
                <w:rFonts w:ascii="Arial" w:hAnsi="Arial" w:cs="Arial"/>
                <w:sz w:val="24"/>
                <w:szCs w:val="24"/>
              </w:rPr>
              <w:t xml:space="preserve"> concerned</w:t>
            </w:r>
            <w:r w:rsidR="00D6655A">
              <w:rPr>
                <w:rFonts w:ascii="Arial" w:hAnsi="Arial" w:cs="Arial"/>
                <w:sz w:val="24"/>
                <w:szCs w:val="24"/>
              </w:rPr>
              <w:t xml:space="preserve">. Therefore, to succeed, the applicants must establish to the satisfaction of the court that the documents sought are not only relevant to the matter in </w:t>
            </w:r>
            <w:r w:rsidR="00414B69">
              <w:rPr>
                <w:rFonts w:ascii="Arial" w:hAnsi="Arial" w:cs="Arial"/>
                <w:sz w:val="24"/>
                <w:szCs w:val="24"/>
              </w:rPr>
              <w:t>question but</w:t>
            </w:r>
            <w:r w:rsidR="00D6655A">
              <w:rPr>
                <w:rFonts w:ascii="Arial" w:hAnsi="Arial" w:cs="Arial"/>
                <w:sz w:val="24"/>
                <w:szCs w:val="24"/>
              </w:rPr>
              <w:t xml:space="preserve"> are also proportionate to the need</w:t>
            </w:r>
            <w:r w:rsidR="005C715D">
              <w:rPr>
                <w:rFonts w:ascii="Arial" w:hAnsi="Arial" w:cs="Arial"/>
                <w:sz w:val="24"/>
                <w:szCs w:val="24"/>
              </w:rPr>
              <w:t>s</w:t>
            </w:r>
            <w:r w:rsidR="00450650">
              <w:rPr>
                <w:rFonts w:ascii="Arial" w:hAnsi="Arial" w:cs="Arial"/>
                <w:sz w:val="24"/>
                <w:szCs w:val="24"/>
              </w:rPr>
              <w:t xml:space="preserve"> of the case concerned. </w:t>
            </w:r>
            <w:r w:rsidR="00D6655A">
              <w:rPr>
                <w:rFonts w:ascii="Arial" w:hAnsi="Arial" w:cs="Arial"/>
                <w:sz w:val="24"/>
                <w:szCs w:val="24"/>
              </w:rPr>
              <w:t xml:space="preserve">Accordingly, in respect of the two </w:t>
            </w:r>
            <w:r w:rsidR="00414B69">
              <w:rPr>
                <w:rFonts w:ascii="Arial" w:hAnsi="Arial" w:cs="Arial"/>
                <w:sz w:val="24"/>
                <w:szCs w:val="24"/>
              </w:rPr>
              <w:t>applications</w:t>
            </w:r>
            <w:r w:rsidR="00D6655A">
              <w:rPr>
                <w:rFonts w:ascii="Arial" w:hAnsi="Arial" w:cs="Arial"/>
                <w:sz w:val="24"/>
                <w:szCs w:val="24"/>
              </w:rPr>
              <w:t>, I shall consider whether the applicants have established to the satisfaction of the court that the documents they seek are relevant to the matter in question and are proportionate to the needs of the case</w:t>
            </w:r>
            <w:r w:rsidR="00414B69">
              <w:rPr>
                <w:rFonts w:ascii="Arial" w:hAnsi="Arial" w:cs="Arial"/>
                <w:sz w:val="24"/>
                <w:szCs w:val="24"/>
              </w:rPr>
              <w:t xml:space="preserve"> concerned</w:t>
            </w:r>
            <w:r w:rsidR="00D6655A">
              <w:rPr>
                <w:rFonts w:ascii="Arial" w:hAnsi="Arial" w:cs="Arial"/>
                <w:sz w:val="24"/>
                <w:szCs w:val="24"/>
              </w:rPr>
              <w:t>.</w:t>
            </w:r>
          </w:p>
          <w:p w14:paraId="4C9BDC83" w14:textId="77777777" w:rsidR="00580728" w:rsidRDefault="00580728" w:rsidP="00B32493">
            <w:pPr>
              <w:spacing w:line="360" w:lineRule="auto"/>
              <w:jc w:val="both"/>
              <w:rPr>
                <w:rFonts w:ascii="Arial" w:hAnsi="Arial" w:cs="Arial"/>
                <w:sz w:val="24"/>
                <w:szCs w:val="24"/>
              </w:rPr>
            </w:pPr>
          </w:p>
          <w:p w14:paraId="2462303C" w14:textId="7911917B" w:rsidR="00580728" w:rsidRPr="004A5618" w:rsidRDefault="00580728" w:rsidP="00580728">
            <w:pPr>
              <w:spacing w:line="360" w:lineRule="auto"/>
              <w:jc w:val="both"/>
              <w:rPr>
                <w:rFonts w:ascii="Arial" w:hAnsi="Arial" w:cs="Arial"/>
                <w:sz w:val="24"/>
                <w:szCs w:val="24"/>
              </w:rPr>
            </w:pPr>
            <w:r w:rsidRPr="00580728">
              <w:rPr>
                <w:rFonts w:ascii="Arial" w:hAnsi="Arial" w:cs="Arial"/>
                <w:sz w:val="24"/>
                <w:szCs w:val="24"/>
                <w:u w:val="single"/>
              </w:rPr>
              <w:t>Case No. 2022/00355</w:t>
            </w:r>
            <w:r>
              <w:rPr>
                <w:rFonts w:ascii="Arial" w:hAnsi="Arial" w:cs="Arial"/>
                <w:sz w:val="24"/>
                <w:szCs w:val="24"/>
              </w:rPr>
              <w:t xml:space="preserve"> </w:t>
            </w:r>
          </w:p>
          <w:p w14:paraId="5ED091E2" w14:textId="77777777" w:rsidR="00E452F4" w:rsidRPr="004A5618" w:rsidRDefault="00E452F4" w:rsidP="00B32493">
            <w:pPr>
              <w:spacing w:line="360" w:lineRule="auto"/>
              <w:jc w:val="both"/>
              <w:rPr>
                <w:rFonts w:ascii="Arial" w:hAnsi="Arial" w:cs="Arial"/>
                <w:sz w:val="24"/>
                <w:szCs w:val="24"/>
              </w:rPr>
            </w:pPr>
          </w:p>
          <w:p w14:paraId="320705DC" w14:textId="0AD7B484" w:rsidR="00580728" w:rsidRPr="004A5618" w:rsidRDefault="00B32493" w:rsidP="00580728">
            <w:pPr>
              <w:spacing w:line="360" w:lineRule="auto"/>
              <w:jc w:val="both"/>
              <w:rPr>
                <w:rFonts w:ascii="Arial" w:hAnsi="Arial" w:cs="Arial"/>
                <w:sz w:val="24"/>
                <w:szCs w:val="24"/>
              </w:rPr>
            </w:pPr>
            <w:r w:rsidRPr="004A5618">
              <w:rPr>
                <w:rFonts w:ascii="Arial" w:hAnsi="Arial" w:cs="Arial"/>
                <w:sz w:val="24"/>
                <w:szCs w:val="24"/>
              </w:rPr>
              <w:t>[1</w:t>
            </w:r>
            <w:r w:rsidR="009A5AD1" w:rsidRPr="004A5618">
              <w:rPr>
                <w:rFonts w:ascii="Arial" w:hAnsi="Arial" w:cs="Arial"/>
                <w:sz w:val="24"/>
                <w:szCs w:val="24"/>
              </w:rPr>
              <w:t>3</w:t>
            </w:r>
            <w:r w:rsidRPr="004A5618">
              <w:rPr>
                <w:rFonts w:ascii="Arial" w:hAnsi="Arial" w:cs="Arial"/>
                <w:sz w:val="24"/>
                <w:szCs w:val="24"/>
              </w:rPr>
              <w:t>]</w:t>
            </w:r>
            <w:r w:rsidRPr="004A5618">
              <w:rPr>
                <w:rFonts w:ascii="Arial" w:hAnsi="Arial" w:cs="Arial"/>
                <w:sz w:val="24"/>
                <w:szCs w:val="24"/>
              </w:rPr>
              <w:tab/>
            </w:r>
            <w:r w:rsidR="00580728">
              <w:rPr>
                <w:rFonts w:ascii="Arial" w:hAnsi="Arial" w:cs="Arial"/>
                <w:sz w:val="24"/>
                <w:szCs w:val="24"/>
              </w:rPr>
              <w:t>The matter in question is the</w:t>
            </w:r>
            <w:r w:rsidR="00750F55">
              <w:rPr>
                <w:rFonts w:ascii="Arial" w:hAnsi="Arial" w:cs="Arial"/>
                <w:sz w:val="24"/>
                <w:szCs w:val="24"/>
              </w:rPr>
              <w:t xml:space="preserve"> applicants’ challenge of the</w:t>
            </w:r>
            <w:r w:rsidR="00580728">
              <w:rPr>
                <w:rFonts w:ascii="Arial" w:hAnsi="Arial" w:cs="Arial"/>
                <w:sz w:val="24"/>
                <w:szCs w:val="24"/>
              </w:rPr>
              <w:t xml:space="preserve"> lawfulness and validity of the Commission’s decision of 9 May 2022 to reopen an investigation into the relationship between the first applicant, Dr Weder, Kauta &amp; Hoveka Inc. (‘WKH’), and the second applicant, the Preferred Land Development Holding (Pty) Ltd (‘PLDH’)</w:t>
            </w:r>
            <w:r w:rsidR="005C7D31">
              <w:rPr>
                <w:rFonts w:ascii="Arial" w:hAnsi="Arial" w:cs="Arial"/>
                <w:sz w:val="24"/>
                <w:szCs w:val="24"/>
              </w:rPr>
              <w:t>,</w:t>
            </w:r>
            <w:r w:rsidR="00580728">
              <w:rPr>
                <w:rFonts w:ascii="Arial" w:hAnsi="Arial" w:cs="Arial"/>
                <w:sz w:val="24"/>
                <w:szCs w:val="24"/>
              </w:rPr>
              <w:t xml:space="preserve"> concerning property transfers at Osona Village Property development near Okahandja (‘Osona’).</w:t>
            </w:r>
          </w:p>
          <w:p w14:paraId="5568AA83" w14:textId="77777777" w:rsidR="00B32493" w:rsidRPr="004A5618" w:rsidRDefault="00B32493" w:rsidP="00B32493">
            <w:pPr>
              <w:spacing w:line="360" w:lineRule="auto"/>
              <w:jc w:val="both"/>
              <w:rPr>
                <w:rFonts w:ascii="Arial" w:hAnsi="Arial" w:cs="Arial"/>
                <w:sz w:val="24"/>
                <w:szCs w:val="24"/>
              </w:rPr>
            </w:pPr>
          </w:p>
          <w:p w14:paraId="5D6E01F9" w14:textId="062EBB42" w:rsidR="005C7D31"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8B5D68" w:rsidRPr="004A5618">
              <w:rPr>
                <w:rFonts w:ascii="Arial" w:hAnsi="Arial" w:cs="Arial"/>
                <w:sz w:val="24"/>
                <w:szCs w:val="24"/>
              </w:rPr>
              <w:t>4</w:t>
            </w:r>
            <w:r w:rsidRPr="004A5618">
              <w:rPr>
                <w:rFonts w:ascii="Arial" w:hAnsi="Arial" w:cs="Arial"/>
                <w:sz w:val="24"/>
                <w:szCs w:val="24"/>
              </w:rPr>
              <w:t>]</w:t>
            </w:r>
            <w:r w:rsidRPr="004A5618">
              <w:rPr>
                <w:rFonts w:ascii="Arial" w:hAnsi="Arial" w:cs="Arial"/>
                <w:sz w:val="24"/>
                <w:szCs w:val="24"/>
              </w:rPr>
              <w:tab/>
            </w:r>
            <w:r w:rsidR="0048485D">
              <w:rPr>
                <w:rFonts w:ascii="Arial" w:hAnsi="Arial" w:cs="Arial"/>
                <w:sz w:val="24"/>
                <w:szCs w:val="24"/>
              </w:rPr>
              <w:t xml:space="preserve">The needs of the case are </w:t>
            </w:r>
            <w:r w:rsidR="00802096">
              <w:rPr>
                <w:rFonts w:ascii="Arial" w:hAnsi="Arial" w:cs="Arial"/>
                <w:sz w:val="24"/>
                <w:szCs w:val="24"/>
              </w:rPr>
              <w:t>proof</w:t>
            </w:r>
            <w:r w:rsidR="0048485D">
              <w:rPr>
                <w:rFonts w:ascii="Arial" w:hAnsi="Arial" w:cs="Arial"/>
                <w:sz w:val="24"/>
                <w:szCs w:val="24"/>
              </w:rPr>
              <w:t xml:space="preserve"> that</w:t>
            </w:r>
            <w:r w:rsidR="005C7D31">
              <w:rPr>
                <w:rFonts w:ascii="Arial" w:hAnsi="Arial" w:cs="Arial"/>
                <w:sz w:val="24"/>
                <w:szCs w:val="24"/>
              </w:rPr>
              <w:t>-</w:t>
            </w:r>
          </w:p>
          <w:p w14:paraId="7A610738" w14:textId="309B6427" w:rsidR="005C7D31" w:rsidRDefault="007008BE" w:rsidP="007008BE">
            <w:pPr>
              <w:spacing w:line="360" w:lineRule="auto"/>
              <w:ind w:left="33" w:hanging="33"/>
              <w:jc w:val="both"/>
              <w:rPr>
                <w:rFonts w:ascii="Arial" w:hAnsi="Arial" w:cs="Arial"/>
                <w:sz w:val="24"/>
                <w:szCs w:val="24"/>
              </w:rPr>
            </w:pPr>
            <w:r>
              <w:rPr>
                <w:rFonts w:ascii="Arial" w:hAnsi="Arial" w:cs="Arial"/>
                <w:sz w:val="24"/>
                <w:szCs w:val="24"/>
              </w:rPr>
              <w:lastRenderedPageBreak/>
              <w:t>(</w:t>
            </w:r>
            <w:r w:rsidR="00450650">
              <w:rPr>
                <w:rFonts w:ascii="Arial" w:hAnsi="Arial" w:cs="Arial"/>
                <w:sz w:val="24"/>
                <w:szCs w:val="24"/>
              </w:rPr>
              <w:t>a</w:t>
            </w:r>
            <w:r>
              <w:rPr>
                <w:rFonts w:ascii="Arial" w:hAnsi="Arial" w:cs="Arial"/>
                <w:sz w:val="24"/>
                <w:szCs w:val="24"/>
              </w:rPr>
              <w:t>)</w:t>
            </w:r>
            <w:r w:rsidRPr="004A5618">
              <w:rPr>
                <w:rFonts w:ascii="Arial" w:hAnsi="Arial" w:cs="Arial"/>
                <w:sz w:val="24"/>
                <w:szCs w:val="24"/>
              </w:rPr>
              <w:t xml:space="preserve"> </w:t>
            </w:r>
            <w:r w:rsidRPr="004A5618">
              <w:rPr>
                <w:rFonts w:ascii="Arial" w:hAnsi="Arial" w:cs="Arial"/>
                <w:sz w:val="24"/>
                <w:szCs w:val="24"/>
              </w:rPr>
              <w:tab/>
            </w:r>
            <w:r w:rsidR="0048485D">
              <w:rPr>
                <w:rFonts w:ascii="Arial" w:hAnsi="Arial" w:cs="Arial"/>
                <w:sz w:val="24"/>
                <w:szCs w:val="24"/>
              </w:rPr>
              <w:t>the Commission acted unla</w:t>
            </w:r>
            <w:r w:rsidR="00DA1708">
              <w:rPr>
                <w:rFonts w:ascii="Arial" w:hAnsi="Arial" w:cs="Arial"/>
                <w:sz w:val="24"/>
                <w:szCs w:val="24"/>
              </w:rPr>
              <w:t xml:space="preserve">wfully and irrationally when it </w:t>
            </w:r>
            <w:r w:rsidR="0048485D">
              <w:rPr>
                <w:rFonts w:ascii="Arial" w:hAnsi="Arial" w:cs="Arial"/>
                <w:sz w:val="24"/>
                <w:szCs w:val="24"/>
              </w:rPr>
              <w:t>‘re-initiated’ into the property transfers at Osona when the Commission ‘appears to have come to its decision in 2020 that there was no contravention of the Competition Act</w:t>
            </w:r>
            <w:r w:rsidR="005C7D31">
              <w:rPr>
                <w:rFonts w:ascii="Arial" w:hAnsi="Arial" w:cs="Arial"/>
                <w:sz w:val="24"/>
                <w:szCs w:val="24"/>
              </w:rPr>
              <w:t>.</w:t>
            </w:r>
          </w:p>
          <w:p w14:paraId="49B96875" w14:textId="77777777" w:rsidR="007008BE" w:rsidRDefault="007008BE" w:rsidP="007008BE">
            <w:pPr>
              <w:spacing w:line="360" w:lineRule="auto"/>
              <w:ind w:left="33" w:hanging="33"/>
              <w:jc w:val="both"/>
              <w:rPr>
                <w:rFonts w:ascii="Arial" w:hAnsi="Arial" w:cs="Arial"/>
                <w:sz w:val="24"/>
                <w:szCs w:val="24"/>
              </w:rPr>
            </w:pPr>
          </w:p>
          <w:p w14:paraId="2B625602" w14:textId="34058453" w:rsidR="00B32493" w:rsidRPr="004A5618" w:rsidRDefault="007008BE" w:rsidP="00B32493">
            <w:pPr>
              <w:spacing w:line="360" w:lineRule="auto"/>
              <w:jc w:val="both"/>
              <w:rPr>
                <w:rFonts w:ascii="Arial" w:hAnsi="Arial" w:cs="Arial"/>
                <w:sz w:val="24"/>
                <w:szCs w:val="24"/>
              </w:rPr>
            </w:pPr>
            <w:r>
              <w:rPr>
                <w:rFonts w:ascii="Arial" w:hAnsi="Arial" w:cs="Arial"/>
                <w:sz w:val="24"/>
                <w:szCs w:val="24"/>
              </w:rPr>
              <w:t>(</w:t>
            </w:r>
            <w:r w:rsidR="00450650">
              <w:rPr>
                <w:rFonts w:ascii="Arial" w:hAnsi="Arial" w:cs="Arial"/>
                <w:sz w:val="24"/>
                <w:szCs w:val="24"/>
              </w:rPr>
              <w:t>b</w:t>
            </w:r>
            <w:r>
              <w:rPr>
                <w:rFonts w:ascii="Arial" w:hAnsi="Arial" w:cs="Arial"/>
                <w:sz w:val="24"/>
                <w:szCs w:val="24"/>
              </w:rPr>
              <w:t>)</w:t>
            </w:r>
            <w:r w:rsidRPr="004A5618">
              <w:rPr>
                <w:rFonts w:ascii="Arial" w:hAnsi="Arial" w:cs="Arial"/>
                <w:sz w:val="24"/>
                <w:szCs w:val="24"/>
              </w:rPr>
              <w:t xml:space="preserve"> </w:t>
            </w:r>
            <w:r w:rsidRPr="004A5618">
              <w:rPr>
                <w:rFonts w:ascii="Arial" w:hAnsi="Arial" w:cs="Arial"/>
                <w:sz w:val="24"/>
                <w:szCs w:val="24"/>
              </w:rPr>
              <w:tab/>
            </w:r>
            <w:r w:rsidR="00E778B9">
              <w:rPr>
                <w:rFonts w:ascii="Arial" w:hAnsi="Arial" w:cs="Arial"/>
                <w:sz w:val="24"/>
                <w:szCs w:val="24"/>
              </w:rPr>
              <w:t>t</w:t>
            </w:r>
            <w:r w:rsidR="00DA1708">
              <w:rPr>
                <w:rFonts w:ascii="Arial" w:hAnsi="Arial" w:cs="Arial"/>
                <w:sz w:val="24"/>
                <w:szCs w:val="24"/>
              </w:rPr>
              <w:t xml:space="preserve">he </w:t>
            </w:r>
            <w:r w:rsidR="0048485D">
              <w:rPr>
                <w:rFonts w:ascii="Arial" w:hAnsi="Arial" w:cs="Arial"/>
                <w:sz w:val="24"/>
                <w:szCs w:val="24"/>
              </w:rPr>
              <w:t>‘WKH Form 4 and Form 5 notices are so ‘facially incomprehensible’ that WHK cannot be expected to make sense of the demand for documents and information from WKH.</w:t>
            </w:r>
          </w:p>
          <w:p w14:paraId="768A4C36" w14:textId="77777777" w:rsidR="00B32493" w:rsidRPr="004A5618" w:rsidRDefault="00B32493" w:rsidP="00B32493">
            <w:pPr>
              <w:spacing w:line="360" w:lineRule="auto"/>
              <w:jc w:val="both"/>
              <w:rPr>
                <w:rFonts w:ascii="Arial" w:hAnsi="Arial" w:cs="Arial"/>
                <w:sz w:val="24"/>
                <w:szCs w:val="24"/>
              </w:rPr>
            </w:pPr>
          </w:p>
          <w:p w14:paraId="329AAA61" w14:textId="1A34F421"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A13C7B" w:rsidRPr="004A5618">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7E594A">
              <w:rPr>
                <w:rFonts w:ascii="Arial" w:hAnsi="Arial" w:cs="Arial"/>
                <w:sz w:val="24"/>
                <w:szCs w:val="24"/>
              </w:rPr>
              <w:t>I have considered the matter in question</w:t>
            </w:r>
            <w:r w:rsidR="00E778B9">
              <w:rPr>
                <w:rFonts w:ascii="Arial" w:hAnsi="Arial" w:cs="Arial"/>
                <w:sz w:val="24"/>
                <w:szCs w:val="24"/>
              </w:rPr>
              <w:t xml:space="preserve"> as</w:t>
            </w:r>
            <w:r w:rsidR="007E594A">
              <w:rPr>
                <w:rFonts w:ascii="Arial" w:hAnsi="Arial" w:cs="Arial"/>
                <w:sz w:val="24"/>
                <w:szCs w:val="24"/>
              </w:rPr>
              <w:t xml:space="preserve"> laid out in the notice of motion</w:t>
            </w:r>
            <w:r w:rsidR="00E778B9">
              <w:rPr>
                <w:rFonts w:ascii="Arial" w:hAnsi="Arial" w:cs="Arial"/>
                <w:sz w:val="24"/>
                <w:szCs w:val="24"/>
              </w:rPr>
              <w:t xml:space="preserve"> and</w:t>
            </w:r>
            <w:r w:rsidR="007E594A">
              <w:rPr>
                <w:rFonts w:ascii="Arial" w:hAnsi="Arial" w:cs="Arial"/>
                <w:sz w:val="24"/>
                <w:szCs w:val="24"/>
              </w:rPr>
              <w:t xml:space="preserve"> referred to in para 13 above and the needs of the cas</w:t>
            </w:r>
            <w:r w:rsidR="00450650">
              <w:rPr>
                <w:rFonts w:ascii="Arial" w:hAnsi="Arial" w:cs="Arial"/>
                <w:sz w:val="24"/>
                <w:szCs w:val="24"/>
              </w:rPr>
              <w:t xml:space="preserve">e as set out in para 14 above. </w:t>
            </w:r>
            <w:r w:rsidR="007E594A">
              <w:rPr>
                <w:rFonts w:ascii="Arial" w:hAnsi="Arial" w:cs="Arial"/>
                <w:sz w:val="24"/>
                <w:szCs w:val="24"/>
              </w:rPr>
              <w:t>Having done that, I do not see in what manner the documents sought are relevant to the matter</w:t>
            </w:r>
            <w:r w:rsidR="00E778B9">
              <w:rPr>
                <w:rFonts w:ascii="Arial" w:hAnsi="Arial" w:cs="Arial"/>
                <w:sz w:val="24"/>
                <w:szCs w:val="24"/>
              </w:rPr>
              <w:t xml:space="preserve"> in question</w:t>
            </w:r>
            <w:r w:rsidR="007E594A">
              <w:rPr>
                <w:rFonts w:ascii="Arial" w:hAnsi="Arial" w:cs="Arial"/>
                <w:sz w:val="24"/>
                <w:szCs w:val="24"/>
              </w:rPr>
              <w:t>.</w:t>
            </w:r>
            <w:r w:rsidR="0028119C">
              <w:rPr>
                <w:rFonts w:ascii="Arial" w:hAnsi="Arial" w:cs="Arial"/>
                <w:sz w:val="24"/>
                <w:szCs w:val="24"/>
              </w:rPr>
              <w:t xml:space="preserve"> Similarly, I do not see in what way the documents sought have any tendency in reason to prove any material facts in the main application, considering what the applicants must prove, as laid out in para 14 above.</w:t>
            </w:r>
            <w:r w:rsidR="001E113F">
              <w:rPr>
                <w:rFonts w:ascii="Arial" w:hAnsi="Arial" w:cs="Arial"/>
                <w:sz w:val="24"/>
                <w:szCs w:val="24"/>
              </w:rPr>
              <w:t xml:space="preserve">  </w:t>
            </w:r>
          </w:p>
          <w:p w14:paraId="72872154" w14:textId="77777777" w:rsidR="00B32493" w:rsidRPr="004A5618" w:rsidRDefault="00B32493" w:rsidP="00B32493">
            <w:pPr>
              <w:spacing w:line="360" w:lineRule="auto"/>
              <w:jc w:val="both"/>
              <w:rPr>
                <w:rFonts w:ascii="Arial" w:hAnsi="Arial" w:cs="Arial"/>
                <w:sz w:val="24"/>
                <w:szCs w:val="24"/>
              </w:rPr>
            </w:pPr>
          </w:p>
          <w:p w14:paraId="45168867" w14:textId="7BF65383"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A13C7B" w:rsidRPr="004A5618">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1E113F">
              <w:rPr>
                <w:rFonts w:ascii="Arial" w:hAnsi="Arial" w:cs="Arial"/>
                <w:sz w:val="24"/>
                <w:szCs w:val="24"/>
              </w:rPr>
              <w:t xml:space="preserve">Consequently, I conclude that the </w:t>
            </w:r>
            <w:r w:rsidR="004E02A0">
              <w:rPr>
                <w:rFonts w:ascii="Arial" w:hAnsi="Arial" w:cs="Arial"/>
                <w:sz w:val="24"/>
                <w:szCs w:val="24"/>
              </w:rPr>
              <w:t xml:space="preserve">applicants have failed to establish that the </w:t>
            </w:r>
            <w:r w:rsidR="001E113F">
              <w:rPr>
                <w:rFonts w:ascii="Arial" w:hAnsi="Arial" w:cs="Arial"/>
                <w:sz w:val="24"/>
                <w:szCs w:val="24"/>
              </w:rPr>
              <w:t xml:space="preserve">documents sought are relevant to the matter in question and </w:t>
            </w:r>
            <w:r w:rsidR="004E02A0">
              <w:rPr>
                <w:rFonts w:ascii="Arial" w:hAnsi="Arial" w:cs="Arial"/>
                <w:sz w:val="24"/>
                <w:szCs w:val="24"/>
              </w:rPr>
              <w:t>are</w:t>
            </w:r>
            <w:r w:rsidR="001E113F">
              <w:rPr>
                <w:rFonts w:ascii="Arial" w:hAnsi="Arial" w:cs="Arial"/>
                <w:sz w:val="24"/>
                <w:szCs w:val="24"/>
              </w:rPr>
              <w:t xml:space="preserve"> proportionate to </w:t>
            </w:r>
            <w:r w:rsidR="00827F39">
              <w:rPr>
                <w:rFonts w:ascii="Arial" w:hAnsi="Arial" w:cs="Arial"/>
                <w:sz w:val="24"/>
                <w:szCs w:val="24"/>
              </w:rPr>
              <w:t xml:space="preserve">the </w:t>
            </w:r>
            <w:r w:rsidR="001E113F">
              <w:rPr>
                <w:rFonts w:ascii="Arial" w:hAnsi="Arial" w:cs="Arial"/>
                <w:sz w:val="24"/>
                <w:szCs w:val="24"/>
              </w:rPr>
              <w:t>needs of the case, within the meaning of rule 28 of the rules of court, as</w:t>
            </w:r>
            <w:r w:rsidR="00450650">
              <w:rPr>
                <w:rFonts w:ascii="Arial" w:hAnsi="Arial" w:cs="Arial"/>
                <w:sz w:val="24"/>
                <w:szCs w:val="24"/>
              </w:rPr>
              <w:t xml:space="preserve"> discussed in paras 3-7 above. </w:t>
            </w:r>
            <w:r w:rsidR="001E113F">
              <w:rPr>
                <w:rFonts w:ascii="Arial" w:hAnsi="Arial" w:cs="Arial"/>
                <w:sz w:val="24"/>
                <w:szCs w:val="24"/>
              </w:rPr>
              <w:t xml:space="preserve">The ineluctable conclusion is that the applicants have failed </w:t>
            </w:r>
            <w:r w:rsidR="004E02A0">
              <w:rPr>
                <w:rFonts w:ascii="Arial" w:hAnsi="Arial" w:cs="Arial"/>
                <w:sz w:val="24"/>
                <w:szCs w:val="24"/>
              </w:rPr>
              <w:t xml:space="preserve">to </w:t>
            </w:r>
            <w:r w:rsidR="001E113F">
              <w:rPr>
                <w:rFonts w:ascii="Arial" w:hAnsi="Arial" w:cs="Arial"/>
                <w:sz w:val="24"/>
                <w:szCs w:val="24"/>
              </w:rPr>
              <w:t>discharge the onus cast on them by rule 28(1), as discussed above, and so they cannot succeed.  I proceed to consider Case No. 2022/00357.</w:t>
            </w:r>
          </w:p>
          <w:p w14:paraId="649CE81C" w14:textId="77777777" w:rsidR="001E113F" w:rsidRDefault="001E113F" w:rsidP="00B32493">
            <w:pPr>
              <w:spacing w:line="360" w:lineRule="auto"/>
              <w:jc w:val="both"/>
              <w:rPr>
                <w:rFonts w:ascii="Arial" w:hAnsi="Arial" w:cs="Arial"/>
                <w:sz w:val="24"/>
                <w:szCs w:val="24"/>
              </w:rPr>
            </w:pPr>
          </w:p>
          <w:p w14:paraId="6863B308" w14:textId="28E99977" w:rsidR="001E113F" w:rsidRPr="001E113F" w:rsidRDefault="001E113F" w:rsidP="00B32493">
            <w:pPr>
              <w:spacing w:line="360" w:lineRule="auto"/>
              <w:jc w:val="both"/>
              <w:rPr>
                <w:rFonts w:ascii="Arial" w:hAnsi="Arial" w:cs="Arial"/>
                <w:sz w:val="24"/>
                <w:szCs w:val="24"/>
                <w:u w:val="single"/>
              </w:rPr>
            </w:pPr>
            <w:r w:rsidRPr="001E113F">
              <w:rPr>
                <w:rFonts w:ascii="Arial" w:hAnsi="Arial" w:cs="Arial"/>
                <w:sz w:val="24"/>
                <w:szCs w:val="24"/>
                <w:u w:val="single"/>
              </w:rPr>
              <w:t>Case No. 2022/00357</w:t>
            </w:r>
          </w:p>
          <w:p w14:paraId="0C7BBF0C" w14:textId="77777777" w:rsidR="00B32493" w:rsidRPr="004A5618" w:rsidRDefault="00B32493" w:rsidP="00B32493">
            <w:pPr>
              <w:spacing w:line="360" w:lineRule="auto"/>
              <w:jc w:val="both"/>
              <w:rPr>
                <w:rFonts w:ascii="Arial" w:hAnsi="Arial" w:cs="Arial"/>
                <w:sz w:val="24"/>
                <w:szCs w:val="24"/>
              </w:rPr>
            </w:pPr>
          </w:p>
          <w:p w14:paraId="3EFEF37A" w14:textId="2968067A" w:rsidR="00244F7C"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A13C7B" w:rsidRPr="004A5618">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734802">
              <w:rPr>
                <w:rFonts w:ascii="Arial" w:hAnsi="Arial" w:cs="Arial"/>
                <w:sz w:val="24"/>
                <w:szCs w:val="24"/>
              </w:rPr>
              <w:t>The matter in question (that is the main application) is laid out succinctly in para</w:t>
            </w:r>
            <w:r w:rsidR="006D0E84">
              <w:rPr>
                <w:rFonts w:ascii="Arial" w:hAnsi="Arial" w:cs="Arial"/>
                <w:sz w:val="24"/>
                <w:szCs w:val="24"/>
              </w:rPr>
              <w:t xml:space="preserve"> 45 of the founding affidavit. </w:t>
            </w:r>
            <w:r w:rsidR="00734802">
              <w:rPr>
                <w:rFonts w:ascii="Arial" w:hAnsi="Arial" w:cs="Arial"/>
                <w:sz w:val="24"/>
                <w:szCs w:val="24"/>
              </w:rPr>
              <w:t>The challenge by judicial review is that the ‘Form 5 Summons’ that the Commission served on the appl</w:t>
            </w:r>
            <w:r w:rsidR="006D0E84">
              <w:rPr>
                <w:rFonts w:ascii="Arial" w:hAnsi="Arial" w:cs="Arial"/>
                <w:sz w:val="24"/>
                <w:szCs w:val="24"/>
              </w:rPr>
              <w:t>icant is materially different f</w:t>
            </w:r>
            <w:r w:rsidR="00734802">
              <w:rPr>
                <w:rFonts w:ascii="Arial" w:hAnsi="Arial" w:cs="Arial"/>
                <w:sz w:val="24"/>
                <w:szCs w:val="24"/>
              </w:rPr>
              <w:t>r</w:t>
            </w:r>
            <w:r w:rsidR="006D0E84">
              <w:rPr>
                <w:rFonts w:ascii="Arial" w:hAnsi="Arial" w:cs="Arial"/>
                <w:sz w:val="24"/>
                <w:szCs w:val="24"/>
              </w:rPr>
              <w:t>o</w:t>
            </w:r>
            <w:r w:rsidR="00734802">
              <w:rPr>
                <w:rFonts w:ascii="Arial" w:hAnsi="Arial" w:cs="Arial"/>
                <w:sz w:val="24"/>
                <w:szCs w:val="24"/>
              </w:rPr>
              <w:t xml:space="preserve">m the statutory Form 5 that is provided under s 33(4) of the Competition Act 2 of 2003 </w:t>
            </w:r>
            <w:r w:rsidR="00827F39">
              <w:rPr>
                <w:rFonts w:ascii="Arial" w:hAnsi="Arial" w:cs="Arial"/>
                <w:sz w:val="24"/>
                <w:szCs w:val="24"/>
              </w:rPr>
              <w:t xml:space="preserve">(‘Competition Act’) </w:t>
            </w:r>
            <w:r w:rsidR="00734802">
              <w:rPr>
                <w:rFonts w:ascii="Arial" w:hAnsi="Arial" w:cs="Arial"/>
                <w:sz w:val="24"/>
                <w:szCs w:val="24"/>
              </w:rPr>
              <w:t xml:space="preserve">and rule 16(2) of the Rules </w:t>
            </w:r>
            <w:r w:rsidR="004E02A0">
              <w:rPr>
                <w:rFonts w:ascii="Arial" w:hAnsi="Arial" w:cs="Arial"/>
                <w:sz w:val="24"/>
                <w:szCs w:val="24"/>
              </w:rPr>
              <w:t>M</w:t>
            </w:r>
            <w:r w:rsidR="00734802">
              <w:rPr>
                <w:rFonts w:ascii="Arial" w:hAnsi="Arial" w:cs="Arial"/>
                <w:sz w:val="24"/>
                <w:szCs w:val="24"/>
              </w:rPr>
              <w:t xml:space="preserve">ade under the Competition Act, 2003.  The Form serves as a notice to a person who was </w:t>
            </w:r>
            <w:r w:rsidR="006C2FB6">
              <w:rPr>
                <w:rFonts w:ascii="Arial" w:hAnsi="Arial" w:cs="Arial"/>
                <w:sz w:val="24"/>
                <w:szCs w:val="24"/>
              </w:rPr>
              <w:t xml:space="preserve">required by the Commission to furnish a specified information to the Commission and to appear before the Commission to give evidence or to produce a specified document to assist the Commission in the carrying out some investigations. </w:t>
            </w:r>
          </w:p>
          <w:p w14:paraId="1041843C" w14:textId="77777777" w:rsidR="00244F7C" w:rsidRDefault="00244F7C" w:rsidP="00B32493">
            <w:pPr>
              <w:spacing w:line="360" w:lineRule="auto"/>
              <w:jc w:val="both"/>
              <w:rPr>
                <w:rFonts w:ascii="Arial" w:hAnsi="Arial" w:cs="Arial"/>
                <w:sz w:val="24"/>
                <w:szCs w:val="24"/>
              </w:rPr>
            </w:pPr>
          </w:p>
          <w:p w14:paraId="025CEADB" w14:textId="00307CC7" w:rsidR="00B32493" w:rsidRDefault="00883D7C" w:rsidP="00B32493">
            <w:pPr>
              <w:spacing w:line="360" w:lineRule="auto"/>
              <w:jc w:val="both"/>
              <w:rPr>
                <w:rFonts w:ascii="Arial" w:hAnsi="Arial" w:cs="Arial"/>
                <w:sz w:val="24"/>
                <w:szCs w:val="24"/>
              </w:rPr>
            </w:pPr>
            <w:r w:rsidRPr="004A5618">
              <w:rPr>
                <w:rFonts w:ascii="Arial" w:hAnsi="Arial" w:cs="Arial"/>
                <w:sz w:val="24"/>
                <w:szCs w:val="24"/>
              </w:rPr>
              <w:t>[18]</w:t>
            </w:r>
            <w:r w:rsidRPr="004A5618">
              <w:rPr>
                <w:rFonts w:ascii="Arial" w:hAnsi="Arial" w:cs="Arial"/>
                <w:sz w:val="24"/>
                <w:szCs w:val="24"/>
              </w:rPr>
              <w:tab/>
            </w:r>
            <w:r w:rsidR="006C2FB6">
              <w:rPr>
                <w:rFonts w:ascii="Arial" w:hAnsi="Arial" w:cs="Arial"/>
                <w:sz w:val="24"/>
                <w:szCs w:val="24"/>
              </w:rPr>
              <w:t>The grounds of review under Case No. 2022/00357 are t</w:t>
            </w:r>
            <w:r w:rsidR="00EC7E83">
              <w:rPr>
                <w:rFonts w:ascii="Arial" w:hAnsi="Arial" w:cs="Arial"/>
                <w:sz w:val="24"/>
                <w:szCs w:val="24"/>
              </w:rPr>
              <w:t xml:space="preserve">hat the Commission </w:t>
            </w:r>
            <w:r w:rsidR="006C2FB6">
              <w:rPr>
                <w:rFonts w:ascii="Arial" w:hAnsi="Arial" w:cs="Arial"/>
                <w:sz w:val="24"/>
                <w:szCs w:val="24"/>
              </w:rPr>
              <w:t>-</w:t>
            </w:r>
          </w:p>
          <w:p w14:paraId="718045C6" w14:textId="77777777" w:rsidR="006C2FB6" w:rsidRDefault="006C2FB6" w:rsidP="00B32493">
            <w:pPr>
              <w:spacing w:line="360" w:lineRule="auto"/>
              <w:jc w:val="both"/>
              <w:rPr>
                <w:rFonts w:ascii="Arial" w:hAnsi="Arial" w:cs="Arial"/>
                <w:sz w:val="24"/>
                <w:szCs w:val="24"/>
              </w:rPr>
            </w:pPr>
          </w:p>
          <w:p w14:paraId="180FB224" w14:textId="5E3032AA" w:rsidR="006C2FB6" w:rsidRDefault="006C2FB6" w:rsidP="00450650">
            <w:pPr>
              <w:pStyle w:val="ListParagraph"/>
              <w:numPr>
                <w:ilvl w:val="0"/>
                <w:numId w:val="16"/>
              </w:numPr>
              <w:spacing w:line="360" w:lineRule="auto"/>
              <w:ind w:left="33" w:firstLine="0"/>
              <w:jc w:val="both"/>
              <w:rPr>
                <w:rFonts w:ascii="Arial" w:hAnsi="Arial" w:cs="Arial"/>
                <w:sz w:val="24"/>
                <w:szCs w:val="24"/>
              </w:rPr>
            </w:pPr>
            <w:r w:rsidRPr="006C2FB6">
              <w:rPr>
                <w:rFonts w:ascii="Arial" w:hAnsi="Arial" w:cs="Arial"/>
                <w:sz w:val="24"/>
                <w:szCs w:val="24"/>
              </w:rPr>
              <w:lastRenderedPageBreak/>
              <w:t>failed to give the applicant notice of the Commission</w:t>
            </w:r>
            <w:r w:rsidR="00EC7E83">
              <w:rPr>
                <w:rFonts w:ascii="Arial" w:hAnsi="Arial" w:cs="Arial"/>
                <w:sz w:val="24"/>
                <w:szCs w:val="24"/>
              </w:rPr>
              <w:t>’</w:t>
            </w:r>
            <w:r w:rsidRPr="006C2FB6">
              <w:rPr>
                <w:rFonts w:ascii="Arial" w:hAnsi="Arial" w:cs="Arial"/>
                <w:sz w:val="24"/>
                <w:szCs w:val="24"/>
              </w:rPr>
              <w:t>s decision to investigate the applicant;</w:t>
            </w:r>
          </w:p>
          <w:p w14:paraId="24984D40" w14:textId="77777777" w:rsidR="00EC7E83" w:rsidRPr="006C2FB6" w:rsidRDefault="00EC7E83" w:rsidP="00EC7E83">
            <w:pPr>
              <w:pStyle w:val="ListParagraph"/>
              <w:spacing w:line="360" w:lineRule="auto"/>
              <w:ind w:left="33"/>
              <w:jc w:val="both"/>
              <w:rPr>
                <w:rFonts w:ascii="Arial" w:hAnsi="Arial" w:cs="Arial"/>
                <w:sz w:val="24"/>
                <w:szCs w:val="24"/>
              </w:rPr>
            </w:pPr>
          </w:p>
          <w:p w14:paraId="07600A6B" w14:textId="6E586621" w:rsidR="00EC7E83" w:rsidRDefault="006C2FB6" w:rsidP="00450650">
            <w:pPr>
              <w:pStyle w:val="ListParagraph"/>
              <w:numPr>
                <w:ilvl w:val="0"/>
                <w:numId w:val="16"/>
              </w:numPr>
              <w:spacing w:line="360" w:lineRule="auto"/>
              <w:ind w:left="33" w:firstLine="0"/>
              <w:jc w:val="both"/>
              <w:rPr>
                <w:rFonts w:ascii="Arial" w:hAnsi="Arial" w:cs="Arial"/>
                <w:sz w:val="24"/>
                <w:szCs w:val="24"/>
              </w:rPr>
            </w:pPr>
            <w:r>
              <w:rPr>
                <w:rFonts w:ascii="Arial" w:hAnsi="Arial" w:cs="Arial"/>
                <w:sz w:val="24"/>
                <w:szCs w:val="24"/>
              </w:rPr>
              <w:t>failed to explain the subject matter and purpose of its investigation; and</w:t>
            </w:r>
          </w:p>
          <w:p w14:paraId="4AC97EC8" w14:textId="0A7C54E9" w:rsidR="006C2FB6" w:rsidRDefault="006C2FB6" w:rsidP="00EC7E83">
            <w:pPr>
              <w:pStyle w:val="ListParagraph"/>
              <w:spacing w:line="360" w:lineRule="auto"/>
              <w:ind w:left="33"/>
              <w:jc w:val="both"/>
              <w:rPr>
                <w:rFonts w:ascii="Arial" w:hAnsi="Arial" w:cs="Arial"/>
                <w:sz w:val="24"/>
                <w:szCs w:val="24"/>
              </w:rPr>
            </w:pPr>
            <w:r>
              <w:rPr>
                <w:rFonts w:ascii="Arial" w:hAnsi="Arial" w:cs="Arial"/>
                <w:sz w:val="24"/>
                <w:szCs w:val="24"/>
              </w:rPr>
              <w:t xml:space="preserve"> </w:t>
            </w:r>
          </w:p>
          <w:p w14:paraId="582B42F2" w14:textId="1EEDE047" w:rsidR="006C2FB6" w:rsidRPr="006C2FB6" w:rsidRDefault="006C2FB6" w:rsidP="00450650">
            <w:pPr>
              <w:pStyle w:val="ListParagraph"/>
              <w:numPr>
                <w:ilvl w:val="0"/>
                <w:numId w:val="16"/>
              </w:numPr>
              <w:spacing w:line="360" w:lineRule="auto"/>
              <w:ind w:left="0" w:firstLine="0"/>
              <w:jc w:val="both"/>
              <w:rPr>
                <w:rFonts w:ascii="Arial" w:hAnsi="Arial" w:cs="Arial"/>
                <w:sz w:val="24"/>
                <w:szCs w:val="24"/>
              </w:rPr>
            </w:pPr>
            <w:r>
              <w:rPr>
                <w:rFonts w:ascii="Arial" w:hAnsi="Arial" w:cs="Arial"/>
                <w:sz w:val="24"/>
                <w:szCs w:val="24"/>
              </w:rPr>
              <w:t>acted in bad faith because it was ‘incorrectly threatening the applicant with criminal sanction’.</w:t>
            </w:r>
          </w:p>
          <w:p w14:paraId="41AA8F94" w14:textId="77777777" w:rsidR="00B32493" w:rsidRPr="004A5618" w:rsidRDefault="00B32493" w:rsidP="00B32493">
            <w:pPr>
              <w:spacing w:line="360" w:lineRule="auto"/>
              <w:jc w:val="both"/>
              <w:rPr>
                <w:rFonts w:ascii="Arial" w:hAnsi="Arial" w:cs="Arial"/>
                <w:sz w:val="24"/>
                <w:szCs w:val="24"/>
              </w:rPr>
            </w:pPr>
          </w:p>
          <w:p w14:paraId="1C664AB2" w14:textId="77777777" w:rsidR="00ED27EE"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A31424">
              <w:rPr>
                <w:rFonts w:ascii="Arial" w:hAnsi="Arial" w:cs="Arial"/>
                <w:sz w:val="24"/>
                <w:szCs w:val="24"/>
              </w:rPr>
              <w:t>9</w:t>
            </w:r>
            <w:r w:rsidRPr="004A5618">
              <w:rPr>
                <w:rFonts w:ascii="Arial" w:hAnsi="Arial" w:cs="Arial"/>
                <w:sz w:val="24"/>
                <w:szCs w:val="24"/>
              </w:rPr>
              <w:t>]</w:t>
            </w:r>
            <w:r w:rsidRPr="004A5618">
              <w:rPr>
                <w:rFonts w:ascii="Arial" w:hAnsi="Arial" w:cs="Arial"/>
                <w:sz w:val="24"/>
                <w:szCs w:val="24"/>
              </w:rPr>
              <w:tab/>
            </w:r>
            <w:r w:rsidR="006C2FB6">
              <w:rPr>
                <w:rFonts w:ascii="Arial" w:hAnsi="Arial" w:cs="Arial"/>
                <w:sz w:val="24"/>
                <w:szCs w:val="24"/>
              </w:rPr>
              <w:t xml:space="preserve">I do not see in what way the documents sought are relevant to </w:t>
            </w:r>
            <w:r w:rsidR="00912F74">
              <w:rPr>
                <w:rFonts w:ascii="Arial" w:hAnsi="Arial" w:cs="Arial"/>
                <w:sz w:val="24"/>
                <w:szCs w:val="24"/>
              </w:rPr>
              <w:t xml:space="preserve">the </w:t>
            </w:r>
            <w:r w:rsidR="006C2FB6">
              <w:rPr>
                <w:rFonts w:ascii="Arial" w:hAnsi="Arial" w:cs="Arial"/>
                <w:sz w:val="24"/>
                <w:szCs w:val="24"/>
              </w:rPr>
              <w:t>matter in question, as explained in para 1</w:t>
            </w:r>
            <w:r w:rsidR="00ED27EE">
              <w:rPr>
                <w:rFonts w:ascii="Arial" w:hAnsi="Arial" w:cs="Arial"/>
                <w:sz w:val="24"/>
                <w:szCs w:val="24"/>
              </w:rPr>
              <w:t>7</w:t>
            </w:r>
            <w:r w:rsidR="006C2FB6">
              <w:rPr>
                <w:rFonts w:ascii="Arial" w:hAnsi="Arial" w:cs="Arial"/>
                <w:sz w:val="24"/>
                <w:szCs w:val="24"/>
              </w:rPr>
              <w:t xml:space="preserve"> above, that is, considering the relief sought in the notice of motion.</w:t>
            </w:r>
            <w:r w:rsidR="006C2FB6">
              <w:rPr>
                <w:rStyle w:val="FootnoteReference"/>
                <w:rFonts w:ascii="Arial" w:hAnsi="Arial" w:cs="Arial"/>
                <w:sz w:val="24"/>
                <w:szCs w:val="24"/>
              </w:rPr>
              <w:footnoteReference w:id="7"/>
            </w:r>
            <w:r w:rsidR="006C2FB6">
              <w:rPr>
                <w:rFonts w:ascii="Arial" w:hAnsi="Arial" w:cs="Arial"/>
                <w:sz w:val="24"/>
                <w:szCs w:val="24"/>
              </w:rPr>
              <w:t xml:space="preserve">  In my view, the documents sought are not relevant to the matter in question. </w:t>
            </w:r>
            <w:r w:rsidR="00ED27EE">
              <w:rPr>
                <w:rFonts w:ascii="Arial" w:hAnsi="Arial" w:cs="Arial"/>
                <w:sz w:val="24"/>
                <w:szCs w:val="24"/>
              </w:rPr>
              <w:t>Consequently, I find that the applicant has failed to establish that the documents sought are relevant to the matter in question.</w:t>
            </w:r>
          </w:p>
          <w:p w14:paraId="59F0B576" w14:textId="77777777" w:rsidR="00ED27EE" w:rsidRDefault="00ED27EE" w:rsidP="00B32493">
            <w:pPr>
              <w:spacing w:line="360" w:lineRule="auto"/>
              <w:jc w:val="both"/>
              <w:rPr>
                <w:rFonts w:ascii="Arial" w:hAnsi="Arial" w:cs="Arial"/>
                <w:sz w:val="24"/>
                <w:szCs w:val="24"/>
              </w:rPr>
            </w:pPr>
          </w:p>
          <w:p w14:paraId="4752E733" w14:textId="4FAE0B16" w:rsidR="00B32493" w:rsidRDefault="00ED27EE" w:rsidP="00B32493">
            <w:pPr>
              <w:spacing w:line="360" w:lineRule="auto"/>
              <w:jc w:val="both"/>
              <w:rPr>
                <w:rFonts w:ascii="Arial" w:hAnsi="Arial" w:cs="Arial"/>
                <w:sz w:val="24"/>
                <w:szCs w:val="24"/>
              </w:rPr>
            </w:pPr>
            <w:r w:rsidRPr="004A5618">
              <w:rPr>
                <w:rFonts w:ascii="Arial" w:hAnsi="Arial" w:cs="Arial"/>
                <w:sz w:val="24"/>
                <w:szCs w:val="24"/>
              </w:rPr>
              <w:t>[</w:t>
            </w:r>
            <w:r>
              <w:rPr>
                <w:rFonts w:ascii="Arial" w:hAnsi="Arial" w:cs="Arial"/>
                <w:sz w:val="24"/>
                <w:szCs w:val="24"/>
              </w:rPr>
              <w:t>20</w:t>
            </w:r>
            <w:r w:rsidRPr="004A5618">
              <w:rPr>
                <w:rFonts w:ascii="Arial" w:hAnsi="Arial" w:cs="Arial"/>
                <w:sz w:val="24"/>
                <w:szCs w:val="24"/>
              </w:rPr>
              <w:t>]</w:t>
            </w:r>
            <w:r w:rsidRPr="004A5618">
              <w:rPr>
                <w:rFonts w:ascii="Arial" w:hAnsi="Arial" w:cs="Arial"/>
                <w:sz w:val="24"/>
                <w:szCs w:val="24"/>
              </w:rPr>
              <w:tab/>
            </w:r>
            <w:r w:rsidR="006C2FB6">
              <w:rPr>
                <w:rFonts w:ascii="Arial" w:hAnsi="Arial" w:cs="Arial"/>
                <w:sz w:val="24"/>
                <w:szCs w:val="24"/>
              </w:rPr>
              <w:t xml:space="preserve">The needs of the case are </w:t>
            </w:r>
            <w:r>
              <w:rPr>
                <w:rFonts w:ascii="Arial" w:hAnsi="Arial" w:cs="Arial"/>
                <w:sz w:val="24"/>
                <w:szCs w:val="24"/>
              </w:rPr>
              <w:t xml:space="preserve">proof </w:t>
            </w:r>
            <w:r w:rsidR="006C2FB6">
              <w:rPr>
                <w:rFonts w:ascii="Arial" w:hAnsi="Arial" w:cs="Arial"/>
                <w:sz w:val="24"/>
                <w:szCs w:val="24"/>
              </w:rPr>
              <w:t>that</w:t>
            </w:r>
            <w:r>
              <w:rPr>
                <w:rFonts w:ascii="Arial" w:hAnsi="Arial" w:cs="Arial"/>
                <w:sz w:val="24"/>
                <w:szCs w:val="24"/>
              </w:rPr>
              <w:t>-</w:t>
            </w:r>
          </w:p>
          <w:p w14:paraId="432CFE9C" w14:textId="77777777" w:rsidR="00912F74" w:rsidRDefault="00912F74" w:rsidP="00B32493">
            <w:pPr>
              <w:spacing w:line="360" w:lineRule="auto"/>
              <w:jc w:val="both"/>
              <w:rPr>
                <w:rFonts w:ascii="Arial" w:hAnsi="Arial" w:cs="Arial"/>
                <w:sz w:val="24"/>
                <w:szCs w:val="24"/>
              </w:rPr>
            </w:pPr>
          </w:p>
          <w:p w14:paraId="025CDECB" w14:textId="012C1EFB" w:rsidR="006C2FB6" w:rsidRPr="00912F74" w:rsidRDefault="006C2FB6" w:rsidP="00450650">
            <w:pPr>
              <w:pStyle w:val="ListParagraph"/>
              <w:numPr>
                <w:ilvl w:val="0"/>
                <w:numId w:val="17"/>
              </w:numPr>
              <w:spacing w:line="360" w:lineRule="auto"/>
              <w:ind w:left="33" w:firstLine="0"/>
              <w:jc w:val="both"/>
              <w:rPr>
                <w:rFonts w:ascii="Arial" w:hAnsi="Arial" w:cs="Arial"/>
                <w:sz w:val="24"/>
                <w:szCs w:val="24"/>
              </w:rPr>
            </w:pPr>
            <w:r w:rsidRPr="00912F74">
              <w:rPr>
                <w:rFonts w:ascii="Arial" w:hAnsi="Arial" w:cs="Arial"/>
                <w:sz w:val="24"/>
                <w:szCs w:val="24"/>
              </w:rPr>
              <w:t>Form 5 is not statute compliant;</w:t>
            </w:r>
          </w:p>
          <w:p w14:paraId="2995DCAB" w14:textId="77777777" w:rsidR="00912F74" w:rsidRPr="00912F74" w:rsidRDefault="00912F74" w:rsidP="00912F74">
            <w:pPr>
              <w:pStyle w:val="ListParagraph"/>
              <w:spacing w:line="360" w:lineRule="auto"/>
              <w:ind w:left="1080"/>
              <w:jc w:val="both"/>
              <w:rPr>
                <w:rFonts w:ascii="Arial" w:hAnsi="Arial" w:cs="Arial"/>
                <w:sz w:val="24"/>
                <w:szCs w:val="24"/>
              </w:rPr>
            </w:pPr>
          </w:p>
          <w:p w14:paraId="4564D985" w14:textId="6B1D4796" w:rsidR="006C2FB6" w:rsidRPr="00912F74" w:rsidRDefault="006C2FB6" w:rsidP="00450650">
            <w:pPr>
              <w:pStyle w:val="ListParagraph"/>
              <w:numPr>
                <w:ilvl w:val="0"/>
                <w:numId w:val="17"/>
              </w:numPr>
              <w:spacing w:line="360" w:lineRule="auto"/>
              <w:ind w:left="33" w:firstLine="0"/>
              <w:jc w:val="both"/>
              <w:rPr>
                <w:rFonts w:ascii="Arial" w:hAnsi="Arial" w:cs="Arial"/>
                <w:sz w:val="24"/>
                <w:szCs w:val="24"/>
              </w:rPr>
            </w:pPr>
            <w:r w:rsidRPr="00912F74">
              <w:rPr>
                <w:rFonts w:ascii="Arial" w:hAnsi="Arial" w:cs="Arial"/>
                <w:sz w:val="24"/>
                <w:szCs w:val="24"/>
              </w:rPr>
              <w:t>the applicant was entitled in terms of the Competition Act to be given explanation about the subject matter and purpose of the investigation, but it was not given such explanation; and</w:t>
            </w:r>
          </w:p>
          <w:p w14:paraId="5E214B7B" w14:textId="77777777" w:rsidR="00912F74" w:rsidRPr="00912F74" w:rsidRDefault="00912F74" w:rsidP="00912F74">
            <w:pPr>
              <w:pStyle w:val="ListParagraph"/>
              <w:spacing w:line="360" w:lineRule="auto"/>
              <w:ind w:left="1080"/>
              <w:jc w:val="both"/>
              <w:rPr>
                <w:rFonts w:ascii="Arial" w:hAnsi="Arial" w:cs="Arial"/>
                <w:sz w:val="24"/>
                <w:szCs w:val="24"/>
              </w:rPr>
            </w:pPr>
          </w:p>
          <w:p w14:paraId="377B4A6B" w14:textId="073C6BC0" w:rsidR="006C2FB6" w:rsidRPr="00450650" w:rsidRDefault="00ED27EE" w:rsidP="00450650">
            <w:pPr>
              <w:pStyle w:val="ListParagraph"/>
              <w:numPr>
                <w:ilvl w:val="0"/>
                <w:numId w:val="17"/>
              </w:numPr>
              <w:spacing w:line="360" w:lineRule="auto"/>
              <w:ind w:left="33" w:firstLine="0"/>
              <w:jc w:val="both"/>
              <w:rPr>
                <w:rFonts w:ascii="Arial" w:hAnsi="Arial" w:cs="Arial"/>
                <w:sz w:val="24"/>
                <w:szCs w:val="24"/>
              </w:rPr>
            </w:pPr>
            <w:r w:rsidRPr="00450650">
              <w:rPr>
                <w:rFonts w:ascii="Arial" w:hAnsi="Arial" w:cs="Arial"/>
                <w:sz w:val="24"/>
                <w:szCs w:val="24"/>
              </w:rPr>
              <w:t>t</w:t>
            </w:r>
            <w:r w:rsidR="006C2FB6" w:rsidRPr="00450650">
              <w:rPr>
                <w:rFonts w:ascii="Arial" w:hAnsi="Arial" w:cs="Arial"/>
                <w:sz w:val="24"/>
                <w:szCs w:val="24"/>
              </w:rPr>
              <w:t>he Commission acted mala fide in threatening the applicant with criminal sanction.</w:t>
            </w:r>
          </w:p>
          <w:p w14:paraId="527C767A" w14:textId="77777777" w:rsidR="00B32493" w:rsidRPr="004A5618" w:rsidRDefault="00B32493" w:rsidP="00B32493">
            <w:pPr>
              <w:spacing w:line="360" w:lineRule="auto"/>
              <w:jc w:val="both"/>
              <w:rPr>
                <w:rFonts w:ascii="Arial" w:hAnsi="Arial" w:cs="Arial"/>
                <w:sz w:val="24"/>
                <w:szCs w:val="24"/>
              </w:rPr>
            </w:pPr>
          </w:p>
          <w:p w14:paraId="0BDA1631" w14:textId="72DB7589"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ED27EE">
              <w:rPr>
                <w:rFonts w:ascii="Arial" w:hAnsi="Arial" w:cs="Arial"/>
                <w:sz w:val="24"/>
                <w:szCs w:val="24"/>
              </w:rPr>
              <w:t>2</w:t>
            </w:r>
            <w:r w:rsidRPr="004A5618">
              <w:rPr>
                <w:rFonts w:ascii="Arial" w:hAnsi="Arial" w:cs="Arial"/>
                <w:sz w:val="24"/>
                <w:szCs w:val="24"/>
              </w:rPr>
              <w:t>1]</w:t>
            </w:r>
            <w:r w:rsidRPr="004A5618">
              <w:rPr>
                <w:rFonts w:ascii="Arial" w:hAnsi="Arial" w:cs="Arial"/>
                <w:sz w:val="24"/>
                <w:szCs w:val="24"/>
              </w:rPr>
              <w:tab/>
            </w:r>
            <w:r w:rsidR="00ED27EE">
              <w:rPr>
                <w:rFonts w:ascii="Arial" w:hAnsi="Arial" w:cs="Arial"/>
                <w:sz w:val="24"/>
                <w:szCs w:val="24"/>
              </w:rPr>
              <w:t xml:space="preserve">I do not see in what manner the documents sought are proportionate to the needs of the case which are set out in para 20 above, and the applicant has failed to show in what manner the documents are proportionate to the needs of the case. </w:t>
            </w:r>
            <w:r w:rsidR="00923430">
              <w:rPr>
                <w:rFonts w:ascii="Arial" w:hAnsi="Arial" w:cs="Arial"/>
                <w:sz w:val="24"/>
                <w:szCs w:val="24"/>
              </w:rPr>
              <w:t>Consequently, I hold that the applicant has failed to discharge the onus cast on it by rule 28(1)</w:t>
            </w:r>
            <w:r w:rsidR="00ED27EE">
              <w:rPr>
                <w:rFonts w:ascii="Arial" w:hAnsi="Arial" w:cs="Arial"/>
                <w:sz w:val="24"/>
                <w:szCs w:val="24"/>
              </w:rPr>
              <w:t xml:space="preserve"> of the rules of court</w:t>
            </w:r>
            <w:r w:rsidR="00923430">
              <w:rPr>
                <w:rFonts w:ascii="Arial" w:hAnsi="Arial" w:cs="Arial"/>
                <w:sz w:val="24"/>
                <w:szCs w:val="24"/>
              </w:rPr>
              <w:t>, as discussed above, and so it cannot succeed.</w:t>
            </w:r>
          </w:p>
          <w:p w14:paraId="0C9C947D" w14:textId="77777777" w:rsidR="00923430" w:rsidRDefault="00923430" w:rsidP="00B32493">
            <w:pPr>
              <w:spacing w:line="360" w:lineRule="auto"/>
              <w:jc w:val="both"/>
              <w:rPr>
                <w:rFonts w:ascii="Arial" w:hAnsi="Arial" w:cs="Arial"/>
                <w:sz w:val="24"/>
                <w:szCs w:val="24"/>
              </w:rPr>
            </w:pPr>
          </w:p>
          <w:p w14:paraId="6DF947F0" w14:textId="0F49BBCD" w:rsidR="00923430" w:rsidRDefault="00923430" w:rsidP="00B32493">
            <w:pPr>
              <w:spacing w:line="360" w:lineRule="auto"/>
              <w:jc w:val="both"/>
              <w:rPr>
                <w:rFonts w:ascii="Arial" w:hAnsi="Arial" w:cs="Arial"/>
                <w:sz w:val="24"/>
                <w:szCs w:val="24"/>
                <w:u w:val="single"/>
              </w:rPr>
            </w:pPr>
            <w:r w:rsidRPr="00923430">
              <w:rPr>
                <w:rFonts w:ascii="Arial" w:hAnsi="Arial" w:cs="Arial"/>
                <w:sz w:val="24"/>
                <w:szCs w:val="24"/>
                <w:u w:val="single"/>
              </w:rPr>
              <w:t>Conclusion: Case No 2022/00355 and Case No. 2022/00357</w:t>
            </w:r>
          </w:p>
          <w:p w14:paraId="4A50C954" w14:textId="77777777" w:rsidR="007B131C" w:rsidRDefault="007B131C" w:rsidP="00B32493">
            <w:pPr>
              <w:spacing w:line="360" w:lineRule="auto"/>
              <w:jc w:val="both"/>
              <w:rPr>
                <w:rFonts w:ascii="Arial" w:hAnsi="Arial" w:cs="Arial"/>
                <w:sz w:val="24"/>
                <w:szCs w:val="24"/>
                <w:u w:val="single"/>
              </w:rPr>
            </w:pPr>
          </w:p>
          <w:p w14:paraId="2CE80B75" w14:textId="5AF10470" w:rsidR="007B131C" w:rsidRPr="00923430" w:rsidRDefault="007B131C" w:rsidP="00B32493">
            <w:pPr>
              <w:spacing w:line="360" w:lineRule="auto"/>
              <w:jc w:val="both"/>
              <w:rPr>
                <w:rFonts w:ascii="Arial" w:hAnsi="Arial" w:cs="Arial"/>
                <w:sz w:val="24"/>
                <w:szCs w:val="24"/>
                <w:u w:val="single"/>
              </w:rPr>
            </w:pPr>
            <w:r w:rsidRPr="004A5618">
              <w:rPr>
                <w:rFonts w:ascii="Arial" w:hAnsi="Arial" w:cs="Arial"/>
                <w:sz w:val="24"/>
                <w:szCs w:val="24"/>
              </w:rPr>
              <w:t>[</w:t>
            </w:r>
            <w:r>
              <w:rPr>
                <w:rFonts w:ascii="Arial" w:hAnsi="Arial" w:cs="Arial"/>
                <w:sz w:val="24"/>
                <w:szCs w:val="24"/>
              </w:rPr>
              <w:t>22</w:t>
            </w:r>
            <w:r w:rsidRPr="004A5618">
              <w:rPr>
                <w:rFonts w:ascii="Arial" w:hAnsi="Arial" w:cs="Arial"/>
                <w:sz w:val="24"/>
                <w:szCs w:val="24"/>
              </w:rPr>
              <w:t>]</w:t>
            </w:r>
            <w:r w:rsidRPr="004A5618">
              <w:rPr>
                <w:rFonts w:ascii="Arial" w:hAnsi="Arial" w:cs="Arial"/>
                <w:sz w:val="24"/>
                <w:szCs w:val="24"/>
              </w:rPr>
              <w:tab/>
            </w:r>
            <w:r w:rsidR="003C0EA4">
              <w:rPr>
                <w:rFonts w:ascii="Arial" w:hAnsi="Arial" w:cs="Arial"/>
                <w:sz w:val="24"/>
                <w:szCs w:val="24"/>
              </w:rPr>
              <w:t>Based on these reasons</w:t>
            </w:r>
            <w:r w:rsidR="00827F39">
              <w:rPr>
                <w:rFonts w:ascii="Arial" w:hAnsi="Arial" w:cs="Arial"/>
                <w:sz w:val="24"/>
                <w:szCs w:val="24"/>
              </w:rPr>
              <w:t>, I find that the applicants have</w:t>
            </w:r>
            <w:r w:rsidR="003C0EA4">
              <w:rPr>
                <w:rFonts w:ascii="Arial" w:hAnsi="Arial" w:cs="Arial"/>
                <w:sz w:val="24"/>
                <w:szCs w:val="24"/>
              </w:rPr>
              <w:t xml:space="preserve"> failed to make out a case for the relief sought in the interlocutory applications. Indeed, i</w:t>
            </w:r>
            <w:r>
              <w:rPr>
                <w:rFonts w:ascii="Arial" w:hAnsi="Arial" w:cs="Arial"/>
                <w:sz w:val="24"/>
                <w:szCs w:val="24"/>
              </w:rPr>
              <w:t>f the applicant</w:t>
            </w:r>
            <w:r w:rsidR="003C0EA4">
              <w:rPr>
                <w:rFonts w:ascii="Arial" w:hAnsi="Arial" w:cs="Arial"/>
                <w:sz w:val="24"/>
                <w:szCs w:val="24"/>
              </w:rPr>
              <w:t>s were</w:t>
            </w:r>
            <w:r>
              <w:rPr>
                <w:rFonts w:ascii="Arial" w:hAnsi="Arial" w:cs="Arial"/>
                <w:sz w:val="24"/>
                <w:szCs w:val="24"/>
              </w:rPr>
              <w:t xml:space="preserve"> minded </w:t>
            </w:r>
            <w:r w:rsidR="003C0EA4">
              <w:rPr>
                <w:rFonts w:ascii="Arial" w:hAnsi="Arial" w:cs="Arial"/>
                <w:sz w:val="24"/>
                <w:szCs w:val="24"/>
              </w:rPr>
              <w:t>being</w:t>
            </w:r>
            <w:r>
              <w:rPr>
                <w:rFonts w:ascii="Arial" w:hAnsi="Arial" w:cs="Arial"/>
                <w:sz w:val="24"/>
                <w:szCs w:val="24"/>
              </w:rPr>
              <w:t xml:space="preserve"> </w:t>
            </w:r>
            <w:r>
              <w:rPr>
                <w:rFonts w:ascii="Arial" w:hAnsi="Arial" w:cs="Arial"/>
                <w:sz w:val="24"/>
                <w:szCs w:val="24"/>
              </w:rPr>
              <w:lastRenderedPageBreak/>
              <w:t xml:space="preserve">honest with </w:t>
            </w:r>
            <w:r w:rsidR="003C0EA4">
              <w:rPr>
                <w:rFonts w:ascii="Arial" w:hAnsi="Arial" w:cs="Arial"/>
                <w:sz w:val="24"/>
                <w:szCs w:val="24"/>
              </w:rPr>
              <w:t>themselves</w:t>
            </w:r>
            <w:r>
              <w:rPr>
                <w:rFonts w:ascii="Arial" w:hAnsi="Arial" w:cs="Arial"/>
                <w:sz w:val="24"/>
                <w:szCs w:val="24"/>
              </w:rPr>
              <w:t xml:space="preserve">, it would graciously admit that because of </w:t>
            </w:r>
            <w:r w:rsidR="003C0EA4">
              <w:rPr>
                <w:rFonts w:ascii="Arial" w:hAnsi="Arial" w:cs="Arial"/>
                <w:sz w:val="24"/>
                <w:szCs w:val="24"/>
              </w:rPr>
              <w:t>their</w:t>
            </w:r>
            <w:r>
              <w:rPr>
                <w:rFonts w:ascii="Arial" w:hAnsi="Arial" w:cs="Arial"/>
                <w:sz w:val="24"/>
                <w:szCs w:val="24"/>
              </w:rPr>
              <w:t xml:space="preserve"> misreading of rule 65 and rule 76, </w:t>
            </w:r>
            <w:r w:rsidR="003C0EA4">
              <w:rPr>
                <w:rFonts w:ascii="Arial" w:hAnsi="Arial" w:cs="Arial"/>
                <w:sz w:val="24"/>
                <w:szCs w:val="24"/>
              </w:rPr>
              <w:t>they</w:t>
            </w:r>
            <w:r>
              <w:rPr>
                <w:rFonts w:ascii="Arial" w:hAnsi="Arial" w:cs="Arial"/>
                <w:sz w:val="24"/>
                <w:szCs w:val="24"/>
              </w:rPr>
              <w:t xml:space="preserve"> failed to satisfy the requirements of rule 28 (1) of the rules of court.</w:t>
            </w:r>
            <w:r w:rsidR="003C0EA4">
              <w:rPr>
                <w:rFonts w:ascii="Arial" w:hAnsi="Arial" w:cs="Arial"/>
                <w:sz w:val="24"/>
                <w:szCs w:val="24"/>
              </w:rPr>
              <w:t xml:space="preserve"> </w:t>
            </w:r>
          </w:p>
          <w:p w14:paraId="2EA7E061" w14:textId="77777777" w:rsidR="007008BE" w:rsidRDefault="007008BE" w:rsidP="00B32493">
            <w:pPr>
              <w:spacing w:line="360" w:lineRule="auto"/>
              <w:jc w:val="both"/>
              <w:rPr>
                <w:rFonts w:ascii="Arial" w:hAnsi="Arial" w:cs="Arial"/>
                <w:sz w:val="24"/>
                <w:szCs w:val="24"/>
              </w:rPr>
            </w:pPr>
          </w:p>
          <w:p w14:paraId="26918DEC" w14:textId="47E150D1"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071E6A" w:rsidRPr="004A5618">
              <w:rPr>
                <w:rFonts w:ascii="Arial" w:hAnsi="Arial" w:cs="Arial"/>
                <w:sz w:val="24"/>
                <w:szCs w:val="24"/>
              </w:rPr>
              <w:t>2</w:t>
            </w:r>
            <w:r w:rsidR="003C0EA4">
              <w:rPr>
                <w:rFonts w:ascii="Arial" w:hAnsi="Arial" w:cs="Arial"/>
                <w:sz w:val="24"/>
                <w:szCs w:val="24"/>
              </w:rPr>
              <w:t>3</w:t>
            </w:r>
            <w:r w:rsidRPr="004A5618">
              <w:rPr>
                <w:rFonts w:ascii="Arial" w:hAnsi="Arial" w:cs="Arial"/>
                <w:sz w:val="24"/>
                <w:szCs w:val="24"/>
              </w:rPr>
              <w:t>]</w:t>
            </w:r>
            <w:r w:rsidRPr="004A5618">
              <w:rPr>
                <w:rFonts w:ascii="Arial" w:hAnsi="Arial" w:cs="Arial"/>
                <w:sz w:val="24"/>
                <w:szCs w:val="24"/>
              </w:rPr>
              <w:tab/>
            </w:r>
            <w:r w:rsidR="00923430">
              <w:rPr>
                <w:rFonts w:ascii="Arial" w:hAnsi="Arial" w:cs="Arial"/>
                <w:sz w:val="24"/>
                <w:szCs w:val="24"/>
              </w:rPr>
              <w:t>At first brush, I would have said that these are interlocutory applic</w:t>
            </w:r>
            <w:r w:rsidR="005D0D19">
              <w:rPr>
                <w:rFonts w:ascii="Arial" w:hAnsi="Arial" w:cs="Arial"/>
                <w:sz w:val="24"/>
                <w:szCs w:val="24"/>
              </w:rPr>
              <w:t>ations where rule 32(11), provid</w:t>
            </w:r>
            <w:r w:rsidR="00923430">
              <w:rPr>
                <w:rFonts w:ascii="Arial" w:hAnsi="Arial" w:cs="Arial"/>
                <w:sz w:val="24"/>
                <w:szCs w:val="24"/>
              </w:rPr>
              <w:t>ing capp</w:t>
            </w:r>
            <w:r w:rsidR="00475D2C">
              <w:rPr>
                <w:rFonts w:ascii="Arial" w:hAnsi="Arial" w:cs="Arial"/>
                <w:sz w:val="24"/>
                <w:szCs w:val="24"/>
              </w:rPr>
              <w:t>ed</w:t>
            </w:r>
            <w:r w:rsidR="00923430">
              <w:rPr>
                <w:rFonts w:ascii="Arial" w:hAnsi="Arial" w:cs="Arial"/>
                <w:sz w:val="24"/>
                <w:szCs w:val="24"/>
              </w:rPr>
              <w:t xml:space="preserve"> costs, should n</w:t>
            </w:r>
            <w:r w:rsidR="005D0D19">
              <w:rPr>
                <w:rFonts w:ascii="Arial" w:hAnsi="Arial" w:cs="Arial"/>
                <w:sz w:val="24"/>
                <w:szCs w:val="24"/>
              </w:rPr>
              <w:t xml:space="preserve">ot apply. </w:t>
            </w:r>
            <w:r w:rsidR="00923430">
              <w:rPr>
                <w:rFonts w:ascii="Arial" w:hAnsi="Arial" w:cs="Arial"/>
                <w:sz w:val="24"/>
                <w:szCs w:val="24"/>
              </w:rPr>
              <w:t>But for the following reason</w:t>
            </w:r>
            <w:r w:rsidR="00F66F79">
              <w:rPr>
                <w:rFonts w:ascii="Arial" w:hAnsi="Arial" w:cs="Arial"/>
                <w:sz w:val="24"/>
                <w:szCs w:val="24"/>
              </w:rPr>
              <w:t xml:space="preserve">s, the costs should be capped. </w:t>
            </w:r>
            <w:r w:rsidR="00923430">
              <w:rPr>
                <w:rFonts w:ascii="Arial" w:hAnsi="Arial" w:cs="Arial"/>
                <w:sz w:val="24"/>
                <w:szCs w:val="24"/>
              </w:rPr>
              <w:t xml:space="preserve">First, </w:t>
            </w:r>
            <w:r w:rsidR="005D0D19">
              <w:rPr>
                <w:rFonts w:ascii="Arial" w:hAnsi="Arial" w:cs="Arial"/>
                <w:sz w:val="24"/>
                <w:szCs w:val="24"/>
              </w:rPr>
              <w:t>t</w:t>
            </w:r>
            <w:r w:rsidR="00923430">
              <w:rPr>
                <w:rFonts w:ascii="Arial" w:hAnsi="Arial" w:cs="Arial"/>
                <w:sz w:val="24"/>
                <w:szCs w:val="24"/>
              </w:rPr>
              <w:t>he applicant</w:t>
            </w:r>
            <w:r w:rsidR="00475D2C">
              <w:rPr>
                <w:rFonts w:ascii="Arial" w:hAnsi="Arial" w:cs="Arial"/>
                <w:sz w:val="24"/>
                <w:szCs w:val="24"/>
              </w:rPr>
              <w:t>s</w:t>
            </w:r>
            <w:r w:rsidR="00923430">
              <w:rPr>
                <w:rFonts w:ascii="Arial" w:hAnsi="Arial" w:cs="Arial"/>
                <w:sz w:val="24"/>
                <w:szCs w:val="24"/>
              </w:rPr>
              <w:t xml:space="preserve">, with respect, misread the applicable rules and acted in accordance with </w:t>
            </w:r>
            <w:r w:rsidR="00475D2C">
              <w:rPr>
                <w:rFonts w:ascii="Arial" w:hAnsi="Arial" w:cs="Arial"/>
                <w:sz w:val="24"/>
                <w:szCs w:val="24"/>
              </w:rPr>
              <w:t>their</w:t>
            </w:r>
            <w:r w:rsidR="00923430">
              <w:rPr>
                <w:rFonts w:ascii="Arial" w:hAnsi="Arial" w:cs="Arial"/>
                <w:sz w:val="24"/>
                <w:szCs w:val="24"/>
              </w:rPr>
              <w:t xml:space="preserve"> misreading of the ap</w:t>
            </w:r>
            <w:r w:rsidR="00F66F79">
              <w:rPr>
                <w:rFonts w:ascii="Arial" w:hAnsi="Arial" w:cs="Arial"/>
                <w:sz w:val="24"/>
                <w:szCs w:val="24"/>
              </w:rPr>
              <w:t xml:space="preserve">plicable rules. </w:t>
            </w:r>
            <w:r w:rsidR="00923430">
              <w:rPr>
                <w:rFonts w:ascii="Arial" w:hAnsi="Arial" w:cs="Arial"/>
                <w:sz w:val="24"/>
                <w:szCs w:val="24"/>
              </w:rPr>
              <w:t>The respondents, too, misread the rules</w:t>
            </w:r>
            <w:r w:rsidR="00475D2C">
              <w:rPr>
                <w:rFonts w:ascii="Arial" w:hAnsi="Arial" w:cs="Arial"/>
                <w:sz w:val="24"/>
                <w:szCs w:val="24"/>
              </w:rPr>
              <w:t>,</w:t>
            </w:r>
            <w:r w:rsidR="00923430">
              <w:rPr>
                <w:rFonts w:ascii="Arial" w:hAnsi="Arial" w:cs="Arial"/>
                <w:sz w:val="24"/>
                <w:szCs w:val="24"/>
              </w:rPr>
              <w:t xml:space="preserve"> and by so misreading the rules led the applicant on into an abyss of the</w:t>
            </w:r>
            <w:r w:rsidR="00475D2C">
              <w:rPr>
                <w:rFonts w:ascii="Arial" w:hAnsi="Arial" w:cs="Arial"/>
                <w:sz w:val="24"/>
                <w:szCs w:val="24"/>
              </w:rPr>
              <w:t xml:space="preserve"> instant</w:t>
            </w:r>
            <w:r w:rsidR="00923430">
              <w:rPr>
                <w:rFonts w:ascii="Arial" w:hAnsi="Arial" w:cs="Arial"/>
                <w:sz w:val="24"/>
                <w:szCs w:val="24"/>
              </w:rPr>
              <w:t xml:space="preserve"> untenable and frivolo</w:t>
            </w:r>
            <w:r w:rsidR="005D0D19">
              <w:rPr>
                <w:rFonts w:ascii="Arial" w:hAnsi="Arial" w:cs="Arial"/>
                <w:sz w:val="24"/>
                <w:szCs w:val="24"/>
              </w:rPr>
              <w:t xml:space="preserve">us interlocutory applications. </w:t>
            </w:r>
            <w:r w:rsidR="00923430">
              <w:rPr>
                <w:rFonts w:ascii="Arial" w:hAnsi="Arial" w:cs="Arial"/>
                <w:sz w:val="24"/>
                <w:szCs w:val="24"/>
              </w:rPr>
              <w:t>The respondents failed to draw the attention of the court to the fa</w:t>
            </w:r>
            <w:r w:rsidR="005D0D19">
              <w:rPr>
                <w:rFonts w:ascii="Arial" w:hAnsi="Arial" w:cs="Arial"/>
                <w:sz w:val="24"/>
                <w:szCs w:val="24"/>
              </w:rPr>
              <w:t>c</w:t>
            </w:r>
            <w:r w:rsidR="00923430">
              <w:rPr>
                <w:rFonts w:ascii="Arial" w:hAnsi="Arial" w:cs="Arial"/>
                <w:sz w:val="24"/>
                <w:szCs w:val="24"/>
              </w:rPr>
              <w:t xml:space="preserve">t that since the applicants </w:t>
            </w:r>
            <w:r w:rsidR="00076184">
              <w:rPr>
                <w:rFonts w:ascii="Arial" w:hAnsi="Arial" w:cs="Arial"/>
                <w:sz w:val="24"/>
                <w:szCs w:val="24"/>
              </w:rPr>
              <w:t>elected to bring the main applications under rule 65, they had waived their procedural right under rule 76.</w:t>
            </w:r>
            <w:r w:rsidR="005D0D19">
              <w:rPr>
                <w:rFonts w:ascii="Arial" w:hAnsi="Arial" w:cs="Arial"/>
                <w:sz w:val="24"/>
                <w:szCs w:val="24"/>
              </w:rPr>
              <w:t xml:space="preserve"> </w:t>
            </w:r>
            <w:r w:rsidR="00076184">
              <w:rPr>
                <w:rFonts w:ascii="Arial" w:hAnsi="Arial" w:cs="Arial"/>
                <w:sz w:val="24"/>
                <w:szCs w:val="24"/>
              </w:rPr>
              <w:t>If the respondents had appreciated that fact, we would not be in the situation where there has been a ser</w:t>
            </w:r>
            <w:r w:rsidR="005D0D19">
              <w:rPr>
                <w:rFonts w:ascii="Arial" w:hAnsi="Arial" w:cs="Arial"/>
                <w:sz w:val="24"/>
                <w:szCs w:val="24"/>
              </w:rPr>
              <w:t>i</w:t>
            </w:r>
            <w:r w:rsidR="00076184">
              <w:rPr>
                <w:rFonts w:ascii="Arial" w:hAnsi="Arial" w:cs="Arial"/>
                <w:sz w:val="24"/>
                <w:szCs w:val="24"/>
              </w:rPr>
              <w:t xml:space="preserve">es of clearly avoidable illegal </w:t>
            </w:r>
            <w:r w:rsidR="00475D2C">
              <w:rPr>
                <w:rFonts w:ascii="Arial" w:hAnsi="Arial" w:cs="Arial"/>
                <w:sz w:val="24"/>
                <w:szCs w:val="24"/>
              </w:rPr>
              <w:t>missteps</w:t>
            </w:r>
            <w:r w:rsidR="00076184">
              <w:rPr>
                <w:rFonts w:ascii="Arial" w:hAnsi="Arial" w:cs="Arial"/>
                <w:sz w:val="24"/>
                <w:szCs w:val="24"/>
              </w:rPr>
              <w:t xml:space="preserve"> respecting the rule 76(6) notices.</w:t>
            </w:r>
          </w:p>
          <w:p w14:paraId="38FE6004" w14:textId="77777777" w:rsidR="00B32493" w:rsidRPr="004A5618" w:rsidRDefault="00B32493" w:rsidP="00B32493">
            <w:pPr>
              <w:spacing w:line="360" w:lineRule="auto"/>
              <w:jc w:val="both"/>
              <w:rPr>
                <w:rFonts w:ascii="Arial" w:hAnsi="Arial" w:cs="Arial"/>
                <w:sz w:val="24"/>
                <w:szCs w:val="24"/>
              </w:rPr>
            </w:pPr>
          </w:p>
          <w:p w14:paraId="11B645A9" w14:textId="7A9C80F7"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003C0EA4">
              <w:rPr>
                <w:rFonts w:ascii="Arial" w:hAnsi="Arial" w:cs="Arial"/>
                <w:sz w:val="24"/>
                <w:szCs w:val="24"/>
              </w:rPr>
              <w:t>4</w:t>
            </w:r>
            <w:r w:rsidRPr="004A5618">
              <w:rPr>
                <w:rFonts w:ascii="Arial" w:hAnsi="Arial" w:cs="Arial"/>
                <w:sz w:val="24"/>
                <w:szCs w:val="24"/>
              </w:rPr>
              <w:t>]</w:t>
            </w:r>
            <w:r w:rsidRPr="004A5618">
              <w:rPr>
                <w:rFonts w:ascii="Arial" w:hAnsi="Arial" w:cs="Arial"/>
                <w:sz w:val="24"/>
                <w:szCs w:val="24"/>
              </w:rPr>
              <w:tab/>
            </w:r>
            <w:r w:rsidR="00F9481A">
              <w:rPr>
                <w:rFonts w:ascii="Arial" w:hAnsi="Arial" w:cs="Arial"/>
                <w:sz w:val="24"/>
                <w:szCs w:val="24"/>
              </w:rPr>
              <w:t xml:space="preserve">Unfortunately, although one year has passed since the main applications were instituted, the real issues in dispute between the </w:t>
            </w:r>
            <w:r w:rsidR="0017433C">
              <w:rPr>
                <w:rFonts w:ascii="Arial" w:hAnsi="Arial" w:cs="Arial"/>
                <w:sz w:val="24"/>
                <w:szCs w:val="24"/>
              </w:rPr>
              <w:t xml:space="preserve">parties remain unresolved. </w:t>
            </w:r>
            <w:r w:rsidR="00F9481A">
              <w:rPr>
                <w:rFonts w:ascii="Arial" w:hAnsi="Arial" w:cs="Arial"/>
                <w:sz w:val="24"/>
                <w:szCs w:val="24"/>
              </w:rPr>
              <w:t>It need hardly saying that such delay does not conduce to the attainment of the overriding objectives of the rules of court provided in rule 1(3) of the rules</w:t>
            </w:r>
            <w:r w:rsidR="00475D2C">
              <w:rPr>
                <w:rFonts w:ascii="Arial" w:hAnsi="Arial" w:cs="Arial"/>
                <w:sz w:val="24"/>
                <w:szCs w:val="24"/>
              </w:rPr>
              <w:t xml:space="preserve"> of court</w:t>
            </w:r>
            <w:r w:rsidR="00F9481A">
              <w:rPr>
                <w:rFonts w:ascii="Arial" w:hAnsi="Arial" w:cs="Arial"/>
                <w:sz w:val="24"/>
                <w:szCs w:val="24"/>
              </w:rPr>
              <w:t>.  That in itself is inimical to due administration of justice.</w:t>
            </w:r>
          </w:p>
          <w:p w14:paraId="189B0D75" w14:textId="77777777" w:rsidR="00B32493" w:rsidRPr="004A5618" w:rsidRDefault="00B32493" w:rsidP="00B32493">
            <w:pPr>
              <w:spacing w:line="360" w:lineRule="auto"/>
              <w:jc w:val="both"/>
              <w:rPr>
                <w:rFonts w:ascii="Arial" w:hAnsi="Arial" w:cs="Arial"/>
                <w:sz w:val="24"/>
                <w:szCs w:val="24"/>
              </w:rPr>
            </w:pPr>
          </w:p>
          <w:p w14:paraId="0F6009AA" w14:textId="2DA01AF4"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001C157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475D2C">
              <w:rPr>
                <w:rFonts w:ascii="Arial" w:hAnsi="Arial" w:cs="Arial"/>
                <w:sz w:val="24"/>
                <w:szCs w:val="24"/>
              </w:rPr>
              <w:t>In the result,</w:t>
            </w:r>
            <w:r w:rsidR="00437666">
              <w:rPr>
                <w:rFonts w:ascii="Arial" w:hAnsi="Arial" w:cs="Arial"/>
                <w:sz w:val="24"/>
                <w:szCs w:val="24"/>
              </w:rPr>
              <w:t xml:space="preserve"> I order as follows:</w:t>
            </w:r>
          </w:p>
          <w:p w14:paraId="725F6F29" w14:textId="77777777" w:rsidR="00B32493" w:rsidRPr="004A5618" w:rsidRDefault="00B32493" w:rsidP="00B32493">
            <w:pPr>
              <w:spacing w:line="360" w:lineRule="auto"/>
              <w:jc w:val="both"/>
              <w:rPr>
                <w:rFonts w:ascii="Arial" w:hAnsi="Arial" w:cs="Arial"/>
                <w:sz w:val="24"/>
                <w:szCs w:val="24"/>
              </w:rPr>
            </w:pPr>
          </w:p>
          <w:p w14:paraId="6F3702DD" w14:textId="77777777" w:rsidR="00DA5689" w:rsidRPr="004A5618" w:rsidRDefault="00DA5689" w:rsidP="00DA5689">
            <w:pPr>
              <w:pStyle w:val="ListParagraph"/>
              <w:numPr>
                <w:ilvl w:val="0"/>
                <w:numId w:val="18"/>
              </w:numPr>
              <w:spacing w:line="360" w:lineRule="auto"/>
              <w:ind w:left="743" w:hanging="710"/>
              <w:jc w:val="both"/>
              <w:rPr>
                <w:rFonts w:ascii="Arial" w:hAnsi="Arial" w:cs="Arial"/>
                <w:sz w:val="24"/>
                <w:szCs w:val="24"/>
              </w:rPr>
            </w:pPr>
            <w:r>
              <w:rPr>
                <w:rFonts w:ascii="Arial" w:hAnsi="Arial" w:cs="Arial"/>
                <w:sz w:val="24"/>
                <w:szCs w:val="24"/>
              </w:rPr>
              <w:t>The interlocutory applications are dismissed with costs, including costs of one instructing counsel and two instructed counsel, and the costs are capped in terms of rule 32(11) of the rules of court.</w:t>
            </w:r>
          </w:p>
          <w:p w14:paraId="2C75CA7A" w14:textId="77777777" w:rsidR="00DA5689" w:rsidRPr="004A5618" w:rsidRDefault="00DA5689" w:rsidP="00DA5689">
            <w:pPr>
              <w:pStyle w:val="ListParagraph"/>
              <w:spacing w:line="360" w:lineRule="auto"/>
              <w:ind w:left="743" w:hanging="710"/>
              <w:jc w:val="both"/>
              <w:rPr>
                <w:rFonts w:ascii="Arial" w:hAnsi="Arial" w:cs="Arial"/>
                <w:sz w:val="24"/>
                <w:szCs w:val="24"/>
              </w:rPr>
            </w:pPr>
          </w:p>
          <w:p w14:paraId="3DE57D44" w14:textId="77777777" w:rsidR="00DA5689" w:rsidRPr="004A5618" w:rsidRDefault="00DA5689" w:rsidP="00DA5689">
            <w:pPr>
              <w:pStyle w:val="ListParagraph"/>
              <w:numPr>
                <w:ilvl w:val="0"/>
                <w:numId w:val="18"/>
              </w:numPr>
              <w:spacing w:line="360" w:lineRule="auto"/>
              <w:ind w:left="743" w:hanging="710"/>
              <w:jc w:val="both"/>
              <w:rPr>
                <w:rFonts w:ascii="Arial" w:hAnsi="Arial" w:cs="Arial"/>
                <w:sz w:val="24"/>
                <w:szCs w:val="24"/>
              </w:rPr>
            </w:pPr>
            <w:r>
              <w:rPr>
                <w:rFonts w:ascii="Arial" w:hAnsi="Arial" w:cs="Arial"/>
                <w:sz w:val="24"/>
                <w:szCs w:val="24"/>
              </w:rPr>
              <w:t>Counsel and the parties (if unrepresented by counsel) are called upon to attend a status hearing at 08h30 on 18 October 2023 to determine the conduct of the main applications.</w:t>
            </w:r>
          </w:p>
          <w:p w14:paraId="28037677" w14:textId="77777777" w:rsidR="00DA5689" w:rsidRPr="004A5618" w:rsidRDefault="00DA5689" w:rsidP="00DA5689">
            <w:pPr>
              <w:pStyle w:val="ListParagraph"/>
              <w:spacing w:line="360" w:lineRule="auto"/>
              <w:ind w:left="743" w:hanging="710"/>
              <w:rPr>
                <w:rFonts w:ascii="Arial" w:hAnsi="Arial" w:cs="Arial"/>
                <w:sz w:val="24"/>
                <w:szCs w:val="24"/>
              </w:rPr>
            </w:pPr>
          </w:p>
          <w:p w14:paraId="27E48820" w14:textId="77777777" w:rsidR="00DA5689" w:rsidRPr="00437666" w:rsidRDefault="00DA5689" w:rsidP="00DA5689">
            <w:pPr>
              <w:pStyle w:val="ListParagraph"/>
              <w:numPr>
                <w:ilvl w:val="0"/>
                <w:numId w:val="18"/>
              </w:numPr>
              <w:tabs>
                <w:tab w:val="left" w:pos="729"/>
              </w:tabs>
              <w:spacing w:line="360" w:lineRule="auto"/>
              <w:ind w:left="743" w:hanging="710"/>
              <w:jc w:val="both"/>
              <w:rPr>
                <w:rFonts w:ascii="Arial" w:hAnsi="Arial" w:cs="Arial"/>
                <w:sz w:val="24"/>
                <w:szCs w:val="24"/>
              </w:rPr>
            </w:pPr>
            <w:r w:rsidRPr="00437666">
              <w:rPr>
                <w:rFonts w:ascii="Arial" w:hAnsi="Arial" w:cs="Arial"/>
                <w:sz w:val="24"/>
                <w:szCs w:val="24"/>
              </w:rPr>
              <w:t>The interlocutory applications are finalised and removed from the roll.</w:t>
            </w:r>
          </w:p>
          <w:p w14:paraId="43F1CF3B" w14:textId="77777777" w:rsidR="00C04F28" w:rsidRDefault="00C04F28" w:rsidP="00B32493">
            <w:pPr>
              <w:pStyle w:val="ListParagraph"/>
              <w:spacing w:line="360" w:lineRule="auto"/>
              <w:ind w:left="743"/>
              <w:jc w:val="both"/>
              <w:rPr>
                <w:rFonts w:ascii="Arial" w:hAnsi="Arial" w:cs="Arial"/>
                <w:sz w:val="24"/>
                <w:szCs w:val="24"/>
              </w:rPr>
            </w:pPr>
          </w:p>
          <w:p w14:paraId="71D39DDF" w14:textId="77777777" w:rsidR="007008BE" w:rsidRPr="004A5618" w:rsidRDefault="007008BE" w:rsidP="00B32493">
            <w:pPr>
              <w:pStyle w:val="ListParagraph"/>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77777777" w:rsidR="00B40844" w:rsidRPr="004A5618" w:rsidRDefault="00B40844"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7C2E16C2" w14:textId="77777777" w:rsidR="00B40844" w:rsidRDefault="00B40844" w:rsidP="00937C89">
            <w:pPr>
              <w:spacing w:line="360" w:lineRule="auto"/>
              <w:jc w:val="both"/>
              <w:rPr>
                <w:rFonts w:ascii="Arial" w:hAnsi="Arial" w:cs="Arial"/>
                <w:sz w:val="24"/>
                <w:szCs w:val="24"/>
              </w:rPr>
            </w:pPr>
          </w:p>
          <w:p w14:paraId="3830D1EA" w14:textId="77777777" w:rsidR="007008BE" w:rsidRDefault="007008BE" w:rsidP="00937C89">
            <w:pPr>
              <w:spacing w:line="360" w:lineRule="auto"/>
              <w:jc w:val="both"/>
              <w:rPr>
                <w:rFonts w:ascii="Arial" w:hAnsi="Arial" w:cs="Arial"/>
                <w:sz w:val="24"/>
                <w:szCs w:val="24"/>
              </w:rPr>
            </w:pPr>
          </w:p>
          <w:p w14:paraId="7957A9D3" w14:textId="77777777" w:rsidR="007008BE" w:rsidRDefault="007008BE"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lastRenderedPageBreak/>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lastRenderedPageBreak/>
              <w:t>Counsel:</w:t>
            </w:r>
          </w:p>
        </w:tc>
      </w:tr>
      <w:tr w:rsidR="00CA7995" w:rsidRPr="004A5618" w14:paraId="579F63FC" w14:textId="77777777" w:rsidTr="00136505">
        <w:tc>
          <w:tcPr>
            <w:tcW w:w="4770" w:type="dxa"/>
          </w:tcPr>
          <w:p w14:paraId="52D98B5F" w14:textId="326C327C" w:rsidR="00B40844" w:rsidRPr="004A5618" w:rsidRDefault="008E5E3D" w:rsidP="00937C89">
            <w:pPr>
              <w:spacing w:line="360" w:lineRule="auto"/>
              <w:jc w:val="center"/>
              <w:rPr>
                <w:rFonts w:ascii="Arial" w:hAnsi="Arial" w:cs="Arial"/>
                <w:b/>
                <w:sz w:val="24"/>
                <w:szCs w:val="24"/>
              </w:rPr>
            </w:pPr>
            <w:r>
              <w:rPr>
                <w:rFonts w:ascii="Arial" w:hAnsi="Arial" w:cs="Arial"/>
                <w:b/>
                <w:sz w:val="24"/>
                <w:szCs w:val="24"/>
              </w:rPr>
              <w:t>Applicants</w:t>
            </w:r>
          </w:p>
        </w:tc>
        <w:tc>
          <w:tcPr>
            <w:tcW w:w="5436" w:type="dxa"/>
            <w:gridSpan w:val="2"/>
          </w:tcPr>
          <w:p w14:paraId="7EC49BF1" w14:textId="4E674C7F" w:rsidR="00B40844" w:rsidRPr="004A5618" w:rsidRDefault="00812E19" w:rsidP="00937C89">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4A5618" w14:paraId="7F6632AA" w14:textId="77777777" w:rsidTr="00136505">
        <w:tc>
          <w:tcPr>
            <w:tcW w:w="4770" w:type="dxa"/>
          </w:tcPr>
          <w:p w14:paraId="1A5BB6AC" w14:textId="6544859B" w:rsidR="008E5E3D" w:rsidRPr="008E5E3D" w:rsidRDefault="008E5E3D" w:rsidP="00937C89">
            <w:pPr>
              <w:spacing w:line="360" w:lineRule="auto"/>
              <w:jc w:val="center"/>
              <w:rPr>
                <w:rFonts w:ascii="Arial" w:hAnsi="Arial" w:cs="Arial"/>
                <w:sz w:val="24"/>
                <w:szCs w:val="24"/>
              </w:rPr>
            </w:pPr>
            <w:r w:rsidRPr="008E5E3D">
              <w:rPr>
                <w:rFonts w:ascii="Arial" w:hAnsi="Arial" w:cs="Arial"/>
                <w:sz w:val="24"/>
                <w:szCs w:val="24"/>
              </w:rPr>
              <w:t>A</w:t>
            </w:r>
            <w:r>
              <w:rPr>
                <w:rFonts w:ascii="Arial" w:hAnsi="Arial" w:cs="Arial"/>
                <w:sz w:val="24"/>
                <w:szCs w:val="24"/>
              </w:rPr>
              <w:t xml:space="preserve"> </w:t>
            </w:r>
            <w:r w:rsidRPr="008E5E3D">
              <w:rPr>
                <w:rFonts w:ascii="Arial" w:hAnsi="Arial" w:cs="Arial"/>
                <w:sz w:val="24"/>
                <w:szCs w:val="24"/>
              </w:rPr>
              <w:t xml:space="preserve">R </w:t>
            </w:r>
            <w:r>
              <w:rPr>
                <w:rFonts w:ascii="Arial" w:hAnsi="Arial" w:cs="Arial"/>
                <w:sz w:val="24"/>
                <w:szCs w:val="24"/>
              </w:rPr>
              <w:t>B</w:t>
            </w:r>
            <w:r w:rsidRPr="008E5E3D">
              <w:rPr>
                <w:rFonts w:ascii="Arial" w:hAnsi="Arial" w:cs="Arial"/>
                <w:sz w:val="24"/>
                <w:szCs w:val="24"/>
              </w:rPr>
              <w:t xml:space="preserve">hana SC </w:t>
            </w:r>
            <w:r w:rsidR="00812E19">
              <w:rPr>
                <w:rFonts w:ascii="Arial" w:hAnsi="Arial" w:cs="Arial"/>
                <w:sz w:val="24"/>
                <w:szCs w:val="24"/>
              </w:rPr>
              <w:t>(with him</w:t>
            </w:r>
            <w:r>
              <w:rPr>
                <w:rFonts w:ascii="Arial" w:hAnsi="Arial" w:cs="Arial"/>
                <w:sz w:val="24"/>
                <w:szCs w:val="24"/>
              </w:rPr>
              <w:t xml:space="preserve"> </w:t>
            </w:r>
            <w:r w:rsidRPr="008E5E3D">
              <w:rPr>
                <w:rFonts w:ascii="Arial" w:hAnsi="Arial" w:cs="Arial"/>
                <w:sz w:val="24"/>
                <w:szCs w:val="24"/>
              </w:rPr>
              <w:t xml:space="preserve">K </w:t>
            </w:r>
            <w:r>
              <w:rPr>
                <w:rFonts w:ascii="Arial" w:hAnsi="Arial" w:cs="Arial"/>
                <w:sz w:val="24"/>
                <w:szCs w:val="24"/>
              </w:rPr>
              <w:t>W</w:t>
            </w:r>
            <w:r w:rsidRPr="008E5E3D">
              <w:rPr>
                <w:rFonts w:ascii="Arial" w:hAnsi="Arial" w:cs="Arial"/>
                <w:sz w:val="24"/>
                <w:szCs w:val="24"/>
              </w:rPr>
              <w:t>illiams</w:t>
            </w:r>
            <w:r w:rsidR="00204A1F">
              <w:rPr>
                <w:rFonts w:ascii="Arial" w:hAnsi="Arial" w:cs="Arial"/>
                <w:sz w:val="24"/>
                <w:szCs w:val="24"/>
              </w:rPr>
              <w:t>)</w:t>
            </w:r>
          </w:p>
          <w:p w14:paraId="5821C7F1" w14:textId="4B7B9915" w:rsidR="00B40844" w:rsidRPr="00134E9F" w:rsidRDefault="00B32493" w:rsidP="00937C89">
            <w:pPr>
              <w:spacing w:line="360" w:lineRule="auto"/>
              <w:jc w:val="center"/>
              <w:rPr>
                <w:rFonts w:ascii="Arial" w:hAnsi="Arial" w:cs="Arial"/>
                <w:sz w:val="24"/>
                <w:szCs w:val="24"/>
              </w:rPr>
            </w:pPr>
            <w:r w:rsidRPr="00134E9F">
              <w:rPr>
                <w:rFonts w:ascii="Arial" w:hAnsi="Arial" w:cs="Arial"/>
                <w:sz w:val="24"/>
                <w:szCs w:val="24"/>
              </w:rPr>
              <w:t>Instructed by</w:t>
            </w:r>
          </w:p>
          <w:p w14:paraId="5DF3F17F" w14:textId="700BEA92" w:rsidR="00B40844" w:rsidRPr="004A5618" w:rsidRDefault="008E5E3D" w:rsidP="007008BE">
            <w:pPr>
              <w:spacing w:line="360" w:lineRule="auto"/>
              <w:jc w:val="center"/>
              <w:rPr>
                <w:rFonts w:ascii="Arial" w:hAnsi="Arial" w:cs="Arial"/>
                <w:sz w:val="24"/>
                <w:szCs w:val="24"/>
              </w:rPr>
            </w:pPr>
            <w:r w:rsidRPr="008E5E3D">
              <w:rPr>
                <w:rFonts w:ascii="Arial" w:hAnsi="Arial" w:cs="Arial"/>
                <w:sz w:val="24"/>
                <w:szCs w:val="24"/>
              </w:rPr>
              <w:t>Nambahu &amp; Associates</w:t>
            </w:r>
            <w:r w:rsidR="00136505" w:rsidRPr="004A5618">
              <w:rPr>
                <w:rFonts w:ascii="Arial" w:hAnsi="Arial" w:cs="Arial"/>
                <w:sz w:val="24"/>
                <w:szCs w:val="24"/>
              </w:rPr>
              <w:t>, Windhoek</w:t>
            </w:r>
          </w:p>
        </w:tc>
        <w:tc>
          <w:tcPr>
            <w:tcW w:w="5436" w:type="dxa"/>
            <w:gridSpan w:val="2"/>
          </w:tcPr>
          <w:p w14:paraId="4CA17C18" w14:textId="2A6D4313" w:rsidR="008E5E3D" w:rsidRPr="00812E19" w:rsidRDefault="00812E19" w:rsidP="00B62F2B">
            <w:pPr>
              <w:spacing w:line="360" w:lineRule="auto"/>
              <w:jc w:val="center"/>
              <w:rPr>
                <w:rFonts w:ascii="Arial" w:hAnsi="Arial" w:cs="Arial"/>
                <w:sz w:val="24"/>
                <w:szCs w:val="24"/>
              </w:rPr>
            </w:pPr>
            <w:r>
              <w:rPr>
                <w:rFonts w:ascii="Arial" w:hAnsi="Arial" w:cs="Arial"/>
                <w:sz w:val="24"/>
                <w:szCs w:val="24"/>
              </w:rPr>
              <w:t>A</w:t>
            </w:r>
            <w:r w:rsidR="008E5E3D" w:rsidRPr="00812E19">
              <w:rPr>
                <w:rFonts w:ascii="Arial" w:hAnsi="Arial" w:cs="Arial"/>
                <w:sz w:val="24"/>
                <w:szCs w:val="24"/>
              </w:rPr>
              <w:t xml:space="preserve"> </w:t>
            </w:r>
            <w:r>
              <w:rPr>
                <w:rFonts w:ascii="Arial" w:hAnsi="Arial" w:cs="Arial"/>
                <w:sz w:val="24"/>
                <w:szCs w:val="24"/>
              </w:rPr>
              <w:t>G</w:t>
            </w:r>
            <w:r w:rsidRPr="00812E19">
              <w:rPr>
                <w:rFonts w:ascii="Arial" w:hAnsi="Arial" w:cs="Arial"/>
                <w:sz w:val="24"/>
                <w:szCs w:val="24"/>
              </w:rPr>
              <w:t>otz</w:t>
            </w:r>
            <w:r>
              <w:rPr>
                <w:rFonts w:ascii="Arial" w:hAnsi="Arial" w:cs="Arial"/>
                <w:sz w:val="24"/>
                <w:szCs w:val="24"/>
              </w:rPr>
              <w:t xml:space="preserve"> SC (with him E Nekwaya</w:t>
            </w:r>
            <w:r w:rsidR="00204A1F">
              <w:rPr>
                <w:rFonts w:ascii="Arial" w:hAnsi="Arial" w:cs="Arial"/>
                <w:sz w:val="24"/>
                <w:szCs w:val="24"/>
              </w:rPr>
              <w:t>)</w:t>
            </w:r>
          </w:p>
          <w:p w14:paraId="5F572AD5" w14:textId="6A2287EC" w:rsidR="00B62F2B" w:rsidRPr="00134E9F" w:rsidRDefault="00B62F2B" w:rsidP="00B62F2B">
            <w:pPr>
              <w:spacing w:line="360" w:lineRule="auto"/>
              <w:jc w:val="center"/>
              <w:rPr>
                <w:rFonts w:ascii="Arial" w:hAnsi="Arial" w:cs="Arial"/>
                <w:sz w:val="24"/>
                <w:szCs w:val="24"/>
              </w:rPr>
            </w:pPr>
            <w:r w:rsidRPr="00134E9F">
              <w:rPr>
                <w:rFonts w:ascii="Arial" w:hAnsi="Arial" w:cs="Arial"/>
                <w:sz w:val="24"/>
                <w:szCs w:val="24"/>
              </w:rPr>
              <w:t>Instructed by</w:t>
            </w:r>
          </w:p>
          <w:p w14:paraId="2EDA150C" w14:textId="1432CEA4" w:rsidR="00B62F2B" w:rsidRPr="004A5618" w:rsidRDefault="00812E19" w:rsidP="007008BE">
            <w:pPr>
              <w:spacing w:line="360" w:lineRule="auto"/>
              <w:jc w:val="center"/>
              <w:rPr>
                <w:rFonts w:ascii="Arial" w:hAnsi="Arial" w:cs="Arial"/>
                <w:sz w:val="24"/>
                <w:szCs w:val="24"/>
              </w:rPr>
            </w:pPr>
            <w:r w:rsidRPr="00812E19">
              <w:rPr>
                <w:rFonts w:ascii="Arial" w:hAnsi="Arial" w:cs="Arial"/>
                <w:sz w:val="24"/>
                <w:szCs w:val="24"/>
              </w:rPr>
              <w:t>Kangueehi &amp; Kavendjii Inc.</w:t>
            </w:r>
            <w:r w:rsidR="00B62F2B" w:rsidRPr="00812E19">
              <w:rPr>
                <w:rFonts w:ascii="Arial" w:hAnsi="Arial" w:cs="Arial"/>
                <w:sz w:val="24"/>
                <w:szCs w:val="24"/>
              </w:rPr>
              <w:t>,</w:t>
            </w:r>
            <w:r w:rsidR="00B62F2B" w:rsidRPr="004A5618">
              <w:rPr>
                <w:rFonts w:ascii="Arial" w:hAnsi="Arial" w:cs="Arial"/>
                <w:sz w:val="24"/>
                <w:szCs w:val="24"/>
              </w:rPr>
              <w:t xml:space="preserve"> Windhoek</w:t>
            </w: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8BF78" w14:textId="77777777" w:rsidR="008E2450" w:rsidRPr="004A5618" w:rsidRDefault="008E2450" w:rsidP="00B40844">
      <w:pPr>
        <w:spacing w:after="0" w:line="240" w:lineRule="auto"/>
      </w:pPr>
      <w:r w:rsidRPr="004A5618">
        <w:separator/>
      </w:r>
    </w:p>
  </w:endnote>
  <w:endnote w:type="continuationSeparator" w:id="0">
    <w:p w14:paraId="48B031D2" w14:textId="77777777" w:rsidR="008E2450" w:rsidRPr="004A5618" w:rsidRDefault="008E2450"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CC7CB" w14:textId="77777777" w:rsidR="008E2450" w:rsidRPr="004A5618" w:rsidRDefault="008E2450" w:rsidP="00B40844">
      <w:pPr>
        <w:spacing w:after="0" w:line="240" w:lineRule="auto"/>
      </w:pPr>
      <w:r w:rsidRPr="004A5618">
        <w:separator/>
      </w:r>
    </w:p>
  </w:footnote>
  <w:footnote w:type="continuationSeparator" w:id="0">
    <w:p w14:paraId="76E505DC" w14:textId="77777777" w:rsidR="008E2450" w:rsidRPr="004A5618" w:rsidRDefault="008E2450" w:rsidP="00B40844">
      <w:pPr>
        <w:spacing w:after="0" w:line="240" w:lineRule="auto"/>
      </w:pPr>
      <w:r w:rsidRPr="004A5618">
        <w:continuationSeparator/>
      </w:r>
    </w:p>
  </w:footnote>
  <w:footnote w:id="1">
    <w:p w14:paraId="3A7C21D4" w14:textId="4EDB896C" w:rsidR="001721EB" w:rsidRPr="00BE3978" w:rsidRDefault="001721EB" w:rsidP="00BE3978">
      <w:pPr>
        <w:pStyle w:val="FootnoteText"/>
        <w:jc w:val="both"/>
        <w:rPr>
          <w:rFonts w:ascii="Arial" w:hAnsi="Arial" w:cs="Arial"/>
          <w:lang w:val="en-ZA"/>
        </w:rPr>
      </w:pPr>
      <w:r w:rsidRPr="00BE3978">
        <w:rPr>
          <w:rStyle w:val="FootnoteReference"/>
          <w:rFonts w:ascii="Arial" w:hAnsi="Arial" w:cs="Arial"/>
        </w:rPr>
        <w:footnoteRef/>
      </w:r>
      <w:r w:rsidRPr="00BE3978">
        <w:rPr>
          <w:rFonts w:ascii="Arial" w:hAnsi="Arial" w:cs="Arial"/>
        </w:rPr>
        <w:t xml:space="preserve"> </w:t>
      </w:r>
      <w:r w:rsidRPr="00BE3978">
        <w:rPr>
          <w:rFonts w:ascii="Arial" w:hAnsi="Arial" w:cs="Arial"/>
          <w:i/>
          <w:lang w:val="en-ZA"/>
        </w:rPr>
        <w:t>Telecom Namibia Ltd v Communication Regulatory Authority of Namibia</w:t>
      </w:r>
      <w:r w:rsidRPr="00BE3978">
        <w:rPr>
          <w:rFonts w:ascii="Arial" w:hAnsi="Arial" w:cs="Arial"/>
          <w:lang w:val="en-ZA"/>
        </w:rPr>
        <w:t xml:space="preserve"> 2015 (3) NR 747 (HC) para 5.</w:t>
      </w:r>
    </w:p>
  </w:footnote>
  <w:footnote w:id="2">
    <w:p w14:paraId="018379BD" w14:textId="481DC438" w:rsidR="001721EB" w:rsidRPr="00BE3978" w:rsidRDefault="001721EB" w:rsidP="00BE3978">
      <w:pPr>
        <w:pStyle w:val="FootnoteText"/>
        <w:jc w:val="both"/>
        <w:rPr>
          <w:rFonts w:ascii="Arial" w:hAnsi="Arial" w:cs="Arial"/>
          <w:lang w:val="en-ZA"/>
        </w:rPr>
      </w:pPr>
      <w:r w:rsidRPr="00BE3978">
        <w:rPr>
          <w:rStyle w:val="FootnoteReference"/>
          <w:rFonts w:ascii="Arial" w:hAnsi="Arial" w:cs="Arial"/>
        </w:rPr>
        <w:footnoteRef/>
      </w:r>
      <w:r w:rsidRPr="00BE3978">
        <w:rPr>
          <w:rFonts w:ascii="Arial" w:hAnsi="Arial" w:cs="Arial"/>
        </w:rPr>
        <w:t xml:space="preserve"> </w:t>
      </w:r>
      <w:r w:rsidRPr="00827F39">
        <w:rPr>
          <w:rFonts w:ascii="Arial" w:hAnsi="Arial" w:cs="Arial"/>
          <w:lang w:val="en-ZA"/>
        </w:rPr>
        <w:t>Loc cit</w:t>
      </w:r>
      <w:r w:rsidRPr="00BE3978">
        <w:rPr>
          <w:rFonts w:ascii="Arial" w:hAnsi="Arial" w:cs="Arial"/>
          <w:lang w:val="en-ZA"/>
        </w:rPr>
        <w:t>.</w:t>
      </w:r>
    </w:p>
  </w:footnote>
  <w:footnote w:id="3">
    <w:p w14:paraId="59B0CFFB" w14:textId="6670443A" w:rsidR="009B600F" w:rsidRPr="007B2BC4" w:rsidRDefault="009B600F" w:rsidP="007B2BC4">
      <w:pPr>
        <w:pStyle w:val="FootnoteText"/>
        <w:jc w:val="both"/>
        <w:rPr>
          <w:rFonts w:ascii="Arial" w:hAnsi="Arial" w:cs="Arial"/>
          <w:lang w:val="en-ZA"/>
        </w:rPr>
      </w:pPr>
      <w:r w:rsidRPr="007B2BC4">
        <w:rPr>
          <w:rStyle w:val="FootnoteReference"/>
          <w:rFonts w:ascii="Arial" w:hAnsi="Arial" w:cs="Arial"/>
        </w:rPr>
        <w:footnoteRef/>
      </w:r>
      <w:r w:rsidRPr="007B2BC4">
        <w:rPr>
          <w:rFonts w:ascii="Arial" w:hAnsi="Arial" w:cs="Arial"/>
        </w:rPr>
        <w:t xml:space="preserve"> </w:t>
      </w:r>
      <w:r w:rsidR="00522621" w:rsidRPr="007B2BC4">
        <w:rPr>
          <w:rFonts w:ascii="Arial" w:hAnsi="Arial" w:cs="Arial"/>
          <w:lang w:val="en-ZA"/>
        </w:rPr>
        <w:t xml:space="preserve">GD Nokes </w:t>
      </w:r>
      <w:r w:rsidR="00522621" w:rsidRPr="00EE4268">
        <w:rPr>
          <w:rFonts w:ascii="Arial" w:hAnsi="Arial" w:cs="Arial"/>
          <w:i/>
          <w:lang w:val="en-ZA"/>
        </w:rPr>
        <w:t>Introduction to Evidence</w:t>
      </w:r>
      <w:r w:rsidR="00522621" w:rsidRPr="007B2BC4">
        <w:rPr>
          <w:rFonts w:ascii="Arial" w:hAnsi="Arial" w:cs="Arial"/>
          <w:lang w:val="en-ZA"/>
        </w:rPr>
        <w:t xml:space="preserve"> 4</w:t>
      </w:r>
      <w:r w:rsidR="00827F39">
        <w:rPr>
          <w:rFonts w:ascii="Arial" w:hAnsi="Arial" w:cs="Arial"/>
          <w:lang w:val="en-ZA"/>
        </w:rPr>
        <w:t xml:space="preserve"> </w:t>
      </w:r>
      <w:r w:rsidR="00522621" w:rsidRPr="007B2BC4">
        <w:rPr>
          <w:rFonts w:ascii="Arial" w:hAnsi="Arial" w:cs="Arial"/>
          <w:lang w:val="en-ZA"/>
        </w:rPr>
        <w:t>ed (1967) at 82.</w:t>
      </w:r>
    </w:p>
  </w:footnote>
  <w:footnote w:id="4">
    <w:p w14:paraId="625CF7C7" w14:textId="4A3DD224" w:rsidR="00787EE4" w:rsidRPr="00787EE4" w:rsidRDefault="00787EE4">
      <w:pPr>
        <w:pStyle w:val="FootnoteText"/>
        <w:rPr>
          <w:lang w:val="en-US"/>
        </w:rPr>
      </w:pPr>
      <w:r>
        <w:rPr>
          <w:rStyle w:val="FootnoteReference"/>
        </w:rPr>
        <w:footnoteRef/>
      </w:r>
      <w:r>
        <w:t xml:space="preserve"> </w:t>
      </w:r>
      <w:r w:rsidRPr="00E73C41">
        <w:rPr>
          <w:rFonts w:ascii="Arial" w:hAnsi="Arial" w:cs="Arial"/>
          <w:i/>
          <w:lang w:val="en-ZA"/>
        </w:rPr>
        <w:t>Namibia Financial Exchange (Pty) Ltd v The Chief Executive Officer of the Namibia Financial Institutions Supervisory Authority</w:t>
      </w:r>
      <w:r w:rsidRPr="007B2BC4">
        <w:rPr>
          <w:rFonts w:ascii="Arial" w:hAnsi="Arial" w:cs="Arial"/>
          <w:lang w:val="en-ZA"/>
        </w:rPr>
        <w:t xml:space="preserve"> 2019 (3) NR 859 (SC)</w:t>
      </w:r>
      <w:r>
        <w:rPr>
          <w:rFonts w:ascii="Arial" w:hAnsi="Arial" w:cs="Arial"/>
          <w:lang w:val="en-ZA"/>
        </w:rPr>
        <w:t>.</w:t>
      </w:r>
    </w:p>
  </w:footnote>
  <w:footnote w:id="5">
    <w:p w14:paraId="0AD8FEC9" w14:textId="79421F6D" w:rsidR="00100870" w:rsidRPr="007B2BC4" w:rsidRDefault="00100870" w:rsidP="007B2BC4">
      <w:pPr>
        <w:pStyle w:val="FootnoteText"/>
        <w:jc w:val="both"/>
        <w:rPr>
          <w:rFonts w:ascii="Arial" w:hAnsi="Arial" w:cs="Arial"/>
          <w:lang w:val="en-ZA"/>
        </w:rPr>
      </w:pPr>
      <w:r w:rsidRPr="007B2BC4">
        <w:rPr>
          <w:rStyle w:val="FootnoteReference"/>
          <w:rFonts w:ascii="Arial" w:hAnsi="Arial" w:cs="Arial"/>
        </w:rPr>
        <w:footnoteRef/>
      </w:r>
      <w:r w:rsidRPr="007B2BC4">
        <w:rPr>
          <w:rFonts w:ascii="Arial" w:hAnsi="Arial" w:cs="Arial"/>
        </w:rPr>
        <w:t xml:space="preserve"> </w:t>
      </w:r>
      <w:r w:rsidR="00787EE4">
        <w:rPr>
          <w:rFonts w:ascii="Arial" w:hAnsi="Arial" w:cs="Arial"/>
        </w:rPr>
        <w:t>P</w:t>
      </w:r>
      <w:r w:rsidRPr="007B2BC4">
        <w:rPr>
          <w:rFonts w:ascii="Arial" w:hAnsi="Arial" w:cs="Arial"/>
          <w:lang w:val="en-ZA"/>
        </w:rPr>
        <w:t>ara 38.</w:t>
      </w:r>
    </w:p>
  </w:footnote>
  <w:footnote w:id="6">
    <w:p w14:paraId="177FAC8D" w14:textId="0E44C891" w:rsidR="005334B7" w:rsidRPr="00DA1708" w:rsidRDefault="005334B7" w:rsidP="00DA1708">
      <w:pPr>
        <w:pStyle w:val="FootnoteText"/>
        <w:jc w:val="both"/>
        <w:rPr>
          <w:rFonts w:ascii="Arial" w:hAnsi="Arial" w:cs="Arial"/>
          <w:lang w:val="en-ZA"/>
        </w:rPr>
      </w:pPr>
      <w:r w:rsidRPr="00DA1708">
        <w:rPr>
          <w:rStyle w:val="FootnoteReference"/>
          <w:rFonts w:ascii="Arial" w:hAnsi="Arial" w:cs="Arial"/>
        </w:rPr>
        <w:footnoteRef/>
      </w:r>
      <w:r w:rsidRPr="00DA1708">
        <w:rPr>
          <w:rFonts w:ascii="Arial" w:hAnsi="Arial" w:cs="Arial"/>
        </w:rPr>
        <w:t xml:space="preserve"> </w:t>
      </w:r>
      <w:r w:rsidRPr="00DA1708">
        <w:rPr>
          <w:rFonts w:ascii="Arial" w:hAnsi="Arial" w:cs="Arial"/>
          <w:i/>
          <w:lang w:val="en-ZA"/>
        </w:rPr>
        <w:t>Telecom Namibia Ltd v Communication Regulatory Authority of Namibia</w:t>
      </w:r>
      <w:r w:rsidRPr="00DA1708">
        <w:rPr>
          <w:rFonts w:ascii="Arial" w:hAnsi="Arial" w:cs="Arial"/>
          <w:lang w:val="en-ZA"/>
        </w:rPr>
        <w:t xml:space="preserve"> footnote 1 </w:t>
      </w:r>
      <w:r w:rsidRPr="00827F39">
        <w:rPr>
          <w:rFonts w:ascii="Arial" w:hAnsi="Arial" w:cs="Arial"/>
          <w:lang w:val="en-ZA"/>
        </w:rPr>
        <w:t>loc cit</w:t>
      </w:r>
      <w:r w:rsidRPr="00DA1708">
        <w:rPr>
          <w:rFonts w:ascii="Arial" w:hAnsi="Arial" w:cs="Arial"/>
          <w:lang w:val="en-ZA"/>
        </w:rPr>
        <w:t>.</w:t>
      </w:r>
    </w:p>
  </w:footnote>
  <w:footnote w:id="7">
    <w:p w14:paraId="7983BF00" w14:textId="68678BCA" w:rsidR="006C2FB6" w:rsidRPr="00912F74" w:rsidRDefault="006C2FB6" w:rsidP="00912F74">
      <w:pPr>
        <w:pStyle w:val="FootnoteText"/>
        <w:jc w:val="both"/>
        <w:rPr>
          <w:rFonts w:ascii="Arial" w:hAnsi="Arial" w:cs="Arial"/>
          <w:lang w:val="en-ZA"/>
        </w:rPr>
      </w:pPr>
      <w:r w:rsidRPr="00912F74">
        <w:rPr>
          <w:rStyle w:val="FootnoteReference"/>
          <w:rFonts w:ascii="Arial" w:hAnsi="Arial" w:cs="Arial"/>
        </w:rPr>
        <w:footnoteRef/>
      </w:r>
      <w:r w:rsidRPr="00912F74">
        <w:rPr>
          <w:rFonts w:ascii="Arial" w:hAnsi="Arial" w:cs="Arial"/>
        </w:rPr>
        <w:t xml:space="preserve"> </w:t>
      </w:r>
      <w:r w:rsidRPr="00912F74">
        <w:rPr>
          <w:rFonts w:ascii="Arial" w:hAnsi="Arial" w:cs="Arial"/>
          <w:i/>
          <w:lang w:val="en-ZA"/>
        </w:rPr>
        <w:t>Telecom Namibia Ltd v Communication Regulatory Authority of Namibia</w:t>
      </w:r>
      <w:r w:rsidRPr="00912F74">
        <w:rPr>
          <w:rFonts w:ascii="Arial" w:hAnsi="Arial" w:cs="Arial"/>
          <w:lang w:val="en-ZA"/>
        </w:rPr>
        <w:t xml:space="preserve"> footnote 1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D52DB1">
          <w:rPr>
            <w:rFonts w:ascii="Arial" w:hAnsi="Arial" w:cs="Arial"/>
            <w:noProof/>
            <w:sz w:val="24"/>
            <w:szCs w:val="24"/>
          </w:rPr>
          <w:t>8</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8">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2"/>
  </w:num>
  <w:num w:numId="3">
    <w:abstractNumId w:val="10"/>
  </w:num>
  <w:num w:numId="4">
    <w:abstractNumId w:val="2"/>
  </w:num>
  <w:num w:numId="5">
    <w:abstractNumId w:val="1"/>
  </w:num>
  <w:num w:numId="6">
    <w:abstractNumId w:val="9"/>
  </w:num>
  <w:num w:numId="7">
    <w:abstractNumId w:val="8"/>
  </w:num>
  <w:num w:numId="8">
    <w:abstractNumId w:val="16"/>
  </w:num>
  <w:num w:numId="9">
    <w:abstractNumId w:val="6"/>
  </w:num>
  <w:num w:numId="10">
    <w:abstractNumId w:val="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7"/>
  </w:num>
  <w:num w:numId="16">
    <w:abstractNumId w:val="15"/>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142CE"/>
    <w:rsid w:val="00015808"/>
    <w:rsid w:val="000200BD"/>
    <w:rsid w:val="00030A66"/>
    <w:rsid w:val="00031642"/>
    <w:rsid w:val="00043914"/>
    <w:rsid w:val="00052806"/>
    <w:rsid w:val="00053646"/>
    <w:rsid w:val="0006006E"/>
    <w:rsid w:val="000650A0"/>
    <w:rsid w:val="00071E6A"/>
    <w:rsid w:val="00076184"/>
    <w:rsid w:val="000929C5"/>
    <w:rsid w:val="000A6E7F"/>
    <w:rsid w:val="000B297E"/>
    <w:rsid w:val="000D1E23"/>
    <w:rsid w:val="000E7C99"/>
    <w:rsid w:val="000F2FD9"/>
    <w:rsid w:val="000F39A3"/>
    <w:rsid w:val="000F681E"/>
    <w:rsid w:val="00100870"/>
    <w:rsid w:val="001032AE"/>
    <w:rsid w:val="00116AFB"/>
    <w:rsid w:val="00117280"/>
    <w:rsid w:val="001223B7"/>
    <w:rsid w:val="00124C63"/>
    <w:rsid w:val="00130339"/>
    <w:rsid w:val="00134E9F"/>
    <w:rsid w:val="00136505"/>
    <w:rsid w:val="00144967"/>
    <w:rsid w:val="00150B08"/>
    <w:rsid w:val="00152FEA"/>
    <w:rsid w:val="00153ED0"/>
    <w:rsid w:val="00157447"/>
    <w:rsid w:val="00163FB4"/>
    <w:rsid w:val="001721EB"/>
    <w:rsid w:val="0017433C"/>
    <w:rsid w:val="001822C1"/>
    <w:rsid w:val="0018718C"/>
    <w:rsid w:val="001A13C3"/>
    <w:rsid w:val="001B3825"/>
    <w:rsid w:val="001C1570"/>
    <w:rsid w:val="001C33C5"/>
    <w:rsid w:val="001E097B"/>
    <w:rsid w:val="001E113F"/>
    <w:rsid w:val="001E192B"/>
    <w:rsid w:val="001E2A2D"/>
    <w:rsid w:val="00204A1F"/>
    <w:rsid w:val="00217744"/>
    <w:rsid w:val="00222067"/>
    <w:rsid w:val="00224808"/>
    <w:rsid w:val="002317B0"/>
    <w:rsid w:val="0023549A"/>
    <w:rsid w:val="00241D98"/>
    <w:rsid w:val="00244BAC"/>
    <w:rsid w:val="00244F7C"/>
    <w:rsid w:val="002536EA"/>
    <w:rsid w:val="00276736"/>
    <w:rsid w:val="0028119C"/>
    <w:rsid w:val="002863C2"/>
    <w:rsid w:val="00287097"/>
    <w:rsid w:val="002A3C64"/>
    <w:rsid w:val="002A4AA3"/>
    <w:rsid w:val="002B38E0"/>
    <w:rsid w:val="002C1EF6"/>
    <w:rsid w:val="002D20C5"/>
    <w:rsid w:val="002D407B"/>
    <w:rsid w:val="002D633E"/>
    <w:rsid w:val="002E738E"/>
    <w:rsid w:val="002F06E3"/>
    <w:rsid w:val="00301CC7"/>
    <w:rsid w:val="00302F62"/>
    <w:rsid w:val="0030757C"/>
    <w:rsid w:val="00311DE0"/>
    <w:rsid w:val="0031523D"/>
    <w:rsid w:val="00322F39"/>
    <w:rsid w:val="00323AAF"/>
    <w:rsid w:val="00323E22"/>
    <w:rsid w:val="00340EA6"/>
    <w:rsid w:val="0036327E"/>
    <w:rsid w:val="00371A8B"/>
    <w:rsid w:val="00371B8F"/>
    <w:rsid w:val="0038382D"/>
    <w:rsid w:val="003A18AD"/>
    <w:rsid w:val="003B03B0"/>
    <w:rsid w:val="003C0EA4"/>
    <w:rsid w:val="003C2574"/>
    <w:rsid w:val="003D165C"/>
    <w:rsid w:val="003D3059"/>
    <w:rsid w:val="00404B70"/>
    <w:rsid w:val="00412278"/>
    <w:rsid w:val="00414B69"/>
    <w:rsid w:val="00415F4F"/>
    <w:rsid w:val="00426C60"/>
    <w:rsid w:val="00431A65"/>
    <w:rsid w:val="004352E5"/>
    <w:rsid w:val="004358E2"/>
    <w:rsid w:val="00436B1E"/>
    <w:rsid w:val="00436C2B"/>
    <w:rsid w:val="00437666"/>
    <w:rsid w:val="004416D0"/>
    <w:rsid w:val="00450650"/>
    <w:rsid w:val="00463486"/>
    <w:rsid w:val="004665B1"/>
    <w:rsid w:val="00466B36"/>
    <w:rsid w:val="00472769"/>
    <w:rsid w:val="00474C2A"/>
    <w:rsid w:val="00475B7A"/>
    <w:rsid w:val="00475D2C"/>
    <w:rsid w:val="0048485D"/>
    <w:rsid w:val="00490505"/>
    <w:rsid w:val="004907E4"/>
    <w:rsid w:val="004936A7"/>
    <w:rsid w:val="004A2D48"/>
    <w:rsid w:val="004A325C"/>
    <w:rsid w:val="004A5618"/>
    <w:rsid w:val="004B337B"/>
    <w:rsid w:val="004B6FA1"/>
    <w:rsid w:val="004C5788"/>
    <w:rsid w:val="004C646F"/>
    <w:rsid w:val="004D7D3B"/>
    <w:rsid w:val="004E02A0"/>
    <w:rsid w:val="004E3BFB"/>
    <w:rsid w:val="004E6D2F"/>
    <w:rsid w:val="00503F36"/>
    <w:rsid w:val="00512AB9"/>
    <w:rsid w:val="00522621"/>
    <w:rsid w:val="00523D75"/>
    <w:rsid w:val="005334B7"/>
    <w:rsid w:val="00535F29"/>
    <w:rsid w:val="00536EFF"/>
    <w:rsid w:val="005629DA"/>
    <w:rsid w:val="00580728"/>
    <w:rsid w:val="00586B27"/>
    <w:rsid w:val="00594F6C"/>
    <w:rsid w:val="005A0EBD"/>
    <w:rsid w:val="005A4D90"/>
    <w:rsid w:val="005B62A0"/>
    <w:rsid w:val="005B62C7"/>
    <w:rsid w:val="005B7449"/>
    <w:rsid w:val="005C0E24"/>
    <w:rsid w:val="005C21D7"/>
    <w:rsid w:val="005C3354"/>
    <w:rsid w:val="005C4157"/>
    <w:rsid w:val="005C715D"/>
    <w:rsid w:val="005C7D31"/>
    <w:rsid w:val="005D0D19"/>
    <w:rsid w:val="005D6452"/>
    <w:rsid w:val="005E2DC4"/>
    <w:rsid w:val="005F325C"/>
    <w:rsid w:val="005F32EB"/>
    <w:rsid w:val="00610BF1"/>
    <w:rsid w:val="006115E2"/>
    <w:rsid w:val="0061537D"/>
    <w:rsid w:val="00672C76"/>
    <w:rsid w:val="006734C7"/>
    <w:rsid w:val="00695745"/>
    <w:rsid w:val="006976D9"/>
    <w:rsid w:val="006A0BA4"/>
    <w:rsid w:val="006A1E08"/>
    <w:rsid w:val="006B5854"/>
    <w:rsid w:val="006B7521"/>
    <w:rsid w:val="006C2FB6"/>
    <w:rsid w:val="006D0991"/>
    <w:rsid w:val="006D0E84"/>
    <w:rsid w:val="006D69E7"/>
    <w:rsid w:val="006D7450"/>
    <w:rsid w:val="006E014E"/>
    <w:rsid w:val="006E0FD4"/>
    <w:rsid w:val="006F07B3"/>
    <w:rsid w:val="006F1CCC"/>
    <w:rsid w:val="006F6DE3"/>
    <w:rsid w:val="007008BE"/>
    <w:rsid w:val="00700B1F"/>
    <w:rsid w:val="00702C62"/>
    <w:rsid w:val="00703171"/>
    <w:rsid w:val="00734802"/>
    <w:rsid w:val="00736DA4"/>
    <w:rsid w:val="007448FE"/>
    <w:rsid w:val="00746C0C"/>
    <w:rsid w:val="0075019C"/>
    <w:rsid w:val="00750F55"/>
    <w:rsid w:val="007600DB"/>
    <w:rsid w:val="00766C68"/>
    <w:rsid w:val="0078274D"/>
    <w:rsid w:val="007853D8"/>
    <w:rsid w:val="00787EE4"/>
    <w:rsid w:val="007950C8"/>
    <w:rsid w:val="007979CA"/>
    <w:rsid w:val="007B131C"/>
    <w:rsid w:val="007B2BC4"/>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75AC"/>
    <w:rsid w:val="00827F39"/>
    <w:rsid w:val="00835300"/>
    <w:rsid w:val="00843040"/>
    <w:rsid w:val="00853833"/>
    <w:rsid w:val="00865F37"/>
    <w:rsid w:val="0087368D"/>
    <w:rsid w:val="00882F73"/>
    <w:rsid w:val="00883D7C"/>
    <w:rsid w:val="00886625"/>
    <w:rsid w:val="00890A20"/>
    <w:rsid w:val="00892D9A"/>
    <w:rsid w:val="008A1447"/>
    <w:rsid w:val="008B5D68"/>
    <w:rsid w:val="008B6223"/>
    <w:rsid w:val="008C2200"/>
    <w:rsid w:val="008D54B2"/>
    <w:rsid w:val="008E0730"/>
    <w:rsid w:val="008E2450"/>
    <w:rsid w:val="008E5E3D"/>
    <w:rsid w:val="008F59A0"/>
    <w:rsid w:val="00912F74"/>
    <w:rsid w:val="00923430"/>
    <w:rsid w:val="009279BE"/>
    <w:rsid w:val="00937C89"/>
    <w:rsid w:val="00944CCD"/>
    <w:rsid w:val="0095505F"/>
    <w:rsid w:val="009661E4"/>
    <w:rsid w:val="009733A9"/>
    <w:rsid w:val="009856AB"/>
    <w:rsid w:val="009919F6"/>
    <w:rsid w:val="00996760"/>
    <w:rsid w:val="00997C11"/>
    <w:rsid w:val="009A5AD1"/>
    <w:rsid w:val="009A7A59"/>
    <w:rsid w:val="009B41E2"/>
    <w:rsid w:val="009B600F"/>
    <w:rsid w:val="009C3275"/>
    <w:rsid w:val="009C35C9"/>
    <w:rsid w:val="009C6F3F"/>
    <w:rsid w:val="009D24DC"/>
    <w:rsid w:val="009D27E8"/>
    <w:rsid w:val="009E730A"/>
    <w:rsid w:val="009F1FA2"/>
    <w:rsid w:val="009F2ADD"/>
    <w:rsid w:val="00A05FE8"/>
    <w:rsid w:val="00A10E40"/>
    <w:rsid w:val="00A13C7B"/>
    <w:rsid w:val="00A15CD1"/>
    <w:rsid w:val="00A22E0F"/>
    <w:rsid w:val="00A2391E"/>
    <w:rsid w:val="00A26B7B"/>
    <w:rsid w:val="00A31424"/>
    <w:rsid w:val="00A3327E"/>
    <w:rsid w:val="00A45560"/>
    <w:rsid w:val="00A50F13"/>
    <w:rsid w:val="00A66511"/>
    <w:rsid w:val="00A75ED6"/>
    <w:rsid w:val="00A85792"/>
    <w:rsid w:val="00A90F3E"/>
    <w:rsid w:val="00A9498C"/>
    <w:rsid w:val="00AA2EFA"/>
    <w:rsid w:val="00AA3ECB"/>
    <w:rsid w:val="00AD72DD"/>
    <w:rsid w:val="00AE0185"/>
    <w:rsid w:val="00AE08F0"/>
    <w:rsid w:val="00AE16BF"/>
    <w:rsid w:val="00B01B6C"/>
    <w:rsid w:val="00B050E7"/>
    <w:rsid w:val="00B119D6"/>
    <w:rsid w:val="00B121EA"/>
    <w:rsid w:val="00B32493"/>
    <w:rsid w:val="00B40844"/>
    <w:rsid w:val="00B47800"/>
    <w:rsid w:val="00B50C99"/>
    <w:rsid w:val="00B56E34"/>
    <w:rsid w:val="00B5737E"/>
    <w:rsid w:val="00B60287"/>
    <w:rsid w:val="00B61AC7"/>
    <w:rsid w:val="00B62F2B"/>
    <w:rsid w:val="00B808CB"/>
    <w:rsid w:val="00B845CF"/>
    <w:rsid w:val="00B92DE7"/>
    <w:rsid w:val="00B9407E"/>
    <w:rsid w:val="00BA2C89"/>
    <w:rsid w:val="00BA4C8B"/>
    <w:rsid w:val="00BB13F4"/>
    <w:rsid w:val="00BB3273"/>
    <w:rsid w:val="00BB3C0C"/>
    <w:rsid w:val="00BC2C75"/>
    <w:rsid w:val="00BC5931"/>
    <w:rsid w:val="00BE31AD"/>
    <w:rsid w:val="00BE3978"/>
    <w:rsid w:val="00BF44EC"/>
    <w:rsid w:val="00C04F28"/>
    <w:rsid w:val="00C06EB4"/>
    <w:rsid w:val="00C14AB5"/>
    <w:rsid w:val="00C2633E"/>
    <w:rsid w:val="00C3225B"/>
    <w:rsid w:val="00C47E3A"/>
    <w:rsid w:val="00C73D5D"/>
    <w:rsid w:val="00CA7995"/>
    <w:rsid w:val="00CB1183"/>
    <w:rsid w:val="00CC7431"/>
    <w:rsid w:val="00CD62C0"/>
    <w:rsid w:val="00CE4631"/>
    <w:rsid w:val="00D03B96"/>
    <w:rsid w:val="00D04B6F"/>
    <w:rsid w:val="00D113DD"/>
    <w:rsid w:val="00D24453"/>
    <w:rsid w:val="00D25285"/>
    <w:rsid w:val="00D30D4D"/>
    <w:rsid w:val="00D32F8E"/>
    <w:rsid w:val="00D37DAA"/>
    <w:rsid w:val="00D5070E"/>
    <w:rsid w:val="00D52DB1"/>
    <w:rsid w:val="00D547B6"/>
    <w:rsid w:val="00D61648"/>
    <w:rsid w:val="00D6224D"/>
    <w:rsid w:val="00D6655A"/>
    <w:rsid w:val="00D80947"/>
    <w:rsid w:val="00D86F11"/>
    <w:rsid w:val="00D960EA"/>
    <w:rsid w:val="00D965B8"/>
    <w:rsid w:val="00DA1708"/>
    <w:rsid w:val="00DA2283"/>
    <w:rsid w:val="00DA5689"/>
    <w:rsid w:val="00DA58B4"/>
    <w:rsid w:val="00DB5AA2"/>
    <w:rsid w:val="00DD76E7"/>
    <w:rsid w:val="00DE1990"/>
    <w:rsid w:val="00E0573A"/>
    <w:rsid w:val="00E221FD"/>
    <w:rsid w:val="00E41BE5"/>
    <w:rsid w:val="00E4469F"/>
    <w:rsid w:val="00E452F4"/>
    <w:rsid w:val="00E533BE"/>
    <w:rsid w:val="00E5361F"/>
    <w:rsid w:val="00E55FBE"/>
    <w:rsid w:val="00E62DB3"/>
    <w:rsid w:val="00E73C41"/>
    <w:rsid w:val="00E778B9"/>
    <w:rsid w:val="00E911FB"/>
    <w:rsid w:val="00E96F9E"/>
    <w:rsid w:val="00EA2DE2"/>
    <w:rsid w:val="00EB1AE0"/>
    <w:rsid w:val="00EC1776"/>
    <w:rsid w:val="00EC7E83"/>
    <w:rsid w:val="00ED27EE"/>
    <w:rsid w:val="00ED2C7B"/>
    <w:rsid w:val="00ED5B76"/>
    <w:rsid w:val="00ED7008"/>
    <w:rsid w:val="00ED76B2"/>
    <w:rsid w:val="00EE4268"/>
    <w:rsid w:val="00EF184A"/>
    <w:rsid w:val="00EF249A"/>
    <w:rsid w:val="00EF2FFD"/>
    <w:rsid w:val="00F0235A"/>
    <w:rsid w:val="00F05B1C"/>
    <w:rsid w:val="00F05CAB"/>
    <w:rsid w:val="00F0783D"/>
    <w:rsid w:val="00F146F6"/>
    <w:rsid w:val="00F21EDB"/>
    <w:rsid w:val="00F3779B"/>
    <w:rsid w:val="00F4726A"/>
    <w:rsid w:val="00F47A1E"/>
    <w:rsid w:val="00F62189"/>
    <w:rsid w:val="00F65529"/>
    <w:rsid w:val="00F65903"/>
    <w:rsid w:val="00F66F79"/>
    <w:rsid w:val="00F72231"/>
    <w:rsid w:val="00F7691A"/>
    <w:rsid w:val="00F82EDF"/>
    <w:rsid w:val="00F84868"/>
    <w:rsid w:val="00F92D04"/>
    <w:rsid w:val="00F9481A"/>
    <w:rsid w:val="00FB27BC"/>
    <w:rsid w:val="00FB2E9E"/>
    <w:rsid w:val="00FB5F14"/>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2023-10-03T18:30:00+00:00</Judgment_x0020_Date>
    <Year xmlns="c1afb1bd-f2fb-40fd-9abb-aea55b4d7662">2023</Year>
  </documentManagement>
</p:properties>
</file>

<file path=customXml/itemProps1.xml><?xml version="1.0" encoding="utf-8"?>
<ds:datastoreItem xmlns:ds="http://schemas.openxmlformats.org/officeDocument/2006/customXml" ds:itemID="{61F982AD-D281-41CB-BF9A-457637D0E8C5}"/>
</file>

<file path=customXml/itemProps2.xml><?xml version="1.0" encoding="utf-8"?>
<ds:datastoreItem xmlns:ds="http://schemas.openxmlformats.org/officeDocument/2006/customXml" ds:itemID="{FE425B40-B623-453C-BADE-4D3C93E66BD7}"/>
</file>

<file path=customXml/itemProps3.xml><?xml version="1.0" encoding="utf-8"?>
<ds:datastoreItem xmlns:ds="http://schemas.openxmlformats.org/officeDocument/2006/customXml" ds:itemID="{DD235A97-CE0E-4A4B-9913-0DAFAC4ACF8C}"/>
</file>

<file path=customXml/itemProps4.xml><?xml version="1.0" encoding="utf-8"?>
<ds:datastoreItem xmlns:ds="http://schemas.openxmlformats.org/officeDocument/2006/customXml" ds:itemID="{A9443C6C-B6AF-4B66-A79E-9C3EC3301AB2}"/>
</file>

<file path=docProps/app.xml><?xml version="1.0" encoding="utf-8"?>
<Properties xmlns="http://schemas.openxmlformats.org/officeDocument/2006/extended-properties" xmlns:vt="http://schemas.openxmlformats.org/officeDocument/2006/docPropsVTypes">
  <Template>Normal</Template>
  <TotalTime>30</TotalTime>
  <Pages>1</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Weder, Kauta and Hoveka Inc. v Nam Competition Comm (HC-MD-CIV-MOT-REV-2022-00355) [2023] NAHCMD 613 (4 October 2023)</dc:title>
  <dc:subject/>
  <dc:creator>shomany keister</dc:creator>
  <cp:keywords/>
  <dc:description/>
  <cp:lastModifiedBy>Bregitha Coetzee</cp:lastModifiedBy>
  <cp:revision>9</cp:revision>
  <cp:lastPrinted>2023-10-03T13:12:00Z</cp:lastPrinted>
  <dcterms:created xsi:type="dcterms:W3CDTF">2023-10-03T12:39:00Z</dcterms:created>
  <dcterms:modified xsi:type="dcterms:W3CDTF">2023-10-09T11:43:00Z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