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68147" w14:textId="77777777" w:rsidR="00B305F0" w:rsidRDefault="00B305F0" w:rsidP="009627FC">
      <w:pPr>
        <w:spacing w:line="360" w:lineRule="auto"/>
        <w:jc w:val="center"/>
        <w:rPr>
          <w:rFonts w:ascii="Arial" w:hAnsi="Arial"/>
          <w:b/>
        </w:rPr>
      </w:pPr>
    </w:p>
    <w:p w14:paraId="31FA7CCD" w14:textId="77777777" w:rsidR="00B305F0" w:rsidRDefault="00B305F0" w:rsidP="009627FC">
      <w:pPr>
        <w:spacing w:line="360" w:lineRule="auto"/>
        <w:jc w:val="center"/>
        <w:rPr>
          <w:rFonts w:ascii="Arial" w:hAnsi="Arial"/>
          <w:b/>
        </w:rPr>
      </w:pPr>
    </w:p>
    <w:p w14:paraId="366BDABD" w14:textId="77777777" w:rsidR="00B305F0" w:rsidRPr="00B305F0" w:rsidRDefault="00B305F0" w:rsidP="009627FC">
      <w:pPr>
        <w:spacing w:line="360" w:lineRule="auto"/>
        <w:jc w:val="center"/>
        <w:rPr>
          <w:rFonts w:ascii="Arial" w:eastAsia="Calibri" w:hAnsi="Arial" w:cs="Arial"/>
          <w:b/>
          <w:lang w:val="en-US"/>
        </w:rPr>
      </w:pPr>
      <w:r w:rsidRPr="00B305F0">
        <w:rPr>
          <w:rFonts w:ascii="Arial" w:eastAsia="Calibri" w:hAnsi="Arial" w:cs="Arial"/>
          <w:b/>
          <w:lang w:val="en-US"/>
        </w:rPr>
        <w:t>REPUBLIC OF NAMIBIA</w:t>
      </w:r>
    </w:p>
    <w:p w14:paraId="4F412B29" w14:textId="294B98CF" w:rsidR="00B305F0" w:rsidRPr="007C6B28" w:rsidRDefault="00B305F0" w:rsidP="007C6B28">
      <w:pPr>
        <w:spacing w:line="360" w:lineRule="auto"/>
        <w:jc w:val="center"/>
        <w:rPr>
          <w:rFonts w:ascii="Arial" w:eastAsia="Calibri" w:hAnsi="Arial" w:cs="Arial"/>
          <w:b/>
          <w:lang w:val="en-US"/>
        </w:rPr>
      </w:pPr>
      <w:r w:rsidRPr="00B305F0">
        <w:rPr>
          <w:rFonts w:ascii="Arial" w:eastAsia="Calibri" w:hAnsi="Arial" w:cs="Arial"/>
          <w:b/>
          <w:noProof/>
          <w:lang w:val="en-US"/>
        </w:rPr>
        <w:drawing>
          <wp:inline distT="0" distB="0" distL="0" distR="0" wp14:anchorId="4013CCBA" wp14:editId="52A1D34F">
            <wp:extent cx="1123950" cy="1143000"/>
            <wp:effectExtent l="0" t="0" r="0" b="0"/>
            <wp:docPr id="2"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14:paraId="664655F2" w14:textId="44511BFE" w:rsidR="00B92B88" w:rsidRDefault="00B92B88" w:rsidP="009627FC">
      <w:pPr>
        <w:spacing w:line="360" w:lineRule="auto"/>
        <w:jc w:val="center"/>
        <w:rPr>
          <w:rFonts w:ascii="Arial" w:hAnsi="Arial"/>
          <w:b/>
        </w:rPr>
      </w:pPr>
      <w:r>
        <w:rPr>
          <w:rFonts w:ascii="Arial" w:hAnsi="Arial"/>
          <w:b/>
        </w:rPr>
        <w:t>HIGH COURT OF NAMIBIA, MAIN DIVISION, WINDHOEK</w:t>
      </w:r>
    </w:p>
    <w:p w14:paraId="335C20EC" w14:textId="77777777" w:rsidR="00B92B88" w:rsidRDefault="00B92B88" w:rsidP="009627FC">
      <w:pPr>
        <w:spacing w:line="360" w:lineRule="auto"/>
        <w:jc w:val="center"/>
        <w:rPr>
          <w:rFonts w:ascii="Arial" w:hAnsi="Arial"/>
          <w:b/>
        </w:rPr>
      </w:pPr>
      <w:r>
        <w:rPr>
          <w:rFonts w:ascii="Arial" w:hAnsi="Arial"/>
          <w:b/>
        </w:rPr>
        <w:t>RULING ON SUMMARY JUDGMENT APPLICATION</w:t>
      </w:r>
    </w:p>
    <w:p w14:paraId="588FAD8D" w14:textId="77777777" w:rsidR="00B92B88" w:rsidRDefault="00B92B88" w:rsidP="009627FC">
      <w:pPr>
        <w:spacing w:line="360" w:lineRule="auto"/>
        <w:rPr>
          <w:rFonts w:ascii="Arial" w:hAnsi="Arial"/>
          <w:b/>
        </w:rPr>
      </w:pPr>
    </w:p>
    <w:p w14:paraId="1B01D9E9" w14:textId="77777777" w:rsidR="00B92B88" w:rsidRDefault="00B92B88" w:rsidP="009627FC">
      <w:pPr>
        <w:spacing w:line="360" w:lineRule="auto"/>
        <w:jc w:val="right"/>
        <w:rPr>
          <w:rFonts w:ascii="Arial" w:hAnsi="Arial"/>
        </w:rPr>
      </w:pPr>
      <w:r>
        <w:rPr>
          <w:rFonts w:ascii="Arial" w:hAnsi="Arial"/>
        </w:rPr>
        <w:t>Case no: HC-MD-CIV-ACT-CON-2022/04989</w:t>
      </w:r>
    </w:p>
    <w:p w14:paraId="31117166" w14:textId="77777777" w:rsidR="00B92B88" w:rsidRDefault="00B92B88" w:rsidP="009627FC">
      <w:pPr>
        <w:spacing w:line="360" w:lineRule="auto"/>
        <w:jc w:val="right"/>
        <w:rPr>
          <w:rFonts w:ascii="Arial" w:hAnsi="Arial"/>
        </w:rPr>
      </w:pPr>
    </w:p>
    <w:p w14:paraId="053820E9" w14:textId="77777777" w:rsidR="00B92B88" w:rsidRDefault="00B92B88" w:rsidP="009627FC">
      <w:pPr>
        <w:spacing w:line="360" w:lineRule="auto"/>
        <w:rPr>
          <w:rFonts w:ascii="Arial" w:hAnsi="Arial"/>
        </w:rPr>
      </w:pPr>
      <w:r>
        <w:rPr>
          <w:rFonts w:ascii="Arial" w:hAnsi="Arial"/>
        </w:rPr>
        <w:t>In the matter between:</w:t>
      </w:r>
    </w:p>
    <w:p w14:paraId="55534FBA" w14:textId="77777777" w:rsidR="00B92B88" w:rsidRDefault="00B92B88" w:rsidP="009627FC">
      <w:pPr>
        <w:spacing w:line="360" w:lineRule="auto"/>
        <w:rPr>
          <w:rFonts w:ascii="Arial" w:hAnsi="Arial"/>
        </w:rPr>
      </w:pPr>
    </w:p>
    <w:p w14:paraId="78267E8A" w14:textId="77777777" w:rsidR="00B92B88" w:rsidRDefault="00B92B88" w:rsidP="009627FC">
      <w:pPr>
        <w:spacing w:line="360" w:lineRule="auto"/>
        <w:rPr>
          <w:rFonts w:ascii="Arial" w:hAnsi="Arial"/>
          <w:b/>
        </w:rPr>
      </w:pPr>
    </w:p>
    <w:p w14:paraId="77D16A84" w14:textId="77777777" w:rsidR="00B92B88" w:rsidRDefault="00B92B88" w:rsidP="009627FC">
      <w:pPr>
        <w:spacing w:line="360" w:lineRule="auto"/>
        <w:rPr>
          <w:rFonts w:ascii="Arial" w:hAnsi="Arial"/>
          <w:b/>
        </w:rPr>
      </w:pPr>
      <w:r>
        <w:rPr>
          <w:rFonts w:ascii="Arial" w:hAnsi="Arial"/>
          <w:b/>
        </w:rPr>
        <w:t>NEDBANK NAMIBIA LIMITED                                  PLAINTIFF/APPLICANT</w:t>
      </w:r>
    </w:p>
    <w:p w14:paraId="37F049DB" w14:textId="77777777" w:rsidR="00B92B88" w:rsidRDefault="00B92B88" w:rsidP="009627FC">
      <w:pPr>
        <w:spacing w:line="360" w:lineRule="auto"/>
        <w:rPr>
          <w:rFonts w:ascii="Arial" w:hAnsi="Arial"/>
          <w:b/>
        </w:rPr>
      </w:pPr>
    </w:p>
    <w:p w14:paraId="184E32CC" w14:textId="77777777" w:rsidR="00B92B88" w:rsidRDefault="00B92B88" w:rsidP="009627FC">
      <w:pPr>
        <w:spacing w:line="360" w:lineRule="auto"/>
        <w:rPr>
          <w:rFonts w:ascii="Arial" w:hAnsi="Arial"/>
        </w:rPr>
      </w:pPr>
      <w:proofErr w:type="gramStart"/>
      <w:r>
        <w:rPr>
          <w:rFonts w:ascii="Arial" w:hAnsi="Arial"/>
        </w:rPr>
        <w:t>and</w:t>
      </w:r>
      <w:proofErr w:type="gramEnd"/>
    </w:p>
    <w:p w14:paraId="0AFF8697" w14:textId="77777777" w:rsidR="00B92B88" w:rsidRDefault="00B92B88" w:rsidP="009627FC">
      <w:pPr>
        <w:spacing w:line="360" w:lineRule="auto"/>
        <w:rPr>
          <w:rFonts w:ascii="Arial" w:hAnsi="Arial"/>
        </w:rPr>
      </w:pPr>
    </w:p>
    <w:p w14:paraId="7B1FE414" w14:textId="0206D0F4" w:rsidR="00B92B88" w:rsidRDefault="00B92B88" w:rsidP="009627FC">
      <w:pPr>
        <w:tabs>
          <w:tab w:val="right" w:pos="8280"/>
        </w:tabs>
        <w:spacing w:line="360" w:lineRule="auto"/>
        <w:rPr>
          <w:rFonts w:ascii="Arial" w:hAnsi="Arial"/>
          <w:b/>
        </w:rPr>
      </w:pPr>
      <w:r>
        <w:rPr>
          <w:rFonts w:ascii="Arial" w:hAnsi="Arial"/>
          <w:b/>
        </w:rPr>
        <w:t xml:space="preserve">CYRIL JAMES RICHARD VAN ROOI    </w:t>
      </w:r>
      <w:r w:rsidR="009627FC">
        <w:rPr>
          <w:rFonts w:ascii="Arial" w:hAnsi="Arial"/>
          <w:b/>
        </w:rPr>
        <w:tab/>
      </w:r>
      <w:r>
        <w:rPr>
          <w:rFonts w:ascii="Arial" w:hAnsi="Arial"/>
          <w:b/>
        </w:rPr>
        <w:t xml:space="preserve">FIRST DEFENDANT/RESPONDENT </w:t>
      </w:r>
    </w:p>
    <w:p w14:paraId="117DC7C8" w14:textId="0A190BC0" w:rsidR="00B92B88" w:rsidRDefault="00B92B88" w:rsidP="009627FC">
      <w:pPr>
        <w:tabs>
          <w:tab w:val="right" w:pos="8280"/>
        </w:tabs>
        <w:spacing w:line="360" w:lineRule="auto"/>
        <w:rPr>
          <w:rFonts w:ascii="Arial" w:hAnsi="Arial"/>
          <w:b/>
        </w:rPr>
      </w:pPr>
      <w:r>
        <w:rPr>
          <w:rFonts w:ascii="Arial" w:hAnsi="Arial"/>
          <w:b/>
        </w:rPr>
        <w:t xml:space="preserve">BEULAH VANESSA VAN ROOI       </w:t>
      </w:r>
      <w:r w:rsidR="009627FC">
        <w:rPr>
          <w:rFonts w:ascii="Arial" w:hAnsi="Arial"/>
          <w:b/>
        </w:rPr>
        <w:tab/>
      </w:r>
      <w:r>
        <w:rPr>
          <w:rFonts w:ascii="Arial" w:hAnsi="Arial"/>
          <w:b/>
        </w:rPr>
        <w:t>SECOND DEFENDANT/RESPONDENT</w:t>
      </w:r>
    </w:p>
    <w:p w14:paraId="060C1140" w14:textId="77777777" w:rsidR="00B92B88" w:rsidRDefault="00B92B88" w:rsidP="009627FC">
      <w:pPr>
        <w:spacing w:line="360" w:lineRule="auto"/>
        <w:jc w:val="both"/>
        <w:rPr>
          <w:rFonts w:ascii="Arial" w:hAnsi="Arial"/>
        </w:rPr>
      </w:pPr>
    </w:p>
    <w:p w14:paraId="0BA3C8D4" w14:textId="77C3DFF4" w:rsidR="000430A8" w:rsidRPr="00841A6B" w:rsidRDefault="000430A8" w:rsidP="009627FC">
      <w:pPr>
        <w:spacing w:line="360" w:lineRule="auto"/>
        <w:ind w:left="2160" w:hanging="2250"/>
        <w:jc w:val="both"/>
        <w:rPr>
          <w:rFonts w:ascii="Arial" w:hAnsi="Arial"/>
        </w:rPr>
      </w:pPr>
      <w:r>
        <w:rPr>
          <w:rFonts w:ascii="Arial" w:hAnsi="Arial" w:cs="Arial"/>
          <w:b/>
        </w:rPr>
        <w:t>Neutral Citation:</w:t>
      </w:r>
      <w:r>
        <w:rPr>
          <w:rFonts w:ascii="Arial" w:hAnsi="Arial" w:cs="Arial"/>
          <w:b/>
        </w:rPr>
        <w:tab/>
      </w:r>
      <w:bookmarkStart w:id="0" w:name="_GoBack"/>
      <w:r>
        <w:rPr>
          <w:rFonts w:ascii="Arial" w:hAnsi="Arial" w:cs="Arial"/>
          <w:i/>
        </w:rPr>
        <w:t xml:space="preserve">Nedbank Namibia Limited v Van </w:t>
      </w:r>
      <w:proofErr w:type="spellStart"/>
      <w:r>
        <w:rPr>
          <w:rFonts w:ascii="Arial" w:hAnsi="Arial" w:cs="Arial"/>
          <w:i/>
        </w:rPr>
        <w:t>Rooi</w:t>
      </w:r>
      <w:proofErr w:type="spellEnd"/>
      <w:r>
        <w:rPr>
          <w:rFonts w:ascii="Arial" w:hAnsi="Arial" w:cs="Arial"/>
          <w:i/>
        </w:rPr>
        <w:t xml:space="preserve"> </w:t>
      </w:r>
      <w:r>
        <w:rPr>
          <w:rFonts w:ascii="Arial" w:hAnsi="Arial" w:cs="Arial"/>
        </w:rPr>
        <w:t>(</w:t>
      </w:r>
      <w:r w:rsidRPr="000430A8">
        <w:rPr>
          <w:rFonts w:ascii="Arial" w:hAnsi="Arial"/>
        </w:rPr>
        <w:t>HC-MD-CIV-ACT-CON-2022/04989</w:t>
      </w:r>
      <w:r w:rsidR="00E3380B">
        <w:rPr>
          <w:rFonts w:ascii="Arial" w:hAnsi="Arial" w:cs="Arial"/>
        </w:rPr>
        <w:t>) NAHCMD 615</w:t>
      </w:r>
      <w:r>
        <w:rPr>
          <w:rFonts w:ascii="Arial" w:hAnsi="Arial" w:cs="Arial"/>
        </w:rPr>
        <w:t xml:space="preserve"> </w:t>
      </w:r>
      <w:r w:rsidR="009627FC">
        <w:rPr>
          <w:rFonts w:ascii="Arial" w:hAnsi="Arial" w:cs="Arial"/>
        </w:rPr>
        <w:t xml:space="preserve">(5 </w:t>
      </w:r>
      <w:r w:rsidR="00A36C31">
        <w:rPr>
          <w:rFonts w:ascii="Arial" w:hAnsi="Arial" w:cs="Arial"/>
        </w:rPr>
        <w:t>October</w:t>
      </w:r>
      <w:r>
        <w:rPr>
          <w:rFonts w:ascii="Arial" w:hAnsi="Arial" w:cs="Arial"/>
        </w:rPr>
        <w:t xml:space="preserve"> 2023)</w:t>
      </w:r>
    </w:p>
    <w:bookmarkEnd w:id="0"/>
    <w:p w14:paraId="255C1A20" w14:textId="77777777" w:rsidR="000430A8" w:rsidRDefault="000430A8" w:rsidP="009627FC">
      <w:pPr>
        <w:spacing w:line="360" w:lineRule="auto"/>
        <w:jc w:val="both"/>
        <w:rPr>
          <w:rFonts w:ascii="Arial" w:hAnsi="Arial"/>
          <w:b/>
        </w:rPr>
      </w:pPr>
    </w:p>
    <w:p w14:paraId="5962FE70" w14:textId="77777777" w:rsidR="000430A8" w:rsidRPr="008023EC" w:rsidRDefault="000430A8" w:rsidP="009627FC">
      <w:pPr>
        <w:spacing w:line="360" w:lineRule="auto"/>
        <w:jc w:val="both"/>
        <w:rPr>
          <w:rFonts w:ascii="Arial" w:hAnsi="Arial"/>
        </w:rPr>
      </w:pPr>
      <w:r>
        <w:rPr>
          <w:rFonts w:ascii="Arial" w:hAnsi="Arial"/>
          <w:b/>
        </w:rPr>
        <w:t>Coram:</w:t>
      </w:r>
      <w:r>
        <w:rPr>
          <w:rFonts w:ascii="Arial" w:hAnsi="Arial"/>
          <w:b/>
        </w:rPr>
        <w:tab/>
      </w:r>
      <w:r>
        <w:rPr>
          <w:rFonts w:ascii="Arial" w:hAnsi="Arial"/>
        </w:rPr>
        <w:t>MASUKU J</w:t>
      </w:r>
    </w:p>
    <w:p w14:paraId="45C7ED19" w14:textId="095E7E9F" w:rsidR="000430A8" w:rsidRDefault="00A36C31" w:rsidP="009627FC">
      <w:pPr>
        <w:spacing w:line="360" w:lineRule="auto"/>
        <w:jc w:val="both"/>
        <w:rPr>
          <w:rFonts w:ascii="Arial" w:hAnsi="Arial"/>
          <w:b/>
        </w:rPr>
      </w:pPr>
      <w:r>
        <w:rPr>
          <w:rFonts w:ascii="Arial" w:hAnsi="Arial"/>
          <w:b/>
        </w:rPr>
        <w:t>Heard:</w:t>
      </w:r>
      <w:r>
        <w:rPr>
          <w:rFonts w:ascii="Arial" w:hAnsi="Arial"/>
          <w:b/>
        </w:rPr>
        <w:tab/>
        <w:t>Decided on the papers</w:t>
      </w:r>
    </w:p>
    <w:p w14:paraId="21DFACD4" w14:textId="6BA99381" w:rsidR="000430A8" w:rsidRDefault="006640CB" w:rsidP="009627FC">
      <w:pPr>
        <w:spacing w:line="360" w:lineRule="auto"/>
        <w:jc w:val="both"/>
        <w:rPr>
          <w:rFonts w:ascii="Arial" w:hAnsi="Arial"/>
          <w:b/>
        </w:rPr>
      </w:pPr>
      <w:r>
        <w:rPr>
          <w:rFonts w:ascii="Arial" w:hAnsi="Arial"/>
          <w:b/>
        </w:rPr>
        <w:t xml:space="preserve">Delivered:    </w:t>
      </w:r>
      <w:r w:rsidR="009627FC">
        <w:rPr>
          <w:rFonts w:ascii="Arial" w:hAnsi="Arial"/>
          <w:b/>
        </w:rPr>
        <w:t xml:space="preserve"> 5 </w:t>
      </w:r>
      <w:r>
        <w:rPr>
          <w:rFonts w:ascii="Arial" w:hAnsi="Arial"/>
          <w:b/>
        </w:rPr>
        <w:t>October</w:t>
      </w:r>
      <w:r w:rsidR="000430A8">
        <w:rPr>
          <w:rFonts w:ascii="Arial" w:hAnsi="Arial"/>
          <w:b/>
        </w:rPr>
        <w:t xml:space="preserve"> 2023</w:t>
      </w:r>
    </w:p>
    <w:p w14:paraId="41C1CF1D" w14:textId="77777777" w:rsidR="000430A8" w:rsidRDefault="000430A8" w:rsidP="009627FC">
      <w:pPr>
        <w:spacing w:line="360" w:lineRule="auto"/>
        <w:jc w:val="both"/>
        <w:rPr>
          <w:rFonts w:ascii="Arial" w:hAnsi="Arial"/>
          <w:b/>
        </w:rPr>
      </w:pPr>
    </w:p>
    <w:p w14:paraId="433366F3" w14:textId="1BB5BDC1" w:rsidR="000430A8" w:rsidRPr="00841A6B" w:rsidRDefault="00D04FE1" w:rsidP="009627FC">
      <w:pPr>
        <w:spacing w:line="360" w:lineRule="auto"/>
        <w:jc w:val="both"/>
        <w:rPr>
          <w:rFonts w:ascii="Arial" w:hAnsi="Arial"/>
        </w:rPr>
      </w:pPr>
      <w:r>
        <w:rPr>
          <w:rFonts w:ascii="Arial" w:hAnsi="Arial"/>
          <w:b/>
        </w:rPr>
        <w:t xml:space="preserve">Flynote: </w:t>
      </w:r>
      <w:r>
        <w:rPr>
          <w:rFonts w:ascii="Arial" w:hAnsi="Arial"/>
        </w:rPr>
        <w:t xml:space="preserve">Civil Practice - </w:t>
      </w:r>
      <w:r w:rsidR="00617CB3" w:rsidRPr="00841A6B">
        <w:rPr>
          <w:rFonts w:ascii="Arial" w:hAnsi="Arial"/>
        </w:rPr>
        <w:t>Summary</w:t>
      </w:r>
      <w:r w:rsidR="00A36C31">
        <w:rPr>
          <w:rFonts w:ascii="Arial" w:hAnsi="Arial"/>
        </w:rPr>
        <w:t xml:space="preserve"> Judgment – P</w:t>
      </w:r>
      <w:r w:rsidR="00617CB3">
        <w:rPr>
          <w:rFonts w:ascii="Arial" w:hAnsi="Arial"/>
        </w:rPr>
        <w:t xml:space="preserve">oint of law </w:t>
      </w:r>
      <w:r w:rsidR="00617CB3" w:rsidRPr="00841A6B">
        <w:rPr>
          <w:rFonts w:ascii="Arial" w:hAnsi="Arial"/>
          <w:i/>
        </w:rPr>
        <w:t>in limine</w:t>
      </w:r>
      <w:r w:rsidR="00617CB3">
        <w:rPr>
          <w:rFonts w:ascii="Arial" w:hAnsi="Arial"/>
        </w:rPr>
        <w:t xml:space="preserve"> – defective affidavit </w:t>
      </w:r>
      <w:r>
        <w:rPr>
          <w:rFonts w:ascii="Arial" w:hAnsi="Arial"/>
        </w:rPr>
        <w:t xml:space="preserve">in support of summary judgment </w:t>
      </w:r>
      <w:r w:rsidR="00617CB3">
        <w:rPr>
          <w:rFonts w:ascii="Arial" w:hAnsi="Arial"/>
        </w:rPr>
        <w:t xml:space="preserve">– </w:t>
      </w:r>
      <w:r>
        <w:rPr>
          <w:rFonts w:ascii="Arial" w:hAnsi="Arial"/>
        </w:rPr>
        <w:t xml:space="preserve">Legislation - </w:t>
      </w:r>
      <w:r w:rsidR="00A36C31">
        <w:rPr>
          <w:rFonts w:ascii="Arial" w:hAnsi="Arial"/>
        </w:rPr>
        <w:t>T</w:t>
      </w:r>
      <w:r w:rsidR="00617CB3">
        <w:rPr>
          <w:rFonts w:ascii="Arial" w:hAnsi="Arial"/>
        </w:rPr>
        <w:t xml:space="preserve">he </w:t>
      </w:r>
      <w:r w:rsidR="00617CB3" w:rsidRPr="00D04FE1">
        <w:rPr>
          <w:rFonts w:ascii="Arial" w:hAnsi="Arial"/>
        </w:rPr>
        <w:t xml:space="preserve">Justice </w:t>
      </w:r>
      <w:proofErr w:type="gramStart"/>
      <w:r w:rsidR="00617CB3" w:rsidRPr="00D04FE1">
        <w:rPr>
          <w:rFonts w:ascii="Arial" w:hAnsi="Arial"/>
        </w:rPr>
        <w:t>of</w:t>
      </w:r>
      <w:proofErr w:type="gramEnd"/>
      <w:r w:rsidR="00617CB3" w:rsidRPr="00D04FE1">
        <w:rPr>
          <w:rFonts w:ascii="Arial" w:hAnsi="Arial"/>
        </w:rPr>
        <w:t xml:space="preserve"> the Peace and Commissioner</w:t>
      </w:r>
      <w:r w:rsidR="005442B0">
        <w:rPr>
          <w:rFonts w:ascii="Arial" w:hAnsi="Arial"/>
        </w:rPr>
        <w:t>s</w:t>
      </w:r>
      <w:r w:rsidR="00617CB3" w:rsidRPr="00D04FE1">
        <w:rPr>
          <w:rFonts w:ascii="Arial" w:hAnsi="Arial"/>
        </w:rPr>
        <w:t xml:space="preserve"> of Oaths Act, </w:t>
      </w:r>
      <w:r>
        <w:rPr>
          <w:rFonts w:ascii="Arial" w:hAnsi="Arial"/>
        </w:rPr>
        <w:t>(No. 16 of 1963)</w:t>
      </w:r>
      <w:r w:rsidR="005442B0">
        <w:rPr>
          <w:rFonts w:ascii="Arial" w:hAnsi="Arial"/>
        </w:rPr>
        <w:t>, (‘the Act’)</w:t>
      </w:r>
      <w:r>
        <w:rPr>
          <w:rFonts w:ascii="Arial" w:hAnsi="Arial"/>
        </w:rPr>
        <w:t xml:space="preserve"> – Effe</w:t>
      </w:r>
      <w:r w:rsidR="005442B0">
        <w:rPr>
          <w:rFonts w:ascii="Arial" w:hAnsi="Arial"/>
        </w:rPr>
        <w:t>ct of failure to include date of</w:t>
      </w:r>
      <w:r>
        <w:rPr>
          <w:rFonts w:ascii="Arial" w:hAnsi="Arial"/>
        </w:rPr>
        <w:t xml:space="preserve"> deposition by Commissioner of O</w:t>
      </w:r>
      <w:r w:rsidR="00617CB3">
        <w:rPr>
          <w:rFonts w:ascii="Arial" w:hAnsi="Arial"/>
        </w:rPr>
        <w:t>aths</w:t>
      </w:r>
      <w:r>
        <w:rPr>
          <w:rFonts w:ascii="Arial" w:hAnsi="Arial"/>
        </w:rPr>
        <w:t>.</w:t>
      </w:r>
    </w:p>
    <w:p w14:paraId="79E5CBC9" w14:textId="77777777" w:rsidR="00DC1BCF" w:rsidRDefault="00DC1BCF" w:rsidP="009627FC">
      <w:pPr>
        <w:spacing w:line="360" w:lineRule="auto"/>
        <w:jc w:val="both"/>
        <w:rPr>
          <w:rFonts w:ascii="Arial" w:hAnsi="Arial"/>
          <w:b/>
        </w:rPr>
      </w:pPr>
    </w:p>
    <w:p w14:paraId="7FC7C6D7" w14:textId="263D66DD" w:rsidR="00DC1BCF" w:rsidRDefault="00DC1BCF" w:rsidP="009627FC">
      <w:pPr>
        <w:spacing w:line="360" w:lineRule="auto"/>
        <w:jc w:val="both"/>
        <w:rPr>
          <w:rFonts w:ascii="Arial" w:hAnsi="Arial"/>
        </w:rPr>
      </w:pPr>
      <w:r>
        <w:rPr>
          <w:rFonts w:ascii="Arial" w:hAnsi="Arial"/>
          <w:b/>
        </w:rPr>
        <w:t xml:space="preserve">Summary: </w:t>
      </w:r>
      <w:r>
        <w:rPr>
          <w:rFonts w:ascii="Arial" w:hAnsi="Arial"/>
        </w:rPr>
        <w:t>The applicant, on 18 June 2012, lent and advanced an amount of N$1 740 000, in respect of a housing loan</w:t>
      </w:r>
      <w:r w:rsidR="00A36C31">
        <w:rPr>
          <w:rFonts w:ascii="Arial" w:hAnsi="Arial"/>
        </w:rPr>
        <w:t xml:space="preserve"> to the respondents</w:t>
      </w:r>
      <w:r>
        <w:rPr>
          <w:rFonts w:ascii="Arial" w:hAnsi="Arial"/>
        </w:rPr>
        <w:t xml:space="preserve">. A second agreement, referred to as a re-advance, was entered into </w:t>
      </w:r>
      <w:r>
        <w:rPr>
          <w:rFonts w:ascii="Arial" w:hAnsi="Arial"/>
          <w:i/>
        </w:rPr>
        <w:t xml:space="preserve">inter </w:t>
      </w:r>
      <w:proofErr w:type="spellStart"/>
      <w:r>
        <w:rPr>
          <w:rFonts w:ascii="Arial" w:hAnsi="Arial"/>
          <w:i/>
        </w:rPr>
        <w:t>partes</w:t>
      </w:r>
      <w:proofErr w:type="spellEnd"/>
      <w:r>
        <w:rPr>
          <w:rFonts w:ascii="Arial" w:hAnsi="Arial"/>
        </w:rPr>
        <w:t>, namely, on 17 October 2017, for a loan of N$113 716.</w:t>
      </w:r>
    </w:p>
    <w:p w14:paraId="05FEA81F" w14:textId="77777777" w:rsidR="00DC1BCF" w:rsidRDefault="00DC1BCF" w:rsidP="009627FC">
      <w:pPr>
        <w:spacing w:line="360" w:lineRule="auto"/>
        <w:jc w:val="both"/>
        <w:rPr>
          <w:rFonts w:ascii="Arial" w:hAnsi="Arial"/>
        </w:rPr>
      </w:pPr>
    </w:p>
    <w:p w14:paraId="15846FA7" w14:textId="3D522243" w:rsidR="00DC1BCF" w:rsidRDefault="00DC1BCF" w:rsidP="009627FC">
      <w:pPr>
        <w:spacing w:line="360" w:lineRule="auto"/>
        <w:jc w:val="both"/>
        <w:rPr>
          <w:rFonts w:ascii="Arial" w:hAnsi="Arial"/>
        </w:rPr>
      </w:pPr>
      <w:r>
        <w:rPr>
          <w:rFonts w:ascii="Arial" w:hAnsi="Arial"/>
        </w:rPr>
        <w:t>It is alleged by the applicant that the respondents have fallen into arrears in the repayment of the two loans. As a result of not keeping their end of the bargain, the applicant issued a combined summons for paymen</w:t>
      </w:r>
      <w:r w:rsidR="00A36C31">
        <w:rPr>
          <w:rFonts w:ascii="Arial" w:hAnsi="Arial"/>
        </w:rPr>
        <w:t>t of the amount of N$ 1 624 647</w:t>
      </w:r>
      <w:proofErr w:type="gramStart"/>
      <w:r w:rsidR="00A36C31">
        <w:rPr>
          <w:rFonts w:ascii="Arial" w:hAnsi="Arial"/>
        </w:rPr>
        <w:t>,</w:t>
      </w:r>
      <w:r>
        <w:rPr>
          <w:rFonts w:ascii="Arial" w:hAnsi="Arial"/>
        </w:rPr>
        <w:t>19</w:t>
      </w:r>
      <w:proofErr w:type="gramEnd"/>
      <w:r>
        <w:rPr>
          <w:rFonts w:ascii="Arial" w:hAnsi="Arial"/>
        </w:rPr>
        <w:t>.</w:t>
      </w:r>
    </w:p>
    <w:p w14:paraId="3AFBE058" w14:textId="77777777" w:rsidR="00DC1BCF" w:rsidRDefault="00DC1BCF" w:rsidP="009627FC">
      <w:pPr>
        <w:spacing w:line="360" w:lineRule="auto"/>
        <w:jc w:val="both"/>
        <w:rPr>
          <w:rFonts w:ascii="Arial" w:hAnsi="Arial"/>
        </w:rPr>
      </w:pPr>
    </w:p>
    <w:p w14:paraId="33F1E931" w14:textId="37CD80BC" w:rsidR="00DC1BCF" w:rsidRDefault="00DC1BCF" w:rsidP="009627FC">
      <w:pPr>
        <w:spacing w:line="360" w:lineRule="auto"/>
        <w:jc w:val="both"/>
        <w:rPr>
          <w:rFonts w:ascii="Arial" w:hAnsi="Arial"/>
        </w:rPr>
      </w:pPr>
      <w:r>
        <w:rPr>
          <w:rFonts w:ascii="Arial" w:hAnsi="Arial"/>
        </w:rPr>
        <w:t xml:space="preserve">The respondents entered an appearance to defend the matter. The applicant with the belief that the respondents do not have a </w:t>
      </w:r>
      <w:r w:rsidRPr="00841A6B">
        <w:rPr>
          <w:rFonts w:ascii="Arial" w:hAnsi="Arial"/>
          <w:i/>
        </w:rPr>
        <w:t>bona fide</w:t>
      </w:r>
      <w:r>
        <w:rPr>
          <w:rFonts w:ascii="Arial" w:hAnsi="Arial"/>
        </w:rPr>
        <w:t xml:space="preserve"> defence, applied for summary judgment. The court is to determine whether this case constitute </w:t>
      </w:r>
      <w:r w:rsidR="00D04FE1">
        <w:rPr>
          <w:rFonts w:ascii="Arial" w:hAnsi="Arial"/>
        </w:rPr>
        <w:t>a proper case in which i</w:t>
      </w:r>
      <w:r>
        <w:rPr>
          <w:rFonts w:ascii="Arial" w:hAnsi="Arial"/>
        </w:rPr>
        <w:t>t should grant an application for summary judgment.</w:t>
      </w:r>
    </w:p>
    <w:p w14:paraId="57D9ADC6" w14:textId="77777777" w:rsidR="00DF43C4" w:rsidRDefault="00DF43C4" w:rsidP="009627FC">
      <w:pPr>
        <w:spacing w:line="360" w:lineRule="auto"/>
        <w:jc w:val="both"/>
        <w:rPr>
          <w:rFonts w:ascii="Arial" w:hAnsi="Arial"/>
        </w:rPr>
      </w:pPr>
    </w:p>
    <w:p w14:paraId="0BCCB045" w14:textId="2A410820" w:rsidR="00DF43C4" w:rsidRDefault="00DF43C4" w:rsidP="009627FC">
      <w:pPr>
        <w:spacing w:line="360" w:lineRule="auto"/>
        <w:jc w:val="both"/>
        <w:rPr>
          <w:rFonts w:ascii="Arial" w:hAnsi="Arial"/>
        </w:rPr>
      </w:pPr>
      <w:r w:rsidRPr="00841A6B">
        <w:rPr>
          <w:rFonts w:ascii="Arial" w:hAnsi="Arial"/>
          <w:i/>
        </w:rPr>
        <w:t>Held</w:t>
      </w:r>
      <w:r>
        <w:rPr>
          <w:rFonts w:ascii="Arial" w:hAnsi="Arial"/>
        </w:rPr>
        <w:t xml:space="preserve">: </w:t>
      </w:r>
      <w:r w:rsidR="00D04FE1">
        <w:rPr>
          <w:rFonts w:ascii="Arial" w:hAnsi="Arial"/>
        </w:rPr>
        <w:t xml:space="preserve">The provisions of the </w:t>
      </w:r>
      <w:r w:rsidR="005442B0">
        <w:rPr>
          <w:rFonts w:ascii="Arial" w:hAnsi="Arial"/>
        </w:rPr>
        <w:t xml:space="preserve">Regulations made in terms of s 10 of the </w:t>
      </w:r>
      <w:r w:rsidR="00D04FE1">
        <w:rPr>
          <w:rFonts w:ascii="Arial" w:hAnsi="Arial"/>
        </w:rPr>
        <w:t>Act are merely directory and not peremptory. As such, the court retains a discretion, regard had to whether substantial compliance is proved, to overlook non-compliance.</w:t>
      </w:r>
    </w:p>
    <w:p w14:paraId="1BE17D0F" w14:textId="77777777" w:rsidR="009627FC" w:rsidRDefault="009627FC" w:rsidP="009627FC">
      <w:pPr>
        <w:spacing w:line="360" w:lineRule="auto"/>
        <w:jc w:val="both"/>
        <w:rPr>
          <w:rFonts w:ascii="Arial" w:hAnsi="Arial"/>
        </w:rPr>
      </w:pPr>
    </w:p>
    <w:p w14:paraId="0D90941C" w14:textId="6C1F777B" w:rsidR="00DC1BCF" w:rsidRDefault="00DC1BCF" w:rsidP="009627FC">
      <w:pPr>
        <w:spacing w:line="360" w:lineRule="auto"/>
        <w:jc w:val="both"/>
        <w:rPr>
          <w:rFonts w:ascii="Arial" w:hAnsi="Arial"/>
        </w:rPr>
      </w:pPr>
      <w:r w:rsidRPr="00841A6B">
        <w:rPr>
          <w:rFonts w:ascii="Arial" w:hAnsi="Arial"/>
          <w:i/>
        </w:rPr>
        <w:t>Held</w:t>
      </w:r>
      <w:r w:rsidR="00DF43C4" w:rsidRPr="00841A6B">
        <w:rPr>
          <w:rFonts w:ascii="Arial" w:hAnsi="Arial"/>
          <w:i/>
        </w:rPr>
        <w:t xml:space="preserve"> that</w:t>
      </w:r>
      <w:r>
        <w:rPr>
          <w:rFonts w:ascii="Arial" w:hAnsi="Arial"/>
        </w:rPr>
        <w:t xml:space="preserve">: </w:t>
      </w:r>
      <w:r w:rsidR="00DF43C4">
        <w:rPr>
          <w:rFonts w:ascii="Arial" w:hAnsi="Arial"/>
        </w:rPr>
        <w:t>Commissioners of oath</w:t>
      </w:r>
      <w:r w:rsidR="005442B0">
        <w:rPr>
          <w:rFonts w:ascii="Arial" w:hAnsi="Arial"/>
        </w:rPr>
        <w:t>s</w:t>
      </w:r>
      <w:r w:rsidR="00DF43C4">
        <w:rPr>
          <w:rFonts w:ascii="Arial" w:hAnsi="Arial"/>
        </w:rPr>
        <w:t xml:space="preserve"> must perform their functions with a full presence of mind and not be perfunctory in their approach, resting on the forlorn hope that the court will invariably apply the lower standard of substantial performance in reviewing their work.</w:t>
      </w:r>
    </w:p>
    <w:p w14:paraId="23207CCC" w14:textId="77777777" w:rsidR="00422195" w:rsidRDefault="00422195" w:rsidP="009627FC">
      <w:pPr>
        <w:spacing w:line="360" w:lineRule="auto"/>
        <w:jc w:val="both"/>
        <w:rPr>
          <w:rFonts w:ascii="Arial" w:hAnsi="Arial"/>
        </w:rPr>
      </w:pPr>
    </w:p>
    <w:p w14:paraId="215EE495" w14:textId="3A02CD19" w:rsidR="006F1F2C" w:rsidRDefault="00422195" w:rsidP="009627FC">
      <w:pPr>
        <w:spacing w:line="360" w:lineRule="auto"/>
        <w:jc w:val="both"/>
        <w:rPr>
          <w:rFonts w:ascii="Arial" w:hAnsi="Arial"/>
        </w:rPr>
      </w:pPr>
      <w:r w:rsidRPr="00841A6B">
        <w:rPr>
          <w:rFonts w:ascii="Arial" w:hAnsi="Arial"/>
          <w:i/>
        </w:rPr>
        <w:t>Held further</w:t>
      </w:r>
      <w:r w:rsidR="00D04FE1">
        <w:rPr>
          <w:rFonts w:ascii="Arial" w:hAnsi="Arial"/>
        </w:rPr>
        <w:t>: A summary judg</w:t>
      </w:r>
      <w:r>
        <w:rPr>
          <w:rFonts w:ascii="Arial" w:hAnsi="Arial"/>
        </w:rPr>
        <w:t>ment application</w:t>
      </w:r>
      <w:r w:rsidR="00D04FE1">
        <w:rPr>
          <w:rFonts w:ascii="Arial" w:hAnsi="Arial"/>
        </w:rPr>
        <w:t>, it being a drastic order, the applicant should ensure that the</w:t>
      </w:r>
      <w:r w:rsidR="005442B0">
        <w:rPr>
          <w:rFonts w:ascii="Arial" w:hAnsi="Arial"/>
        </w:rPr>
        <w:t xml:space="preserve"> papers are technically correct</w:t>
      </w:r>
      <w:r w:rsidR="00D04FE1">
        <w:rPr>
          <w:rFonts w:ascii="Arial" w:hAnsi="Arial"/>
        </w:rPr>
        <w:t xml:space="preserve">. Where there is an omission in the affidavit on which the </w:t>
      </w:r>
      <w:r w:rsidR="005442B0">
        <w:rPr>
          <w:rFonts w:ascii="Arial" w:hAnsi="Arial"/>
        </w:rPr>
        <w:t xml:space="preserve">summary judgment </w:t>
      </w:r>
      <w:r w:rsidR="00D04FE1">
        <w:rPr>
          <w:rFonts w:ascii="Arial" w:hAnsi="Arial"/>
        </w:rPr>
        <w:t>application is predicated, the court may refuse to exercise its discretion in favour of the applicant for summary judgment.</w:t>
      </w:r>
      <w:r w:rsidR="005442B0">
        <w:rPr>
          <w:rFonts w:ascii="Arial" w:hAnsi="Arial"/>
        </w:rPr>
        <w:t xml:space="preserve"> </w:t>
      </w:r>
    </w:p>
    <w:p w14:paraId="44F3048F" w14:textId="77777777" w:rsidR="005442B0" w:rsidRDefault="005442B0" w:rsidP="009627FC">
      <w:pPr>
        <w:spacing w:line="360" w:lineRule="auto"/>
        <w:jc w:val="both"/>
        <w:rPr>
          <w:rFonts w:ascii="Arial" w:hAnsi="Arial"/>
        </w:rPr>
      </w:pPr>
    </w:p>
    <w:p w14:paraId="269A07E1" w14:textId="72AE1269" w:rsidR="00D04FE1" w:rsidRDefault="002C20A0" w:rsidP="009627FC">
      <w:pPr>
        <w:spacing w:line="360" w:lineRule="auto"/>
        <w:jc w:val="both"/>
        <w:rPr>
          <w:rFonts w:ascii="Arial" w:hAnsi="Arial"/>
        </w:rPr>
      </w:pPr>
      <w:r>
        <w:rPr>
          <w:rFonts w:ascii="Arial" w:hAnsi="Arial"/>
          <w:i/>
        </w:rPr>
        <w:lastRenderedPageBreak/>
        <w:t>Held</w:t>
      </w:r>
      <w:r>
        <w:rPr>
          <w:rFonts w:ascii="Arial" w:hAnsi="Arial"/>
        </w:rPr>
        <w:t>: The applicant had an opportunity to remedy the defect raised in the opposing affidavit by withdrawing the application and filing a new and properly attested affidavit, but it did not do so.</w:t>
      </w:r>
    </w:p>
    <w:p w14:paraId="1883082F" w14:textId="77777777" w:rsidR="005442B0" w:rsidRDefault="005442B0" w:rsidP="009627FC">
      <w:pPr>
        <w:spacing w:line="360" w:lineRule="auto"/>
        <w:jc w:val="both"/>
        <w:rPr>
          <w:rFonts w:ascii="Arial" w:hAnsi="Arial"/>
        </w:rPr>
      </w:pPr>
    </w:p>
    <w:p w14:paraId="75DDAD37" w14:textId="55616645" w:rsidR="005442B0" w:rsidRDefault="005442B0" w:rsidP="009627FC">
      <w:pPr>
        <w:spacing w:line="360" w:lineRule="auto"/>
        <w:jc w:val="both"/>
        <w:rPr>
          <w:rFonts w:ascii="Arial" w:hAnsi="Arial"/>
        </w:rPr>
      </w:pPr>
      <w:r>
        <w:rPr>
          <w:rFonts w:ascii="Arial" w:hAnsi="Arial"/>
        </w:rPr>
        <w:t>The application for summary judgment was refused with costs.</w:t>
      </w:r>
    </w:p>
    <w:p w14:paraId="3121A46F" w14:textId="77777777" w:rsidR="002C20A0" w:rsidRPr="002C20A0" w:rsidRDefault="002C20A0" w:rsidP="009627FC">
      <w:pPr>
        <w:spacing w:line="360" w:lineRule="auto"/>
        <w:jc w:val="both"/>
        <w:rPr>
          <w:rFonts w:ascii="Arial" w:hAnsi="Arial"/>
        </w:rPr>
      </w:pPr>
    </w:p>
    <w:p w14:paraId="5073DDC7" w14:textId="77777777" w:rsidR="006F1F2C" w:rsidRDefault="006F1F2C" w:rsidP="009627FC">
      <w:pPr>
        <w:pBdr>
          <w:top w:val="single" w:sz="4" w:space="1" w:color="auto"/>
          <w:bottom w:val="single" w:sz="4" w:space="1" w:color="auto"/>
        </w:pBdr>
        <w:jc w:val="center"/>
        <w:rPr>
          <w:rFonts w:ascii="Arial" w:hAnsi="Arial"/>
          <w:b/>
        </w:rPr>
      </w:pPr>
    </w:p>
    <w:p w14:paraId="080FF73C" w14:textId="77777777" w:rsidR="006F1F2C" w:rsidRDefault="006F1F2C" w:rsidP="009627FC">
      <w:pPr>
        <w:pBdr>
          <w:top w:val="single" w:sz="4" w:space="1" w:color="auto"/>
          <w:bottom w:val="single" w:sz="4" w:space="1" w:color="auto"/>
        </w:pBdr>
        <w:jc w:val="center"/>
        <w:rPr>
          <w:rFonts w:ascii="Arial" w:hAnsi="Arial"/>
          <w:b/>
        </w:rPr>
      </w:pPr>
      <w:r>
        <w:rPr>
          <w:rFonts w:ascii="Arial" w:hAnsi="Arial"/>
          <w:b/>
        </w:rPr>
        <w:t>ORDER</w:t>
      </w:r>
    </w:p>
    <w:p w14:paraId="678C6766" w14:textId="77777777" w:rsidR="006F1F2C" w:rsidRDefault="006F1F2C" w:rsidP="009627FC">
      <w:pPr>
        <w:pBdr>
          <w:top w:val="single" w:sz="4" w:space="1" w:color="auto"/>
          <w:bottom w:val="single" w:sz="4" w:space="1" w:color="auto"/>
        </w:pBdr>
        <w:jc w:val="center"/>
        <w:rPr>
          <w:rFonts w:ascii="Arial" w:hAnsi="Arial"/>
          <w:b/>
        </w:rPr>
      </w:pPr>
    </w:p>
    <w:p w14:paraId="43ACA4A0" w14:textId="77777777" w:rsidR="006F1F2C" w:rsidRDefault="006F1F2C" w:rsidP="009627FC">
      <w:pPr>
        <w:spacing w:line="360" w:lineRule="auto"/>
        <w:rPr>
          <w:rFonts w:ascii="Arial" w:hAnsi="Arial"/>
          <w:b/>
        </w:rPr>
      </w:pPr>
    </w:p>
    <w:p w14:paraId="0F0BD523" w14:textId="77777777" w:rsidR="006F1F2C" w:rsidRPr="005F0527" w:rsidRDefault="006F1F2C" w:rsidP="009627FC">
      <w:pPr>
        <w:pStyle w:val="ListParagraph"/>
        <w:numPr>
          <w:ilvl w:val="0"/>
          <w:numId w:val="1"/>
        </w:numPr>
        <w:spacing w:line="360" w:lineRule="auto"/>
        <w:jc w:val="both"/>
        <w:rPr>
          <w:rFonts w:ascii="Arial" w:hAnsi="Arial"/>
        </w:rPr>
      </w:pPr>
      <w:r w:rsidRPr="005F0527">
        <w:rPr>
          <w:rFonts w:ascii="Arial" w:hAnsi="Arial"/>
        </w:rPr>
        <w:t>The application for summary judgment is refused.</w:t>
      </w:r>
    </w:p>
    <w:p w14:paraId="53FC52F7" w14:textId="77777777" w:rsidR="006F1F2C" w:rsidRDefault="006F1F2C" w:rsidP="009627FC">
      <w:pPr>
        <w:pStyle w:val="ListParagraph"/>
        <w:numPr>
          <w:ilvl w:val="0"/>
          <w:numId w:val="1"/>
        </w:numPr>
        <w:spacing w:line="360" w:lineRule="auto"/>
        <w:jc w:val="both"/>
        <w:rPr>
          <w:rFonts w:ascii="Arial" w:hAnsi="Arial"/>
        </w:rPr>
      </w:pPr>
      <w:r>
        <w:rPr>
          <w:rFonts w:ascii="Arial" w:hAnsi="Arial"/>
        </w:rPr>
        <w:t>The applicant is ordered to pay the costs of this application, subject to the provisions of rule 32(11).</w:t>
      </w:r>
    </w:p>
    <w:p w14:paraId="7DF36845" w14:textId="4EBCB2CA" w:rsidR="000430A8" w:rsidRDefault="006F1F2C" w:rsidP="009627FC">
      <w:pPr>
        <w:pStyle w:val="ListParagraph"/>
        <w:numPr>
          <w:ilvl w:val="0"/>
          <w:numId w:val="1"/>
        </w:numPr>
        <w:spacing w:line="360" w:lineRule="auto"/>
        <w:jc w:val="both"/>
        <w:rPr>
          <w:rFonts w:ascii="Arial" w:hAnsi="Arial"/>
        </w:rPr>
      </w:pPr>
      <w:r>
        <w:rPr>
          <w:rFonts w:ascii="Arial" w:hAnsi="Arial"/>
        </w:rPr>
        <w:t>The parties are ordered to file a revised joint case plan, together with a proposed case plann</w:t>
      </w:r>
      <w:r w:rsidR="00A25937">
        <w:rPr>
          <w:rFonts w:ascii="Arial" w:hAnsi="Arial"/>
        </w:rPr>
        <w:t xml:space="preserve">ing draft order on or before </w:t>
      </w:r>
      <w:r w:rsidR="00A25937" w:rsidRPr="00A25937">
        <w:rPr>
          <w:rFonts w:ascii="Arial" w:hAnsi="Arial"/>
          <w:b/>
        </w:rPr>
        <w:t>13</w:t>
      </w:r>
      <w:r w:rsidRPr="00A25937">
        <w:rPr>
          <w:rFonts w:ascii="Arial" w:hAnsi="Arial"/>
          <w:b/>
        </w:rPr>
        <w:t xml:space="preserve"> October 2023</w:t>
      </w:r>
      <w:r>
        <w:rPr>
          <w:rFonts w:ascii="Arial" w:hAnsi="Arial"/>
        </w:rPr>
        <w:t>.</w:t>
      </w:r>
    </w:p>
    <w:p w14:paraId="3823C40D" w14:textId="4F250A4D" w:rsidR="00A25937" w:rsidRPr="009627FC" w:rsidRDefault="00A25937" w:rsidP="009627FC">
      <w:pPr>
        <w:pStyle w:val="ListParagraph"/>
        <w:numPr>
          <w:ilvl w:val="0"/>
          <w:numId w:val="1"/>
        </w:numPr>
        <w:spacing w:line="360" w:lineRule="auto"/>
        <w:jc w:val="both"/>
        <w:rPr>
          <w:rFonts w:ascii="Arial" w:hAnsi="Arial"/>
        </w:rPr>
      </w:pPr>
      <w:r>
        <w:rPr>
          <w:rFonts w:ascii="Arial" w:hAnsi="Arial"/>
        </w:rPr>
        <w:t xml:space="preserve">The matter is postponed to </w:t>
      </w:r>
      <w:r w:rsidRPr="00A25937">
        <w:rPr>
          <w:rFonts w:ascii="Arial" w:hAnsi="Arial"/>
          <w:b/>
        </w:rPr>
        <w:t>19 October 2023</w:t>
      </w:r>
      <w:r>
        <w:rPr>
          <w:rFonts w:ascii="Arial" w:hAnsi="Arial"/>
        </w:rPr>
        <w:t xml:space="preserve"> at </w:t>
      </w:r>
      <w:r w:rsidRPr="00A25937">
        <w:rPr>
          <w:rFonts w:ascii="Arial" w:hAnsi="Arial"/>
          <w:b/>
        </w:rPr>
        <w:t>08h30</w:t>
      </w:r>
      <w:r>
        <w:rPr>
          <w:rFonts w:ascii="Arial" w:hAnsi="Arial"/>
        </w:rPr>
        <w:t xml:space="preserve"> for a case planning conference.</w:t>
      </w:r>
    </w:p>
    <w:p w14:paraId="4896E1EA" w14:textId="77777777" w:rsidR="006F1F2C" w:rsidRDefault="006F1F2C" w:rsidP="009627FC">
      <w:pPr>
        <w:spacing w:line="360" w:lineRule="auto"/>
        <w:rPr>
          <w:rFonts w:ascii="Arial" w:hAnsi="Arial"/>
        </w:rPr>
      </w:pPr>
    </w:p>
    <w:p w14:paraId="5F65B8A1" w14:textId="77777777" w:rsidR="006F1F2C" w:rsidRDefault="006F1F2C" w:rsidP="009627FC">
      <w:pPr>
        <w:pBdr>
          <w:top w:val="single" w:sz="4" w:space="1" w:color="auto"/>
        </w:pBdr>
        <w:jc w:val="center"/>
        <w:rPr>
          <w:rFonts w:ascii="Arial" w:hAnsi="Arial"/>
          <w:b/>
        </w:rPr>
      </w:pPr>
    </w:p>
    <w:p w14:paraId="5C68E489" w14:textId="7CC5340C" w:rsidR="006F1F2C" w:rsidRDefault="00A36C31" w:rsidP="009627FC">
      <w:pPr>
        <w:pBdr>
          <w:top w:val="single" w:sz="4" w:space="1" w:color="auto"/>
        </w:pBdr>
        <w:jc w:val="center"/>
        <w:rPr>
          <w:rFonts w:ascii="Arial" w:hAnsi="Arial"/>
          <w:b/>
        </w:rPr>
      </w:pPr>
      <w:r>
        <w:rPr>
          <w:rFonts w:ascii="Arial" w:hAnsi="Arial"/>
          <w:b/>
        </w:rPr>
        <w:t>RULING</w:t>
      </w:r>
    </w:p>
    <w:p w14:paraId="3F1432C3" w14:textId="77777777" w:rsidR="006F1F2C" w:rsidRDefault="006F1F2C" w:rsidP="009627FC">
      <w:pPr>
        <w:pBdr>
          <w:bottom w:val="single" w:sz="6" w:space="1" w:color="auto"/>
        </w:pBdr>
        <w:jc w:val="center"/>
        <w:rPr>
          <w:rFonts w:ascii="Arial" w:hAnsi="Arial"/>
          <w:b/>
        </w:rPr>
      </w:pPr>
    </w:p>
    <w:p w14:paraId="2BA018A8" w14:textId="77777777" w:rsidR="006F1F2C" w:rsidRDefault="006F1F2C" w:rsidP="009627FC">
      <w:pPr>
        <w:spacing w:line="360" w:lineRule="auto"/>
        <w:rPr>
          <w:rFonts w:ascii="Arial" w:hAnsi="Arial"/>
          <w:b/>
        </w:rPr>
      </w:pPr>
    </w:p>
    <w:p w14:paraId="3229DA1D" w14:textId="75FECBEC" w:rsidR="00B92B88" w:rsidRDefault="00B92B88" w:rsidP="009627FC">
      <w:pPr>
        <w:spacing w:line="360" w:lineRule="auto"/>
        <w:rPr>
          <w:rFonts w:ascii="Arial" w:hAnsi="Arial"/>
          <w:b/>
        </w:rPr>
      </w:pPr>
      <w:r>
        <w:rPr>
          <w:rFonts w:ascii="Arial" w:hAnsi="Arial"/>
          <w:b/>
        </w:rPr>
        <w:t>MASUKU J:</w:t>
      </w:r>
    </w:p>
    <w:p w14:paraId="4AE21093" w14:textId="77777777" w:rsidR="009627FC" w:rsidRDefault="009627FC" w:rsidP="009627FC">
      <w:pPr>
        <w:spacing w:line="360" w:lineRule="auto"/>
        <w:rPr>
          <w:rFonts w:ascii="Arial" w:hAnsi="Arial"/>
          <w:u w:val="single"/>
        </w:rPr>
      </w:pPr>
    </w:p>
    <w:p w14:paraId="0AA16307" w14:textId="77777777" w:rsidR="00B92B88" w:rsidRDefault="00B92B88" w:rsidP="009627FC">
      <w:pPr>
        <w:spacing w:line="360" w:lineRule="auto"/>
        <w:rPr>
          <w:rFonts w:ascii="Arial" w:hAnsi="Arial"/>
          <w:u w:val="single"/>
        </w:rPr>
      </w:pPr>
      <w:r>
        <w:rPr>
          <w:rFonts w:ascii="Arial" w:hAnsi="Arial"/>
          <w:u w:val="single"/>
        </w:rPr>
        <w:t>Introduction</w:t>
      </w:r>
    </w:p>
    <w:p w14:paraId="5853CA37" w14:textId="77777777" w:rsidR="00B92B88" w:rsidRDefault="00B92B88" w:rsidP="009627FC">
      <w:pPr>
        <w:spacing w:line="360" w:lineRule="auto"/>
        <w:rPr>
          <w:rFonts w:ascii="Arial" w:hAnsi="Arial"/>
          <w:u w:val="single"/>
        </w:rPr>
      </w:pPr>
    </w:p>
    <w:p w14:paraId="21818DE7" w14:textId="77777777" w:rsidR="00B92B88" w:rsidRDefault="00B92B88" w:rsidP="009627FC">
      <w:pPr>
        <w:spacing w:line="360" w:lineRule="auto"/>
        <w:jc w:val="both"/>
        <w:rPr>
          <w:rFonts w:ascii="Arial" w:hAnsi="Arial"/>
        </w:rPr>
      </w:pPr>
      <w:r>
        <w:rPr>
          <w:rFonts w:ascii="Arial" w:hAnsi="Arial"/>
        </w:rPr>
        <w:t>[1]</w:t>
      </w:r>
      <w:r>
        <w:rPr>
          <w:rFonts w:ascii="Arial" w:hAnsi="Arial"/>
        </w:rPr>
        <w:tab/>
        <w:t xml:space="preserve">The parties, being Nedbank Namibia Limited, of the one part, and Mr Cyril James Richard van </w:t>
      </w:r>
      <w:proofErr w:type="spellStart"/>
      <w:r>
        <w:rPr>
          <w:rFonts w:ascii="Arial" w:hAnsi="Arial"/>
        </w:rPr>
        <w:t>Rooi</w:t>
      </w:r>
      <w:proofErr w:type="spellEnd"/>
      <w:r>
        <w:rPr>
          <w:rFonts w:ascii="Arial" w:hAnsi="Arial"/>
        </w:rPr>
        <w:t xml:space="preserve"> and his wife Mrs Beulah </w:t>
      </w:r>
      <w:proofErr w:type="spellStart"/>
      <w:r>
        <w:rPr>
          <w:rFonts w:ascii="Arial" w:hAnsi="Arial"/>
        </w:rPr>
        <w:t>Vanessah</w:t>
      </w:r>
      <w:proofErr w:type="spellEnd"/>
      <w:r>
        <w:rPr>
          <w:rFonts w:ascii="Arial" w:hAnsi="Arial"/>
        </w:rPr>
        <w:t xml:space="preserve"> van </w:t>
      </w:r>
      <w:proofErr w:type="spellStart"/>
      <w:r>
        <w:rPr>
          <w:rFonts w:ascii="Arial" w:hAnsi="Arial"/>
        </w:rPr>
        <w:t>Rooi</w:t>
      </w:r>
      <w:proofErr w:type="spellEnd"/>
      <w:r>
        <w:rPr>
          <w:rFonts w:ascii="Arial" w:hAnsi="Arial"/>
        </w:rPr>
        <w:t>, of the other part, are at serious loggerheads. At issue in this judgment is an application for summary judgment lodged by the former against the latter, which is seriously resisted by the</w:t>
      </w:r>
      <w:r w:rsidR="00D77E7E">
        <w:rPr>
          <w:rFonts w:ascii="Arial" w:hAnsi="Arial"/>
        </w:rPr>
        <w:t xml:space="preserve"> latter.</w:t>
      </w:r>
    </w:p>
    <w:p w14:paraId="022D9C4E" w14:textId="77777777" w:rsidR="00D77E7E" w:rsidRDefault="00D77E7E" w:rsidP="009627FC">
      <w:pPr>
        <w:spacing w:line="360" w:lineRule="auto"/>
        <w:jc w:val="both"/>
        <w:rPr>
          <w:rFonts w:ascii="Arial" w:hAnsi="Arial"/>
        </w:rPr>
      </w:pPr>
    </w:p>
    <w:p w14:paraId="2AD21775" w14:textId="05C1A141" w:rsidR="00D77E7E" w:rsidRDefault="00D77E7E" w:rsidP="009627FC">
      <w:pPr>
        <w:spacing w:line="360" w:lineRule="auto"/>
        <w:jc w:val="both"/>
        <w:rPr>
          <w:rFonts w:ascii="Arial" w:hAnsi="Arial"/>
        </w:rPr>
      </w:pPr>
      <w:r>
        <w:rPr>
          <w:rFonts w:ascii="Arial" w:hAnsi="Arial"/>
        </w:rPr>
        <w:t>[2]</w:t>
      </w:r>
      <w:r>
        <w:rPr>
          <w:rFonts w:ascii="Arial" w:hAnsi="Arial"/>
        </w:rPr>
        <w:tab/>
        <w:t xml:space="preserve">Accordingly, the remit of this court in this ruling is to answer one major question </w:t>
      </w:r>
      <w:proofErr w:type="spellStart"/>
      <w:r>
        <w:rPr>
          <w:rFonts w:ascii="Arial" w:hAnsi="Arial"/>
          <w:i/>
        </w:rPr>
        <w:t>viz</w:t>
      </w:r>
      <w:proofErr w:type="spellEnd"/>
      <w:r>
        <w:rPr>
          <w:rFonts w:ascii="Arial" w:hAnsi="Arial"/>
        </w:rPr>
        <w:t>, does this case constitute a proper case in which this court should grant an application for summary judgment. In this regard, the</w:t>
      </w:r>
      <w:r w:rsidR="007C6B28">
        <w:rPr>
          <w:rFonts w:ascii="Arial" w:hAnsi="Arial"/>
        </w:rPr>
        <w:t xml:space="preserve"> </w:t>
      </w:r>
      <w:r>
        <w:rPr>
          <w:rFonts w:ascii="Arial" w:hAnsi="Arial"/>
        </w:rPr>
        <w:lastRenderedPageBreak/>
        <w:t xml:space="preserve">applicant has argued and quite forcefully too, that regard had to the high level </w:t>
      </w:r>
      <w:r w:rsidR="00A36C31">
        <w:rPr>
          <w:rFonts w:ascii="Arial" w:hAnsi="Arial"/>
        </w:rPr>
        <w:t xml:space="preserve">of </w:t>
      </w:r>
      <w:r>
        <w:rPr>
          <w:rFonts w:ascii="Arial" w:hAnsi="Arial"/>
        </w:rPr>
        <w:t xml:space="preserve">indebtedness and the breach of agreement by the van </w:t>
      </w:r>
      <w:proofErr w:type="spellStart"/>
      <w:r>
        <w:rPr>
          <w:rFonts w:ascii="Arial" w:hAnsi="Arial"/>
        </w:rPr>
        <w:t>Roois</w:t>
      </w:r>
      <w:proofErr w:type="spellEnd"/>
      <w:r>
        <w:rPr>
          <w:rFonts w:ascii="Arial" w:hAnsi="Arial"/>
        </w:rPr>
        <w:t>, this court is eminently placed to grant the relief sought.</w:t>
      </w:r>
    </w:p>
    <w:p w14:paraId="58DAA30B" w14:textId="77777777" w:rsidR="00D77E7E" w:rsidRDefault="00D77E7E" w:rsidP="009627FC">
      <w:pPr>
        <w:spacing w:line="360" w:lineRule="auto"/>
        <w:jc w:val="both"/>
        <w:rPr>
          <w:rFonts w:ascii="Arial" w:hAnsi="Arial"/>
        </w:rPr>
      </w:pPr>
    </w:p>
    <w:p w14:paraId="56ADCF09" w14:textId="1B5A84D6" w:rsidR="00D77E7E" w:rsidRDefault="00D77E7E" w:rsidP="009627FC">
      <w:pPr>
        <w:spacing w:line="360" w:lineRule="auto"/>
        <w:jc w:val="both"/>
        <w:rPr>
          <w:rFonts w:ascii="Arial" w:hAnsi="Arial"/>
        </w:rPr>
      </w:pPr>
      <w:r>
        <w:rPr>
          <w:rFonts w:ascii="Arial" w:hAnsi="Arial"/>
        </w:rPr>
        <w:t>[3]</w:t>
      </w:r>
      <w:r>
        <w:rPr>
          <w:rFonts w:ascii="Arial" w:hAnsi="Arial"/>
        </w:rPr>
        <w:tab/>
        <w:t xml:space="preserve">Dishing a response in kind, the respondents have submitted that this is not a proper case in which this court should be enamoured to the applicant’s application. It is, in this connection claimed that the application for summary judgment is </w:t>
      </w:r>
      <w:r w:rsidR="009F51E0">
        <w:rPr>
          <w:rFonts w:ascii="Arial" w:hAnsi="Arial"/>
        </w:rPr>
        <w:t>defective and</w:t>
      </w:r>
      <w:r>
        <w:rPr>
          <w:rFonts w:ascii="Arial" w:hAnsi="Arial"/>
        </w:rPr>
        <w:t xml:space="preserve"> furthermore, that in any event, the circumstances of this case do not admit of this being a proper </w:t>
      </w:r>
      <w:r w:rsidR="00AE0C7F">
        <w:rPr>
          <w:rFonts w:ascii="Arial" w:hAnsi="Arial"/>
        </w:rPr>
        <w:t>case in which the court should grant judgment in the applicant’s favour, together with the appended order that the property, which is subject to a bond, should be declared specially executable.</w:t>
      </w:r>
    </w:p>
    <w:p w14:paraId="64EC77A4" w14:textId="77777777" w:rsidR="00AE0C7F" w:rsidRDefault="00AE0C7F" w:rsidP="009627FC">
      <w:pPr>
        <w:spacing w:line="360" w:lineRule="auto"/>
        <w:jc w:val="both"/>
        <w:rPr>
          <w:rFonts w:ascii="Arial" w:hAnsi="Arial"/>
        </w:rPr>
      </w:pPr>
    </w:p>
    <w:p w14:paraId="5EB6B394" w14:textId="77777777" w:rsidR="00AE0C7F" w:rsidRDefault="00AE0C7F" w:rsidP="009627FC">
      <w:pPr>
        <w:spacing w:line="360" w:lineRule="auto"/>
        <w:jc w:val="both"/>
        <w:rPr>
          <w:rFonts w:ascii="Arial" w:hAnsi="Arial"/>
          <w:u w:val="single"/>
        </w:rPr>
      </w:pPr>
      <w:r>
        <w:rPr>
          <w:rFonts w:ascii="Arial" w:hAnsi="Arial"/>
          <w:u w:val="single"/>
        </w:rPr>
        <w:t>Background</w:t>
      </w:r>
    </w:p>
    <w:p w14:paraId="22142F47" w14:textId="77777777" w:rsidR="00AE0C7F" w:rsidRDefault="00AE0C7F" w:rsidP="009627FC">
      <w:pPr>
        <w:spacing w:line="360" w:lineRule="auto"/>
        <w:jc w:val="both"/>
        <w:rPr>
          <w:rFonts w:ascii="Arial" w:hAnsi="Arial"/>
          <w:u w:val="single"/>
        </w:rPr>
      </w:pPr>
    </w:p>
    <w:p w14:paraId="7B666997" w14:textId="79E38121" w:rsidR="00AE0C7F" w:rsidRDefault="00AE0C7F" w:rsidP="009627FC">
      <w:pPr>
        <w:spacing w:line="360" w:lineRule="auto"/>
        <w:jc w:val="both"/>
        <w:rPr>
          <w:rFonts w:ascii="Arial" w:hAnsi="Arial"/>
        </w:rPr>
      </w:pPr>
      <w:r>
        <w:rPr>
          <w:rFonts w:ascii="Arial" w:hAnsi="Arial"/>
        </w:rPr>
        <w:t>[4]</w:t>
      </w:r>
      <w:r>
        <w:rPr>
          <w:rFonts w:ascii="Arial" w:hAnsi="Arial"/>
        </w:rPr>
        <w:tab/>
        <w:t>The facts giving rise to the present claim do no admit of much controversy. They are largely common cause and may be summarised in the following fashion: The applicant, on 1</w:t>
      </w:r>
      <w:r w:rsidR="0021009C">
        <w:rPr>
          <w:rFonts w:ascii="Arial" w:hAnsi="Arial"/>
        </w:rPr>
        <w:t>8 June 2012,</w:t>
      </w:r>
      <w:r>
        <w:rPr>
          <w:rFonts w:ascii="Arial" w:hAnsi="Arial"/>
        </w:rPr>
        <w:t xml:space="preserve"> lent and advanced an amount of N$1 740 000, in respect of a housing loan</w:t>
      </w:r>
      <w:r w:rsidR="009D718D">
        <w:rPr>
          <w:rFonts w:ascii="Arial" w:hAnsi="Arial"/>
        </w:rPr>
        <w:t xml:space="preserve"> to the respondents</w:t>
      </w:r>
      <w:r>
        <w:rPr>
          <w:rFonts w:ascii="Arial" w:hAnsi="Arial"/>
        </w:rPr>
        <w:t>.</w:t>
      </w:r>
      <w:r w:rsidR="00014D99">
        <w:rPr>
          <w:rFonts w:ascii="Arial" w:hAnsi="Arial"/>
        </w:rPr>
        <w:t xml:space="preserve"> A second agreement, referred to as a re-advance, </w:t>
      </w:r>
      <w:r w:rsidR="0021009C">
        <w:rPr>
          <w:rFonts w:ascii="Arial" w:hAnsi="Arial"/>
        </w:rPr>
        <w:t xml:space="preserve">was entered into </w:t>
      </w:r>
      <w:r w:rsidR="0021009C">
        <w:rPr>
          <w:rFonts w:ascii="Arial" w:hAnsi="Arial"/>
          <w:i/>
        </w:rPr>
        <w:t xml:space="preserve">inter </w:t>
      </w:r>
      <w:proofErr w:type="spellStart"/>
      <w:r w:rsidR="0021009C">
        <w:rPr>
          <w:rFonts w:ascii="Arial" w:hAnsi="Arial"/>
          <w:i/>
        </w:rPr>
        <w:t>partes</w:t>
      </w:r>
      <w:proofErr w:type="spellEnd"/>
      <w:r w:rsidR="0021009C">
        <w:rPr>
          <w:rFonts w:ascii="Arial" w:hAnsi="Arial"/>
        </w:rPr>
        <w:t>, namely, on 17 October 2017, for a loan of N$113 716.</w:t>
      </w:r>
    </w:p>
    <w:p w14:paraId="22EDCBE7" w14:textId="77777777" w:rsidR="0021009C" w:rsidRDefault="0021009C" w:rsidP="009627FC">
      <w:pPr>
        <w:spacing w:line="360" w:lineRule="auto"/>
        <w:jc w:val="both"/>
        <w:rPr>
          <w:rFonts w:ascii="Arial" w:hAnsi="Arial"/>
        </w:rPr>
      </w:pPr>
    </w:p>
    <w:p w14:paraId="17B4351D" w14:textId="55A05F77" w:rsidR="0021009C" w:rsidRDefault="0021009C" w:rsidP="009627FC">
      <w:pPr>
        <w:spacing w:line="360" w:lineRule="auto"/>
        <w:jc w:val="both"/>
        <w:rPr>
          <w:rFonts w:ascii="Arial" w:hAnsi="Arial"/>
        </w:rPr>
      </w:pPr>
      <w:r>
        <w:rPr>
          <w:rFonts w:ascii="Arial" w:hAnsi="Arial"/>
        </w:rPr>
        <w:t>[5]</w:t>
      </w:r>
      <w:r>
        <w:rPr>
          <w:rFonts w:ascii="Arial" w:hAnsi="Arial"/>
        </w:rPr>
        <w:tab/>
        <w:t>It is alleged by the applicant that the respondents have fallen into arrears in the repayment of the two loans above. At the issuance of the summons, the respondents’ arrears stood at the amount of N$ 200 000. As a result of the failure by the respondents, to comply with their contractual obligations in terms of the contractual agreements, the applicant issued a combined summon</w:t>
      </w:r>
      <w:r w:rsidR="00014D99">
        <w:rPr>
          <w:rFonts w:ascii="Arial" w:hAnsi="Arial"/>
        </w:rPr>
        <w:t>s for paymen</w:t>
      </w:r>
      <w:r w:rsidR="00A36C31">
        <w:rPr>
          <w:rFonts w:ascii="Arial" w:hAnsi="Arial"/>
        </w:rPr>
        <w:t>t of the amount of N$ 1 624 647,</w:t>
      </w:r>
      <w:r w:rsidR="00014D99">
        <w:rPr>
          <w:rFonts w:ascii="Arial" w:hAnsi="Arial"/>
        </w:rPr>
        <w:t xml:space="preserve">19, together with interest and costs, which is said to be due, payable and owing by the respondents to the applicant. </w:t>
      </w:r>
      <w:r>
        <w:rPr>
          <w:rFonts w:ascii="Arial" w:hAnsi="Arial"/>
        </w:rPr>
        <w:t xml:space="preserve"> </w:t>
      </w:r>
    </w:p>
    <w:p w14:paraId="776644FE" w14:textId="77777777" w:rsidR="00014D99" w:rsidRDefault="00014D99" w:rsidP="009627FC">
      <w:pPr>
        <w:spacing w:line="360" w:lineRule="auto"/>
        <w:jc w:val="both"/>
        <w:rPr>
          <w:rFonts w:ascii="Arial" w:hAnsi="Arial"/>
        </w:rPr>
      </w:pPr>
    </w:p>
    <w:p w14:paraId="2971AB9A" w14:textId="5CD52244" w:rsidR="00AB1604" w:rsidRDefault="00014D99" w:rsidP="009627FC">
      <w:pPr>
        <w:spacing w:line="360" w:lineRule="auto"/>
        <w:jc w:val="both"/>
        <w:rPr>
          <w:rFonts w:ascii="Arial" w:hAnsi="Arial"/>
        </w:rPr>
      </w:pPr>
      <w:r>
        <w:rPr>
          <w:rFonts w:ascii="Arial" w:hAnsi="Arial"/>
        </w:rPr>
        <w:t>[6]</w:t>
      </w:r>
      <w:r>
        <w:rPr>
          <w:rFonts w:ascii="Arial" w:hAnsi="Arial"/>
        </w:rPr>
        <w:tab/>
        <w:t xml:space="preserve">Upon being served with the combined summons, the respondents filed a notice of intention to defend, upon which the applicant indicated that it wished to move an application for summary judgment. As the respondents are </w:t>
      </w:r>
      <w:r>
        <w:rPr>
          <w:rFonts w:ascii="Arial" w:hAnsi="Arial"/>
        </w:rPr>
        <w:lastRenderedPageBreak/>
        <w:t xml:space="preserve">entitled to, they opposed the application for summary judgment. In their opposing affidavit, the </w:t>
      </w:r>
      <w:r w:rsidR="009F51E0">
        <w:rPr>
          <w:rFonts w:ascii="Arial" w:hAnsi="Arial"/>
        </w:rPr>
        <w:t>respondents raise</w:t>
      </w:r>
      <w:r>
        <w:rPr>
          <w:rFonts w:ascii="Arial" w:hAnsi="Arial"/>
        </w:rPr>
        <w:t xml:space="preserve"> three cardinal issues. </w:t>
      </w:r>
    </w:p>
    <w:p w14:paraId="08D0F902" w14:textId="77777777" w:rsidR="00AB1604" w:rsidRDefault="00AB1604" w:rsidP="009627FC">
      <w:pPr>
        <w:spacing w:line="360" w:lineRule="auto"/>
        <w:jc w:val="both"/>
        <w:rPr>
          <w:rFonts w:ascii="Arial" w:hAnsi="Arial"/>
        </w:rPr>
      </w:pPr>
    </w:p>
    <w:p w14:paraId="53ED6ED5" w14:textId="1452147A" w:rsidR="00014D99" w:rsidRDefault="00AB1604" w:rsidP="009627FC">
      <w:pPr>
        <w:spacing w:line="360" w:lineRule="auto"/>
        <w:jc w:val="both"/>
        <w:rPr>
          <w:rFonts w:ascii="Arial" w:hAnsi="Arial"/>
        </w:rPr>
      </w:pPr>
      <w:r>
        <w:rPr>
          <w:rFonts w:ascii="Arial" w:hAnsi="Arial"/>
        </w:rPr>
        <w:t>[7]</w:t>
      </w:r>
      <w:r>
        <w:rPr>
          <w:rFonts w:ascii="Arial" w:hAnsi="Arial"/>
        </w:rPr>
        <w:tab/>
      </w:r>
      <w:r w:rsidR="00014D99">
        <w:rPr>
          <w:rFonts w:ascii="Arial" w:hAnsi="Arial"/>
        </w:rPr>
        <w:t xml:space="preserve">First, </w:t>
      </w:r>
      <w:r w:rsidR="009D718D">
        <w:rPr>
          <w:rFonts w:ascii="Arial" w:hAnsi="Arial"/>
        </w:rPr>
        <w:t>they</w:t>
      </w:r>
      <w:r w:rsidR="00014D99">
        <w:rPr>
          <w:rFonts w:ascii="Arial" w:hAnsi="Arial"/>
        </w:rPr>
        <w:t xml:space="preserve"> contend that the application ought to be dismissed because the affidavit filed in support of the application for summary judgment does not comply with the provisions of </w:t>
      </w:r>
      <w:r>
        <w:rPr>
          <w:rFonts w:ascii="Arial" w:hAnsi="Arial"/>
        </w:rPr>
        <w:t>the relevant regulations of the Justice</w:t>
      </w:r>
      <w:r w:rsidR="009D718D">
        <w:rPr>
          <w:rFonts w:ascii="Arial" w:hAnsi="Arial"/>
        </w:rPr>
        <w:t>s</w:t>
      </w:r>
      <w:r>
        <w:rPr>
          <w:rFonts w:ascii="Arial" w:hAnsi="Arial"/>
        </w:rPr>
        <w:t xml:space="preserve"> of the Peace and Commissioner of Oaths Act</w:t>
      </w:r>
      <w:r w:rsidR="00676D21">
        <w:rPr>
          <w:rFonts w:ascii="Arial" w:hAnsi="Arial"/>
        </w:rPr>
        <w:t xml:space="preserve">, </w:t>
      </w:r>
      <w:r w:rsidR="00C34041">
        <w:rPr>
          <w:rFonts w:ascii="Arial" w:hAnsi="Arial"/>
        </w:rPr>
        <w:t>(</w:t>
      </w:r>
      <w:r w:rsidR="00676D21">
        <w:rPr>
          <w:rFonts w:ascii="Arial" w:hAnsi="Arial"/>
        </w:rPr>
        <w:t>‘the Regulations</w:t>
      </w:r>
      <w:r w:rsidR="00C34041">
        <w:rPr>
          <w:rFonts w:ascii="Arial" w:hAnsi="Arial"/>
        </w:rPr>
        <w:t>’)</w:t>
      </w:r>
      <w:r>
        <w:rPr>
          <w:rFonts w:ascii="Arial" w:hAnsi="Arial"/>
        </w:rPr>
        <w:t>.</w:t>
      </w:r>
      <w:r>
        <w:rPr>
          <w:rStyle w:val="FootnoteReference"/>
          <w:rFonts w:ascii="Arial" w:hAnsi="Arial"/>
        </w:rPr>
        <w:footnoteReference w:id="1"/>
      </w:r>
      <w:r>
        <w:rPr>
          <w:rFonts w:ascii="Arial" w:hAnsi="Arial"/>
        </w:rPr>
        <w:t xml:space="preserve"> Second, the </w:t>
      </w:r>
      <w:r w:rsidR="002A7C76">
        <w:rPr>
          <w:rFonts w:ascii="Arial" w:hAnsi="Arial"/>
        </w:rPr>
        <w:t>respondents’</w:t>
      </w:r>
      <w:r>
        <w:rPr>
          <w:rFonts w:ascii="Arial" w:hAnsi="Arial"/>
        </w:rPr>
        <w:t xml:space="preserve"> claim that the applicant failed to comply with the provisions of rule 32(9) and (10) and that the application should, if that point be upheld, be struck from the roll.</w:t>
      </w:r>
    </w:p>
    <w:p w14:paraId="56C1C88E" w14:textId="77777777" w:rsidR="00AB1604" w:rsidRDefault="00AB1604" w:rsidP="009627FC">
      <w:pPr>
        <w:spacing w:line="360" w:lineRule="auto"/>
        <w:jc w:val="both"/>
        <w:rPr>
          <w:rFonts w:ascii="Arial" w:hAnsi="Arial"/>
        </w:rPr>
      </w:pPr>
    </w:p>
    <w:p w14:paraId="6337CDFE" w14:textId="77777777" w:rsidR="00AB1604" w:rsidRDefault="00AB1604" w:rsidP="009627FC">
      <w:pPr>
        <w:spacing w:line="360" w:lineRule="auto"/>
        <w:jc w:val="both"/>
        <w:rPr>
          <w:rFonts w:ascii="Arial" w:hAnsi="Arial"/>
        </w:rPr>
      </w:pPr>
      <w:r>
        <w:rPr>
          <w:rFonts w:ascii="Arial" w:hAnsi="Arial"/>
        </w:rPr>
        <w:t>[8]</w:t>
      </w:r>
      <w:r>
        <w:rPr>
          <w:rFonts w:ascii="Arial" w:hAnsi="Arial"/>
        </w:rPr>
        <w:tab/>
        <w:t xml:space="preserve">Last, but by no means least, the respondent punch holes in the entire lending procedure followed by the applicant. Chiefly, they </w:t>
      </w:r>
      <w:r w:rsidR="007419A2">
        <w:rPr>
          <w:rFonts w:ascii="Arial" w:hAnsi="Arial"/>
        </w:rPr>
        <w:t xml:space="preserve">claim that the applicant failed to comply with the provisions of BID-33 Regulations, which were issued by the Bank of Namibia. These required the banks to publish criteria and/or requirements that their clients should meet for a loan moratorium and distressed restructuring on their websites. It </w:t>
      </w:r>
      <w:r w:rsidR="00F774A9">
        <w:rPr>
          <w:rFonts w:ascii="Arial" w:hAnsi="Arial"/>
        </w:rPr>
        <w:t xml:space="preserve">is </w:t>
      </w:r>
      <w:r w:rsidR="007419A2">
        <w:rPr>
          <w:rFonts w:ascii="Arial" w:hAnsi="Arial"/>
        </w:rPr>
        <w:t>the respondents</w:t>
      </w:r>
      <w:r w:rsidR="00F774A9">
        <w:rPr>
          <w:rFonts w:ascii="Arial" w:hAnsi="Arial"/>
        </w:rPr>
        <w:t>’</w:t>
      </w:r>
      <w:r w:rsidR="007419A2">
        <w:rPr>
          <w:rFonts w:ascii="Arial" w:hAnsi="Arial"/>
        </w:rPr>
        <w:t xml:space="preserve"> case that they may have qualified for the relief introduced by the Regulations</w:t>
      </w:r>
      <w:r w:rsidR="00F774A9">
        <w:rPr>
          <w:rFonts w:ascii="Arial" w:hAnsi="Arial"/>
        </w:rPr>
        <w:t xml:space="preserve"> if this had been known to them, especially because of the intervention of the notorious COVID 19 Pandemic, which the respondents contend contributed to their indebtedness.</w:t>
      </w:r>
    </w:p>
    <w:p w14:paraId="6EE68461" w14:textId="77777777" w:rsidR="00F774A9" w:rsidRDefault="00F774A9" w:rsidP="009627FC">
      <w:pPr>
        <w:spacing w:line="360" w:lineRule="auto"/>
        <w:jc w:val="both"/>
        <w:rPr>
          <w:rFonts w:ascii="Arial" w:hAnsi="Arial"/>
        </w:rPr>
      </w:pPr>
    </w:p>
    <w:p w14:paraId="1C7167CA" w14:textId="5CAA0AD4" w:rsidR="00F774A9" w:rsidRDefault="00F774A9" w:rsidP="009627FC">
      <w:pPr>
        <w:spacing w:line="360" w:lineRule="auto"/>
        <w:jc w:val="both"/>
        <w:rPr>
          <w:rFonts w:ascii="Arial" w:hAnsi="Arial"/>
        </w:rPr>
      </w:pPr>
      <w:r>
        <w:rPr>
          <w:rFonts w:ascii="Arial" w:hAnsi="Arial"/>
        </w:rPr>
        <w:t>[9]</w:t>
      </w:r>
      <w:r>
        <w:rPr>
          <w:rFonts w:ascii="Arial" w:hAnsi="Arial"/>
        </w:rPr>
        <w:tab/>
        <w:t xml:space="preserve">Obviously, the applicant does not, by the very nature of the procedure followed in summary judgment, </w:t>
      </w:r>
      <w:r w:rsidR="009D718D">
        <w:rPr>
          <w:rFonts w:ascii="Arial" w:hAnsi="Arial"/>
        </w:rPr>
        <w:t xml:space="preserve">need </w:t>
      </w:r>
      <w:r>
        <w:rPr>
          <w:rFonts w:ascii="Arial" w:hAnsi="Arial"/>
        </w:rPr>
        <w:t>to engage the latter contention. This is because applicants for summary judgment, unlike in some jurisdictions within the region</w:t>
      </w:r>
      <w:r w:rsidR="00C13748">
        <w:rPr>
          <w:rFonts w:ascii="Arial" w:hAnsi="Arial"/>
        </w:rPr>
        <w:t>,</w:t>
      </w:r>
      <w:r>
        <w:rPr>
          <w:rStyle w:val="FootnoteReference"/>
          <w:rFonts w:ascii="Arial" w:hAnsi="Arial"/>
        </w:rPr>
        <w:footnoteReference w:id="2"/>
      </w:r>
      <w:r>
        <w:rPr>
          <w:rFonts w:ascii="Arial" w:hAnsi="Arial"/>
        </w:rPr>
        <w:t xml:space="preserve"> </w:t>
      </w:r>
      <w:r w:rsidR="009D718D">
        <w:rPr>
          <w:rFonts w:ascii="Arial" w:hAnsi="Arial"/>
        </w:rPr>
        <w:t xml:space="preserve">are </w:t>
      </w:r>
      <w:r>
        <w:rPr>
          <w:rFonts w:ascii="Arial" w:hAnsi="Arial"/>
        </w:rPr>
        <w:t xml:space="preserve">not allowed to file replying affidavits, which can be seen as destroying </w:t>
      </w:r>
      <w:r w:rsidR="00C13748">
        <w:rPr>
          <w:rFonts w:ascii="Arial" w:hAnsi="Arial"/>
        </w:rPr>
        <w:t>the very notion and essence</w:t>
      </w:r>
      <w:r>
        <w:rPr>
          <w:rFonts w:ascii="Arial" w:hAnsi="Arial"/>
        </w:rPr>
        <w:t xml:space="preserve"> of the remedy of summary judgment.</w:t>
      </w:r>
    </w:p>
    <w:p w14:paraId="45A76F3F" w14:textId="77777777" w:rsidR="00676D21" w:rsidRDefault="00676D21" w:rsidP="009627FC">
      <w:pPr>
        <w:spacing w:line="360" w:lineRule="auto"/>
        <w:jc w:val="both"/>
        <w:rPr>
          <w:rFonts w:ascii="Arial" w:hAnsi="Arial"/>
        </w:rPr>
      </w:pPr>
    </w:p>
    <w:p w14:paraId="4363ACF0" w14:textId="5DB780D4" w:rsidR="00676D21" w:rsidRDefault="00676D21" w:rsidP="009627FC">
      <w:pPr>
        <w:spacing w:line="360" w:lineRule="auto"/>
        <w:jc w:val="both"/>
        <w:rPr>
          <w:rFonts w:ascii="Arial" w:hAnsi="Arial"/>
        </w:rPr>
      </w:pPr>
      <w:r>
        <w:rPr>
          <w:rFonts w:ascii="Arial" w:hAnsi="Arial"/>
        </w:rPr>
        <w:t>[10]</w:t>
      </w:r>
      <w:r>
        <w:rPr>
          <w:rFonts w:ascii="Arial" w:hAnsi="Arial"/>
        </w:rPr>
        <w:tab/>
        <w:t xml:space="preserve">Having regard to the issues raised by the protagonists in this matter, I am of the considered view that it is necessary and probably prudent that I deal first with the contention that the applicant’s affidavit in support of the </w:t>
      </w:r>
      <w:r>
        <w:rPr>
          <w:rFonts w:ascii="Arial" w:hAnsi="Arial"/>
        </w:rPr>
        <w:lastRenderedPageBreak/>
        <w:t>application for summary judgment is defective. The value in doing so, is that if the contention is upheld, that may possibly (but not necessarily), spell the end of the application for s</w:t>
      </w:r>
      <w:r w:rsidR="00C13748">
        <w:rPr>
          <w:rFonts w:ascii="Arial" w:hAnsi="Arial"/>
        </w:rPr>
        <w:t>ummary judgment. I deal with that</w:t>
      </w:r>
      <w:r>
        <w:rPr>
          <w:rFonts w:ascii="Arial" w:hAnsi="Arial"/>
        </w:rPr>
        <w:t xml:space="preserve"> question first.</w:t>
      </w:r>
      <w:r w:rsidR="00C34041">
        <w:rPr>
          <w:rFonts w:ascii="Arial" w:hAnsi="Arial"/>
        </w:rPr>
        <w:t xml:space="preserve"> </w:t>
      </w:r>
    </w:p>
    <w:p w14:paraId="61EE3FFD" w14:textId="77777777" w:rsidR="00C34041" w:rsidRDefault="00C34041" w:rsidP="009627FC">
      <w:pPr>
        <w:spacing w:line="360" w:lineRule="auto"/>
        <w:jc w:val="both"/>
        <w:rPr>
          <w:rFonts w:ascii="Arial" w:hAnsi="Arial"/>
        </w:rPr>
      </w:pPr>
    </w:p>
    <w:p w14:paraId="0C19ADB9" w14:textId="77777777" w:rsidR="00676D21" w:rsidRDefault="00676D21" w:rsidP="009627FC">
      <w:pPr>
        <w:spacing w:line="360" w:lineRule="auto"/>
        <w:jc w:val="both"/>
        <w:rPr>
          <w:rFonts w:ascii="Arial" w:hAnsi="Arial"/>
          <w:u w:val="single"/>
        </w:rPr>
      </w:pPr>
      <w:r>
        <w:rPr>
          <w:rFonts w:ascii="Arial" w:hAnsi="Arial"/>
          <w:u w:val="single"/>
        </w:rPr>
        <w:t>Alleged non-complian</w:t>
      </w:r>
      <w:r w:rsidR="00C34041">
        <w:rPr>
          <w:rFonts w:ascii="Arial" w:hAnsi="Arial"/>
          <w:u w:val="single"/>
        </w:rPr>
        <w:t>ce with Regulation 4(1) of the Regulations</w:t>
      </w:r>
    </w:p>
    <w:p w14:paraId="502A3965" w14:textId="77777777" w:rsidR="00C34041" w:rsidRDefault="00C34041" w:rsidP="009627FC">
      <w:pPr>
        <w:spacing w:line="360" w:lineRule="auto"/>
        <w:jc w:val="both"/>
        <w:rPr>
          <w:rFonts w:ascii="Arial" w:hAnsi="Arial"/>
          <w:u w:val="single"/>
        </w:rPr>
      </w:pPr>
    </w:p>
    <w:p w14:paraId="7EE8B174" w14:textId="0E076A96" w:rsidR="00C34041" w:rsidRDefault="00C34041" w:rsidP="009627FC">
      <w:pPr>
        <w:spacing w:line="360" w:lineRule="auto"/>
        <w:jc w:val="both"/>
        <w:rPr>
          <w:rFonts w:ascii="Arial" w:hAnsi="Arial"/>
        </w:rPr>
      </w:pPr>
      <w:r>
        <w:rPr>
          <w:rFonts w:ascii="Arial" w:hAnsi="Arial"/>
        </w:rPr>
        <w:t>[11]</w:t>
      </w:r>
      <w:r>
        <w:rPr>
          <w:rFonts w:ascii="Arial" w:hAnsi="Arial"/>
        </w:rPr>
        <w:tab/>
        <w:t xml:space="preserve">Mr </w:t>
      </w:r>
      <w:proofErr w:type="spellStart"/>
      <w:r>
        <w:rPr>
          <w:rFonts w:ascii="Arial" w:hAnsi="Arial"/>
        </w:rPr>
        <w:t>Thambapilai</w:t>
      </w:r>
      <w:proofErr w:type="spellEnd"/>
      <w:r>
        <w:rPr>
          <w:rFonts w:ascii="Arial" w:hAnsi="Arial"/>
        </w:rPr>
        <w:t>, for the respondent</w:t>
      </w:r>
      <w:r w:rsidR="00C13748">
        <w:rPr>
          <w:rFonts w:ascii="Arial" w:hAnsi="Arial"/>
        </w:rPr>
        <w:t>s</w:t>
      </w:r>
      <w:r>
        <w:rPr>
          <w:rFonts w:ascii="Arial" w:hAnsi="Arial"/>
        </w:rPr>
        <w:t>, argued that the applicant should be non-suited in respect of the application for summary judgment for the reason of non-compliance with the provisions of Regulation 4(1). It was contended in that connection, that the applicant’s affidavit in support of the application for summary judgment, does not comply with the Regul</w:t>
      </w:r>
      <w:r w:rsidR="002C063C">
        <w:rPr>
          <w:rFonts w:ascii="Arial" w:hAnsi="Arial"/>
        </w:rPr>
        <w:t>ations for the reason that the commissioner of o</w:t>
      </w:r>
      <w:r>
        <w:rPr>
          <w:rFonts w:ascii="Arial" w:hAnsi="Arial"/>
        </w:rPr>
        <w:t>aths in the instant matter, failed to indicate the date on which the oath was administered to the deponent of the applicant’s affidavit in support of the application.</w:t>
      </w:r>
    </w:p>
    <w:p w14:paraId="3FECA035" w14:textId="77777777" w:rsidR="00C34041" w:rsidRDefault="00C34041" w:rsidP="009627FC">
      <w:pPr>
        <w:spacing w:line="360" w:lineRule="auto"/>
        <w:jc w:val="both"/>
        <w:rPr>
          <w:rFonts w:ascii="Arial" w:hAnsi="Arial"/>
        </w:rPr>
      </w:pPr>
    </w:p>
    <w:p w14:paraId="73CAEED6" w14:textId="2ACC04D1" w:rsidR="00C34041" w:rsidRDefault="00C34041" w:rsidP="009627FC">
      <w:pPr>
        <w:spacing w:line="360" w:lineRule="auto"/>
        <w:jc w:val="both"/>
        <w:rPr>
          <w:rFonts w:ascii="Arial" w:hAnsi="Arial"/>
        </w:rPr>
      </w:pPr>
      <w:r>
        <w:rPr>
          <w:rFonts w:ascii="Arial" w:hAnsi="Arial"/>
        </w:rPr>
        <w:t>[12]</w:t>
      </w:r>
      <w:r>
        <w:rPr>
          <w:rFonts w:ascii="Arial" w:hAnsi="Arial"/>
        </w:rPr>
        <w:tab/>
        <w:t>Ms Kuzeeko, for the applicant</w:t>
      </w:r>
      <w:r w:rsidR="00C13748">
        <w:rPr>
          <w:rFonts w:ascii="Arial" w:hAnsi="Arial"/>
        </w:rPr>
        <w:t>,</w:t>
      </w:r>
      <w:r>
        <w:rPr>
          <w:rFonts w:ascii="Arial" w:hAnsi="Arial"/>
        </w:rPr>
        <w:t xml:space="preserve"> argued that the Regulation in question</w:t>
      </w:r>
      <w:r w:rsidR="00215A73">
        <w:rPr>
          <w:rFonts w:ascii="Arial" w:hAnsi="Arial"/>
        </w:rPr>
        <w:t xml:space="preserve"> does not compel the court to throw out an affidavit that does not comply with the provisions of the said Regulation. The court, she argued, rather may exercise a discretion and refuse to throw out the affidavit, if there has been substantial compliance with the said regulation. That is the course that the applicant implored the court to adopt in this matter, namely, that the court may and is empowered, to condone the non-compliance.</w:t>
      </w:r>
    </w:p>
    <w:p w14:paraId="4B3982ED" w14:textId="77777777" w:rsidR="00215A73" w:rsidRDefault="00215A73" w:rsidP="009627FC">
      <w:pPr>
        <w:spacing w:line="360" w:lineRule="auto"/>
        <w:jc w:val="both"/>
        <w:rPr>
          <w:rFonts w:ascii="Arial" w:hAnsi="Arial"/>
        </w:rPr>
      </w:pPr>
    </w:p>
    <w:p w14:paraId="7860893F" w14:textId="77777777" w:rsidR="00215A73" w:rsidRDefault="00215A73" w:rsidP="009627FC">
      <w:pPr>
        <w:spacing w:line="360" w:lineRule="auto"/>
        <w:jc w:val="both"/>
        <w:rPr>
          <w:rFonts w:ascii="Arial" w:hAnsi="Arial"/>
        </w:rPr>
      </w:pPr>
      <w:r>
        <w:rPr>
          <w:rFonts w:ascii="Arial" w:hAnsi="Arial"/>
        </w:rPr>
        <w:t>[13]</w:t>
      </w:r>
      <w:r>
        <w:rPr>
          <w:rFonts w:ascii="Arial" w:hAnsi="Arial"/>
        </w:rPr>
        <w:tab/>
        <w:t>It is opportune, at this juncture, to have regard to the relevant provisions cited as a basis for the non-compliance by the applicant. Regulation 4(1), reads as follows:</w:t>
      </w:r>
    </w:p>
    <w:p w14:paraId="2A7E3D35" w14:textId="77777777" w:rsidR="00215A73" w:rsidRDefault="00215A73" w:rsidP="009627FC">
      <w:pPr>
        <w:spacing w:line="360" w:lineRule="auto"/>
        <w:jc w:val="both"/>
        <w:rPr>
          <w:rFonts w:ascii="Arial" w:hAnsi="Arial"/>
        </w:rPr>
      </w:pPr>
    </w:p>
    <w:p w14:paraId="47FEF5E4" w14:textId="6FE19EF0" w:rsidR="00215A73" w:rsidRDefault="00215A73" w:rsidP="009627FC">
      <w:pPr>
        <w:spacing w:line="360" w:lineRule="auto"/>
        <w:jc w:val="both"/>
        <w:rPr>
          <w:rFonts w:ascii="Arial" w:hAnsi="Arial"/>
          <w:sz w:val="22"/>
          <w:szCs w:val="22"/>
        </w:rPr>
      </w:pPr>
      <w:r>
        <w:rPr>
          <w:rFonts w:ascii="Arial" w:hAnsi="Arial"/>
        </w:rPr>
        <w:tab/>
        <w:t>‘</w:t>
      </w:r>
      <w:r w:rsidR="00F2647A">
        <w:rPr>
          <w:rFonts w:ascii="Arial" w:hAnsi="Arial"/>
          <w:sz w:val="22"/>
          <w:szCs w:val="22"/>
        </w:rPr>
        <w:t>Below the deponent’s signature or mark the commissioner of oaths shall certify that the deponent has acknowledged that he knows and understands the contents of the declaration and he shall state the manner</w:t>
      </w:r>
      <w:r w:rsidR="00C13748">
        <w:rPr>
          <w:rFonts w:ascii="Arial" w:hAnsi="Arial"/>
          <w:sz w:val="22"/>
          <w:szCs w:val="22"/>
        </w:rPr>
        <w:t>,</w:t>
      </w:r>
      <w:r w:rsidR="00F2647A">
        <w:rPr>
          <w:rFonts w:ascii="Arial" w:hAnsi="Arial"/>
          <w:sz w:val="22"/>
          <w:szCs w:val="22"/>
        </w:rPr>
        <w:t xml:space="preserve"> place and date of taking the declaration.’</w:t>
      </w:r>
    </w:p>
    <w:p w14:paraId="1B2C0B4A" w14:textId="77777777" w:rsidR="00F2647A" w:rsidRDefault="00F2647A" w:rsidP="009627FC">
      <w:pPr>
        <w:spacing w:line="360" w:lineRule="auto"/>
        <w:jc w:val="both"/>
        <w:rPr>
          <w:rFonts w:ascii="Arial" w:hAnsi="Arial"/>
          <w:sz w:val="22"/>
          <w:szCs w:val="22"/>
        </w:rPr>
      </w:pPr>
    </w:p>
    <w:p w14:paraId="03B9D919" w14:textId="463C666A" w:rsidR="003C7DDA" w:rsidRDefault="002C063C" w:rsidP="009627FC">
      <w:pPr>
        <w:spacing w:line="360" w:lineRule="auto"/>
        <w:jc w:val="both"/>
        <w:rPr>
          <w:rFonts w:ascii="Arial" w:hAnsi="Arial"/>
        </w:rPr>
      </w:pPr>
      <w:r>
        <w:rPr>
          <w:rFonts w:ascii="Arial" w:hAnsi="Arial"/>
        </w:rPr>
        <w:t>[14</w:t>
      </w:r>
      <w:r w:rsidR="00F2647A">
        <w:rPr>
          <w:rFonts w:ascii="Arial" w:hAnsi="Arial"/>
        </w:rPr>
        <w:t>]</w:t>
      </w:r>
      <w:r w:rsidR="00F2647A">
        <w:rPr>
          <w:rFonts w:ascii="Arial" w:hAnsi="Arial"/>
        </w:rPr>
        <w:tab/>
        <w:t xml:space="preserve">Ms Kuzeeko argued that in the instant case, there was substantial compliance with the above regulation for the reason that it is clear from the </w:t>
      </w:r>
      <w:r w:rsidR="00F2647A">
        <w:rPr>
          <w:rFonts w:ascii="Arial" w:hAnsi="Arial"/>
        </w:rPr>
        <w:lastRenderedPageBreak/>
        <w:t xml:space="preserve">affidavit that first, the commissioner of oaths administered the oath to the deponent; second, before administering the oath, the commissioner </w:t>
      </w:r>
      <w:r w:rsidR="00C13748">
        <w:rPr>
          <w:rFonts w:ascii="Arial" w:hAnsi="Arial"/>
        </w:rPr>
        <w:t>asked the deponent whether</w:t>
      </w:r>
      <w:r w:rsidR="00F2647A">
        <w:rPr>
          <w:rFonts w:ascii="Arial" w:hAnsi="Arial"/>
        </w:rPr>
        <w:t xml:space="preserve"> she knows and understan</w:t>
      </w:r>
      <w:r w:rsidR="003C7DDA">
        <w:rPr>
          <w:rFonts w:ascii="Arial" w:hAnsi="Arial"/>
        </w:rPr>
        <w:t>ds the contents of</w:t>
      </w:r>
      <w:r w:rsidR="00C13748">
        <w:rPr>
          <w:rFonts w:ascii="Arial" w:hAnsi="Arial"/>
        </w:rPr>
        <w:t xml:space="preserve"> the declaration; whether </w:t>
      </w:r>
      <w:r w:rsidR="003C7DDA">
        <w:rPr>
          <w:rFonts w:ascii="Arial" w:hAnsi="Arial"/>
        </w:rPr>
        <w:t>she has any objection to taking the prescribed oath and whether she considers the oath binding on her conscience.</w:t>
      </w:r>
    </w:p>
    <w:p w14:paraId="0BCA44F0" w14:textId="77777777" w:rsidR="003C7DDA" w:rsidRDefault="003C7DDA" w:rsidP="009627FC">
      <w:pPr>
        <w:spacing w:line="360" w:lineRule="auto"/>
        <w:jc w:val="both"/>
        <w:rPr>
          <w:rFonts w:ascii="Arial" w:hAnsi="Arial"/>
        </w:rPr>
      </w:pPr>
    </w:p>
    <w:p w14:paraId="69C36F25" w14:textId="5B0FE7CE" w:rsidR="00F2647A" w:rsidRDefault="00E47946" w:rsidP="009627FC">
      <w:pPr>
        <w:spacing w:line="360" w:lineRule="auto"/>
        <w:jc w:val="both"/>
        <w:rPr>
          <w:rFonts w:ascii="Arial" w:hAnsi="Arial"/>
        </w:rPr>
      </w:pPr>
      <w:r>
        <w:rPr>
          <w:rFonts w:ascii="Arial" w:hAnsi="Arial"/>
        </w:rPr>
        <w:t>[15</w:t>
      </w:r>
      <w:r w:rsidR="003C7DDA">
        <w:rPr>
          <w:rFonts w:ascii="Arial" w:hAnsi="Arial"/>
        </w:rPr>
        <w:t>]</w:t>
      </w:r>
      <w:r w:rsidR="003C7DDA">
        <w:rPr>
          <w:rFonts w:ascii="Arial" w:hAnsi="Arial"/>
        </w:rPr>
        <w:tab/>
        <w:t xml:space="preserve">It was further submitted in this regard, that the deponent acknowledged that she knows and understands the contents of the declaration and that she had no objection to taking the prescribed oath and that she considered the oath to be binding on her conscience. </w:t>
      </w:r>
      <w:r w:rsidR="009F51E0">
        <w:rPr>
          <w:rFonts w:ascii="Arial" w:hAnsi="Arial"/>
        </w:rPr>
        <w:t>Furthermore, the declaration was made in the presence of the commissioner of oath</w:t>
      </w:r>
      <w:r w:rsidR="00AF583A">
        <w:rPr>
          <w:rFonts w:ascii="Arial" w:hAnsi="Arial"/>
        </w:rPr>
        <w:t>s</w:t>
      </w:r>
      <w:r w:rsidR="009F51E0">
        <w:rPr>
          <w:rFonts w:ascii="Arial" w:hAnsi="Arial"/>
        </w:rPr>
        <w:t xml:space="preserve"> and the latter signed the declaration and stated her designation and the area in respect of which she holds </w:t>
      </w:r>
      <w:r w:rsidR="002A7C76">
        <w:rPr>
          <w:rFonts w:ascii="Arial" w:hAnsi="Arial"/>
        </w:rPr>
        <w:t>t</w:t>
      </w:r>
      <w:r w:rsidR="009F51E0">
        <w:rPr>
          <w:rFonts w:ascii="Arial" w:hAnsi="Arial"/>
        </w:rPr>
        <w:t>he appointment as commissioner of oaths.</w:t>
      </w:r>
    </w:p>
    <w:p w14:paraId="098BD4FB" w14:textId="77777777" w:rsidR="006A740A" w:rsidRDefault="006A740A" w:rsidP="009627FC">
      <w:pPr>
        <w:spacing w:line="360" w:lineRule="auto"/>
        <w:jc w:val="both"/>
        <w:rPr>
          <w:rFonts w:ascii="Arial" w:hAnsi="Arial"/>
        </w:rPr>
      </w:pPr>
    </w:p>
    <w:p w14:paraId="5476624C" w14:textId="0D7F941A" w:rsidR="006A740A" w:rsidRDefault="00E47946" w:rsidP="009627FC">
      <w:pPr>
        <w:spacing w:line="360" w:lineRule="auto"/>
        <w:jc w:val="both"/>
        <w:rPr>
          <w:rFonts w:ascii="Arial" w:hAnsi="Arial"/>
        </w:rPr>
      </w:pPr>
      <w:r>
        <w:rPr>
          <w:rFonts w:ascii="Arial" w:hAnsi="Arial"/>
        </w:rPr>
        <w:t>[16</w:t>
      </w:r>
      <w:r w:rsidR="006A740A">
        <w:rPr>
          <w:rFonts w:ascii="Arial" w:hAnsi="Arial"/>
        </w:rPr>
        <w:t>]</w:t>
      </w:r>
      <w:r w:rsidR="006A740A">
        <w:rPr>
          <w:rFonts w:ascii="Arial" w:hAnsi="Arial"/>
        </w:rPr>
        <w:tab/>
        <w:t xml:space="preserve">The court was further referred to the judgment in </w:t>
      </w:r>
      <w:proofErr w:type="spellStart"/>
      <w:r w:rsidR="006A740A">
        <w:rPr>
          <w:rFonts w:ascii="Arial" w:hAnsi="Arial"/>
          <w:i/>
        </w:rPr>
        <w:t>Tsamkxao</w:t>
      </w:r>
      <w:proofErr w:type="spellEnd"/>
      <w:r w:rsidR="006A740A">
        <w:rPr>
          <w:rFonts w:ascii="Arial" w:hAnsi="Arial"/>
          <w:i/>
        </w:rPr>
        <w:t xml:space="preserve"> </w:t>
      </w:r>
      <w:proofErr w:type="spellStart"/>
      <w:r w:rsidR="006A740A">
        <w:rPr>
          <w:rFonts w:ascii="Arial" w:hAnsi="Arial"/>
          <w:i/>
        </w:rPr>
        <w:t>Oma</w:t>
      </w:r>
      <w:proofErr w:type="spellEnd"/>
      <w:r w:rsidR="006A740A">
        <w:rPr>
          <w:rFonts w:ascii="Arial" w:hAnsi="Arial"/>
          <w:i/>
        </w:rPr>
        <w:t xml:space="preserve"> v Minister of Land Reform</w:t>
      </w:r>
      <w:r w:rsidR="006A740A">
        <w:rPr>
          <w:rStyle w:val="FootnoteReference"/>
          <w:rFonts w:ascii="Arial" w:hAnsi="Arial"/>
          <w:i/>
        </w:rPr>
        <w:footnoteReference w:id="3"/>
      </w:r>
      <w:r w:rsidR="006A740A">
        <w:rPr>
          <w:rFonts w:ascii="Arial" w:hAnsi="Arial"/>
        </w:rPr>
        <w:t xml:space="preserve"> </w:t>
      </w:r>
      <w:r w:rsidR="00CC6D3C">
        <w:rPr>
          <w:rFonts w:ascii="Arial" w:hAnsi="Arial"/>
        </w:rPr>
        <w:t>by Ms Kuzeeko, in a case where she appeared. She pointed out that</w:t>
      </w:r>
      <w:r w:rsidR="006A740A">
        <w:rPr>
          <w:rFonts w:ascii="Arial" w:hAnsi="Arial"/>
        </w:rPr>
        <w:t xml:space="preserve"> the court</w:t>
      </w:r>
      <w:r w:rsidR="00CC6D3C">
        <w:rPr>
          <w:rFonts w:ascii="Arial" w:hAnsi="Arial"/>
        </w:rPr>
        <w:t>, in that matter,</w:t>
      </w:r>
      <w:r w:rsidR="006A740A">
        <w:rPr>
          <w:rFonts w:ascii="Arial" w:hAnsi="Arial"/>
        </w:rPr>
        <w:t xml:space="preserve"> held that failure to comply with the provisions of the Act is not fatal for the reason that the provisions thereof are merely directory and not peremptory. As such, non-compliance can be cure</w:t>
      </w:r>
      <w:r w:rsidR="00CC6D3C">
        <w:rPr>
          <w:rFonts w:ascii="Arial" w:hAnsi="Arial"/>
        </w:rPr>
        <w:t>d</w:t>
      </w:r>
      <w:r w:rsidR="006A740A">
        <w:rPr>
          <w:rFonts w:ascii="Arial" w:hAnsi="Arial"/>
        </w:rPr>
        <w:t xml:space="preserve"> by the defaulting party tendering a reasonable explanation.</w:t>
      </w:r>
      <w:r w:rsidR="00CC6D3C">
        <w:rPr>
          <w:rFonts w:ascii="Arial" w:hAnsi="Arial"/>
        </w:rPr>
        <w:t xml:space="preserve"> It was her submission that by the very nature of the summary judgment procedure, it was not possible for the applicant to tender that explanation in the instant case.</w:t>
      </w:r>
    </w:p>
    <w:p w14:paraId="5CA5D187" w14:textId="77777777" w:rsidR="00CC6D3C" w:rsidRDefault="00CC6D3C" w:rsidP="009627FC">
      <w:pPr>
        <w:spacing w:line="360" w:lineRule="auto"/>
        <w:jc w:val="both"/>
        <w:rPr>
          <w:rFonts w:ascii="Arial" w:hAnsi="Arial"/>
        </w:rPr>
      </w:pPr>
    </w:p>
    <w:p w14:paraId="7A2CEFCD" w14:textId="1B1A0836" w:rsidR="00181F17" w:rsidRDefault="00E47946" w:rsidP="009627FC">
      <w:pPr>
        <w:spacing w:line="360" w:lineRule="auto"/>
        <w:jc w:val="both"/>
        <w:rPr>
          <w:rFonts w:ascii="Arial" w:hAnsi="Arial"/>
        </w:rPr>
      </w:pPr>
      <w:r>
        <w:rPr>
          <w:rFonts w:ascii="Arial" w:hAnsi="Arial"/>
        </w:rPr>
        <w:t>[17</w:t>
      </w:r>
      <w:r w:rsidR="00CC6D3C">
        <w:rPr>
          <w:rFonts w:ascii="Arial" w:hAnsi="Arial"/>
        </w:rPr>
        <w:t>]</w:t>
      </w:r>
      <w:r w:rsidR="00CC6D3C">
        <w:rPr>
          <w:rFonts w:ascii="Arial" w:hAnsi="Arial"/>
        </w:rPr>
        <w:tab/>
        <w:t xml:space="preserve">If I were to agree with Ms Kuzeeko that her contentions are correct, namely, in reference to the </w:t>
      </w:r>
      <w:proofErr w:type="spellStart"/>
      <w:r w:rsidR="00CC6D3C">
        <w:rPr>
          <w:rFonts w:ascii="Arial" w:hAnsi="Arial"/>
          <w:i/>
        </w:rPr>
        <w:t>Oma</w:t>
      </w:r>
      <w:proofErr w:type="spellEnd"/>
      <w:r w:rsidR="00CC6D3C">
        <w:rPr>
          <w:rFonts w:ascii="Arial" w:hAnsi="Arial"/>
          <w:i/>
        </w:rPr>
        <w:t xml:space="preserve"> </w:t>
      </w:r>
      <w:r w:rsidR="00CC6D3C">
        <w:rPr>
          <w:rFonts w:ascii="Arial" w:hAnsi="Arial"/>
        </w:rPr>
        <w:t>judgment, it is clear that there is no explanation in this matter as to how the non-compliance came about. In the absence of that explanation, there can, in my considered view, be no legal basis for the court to exercise its discretion in the applicant’s favour in this matter</w:t>
      </w:r>
      <w:r w:rsidR="00541FA7">
        <w:rPr>
          <w:rFonts w:ascii="Arial" w:hAnsi="Arial"/>
        </w:rPr>
        <w:t>.</w:t>
      </w:r>
      <w:r w:rsidR="00181F17">
        <w:rPr>
          <w:rFonts w:ascii="Arial" w:hAnsi="Arial"/>
        </w:rPr>
        <w:t xml:space="preserve"> This places Ms </w:t>
      </w:r>
      <w:proofErr w:type="spellStart"/>
      <w:r w:rsidR="00181F17">
        <w:rPr>
          <w:rFonts w:ascii="Arial" w:hAnsi="Arial"/>
        </w:rPr>
        <w:t>Kuzeeko’s</w:t>
      </w:r>
      <w:proofErr w:type="spellEnd"/>
      <w:r w:rsidR="00181F17">
        <w:rPr>
          <w:rFonts w:ascii="Arial" w:hAnsi="Arial"/>
        </w:rPr>
        <w:t xml:space="preserve"> argument on a serious precipice.</w:t>
      </w:r>
    </w:p>
    <w:p w14:paraId="1631DC7B" w14:textId="77777777" w:rsidR="002C063C" w:rsidRDefault="002C063C" w:rsidP="009627FC">
      <w:pPr>
        <w:spacing w:line="360" w:lineRule="auto"/>
        <w:jc w:val="both"/>
        <w:rPr>
          <w:rFonts w:ascii="Arial" w:hAnsi="Arial"/>
        </w:rPr>
      </w:pPr>
    </w:p>
    <w:p w14:paraId="28F888D4" w14:textId="02B04803" w:rsidR="00181F17" w:rsidRDefault="00E47946" w:rsidP="009627FC">
      <w:pPr>
        <w:spacing w:line="360" w:lineRule="auto"/>
        <w:jc w:val="both"/>
        <w:rPr>
          <w:rFonts w:ascii="Arial" w:hAnsi="Arial"/>
        </w:rPr>
      </w:pPr>
      <w:r>
        <w:rPr>
          <w:rFonts w:ascii="Arial" w:hAnsi="Arial"/>
        </w:rPr>
        <w:lastRenderedPageBreak/>
        <w:t>[18</w:t>
      </w:r>
      <w:r w:rsidR="00181F17">
        <w:rPr>
          <w:rFonts w:ascii="Arial" w:hAnsi="Arial"/>
        </w:rPr>
        <w:t>]</w:t>
      </w:r>
      <w:r w:rsidR="00181F17">
        <w:rPr>
          <w:rFonts w:ascii="Arial" w:hAnsi="Arial"/>
        </w:rPr>
        <w:tab/>
        <w:t xml:space="preserve">Furthermore, </w:t>
      </w:r>
      <w:r w:rsidR="00C209ED">
        <w:rPr>
          <w:rFonts w:ascii="Arial" w:hAnsi="Arial"/>
        </w:rPr>
        <w:t>when one has regard to the relevant regulation, it appears to have two ‘</w:t>
      </w:r>
      <w:proofErr w:type="spellStart"/>
      <w:r w:rsidR="00C209ED">
        <w:rPr>
          <w:rFonts w:ascii="Arial" w:hAnsi="Arial"/>
        </w:rPr>
        <w:t>shalls</w:t>
      </w:r>
      <w:proofErr w:type="spellEnd"/>
      <w:r w:rsidR="00C209ED">
        <w:rPr>
          <w:rFonts w:ascii="Arial" w:hAnsi="Arial"/>
        </w:rPr>
        <w:t xml:space="preserve">’, so to speak. The first applies in relation to a certification that the deponent acknowledged that he or she knows and understands the contents of the affidavit and knows and understand the contents of the declaration. The further ‘shall’, which is peremptory, it must be added, relates to the commissioner stating the manner, place and </w:t>
      </w:r>
      <w:r w:rsidR="00C209ED" w:rsidRPr="00C209ED">
        <w:rPr>
          <w:rFonts w:ascii="Arial" w:hAnsi="Arial"/>
          <w:u w:val="single"/>
        </w:rPr>
        <w:t>date</w:t>
      </w:r>
      <w:r w:rsidR="00C209ED">
        <w:rPr>
          <w:rFonts w:ascii="Arial" w:hAnsi="Arial"/>
        </w:rPr>
        <w:t xml:space="preserve"> of taking the </w:t>
      </w:r>
      <w:proofErr w:type="gramStart"/>
      <w:r w:rsidR="00C209ED">
        <w:rPr>
          <w:rFonts w:ascii="Arial" w:hAnsi="Arial"/>
        </w:rPr>
        <w:t>declaration.</w:t>
      </w:r>
      <w:proofErr w:type="gramEnd"/>
      <w:r w:rsidR="00C209ED">
        <w:rPr>
          <w:rFonts w:ascii="Arial" w:hAnsi="Arial"/>
        </w:rPr>
        <w:t xml:space="preserve"> </w:t>
      </w:r>
      <w:r w:rsidR="00E60640">
        <w:rPr>
          <w:rFonts w:ascii="Arial" w:hAnsi="Arial"/>
        </w:rPr>
        <w:t>Should an omission to state the date of signature of the affidavit or the place, be seen as innocuous and treated as such?</w:t>
      </w:r>
      <w:r w:rsidR="00AF583A">
        <w:rPr>
          <w:rFonts w:ascii="Arial" w:hAnsi="Arial"/>
        </w:rPr>
        <w:t xml:space="preserve"> (Emphasis added).</w:t>
      </w:r>
    </w:p>
    <w:p w14:paraId="61A60282" w14:textId="77777777" w:rsidR="00E60640" w:rsidRDefault="00E60640" w:rsidP="009627FC">
      <w:pPr>
        <w:spacing w:line="360" w:lineRule="auto"/>
        <w:jc w:val="both"/>
        <w:rPr>
          <w:rFonts w:ascii="Arial" w:hAnsi="Arial"/>
        </w:rPr>
      </w:pPr>
    </w:p>
    <w:p w14:paraId="38BB18BB" w14:textId="40FB7EA8" w:rsidR="001767FA" w:rsidRDefault="00E60640" w:rsidP="009627FC">
      <w:pPr>
        <w:spacing w:line="360" w:lineRule="auto"/>
        <w:jc w:val="both"/>
        <w:rPr>
          <w:rFonts w:ascii="Arial" w:hAnsi="Arial"/>
        </w:rPr>
      </w:pPr>
      <w:r>
        <w:rPr>
          <w:rFonts w:ascii="Arial" w:hAnsi="Arial"/>
        </w:rPr>
        <w:t>[19]</w:t>
      </w:r>
      <w:r>
        <w:rPr>
          <w:rFonts w:ascii="Arial" w:hAnsi="Arial"/>
        </w:rPr>
        <w:tab/>
        <w:t>I am of the</w:t>
      </w:r>
      <w:r w:rsidR="00AF583A">
        <w:rPr>
          <w:rFonts w:ascii="Arial" w:hAnsi="Arial"/>
        </w:rPr>
        <w:t xml:space="preserve"> considered view that the inclusion</w:t>
      </w:r>
      <w:r>
        <w:rPr>
          <w:rFonts w:ascii="Arial" w:hAnsi="Arial"/>
        </w:rPr>
        <w:t xml:space="preserve"> of </w:t>
      </w:r>
      <w:r w:rsidR="00AF583A">
        <w:rPr>
          <w:rFonts w:ascii="Arial" w:hAnsi="Arial"/>
        </w:rPr>
        <w:t xml:space="preserve">the </w:t>
      </w:r>
      <w:r>
        <w:rPr>
          <w:rFonts w:ascii="Arial" w:hAnsi="Arial"/>
        </w:rPr>
        <w:t xml:space="preserve">place and date where the declaration was made are serious matters. I say so because </w:t>
      </w:r>
      <w:r w:rsidR="00AF583A">
        <w:rPr>
          <w:rFonts w:ascii="Arial" w:hAnsi="Arial"/>
        </w:rPr>
        <w:t>for instance, the place where the oath is administered may be indicative of whether or not the commissioner of oaths</w:t>
      </w:r>
      <w:r w:rsidR="001767FA">
        <w:rPr>
          <w:rFonts w:ascii="Arial" w:hAnsi="Arial"/>
        </w:rPr>
        <w:t xml:space="preserve"> has jurisdiction to administer the oath</w:t>
      </w:r>
      <w:r w:rsidR="00AF583A">
        <w:rPr>
          <w:rFonts w:ascii="Arial" w:hAnsi="Arial"/>
        </w:rPr>
        <w:t>. If not, I do not think the court can be correct to overlook that fact.</w:t>
      </w:r>
      <w:r w:rsidR="001767FA">
        <w:rPr>
          <w:rFonts w:ascii="Arial" w:hAnsi="Arial"/>
        </w:rPr>
        <w:t xml:space="preserve"> Ms </w:t>
      </w:r>
      <w:proofErr w:type="spellStart"/>
      <w:r w:rsidR="001767FA">
        <w:rPr>
          <w:rFonts w:ascii="Arial" w:hAnsi="Arial"/>
        </w:rPr>
        <w:t>Kuzeeko’s</w:t>
      </w:r>
      <w:proofErr w:type="spellEnd"/>
      <w:r w:rsidR="001767FA">
        <w:rPr>
          <w:rFonts w:ascii="Arial" w:hAnsi="Arial"/>
        </w:rPr>
        <w:t xml:space="preserve"> argument that the date when the affidavit was filed can be seen on </w:t>
      </w:r>
      <w:proofErr w:type="spellStart"/>
      <w:r w:rsidR="001767FA">
        <w:rPr>
          <w:rFonts w:ascii="Arial" w:hAnsi="Arial"/>
        </w:rPr>
        <w:t>eJustice</w:t>
      </w:r>
      <w:proofErr w:type="spellEnd"/>
      <w:r w:rsidR="001767FA">
        <w:rPr>
          <w:rFonts w:ascii="Arial" w:hAnsi="Arial"/>
        </w:rPr>
        <w:t xml:space="preserve">, in my considered view, is trifling. It does not always mean that the date of signing the affidavit is close to the filing thereof. </w:t>
      </w:r>
    </w:p>
    <w:p w14:paraId="7CB0A029" w14:textId="77777777" w:rsidR="001767FA" w:rsidRDefault="001767FA" w:rsidP="009627FC">
      <w:pPr>
        <w:spacing w:line="360" w:lineRule="auto"/>
        <w:jc w:val="both"/>
        <w:rPr>
          <w:rFonts w:ascii="Arial" w:hAnsi="Arial"/>
        </w:rPr>
      </w:pPr>
    </w:p>
    <w:p w14:paraId="1EFD4A1F" w14:textId="4C197709" w:rsidR="00E60640" w:rsidRDefault="001767FA" w:rsidP="009627FC">
      <w:pPr>
        <w:spacing w:line="360" w:lineRule="auto"/>
        <w:jc w:val="both"/>
        <w:rPr>
          <w:rFonts w:ascii="Arial" w:hAnsi="Arial"/>
        </w:rPr>
      </w:pPr>
      <w:r>
        <w:rPr>
          <w:rFonts w:ascii="Arial" w:hAnsi="Arial"/>
        </w:rPr>
        <w:t>[20]</w:t>
      </w:r>
      <w:r>
        <w:rPr>
          <w:rFonts w:ascii="Arial" w:hAnsi="Arial"/>
        </w:rPr>
        <w:tab/>
        <w:t>People may depose to an affidavit in one year and file it another year. It may well be that the affidavit may even have been signed before the claim was launched</w:t>
      </w:r>
      <w:r w:rsidR="00364D38">
        <w:rPr>
          <w:rFonts w:ascii="Arial" w:hAnsi="Arial"/>
        </w:rPr>
        <w:t xml:space="preserve">, or even worse, before the payments claimed are due. It </w:t>
      </w:r>
      <w:r>
        <w:rPr>
          <w:rFonts w:ascii="Arial" w:hAnsi="Arial"/>
        </w:rPr>
        <w:t xml:space="preserve">would </w:t>
      </w:r>
      <w:r w:rsidR="002A7C76">
        <w:rPr>
          <w:rFonts w:ascii="Arial" w:hAnsi="Arial"/>
        </w:rPr>
        <w:t>b</w:t>
      </w:r>
      <w:r>
        <w:rPr>
          <w:rFonts w:ascii="Arial" w:hAnsi="Arial"/>
        </w:rPr>
        <w:t>e important in that regard to ascertain the date</w:t>
      </w:r>
      <w:r w:rsidR="00364D38">
        <w:rPr>
          <w:rFonts w:ascii="Arial" w:hAnsi="Arial"/>
        </w:rPr>
        <w:t xml:space="preserve"> of deposition</w:t>
      </w:r>
      <w:r>
        <w:rPr>
          <w:rFonts w:ascii="Arial" w:hAnsi="Arial"/>
        </w:rPr>
        <w:t xml:space="preserve">. It </w:t>
      </w:r>
      <w:r w:rsidR="00364D38">
        <w:rPr>
          <w:rFonts w:ascii="Arial" w:hAnsi="Arial"/>
        </w:rPr>
        <w:t>is thus</w:t>
      </w:r>
      <w:r>
        <w:rPr>
          <w:rFonts w:ascii="Arial" w:hAnsi="Arial"/>
        </w:rPr>
        <w:t xml:space="preserve"> an important requirement and should not be regarded as idle </w:t>
      </w:r>
      <w:r w:rsidR="009F51E0">
        <w:rPr>
          <w:rFonts w:ascii="Arial" w:hAnsi="Arial"/>
        </w:rPr>
        <w:t>and therefor inconsequential as</w:t>
      </w:r>
      <w:r>
        <w:rPr>
          <w:rFonts w:ascii="Arial" w:hAnsi="Arial"/>
        </w:rPr>
        <w:t xml:space="preserve"> to whether a commissioner includes it or not.</w:t>
      </w:r>
    </w:p>
    <w:p w14:paraId="7611393C" w14:textId="77777777" w:rsidR="005A0F76" w:rsidRDefault="005A0F76" w:rsidP="009627FC">
      <w:pPr>
        <w:spacing w:line="360" w:lineRule="auto"/>
        <w:jc w:val="both"/>
        <w:rPr>
          <w:rFonts w:ascii="Arial" w:hAnsi="Arial"/>
        </w:rPr>
      </w:pPr>
    </w:p>
    <w:p w14:paraId="0DCDB8EC" w14:textId="64177224" w:rsidR="005A0F76" w:rsidRDefault="005A0F76" w:rsidP="009627FC">
      <w:pPr>
        <w:spacing w:line="360" w:lineRule="auto"/>
        <w:jc w:val="both"/>
        <w:rPr>
          <w:rFonts w:ascii="Arial" w:hAnsi="Arial"/>
        </w:rPr>
      </w:pPr>
      <w:r>
        <w:rPr>
          <w:rFonts w:ascii="Arial" w:hAnsi="Arial"/>
        </w:rPr>
        <w:t>[21]</w:t>
      </w:r>
      <w:r>
        <w:rPr>
          <w:rFonts w:ascii="Arial" w:hAnsi="Arial"/>
        </w:rPr>
        <w:tab/>
        <w:t>I am of the considered view that the issue of the date of the deposition is important and that is why there is an additional ‘shall’ attaching to it togethe</w:t>
      </w:r>
      <w:r w:rsidR="00364D38">
        <w:rPr>
          <w:rFonts w:ascii="Arial" w:hAnsi="Arial"/>
        </w:rPr>
        <w:t>r with the other requirements in</w:t>
      </w:r>
      <w:r>
        <w:rPr>
          <w:rFonts w:ascii="Arial" w:hAnsi="Arial"/>
        </w:rPr>
        <w:t xml:space="preserve"> the latter part of the regulation. If this requirement would always be regarded as idle, there may be situations where people swear on affidavit to issues which had not even occurred and the court would be compelled to accept those. The date of the declaration is </w:t>
      </w:r>
      <w:proofErr w:type="spellStart"/>
      <w:r>
        <w:rPr>
          <w:rFonts w:ascii="Arial" w:hAnsi="Arial"/>
        </w:rPr>
        <w:t>therefor</w:t>
      </w:r>
      <w:proofErr w:type="spellEnd"/>
      <w:r>
        <w:rPr>
          <w:rFonts w:ascii="Arial" w:hAnsi="Arial"/>
        </w:rPr>
        <w:t xml:space="preserve"> important in my considered view.</w:t>
      </w:r>
    </w:p>
    <w:p w14:paraId="283BEE9B" w14:textId="77777777" w:rsidR="005A0F76" w:rsidRDefault="005A0F76" w:rsidP="009627FC">
      <w:pPr>
        <w:spacing w:line="360" w:lineRule="auto"/>
        <w:jc w:val="both"/>
        <w:rPr>
          <w:rFonts w:ascii="Arial" w:hAnsi="Arial"/>
        </w:rPr>
      </w:pPr>
    </w:p>
    <w:p w14:paraId="1E3D84FB" w14:textId="59E4BBF5" w:rsidR="005A0F76" w:rsidRDefault="00E47946" w:rsidP="009627FC">
      <w:pPr>
        <w:spacing w:line="360" w:lineRule="auto"/>
        <w:jc w:val="both"/>
        <w:rPr>
          <w:rFonts w:ascii="Arial" w:hAnsi="Arial"/>
        </w:rPr>
      </w:pPr>
      <w:r>
        <w:rPr>
          <w:rFonts w:ascii="Arial" w:hAnsi="Arial"/>
        </w:rPr>
        <w:lastRenderedPageBreak/>
        <w:t>[22</w:t>
      </w:r>
      <w:r w:rsidR="005A0F76">
        <w:rPr>
          <w:rFonts w:ascii="Arial" w:hAnsi="Arial"/>
        </w:rPr>
        <w:t>]</w:t>
      </w:r>
      <w:r w:rsidR="005A0F76">
        <w:rPr>
          <w:rFonts w:ascii="Arial" w:hAnsi="Arial"/>
        </w:rPr>
        <w:tab/>
        <w:t>There is an added reason why in this particular case, being a</w:t>
      </w:r>
      <w:r w:rsidR="00364D38">
        <w:rPr>
          <w:rFonts w:ascii="Arial" w:hAnsi="Arial"/>
        </w:rPr>
        <w:t>n application for</w:t>
      </w:r>
      <w:r w:rsidR="005A0F76">
        <w:rPr>
          <w:rFonts w:ascii="Arial" w:hAnsi="Arial"/>
        </w:rPr>
        <w:t xml:space="preserve"> summary judgment, which in terms of the case law, a stringent remedy</w:t>
      </w:r>
      <w:r w:rsidR="00014735">
        <w:rPr>
          <w:rFonts w:ascii="Arial" w:hAnsi="Arial"/>
        </w:rPr>
        <w:t>, must be followed to the letter. This is because summary judgment, if granted, is issued in circumstances where the defendant is not afforded the full effects of a trial</w:t>
      </w:r>
      <w:r w:rsidR="00364D38">
        <w:rPr>
          <w:rFonts w:ascii="Arial" w:hAnsi="Arial"/>
        </w:rPr>
        <w:t xml:space="preserve">, considering the summary nature of the procedure </w:t>
      </w:r>
      <w:r w:rsidR="00D474E2">
        <w:rPr>
          <w:rFonts w:ascii="Arial" w:hAnsi="Arial"/>
        </w:rPr>
        <w:t>f</w:t>
      </w:r>
      <w:r w:rsidR="00364D38">
        <w:rPr>
          <w:rFonts w:ascii="Arial" w:hAnsi="Arial"/>
        </w:rPr>
        <w:t>ollowe</w:t>
      </w:r>
      <w:r w:rsidR="00D474E2">
        <w:rPr>
          <w:rFonts w:ascii="Arial" w:hAnsi="Arial"/>
        </w:rPr>
        <w:t>d in this type of proceeding</w:t>
      </w:r>
      <w:r w:rsidR="00014735">
        <w:rPr>
          <w:rFonts w:ascii="Arial" w:hAnsi="Arial"/>
        </w:rPr>
        <w:t xml:space="preserve">. </w:t>
      </w:r>
      <w:r w:rsidR="008B74CB">
        <w:rPr>
          <w:rFonts w:ascii="Arial" w:hAnsi="Arial"/>
        </w:rPr>
        <w:t xml:space="preserve">In the case of </w:t>
      </w:r>
      <w:proofErr w:type="spellStart"/>
      <w:r w:rsidR="008B74CB">
        <w:rPr>
          <w:rFonts w:ascii="Arial" w:hAnsi="Arial"/>
          <w:i/>
        </w:rPr>
        <w:t>Nored</w:t>
      </w:r>
      <w:proofErr w:type="spellEnd"/>
      <w:r w:rsidR="008B74CB">
        <w:rPr>
          <w:rFonts w:ascii="Arial" w:hAnsi="Arial"/>
          <w:i/>
        </w:rPr>
        <w:t xml:space="preserve"> Electricity (Pty) Ltd v Ouster,</w:t>
      </w:r>
      <w:r w:rsidR="008B74CB">
        <w:rPr>
          <w:rStyle w:val="FootnoteReference"/>
          <w:rFonts w:ascii="Arial" w:hAnsi="Arial"/>
          <w:i/>
        </w:rPr>
        <w:footnoteReference w:id="4"/>
      </w:r>
      <w:r w:rsidR="008B74CB">
        <w:rPr>
          <w:rFonts w:ascii="Arial" w:hAnsi="Arial"/>
          <w:i/>
        </w:rPr>
        <w:t xml:space="preserve"> </w:t>
      </w:r>
      <w:r w:rsidR="008B74CB" w:rsidRPr="008B74CB">
        <w:rPr>
          <w:rFonts w:ascii="Arial" w:hAnsi="Arial"/>
        </w:rPr>
        <w:t>it</w:t>
      </w:r>
      <w:r w:rsidR="00014735">
        <w:rPr>
          <w:rFonts w:ascii="Arial" w:hAnsi="Arial"/>
        </w:rPr>
        <w:t xml:space="preserve"> was stated that in cases of summary judgment, the papers must be in apple pie order</w:t>
      </w:r>
      <w:r w:rsidR="00D474E2">
        <w:rPr>
          <w:rFonts w:ascii="Arial" w:hAnsi="Arial"/>
        </w:rPr>
        <w:t>, so to speak</w:t>
      </w:r>
      <w:r w:rsidR="00014735">
        <w:rPr>
          <w:rFonts w:ascii="Arial" w:hAnsi="Arial"/>
        </w:rPr>
        <w:t>. That is not the case in the instant matter.</w:t>
      </w:r>
    </w:p>
    <w:p w14:paraId="39234E67" w14:textId="77777777" w:rsidR="00014735" w:rsidRDefault="00014735" w:rsidP="009627FC">
      <w:pPr>
        <w:spacing w:line="360" w:lineRule="auto"/>
        <w:jc w:val="both"/>
        <w:rPr>
          <w:rFonts w:ascii="Arial" w:hAnsi="Arial"/>
        </w:rPr>
      </w:pPr>
    </w:p>
    <w:p w14:paraId="1A838842" w14:textId="4E627C95" w:rsidR="00014735" w:rsidRDefault="00E47946" w:rsidP="009627FC">
      <w:pPr>
        <w:spacing w:line="360" w:lineRule="auto"/>
        <w:jc w:val="both"/>
        <w:rPr>
          <w:rFonts w:ascii="Arial" w:hAnsi="Arial"/>
        </w:rPr>
      </w:pPr>
      <w:r>
        <w:rPr>
          <w:rFonts w:ascii="Arial" w:hAnsi="Arial"/>
        </w:rPr>
        <w:t>[23</w:t>
      </w:r>
      <w:r w:rsidR="00014735">
        <w:rPr>
          <w:rFonts w:ascii="Arial" w:hAnsi="Arial"/>
        </w:rPr>
        <w:t>]</w:t>
      </w:r>
      <w:r w:rsidR="00014735">
        <w:rPr>
          <w:rFonts w:ascii="Arial" w:hAnsi="Arial"/>
        </w:rPr>
        <w:tab/>
        <w:t xml:space="preserve">Ms Kuzeeko further helpfully referred the court to </w:t>
      </w:r>
      <w:proofErr w:type="spellStart"/>
      <w:proofErr w:type="gramStart"/>
      <w:r w:rsidR="00014735">
        <w:rPr>
          <w:rFonts w:ascii="Arial" w:hAnsi="Arial"/>
          <w:i/>
        </w:rPr>
        <w:t>Ladybrand</w:t>
      </w:r>
      <w:proofErr w:type="spellEnd"/>
      <w:r w:rsidR="00014735">
        <w:rPr>
          <w:rFonts w:ascii="Arial" w:hAnsi="Arial"/>
          <w:i/>
        </w:rPr>
        <w:t xml:space="preserve"> Hotels</w:t>
      </w:r>
      <w:proofErr w:type="gramEnd"/>
      <w:r w:rsidR="00014735">
        <w:rPr>
          <w:rFonts w:ascii="Arial" w:hAnsi="Arial"/>
          <w:i/>
        </w:rPr>
        <w:t xml:space="preserve"> v Stellenbosch Farmers</w:t>
      </w:r>
      <w:r w:rsidR="00014735">
        <w:rPr>
          <w:rStyle w:val="FootnoteReference"/>
          <w:rFonts w:ascii="Arial" w:hAnsi="Arial"/>
          <w:i/>
        </w:rPr>
        <w:footnoteReference w:id="5"/>
      </w:r>
      <w:r w:rsidR="00014735">
        <w:rPr>
          <w:rFonts w:ascii="Arial" w:hAnsi="Arial"/>
          <w:i/>
        </w:rPr>
        <w:t xml:space="preserve"> </w:t>
      </w:r>
      <w:r w:rsidR="00014735">
        <w:rPr>
          <w:rFonts w:ascii="Arial" w:hAnsi="Arial"/>
        </w:rPr>
        <w:t xml:space="preserve">where it </w:t>
      </w:r>
      <w:r w:rsidR="00383E3D">
        <w:rPr>
          <w:rFonts w:ascii="Arial" w:hAnsi="Arial"/>
        </w:rPr>
        <w:t>was reasoned that where it was not apparent that an affidavit had</w:t>
      </w:r>
      <w:r w:rsidR="00014735">
        <w:rPr>
          <w:rFonts w:ascii="Arial" w:hAnsi="Arial"/>
        </w:rPr>
        <w:t xml:space="preserve"> been</w:t>
      </w:r>
      <w:r w:rsidR="00383E3D">
        <w:rPr>
          <w:rFonts w:ascii="Arial" w:hAnsi="Arial"/>
        </w:rPr>
        <w:t xml:space="preserve"> signed in the presence of the commissioner o</w:t>
      </w:r>
      <w:r w:rsidR="00D474E2">
        <w:rPr>
          <w:rFonts w:ascii="Arial" w:hAnsi="Arial"/>
        </w:rPr>
        <w:t>f oaths, the</w:t>
      </w:r>
      <w:r w:rsidR="00383E3D">
        <w:rPr>
          <w:rFonts w:ascii="Arial" w:hAnsi="Arial"/>
        </w:rPr>
        <w:t xml:space="preserve"> maxim </w:t>
      </w:r>
      <w:proofErr w:type="spellStart"/>
      <w:r w:rsidR="00383E3D">
        <w:rPr>
          <w:rFonts w:ascii="Arial" w:hAnsi="Arial"/>
          <w:i/>
        </w:rPr>
        <w:t>omnia</w:t>
      </w:r>
      <w:proofErr w:type="spellEnd"/>
      <w:r w:rsidR="00383E3D">
        <w:rPr>
          <w:rFonts w:ascii="Arial" w:hAnsi="Arial"/>
          <w:i/>
        </w:rPr>
        <w:t xml:space="preserve"> </w:t>
      </w:r>
      <w:proofErr w:type="spellStart"/>
      <w:r w:rsidR="00383E3D">
        <w:rPr>
          <w:rFonts w:ascii="Arial" w:hAnsi="Arial"/>
          <w:i/>
        </w:rPr>
        <w:t>praesumuntur</w:t>
      </w:r>
      <w:proofErr w:type="spellEnd"/>
      <w:r w:rsidR="00383E3D">
        <w:rPr>
          <w:rFonts w:ascii="Arial" w:hAnsi="Arial"/>
          <w:i/>
        </w:rPr>
        <w:t xml:space="preserve"> rite </w:t>
      </w:r>
      <w:proofErr w:type="spellStart"/>
      <w:r w:rsidR="00383E3D">
        <w:rPr>
          <w:rFonts w:ascii="Arial" w:hAnsi="Arial"/>
          <w:i/>
        </w:rPr>
        <w:t>esse</w:t>
      </w:r>
      <w:proofErr w:type="spellEnd"/>
      <w:r w:rsidR="00383E3D">
        <w:rPr>
          <w:rFonts w:ascii="Arial" w:hAnsi="Arial"/>
          <w:i/>
        </w:rPr>
        <w:t xml:space="preserve"> </w:t>
      </w:r>
      <w:proofErr w:type="spellStart"/>
      <w:r w:rsidR="00383E3D">
        <w:rPr>
          <w:rFonts w:ascii="Arial" w:hAnsi="Arial"/>
          <w:i/>
        </w:rPr>
        <w:t>acta</w:t>
      </w:r>
      <w:proofErr w:type="spellEnd"/>
      <w:r w:rsidR="00383E3D">
        <w:rPr>
          <w:rFonts w:ascii="Arial" w:hAnsi="Arial"/>
          <w:i/>
        </w:rPr>
        <w:t xml:space="preserve"> </w:t>
      </w:r>
      <w:proofErr w:type="spellStart"/>
      <w:r w:rsidR="00D474E2">
        <w:rPr>
          <w:rFonts w:ascii="Arial" w:hAnsi="Arial"/>
        </w:rPr>
        <w:t>ie</w:t>
      </w:r>
      <w:proofErr w:type="spellEnd"/>
      <w:r w:rsidR="00D474E2">
        <w:rPr>
          <w:rFonts w:ascii="Arial" w:hAnsi="Arial"/>
        </w:rPr>
        <w:t xml:space="preserve"> all things are presumed to have been correctly and solemnly done, </w:t>
      </w:r>
      <w:r w:rsidR="00383E3D" w:rsidRPr="00383E3D">
        <w:rPr>
          <w:rFonts w:ascii="Arial" w:hAnsi="Arial"/>
        </w:rPr>
        <w:t>applies.</w:t>
      </w:r>
      <w:r w:rsidR="00014735">
        <w:rPr>
          <w:rFonts w:ascii="Arial" w:hAnsi="Arial"/>
        </w:rPr>
        <w:t xml:space="preserve"> </w:t>
      </w:r>
      <w:r w:rsidR="00383E3D">
        <w:rPr>
          <w:rFonts w:ascii="Arial" w:hAnsi="Arial"/>
        </w:rPr>
        <w:t>The court considered that if the affidavit was defective, it should be condoned.</w:t>
      </w:r>
    </w:p>
    <w:p w14:paraId="430F005A" w14:textId="77777777" w:rsidR="00383E3D" w:rsidRDefault="00383E3D" w:rsidP="009627FC">
      <w:pPr>
        <w:spacing w:line="360" w:lineRule="auto"/>
        <w:jc w:val="both"/>
        <w:rPr>
          <w:rFonts w:ascii="Arial" w:hAnsi="Arial"/>
        </w:rPr>
      </w:pPr>
    </w:p>
    <w:p w14:paraId="318D5543" w14:textId="738C9C04" w:rsidR="004E17DF" w:rsidRDefault="00E47946" w:rsidP="009627FC">
      <w:pPr>
        <w:spacing w:line="360" w:lineRule="auto"/>
        <w:jc w:val="both"/>
        <w:rPr>
          <w:rFonts w:ascii="Arial" w:hAnsi="Arial"/>
        </w:rPr>
      </w:pPr>
      <w:r>
        <w:rPr>
          <w:rFonts w:ascii="Arial" w:hAnsi="Arial"/>
        </w:rPr>
        <w:t>[24</w:t>
      </w:r>
      <w:r w:rsidR="00383E3D">
        <w:rPr>
          <w:rFonts w:ascii="Arial" w:hAnsi="Arial"/>
        </w:rPr>
        <w:t>]</w:t>
      </w:r>
      <w:r w:rsidR="00383E3D">
        <w:rPr>
          <w:rFonts w:ascii="Arial" w:hAnsi="Arial"/>
        </w:rPr>
        <w:tab/>
        <w:t xml:space="preserve">It will be readily apparent that the issue that afflicted the affidavit in that matter, was of a different type from the one in the instant case. The fact that the oath was administered in the presence of the commissioner may be readily assumed but not where </w:t>
      </w:r>
      <w:r w:rsidR="00062F21">
        <w:rPr>
          <w:rFonts w:ascii="Arial" w:hAnsi="Arial"/>
        </w:rPr>
        <w:t xml:space="preserve">or when </w:t>
      </w:r>
      <w:r w:rsidR="00383E3D">
        <w:rPr>
          <w:rFonts w:ascii="Arial" w:hAnsi="Arial"/>
        </w:rPr>
        <w:t>the said oath was administered. The issue of substantial compliance does not, in my considered view readily apply where there is no indication where</w:t>
      </w:r>
      <w:r w:rsidR="00062F21">
        <w:rPr>
          <w:rFonts w:ascii="Arial" w:hAnsi="Arial"/>
        </w:rPr>
        <w:t xml:space="preserve"> or when</w:t>
      </w:r>
      <w:r w:rsidR="00383E3D">
        <w:rPr>
          <w:rFonts w:ascii="Arial" w:hAnsi="Arial"/>
        </w:rPr>
        <w:t xml:space="preserve"> the oath was administered</w:t>
      </w:r>
      <w:r w:rsidR="00062F21">
        <w:rPr>
          <w:rFonts w:ascii="Arial" w:hAnsi="Arial"/>
        </w:rPr>
        <w:t xml:space="preserve">. This must </w:t>
      </w:r>
      <w:r w:rsidR="00383E3D">
        <w:rPr>
          <w:rFonts w:ascii="Arial" w:hAnsi="Arial"/>
        </w:rPr>
        <w:t xml:space="preserve">especially </w:t>
      </w:r>
      <w:r w:rsidR="00062F21">
        <w:rPr>
          <w:rFonts w:ascii="Arial" w:hAnsi="Arial"/>
        </w:rPr>
        <w:t xml:space="preserve">be the case </w:t>
      </w:r>
      <w:r w:rsidR="00383E3D">
        <w:rPr>
          <w:rFonts w:ascii="Arial" w:hAnsi="Arial"/>
        </w:rPr>
        <w:t>where the matter in question relates to a stringent and possibly prejudicial matter such as a summary judgment</w:t>
      </w:r>
      <w:r w:rsidR="00062F21">
        <w:rPr>
          <w:rFonts w:ascii="Arial" w:hAnsi="Arial"/>
        </w:rPr>
        <w:t>. In</w:t>
      </w:r>
      <w:r w:rsidR="004E17DF">
        <w:rPr>
          <w:rFonts w:ascii="Arial" w:hAnsi="Arial"/>
        </w:rPr>
        <w:t xml:space="preserve"> this </w:t>
      </w:r>
      <w:r w:rsidR="00062F21">
        <w:rPr>
          <w:rFonts w:ascii="Arial" w:hAnsi="Arial"/>
        </w:rPr>
        <w:t xml:space="preserve">particular </w:t>
      </w:r>
      <w:r w:rsidR="004E17DF">
        <w:rPr>
          <w:rFonts w:ascii="Arial" w:hAnsi="Arial"/>
        </w:rPr>
        <w:t xml:space="preserve">case, </w:t>
      </w:r>
      <w:r w:rsidR="00062F21">
        <w:rPr>
          <w:rFonts w:ascii="Arial" w:hAnsi="Arial"/>
        </w:rPr>
        <w:t xml:space="preserve">it </w:t>
      </w:r>
      <w:r w:rsidR="004E17DF">
        <w:rPr>
          <w:rFonts w:ascii="Arial" w:hAnsi="Arial"/>
        </w:rPr>
        <w:t xml:space="preserve">may herald the possibility of the respondents not having a roof over their heads, </w:t>
      </w:r>
      <w:r w:rsidR="00062F21">
        <w:rPr>
          <w:rFonts w:ascii="Arial" w:hAnsi="Arial"/>
        </w:rPr>
        <w:t xml:space="preserve">which is a serious matter </w:t>
      </w:r>
      <w:r w:rsidR="004E17DF">
        <w:rPr>
          <w:rFonts w:ascii="Arial" w:hAnsi="Arial"/>
        </w:rPr>
        <w:t xml:space="preserve">especially given the first respondent’s </w:t>
      </w:r>
      <w:r w:rsidR="00062F21">
        <w:rPr>
          <w:rFonts w:ascii="Arial" w:hAnsi="Arial"/>
        </w:rPr>
        <w:t xml:space="preserve">precarious </w:t>
      </w:r>
      <w:r w:rsidR="004E17DF">
        <w:rPr>
          <w:rFonts w:ascii="Arial" w:hAnsi="Arial"/>
        </w:rPr>
        <w:t>health</w:t>
      </w:r>
      <w:r w:rsidR="00062F21">
        <w:rPr>
          <w:rFonts w:ascii="Arial" w:hAnsi="Arial"/>
        </w:rPr>
        <w:t xml:space="preserve"> conditions</w:t>
      </w:r>
      <w:r w:rsidR="004E17DF">
        <w:rPr>
          <w:rFonts w:ascii="Arial" w:hAnsi="Arial"/>
        </w:rPr>
        <w:t xml:space="preserve"> painted on the canvass of the respondents’ opposing affidavits.</w:t>
      </w:r>
    </w:p>
    <w:p w14:paraId="160CB9A5" w14:textId="77777777" w:rsidR="004E17DF" w:rsidRDefault="004E17DF" w:rsidP="009627FC">
      <w:pPr>
        <w:spacing w:line="360" w:lineRule="auto"/>
        <w:jc w:val="both"/>
        <w:rPr>
          <w:rFonts w:ascii="Arial" w:hAnsi="Arial"/>
        </w:rPr>
      </w:pPr>
    </w:p>
    <w:p w14:paraId="013A9B4E" w14:textId="5C8ADBF4" w:rsidR="00383E3D" w:rsidRDefault="00E47946" w:rsidP="009627FC">
      <w:pPr>
        <w:spacing w:line="360" w:lineRule="auto"/>
        <w:jc w:val="both"/>
        <w:rPr>
          <w:rFonts w:ascii="Arial" w:hAnsi="Arial"/>
        </w:rPr>
      </w:pPr>
      <w:r>
        <w:rPr>
          <w:rFonts w:ascii="Arial" w:hAnsi="Arial"/>
        </w:rPr>
        <w:t>[25</w:t>
      </w:r>
      <w:r w:rsidR="004E17DF">
        <w:rPr>
          <w:rFonts w:ascii="Arial" w:hAnsi="Arial"/>
        </w:rPr>
        <w:t>]</w:t>
      </w:r>
      <w:r w:rsidR="004E17DF">
        <w:rPr>
          <w:rFonts w:ascii="Arial" w:hAnsi="Arial"/>
        </w:rPr>
        <w:tab/>
        <w:t>In the premises, I am of the considered view that the issue of non-compliance with regulation 4(1) in this matter, regard particularly</w:t>
      </w:r>
      <w:r w:rsidR="00062F21">
        <w:rPr>
          <w:rFonts w:ascii="Arial" w:hAnsi="Arial"/>
        </w:rPr>
        <w:t xml:space="preserve"> being</w:t>
      </w:r>
      <w:r w:rsidR="004E17DF">
        <w:rPr>
          <w:rFonts w:ascii="Arial" w:hAnsi="Arial"/>
        </w:rPr>
        <w:t xml:space="preserve"> had to the relief sought, as s</w:t>
      </w:r>
      <w:r w:rsidR="00E16D98">
        <w:rPr>
          <w:rFonts w:ascii="Arial" w:hAnsi="Arial"/>
        </w:rPr>
        <w:t xml:space="preserve">een through the prism of the </w:t>
      </w:r>
      <w:proofErr w:type="spellStart"/>
      <w:r w:rsidR="00E16D98">
        <w:rPr>
          <w:rFonts w:ascii="Arial" w:hAnsi="Arial"/>
          <w:i/>
        </w:rPr>
        <w:t>Nored</w:t>
      </w:r>
      <w:proofErr w:type="spellEnd"/>
      <w:r w:rsidR="00D07B16">
        <w:rPr>
          <w:rFonts w:ascii="Arial" w:hAnsi="Arial"/>
          <w:i/>
        </w:rPr>
        <w:t xml:space="preserve"> Electricity (Pty) Ltd v </w:t>
      </w:r>
      <w:r w:rsidR="00D07B16">
        <w:rPr>
          <w:rFonts w:ascii="Arial" w:hAnsi="Arial"/>
          <w:i/>
        </w:rPr>
        <w:lastRenderedPageBreak/>
        <w:t>Ouster</w:t>
      </w:r>
      <w:r w:rsidR="00D07B16">
        <w:rPr>
          <w:rStyle w:val="FootnoteReference"/>
          <w:rFonts w:ascii="Arial" w:hAnsi="Arial"/>
          <w:i/>
        </w:rPr>
        <w:footnoteReference w:id="6"/>
      </w:r>
      <w:r w:rsidR="00E16D98">
        <w:rPr>
          <w:rFonts w:ascii="Arial" w:hAnsi="Arial"/>
          <w:i/>
        </w:rPr>
        <w:t xml:space="preserve"> </w:t>
      </w:r>
      <w:r w:rsidR="004E17DF">
        <w:rPr>
          <w:rFonts w:ascii="Arial" w:hAnsi="Arial"/>
        </w:rPr>
        <w:t>case,</w:t>
      </w:r>
      <w:r w:rsidR="00383E3D">
        <w:rPr>
          <w:rFonts w:ascii="Arial" w:hAnsi="Arial"/>
        </w:rPr>
        <w:t xml:space="preserve"> </w:t>
      </w:r>
      <w:r w:rsidR="004E17DF">
        <w:rPr>
          <w:rFonts w:ascii="Arial" w:hAnsi="Arial"/>
        </w:rPr>
        <w:t>the court should insist on the full and proper compliance with the perem</w:t>
      </w:r>
      <w:r w:rsidR="00062F21">
        <w:rPr>
          <w:rFonts w:ascii="Arial" w:hAnsi="Arial"/>
        </w:rPr>
        <w:t>ptory requirement that the date when</w:t>
      </w:r>
      <w:r w:rsidR="004E17DF">
        <w:rPr>
          <w:rFonts w:ascii="Arial" w:hAnsi="Arial"/>
        </w:rPr>
        <w:t xml:space="preserve"> the oath is administered is stated.</w:t>
      </w:r>
    </w:p>
    <w:p w14:paraId="3955BB66" w14:textId="77777777" w:rsidR="00F54654" w:rsidRDefault="00F54654" w:rsidP="009627FC">
      <w:pPr>
        <w:spacing w:line="360" w:lineRule="auto"/>
        <w:jc w:val="both"/>
        <w:rPr>
          <w:rFonts w:ascii="Arial" w:hAnsi="Arial"/>
        </w:rPr>
      </w:pPr>
    </w:p>
    <w:p w14:paraId="5A07DAA2" w14:textId="636CB663" w:rsidR="00F54654" w:rsidRDefault="00E47946" w:rsidP="009627FC">
      <w:pPr>
        <w:spacing w:line="360" w:lineRule="auto"/>
        <w:jc w:val="both"/>
        <w:rPr>
          <w:rFonts w:ascii="Arial" w:hAnsi="Arial"/>
        </w:rPr>
      </w:pPr>
      <w:r>
        <w:rPr>
          <w:rFonts w:ascii="Arial" w:hAnsi="Arial"/>
        </w:rPr>
        <w:t>[26</w:t>
      </w:r>
      <w:r w:rsidR="00F54654">
        <w:rPr>
          <w:rFonts w:ascii="Arial" w:hAnsi="Arial"/>
        </w:rPr>
        <w:t>]</w:t>
      </w:r>
      <w:r w:rsidR="00F54654">
        <w:rPr>
          <w:rFonts w:ascii="Arial" w:hAnsi="Arial"/>
        </w:rPr>
        <w:tab/>
        <w:t>In that case, the court dealt with the seven golden rules of summary judgment that the court should consider in dealing with summary judgment applications. One of these was that ‘in determining summary judgment, the court is restricted to the manner in which the plaintiff has presented its case, namely, that the court must insist on strict compliance by the plaintiff</w:t>
      </w:r>
      <w:r w:rsidR="005D2FB1">
        <w:rPr>
          <w:rFonts w:ascii="Arial" w:hAnsi="Arial"/>
        </w:rPr>
        <w:t xml:space="preserve"> and technically incorrect papers should see the application refused.’ </w:t>
      </w:r>
    </w:p>
    <w:p w14:paraId="4064A0D4" w14:textId="77777777" w:rsidR="004E17DF" w:rsidRDefault="004E17DF" w:rsidP="009627FC">
      <w:pPr>
        <w:spacing w:line="360" w:lineRule="auto"/>
        <w:jc w:val="both"/>
        <w:rPr>
          <w:rFonts w:ascii="Arial" w:hAnsi="Arial"/>
        </w:rPr>
      </w:pPr>
    </w:p>
    <w:p w14:paraId="6F7AC645" w14:textId="31CCB162" w:rsidR="004E17DF" w:rsidRDefault="00E47946" w:rsidP="009627FC">
      <w:pPr>
        <w:spacing w:line="360" w:lineRule="auto"/>
        <w:jc w:val="both"/>
        <w:rPr>
          <w:rFonts w:ascii="Arial" w:hAnsi="Arial"/>
        </w:rPr>
      </w:pPr>
      <w:r>
        <w:rPr>
          <w:rFonts w:ascii="Arial" w:hAnsi="Arial"/>
        </w:rPr>
        <w:t>[27</w:t>
      </w:r>
      <w:r w:rsidR="004E17DF">
        <w:rPr>
          <w:rFonts w:ascii="Arial" w:hAnsi="Arial"/>
        </w:rPr>
        <w:t>]</w:t>
      </w:r>
      <w:r w:rsidR="004E17DF">
        <w:rPr>
          <w:rFonts w:ascii="Arial" w:hAnsi="Arial"/>
        </w:rPr>
        <w:tab/>
        <w:t xml:space="preserve">It must be stated that the law is a profession that in many cases, requires </w:t>
      </w:r>
      <w:r w:rsidR="005D2FB1">
        <w:rPr>
          <w:rFonts w:ascii="Arial" w:hAnsi="Arial"/>
        </w:rPr>
        <w:t>accuracy,</w:t>
      </w:r>
      <w:r w:rsidR="00977DC9">
        <w:rPr>
          <w:rFonts w:ascii="Arial" w:hAnsi="Arial"/>
        </w:rPr>
        <w:t xml:space="preserve"> </w:t>
      </w:r>
      <w:r w:rsidR="004E17DF">
        <w:rPr>
          <w:rFonts w:ascii="Arial" w:hAnsi="Arial"/>
        </w:rPr>
        <w:t>precision</w:t>
      </w:r>
      <w:r w:rsidR="005D2FB1">
        <w:rPr>
          <w:rFonts w:ascii="Arial" w:hAnsi="Arial"/>
        </w:rPr>
        <w:t xml:space="preserve"> and attention to minute details</w:t>
      </w:r>
      <w:r w:rsidR="00855B7E">
        <w:rPr>
          <w:rFonts w:ascii="Arial" w:hAnsi="Arial"/>
        </w:rPr>
        <w:t>.</w:t>
      </w:r>
      <w:r w:rsidR="00977DC9">
        <w:rPr>
          <w:rFonts w:ascii="Arial" w:hAnsi="Arial"/>
        </w:rPr>
        <w:t xml:space="preserve"> Commissioners of oath must perform their functions with a full presence of mind</w:t>
      </w:r>
      <w:r w:rsidR="008516BB">
        <w:rPr>
          <w:rFonts w:ascii="Arial" w:hAnsi="Arial"/>
        </w:rPr>
        <w:t xml:space="preserve">. They must  </w:t>
      </w:r>
      <w:r w:rsidR="00977DC9">
        <w:rPr>
          <w:rFonts w:ascii="Arial" w:hAnsi="Arial"/>
        </w:rPr>
        <w:t>not be perfunctory in their approach, resting on the forlorn hope that the court will invariably apply the l</w:t>
      </w:r>
      <w:r w:rsidR="00855B7E">
        <w:rPr>
          <w:rFonts w:ascii="Arial" w:hAnsi="Arial"/>
        </w:rPr>
        <w:t>ower standard of substantial compli</w:t>
      </w:r>
      <w:r w:rsidR="005D2FB1">
        <w:rPr>
          <w:rFonts w:ascii="Arial" w:hAnsi="Arial"/>
        </w:rPr>
        <w:t>ance in reviewing their work</w:t>
      </w:r>
      <w:r w:rsidR="00855B7E">
        <w:rPr>
          <w:rFonts w:ascii="Arial" w:hAnsi="Arial"/>
        </w:rPr>
        <w:t xml:space="preserve"> and </w:t>
      </w:r>
      <w:r w:rsidR="008516BB">
        <w:rPr>
          <w:rFonts w:ascii="Arial" w:hAnsi="Arial"/>
        </w:rPr>
        <w:t>will invariably hold that</w:t>
      </w:r>
      <w:r w:rsidR="00855B7E">
        <w:rPr>
          <w:rFonts w:ascii="Arial" w:hAnsi="Arial"/>
        </w:rPr>
        <w:t xml:space="preserve"> non-compliance with the regulations is merely directory</w:t>
      </w:r>
      <w:r w:rsidR="00977DC9">
        <w:rPr>
          <w:rFonts w:ascii="Arial" w:hAnsi="Arial"/>
        </w:rPr>
        <w:t>.</w:t>
      </w:r>
    </w:p>
    <w:p w14:paraId="541547E4" w14:textId="77777777" w:rsidR="00977DC9" w:rsidRDefault="00977DC9" w:rsidP="009627FC">
      <w:pPr>
        <w:spacing w:line="360" w:lineRule="auto"/>
        <w:jc w:val="both"/>
        <w:rPr>
          <w:rFonts w:ascii="Arial" w:hAnsi="Arial"/>
        </w:rPr>
      </w:pPr>
    </w:p>
    <w:p w14:paraId="4F73D55C" w14:textId="4E3528A0" w:rsidR="00977DC9" w:rsidRDefault="00E47946" w:rsidP="009627FC">
      <w:pPr>
        <w:spacing w:line="360" w:lineRule="auto"/>
        <w:jc w:val="both"/>
        <w:rPr>
          <w:rFonts w:ascii="Arial" w:hAnsi="Arial"/>
        </w:rPr>
      </w:pPr>
      <w:r>
        <w:rPr>
          <w:rFonts w:ascii="Arial" w:hAnsi="Arial"/>
        </w:rPr>
        <w:t>[28</w:t>
      </w:r>
      <w:r w:rsidR="00977DC9">
        <w:rPr>
          <w:rFonts w:ascii="Arial" w:hAnsi="Arial"/>
        </w:rPr>
        <w:t>]</w:t>
      </w:r>
      <w:r w:rsidR="00977DC9">
        <w:rPr>
          <w:rFonts w:ascii="Arial" w:hAnsi="Arial"/>
        </w:rPr>
        <w:tab/>
        <w:t xml:space="preserve">In the book of </w:t>
      </w:r>
      <w:r w:rsidR="008516BB">
        <w:rPr>
          <w:rFonts w:ascii="Arial" w:hAnsi="Arial"/>
        </w:rPr>
        <w:t>the Songs of Solomon 2:15</w:t>
      </w:r>
      <w:r w:rsidR="00977DC9">
        <w:rPr>
          <w:rFonts w:ascii="Arial" w:hAnsi="Arial"/>
        </w:rPr>
        <w:t>, it is stated that it is the small foxes that spoil the vine. Commissioners of oath must be alive to the small foxes – the date, the place and manner of taking the oath, among other things. The substantial compliance doctrine must not be an invitation to laxity for commissioners of oath. Where appropriate, as in this case, inattention, must be visited with a harsh</w:t>
      </w:r>
      <w:r w:rsidR="008516BB">
        <w:rPr>
          <w:rFonts w:ascii="Arial" w:hAnsi="Arial"/>
        </w:rPr>
        <w:t xml:space="preserve"> penalty. It is clear that space was provided for inserting a place where the oath would be administered</w:t>
      </w:r>
      <w:r w:rsidR="00A12B62">
        <w:rPr>
          <w:rFonts w:ascii="Arial" w:hAnsi="Arial"/>
        </w:rPr>
        <w:t xml:space="preserve"> by the author</w:t>
      </w:r>
      <w:r w:rsidR="00977DC9">
        <w:rPr>
          <w:rFonts w:ascii="Arial" w:hAnsi="Arial"/>
        </w:rPr>
        <w:t xml:space="preserve"> </w:t>
      </w:r>
      <w:r w:rsidR="00A12B62">
        <w:rPr>
          <w:rFonts w:ascii="Arial" w:hAnsi="Arial"/>
        </w:rPr>
        <w:t>of the affidavit for the commissioner to insert by hand</w:t>
      </w:r>
      <w:r w:rsidR="008516BB">
        <w:rPr>
          <w:rFonts w:ascii="Arial" w:hAnsi="Arial"/>
        </w:rPr>
        <w:t>. T</w:t>
      </w:r>
      <w:r w:rsidR="00A12B62">
        <w:rPr>
          <w:rFonts w:ascii="Arial" w:hAnsi="Arial"/>
        </w:rPr>
        <w:t xml:space="preserve">he commissioner </w:t>
      </w:r>
      <w:r w:rsidR="008516BB">
        <w:rPr>
          <w:rFonts w:ascii="Arial" w:hAnsi="Arial"/>
        </w:rPr>
        <w:t xml:space="preserve">of oaths </w:t>
      </w:r>
      <w:r w:rsidR="00A12B62">
        <w:rPr>
          <w:rFonts w:ascii="Arial" w:hAnsi="Arial"/>
        </w:rPr>
        <w:t>did not do so and there is no explanation for that glaring omission</w:t>
      </w:r>
      <w:r w:rsidR="008516BB">
        <w:rPr>
          <w:rFonts w:ascii="Arial" w:hAnsi="Arial"/>
        </w:rPr>
        <w:t xml:space="preserve"> placed before court</w:t>
      </w:r>
      <w:r w:rsidR="00A12B62">
        <w:rPr>
          <w:rFonts w:ascii="Arial" w:hAnsi="Arial"/>
        </w:rPr>
        <w:t>.</w:t>
      </w:r>
    </w:p>
    <w:p w14:paraId="642C7A02" w14:textId="2BA74466" w:rsidR="00C7506A" w:rsidRDefault="00E47946" w:rsidP="009627FC">
      <w:pPr>
        <w:spacing w:line="360" w:lineRule="auto"/>
        <w:jc w:val="both"/>
        <w:rPr>
          <w:rFonts w:ascii="Arial" w:hAnsi="Arial"/>
        </w:rPr>
      </w:pPr>
      <w:r>
        <w:rPr>
          <w:rFonts w:ascii="Arial" w:hAnsi="Arial"/>
        </w:rPr>
        <w:t>[29</w:t>
      </w:r>
      <w:r w:rsidR="00A12B62">
        <w:rPr>
          <w:rFonts w:ascii="Arial" w:hAnsi="Arial"/>
        </w:rPr>
        <w:t>]</w:t>
      </w:r>
      <w:r w:rsidR="00A12B62">
        <w:rPr>
          <w:rFonts w:ascii="Arial" w:hAnsi="Arial"/>
        </w:rPr>
        <w:tab/>
        <w:t xml:space="preserve">I am of the considered view that the applicant cannot be said to have been without a remedy entirely. Once made alive to the fact that there may have been an omission in the affidavit by the opposing affidavit, the applicant </w:t>
      </w:r>
      <w:r w:rsidR="00A12B62">
        <w:rPr>
          <w:rFonts w:ascii="Arial" w:hAnsi="Arial"/>
        </w:rPr>
        <w:lastRenderedPageBreak/>
        <w:t xml:space="preserve">could and should have withdrawn the </w:t>
      </w:r>
      <w:r w:rsidR="00AF1D54">
        <w:rPr>
          <w:rFonts w:ascii="Arial" w:hAnsi="Arial"/>
        </w:rPr>
        <w:t xml:space="preserve">application for </w:t>
      </w:r>
      <w:r w:rsidR="00A12B62">
        <w:rPr>
          <w:rFonts w:ascii="Arial" w:hAnsi="Arial"/>
        </w:rPr>
        <w:t>summary judgment in order to attend to the oversight</w:t>
      </w:r>
      <w:r w:rsidR="00AF1D54">
        <w:rPr>
          <w:rFonts w:ascii="Arial" w:hAnsi="Arial"/>
        </w:rPr>
        <w:t>, lest it have crippling effects</w:t>
      </w:r>
      <w:r w:rsidR="00A12B62">
        <w:rPr>
          <w:rFonts w:ascii="Arial" w:hAnsi="Arial"/>
        </w:rPr>
        <w:t xml:space="preserve">. The </w:t>
      </w:r>
      <w:r w:rsidR="009F51E0">
        <w:rPr>
          <w:rFonts w:ascii="Arial" w:hAnsi="Arial"/>
        </w:rPr>
        <w:t>obstinacy</w:t>
      </w:r>
      <w:r w:rsidR="00A12B62">
        <w:rPr>
          <w:rFonts w:ascii="Arial" w:hAnsi="Arial"/>
        </w:rPr>
        <w:t>, in proceeding wit</w:t>
      </w:r>
      <w:r w:rsidR="00AF1D54">
        <w:rPr>
          <w:rFonts w:ascii="Arial" w:hAnsi="Arial"/>
        </w:rPr>
        <w:t>h summary judgment, stringent a remedy as it is, m</w:t>
      </w:r>
      <w:r w:rsidR="00A12B62">
        <w:rPr>
          <w:rFonts w:ascii="Arial" w:hAnsi="Arial"/>
        </w:rPr>
        <w:t>ust return to haunt the applicant.</w:t>
      </w:r>
    </w:p>
    <w:p w14:paraId="5DA2AA59" w14:textId="77777777" w:rsidR="009627FC" w:rsidRDefault="009627FC" w:rsidP="009627FC">
      <w:pPr>
        <w:spacing w:line="360" w:lineRule="auto"/>
        <w:jc w:val="both"/>
        <w:rPr>
          <w:rFonts w:ascii="Arial" w:hAnsi="Arial"/>
        </w:rPr>
      </w:pPr>
    </w:p>
    <w:p w14:paraId="19519484" w14:textId="1F0D771C" w:rsidR="00C7506A" w:rsidRDefault="00E47946" w:rsidP="009627FC">
      <w:pPr>
        <w:spacing w:line="360" w:lineRule="auto"/>
        <w:jc w:val="both"/>
        <w:rPr>
          <w:rFonts w:ascii="Arial" w:hAnsi="Arial"/>
        </w:rPr>
      </w:pPr>
      <w:r>
        <w:rPr>
          <w:rFonts w:ascii="Arial" w:hAnsi="Arial"/>
        </w:rPr>
        <w:t>[30</w:t>
      </w:r>
      <w:r w:rsidR="00C7506A">
        <w:rPr>
          <w:rFonts w:ascii="Arial" w:hAnsi="Arial"/>
        </w:rPr>
        <w:t>]</w:t>
      </w:r>
      <w:r w:rsidR="00C7506A">
        <w:rPr>
          <w:rFonts w:ascii="Arial" w:hAnsi="Arial"/>
        </w:rPr>
        <w:tab/>
        <w:t xml:space="preserve">I must point out at the end of the day that the authorities do say and I admit, that the compliance with the said provisions is ordinarily merely directory. In </w:t>
      </w:r>
      <w:r w:rsidR="00C7506A">
        <w:rPr>
          <w:rFonts w:ascii="Arial" w:hAnsi="Arial"/>
          <w:i/>
        </w:rPr>
        <w:t>Swart v Swart</w:t>
      </w:r>
      <w:r w:rsidR="00AF1D54">
        <w:rPr>
          <w:rFonts w:ascii="Arial" w:hAnsi="Arial"/>
          <w:i/>
        </w:rPr>
        <w:t>,</w:t>
      </w:r>
      <w:r w:rsidR="00C7506A">
        <w:rPr>
          <w:rStyle w:val="FootnoteReference"/>
          <w:rFonts w:ascii="Arial" w:hAnsi="Arial"/>
          <w:i/>
        </w:rPr>
        <w:footnoteReference w:id="7"/>
      </w:r>
      <w:r w:rsidR="00AF1D54">
        <w:rPr>
          <w:rFonts w:ascii="Arial" w:hAnsi="Arial"/>
          <w:i/>
        </w:rPr>
        <w:t xml:space="preserve"> </w:t>
      </w:r>
      <w:r w:rsidR="00AF1D54">
        <w:rPr>
          <w:rFonts w:ascii="Arial" w:hAnsi="Arial"/>
        </w:rPr>
        <w:t>the court</w:t>
      </w:r>
      <w:r w:rsidR="00C7506A">
        <w:rPr>
          <w:rFonts w:ascii="Arial" w:hAnsi="Arial"/>
          <w:i/>
        </w:rPr>
        <w:t xml:space="preserve"> </w:t>
      </w:r>
      <w:r w:rsidR="00C7506A">
        <w:rPr>
          <w:rFonts w:ascii="Arial" w:hAnsi="Arial"/>
        </w:rPr>
        <w:t>stated the following regarding the issue of compliance in these matters:</w:t>
      </w:r>
    </w:p>
    <w:p w14:paraId="77406676" w14:textId="77777777" w:rsidR="00C7506A" w:rsidRDefault="00C7506A" w:rsidP="009627FC">
      <w:pPr>
        <w:spacing w:line="360" w:lineRule="auto"/>
        <w:jc w:val="both"/>
        <w:rPr>
          <w:rFonts w:ascii="Arial" w:hAnsi="Arial"/>
        </w:rPr>
      </w:pPr>
    </w:p>
    <w:p w14:paraId="5FD658DD" w14:textId="10D1A52B" w:rsidR="00C7506A" w:rsidRDefault="00C7506A" w:rsidP="009627FC">
      <w:pPr>
        <w:spacing w:line="360" w:lineRule="auto"/>
        <w:jc w:val="both"/>
        <w:rPr>
          <w:rFonts w:ascii="Arial" w:hAnsi="Arial"/>
          <w:sz w:val="22"/>
          <w:szCs w:val="22"/>
        </w:rPr>
      </w:pPr>
      <w:r>
        <w:rPr>
          <w:rFonts w:ascii="Arial" w:hAnsi="Arial"/>
        </w:rPr>
        <w:tab/>
        <w:t>‘</w:t>
      </w:r>
      <w:r>
        <w:rPr>
          <w:rFonts w:ascii="Arial" w:hAnsi="Arial"/>
          <w:sz w:val="22"/>
          <w:szCs w:val="22"/>
        </w:rPr>
        <w:t>I am inclined to accept th</w:t>
      </w:r>
      <w:r w:rsidR="00331FC2">
        <w:rPr>
          <w:rFonts w:ascii="Arial" w:hAnsi="Arial"/>
          <w:sz w:val="22"/>
          <w:szCs w:val="22"/>
        </w:rPr>
        <w:t xml:space="preserve">e views expressed in </w:t>
      </w:r>
      <w:r w:rsidR="00331FC2">
        <w:rPr>
          <w:rFonts w:ascii="Arial" w:hAnsi="Arial"/>
          <w:i/>
          <w:sz w:val="22"/>
          <w:szCs w:val="22"/>
        </w:rPr>
        <w:t xml:space="preserve">Rex v </w:t>
      </w:r>
      <w:proofErr w:type="spellStart"/>
      <w:r w:rsidR="00331FC2">
        <w:rPr>
          <w:rFonts w:ascii="Arial" w:hAnsi="Arial"/>
          <w:i/>
          <w:sz w:val="22"/>
          <w:szCs w:val="22"/>
        </w:rPr>
        <w:t>Pietersen</w:t>
      </w:r>
      <w:proofErr w:type="spellEnd"/>
      <w:r w:rsidR="00331FC2">
        <w:rPr>
          <w:rFonts w:ascii="Arial" w:hAnsi="Arial"/>
          <w:i/>
          <w:sz w:val="22"/>
          <w:szCs w:val="22"/>
        </w:rPr>
        <w:t xml:space="preserve"> </w:t>
      </w:r>
      <w:r w:rsidR="00331FC2">
        <w:rPr>
          <w:rFonts w:ascii="Arial" w:hAnsi="Arial"/>
          <w:sz w:val="22"/>
          <w:szCs w:val="22"/>
        </w:rPr>
        <w:t xml:space="preserve">cited above, but, even if sub-reg. 1(c) is merely directory and the Court has a discretion whether to receive or reject the document in question, it seems to me that the discretion should be exercised against the applicant. The present petition is the very foundation of the proceedings: it is not merely a supplementary or supporting document which it is sought to place before the Court, but the </w:t>
      </w:r>
      <w:r w:rsidR="00331FC2">
        <w:rPr>
          <w:rFonts w:ascii="Arial" w:hAnsi="Arial"/>
          <w:i/>
          <w:sz w:val="22"/>
          <w:szCs w:val="22"/>
        </w:rPr>
        <w:t xml:space="preserve">sine qua non </w:t>
      </w:r>
      <w:r w:rsidR="00331FC2">
        <w:rPr>
          <w:rFonts w:ascii="Arial" w:hAnsi="Arial"/>
          <w:sz w:val="22"/>
          <w:szCs w:val="22"/>
        </w:rPr>
        <w:t>to the litigation.’</w:t>
      </w:r>
    </w:p>
    <w:p w14:paraId="68BE6A8F" w14:textId="77777777" w:rsidR="00B9621B" w:rsidRDefault="00B9621B" w:rsidP="009627FC">
      <w:pPr>
        <w:spacing w:line="360" w:lineRule="auto"/>
        <w:jc w:val="both"/>
        <w:rPr>
          <w:rFonts w:ascii="Arial" w:hAnsi="Arial"/>
          <w:sz w:val="22"/>
          <w:szCs w:val="22"/>
        </w:rPr>
      </w:pPr>
    </w:p>
    <w:p w14:paraId="6C0ADB78" w14:textId="10607333" w:rsidR="00B9621B" w:rsidRDefault="00E47946" w:rsidP="009627FC">
      <w:pPr>
        <w:spacing w:line="360" w:lineRule="auto"/>
        <w:jc w:val="both"/>
        <w:rPr>
          <w:rFonts w:ascii="Arial" w:hAnsi="Arial"/>
        </w:rPr>
      </w:pPr>
      <w:r>
        <w:rPr>
          <w:rFonts w:ascii="Arial" w:hAnsi="Arial"/>
        </w:rPr>
        <w:t>[31</w:t>
      </w:r>
      <w:r w:rsidR="00B9621B">
        <w:rPr>
          <w:rFonts w:ascii="Arial" w:hAnsi="Arial"/>
        </w:rPr>
        <w:t>]</w:t>
      </w:r>
      <w:r w:rsidR="00B9621B">
        <w:rPr>
          <w:rFonts w:ascii="Arial" w:hAnsi="Arial"/>
        </w:rPr>
        <w:tab/>
        <w:t xml:space="preserve">Yet in </w:t>
      </w:r>
      <w:r w:rsidR="00B9621B">
        <w:rPr>
          <w:rFonts w:ascii="Arial" w:hAnsi="Arial"/>
          <w:i/>
        </w:rPr>
        <w:t>S v Munn</w:t>
      </w:r>
      <w:r w:rsidR="00B9621B">
        <w:rPr>
          <w:rFonts w:ascii="Arial" w:hAnsi="Arial"/>
        </w:rPr>
        <w:t>,</w:t>
      </w:r>
      <w:r w:rsidR="00B9621B">
        <w:rPr>
          <w:rStyle w:val="FootnoteReference"/>
          <w:rFonts w:ascii="Arial" w:hAnsi="Arial"/>
        </w:rPr>
        <w:footnoteReference w:id="8"/>
      </w:r>
      <w:r w:rsidR="00B9621B">
        <w:rPr>
          <w:rFonts w:ascii="Arial" w:hAnsi="Arial"/>
        </w:rPr>
        <w:t xml:space="preserve"> van den </w:t>
      </w:r>
      <w:proofErr w:type="spellStart"/>
      <w:r w:rsidR="00B9621B">
        <w:rPr>
          <w:rFonts w:ascii="Arial" w:hAnsi="Arial"/>
        </w:rPr>
        <w:t>Heever</w:t>
      </w:r>
      <w:proofErr w:type="spellEnd"/>
      <w:r w:rsidR="00B9621B">
        <w:rPr>
          <w:rFonts w:ascii="Arial" w:hAnsi="Arial"/>
        </w:rPr>
        <w:t xml:space="preserve"> J (as she then was), stated the following regarding the court’s discretion in these matters:</w:t>
      </w:r>
    </w:p>
    <w:p w14:paraId="7F52C8C3" w14:textId="77777777" w:rsidR="00B9621B" w:rsidRDefault="00B9621B" w:rsidP="009627FC">
      <w:pPr>
        <w:spacing w:line="360" w:lineRule="auto"/>
        <w:jc w:val="both"/>
        <w:rPr>
          <w:rFonts w:ascii="Arial" w:hAnsi="Arial"/>
        </w:rPr>
      </w:pPr>
    </w:p>
    <w:p w14:paraId="61A90CB5" w14:textId="77777777" w:rsidR="001E0E1A" w:rsidRDefault="00B9621B" w:rsidP="009627FC">
      <w:pPr>
        <w:spacing w:line="360" w:lineRule="auto"/>
        <w:jc w:val="both"/>
        <w:rPr>
          <w:rFonts w:ascii="Arial" w:hAnsi="Arial"/>
          <w:sz w:val="22"/>
          <w:szCs w:val="22"/>
        </w:rPr>
      </w:pPr>
      <w:r>
        <w:rPr>
          <w:rFonts w:ascii="Arial" w:hAnsi="Arial"/>
        </w:rPr>
        <w:tab/>
        <w:t>‘</w:t>
      </w:r>
      <w:r>
        <w:rPr>
          <w:rFonts w:ascii="Arial" w:hAnsi="Arial"/>
          <w:sz w:val="22"/>
          <w:szCs w:val="22"/>
        </w:rPr>
        <w:t>It is in this light that the Court has, in my view, a “discretion” to refuse</w:t>
      </w:r>
      <w:r w:rsidR="001E0E1A">
        <w:rPr>
          <w:rFonts w:ascii="Arial" w:hAnsi="Arial"/>
          <w:sz w:val="22"/>
          <w:szCs w:val="22"/>
        </w:rPr>
        <w:t xml:space="preserve"> to receive an affidavit attested to otherwise than in accordance with the regulations: depending upon whether substantial compliance has been proved or not.’</w:t>
      </w:r>
    </w:p>
    <w:p w14:paraId="5BF5632F" w14:textId="77777777" w:rsidR="001E0E1A" w:rsidRDefault="001E0E1A" w:rsidP="009627FC">
      <w:pPr>
        <w:spacing w:line="360" w:lineRule="auto"/>
        <w:jc w:val="both"/>
        <w:rPr>
          <w:rFonts w:ascii="Arial" w:hAnsi="Arial"/>
          <w:sz w:val="22"/>
          <w:szCs w:val="22"/>
        </w:rPr>
      </w:pPr>
    </w:p>
    <w:p w14:paraId="232B2D57" w14:textId="568F1F1A" w:rsidR="001E0E1A" w:rsidRDefault="00E47946" w:rsidP="009627FC">
      <w:pPr>
        <w:spacing w:line="360" w:lineRule="auto"/>
        <w:jc w:val="both"/>
        <w:rPr>
          <w:rFonts w:ascii="Arial" w:hAnsi="Arial"/>
        </w:rPr>
      </w:pPr>
      <w:r>
        <w:rPr>
          <w:rFonts w:ascii="Arial" w:hAnsi="Arial"/>
        </w:rPr>
        <w:t>[32</w:t>
      </w:r>
      <w:r w:rsidR="001E0E1A">
        <w:rPr>
          <w:rFonts w:ascii="Arial" w:hAnsi="Arial"/>
        </w:rPr>
        <w:t>]</w:t>
      </w:r>
      <w:r w:rsidR="001E0E1A">
        <w:rPr>
          <w:rFonts w:ascii="Arial" w:hAnsi="Arial"/>
        </w:rPr>
        <w:tab/>
        <w:t xml:space="preserve">It is accordingly clear from the </w:t>
      </w:r>
      <w:r w:rsidR="009F51E0">
        <w:rPr>
          <w:rFonts w:ascii="Arial" w:hAnsi="Arial"/>
        </w:rPr>
        <w:t>above-cited</w:t>
      </w:r>
      <w:r w:rsidR="001E0E1A">
        <w:rPr>
          <w:rFonts w:ascii="Arial" w:hAnsi="Arial"/>
        </w:rPr>
        <w:t xml:space="preserve"> cases that at the end of the day, the court exercises a discretion as to whether the non-compliance must be condoned and the affidavit accepted</w:t>
      </w:r>
      <w:r w:rsidR="00AF1D54">
        <w:rPr>
          <w:rFonts w:ascii="Arial" w:hAnsi="Arial"/>
        </w:rPr>
        <w:t xml:space="preserve"> notwithstanding the deficiency</w:t>
      </w:r>
      <w:r w:rsidR="001E0E1A">
        <w:rPr>
          <w:rFonts w:ascii="Arial" w:hAnsi="Arial"/>
        </w:rPr>
        <w:t>. That decision will turn on the nature of the non-compliance, the explanation tendered therefor, if any and I would think, any prejudice that might result therefrom.</w:t>
      </w:r>
    </w:p>
    <w:p w14:paraId="5A374004" w14:textId="77777777" w:rsidR="001E0E1A" w:rsidRDefault="001E0E1A" w:rsidP="009627FC">
      <w:pPr>
        <w:spacing w:line="360" w:lineRule="auto"/>
        <w:jc w:val="both"/>
        <w:rPr>
          <w:rFonts w:ascii="Arial" w:hAnsi="Arial"/>
        </w:rPr>
      </w:pPr>
    </w:p>
    <w:p w14:paraId="7823B22B" w14:textId="2C8D4A6B" w:rsidR="009F51E0" w:rsidRDefault="00E47946" w:rsidP="009627FC">
      <w:pPr>
        <w:spacing w:line="360" w:lineRule="auto"/>
        <w:jc w:val="both"/>
        <w:rPr>
          <w:rFonts w:ascii="Arial" w:hAnsi="Arial"/>
        </w:rPr>
      </w:pPr>
      <w:r>
        <w:rPr>
          <w:rFonts w:ascii="Arial" w:hAnsi="Arial"/>
        </w:rPr>
        <w:lastRenderedPageBreak/>
        <w:t>[33</w:t>
      </w:r>
      <w:r w:rsidR="001E0E1A">
        <w:rPr>
          <w:rFonts w:ascii="Arial" w:hAnsi="Arial"/>
        </w:rPr>
        <w:t>]</w:t>
      </w:r>
      <w:r w:rsidR="001E0E1A">
        <w:rPr>
          <w:rFonts w:ascii="Arial" w:hAnsi="Arial"/>
        </w:rPr>
        <w:tab/>
        <w:t xml:space="preserve">As stated above, in the instant case, the affidavit is the very foundation of the application for summary judgment and the </w:t>
      </w:r>
      <w:r w:rsidR="009F51E0">
        <w:rPr>
          <w:rFonts w:ascii="Arial" w:hAnsi="Arial"/>
        </w:rPr>
        <w:t xml:space="preserve">sentiments expressed in the </w:t>
      </w:r>
      <w:r w:rsidR="009F51E0">
        <w:rPr>
          <w:rFonts w:ascii="Arial" w:hAnsi="Arial"/>
          <w:i/>
        </w:rPr>
        <w:t xml:space="preserve">Swart </w:t>
      </w:r>
      <w:r w:rsidR="009F51E0">
        <w:rPr>
          <w:rFonts w:ascii="Arial" w:hAnsi="Arial"/>
        </w:rPr>
        <w:t>case above, would in my considered view, be important. This is so when viewed in the light of the nature and possibly drastic nature of summary judgment, and in this case coupled with the fact that the respondents would at the end of the day, possibly lose their primary home</w:t>
      </w:r>
      <w:r w:rsidR="00AF1D54">
        <w:rPr>
          <w:rFonts w:ascii="Arial" w:hAnsi="Arial"/>
        </w:rPr>
        <w:t xml:space="preserve"> and be thus susceptible to the vicissitudes of nature</w:t>
      </w:r>
      <w:r w:rsidR="009F51E0">
        <w:rPr>
          <w:rFonts w:ascii="Arial" w:hAnsi="Arial"/>
        </w:rPr>
        <w:t>.</w:t>
      </w:r>
    </w:p>
    <w:p w14:paraId="4E76765D" w14:textId="77777777" w:rsidR="009F51E0" w:rsidRDefault="009F51E0" w:rsidP="009627FC">
      <w:pPr>
        <w:spacing w:line="360" w:lineRule="auto"/>
        <w:jc w:val="both"/>
        <w:rPr>
          <w:rFonts w:ascii="Arial" w:hAnsi="Arial"/>
        </w:rPr>
      </w:pPr>
    </w:p>
    <w:p w14:paraId="0D092328" w14:textId="3DA3D8B9" w:rsidR="00B9621B" w:rsidRDefault="00E47946" w:rsidP="009627FC">
      <w:pPr>
        <w:spacing w:line="360" w:lineRule="auto"/>
        <w:jc w:val="both"/>
        <w:rPr>
          <w:rFonts w:ascii="Arial" w:hAnsi="Arial"/>
          <w:sz w:val="22"/>
          <w:szCs w:val="22"/>
        </w:rPr>
      </w:pPr>
      <w:r>
        <w:rPr>
          <w:rFonts w:ascii="Arial" w:hAnsi="Arial"/>
        </w:rPr>
        <w:t>[34</w:t>
      </w:r>
      <w:r w:rsidR="009F51E0">
        <w:rPr>
          <w:rFonts w:ascii="Arial" w:hAnsi="Arial"/>
        </w:rPr>
        <w:t>]</w:t>
      </w:r>
      <w:r w:rsidR="009F51E0">
        <w:rPr>
          <w:rFonts w:ascii="Arial" w:hAnsi="Arial"/>
        </w:rPr>
        <w:tab/>
        <w:t xml:space="preserve">There is one other argument that Mr </w:t>
      </w:r>
      <w:proofErr w:type="spellStart"/>
      <w:r w:rsidR="009F51E0">
        <w:rPr>
          <w:rFonts w:ascii="Arial" w:hAnsi="Arial"/>
        </w:rPr>
        <w:t>Thambapilai</w:t>
      </w:r>
      <w:proofErr w:type="spellEnd"/>
      <w:r w:rsidR="009F51E0">
        <w:rPr>
          <w:rFonts w:ascii="Arial" w:hAnsi="Arial"/>
        </w:rPr>
        <w:t xml:space="preserve"> raised. </w:t>
      </w:r>
      <w:r w:rsidR="00EF5706">
        <w:rPr>
          <w:rFonts w:ascii="Arial" w:hAnsi="Arial"/>
        </w:rPr>
        <w:t>He argued that the commissioner of oaths in this matter, was a lawyer, who works for a</w:t>
      </w:r>
      <w:r w:rsidR="00AF1D54">
        <w:rPr>
          <w:rFonts w:ascii="Arial" w:hAnsi="Arial"/>
        </w:rPr>
        <w:t>nother</w:t>
      </w:r>
      <w:r w:rsidR="00EF5706">
        <w:rPr>
          <w:rFonts w:ascii="Arial" w:hAnsi="Arial"/>
        </w:rPr>
        <w:t xml:space="preserve"> bank. For that reason, so he submitted, </w:t>
      </w:r>
      <w:r w:rsidR="00E052D3">
        <w:rPr>
          <w:rFonts w:ascii="Arial" w:hAnsi="Arial"/>
        </w:rPr>
        <w:t>t</w:t>
      </w:r>
      <w:r w:rsidR="00EF5706">
        <w:rPr>
          <w:rFonts w:ascii="Arial" w:hAnsi="Arial"/>
        </w:rPr>
        <w:t xml:space="preserve">he </w:t>
      </w:r>
      <w:r w:rsidR="00E052D3">
        <w:rPr>
          <w:rFonts w:ascii="Arial" w:hAnsi="Arial"/>
        </w:rPr>
        <w:t xml:space="preserve">commissioner of oaths </w:t>
      </w:r>
      <w:r w:rsidR="00EF5706">
        <w:rPr>
          <w:rFonts w:ascii="Arial" w:hAnsi="Arial"/>
        </w:rPr>
        <w:t xml:space="preserve">had an interest in the matter and should have been precluded from serving as a commissioner of oaths in this matter. I </w:t>
      </w:r>
      <w:r w:rsidR="00E052D3">
        <w:rPr>
          <w:rFonts w:ascii="Arial" w:hAnsi="Arial"/>
        </w:rPr>
        <w:t>am un</w:t>
      </w:r>
      <w:r w:rsidR="00EF5706">
        <w:rPr>
          <w:rFonts w:ascii="Arial" w:hAnsi="Arial"/>
        </w:rPr>
        <w:t xml:space="preserve">certain that Mr </w:t>
      </w:r>
      <w:proofErr w:type="spellStart"/>
      <w:r w:rsidR="00EF5706">
        <w:rPr>
          <w:rFonts w:ascii="Arial" w:hAnsi="Arial"/>
        </w:rPr>
        <w:t>Thambapilai</w:t>
      </w:r>
      <w:proofErr w:type="spellEnd"/>
      <w:r w:rsidR="00EF5706">
        <w:rPr>
          <w:rFonts w:ascii="Arial" w:hAnsi="Arial"/>
        </w:rPr>
        <w:t xml:space="preserve"> is correct in this argument. I do not, however, have to deal with it for the reason that it was not raised in the opposing affidavit but merely mushroomed</w:t>
      </w:r>
      <w:r w:rsidR="00E052D3">
        <w:rPr>
          <w:rFonts w:ascii="Arial" w:hAnsi="Arial"/>
        </w:rPr>
        <w:t>, as it were,</w:t>
      </w:r>
      <w:r w:rsidR="00EF5706">
        <w:rPr>
          <w:rFonts w:ascii="Arial" w:hAnsi="Arial"/>
        </w:rPr>
        <w:t xml:space="preserve"> in the heads of argument. As a result, the court has not benefitted from argument advanced by the applicant in this connection. The less said about the argument, the better.</w:t>
      </w:r>
      <w:r w:rsidR="00B9621B">
        <w:rPr>
          <w:rFonts w:ascii="Arial" w:hAnsi="Arial"/>
          <w:sz w:val="22"/>
          <w:szCs w:val="22"/>
        </w:rPr>
        <w:t xml:space="preserve"> </w:t>
      </w:r>
    </w:p>
    <w:p w14:paraId="29805833" w14:textId="77777777" w:rsidR="009F51E0" w:rsidRDefault="009F51E0" w:rsidP="009627FC">
      <w:pPr>
        <w:spacing w:line="360" w:lineRule="auto"/>
        <w:jc w:val="both"/>
        <w:rPr>
          <w:rFonts w:ascii="Arial" w:hAnsi="Arial"/>
          <w:sz w:val="22"/>
          <w:szCs w:val="22"/>
        </w:rPr>
      </w:pPr>
    </w:p>
    <w:p w14:paraId="610E9658" w14:textId="77777777" w:rsidR="00A12B62" w:rsidRDefault="00A12B62" w:rsidP="009627FC">
      <w:pPr>
        <w:spacing w:line="360" w:lineRule="auto"/>
        <w:jc w:val="both"/>
        <w:rPr>
          <w:rFonts w:ascii="Arial" w:hAnsi="Arial"/>
          <w:u w:val="single"/>
        </w:rPr>
      </w:pPr>
      <w:r>
        <w:rPr>
          <w:rFonts w:ascii="Arial" w:hAnsi="Arial"/>
          <w:u w:val="single"/>
        </w:rPr>
        <w:t>Conclusion</w:t>
      </w:r>
    </w:p>
    <w:p w14:paraId="07AAA735" w14:textId="77777777" w:rsidR="00A12B62" w:rsidRDefault="00A12B62" w:rsidP="009627FC">
      <w:pPr>
        <w:spacing w:line="360" w:lineRule="auto"/>
        <w:jc w:val="both"/>
        <w:rPr>
          <w:rFonts w:ascii="Arial" w:hAnsi="Arial"/>
          <w:u w:val="single"/>
        </w:rPr>
      </w:pPr>
    </w:p>
    <w:p w14:paraId="38DD4BAF" w14:textId="012DEEE2" w:rsidR="00A12B62" w:rsidRDefault="00E47946" w:rsidP="009627FC">
      <w:pPr>
        <w:spacing w:line="360" w:lineRule="auto"/>
        <w:jc w:val="both"/>
        <w:rPr>
          <w:rFonts w:ascii="Arial" w:hAnsi="Arial"/>
        </w:rPr>
      </w:pPr>
      <w:r>
        <w:rPr>
          <w:rFonts w:ascii="Arial" w:hAnsi="Arial"/>
        </w:rPr>
        <w:t>[35</w:t>
      </w:r>
      <w:r w:rsidR="00A12B62">
        <w:rPr>
          <w:rFonts w:ascii="Arial" w:hAnsi="Arial"/>
        </w:rPr>
        <w:t>]</w:t>
      </w:r>
      <w:r w:rsidR="00A12B62">
        <w:rPr>
          <w:rFonts w:ascii="Arial" w:hAnsi="Arial"/>
        </w:rPr>
        <w:tab/>
        <w:t xml:space="preserve">In view of the foregoing discussion and conclusions, I am of the considered opinion that the respondents’ point of law </w:t>
      </w:r>
      <w:r w:rsidR="00A12B62">
        <w:rPr>
          <w:rFonts w:ascii="Arial" w:hAnsi="Arial"/>
          <w:i/>
        </w:rPr>
        <w:t>in limine</w:t>
      </w:r>
      <w:r w:rsidR="005F0527">
        <w:rPr>
          <w:rFonts w:ascii="Arial" w:hAnsi="Arial"/>
        </w:rPr>
        <w:t>, must, in the peculiar circumstances of this case, be upheld. In the premises, it is not rendered necessary for the court to deal with the other issues that arise. As mentioned above, the applicant deprived itself of the opportunity to deal with the oversight</w:t>
      </w:r>
      <w:r w:rsidR="00E052D3">
        <w:rPr>
          <w:rFonts w:ascii="Arial" w:hAnsi="Arial"/>
        </w:rPr>
        <w:t xml:space="preserve"> apparent from its founding affidavit</w:t>
      </w:r>
      <w:r w:rsidR="005F0527">
        <w:rPr>
          <w:rFonts w:ascii="Arial" w:hAnsi="Arial"/>
        </w:rPr>
        <w:t>. In the premises, the application for summary judgment must be refused as there is no proper</w:t>
      </w:r>
      <w:r w:rsidR="00E052D3">
        <w:rPr>
          <w:rFonts w:ascii="Arial" w:hAnsi="Arial"/>
        </w:rPr>
        <w:t>ly attested</w:t>
      </w:r>
      <w:r w:rsidR="005F0527">
        <w:rPr>
          <w:rFonts w:ascii="Arial" w:hAnsi="Arial"/>
        </w:rPr>
        <w:t xml:space="preserve"> affidavit before court</w:t>
      </w:r>
      <w:r w:rsidR="009F51E0">
        <w:rPr>
          <w:rFonts w:ascii="Arial" w:hAnsi="Arial"/>
        </w:rPr>
        <w:t>,</w:t>
      </w:r>
      <w:r w:rsidR="00E052D3">
        <w:rPr>
          <w:rFonts w:ascii="Arial" w:hAnsi="Arial"/>
        </w:rPr>
        <w:t xml:space="preserve"> on which</w:t>
      </w:r>
      <w:r w:rsidR="005F0527">
        <w:rPr>
          <w:rFonts w:ascii="Arial" w:hAnsi="Arial"/>
        </w:rPr>
        <w:t xml:space="preserve"> the relief sought</w:t>
      </w:r>
      <w:r w:rsidR="00E052D3">
        <w:rPr>
          <w:rFonts w:ascii="Arial" w:hAnsi="Arial"/>
        </w:rPr>
        <w:t xml:space="preserve"> in the papers is predicated</w:t>
      </w:r>
      <w:r w:rsidR="005F0527">
        <w:rPr>
          <w:rFonts w:ascii="Arial" w:hAnsi="Arial"/>
        </w:rPr>
        <w:t>.</w:t>
      </w:r>
    </w:p>
    <w:p w14:paraId="33593A17" w14:textId="77777777" w:rsidR="00B305F0" w:rsidRDefault="00B305F0" w:rsidP="009627FC">
      <w:pPr>
        <w:spacing w:line="360" w:lineRule="auto"/>
        <w:jc w:val="both"/>
        <w:rPr>
          <w:rFonts w:ascii="Arial" w:hAnsi="Arial"/>
        </w:rPr>
      </w:pPr>
    </w:p>
    <w:p w14:paraId="72E65A84" w14:textId="77777777" w:rsidR="009627FC" w:rsidRDefault="009627FC" w:rsidP="009627FC">
      <w:pPr>
        <w:spacing w:line="360" w:lineRule="auto"/>
        <w:jc w:val="both"/>
        <w:rPr>
          <w:rFonts w:ascii="Arial" w:hAnsi="Arial"/>
          <w:u w:val="single"/>
        </w:rPr>
      </w:pPr>
    </w:p>
    <w:p w14:paraId="0A2B700B" w14:textId="77777777" w:rsidR="009627FC" w:rsidRDefault="009627FC" w:rsidP="009627FC">
      <w:pPr>
        <w:spacing w:line="360" w:lineRule="auto"/>
        <w:jc w:val="both"/>
        <w:rPr>
          <w:rFonts w:ascii="Arial" w:hAnsi="Arial"/>
          <w:u w:val="single"/>
        </w:rPr>
      </w:pPr>
    </w:p>
    <w:p w14:paraId="3F7613AA" w14:textId="77777777" w:rsidR="009627FC" w:rsidRDefault="009627FC" w:rsidP="009627FC">
      <w:pPr>
        <w:spacing w:line="360" w:lineRule="auto"/>
        <w:jc w:val="both"/>
        <w:rPr>
          <w:rFonts w:ascii="Arial" w:hAnsi="Arial"/>
          <w:u w:val="single"/>
        </w:rPr>
      </w:pPr>
    </w:p>
    <w:p w14:paraId="51F7CB59" w14:textId="34875C3A" w:rsidR="009627FC" w:rsidRDefault="005F0527" w:rsidP="009627FC">
      <w:pPr>
        <w:spacing w:line="360" w:lineRule="auto"/>
        <w:jc w:val="both"/>
        <w:rPr>
          <w:rFonts w:ascii="Arial" w:hAnsi="Arial"/>
          <w:u w:val="single"/>
        </w:rPr>
      </w:pPr>
      <w:r>
        <w:rPr>
          <w:rFonts w:ascii="Arial" w:hAnsi="Arial"/>
          <w:u w:val="single"/>
        </w:rPr>
        <w:lastRenderedPageBreak/>
        <w:t>Order</w:t>
      </w:r>
    </w:p>
    <w:p w14:paraId="47E9E441" w14:textId="77777777" w:rsidR="009627FC" w:rsidRDefault="009627FC" w:rsidP="009627FC">
      <w:pPr>
        <w:spacing w:line="360" w:lineRule="auto"/>
        <w:jc w:val="both"/>
        <w:rPr>
          <w:rFonts w:ascii="Arial" w:hAnsi="Arial"/>
          <w:u w:val="single"/>
        </w:rPr>
      </w:pPr>
    </w:p>
    <w:p w14:paraId="0F093571" w14:textId="522F9302" w:rsidR="005F0527" w:rsidRDefault="00E47946" w:rsidP="009627FC">
      <w:pPr>
        <w:spacing w:line="360" w:lineRule="auto"/>
        <w:jc w:val="both"/>
        <w:rPr>
          <w:rFonts w:ascii="Arial" w:hAnsi="Arial"/>
        </w:rPr>
      </w:pPr>
      <w:r>
        <w:rPr>
          <w:rFonts w:ascii="Arial" w:hAnsi="Arial"/>
        </w:rPr>
        <w:t>[36</w:t>
      </w:r>
      <w:r w:rsidR="005F0527">
        <w:rPr>
          <w:rFonts w:ascii="Arial" w:hAnsi="Arial"/>
        </w:rPr>
        <w:t>]</w:t>
      </w:r>
      <w:r w:rsidR="005F0527">
        <w:rPr>
          <w:rFonts w:ascii="Arial" w:hAnsi="Arial"/>
        </w:rPr>
        <w:tab/>
        <w:t>Having regard to what is stated above,</w:t>
      </w:r>
      <w:r w:rsidR="009627FC">
        <w:rPr>
          <w:rFonts w:ascii="Arial" w:hAnsi="Arial"/>
        </w:rPr>
        <w:t xml:space="preserve"> I am of the considered opinion </w:t>
      </w:r>
      <w:r w:rsidR="005F0527">
        <w:rPr>
          <w:rFonts w:ascii="Arial" w:hAnsi="Arial"/>
        </w:rPr>
        <w:t>that the following order must accordingly ensue:</w:t>
      </w:r>
    </w:p>
    <w:p w14:paraId="6F53FC2D" w14:textId="77777777" w:rsidR="005F0527" w:rsidRDefault="005F0527" w:rsidP="009627FC">
      <w:pPr>
        <w:spacing w:line="360" w:lineRule="auto"/>
        <w:jc w:val="both"/>
        <w:rPr>
          <w:rFonts w:ascii="Arial" w:hAnsi="Arial"/>
        </w:rPr>
      </w:pPr>
    </w:p>
    <w:p w14:paraId="391B7939" w14:textId="77777777" w:rsidR="00A25937" w:rsidRPr="005F0527" w:rsidRDefault="00A25937" w:rsidP="00A25937">
      <w:pPr>
        <w:pStyle w:val="ListParagraph"/>
        <w:numPr>
          <w:ilvl w:val="0"/>
          <w:numId w:val="4"/>
        </w:numPr>
        <w:spacing w:line="360" w:lineRule="auto"/>
        <w:jc w:val="both"/>
        <w:rPr>
          <w:rFonts w:ascii="Arial" w:hAnsi="Arial"/>
        </w:rPr>
      </w:pPr>
      <w:r w:rsidRPr="005F0527">
        <w:rPr>
          <w:rFonts w:ascii="Arial" w:hAnsi="Arial"/>
        </w:rPr>
        <w:t>The application for summary judgment is refused.</w:t>
      </w:r>
    </w:p>
    <w:p w14:paraId="6E0650B4" w14:textId="77777777" w:rsidR="00A25937" w:rsidRDefault="00A25937" w:rsidP="00A25937">
      <w:pPr>
        <w:pStyle w:val="ListParagraph"/>
        <w:numPr>
          <w:ilvl w:val="0"/>
          <w:numId w:val="4"/>
        </w:numPr>
        <w:spacing w:line="360" w:lineRule="auto"/>
        <w:jc w:val="both"/>
        <w:rPr>
          <w:rFonts w:ascii="Arial" w:hAnsi="Arial"/>
        </w:rPr>
      </w:pPr>
      <w:r>
        <w:rPr>
          <w:rFonts w:ascii="Arial" w:hAnsi="Arial"/>
        </w:rPr>
        <w:t>The applicant is ordered to pay the costs of this application, subject to the provisions of rule 32(11).</w:t>
      </w:r>
    </w:p>
    <w:p w14:paraId="035307CC" w14:textId="77777777" w:rsidR="00A25937" w:rsidRDefault="00A25937" w:rsidP="00A25937">
      <w:pPr>
        <w:pStyle w:val="ListParagraph"/>
        <w:numPr>
          <w:ilvl w:val="0"/>
          <w:numId w:val="4"/>
        </w:numPr>
        <w:spacing w:line="360" w:lineRule="auto"/>
        <w:jc w:val="both"/>
        <w:rPr>
          <w:rFonts w:ascii="Arial" w:hAnsi="Arial"/>
        </w:rPr>
      </w:pPr>
      <w:r>
        <w:rPr>
          <w:rFonts w:ascii="Arial" w:hAnsi="Arial"/>
        </w:rPr>
        <w:t xml:space="preserve">The parties are ordered to file a revised joint case plan, together with a proposed case planning draft order on or before </w:t>
      </w:r>
      <w:r w:rsidRPr="00A25937">
        <w:rPr>
          <w:rFonts w:ascii="Arial" w:hAnsi="Arial"/>
          <w:b/>
        </w:rPr>
        <w:t>13 October 2023</w:t>
      </w:r>
      <w:r>
        <w:rPr>
          <w:rFonts w:ascii="Arial" w:hAnsi="Arial"/>
        </w:rPr>
        <w:t>.</w:t>
      </w:r>
    </w:p>
    <w:p w14:paraId="235EE112" w14:textId="77777777" w:rsidR="00A25937" w:rsidRPr="009627FC" w:rsidRDefault="00A25937" w:rsidP="00A25937">
      <w:pPr>
        <w:pStyle w:val="ListParagraph"/>
        <w:numPr>
          <w:ilvl w:val="0"/>
          <w:numId w:val="4"/>
        </w:numPr>
        <w:spacing w:line="360" w:lineRule="auto"/>
        <w:jc w:val="both"/>
        <w:rPr>
          <w:rFonts w:ascii="Arial" w:hAnsi="Arial"/>
        </w:rPr>
      </w:pPr>
      <w:r>
        <w:rPr>
          <w:rFonts w:ascii="Arial" w:hAnsi="Arial"/>
        </w:rPr>
        <w:t xml:space="preserve">The matter is postponed to </w:t>
      </w:r>
      <w:r w:rsidRPr="00A25937">
        <w:rPr>
          <w:rFonts w:ascii="Arial" w:hAnsi="Arial"/>
          <w:b/>
        </w:rPr>
        <w:t>19 October 2023</w:t>
      </w:r>
      <w:r>
        <w:rPr>
          <w:rFonts w:ascii="Arial" w:hAnsi="Arial"/>
        </w:rPr>
        <w:t xml:space="preserve"> at </w:t>
      </w:r>
      <w:r w:rsidRPr="00A25937">
        <w:rPr>
          <w:rFonts w:ascii="Arial" w:hAnsi="Arial"/>
          <w:b/>
        </w:rPr>
        <w:t>08h30</w:t>
      </w:r>
      <w:r>
        <w:rPr>
          <w:rFonts w:ascii="Arial" w:hAnsi="Arial"/>
        </w:rPr>
        <w:t xml:space="preserve"> for a case planning conference.</w:t>
      </w:r>
    </w:p>
    <w:p w14:paraId="3C698E5E" w14:textId="77777777" w:rsidR="009627FC" w:rsidRDefault="009627FC" w:rsidP="009627FC">
      <w:pPr>
        <w:spacing w:line="360" w:lineRule="auto"/>
        <w:jc w:val="both"/>
        <w:rPr>
          <w:rFonts w:ascii="Arial" w:hAnsi="Arial"/>
        </w:rPr>
      </w:pPr>
    </w:p>
    <w:p w14:paraId="0193B1F1" w14:textId="77777777" w:rsidR="009627FC" w:rsidRPr="00C7237B" w:rsidRDefault="009627FC" w:rsidP="009627FC">
      <w:pPr>
        <w:spacing w:line="360" w:lineRule="auto"/>
        <w:jc w:val="right"/>
        <w:rPr>
          <w:rFonts w:ascii="Arial" w:hAnsi="Arial" w:cs="Arial"/>
        </w:rPr>
      </w:pPr>
      <w:r w:rsidRPr="00C7237B">
        <w:rPr>
          <w:rFonts w:ascii="Arial" w:hAnsi="Arial" w:cs="Arial"/>
        </w:rPr>
        <w:t>___________</w:t>
      </w:r>
    </w:p>
    <w:p w14:paraId="1A1E2EBD" w14:textId="77777777" w:rsidR="009627FC" w:rsidRPr="00C7237B" w:rsidRDefault="009627FC" w:rsidP="009627FC">
      <w:pPr>
        <w:spacing w:line="360" w:lineRule="auto"/>
        <w:jc w:val="right"/>
        <w:rPr>
          <w:rFonts w:ascii="Arial" w:hAnsi="Arial" w:cs="Arial"/>
        </w:rPr>
      </w:pPr>
      <w:r>
        <w:rPr>
          <w:rFonts w:ascii="Arial" w:hAnsi="Arial" w:cs="Arial"/>
        </w:rPr>
        <w:t xml:space="preserve">T </w:t>
      </w:r>
      <w:r w:rsidRPr="00C7237B">
        <w:rPr>
          <w:rFonts w:ascii="Arial" w:hAnsi="Arial" w:cs="Arial"/>
        </w:rPr>
        <w:t>S M</w:t>
      </w:r>
      <w:r>
        <w:rPr>
          <w:rFonts w:ascii="Arial" w:hAnsi="Arial" w:cs="Arial"/>
        </w:rPr>
        <w:t>ASUKU</w:t>
      </w:r>
    </w:p>
    <w:p w14:paraId="12F3C761" w14:textId="77777777" w:rsidR="009627FC" w:rsidRDefault="009627FC" w:rsidP="009627FC">
      <w:pPr>
        <w:tabs>
          <w:tab w:val="left" w:pos="996"/>
          <w:tab w:val="right" w:pos="9360"/>
        </w:tabs>
        <w:spacing w:line="360" w:lineRule="auto"/>
        <w:jc w:val="right"/>
        <w:rPr>
          <w:rFonts w:ascii="Arial" w:hAnsi="Arial" w:cs="Arial"/>
        </w:rPr>
      </w:pPr>
      <w:r w:rsidRPr="00C7237B">
        <w:rPr>
          <w:rFonts w:ascii="Arial" w:hAnsi="Arial" w:cs="Arial"/>
        </w:rPr>
        <w:t>Judge</w:t>
      </w:r>
    </w:p>
    <w:p w14:paraId="2AF7DADA" w14:textId="77777777" w:rsidR="009627FC" w:rsidRPr="009627FC" w:rsidRDefault="009627FC" w:rsidP="009627FC">
      <w:pPr>
        <w:spacing w:line="360" w:lineRule="auto"/>
        <w:jc w:val="both"/>
        <w:rPr>
          <w:rFonts w:ascii="Arial" w:hAnsi="Arial"/>
        </w:rPr>
      </w:pPr>
    </w:p>
    <w:p w14:paraId="13B79335" w14:textId="7BF920A2" w:rsidR="009627FC" w:rsidRDefault="009627FC" w:rsidP="009627FC">
      <w:pPr>
        <w:spacing w:line="360" w:lineRule="auto"/>
        <w:rPr>
          <w:rFonts w:ascii="Arial" w:hAnsi="Arial"/>
        </w:rPr>
      </w:pPr>
      <w:r>
        <w:rPr>
          <w:rFonts w:ascii="Arial" w:hAnsi="Arial"/>
        </w:rPr>
        <w:br w:type="page"/>
      </w:r>
    </w:p>
    <w:p w14:paraId="21BD08A9" w14:textId="77777777" w:rsidR="009627FC" w:rsidRPr="00C7237B" w:rsidRDefault="009627FC" w:rsidP="009627FC">
      <w:pPr>
        <w:spacing w:line="360" w:lineRule="auto"/>
        <w:rPr>
          <w:rFonts w:ascii="Arial" w:hAnsi="Arial" w:cs="Arial"/>
        </w:rPr>
      </w:pPr>
      <w:r w:rsidRPr="00C7237B">
        <w:rPr>
          <w:rFonts w:ascii="Arial" w:hAnsi="Arial" w:cs="Arial"/>
        </w:rPr>
        <w:lastRenderedPageBreak/>
        <w:t>APPEARANCES</w:t>
      </w:r>
    </w:p>
    <w:p w14:paraId="6C021275" w14:textId="77777777" w:rsidR="009627FC" w:rsidRPr="00C7237B" w:rsidRDefault="009627FC" w:rsidP="009627FC">
      <w:pPr>
        <w:spacing w:line="360" w:lineRule="auto"/>
        <w:jc w:val="both"/>
        <w:rPr>
          <w:rFonts w:ascii="Arial" w:hAnsi="Arial" w:cs="Arial"/>
        </w:rPr>
      </w:pPr>
    </w:p>
    <w:p w14:paraId="268B1541" w14:textId="7E66192E" w:rsidR="009627FC" w:rsidRDefault="009627FC" w:rsidP="009627FC">
      <w:pPr>
        <w:spacing w:line="360" w:lineRule="auto"/>
        <w:jc w:val="both"/>
        <w:rPr>
          <w:rFonts w:ascii="Arial" w:hAnsi="Arial" w:cs="Arial"/>
        </w:rPr>
      </w:pPr>
      <w:r>
        <w:rPr>
          <w:rFonts w:ascii="Arial" w:hAnsi="Arial" w:cs="Arial"/>
        </w:rPr>
        <w:t>APPELLANT</w:t>
      </w:r>
      <w:r w:rsidRPr="00C7237B">
        <w:rPr>
          <w:rFonts w:ascii="Arial" w:hAnsi="Arial" w:cs="Arial"/>
        </w:rPr>
        <w:t>:</w:t>
      </w:r>
      <w:r w:rsidRPr="00C7237B">
        <w:rPr>
          <w:rFonts w:ascii="Arial" w:hAnsi="Arial" w:cs="Arial"/>
        </w:rPr>
        <w:tab/>
      </w:r>
      <w:r>
        <w:rPr>
          <w:rFonts w:ascii="Arial" w:hAnsi="Arial" w:cs="Arial"/>
        </w:rPr>
        <w:t>M Kuzeeko</w:t>
      </w:r>
    </w:p>
    <w:p w14:paraId="40BB371B" w14:textId="2B970766" w:rsidR="009627FC" w:rsidRPr="00C7237B" w:rsidRDefault="009627FC" w:rsidP="009627FC">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Of Dr Weder, Kauta &amp; Hoveka Inc., Windhoek</w:t>
      </w:r>
    </w:p>
    <w:p w14:paraId="693DCE23" w14:textId="77777777" w:rsidR="009627FC" w:rsidRDefault="009627FC" w:rsidP="009627FC">
      <w:pPr>
        <w:spacing w:line="360" w:lineRule="auto"/>
        <w:jc w:val="both"/>
        <w:rPr>
          <w:rFonts w:ascii="Arial" w:hAnsi="Arial" w:cs="Arial"/>
        </w:rPr>
      </w:pPr>
      <w:r w:rsidRPr="00C7237B">
        <w:rPr>
          <w:rFonts w:ascii="Arial" w:hAnsi="Arial" w:cs="Arial"/>
        </w:rPr>
        <w:tab/>
      </w:r>
    </w:p>
    <w:p w14:paraId="031A11ED" w14:textId="77777777" w:rsidR="009627FC" w:rsidRDefault="009627FC" w:rsidP="009627FC">
      <w:pPr>
        <w:spacing w:line="360" w:lineRule="auto"/>
        <w:jc w:val="both"/>
        <w:rPr>
          <w:rFonts w:ascii="Arial" w:hAnsi="Arial" w:cs="Arial"/>
        </w:rPr>
      </w:pPr>
    </w:p>
    <w:p w14:paraId="1A2E5238" w14:textId="2DE0F246" w:rsidR="009627FC" w:rsidRDefault="009627FC" w:rsidP="009627FC">
      <w:pPr>
        <w:spacing w:line="360" w:lineRule="auto"/>
        <w:jc w:val="both"/>
        <w:rPr>
          <w:rFonts w:ascii="Arial" w:hAnsi="Arial" w:cs="Arial"/>
        </w:rPr>
      </w:pPr>
      <w:r>
        <w:rPr>
          <w:rFonts w:ascii="Arial" w:hAnsi="Arial" w:cs="Arial"/>
        </w:rPr>
        <w:t>RESPONDENT:</w:t>
      </w:r>
      <w:r>
        <w:rPr>
          <w:rFonts w:ascii="Arial" w:hAnsi="Arial" w:cs="Arial"/>
        </w:rPr>
        <w:tab/>
        <w:t xml:space="preserve"> G </w:t>
      </w:r>
      <w:proofErr w:type="spellStart"/>
      <w:r>
        <w:rPr>
          <w:rFonts w:ascii="Arial" w:hAnsi="Arial" w:cs="Arial"/>
        </w:rPr>
        <w:t>Thambapilai</w:t>
      </w:r>
      <w:proofErr w:type="spellEnd"/>
    </w:p>
    <w:p w14:paraId="7E14ECC2" w14:textId="0B8536A0" w:rsidR="009627FC" w:rsidRPr="00C7237B" w:rsidRDefault="009627FC" w:rsidP="009627FC">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Of </w:t>
      </w:r>
      <w:proofErr w:type="spellStart"/>
      <w:r>
        <w:rPr>
          <w:rFonts w:ascii="Arial" w:hAnsi="Arial" w:cs="Arial"/>
        </w:rPr>
        <w:t>Delport</w:t>
      </w:r>
      <w:proofErr w:type="spellEnd"/>
      <w:r>
        <w:rPr>
          <w:rFonts w:ascii="Arial" w:hAnsi="Arial" w:cs="Arial"/>
        </w:rPr>
        <w:t xml:space="preserve"> Legal Practitioners, Windhoek</w:t>
      </w:r>
    </w:p>
    <w:p w14:paraId="1F65DC31" w14:textId="77777777" w:rsidR="00B92B88" w:rsidRPr="00B92B88" w:rsidRDefault="00B92B88" w:rsidP="009627FC">
      <w:pPr>
        <w:spacing w:line="360" w:lineRule="auto"/>
        <w:rPr>
          <w:rFonts w:ascii="Arial" w:hAnsi="Arial"/>
        </w:rPr>
      </w:pPr>
    </w:p>
    <w:sectPr w:rsidR="00B92B88" w:rsidRPr="00B92B88" w:rsidSect="009627FC">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F5469" w14:textId="77777777" w:rsidR="007C4CE5" w:rsidRDefault="007C4CE5" w:rsidP="00AB1604">
      <w:r>
        <w:separator/>
      </w:r>
    </w:p>
  </w:endnote>
  <w:endnote w:type="continuationSeparator" w:id="0">
    <w:p w14:paraId="23BC98B0" w14:textId="77777777" w:rsidR="007C4CE5" w:rsidRDefault="007C4CE5" w:rsidP="00AB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C5BE8" w14:textId="77777777" w:rsidR="007C4CE5" w:rsidRDefault="007C4CE5" w:rsidP="00AB1604">
      <w:r>
        <w:separator/>
      </w:r>
    </w:p>
  </w:footnote>
  <w:footnote w:type="continuationSeparator" w:id="0">
    <w:p w14:paraId="6E8BE63B" w14:textId="77777777" w:rsidR="007C4CE5" w:rsidRDefault="007C4CE5" w:rsidP="00AB1604">
      <w:r>
        <w:continuationSeparator/>
      </w:r>
    </w:p>
  </w:footnote>
  <w:footnote w:id="1">
    <w:p w14:paraId="5F061421" w14:textId="28B6DF56" w:rsidR="002C063C" w:rsidRPr="005E6077" w:rsidRDefault="002C063C">
      <w:pPr>
        <w:pStyle w:val="FootnoteText"/>
        <w:rPr>
          <w:rFonts w:ascii="Arial" w:hAnsi="Arial"/>
          <w:sz w:val="20"/>
          <w:szCs w:val="20"/>
          <w:lang w:val="en-US"/>
        </w:rPr>
      </w:pPr>
      <w:r>
        <w:rPr>
          <w:rStyle w:val="FootnoteReference"/>
        </w:rPr>
        <w:footnoteRef/>
      </w:r>
      <w:r>
        <w:t xml:space="preserve"> </w:t>
      </w:r>
      <w:r>
        <w:rPr>
          <w:rFonts w:ascii="Arial" w:hAnsi="Arial"/>
          <w:sz w:val="20"/>
          <w:szCs w:val="20"/>
        </w:rPr>
        <w:t xml:space="preserve">Regulations made under section 10 of the Justices of the Peace and Commissioners of Oaths Act </w:t>
      </w:r>
      <w:r w:rsidRPr="005E6077">
        <w:rPr>
          <w:rFonts w:ascii="Arial" w:hAnsi="Arial"/>
          <w:sz w:val="20"/>
          <w:szCs w:val="20"/>
          <w:lang w:val="en-US"/>
        </w:rPr>
        <w:t>No 16 of 1963.</w:t>
      </w:r>
    </w:p>
  </w:footnote>
  <w:footnote w:id="2">
    <w:p w14:paraId="073F0EDB" w14:textId="77777777" w:rsidR="002C063C" w:rsidRPr="005E6077" w:rsidRDefault="002C063C" w:rsidP="00676D21">
      <w:pPr>
        <w:pStyle w:val="FootnoteText"/>
        <w:jc w:val="both"/>
        <w:rPr>
          <w:rFonts w:ascii="Arial" w:hAnsi="Arial"/>
          <w:sz w:val="20"/>
          <w:szCs w:val="20"/>
          <w:lang w:val="en-US"/>
        </w:rPr>
      </w:pPr>
      <w:r w:rsidRPr="005E6077">
        <w:rPr>
          <w:rStyle w:val="FootnoteReference"/>
          <w:rFonts w:ascii="Arial" w:hAnsi="Arial"/>
          <w:sz w:val="20"/>
          <w:szCs w:val="20"/>
        </w:rPr>
        <w:footnoteRef/>
      </w:r>
      <w:r w:rsidRPr="005E6077">
        <w:rPr>
          <w:rFonts w:ascii="Arial" w:hAnsi="Arial"/>
          <w:sz w:val="20"/>
          <w:szCs w:val="20"/>
        </w:rPr>
        <w:t xml:space="preserve"> </w:t>
      </w:r>
      <w:r w:rsidRPr="005E6077">
        <w:rPr>
          <w:rFonts w:ascii="Arial" w:hAnsi="Arial"/>
          <w:sz w:val="20"/>
          <w:szCs w:val="20"/>
          <w:lang w:val="en-US"/>
        </w:rPr>
        <w:t xml:space="preserve">Rule 32 of the Rules of High Court of Swaziland, following the English practice, allows an applicant for summary judgment, to file a replying affidavit. </w:t>
      </w:r>
    </w:p>
  </w:footnote>
  <w:footnote w:id="3">
    <w:p w14:paraId="1929AB5F" w14:textId="4CBDD676" w:rsidR="002C063C" w:rsidRPr="00F4446A" w:rsidRDefault="002C063C">
      <w:pPr>
        <w:pStyle w:val="FootnoteText"/>
        <w:rPr>
          <w:sz w:val="20"/>
          <w:szCs w:val="20"/>
          <w:lang w:val="en-US"/>
        </w:rPr>
      </w:pPr>
      <w:r>
        <w:rPr>
          <w:rStyle w:val="FootnoteReference"/>
        </w:rPr>
        <w:footnoteRef/>
      </w:r>
      <w:r>
        <w:t xml:space="preserve"> </w:t>
      </w:r>
      <w:proofErr w:type="spellStart"/>
      <w:r w:rsidRPr="00F4446A">
        <w:rPr>
          <w:rFonts w:ascii="Arial" w:hAnsi="Arial"/>
          <w:i/>
          <w:sz w:val="20"/>
          <w:szCs w:val="20"/>
        </w:rPr>
        <w:t>Tsamkxao</w:t>
      </w:r>
      <w:proofErr w:type="spellEnd"/>
      <w:r w:rsidRPr="00F4446A">
        <w:rPr>
          <w:rFonts w:ascii="Arial" w:hAnsi="Arial"/>
          <w:i/>
          <w:sz w:val="20"/>
          <w:szCs w:val="20"/>
        </w:rPr>
        <w:t xml:space="preserve"> </w:t>
      </w:r>
      <w:proofErr w:type="spellStart"/>
      <w:r w:rsidRPr="00F4446A">
        <w:rPr>
          <w:rFonts w:ascii="Arial" w:hAnsi="Arial"/>
          <w:i/>
          <w:sz w:val="20"/>
          <w:szCs w:val="20"/>
        </w:rPr>
        <w:t>Oma</w:t>
      </w:r>
      <w:proofErr w:type="spellEnd"/>
      <w:r w:rsidRPr="00F4446A">
        <w:rPr>
          <w:rFonts w:ascii="Arial" w:hAnsi="Arial"/>
          <w:i/>
          <w:sz w:val="20"/>
          <w:szCs w:val="20"/>
        </w:rPr>
        <w:t xml:space="preserve"> v Minister of Land Reform</w:t>
      </w:r>
      <w:r w:rsidRPr="00F4446A">
        <w:rPr>
          <w:rFonts w:ascii="Arial" w:hAnsi="Arial"/>
          <w:sz w:val="20"/>
          <w:szCs w:val="20"/>
        </w:rPr>
        <w:t xml:space="preserve"> (</w:t>
      </w:r>
      <w:r w:rsidRPr="00F4446A">
        <w:rPr>
          <w:rFonts w:ascii="Arial" w:hAnsi="Arial"/>
          <w:sz w:val="20"/>
          <w:szCs w:val="20"/>
          <w:lang w:val="en-US"/>
        </w:rPr>
        <w:t>HC-MD-CIV-MOT-GEN-2018/00093) [2020] NAHCMD 162 (7 May 2020).</w:t>
      </w:r>
    </w:p>
  </w:footnote>
  <w:footnote w:id="4">
    <w:p w14:paraId="2B873E11" w14:textId="38BF2EEB" w:rsidR="002C063C" w:rsidRPr="008B74CB" w:rsidRDefault="002C063C">
      <w:pPr>
        <w:pStyle w:val="FootnoteText"/>
        <w:rPr>
          <w:lang w:val="en-US"/>
        </w:rPr>
      </w:pPr>
      <w:r>
        <w:rPr>
          <w:rStyle w:val="FootnoteReference"/>
        </w:rPr>
        <w:footnoteRef/>
      </w:r>
      <w:r>
        <w:t xml:space="preserve"> </w:t>
      </w:r>
      <w:proofErr w:type="spellStart"/>
      <w:r w:rsidRPr="008B74CB">
        <w:rPr>
          <w:rFonts w:ascii="Arial" w:hAnsi="Arial" w:cs="Arial"/>
          <w:i/>
          <w:sz w:val="20"/>
          <w:szCs w:val="20"/>
          <w:lang w:val="en-US"/>
        </w:rPr>
        <w:t>Nored</w:t>
      </w:r>
      <w:proofErr w:type="spellEnd"/>
      <w:r w:rsidRPr="008B74CB">
        <w:rPr>
          <w:rFonts w:ascii="Arial" w:hAnsi="Arial" w:cs="Arial"/>
          <w:i/>
          <w:sz w:val="20"/>
          <w:szCs w:val="20"/>
          <w:lang w:val="en-US"/>
        </w:rPr>
        <w:t xml:space="preserve"> Electricity (Pty) Ltd v Ouster </w:t>
      </w:r>
      <w:r w:rsidRPr="002C063C">
        <w:rPr>
          <w:rFonts w:ascii="Arial" w:hAnsi="Arial" w:cs="Arial"/>
          <w:i/>
          <w:iCs/>
          <w:sz w:val="20"/>
          <w:szCs w:val="20"/>
        </w:rPr>
        <w:t>(I 3670-2015) [2015] NAHCMD 178 (3 August 2015)</w:t>
      </w:r>
      <w:r w:rsidRPr="002C063C">
        <w:rPr>
          <w:rFonts w:ascii="Arial" w:hAnsi="Arial" w:cs="Arial"/>
          <w:i/>
          <w:sz w:val="20"/>
          <w:szCs w:val="20"/>
          <w:lang w:val="en-US"/>
        </w:rPr>
        <w:t>.</w:t>
      </w:r>
    </w:p>
  </w:footnote>
  <w:footnote w:id="5">
    <w:p w14:paraId="6EA01DBF" w14:textId="3C7097EB" w:rsidR="002C063C" w:rsidRPr="00014735" w:rsidRDefault="002C063C">
      <w:pPr>
        <w:pStyle w:val="FootnoteText"/>
        <w:rPr>
          <w:lang w:val="en-US"/>
        </w:rPr>
      </w:pPr>
      <w:r>
        <w:rPr>
          <w:rStyle w:val="FootnoteReference"/>
        </w:rPr>
        <w:footnoteRef/>
      </w:r>
      <w:r>
        <w:t xml:space="preserve"> </w:t>
      </w:r>
      <w:proofErr w:type="spellStart"/>
      <w:r w:rsidRPr="00F4446A">
        <w:rPr>
          <w:rFonts w:ascii="Arial" w:hAnsi="Arial"/>
          <w:i/>
          <w:sz w:val="20"/>
          <w:szCs w:val="20"/>
        </w:rPr>
        <w:t>Ladybrand</w:t>
      </w:r>
      <w:proofErr w:type="spellEnd"/>
      <w:r w:rsidRPr="00F4446A">
        <w:rPr>
          <w:rFonts w:ascii="Arial" w:hAnsi="Arial"/>
          <w:i/>
          <w:sz w:val="20"/>
          <w:szCs w:val="20"/>
        </w:rPr>
        <w:t xml:space="preserve"> Hotels v Stellenbosch Farmers</w:t>
      </w:r>
      <w:r w:rsidRPr="005E6077">
        <w:rPr>
          <w:rFonts w:ascii="Arial" w:hAnsi="Arial"/>
          <w:sz w:val="20"/>
          <w:szCs w:val="20"/>
          <w:lang w:val="en-US"/>
        </w:rPr>
        <w:t xml:space="preserve"> 1974 (1) SA 490 (O) at 493 C.</w:t>
      </w:r>
    </w:p>
  </w:footnote>
  <w:footnote w:id="6">
    <w:p w14:paraId="7AB175E1" w14:textId="0090C51F" w:rsidR="002C063C" w:rsidRPr="008B74CB" w:rsidRDefault="002C063C">
      <w:pPr>
        <w:pStyle w:val="FootnoteText"/>
        <w:rPr>
          <w:rFonts w:asciiTheme="majorHAnsi" w:hAnsiTheme="majorHAnsi" w:cstheme="majorHAnsi"/>
          <w:lang w:val="en-US"/>
        </w:rPr>
      </w:pPr>
      <w:r>
        <w:rPr>
          <w:rStyle w:val="FootnoteReference"/>
        </w:rPr>
        <w:footnoteRef/>
      </w:r>
      <w:r>
        <w:t xml:space="preserve"> </w:t>
      </w:r>
      <w:proofErr w:type="spellStart"/>
      <w:r w:rsidRPr="008B74CB">
        <w:rPr>
          <w:rFonts w:ascii="Arial" w:hAnsi="Arial" w:cs="Arial"/>
          <w:i/>
          <w:sz w:val="20"/>
          <w:szCs w:val="20"/>
          <w:lang w:val="en-US"/>
        </w:rPr>
        <w:t>Nored</w:t>
      </w:r>
      <w:proofErr w:type="spellEnd"/>
      <w:r w:rsidRPr="008B74CB">
        <w:rPr>
          <w:rFonts w:ascii="Arial" w:hAnsi="Arial" w:cs="Arial"/>
          <w:i/>
          <w:sz w:val="20"/>
          <w:szCs w:val="20"/>
          <w:lang w:val="en-US"/>
        </w:rPr>
        <w:t xml:space="preserve"> Electricity (Pty) Ltd v Ouster</w:t>
      </w:r>
      <w:r>
        <w:rPr>
          <w:rFonts w:ascii="Arial" w:hAnsi="Arial" w:cs="Arial"/>
          <w:i/>
          <w:sz w:val="20"/>
          <w:szCs w:val="20"/>
          <w:lang w:val="en-US"/>
        </w:rPr>
        <w:t>, supra</w:t>
      </w:r>
      <w:r w:rsidRPr="008B74CB">
        <w:rPr>
          <w:rFonts w:ascii="Arial" w:hAnsi="Arial" w:cs="Arial"/>
          <w:sz w:val="20"/>
          <w:szCs w:val="20"/>
          <w:lang w:val="en-US"/>
        </w:rPr>
        <w:t>.</w:t>
      </w:r>
    </w:p>
  </w:footnote>
  <w:footnote w:id="7">
    <w:p w14:paraId="237B4453" w14:textId="2DA307DC" w:rsidR="002C063C" w:rsidRPr="00C7506A" w:rsidRDefault="002C063C">
      <w:pPr>
        <w:pStyle w:val="FootnoteText"/>
        <w:rPr>
          <w:lang w:val="en-US"/>
        </w:rPr>
      </w:pPr>
      <w:r>
        <w:rPr>
          <w:rStyle w:val="FootnoteReference"/>
        </w:rPr>
        <w:footnoteRef/>
      </w:r>
      <w:r>
        <w:t xml:space="preserve"> </w:t>
      </w:r>
      <w:r w:rsidRPr="00F4446A">
        <w:rPr>
          <w:rFonts w:ascii="Arial" w:hAnsi="Arial" w:cs="Arial"/>
          <w:i/>
          <w:sz w:val="20"/>
          <w:szCs w:val="20"/>
        </w:rPr>
        <w:t>Swart v Swart</w:t>
      </w:r>
      <w:r w:rsidRPr="00F4446A">
        <w:rPr>
          <w:rFonts w:ascii="Arial" w:hAnsi="Arial" w:cs="Arial"/>
          <w:sz w:val="20"/>
          <w:szCs w:val="20"/>
          <w:lang w:val="en-US"/>
        </w:rPr>
        <w:t xml:space="preserve"> 1950 (1) SA 263 (OPD) p 267.</w:t>
      </w:r>
    </w:p>
  </w:footnote>
  <w:footnote w:id="8">
    <w:p w14:paraId="13F8D803" w14:textId="4B915F81" w:rsidR="002C063C" w:rsidRPr="00012F3A" w:rsidRDefault="002C063C">
      <w:pPr>
        <w:pStyle w:val="FootnoteText"/>
        <w:rPr>
          <w:rFonts w:ascii="Arial" w:hAnsi="Arial" w:cs="Arial"/>
          <w:sz w:val="20"/>
          <w:szCs w:val="20"/>
          <w:lang w:val="en-US"/>
        </w:rPr>
      </w:pPr>
      <w:r>
        <w:rPr>
          <w:rStyle w:val="FootnoteReference"/>
        </w:rPr>
        <w:footnoteRef/>
      </w:r>
      <w:r>
        <w:t xml:space="preserve"> </w:t>
      </w:r>
      <w:r w:rsidRPr="00F4446A">
        <w:rPr>
          <w:rFonts w:ascii="Arial" w:hAnsi="Arial"/>
          <w:i/>
          <w:sz w:val="20"/>
          <w:szCs w:val="20"/>
        </w:rPr>
        <w:t xml:space="preserve">S v </w:t>
      </w:r>
      <w:r w:rsidRPr="00012F3A">
        <w:rPr>
          <w:rFonts w:ascii="Arial" w:hAnsi="Arial" w:cs="Arial"/>
          <w:i/>
          <w:sz w:val="20"/>
          <w:szCs w:val="20"/>
        </w:rPr>
        <w:t>Munn</w:t>
      </w:r>
      <w:r w:rsidRPr="00012F3A">
        <w:rPr>
          <w:rFonts w:ascii="Arial" w:hAnsi="Arial" w:cs="Arial"/>
          <w:sz w:val="20"/>
          <w:szCs w:val="20"/>
          <w:lang w:val="en-US"/>
        </w:rPr>
        <w:t xml:space="preserve"> 1973 (3) SA 734 (NCD) at 738A-B.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A5887" w14:textId="77777777" w:rsidR="002C063C" w:rsidRDefault="002C063C" w:rsidP="005E60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42E313" w14:textId="77777777" w:rsidR="002C063C" w:rsidRDefault="002C063C" w:rsidP="00864D7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B554" w14:textId="77777777" w:rsidR="002C063C" w:rsidRPr="00445A48" w:rsidRDefault="002C063C" w:rsidP="005E6077">
    <w:pPr>
      <w:pStyle w:val="Header"/>
      <w:framePr w:wrap="around" w:vAnchor="text" w:hAnchor="margin" w:xAlign="right" w:y="1"/>
      <w:rPr>
        <w:rStyle w:val="PageNumber"/>
        <w:rFonts w:ascii="Arial" w:hAnsi="Arial" w:cs="Arial"/>
      </w:rPr>
    </w:pPr>
    <w:r w:rsidRPr="00445A48">
      <w:rPr>
        <w:rStyle w:val="PageNumber"/>
        <w:rFonts w:ascii="Arial" w:hAnsi="Arial" w:cs="Arial"/>
      </w:rPr>
      <w:fldChar w:fldCharType="begin"/>
    </w:r>
    <w:r w:rsidRPr="00445A48">
      <w:rPr>
        <w:rStyle w:val="PageNumber"/>
        <w:rFonts w:ascii="Arial" w:hAnsi="Arial" w:cs="Arial"/>
      </w:rPr>
      <w:instrText xml:space="preserve">PAGE  </w:instrText>
    </w:r>
    <w:r w:rsidRPr="00445A48">
      <w:rPr>
        <w:rStyle w:val="PageNumber"/>
        <w:rFonts w:ascii="Arial" w:hAnsi="Arial" w:cs="Arial"/>
      </w:rPr>
      <w:fldChar w:fldCharType="separate"/>
    </w:r>
    <w:r w:rsidR="00631E99">
      <w:rPr>
        <w:rStyle w:val="PageNumber"/>
        <w:rFonts w:ascii="Arial" w:hAnsi="Arial" w:cs="Arial"/>
        <w:noProof/>
      </w:rPr>
      <w:t>14</w:t>
    </w:r>
    <w:r w:rsidRPr="00445A48">
      <w:rPr>
        <w:rStyle w:val="PageNumber"/>
        <w:rFonts w:ascii="Arial" w:hAnsi="Arial" w:cs="Arial"/>
      </w:rPr>
      <w:fldChar w:fldCharType="end"/>
    </w:r>
  </w:p>
  <w:p w14:paraId="2F7C3ADF" w14:textId="77777777" w:rsidR="002C063C" w:rsidRPr="00445A48" w:rsidRDefault="002C063C" w:rsidP="00864D7C">
    <w:pPr>
      <w:pStyle w:val="Header"/>
      <w:ind w:right="36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A362F"/>
    <w:multiLevelType w:val="hybridMultilevel"/>
    <w:tmpl w:val="AC282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E005DC"/>
    <w:multiLevelType w:val="hybridMultilevel"/>
    <w:tmpl w:val="F5485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5565A"/>
    <w:multiLevelType w:val="hybridMultilevel"/>
    <w:tmpl w:val="D796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50512"/>
    <w:multiLevelType w:val="hybridMultilevel"/>
    <w:tmpl w:val="D796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88"/>
    <w:rsid w:val="00012F3A"/>
    <w:rsid w:val="00014735"/>
    <w:rsid w:val="00014D99"/>
    <w:rsid w:val="000430A8"/>
    <w:rsid w:val="0006001C"/>
    <w:rsid w:val="00062F21"/>
    <w:rsid w:val="001767FA"/>
    <w:rsid w:val="00181F17"/>
    <w:rsid w:val="001B5E8B"/>
    <w:rsid w:val="001E0E1A"/>
    <w:rsid w:val="0021009C"/>
    <w:rsid w:val="00215A73"/>
    <w:rsid w:val="00240E5E"/>
    <w:rsid w:val="002A7C76"/>
    <w:rsid w:val="002B21F3"/>
    <w:rsid w:val="002C063C"/>
    <w:rsid w:val="002C20A0"/>
    <w:rsid w:val="00331FC2"/>
    <w:rsid w:val="00364D38"/>
    <w:rsid w:val="00383E3D"/>
    <w:rsid w:val="003C7DDA"/>
    <w:rsid w:val="00422195"/>
    <w:rsid w:val="00445A48"/>
    <w:rsid w:val="004E17DF"/>
    <w:rsid w:val="00541FA7"/>
    <w:rsid w:val="005442B0"/>
    <w:rsid w:val="0054523A"/>
    <w:rsid w:val="00597D18"/>
    <w:rsid w:val="005A0F76"/>
    <w:rsid w:val="005D2FB1"/>
    <w:rsid w:val="005E6077"/>
    <w:rsid w:val="005F0527"/>
    <w:rsid w:val="00611549"/>
    <w:rsid w:val="00617CB3"/>
    <w:rsid w:val="00631E99"/>
    <w:rsid w:val="006640CB"/>
    <w:rsid w:val="00667A3D"/>
    <w:rsid w:val="00671DAF"/>
    <w:rsid w:val="00676D21"/>
    <w:rsid w:val="006A740A"/>
    <w:rsid w:val="006E486A"/>
    <w:rsid w:val="006F1F2C"/>
    <w:rsid w:val="007419A2"/>
    <w:rsid w:val="007C4CE5"/>
    <w:rsid w:val="007C6B28"/>
    <w:rsid w:val="007D19A2"/>
    <w:rsid w:val="007E3F50"/>
    <w:rsid w:val="0081237A"/>
    <w:rsid w:val="00841A6B"/>
    <w:rsid w:val="008516BB"/>
    <w:rsid w:val="00855B7E"/>
    <w:rsid w:val="00864D7C"/>
    <w:rsid w:val="008B74CB"/>
    <w:rsid w:val="009627FC"/>
    <w:rsid w:val="00977DC9"/>
    <w:rsid w:val="009D718D"/>
    <w:rsid w:val="009F51E0"/>
    <w:rsid w:val="00A12B62"/>
    <w:rsid w:val="00A1477A"/>
    <w:rsid w:val="00A25937"/>
    <w:rsid w:val="00A36C31"/>
    <w:rsid w:val="00AB1604"/>
    <w:rsid w:val="00AE0C7F"/>
    <w:rsid w:val="00AF1D54"/>
    <w:rsid w:val="00AF583A"/>
    <w:rsid w:val="00AF7488"/>
    <w:rsid w:val="00B305F0"/>
    <w:rsid w:val="00B92B88"/>
    <w:rsid w:val="00B9621B"/>
    <w:rsid w:val="00BB425C"/>
    <w:rsid w:val="00C13748"/>
    <w:rsid w:val="00C209ED"/>
    <w:rsid w:val="00C31A09"/>
    <w:rsid w:val="00C34041"/>
    <w:rsid w:val="00C7506A"/>
    <w:rsid w:val="00CC6D3C"/>
    <w:rsid w:val="00D04FE1"/>
    <w:rsid w:val="00D07B16"/>
    <w:rsid w:val="00D474E2"/>
    <w:rsid w:val="00D77E7E"/>
    <w:rsid w:val="00DC1BCF"/>
    <w:rsid w:val="00DF43C4"/>
    <w:rsid w:val="00E052D3"/>
    <w:rsid w:val="00E16D98"/>
    <w:rsid w:val="00E3380B"/>
    <w:rsid w:val="00E47946"/>
    <w:rsid w:val="00E60640"/>
    <w:rsid w:val="00EF5706"/>
    <w:rsid w:val="00F2647A"/>
    <w:rsid w:val="00F4446A"/>
    <w:rsid w:val="00F54654"/>
    <w:rsid w:val="00F774A9"/>
    <w:rsid w:val="00F939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6C65B"/>
  <w14:defaultImageDpi w14:val="300"/>
  <w15:docId w15:val="{949B341B-65CD-4672-8BD1-2E58B40A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1604"/>
  </w:style>
  <w:style w:type="character" w:customStyle="1" w:styleId="FootnoteTextChar">
    <w:name w:val="Footnote Text Char"/>
    <w:basedOn w:val="DefaultParagraphFont"/>
    <w:link w:val="FootnoteText"/>
    <w:uiPriority w:val="99"/>
    <w:rsid w:val="00AB1604"/>
  </w:style>
  <w:style w:type="character" w:styleId="FootnoteReference">
    <w:name w:val="footnote reference"/>
    <w:basedOn w:val="DefaultParagraphFont"/>
    <w:uiPriority w:val="99"/>
    <w:unhideWhenUsed/>
    <w:rsid w:val="00AB1604"/>
    <w:rPr>
      <w:vertAlign w:val="superscript"/>
    </w:rPr>
  </w:style>
  <w:style w:type="paragraph" w:styleId="ListParagraph">
    <w:name w:val="List Paragraph"/>
    <w:basedOn w:val="Normal"/>
    <w:uiPriority w:val="1"/>
    <w:qFormat/>
    <w:rsid w:val="005F0527"/>
    <w:pPr>
      <w:ind w:left="720"/>
      <w:contextualSpacing/>
    </w:pPr>
  </w:style>
  <w:style w:type="paragraph" w:styleId="Header">
    <w:name w:val="header"/>
    <w:basedOn w:val="Normal"/>
    <w:link w:val="HeaderChar"/>
    <w:uiPriority w:val="99"/>
    <w:unhideWhenUsed/>
    <w:rsid w:val="00864D7C"/>
    <w:pPr>
      <w:tabs>
        <w:tab w:val="center" w:pos="4320"/>
        <w:tab w:val="right" w:pos="8640"/>
      </w:tabs>
    </w:pPr>
  </w:style>
  <w:style w:type="character" w:customStyle="1" w:styleId="HeaderChar">
    <w:name w:val="Header Char"/>
    <w:basedOn w:val="DefaultParagraphFont"/>
    <w:link w:val="Header"/>
    <w:uiPriority w:val="99"/>
    <w:rsid w:val="00864D7C"/>
  </w:style>
  <w:style w:type="character" w:styleId="PageNumber">
    <w:name w:val="page number"/>
    <w:basedOn w:val="DefaultParagraphFont"/>
    <w:uiPriority w:val="99"/>
    <w:semiHidden/>
    <w:unhideWhenUsed/>
    <w:rsid w:val="00864D7C"/>
  </w:style>
  <w:style w:type="paragraph" w:styleId="BalloonText">
    <w:name w:val="Balloon Text"/>
    <w:basedOn w:val="Normal"/>
    <w:link w:val="BalloonTextChar"/>
    <w:uiPriority w:val="99"/>
    <w:semiHidden/>
    <w:unhideWhenUsed/>
    <w:rsid w:val="00841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A6B"/>
    <w:rPr>
      <w:rFonts w:ascii="Segoe UI" w:hAnsi="Segoe UI" w:cs="Segoe UI"/>
      <w:sz w:val="18"/>
      <w:szCs w:val="18"/>
    </w:rPr>
  </w:style>
  <w:style w:type="paragraph" w:styleId="Footer">
    <w:name w:val="footer"/>
    <w:basedOn w:val="Normal"/>
    <w:link w:val="FooterChar"/>
    <w:uiPriority w:val="99"/>
    <w:unhideWhenUsed/>
    <w:rsid w:val="009627FC"/>
    <w:pPr>
      <w:tabs>
        <w:tab w:val="center" w:pos="4680"/>
        <w:tab w:val="right" w:pos="9360"/>
      </w:tabs>
    </w:pPr>
  </w:style>
  <w:style w:type="character" w:customStyle="1" w:styleId="FooterChar">
    <w:name w:val="Footer Char"/>
    <w:basedOn w:val="DefaultParagraphFont"/>
    <w:link w:val="Footer"/>
    <w:uiPriority w:val="99"/>
    <w:rsid w:val="00962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2023-10-04T18:30:00+00:00</Judgment_x0020_Date>
    <Year xmlns="c1afb1bd-f2fb-40fd-9abb-aea55b4d7662">2023</Year>
  </documentManagement>
</p:properties>
</file>

<file path=customXml/itemProps1.xml><?xml version="1.0" encoding="utf-8"?>
<ds:datastoreItem xmlns:ds="http://schemas.openxmlformats.org/officeDocument/2006/customXml" ds:itemID="{269BBD93-F1B6-42C6-A914-0965A1665C63}"/>
</file>

<file path=customXml/itemProps2.xml><?xml version="1.0" encoding="utf-8"?>
<ds:datastoreItem xmlns:ds="http://schemas.openxmlformats.org/officeDocument/2006/customXml" ds:itemID="{D3661E23-FF57-4476-9D72-2F169689AA85}"/>
</file>

<file path=customXml/itemProps3.xml><?xml version="1.0" encoding="utf-8"?>
<ds:datastoreItem xmlns:ds="http://schemas.openxmlformats.org/officeDocument/2006/customXml" ds:itemID="{355E69DA-A073-4302-9025-EDE2A6971D16}"/>
</file>

<file path=customXml/itemProps4.xml><?xml version="1.0" encoding="utf-8"?>
<ds:datastoreItem xmlns:ds="http://schemas.openxmlformats.org/officeDocument/2006/customXml" ds:itemID="{23230D82-4E46-42DE-A71A-698E5D3E9544}"/>
</file>

<file path=docProps/app.xml><?xml version="1.0" encoding="utf-8"?>
<Properties xmlns="http://schemas.openxmlformats.org/officeDocument/2006/extended-properties" xmlns:vt="http://schemas.openxmlformats.org/officeDocument/2006/docPropsVTypes">
  <Template>Normal</Template>
  <TotalTime>1</TotalTime>
  <Pages>14</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Nedbank Namibia Limited v Van Rooi (HC-MD-CIV-ACT-CON-2022-04989) NAHCMD 615 (5 October 2023)</dc:title>
  <dc:subject/>
  <dc:creator>Thomas Masuku</dc:creator>
  <cp:keywords/>
  <dc:description/>
  <cp:lastModifiedBy>Aune Victor</cp:lastModifiedBy>
  <cp:revision>2</cp:revision>
  <cp:lastPrinted>2023-10-05T10:33:00Z</cp:lastPrinted>
  <dcterms:created xsi:type="dcterms:W3CDTF">2023-10-05T13:07:00Z</dcterms:created>
  <dcterms:modified xsi:type="dcterms:W3CDTF">2023-10-05T13:07:00Z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