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3E226" w14:textId="77777777" w:rsidR="002C3E72" w:rsidRPr="00AF73CE" w:rsidRDefault="002C3E72" w:rsidP="002C3E72">
      <w:pPr>
        <w:spacing w:after="200" w:line="360" w:lineRule="auto"/>
        <w:jc w:val="center"/>
        <w:rPr>
          <w:rFonts w:ascii="Arial" w:eastAsia="Calibri" w:hAnsi="Arial" w:cs="Arial"/>
          <w:b/>
          <w:sz w:val="24"/>
          <w:szCs w:val="24"/>
        </w:rPr>
      </w:pPr>
      <w:r w:rsidRPr="00AF73CE">
        <w:rPr>
          <w:rFonts w:ascii="Arial" w:eastAsia="Calibri" w:hAnsi="Arial" w:cs="Arial"/>
          <w:b/>
          <w:sz w:val="24"/>
          <w:szCs w:val="24"/>
        </w:rPr>
        <w:t>REPUBLIC OF NAMIBIA</w:t>
      </w:r>
    </w:p>
    <w:p w14:paraId="0347ACC4" w14:textId="77777777" w:rsidR="002C3E72" w:rsidRPr="00AF73CE" w:rsidRDefault="002C3E72" w:rsidP="002C3E72">
      <w:pPr>
        <w:spacing w:after="200" w:line="360" w:lineRule="auto"/>
        <w:jc w:val="center"/>
        <w:rPr>
          <w:rFonts w:ascii="Arial" w:eastAsia="Calibri" w:hAnsi="Arial" w:cs="Arial"/>
          <w:b/>
          <w:sz w:val="24"/>
          <w:szCs w:val="24"/>
        </w:rPr>
      </w:pPr>
      <w:r w:rsidRPr="00AF73CE">
        <w:rPr>
          <w:rFonts w:ascii="Arial" w:eastAsia="Calibri" w:hAnsi="Arial" w:cs="Arial"/>
          <w:b/>
          <w:noProof/>
          <w:sz w:val="24"/>
          <w:szCs w:val="24"/>
        </w:rPr>
        <mc:AlternateContent>
          <mc:Choice Requires="wps">
            <w:drawing>
              <wp:anchor distT="0" distB="0" distL="114300" distR="114300" simplePos="0" relativeHeight="251659264" behindDoc="0" locked="0" layoutInCell="1" allowOverlap="1" wp14:anchorId="30E64950" wp14:editId="0D975862">
                <wp:simplePos x="0" y="0"/>
                <wp:positionH relativeFrom="column">
                  <wp:posOffset>4143375</wp:posOffset>
                </wp:positionH>
                <wp:positionV relativeFrom="paragraph">
                  <wp:posOffset>337185</wp:posOffset>
                </wp:positionV>
                <wp:extent cx="1762125" cy="33337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33375"/>
                        </a:xfrm>
                        <a:prstGeom prst="rect">
                          <a:avLst/>
                        </a:prstGeom>
                        <a:solidFill>
                          <a:srgbClr val="FFFFFF"/>
                        </a:solidFill>
                        <a:ln w="9525">
                          <a:solidFill>
                            <a:srgbClr val="FFFFFF"/>
                          </a:solidFill>
                          <a:miter lim="800000"/>
                          <a:headEnd/>
                          <a:tailEnd/>
                        </a:ln>
                      </wps:spPr>
                      <wps:txbx>
                        <w:txbxContent>
                          <w:p w14:paraId="2A3F147F" w14:textId="77777777" w:rsidR="00C53E62" w:rsidRPr="00BB5FC3" w:rsidRDefault="00C53E62" w:rsidP="002C3E72">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E64950" id="_x0000_t202" coordsize="21600,21600" o:spt="202" path="m,l,21600r21600,l21600,xe">
                <v:stroke joinstyle="miter"/>
                <v:path gradientshapeok="t" o:connecttype="rect"/>
              </v:shapetype>
              <v:shape id="Text Box 2" o:spid="_x0000_s1026" type="#_x0000_t202" style="position:absolute;left:0;text-align:left;margin-left:326.25pt;margin-top:26.55pt;width:138.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" strokecolor="white">
                <v:textbox>
                  <w:txbxContent>
                    <w:p w14:paraId="2A3F147F" w14:textId="77777777" w:rsidR="00C53E62" w:rsidRPr="00BB5FC3" w:rsidRDefault="00C53E62" w:rsidP="002C3E72">
                      <w:pPr>
                        <w:rPr>
                          <w:rFonts w:cs="Arial"/>
                        </w:rPr>
                      </w:pPr>
                    </w:p>
                  </w:txbxContent>
                </v:textbox>
              </v:shape>
            </w:pict>
          </mc:Fallback>
        </mc:AlternateContent>
      </w:r>
      <w:r w:rsidRPr="00AF73CE">
        <w:rPr>
          <w:rFonts w:ascii="Arial" w:eastAsia="Calibri" w:hAnsi="Arial" w:cs="Arial"/>
          <w:b/>
          <w:noProof/>
          <w:sz w:val="24"/>
          <w:szCs w:val="24"/>
        </w:rPr>
        <w:drawing>
          <wp:inline distT="0" distB="0" distL="0" distR="0" wp14:anchorId="022664AC" wp14:editId="06191BF9">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14:paraId="6FBB9079" w14:textId="4B3A5AED" w:rsidR="002C3E72" w:rsidRPr="00AF73CE" w:rsidRDefault="00AE685C" w:rsidP="00AC1379">
      <w:pPr>
        <w:tabs>
          <w:tab w:val="center" w:pos="4153"/>
          <w:tab w:val="right" w:pos="8306"/>
        </w:tabs>
        <w:spacing w:after="200" w:line="360" w:lineRule="auto"/>
        <w:jc w:val="center"/>
        <w:rPr>
          <w:rFonts w:ascii="Arial" w:eastAsia="Calibri" w:hAnsi="Arial" w:cs="Arial"/>
          <w:bCs/>
          <w:sz w:val="24"/>
          <w:szCs w:val="24"/>
        </w:rPr>
      </w:pPr>
      <w:r w:rsidRPr="00AF73CE">
        <w:rPr>
          <w:rFonts w:ascii="Arial" w:eastAsia="Calibri" w:hAnsi="Arial" w:cs="Arial"/>
          <w:b/>
          <w:sz w:val="24"/>
          <w:szCs w:val="24"/>
        </w:rPr>
        <w:t xml:space="preserve">IN THE </w:t>
      </w:r>
      <w:r w:rsidR="002C3E72" w:rsidRPr="00AF73CE">
        <w:rPr>
          <w:rFonts w:ascii="Arial" w:eastAsia="Calibri" w:hAnsi="Arial" w:cs="Arial"/>
          <w:b/>
          <w:sz w:val="24"/>
          <w:szCs w:val="24"/>
        </w:rPr>
        <w:t>HIGH COURT OF NAMIBIA MAIN DIVISION, WINDHOEK</w:t>
      </w:r>
    </w:p>
    <w:p w14:paraId="09A277C9" w14:textId="77777777" w:rsidR="002C3E72" w:rsidRPr="00AF73CE" w:rsidRDefault="002C3E72" w:rsidP="002C3E72">
      <w:pPr>
        <w:spacing w:after="200" w:line="360" w:lineRule="auto"/>
        <w:jc w:val="center"/>
        <w:rPr>
          <w:rFonts w:ascii="Arial" w:eastAsia="Calibri" w:hAnsi="Arial" w:cs="Arial"/>
          <w:b/>
          <w:sz w:val="24"/>
          <w:szCs w:val="24"/>
        </w:rPr>
      </w:pPr>
      <w:r w:rsidRPr="00AF73CE">
        <w:rPr>
          <w:rFonts w:ascii="Arial" w:eastAsia="Calibri" w:hAnsi="Arial" w:cs="Arial"/>
          <w:b/>
          <w:sz w:val="24"/>
          <w:szCs w:val="24"/>
        </w:rPr>
        <w:t>REVIEW JUDGMENT</w:t>
      </w:r>
    </w:p>
    <w:tbl>
      <w:tblPr>
        <w:tblStyle w:val="TableGrid1"/>
        <w:tblpPr w:leftFromText="180" w:rightFromText="180" w:vertAnchor="page" w:horzAnchor="margin" w:tblpY="5956"/>
        <w:tblW w:w="9720" w:type="dxa"/>
        <w:tblLook w:val="04A0" w:firstRow="1" w:lastRow="0" w:firstColumn="1" w:lastColumn="0" w:noHBand="0" w:noVBand="1"/>
      </w:tblPr>
      <w:tblGrid>
        <w:gridCol w:w="4770"/>
        <w:gridCol w:w="627"/>
        <w:gridCol w:w="4323"/>
      </w:tblGrid>
      <w:tr w:rsidR="00537FA1" w:rsidRPr="00AF73CE" w14:paraId="3EDB4918" w14:textId="77777777" w:rsidTr="00B668A6">
        <w:trPr>
          <w:trHeight w:val="744"/>
        </w:trPr>
        <w:tc>
          <w:tcPr>
            <w:tcW w:w="5397" w:type="dxa"/>
            <w:gridSpan w:val="2"/>
          </w:tcPr>
          <w:p w14:paraId="38DA0DF2" w14:textId="77777777" w:rsidR="00537FA1" w:rsidRPr="00AF73CE" w:rsidRDefault="00537FA1" w:rsidP="00537FA1">
            <w:pPr>
              <w:spacing w:line="360" w:lineRule="auto"/>
              <w:jc w:val="both"/>
              <w:rPr>
                <w:rFonts w:ascii="Arial" w:hAnsi="Arial" w:cs="Arial"/>
                <w:sz w:val="24"/>
                <w:szCs w:val="24"/>
              </w:rPr>
            </w:pPr>
            <w:r w:rsidRPr="00AF73CE">
              <w:rPr>
                <w:rFonts w:ascii="Arial" w:hAnsi="Arial" w:cs="Arial"/>
                <w:b/>
                <w:sz w:val="24"/>
                <w:szCs w:val="24"/>
              </w:rPr>
              <w:t>Case Title:</w:t>
            </w:r>
          </w:p>
          <w:p w14:paraId="176763EF" w14:textId="6257DA34" w:rsidR="00537FA1" w:rsidRPr="000755AB" w:rsidRDefault="004E40C5" w:rsidP="00537FA1">
            <w:pPr>
              <w:spacing w:line="360" w:lineRule="auto"/>
              <w:jc w:val="both"/>
              <w:rPr>
                <w:rFonts w:ascii="Arial" w:hAnsi="Arial" w:cs="Arial"/>
                <w:sz w:val="24"/>
                <w:szCs w:val="24"/>
              </w:rPr>
            </w:pPr>
            <w:r w:rsidRPr="000755AB">
              <w:rPr>
                <w:rFonts w:ascii="Arial" w:hAnsi="Arial" w:cs="Arial"/>
                <w:sz w:val="24"/>
                <w:szCs w:val="24"/>
              </w:rPr>
              <w:t xml:space="preserve">The State v </w:t>
            </w:r>
            <w:r w:rsidR="002E39A6" w:rsidRPr="000755AB">
              <w:rPr>
                <w:rFonts w:ascii="Arial" w:hAnsi="Arial" w:cs="Arial"/>
                <w:sz w:val="24"/>
                <w:szCs w:val="24"/>
              </w:rPr>
              <w:t>Timotheus Lukas Swartbooi and Wenfred Stephanus Kooper</w:t>
            </w:r>
            <w:r w:rsidRPr="000755AB">
              <w:rPr>
                <w:rFonts w:ascii="Arial" w:hAnsi="Arial" w:cs="Arial"/>
                <w:sz w:val="24"/>
                <w:szCs w:val="24"/>
              </w:rPr>
              <w:t xml:space="preserve"> </w:t>
            </w:r>
          </w:p>
        </w:tc>
        <w:tc>
          <w:tcPr>
            <w:tcW w:w="4323" w:type="dxa"/>
          </w:tcPr>
          <w:p w14:paraId="7471984B" w14:textId="77777777" w:rsidR="00537FA1" w:rsidRPr="00AF73CE" w:rsidRDefault="00537FA1" w:rsidP="00537FA1">
            <w:pPr>
              <w:spacing w:line="360" w:lineRule="auto"/>
              <w:jc w:val="both"/>
              <w:rPr>
                <w:rFonts w:ascii="Arial" w:hAnsi="Arial" w:cs="Arial"/>
                <w:b/>
                <w:sz w:val="24"/>
                <w:szCs w:val="24"/>
              </w:rPr>
            </w:pPr>
            <w:r w:rsidRPr="00AF73CE">
              <w:rPr>
                <w:rFonts w:ascii="Arial" w:hAnsi="Arial" w:cs="Arial"/>
                <w:b/>
                <w:sz w:val="24"/>
                <w:szCs w:val="24"/>
              </w:rPr>
              <w:t>Case No:</w:t>
            </w:r>
          </w:p>
          <w:p w14:paraId="44EC7898" w14:textId="7EE8E61A" w:rsidR="00537FA1" w:rsidRPr="00AF73CE" w:rsidRDefault="004E40C5" w:rsidP="0088523B">
            <w:pPr>
              <w:spacing w:line="360" w:lineRule="auto"/>
              <w:jc w:val="both"/>
              <w:rPr>
                <w:rFonts w:ascii="Arial" w:hAnsi="Arial" w:cs="Arial"/>
                <w:sz w:val="24"/>
                <w:szCs w:val="24"/>
              </w:rPr>
            </w:pPr>
            <w:r w:rsidRPr="00125460">
              <w:rPr>
                <w:rFonts w:ascii="Arial" w:hAnsi="Arial" w:cs="Arial"/>
                <w:sz w:val="24"/>
                <w:szCs w:val="24"/>
              </w:rPr>
              <w:t xml:space="preserve">CR </w:t>
            </w:r>
            <w:r w:rsidR="0088523B">
              <w:rPr>
                <w:rFonts w:ascii="Arial" w:hAnsi="Arial" w:cs="Arial"/>
                <w:sz w:val="24"/>
                <w:szCs w:val="24"/>
              </w:rPr>
              <w:t>97</w:t>
            </w:r>
            <w:r w:rsidR="001826C1">
              <w:rPr>
                <w:rFonts w:ascii="Arial" w:hAnsi="Arial" w:cs="Arial"/>
                <w:sz w:val="24"/>
                <w:szCs w:val="24"/>
              </w:rPr>
              <w:t>/2023</w:t>
            </w:r>
          </w:p>
        </w:tc>
      </w:tr>
      <w:tr w:rsidR="00537FA1" w:rsidRPr="00AF73CE" w14:paraId="6D07BBF7" w14:textId="77777777" w:rsidTr="00B668A6">
        <w:trPr>
          <w:trHeight w:val="844"/>
        </w:trPr>
        <w:tc>
          <w:tcPr>
            <w:tcW w:w="5397" w:type="dxa"/>
            <w:gridSpan w:val="2"/>
          </w:tcPr>
          <w:p w14:paraId="7D8FEA71" w14:textId="66B2746A" w:rsidR="00537FA1" w:rsidRPr="00AF73CE" w:rsidRDefault="00537FA1" w:rsidP="00537FA1">
            <w:pPr>
              <w:spacing w:line="360" w:lineRule="auto"/>
              <w:jc w:val="both"/>
              <w:rPr>
                <w:rFonts w:ascii="Arial" w:hAnsi="Arial" w:cs="Arial"/>
                <w:b/>
                <w:sz w:val="24"/>
                <w:szCs w:val="24"/>
              </w:rPr>
            </w:pPr>
            <w:r w:rsidRPr="00AF73CE">
              <w:rPr>
                <w:rFonts w:ascii="Arial" w:hAnsi="Arial" w:cs="Arial"/>
                <w:b/>
                <w:sz w:val="24"/>
                <w:szCs w:val="24"/>
              </w:rPr>
              <w:t>High Court MD Review No:</w:t>
            </w:r>
            <w:r w:rsidR="00533948">
              <w:rPr>
                <w:rFonts w:ascii="Arial" w:hAnsi="Arial" w:cs="Arial"/>
                <w:b/>
                <w:sz w:val="24"/>
                <w:szCs w:val="24"/>
              </w:rPr>
              <w:t xml:space="preserve"> 1217/2023</w:t>
            </w:r>
          </w:p>
          <w:p w14:paraId="52311C5C" w14:textId="77777777" w:rsidR="00CC3204" w:rsidRPr="00AF73CE" w:rsidRDefault="00CC3204" w:rsidP="004F2B08">
            <w:pPr>
              <w:spacing w:line="360" w:lineRule="auto"/>
              <w:jc w:val="both"/>
              <w:rPr>
                <w:rFonts w:ascii="Arial" w:hAnsi="Arial" w:cs="Arial"/>
                <w:sz w:val="24"/>
                <w:szCs w:val="24"/>
              </w:rPr>
            </w:pPr>
          </w:p>
        </w:tc>
        <w:tc>
          <w:tcPr>
            <w:tcW w:w="4323" w:type="dxa"/>
          </w:tcPr>
          <w:p w14:paraId="4119D5C8" w14:textId="77777777" w:rsidR="00537FA1" w:rsidRPr="00AF73CE" w:rsidRDefault="00537FA1" w:rsidP="00537FA1">
            <w:pPr>
              <w:spacing w:line="360" w:lineRule="auto"/>
              <w:jc w:val="both"/>
              <w:rPr>
                <w:rFonts w:ascii="Arial" w:hAnsi="Arial" w:cs="Arial"/>
                <w:sz w:val="24"/>
                <w:szCs w:val="24"/>
              </w:rPr>
            </w:pPr>
            <w:r w:rsidRPr="00AF73CE">
              <w:rPr>
                <w:rFonts w:ascii="Arial" w:hAnsi="Arial" w:cs="Arial"/>
                <w:b/>
                <w:sz w:val="24"/>
                <w:szCs w:val="24"/>
              </w:rPr>
              <w:t>Division of Court:</w:t>
            </w:r>
          </w:p>
          <w:p w14:paraId="172B23C3" w14:textId="77777777" w:rsidR="00537FA1" w:rsidRPr="00AF73CE" w:rsidRDefault="00537FA1" w:rsidP="00537FA1">
            <w:pPr>
              <w:spacing w:line="360" w:lineRule="auto"/>
              <w:jc w:val="both"/>
              <w:rPr>
                <w:rFonts w:ascii="Arial" w:hAnsi="Arial" w:cs="Arial"/>
                <w:sz w:val="24"/>
                <w:szCs w:val="24"/>
              </w:rPr>
            </w:pPr>
            <w:r w:rsidRPr="00AF73CE">
              <w:rPr>
                <w:rFonts w:ascii="Arial" w:hAnsi="Arial" w:cs="Arial"/>
                <w:sz w:val="24"/>
                <w:szCs w:val="24"/>
              </w:rPr>
              <w:t>Main Division</w:t>
            </w:r>
          </w:p>
        </w:tc>
      </w:tr>
      <w:tr w:rsidR="00537FA1" w:rsidRPr="00AF73CE" w14:paraId="5245E601" w14:textId="77777777" w:rsidTr="00B668A6">
        <w:trPr>
          <w:trHeight w:val="1662"/>
        </w:trPr>
        <w:tc>
          <w:tcPr>
            <w:tcW w:w="5397" w:type="dxa"/>
            <w:gridSpan w:val="2"/>
          </w:tcPr>
          <w:p w14:paraId="3B53AA93" w14:textId="77777777" w:rsidR="00537FA1" w:rsidRPr="00AF73CE" w:rsidRDefault="00537FA1" w:rsidP="00537FA1">
            <w:pPr>
              <w:spacing w:line="360" w:lineRule="auto"/>
              <w:jc w:val="both"/>
              <w:rPr>
                <w:rFonts w:ascii="Arial" w:hAnsi="Arial" w:cs="Arial"/>
                <w:b/>
                <w:sz w:val="24"/>
                <w:szCs w:val="24"/>
              </w:rPr>
            </w:pPr>
            <w:r w:rsidRPr="00AF73CE">
              <w:rPr>
                <w:rFonts w:ascii="Arial" w:hAnsi="Arial" w:cs="Arial"/>
                <w:b/>
                <w:sz w:val="24"/>
                <w:szCs w:val="24"/>
              </w:rPr>
              <w:t>Heard before:</w:t>
            </w:r>
          </w:p>
          <w:p w14:paraId="0BCACE8A" w14:textId="24FFF2C4" w:rsidR="00537FA1" w:rsidRPr="00533948" w:rsidRDefault="00537FA1" w:rsidP="00533948">
            <w:pPr>
              <w:spacing w:line="360" w:lineRule="auto"/>
              <w:jc w:val="both"/>
              <w:rPr>
                <w:rFonts w:ascii="Arial" w:hAnsi="Arial" w:cs="Arial"/>
                <w:i/>
                <w:sz w:val="24"/>
                <w:szCs w:val="24"/>
              </w:rPr>
            </w:pPr>
            <w:r w:rsidRPr="00AF73CE">
              <w:rPr>
                <w:rFonts w:ascii="Arial" w:hAnsi="Arial" w:cs="Arial"/>
                <w:sz w:val="24"/>
                <w:szCs w:val="24"/>
              </w:rPr>
              <w:t>Liebenberg</w:t>
            </w:r>
            <w:r w:rsidR="00533948">
              <w:rPr>
                <w:rFonts w:ascii="Arial" w:hAnsi="Arial" w:cs="Arial"/>
                <w:sz w:val="24"/>
                <w:szCs w:val="24"/>
              </w:rPr>
              <w:t xml:space="preserve"> J </w:t>
            </w:r>
            <w:r w:rsidR="00533948" w:rsidRPr="00533948">
              <w:rPr>
                <w:rFonts w:ascii="Arial" w:hAnsi="Arial" w:cs="Arial"/>
                <w:i/>
                <w:sz w:val="24"/>
                <w:szCs w:val="24"/>
              </w:rPr>
              <w:t>et</w:t>
            </w:r>
            <w:r w:rsidR="00533948">
              <w:rPr>
                <w:rFonts w:ascii="Arial" w:hAnsi="Arial" w:cs="Arial"/>
                <w:i/>
                <w:sz w:val="24"/>
                <w:szCs w:val="24"/>
              </w:rPr>
              <w:t xml:space="preserve"> </w:t>
            </w:r>
            <w:r w:rsidR="004E40C5">
              <w:rPr>
                <w:rFonts w:ascii="Arial" w:hAnsi="Arial" w:cs="Arial"/>
                <w:sz w:val="24"/>
                <w:szCs w:val="24"/>
              </w:rPr>
              <w:t>Christiaan</w:t>
            </w:r>
            <w:r w:rsidR="00533948">
              <w:rPr>
                <w:rFonts w:ascii="Arial" w:hAnsi="Arial" w:cs="Arial"/>
                <w:sz w:val="24"/>
                <w:szCs w:val="24"/>
              </w:rPr>
              <w:t xml:space="preserve"> AJ</w:t>
            </w:r>
          </w:p>
        </w:tc>
        <w:tc>
          <w:tcPr>
            <w:tcW w:w="4323" w:type="dxa"/>
          </w:tcPr>
          <w:p w14:paraId="1FA49558" w14:textId="77777777" w:rsidR="002601F6" w:rsidRPr="00AF73CE" w:rsidRDefault="00537FA1" w:rsidP="00537FA1">
            <w:pPr>
              <w:spacing w:line="360" w:lineRule="auto"/>
              <w:jc w:val="both"/>
              <w:rPr>
                <w:rFonts w:ascii="Arial" w:hAnsi="Arial" w:cs="Arial"/>
                <w:b/>
                <w:sz w:val="24"/>
                <w:szCs w:val="24"/>
              </w:rPr>
            </w:pPr>
            <w:r w:rsidRPr="00AF73CE">
              <w:rPr>
                <w:rFonts w:ascii="Arial" w:hAnsi="Arial" w:cs="Arial"/>
                <w:b/>
                <w:sz w:val="24"/>
                <w:szCs w:val="24"/>
              </w:rPr>
              <w:t>Delivered on:</w:t>
            </w:r>
          </w:p>
          <w:p w14:paraId="080210A9" w14:textId="055B9698" w:rsidR="00537FA1" w:rsidRPr="00AF73CE" w:rsidRDefault="0088523B" w:rsidP="00533948">
            <w:pPr>
              <w:spacing w:line="360" w:lineRule="auto"/>
              <w:jc w:val="both"/>
              <w:rPr>
                <w:rFonts w:ascii="Arial" w:hAnsi="Arial" w:cs="Arial"/>
                <w:b/>
                <w:sz w:val="24"/>
                <w:szCs w:val="24"/>
              </w:rPr>
            </w:pPr>
            <w:r>
              <w:rPr>
                <w:rFonts w:ascii="Arial" w:hAnsi="Arial" w:cs="Arial"/>
                <w:sz w:val="24"/>
                <w:szCs w:val="24"/>
              </w:rPr>
              <w:t xml:space="preserve">6 </w:t>
            </w:r>
            <w:r w:rsidR="00533948">
              <w:rPr>
                <w:rFonts w:ascii="Arial" w:hAnsi="Arial" w:cs="Arial"/>
                <w:sz w:val="24"/>
                <w:szCs w:val="24"/>
              </w:rPr>
              <w:t>October</w:t>
            </w:r>
            <w:r w:rsidR="00AE685C" w:rsidRPr="00AF73CE">
              <w:rPr>
                <w:rFonts w:ascii="Arial" w:hAnsi="Arial" w:cs="Arial"/>
                <w:sz w:val="24"/>
                <w:szCs w:val="24"/>
              </w:rPr>
              <w:t xml:space="preserve"> 202</w:t>
            </w:r>
            <w:r w:rsidR="004E40C5">
              <w:rPr>
                <w:rFonts w:ascii="Arial" w:hAnsi="Arial" w:cs="Arial"/>
                <w:sz w:val="24"/>
                <w:szCs w:val="24"/>
              </w:rPr>
              <w:t>3</w:t>
            </w:r>
          </w:p>
        </w:tc>
      </w:tr>
      <w:tr w:rsidR="00537FA1" w:rsidRPr="00AF73CE" w14:paraId="5316644B" w14:textId="77777777" w:rsidTr="00B668A6">
        <w:tc>
          <w:tcPr>
            <w:tcW w:w="9720" w:type="dxa"/>
            <w:gridSpan w:val="3"/>
          </w:tcPr>
          <w:p w14:paraId="296CEEEB" w14:textId="758834B9" w:rsidR="00CC3204" w:rsidRPr="00AF73CE" w:rsidRDefault="00CC2B6F" w:rsidP="0088523B">
            <w:pPr>
              <w:spacing w:line="360" w:lineRule="auto"/>
              <w:jc w:val="both"/>
              <w:rPr>
                <w:rFonts w:ascii="Arial" w:hAnsi="Arial" w:cs="Arial"/>
                <w:sz w:val="24"/>
                <w:szCs w:val="24"/>
              </w:rPr>
            </w:pPr>
            <w:r>
              <w:rPr>
                <w:rFonts w:ascii="Arial" w:hAnsi="Arial" w:cs="Arial"/>
                <w:b/>
                <w:sz w:val="24"/>
                <w:szCs w:val="24"/>
              </w:rPr>
              <w:t xml:space="preserve">Neutral citation:     </w:t>
            </w:r>
            <w:bookmarkStart w:id="0" w:name="_GoBack"/>
            <w:r w:rsidR="004E40C5" w:rsidRPr="00125460">
              <w:rPr>
                <w:rFonts w:ascii="Arial" w:hAnsi="Arial" w:cs="Arial"/>
                <w:i/>
                <w:sz w:val="24"/>
                <w:szCs w:val="24"/>
              </w:rPr>
              <w:t xml:space="preserve">S v </w:t>
            </w:r>
            <w:r w:rsidR="002E39A6">
              <w:rPr>
                <w:rFonts w:ascii="Arial" w:hAnsi="Arial" w:cs="Arial"/>
                <w:i/>
                <w:sz w:val="24"/>
                <w:szCs w:val="24"/>
              </w:rPr>
              <w:t>Swartbooi</w:t>
            </w:r>
            <w:r w:rsidR="001826C1">
              <w:rPr>
                <w:rFonts w:ascii="Arial" w:hAnsi="Arial" w:cs="Arial"/>
                <w:i/>
                <w:sz w:val="24"/>
                <w:szCs w:val="24"/>
              </w:rPr>
              <w:t xml:space="preserve"> </w:t>
            </w:r>
            <w:r w:rsidR="004E40C5" w:rsidRPr="00125460">
              <w:rPr>
                <w:rFonts w:ascii="Arial" w:hAnsi="Arial" w:cs="Arial"/>
                <w:sz w:val="24"/>
                <w:szCs w:val="24"/>
              </w:rPr>
              <w:t>(CR</w:t>
            </w:r>
            <w:r w:rsidR="0088523B">
              <w:rPr>
                <w:rFonts w:ascii="Arial" w:hAnsi="Arial" w:cs="Arial"/>
                <w:sz w:val="24"/>
                <w:szCs w:val="24"/>
              </w:rPr>
              <w:t xml:space="preserve"> 97</w:t>
            </w:r>
            <w:r>
              <w:rPr>
                <w:rFonts w:ascii="Arial" w:hAnsi="Arial" w:cs="Arial"/>
                <w:sz w:val="24"/>
                <w:szCs w:val="24"/>
              </w:rPr>
              <w:t xml:space="preserve"> </w:t>
            </w:r>
            <w:r w:rsidR="004E40C5" w:rsidRPr="00125460">
              <w:rPr>
                <w:rFonts w:ascii="Arial" w:hAnsi="Arial" w:cs="Arial"/>
                <w:sz w:val="24"/>
                <w:szCs w:val="24"/>
              </w:rPr>
              <w:t>/202</w:t>
            </w:r>
            <w:r w:rsidR="004E40C5">
              <w:rPr>
                <w:rFonts w:ascii="Arial" w:hAnsi="Arial" w:cs="Arial"/>
                <w:sz w:val="24"/>
                <w:szCs w:val="24"/>
              </w:rPr>
              <w:t>3</w:t>
            </w:r>
            <w:r w:rsidR="004E40C5" w:rsidRPr="00125460">
              <w:rPr>
                <w:rFonts w:ascii="Arial" w:hAnsi="Arial" w:cs="Arial"/>
                <w:sz w:val="24"/>
                <w:szCs w:val="24"/>
              </w:rPr>
              <w:t>) [202</w:t>
            </w:r>
            <w:r w:rsidR="004E40C5">
              <w:rPr>
                <w:rFonts w:ascii="Arial" w:hAnsi="Arial" w:cs="Arial"/>
                <w:sz w:val="24"/>
                <w:szCs w:val="24"/>
              </w:rPr>
              <w:t>3</w:t>
            </w:r>
            <w:r w:rsidR="00EC351E">
              <w:rPr>
                <w:rFonts w:ascii="Arial" w:hAnsi="Arial" w:cs="Arial"/>
                <w:sz w:val="24"/>
                <w:szCs w:val="24"/>
              </w:rPr>
              <w:t>] NAHCMD</w:t>
            </w:r>
            <w:r w:rsidR="0088523B">
              <w:rPr>
                <w:rFonts w:ascii="Arial" w:hAnsi="Arial" w:cs="Arial"/>
                <w:sz w:val="24"/>
                <w:szCs w:val="24"/>
              </w:rPr>
              <w:t xml:space="preserve"> 626 </w:t>
            </w:r>
            <w:r>
              <w:rPr>
                <w:rFonts w:ascii="Arial" w:hAnsi="Arial" w:cs="Arial"/>
                <w:sz w:val="24"/>
                <w:szCs w:val="24"/>
              </w:rPr>
              <w:t>(</w:t>
            </w:r>
            <w:r w:rsidR="0088523B">
              <w:rPr>
                <w:rFonts w:ascii="Arial" w:hAnsi="Arial" w:cs="Arial"/>
                <w:sz w:val="24"/>
                <w:szCs w:val="24"/>
              </w:rPr>
              <w:t>6</w:t>
            </w:r>
            <w:r>
              <w:rPr>
                <w:rFonts w:ascii="Arial" w:hAnsi="Arial" w:cs="Arial"/>
                <w:sz w:val="24"/>
                <w:szCs w:val="24"/>
              </w:rPr>
              <w:t xml:space="preserve"> October</w:t>
            </w:r>
            <w:r w:rsidR="004E40C5" w:rsidRPr="00125460">
              <w:rPr>
                <w:rFonts w:ascii="Arial" w:hAnsi="Arial" w:cs="Arial"/>
                <w:sz w:val="24"/>
                <w:szCs w:val="24"/>
              </w:rPr>
              <w:t xml:space="preserve"> 202</w:t>
            </w:r>
            <w:r w:rsidR="004E40C5">
              <w:rPr>
                <w:rFonts w:ascii="Arial" w:hAnsi="Arial" w:cs="Arial"/>
                <w:sz w:val="24"/>
                <w:szCs w:val="24"/>
              </w:rPr>
              <w:t>3</w:t>
            </w:r>
            <w:r w:rsidR="004E40C5" w:rsidRPr="00125460">
              <w:rPr>
                <w:rFonts w:ascii="Arial" w:hAnsi="Arial" w:cs="Arial"/>
                <w:sz w:val="24"/>
                <w:szCs w:val="24"/>
              </w:rPr>
              <w:t>)</w:t>
            </w:r>
            <w:bookmarkEnd w:id="0"/>
          </w:p>
        </w:tc>
      </w:tr>
      <w:tr w:rsidR="00537FA1" w:rsidRPr="00AF73CE" w14:paraId="63F70F98" w14:textId="77777777" w:rsidTr="00B668A6">
        <w:tc>
          <w:tcPr>
            <w:tcW w:w="9720" w:type="dxa"/>
            <w:gridSpan w:val="3"/>
          </w:tcPr>
          <w:p w14:paraId="1D12708F" w14:textId="77777777" w:rsidR="00E45499" w:rsidRPr="00AF73CE" w:rsidRDefault="00E45499" w:rsidP="00537FA1">
            <w:pPr>
              <w:spacing w:line="360" w:lineRule="auto"/>
              <w:jc w:val="both"/>
              <w:rPr>
                <w:rFonts w:ascii="Arial" w:hAnsi="Arial" w:cs="Arial"/>
                <w:b/>
                <w:sz w:val="24"/>
                <w:szCs w:val="24"/>
              </w:rPr>
            </w:pPr>
          </w:p>
          <w:p w14:paraId="6774D339" w14:textId="77777777" w:rsidR="00537FA1" w:rsidRPr="00AF73CE" w:rsidRDefault="00537FA1" w:rsidP="00537FA1">
            <w:pPr>
              <w:spacing w:line="360" w:lineRule="auto"/>
              <w:jc w:val="both"/>
              <w:rPr>
                <w:rFonts w:ascii="Arial" w:hAnsi="Arial" w:cs="Arial"/>
                <w:b/>
                <w:sz w:val="24"/>
                <w:szCs w:val="24"/>
              </w:rPr>
            </w:pPr>
            <w:r w:rsidRPr="00AF73CE">
              <w:rPr>
                <w:rFonts w:ascii="Arial" w:hAnsi="Arial" w:cs="Arial"/>
                <w:b/>
                <w:sz w:val="24"/>
                <w:szCs w:val="24"/>
              </w:rPr>
              <w:t>The order:</w:t>
            </w:r>
          </w:p>
          <w:p w14:paraId="07D8112B" w14:textId="315897A9" w:rsidR="00993F53" w:rsidRPr="00AF73CE" w:rsidRDefault="002666B0" w:rsidP="00DF535E">
            <w:pPr>
              <w:pStyle w:val="AS-P1"/>
              <w:spacing w:line="360" w:lineRule="auto"/>
              <w:ind w:firstLine="0"/>
              <w:rPr>
                <w:rFonts w:ascii="Arial" w:hAnsi="Arial" w:cs="Arial"/>
                <w:noProof w:val="0"/>
                <w:sz w:val="24"/>
                <w:szCs w:val="24"/>
                <w:lang w:val="en-ZA"/>
              </w:rPr>
            </w:pPr>
            <w:r w:rsidRPr="00AF73CE">
              <w:rPr>
                <w:rFonts w:ascii="Arial" w:hAnsi="Arial" w:cs="Arial"/>
                <w:noProof w:val="0"/>
                <w:sz w:val="24"/>
                <w:szCs w:val="24"/>
                <w:lang w:val="en-ZA"/>
              </w:rPr>
              <w:t>The conv</w:t>
            </w:r>
            <w:r w:rsidR="00AE685C" w:rsidRPr="00AF73CE">
              <w:rPr>
                <w:rFonts w:ascii="Arial" w:hAnsi="Arial" w:cs="Arial"/>
                <w:noProof w:val="0"/>
                <w:sz w:val="24"/>
                <w:szCs w:val="24"/>
                <w:lang w:val="en-ZA"/>
              </w:rPr>
              <w:t xml:space="preserve">iction </w:t>
            </w:r>
            <w:r w:rsidR="003F0A77" w:rsidRPr="00AF73CE">
              <w:rPr>
                <w:rFonts w:ascii="Arial" w:hAnsi="Arial" w:cs="Arial"/>
                <w:noProof w:val="0"/>
                <w:sz w:val="24"/>
                <w:szCs w:val="24"/>
                <w:lang w:val="en-ZA"/>
              </w:rPr>
              <w:t>and</w:t>
            </w:r>
            <w:r w:rsidR="00AE685C" w:rsidRPr="00AF73CE">
              <w:rPr>
                <w:rFonts w:ascii="Arial" w:hAnsi="Arial" w:cs="Arial"/>
                <w:noProof w:val="0"/>
                <w:sz w:val="24"/>
                <w:szCs w:val="24"/>
                <w:lang w:val="en-ZA"/>
              </w:rPr>
              <w:t xml:space="preserve"> sentence </w:t>
            </w:r>
            <w:r w:rsidR="003F0A77" w:rsidRPr="00AF73CE">
              <w:rPr>
                <w:rFonts w:ascii="Arial" w:hAnsi="Arial" w:cs="Arial"/>
                <w:noProof w:val="0"/>
                <w:sz w:val="24"/>
                <w:szCs w:val="24"/>
                <w:lang w:val="en-ZA"/>
              </w:rPr>
              <w:t>are</w:t>
            </w:r>
            <w:r w:rsidR="00AE685C" w:rsidRPr="00AF73CE">
              <w:rPr>
                <w:rFonts w:ascii="Arial" w:hAnsi="Arial" w:cs="Arial"/>
                <w:noProof w:val="0"/>
                <w:sz w:val="24"/>
                <w:szCs w:val="24"/>
                <w:lang w:val="en-ZA"/>
              </w:rPr>
              <w:t xml:space="preserve"> set aside.</w:t>
            </w:r>
          </w:p>
          <w:p w14:paraId="3CFA28AB" w14:textId="77777777" w:rsidR="003F0A77" w:rsidRPr="00AF73CE" w:rsidRDefault="003F0A77" w:rsidP="003F0A77">
            <w:pPr>
              <w:pStyle w:val="AS-P1"/>
              <w:spacing w:line="360" w:lineRule="auto"/>
              <w:rPr>
                <w:rFonts w:ascii="Arial" w:hAnsi="Arial" w:cs="Arial"/>
                <w:noProof w:val="0"/>
                <w:sz w:val="24"/>
                <w:szCs w:val="24"/>
                <w:lang w:val="en-ZA"/>
              </w:rPr>
            </w:pPr>
          </w:p>
        </w:tc>
      </w:tr>
      <w:tr w:rsidR="00537FA1" w:rsidRPr="00AF73CE" w14:paraId="418B7A4F" w14:textId="77777777" w:rsidTr="00B668A6">
        <w:tc>
          <w:tcPr>
            <w:tcW w:w="9720" w:type="dxa"/>
            <w:gridSpan w:val="3"/>
          </w:tcPr>
          <w:p w14:paraId="181E3481" w14:textId="77777777" w:rsidR="006B24D9" w:rsidRPr="00AF73CE" w:rsidRDefault="006B24D9" w:rsidP="00537FA1">
            <w:pPr>
              <w:spacing w:line="360" w:lineRule="auto"/>
              <w:jc w:val="both"/>
              <w:rPr>
                <w:rFonts w:ascii="Arial" w:hAnsi="Arial" w:cs="Arial"/>
                <w:b/>
                <w:sz w:val="24"/>
                <w:szCs w:val="24"/>
              </w:rPr>
            </w:pPr>
          </w:p>
          <w:p w14:paraId="6CDAC0F3" w14:textId="77777777" w:rsidR="006B24D9" w:rsidRDefault="00537FA1" w:rsidP="00537FA1">
            <w:pPr>
              <w:spacing w:line="360" w:lineRule="auto"/>
              <w:jc w:val="both"/>
              <w:rPr>
                <w:rFonts w:ascii="Arial" w:hAnsi="Arial" w:cs="Arial"/>
                <w:b/>
                <w:sz w:val="24"/>
                <w:szCs w:val="24"/>
              </w:rPr>
            </w:pPr>
            <w:r w:rsidRPr="00AF73CE">
              <w:rPr>
                <w:rFonts w:ascii="Arial" w:hAnsi="Arial" w:cs="Arial"/>
                <w:b/>
                <w:sz w:val="24"/>
                <w:szCs w:val="24"/>
              </w:rPr>
              <w:t>Reasons for order:</w:t>
            </w:r>
          </w:p>
          <w:p w14:paraId="59D0FD1F" w14:textId="77777777" w:rsidR="004E40C5" w:rsidRPr="00AF73CE" w:rsidRDefault="004E40C5" w:rsidP="00537FA1">
            <w:pPr>
              <w:spacing w:line="360" w:lineRule="auto"/>
              <w:jc w:val="both"/>
              <w:rPr>
                <w:rFonts w:ascii="Arial" w:hAnsi="Arial" w:cs="Arial"/>
                <w:b/>
                <w:sz w:val="24"/>
                <w:szCs w:val="24"/>
              </w:rPr>
            </w:pPr>
          </w:p>
        </w:tc>
      </w:tr>
      <w:tr w:rsidR="00537FA1" w:rsidRPr="00AF73CE" w14:paraId="294B82F3" w14:textId="77777777" w:rsidTr="00B668A6">
        <w:tc>
          <w:tcPr>
            <w:tcW w:w="9720" w:type="dxa"/>
            <w:gridSpan w:val="3"/>
          </w:tcPr>
          <w:p w14:paraId="1EDFFFB1" w14:textId="77777777" w:rsidR="00537FA1" w:rsidRPr="00AF73CE" w:rsidRDefault="00537FA1" w:rsidP="00537FA1">
            <w:pPr>
              <w:spacing w:line="360" w:lineRule="auto"/>
              <w:jc w:val="both"/>
              <w:rPr>
                <w:rFonts w:ascii="Arial" w:hAnsi="Arial" w:cs="Arial"/>
                <w:sz w:val="24"/>
                <w:szCs w:val="24"/>
              </w:rPr>
            </w:pPr>
          </w:p>
          <w:p w14:paraId="1260FEB9" w14:textId="03FE07CE" w:rsidR="00537FA1" w:rsidRPr="00AF73CE" w:rsidRDefault="00537FA1" w:rsidP="00537FA1">
            <w:pPr>
              <w:spacing w:line="360" w:lineRule="auto"/>
              <w:jc w:val="both"/>
              <w:rPr>
                <w:rFonts w:ascii="Arial" w:hAnsi="Arial" w:cs="Arial"/>
                <w:sz w:val="24"/>
                <w:szCs w:val="24"/>
              </w:rPr>
            </w:pPr>
            <w:r w:rsidRPr="00AF73CE">
              <w:rPr>
                <w:rFonts w:ascii="Arial" w:hAnsi="Arial" w:cs="Arial"/>
                <w:sz w:val="24"/>
                <w:szCs w:val="24"/>
              </w:rPr>
              <w:t>LIEBENBERG J (</w:t>
            </w:r>
            <w:r w:rsidR="004E40C5">
              <w:rPr>
                <w:rFonts w:ascii="Arial" w:hAnsi="Arial" w:cs="Arial"/>
                <w:sz w:val="24"/>
                <w:szCs w:val="24"/>
              </w:rPr>
              <w:t>CHRISTIAAN</w:t>
            </w:r>
            <w:r w:rsidRPr="00AF73CE">
              <w:rPr>
                <w:rFonts w:ascii="Arial" w:hAnsi="Arial" w:cs="Arial"/>
                <w:sz w:val="24"/>
                <w:szCs w:val="24"/>
              </w:rPr>
              <w:t xml:space="preserve"> </w:t>
            </w:r>
            <w:r w:rsidR="00460129" w:rsidRPr="00AF73CE">
              <w:rPr>
                <w:rFonts w:ascii="Arial" w:hAnsi="Arial" w:cs="Arial"/>
                <w:sz w:val="24"/>
                <w:szCs w:val="24"/>
              </w:rPr>
              <w:t>A</w:t>
            </w:r>
            <w:r w:rsidRPr="00AF73CE">
              <w:rPr>
                <w:rFonts w:ascii="Arial" w:hAnsi="Arial" w:cs="Arial"/>
                <w:sz w:val="24"/>
                <w:szCs w:val="24"/>
              </w:rPr>
              <w:t>J</w:t>
            </w:r>
            <w:r w:rsidR="004E5E23" w:rsidRPr="00AF73CE">
              <w:rPr>
                <w:rFonts w:ascii="Arial" w:hAnsi="Arial" w:cs="Arial"/>
                <w:sz w:val="24"/>
                <w:szCs w:val="24"/>
              </w:rPr>
              <w:t xml:space="preserve"> concurring</w:t>
            </w:r>
            <w:r w:rsidRPr="00AF73CE">
              <w:rPr>
                <w:rFonts w:ascii="Arial" w:hAnsi="Arial" w:cs="Arial"/>
                <w:sz w:val="24"/>
                <w:szCs w:val="24"/>
              </w:rPr>
              <w:t>)</w:t>
            </w:r>
            <w:r w:rsidR="00CC2B6F">
              <w:rPr>
                <w:rFonts w:ascii="Arial" w:hAnsi="Arial" w:cs="Arial"/>
                <w:sz w:val="24"/>
                <w:szCs w:val="24"/>
              </w:rPr>
              <w:t>:</w:t>
            </w:r>
          </w:p>
          <w:p w14:paraId="7B08EB24" w14:textId="56E426FE" w:rsidR="000F24BF" w:rsidRPr="004B40A7" w:rsidRDefault="000F24BF" w:rsidP="000F24BF">
            <w:pPr>
              <w:spacing w:line="360" w:lineRule="auto"/>
              <w:jc w:val="both"/>
              <w:rPr>
                <w:rFonts w:ascii="Arial" w:hAnsi="Arial" w:cs="Arial"/>
                <w:sz w:val="24"/>
                <w:szCs w:val="24"/>
              </w:rPr>
            </w:pPr>
            <w:bookmarkStart w:id="1" w:name="_Hlk146637945"/>
            <w:r w:rsidRPr="004B40A7">
              <w:rPr>
                <w:rFonts w:ascii="Arial" w:hAnsi="Arial" w:cs="Arial"/>
                <w:sz w:val="24"/>
                <w:szCs w:val="24"/>
              </w:rPr>
              <w:lastRenderedPageBreak/>
              <w:t>[1]</w:t>
            </w:r>
            <w:r w:rsidRPr="004B40A7">
              <w:rPr>
                <w:rFonts w:ascii="Arial" w:hAnsi="Arial" w:cs="Arial"/>
                <w:sz w:val="24"/>
                <w:szCs w:val="24"/>
              </w:rPr>
              <w:tab/>
              <w:t>This is a r</w:t>
            </w:r>
            <w:r w:rsidR="00CC2B6F">
              <w:rPr>
                <w:rFonts w:ascii="Arial" w:hAnsi="Arial" w:cs="Arial"/>
                <w:sz w:val="24"/>
                <w:szCs w:val="24"/>
              </w:rPr>
              <w:t>eview matter in terms of s</w:t>
            </w:r>
            <w:r w:rsidRPr="004B40A7">
              <w:rPr>
                <w:rFonts w:ascii="Arial" w:hAnsi="Arial" w:cs="Arial"/>
                <w:sz w:val="24"/>
                <w:szCs w:val="24"/>
              </w:rPr>
              <w:t xml:space="preserve"> 302(1) of the Criminal Procedure Act 51 of 1977 (CPA). </w:t>
            </w:r>
          </w:p>
          <w:p w14:paraId="2031BCDD" w14:textId="77777777" w:rsidR="000F24BF" w:rsidRPr="004B40A7" w:rsidRDefault="000F24BF" w:rsidP="000F24BF">
            <w:pPr>
              <w:spacing w:line="360" w:lineRule="auto"/>
              <w:jc w:val="both"/>
              <w:rPr>
                <w:rFonts w:ascii="Arial" w:hAnsi="Arial" w:cs="Arial"/>
                <w:sz w:val="24"/>
                <w:szCs w:val="24"/>
              </w:rPr>
            </w:pPr>
          </w:p>
          <w:p w14:paraId="2F273CA2" w14:textId="1067D234" w:rsidR="000F24BF" w:rsidRPr="004B40A7" w:rsidRDefault="000F24BF" w:rsidP="000F24BF">
            <w:pPr>
              <w:spacing w:line="360" w:lineRule="auto"/>
              <w:jc w:val="both"/>
              <w:rPr>
                <w:rFonts w:ascii="Arial" w:hAnsi="Arial" w:cs="Arial"/>
                <w:sz w:val="24"/>
                <w:szCs w:val="24"/>
              </w:rPr>
            </w:pPr>
            <w:r w:rsidRPr="004B40A7">
              <w:rPr>
                <w:rFonts w:ascii="Arial" w:hAnsi="Arial" w:cs="Arial"/>
                <w:sz w:val="24"/>
                <w:szCs w:val="24"/>
              </w:rPr>
              <w:t>[2]</w:t>
            </w:r>
            <w:r w:rsidRPr="004B40A7">
              <w:rPr>
                <w:rFonts w:ascii="Arial" w:hAnsi="Arial" w:cs="Arial"/>
                <w:sz w:val="24"/>
                <w:szCs w:val="24"/>
              </w:rPr>
              <w:tab/>
              <w:t>The accused persons</w:t>
            </w:r>
            <w:r w:rsidR="00CC2B6F">
              <w:rPr>
                <w:rFonts w:ascii="Arial" w:hAnsi="Arial" w:cs="Arial"/>
                <w:sz w:val="24"/>
                <w:szCs w:val="24"/>
              </w:rPr>
              <w:t>,</w:t>
            </w:r>
            <w:r w:rsidRPr="004B40A7">
              <w:rPr>
                <w:rFonts w:ascii="Arial" w:hAnsi="Arial" w:cs="Arial"/>
                <w:sz w:val="24"/>
                <w:szCs w:val="24"/>
              </w:rPr>
              <w:t xml:space="preserve"> Timotheus Lukas Swartbooi and Wenfred Stephanus Kooper</w:t>
            </w:r>
            <w:r w:rsidR="00CC2B6F">
              <w:rPr>
                <w:rFonts w:ascii="Arial" w:hAnsi="Arial" w:cs="Arial"/>
                <w:sz w:val="24"/>
                <w:szCs w:val="24"/>
              </w:rPr>
              <w:t>,</w:t>
            </w:r>
            <w:r w:rsidRPr="004B40A7">
              <w:rPr>
                <w:rFonts w:ascii="Arial" w:hAnsi="Arial" w:cs="Arial"/>
                <w:sz w:val="24"/>
                <w:szCs w:val="24"/>
              </w:rPr>
              <w:t xml:space="preserve"> appeared in the Magistrate’s Court for the district of Keetmanshoop. Both faced o</w:t>
            </w:r>
            <w:r w:rsidR="00CC2B6F">
              <w:rPr>
                <w:rFonts w:ascii="Arial" w:hAnsi="Arial" w:cs="Arial"/>
                <w:sz w:val="24"/>
                <w:szCs w:val="24"/>
              </w:rPr>
              <w:t>ne count of contravening s</w:t>
            </w:r>
            <w:r w:rsidRPr="004B40A7">
              <w:rPr>
                <w:rFonts w:ascii="Arial" w:hAnsi="Arial" w:cs="Arial"/>
                <w:sz w:val="24"/>
                <w:szCs w:val="24"/>
              </w:rPr>
              <w:t xml:space="preserve"> 2(b), read with sections 1, 2(i) and/or 2(iv) 7, 8, 10, 14 and Part I of the schedule of the Abuse of Dependence-Producing Substances and Rehabilitation Centres Act 41 of 1971 as amended, namely possession of a dependence</w:t>
            </w:r>
            <w:r w:rsidR="00CC2B6F">
              <w:rPr>
                <w:rFonts w:ascii="Arial" w:hAnsi="Arial" w:cs="Arial"/>
                <w:sz w:val="24"/>
                <w:szCs w:val="24"/>
              </w:rPr>
              <w:t xml:space="preserve"> producing substance to wit, two </w:t>
            </w:r>
            <w:r w:rsidRPr="004B40A7">
              <w:rPr>
                <w:rFonts w:ascii="Arial" w:hAnsi="Arial" w:cs="Arial"/>
                <w:sz w:val="24"/>
                <w:szCs w:val="24"/>
              </w:rPr>
              <w:t>grams</w:t>
            </w:r>
            <w:r w:rsidR="00CC2B6F">
              <w:rPr>
                <w:rFonts w:ascii="Arial" w:hAnsi="Arial" w:cs="Arial"/>
                <w:sz w:val="24"/>
                <w:szCs w:val="24"/>
              </w:rPr>
              <w:t xml:space="preserve"> of cannabis valued at N$100</w:t>
            </w:r>
            <w:r w:rsidRPr="004B40A7">
              <w:rPr>
                <w:rFonts w:ascii="Arial" w:hAnsi="Arial" w:cs="Arial"/>
                <w:sz w:val="24"/>
                <w:szCs w:val="24"/>
              </w:rPr>
              <w:t>.</w:t>
            </w:r>
          </w:p>
          <w:p w14:paraId="0F4DDE3C" w14:textId="77777777" w:rsidR="000F24BF" w:rsidRPr="004B40A7" w:rsidRDefault="000F24BF" w:rsidP="000F24BF">
            <w:pPr>
              <w:spacing w:line="360" w:lineRule="auto"/>
              <w:jc w:val="both"/>
              <w:rPr>
                <w:rFonts w:ascii="Arial" w:hAnsi="Arial" w:cs="Arial"/>
                <w:sz w:val="24"/>
                <w:szCs w:val="24"/>
              </w:rPr>
            </w:pPr>
          </w:p>
          <w:p w14:paraId="39534CEF" w14:textId="4DEC1106" w:rsidR="000F24BF" w:rsidRPr="004B40A7" w:rsidRDefault="000F24BF" w:rsidP="000F24BF">
            <w:pPr>
              <w:spacing w:line="360" w:lineRule="auto"/>
              <w:jc w:val="both"/>
              <w:rPr>
                <w:rFonts w:ascii="Arial" w:hAnsi="Arial" w:cs="Arial"/>
                <w:sz w:val="24"/>
                <w:szCs w:val="24"/>
              </w:rPr>
            </w:pPr>
            <w:r w:rsidRPr="004B40A7">
              <w:rPr>
                <w:rFonts w:ascii="Arial" w:hAnsi="Arial" w:cs="Arial"/>
                <w:sz w:val="24"/>
                <w:szCs w:val="24"/>
              </w:rPr>
              <w:t>[3]</w:t>
            </w:r>
            <w:r w:rsidRPr="004B40A7">
              <w:rPr>
                <w:rFonts w:ascii="Arial" w:hAnsi="Arial" w:cs="Arial"/>
                <w:sz w:val="24"/>
                <w:szCs w:val="24"/>
              </w:rPr>
              <w:tab/>
              <w:t>On the 2nd of March 2023, both accused persons pleaded guilty to the charge and the</w:t>
            </w:r>
            <w:r w:rsidR="00CC2B6F">
              <w:rPr>
                <w:rFonts w:ascii="Arial" w:hAnsi="Arial" w:cs="Arial"/>
                <w:sz w:val="24"/>
                <w:szCs w:val="24"/>
              </w:rPr>
              <w:t xml:space="preserve"> magistrate applied s </w:t>
            </w:r>
            <w:r w:rsidRPr="004B40A7">
              <w:rPr>
                <w:rFonts w:ascii="Arial" w:hAnsi="Arial" w:cs="Arial"/>
                <w:sz w:val="24"/>
                <w:szCs w:val="24"/>
              </w:rPr>
              <w:t>112(1)</w:t>
            </w:r>
            <w:r w:rsidRPr="00CC2B6F">
              <w:rPr>
                <w:rFonts w:ascii="Arial" w:hAnsi="Arial" w:cs="Arial"/>
                <w:i/>
                <w:sz w:val="24"/>
                <w:szCs w:val="24"/>
              </w:rPr>
              <w:t xml:space="preserve">(a) </w:t>
            </w:r>
            <w:r w:rsidRPr="004B40A7">
              <w:rPr>
                <w:rFonts w:ascii="Arial" w:hAnsi="Arial" w:cs="Arial"/>
                <w:sz w:val="24"/>
                <w:szCs w:val="24"/>
              </w:rPr>
              <w:t xml:space="preserve">of the </w:t>
            </w:r>
            <w:r w:rsidR="00CC2B6F">
              <w:rPr>
                <w:rFonts w:ascii="Arial" w:hAnsi="Arial" w:cs="Arial"/>
                <w:sz w:val="24"/>
                <w:szCs w:val="24"/>
              </w:rPr>
              <w:t>CPA</w:t>
            </w:r>
            <w:r w:rsidRPr="004B40A7">
              <w:rPr>
                <w:rFonts w:ascii="Arial" w:hAnsi="Arial" w:cs="Arial"/>
                <w:sz w:val="24"/>
                <w:szCs w:val="24"/>
              </w:rPr>
              <w:t>. Both accused were convicted and sentenced to pay a fine of N$1000 or</w:t>
            </w:r>
            <w:r w:rsidR="00CC2B6F">
              <w:rPr>
                <w:rFonts w:ascii="Arial" w:hAnsi="Arial" w:cs="Arial"/>
                <w:sz w:val="24"/>
                <w:szCs w:val="24"/>
              </w:rPr>
              <w:t xml:space="preserve"> 3</w:t>
            </w:r>
            <w:r w:rsidRPr="004B40A7">
              <w:rPr>
                <w:rFonts w:ascii="Arial" w:hAnsi="Arial" w:cs="Arial"/>
                <w:sz w:val="24"/>
                <w:szCs w:val="24"/>
              </w:rPr>
              <w:t xml:space="preserve"> months’ imprisonment, wholly suspended for a period of 3 years, on condition that the accused persons are not convicted of possession of dependence producing substances, committed during the period of suspension. Accused 2 was further sentenced to perform 100 hours of community service at</w:t>
            </w:r>
            <w:r w:rsidR="00CC2B6F">
              <w:rPr>
                <w:rFonts w:ascii="Arial" w:hAnsi="Arial" w:cs="Arial"/>
                <w:sz w:val="24"/>
                <w:szCs w:val="24"/>
              </w:rPr>
              <w:t xml:space="preserve"> the</w:t>
            </w:r>
            <w:r w:rsidRPr="004B40A7">
              <w:rPr>
                <w:rFonts w:ascii="Arial" w:hAnsi="Arial" w:cs="Arial"/>
                <w:sz w:val="24"/>
                <w:szCs w:val="24"/>
              </w:rPr>
              <w:t xml:space="preserve"> Keetmanshoop Municipality. </w:t>
            </w:r>
          </w:p>
          <w:p w14:paraId="4BBB3BF3" w14:textId="77777777" w:rsidR="000F24BF" w:rsidRPr="004B40A7" w:rsidRDefault="000F24BF" w:rsidP="000F24BF">
            <w:pPr>
              <w:spacing w:line="360" w:lineRule="auto"/>
              <w:jc w:val="both"/>
              <w:rPr>
                <w:rFonts w:ascii="Arial" w:hAnsi="Arial" w:cs="Arial"/>
                <w:sz w:val="24"/>
                <w:szCs w:val="24"/>
              </w:rPr>
            </w:pPr>
          </w:p>
          <w:p w14:paraId="68F7ABEC" w14:textId="2010C361" w:rsidR="000F24BF" w:rsidRPr="004B40A7" w:rsidRDefault="000F24BF" w:rsidP="000F24BF">
            <w:pPr>
              <w:spacing w:line="360" w:lineRule="auto"/>
              <w:jc w:val="both"/>
              <w:rPr>
                <w:rFonts w:ascii="Arial" w:hAnsi="Arial" w:cs="Arial"/>
                <w:sz w:val="24"/>
                <w:szCs w:val="24"/>
              </w:rPr>
            </w:pPr>
            <w:r w:rsidRPr="004B40A7">
              <w:rPr>
                <w:rFonts w:ascii="Arial" w:hAnsi="Arial" w:cs="Arial"/>
                <w:sz w:val="24"/>
                <w:szCs w:val="24"/>
              </w:rPr>
              <w:t>[4]</w:t>
            </w:r>
            <w:r w:rsidRPr="004B40A7">
              <w:rPr>
                <w:rFonts w:ascii="Arial" w:hAnsi="Arial" w:cs="Arial"/>
                <w:sz w:val="24"/>
                <w:szCs w:val="24"/>
              </w:rPr>
              <w:tab/>
              <w:t xml:space="preserve">When the matter came on review, a query was directed to the magistrate as to what satisfied the court that the accused persons knew that their actions were unlawful and had the necessary </w:t>
            </w:r>
            <w:r w:rsidRPr="00CC2B6F">
              <w:rPr>
                <w:rFonts w:ascii="Arial" w:hAnsi="Arial" w:cs="Arial"/>
                <w:i/>
                <w:sz w:val="24"/>
                <w:szCs w:val="24"/>
              </w:rPr>
              <w:t>mens rea</w:t>
            </w:r>
            <w:r w:rsidRPr="004B40A7">
              <w:rPr>
                <w:rFonts w:ascii="Arial" w:hAnsi="Arial" w:cs="Arial"/>
                <w:sz w:val="24"/>
                <w:szCs w:val="24"/>
              </w:rPr>
              <w:t xml:space="preserve"> when committing the offence, when they were convicted on their mere pleas of guilty in t</w:t>
            </w:r>
            <w:r w:rsidR="00CC2B6F">
              <w:rPr>
                <w:rFonts w:ascii="Arial" w:hAnsi="Arial" w:cs="Arial"/>
                <w:sz w:val="24"/>
                <w:szCs w:val="24"/>
              </w:rPr>
              <w:t>erms of s</w:t>
            </w:r>
            <w:r w:rsidRPr="004B40A7">
              <w:rPr>
                <w:rFonts w:ascii="Arial" w:hAnsi="Arial" w:cs="Arial"/>
                <w:sz w:val="24"/>
                <w:szCs w:val="24"/>
              </w:rPr>
              <w:t xml:space="preserve"> 112(1)</w:t>
            </w:r>
            <w:r w:rsidRPr="000755AB">
              <w:rPr>
                <w:rFonts w:ascii="Arial" w:hAnsi="Arial" w:cs="Arial"/>
                <w:i/>
                <w:sz w:val="24"/>
                <w:szCs w:val="24"/>
              </w:rPr>
              <w:t>(a)</w:t>
            </w:r>
            <w:r w:rsidRPr="004B40A7">
              <w:rPr>
                <w:rFonts w:ascii="Arial" w:hAnsi="Arial" w:cs="Arial"/>
                <w:sz w:val="24"/>
                <w:szCs w:val="24"/>
              </w:rPr>
              <w:t>?</w:t>
            </w:r>
          </w:p>
          <w:p w14:paraId="008B63FD" w14:textId="77777777" w:rsidR="000F24BF" w:rsidRPr="004B40A7" w:rsidRDefault="000F24BF" w:rsidP="000F24BF">
            <w:pPr>
              <w:spacing w:line="360" w:lineRule="auto"/>
              <w:jc w:val="both"/>
              <w:rPr>
                <w:rFonts w:ascii="Arial" w:hAnsi="Arial" w:cs="Arial"/>
                <w:sz w:val="24"/>
                <w:szCs w:val="24"/>
              </w:rPr>
            </w:pPr>
          </w:p>
          <w:p w14:paraId="6F5CB56F" w14:textId="763A4605" w:rsidR="003A6080" w:rsidRPr="000F24BF" w:rsidRDefault="000F24BF" w:rsidP="000F24BF">
            <w:pPr>
              <w:spacing w:line="360" w:lineRule="auto"/>
              <w:ind w:right="411"/>
              <w:jc w:val="both"/>
              <w:rPr>
                <w:rFonts w:ascii="Arial" w:hAnsi="Arial" w:cs="Arial"/>
                <w:sz w:val="24"/>
                <w:szCs w:val="24"/>
              </w:rPr>
            </w:pPr>
            <w:r w:rsidRPr="000F24BF">
              <w:rPr>
                <w:rFonts w:ascii="Arial" w:hAnsi="Arial" w:cs="Arial"/>
                <w:sz w:val="24"/>
                <w:szCs w:val="24"/>
              </w:rPr>
              <w:t>[5]</w:t>
            </w:r>
            <w:r w:rsidRPr="000F24BF">
              <w:rPr>
                <w:rFonts w:ascii="Arial" w:hAnsi="Arial" w:cs="Arial"/>
                <w:sz w:val="24"/>
                <w:szCs w:val="24"/>
              </w:rPr>
              <w:tab/>
              <w:t>In his response, the magistrate conceded that finalisation</w:t>
            </w:r>
            <w:r w:rsidR="00CC2B6F">
              <w:rPr>
                <w:rFonts w:ascii="Arial" w:hAnsi="Arial" w:cs="Arial"/>
                <w:sz w:val="24"/>
                <w:szCs w:val="24"/>
              </w:rPr>
              <w:t xml:space="preserve"> of drugs related matters utilis</w:t>
            </w:r>
            <w:r w:rsidRPr="000F24BF">
              <w:rPr>
                <w:rFonts w:ascii="Arial" w:hAnsi="Arial" w:cs="Arial"/>
                <w:sz w:val="24"/>
                <w:szCs w:val="24"/>
              </w:rPr>
              <w:t>ing s 112(1)</w:t>
            </w:r>
            <w:r w:rsidRPr="00CC2B6F">
              <w:rPr>
                <w:rFonts w:ascii="Arial" w:hAnsi="Arial" w:cs="Arial"/>
                <w:i/>
                <w:sz w:val="24"/>
                <w:szCs w:val="24"/>
              </w:rPr>
              <w:t>(a)</w:t>
            </w:r>
            <w:r w:rsidRPr="000F24BF">
              <w:rPr>
                <w:rFonts w:ascii="Arial" w:hAnsi="Arial" w:cs="Arial"/>
                <w:sz w:val="24"/>
                <w:szCs w:val="24"/>
              </w:rPr>
              <w:t xml:space="preserve"> of the CPA is wrong and that the conviction and sentence stands to be set aside. The concession by the magistrate is correctly made. The importance of questioning</w:t>
            </w:r>
            <w:r w:rsidR="00CC2B6F">
              <w:rPr>
                <w:rFonts w:ascii="Arial" w:hAnsi="Arial" w:cs="Arial"/>
                <w:sz w:val="24"/>
                <w:szCs w:val="24"/>
              </w:rPr>
              <w:t xml:space="preserve"> an accused person in terms of s</w:t>
            </w:r>
            <w:r w:rsidRPr="000F24BF">
              <w:rPr>
                <w:rFonts w:ascii="Arial" w:hAnsi="Arial" w:cs="Arial"/>
                <w:sz w:val="24"/>
                <w:szCs w:val="24"/>
              </w:rPr>
              <w:t xml:space="preserve"> 112(1)</w:t>
            </w:r>
            <w:r w:rsidRPr="00CC2B6F">
              <w:rPr>
                <w:rFonts w:ascii="Arial" w:hAnsi="Arial" w:cs="Arial"/>
                <w:i/>
                <w:sz w:val="24"/>
                <w:szCs w:val="24"/>
              </w:rPr>
              <w:t xml:space="preserve">(b) </w:t>
            </w:r>
            <w:r w:rsidRPr="000F24BF">
              <w:rPr>
                <w:rFonts w:ascii="Arial" w:hAnsi="Arial" w:cs="Arial"/>
                <w:sz w:val="24"/>
                <w:szCs w:val="24"/>
              </w:rPr>
              <w:t xml:space="preserve">is well stated in </w:t>
            </w:r>
            <w:bookmarkStart w:id="2" w:name="_Hlk146637731"/>
            <w:r w:rsidR="003A6080" w:rsidRPr="000F24BF">
              <w:rPr>
                <w:rFonts w:ascii="Arial" w:hAnsi="Arial" w:cs="Arial"/>
                <w:i/>
                <w:sz w:val="24"/>
                <w:szCs w:val="24"/>
              </w:rPr>
              <w:t>S v Nyanga</w:t>
            </w:r>
            <w:bookmarkEnd w:id="2"/>
            <w:r w:rsidR="003A6080" w:rsidRPr="003A6080">
              <w:rPr>
                <w:rStyle w:val="FootnoteReference"/>
                <w:rFonts w:ascii="Arial" w:hAnsi="Arial" w:cs="Arial"/>
                <w:i/>
                <w:sz w:val="24"/>
                <w:szCs w:val="24"/>
              </w:rPr>
              <w:footnoteReference w:id="1"/>
            </w:r>
            <w:r w:rsidR="003A6080" w:rsidRPr="000F24BF">
              <w:rPr>
                <w:rFonts w:ascii="Arial" w:hAnsi="Arial" w:cs="Arial"/>
                <w:i/>
                <w:sz w:val="24"/>
                <w:szCs w:val="24"/>
              </w:rPr>
              <w:t xml:space="preserve">, </w:t>
            </w:r>
            <w:r w:rsidR="003A6080" w:rsidRPr="000F24BF">
              <w:rPr>
                <w:rFonts w:ascii="Arial" w:hAnsi="Arial" w:cs="Arial"/>
                <w:iCs/>
                <w:sz w:val="24"/>
                <w:szCs w:val="24"/>
              </w:rPr>
              <w:t>where</w:t>
            </w:r>
            <w:r w:rsidR="003A6080" w:rsidRPr="000F24BF">
              <w:rPr>
                <w:rFonts w:ascii="Arial" w:hAnsi="Arial" w:cs="Arial"/>
                <w:i/>
                <w:sz w:val="24"/>
                <w:szCs w:val="24"/>
              </w:rPr>
              <w:t xml:space="preserve"> </w:t>
            </w:r>
            <w:r w:rsidR="003A6080" w:rsidRPr="000F24BF">
              <w:rPr>
                <w:rFonts w:ascii="Arial" w:hAnsi="Arial" w:cs="Arial"/>
                <w:sz w:val="24"/>
                <w:szCs w:val="24"/>
              </w:rPr>
              <w:t>Moosa J stated as follows:</w:t>
            </w:r>
          </w:p>
          <w:p w14:paraId="79922138" w14:textId="77777777" w:rsidR="003A6080" w:rsidRPr="003A6080" w:rsidRDefault="003A6080" w:rsidP="003A6080">
            <w:pPr>
              <w:pStyle w:val="ListParagraph"/>
              <w:spacing w:line="360" w:lineRule="auto"/>
              <w:ind w:right="411"/>
              <w:jc w:val="both"/>
              <w:rPr>
                <w:rFonts w:ascii="Arial" w:hAnsi="Arial" w:cs="Arial"/>
                <w:sz w:val="24"/>
                <w:szCs w:val="24"/>
              </w:rPr>
            </w:pPr>
          </w:p>
          <w:p w14:paraId="728AE476" w14:textId="77777777" w:rsidR="00CC2B6F" w:rsidRPr="00585131" w:rsidRDefault="00CC2B6F" w:rsidP="00CC2B6F">
            <w:pPr>
              <w:spacing w:line="360" w:lineRule="auto"/>
              <w:ind w:firstLine="720"/>
              <w:jc w:val="both"/>
              <w:rPr>
                <w:rFonts w:ascii="Arial" w:hAnsi="Arial" w:cs="Arial"/>
              </w:rPr>
            </w:pPr>
            <w:r>
              <w:rPr>
                <w:rFonts w:ascii="Arial" w:hAnsi="Arial" w:cs="Arial"/>
              </w:rPr>
              <w:lastRenderedPageBreak/>
              <w:t>‘</w:t>
            </w:r>
            <w:r w:rsidRPr="00585131">
              <w:rPr>
                <w:rFonts w:ascii="Arial" w:hAnsi="Arial" w:cs="Arial"/>
              </w:rPr>
              <w:t>Section 112(1)(b) questioning has a twofold purpose: firstly, to establish the factual basis for the plea of guilty and, secondly, to establish the legal basis for such plea. In the first phase of the enquiry, the admissions made may not be added to by other means such as a process of inferential reasoning (</w:t>
            </w:r>
            <w:r w:rsidRPr="00585131">
              <w:rPr>
                <w:rFonts w:ascii="Arial" w:hAnsi="Arial" w:cs="Arial"/>
                <w:i/>
              </w:rPr>
              <w:t>S v Nkosi</w:t>
            </w:r>
            <w:r w:rsidRPr="00585131">
              <w:rPr>
                <w:rFonts w:ascii="Arial" w:hAnsi="Arial" w:cs="Arial"/>
              </w:rPr>
              <w:t xml:space="preserve"> 1986 (2) SA 261 (T) at 263H – I; </w:t>
            </w:r>
            <w:r w:rsidRPr="00585131">
              <w:rPr>
                <w:rFonts w:ascii="Arial" w:hAnsi="Arial" w:cs="Arial"/>
                <w:i/>
              </w:rPr>
              <w:t>S v Mathe</w:t>
            </w:r>
            <w:r w:rsidRPr="00585131">
              <w:rPr>
                <w:rFonts w:ascii="Arial" w:hAnsi="Arial" w:cs="Arial"/>
              </w:rPr>
              <w:t xml:space="preserve"> 1981 (3) SA 664 (NC) at 669E – G; </w:t>
            </w:r>
            <w:r w:rsidRPr="00585131">
              <w:rPr>
                <w:rFonts w:ascii="Arial" w:hAnsi="Arial" w:cs="Arial"/>
                <w:i/>
              </w:rPr>
              <w:t>S v Jacobs</w:t>
            </w:r>
            <w:r w:rsidRPr="00585131">
              <w:rPr>
                <w:rFonts w:ascii="Arial" w:hAnsi="Arial" w:cs="Arial"/>
              </w:rPr>
              <w:t xml:space="preserve"> (supra at 1117B)). The second phase of the enquiry amounts essentially to a conclusion of law based on the admissions. From the admissions the court must conclude whether the legal requirements for the commission of the offence have been met. They are the questions of unlawfulness, </w:t>
            </w:r>
            <w:r w:rsidRPr="00585131">
              <w:rPr>
                <w:rFonts w:ascii="Arial" w:hAnsi="Arial" w:cs="Arial"/>
                <w:i/>
              </w:rPr>
              <w:t>actus reus</w:t>
            </w:r>
            <w:r w:rsidRPr="00585131">
              <w:rPr>
                <w:rFonts w:ascii="Arial" w:hAnsi="Arial" w:cs="Arial"/>
              </w:rPr>
              <w:t xml:space="preserve"> and </w:t>
            </w:r>
            <w:r w:rsidRPr="00585131">
              <w:rPr>
                <w:rFonts w:ascii="Arial" w:hAnsi="Arial" w:cs="Arial"/>
                <w:i/>
              </w:rPr>
              <w:t>mens rea</w:t>
            </w:r>
            <w:r w:rsidRPr="00585131">
              <w:rPr>
                <w:rFonts w:ascii="Arial" w:hAnsi="Arial" w:cs="Arial"/>
              </w:rPr>
              <w:t xml:space="preserve">. These are conclusions of law. If the court is satisfied that the admissions adequately cover all the elements of the offence, the court is entitled to convict the accused on the charge to which he pleaded guilty. (See </w:t>
            </w:r>
            <w:r w:rsidRPr="00585131">
              <w:rPr>
                <w:rFonts w:ascii="Arial" w:hAnsi="Arial" w:cs="Arial"/>
                <w:i/>
              </w:rPr>
              <w:t>S v Lebokeng en 'n Ander</w:t>
            </w:r>
            <w:r w:rsidRPr="00585131">
              <w:rPr>
                <w:rFonts w:ascii="Arial" w:hAnsi="Arial" w:cs="Arial"/>
              </w:rPr>
              <w:t xml:space="preserve"> 1978 (2) SA 674 (O) at 675G – H; </w:t>
            </w:r>
            <w:r w:rsidRPr="00585131">
              <w:rPr>
                <w:rFonts w:ascii="Arial" w:hAnsi="Arial" w:cs="Arial"/>
                <w:i/>
              </w:rPr>
              <w:t>S v Hendricks</w:t>
            </w:r>
            <w:r w:rsidRPr="00585131">
              <w:rPr>
                <w:rFonts w:ascii="Arial" w:hAnsi="Arial" w:cs="Arial"/>
              </w:rPr>
              <w:t xml:space="preserve"> (supra at 187b – e; </w:t>
            </w:r>
            <w:r w:rsidRPr="00585131">
              <w:rPr>
                <w:rFonts w:ascii="Arial" w:hAnsi="Arial" w:cs="Arial"/>
                <w:i/>
              </w:rPr>
              <w:t>S v De Klerk</w:t>
            </w:r>
            <w:r w:rsidRPr="00585131">
              <w:rPr>
                <w:rFonts w:ascii="Arial" w:hAnsi="Arial" w:cs="Arial"/>
              </w:rPr>
              <w:t xml:space="preserve"> 1992 (1) SACR 181 (W) at 183a – b; </w:t>
            </w:r>
            <w:r w:rsidRPr="00585131">
              <w:rPr>
                <w:rFonts w:ascii="Arial" w:hAnsi="Arial" w:cs="Arial"/>
                <w:i/>
              </w:rPr>
              <w:t>S v Diniso</w:t>
            </w:r>
            <w:r w:rsidRPr="00585131">
              <w:rPr>
                <w:rFonts w:ascii="Arial" w:hAnsi="Arial" w:cs="Arial"/>
              </w:rPr>
              <w:t xml:space="preserve"> 1999</w:t>
            </w:r>
            <w:r>
              <w:rPr>
                <w:rFonts w:ascii="Arial" w:hAnsi="Arial" w:cs="Arial"/>
              </w:rPr>
              <w:t xml:space="preserve"> (1) SACR 532 (C) at 533g – h.)’</w:t>
            </w:r>
          </w:p>
          <w:p w14:paraId="7E72ACA1" w14:textId="77777777" w:rsidR="00DF4302" w:rsidRPr="00AF73CE" w:rsidRDefault="00DF4302" w:rsidP="00DF4302">
            <w:pPr>
              <w:spacing w:line="360" w:lineRule="auto"/>
              <w:ind w:right="411"/>
              <w:jc w:val="both"/>
              <w:rPr>
                <w:rFonts w:ascii="Arial" w:hAnsi="Arial" w:cs="Arial"/>
                <w:sz w:val="24"/>
                <w:szCs w:val="24"/>
              </w:rPr>
            </w:pPr>
          </w:p>
          <w:p w14:paraId="21DDA481" w14:textId="556B6A58" w:rsidR="004E5E23" w:rsidRPr="000F24BF" w:rsidRDefault="000F24BF" w:rsidP="000F24BF">
            <w:pPr>
              <w:tabs>
                <w:tab w:val="left" w:pos="879"/>
                <w:tab w:val="left" w:pos="1286"/>
              </w:tabs>
              <w:spacing w:line="360" w:lineRule="auto"/>
              <w:ind w:right="411"/>
              <w:jc w:val="both"/>
              <w:rPr>
                <w:rFonts w:ascii="Arial" w:hAnsi="Arial" w:cs="Arial"/>
                <w:sz w:val="24"/>
                <w:szCs w:val="24"/>
              </w:rPr>
            </w:pPr>
            <w:r w:rsidRPr="000F24BF">
              <w:rPr>
                <w:rFonts w:ascii="Arial" w:hAnsi="Arial" w:cs="Arial"/>
                <w:sz w:val="24"/>
                <w:szCs w:val="24"/>
              </w:rPr>
              <w:t>[6]</w:t>
            </w:r>
            <w:r w:rsidRPr="000F24BF">
              <w:rPr>
                <w:rFonts w:ascii="Arial" w:hAnsi="Arial" w:cs="Arial"/>
                <w:sz w:val="24"/>
                <w:szCs w:val="24"/>
              </w:rPr>
              <w:tab/>
              <w:t xml:space="preserve">In this instance, the court had to be satisfied that the accused persons knew that what was found in their possession was indeed cannabis, a prohibited dependence producing substance, as stated in </w:t>
            </w:r>
            <w:bookmarkStart w:id="3" w:name="_Hlk146637792"/>
            <w:r w:rsidR="0044696C" w:rsidRPr="000F24BF">
              <w:rPr>
                <w:rFonts w:ascii="Arial" w:hAnsi="Arial" w:cs="Arial"/>
                <w:i/>
                <w:sz w:val="24"/>
                <w:szCs w:val="24"/>
              </w:rPr>
              <w:t>S v Classen</w:t>
            </w:r>
            <w:bookmarkEnd w:id="3"/>
            <w:r w:rsidR="0044696C">
              <w:rPr>
                <w:rStyle w:val="FootnoteReference"/>
                <w:rFonts w:ascii="Arial" w:hAnsi="Arial" w:cs="Arial"/>
                <w:i/>
                <w:sz w:val="24"/>
                <w:szCs w:val="24"/>
              </w:rPr>
              <w:footnoteReference w:id="2"/>
            </w:r>
            <w:r w:rsidR="0044696C" w:rsidRPr="000F24BF">
              <w:rPr>
                <w:rFonts w:ascii="Arial" w:hAnsi="Arial" w:cs="Arial"/>
                <w:i/>
                <w:sz w:val="24"/>
                <w:szCs w:val="24"/>
              </w:rPr>
              <w:t>.</w:t>
            </w:r>
          </w:p>
          <w:p w14:paraId="41780D4E" w14:textId="77777777" w:rsidR="0044696C" w:rsidRPr="0044696C" w:rsidRDefault="0044696C" w:rsidP="000F24BF">
            <w:pPr>
              <w:pStyle w:val="ListParagraph"/>
              <w:tabs>
                <w:tab w:val="left" w:pos="879"/>
                <w:tab w:val="left" w:pos="1286"/>
              </w:tabs>
              <w:spacing w:line="360" w:lineRule="auto"/>
              <w:ind w:right="411"/>
              <w:rPr>
                <w:rFonts w:ascii="Arial" w:hAnsi="Arial" w:cs="Arial"/>
                <w:sz w:val="24"/>
                <w:szCs w:val="24"/>
              </w:rPr>
            </w:pPr>
          </w:p>
          <w:p w14:paraId="4FD6BD1A" w14:textId="0FDE49FD" w:rsidR="00935DCC" w:rsidRPr="000F24BF" w:rsidRDefault="000F24BF" w:rsidP="000F24BF">
            <w:pPr>
              <w:spacing w:line="360" w:lineRule="auto"/>
              <w:rPr>
                <w:rFonts w:ascii="Arial" w:hAnsi="Arial" w:cs="Arial"/>
                <w:sz w:val="24"/>
                <w:szCs w:val="24"/>
              </w:rPr>
            </w:pPr>
            <w:r w:rsidRPr="000F24BF">
              <w:rPr>
                <w:rFonts w:ascii="Arial" w:hAnsi="Arial" w:cs="Arial"/>
                <w:sz w:val="24"/>
                <w:szCs w:val="24"/>
              </w:rPr>
              <w:t>[7]</w:t>
            </w:r>
            <w:r w:rsidRPr="000F24BF">
              <w:rPr>
                <w:rFonts w:ascii="Arial" w:hAnsi="Arial" w:cs="Arial"/>
                <w:sz w:val="24"/>
                <w:szCs w:val="24"/>
              </w:rPr>
              <w:tab/>
              <w:t>Based on the authority cited above and the concession made, the conviction and sentence cannot stand and must be set aside. In the result, I make the following order:</w:t>
            </w:r>
          </w:p>
          <w:p w14:paraId="763D991C" w14:textId="073003E2" w:rsidR="000F24BF" w:rsidRDefault="00DC5DA3" w:rsidP="000F24BF">
            <w:pPr>
              <w:pStyle w:val="AS-P1"/>
              <w:spacing w:line="360" w:lineRule="auto"/>
              <w:ind w:firstLine="0"/>
              <w:jc w:val="left"/>
              <w:rPr>
                <w:rFonts w:ascii="Arial" w:hAnsi="Arial" w:cs="Arial"/>
                <w:noProof w:val="0"/>
                <w:sz w:val="24"/>
                <w:szCs w:val="24"/>
                <w:lang w:val="en-ZA"/>
              </w:rPr>
            </w:pPr>
            <w:r>
              <w:rPr>
                <w:rFonts w:ascii="Arial" w:hAnsi="Arial" w:cs="Arial"/>
                <w:noProof w:val="0"/>
                <w:sz w:val="24"/>
                <w:szCs w:val="24"/>
                <w:lang w:val="en-ZA"/>
              </w:rPr>
              <w:t>In respect of both accused persons, t</w:t>
            </w:r>
            <w:r w:rsidR="00DF535E" w:rsidRPr="00AF73CE">
              <w:rPr>
                <w:rFonts w:ascii="Arial" w:hAnsi="Arial" w:cs="Arial"/>
                <w:noProof w:val="0"/>
                <w:sz w:val="24"/>
                <w:szCs w:val="24"/>
                <w:lang w:val="en-ZA"/>
              </w:rPr>
              <w:t>he conviction and sentence</w:t>
            </w:r>
            <w:r w:rsidR="008936F5">
              <w:rPr>
                <w:rFonts w:ascii="Arial" w:hAnsi="Arial" w:cs="Arial"/>
                <w:noProof w:val="0"/>
                <w:sz w:val="24"/>
                <w:szCs w:val="24"/>
                <w:lang w:val="en-ZA"/>
              </w:rPr>
              <w:t xml:space="preserve"> </w:t>
            </w:r>
            <w:r w:rsidR="0044696C">
              <w:rPr>
                <w:rFonts w:ascii="Arial" w:hAnsi="Arial" w:cs="Arial"/>
                <w:noProof w:val="0"/>
                <w:sz w:val="24"/>
                <w:szCs w:val="24"/>
                <w:lang w:val="en-ZA"/>
              </w:rPr>
              <w:t>are</w:t>
            </w:r>
            <w:r w:rsidR="00DF535E" w:rsidRPr="00AF73CE">
              <w:rPr>
                <w:rFonts w:ascii="Arial" w:hAnsi="Arial" w:cs="Arial"/>
                <w:noProof w:val="0"/>
                <w:sz w:val="24"/>
                <w:szCs w:val="24"/>
                <w:lang w:val="en-ZA"/>
              </w:rPr>
              <w:t xml:space="preserve"> set aside</w:t>
            </w:r>
            <w:r>
              <w:rPr>
                <w:rFonts w:ascii="Arial" w:hAnsi="Arial" w:cs="Arial"/>
                <w:noProof w:val="0"/>
                <w:sz w:val="24"/>
                <w:szCs w:val="24"/>
                <w:lang w:val="en-ZA"/>
              </w:rPr>
              <w:t>.</w:t>
            </w:r>
            <w:bookmarkEnd w:id="1"/>
          </w:p>
          <w:p w14:paraId="7C216C7A" w14:textId="25ADD305" w:rsidR="000F24BF" w:rsidRPr="00AF73CE" w:rsidRDefault="000F24BF" w:rsidP="000F24BF">
            <w:pPr>
              <w:pStyle w:val="AS-P1"/>
              <w:spacing w:line="360" w:lineRule="auto"/>
              <w:ind w:firstLine="0"/>
              <w:jc w:val="left"/>
              <w:rPr>
                <w:rFonts w:ascii="Arial" w:hAnsi="Arial" w:cs="Arial"/>
                <w:noProof w:val="0"/>
                <w:sz w:val="24"/>
                <w:szCs w:val="24"/>
                <w:lang w:val="en-ZA"/>
              </w:rPr>
            </w:pPr>
          </w:p>
        </w:tc>
      </w:tr>
      <w:tr w:rsidR="00537FA1" w:rsidRPr="00AF73CE" w14:paraId="17DD05CB" w14:textId="77777777" w:rsidTr="00B668A6">
        <w:tc>
          <w:tcPr>
            <w:tcW w:w="4770" w:type="dxa"/>
          </w:tcPr>
          <w:p w14:paraId="50EB7D37" w14:textId="77777777" w:rsidR="00537FA1" w:rsidRPr="00AF73CE" w:rsidRDefault="00537FA1" w:rsidP="00537FA1">
            <w:pPr>
              <w:spacing w:line="360" w:lineRule="auto"/>
              <w:jc w:val="center"/>
              <w:rPr>
                <w:rFonts w:ascii="Arial" w:hAnsi="Arial" w:cs="Arial"/>
                <w:b/>
                <w:sz w:val="24"/>
                <w:szCs w:val="24"/>
              </w:rPr>
            </w:pPr>
          </w:p>
          <w:p w14:paraId="752F981F" w14:textId="77777777" w:rsidR="00C56F35" w:rsidRPr="00AF73CE" w:rsidRDefault="00C56F35" w:rsidP="004401F4">
            <w:pPr>
              <w:spacing w:line="360" w:lineRule="auto"/>
              <w:rPr>
                <w:rFonts w:ascii="Arial" w:hAnsi="Arial" w:cs="Arial"/>
                <w:b/>
                <w:sz w:val="24"/>
                <w:szCs w:val="24"/>
              </w:rPr>
            </w:pPr>
          </w:p>
          <w:p w14:paraId="3DEBC1BE" w14:textId="77777777" w:rsidR="004401F4" w:rsidRPr="00AF73CE" w:rsidRDefault="004401F4" w:rsidP="004401F4">
            <w:pPr>
              <w:spacing w:line="360" w:lineRule="auto"/>
              <w:rPr>
                <w:rFonts w:ascii="Arial" w:hAnsi="Arial" w:cs="Arial"/>
                <w:b/>
                <w:sz w:val="24"/>
                <w:szCs w:val="24"/>
              </w:rPr>
            </w:pPr>
          </w:p>
        </w:tc>
        <w:tc>
          <w:tcPr>
            <w:tcW w:w="4950" w:type="dxa"/>
            <w:gridSpan w:val="2"/>
          </w:tcPr>
          <w:p w14:paraId="18745FD5" w14:textId="77777777" w:rsidR="00537FA1" w:rsidRPr="00AF73CE" w:rsidRDefault="00537FA1" w:rsidP="00537FA1">
            <w:pPr>
              <w:spacing w:line="360" w:lineRule="auto"/>
              <w:jc w:val="center"/>
              <w:rPr>
                <w:rFonts w:ascii="Arial" w:hAnsi="Arial" w:cs="Arial"/>
                <w:b/>
                <w:sz w:val="24"/>
                <w:szCs w:val="24"/>
              </w:rPr>
            </w:pPr>
          </w:p>
          <w:p w14:paraId="438D1EA2" w14:textId="77777777" w:rsidR="00537FA1" w:rsidRPr="00AF73CE" w:rsidRDefault="00537FA1" w:rsidP="00537FA1">
            <w:pPr>
              <w:spacing w:line="360" w:lineRule="auto"/>
              <w:rPr>
                <w:rFonts w:ascii="Arial" w:hAnsi="Arial" w:cs="Arial"/>
                <w:b/>
                <w:sz w:val="24"/>
                <w:szCs w:val="24"/>
              </w:rPr>
            </w:pPr>
          </w:p>
        </w:tc>
      </w:tr>
      <w:tr w:rsidR="00537FA1" w:rsidRPr="00AF73CE" w14:paraId="5E67FFFD" w14:textId="77777777" w:rsidTr="00B668A6">
        <w:trPr>
          <w:trHeight w:val="827"/>
        </w:trPr>
        <w:tc>
          <w:tcPr>
            <w:tcW w:w="4770" w:type="dxa"/>
          </w:tcPr>
          <w:p w14:paraId="15340787" w14:textId="77777777" w:rsidR="00537FA1" w:rsidRPr="00AF73CE" w:rsidRDefault="00537FA1" w:rsidP="00537FA1">
            <w:pPr>
              <w:spacing w:line="360" w:lineRule="auto"/>
              <w:jc w:val="center"/>
              <w:rPr>
                <w:rFonts w:ascii="Arial" w:hAnsi="Arial" w:cs="Arial"/>
                <w:b/>
                <w:sz w:val="24"/>
                <w:szCs w:val="24"/>
              </w:rPr>
            </w:pPr>
            <w:r w:rsidRPr="00AF73CE">
              <w:rPr>
                <w:rFonts w:ascii="Arial" w:hAnsi="Arial" w:cs="Arial"/>
                <w:b/>
                <w:sz w:val="24"/>
                <w:szCs w:val="24"/>
              </w:rPr>
              <w:t>J C LIEBENBERG</w:t>
            </w:r>
          </w:p>
          <w:p w14:paraId="0811842A" w14:textId="77777777" w:rsidR="00537FA1" w:rsidRPr="00AF73CE" w:rsidRDefault="00537FA1" w:rsidP="00537FA1">
            <w:pPr>
              <w:spacing w:line="360" w:lineRule="auto"/>
              <w:jc w:val="center"/>
              <w:rPr>
                <w:rFonts w:ascii="Arial" w:hAnsi="Arial" w:cs="Arial"/>
                <w:b/>
                <w:sz w:val="24"/>
                <w:szCs w:val="24"/>
              </w:rPr>
            </w:pPr>
            <w:r w:rsidRPr="00AF73CE">
              <w:rPr>
                <w:rFonts w:ascii="Arial" w:hAnsi="Arial" w:cs="Arial"/>
                <w:b/>
                <w:sz w:val="24"/>
                <w:szCs w:val="24"/>
              </w:rPr>
              <w:t>JUDGE</w:t>
            </w:r>
          </w:p>
        </w:tc>
        <w:tc>
          <w:tcPr>
            <w:tcW w:w="4950" w:type="dxa"/>
            <w:gridSpan w:val="2"/>
          </w:tcPr>
          <w:p w14:paraId="2307E2A0" w14:textId="39B0999A" w:rsidR="00537FA1" w:rsidRPr="00AF73CE" w:rsidRDefault="00EC351E" w:rsidP="00537FA1">
            <w:pPr>
              <w:spacing w:line="360" w:lineRule="auto"/>
              <w:jc w:val="center"/>
              <w:rPr>
                <w:rFonts w:ascii="Arial" w:hAnsi="Arial" w:cs="Arial"/>
                <w:b/>
                <w:sz w:val="24"/>
                <w:szCs w:val="24"/>
              </w:rPr>
            </w:pPr>
            <w:r>
              <w:rPr>
                <w:rFonts w:ascii="Arial" w:hAnsi="Arial" w:cs="Arial"/>
                <w:b/>
                <w:sz w:val="24"/>
                <w:szCs w:val="24"/>
              </w:rPr>
              <w:t>P</w:t>
            </w:r>
            <w:r w:rsidR="00E63F06">
              <w:rPr>
                <w:rFonts w:ascii="Arial" w:hAnsi="Arial" w:cs="Arial"/>
                <w:b/>
                <w:sz w:val="24"/>
                <w:szCs w:val="24"/>
              </w:rPr>
              <w:t xml:space="preserve"> CHRISTIAAN</w:t>
            </w:r>
          </w:p>
          <w:p w14:paraId="008DE3C7" w14:textId="77777777" w:rsidR="00537FA1" w:rsidRPr="00AF73CE" w:rsidRDefault="00537FA1" w:rsidP="00537FA1">
            <w:pPr>
              <w:spacing w:line="360" w:lineRule="auto"/>
              <w:jc w:val="center"/>
              <w:rPr>
                <w:rFonts w:ascii="Arial" w:hAnsi="Arial" w:cs="Arial"/>
                <w:sz w:val="24"/>
                <w:szCs w:val="24"/>
              </w:rPr>
            </w:pPr>
            <w:r w:rsidRPr="00AF73CE">
              <w:rPr>
                <w:rFonts w:ascii="Arial" w:hAnsi="Arial" w:cs="Arial"/>
                <w:b/>
                <w:sz w:val="24"/>
                <w:szCs w:val="24"/>
              </w:rPr>
              <w:t xml:space="preserve"> </w:t>
            </w:r>
            <w:r w:rsidR="00025388" w:rsidRPr="00AF73CE">
              <w:rPr>
                <w:rFonts w:ascii="Arial" w:hAnsi="Arial" w:cs="Arial"/>
                <w:b/>
                <w:sz w:val="24"/>
                <w:szCs w:val="24"/>
              </w:rPr>
              <w:t xml:space="preserve">ACTING </w:t>
            </w:r>
            <w:r w:rsidRPr="00AF73CE">
              <w:rPr>
                <w:rFonts w:ascii="Arial" w:hAnsi="Arial" w:cs="Arial"/>
                <w:b/>
                <w:sz w:val="24"/>
                <w:szCs w:val="24"/>
              </w:rPr>
              <w:t>JUDGE</w:t>
            </w:r>
          </w:p>
        </w:tc>
      </w:tr>
    </w:tbl>
    <w:p w14:paraId="56D47DAD" w14:textId="77777777" w:rsidR="00AE7087" w:rsidRPr="00AF73CE" w:rsidRDefault="00AE7087" w:rsidP="00DC5DA3">
      <w:pPr>
        <w:tabs>
          <w:tab w:val="left" w:pos="945"/>
        </w:tabs>
        <w:rPr>
          <w:rFonts w:ascii="Arial" w:hAnsi="Arial" w:cs="Arial"/>
        </w:rPr>
      </w:pPr>
    </w:p>
    <w:sectPr w:rsidR="00AE7087" w:rsidRPr="00AF73CE" w:rsidSect="00D35DE6">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109B1" w14:textId="77777777" w:rsidR="00F84FAA" w:rsidRDefault="00F84FAA" w:rsidP="002A7C5A">
      <w:pPr>
        <w:spacing w:after="0" w:line="240" w:lineRule="auto"/>
      </w:pPr>
      <w:r>
        <w:separator/>
      </w:r>
    </w:p>
  </w:endnote>
  <w:endnote w:type="continuationSeparator" w:id="0">
    <w:p w14:paraId="0D4E1215" w14:textId="77777777" w:rsidR="00F84FAA" w:rsidRDefault="00F84FAA" w:rsidP="002A7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40BC3" w14:textId="77777777" w:rsidR="00F84FAA" w:rsidRDefault="00F84FAA" w:rsidP="002A7C5A">
      <w:pPr>
        <w:spacing w:after="0" w:line="240" w:lineRule="auto"/>
      </w:pPr>
      <w:r>
        <w:separator/>
      </w:r>
    </w:p>
  </w:footnote>
  <w:footnote w:type="continuationSeparator" w:id="0">
    <w:p w14:paraId="0B8AA40C" w14:textId="77777777" w:rsidR="00F84FAA" w:rsidRDefault="00F84FAA" w:rsidP="002A7C5A">
      <w:pPr>
        <w:spacing w:after="0" w:line="240" w:lineRule="auto"/>
      </w:pPr>
      <w:r>
        <w:continuationSeparator/>
      </w:r>
    </w:p>
  </w:footnote>
  <w:footnote w:id="1">
    <w:p w14:paraId="46F1D6ED" w14:textId="3E2416DD" w:rsidR="003A6080" w:rsidRPr="003A6080" w:rsidRDefault="003A6080">
      <w:pPr>
        <w:pStyle w:val="FootnoteText"/>
        <w:rPr>
          <w:lang w:val="en-ZA"/>
        </w:rPr>
      </w:pPr>
      <w:r>
        <w:rPr>
          <w:rStyle w:val="FootnoteReference"/>
        </w:rPr>
        <w:footnoteRef/>
      </w:r>
      <w:r>
        <w:t xml:space="preserve"> </w:t>
      </w:r>
      <w:r w:rsidR="004C158B" w:rsidRPr="004C158B">
        <w:rPr>
          <w:rFonts w:ascii="Arial" w:hAnsi="Arial" w:cs="Arial"/>
          <w:i/>
        </w:rPr>
        <w:t>S v Nyanga</w:t>
      </w:r>
      <w:r w:rsidR="004C158B" w:rsidRPr="003A6080">
        <w:rPr>
          <w:rFonts w:ascii="Arial" w:hAnsi="Arial" w:cs="Arial"/>
          <w:lang w:val="en-ZA"/>
        </w:rPr>
        <w:t xml:space="preserve"> </w:t>
      </w:r>
      <w:r w:rsidRPr="003A6080">
        <w:rPr>
          <w:rFonts w:ascii="Arial" w:hAnsi="Arial" w:cs="Arial"/>
          <w:lang w:val="en-ZA"/>
        </w:rPr>
        <w:t>2004 (1) SACR 198 (C) at 201b</w:t>
      </w:r>
      <w:r w:rsidR="00CC2B6F">
        <w:rPr>
          <w:rFonts w:ascii="Arial" w:hAnsi="Arial" w:cs="Arial"/>
          <w:lang w:val="en-ZA"/>
        </w:rPr>
        <w:t>.</w:t>
      </w:r>
    </w:p>
  </w:footnote>
  <w:footnote w:id="2">
    <w:p w14:paraId="61ED2784" w14:textId="13DC250E" w:rsidR="0044696C" w:rsidRPr="00EC351E" w:rsidRDefault="0044696C">
      <w:pPr>
        <w:pStyle w:val="FootnoteText"/>
        <w:rPr>
          <w:rFonts w:ascii="Arial" w:hAnsi="Arial" w:cs="Arial"/>
          <w:lang w:val="en-ZA"/>
        </w:rPr>
      </w:pPr>
      <w:r w:rsidRPr="00EC351E">
        <w:rPr>
          <w:rStyle w:val="FootnoteReference"/>
          <w:rFonts w:ascii="Arial" w:hAnsi="Arial" w:cs="Arial"/>
        </w:rPr>
        <w:footnoteRef/>
      </w:r>
      <w:r w:rsidR="004C158B" w:rsidRPr="00EC351E">
        <w:rPr>
          <w:rFonts w:ascii="Arial" w:hAnsi="Arial" w:cs="Arial"/>
          <w:i/>
        </w:rPr>
        <w:t>S v Classen</w:t>
      </w:r>
      <w:r w:rsidRPr="00EC351E">
        <w:rPr>
          <w:rFonts w:ascii="Arial" w:hAnsi="Arial" w:cs="Arial"/>
        </w:rPr>
        <w:t xml:space="preserve"> </w:t>
      </w:r>
      <w:r w:rsidR="00EC351E" w:rsidRPr="00EC351E">
        <w:rPr>
          <w:rFonts w:ascii="Arial" w:hAnsi="Arial" w:cs="Arial"/>
          <w:lang w:val="en-ZA"/>
        </w:rPr>
        <w:t>(CR 09/2022) [2022] NAHCMD 53 (</w:t>
      </w:r>
      <w:r w:rsidRPr="00EC351E">
        <w:rPr>
          <w:rFonts w:ascii="Arial" w:hAnsi="Arial" w:cs="Arial"/>
          <w:lang w:val="en-ZA"/>
        </w:rPr>
        <w:t>11 February 2022)</w:t>
      </w:r>
      <w:r w:rsidR="00EC351E" w:rsidRPr="00EC351E">
        <w:rPr>
          <w:rFonts w:ascii="Arial" w:hAnsi="Arial" w:cs="Arial"/>
          <w:lang w:val="en-ZA"/>
        </w:rPr>
        <w:t xml:space="preserve"> para</w:t>
      </w:r>
      <w:r w:rsidR="00EC351E">
        <w:rPr>
          <w:rFonts w:ascii="Arial" w:hAnsi="Arial" w:cs="Arial"/>
          <w:lang w:val="en-ZA"/>
        </w:rPr>
        <w:t>s</w:t>
      </w:r>
      <w:r w:rsidR="00EC351E" w:rsidRPr="00EC351E">
        <w:rPr>
          <w:rFonts w:ascii="Arial" w:hAnsi="Arial" w:cs="Arial"/>
          <w:lang w:val="en-ZA"/>
        </w:rPr>
        <w:t xml:space="preserve"> 6-</w:t>
      </w:r>
      <w:r w:rsidRPr="00EC351E">
        <w:rPr>
          <w:rFonts w:ascii="Arial" w:hAnsi="Arial" w:cs="Arial"/>
          <w:lang w:val="en-ZA"/>
        </w:rPr>
        <w:t>10</w:t>
      </w:r>
      <w:r w:rsidR="00EC351E" w:rsidRPr="00EC351E">
        <w:rPr>
          <w:rFonts w:ascii="Arial" w:hAnsi="Arial" w:cs="Arial"/>
          <w:lang w:val="en-Z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054577"/>
      <w:docPartObj>
        <w:docPartGallery w:val="Page Numbers (Top of Page)"/>
        <w:docPartUnique/>
      </w:docPartObj>
    </w:sdtPr>
    <w:sdtEndPr>
      <w:rPr>
        <w:rFonts w:ascii="Arial" w:hAnsi="Arial" w:cs="Arial"/>
        <w:noProof/>
        <w:sz w:val="24"/>
        <w:szCs w:val="24"/>
      </w:rPr>
    </w:sdtEndPr>
    <w:sdtContent>
      <w:p w14:paraId="3EEAEF58" w14:textId="77777777" w:rsidR="00C53E62" w:rsidRPr="00CC2B6F" w:rsidRDefault="00C53E62">
        <w:pPr>
          <w:pStyle w:val="Header"/>
          <w:jc w:val="right"/>
          <w:rPr>
            <w:rFonts w:ascii="Arial" w:hAnsi="Arial" w:cs="Arial"/>
            <w:sz w:val="24"/>
            <w:szCs w:val="24"/>
          </w:rPr>
        </w:pPr>
        <w:r w:rsidRPr="00CC2B6F">
          <w:rPr>
            <w:rFonts w:ascii="Arial" w:hAnsi="Arial" w:cs="Arial"/>
            <w:sz w:val="24"/>
            <w:szCs w:val="24"/>
          </w:rPr>
          <w:fldChar w:fldCharType="begin"/>
        </w:r>
        <w:r w:rsidRPr="00CC2B6F">
          <w:rPr>
            <w:rFonts w:ascii="Arial" w:hAnsi="Arial" w:cs="Arial"/>
            <w:sz w:val="24"/>
            <w:szCs w:val="24"/>
          </w:rPr>
          <w:instrText xml:space="preserve"> PAGE   \* MERGEFORMAT </w:instrText>
        </w:r>
        <w:r w:rsidRPr="00CC2B6F">
          <w:rPr>
            <w:rFonts w:ascii="Arial" w:hAnsi="Arial" w:cs="Arial"/>
            <w:sz w:val="24"/>
            <w:szCs w:val="24"/>
          </w:rPr>
          <w:fldChar w:fldCharType="separate"/>
        </w:r>
        <w:r w:rsidR="0088523B">
          <w:rPr>
            <w:rFonts w:ascii="Arial" w:hAnsi="Arial" w:cs="Arial"/>
            <w:noProof/>
            <w:sz w:val="24"/>
            <w:szCs w:val="24"/>
          </w:rPr>
          <w:t>2</w:t>
        </w:r>
        <w:r w:rsidRPr="00CC2B6F">
          <w:rPr>
            <w:rFonts w:ascii="Arial" w:hAnsi="Arial" w:cs="Arial"/>
            <w:noProof/>
            <w:sz w:val="24"/>
            <w:szCs w:val="24"/>
          </w:rPr>
          <w:fldChar w:fldCharType="end"/>
        </w:r>
      </w:p>
    </w:sdtContent>
  </w:sdt>
  <w:p w14:paraId="55ECE426" w14:textId="77777777" w:rsidR="00C53E62" w:rsidRDefault="00C53E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E0F25"/>
    <w:multiLevelType w:val="hybridMultilevel"/>
    <w:tmpl w:val="96E41BCC"/>
    <w:lvl w:ilvl="0" w:tplc="711A902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79D0BE7"/>
    <w:multiLevelType w:val="hybridMultilevel"/>
    <w:tmpl w:val="18865382"/>
    <w:lvl w:ilvl="0" w:tplc="DCFC4B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8B4B79"/>
    <w:multiLevelType w:val="hybridMultilevel"/>
    <w:tmpl w:val="43FC8724"/>
    <w:lvl w:ilvl="0" w:tplc="BDC2348A">
      <w:start w:val="1"/>
      <w:numFmt w:val="decimal"/>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7E86DF5"/>
    <w:multiLevelType w:val="hybridMultilevel"/>
    <w:tmpl w:val="3C0052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2B072E"/>
    <w:multiLevelType w:val="hybridMultilevel"/>
    <w:tmpl w:val="78781AFA"/>
    <w:lvl w:ilvl="0" w:tplc="F782019E">
      <w:start w:val="1"/>
      <w:numFmt w:val="decimal"/>
      <w:lvlText w:val="%1."/>
      <w:lvlJc w:val="left"/>
      <w:pPr>
        <w:ind w:left="1381" w:hanging="360"/>
      </w:pPr>
      <w:rPr>
        <w:rFonts w:hint="default"/>
      </w:rPr>
    </w:lvl>
    <w:lvl w:ilvl="1" w:tplc="1C090019" w:tentative="1">
      <w:start w:val="1"/>
      <w:numFmt w:val="lowerLetter"/>
      <w:lvlText w:val="%2."/>
      <w:lvlJc w:val="left"/>
      <w:pPr>
        <w:ind w:left="2101" w:hanging="360"/>
      </w:pPr>
    </w:lvl>
    <w:lvl w:ilvl="2" w:tplc="1C09001B" w:tentative="1">
      <w:start w:val="1"/>
      <w:numFmt w:val="lowerRoman"/>
      <w:lvlText w:val="%3."/>
      <w:lvlJc w:val="right"/>
      <w:pPr>
        <w:ind w:left="2821" w:hanging="180"/>
      </w:pPr>
    </w:lvl>
    <w:lvl w:ilvl="3" w:tplc="1C09000F" w:tentative="1">
      <w:start w:val="1"/>
      <w:numFmt w:val="decimal"/>
      <w:lvlText w:val="%4."/>
      <w:lvlJc w:val="left"/>
      <w:pPr>
        <w:ind w:left="3541" w:hanging="360"/>
      </w:pPr>
    </w:lvl>
    <w:lvl w:ilvl="4" w:tplc="1C090019" w:tentative="1">
      <w:start w:val="1"/>
      <w:numFmt w:val="lowerLetter"/>
      <w:lvlText w:val="%5."/>
      <w:lvlJc w:val="left"/>
      <w:pPr>
        <w:ind w:left="4261" w:hanging="360"/>
      </w:pPr>
    </w:lvl>
    <w:lvl w:ilvl="5" w:tplc="1C09001B" w:tentative="1">
      <w:start w:val="1"/>
      <w:numFmt w:val="lowerRoman"/>
      <w:lvlText w:val="%6."/>
      <w:lvlJc w:val="right"/>
      <w:pPr>
        <w:ind w:left="4981" w:hanging="180"/>
      </w:pPr>
    </w:lvl>
    <w:lvl w:ilvl="6" w:tplc="1C09000F" w:tentative="1">
      <w:start w:val="1"/>
      <w:numFmt w:val="decimal"/>
      <w:lvlText w:val="%7."/>
      <w:lvlJc w:val="left"/>
      <w:pPr>
        <w:ind w:left="5701" w:hanging="360"/>
      </w:pPr>
    </w:lvl>
    <w:lvl w:ilvl="7" w:tplc="1C090019" w:tentative="1">
      <w:start w:val="1"/>
      <w:numFmt w:val="lowerLetter"/>
      <w:lvlText w:val="%8."/>
      <w:lvlJc w:val="left"/>
      <w:pPr>
        <w:ind w:left="6421" w:hanging="360"/>
      </w:pPr>
    </w:lvl>
    <w:lvl w:ilvl="8" w:tplc="1C09001B" w:tentative="1">
      <w:start w:val="1"/>
      <w:numFmt w:val="lowerRoman"/>
      <w:lvlText w:val="%9."/>
      <w:lvlJc w:val="right"/>
      <w:pPr>
        <w:ind w:left="7141" w:hanging="180"/>
      </w:pPr>
    </w:lvl>
  </w:abstractNum>
  <w:abstractNum w:abstractNumId="5">
    <w:nsid w:val="406D4F66"/>
    <w:multiLevelType w:val="hybridMultilevel"/>
    <w:tmpl w:val="213C3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B3581D"/>
    <w:multiLevelType w:val="hybridMultilevel"/>
    <w:tmpl w:val="35E618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C73612"/>
    <w:multiLevelType w:val="hybridMultilevel"/>
    <w:tmpl w:val="213C3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D3123F8"/>
    <w:multiLevelType w:val="hybridMultilevel"/>
    <w:tmpl w:val="95160610"/>
    <w:lvl w:ilvl="0" w:tplc="8EC6DEA8">
      <w:start w:val="1"/>
      <w:numFmt w:val="lowerLetter"/>
      <w:lvlText w:val="(%1)"/>
      <w:lvlJc w:val="left"/>
      <w:pPr>
        <w:ind w:left="189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1FF62F9"/>
    <w:multiLevelType w:val="hybridMultilevel"/>
    <w:tmpl w:val="95160610"/>
    <w:lvl w:ilvl="0" w:tplc="8EC6DEA8">
      <w:start w:val="1"/>
      <w:numFmt w:val="lowerLetter"/>
      <w:lvlText w:val="(%1)"/>
      <w:lvlJc w:val="left"/>
      <w:pPr>
        <w:ind w:left="189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5ADF54D0"/>
    <w:multiLevelType w:val="hybridMultilevel"/>
    <w:tmpl w:val="B71E9AD4"/>
    <w:lvl w:ilvl="0" w:tplc="DCFC4B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5C09A1"/>
    <w:multiLevelType w:val="hybridMultilevel"/>
    <w:tmpl w:val="F93C1D8E"/>
    <w:lvl w:ilvl="0" w:tplc="BDC2348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620B08B7"/>
    <w:multiLevelType w:val="hybridMultilevel"/>
    <w:tmpl w:val="15222BB2"/>
    <w:lvl w:ilvl="0" w:tplc="F782019E">
      <w:start w:val="1"/>
      <w:numFmt w:val="decimal"/>
      <w:lvlText w:val="%1."/>
      <w:lvlJc w:val="left"/>
      <w:pPr>
        <w:ind w:left="2261" w:hanging="360"/>
      </w:pPr>
      <w:rPr>
        <w:rFonts w:hint="default"/>
      </w:rPr>
    </w:lvl>
    <w:lvl w:ilvl="1" w:tplc="1C090019" w:tentative="1">
      <w:start w:val="1"/>
      <w:numFmt w:val="lowerLetter"/>
      <w:lvlText w:val="%2."/>
      <w:lvlJc w:val="left"/>
      <w:pPr>
        <w:ind w:left="2320" w:hanging="360"/>
      </w:pPr>
    </w:lvl>
    <w:lvl w:ilvl="2" w:tplc="1C09001B" w:tentative="1">
      <w:start w:val="1"/>
      <w:numFmt w:val="lowerRoman"/>
      <w:lvlText w:val="%3."/>
      <w:lvlJc w:val="right"/>
      <w:pPr>
        <w:ind w:left="3040" w:hanging="180"/>
      </w:pPr>
    </w:lvl>
    <w:lvl w:ilvl="3" w:tplc="1C09000F" w:tentative="1">
      <w:start w:val="1"/>
      <w:numFmt w:val="decimal"/>
      <w:lvlText w:val="%4."/>
      <w:lvlJc w:val="left"/>
      <w:pPr>
        <w:ind w:left="3760" w:hanging="360"/>
      </w:pPr>
    </w:lvl>
    <w:lvl w:ilvl="4" w:tplc="1C090019" w:tentative="1">
      <w:start w:val="1"/>
      <w:numFmt w:val="lowerLetter"/>
      <w:lvlText w:val="%5."/>
      <w:lvlJc w:val="left"/>
      <w:pPr>
        <w:ind w:left="4480" w:hanging="360"/>
      </w:pPr>
    </w:lvl>
    <w:lvl w:ilvl="5" w:tplc="1C09001B" w:tentative="1">
      <w:start w:val="1"/>
      <w:numFmt w:val="lowerRoman"/>
      <w:lvlText w:val="%6."/>
      <w:lvlJc w:val="right"/>
      <w:pPr>
        <w:ind w:left="5200" w:hanging="180"/>
      </w:pPr>
    </w:lvl>
    <w:lvl w:ilvl="6" w:tplc="1C09000F" w:tentative="1">
      <w:start w:val="1"/>
      <w:numFmt w:val="decimal"/>
      <w:lvlText w:val="%7."/>
      <w:lvlJc w:val="left"/>
      <w:pPr>
        <w:ind w:left="5920" w:hanging="360"/>
      </w:pPr>
    </w:lvl>
    <w:lvl w:ilvl="7" w:tplc="1C090019" w:tentative="1">
      <w:start w:val="1"/>
      <w:numFmt w:val="lowerLetter"/>
      <w:lvlText w:val="%8."/>
      <w:lvlJc w:val="left"/>
      <w:pPr>
        <w:ind w:left="6640" w:hanging="360"/>
      </w:pPr>
    </w:lvl>
    <w:lvl w:ilvl="8" w:tplc="1C09001B" w:tentative="1">
      <w:start w:val="1"/>
      <w:numFmt w:val="lowerRoman"/>
      <w:lvlText w:val="%9."/>
      <w:lvlJc w:val="right"/>
      <w:pPr>
        <w:ind w:left="7360" w:hanging="180"/>
      </w:pPr>
    </w:lvl>
  </w:abstractNum>
  <w:abstractNum w:abstractNumId="13">
    <w:nsid w:val="633A6FFB"/>
    <w:multiLevelType w:val="hybridMultilevel"/>
    <w:tmpl w:val="3D36C3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3618C0"/>
    <w:multiLevelType w:val="hybridMultilevel"/>
    <w:tmpl w:val="CBD676A6"/>
    <w:lvl w:ilvl="0" w:tplc="F5624F1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6DC622DB"/>
    <w:multiLevelType w:val="hybridMultilevel"/>
    <w:tmpl w:val="DF08B98E"/>
    <w:lvl w:ilvl="0" w:tplc="1B6C6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9A6A37"/>
    <w:multiLevelType w:val="hybridMultilevel"/>
    <w:tmpl w:val="0F4EA6C6"/>
    <w:lvl w:ilvl="0" w:tplc="BDC2348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7E136EE6"/>
    <w:multiLevelType w:val="hybridMultilevel"/>
    <w:tmpl w:val="9202C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8"/>
  </w:num>
  <w:num w:numId="4">
    <w:abstractNumId w:val="15"/>
  </w:num>
  <w:num w:numId="5">
    <w:abstractNumId w:val="7"/>
  </w:num>
  <w:num w:numId="6">
    <w:abstractNumId w:val="5"/>
  </w:num>
  <w:num w:numId="7">
    <w:abstractNumId w:val="1"/>
  </w:num>
  <w:num w:numId="8">
    <w:abstractNumId w:val="11"/>
  </w:num>
  <w:num w:numId="9">
    <w:abstractNumId w:val="14"/>
  </w:num>
  <w:num w:numId="10">
    <w:abstractNumId w:val="4"/>
  </w:num>
  <w:num w:numId="11">
    <w:abstractNumId w:val="12"/>
  </w:num>
  <w:num w:numId="12">
    <w:abstractNumId w:val="16"/>
  </w:num>
  <w:num w:numId="13">
    <w:abstractNumId w:val="2"/>
  </w:num>
  <w:num w:numId="14">
    <w:abstractNumId w:val="3"/>
  </w:num>
  <w:num w:numId="15">
    <w:abstractNumId w:val="6"/>
  </w:num>
  <w:num w:numId="16">
    <w:abstractNumId w:val="10"/>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087"/>
    <w:rsid w:val="00002046"/>
    <w:rsid w:val="00017717"/>
    <w:rsid w:val="00025388"/>
    <w:rsid w:val="00033F71"/>
    <w:rsid w:val="00043F75"/>
    <w:rsid w:val="000755AB"/>
    <w:rsid w:val="000A4D36"/>
    <w:rsid w:val="000B10D4"/>
    <w:rsid w:val="000D0A84"/>
    <w:rsid w:val="000D0A9F"/>
    <w:rsid w:val="000F0278"/>
    <w:rsid w:val="000F1C25"/>
    <w:rsid w:val="000F24BF"/>
    <w:rsid w:val="00110F0C"/>
    <w:rsid w:val="00126C1B"/>
    <w:rsid w:val="00143BB9"/>
    <w:rsid w:val="00144488"/>
    <w:rsid w:val="001556A8"/>
    <w:rsid w:val="001621D1"/>
    <w:rsid w:val="00176A3A"/>
    <w:rsid w:val="001826C1"/>
    <w:rsid w:val="00185C7D"/>
    <w:rsid w:val="001905B0"/>
    <w:rsid w:val="001907C2"/>
    <w:rsid w:val="001C0CF0"/>
    <w:rsid w:val="001C10EF"/>
    <w:rsid w:val="001C3489"/>
    <w:rsid w:val="001C44EA"/>
    <w:rsid w:val="001C4A27"/>
    <w:rsid w:val="001C709F"/>
    <w:rsid w:val="001D5ACE"/>
    <w:rsid w:val="001E3DDB"/>
    <w:rsid w:val="0022611C"/>
    <w:rsid w:val="00227E61"/>
    <w:rsid w:val="00250D8F"/>
    <w:rsid w:val="002601F6"/>
    <w:rsid w:val="002666B0"/>
    <w:rsid w:val="00281994"/>
    <w:rsid w:val="002A7C5A"/>
    <w:rsid w:val="002C3E72"/>
    <w:rsid w:val="002C65F8"/>
    <w:rsid w:val="002D0F7A"/>
    <w:rsid w:val="002D2B73"/>
    <w:rsid w:val="002D66CD"/>
    <w:rsid w:val="002E39A6"/>
    <w:rsid w:val="003013C5"/>
    <w:rsid w:val="00341227"/>
    <w:rsid w:val="00342BB6"/>
    <w:rsid w:val="00343BA4"/>
    <w:rsid w:val="003545D5"/>
    <w:rsid w:val="003A044A"/>
    <w:rsid w:val="003A2F0C"/>
    <w:rsid w:val="003A6080"/>
    <w:rsid w:val="003C2D51"/>
    <w:rsid w:val="003D20CB"/>
    <w:rsid w:val="003F0A77"/>
    <w:rsid w:val="00402E3A"/>
    <w:rsid w:val="00410D1E"/>
    <w:rsid w:val="0041523B"/>
    <w:rsid w:val="00425316"/>
    <w:rsid w:val="004401F4"/>
    <w:rsid w:val="00442D03"/>
    <w:rsid w:val="004431E5"/>
    <w:rsid w:val="0044696C"/>
    <w:rsid w:val="00447655"/>
    <w:rsid w:val="00447ED7"/>
    <w:rsid w:val="00460129"/>
    <w:rsid w:val="0046127F"/>
    <w:rsid w:val="00482025"/>
    <w:rsid w:val="004864DD"/>
    <w:rsid w:val="0049173C"/>
    <w:rsid w:val="0049328E"/>
    <w:rsid w:val="00497A0E"/>
    <w:rsid w:val="004B6121"/>
    <w:rsid w:val="004C158B"/>
    <w:rsid w:val="004C2B6F"/>
    <w:rsid w:val="004E40C5"/>
    <w:rsid w:val="004E5E23"/>
    <w:rsid w:val="004E5ECB"/>
    <w:rsid w:val="004F2732"/>
    <w:rsid w:val="004F2B08"/>
    <w:rsid w:val="00517265"/>
    <w:rsid w:val="005227A9"/>
    <w:rsid w:val="00527948"/>
    <w:rsid w:val="00530484"/>
    <w:rsid w:val="00533948"/>
    <w:rsid w:val="00537FA1"/>
    <w:rsid w:val="005624E1"/>
    <w:rsid w:val="00566FDD"/>
    <w:rsid w:val="00592A2E"/>
    <w:rsid w:val="00595265"/>
    <w:rsid w:val="005E3A51"/>
    <w:rsid w:val="005F13E0"/>
    <w:rsid w:val="00600F37"/>
    <w:rsid w:val="00603EA8"/>
    <w:rsid w:val="00611501"/>
    <w:rsid w:val="00645241"/>
    <w:rsid w:val="00651B3A"/>
    <w:rsid w:val="006678CF"/>
    <w:rsid w:val="0068259B"/>
    <w:rsid w:val="006A128C"/>
    <w:rsid w:val="006B24D9"/>
    <w:rsid w:val="006C0E42"/>
    <w:rsid w:val="006C5B4C"/>
    <w:rsid w:val="006D0DE9"/>
    <w:rsid w:val="00707EC2"/>
    <w:rsid w:val="00721569"/>
    <w:rsid w:val="0074784E"/>
    <w:rsid w:val="0075048D"/>
    <w:rsid w:val="007A40D0"/>
    <w:rsid w:val="007B71C7"/>
    <w:rsid w:val="007C0E6B"/>
    <w:rsid w:val="007C3392"/>
    <w:rsid w:val="007D1A23"/>
    <w:rsid w:val="007F6543"/>
    <w:rsid w:val="008009B2"/>
    <w:rsid w:val="008208A6"/>
    <w:rsid w:val="008231D2"/>
    <w:rsid w:val="008238AC"/>
    <w:rsid w:val="008303FF"/>
    <w:rsid w:val="00863EFC"/>
    <w:rsid w:val="008812DE"/>
    <w:rsid w:val="0088523B"/>
    <w:rsid w:val="00885E6B"/>
    <w:rsid w:val="0089367F"/>
    <w:rsid w:val="008936F5"/>
    <w:rsid w:val="008B22BC"/>
    <w:rsid w:val="008D384E"/>
    <w:rsid w:val="00901858"/>
    <w:rsid w:val="00902C9E"/>
    <w:rsid w:val="00930DE1"/>
    <w:rsid w:val="0093570A"/>
    <w:rsid w:val="00935DCC"/>
    <w:rsid w:val="009725E8"/>
    <w:rsid w:val="00972C2D"/>
    <w:rsid w:val="00991E7E"/>
    <w:rsid w:val="00993F53"/>
    <w:rsid w:val="00995A97"/>
    <w:rsid w:val="009A422D"/>
    <w:rsid w:val="009C7AE2"/>
    <w:rsid w:val="009D5480"/>
    <w:rsid w:val="00A33B72"/>
    <w:rsid w:val="00A35B55"/>
    <w:rsid w:val="00A47C67"/>
    <w:rsid w:val="00A51F2D"/>
    <w:rsid w:val="00A52210"/>
    <w:rsid w:val="00A71C33"/>
    <w:rsid w:val="00A73ED9"/>
    <w:rsid w:val="00A85DD5"/>
    <w:rsid w:val="00A93FB8"/>
    <w:rsid w:val="00A94AE6"/>
    <w:rsid w:val="00AC1379"/>
    <w:rsid w:val="00AE30EF"/>
    <w:rsid w:val="00AE539F"/>
    <w:rsid w:val="00AE685C"/>
    <w:rsid w:val="00AE7087"/>
    <w:rsid w:val="00AF2E2B"/>
    <w:rsid w:val="00AF4F85"/>
    <w:rsid w:val="00AF73CE"/>
    <w:rsid w:val="00AF7AD4"/>
    <w:rsid w:val="00B13EE6"/>
    <w:rsid w:val="00B15531"/>
    <w:rsid w:val="00B15B15"/>
    <w:rsid w:val="00B6638D"/>
    <w:rsid w:val="00B668A6"/>
    <w:rsid w:val="00B72278"/>
    <w:rsid w:val="00B76264"/>
    <w:rsid w:val="00B873D1"/>
    <w:rsid w:val="00BA3FFE"/>
    <w:rsid w:val="00BC734E"/>
    <w:rsid w:val="00BD7975"/>
    <w:rsid w:val="00BF19D6"/>
    <w:rsid w:val="00C015A2"/>
    <w:rsid w:val="00C061E9"/>
    <w:rsid w:val="00C25B5F"/>
    <w:rsid w:val="00C262CA"/>
    <w:rsid w:val="00C319E7"/>
    <w:rsid w:val="00C51C46"/>
    <w:rsid w:val="00C53E62"/>
    <w:rsid w:val="00C54907"/>
    <w:rsid w:val="00C55A45"/>
    <w:rsid w:val="00C56F35"/>
    <w:rsid w:val="00C57430"/>
    <w:rsid w:val="00C64AD5"/>
    <w:rsid w:val="00C70A22"/>
    <w:rsid w:val="00C91EA5"/>
    <w:rsid w:val="00CC2B6F"/>
    <w:rsid w:val="00CC3204"/>
    <w:rsid w:val="00CC44D3"/>
    <w:rsid w:val="00CC4EFA"/>
    <w:rsid w:val="00CC52B1"/>
    <w:rsid w:val="00CD5140"/>
    <w:rsid w:val="00CF2EF9"/>
    <w:rsid w:val="00CF345A"/>
    <w:rsid w:val="00CF5AC6"/>
    <w:rsid w:val="00D3321A"/>
    <w:rsid w:val="00D35DE6"/>
    <w:rsid w:val="00D464C6"/>
    <w:rsid w:val="00D4699D"/>
    <w:rsid w:val="00D66AF3"/>
    <w:rsid w:val="00D70C45"/>
    <w:rsid w:val="00D87749"/>
    <w:rsid w:val="00D963C3"/>
    <w:rsid w:val="00D9681D"/>
    <w:rsid w:val="00DA51C9"/>
    <w:rsid w:val="00DC5DA3"/>
    <w:rsid w:val="00DC72C1"/>
    <w:rsid w:val="00DF4302"/>
    <w:rsid w:val="00DF535E"/>
    <w:rsid w:val="00E17C65"/>
    <w:rsid w:val="00E32057"/>
    <w:rsid w:val="00E3659D"/>
    <w:rsid w:val="00E45499"/>
    <w:rsid w:val="00E62BD7"/>
    <w:rsid w:val="00E63F06"/>
    <w:rsid w:val="00E67FA7"/>
    <w:rsid w:val="00EB0B8E"/>
    <w:rsid w:val="00EB5945"/>
    <w:rsid w:val="00EC0B9B"/>
    <w:rsid w:val="00EC351E"/>
    <w:rsid w:val="00EE3C68"/>
    <w:rsid w:val="00F001FC"/>
    <w:rsid w:val="00F0455D"/>
    <w:rsid w:val="00F0570B"/>
    <w:rsid w:val="00F124A0"/>
    <w:rsid w:val="00F225A6"/>
    <w:rsid w:val="00F31028"/>
    <w:rsid w:val="00F458CB"/>
    <w:rsid w:val="00F5587C"/>
    <w:rsid w:val="00F84FAA"/>
    <w:rsid w:val="00F90551"/>
    <w:rsid w:val="00FA020F"/>
    <w:rsid w:val="00FA2D8A"/>
    <w:rsid w:val="00FB0757"/>
    <w:rsid w:val="00FC6227"/>
    <w:rsid w:val="00FC7A68"/>
    <w:rsid w:val="00FC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3F460"/>
  <w15:docId w15:val="{BFF85730-16FA-4E9F-B91B-58B8E55FD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0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7087"/>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7087"/>
    <w:pPr>
      <w:ind w:left="720"/>
      <w:contextualSpacing/>
    </w:pPr>
  </w:style>
  <w:style w:type="paragraph" w:styleId="FootnoteText">
    <w:name w:val="footnote text"/>
    <w:basedOn w:val="Normal"/>
    <w:link w:val="FootnoteTextChar"/>
    <w:unhideWhenUsed/>
    <w:qFormat/>
    <w:rsid w:val="002A7C5A"/>
    <w:pPr>
      <w:spacing w:after="0" w:line="240" w:lineRule="auto"/>
    </w:pPr>
    <w:rPr>
      <w:sz w:val="20"/>
      <w:szCs w:val="20"/>
    </w:rPr>
  </w:style>
  <w:style w:type="character" w:customStyle="1" w:styleId="FootnoteTextChar">
    <w:name w:val="Footnote Text Char"/>
    <w:basedOn w:val="DefaultParagraphFont"/>
    <w:link w:val="FootnoteText"/>
    <w:rsid w:val="002A7C5A"/>
    <w:rPr>
      <w:sz w:val="20"/>
      <w:szCs w:val="20"/>
    </w:rPr>
  </w:style>
  <w:style w:type="character" w:styleId="FootnoteReference">
    <w:name w:val="footnote reference"/>
    <w:basedOn w:val="DefaultParagraphFont"/>
    <w:uiPriority w:val="99"/>
    <w:unhideWhenUsed/>
    <w:rsid w:val="002A7C5A"/>
    <w:rPr>
      <w:vertAlign w:val="superscript"/>
    </w:rPr>
  </w:style>
  <w:style w:type="paragraph" w:styleId="BalloonText">
    <w:name w:val="Balloon Text"/>
    <w:basedOn w:val="Normal"/>
    <w:link w:val="BalloonTextChar"/>
    <w:uiPriority w:val="99"/>
    <w:semiHidden/>
    <w:unhideWhenUsed/>
    <w:rsid w:val="007D1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A23"/>
    <w:rPr>
      <w:rFonts w:ascii="Segoe UI" w:hAnsi="Segoe UI" w:cs="Segoe UI"/>
      <w:sz w:val="18"/>
      <w:szCs w:val="18"/>
    </w:rPr>
  </w:style>
  <w:style w:type="table" w:customStyle="1" w:styleId="TableGrid1">
    <w:name w:val="Table Grid1"/>
    <w:basedOn w:val="TableNormal"/>
    <w:next w:val="TableGrid"/>
    <w:uiPriority w:val="39"/>
    <w:rsid w:val="00537FA1"/>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5D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DE6"/>
  </w:style>
  <w:style w:type="paragraph" w:styleId="Footer">
    <w:name w:val="footer"/>
    <w:basedOn w:val="Normal"/>
    <w:link w:val="FooterChar"/>
    <w:uiPriority w:val="99"/>
    <w:unhideWhenUsed/>
    <w:rsid w:val="00D35D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DE6"/>
  </w:style>
  <w:style w:type="paragraph" w:customStyle="1" w:styleId="AS-P1">
    <w:name w:val="AS-P(1)"/>
    <w:basedOn w:val="Normal"/>
    <w:link w:val="AS-P1Char"/>
    <w:qFormat/>
    <w:rsid w:val="00901858"/>
    <w:pPr>
      <w:suppressAutoHyphens/>
      <w:spacing w:after="0" w:line="240" w:lineRule="auto"/>
      <w:ind w:right="-7" w:firstLine="567"/>
      <w:jc w:val="both"/>
    </w:pPr>
    <w:rPr>
      <w:rFonts w:ascii="Times New Roman" w:eastAsia="Times New Roman" w:hAnsi="Times New Roman" w:cs="Times New Roman"/>
      <w:noProof/>
      <w:lang w:val="en-GB" w:eastAsia="en-GB"/>
    </w:rPr>
  </w:style>
  <w:style w:type="character" w:customStyle="1" w:styleId="AS-P1Char">
    <w:name w:val="AS-P(1) Char"/>
    <w:basedOn w:val="DefaultParagraphFont"/>
    <w:link w:val="AS-P1"/>
    <w:rsid w:val="00901858"/>
    <w:rPr>
      <w:rFonts w:ascii="Times New Roman" w:eastAsia="Times New Roman" w:hAnsi="Times New Roman" w:cs="Times New Roman"/>
      <w:noProof/>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2023-10-05T18:30:00+00:00</Judgment_x0020_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0A8E0-26B2-43EA-900D-C0B16D70D864}"/>
</file>

<file path=customXml/itemProps2.xml><?xml version="1.0" encoding="utf-8"?>
<ds:datastoreItem xmlns:ds="http://schemas.openxmlformats.org/officeDocument/2006/customXml" ds:itemID="{7DD624AB-24EC-499A-832A-341737252947}"/>
</file>

<file path=customXml/itemProps3.xml><?xml version="1.0" encoding="utf-8"?>
<ds:datastoreItem xmlns:ds="http://schemas.openxmlformats.org/officeDocument/2006/customXml" ds:itemID="{6E1DD569-CB5A-4588-9128-0B9AF03710B6}"/>
</file>

<file path=customXml/itemProps4.xml><?xml version="1.0" encoding="utf-8"?>
<ds:datastoreItem xmlns:ds="http://schemas.openxmlformats.org/officeDocument/2006/customXml" ds:itemID="{91C9ECB3-91C1-4C67-BBDA-9A8483299AE0}"/>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Swartbooi (CR 97-2023) [2023] NAHCMD 626 (6 October 2023)</dc:title>
  <dc:creator>Christie Liebenberg</dc:creator>
  <cp:lastModifiedBy>Prisca Nandu</cp:lastModifiedBy>
  <cp:revision>2</cp:revision>
  <cp:lastPrinted>2021-01-21T06:52:00Z</cp:lastPrinted>
  <dcterms:created xsi:type="dcterms:W3CDTF">2023-10-06T08:12:00Z</dcterms:created>
  <dcterms:modified xsi:type="dcterms:W3CDTF">2023-10-06T08:12:00Z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