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25" w:rsidRPr="00FA7F13" w:rsidRDefault="00177125" w:rsidP="00177125">
      <w:pPr>
        <w:spacing w:line="256" w:lineRule="auto"/>
        <w:jc w:val="center"/>
        <w:rPr>
          <w:rFonts w:ascii="Arial" w:hAnsi="Arial" w:cs="Arial"/>
          <w:b/>
          <w:sz w:val="24"/>
          <w:szCs w:val="24"/>
          <w:lang w:val="en-US"/>
        </w:rPr>
      </w:pPr>
      <w:r w:rsidRPr="00FA7F13">
        <w:rPr>
          <w:rFonts w:ascii="Arial" w:hAnsi="Arial" w:cs="Arial"/>
          <w:b/>
          <w:sz w:val="24"/>
          <w:szCs w:val="24"/>
          <w:lang w:val="en-US"/>
        </w:rPr>
        <w:t>REPUBLIC OF NAMIBIA</w:t>
      </w:r>
    </w:p>
    <w:p w:rsidR="00177125" w:rsidRPr="00FA7F13" w:rsidRDefault="00177125" w:rsidP="00177125">
      <w:pPr>
        <w:spacing w:line="256" w:lineRule="auto"/>
        <w:jc w:val="center"/>
        <w:rPr>
          <w:rFonts w:ascii="Arial" w:hAnsi="Arial" w:cs="Arial"/>
          <w:b/>
          <w:sz w:val="24"/>
          <w:szCs w:val="24"/>
          <w:lang w:val="en-US"/>
        </w:rPr>
      </w:pPr>
      <w:r w:rsidRPr="00FA7F13">
        <w:rPr>
          <w:rFonts w:ascii="Arial" w:hAnsi="Arial" w:cs="Arial"/>
          <w:b/>
          <w:noProof/>
          <w:sz w:val="24"/>
          <w:szCs w:val="24"/>
          <w:lang w:val="en-US"/>
        </w:rPr>
        <w:drawing>
          <wp:inline distT="0" distB="0" distL="0" distR="0" wp14:anchorId="240FDED2" wp14:editId="0FE3EB65">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177125" w:rsidRPr="00FA7F13" w:rsidRDefault="00177125" w:rsidP="00177125">
      <w:pPr>
        <w:spacing w:line="256" w:lineRule="auto"/>
        <w:jc w:val="center"/>
        <w:rPr>
          <w:rFonts w:ascii="Arial" w:hAnsi="Arial" w:cs="Arial"/>
          <w:b/>
          <w:sz w:val="24"/>
          <w:szCs w:val="24"/>
          <w:lang w:val="en-US"/>
        </w:rPr>
      </w:pPr>
      <w:r w:rsidRPr="00FA7F13">
        <w:rPr>
          <w:rFonts w:ascii="Arial" w:hAnsi="Arial" w:cs="Arial"/>
          <w:b/>
          <w:sz w:val="24"/>
          <w:szCs w:val="24"/>
          <w:lang w:val="en-US"/>
        </w:rPr>
        <w:t>IN THE HIGH COURT OF NAMIBIA, MAIN DIVISION, WINDHOEK</w:t>
      </w:r>
    </w:p>
    <w:p w:rsidR="00177125" w:rsidRPr="00FA7F13" w:rsidRDefault="00177125" w:rsidP="00177125">
      <w:pPr>
        <w:spacing w:line="256" w:lineRule="auto"/>
        <w:jc w:val="center"/>
        <w:rPr>
          <w:rFonts w:ascii="Arial" w:hAnsi="Arial" w:cs="Arial"/>
          <w:b/>
          <w:sz w:val="24"/>
          <w:szCs w:val="24"/>
          <w:lang w:val="en-US"/>
        </w:rPr>
      </w:pPr>
      <w:r w:rsidRPr="00FA7F13">
        <w:rPr>
          <w:rFonts w:ascii="Arial" w:hAnsi="Arial" w:cs="Arial"/>
          <w:b/>
          <w:sz w:val="24"/>
          <w:szCs w:val="24"/>
          <w:lang w:val="en-US"/>
        </w:rPr>
        <w:t>REVIEW JUDGMENT</w:t>
      </w:r>
    </w:p>
    <w:p w:rsidR="00177125" w:rsidRPr="00FA7F13" w:rsidRDefault="00177125" w:rsidP="00177125">
      <w:pPr>
        <w:spacing w:line="256" w:lineRule="auto"/>
        <w:jc w:val="center"/>
        <w:rPr>
          <w:rFonts w:ascii="Arial" w:hAnsi="Arial" w:cs="Arial"/>
          <w:b/>
          <w:sz w:val="24"/>
          <w:szCs w:val="24"/>
          <w:lang w:val="en-US"/>
        </w:rPr>
      </w:pPr>
    </w:p>
    <w:tbl>
      <w:tblPr>
        <w:tblStyle w:val="TableGrid"/>
        <w:tblW w:w="9923" w:type="dxa"/>
        <w:tblInd w:w="-147" w:type="dxa"/>
        <w:tblLook w:val="04A0" w:firstRow="1" w:lastRow="0" w:firstColumn="1" w:lastColumn="0" w:noHBand="0" w:noVBand="1"/>
      </w:tblPr>
      <w:tblGrid>
        <w:gridCol w:w="4655"/>
        <w:gridCol w:w="306"/>
        <w:gridCol w:w="4962"/>
      </w:tblGrid>
      <w:tr w:rsidR="00177125" w:rsidRPr="00FA7F13" w:rsidTr="00202377">
        <w:tc>
          <w:tcPr>
            <w:tcW w:w="4655" w:type="dxa"/>
            <w:vMerge w:val="restart"/>
            <w:tcBorders>
              <w:top w:val="single" w:sz="4" w:space="0" w:color="auto"/>
              <w:left w:val="single" w:sz="4" w:space="0" w:color="auto"/>
              <w:bottom w:val="single" w:sz="4" w:space="0" w:color="auto"/>
              <w:right w:val="single" w:sz="4" w:space="0" w:color="auto"/>
            </w:tcBorders>
            <w:hideMark/>
          </w:tcPr>
          <w:p w:rsidR="00177125" w:rsidRPr="00FA7F13" w:rsidRDefault="00177125" w:rsidP="00202377">
            <w:pPr>
              <w:spacing w:line="360" w:lineRule="auto"/>
              <w:jc w:val="both"/>
              <w:rPr>
                <w:rFonts w:ascii="Arial" w:hAnsi="Arial" w:cs="Arial"/>
                <w:b/>
                <w:sz w:val="24"/>
                <w:szCs w:val="24"/>
              </w:rPr>
            </w:pPr>
            <w:r w:rsidRPr="00FA7F13">
              <w:rPr>
                <w:rFonts w:ascii="Arial" w:hAnsi="Arial" w:cs="Arial"/>
                <w:b/>
                <w:sz w:val="24"/>
                <w:szCs w:val="24"/>
              </w:rPr>
              <w:t>Case Title:</w:t>
            </w:r>
          </w:p>
          <w:p w:rsidR="00177125" w:rsidRPr="001E0FD5" w:rsidRDefault="00177125" w:rsidP="00202377">
            <w:pPr>
              <w:spacing w:line="360" w:lineRule="auto"/>
              <w:jc w:val="both"/>
              <w:rPr>
                <w:rFonts w:ascii="Arial" w:hAnsi="Arial" w:cs="Arial"/>
                <w:sz w:val="24"/>
                <w:szCs w:val="24"/>
              </w:rPr>
            </w:pPr>
            <w:r w:rsidRPr="001E0FD5">
              <w:rPr>
                <w:rFonts w:ascii="Arial" w:hAnsi="Arial" w:cs="Arial"/>
                <w:sz w:val="24"/>
                <w:szCs w:val="24"/>
              </w:rPr>
              <w:t xml:space="preserve">The State </w:t>
            </w:r>
          </w:p>
          <w:p w:rsidR="00177125" w:rsidRPr="001E0FD5" w:rsidRDefault="00177125" w:rsidP="00202377">
            <w:pPr>
              <w:spacing w:line="360" w:lineRule="auto"/>
              <w:jc w:val="both"/>
              <w:rPr>
                <w:rFonts w:ascii="Arial" w:hAnsi="Arial" w:cs="Arial"/>
                <w:sz w:val="24"/>
                <w:szCs w:val="24"/>
              </w:rPr>
            </w:pPr>
            <w:r>
              <w:rPr>
                <w:rFonts w:ascii="Arial" w:hAnsi="Arial" w:cs="Arial"/>
                <w:sz w:val="24"/>
                <w:szCs w:val="24"/>
              </w:rPr>
              <w:t>v</w:t>
            </w:r>
          </w:p>
          <w:p w:rsidR="00177125" w:rsidRPr="00FA7F13" w:rsidRDefault="00BD3F65" w:rsidP="00202377">
            <w:pPr>
              <w:spacing w:line="360" w:lineRule="auto"/>
              <w:jc w:val="both"/>
              <w:rPr>
                <w:rFonts w:ascii="Arial" w:hAnsi="Arial" w:cs="Arial"/>
                <w:i/>
                <w:sz w:val="24"/>
                <w:szCs w:val="24"/>
              </w:rPr>
            </w:pPr>
            <w:r>
              <w:rPr>
                <w:rFonts w:ascii="Arial" w:hAnsi="Arial" w:cs="Arial"/>
                <w:sz w:val="24"/>
                <w:szCs w:val="24"/>
              </w:rPr>
              <w:t>Titus Jona</w:t>
            </w:r>
            <w:r w:rsidR="00A9091B">
              <w:rPr>
                <w:rFonts w:ascii="Arial" w:hAnsi="Arial" w:cs="Arial"/>
                <w:sz w:val="24"/>
                <w:szCs w:val="24"/>
              </w:rPr>
              <w:t>s</w:t>
            </w:r>
          </w:p>
        </w:tc>
        <w:tc>
          <w:tcPr>
            <w:tcW w:w="5268" w:type="dxa"/>
            <w:gridSpan w:val="2"/>
            <w:tcBorders>
              <w:top w:val="single" w:sz="4" w:space="0" w:color="auto"/>
              <w:left w:val="single" w:sz="4" w:space="0" w:color="auto"/>
              <w:bottom w:val="single" w:sz="4" w:space="0" w:color="auto"/>
              <w:right w:val="single" w:sz="4" w:space="0" w:color="auto"/>
            </w:tcBorders>
          </w:tcPr>
          <w:p w:rsidR="00177125" w:rsidRPr="00FA7F13" w:rsidRDefault="00177125" w:rsidP="00202377">
            <w:pPr>
              <w:spacing w:line="360" w:lineRule="auto"/>
              <w:ind w:left="2183" w:hanging="2126"/>
              <w:jc w:val="both"/>
              <w:rPr>
                <w:rFonts w:ascii="Arial" w:hAnsi="Arial" w:cs="Arial"/>
                <w:b/>
                <w:sz w:val="24"/>
                <w:szCs w:val="24"/>
              </w:rPr>
            </w:pPr>
            <w:r w:rsidRPr="00FA7F13">
              <w:rPr>
                <w:rFonts w:ascii="Arial" w:hAnsi="Arial" w:cs="Arial"/>
                <w:b/>
                <w:sz w:val="24"/>
                <w:szCs w:val="24"/>
              </w:rPr>
              <w:t>Case No:</w:t>
            </w:r>
            <w:r>
              <w:rPr>
                <w:rFonts w:ascii="Arial" w:hAnsi="Arial" w:cs="Arial"/>
                <w:b/>
                <w:sz w:val="24"/>
                <w:szCs w:val="24"/>
              </w:rPr>
              <w:t xml:space="preserve"> </w:t>
            </w:r>
            <w:r w:rsidR="00BD3F65">
              <w:rPr>
                <w:rFonts w:ascii="Arial" w:hAnsi="Arial" w:cs="Arial"/>
                <w:sz w:val="24"/>
                <w:szCs w:val="24"/>
              </w:rPr>
              <w:t>High Court Ref.</w:t>
            </w:r>
            <w:r w:rsidRPr="00035081">
              <w:rPr>
                <w:rFonts w:ascii="Arial" w:hAnsi="Arial" w:cs="Arial"/>
                <w:sz w:val="24"/>
                <w:szCs w:val="24"/>
              </w:rPr>
              <w:t xml:space="preserve"> No</w:t>
            </w:r>
            <w:r w:rsidRPr="00FA7F13">
              <w:rPr>
                <w:rFonts w:ascii="Arial" w:hAnsi="Arial" w:cs="Arial"/>
                <w:sz w:val="24"/>
                <w:szCs w:val="24"/>
              </w:rPr>
              <w:t>.</w:t>
            </w:r>
            <w:r>
              <w:rPr>
                <w:rFonts w:ascii="Arial" w:hAnsi="Arial" w:cs="Arial"/>
                <w:sz w:val="24"/>
                <w:szCs w:val="24"/>
              </w:rPr>
              <w:t>:</w:t>
            </w:r>
            <w:r w:rsidR="00BD3F65">
              <w:rPr>
                <w:rFonts w:ascii="Arial" w:hAnsi="Arial" w:cs="Arial"/>
                <w:sz w:val="24"/>
                <w:szCs w:val="24"/>
              </w:rPr>
              <w:t>1345/2023</w:t>
            </w:r>
          </w:p>
          <w:p w:rsidR="00177125" w:rsidRPr="00FA7F13" w:rsidRDefault="000C316F" w:rsidP="00202377">
            <w:pPr>
              <w:spacing w:line="360" w:lineRule="auto"/>
              <w:ind w:left="2183" w:hanging="2126"/>
              <w:jc w:val="both"/>
              <w:rPr>
                <w:rFonts w:ascii="Arial" w:hAnsi="Arial" w:cs="Arial"/>
                <w:sz w:val="24"/>
                <w:szCs w:val="24"/>
              </w:rPr>
            </w:pPr>
            <w:r>
              <w:rPr>
                <w:rFonts w:ascii="Arial" w:hAnsi="Arial" w:cs="Arial"/>
                <w:sz w:val="24"/>
                <w:szCs w:val="24"/>
              </w:rPr>
              <w:t>CR 100</w:t>
            </w:r>
            <w:r w:rsidR="00177125">
              <w:rPr>
                <w:rFonts w:ascii="Arial" w:hAnsi="Arial" w:cs="Arial"/>
                <w:sz w:val="24"/>
                <w:szCs w:val="24"/>
              </w:rPr>
              <w:t>/2023</w:t>
            </w:r>
          </w:p>
          <w:p w:rsidR="00177125" w:rsidRPr="00FA7F13" w:rsidRDefault="00177125" w:rsidP="00202377">
            <w:pPr>
              <w:spacing w:line="360" w:lineRule="auto"/>
              <w:jc w:val="both"/>
              <w:rPr>
                <w:rFonts w:ascii="Arial" w:hAnsi="Arial" w:cs="Arial"/>
                <w:sz w:val="24"/>
                <w:szCs w:val="24"/>
              </w:rPr>
            </w:pPr>
          </w:p>
        </w:tc>
      </w:tr>
      <w:tr w:rsidR="00177125" w:rsidRPr="00FA7F13" w:rsidTr="00202377">
        <w:tc>
          <w:tcPr>
            <w:tcW w:w="0" w:type="auto"/>
            <w:vMerge/>
            <w:tcBorders>
              <w:top w:val="single" w:sz="4" w:space="0" w:color="auto"/>
              <w:left w:val="single" w:sz="4" w:space="0" w:color="auto"/>
              <w:bottom w:val="single" w:sz="4" w:space="0" w:color="auto"/>
              <w:right w:val="single" w:sz="4" w:space="0" w:color="auto"/>
            </w:tcBorders>
            <w:vAlign w:val="center"/>
            <w:hideMark/>
          </w:tcPr>
          <w:p w:rsidR="00177125" w:rsidRPr="00FA7F13" w:rsidRDefault="00177125" w:rsidP="00202377">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177125" w:rsidRPr="00FA7F13" w:rsidRDefault="00177125" w:rsidP="00202377">
            <w:pPr>
              <w:spacing w:line="360" w:lineRule="auto"/>
              <w:jc w:val="both"/>
              <w:rPr>
                <w:rFonts w:ascii="Arial" w:hAnsi="Arial" w:cs="Arial"/>
                <w:b/>
                <w:sz w:val="24"/>
                <w:szCs w:val="24"/>
              </w:rPr>
            </w:pPr>
            <w:r w:rsidRPr="00FA7F13">
              <w:rPr>
                <w:rFonts w:ascii="Arial" w:hAnsi="Arial" w:cs="Arial"/>
                <w:b/>
                <w:sz w:val="24"/>
                <w:szCs w:val="24"/>
              </w:rPr>
              <w:t xml:space="preserve">Division of Court: High Court </w:t>
            </w:r>
          </w:p>
          <w:p w:rsidR="00177125" w:rsidRPr="00FA7F13" w:rsidRDefault="00177125" w:rsidP="00202377">
            <w:pPr>
              <w:spacing w:line="360" w:lineRule="auto"/>
              <w:jc w:val="both"/>
              <w:rPr>
                <w:rFonts w:ascii="Arial" w:hAnsi="Arial" w:cs="Arial"/>
                <w:sz w:val="24"/>
                <w:szCs w:val="24"/>
              </w:rPr>
            </w:pPr>
            <w:r w:rsidRPr="00FA7F13">
              <w:rPr>
                <w:rFonts w:ascii="Arial" w:hAnsi="Arial" w:cs="Arial"/>
                <w:sz w:val="24"/>
                <w:szCs w:val="24"/>
              </w:rPr>
              <w:t>Main Division</w:t>
            </w:r>
          </w:p>
        </w:tc>
      </w:tr>
      <w:tr w:rsidR="00177125" w:rsidRPr="00FA7F13" w:rsidTr="00202377">
        <w:tc>
          <w:tcPr>
            <w:tcW w:w="4655" w:type="dxa"/>
            <w:tcBorders>
              <w:top w:val="single" w:sz="4" w:space="0" w:color="auto"/>
              <w:left w:val="single" w:sz="4" w:space="0" w:color="auto"/>
              <w:bottom w:val="single" w:sz="4" w:space="0" w:color="auto"/>
              <w:right w:val="single" w:sz="4" w:space="0" w:color="auto"/>
            </w:tcBorders>
          </w:tcPr>
          <w:p w:rsidR="00177125" w:rsidRDefault="00177125" w:rsidP="00202377">
            <w:pPr>
              <w:spacing w:line="360" w:lineRule="auto"/>
              <w:jc w:val="both"/>
              <w:rPr>
                <w:rFonts w:ascii="Arial" w:hAnsi="Arial" w:cs="Arial"/>
                <w:b/>
                <w:sz w:val="24"/>
                <w:szCs w:val="24"/>
              </w:rPr>
            </w:pPr>
            <w:r w:rsidRPr="00FA7F13">
              <w:rPr>
                <w:rFonts w:ascii="Arial" w:hAnsi="Arial" w:cs="Arial"/>
                <w:b/>
                <w:sz w:val="24"/>
                <w:szCs w:val="24"/>
              </w:rPr>
              <w:t xml:space="preserve">Heard before:  </w:t>
            </w:r>
          </w:p>
          <w:p w:rsidR="00E61C71" w:rsidRPr="00E06E2A" w:rsidRDefault="00E61C71" w:rsidP="00E61C71">
            <w:pPr>
              <w:spacing w:line="360" w:lineRule="auto"/>
              <w:jc w:val="both"/>
              <w:rPr>
                <w:rFonts w:ascii="Arial" w:eastAsia="Calibri" w:hAnsi="Arial" w:cs="Arial"/>
                <w:sz w:val="24"/>
                <w:szCs w:val="24"/>
              </w:rPr>
            </w:pPr>
            <w:r>
              <w:rPr>
                <w:rFonts w:ascii="Arial" w:eastAsia="Calibri" w:hAnsi="Arial" w:cs="Arial"/>
                <w:sz w:val="24"/>
                <w:szCs w:val="24"/>
              </w:rPr>
              <w:t xml:space="preserve">Honourable </w:t>
            </w:r>
            <w:r w:rsidR="004C41D8">
              <w:rPr>
                <w:rFonts w:ascii="Arial" w:eastAsia="Calibri" w:hAnsi="Arial" w:cs="Arial"/>
                <w:sz w:val="24"/>
                <w:szCs w:val="24"/>
              </w:rPr>
              <w:t>Justice Liebenberg</w:t>
            </w:r>
          </w:p>
          <w:p w:rsidR="00177125" w:rsidRPr="00E06E2A" w:rsidRDefault="00177125" w:rsidP="00202377">
            <w:pPr>
              <w:spacing w:line="360" w:lineRule="auto"/>
              <w:jc w:val="both"/>
              <w:rPr>
                <w:rFonts w:ascii="Arial" w:eastAsia="Calibri" w:hAnsi="Arial" w:cs="Arial"/>
                <w:sz w:val="24"/>
                <w:szCs w:val="24"/>
              </w:rPr>
            </w:pPr>
            <w:r w:rsidRPr="00E06E2A">
              <w:rPr>
                <w:rFonts w:ascii="Arial" w:eastAsia="Calibri" w:hAnsi="Arial" w:cs="Arial"/>
                <w:i/>
                <w:sz w:val="24"/>
                <w:szCs w:val="24"/>
              </w:rPr>
              <w:t>et</w:t>
            </w:r>
          </w:p>
          <w:p w:rsidR="00E61C71" w:rsidRPr="00FA7F13" w:rsidRDefault="00E61C71" w:rsidP="00E61C71">
            <w:pPr>
              <w:spacing w:line="360" w:lineRule="auto"/>
              <w:jc w:val="both"/>
              <w:rPr>
                <w:rFonts w:ascii="Arial" w:hAnsi="Arial" w:cs="Arial"/>
                <w:b/>
                <w:sz w:val="24"/>
                <w:szCs w:val="24"/>
              </w:rPr>
            </w:pPr>
            <w:r>
              <w:rPr>
                <w:rFonts w:ascii="Arial" w:eastAsia="Calibri" w:hAnsi="Arial" w:cs="Arial"/>
                <w:sz w:val="24"/>
                <w:szCs w:val="24"/>
              </w:rPr>
              <w:t>Ho</w:t>
            </w:r>
            <w:r w:rsidR="00583371">
              <w:rPr>
                <w:rFonts w:ascii="Arial" w:eastAsia="Calibri" w:hAnsi="Arial" w:cs="Arial"/>
                <w:sz w:val="24"/>
                <w:szCs w:val="24"/>
              </w:rPr>
              <w:t xml:space="preserve">nourable </w:t>
            </w:r>
            <w:r w:rsidR="004C41D8">
              <w:rPr>
                <w:rFonts w:ascii="Arial" w:eastAsia="Calibri" w:hAnsi="Arial" w:cs="Arial"/>
                <w:sz w:val="24"/>
                <w:szCs w:val="24"/>
              </w:rPr>
              <w:t xml:space="preserve">Lady </w:t>
            </w:r>
            <w:proofErr w:type="spellStart"/>
            <w:r w:rsidR="004C41D8">
              <w:rPr>
                <w:rFonts w:ascii="Arial" w:eastAsia="Calibri" w:hAnsi="Arial" w:cs="Arial"/>
                <w:sz w:val="24"/>
                <w:szCs w:val="24"/>
              </w:rPr>
              <w:t>Shivute</w:t>
            </w:r>
            <w:proofErr w:type="spellEnd"/>
          </w:p>
          <w:p w:rsidR="00177125" w:rsidRPr="00FA7F13" w:rsidRDefault="00177125" w:rsidP="00E61C71">
            <w:pPr>
              <w:spacing w:line="360" w:lineRule="auto"/>
              <w:jc w:val="both"/>
              <w:rPr>
                <w:rFonts w:ascii="Arial" w:hAnsi="Arial" w:cs="Arial"/>
                <w:b/>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177125" w:rsidRPr="00FA7F13" w:rsidRDefault="00177125" w:rsidP="00202377">
            <w:pPr>
              <w:spacing w:line="360" w:lineRule="auto"/>
              <w:jc w:val="both"/>
              <w:rPr>
                <w:rFonts w:ascii="Arial" w:hAnsi="Arial" w:cs="Arial"/>
                <w:b/>
                <w:sz w:val="24"/>
                <w:szCs w:val="24"/>
              </w:rPr>
            </w:pPr>
            <w:r w:rsidRPr="00FA7F13">
              <w:rPr>
                <w:rFonts w:ascii="Arial" w:hAnsi="Arial" w:cs="Arial"/>
                <w:b/>
                <w:sz w:val="24"/>
                <w:szCs w:val="24"/>
              </w:rPr>
              <w:t xml:space="preserve">Delivered on:  </w:t>
            </w:r>
          </w:p>
          <w:p w:rsidR="00177125" w:rsidRPr="00E06E2A" w:rsidRDefault="00177125" w:rsidP="00202377">
            <w:pPr>
              <w:spacing w:line="360" w:lineRule="auto"/>
              <w:jc w:val="both"/>
              <w:rPr>
                <w:rFonts w:ascii="Arial" w:eastAsia="Calibri" w:hAnsi="Arial" w:cs="Arial"/>
                <w:sz w:val="24"/>
                <w:szCs w:val="24"/>
              </w:rPr>
            </w:pPr>
            <w:r>
              <w:rPr>
                <w:rFonts w:ascii="Arial" w:eastAsia="Calibri" w:hAnsi="Arial" w:cs="Arial"/>
                <w:sz w:val="24"/>
                <w:szCs w:val="24"/>
              </w:rPr>
              <w:t xml:space="preserve"> </w:t>
            </w:r>
            <w:r w:rsidR="000C316F">
              <w:rPr>
                <w:rFonts w:ascii="Arial" w:eastAsia="Calibri" w:hAnsi="Arial" w:cs="Arial"/>
                <w:sz w:val="24"/>
                <w:szCs w:val="24"/>
              </w:rPr>
              <w:t xml:space="preserve">12 </w:t>
            </w:r>
            <w:r>
              <w:rPr>
                <w:rFonts w:ascii="Arial" w:eastAsia="Calibri" w:hAnsi="Arial" w:cs="Arial"/>
                <w:sz w:val="24"/>
                <w:szCs w:val="24"/>
              </w:rPr>
              <w:t>October 2023</w:t>
            </w:r>
          </w:p>
          <w:p w:rsidR="00177125" w:rsidRPr="00FA7F13" w:rsidRDefault="00177125" w:rsidP="00202377">
            <w:pPr>
              <w:spacing w:line="360" w:lineRule="auto"/>
              <w:jc w:val="both"/>
              <w:rPr>
                <w:rFonts w:ascii="Arial" w:hAnsi="Arial" w:cs="Arial"/>
                <w:sz w:val="24"/>
                <w:szCs w:val="24"/>
              </w:rPr>
            </w:pPr>
          </w:p>
        </w:tc>
      </w:tr>
      <w:tr w:rsidR="00177125" w:rsidRPr="00FA7F13" w:rsidTr="00202377">
        <w:tc>
          <w:tcPr>
            <w:tcW w:w="9923" w:type="dxa"/>
            <w:gridSpan w:val="3"/>
            <w:tcBorders>
              <w:top w:val="single" w:sz="4" w:space="0" w:color="auto"/>
              <w:left w:val="single" w:sz="4" w:space="0" w:color="auto"/>
              <w:bottom w:val="single" w:sz="4" w:space="0" w:color="auto"/>
              <w:right w:val="single" w:sz="4" w:space="0" w:color="auto"/>
            </w:tcBorders>
          </w:tcPr>
          <w:p w:rsidR="00177125" w:rsidRPr="00FA7F13" w:rsidRDefault="00177125" w:rsidP="00202377">
            <w:pPr>
              <w:spacing w:line="360" w:lineRule="auto"/>
              <w:jc w:val="both"/>
              <w:rPr>
                <w:rFonts w:ascii="Arial" w:eastAsia="Calibri" w:hAnsi="Arial" w:cs="Arial"/>
                <w:sz w:val="24"/>
                <w:szCs w:val="24"/>
              </w:rPr>
            </w:pPr>
            <w:r w:rsidRPr="00FA7F13">
              <w:rPr>
                <w:rFonts w:ascii="Arial" w:hAnsi="Arial" w:cs="Arial"/>
                <w:b/>
                <w:sz w:val="24"/>
                <w:szCs w:val="24"/>
              </w:rPr>
              <w:t xml:space="preserve">Neutral citation: </w:t>
            </w:r>
            <w:r w:rsidRPr="00FA7F13">
              <w:rPr>
                <w:rFonts w:ascii="Arial" w:hAnsi="Arial" w:cs="Arial"/>
                <w:i/>
                <w:sz w:val="24"/>
                <w:szCs w:val="24"/>
              </w:rPr>
              <w:t xml:space="preserve">S v </w:t>
            </w:r>
            <w:r w:rsidR="00BD3F65">
              <w:rPr>
                <w:rFonts w:ascii="Arial" w:hAnsi="Arial" w:cs="Arial"/>
                <w:i/>
                <w:sz w:val="24"/>
                <w:szCs w:val="24"/>
              </w:rPr>
              <w:t>Jona</w:t>
            </w:r>
            <w:r w:rsidR="00791431">
              <w:rPr>
                <w:rFonts w:ascii="Arial" w:hAnsi="Arial" w:cs="Arial"/>
                <w:i/>
                <w:sz w:val="24"/>
                <w:szCs w:val="24"/>
              </w:rPr>
              <w:t>s</w:t>
            </w:r>
            <w:r w:rsidRPr="00FA7F13">
              <w:rPr>
                <w:rFonts w:ascii="Arial" w:hAnsi="Arial" w:cs="Arial"/>
                <w:i/>
                <w:sz w:val="24"/>
                <w:szCs w:val="24"/>
              </w:rPr>
              <w:t xml:space="preserve"> </w:t>
            </w:r>
            <w:r w:rsidRPr="00FA7F13">
              <w:rPr>
                <w:rFonts w:ascii="Arial" w:hAnsi="Arial" w:cs="Arial"/>
                <w:sz w:val="24"/>
                <w:szCs w:val="24"/>
              </w:rPr>
              <w:t xml:space="preserve">(CR </w:t>
            </w:r>
            <w:r w:rsidR="000C316F">
              <w:rPr>
                <w:rFonts w:ascii="Arial" w:hAnsi="Arial" w:cs="Arial"/>
                <w:sz w:val="24"/>
                <w:szCs w:val="24"/>
              </w:rPr>
              <w:t>100</w:t>
            </w:r>
            <w:r>
              <w:rPr>
                <w:rFonts w:ascii="Arial" w:hAnsi="Arial" w:cs="Arial"/>
                <w:sz w:val="24"/>
                <w:szCs w:val="24"/>
              </w:rPr>
              <w:t>/2023) [2023</w:t>
            </w:r>
            <w:r w:rsidRPr="00FA7F13">
              <w:rPr>
                <w:rFonts w:ascii="Arial" w:hAnsi="Arial" w:cs="Arial"/>
                <w:sz w:val="24"/>
                <w:szCs w:val="24"/>
              </w:rPr>
              <w:t xml:space="preserve">] NAHCMD </w:t>
            </w:r>
            <w:r w:rsidR="00536AF5">
              <w:rPr>
                <w:rFonts w:ascii="Arial" w:hAnsi="Arial" w:cs="Arial"/>
                <w:sz w:val="24"/>
                <w:szCs w:val="24"/>
              </w:rPr>
              <w:t xml:space="preserve">642 </w:t>
            </w:r>
            <w:bookmarkStart w:id="0" w:name="_GoBack"/>
            <w:bookmarkEnd w:id="0"/>
            <w:r w:rsidR="00BD3F65">
              <w:rPr>
                <w:rFonts w:ascii="Arial" w:hAnsi="Arial" w:cs="Arial"/>
                <w:sz w:val="24"/>
                <w:szCs w:val="24"/>
              </w:rPr>
              <w:t>(</w:t>
            </w:r>
            <w:r>
              <w:rPr>
                <w:rFonts w:ascii="Arial" w:hAnsi="Arial" w:cs="Arial"/>
                <w:sz w:val="24"/>
                <w:szCs w:val="24"/>
              </w:rPr>
              <w:t xml:space="preserve"> </w:t>
            </w:r>
            <w:r w:rsidR="000C316F">
              <w:rPr>
                <w:rFonts w:ascii="Arial" w:hAnsi="Arial" w:cs="Arial"/>
                <w:sz w:val="24"/>
                <w:szCs w:val="24"/>
              </w:rPr>
              <w:t xml:space="preserve">12 </w:t>
            </w:r>
            <w:r>
              <w:rPr>
                <w:rFonts w:ascii="Arial" w:hAnsi="Arial" w:cs="Arial"/>
                <w:sz w:val="24"/>
                <w:szCs w:val="24"/>
              </w:rPr>
              <w:t>October</w:t>
            </w:r>
            <w:r w:rsidR="001D7A4D">
              <w:rPr>
                <w:rFonts w:ascii="Arial" w:hAnsi="Arial" w:cs="Arial"/>
                <w:sz w:val="24"/>
                <w:szCs w:val="24"/>
              </w:rPr>
              <w:t xml:space="preserve"> </w:t>
            </w:r>
            <w:r>
              <w:rPr>
                <w:rFonts w:ascii="Arial" w:hAnsi="Arial" w:cs="Arial"/>
                <w:sz w:val="24"/>
                <w:szCs w:val="24"/>
              </w:rPr>
              <w:t>2023</w:t>
            </w:r>
            <w:r w:rsidRPr="00FA7F13">
              <w:rPr>
                <w:rFonts w:ascii="Arial" w:hAnsi="Arial" w:cs="Arial"/>
                <w:sz w:val="24"/>
                <w:szCs w:val="24"/>
              </w:rPr>
              <w:t>)</w:t>
            </w:r>
          </w:p>
          <w:p w:rsidR="00177125" w:rsidRPr="00FA7F13" w:rsidRDefault="00177125" w:rsidP="00202377">
            <w:pPr>
              <w:spacing w:line="360" w:lineRule="auto"/>
              <w:jc w:val="both"/>
              <w:rPr>
                <w:rFonts w:ascii="Arial" w:hAnsi="Arial" w:cs="Arial"/>
                <w:sz w:val="24"/>
                <w:szCs w:val="24"/>
              </w:rPr>
            </w:pPr>
          </w:p>
        </w:tc>
      </w:tr>
      <w:tr w:rsidR="00177125" w:rsidRPr="00FA7F13" w:rsidTr="00FA781A">
        <w:tc>
          <w:tcPr>
            <w:tcW w:w="9923" w:type="dxa"/>
            <w:gridSpan w:val="3"/>
            <w:tcBorders>
              <w:top w:val="single" w:sz="4" w:space="0" w:color="auto"/>
              <w:left w:val="single" w:sz="4" w:space="0" w:color="auto"/>
              <w:bottom w:val="single" w:sz="4" w:space="0" w:color="auto"/>
              <w:right w:val="single" w:sz="4" w:space="0" w:color="auto"/>
            </w:tcBorders>
          </w:tcPr>
          <w:p w:rsidR="00177125" w:rsidRDefault="00177125" w:rsidP="00583371">
            <w:pPr>
              <w:spacing w:line="360" w:lineRule="auto"/>
              <w:jc w:val="both"/>
              <w:rPr>
                <w:rFonts w:ascii="Arial" w:hAnsi="Arial" w:cs="Arial"/>
                <w:b/>
                <w:sz w:val="24"/>
                <w:szCs w:val="24"/>
              </w:rPr>
            </w:pPr>
            <w:r>
              <w:rPr>
                <w:rFonts w:ascii="Arial" w:hAnsi="Arial" w:cs="Arial"/>
                <w:b/>
                <w:sz w:val="24"/>
                <w:szCs w:val="24"/>
              </w:rPr>
              <w:t>O</w:t>
            </w:r>
            <w:r w:rsidRPr="00FA7F13">
              <w:rPr>
                <w:rFonts w:ascii="Arial" w:hAnsi="Arial" w:cs="Arial"/>
                <w:b/>
                <w:sz w:val="24"/>
                <w:szCs w:val="24"/>
              </w:rPr>
              <w:t xml:space="preserve">rder: </w:t>
            </w:r>
          </w:p>
          <w:p w:rsidR="00583371" w:rsidRPr="00791431" w:rsidRDefault="00583371" w:rsidP="00791431">
            <w:pPr>
              <w:pStyle w:val="ListParagraph"/>
              <w:numPr>
                <w:ilvl w:val="0"/>
                <w:numId w:val="7"/>
              </w:numPr>
              <w:spacing w:line="360" w:lineRule="auto"/>
              <w:jc w:val="both"/>
              <w:rPr>
                <w:rFonts w:ascii="Arial" w:hAnsi="Arial" w:cs="Arial"/>
                <w:sz w:val="24"/>
                <w:szCs w:val="24"/>
              </w:rPr>
            </w:pPr>
            <w:r w:rsidRPr="00791431">
              <w:rPr>
                <w:rFonts w:ascii="Arial" w:hAnsi="Arial" w:cs="Arial"/>
                <w:sz w:val="24"/>
                <w:szCs w:val="24"/>
              </w:rPr>
              <w:t xml:space="preserve">The </w:t>
            </w:r>
            <w:r w:rsidR="001D7A4D">
              <w:rPr>
                <w:rFonts w:ascii="Arial" w:hAnsi="Arial" w:cs="Arial"/>
                <w:sz w:val="24"/>
                <w:szCs w:val="24"/>
              </w:rPr>
              <w:t>conviction and sentence on the first</w:t>
            </w:r>
            <w:r w:rsidR="00BD72A1">
              <w:rPr>
                <w:rFonts w:ascii="Arial" w:hAnsi="Arial" w:cs="Arial"/>
                <w:sz w:val="24"/>
                <w:szCs w:val="24"/>
              </w:rPr>
              <w:t xml:space="preserve"> alternative cou</w:t>
            </w:r>
            <w:r w:rsidRPr="00791431">
              <w:rPr>
                <w:rFonts w:ascii="Arial" w:hAnsi="Arial" w:cs="Arial"/>
                <w:sz w:val="24"/>
                <w:szCs w:val="24"/>
              </w:rPr>
              <w:t>nt are confirmed.</w:t>
            </w:r>
          </w:p>
          <w:p w:rsidR="00583371" w:rsidRPr="00583371" w:rsidRDefault="00583371" w:rsidP="00583371">
            <w:pPr>
              <w:pStyle w:val="ListParagraph"/>
              <w:numPr>
                <w:ilvl w:val="0"/>
                <w:numId w:val="7"/>
              </w:numPr>
              <w:spacing w:line="360" w:lineRule="auto"/>
              <w:jc w:val="both"/>
              <w:rPr>
                <w:rFonts w:ascii="Arial" w:hAnsi="Arial" w:cs="Arial"/>
                <w:sz w:val="24"/>
                <w:szCs w:val="24"/>
              </w:rPr>
            </w:pPr>
            <w:r w:rsidRPr="00583371">
              <w:rPr>
                <w:rFonts w:ascii="Arial" w:hAnsi="Arial" w:cs="Arial"/>
                <w:sz w:val="24"/>
                <w:szCs w:val="24"/>
              </w:rPr>
              <w:t xml:space="preserve">The </w:t>
            </w:r>
            <w:r w:rsidR="001D7A4D">
              <w:rPr>
                <w:rFonts w:ascii="Arial" w:hAnsi="Arial" w:cs="Arial"/>
                <w:sz w:val="24"/>
                <w:szCs w:val="24"/>
              </w:rPr>
              <w:t>conviction and sentence on the second</w:t>
            </w:r>
            <w:r w:rsidRPr="00583371">
              <w:rPr>
                <w:rFonts w:ascii="Arial" w:hAnsi="Arial" w:cs="Arial"/>
                <w:sz w:val="24"/>
                <w:szCs w:val="24"/>
              </w:rPr>
              <w:t xml:space="preserve"> count are set aside.</w:t>
            </w:r>
          </w:p>
          <w:p w:rsidR="00177125" w:rsidRPr="00FA7F13" w:rsidRDefault="00177125" w:rsidP="00202377">
            <w:pPr>
              <w:spacing w:line="360" w:lineRule="auto"/>
              <w:ind w:left="360"/>
              <w:jc w:val="both"/>
              <w:rPr>
                <w:rFonts w:ascii="Arial" w:hAnsi="Arial" w:cs="Arial"/>
                <w:sz w:val="24"/>
                <w:szCs w:val="24"/>
              </w:rPr>
            </w:pPr>
          </w:p>
        </w:tc>
      </w:tr>
      <w:tr w:rsidR="009C5F3D" w:rsidRPr="00FA7F13" w:rsidTr="00DA156E">
        <w:tc>
          <w:tcPr>
            <w:tcW w:w="9923" w:type="dxa"/>
            <w:gridSpan w:val="3"/>
            <w:tcBorders>
              <w:top w:val="single" w:sz="4" w:space="0" w:color="auto"/>
              <w:left w:val="single" w:sz="4" w:space="0" w:color="auto"/>
              <w:bottom w:val="single" w:sz="4" w:space="0" w:color="auto"/>
              <w:right w:val="single" w:sz="4" w:space="0" w:color="auto"/>
            </w:tcBorders>
          </w:tcPr>
          <w:p w:rsidR="009C5F3D" w:rsidRPr="00FA7F13" w:rsidRDefault="009C5F3D" w:rsidP="00DA156E">
            <w:pPr>
              <w:spacing w:line="360" w:lineRule="auto"/>
              <w:jc w:val="both"/>
              <w:rPr>
                <w:rFonts w:ascii="Arial" w:eastAsia="Calibri" w:hAnsi="Arial" w:cs="Arial"/>
                <w:sz w:val="24"/>
                <w:szCs w:val="24"/>
              </w:rPr>
            </w:pPr>
            <w:r>
              <w:rPr>
                <w:rFonts w:ascii="Arial" w:hAnsi="Arial" w:cs="Arial"/>
                <w:b/>
                <w:sz w:val="24"/>
                <w:szCs w:val="24"/>
              </w:rPr>
              <w:t>Reasons for order:</w:t>
            </w:r>
          </w:p>
          <w:p w:rsidR="009C5F3D" w:rsidRPr="00FA7F13" w:rsidRDefault="009C5F3D" w:rsidP="00DA156E">
            <w:pPr>
              <w:spacing w:line="360" w:lineRule="auto"/>
              <w:jc w:val="both"/>
              <w:rPr>
                <w:rFonts w:ascii="Arial" w:hAnsi="Arial" w:cs="Arial"/>
                <w:sz w:val="24"/>
                <w:szCs w:val="24"/>
              </w:rPr>
            </w:pPr>
          </w:p>
        </w:tc>
      </w:tr>
      <w:tr w:rsidR="00177125" w:rsidRPr="00FA7F13" w:rsidTr="00202377">
        <w:tc>
          <w:tcPr>
            <w:tcW w:w="9923" w:type="dxa"/>
            <w:gridSpan w:val="3"/>
            <w:tcBorders>
              <w:top w:val="single" w:sz="4" w:space="0" w:color="auto"/>
              <w:left w:val="single" w:sz="4" w:space="0" w:color="auto"/>
              <w:bottom w:val="single" w:sz="4" w:space="0" w:color="auto"/>
              <w:right w:val="single" w:sz="4" w:space="0" w:color="auto"/>
            </w:tcBorders>
            <w:hideMark/>
          </w:tcPr>
          <w:p w:rsidR="00F63C64" w:rsidRDefault="001D7A4D" w:rsidP="00F63C64">
            <w:pPr>
              <w:spacing w:line="360" w:lineRule="auto"/>
              <w:jc w:val="both"/>
              <w:rPr>
                <w:rFonts w:ascii="Arial" w:hAnsi="Arial" w:cs="Arial"/>
                <w:sz w:val="24"/>
                <w:szCs w:val="24"/>
              </w:rPr>
            </w:pPr>
            <w:proofErr w:type="spellStart"/>
            <w:r>
              <w:rPr>
                <w:rFonts w:ascii="Arial" w:hAnsi="Arial" w:cs="Arial"/>
                <w:sz w:val="24"/>
                <w:szCs w:val="24"/>
              </w:rPr>
              <w:t>Shivute</w:t>
            </w:r>
            <w:proofErr w:type="spellEnd"/>
            <w:r>
              <w:rPr>
                <w:rFonts w:ascii="Arial" w:hAnsi="Arial" w:cs="Arial"/>
                <w:sz w:val="24"/>
                <w:szCs w:val="24"/>
              </w:rPr>
              <w:t xml:space="preserve"> J</w:t>
            </w:r>
            <w:r w:rsidR="004C41D8">
              <w:rPr>
                <w:rFonts w:ascii="Arial" w:hAnsi="Arial" w:cs="Arial"/>
                <w:sz w:val="24"/>
                <w:szCs w:val="24"/>
              </w:rPr>
              <w:t xml:space="preserve"> (Concurring Liebenberg</w:t>
            </w:r>
            <w:r w:rsidR="009C5F3D">
              <w:rPr>
                <w:rFonts w:ascii="Arial" w:hAnsi="Arial" w:cs="Arial"/>
                <w:sz w:val="24"/>
                <w:szCs w:val="24"/>
              </w:rPr>
              <w:t xml:space="preserve"> J)</w:t>
            </w:r>
          </w:p>
          <w:p w:rsidR="009C5F3D" w:rsidRPr="00F63C64" w:rsidRDefault="009C5F3D" w:rsidP="00F63C64">
            <w:pPr>
              <w:spacing w:line="360" w:lineRule="auto"/>
              <w:jc w:val="both"/>
              <w:rPr>
                <w:rFonts w:ascii="Arial" w:hAnsi="Arial" w:cs="Arial"/>
                <w:sz w:val="24"/>
                <w:szCs w:val="24"/>
              </w:rPr>
            </w:pPr>
          </w:p>
          <w:p w:rsidR="00177125" w:rsidRDefault="00177125" w:rsidP="00202377">
            <w:pPr>
              <w:spacing w:line="360" w:lineRule="auto"/>
              <w:jc w:val="both"/>
              <w:rPr>
                <w:rFonts w:ascii="Arial" w:hAnsi="Arial" w:cs="Arial"/>
                <w:sz w:val="24"/>
                <w:szCs w:val="24"/>
              </w:rPr>
            </w:pPr>
            <w:r w:rsidRPr="00FA7F13">
              <w:rPr>
                <w:rFonts w:ascii="Arial" w:hAnsi="Arial" w:cs="Arial"/>
                <w:sz w:val="24"/>
                <w:szCs w:val="24"/>
              </w:rPr>
              <w:lastRenderedPageBreak/>
              <w:t xml:space="preserve">[1]    </w:t>
            </w:r>
            <w:r w:rsidR="006A7A84">
              <w:rPr>
                <w:rFonts w:ascii="Arial" w:hAnsi="Arial" w:cs="Arial"/>
                <w:sz w:val="24"/>
                <w:szCs w:val="24"/>
              </w:rPr>
              <w:t>The accused was c</w:t>
            </w:r>
            <w:r w:rsidR="001D7A4D">
              <w:rPr>
                <w:rFonts w:ascii="Arial" w:hAnsi="Arial" w:cs="Arial"/>
                <w:sz w:val="24"/>
                <w:szCs w:val="24"/>
              </w:rPr>
              <w:t>onvicted of two counts namely; first</w:t>
            </w:r>
            <w:r w:rsidR="006A7A84">
              <w:rPr>
                <w:rFonts w:ascii="Arial" w:hAnsi="Arial" w:cs="Arial"/>
                <w:sz w:val="24"/>
                <w:szCs w:val="24"/>
              </w:rPr>
              <w:t xml:space="preserve"> alternative to count 1 – possession</w:t>
            </w:r>
            <w:r w:rsidR="00D13C03">
              <w:rPr>
                <w:rFonts w:ascii="Arial" w:hAnsi="Arial" w:cs="Arial"/>
                <w:sz w:val="24"/>
                <w:szCs w:val="24"/>
              </w:rPr>
              <w:t xml:space="preserve"> of dependence producin</w:t>
            </w:r>
            <w:r w:rsidR="001D7A4D">
              <w:rPr>
                <w:rFonts w:ascii="Arial" w:hAnsi="Arial" w:cs="Arial"/>
                <w:sz w:val="24"/>
                <w:szCs w:val="24"/>
              </w:rPr>
              <w:t>g substance contravening s</w:t>
            </w:r>
            <w:r w:rsidR="00D13C03">
              <w:rPr>
                <w:rFonts w:ascii="Arial" w:hAnsi="Arial" w:cs="Arial"/>
                <w:sz w:val="24"/>
                <w:szCs w:val="24"/>
              </w:rPr>
              <w:t xml:space="preserve"> 2(b</w:t>
            </w:r>
            <w:r w:rsidR="00031668">
              <w:rPr>
                <w:rFonts w:ascii="Arial" w:hAnsi="Arial" w:cs="Arial"/>
                <w:sz w:val="24"/>
                <w:szCs w:val="24"/>
              </w:rPr>
              <w:t>) read with s</w:t>
            </w:r>
            <w:r w:rsidR="006A7A84">
              <w:rPr>
                <w:rFonts w:ascii="Arial" w:hAnsi="Arial" w:cs="Arial"/>
                <w:sz w:val="24"/>
                <w:szCs w:val="24"/>
              </w:rPr>
              <w:t>1, 2 (</w:t>
            </w:r>
            <w:r w:rsidR="006A7A84" w:rsidRPr="00031668">
              <w:rPr>
                <w:rFonts w:ascii="Arial" w:hAnsi="Arial" w:cs="Arial"/>
                <w:i/>
                <w:sz w:val="24"/>
                <w:szCs w:val="24"/>
              </w:rPr>
              <w:t>i</w:t>
            </w:r>
            <w:r w:rsidR="006A7A84">
              <w:rPr>
                <w:rFonts w:ascii="Arial" w:hAnsi="Arial" w:cs="Arial"/>
                <w:sz w:val="24"/>
                <w:szCs w:val="24"/>
              </w:rPr>
              <w:t>), and/or</w:t>
            </w:r>
            <w:r w:rsidR="00D13C03">
              <w:rPr>
                <w:rFonts w:ascii="Arial" w:hAnsi="Arial" w:cs="Arial"/>
                <w:sz w:val="24"/>
                <w:szCs w:val="24"/>
              </w:rPr>
              <w:t xml:space="preserve"> 2 (</w:t>
            </w:r>
            <w:r w:rsidR="00D13C03" w:rsidRPr="00031668">
              <w:rPr>
                <w:rFonts w:ascii="Arial" w:hAnsi="Arial" w:cs="Arial"/>
                <w:i/>
                <w:sz w:val="24"/>
                <w:szCs w:val="24"/>
              </w:rPr>
              <w:t>iv</w:t>
            </w:r>
            <w:r w:rsidR="00D13C03">
              <w:rPr>
                <w:rFonts w:ascii="Arial" w:hAnsi="Arial" w:cs="Arial"/>
                <w:sz w:val="24"/>
                <w:szCs w:val="24"/>
              </w:rPr>
              <w:t>), 7</w:t>
            </w:r>
            <w:r w:rsidR="00C413FE">
              <w:rPr>
                <w:rFonts w:ascii="Arial" w:hAnsi="Arial" w:cs="Arial"/>
                <w:sz w:val="24"/>
                <w:szCs w:val="24"/>
              </w:rPr>
              <w:t>, 8, 10, 14</w:t>
            </w:r>
            <w:r w:rsidR="002E594E">
              <w:rPr>
                <w:rFonts w:ascii="Arial" w:hAnsi="Arial" w:cs="Arial"/>
                <w:sz w:val="24"/>
                <w:szCs w:val="24"/>
              </w:rPr>
              <w:t xml:space="preserve"> and Part 1 of the Schedule of Act 41 of 1971 as amended and count 2 of disguising unlawful origin of property contravening section</w:t>
            </w:r>
            <w:r w:rsidR="00553689">
              <w:rPr>
                <w:rFonts w:ascii="Arial" w:hAnsi="Arial" w:cs="Arial"/>
                <w:sz w:val="24"/>
                <w:szCs w:val="24"/>
              </w:rPr>
              <w:t xml:space="preserve"> 4 of the Prevention of Organised Crime Act 29 of 2004</w:t>
            </w:r>
            <w:r w:rsidR="00C413FE">
              <w:rPr>
                <w:rFonts w:ascii="Arial" w:hAnsi="Arial" w:cs="Arial"/>
                <w:sz w:val="24"/>
                <w:szCs w:val="24"/>
              </w:rPr>
              <w:t xml:space="preserve"> (POCA). I have no qualm</w:t>
            </w:r>
            <w:r w:rsidR="00031668">
              <w:rPr>
                <w:rFonts w:ascii="Arial" w:hAnsi="Arial" w:cs="Arial"/>
                <w:sz w:val="24"/>
                <w:szCs w:val="24"/>
              </w:rPr>
              <w:t xml:space="preserve"> in respect of the first</w:t>
            </w:r>
            <w:r w:rsidR="00553689">
              <w:rPr>
                <w:rFonts w:ascii="Arial" w:hAnsi="Arial" w:cs="Arial"/>
                <w:sz w:val="24"/>
                <w:szCs w:val="24"/>
              </w:rPr>
              <w:t xml:space="preserve"> alternative to count 1. However, the problem lies with</w:t>
            </w:r>
            <w:r w:rsidR="00743B95">
              <w:rPr>
                <w:rFonts w:ascii="Arial" w:hAnsi="Arial" w:cs="Arial"/>
                <w:sz w:val="24"/>
                <w:szCs w:val="24"/>
              </w:rPr>
              <w:t xml:space="preserve"> how</w:t>
            </w:r>
            <w:r w:rsidR="00553689">
              <w:rPr>
                <w:rFonts w:ascii="Arial" w:hAnsi="Arial" w:cs="Arial"/>
                <w:sz w:val="24"/>
                <w:szCs w:val="24"/>
              </w:rPr>
              <w:t xml:space="preserve"> the court deal</w:t>
            </w:r>
            <w:r w:rsidR="00C413FE">
              <w:rPr>
                <w:rFonts w:ascii="Arial" w:hAnsi="Arial" w:cs="Arial"/>
                <w:sz w:val="24"/>
                <w:szCs w:val="24"/>
              </w:rPr>
              <w:t>t</w:t>
            </w:r>
            <w:r w:rsidR="00553689">
              <w:rPr>
                <w:rFonts w:ascii="Arial" w:hAnsi="Arial" w:cs="Arial"/>
                <w:sz w:val="24"/>
                <w:szCs w:val="24"/>
              </w:rPr>
              <w:t xml:space="preserve"> with the second count.</w:t>
            </w:r>
          </w:p>
          <w:p w:rsidR="00791431" w:rsidRPr="00FA7F13" w:rsidRDefault="00791431" w:rsidP="00202377">
            <w:pPr>
              <w:spacing w:line="360" w:lineRule="auto"/>
              <w:jc w:val="both"/>
              <w:rPr>
                <w:rFonts w:ascii="Arial" w:hAnsi="Arial" w:cs="Arial"/>
                <w:sz w:val="24"/>
                <w:szCs w:val="24"/>
              </w:rPr>
            </w:pPr>
          </w:p>
          <w:p w:rsidR="00177125" w:rsidRDefault="00177125" w:rsidP="006F0B93">
            <w:pPr>
              <w:spacing w:line="360" w:lineRule="auto"/>
              <w:jc w:val="both"/>
              <w:rPr>
                <w:rFonts w:ascii="Arial" w:hAnsi="Arial" w:cs="Arial"/>
                <w:sz w:val="24"/>
                <w:szCs w:val="24"/>
              </w:rPr>
            </w:pPr>
            <w:r w:rsidRPr="00FA7F13">
              <w:rPr>
                <w:rFonts w:ascii="Arial" w:hAnsi="Arial" w:cs="Arial"/>
                <w:sz w:val="24"/>
                <w:szCs w:val="24"/>
              </w:rPr>
              <w:t xml:space="preserve">[2]    </w:t>
            </w:r>
            <w:r w:rsidR="00553689">
              <w:rPr>
                <w:rFonts w:ascii="Arial" w:hAnsi="Arial" w:cs="Arial"/>
                <w:sz w:val="24"/>
                <w:szCs w:val="24"/>
              </w:rPr>
              <w:t>I directed a query to the magistrate as follows</w:t>
            </w:r>
            <w:r w:rsidR="00F44527">
              <w:rPr>
                <w:rFonts w:ascii="Arial" w:hAnsi="Arial" w:cs="Arial"/>
                <w:sz w:val="24"/>
                <w:szCs w:val="24"/>
              </w:rPr>
              <w:t>:</w:t>
            </w:r>
          </w:p>
          <w:p w:rsidR="00CC424A" w:rsidRDefault="00CC424A" w:rsidP="006F0B93">
            <w:pPr>
              <w:spacing w:line="360" w:lineRule="auto"/>
              <w:jc w:val="both"/>
              <w:rPr>
                <w:rFonts w:ascii="Arial" w:hAnsi="Arial" w:cs="Arial"/>
                <w:sz w:val="24"/>
                <w:szCs w:val="24"/>
              </w:rPr>
            </w:pPr>
          </w:p>
          <w:p w:rsidR="000041B0" w:rsidRPr="006F0B93" w:rsidRDefault="000041B0" w:rsidP="006F0B93">
            <w:pPr>
              <w:pStyle w:val="BodyText"/>
              <w:spacing w:line="360" w:lineRule="auto"/>
              <w:rPr>
                <w:rFonts w:ascii="Arial" w:hAnsi="Arial" w:cs="Arial"/>
                <w:bCs/>
                <w:sz w:val="22"/>
                <w:szCs w:val="22"/>
              </w:rPr>
            </w:pPr>
            <w:r>
              <w:rPr>
                <w:rFonts w:ascii="Arial" w:hAnsi="Arial" w:cs="Arial"/>
                <w:bCs/>
              </w:rPr>
              <w:t xml:space="preserve">        </w:t>
            </w:r>
            <w:r w:rsidRPr="006F0B93">
              <w:rPr>
                <w:rFonts w:ascii="Arial" w:hAnsi="Arial" w:cs="Arial"/>
                <w:bCs/>
                <w:sz w:val="22"/>
                <w:szCs w:val="22"/>
              </w:rPr>
              <w:t>‘(i)</w:t>
            </w:r>
            <w:r w:rsidR="006F0B93" w:rsidRPr="006F0B93">
              <w:rPr>
                <w:rFonts w:ascii="Arial" w:hAnsi="Arial" w:cs="Arial"/>
                <w:bCs/>
                <w:sz w:val="22"/>
                <w:szCs w:val="22"/>
              </w:rPr>
              <w:t xml:space="preserve">    </w:t>
            </w:r>
            <w:r w:rsidR="00CC424A" w:rsidRPr="006F0B93">
              <w:rPr>
                <w:rFonts w:ascii="Arial" w:hAnsi="Arial" w:cs="Arial"/>
                <w:bCs/>
                <w:sz w:val="22"/>
                <w:szCs w:val="22"/>
              </w:rPr>
              <w:t xml:space="preserve">How did the court satisfy itself that the accused committed the offence as stated in </w:t>
            </w:r>
          </w:p>
          <w:p w:rsidR="000041B0" w:rsidRPr="006F0B93" w:rsidRDefault="000041B0" w:rsidP="006F0B93">
            <w:pPr>
              <w:pStyle w:val="BodyText"/>
              <w:spacing w:line="360" w:lineRule="auto"/>
              <w:rPr>
                <w:rFonts w:ascii="Arial" w:hAnsi="Arial" w:cs="Arial"/>
                <w:bCs/>
                <w:sz w:val="22"/>
                <w:szCs w:val="22"/>
              </w:rPr>
            </w:pPr>
            <w:r w:rsidRPr="006F0B93">
              <w:rPr>
                <w:rFonts w:ascii="Arial" w:hAnsi="Arial" w:cs="Arial"/>
                <w:bCs/>
                <w:sz w:val="22"/>
                <w:szCs w:val="22"/>
              </w:rPr>
              <w:t xml:space="preserve">            </w:t>
            </w:r>
            <w:r w:rsidR="006F0B93" w:rsidRPr="006F0B93">
              <w:rPr>
                <w:rFonts w:ascii="Arial" w:hAnsi="Arial" w:cs="Arial"/>
                <w:bCs/>
                <w:sz w:val="22"/>
                <w:szCs w:val="22"/>
              </w:rPr>
              <w:t xml:space="preserve">   </w:t>
            </w:r>
            <w:proofErr w:type="gramStart"/>
            <w:r w:rsidR="00CC424A" w:rsidRPr="006F0B93">
              <w:rPr>
                <w:rFonts w:ascii="Arial" w:hAnsi="Arial" w:cs="Arial"/>
                <w:bCs/>
                <w:sz w:val="22"/>
                <w:szCs w:val="22"/>
              </w:rPr>
              <w:t>the</w:t>
            </w:r>
            <w:proofErr w:type="gramEnd"/>
            <w:r w:rsidR="00CC424A" w:rsidRPr="006F0B93">
              <w:rPr>
                <w:rFonts w:ascii="Arial" w:hAnsi="Arial" w:cs="Arial"/>
                <w:bCs/>
                <w:sz w:val="22"/>
                <w:szCs w:val="22"/>
              </w:rPr>
              <w:t xml:space="preserve"> second count? What exactly did the accused do? Does the charge disclose an </w:t>
            </w:r>
          </w:p>
          <w:p w:rsidR="00CC424A" w:rsidRPr="006F0B93" w:rsidRDefault="000041B0" w:rsidP="006F0B93">
            <w:pPr>
              <w:pStyle w:val="BodyText"/>
              <w:spacing w:line="360" w:lineRule="auto"/>
              <w:rPr>
                <w:rFonts w:ascii="Arial" w:hAnsi="Arial" w:cs="Arial"/>
                <w:bCs/>
                <w:sz w:val="22"/>
                <w:szCs w:val="22"/>
              </w:rPr>
            </w:pPr>
            <w:r w:rsidRPr="006F0B93">
              <w:rPr>
                <w:rFonts w:ascii="Arial" w:hAnsi="Arial" w:cs="Arial"/>
                <w:bCs/>
                <w:sz w:val="22"/>
                <w:szCs w:val="22"/>
              </w:rPr>
              <w:t xml:space="preserve">            </w:t>
            </w:r>
            <w:r w:rsidR="006F0B93" w:rsidRPr="006F0B93">
              <w:rPr>
                <w:rFonts w:ascii="Arial" w:hAnsi="Arial" w:cs="Arial"/>
                <w:bCs/>
                <w:sz w:val="22"/>
                <w:szCs w:val="22"/>
              </w:rPr>
              <w:t xml:space="preserve">   </w:t>
            </w:r>
            <w:proofErr w:type="gramStart"/>
            <w:r w:rsidR="00CC424A" w:rsidRPr="006F0B93">
              <w:rPr>
                <w:rFonts w:ascii="Arial" w:hAnsi="Arial" w:cs="Arial"/>
                <w:bCs/>
                <w:sz w:val="22"/>
                <w:szCs w:val="22"/>
              </w:rPr>
              <w:t>offence</w:t>
            </w:r>
            <w:proofErr w:type="gramEnd"/>
            <w:r w:rsidR="00CC424A" w:rsidRPr="006F0B93">
              <w:rPr>
                <w:rFonts w:ascii="Arial" w:hAnsi="Arial" w:cs="Arial"/>
                <w:bCs/>
                <w:sz w:val="22"/>
                <w:szCs w:val="22"/>
              </w:rPr>
              <w:t>?</w:t>
            </w:r>
          </w:p>
          <w:p w:rsidR="000041B0" w:rsidRPr="006F0B93" w:rsidRDefault="000041B0" w:rsidP="006F0B93">
            <w:pPr>
              <w:pStyle w:val="BodyText"/>
              <w:spacing w:line="360" w:lineRule="auto"/>
              <w:rPr>
                <w:rFonts w:ascii="Arial" w:hAnsi="Arial" w:cs="Arial"/>
                <w:bCs/>
                <w:sz w:val="22"/>
                <w:szCs w:val="22"/>
              </w:rPr>
            </w:pPr>
          </w:p>
          <w:p w:rsidR="000041B0" w:rsidRPr="006F0B93" w:rsidRDefault="000041B0" w:rsidP="006F0B93">
            <w:pPr>
              <w:pStyle w:val="BodyText"/>
              <w:spacing w:line="360" w:lineRule="auto"/>
              <w:rPr>
                <w:rFonts w:ascii="Arial" w:hAnsi="Arial" w:cs="Arial"/>
                <w:bCs/>
                <w:sz w:val="22"/>
                <w:szCs w:val="22"/>
              </w:rPr>
            </w:pPr>
            <w:r w:rsidRPr="006F0B93">
              <w:rPr>
                <w:rFonts w:ascii="Arial" w:hAnsi="Arial" w:cs="Arial"/>
                <w:bCs/>
                <w:sz w:val="22"/>
                <w:szCs w:val="22"/>
              </w:rPr>
              <w:t xml:space="preserve">        (ii)</w:t>
            </w:r>
            <w:r w:rsidR="006F0B93" w:rsidRPr="006F0B93">
              <w:rPr>
                <w:rFonts w:ascii="Arial" w:hAnsi="Arial" w:cs="Arial"/>
                <w:bCs/>
                <w:sz w:val="22"/>
                <w:szCs w:val="22"/>
              </w:rPr>
              <w:t xml:space="preserve">    </w:t>
            </w:r>
            <w:r w:rsidR="00CC424A" w:rsidRPr="006F0B93">
              <w:rPr>
                <w:rFonts w:ascii="Arial" w:hAnsi="Arial" w:cs="Arial"/>
                <w:bCs/>
                <w:sz w:val="22"/>
                <w:szCs w:val="22"/>
              </w:rPr>
              <w:t xml:space="preserve">Why did the court deal with the second count in terms of section 112 (1) (a) </w:t>
            </w:r>
          </w:p>
          <w:p w:rsidR="00CC424A" w:rsidRPr="006F0B93" w:rsidRDefault="000041B0" w:rsidP="006F0B93">
            <w:pPr>
              <w:pStyle w:val="BodyText"/>
              <w:spacing w:line="360" w:lineRule="auto"/>
              <w:rPr>
                <w:rFonts w:ascii="Arial" w:hAnsi="Arial" w:cs="Arial"/>
                <w:bCs/>
                <w:sz w:val="22"/>
                <w:szCs w:val="22"/>
              </w:rPr>
            </w:pPr>
            <w:r w:rsidRPr="006F0B93">
              <w:rPr>
                <w:rFonts w:ascii="Arial" w:hAnsi="Arial" w:cs="Arial"/>
                <w:bCs/>
                <w:sz w:val="22"/>
                <w:szCs w:val="22"/>
              </w:rPr>
              <w:t xml:space="preserve">             </w:t>
            </w:r>
            <w:r w:rsidR="006F0B93" w:rsidRPr="006F0B93">
              <w:rPr>
                <w:rFonts w:ascii="Arial" w:hAnsi="Arial" w:cs="Arial"/>
                <w:bCs/>
                <w:sz w:val="22"/>
                <w:szCs w:val="22"/>
              </w:rPr>
              <w:t xml:space="preserve">    </w:t>
            </w:r>
            <w:proofErr w:type="gramStart"/>
            <w:r w:rsidR="00CC424A" w:rsidRPr="006F0B93">
              <w:rPr>
                <w:rFonts w:ascii="Arial" w:hAnsi="Arial" w:cs="Arial"/>
                <w:bCs/>
                <w:sz w:val="22"/>
                <w:szCs w:val="22"/>
              </w:rPr>
              <w:t>considering</w:t>
            </w:r>
            <w:proofErr w:type="gramEnd"/>
            <w:r w:rsidR="00CC424A" w:rsidRPr="006F0B93">
              <w:rPr>
                <w:rFonts w:ascii="Arial" w:hAnsi="Arial" w:cs="Arial"/>
                <w:bCs/>
                <w:sz w:val="22"/>
                <w:szCs w:val="22"/>
              </w:rPr>
              <w:t xml:space="preserve"> the fact that it is a serious offence?</w:t>
            </w:r>
            <w:r w:rsidRPr="006F0B93">
              <w:rPr>
                <w:rFonts w:ascii="Arial" w:hAnsi="Arial" w:cs="Arial"/>
                <w:bCs/>
                <w:sz w:val="22"/>
                <w:szCs w:val="22"/>
              </w:rPr>
              <w:t>’</w:t>
            </w:r>
          </w:p>
          <w:p w:rsidR="00223B5C" w:rsidRDefault="009754E2" w:rsidP="006F0B93">
            <w:pPr>
              <w:pStyle w:val="BodyText"/>
              <w:spacing w:line="360" w:lineRule="auto"/>
              <w:rPr>
                <w:rFonts w:ascii="Arial" w:hAnsi="Arial" w:cs="Arial"/>
              </w:rPr>
            </w:pPr>
            <w:r w:rsidRPr="007F166E">
              <w:rPr>
                <w:rFonts w:ascii="Arial" w:hAnsi="Arial" w:cs="Arial"/>
                <w:bCs/>
              </w:rPr>
              <w:t xml:space="preserve">     </w:t>
            </w:r>
          </w:p>
          <w:p w:rsidR="00177125" w:rsidRDefault="00177125" w:rsidP="006F0B93">
            <w:pPr>
              <w:spacing w:line="360" w:lineRule="auto"/>
              <w:jc w:val="both"/>
              <w:rPr>
                <w:rFonts w:ascii="Arial" w:hAnsi="Arial" w:cs="Arial"/>
                <w:sz w:val="24"/>
                <w:szCs w:val="24"/>
              </w:rPr>
            </w:pPr>
            <w:r w:rsidRPr="00FA7F13">
              <w:rPr>
                <w:rFonts w:ascii="Arial" w:hAnsi="Arial" w:cs="Arial"/>
                <w:sz w:val="24"/>
                <w:szCs w:val="24"/>
              </w:rPr>
              <w:t xml:space="preserve">[3]  </w:t>
            </w:r>
            <w:r>
              <w:rPr>
                <w:rFonts w:ascii="Arial" w:hAnsi="Arial" w:cs="Arial"/>
                <w:sz w:val="24"/>
                <w:szCs w:val="24"/>
              </w:rPr>
              <w:t xml:space="preserve">  </w:t>
            </w:r>
            <w:r w:rsidR="00223B5C">
              <w:rPr>
                <w:rFonts w:ascii="Arial" w:hAnsi="Arial" w:cs="Arial"/>
                <w:sz w:val="24"/>
                <w:szCs w:val="24"/>
              </w:rPr>
              <w:t xml:space="preserve">The learned magistrate </w:t>
            </w:r>
            <w:r w:rsidR="00B81E88">
              <w:rPr>
                <w:rFonts w:ascii="Arial" w:hAnsi="Arial" w:cs="Arial"/>
                <w:sz w:val="24"/>
                <w:szCs w:val="24"/>
              </w:rPr>
              <w:t>responded</w:t>
            </w:r>
            <w:r w:rsidR="00223B5C">
              <w:rPr>
                <w:rFonts w:ascii="Arial" w:hAnsi="Arial" w:cs="Arial"/>
                <w:sz w:val="24"/>
                <w:szCs w:val="24"/>
              </w:rPr>
              <w:t xml:space="preserve"> as in the following terms:</w:t>
            </w:r>
          </w:p>
          <w:p w:rsidR="00B81E88" w:rsidRDefault="00B81E88" w:rsidP="006F0B93">
            <w:pPr>
              <w:spacing w:line="360" w:lineRule="auto"/>
              <w:jc w:val="both"/>
              <w:rPr>
                <w:rFonts w:ascii="Arial" w:hAnsi="Arial" w:cs="Arial"/>
                <w:sz w:val="24"/>
                <w:szCs w:val="24"/>
              </w:rPr>
            </w:pPr>
          </w:p>
          <w:p w:rsidR="00B81E88" w:rsidRPr="004A1074" w:rsidRDefault="007709B9" w:rsidP="006F0B93">
            <w:pPr>
              <w:spacing w:line="360" w:lineRule="auto"/>
              <w:jc w:val="both"/>
              <w:rPr>
                <w:rFonts w:ascii="Arial" w:hAnsi="Arial" w:cs="Arial"/>
                <w:lang w:val="en-GB"/>
              </w:rPr>
            </w:pPr>
            <w:r>
              <w:rPr>
                <w:rFonts w:ascii="Arial" w:hAnsi="Arial" w:cs="Arial"/>
                <w:sz w:val="24"/>
                <w:szCs w:val="24"/>
              </w:rPr>
              <w:t xml:space="preserve">        </w:t>
            </w:r>
            <w:r w:rsidR="009754E2">
              <w:rPr>
                <w:rFonts w:ascii="Arial" w:hAnsi="Arial" w:cs="Arial"/>
                <w:sz w:val="24"/>
                <w:szCs w:val="24"/>
              </w:rPr>
              <w:t>‘</w:t>
            </w:r>
            <w:r w:rsidR="00B81E88" w:rsidRPr="009754E2">
              <w:rPr>
                <w:rFonts w:ascii="Arial" w:hAnsi="Arial" w:cs="Arial"/>
              </w:rPr>
              <w:t>I concede</w:t>
            </w:r>
            <w:r w:rsidR="00050F82" w:rsidRPr="009754E2">
              <w:rPr>
                <w:rFonts w:ascii="Arial" w:hAnsi="Arial" w:cs="Arial"/>
              </w:rPr>
              <w:t>,</w:t>
            </w:r>
            <w:r w:rsidR="00B81E88" w:rsidRPr="009754E2">
              <w:rPr>
                <w:rFonts w:ascii="Arial" w:hAnsi="Arial" w:cs="Arial"/>
              </w:rPr>
              <w:t xml:space="preserve"> the charge does not mention the unlawful actions of the accused person. The court ought to </w:t>
            </w:r>
            <w:proofErr w:type="gramStart"/>
            <w:r w:rsidR="00B81E88" w:rsidRPr="009754E2">
              <w:rPr>
                <w:rFonts w:ascii="Arial" w:hAnsi="Arial" w:cs="Arial"/>
              </w:rPr>
              <w:t>had</w:t>
            </w:r>
            <w:proofErr w:type="gramEnd"/>
            <w:r w:rsidR="00B81E88" w:rsidRPr="009754E2">
              <w:rPr>
                <w:rFonts w:ascii="Arial" w:hAnsi="Arial" w:cs="Arial"/>
              </w:rPr>
              <w:t xml:space="preserve"> invoked section 112(1</w:t>
            </w:r>
            <w:r w:rsidR="009754E2" w:rsidRPr="009754E2">
              <w:rPr>
                <w:rFonts w:ascii="Arial" w:hAnsi="Arial" w:cs="Arial"/>
              </w:rPr>
              <w:t>) (</w:t>
            </w:r>
            <w:r w:rsidR="00B81E88" w:rsidRPr="009754E2">
              <w:rPr>
                <w:rFonts w:ascii="Arial" w:hAnsi="Arial" w:cs="Arial"/>
              </w:rPr>
              <w:t>b). The accused person is not guilty of the offence. The charge does not mention the unlawful activity as alluded to by the reviewing justice</w:t>
            </w:r>
            <w:r w:rsidR="00E83FA3" w:rsidRPr="009754E2">
              <w:rPr>
                <w:rFonts w:ascii="Arial" w:hAnsi="Arial" w:cs="Arial"/>
              </w:rPr>
              <w:t>. The matter appeared before me at the time I was acquainting myself with the Prevention of Organised Crime Act 29 of 2004. This offence is serious in nature and applying section 112 (1</w:t>
            </w:r>
            <w:r w:rsidR="009754E2" w:rsidRPr="009754E2">
              <w:rPr>
                <w:rFonts w:ascii="Arial" w:hAnsi="Arial" w:cs="Arial"/>
              </w:rPr>
              <w:t>) (</w:t>
            </w:r>
            <w:r w:rsidR="00E83FA3" w:rsidRPr="009754E2">
              <w:rPr>
                <w:rFonts w:ascii="Arial" w:hAnsi="Arial" w:cs="Arial"/>
              </w:rPr>
              <w:t>a) was not appropriate.</w:t>
            </w:r>
            <w:r w:rsidR="009754E2">
              <w:rPr>
                <w:rFonts w:ascii="Arial" w:hAnsi="Arial" w:cs="Arial"/>
                <w:sz w:val="24"/>
                <w:szCs w:val="24"/>
              </w:rPr>
              <w:t>’</w:t>
            </w:r>
          </w:p>
          <w:p w:rsidR="00177125" w:rsidRPr="00FA7F13" w:rsidRDefault="00177125" w:rsidP="006F0B93">
            <w:pPr>
              <w:pStyle w:val="ListParagraph"/>
              <w:spacing w:line="360" w:lineRule="auto"/>
              <w:ind w:left="785"/>
              <w:jc w:val="both"/>
              <w:rPr>
                <w:rFonts w:ascii="Arial" w:hAnsi="Arial" w:cs="Arial"/>
              </w:rPr>
            </w:pPr>
          </w:p>
          <w:p w:rsidR="00177125" w:rsidRDefault="00177125" w:rsidP="006F0B93">
            <w:pPr>
              <w:spacing w:line="360" w:lineRule="auto"/>
              <w:jc w:val="both"/>
              <w:rPr>
                <w:rFonts w:ascii="Arial" w:hAnsi="Arial" w:cs="Arial"/>
                <w:sz w:val="24"/>
                <w:szCs w:val="24"/>
                <w:lang w:val="en-GB"/>
              </w:rPr>
            </w:pPr>
            <w:r w:rsidRPr="00FA7F13">
              <w:rPr>
                <w:rFonts w:ascii="Arial" w:hAnsi="Arial" w:cs="Arial"/>
                <w:sz w:val="24"/>
                <w:szCs w:val="24"/>
              </w:rPr>
              <w:t>[4</w:t>
            </w:r>
            <w:r>
              <w:rPr>
                <w:rFonts w:ascii="Arial" w:hAnsi="Arial" w:cs="Arial"/>
                <w:sz w:val="24"/>
                <w:szCs w:val="24"/>
              </w:rPr>
              <w:t>]</w:t>
            </w:r>
            <w:r>
              <w:rPr>
                <w:rFonts w:ascii="Arial" w:hAnsi="Arial" w:cs="Arial"/>
                <w:sz w:val="24"/>
                <w:szCs w:val="24"/>
                <w:lang w:val="en-GB"/>
              </w:rPr>
              <w:t xml:space="preserve">    </w:t>
            </w:r>
            <w:r w:rsidR="00E83FA3">
              <w:rPr>
                <w:rFonts w:ascii="Arial" w:hAnsi="Arial" w:cs="Arial"/>
                <w:sz w:val="24"/>
                <w:szCs w:val="24"/>
                <w:lang w:val="en-GB"/>
              </w:rPr>
              <w:t>The learned magistrate correctly conceded that the accused w</w:t>
            </w:r>
            <w:r w:rsidR="000316B9">
              <w:rPr>
                <w:rFonts w:ascii="Arial" w:hAnsi="Arial" w:cs="Arial"/>
                <w:sz w:val="24"/>
                <w:szCs w:val="24"/>
                <w:lang w:val="en-GB"/>
              </w:rPr>
              <w:t>as not supposed to be convicted</w:t>
            </w:r>
            <w:r w:rsidR="00E83FA3">
              <w:rPr>
                <w:rFonts w:ascii="Arial" w:hAnsi="Arial" w:cs="Arial"/>
                <w:sz w:val="24"/>
                <w:szCs w:val="24"/>
                <w:lang w:val="en-GB"/>
              </w:rPr>
              <w:t xml:space="preserve"> because the way the charge was frame</w:t>
            </w:r>
            <w:r w:rsidR="00BD6844">
              <w:rPr>
                <w:rFonts w:ascii="Arial" w:hAnsi="Arial" w:cs="Arial"/>
                <w:sz w:val="24"/>
                <w:szCs w:val="24"/>
                <w:lang w:val="en-GB"/>
              </w:rPr>
              <w:t>d</w:t>
            </w:r>
            <w:r w:rsidR="000316B9">
              <w:rPr>
                <w:rFonts w:ascii="Arial" w:hAnsi="Arial" w:cs="Arial"/>
                <w:sz w:val="24"/>
                <w:szCs w:val="24"/>
                <w:lang w:val="en-GB"/>
              </w:rPr>
              <w:t>,</w:t>
            </w:r>
            <w:r w:rsidR="00E83FA3">
              <w:rPr>
                <w:rFonts w:ascii="Arial" w:hAnsi="Arial" w:cs="Arial"/>
                <w:sz w:val="24"/>
                <w:szCs w:val="24"/>
                <w:lang w:val="en-GB"/>
              </w:rPr>
              <w:t xml:space="preserve"> was vague and did not disclose the unlawful</w:t>
            </w:r>
            <w:r w:rsidR="00394007">
              <w:rPr>
                <w:rFonts w:ascii="Arial" w:hAnsi="Arial" w:cs="Arial"/>
                <w:sz w:val="24"/>
                <w:szCs w:val="24"/>
                <w:lang w:val="en-GB"/>
              </w:rPr>
              <w:t xml:space="preserve"> act the accused had committed. Furthermore, the learned magistrate correctly conceded that it was inappropriate to invoke the provisions of s</w:t>
            </w:r>
            <w:r w:rsidR="007709B9">
              <w:rPr>
                <w:rFonts w:ascii="Arial" w:hAnsi="Arial" w:cs="Arial"/>
                <w:sz w:val="24"/>
                <w:szCs w:val="24"/>
                <w:lang w:val="en-GB"/>
              </w:rPr>
              <w:t xml:space="preserve"> </w:t>
            </w:r>
            <w:r w:rsidR="00394007">
              <w:rPr>
                <w:rFonts w:ascii="Arial" w:hAnsi="Arial" w:cs="Arial"/>
                <w:sz w:val="24"/>
                <w:szCs w:val="24"/>
                <w:lang w:val="en-GB"/>
              </w:rPr>
              <w:t>112 (1</w:t>
            </w:r>
            <w:r w:rsidR="008253C0">
              <w:rPr>
                <w:rFonts w:ascii="Arial" w:hAnsi="Arial" w:cs="Arial"/>
                <w:sz w:val="24"/>
                <w:szCs w:val="24"/>
                <w:lang w:val="en-GB"/>
              </w:rPr>
              <w:t>) (</w:t>
            </w:r>
            <w:r w:rsidR="000316B9">
              <w:rPr>
                <w:rFonts w:ascii="Arial" w:hAnsi="Arial" w:cs="Arial"/>
                <w:i/>
                <w:sz w:val="24"/>
                <w:szCs w:val="24"/>
                <w:lang w:val="en-GB"/>
              </w:rPr>
              <w:t>a</w:t>
            </w:r>
            <w:r w:rsidR="00394007">
              <w:rPr>
                <w:rFonts w:ascii="Arial" w:hAnsi="Arial" w:cs="Arial"/>
                <w:sz w:val="24"/>
                <w:szCs w:val="24"/>
                <w:lang w:val="en-GB"/>
              </w:rPr>
              <w:t>) of the Criminal Procedure Act 51 of 1977.</w:t>
            </w:r>
          </w:p>
          <w:p w:rsidR="00394007" w:rsidRPr="00FA7F13" w:rsidRDefault="00394007" w:rsidP="00202377">
            <w:pPr>
              <w:spacing w:line="360" w:lineRule="auto"/>
              <w:jc w:val="both"/>
              <w:rPr>
                <w:rFonts w:ascii="Arial" w:hAnsi="Arial" w:cs="Arial"/>
                <w:sz w:val="24"/>
                <w:szCs w:val="24"/>
              </w:rPr>
            </w:pPr>
          </w:p>
          <w:p w:rsidR="00177125" w:rsidRDefault="00177125" w:rsidP="00202377">
            <w:pPr>
              <w:spacing w:line="360" w:lineRule="auto"/>
              <w:jc w:val="both"/>
              <w:rPr>
                <w:rFonts w:ascii="Arial" w:hAnsi="Arial" w:cs="Arial"/>
                <w:sz w:val="24"/>
                <w:szCs w:val="24"/>
              </w:rPr>
            </w:pPr>
            <w:r w:rsidRPr="00FA7F13">
              <w:rPr>
                <w:rFonts w:ascii="Arial" w:hAnsi="Arial" w:cs="Arial"/>
                <w:sz w:val="24"/>
                <w:szCs w:val="24"/>
              </w:rPr>
              <w:t xml:space="preserve">[5]   </w:t>
            </w:r>
            <w:r w:rsidR="00394007">
              <w:rPr>
                <w:rFonts w:ascii="Arial" w:hAnsi="Arial" w:cs="Arial"/>
                <w:sz w:val="24"/>
                <w:szCs w:val="24"/>
              </w:rPr>
              <w:t xml:space="preserve">As stated in </w:t>
            </w:r>
            <w:r w:rsidR="00847A97">
              <w:rPr>
                <w:rFonts w:ascii="Arial" w:hAnsi="Arial" w:cs="Arial"/>
                <w:i/>
                <w:sz w:val="24"/>
                <w:szCs w:val="24"/>
              </w:rPr>
              <w:t xml:space="preserve">S v </w:t>
            </w:r>
            <w:proofErr w:type="spellStart"/>
            <w:r w:rsidR="00847A97">
              <w:rPr>
                <w:rFonts w:ascii="Arial" w:hAnsi="Arial" w:cs="Arial"/>
                <w:i/>
                <w:sz w:val="24"/>
                <w:szCs w:val="24"/>
              </w:rPr>
              <w:t>Swa</w:t>
            </w:r>
            <w:r w:rsidR="00625F89">
              <w:rPr>
                <w:rFonts w:ascii="Arial" w:hAnsi="Arial" w:cs="Arial"/>
                <w:i/>
                <w:sz w:val="24"/>
                <w:szCs w:val="24"/>
              </w:rPr>
              <w:t>tz</w:t>
            </w:r>
            <w:proofErr w:type="spellEnd"/>
            <w:r w:rsidR="00625F89">
              <w:rPr>
                <w:rFonts w:ascii="Arial" w:hAnsi="Arial" w:cs="Arial"/>
                <w:i/>
                <w:sz w:val="24"/>
                <w:szCs w:val="24"/>
              </w:rPr>
              <w:t xml:space="preserve"> </w:t>
            </w:r>
            <w:r w:rsidR="00394007">
              <w:rPr>
                <w:rFonts w:ascii="Arial" w:hAnsi="Arial" w:cs="Arial"/>
                <w:sz w:val="24"/>
                <w:szCs w:val="24"/>
              </w:rPr>
              <w:t>2019 (1) NR 197</w:t>
            </w:r>
            <w:r w:rsidR="007709B9">
              <w:rPr>
                <w:rFonts w:ascii="Arial" w:hAnsi="Arial" w:cs="Arial"/>
                <w:sz w:val="24"/>
                <w:szCs w:val="24"/>
              </w:rPr>
              <w:t xml:space="preserve"> </w:t>
            </w:r>
            <w:r w:rsidR="00394007">
              <w:rPr>
                <w:rFonts w:ascii="Arial" w:hAnsi="Arial" w:cs="Arial"/>
                <w:sz w:val="24"/>
                <w:szCs w:val="24"/>
              </w:rPr>
              <w:t>(HC) section 112 (1</w:t>
            </w:r>
            <w:proofErr w:type="gramStart"/>
            <w:r w:rsidR="008253C0">
              <w:rPr>
                <w:rFonts w:ascii="Arial" w:hAnsi="Arial" w:cs="Arial"/>
                <w:sz w:val="24"/>
                <w:szCs w:val="24"/>
              </w:rPr>
              <w:t>)(</w:t>
            </w:r>
            <w:proofErr w:type="gramEnd"/>
            <w:r w:rsidR="00394007" w:rsidRPr="007709B9">
              <w:rPr>
                <w:rFonts w:ascii="Arial" w:hAnsi="Arial" w:cs="Arial"/>
                <w:i/>
                <w:sz w:val="24"/>
                <w:szCs w:val="24"/>
              </w:rPr>
              <w:t>a</w:t>
            </w:r>
            <w:r w:rsidR="00394007">
              <w:rPr>
                <w:rFonts w:ascii="Arial" w:hAnsi="Arial" w:cs="Arial"/>
                <w:sz w:val="24"/>
                <w:szCs w:val="24"/>
              </w:rPr>
              <w:t>) creates the impression that the offence is minor and less serious. It therefore, amounts to a travesty of justice</w:t>
            </w:r>
            <w:r w:rsidR="008253C0">
              <w:rPr>
                <w:rFonts w:ascii="Arial" w:hAnsi="Arial" w:cs="Arial"/>
                <w:sz w:val="24"/>
                <w:szCs w:val="24"/>
              </w:rPr>
              <w:t xml:space="preserve"> to </w:t>
            </w:r>
            <w:r w:rsidR="002B4677">
              <w:rPr>
                <w:rFonts w:ascii="Arial" w:hAnsi="Arial" w:cs="Arial"/>
                <w:sz w:val="24"/>
                <w:szCs w:val="24"/>
              </w:rPr>
              <w:lastRenderedPageBreak/>
              <w:t>invoke the provisions of s</w:t>
            </w:r>
            <w:r w:rsidR="008253C0">
              <w:rPr>
                <w:rFonts w:ascii="Arial" w:hAnsi="Arial" w:cs="Arial"/>
                <w:sz w:val="24"/>
                <w:szCs w:val="24"/>
              </w:rPr>
              <w:t>112 (1</w:t>
            </w:r>
            <w:proofErr w:type="gramStart"/>
            <w:r w:rsidR="008253C0">
              <w:rPr>
                <w:rFonts w:ascii="Arial" w:hAnsi="Arial" w:cs="Arial"/>
                <w:sz w:val="24"/>
                <w:szCs w:val="24"/>
              </w:rPr>
              <w:t>)(</w:t>
            </w:r>
            <w:proofErr w:type="gramEnd"/>
            <w:r w:rsidR="008253C0" w:rsidRPr="002B4677">
              <w:rPr>
                <w:rFonts w:ascii="Arial" w:hAnsi="Arial" w:cs="Arial"/>
                <w:i/>
                <w:sz w:val="24"/>
                <w:szCs w:val="24"/>
              </w:rPr>
              <w:t>a</w:t>
            </w:r>
            <w:r w:rsidR="008253C0">
              <w:rPr>
                <w:rFonts w:ascii="Arial" w:hAnsi="Arial" w:cs="Arial"/>
                <w:sz w:val="24"/>
                <w:szCs w:val="24"/>
              </w:rPr>
              <w:t>) in serious cases such as this one. It is clear that the magistrate failed to exercise his discretion judiciously, thus irregular for the magistrate to have invoked the provisions of section 112</w:t>
            </w:r>
            <w:r w:rsidR="002B4677">
              <w:rPr>
                <w:rFonts w:ascii="Arial" w:hAnsi="Arial" w:cs="Arial"/>
                <w:sz w:val="24"/>
                <w:szCs w:val="24"/>
              </w:rPr>
              <w:t>(1)</w:t>
            </w:r>
            <w:r w:rsidR="008253C0">
              <w:rPr>
                <w:rFonts w:ascii="Arial" w:hAnsi="Arial" w:cs="Arial"/>
                <w:sz w:val="24"/>
                <w:szCs w:val="24"/>
              </w:rPr>
              <w:t xml:space="preserve"> (</w:t>
            </w:r>
            <w:r w:rsidR="008253C0" w:rsidRPr="002B4677">
              <w:rPr>
                <w:rFonts w:ascii="Arial" w:hAnsi="Arial" w:cs="Arial"/>
                <w:i/>
                <w:sz w:val="24"/>
                <w:szCs w:val="24"/>
              </w:rPr>
              <w:t>a</w:t>
            </w:r>
            <w:r w:rsidR="008253C0">
              <w:rPr>
                <w:rFonts w:ascii="Arial" w:hAnsi="Arial" w:cs="Arial"/>
                <w:sz w:val="24"/>
                <w:szCs w:val="24"/>
              </w:rPr>
              <w:t>) in this matter.</w:t>
            </w:r>
          </w:p>
          <w:p w:rsidR="008253C0" w:rsidRPr="00FA7F13" w:rsidRDefault="008253C0" w:rsidP="00202377">
            <w:pPr>
              <w:spacing w:line="360" w:lineRule="auto"/>
              <w:jc w:val="both"/>
              <w:rPr>
                <w:rFonts w:ascii="Arial" w:hAnsi="Arial" w:cs="Arial"/>
              </w:rPr>
            </w:pPr>
          </w:p>
          <w:p w:rsidR="00177125" w:rsidRDefault="00177125" w:rsidP="000D024C">
            <w:pPr>
              <w:spacing w:after="160" w:line="360" w:lineRule="auto"/>
              <w:jc w:val="both"/>
              <w:rPr>
                <w:rFonts w:ascii="Arial" w:hAnsi="Arial" w:cs="Arial"/>
                <w:sz w:val="24"/>
                <w:szCs w:val="24"/>
                <w:lang w:val="en-GB"/>
              </w:rPr>
            </w:pPr>
            <w:r w:rsidRPr="00FA7F13">
              <w:rPr>
                <w:rFonts w:ascii="Arial" w:hAnsi="Arial" w:cs="Arial"/>
                <w:sz w:val="24"/>
                <w:szCs w:val="24"/>
              </w:rPr>
              <w:t xml:space="preserve">[6]    </w:t>
            </w:r>
            <w:r w:rsidR="008253C0">
              <w:rPr>
                <w:rFonts w:ascii="Arial" w:hAnsi="Arial" w:cs="Arial"/>
                <w:sz w:val="24"/>
                <w:szCs w:val="24"/>
              </w:rPr>
              <w:t xml:space="preserve">Disguising unlawful origin </w:t>
            </w:r>
            <w:r w:rsidR="002B4677">
              <w:rPr>
                <w:rFonts w:ascii="Arial" w:hAnsi="Arial" w:cs="Arial"/>
                <w:sz w:val="24"/>
                <w:szCs w:val="24"/>
              </w:rPr>
              <w:t xml:space="preserve">of property contravening s </w:t>
            </w:r>
            <w:r w:rsidR="008253C0">
              <w:rPr>
                <w:rFonts w:ascii="Arial" w:hAnsi="Arial" w:cs="Arial"/>
                <w:sz w:val="24"/>
                <w:szCs w:val="24"/>
              </w:rPr>
              <w:t>4</w:t>
            </w:r>
            <w:r w:rsidR="00BD6844">
              <w:rPr>
                <w:rFonts w:ascii="Arial" w:hAnsi="Arial" w:cs="Arial"/>
                <w:sz w:val="24"/>
                <w:szCs w:val="24"/>
              </w:rPr>
              <w:t xml:space="preserve"> of POCA,</w:t>
            </w:r>
            <w:r w:rsidR="008253C0">
              <w:rPr>
                <w:rFonts w:ascii="Arial" w:hAnsi="Arial" w:cs="Arial"/>
                <w:sz w:val="24"/>
                <w:szCs w:val="24"/>
              </w:rPr>
              <w:t xml:space="preserve"> is a serious offence that attracts a fine not exceeding </w:t>
            </w:r>
            <w:r w:rsidR="000E2114">
              <w:rPr>
                <w:rFonts w:ascii="Arial" w:hAnsi="Arial" w:cs="Arial"/>
                <w:sz w:val="24"/>
                <w:szCs w:val="24"/>
              </w:rPr>
              <w:t>N$100 million or imprisonment</w:t>
            </w:r>
            <w:r w:rsidR="00BD6844">
              <w:rPr>
                <w:rFonts w:ascii="Arial" w:hAnsi="Arial" w:cs="Arial"/>
                <w:sz w:val="24"/>
                <w:szCs w:val="24"/>
              </w:rPr>
              <w:t xml:space="preserve"> for a period not exceeding 30 years</w:t>
            </w:r>
            <w:r w:rsidR="000E2114">
              <w:rPr>
                <w:rFonts w:ascii="Arial" w:hAnsi="Arial" w:cs="Arial"/>
                <w:sz w:val="24"/>
                <w:szCs w:val="24"/>
              </w:rPr>
              <w:t>. The learned magistrate down played the seriousness of this offence by applying section 112 (1</w:t>
            </w:r>
            <w:proofErr w:type="gramStart"/>
            <w:r w:rsidR="000E2114">
              <w:rPr>
                <w:rFonts w:ascii="Arial" w:hAnsi="Arial" w:cs="Arial"/>
                <w:sz w:val="24"/>
                <w:szCs w:val="24"/>
              </w:rPr>
              <w:t>)(</w:t>
            </w:r>
            <w:proofErr w:type="gramEnd"/>
            <w:r w:rsidR="000E2114" w:rsidRPr="002B4677">
              <w:rPr>
                <w:rFonts w:ascii="Arial" w:hAnsi="Arial" w:cs="Arial"/>
                <w:i/>
                <w:sz w:val="24"/>
                <w:szCs w:val="24"/>
              </w:rPr>
              <w:t>a</w:t>
            </w:r>
            <w:r w:rsidR="000E2114">
              <w:rPr>
                <w:rFonts w:ascii="Arial" w:hAnsi="Arial" w:cs="Arial"/>
                <w:sz w:val="24"/>
                <w:szCs w:val="24"/>
              </w:rPr>
              <w:t>). It follows that both the conviction and sentence in respect of the second count fall to be set aside.</w:t>
            </w:r>
          </w:p>
          <w:p w:rsidR="00177125" w:rsidRDefault="00177125" w:rsidP="000D024C">
            <w:pPr>
              <w:spacing w:after="160" w:line="360" w:lineRule="auto"/>
              <w:jc w:val="both"/>
              <w:rPr>
                <w:rFonts w:ascii="Arial" w:hAnsi="Arial" w:cs="Arial"/>
                <w:sz w:val="24"/>
                <w:szCs w:val="24"/>
              </w:rPr>
            </w:pPr>
            <w:r>
              <w:rPr>
                <w:rFonts w:ascii="Arial" w:hAnsi="Arial" w:cs="Arial"/>
                <w:sz w:val="24"/>
                <w:szCs w:val="24"/>
              </w:rPr>
              <w:t xml:space="preserve">[7]    </w:t>
            </w:r>
            <w:r w:rsidR="008244D9">
              <w:rPr>
                <w:rFonts w:ascii="Arial" w:hAnsi="Arial" w:cs="Arial"/>
                <w:sz w:val="24"/>
                <w:szCs w:val="24"/>
              </w:rPr>
              <w:t>In the result the following order is made:</w:t>
            </w:r>
          </w:p>
          <w:p w:rsidR="008244D9" w:rsidRDefault="008244D9" w:rsidP="000D024C">
            <w:pPr>
              <w:spacing w:after="160" w:line="360" w:lineRule="auto"/>
              <w:jc w:val="both"/>
              <w:rPr>
                <w:rFonts w:ascii="Arial" w:hAnsi="Arial" w:cs="Arial"/>
                <w:sz w:val="24"/>
                <w:szCs w:val="24"/>
              </w:rPr>
            </w:pPr>
            <w:r>
              <w:rPr>
                <w:rFonts w:ascii="Arial" w:hAnsi="Arial" w:cs="Arial"/>
                <w:sz w:val="24"/>
                <w:szCs w:val="24"/>
              </w:rPr>
              <w:t xml:space="preserve">1. The </w:t>
            </w:r>
            <w:r w:rsidR="00967B16">
              <w:rPr>
                <w:rFonts w:ascii="Arial" w:hAnsi="Arial" w:cs="Arial"/>
                <w:sz w:val="24"/>
                <w:szCs w:val="24"/>
              </w:rPr>
              <w:t>conviction and sentence on the first</w:t>
            </w:r>
            <w:r>
              <w:rPr>
                <w:rFonts w:ascii="Arial" w:hAnsi="Arial" w:cs="Arial"/>
                <w:sz w:val="24"/>
                <w:szCs w:val="24"/>
              </w:rPr>
              <w:t xml:space="preserve"> alternative count are confirmed.</w:t>
            </w:r>
          </w:p>
          <w:p w:rsidR="008244D9" w:rsidRPr="00075B09" w:rsidRDefault="008244D9" w:rsidP="000D024C">
            <w:pPr>
              <w:spacing w:after="160" w:line="360" w:lineRule="auto"/>
              <w:jc w:val="both"/>
              <w:rPr>
                <w:rFonts w:ascii="Arial" w:hAnsi="Arial" w:cs="Arial"/>
                <w:lang w:val="en-GB"/>
              </w:rPr>
            </w:pPr>
            <w:r>
              <w:rPr>
                <w:rFonts w:ascii="Arial" w:hAnsi="Arial" w:cs="Arial"/>
                <w:sz w:val="24"/>
                <w:szCs w:val="24"/>
              </w:rPr>
              <w:t>2. The co</w:t>
            </w:r>
            <w:r w:rsidR="00967B16">
              <w:rPr>
                <w:rFonts w:ascii="Arial" w:hAnsi="Arial" w:cs="Arial"/>
                <w:sz w:val="24"/>
                <w:szCs w:val="24"/>
              </w:rPr>
              <w:t>nviction and sentence on the second</w:t>
            </w:r>
            <w:r>
              <w:rPr>
                <w:rFonts w:ascii="Arial" w:hAnsi="Arial" w:cs="Arial"/>
                <w:sz w:val="24"/>
                <w:szCs w:val="24"/>
              </w:rPr>
              <w:t xml:space="preserve"> count are set aside.</w:t>
            </w:r>
          </w:p>
          <w:p w:rsidR="00177125" w:rsidRPr="0006278C" w:rsidRDefault="00177125" w:rsidP="008244D9">
            <w:pPr>
              <w:spacing w:after="160" w:line="360" w:lineRule="auto"/>
              <w:jc w:val="both"/>
              <w:rPr>
                <w:rFonts w:ascii="Arial" w:hAnsi="Arial" w:cs="Arial"/>
                <w:sz w:val="24"/>
                <w:szCs w:val="24"/>
              </w:rPr>
            </w:pPr>
            <w:r>
              <w:rPr>
                <w:rFonts w:ascii="Arial" w:hAnsi="Arial" w:cs="Arial"/>
                <w:lang w:val="en-GB"/>
              </w:rPr>
              <w:tab/>
            </w:r>
          </w:p>
        </w:tc>
      </w:tr>
      <w:tr w:rsidR="00177125" w:rsidRPr="00FA7F13" w:rsidTr="00202377">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177125" w:rsidRPr="00FA7F13" w:rsidRDefault="00177125" w:rsidP="00202377">
            <w:pPr>
              <w:spacing w:line="360" w:lineRule="auto"/>
              <w:jc w:val="both"/>
              <w:rPr>
                <w:rFonts w:ascii="Arial" w:hAnsi="Arial" w:cs="Arial"/>
                <w:sz w:val="24"/>
                <w:szCs w:val="24"/>
              </w:rPr>
            </w:pPr>
            <w:r w:rsidRPr="00FA7F13">
              <w:rPr>
                <w:rFonts w:ascii="Arial" w:hAnsi="Arial" w:cs="Arial"/>
                <w:sz w:val="24"/>
                <w:szCs w:val="24"/>
              </w:rPr>
              <w:lastRenderedPageBreak/>
              <w:t xml:space="preserve">     </w:t>
            </w:r>
          </w:p>
          <w:p w:rsidR="00177125" w:rsidRPr="00FA7F13" w:rsidRDefault="00177125" w:rsidP="00202377">
            <w:pPr>
              <w:spacing w:line="360" w:lineRule="auto"/>
              <w:jc w:val="both"/>
              <w:rPr>
                <w:rFonts w:ascii="Arial" w:hAnsi="Arial" w:cs="Arial"/>
                <w:sz w:val="24"/>
                <w:szCs w:val="24"/>
              </w:rPr>
            </w:pPr>
          </w:p>
          <w:p w:rsidR="00177125" w:rsidRPr="00FA7F13" w:rsidRDefault="00177125" w:rsidP="00202377">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177125" w:rsidRPr="00FA7F13" w:rsidRDefault="00177125" w:rsidP="00202377">
            <w:pPr>
              <w:spacing w:line="360" w:lineRule="auto"/>
              <w:jc w:val="both"/>
              <w:rPr>
                <w:rFonts w:ascii="Arial" w:hAnsi="Arial" w:cs="Arial"/>
                <w:sz w:val="24"/>
                <w:szCs w:val="24"/>
              </w:rPr>
            </w:pPr>
          </w:p>
        </w:tc>
      </w:tr>
      <w:tr w:rsidR="00177125" w:rsidRPr="00FA7F13" w:rsidTr="00202377">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177125" w:rsidRPr="00FA7F13" w:rsidRDefault="00177125" w:rsidP="00202377">
            <w:pPr>
              <w:spacing w:line="360" w:lineRule="auto"/>
              <w:jc w:val="both"/>
              <w:rPr>
                <w:rFonts w:ascii="Arial" w:hAnsi="Arial" w:cs="Arial"/>
                <w:sz w:val="24"/>
                <w:szCs w:val="24"/>
              </w:rPr>
            </w:pPr>
            <w:r w:rsidRPr="00FA7F13">
              <w:rPr>
                <w:rFonts w:ascii="Arial" w:hAnsi="Arial" w:cs="Arial"/>
                <w:sz w:val="24"/>
                <w:szCs w:val="24"/>
              </w:rPr>
              <w:t xml:space="preserve">                       N</w:t>
            </w:r>
            <w:r w:rsidR="00967B16">
              <w:rPr>
                <w:rFonts w:ascii="Arial" w:hAnsi="Arial" w:cs="Arial"/>
                <w:sz w:val="24"/>
                <w:szCs w:val="24"/>
              </w:rPr>
              <w:t xml:space="preserve"> </w:t>
            </w:r>
            <w:proofErr w:type="spellStart"/>
            <w:r w:rsidRPr="00FA7F13">
              <w:rPr>
                <w:rFonts w:ascii="Arial" w:hAnsi="Arial" w:cs="Arial"/>
                <w:sz w:val="24"/>
                <w:szCs w:val="24"/>
              </w:rPr>
              <w:t>N</w:t>
            </w:r>
            <w:proofErr w:type="spellEnd"/>
            <w:r w:rsidRPr="00FA7F13">
              <w:rPr>
                <w:rFonts w:ascii="Arial" w:hAnsi="Arial" w:cs="Arial"/>
                <w:sz w:val="24"/>
                <w:szCs w:val="24"/>
              </w:rPr>
              <w:t xml:space="preserve"> SHIVUTE     </w:t>
            </w:r>
          </w:p>
          <w:p w:rsidR="00177125" w:rsidRPr="00FA7F13" w:rsidRDefault="00177125" w:rsidP="00202377">
            <w:pPr>
              <w:spacing w:line="360" w:lineRule="auto"/>
              <w:jc w:val="both"/>
              <w:rPr>
                <w:rFonts w:ascii="Arial" w:hAnsi="Arial" w:cs="Arial"/>
                <w:sz w:val="24"/>
                <w:szCs w:val="24"/>
              </w:rPr>
            </w:pPr>
            <w:r w:rsidRPr="00FA7F13">
              <w:rPr>
                <w:rFonts w:ascii="Arial" w:hAnsi="Arial" w:cs="Arial"/>
                <w:sz w:val="24"/>
                <w:szCs w:val="24"/>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177125" w:rsidRPr="000942A3" w:rsidRDefault="004C41D8" w:rsidP="00202377">
            <w:pPr>
              <w:spacing w:line="360" w:lineRule="auto"/>
              <w:jc w:val="center"/>
              <w:rPr>
                <w:rFonts w:ascii="Arial" w:hAnsi="Arial" w:cs="Arial"/>
                <w:sz w:val="24"/>
                <w:szCs w:val="24"/>
                <w:lang w:val="en-US"/>
              </w:rPr>
            </w:pPr>
            <w:r>
              <w:rPr>
                <w:rFonts w:ascii="Arial" w:hAnsi="Arial" w:cs="Arial"/>
                <w:sz w:val="24"/>
                <w:szCs w:val="24"/>
                <w:lang w:val="en-US"/>
              </w:rPr>
              <w:t>J C LIEBENBERG</w:t>
            </w:r>
          </w:p>
          <w:p w:rsidR="00177125" w:rsidRDefault="00177125" w:rsidP="00202377">
            <w:pPr>
              <w:spacing w:line="360" w:lineRule="auto"/>
              <w:jc w:val="center"/>
              <w:rPr>
                <w:rFonts w:ascii="Arial" w:hAnsi="Arial" w:cs="Arial"/>
                <w:sz w:val="24"/>
                <w:szCs w:val="24"/>
                <w:lang w:val="en-US"/>
              </w:rPr>
            </w:pPr>
            <w:r w:rsidRPr="000942A3">
              <w:rPr>
                <w:rFonts w:ascii="Arial" w:hAnsi="Arial" w:cs="Arial"/>
                <w:sz w:val="24"/>
                <w:szCs w:val="24"/>
                <w:lang w:val="en-US"/>
              </w:rPr>
              <w:t>JUDGE</w:t>
            </w:r>
          </w:p>
          <w:p w:rsidR="00177125" w:rsidRPr="00FA7F13" w:rsidRDefault="00177125" w:rsidP="00202377">
            <w:pPr>
              <w:spacing w:line="360" w:lineRule="auto"/>
              <w:jc w:val="both"/>
              <w:rPr>
                <w:rFonts w:ascii="Arial" w:hAnsi="Arial" w:cs="Arial"/>
                <w:sz w:val="24"/>
                <w:szCs w:val="24"/>
              </w:rPr>
            </w:pPr>
          </w:p>
        </w:tc>
      </w:tr>
    </w:tbl>
    <w:p w:rsidR="00177125" w:rsidRPr="00FA7F13" w:rsidRDefault="00177125" w:rsidP="00177125">
      <w:pPr>
        <w:tabs>
          <w:tab w:val="left" w:pos="1815"/>
        </w:tabs>
        <w:rPr>
          <w:rFonts w:ascii="Arial" w:hAnsi="Arial" w:cs="Arial"/>
          <w:sz w:val="24"/>
          <w:szCs w:val="24"/>
        </w:rPr>
      </w:pPr>
    </w:p>
    <w:p w:rsidR="004520A3" w:rsidRDefault="006E132E"/>
    <w:sectPr w:rsidR="004520A3" w:rsidSect="00B961F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2E" w:rsidRDefault="006E132E">
      <w:pPr>
        <w:spacing w:after="0" w:line="240" w:lineRule="auto"/>
      </w:pPr>
      <w:r>
        <w:separator/>
      </w:r>
    </w:p>
  </w:endnote>
  <w:endnote w:type="continuationSeparator" w:id="0">
    <w:p w:rsidR="006E132E" w:rsidRDefault="006E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2E" w:rsidRDefault="006E132E">
      <w:pPr>
        <w:spacing w:after="0" w:line="240" w:lineRule="auto"/>
      </w:pPr>
      <w:r>
        <w:separator/>
      </w:r>
    </w:p>
  </w:footnote>
  <w:footnote w:type="continuationSeparator" w:id="0">
    <w:p w:rsidR="006E132E" w:rsidRDefault="006E1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680"/>
      <w:docPartObj>
        <w:docPartGallery w:val="Page Numbers (Top of Page)"/>
        <w:docPartUnique/>
      </w:docPartObj>
    </w:sdtPr>
    <w:sdtEndPr>
      <w:rPr>
        <w:noProof/>
      </w:rPr>
    </w:sdtEndPr>
    <w:sdtContent>
      <w:p w:rsidR="00B961FD" w:rsidRDefault="00A9091B">
        <w:pPr>
          <w:pStyle w:val="Header"/>
          <w:jc w:val="right"/>
        </w:pPr>
        <w:r>
          <w:fldChar w:fldCharType="begin"/>
        </w:r>
        <w:r>
          <w:instrText xml:space="preserve"> PAGE   \* MERGEFORMAT </w:instrText>
        </w:r>
        <w:r>
          <w:fldChar w:fldCharType="separate"/>
        </w:r>
        <w:r w:rsidR="00E601B7">
          <w:rPr>
            <w:noProof/>
          </w:rPr>
          <w:t>3</w:t>
        </w:r>
        <w:r>
          <w:rPr>
            <w:noProof/>
          </w:rPr>
          <w:fldChar w:fldCharType="end"/>
        </w:r>
      </w:p>
    </w:sdtContent>
  </w:sdt>
  <w:p w:rsidR="00B961FD" w:rsidRDefault="006E1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34B1"/>
    <w:multiLevelType w:val="hybridMultilevel"/>
    <w:tmpl w:val="71E4A0A4"/>
    <w:lvl w:ilvl="0" w:tplc="287C710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E0E1B"/>
    <w:multiLevelType w:val="hybridMultilevel"/>
    <w:tmpl w:val="8EEA0E0C"/>
    <w:lvl w:ilvl="0" w:tplc="D93C6CF6">
      <w:start w:val="2"/>
      <w:numFmt w:val="lowerRoman"/>
      <w:lvlText w:val="(%1)"/>
      <w:lvlJc w:val="left"/>
      <w:pPr>
        <w:ind w:left="1335" w:hanging="72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13C80774"/>
    <w:multiLevelType w:val="hybridMultilevel"/>
    <w:tmpl w:val="9C20FC64"/>
    <w:lvl w:ilvl="0" w:tplc="B38A4C5A">
      <w:start w:val="2"/>
      <w:numFmt w:val="low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7281F96"/>
    <w:multiLevelType w:val="hybridMultilevel"/>
    <w:tmpl w:val="3E80407C"/>
    <w:lvl w:ilvl="0" w:tplc="18CEE0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E24781"/>
    <w:multiLevelType w:val="hybridMultilevel"/>
    <w:tmpl w:val="0262B05E"/>
    <w:lvl w:ilvl="0" w:tplc="08C0ED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39389F"/>
    <w:multiLevelType w:val="hybridMultilevel"/>
    <w:tmpl w:val="5204B4D2"/>
    <w:lvl w:ilvl="0" w:tplc="AC968E1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9654A"/>
    <w:multiLevelType w:val="hybridMultilevel"/>
    <w:tmpl w:val="3F28753C"/>
    <w:lvl w:ilvl="0" w:tplc="B742E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87368"/>
    <w:multiLevelType w:val="hybridMultilevel"/>
    <w:tmpl w:val="352ADE3A"/>
    <w:lvl w:ilvl="0" w:tplc="F2788B9A">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07C1C"/>
    <w:multiLevelType w:val="hybridMultilevel"/>
    <w:tmpl w:val="3F28753C"/>
    <w:lvl w:ilvl="0" w:tplc="B742E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81258"/>
    <w:multiLevelType w:val="hybridMultilevel"/>
    <w:tmpl w:val="F1027846"/>
    <w:lvl w:ilvl="0" w:tplc="7F566D5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D6D40"/>
    <w:multiLevelType w:val="hybridMultilevel"/>
    <w:tmpl w:val="BE267214"/>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6E1461"/>
    <w:multiLevelType w:val="hybridMultilevel"/>
    <w:tmpl w:val="4F20EF36"/>
    <w:lvl w:ilvl="0" w:tplc="885CAD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3"/>
  </w:num>
  <w:num w:numId="5">
    <w:abstractNumId w:val="10"/>
  </w:num>
  <w:num w:numId="6">
    <w:abstractNumId w:val="6"/>
  </w:num>
  <w:num w:numId="7">
    <w:abstractNumId w:val="0"/>
  </w:num>
  <w:num w:numId="8">
    <w:abstractNumId w:val="7"/>
  </w:num>
  <w:num w:numId="9">
    <w:abstractNumId w:val="9"/>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25"/>
    <w:rsid w:val="000041B0"/>
    <w:rsid w:val="000078CD"/>
    <w:rsid w:val="000134D9"/>
    <w:rsid w:val="00031668"/>
    <w:rsid w:val="000316B9"/>
    <w:rsid w:val="000346BD"/>
    <w:rsid w:val="00050F82"/>
    <w:rsid w:val="0008359A"/>
    <w:rsid w:val="000C316F"/>
    <w:rsid w:val="000D024C"/>
    <w:rsid w:val="000E2114"/>
    <w:rsid w:val="00177125"/>
    <w:rsid w:val="001A73DF"/>
    <w:rsid w:val="001D7A4D"/>
    <w:rsid w:val="00223B5C"/>
    <w:rsid w:val="002702DC"/>
    <w:rsid w:val="002B4677"/>
    <w:rsid w:val="002E594E"/>
    <w:rsid w:val="00394007"/>
    <w:rsid w:val="003C3B48"/>
    <w:rsid w:val="004C41D8"/>
    <w:rsid w:val="00536AF5"/>
    <w:rsid w:val="00553689"/>
    <w:rsid w:val="0055712D"/>
    <w:rsid w:val="00583371"/>
    <w:rsid w:val="00625F89"/>
    <w:rsid w:val="006364DA"/>
    <w:rsid w:val="006535A4"/>
    <w:rsid w:val="006A7A84"/>
    <w:rsid w:val="006D1421"/>
    <w:rsid w:val="006E132E"/>
    <w:rsid w:val="006F0B93"/>
    <w:rsid w:val="00735B9F"/>
    <w:rsid w:val="00743B95"/>
    <w:rsid w:val="007709B9"/>
    <w:rsid w:val="00791431"/>
    <w:rsid w:val="007F166E"/>
    <w:rsid w:val="008244D9"/>
    <w:rsid w:val="008253C0"/>
    <w:rsid w:val="00847A97"/>
    <w:rsid w:val="008D6D87"/>
    <w:rsid w:val="008F33D5"/>
    <w:rsid w:val="00922E18"/>
    <w:rsid w:val="00967B16"/>
    <w:rsid w:val="009754E2"/>
    <w:rsid w:val="009A5C4B"/>
    <w:rsid w:val="009A7CA8"/>
    <w:rsid w:val="009C5F3D"/>
    <w:rsid w:val="00A408D6"/>
    <w:rsid w:val="00A4233C"/>
    <w:rsid w:val="00A9091B"/>
    <w:rsid w:val="00B567EF"/>
    <w:rsid w:val="00B81E88"/>
    <w:rsid w:val="00BA5513"/>
    <w:rsid w:val="00BD3F65"/>
    <w:rsid w:val="00BD6844"/>
    <w:rsid w:val="00BD72A1"/>
    <w:rsid w:val="00C076D7"/>
    <w:rsid w:val="00C413FE"/>
    <w:rsid w:val="00CC424A"/>
    <w:rsid w:val="00D13C03"/>
    <w:rsid w:val="00E601B7"/>
    <w:rsid w:val="00E61C71"/>
    <w:rsid w:val="00E83FA3"/>
    <w:rsid w:val="00EC1881"/>
    <w:rsid w:val="00F333C6"/>
    <w:rsid w:val="00F44527"/>
    <w:rsid w:val="00F63C64"/>
    <w:rsid w:val="00F825A5"/>
    <w:rsid w:val="00FA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EC8AF-CEC4-47C5-B353-CFFA465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25"/>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25"/>
    <w:pPr>
      <w:ind w:left="720"/>
      <w:contextualSpacing/>
    </w:pPr>
  </w:style>
  <w:style w:type="table" w:styleId="TableGrid">
    <w:name w:val="Table Grid"/>
    <w:basedOn w:val="TableNormal"/>
    <w:uiPriority w:val="39"/>
    <w:rsid w:val="0017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125"/>
    <w:rPr>
      <w:lang w:val="en-ZA"/>
    </w:rPr>
  </w:style>
  <w:style w:type="paragraph" w:styleId="BodyText">
    <w:name w:val="Body Text"/>
    <w:basedOn w:val="Normal"/>
    <w:link w:val="BodyTextChar"/>
    <w:unhideWhenUsed/>
    <w:rsid w:val="00F44527"/>
    <w:pPr>
      <w:spacing w:after="0" w:line="240" w:lineRule="auto"/>
      <w:jc w:val="both"/>
    </w:pPr>
    <w:rPr>
      <w:rFonts w:ascii="Book Antiqua" w:eastAsia="Times New Roman" w:hAnsi="Book Antiqua" w:cs="Times New Roman"/>
      <w:sz w:val="24"/>
      <w:szCs w:val="24"/>
      <w:lang w:val="en-GB"/>
    </w:rPr>
  </w:style>
  <w:style w:type="character" w:customStyle="1" w:styleId="BodyTextChar">
    <w:name w:val="Body Text Char"/>
    <w:basedOn w:val="DefaultParagraphFont"/>
    <w:link w:val="BodyText"/>
    <w:rsid w:val="00F44527"/>
    <w:rPr>
      <w:rFonts w:ascii="Book Antiqua" w:eastAsia="Times New Roman" w:hAnsi="Book Antiqua" w:cs="Times New Roman"/>
      <w:sz w:val="24"/>
      <w:szCs w:val="24"/>
      <w:lang w:val="en-GB"/>
    </w:rPr>
  </w:style>
  <w:style w:type="paragraph" w:styleId="BalloonText">
    <w:name w:val="Balloon Text"/>
    <w:basedOn w:val="Normal"/>
    <w:link w:val="BalloonTextChar"/>
    <w:uiPriority w:val="99"/>
    <w:semiHidden/>
    <w:unhideWhenUsed/>
    <w:rsid w:val="00557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12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2023-10-11T18:30:00+00:00</Judgment_x0020_Date>
  </documentManagement>
</p:properties>
</file>

<file path=customXml/itemProps1.xml><?xml version="1.0" encoding="utf-8"?>
<ds:datastoreItem xmlns:ds="http://schemas.openxmlformats.org/officeDocument/2006/customXml" ds:itemID="{7091527C-56E3-4F51-8A1F-A03BB8F29F1A}"/>
</file>

<file path=customXml/itemProps2.xml><?xml version="1.0" encoding="utf-8"?>
<ds:datastoreItem xmlns:ds="http://schemas.openxmlformats.org/officeDocument/2006/customXml" ds:itemID="{16C55C9F-FFC4-4658-9927-7DB6E64DBBB0}"/>
</file>

<file path=customXml/itemProps3.xml><?xml version="1.0" encoding="utf-8"?>
<ds:datastoreItem xmlns:ds="http://schemas.openxmlformats.org/officeDocument/2006/customXml" ds:itemID="{AF465A9F-F648-4B0E-8CEF-91F12B1B2F54}"/>
</file>

<file path=docProps/app.xml><?xml version="1.0" encoding="utf-8"?>
<Properties xmlns="http://schemas.openxmlformats.org/officeDocument/2006/extended-properties" xmlns:vt="http://schemas.openxmlformats.org/officeDocument/2006/docPropsVTypes">
  <Template>Normal</Template>
  <TotalTime>163</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Jonas (CR 100-2023) [2023] NAHCMD 642 ( 12 October 2023)</dc:title>
  <dc:subject/>
  <dc:creator>Victoria Sem</dc:creator>
  <cp:keywords/>
  <dc:description/>
  <cp:lastModifiedBy>Victoria Sem</cp:lastModifiedBy>
  <cp:revision>15</cp:revision>
  <cp:lastPrinted>2023-10-12T05:56:00Z</cp:lastPrinted>
  <dcterms:created xsi:type="dcterms:W3CDTF">2023-10-04T10:36:00Z</dcterms:created>
  <dcterms:modified xsi:type="dcterms:W3CDTF">2023-10-12T05:56:00Z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