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C6ED" w14:textId="77777777" w:rsidR="00FA1301" w:rsidRPr="00FA1301" w:rsidRDefault="000C0C55" w:rsidP="00791754">
      <w:pPr>
        <w:pStyle w:val="Title"/>
      </w:pPr>
      <w:r w:rsidRPr="00FA1301">
        <w:rPr>
          <w:noProof/>
        </w:rPr>
        <w:drawing>
          <wp:anchor distT="0" distB="0" distL="114300" distR="114300" simplePos="0" relativeHeight="251660288" behindDoc="1" locked="0" layoutInCell="1" allowOverlap="1" wp14:anchorId="523497BB" wp14:editId="68DF21A5">
            <wp:simplePos x="0" y="0"/>
            <wp:positionH relativeFrom="column">
              <wp:posOffset>2317750</wp:posOffset>
            </wp:positionH>
            <wp:positionV relativeFrom="paragraph">
              <wp:posOffset>311150</wp:posOffset>
            </wp:positionV>
            <wp:extent cx="1280160" cy="1325880"/>
            <wp:effectExtent l="0" t="0" r="0" b="7620"/>
            <wp:wrapTopAndBottom/>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anchor>
        </w:drawing>
      </w:r>
      <w:r w:rsidR="00FA1301" w:rsidRPr="00FA1301">
        <w:rPr>
          <w:noProof/>
        </w:rPr>
        <mc:AlternateContent>
          <mc:Choice Requires="wps">
            <w:drawing>
              <wp:anchor distT="0" distB="0" distL="114300" distR="114300" simplePos="0" relativeHeight="251659264" behindDoc="0" locked="0" layoutInCell="1" allowOverlap="1" wp14:anchorId="1111390C" wp14:editId="5CC62E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AEB4A6C" w14:textId="77777777" w:rsidR="00EB7712" w:rsidRDefault="00EB7712" w:rsidP="00FA130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E803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B7712" w:rsidRDefault="00EB7712" w:rsidP="00FA1301">
                      <w:pPr>
                        <w:jc w:val="right"/>
                      </w:pPr>
                    </w:p>
                  </w:txbxContent>
                </v:textbox>
              </v:shape>
            </w:pict>
          </mc:Fallback>
        </mc:AlternateContent>
      </w:r>
      <w:r w:rsidR="00FA1301" w:rsidRPr="00FA1301">
        <w:t>REPUBLIC OF NAMIBIA</w:t>
      </w:r>
    </w:p>
    <w:p w14:paraId="267837A2" w14:textId="77777777" w:rsidR="00FA1301" w:rsidRPr="00FA1301" w:rsidRDefault="00FA1301" w:rsidP="00FA1301">
      <w:pPr>
        <w:spacing w:after="0" w:line="360" w:lineRule="auto"/>
        <w:ind w:left="2520" w:firstLine="720"/>
        <w:rPr>
          <w:rFonts w:ascii="Arial" w:eastAsia="Calibri" w:hAnsi="Arial" w:cs="Arial"/>
          <w:b/>
          <w:color w:val="000000" w:themeColor="text1"/>
          <w:szCs w:val="24"/>
        </w:rPr>
      </w:pPr>
    </w:p>
    <w:p w14:paraId="6CFB0AE7" w14:textId="77777777" w:rsidR="00FA1301" w:rsidRPr="00C268F2" w:rsidRDefault="00FA1301" w:rsidP="00DA7BB1">
      <w:pPr>
        <w:spacing w:after="0" w:line="360" w:lineRule="auto"/>
        <w:jc w:val="center"/>
        <w:rPr>
          <w:rFonts w:ascii="Arial" w:eastAsia="Calibri" w:hAnsi="Arial" w:cs="Arial"/>
          <w:b/>
          <w:color w:val="000000" w:themeColor="text1"/>
          <w:sz w:val="24"/>
          <w:szCs w:val="24"/>
        </w:rPr>
      </w:pPr>
      <w:r w:rsidRPr="00C268F2">
        <w:rPr>
          <w:rFonts w:ascii="Arial" w:eastAsia="Calibri" w:hAnsi="Arial" w:cs="Arial"/>
          <w:b/>
          <w:color w:val="000000" w:themeColor="text1"/>
          <w:sz w:val="24"/>
          <w:szCs w:val="24"/>
        </w:rPr>
        <w:t>IN THE HIGH COURT OF NAMIBIA MAIN DIVISION, WINDHOEK</w:t>
      </w:r>
    </w:p>
    <w:p w14:paraId="75DE43F0" w14:textId="77777777" w:rsidR="00FA1301" w:rsidRPr="00C268F2" w:rsidRDefault="00FA1301" w:rsidP="00FA1301">
      <w:pPr>
        <w:pStyle w:val="ListParagraph"/>
        <w:spacing w:after="0" w:line="360" w:lineRule="auto"/>
        <w:ind w:left="1440" w:firstLine="720"/>
        <w:rPr>
          <w:rFonts w:ascii="Arial" w:eastAsia="Calibri" w:hAnsi="Arial" w:cs="Arial"/>
          <w:bCs/>
          <w:color w:val="000000" w:themeColor="text1"/>
          <w:sz w:val="24"/>
          <w:szCs w:val="24"/>
        </w:rPr>
      </w:pPr>
    </w:p>
    <w:p w14:paraId="6AE1507C" w14:textId="77777777" w:rsidR="00FA1301" w:rsidRPr="00C268F2" w:rsidRDefault="00FA1301" w:rsidP="000C0C55">
      <w:pPr>
        <w:tabs>
          <w:tab w:val="right" w:pos="9000"/>
        </w:tabs>
        <w:spacing w:after="0" w:line="360" w:lineRule="auto"/>
        <w:jc w:val="center"/>
        <w:rPr>
          <w:rFonts w:ascii="Arial" w:eastAsia="Calibri" w:hAnsi="Arial" w:cs="Arial"/>
          <w:b/>
          <w:color w:val="000000" w:themeColor="text1"/>
          <w:sz w:val="24"/>
          <w:szCs w:val="24"/>
        </w:rPr>
      </w:pPr>
      <w:r w:rsidRPr="00C268F2">
        <w:rPr>
          <w:rFonts w:ascii="Arial" w:eastAsia="Calibri" w:hAnsi="Arial" w:cs="Arial"/>
          <w:b/>
          <w:color w:val="000000" w:themeColor="text1"/>
          <w:sz w:val="24"/>
          <w:szCs w:val="24"/>
        </w:rPr>
        <w:t>JUDGMENT</w:t>
      </w:r>
    </w:p>
    <w:p w14:paraId="60D9A074" w14:textId="77777777" w:rsidR="00FA1301" w:rsidRPr="00FA1301" w:rsidRDefault="00FA1301" w:rsidP="00FA1301">
      <w:pPr>
        <w:spacing w:after="157"/>
        <w:jc w:val="center"/>
        <w:rPr>
          <w:rFonts w:ascii="Arial" w:hAnsi="Arial" w:cs="Arial"/>
          <w:b/>
          <w:bCs/>
        </w:rPr>
      </w:pPr>
    </w:p>
    <w:p w14:paraId="17ED6247" w14:textId="77777777" w:rsidR="00FA1301" w:rsidRPr="00FA1301" w:rsidRDefault="00FA1301" w:rsidP="00FA1301">
      <w:pPr>
        <w:spacing w:after="157"/>
        <w:jc w:val="right"/>
        <w:rPr>
          <w:rFonts w:ascii="Arial" w:hAnsi="Arial" w:cs="Arial"/>
          <w:bCs/>
          <w:sz w:val="24"/>
          <w:szCs w:val="24"/>
        </w:rPr>
      </w:pPr>
      <w:r w:rsidRPr="00FA1301">
        <w:rPr>
          <w:rFonts w:ascii="Arial" w:hAnsi="Arial" w:cs="Arial"/>
          <w:b/>
          <w:bCs/>
        </w:rPr>
        <w:t xml:space="preserve">Case Number: </w:t>
      </w:r>
      <w:r w:rsidRPr="00FA1301">
        <w:rPr>
          <w:rFonts w:ascii="Arial" w:hAnsi="Arial" w:cs="Arial"/>
          <w:color w:val="333333"/>
          <w:sz w:val="24"/>
          <w:szCs w:val="24"/>
          <w:shd w:val="clear" w:color="auto" w:fill="FFFFFF"/>
        </w:rPr>
        <w:t>HC-MD-CIV-MOT-REV-2022/00359</w:t>
      </w:r>
    </w:p>
    <w:p w14:paraId="08DFF2FF" w14:textId="77777777" w:rsidR="00FA1301" w:rsidRDefault="00FA1301" w:rsidP="00FA1301">
      <w:pPr>
        <w:spacing w:after="157"/>
        <w:rPr>
          <w:rFonts w:ascii="Arial" w:hAnsi="Arial" w:cs="Arial"/>
        </w:rPr>
      </w:pPr>
      <w:r w:rsidRPr="00FA1301">
        <w:rPr>
          <w:rFonts w:ascii="Arial" w:hAnsi="Arial" w:cs="Arial"/>
        </w:rPr>
        <w:t>In the matter between:</w:t>
      </w:r>
    </w:p>
    <w:p w14:paraId="1279D2C4" w14:textId="77777777" w:rsidR="00DA7BB1" w:rsidRPr="00FA1301" w:rsidRDefault="00DA7BB1" w:rsidP="00FA1301">
      <w:pPr>
        <w:spacing w:after="157"/>
        <w:rPr>
          <w:rFonts w:ascii="Arial" w:hAnsi="Arial" w:cs="Arial"/>
        </w:rPr>
      </w:pPr>
    </w:p>
    <w:p w14:paraId="66977088" w14:textId="77777777" w:rsidR="00FA1301" w:rsidRDefault="00FA1301" w:rsidP="00FA1301">
      <w:pPr>
        <w:spacing w:after="157"/>
        <w:rPr>
          <w:rFonts w:ascii="Arial" w:hAnsi="Arial" w:cs="Arial"/>
          <w:b/>
          <w:bCs/>
          <w:sz w:val="24"/>
          <w:szCs w:val="24"/>
        </w:rPr>
      </w:pPr>
      <w:r>
        <w:rPr>
          <w:rFonts w:ascii="Arial" w:hAnsi="Arial" w:cs="Arial"/>
          <w:b/>
          <w:bCs/>
          <w:sz w:val="24"/>
          <w:szCs w:val="24"/>
        </w:rPr>
        <w:t>HANUS PROPERTIES AND CONSULTANTS CC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1</w:t>
      </w:r>
      <w:r>
        <w:rPr>
          <w:rFonts w:ascii="Arial" w:hAnsi="Arial" w:cs="Arial"/>
          <w:b/>
          <w:bCs/>
          <w:sz w:val="24"/>
          <w:szCs w:val="24"/>
          <w:vertAlign w:val="superscript"/>
        </w:rPr>
        <w:t>st</w:t>
      </w:r>
      <w:r>
        <w:rPr>
          <w:rFonts w:ascii="Arial" w:hAnsi="Arial" w:cs="Arial"/>
          <w:b/>
          <w:bCs/>
          <w:sz w:val="24"/>
          <w:szCs w:val="24"/>
        </w:rPr>
        <w:t xml:space="preserve"> APPLICANT</w:t>
      </w:r>
    </w:p>
    <w:p w14:paraId="5AC50E9C" w14:textId="77777777" w:rsidR="00FA1301" w:rsidRPr="00FA1301" w:rsidRDefault="00FA1301" w:rsidP="00FA1301">
      <w:pPr>
        <w:spacing w:after="157"/>
        <w:rPr>
          <w:rFonts w:ascii="Arial" w:hAnsi="Arial" w:cs="Arial"/>
          <w:b/>
          <w:bCs/>
          <w:sz w:val="24"/>
          <w:szCs w:val="24"/>
        </w:rPr>
      </w:pPr>
      <w:r>
        <w:rPr>
          <w:rFonts w:ascii="Arial" w:hAnsi="Arial" w:cs="Arial"/>
          <w:b/>
          <w:bCs/>
          <w:sz w:val="24"/>
          <w:szCs w:val="24"/>
        </w:rPr>
        <w:t xml:space="preserve">HAROLD ARTHUR VON LȔTTICHOU                                   </w:t>
      </w:r>
      <w:r>
        <w:rPr>
          <w:rFonts w:ascii="Arial" w:hAnsi="Arial" w:cs="Arial"/>
          <w:b/>
          <w:bCs/>
          <w:sz w:val="24"/>
          <w:szCs w:val="24"/>
        </w:rPr>
        <w:tab/>
        <w:t xml:space="preserve">     2</w:t>
      </w:r>
      <w:r>
        <w:rPr>
          <w:rFonts w:ascii="Arial" w:hAnsi="Arial" w:cs="Arial"/>
          <w:b/>
          <w:bCs/>
          <w:sz w:val="24"/>
          <w:szCs w:val="24"/>
          <w:vertAlign w:val="superscript"/>
        </w:rPr>
        <w:t>nd</w:t>
      </w:r>
      <w:r>
        <w:rPr>
          <w:rFonts w:ascii="Arial" w:hAnsi="Arial" w:cs="Arial"/>
          <w:b/>
          <w:bCs/>
          <w:sz w:val="24"/>
          <w:szCs w:val="24"/>
        </w:rPr>
        <w:t xml:space="preserve"> APPLICANT</w:t>
      </w:r>
    </w:p>
    <w:p w14:paraId="54CE6484" w14:textId="77777777" w:rsidR="00FA1301" w:rsidRPr="00FA1301" w:rsidRDefault="00FA1301" w:rsidP="00FA1301">
      <w:pPr>
        <w:spacing w:after="157"/>
        <w:rPr>
          <w:rFonts w:ascii="Arial" w:hAnsi="Arial" w:cs="Arial"/>
          <w:b/>
          <w:bCs/>
          <w:sz w:val="24"/>
          <w:szCs w:val="24"/>
        </w:rPr>
      </w:pPr>
    </w:p>
    <w:p w14:paraId="0CF300BC" w14:textId="77777777" w:rsidR="00FA1301" w:rsidRPr="00FC3B08" w:rsidRDefault="00FC3B08" w:rsidP="00FC3B08">
      <w:pPr>
        <w:pStyle w:val="western"/>
        <w:spacing w:before="0" w:beforeAutospacing="0" w:after="157" w:afterAutospacing="0" w:line="259" w:lineRule="auto"/>
        <w:rPr>
          <w:rFonts w:ascii="Arial" w:eastAsiaTheme="minorHAnsi" w:hAnsi="Arial" w:cs="Arial"/>
          <w:bCs/>
          <w:lang w:val="en-US" w:eastAsia="en-US"/>
        </w:rPr>
      </w:pPr>
      <w:r w:rsidRPr="00FC3B08">
        <w:rPr>
          <w:rFonts w:ascii="Arial" w:eastAsiaTheme="minorHAnsi" w:hAnsi="Arial" w:cs="Arial"/>
          <w:bCs/>
          <w:lang w:val="en-US" w:eastAsia="en-US"/>
        </w:rPr>
        <w:t>a</w:t>
      </w:r>
      <w:r w:rsidR="00FA1301" w:rsidRPr="00FC3B08">
        <w:rPr>
          <w:rFonts w:ascii="Arial" w:eastAsiaTheme="minorHAnsi" w:hAnsi="Arial" w:cs="Arial"/>
          <w:bCs/>
          <w:lang w:val="en-US" w:eastAsia="en-US"/>
        </w:rPr>
        <w:t xml:space="preserve">nd </w:t>
      </w:r>
    </w:p>
    <w:p w14:paraId="616FEB89" w14:textId="77777777" w:rsidR="00FA1301" w:rsidRPr="00FA1301" w:rsidRDefault="00FA1301" w:rsidP="00FA1301">
      <w:pPr>
        <w:spacing w:after="157"/>
        <w:rPr>
          <w:rFonts w:ascii="Arial" w:hAnsi="Arial" w:cs="Arial"/>
          <w:b/>
          <w:bCs/>
          <w:sz w:val="24"/>
          <w:szCs w:val="24"/>
        </w:rPr>
      </w:pPr>
    </w:p>
    <w:p w14:paraId="1DABCC4D" w14:textId="77777777" w:rsidR="00FC3B08" w:rsidRDefault="00FA1301" w:rsidP="00FA1301">
      <w:pPr>
        <w:spacing w:after="157"/>
        <w:rPr>
          <w:rFonts w:ascii="Arial" w:hAnsi="Arial" w:cs="Arial"/>
          <w:b/>
          <w:bCs/>
          <w:sz w:val="24"/>
          <w:szCs w:val="24"/>
        </w:rPr>
      </w:pPr>
      <w:r>
        <w:rPr>
          <w:rFonts w:ascii="Arial" w:hAnsi="Arial" w:cs="Arial"/>
          <w:b/>
          <w:bCs/>
          <w:sz w:val="24"/>
          <w:szCs w:val="24"/>
        </w:rPr>
        <w:t>THE DEPUTY</w:t>
      </w:r>
      <w:r w:rsidR="00E94A75">
        <w:rPr>
          <w:rFonts w:ascii="Arial" w:hAnsi="Arial" w:cs="Arial"/>
          <w:b/>
          <w:bCs/>
          <w:sz w:val="24"/>
          <w:szCs w:val="24"/>
        </w:rPr>
        <w:t>-</w:t>
      </w:r>
      <w:r>
        <w:rPr>
          <w:rFonts w:ascii="Arial" w:hAnsi="Arial" w:cs="Arial"/>
          <w:b/>
          <w:bCs/>
          <w:sz w:val="24"/>
          <w:szCs w:val="24"/>
        </w:rPr>
        <w:t xml:space="preserve">SHERIFF FOR THE </w:t>
      </w:r>
      <w:r w:rsidR="000B75B9">
        <w:rPr>
          <w:rFonts w:ascii="Arial" w:hAnsi="Arial" w:cs="Arial"/>
          <w:b/>
          <w:bCs/>
          <w:sz w:val="24"/>
          <w:szCs w:val="24"/>
        </w:rPr>
        <w:t>DISTRICT</w:t>
      </w:r>
      <w:r>
        <w:rPr>
          <w:rFonts w:ascii="Arial" w:hAnsi="Arial" w:cs="Arial"/>
          <w:b/>
          <w:bCs/>
          <w:sz w:val="24"/>
          <w:szCs w:val="24"/>
        </w:rPr>
        <w:t xml:space="preserve"> OF</w:t>
      </w:r>
      <w:r w:rsidR="000506BB">
        <w:rPr>
          <w:rFonts w:ascii="Arial" w:hAnsi="Arial" w:cs="Arial"/>
          <w:b/>
          <w:bCs/>
          <w:sz w:val="24"/>
          <w:szCs w:val="24"/>
        </w:rPr>
        <w:t xml:space="preserve"> </w:t>
      </w:r>
    </w:p>
    <w:p w14:paraId="62C95E2B" w14:textId="77777777" w:rsidR="00FA1301" w:rsidRPr="00FA1301" w:rsidRDefault="00FA1301" w:rsidP="00FA1301">
      <w:pPr>
        <w:spacing w:after="157"/>
        <w:rPr>
          <w:rFonts w:ascii="Arial" w:hAnsi="Arial" w:cs="Arial"/>
          <w:b/>
          <w:bCs/>
          <w:sz w:val="24"/>
          <w:szCs w:val="24"/>
        </w:rPr>
      </w:pPr>
      <w:r>
        <w:rPr>
          <w:rFonts w:ascii="Arial" w:hAnsi="Arial" w:cs="Arial"/>
          <w:b/>
          <w:bCs/>
          <w:sz w:val="24"/>
          <w:szCs w:val="24"/>
        </w:rPr>
        <w:t>SWAKOPMUND</w:t>
      </w:r>
      <w:r w:rsidRPr="00FA1301">
        <w:rPr>
          <w:rFonts w:ascii="Arial" w:hAnsi="Arial" w:cs="Arial"/>
          <w:b/>
          <w:bCs/>
          <w:sz w:val="24"/>
          <w:szCs w:val="24"/>
        </w:rPr>
        <w:tab/>
      </w:r>
      <w:r w:rsidRPr="00FA130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FA1301">
        <w:rPr>
          <w:rFonts w:ascii="Arial" w:hAnsi="Arial" w:cs="Arial"/>
          <w:b/>
          <w:bCs/>
          <w:sz w:val="24"/>
          <w:szCs w:val="24"/>
        </w:rPr>
        <w:t>1</w:t>
      </w:r>
      <w:r w:rsidRPr="00FA1301">
        <w:rPr>
          <w:rFonts w:ascii="Arial" w:hAnsi="Arial" w:cs="Arial"/>
          <w:b/>
          <w:bCs/>
          <w:sz w:val="24"/>
          <w:szCs w:val="24"/>
          <w:vertAlign w:val="superscript"/>
        </w:rPr>
        <w:t>st</w:t>
      </w:r>
      <w:r w:rsidRPr="00FA1301">
        <w:rPr>
          <w:rFonts w:ascii="Arial" w:hAnsi="Arial" w:cs="Arial"/>
          <w:b/>
          <w:bCs/>
          <w:sz w:val="24"/>
          <w:szCs w:val="24"/>
        </w:rPr>
        <w:t xml:space="preserve"> RESPONDENT</w:t>
      </w:r>
    </w:p>
    <w:p w14:paraId="622E7A4D" w14:textId="77777777" w:rsidR="00FA1301" w:rsidRPr="00FA1301" w:rsidRDefault="00FA1301" w:rsidP="00FA1301">
      <w:pPr>
        <w:spacing w:after="157"/>
        <w:rPr>
          <w:rFonts w:ascii="Arial" w:hAnsi="Arial" w:cs="Arial"/>
          <w:b/>
          <w:bCs/>
          <w:sz w:val="24"/>
          <w:szCs w:val="24"/>
        </w:rPr>
      </w:pPr>
      <w:r>
        <w:rPr>
          <w:rFonts w:ascii="Arial" w:hAnsi="Arial" w:cs="Arial"/>
          <w:b/>
          <w:bCs/>
          <w:sz w:val="24"/>
          <w:szCs w:val="24"/>
        </w:rPr>
        <w:t>STANDARD BANK NAMIBIA LIMITED</w:t>
      </w:r>
      <w:r w:rsidRPr="00FA1301">
        <w:rPr>
          <w:rFonts w:ascii="Arial" w:hAnsi="Arial" w:cs="Arial"/>
          <w:b/>
          <w:bCs/>
          <w:sz w:val="24"/>
          <w:szCs w:val="24"/>
        </w:rPr>
        <w:tab/>
      </w:r>
      <w:r w:rsidRPr="00FA1301">
        <w:rPr>
          <w:rFonts w:ascii="Arial" w:hAnsi="Arial" w:cs="Arial"/>
          <w:b/>
          <w:bCs/>
          <w:sz w:val="24"/>
          <w:szCs w:val="24"/>
        </w:rPr>
        <w:tab/>
      </w:r>
      <w:r w:rsidRPr="00FA1301">
        <w:rPr>
          <w:rFonts w:ascii="Arial" w:hAnsi="Arial" w:cs="Arial"/>
          <w:b/>
          <w:bCs/>
          <w:sz w:val="24"/>
          <w:szCs w:val="24"/>
        </w:rPr>
        <w:tab/>
      </w:r>
      <w:r w:rsidRPr="00FA1301">
        <w:rPr>
          <w:rFonts w:ascii="Arial" w:hAnsi="Arial" w:cs="Arial"/>
          <w:b/>
          <w:bCs/>
          <w:sz w:val="24"/>
          <w:szCs w:val="24"/>
        </w:rPr>
        <w:tab/>
      </w:r>
      <w:r>
        <w:rPr>
          <w:rFonts w:ascii="Arial" w:hAnsi="Arial" w:cs="Arial"/>
          <w:b/>
          <w:bCs/>
          <w:sz w:val="24"/>
          <w:szCs w:val="24"/>
        </w:rPr>
        <w:tab/>
      </w:r>
      <w:r w:rsidRPr="00FA1301">
        <w:rPr>
          <w:rFonts w:ascii="Arial" w:hAnsi="Arial" w:cs="Arial"/>
          <w:b/>
          <w:bCs/>
          <w:sz w:val="24"/>
          <w:szCs w:val="24"/>
        </w:rPr>
        <w:t>2</w:t>
      </w:r>
      <w:r w:rsidRPr="00FA1301">
        <w:rPr>
          <w:rFonts w:ascii="Arial" w:hAnsi="Arial" w:cs="Arial"/>
          <w:b/>
          <w:bCs/>
          <w:sz w:val="24"/>
          <w:szCs w:val="24"/>
          <w:vertAlign w:val="superscript"/>
        </w:rPr>
        <w:t>nd</w:t>
      </w:r>
      <w:r w:rsidRPr="00FA1301">
        <w:rPr>
          <w:rFonts w:ascii="Arial" w:hAnsi="Arial" w:cs="Arial"/>
          <w:b/>
          <w:bCs/>
          <w:sz w:val="24"/>
          <w:szCs w:val="24"/>
        </w:rPr>
        <w:t xml:space="preserve"> RESPONDENT</w:t>
      </w:r>
    </w:p>
    <w:p w14:paraId="2C16BE48" w14:textId="77777777" w:rsidR="00FA1301" w:rsidRDefault="00FA1301" w:rsidP="00FA1301">
      <w:pPr>
        <w:spacing w:after="157"/>
        <w:rPr>
          <w:rFonts w:ascii="Arial" w:hAnsi="Arial" w:cs="Arial"/>
          <w:b/>
          <w:bCs/>
          <w:sz w:val="24"/>
          <w:szCs w:val="24"/>
        </w:rPr>
      </w:pPr>
      <w:r>
        <w:rPr>
          <w:rFonts w:ascii="Arial" w:hAnsi="Arial" w:cs="Arial"/>
          <w:b/>
          <w:bCs/>
          <w:sz w:val="24"/>
          <w:szCs w:val="24"/>
        </w:rPr>
        <w:t>CONROY MOUTON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FA1301">
        <w:rPr>
          <w:rFonts w:ascii="Arial" w:hAnsi="Arial" w:cs="Arial"/>
          <w:b/>
          <w:bCs/>
          <w:sz w:val="24"/>
          <w:szCs w:val="24"/>
        </w:rPr>
        <w:tab/>
      </w:r>
      <w:r w:rsidRPr="00FA1301">
        <w:rPr>
          <w:rFonts w:ascii="Arial" w:hAnsi="Arial" w:cs="Arial"/>
          <w:b/>
          <w:bCs/>
          <w:sz w:val="24"/>
          <w:szCs w:val="24"/>
        </w:rPr>
        <w:tab/>
      </w:r>
      <w:r>
        <w:rPr>
          <w:rFonts w:ascii="Arial" w:hAnsi="Arial" w:cs="Arial"/>
          <w:b/>
          <w:bCs/>
          <w:sz w:val="24"/>
          <w:szCs w:val="24"/>
        </w:rPr>
        <w:tab/>
      </w:r>
      <w:r w:rsidR="00215A63">
        <w:rPr>
          <w:rFonts w:ascii="Arial" w:hAnsi="Arial" w:cs="Arial"/>
          <w:b/>
          <w:bCs/>
          <w:sz w:val="24"/>
          <w:szCs w:val="24"/>
        </w:rPr>
        <w:t>3</w:t>
      </w:r>
      <w:r w:rsidRPr="00FA1301">
        <w:rPr>
          <w:rFonts w:ascii="Arial" w:hAnsi="Arial" w:cs="Arial"/>
          <w:b/>
          <w:bCs/>
          <w:sz w:val="24"/>
          <w:szCs w:val="24"/>
          <w:vertAlign w:val="superscript"/>
        </w:rPr>
        <w:t>rd</w:t>
      </w:r>
      <w:r w:rsidRPr="00FA1301">
        <w:rPr>
          <w:rFonts w:ascii="Arial" w:hAnsi="Arial" w:cs="Arial"/>
          <w:b/>
          <w:bCs/>
          <w:sz w:val="24"/>
          <w:szCs w:val="24"/>
        </w:rPr>
        <w:t xml:space="preserve"> RESPONDENT</w:t>
      </w:r>
    </w:p>
    <w:p w14:paraId="7F8E8F9E" w14:textId="77777777" w:rsidR="00FA1301" w:rsidRDefault="00FA1301" w:rsidP="00FA1301">
      <w:pPr>
        <w:spacing w:after="157"/>
        <w:rPr>
          <w:rFonts w:ascii="Arial" w:hAnsi="Arial" w:cs="Arial"/>
          <w:b/>
          <w:bCs/>
          <w:sz w:val="24"/>
          <w:szCs w:val="24"/>
        </w:rPr>
      </w:pPr>
      <w:r>
        <w:rPr>
          <w:rFonts w:ascii="Arial" w:hAnsi="Arial" w:cs="Arial"/>
          <w:b/>
          <w:bCs/>
          <w:sz w:val="24"/>
          <w:szCs w:val="24"/>
        </w:rPr>
        <w:t>THE REGISTRAR OF DEEDS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4</w:t>
      </w:r>
      <w:r w:rsidRPr="00FA1301">
        <w:rPr>
          <w:rFonts w:ascii="Arial" w:hAnsi="Arial" w:cs="Arial"/>
          <w:b/>
          <w:bCs/>
          <w:sz w:val="24"/>
          <w:szCs w:val="24"/>
          <w:vertAlign w:val="superscript"/>
        </w:rPr>
        <w:t>th</w:t>
      </w:r>
      <w:r>
        <w:rPr>
          <w:rFonts w:ascii="Arial" w:hAnsi="Arial" w:cs="Arial"/>
          <w:b/>
          <w:bCs/>
          <w:sz w:val="24"/>
          <w:szCs w:val="24"/>
        </w:rPr>
        <w:t xml:space="preserve"> RESPONDENT</w:t>
      </w:r>
    </w:p>
    <w:p w14:paraId="1B289AD5" w14:textId="77777777" w:rsidR="00FA1301" w:rsidRPr="00FA1301" w:rsidRDefault="00FA1301" w:rsidP="00FA1301">
      <w:pPr>
        <w:spacing w:after="157"/>
        <w:rPr>
          <w:rFonts w:ascii="Arial" w:hAnsi="Arial" w:cs="Arial"/>
          <w:b/>
          <w:bCs/>
          <w:sz w:val="24"/>
          <w:szCs w:val="24"/>
        </w:rPr>
      </w:pPr>
      <w:r>
        <w:rPr>
          <w:rFonts w:ascii="Arial" w:hAnsi="Arial" w:cs="Arial"/>
          <w:b/>
          <w:bCs/>
          <w:sz w:val="24"/>
          <w:szCs w:val="24"/>
        </w:rPr>
        <w:t>THE REGISTRAR OF THE HIGH COURT OF NAMIBIA</w:t>
      </w:r>
      <w:r>
        <w:rPr>
          <w:rFonts w:ascii="Arial" w:hAnsi="Arial" w:cs="Arial"/>
          <w:b/>
          <w:bCs/>
          <w:sz w:val="24"/>
          <w:szCs w:val="24"/>
        </w:rPr>
        <w:tab/>
      </w:r>
      <w:r>
        <w:rPr>
          <w:rFonts w:ascii="Arial" w:hAnsi="Arial" w:cs="Arial"/>
          <w:b/>
          <w:bCs/>
          <w:sz w:val="24"/>
          <w:szCs w:val="24"/>
        </w:rPr>
        <w:tab/>
        <w:t xml:space="preserve"> 5</w:t>
      </w:r>
      <w:r w:rsidRPr="00FA1301">
        <w:rPr>
          <w:rFonts w:ascii="Arial" w:hAnsi="Arial" w:cs="Arial"/>
          <w:b/>
          <w:bCs/>
          <w:sz w:val="24"/>
          <w:szCs w:val="24"/>
          <w:vertAlign w:val="superscript"/>
        </w:rPr>
        <w:t>th</w:t>
      </w:r>
      <w:r>
        <w:rPr>
          <w:rFonts w:ascii="Arial" w:hAnsi="Arial" w:cs="Arial"/>
          <w:b/>
          <w:bCs/>
          <w:sz w:val="24"/>
          <w:szCs w:val="24"/>
        </w:rPr>
        <w:t xml:space="preserve"> RESPONDENT</w:t>
      </w:r>
    </w:p>
    <w:p w14:paraId="7FC8AFB9" w14:textId="77777777" w:rsidR="00FA1301" w:rsidRPr="00FA1301" w:rsidRDefault="00FA1301" w:rsidP="00FA1301">
      <w:pPr>
        <w:spacing w:after="0" w:line="360" w:lineRule="auto"/>
        <w:rPr>
          <w:rFonts w:ascii="Arial" w:eastAsia="Calibri" w:hAnsi="Arial" w:cs="Arial"/>
          <w:b/>
          <w:sz w:val="24"/>
          <w:szCs w:val="24"/>
        </w:rPr>
      </w:pPr>
    </w:p>
    <w:p w14:paraId="510A3DF3" w14:textId="77777777" w:rsidR="00FA1301" w:rsidRPr="00FA1301" w:rsidRDefault="00FA1301" w:rsidP="00FA1301">
      <w:pPr>
        <w:spacing w:after="0" w:line="360" w:lineRule="auto"/>
        <w:rPr>
          <w:rFonts w:ascii="Arial" w:eastAsia="Calibri" w:hAnsi="Arial" w:cs="Arial"/>
          <w:b/>
          <w:sz w:val="24"/>
          <w:szCs w:val="24"/>
        </w:rPr>
      </w:pPr>
    </w:p>
    <w:p w14:paraId="10F762EE" w14:textId="77777777" w:rsidR="00FA1301" w:rsidRDefault="00FA1301" w:rsidP="00FA1301">
      <w:pPr>
        <w:spacing w:after="0" w:line="360" w:lineRule="auto"/>
        <w:rPr>
          <w:rFonts w:ascii="Arial" w:eastAsia="Calibri" w:hAnsi="Arial" w:cs="Arial"/>
          <w:i/>
          <w:sz w:val="24"/>
          <w:szCs w:val="24"/>
          <w:shd w:val="clear" w:color="auto" w:fill="FFFFFF"/>
        </w:rPr>
      </w:pPr>
      <w:r w:rsidRPr="00FA1301">
        <w:rPr>
          <w:rFonts w:ascii="Arial" w:eastAsia="Calibri" w:hAnsi="Arial" w:cs="Arial"/>
          <w:b/>
          <w:sz w:val="24"/>
          <w:szCs w:val="24"/>
        </w:rPr>
        <w:t>Neutral citation:</w:t>
      </w:r>
      <w:r w:rsidRPr="00FA1301">
        <w:rPr>
          <w:rFonts w:ascii="Arial" w:eastAsia="Calibri" w:hAnsi="Arial" w:cs="Arial"/>
          <w:b/>
          <w:sz w:val="24"/>
          <w:szCs w:val="24"/>
        </w:rPr>
        <w:tab/>
      </w:r>
      <w:r>
        <w:rPr>
          <w:rFonts w:ascii="Arial" w:eastAsia="Calibri" w:hAnsi="Arial" w:cs="Arial"/>
          <w:i/>
          <w:sz w:val="24"/>
          <w:szCs w:val="24"/>
        </w:rPr>
        <w:t>Hanus Properties and Consultants CC</w:t>
      </w:r>
      <w:r w:rsidRPr="00FA1301">
        <w:rPr>
          <w:rFonts w:ascii="Arial" w:eastAsia="Calibri" w:hAnsi="Arial" w:cs="Arial"/>
          <w:i/>
          <w:sz w:val="24"/>
          <w:szCs w:val="24"/>
        </w:rPr>
        <w:t xml:space="preserve"> v </w:t>
      </w:r>
      <w:r w:rsidRPr="00FA1301">
        <w:rPr>
          <w:rFonts w:ascii="Arial" w:eastAsia="Calibri" w:hAnsi="Arial" w:cs="Arial"/>
          <w:i/>
          <w:sz w:val="24"/>
          <w:szCs w:val="24"/>
          <w:shd w:val="clear" w:color="auto" w:fill="FFFFFF"/>
        </w:rPr>
        <w:t xml:space="preserve">The </w:t>
      </w:r>
      <w:r w:rsidR="00DA7BB1">
        <w:rPr>
          <w:rFonts w:ascii="Arial" w:eastAsia="Calibri" w:hAnsi="Arial" w:cs="Arial"/>
          <w:i/>
          <w:sz w:val="24"/>
          <w:szCs w:val="24"/>
          <w:shd w:val="clear" w:color="auto" w:fill="FFFFFF"/>
        </w:rPr>
        <w:t xml:space="preserve">Deputy Sheriff </w:t>
      </w:r>
      <w:r w:rsidR="00DA7BB1" w:rsidRPr="00992757">
        <w:rPr>
          <w:rFonts w:ascii="Arial" w:eastAsia="Calibri" w:hAnsi="Arial" w:cs="Arial"/>
          <w:i/>
          <w:sz w:val="24"/>
          <w:szCs w:val="24"/>
          <w:shd w:val="clear" w:color="auto" w:fill="FFFFFF"/>
        </w:rPr>
        <w:t>for</w:t>
      </w:r>
      <w:r w:rsidRPr="00992757">
        <w:rPr>
          <w:rFonts w:ascii="Arial" w:eastAsia="Calibri" w:hAnsi="Arial" w:cs="Arial"/>
          <w:i/>
          <w:sz w:val="24"/>
          <w:szCs w:val="24"/>
          <w:shd w:val="clear" w:color="auto" w:fill="FFFFFF"/>
        </w:rPr>
        <w:t xml:space="preserve"> the</w:t>
      </w:r>
      <w:r>
        <w:rPr>
          <w:rFonts w:ascii="Arial" w:eastAsia="Calibri" w:hAnsi="Arial" w:cs="Arial"/>
          <w:i/>
          <w:sz w:val="24"/>
          <w:szCs w:val="24"/>
          <w:shd w:val="clear" w:color="auto" w:fill="FFFFFF"/>
        </w:rPr>
        <w:t xml:space="preserve"> </w:t>
      </w:r>
    </w:p>
    <w:p w14:paraId="7D9AFB28" w14:textId="77777777" w:rsidR="00FA1301" w:rsidRDefault="00FA1301" w:rsidP="00FA1301">
      <w:pPr>
        <w:spacing w:after="0" w:line="360" w:lineRule="auto"/>
        <w:rPr>
          <w:rFonts w:ascii="Arial" w:eastAsia="Calibri" w:hAnsi="Arial" w:cs="Arial"/>
          <w:sz w:val="24"/>
          <w:szCs w:val="24"/>
        </w:rPr>
      </w:pPr>
      <w:r>
        <w:rPr>
          <w:rFonts w:ascii="Arial" w:eastAsia="Calibri" w:hAnsi="Arial" w:cs="Arial"/>
          <w:i/>
          <w:sz w:val="24"/>
          <w:szCs w:val="24"/>
          <w:shd w:val="clear" w:color="auto" w:fill="FFFFFF"/>
        </w:rPr>
        <w:t xml:space="preserve">                                District of Swakopmund </w:t>
      </w:r>
      <w:r w:rsidRPr="00992757">
        <w:rPr>
          <w:rFonts w:ascii="Arial" w:eastAsia="Calibri" w:hAnsi="Arial" w:cs="Arial"/>
          <w:sz w:val="24"/>
          <w:szCs w:val="24"/>
        </w:rPr>
        <w:t>(</w:t>
      </w:r>
      <w:r w:rsidR="000506BB" w:rsidRPr="00992757">
        <w:rPr>
          <w:rFonts w:ascii="Arial" w:eastAsia="Calibri" w:hAnsi="Arial" w:cs="Arial"/>
          <w:sz w:val="24"/>
          <w:szCs w:val="24"/>
        </w:rPr>
        <w:t>HC-MD-CIV-MOT-REV-2022/00359</w:t>
      </w:r>
      <w:r w:rsidRPr="00992757">
        <w:rPr>
          <w:rFonts w:ascii="Arial" w:eastAsia="Calibri" w:hAnsi="Arial" w:cs="Arial"/>
          <w:sz w:val="24"/>
          <w:szCs w:val="24"/>
        </w:rPr>
        <w:t>)</w:t>
      </w:r>
      <w:r w:rsidRPr="00FA1301">
        <w:rPr>
          <w:rFonts w:ascii="Arial" w:eastAsia="Calibri" w:hAnsi="Arial" w:cs="Arial"/>
          <w:sz w:val="24"/>
          <w:szCs w:val="24"/>
        </w:rPr>
        <w:t xml:space="preserve"> </w:t>
      </w:r>
    </w:p>
    <w:p w14:paraId="3DA21E4C" w14:textId="77777777" w:rsidR="00FA1301" w:rsidRPr="00791754" w:rsidRDefault="00FA1301" w:rsidP="00791754">
      <w:pPr>
        <w:pStyle w:val="western"/>
        <w:spacing w:before="0" w:beforeAutospacing="0" w:after="0" w:afterAutospacing="0" w:line="360" w:lineRule="auto"/>
        <w:rPr>
          <w:rFonts w:ascii="Arial" w:eastAsia="Calibri" w:hAnsi="Arial" w:cs="Arial"/>
          <w:lang w:val="en-US" w:eastAsia="en-US"/>
        </w:rPr>
      </w:pPr>
      <w:r w:rsidRPr="00791754">
        <w:rPr>
          <w:rFonts w:ascii="Arial" w:eastAsia="Calibri" w:hAnsi="Arial" w:cs="Arial"/>
          <w:lang w:val="en-US" w:eastAsia="en-US"/>
        </w:rPr>
        <w:t xml:space="preserve">                                </w:t>
      </w:r>
      <w:r w:rsidR="00DA7BB1" w:rsidRPr="00791754">
        <w:rPr>
          <w:rFonts w:ascii="Arial" w:eastAsia="Calibri" w:hAnsi="Arial" w:cs="Arial"/>
          <w:lang w:val="en-US" w:eastAsia="en-US"/>
        </w:rPr>
        <w:t xml:space="preserve">[2023] </w:t>
      </w:r>
      <w:r w:rsidR="008960F7" w:rsidRPr="00791754">
        <w:rPr>
          <w:rFonts w:ascii="Arial" w:eastAsia="Calibri" w:hAnsi="Arial" w:cs="Arial"/>
          <w:lang w:val="en-US" w:eastAsia="en-US"/>
        </w:rPr>
        <w:t>646</w:t>
      </w:r>
      <w:r w:rsidR="00DA7BB1" w:rsidRPr="00791754">
        <w:rPr>
          <w:rFonts w:ascii="Arial" w:eastAsia="Calibri" w:hAnsi="Arial" w:cs="Arial"/>
          <w:lang w:val="en-US" w:eastAsia="en-US"/>
        </w:rPr>
        <w:t xml:space="preserve"> (13</w:t>
      </w:r>
      <w:r w:rsidRPr="00791754">
        <w:rPr>
          <w:rFonts w:ascii="Arial" w:eastAsia="Calibri" w:hAnsi="Arial" w:cs="Arial"/>
          <w:lang w:val="en-US" w:eastAsia="en-US"/>
        </w:rPr>
        <w:t xml:space="preserve"> October 2023)</w:t>
      </w:r>
    </w:p>
    <w:p w14:paraId="0F7131B0" w14:textId="77777777" w:rsidR="00FA1301" w:rsidRPr="00FA1301" w:rsidRDefault="00FA1301" w:rsidP="00FA1301">
      <w:pPr>
        <w:spacing w:after="0" w:line="360" w:lineRule="auto"/>
        <w:ind w:left="2160" w:hanging="2160"/>
        <w:rPr>
          <w:rFonts w:ascii="Arial" w:eastAsia="Calibri" w:hAnsi="Arial" w:cs="Arial"/>
          <w:sz w:val="24"/>
          <w:szCs w:val="24"/>
        </w:rPr>
      </w:pPr>
    </w:p>
    <w:p w14:paraId="048BEBE2" w14:textId="77777777" w:rsidR="00FA1301" w:rsidRPr="00FA1301" w:rsidRDefault="00FA1301" w:rsidP="00FA1301">
      <w:pPr>
        <w:spacing w:after="0" w:line="360" w:lineRule="auto"/>
        <w:ind w:left="1440" w:hanging="1440"/>
        <w:rPr>
          <w:rFonts w:ascii="Arial" w:eastAsia="Calibri" w:hAnsi="Arial" w:cs="Arial"/>
          <w:b/>
          <w:i/>
          <w:sz w:val="24"/>
          <w:szCs w:val="24"/>
        </w:rPr>
      </w:pPr>
      <w:r w:rsidRPr="00FA1301">
        <w:rPr>
          <w:rFonts w:ascii="Arial" w:eastAsia="Calibri" w:hAnsi="Arial" w:cs="Arial"/>
          <w:b/>
          <w:sz w:val="24"/>
          <w:szCs w:val="24"/>
        </w:rPr>
        <w:t>Coram:</w:t>
      </w:r>
      <w:r w:rsidRPr="00FA1301">
        <w:rPr>
          <w:rFonts w:ascii="Arial" w:eastAsia="Calibri" w:hAnsi="Arial" w:cs="Arial"/>
          <w:sz w:val="24"/>
          <w:szCs w:val="24"/>
        </w:rPr>
        <w:tab/>
        <w:t>PRINSLOO J</w:t>
      </w:r>
    </w:p>
    <w:p w14:paraId="06E4E066" w14:textId="77777777" w:rsidR="00FA1301" w:rsidRPr="00FA1301" w:rsidRDefault="00FA1301" w:rsidP="00FA1301">
      <w:pPr>
        <w:spacing w:after="0" w:line="360" w:lineRule="auto"/>
        <w:ind w:left="1440" w:hanging="1440"/>
        <w:rPr>
          <w:rFonts w:ascii="Arial" w:eastAsia="Calibri" w:hAnsi="Arial" w:cs="Arial"/>
          <w:b/>
          <w:sz w:val="24"/>
          <w:szCs w:val="24"/>
        </w:rPr>
      </w:pPr>
      <w:r w:rsidRPr="00FA1301">
        <w:rPr>
          <w:rFonts w:ascii="Arial" w:eastAsia="Calibri" w:hAnsi="Arial" w:cs="Arial"/>
          <w:b/>
          <w:bCs/>
          <w:sz w:val="24"/>
          <w:szCs w:val="24"/>
        </w:rPr>
        <w:t>Heard</w:t>
      </w:r>
      <w:r w:rsidRPr="00FA1301">
        <w:rPr>
          <w:rFonts w:ascii="Arial" w:eastAsia="Calibri" w:hAnsi="Arial" w:cs="Arial"/>
          <w:sz w:val="24"/>
          <w:szCs w:val="24"/>
        </w:rPr>
        <w:t>:</w:t>
      </w:r>
      <w:r w:rsidRPr="00FA1301">
        <w:rPr>
          <w:rFonts w:ascii="Arial" w:eastAsia="Calibri" w:hAnsi="Arial" w:cs="Arial"/>
          <w:sz w:val="24"/>
          <w:szCs w:val="24"/>
        </w:rPr>
        <w:tab/>
      </w:r>
      <w:r w:rsidR="000B75B9">
        <w:rPr>
          <w:rFonts w:ascii="Arial" w:eastAsia="Calibri" w:hAnsi="Arial" w:cs="Arial"/>
          <w:b/>
          <w:sz w:val="24"/>
          <w:szCs w:val="24"/>
        </w:rPr>
        <w:t>7 June</w:t>
      </w:r>
      <w:r w:rsidRPr="00FA1301">
        <w:rPr>
          <w:rFonts w:ascii="Arial" w:eastAsia="Calibri" w:hAnsi="Arial" w:cs="Arial"/>
          <w:b/>
          <w:sz w:val="24"/>
          <w:szCs w:val="24"/>
        </w:rPr>
        <w:t xml:space="preserve"> 2023</w:t>
      </w:r>
    </w:p>
    <w:p w14:paraId="15814B60" w14:textId="77777777" w:rsidR="00FA1301" w:rsidRPr="00FA1301" w:rsidRDefault="00FA1301" w:rsidP="00FA1301">
      <w:pPr>
        <w:spacing w:after="0" w:line="360" w:lineRule="auto"/>
        <w:rPr>
          <w:rFonts w:ascii="Arial" w:eastAsia="Calibri" w:hAnsi="Arial" w:cs="Arial"/>
          <w:b/>
          <w:sz w:val="24"/>
          <w:szCs w:val="24"/>
        </w:rPr>
      </w:pPr>
      <w:r w:rsidRPr="00FA1301">
        <w:rPr>
          <w:rFonts w:ascii="Arial" w:eastAsia="Calibri" w:hAnsi="Arial" w:cs="Arial"/>
          <w:b/>
          <w:bCs/>
          <w:sz w:val="24"/>
          <w:szCs w:val="24"/>
        </w:rPr>
        <w:t>Delivered</w:t>
      </w:r>
      <w:r w:rsidRPr="00FA1301">
        <w:rPr>
          <w:rFonts w:ascii="Arial" w:eastAsia="Calibri" w:hAnsi="Arial" w:cs="Arial"/>
          <w:sz w:val="24"/>
          <w:szCs w:val="24"/>
        </w:rPr>
        <w:t>:</w:t>
      </w:r>
      <w:r w:rsidRPr="00FA1301">
        <w:rPr>
          <w:rFonts w:ascii="Arial" w:eastAsia="Calibri" w:hAnsi="Arial" w:cs="Arial"/>
          <w:sz w:val="24"/>
          <w:szCs w:val="24"/>
        </w:rPr>
        <w:tab/>
      </w:r>
      <w:r w:rsidR="00DA7BB1" w:rsidRPr="00992757">
        <w:rPr>
          <w:rFonts w:ascii="Arial" w:eastAsia="Calibri" w:hAnsi="Arial" w:cs="Arial"/>
          <w:b/>
          <w:sz w:val="24"/>
          <w:szCs w:val="24"/>
        </w:rPr>
        <w:t>13</w:t>
      </w:r>
      <w:r w:rsidRPr="00992757">
        <w:rPr>
          <w:rFonts w:ascii="Arial" w:eastAsia="Calibri" w:hAnsi="Arial" w:cs="Arial"/>
          <w:b/>
          <w:sz w:val="24"/>
          <w:szCs w:val="24"/>
        </w:rPr>
        <w:t xml:space="preserve"> October 2023</w:t>
      </w:r>
    </w:p>
    <w:p w14:paraId="1C355CB2" w14:textId="77777777" w:rsidR="00FA1301" w:rsidRPr="00FA1301" w:rsidRDefault="00FA1301" w:rsidP="00FA1301">
      <w:pPr>
        <w:spacing w:after="0" w:line="360" w:lineRule="auto"/>
        <w:rPr>
          <w:rFonts w:ascii="Arial" w:eastAsia="Times New Roman" w:hAnsi="Arial" w:cs="Arial"/>
          <w:sz w:val="24"/>
          <w:szCs w:val="24"/>
          <w:lang w:val="en-GB"/>
        </w:rPr>
      </w:pPr>
    </w:p>
    <w:p w14:paraId="4631E2B1" w14:textId="77777777" w:rsidR="00DA7BB1" w:rsidRDefault="00FA1301" w:rsidP="00215A63">
      <w:pPr>
        <w:spacing w:after="157" w:line="360" w:lineRule="auto"/>
        <w:jc w:val="both"/>
        <w:rPr>
          <w:rFonts w:ascii="Arial" w:eastAsia="Calibri" w:hAnsi="Arial" w:cs="Arial"/>
          <w:sz w:val="24"/>
          <w:szCs w:val="24"/>
        </w:rPr>
      </w:pPr>
      <w:r w:rsidRPr="00FA1301">
        <w:rPr>
          <w:rFonts w:ascii="Arial" w:eastAsia="Calibri" w:hAnsi="Arial" w:cs="Arial"/>
          <w:b/>
          <w:sz w:val="24"/>
          <w:szCs w:val="24"/>
        </w:rPr>
        <w:t>Flynote:</w:t>
      </w:r>
      <w:r w:rsidR="004F7241">
        <w:rPr>
          <w:rFonts w:ascii="Arial" w:eastAsia="Calibri" w:hAnsi="Arial" w:cs="Arial"/>
          <w:b/>
          <w:sz w:val="24"/>
          <w:szCs w:val="24"/>
        </w:rPr>
        <w:tab/>
      </w:r>
      <w:r w:rsidR="00D92514">
        <w:rPr>
          <w:rFonts w:ascii="Arial" w:eastAsia="Calibri" w:hAnsi="Arial" w:cs="Arial"/>
          <w:sz w:val="24"/>
          <w:szCs w:val="24"/>
        </w:rPr>
        <w:t>Review application – Rule 76</w:t>
      </w:r>
      <w:r w:rsidR="004F7241">
        <w:rPr>
          <w:rFonts w:ascii="Arial" w:eastAsia="Calibri" w:hAnsi="Arial" w:cs="Arial"/>
          <w:sz w:val="24"/>
          <w:szCs w:val="24"/>
        </w:rPr>
        <w:t xml:space="preserve"> </w:t>
      </w:r>
      <w:r w:rsidR="004F7241" w:rsidRPr="004F7241">
        <w:rPr>
          <w:rFonts w:ascii="Arial" w:eastAsia="Calibri" w:hAnsi="Arial" w:cs="Arial"/>
          <w:sz w:val="24"/>
          <w:szCs w:val="24"/>
        </w:rPr>
        <w:t>–</w:t>
      </w:r>
      <w:r w:rsidR="004F7241">
        <w:rPr>
          <w:rFonts w:ascii="Arial" w:eastAsia="Calibri" w:hAnsi="Arial" w:cs="Arial"/>
          <w:sz w:val="24"/>
          <w:szCs w:val="24"/>
        </w:rPr>
        <w:t xml:space="preserve"> Writ of execution </w:t>
      </w:r>
      <w:r w:rsidR="00726509">
        <w:rPr>
          <w:rFonts w:ascii="Arial" w:eastAsia="Calibri" w:hAnsi="Arial" w:cs="Arial"/>
          <w:sz w:val="24"/>
          <w:szCs w:val="24"/>
        </w:rPr>
        <w:t>executed by deputy sheriff in respect of immovable property</w:t>
      </w:r>
      <w:r w:rsidR="00FC3B08">
        <w:rPr>
          <w:rFonts w:ascii="Arial" w:eastAsia="Calibri" w:hAnsi="Arial" w:cs="Arial"/>
          <w:sz w:val="24"/>
          <w:szCs w:val="24"/>
        </w:rPr>
        <w:t xml:space="preserve"> </w:t>
      </w:r>
      <w:r w:rsidR="00726509" w:rsidRPr="00726509">
        <w:rPr>
          <w:rFonts w:ascii="Arial" w:eastAsia="Calibri" w:hAnsi="Arial" w:cs="Arial"/>
          <w:sz w:val="24"/>
          <w:szCs w:val="24"/>
        </w:rPr>
        <w:t>–</w:t>
      </w:r>
      <w:r w:rsidR="00FC3B08">
        <w:rPr>
          <w:rFonts w:ascii="Arial" w:eastAsia="Calibri" w:hAnsi="Arial" w:cs="Arial"/>
          <w:sz w:val="24"/>
          <w:szCs w:val="24"/>
        </w:rPr>
        <w:t xml:space="preserve"> </w:t>
      </w:r>
      <w:r w:rsidR="00726509">
        <w:rPr>
          <w:rFonts w:ascii="Arial" w:eastAsia="Calibri" w:hAnsi="Arial" w:cs="Arial"/>
          <w:sz w:val="24"/>
          <w:szCs w:val="24"/>
        </w:rPr>
        <w:t xml:space="preserve">Actions of the deputy sheriff not susceptible to review </w:t>
      </w:r>
      <w:r w:rsidR="00FC3B08">
        <w:rPr>
          <w:rFonts w:ascii="Arial" w:eastAsia="Calibri" w:hAnsi="Arial" w:cs="Arial"/>
          <w:sz w:val="24"/>
          <w:szCs w:val="24"/>
        </w:rPr>
        <w:t xml:space="preserve">in terms of rule 76 of the Rules of Court </w:t>
      </w:r>
      <w:r w:rsidR="00726509" w:rsidRPr="00726509">
        <w:rPr>
          <w:rFonts w:ascii="Arial" w:eastAsia="Calibri" w:hAnsi="Arial" w:cs="Arial"/>
          <w:sz w:val="24"/>
          <w:szCs w:val="24"/>
        </w:rPr>
        <w:t>–</w:t>
      </w:r>
      <w:r w:rsidR="00726509">
        <w:rPr>
          <w:rFonts w:ascii="Arial" w:eastAsia="Calibri" w:hAnsi="Arial" w:cs="Arial"/>
          <w:sz w:val="24"/>
          <w:szCs w:val="24"/>
        </w:rPr>
        <w:t xml:space="preserve"> Point in limine upheld.</w:t>
      </w:r>
    </w:p>
    <w:p w14:paraId="02D28BD4" w14:textId="77777777" w:rsidR="00FC3B08" w:rsidRPr="00ED4420" w:rsidRDefault="00FC3B08" w:rsidP="00FC3B08">
      <w:pPr>
        <w:spacing w:line="360" w:lineRule="auto"/>
        <w:jc w:val="both"/>
        <w:rPr>
          <w:rFonts w:ascii="Arial" w:hAnsi="Arial" w:cs="Arial"/>
          <w:sz w:val="24"/>
          <w:szCs w:val="24"/>
        </w:rPr>
      </w:pPr>
      <w:r w:rsidRPr="00ED4420">
        <w:rPr>
          <w:rFonts w:ascii="Arial" w:hAnsi="Arial" w:cs="Arial"/>
          <w:i/>
          <w:sz w:val="24"/>
          <w:szCs w:val="24"/>
        </w:rPr>
        <w:t>Rules of Court</w:t>
      </w:r>
      <w:r w:rsidRPr="00ED4420">
        <w:rPr>
          <w:sz w:val="24"/>
          <w:szCs w:val="24"/>
        </w:rPr>
        <w:t xml:space="preserve"> </w:t>
      </w:r>
      <w:r w:rsidRPr="00ED4420">
        <w:rPr>
          <w:rFonts w:ascii="Arial" w:hAnsi="Arial" w:cs="Arial"/>
          <w:sz w:val="24"/>
          <w:szCs w:val="24"/>
        </w:rPr>
        <w:t>–</w:t>
      </w:r>
      <w:r w:rsidRPr="00ED4420">
        <w:rPr>
          <w:sz w:val="24"/>
          <w:szCs w:val="24"/>
        </w:rPr>
        <w:t xml:space="preserve"> </w:t>
      </w:r>
      <w:r w:rsidRPr="00ED4420">
        <w:rPr>
          <w:rFonts w:ascii="Arial" w:hAnsi="Arial" w:cs="Arial"/>
          <w:sz w:val="24"/>
          <w:szCs w:val="24"/>
        </w:rPr>
        <w:t>Rule 110 – Rules for procedure of sale of immovable property – Strict compliance with rule 110(10) – Rule 112 – Superannuation</w:t>
      </w:r>
      <w:r w:rsidR="008960F7" w:rsidRPr="00ED4420">
        <w:rPr>
          <w:rFonts w:ascii="Arial" w:hAnsi="Arial" w:cs="Arial"/>
          <w:sz w:val="24"/>
          <w:szCs w:val="24"/>
        </w:rPr>
        <w:t>.</w:t>
      </w:r>
    </w:p>
    <w:p w14:paraId="624AEA3A" w14:textId="77777777" w:rsidR="000B75B9" w:rsidRPr="004F7241" w:rsidRDefault="000B75B9" w:rsidP="00215A63">
      <w:pPr>
        <w:spacing w:after="157" w:line="360" w:lineRule="auto"/>
        <w:jc w:val="both"/>
        <w:rPr>
          <w:rFonts w:ascii="Arial" w:eastAsia="Calibri" w:hAnsi="Arial" w:cs="Arial"/>
          <w:sz w:val="24"/>
          <w:szCs w:val="24"/>
        </w:rPr>
      </w:pPr>
      <w:r w:rsidRPr="000B75B9">
        <w:rPr>
          <w:rFonts w:ascii="Arial" w:eastAsia="Calibri" w:hAnsi="Arial" w:cs="Arial"/>
          <w:b/>
          <w:sz w:val="24"/>
          <w:szCs w:val="24"/>
        </w:rPr>
        <w:t>Summary:</w:t>
      </w:r>
      <w:r w:rsidR="004F7241" w:rsidRPr="004F7241">
        <w:rPr>
          <w:rFonts w:ascii="Arial" w:eastAsia="Calibri" w:hAnsi="Arial" w:cs="Arial"/>
          <w:sz w:val="24"/>
          <w:szCs w:val="24"/>
        </w:rPr>
        <w:tab/>
      </w:r>
      <w:r w:rsidR="00FC3B08">
        <w:rPr>
          <w:rFonts w:ascii="Arial" w:eastAsia="Calibri" w:hAnsi="Arial" w:cs="Arial"/>
          <w:sz w:val="24"/>
          <w:szCs w:val="24"/>
        </w:rPr>
        <w:t>The</w:t>
      </w:r>
      <w:r w:rsidR="00726509">
        <w:rPr>
          <w:rFonts w:ascii="Arial" w:eastAsia="Calibri" w:hAnsi="Arial" w:cs="Arial"/>
          <w:sz w:val="24"/>
          <w:szCs w:val="24"/>
        </w:rPr>
        <w:t xml:space="preserve"> applicants seek to review and set aside the sale</w:t>
      </w:r>
      <w:r w:rsidR="00215A63">
        <w:rPr>
          <w:rFonts w:ascii="Arial" w:eastAsia="Calibri" w:hAnsi="Arial" w:cs="Arial"/>
          <w:sz w:val="24"/>
          <w:szCs w:val="24"/>
        </w:rPr>
        <w:t>s</w:t>
      </w:r>
      <w:r w:rsidR="00726509">
        <w:rPr>
          <w:rFonts w:ascii="Arial" w:eastAsia="Calibri" w:hAnsi="Arial" w:cs="Arial"/>
          <w:sz w:val="24"/>
          <w:szCs w:val="24"/>
        </w:rPr>
        <w:t xml:space="preserve"> in execution held by the deputy sheriff of Swakopmund on 24 March 2022 and 12 July 2022 in respect of erf no. 2277</w:t>
      </w:r>
      <w:r w:rsidR="00215A63">
        <w:rPr>
          <w:rFonts w:ascii="Arial" w:eastAsia="Calibri" w:hAnsi="Arial" w:cs="Arial"/>
          <w:sz w:val="24"/>
          <w:szCs w:val="24"/>
        </w:rPr>
        <w:t xml:space="preserve">, extension 8, </w:t>
      </w:r>
      <w:r w:rsidR="00D92514">
        <w:rPr>
          <w:rFonts w:ascii="Arial" w:eastAsia="Calibri" w:hAnsi="Arial" w:cs="Arial"/>
          <w:sz w:val="24"/>
          <w:szCs w:val="24"/>
        </w:rPr>
        <w:t xml:space="preserve">no. 78 Turmaline Street, Hage Heights, </w:t>
      </w:r>
      <w:r w:rsidR="00215A63">
        <w:rPr>
          <w:rFonts w:ascii="Arial" w:eastAsia="Calibri" w:hAnsi="Arial" w:cs="Arial"/>
          <w:sz w:val="24"/>
          <w:szCs w:val="24"/>
        </w:rPr>
        <w:t>Swakopmund. The applicants further seek to review and set</w:t>
      </w:r>
      <w:r w:rsidR="00726509">
        <w:rPr>
          <w:rFonts w:ascii="Arial" w:eastAsia="Calibri" w:hAnsi="Arial" w:cs="Arial"/>
          <w:sz w:val="24"/>
          <w:szCs w:val="24"/>
        </w:rPr>
        <w:t xml:space="preserve"> aside the registration of the transfer of the immovable property and the steps associated ther</w:t>
      </w:r>
      <w:r w:rsidR="00215A63">
        <w:rPr>
          <w:rFonts w:ascii="Arial" w:eastAsia="Calibri" w:hAnsi="Arial" w:cs="Arial"/>
          <w:sz w:val="24"/>
          <w:szCs w:val="24"/>
        </w:rPr>
        <w:t>e</w:t>
      </w:r>
      <w:r w:rsidR="00726509">
        <w:rPr>
          <w:rFonts w:ascii="Arial" w:eastAsia="Calibri" w:hAnsi="Arial" w:cs="Arial"/>
          <w:sz w:val="24"/>
          <w:szCs w:val="24"/>
        </w:rPr>
        <w:t xml:space="preserve">to. </w:t>
      </w:r>
      <w:r w:rsidR="00215A63">
        <w:rPr>
          <w:rFonts w:ascii="Arial" w:eastAsia="Calibri" w:hAnsi="Arial" w:cs="Arial"/>
          <w:sz w:val="24"/>
          <w:szCs w:val="24"/>
        </w:rPr>
        <w:t>Standard Bank is the only respondent who opposes the review application filed by the applicants.</w:t>
      </w:r>
    </w:p>
    <w:p w14:paraId="6F08A556" w14:textId="77777777" w:rsidR="00414D2D" w:rsidRPr="00414D2D" w:rsidRDefault="00414D2D" w:rsidP="00414D2D">
      <w:pPr>
        <w:spacing w:line="360" w:lineRule="auto"/>
        <w:jc w:val="both"/>
        <w:rPr>
          <w:rFonts w:ascii="Arial" w:eastAsia="Calibri" w:hAnsi="Arial" w:cs="Arial"/>
          <w:sz w:val="24"/>
          <w:szCs w:val="24"/>
        </w:rPr>
      </w:pPr>
      <w:r w:rsidRPr="00414D2D">
        <w:rPr>
          <w:rFonts w:ascii="Arial" w:eastAsia="Calibri" w:hAnsi="Arial" w:cs="Arial"/>
          <w:i/>
          <w:sz w:val="24"/>
          <w:szCs w:val="24"/>
        </w:rPr>
        <w:t>Held that</w:t>
      </w:r>
      <w:r>
        <w:rPr>
          <w:rFonts w:ascii="Arial" w:eastAsia="Calibri" w:hAnsi="Arial" w:cs="Arial"/>
          <w:sz w:val="24"/>
          <w:szCs w:val="24"/>
        </w:rPr>
        <w:t xml:space="preserve"> </w:t>
      </w:r>
      <w:r w:rsidRPr="00414D2D">
        <w:rPr>
          <w:rFonts w:ascii="Arial" w:eastAsia="Calibri" w:hAnsi="Arial" w:cs="Arial"/>
          <w:sz w:val="24"/>
          <w:szCs w:val="24"/>
        </w:rPr>
        <w:t>the actions of the deputy-sheriff do not fall within the purview of rule 76 and are not susceptible to review and the point in limine is upheld.</w:t>
      </w:r>
    </w:p>
    <w:p w14:paraId="39BBC529" w14:textId="77777777" w:rsidR="0082732C" w:rsidRPr="0082732C" w:rsidRDefault="00414D2D" w:rsidP="0082732C">
      <w:pPr>
        <w:spacing w:after="157" w:line="360" w:lineRule="auto"/>
        <w:jc w:val="both"/>
        <w:rPr>
          <w:rFonts w:ascii="Arial" w:eastAsia="Calibri" w:hAnsi="Arial" w:cs="Arial"/>
          <w:sz w:val="24"/>
          <w:szCs w:val="24"/>
        </w:rPr>
      </w:pPr>
      <w:r w:rsidRPr="0082732C">
        <w:rPr>
          <w:rFonts w:ascii="Arial" w:eastAsia="Calibri" w:hAnsi="Arial" w:cs="Arial"/>
          <w:i/>
          <w:sz w:val="24"/>
          <w:szCs w:val="24"/>
        </w:rPr>
        <w:t>Held that</w:t>
      </w:r>
      <w:r w:rsidR="00FC3B08">
        <w:rPr>
          <w:rFonts w:ascii="Arial" w:eastAsia="Calibri" w:hAnsi="Arial" w:cs="Arial"/>
          <w:sz w:val="24"/>
          <w:szCs w:val="24"/>
        </w:rPr>
        <w:t xml:space="preserve"> the</w:t>
      </w:r>
      <w:r w:rsidR="0082732C" w:rsidRPr="0082732C">
        <w:rPr>
          <w:rFonts w:ascii="Arial" w:eastAsia="Calibri" w:hAnsi="Arial" w:cs="Arial"/>
          <w:sz w:val="24"/>
          <w:szCs w:val="24"/>
        </w:rPr>
        <w:t xml:space="preserve"> court </w:t>
      </w:r>
      <w:r w:rsidR="00FC3B08">
        <w:rPr>
          <w:rFonts w:ascii="Arial" w:eastAsia="Calibri" w:hAnsi="Arial" w:cs="Arial"/>
          <w:sz w:val="24"/>
          <w:szCs w:val="24"/>
        </w:rPr>
        <w:t xml:space="preserve">order, </w:t>
      </w:r>
      <w:r w:rsidR="0082732C" w:rsidRPr="0082732C">
        <w:rPr>
          <w:rFonts w:ascii="Arial" w:eastAsia="Calibri" w:hAnsi="Arial" w:cs="Arial"/>
          <w:sz w:val="24"/>
          <w:szCs w:val="24"/>
        </w:rPr>
        <w:t>declaring the imm</w:t>
      </w:r>
      <w:r w:rsidR="00D92514">
        <w:rPr>
          <w:rFonts w:ascii="Arial" w:eastAsia="Calibri" w:hAnsi="Arial" w:cs="Arial"/>
          <w:sz w:val="24"/>
          <w:szCs w:val="24"/>
        </w:rPr>
        <w:t xml:space="preserve">ovable property executable </w:t>
      </w:r>
      <w:r w:rsidR="0082732C">
        <w:rPr>
          <w:rFonts w:ascii="Arial" w:eastAsia="Calibri" w:hAnsi="Arial" w:cs="Arial"/>
          <w:sz w:val="24"/>
          <w:szCs w:val="24"/>
        </w:rPr>
        <w:t xml:space="preserve">is </w:t>
      </w:r>
      <w:r w:rsidR="008960F7" w:rsidRPr="00791754">
        <w:rPr>
          <w:rFonts w:ascii="Arial" w:eastAsia="Calibri" w:hAnsi="Arial" w:cs="Arial"/>
          <w:sz w:val="24"/>
          <w:szCs w:val="24"/>
        </w:rPr>
        <w:t>of</w:t>
      </w:r>
      <w:r w:rsidR="008960F7">
        <w:rPr>
          <w:rFonts w:ascii="Arial" w:eastAsia="Calibri" w:hAnsi="Arial" w:cs="Arial"/>
          <w:sz w:val="24"/>
          <w:szCs w:val="24"/>
        </w:rPr>
        <w:t xml:space="preserve"> </w:t>
      </w:r>
      <w:r w:rsidR="0082732C" w:rsidRPr="0082732C">
        <w:rPr>
          <w:rFonts w:ascii="Arial" w:eastAsia="Calibri" w:hAnsi="Arial" w:cs="Arial"/>
          <w:sz w:val="24"/>
          <w:szCs w:val="24"/>
        </w:rPr>
        <w:t xml:space="preserve"> full force and effect</w:t>
      </w:r>
      <w:r w:rsidR="00FC3B08">
        <w:rPr>
          <w:rFonts w:ascii="Arial" w:eastAsia="Calibri" w:hAnsi="Arial" w:cs="Arial"/>
          <w:sz w:val="24"/>
          <w:szCs w:val="24"/>
        </w:rPr>
        <w:t>,</w:t>
      </w:r>
      <w:r w:rsidR="0082732C" w:rsidRPr="0082732C">
        <w:rPr>
          <w:rFonts w:ascii="Arial" w:eastAsia="Calibri" w:hAnsi="Arial" w:cs="Arial"/>
          <w:sz w:val="24"/>
          <w:szCs w:val="24"/>
        </w:rPr>
        <w:t xml:space="preserve"> as there was no application to have that order set aside by a c</w:t>
      </w:r>
      <w:r w:rsidR="0082732C">
        <w:rPr>
          <w:rFonts w:ascii="Arial" w:eastAsia="Calibri" w:hAnsi="Arial" w:cs="Arial"/>
          <w:sz w:val="24"/>
          <w:szCs w:val="24"/>
        </w:rPr>
        <w:t>ourt of competent jurisdiction.</w:t>
      </w:r>
    </w:p>
    <w:p w14:paraId="7387858A" w14:textId="77777777" w:rsidR="00FC3B08" w:rsidRDefault="0082732C" w:rsidP="00CB01BA">
      <w:pPr>
        <w:spacing w:after="157" w:line="360" w:lineRule="auto"/>
        <w:jc w:val="both"/>
        <w:rPr>
          <w:rFonts w:ascii="Arial" w:eastAsia="Calibri" w:hAnsi="Arial" w:cs="Arial"/>
          <w:sz w:val="24"/>
          <w:szCs w:val="24"/>
        </w:rPr>
      </w:pPr>
      <w:r w:rsidRPr="0082732C">
        <w:rPr>
          <w:rFonts w:ascii="Arial" w:eastAsia="Calibri" w:hAnsi="Arial" w:cs="Arial"/>
          <w:i/>
          <w:sz w:val="24"/>
          <w:szCs w:val="24"/>
        </w:rPr>
        <w:t>Held that</w:t>
      </w:r>
      <w:r>
        <w:rPr>
          <w:rFonts w:ascii="Arial" w:eastAsia="Calibri" w:hAnsi="Arial" w:cs="Arial"/>
          <w:sz w:val="24"/>
          <w:szCs w:val="24"/>
        </w:rPr>
        <w:t xml:space="preserve"> t</w:t>
      </w:r>
      <w:r w:rsidRPr="0082732C">
        <w:rPr>
          <w:rFonts w:ascii="Arial" w:eastAsia="Calibri" w:hAnsi="Arial" w:cs="Arial"/>
          <w:sz w:val="24"/>
          <w:szCs w:val="24"/>
        </w:rPr>
        <w:t>here was no reason to superannuate the judgment as required by rule 112(1) because once a writ of execution of a judgment has been issued</w:t>
      </w:r>
      <w:r w:rsidR="00FC3B08">
        <w:rPr>
          <w:rFonts w:ascii="Arial" w:eastAsia="Calibri" w:hAnsi="Arial" w:cs="Arial"/>
          <w:sz w:val="24"/>
          <w:szCs w:val="24"/>
        </w:rPr>
        <w:t>,</w:t>
      </w:r>
      <w:r w:rsidRPr="0082732C">
        <w:rPr>
          <w:rFonts w:ascii="Arial" w:eastAsia="Calibri" w:hAnsi="Arial" w:cs="Arial"/>
          <w:sz w:val="24"/>
          <w:szCs w:val="24"/>
        </w:rPr>
        <w:t xml:space="preserve"> it remains in force and may be executed without being renewed as contemplated in rule 112(3).</w:t>
      </w:r>
      <w:r w:rsidR="00A24E97">
        <w:rPr>
          <w:rFonts w:ascii="Arial" w:eastAsia="Calibri" w:hAnsi="Arial" w:cs="Arial"/>
          <w:sz w:val="24"/>
          <w:szCs w:val="24"/>
        </w:rPr>
        <w:t xml:space="preserve"> </w:t>
      </w:r>
    </w:p>
    <w:p w14:paraId="311B028F" w14:textId="77777777" w:rsidR="00CB01BA" w:rsidRPr="00CB01BA" w:rsidRDefault="00CB01BA" w:rsidP="00CB01BA">
      <w:pPr>
        <w:spacing w:after="157" w:line="360" w:lineRule="auto"/>
        <w:jc w:val="both"/>
        <w:rPr>
          <w:rFonts w:ascii="Arial" w:eastAsia="Calibri" w:hAnsi="Arial" w:cs="Arial"/>
          <w:sz w:val="24"/>
          <w:szCs w:val="24"/>
        </w:rPr>
      </w:pPr>
      <w:r w:rsidRPr="00CB01BA">
        <w:rPr>
          <w:rFonts w:ascii="Arial" w:eastAsia="Calibri" w:hAnsi="Arial" w:cs="Arial"/>
          <w:i/>
          <w:sz w:val="24"/>
          <w:szCs w:val="24"/>
        </w:rPr>
        <w:t>Held that</w:t>
      </w:r>
      <w:r w:rsidRPr="00CB01BA">
        <w:rPr>
          <w:rFonts w:ascii="Arial" w:eastAsia="Calibri" w:hAnsi="Arial" w:cs="Arial"/>
          <w:sz w:val="24"/>
          <w:szCs w:val="24"/>
        </w:rPr>
        <w:t xml:space="preserve"> a public auction concerns not the place of the auction but the authority by which the sale is held and there can be no doubt regarding the latter.</w:t>
      </w:r>
    </w:p>
    <w:p w14:paraId="743DF280" w14:textId="77777777" w:rsidR="00CB01BA" w:rsidRPr="00CB01BA" w:rsidRDefault="00CB01BA" w:rsidP="00CB01BA">
      <w:pPr>
        <w:spacing w:after="157" w:line="360" w:lineRule="auto"/>
        <w:jc w:val="both"/>
        <w:rPr>
          <w:rFonts w:ascii="Arial" w:eastAsia="Calibri" w:hAnsi="Arial" w:cs="Arial"/>
          <w:sz w:val="24"/>
          <w:szCs w:val="24"/>
        </w:rPr>
      </w:pPr>
      <w:r w:rsidRPr="00CB01BA">
        <w:rPr>
          <w:rFonts w:ascii="Arial" w:eastAsia="Calibri" w:hAnsi="Arial" w:cs="Arial"/>
          <w:i/>
          <w:sz w:val="24"/>
          <w:szCs w:val="24"/>
        </w:rPr>
        <w:lastRenderedPageBreak/>
        <w:t>Held that</w:t>
      </w:r>
      <w:r>
        <w:rPr>
          <w:rFonts w:ascii="Arial" w:eastAsia="Calibri" w:hAnsi="Arial" w:cs="Arial"/>
          <w:sz w:val="24"/>
          <w:szCs w:val="24"/>
        </w:rPr>
        <w:t xml:space="preserve"> t</w:t>
      </w:r>
      <w:r w:rsidRPr="00CB01BA">
        <w:rPr>
          <w:rFonts w:ascii="Arial" w:eastAsia="Calibri" w:hAnsi="Arial" w:cs="Arial"/>
          <w:sz w:val="24"/>
          <w:szCs w:val="24"/>
        </w:rPr>
        <w:t>he applicants did not avail any authority to this court fortifying their submission that the failure of the bidder to be physically pres</w:t>
      </w:r>
      <w:r>
        <w:rPr>
          <w:rFonts w:ascii="Arial" w:eastAsia="Calibri" w:hAnsi="Arial" w:cs="Arial"/>
          <w:sz w:val="24"/>
          <w:szCs w:val="24"/>
        </w:rPr>
        <w:t xml:space="preserve">ent at the auction would impede the integrity of the process. </w:t>
      </w:r>
    </w:p>
    <w:p w14:paraId="078D0E71" w14:textId="77777777" w:rsidR="000216BD" w:rsidRPr="000216BD" w:rsidRDefault="00CB01BA" w:rsidP="000216BD">
      <w:pPr>
        <w:spacing w:after="157" w:line="360" w:lineRule="auto"/>
        <w:jc w:val="both"/>
        <w:rPr>
          <w:rFonts w:ascii="Arial" w:eastAsia="Calibri" w:hAnsi="Arial" w:cs="Arial"/>
          <w:sz w:val="24"/>
          <w:szCs w:val="24"/>
        </w:rPr>
      </w:pPr>
      <w:r w:rsidRPr="000216BD">
        <w:rPr>
          <w:rFonts w:ascii="Arial" w:eastAsia="Calibri" w:hAnsi="Arial" w:cs="Arial"/>
          <w:i/>
          <w:sz w:val="24"/>
          <w:szCs w:val="24"/>
        </w:rPr>
        <w:t>Held that</w:t>
      </w:r>
      <w:r w:rsidR="000216BD" w:rsidRPr="000216BD">
        <w:rPr>
          <w:rFonts w:ascii="Arial" w:eastAsia="Calibri" w:hAnsi="Arial" w:cs="Arial"/>
          <w:sz w:val="24"/>
          <w:szCs w:val="24"/>
        </w:rPr>
        <w:t xml:space="preserve"> in the current instance</w:t>
      </w:r>
      <w:r w:rsidR="00297CFF">
        <w:rPr>
          <w:rFonts w:ascii="Arial" w:eastAsia="Calibri" w:hAnsi="Arial" w:cs="Arial"/>
          <w:sz w:val="24"/>
          <w:szCs w:val="24"/>
        </w:rPr>
        <w:t>,</w:t>
      </w:r>
      <w:r w:rsidR="000216BD" w:rsidRPr="000216BD">
        <w:rPr>
          <w:rFonts w:ascii="Arial" w:eastAsia="Calibri" w:hAnsi="Arial" w:cs="Arial"/>
          <w:sz w:val="24"/>
          <w:szCs w:val="24"/>
        </w:rPr>
        <w:t xml:space="preserve"> there was a valid agreement of sale in respect of the first sale and that sale had to be set aside in </w:t>
      </w:r>
      <w:r w:rsidR="000216BD">
        <w:rPr>
          <w:rFonts w:ascii="Arial" w:eastAsia="Calibri" w:hAnsi="Arial" w:cs="Arial"/>
          <w:sz w:val="24"/>
          <w:szCs w:val="24"/>
        </w:rPr>
        <w:t>order to proceed with a resale.</w:t>
      </w:r>
    </w:p>
    <w:p w14:paraId="496FB4EE" w14:textId="77777777" w:rsidR="00CB01BA" w:rsidRDefault="000216BD" w:rsidP="000216BD">
      <w:pPr>
        <w:spacing w:after="157" w:line="360" w:lineRule="auto"/>
        <w:jc w:val="both"/>
        <w:rPr>
          <w:rFonts w:ascii="Arial" w:eastAsia="Calibri" w:hAnsi="Arial" w:cs="Arial"/>
          <w:sz w:val="24"/>
          <w:szCs w:val="24"/>
        </w:rPr>
      </w:pPr>
      <w:r w:rsidRPr="000216BD">
        <w:rPr>
          <w:rFonts w:ascii="Arial" w:eastAsia="Calibri" w:hAnsi="Arial" w:cs="Arial"/>
          <w:i/>
          <w:sz w:val="24"/>
          <w:szCs w:val="24"/>
        </w:rPr>
        <w:t>Held that</w:t>
      </w:r>
      <w:r>
        <w:rPr>
          <w:rFonts w:ascii="Arial" w:eastAsia="Calibri" w:hAnsi="Arial" w:cs="Arial"/>
          <w:sz w:val="24"/>
          <w:szCs w:val="24"/>
        </w:rPr>
        <w:t xml:space="preserve"> t</w:t>
      </w:r>
      <w:r w:rsidRPr="000216BD">
        <w:rPr>
          <w:rFonts w:ascii="Arial" w:eastAsia="Calibri" w:hAnsi="Arial" w:cs="Arial"/>
          <w:sz w:val="24"/>
          <w:szCs w:val="24"/>
        </w:rPr>
        <w:t>he discretion</w:t>
      </w:r>
      <w:r w:rsidR="00297CFF">
        <w:rPr>
          <w:rFonts w:ascii="Arial" w:eastAsia="Calibri" w:hAnsi="Arial" w:cs="Arial"/>
          <w:sz w:val="24"/>
          <w:szCs w:val="24"/>
        </w:rPr>
        <w:t xml:space="preserve"> whether</w:t>
      </w:r>
      <w:r w:rsidRPr="000216BD">
        <w:rPr>
          <w:rFonts w:ascii="Arial" w:eastAsia="Calibri" w:hAnsi="Arial" w:cs="Arial"/>
          <w:sz w:val="24"/>
          <w:szCs w:val="24"/>
        </w:rPr>
        <w:t xml:space="preserve"> to cancel the sale or not lies with the judge to whom the report </w:t>
      </w:r>
      <w:r>
        <w:rPr>
          <w:rFonts w:ascii="Arial" w:eastAsia="Calibri" w:hAnsi="Arial" w:cs="Arial"/>
          <w:sz w:val="24"/>
          <w:szCs w:val="24"/>
        </w:rPr>
        <w:t xml:space="preserve">is </w:t>
      </w:r>
      <w:r w:rsidRPr="000216BD">
        <w:rPr>
          <w:rFonts w:ascii="Arial" w:eastAsia="Calibri" w:hAnsi="Arial" w:cs="Arial"/>
          <w:sz w:val="24"/>
          <w:szCs w:val="24"/>
        </w:rPr>
        <w:t>submitted for consideration.</w:t>
      </w:r>
    </w:p>
    <w:p w14:paraId="5D7CEAEC" w14:textId="77777777" w:rsidR="00CB01BA" w:rsidRDefault="00CB01BA" w:rsidP="00CB01BA">
      <w:pPr>
        <w:spacing w:after="157" w:line="360" w:lineRule="auto"/>
        <w:jc w:val="both"/>
        <w:rPr>
          <w:rFonts w:ascii="Arial" w:eastAsia="Calibri" w:hAnsi="Arial" w:cs="Arial"/>
          <w:sz w:val="24"/>
          <w:szCs w:val="24"/>
        </w:rPr>
      </w:pPr>
      <w:r w:rsidRPr="00BB6A4F">
        <w:rPr>
          <w:rFonts w:ascii="Arial" w:eastAsia="Calibri" w:hAnsi="Arial" w:cs="Arial"/>
          <w:i/>
          <w:sz w:val="24"/>
          <w:szCs w:val="24"/>
        </w:rPr>
        <w:t>Held that</w:t>
      </w:r>
      <w:r w:rsidR="00BB6A4F" w:rsidRPr="00BB6A4F">
        <w:rPr>
          <w:rFonts w:ascii="Arial" w:eastAsia="Calibri" w:hAnsi="Arial" w:cs="Arial"/>
          <w:sz w:val="24"/>
          <w:szCs w:val="24"/>
        </w:rPr>
        <w:t xml:space="preserve"> rule</w:t>
      </w:r>
      <w:r w:rsidR="00BB6A4F">
        <w:rPr>
          <w:rFonts w:ascii="Arial" w:eastAsia="Calibri" w:hAnsi="Arial" w:cs="Arial"/>
          <w:sz w:val="24"/>
          <w:szCs w:val="24"/>
        </w:rPr>
        <w:t xml:space="preserve"> 110(3)</w:t>
      </w:r>
      <w:r w:rsidR="00BB6A4F" w:rsidRPr="00BB6A4F">
        <w:rPr>
          <w:rFonts w:ascii="Arial" w:eastAsia="Calibri" w:hAnsi="Arial" w:cs="Arial"/>
          <w:sz w:val="24"/>
          <w:szCs w:val="24"/>
        </w:rPr>
        <w:t xml:space="preserve"> does not provide that the publications must be done in local newspapers but instead provides for the publication in two suitable newspapers circulating in the district in which the property is situated.</w:t>
      </w:r>
    </w:p>
    <w:p w14:paraId="1C4D3F1F" w14:textId="77777777" w:rsidR="00BB6A4F" w:rsidRDefault="00BB6A4F" w:rsidP="00CB01BA">
      <w:pPr>
        <w:spacing w:after="157" w:line="360" w:lineRule="auto"/>
        <w:jc w:val="both"/>
        <w:rPr>
          <w:rFonts w:ascii="Arial" w:eastAsia="Calibri" w:hAnsi="Arial" w:cs="Arial"/>
          <w:sz w:val="24"/>
          <w:szCs w:val="24"/>
        </w:rPr>
      </w:pPr>
      <w:r w:rsidRPr="00BB6A4F">
        <w:rPr>
          <w:rFonts w:ascii="Arial" w:eastAsia="Calibri" w:hAnsi="Arial" w:cs="Arial"/>
          <w:i/>
          <w:sz w:val="24"/>
          <w:szCs w:val="24"/>
        </w:rPr>
        <w:t>Held that</w:t>
      </w:r>
      <w:r>
        <w:rPr>
          <w:rFonts w:ascii="Arial" w:eastAsia="Calibri" w:hAnsi="Arial" w:cs="Arial"/>
          <w:sz w:val="24"/>
          <w:szCs w:val="24"/>
        </w:rPr>
        <w:t xml:space="preserve"> t</w:t>
      </w:r>
      <w:r w:rsidRPr="00BB6A4F">
        <w:rPr>
          <w:rFonts w:ascii="Arial" w:eastAsia="Calibri" w:hAnsi="Arial" w:cs="Arial"/>
          <w:sz w:val="24"/>
          <w:szCs w:val="24"/>
        </w:rPr>
        <w:t>he national newspapers wherein the publications were done are suitable newspapers with a much broader base of readers than what a local newspaper at the coast would have.</w:t>
      </w:r>
    </w:p>
    <w:p w14:paraId="5A7B4481" w14:textId="77777777" w:rsidR="00BB6A4F" w:rsidRPr="00BB6A4F" w:rsidRDefault="00BB6A4F" w:rsidP="00BB6A4F">
      <w:pPr>
        <w:spacing w:after="157" w:line="360" w:lineRule="auto"/>
        <w:jc w:val="both"/>
        <w:rPr>
          <w:rFonts w:ascii="Arial" w:eastAsia="Calibri" w:hAnsi="Arial" w:cs="Arial"/>
          <w:sz w:val="24"/>
          <w:szCs w:val="24"/>
        </w:rPr>
      </w:pPr>
      <w:r w:rsidRPr="00BB6A4F">
        <w:rPr>
          <w:rFonts w:ascii="Arial" w:eastAsia="Calibri" w:hAnsi="Arial" w:cs="Arial"/>
          <w:i/>
          <w:sz w:val="24"/>
          <w:szCs w:val="24"/>
        </w:rPr>
        <w:t>Held further that</w:t>
      </w:r>
      <w:r>
        <w:rPr>
          <w:rFonts w:ascii="Arial" w:eastAsia="Calibri" w:hAnsi="Arial" w:cs="Arial"/>
          <w:sz w:val="24"/>
          <w:szCs w:val="24"/>
        </w:rPr>
        <w:t xml:space="preserve"> h</w:t>
      </w:r>
      <w:r w:rsidRPr="00BB6A4F">
        <w:rPr>
          <w:rFonts w:ascii="Arial" w:eastAsia="Calibri" w:hAnsi="Arial" w:cs="Arial"/>
          <w:sz w:val="24"/>
          <w:szCs w:val="24"/>
        </w:rPr>
        <w:t xml:space="preserve">aving a forum on an electronic platform </w:t>
      </w:r>
      <w:r w:rsidR="00C74948">
        <w:rPr>
          <w:rFonts w:ascii="Arial" w:eastAsia="Calibri" w:hAnsi="Arial" w:cs="Arial"/>
          <w:sz w:val="24"/>
          <w:szCs w:val="24"/>
        </w:rPr>
        <w:t xml:space="preserve">advising potential bidders is </w:t>
      </w:r>
      <w:r w:rsidR="00C74948" w:rsidRPr="00C74948">
        <w:rPr>
          <w:rFonts w:ascii="Arial" w:eastAsia="Calibri" w:hAnsi="Arial" w:cs="Arial"/>
          <w:sz w:val="24"/>
          <w:szCs w:val="24"/>
        </w:rPr>
        <w:t>aimed at</w:t>
      </w:r>
      <w:r w:rsidRPr="00C74948">
        <w:rPr>
          <w:rFonts w:ascii="Arial" w:eastAsia="Calibri" w:hAnsi="Arial" w:cs="Arial"/>
          <w:sz w:val="24"/>
          <w:szCs w:val="24"/>
        </w:rPr>
        <w:t xml:space="preserve"> broaden</w:t>
      </w:r>
      <w:r w:rsidR="00C74948" w:rsidRPr="00C74948">
        <w:rPr>
          <w:rFonts w:ascii="Arial" w:eastAsia="Calibri" w:hAnsi="Arial" w:cs="Arial"/>
          <w:sz w:val="24"/>
          <w:szCs w:val="24"/>
        </w:rPr>
        <w:t>ing</w:t>
      </w:r>
      <w:r w:rsidRPr="00BB6A4F">
        <w:rPr>
          <w:rFonts w:ascii="Arial" w:eastAsia="Calibri" w:hAnsi="Arial" w:cs="Arial"/>
          <w:sz w:val="24"/>
          <w:szCs w:val="24"/>
        </w:rPr>
        <w:t xml:space="preserve"> the basis of potential buyers. </w:t>
      </w:r>
    </w:p>
    <w:p w14:paraId="45FFE433" w14:textId="77777777" w:rsidR="00BB6A4F" w:rsidRPr="00414D2D" w:rsidRDefault="00BB6A4F" w:rsidP="00BB6A4F">
      <w:pPr>
        <w:spacing w:after="157" w:line="360" w:lineRule="auto"/>
        <w:jc w:val="both"/>
        <w:rPr>
          <w:rFonts w:ascii="Arial" w:eastAsia="Calibri" w:hAnsi="Arial" w:cs="Arial"/>
          <w:sz w:val="24"/>
          <w:szCs w:val="24"/>
        </w:rPr>
      </w:pPr>
      <w:r w:rsidRPr="00BB6A4F">
        <w:rPr>
          <w:rFonts w:ascii="Arial" w:eastAsia="Calibri" w:hAnsi="Arial" w:cs="Arial"/>
          <w:i/>
          <w:color w:val="000000" w:themeColor="text1"/>
          <w:sz w:val="24"/>
          <w:szCs w:val="24"/>
        </w:rPr>
        <w:t>Held that</w:t>
      </w:r>
      <w:r w:rsidRPr="00BB6A4F">
        <w:rPr>
          <w:rFonts w:ascii="Arial" w:eastAsia="Calibri" w:hAnsi="Arial" w:cs="Arial"/>
          <w:color w:val="000000" w:themeColor="text1"/>
          <w:sz w:val="24"/>
          <w:szCs w:val="24"/>
        </w:rPr>
        <w:t xml:space="preserve"> </w:t>
      </w:r>
      <w:r w:rsidR="00B25927">
        <w:rPr>
          <w:rFonts w:ascii="Arial" w:eastAsia="Calibri" w:hAnsi="Arial" w:cs="Arial"/>
          <w:sz w:val="24"/>
          <w:szCs w:val="24"/>
        </w:rPr>
        <w:t>there was</w:t>
      </w:r>
      <w:r w:rsidRPr="00BB6A4F">
        <w:rPr>
          <w:rFonts w:ascii="Arial" w:eastAsia="Calibri" w:hAnsi="Arial" w:cs="Arial"/>
          <w:sz w:val="24"/>
          <w:szCs w:val="24"/>
        </w:rPr>
        <w:t xml:space="preserve"> substantive compliance with the rules regarding publication and the WhatsApp group was over and above the publications. The validity of the sale in execution was not reliant on </w:t>
      </w:r>
      <w:r w:rsidRPr="0079212D">
        <w:rPr>
          <w:rFonts w:ascii="Arial" w:eastAsia="Calibri" w:hAnsi="Arial" w:cs="Arial"/>
          <w:sz w:val="24"/>
          <w:szCs w:val="24"/>
        </w:rPr>
        <w:t>the</w:t>
      </w:r>
      <w:r>
        <w:rPr>
          <w:rFonts w:ascii="Arial" w:eastAsia="Calibri" w:hAnsi="Arial" w:cs="Arial"/>
          <w:sz w:val="24"/>
          <w:szCs w:val="24"/>
        </w:rPr>
        <w:t xml:space="preserve"> </w:t>
      </w:r>
      <w:r w:rsidR="0079212D">
        <w:rPr>
          <w:rFonts w:ascii="Arial" w:eastAsia="Calibri" w:hAnsi="Arial" w:cs="Arial"/>
          <w:sz w:val="24"/>
          <w:szCs w:val="24"/>
        </w:rPr>
        <w:t>publication of</w:t>
      </w:r>
      <w:r w:rsidRPr="00BB6A4F">
        <w:rPr>
          <w:rFonts w:ascii="Arial" w:eastAsia="Calibri" w:hAnsi="Arial" w:cs="Arial"/>
          <w:sz w:val="24"/>
          <w:szCs w:val="24"/>
        </w:rPr>
        <w:t xml:space="preserve"> an electronic platform and therefore, the complaint directed at the conduct of the deputy-sheriff in this regard is without merit.</w:t>
      </w:r>
    </w:p>
    <w:p w14:paraId="04E2627B" w14:textId="77777777" w:rsidR="000B75B9" w:rsidRPr="000B75B9" w:rsidRDefault="00000000" w:rsidP="00CB01BA">
      <w:pPr>
        <w:spacing w:after="0" w:line="360" w:lineRule="auto"/>
        <w:jc w:val="both"/>
        <w:rPr>
          <w:rFonts w:ascii="Arial" w:eastAsia="Times New Roman" w:hAnsi="Arial" w:cs="Arial"/>
          <w:sz w:val="24"/>
          <w:szCs w:val="24"/>
          <w:lang w:val="en-GB"/>
        </w:rPr>
      </w:pPr>
      <w:r>
        <w:rPr>
          <w:rFonts w:ascii="Arial" w:eastAsia="Times New Roman" w:hAnsi="Arial" w:cs="Arial"/>
          <w:b/>
          <w:bCs/>
          <w:noProof/>
          <w:sz w:val="24"/>
          <w:szCs w:val="24"/>
          <w:lang w:val="en-GB"/>
        </w:rPr>
        <w:pict w14:anchorId="39EBB2AB">
          <v:rect id="_x0000_i1025" style="width:451.35pt;height:.05pt" o:hralign="center" o:hrstd="t" o:hr="t" fillcolor="#a0a0a0" stroked="f"/>
        </w:pict>
      </w:r>
    </w:p>
    <w:p w14:paraId="7BE8B603" w14:textId="77777777" w:rsidR="000B75B9" w:rsidRPr="000B75B9" w:rsidRDefault="000B75B9" w:rsidP="000B75B9">
      <w:pPr>
        <w:spacing w:after="0" w:line="360" w:lineRule="auto"/>
        <w:jc w:val="center"/>
        <w:rPr>
          <w:rFonts w:ascii="Arial" w:eastAsia="Calibri" w:hAnsi="Arial" w:cs="Arial"/>
          <w:b/>
          <w:bCs/>
          <w:sz w:val="24"/>
          <w:szCs w:val="24"/>
        </w:rPr>
      </w:pPr>
      <w:r w:rsidRPr="000B75B9">
        <w:rPr>
          <w:rFonts w:ascii="Arial" w:eastAsia="Calibri" w:hAnsi="Arial" w:cs="Arial"/>
          <w:b/>
          <w:bCs/>
          <w:sz w:val="24"/>
          <w:szCs w:val="24"/>
        </w:rPr>
        <w:t>ORDER</w:t>
      </w:r>
    </w:p>
    <w:p w14:paraId="299B8D2C" w14:textId="77777777" w:rsidR="000B75B9" w:rsidRPr="000B75B9" w:rsidRDefault="00000000" w:rsidP="000B75B9">
      <w:pPr>
        <w:spacing w:after="0" w:line="360" w:lineRule="auto"/>
        <w:jc w:val="center"/>
        <w:rPr>
          <w:rFonts w:ascii="Arial" w:eastAsia="Calibri" w:hAnsi="Arial" w:cs="Arial"/>
          <w:bCs/>
          <w:sz w:val="24"/>
          <w:szCs w:val="24"/>
        </w:rPr>
      </w:pPr>
      <w:r>
        <w:rPr>
          <w:rFonts w:ascii="Arial" w:eastAsia="Calibri" w:hAnsi="Arial" w:cs="Arial"/>
          <w:b/>
          <w:bCs/>
          <w:noProof/>
          <w:sz w:val="24"/>
          <w:szCs w:val="24"/>
        </w:rPr>
        <w:pict w14:anchorId="22320A69">
          <v:rect id="_x0000_i1026" style="width:451.35pt;height:.05pt" o:hralign="center" o:hrstd="t" o:hr="t" fillcolor="#a0a0a0" stroked="f"/>
        </w:pict>
      </w:r>
    </w:p>
    <w:p w14:paraId="4F83A308" w14:textId="77777777" w:rsidR="000B75B9" w:rsidRPr="000B75B9" w:rsidRDefault="000B75B9" w:rsidP="000B75B9">
      <w:pPr>
        <w:spacing w:after="0" w:line="360" w:lineRule="auto"/>
        <w:rPr>
          <w:rFonts w:ascii="Arial" w:eastAsia="Calibri" w:hAnsi="Arial" w:cs="Arial"/>
          <w:sz w:val="24"/>
          <w:szCs w:val="24"/>
        </w:rPr>
      </w:pPr>
    </w:p>
    <w:p w14:paraId="08123FC7" w14:textId="628FE46C" w:rsidR="00297CFF" w:rsidRPr="001424F6" w:rsidRDefault="001424F6" w:rsidP="001424F6">
      <w:pPr>
        <w:spacing w:after="0" w:line="360" w:lineRule="auto"/>
        <w:ind w:left="720" w:hanging="360"/>
        <w:jc w:val="both"/>
        <w:rPr>
          <w:rFonts w:ascii="Arial" w:hAnsi="Arial" w:cs="Arial"/>
          <w:sz w:val="24"/>
          <w:szCs w:val="24"/>
        </w:rPr>
      </w:pPr>
      <w:r w:rsidRPr="00162509">
        <w:rPr>
          <w:rFonts w:ascii="Arial" w:hAnsi="Arial" w:cs="Arial"/>
          <w:sz w:val="24"/>
          <w:szCs w:val="24"/>
        </w:rPr>
        <w:t>1.</w:t>
      </w:r>
      <w:r w:rsidRPr="00162509">
        <w:rPr>
          <w:rFonts w:ascii="Arial" w:hAnsi="Arial" w:cs="Arial"/>
          <w:sz w:val="24"/>
          <w:szCs w:val="24"/>
        </w:rPr>
        <w:tab/>
      </w:r>
      <w:r w:rsidR="00297CFF" w:rsidRPr="001424F6">
        <w:rPr>
          <w:rFonts w:ascii="Arial" w:hAnsi="Arial" w:cs="Arial"/>
          <w:color w:val="000000" w:themeColor="text1"/>
          <w:sz w:val="24"/>
          <w:szCs w:val="24"/>
        </w:rPr>
        <w:t xml:space="preserve">The review relief and alternative relief sought by the applicants are dismissed. </w:t>
      </w:r>
    </w:p>
    <w:p w14:paraId="3F256EEA" w14:textId="30EE254A" w:rsidR="00297CFF" w:rsidRPr="001424F6" w:rsidRDefault="001424F6" w:rsidP="001424F6">
      <w:pPr>
        <w:spacing w:after="0" w:line="360" w:lineRule="auto"/>
        <w:ind w:left="720" w:hanging="360"/>
        <w:jc w:val="both"/>
        <w:rPr>
          <w:rFonts w:ascii="Arial" w:hAnsi="Arial" w:cs="Arial"/>
          <w:sz w:val="24"/>
          <w:szCs w:val="24"/>
        </w:rPr>
      </w:pPr>
      <w:r w:rsidRPr="00162509">
        <w:rPr>
          <w:rFonts w:ascii="Arial" w:hAnsi="Arial" w:cs="Arial"/>
          <w:sz w:val="24"/>
          <w:szCs w:val="24"/>
        </w:rPr>
        <w:t>2.</w:t>
      </w:r>
      <w:r w:rsidRPr="00162509">
        <w:rPr>
          <w:rFonts w:ascii="Arial" w:hAnsi="Arial" w:cs="Arial"/>
          <w:sz w:val="24"/>
          <w:szCs w:val="24"/>
        </w:rPr>
        <w:tab/>
      </w:r>
      <w:r w:rsidR="00297CFF" w:rsidRPr="001424F6">
        <w:rPr>
          <w:rFonts w:ascii="Arial" w:hAnsi="Arial" w:cs="Arial"/>
          <w:sz w:val="24"/>
          <w:szCs w:val="24"/>
        </w:rPr>
        <w:t xml:space="preserve">The applicants are ordered to pay the costs of the application consequent upon the employment of one instructing and two instructed counsel.  </w:t>
      </w:r>
    </w:p>
    <w:p w14:paraId="1A1CD4A3" w14:textId="60D2FC3C" w:rsidR="00297CFF" w:rsidRPr="001424F6" w:rsidRDefault="001424F6" w:rsidP="001424F6">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97CFF" w:rsidRPr="001424F6">
        <w:rPr>
          <w:rFonts w:ascii="Arial" w:hAnsi="Arial" w:cs="Arial"/>
          <w:sz w:val="24"/>
          <w:szCs w:val="24"/>
        </w:rPr>
        <w:t>The matter is regarded as finalised and removed from the roll.</w:t>
      </w:r>
    </w:p>
    <w:p w14:paraId="5F162B95" w14:textId="77777777" w:rsidR="000B75B9" w:rsidRPr="000B75B9" w:rsidRDefault="000B75B9" w:rsidP="000B75B9">
      <w:pPr>
        <w:tabs>
          <w:tab w:val="left" w:pos="426"/>
        </w:tabs>
        <w:spacing w:after="0" w:line="360" w:lineRule="auto"/>
        <w:rPr>
          <w:rFonts w:ascii="Arial" w:eastAsia="Times New Roman" w:hAnsi="Arial" w:cs="Arial"/>
          <w:sz w:val="24"/>
          <w:szCs w:val="24"/>
          <w:lang w:val="en-GB"/>
        </w:rPr>
      </w:pPr>
    </w:p>
    <w:p w14:paraId="7092E012" w14:textId="77777777" w:rsidR="000B75B9" w:rsidRPr="000B75B9" w:rsidRDefault="00000000" w:rsidP="000B75B9">
      <w:pPr>
        <w:spacing w:after="0" w:line="360" w:lineRule="auto"/>
        <w:rPr>
          <w:rFonts w:ascii="Arial" w:eastAsia="Calibri" w:hAnsi="Arial" w:cs="Arial"/>
          <w:b/>
          <w:bCs/>
          <w:sz w:val="24"/>
          <w:szCs w:val="24"/>
        </w:rPr>
      </w:pPr>
      <w:r>
        <w:rPr>
          <w:rFonts w:ascii="Arial" w:eastAsia="Calibri" w:hAnsi="Arial" w:cs="Arial"/>
          <w:b/>
          <w:bCs/>
          <w:noProof/>
          <w:sz w:val="24"/>
          <w:szCs w:val="24"/>
        </w:rPr>
        <w:lastRenderedPageBreak/>
        <w:pict w14:anchorId="74C63223">
          <v:rect id="_x0000_i1027" style="width:451.35pt;height:.05pt" o:hralign="center" o:hrstd="t" o:hr="t" fillcolor="#a0a0a0" stroked="f"/>
        </w:pict>
      </w:r>
    </w:p>
    <w:p w14:paraId="4DAB16C9" w14:textId="77777777" w:rsidR="000B75B9" w:rsidRPr="000B75B9" w:rsidRDefault="000B75B9" w:rsidP="000B75B9">
      <w:pPr>
        <w:tabs>
          <w:tab w:val="left" w:pos="0"/>
        </w:tabs>
        <w:spacing w:after="0" w:line="360" w:lineRule="auto"/>
        <w:jc w:val="center"/>
        <w:rPr>
          <w:rFonts w:ascii="Arial" w:eastAsia="Times New Roman" w:hAnsi="Arial" w:cs="Arial"/>
          <w:b/>
          <w:sz w:val="24"/>
          <w:szCs w:val="24"/>
          <w:lang w:val="en-GB"/>
        </w:rPr>
      </w:pPr>
      <w:r w:rsidRPr="000B75B9">
        <w:rPr>
          <w:rFonts w:ascii="Arial" w:eastAsia="Times New Roman" w:hAnsi="Arial" w:cs="Arial"/>
          <w:b/>
          <w:sz w:val="24"/>
          <w:szCs w:val="24"/>
          <w:lang w:val="en-GB"/>
        </w:rPr>
        <w:t>JUDGMENT</w:t>
      </w:r>
    </w:p>
    <w:p w14:paraId="37960DCA" w14:textId="77777777" w:rsidR="000B75B9" w:rsidRPr="000B75B9" w:rsidRDefault="00000000" w:rsidP="000B75B9">
      <w:pPr>
        <w:tabs>
          <w:tab w:val="left" w:pos="0"/>
        </w:tabs>
        <w:spacing w:after="0" w:line="360" w:lineRule="auto"/>
        <w:rPr>
          <w:rFonts w:ascii="Arial" w:eastAsia="Times New Roman" w:hAnsi="Arial" w:cs="Arial"/>
          <w:sz w:val="24"/>
          <w:szCs w:val="24"/>
          <w:lang w:val="en-GB"/>
        </w:rPr>
      </w:pPr>
      <w:r>
        <w:rPr>
          <w:rFonts w:ascii="Arial" w:eastAsia="Times New Roman" w:hAnsi="Arial" w:cs="Arial"/>
          <w:b/>
          <w:bCs/>
          <w:noProof/>
          <w:sz w:val="24"/>
          <w:szCs w:val="24"/>
          <w:lang w:val="en-GB"/>
        </w:rPr>
        <w:pict w14:anchorId="727E5A4E">
          <v:rect id="_x0000_i1028" style="width:451.35pt;height:.05pt" o:hralign="center" o:hrstd="t" o:hr="t" fillcolor="#a0a0a0" stroked="f"/>
        </w:pict>
      </w:r>
    </w:p>
    <w:p w14:paraId="129BC006" w14:textId="77777777" w:rsidR="000B75B9" w:rsidRPr="000B75B9" w:rsidRDefault="000B75B9" w:rsidP="000B75B9">
      <w:pPr>
        <w:spacing w:after="0" w:line="360" w:lineRule="auto"/>
        <w:ind w:left="1440" w:hanging="1440"/>
        <w:rPr>
          <w:rFonts w:ascii="Arial" w:eastAsia="Calibri" w:hAnsi="Arial" w:cs="Arial"/>
          <w:b/>
          <w:i/>
          <w:sz w:val="24"/>
          <w:szCs w:val="24"/>
        </w:rPr>
      </w:pPr>
      <w:r w:rsidRPr="000B75B9">
        <w:rPr>
          <w:rFonts w:ascii="Arial" w:eastAsia="Calibri" w:hAnsi="Arial" w:cs="Arial"/>
          <w:sz w:val="24"/>
          <w:szCs w:val="24"/>
        </w:rPr>
        <w:t>PRINSLOO J:</w:t>
      </w:r>
    </w:p>
    <w:p w14:paraId="7C225E26" w14:textId="77777777" w:rsidR="000B75B9" w:rsidRPr="000B75B9" w:rsidRDefault="000B75B9" w:rsidP="000B75B9">
      <w:pPr>
        <w:spacing w:after="157"/>
        <w:rPr>
          <w:rFonts w:ascii="Arial" w:hAnsi="Arial" w:cs="Arial"/>
          <w:b/>
          <w:bCs/>
          <w:sz w:val="24"/>
          <w:szCs w:val="24"/>
        </w:rPr>
      </w:pPr>
    </w:p>
    <w:p w14:paraId="4D82CBF1" w14:textId="77777777" w:rsidR="000B75B9" w:rsidRPr="000B75B9" w:rsidRDefault="000B75B9" w:rsidP="000B75B9">
      <w:pPr>
        <w:spacing w:after="157" w:line="360" w:lineRule="auto"/>
        <w:rPr>
          <w:rFonts w:ascii="Arial" w:hAnsi="Arial" w:cs="Arial"/>
          <w:sz w:val="24"/>
          <w:szCs w:val="24"/>
        </w:rPr>
      </w:pPr>
      <w:r w:rsidRPr="000B75B9">
        <w:rPr>
          <w:rFonts w:ascii="Arial" w:hAnsi="Arial" w:cs="Arial"/>
          <w:sz w:val="24"/>
          <w:szCs w:val="24"/>
          <w:u w:val="single"/>
        </w:rPr>
        <w:t xml:space="preserve">Introduction </w:t>
      </w:r>
    </w:p>
    <w:p w14:paraId="2DD6CB5F" w14:textId="77777777" w:rsidR="00FA1301" w:rsidRDefault="00FA1301" w:rsidP="008D3BE8">
      <w:pPr>
        <w:spacing w:after="0"/>
        <w:rPr>
          <w:sz w:val="24"/>
          <w:szCs w:val="24"/>
        </w:rPr>
      </w:pPr>
    </w:p>
    <w:p w14:paraId="2444C7CA" w14:textId="381DBA0F" w:rsidR="00C87DB0" w:rsidRDefault="001424F6" w:rsidP="001424F6">
      <w:pPr>
        <w:pStyle w:val="BodyText"/>
        <w:spacing w:after="0"/>
        <w:rPr>
          <w:sz w:val="24"/>
          <w:szCs w:val="24"/>
        </w:rPr>
      </w:pPr>
      <w:r>
        <w:rPr>
          <w:sz w:val="24"/>
          <w:szCs w:val="24"/>
        </w:rPr>
        <w:t>[1]</w:t>
      </w:r>
      <w:r>
        <w:rPr>
          <w:sz w:val="24"/>
          <w:szCs w:val="24"/>
        </w:rPr>
        <w:tab/>
      </w:r>
      <w:r w:rsidR="00C87DB0" w:rsidRPr="008D3BE8">
        <w:rPr>
          <w:sz w:val="24"/>
          <w:szCs w:val="24"/>
        </w:rPr>
        <w:t xml:space="preserve">The </w:t>
      </w:r>
      <w:r w:rsidR="008D3BE8" w:rsidRPr="008D3BE8">
        <w:rPr>
          <w:sz w:val="24"/>
          <w:szCs w:val="24"/>
        </w:rPr>
        <w:t>matter came before me on an urgent basis on 11 A</w:t>
      </w:r>
      <w:r w:rsidR="00DA7BB1">
        <w:rPr>
          <w:sz w:val="24"/>
          <w:szCs w:val="24"/>
        </w:rPr>
        <w:t xml:space="preserve">ugust 2022 when the </w:t>
      </w:r>
      <w:r w:rsidR="00DA7BB1" w:rsidRPr="00992757">
        <w:rPr>
          <w:sz w:val="24"/>
          <w:szCs w:val="24"/>
        </w:rPr>
        <w:t>applicants</w:t>
      </w:r>
      <w:r w:rsidR="008D3BE8" w:rsidRPr="00992757">
        <w:rPr>
          <w:sz w:val="24"/>
          <w:szCs w:val="24"/>
        </w:rPr>
        <w:t xml:space="preserve">, Hanus Properties and Consultancies CC </w:t>
      </w:r>
      <w:r w:rsidR="00CD5994" w:rsidRPr="00992757">
        <w:rPr>
          <w:sz w:val="24"/>
          <w:szCs w:val="24"/>
        </w:rPr>
        <w:t>(Hanus</w:t>
      </w:r>
      <w:r w:rsidR="00585970" w:rsidRPr="00992757">
        <w:rPr>
          <w:sz w:val="24"/>
          <w:szCs w:val="24"/>
        </w:rPr>
        <w:t xml:space="preserve"> Properties</w:t>
      </w:r>
      <w:r w:rsidR="00CD5994" w:rsidRPr="00992757">
        <w:rPr>
          <w:sz w:val="24"/>
          <w:szCs w:val="24"/>
        </w:rPr>
        <w:t xml:space="preserve">) </w:t>
      </w:r>
      <w:r w:rsidR="008D3BE8" w:rsidRPr="00992757">
        <w:rPr>
          <w:sz w:val="24"/>
          <w:szCs w:val="24"/>
        </w:rPr>
        <w:t>and Mr Harold A</w:t>
      </w:r>
      <w:r w:rsidR="00566206" w:rsidRPr="00992757">
        <w:rPr>
          <w:sz w:val="24"/>
          <w:szCs w:val="24"/>
        </w:rPr>
        <w:t>r</w:t>
      </w:r>
      <w:r w:rsidR="008D3BE8" w:rsidRPr="00992757">
        <w:rPr>
          <w:sz w:val="24"/>
          <w:szCs w:val="24"/>
        </w:rPr>
        <w:t xml:space="preserve">thur Von </w:t>
      </w:r>
      <w:r w:rsidR="00566206" w:rsidRPr="00992757">
        <w:rPr>
          <w:sz w:val="24"/>
          <w:szCs w:val="24"/>
        </w:rPr>
        <w:t>Lüttichou</w:t>
      </w:r>
      <w:r w:rsidR="008D3BE8" w:rsidRPr="00992757">
        <w:rPr>
          <w:sz w:val="24"/>
          <w:szCs w:val="24"/>
        </w:rPr>
        <w:t xml:space="preserve"> </w:t>
      </w:r>
      <w:r w:rsidR="00CD5994" w:rsidRPr="00992757">
        <w:rPr>
          <w:sz w:val="24"/>
          <w:szCs w:val="24"/>
        </w:rPr>
        <w:t>(</w:t>
      </w:r>
      <w:r w:rsidR="00B2686F" w:rsidRPr="00992757">
        <w:rPr>
          <w:sz w:val="24"/>
          <w:szCs w:val="24"/>
        </w:rPr>
        <w:t xml:space="preserve">Mr </w:t>
      </w:r>
      <w:r w:rsidR="00CD5994" w:rsidRPr="00992757">
        <w:rPr>
          <w:sz w:val="24"/>
          <w:szCs w:val="24"/>
        </w:rPr>
        <w:t xml:space="preserve">Von </w:t>
      </w:r>
      <w:r w:rsidR="00566206" w:rsidRPr="00992757">
        <w:rPr>
          <w:sz w:val="24"/>
          <w:szCs w:val="24"/>
        </w:rPr>
        <w:t>Lüttichou</w:t>
      </w:r>
      <w:r w:rsidR="00CD5994" w:rsidRPr="00992757">
        <w:rPr>
          <w:sz w:val="24"/>
          <w:szCs w:val="24"/>
        </w:rPr>
        <w:t xml:space="preserve">) </w:t>
      </w:r>
      <w:r w:rsidR="00DA7BB1" w:rsidRPr="00992757">
        <w:rPr>
          <w:sz w:val="24"/>
          <w:szCs w:val="24"/>
        </w:rPr>
        <w:t xml:space="preserve">sought </w:t>
      </w:r>
      <w:r w:rsidR="008D3BE8" w:rsidRPr="00992757">
        <w:rPr>
          <w:sz w:val="24"/>
          <w:szCs w:val="24"/>
        </w:rPr>
        <w:t>an order interdicting</w:t>
      </w:r>
      <w:r w:rsidR="008D3BE8" w:rsidRPr="008D3BE8">
        <w:rPr>
          <w:sz w:val="24"/>
          <w:szCs w:val="24"/>
        </w:rPr>
        <w:t xml:space="preserve"> the first and thir</w:t>
      </w:r>
      <w:r w:rsidR="00297CFF">
        <w:rPr>
          <w:sz w:val="24"/>
          <w:szCs w:val="24"/>
        </w:rPr>
        <w:t xml:space="preserve">d respondents from transferring, </w:t>
      </w:r>
      <w:r w:rsidR="008D3BE8" w:rsidRPr="008D3BE8">
        <w:rPr>
          <w:sz w:val="24"/>
          <w:szCs w:val="24"/>
        </w:rPr>
        <w:t>and registering the immovable property situated at Erf 2277, Extension 8, No 78 Turmaline Street, Hage Heights, Swakopmund</w:t>
      </w:r>
      <w:r w:rsidR="008D3BE8">
        <w:rPr>
          <w:sz w:val="24"/>
          <w:szCs w:val="24"/>
        </w:rPr>
        <w:t>, pending the finalisation of Part B of the Notice of Motion.</w:t>
      </w:r>
      <w:r w:rsidR="008D3BE8" w:rsidRPr="008D3BE8">
        <w:rPr>
          <w:sz w:val="24"/>
          <w:szCs w:val="24"/>
        </w:rPr>
        <w:t xml:space="preserve"> </w:t>
      </w:r>
    </w:p>
    <w:p w14:paraId="7DB166C6" w14:textId="77777777" w:rsidR="008D3BE8" w:rsidRDefault="008D3BE8" w:rsidP="008D3BE8">
      <w:pPr>
        <w:pStyle w:val="BodyText"/>
        <w:spacing w:after="0"/>
        <w:rPr>
          <w:sz w:val="24"/>
          <w:szCs w:val="24"/>
        </w:rPr>
      </w:pPr>
    </w:p>
    <w:p w14:paraId="19C0A455" w14:textId="6F01EE3E" w:rsidR="008D3BE8" w:rsidRDefault="001424F6" w:rsidP="001424F6">
      <w:pPr>
        <w:pStyle w:val="BodyText"/>
        <w:spacing w:after="0"/>
        <w:rPr>
          <w:sz w:val="24"/>
          <w:szCs w:val="24"/>
        </w:rPr>
      </w:pPr>
      <w:r>
        <w:rPr>
          <w:sz w:val="24"/>
          <w:szCs w:val="24"/>
        </w:rPr>
        <w:t>[2]</w:t>
      </w:r>
      <w:r>
        <w:rPr>
          <w:sz w:val="24"/>
          <w:szCs w:val="24"/>
        </w:rPr>
        <w:tab/>
      </w:r>
      <w:r w:rsidR="008D3BE8">
        <w:rPr>
          <w:sz w:val="24"/>
          <w:szCs w:val="24"/>
        </w:rPr>
        <w:t>The respondents in these proceedings are as follows:</w:t>
      </w:r>
    </w:p>
    <w:p w14:paraId="0E6D01A9" w14:textId="77777777" w:rsidR="008D3BE8" w:rsidRDefault="008D3BE8" w:rsidP="008D3BE8">
      <w:pPr>
        <w:pStyle w:val="ListParagraph"/>
        <w:rPr>
          <w:sz w:val="24"/>
          <w:szCs w:val="24"/>
        </w:rPr>
      </w:pPr>
    </w:p>
    <w:p w14:paraId="06E56D64" w14:textId="52D92233" w:rsidR="008D3BE8" w:rsidRDefault="001424F6" w:rsidP="001424F6">
      <w:pPr>
        <w:pStyle w:val="BodyText"/>
        <w:spacing w:after="0"/>
        <w:ind w:left="720" w:hanging="360"/>
        <w:rPr>
          <w:sz w:val="24"/>
          <w:szCs w:val="24"/>
        </w:rPr>
      </w:pPr>
      <w:r>
        <w:rPr>
          <w:sz w:val="24"/>
          <w:szCs w:val="24"/>
        </w:rPr>
        <w:t>a)</w:t>
      </w:r>
      <w:r>
        <w:rPr>
          <w:sz w:val="24"/>
          <w:szCs w:val="24"/>
        </w:rPr>
        <w:tab/>
      </w:r>
      <w:r w:rsidR="00516937">
        <w:rPr>
          <w:sz w:val="24"/>
          <w:szCs w:val="24"/>
        </w:rPr>
        <w:t>The first</w:t>
      </w:r>
      <w:r w:rsidR="008D3BE8">
        <w:rPr>
          <w:sz w:val="24"/>
          <w:szCs w:val="24"/>
        </w:rPr>
        <w:t xml:space="preserve"> respondent is the </w:t>
      </w:r>
      <w:r w:rsidR="0076023A" w:rsidRPr="00040F9F">
        <w:rPr>
          <w:sz w:val="24"/>
          <w:szCs w:val="24"/>
        </w:rPr>
        <w:t>deputy-sheriff</w:t>
      </w:r>
      <w:r w:rsidR="0076023A">
        <w:rPr>
          <w:sz w:val="24"/>
          <w:szCs w:val="24"/>
        </w:rPr>
        <w:t xml:space="preserve"> </w:t>
      </w:r>
      <w:r w:rsidR="008D3BE8">
        <w:rPr>
          <w:sz w:val="24"/>
          <w:szCs w:val="24"/>
        </w:rPr>
        <w:t xml:space="preserve">for the District of </w:t>
      </w:r>
      <w:r w:rsidR="00516937">
        <w:rPr>
          <w:sz w:val="24"/>
          <w:szCs w:val="24"/>
        </w:rPr>
        <w:t>Swakopmund</w:t>
      </w:r>
      <w:r w:rsidR="00CD5994">
        <w:rPr>
          <w:sz w:val="24"/>
          <w:szCs w:val="24"/>
        </w:rPr>
        <w:t xml:space="preserve"> (the </w:t>
      </w:r>
      <w:r w:rsidR="00040F9F" w:rsidRPr="00040F9F">
        <w:rPr>
          <w:sz w:val="24"/>
          <w:szCs w:val="24"/>
        </w:rPr>
        <w:t>deputy-sheriff</w:t>
      </w:r>
      <w:r w:rsidR="00CD5994">
        <w:rPr>
          <w:sz w:val="24"/>
          <w:szCs w:val="24"/>
        </w:rPr>
        <w:t>),</w:t>
      </w:r>
      <w:r w:rsidR="00DA7BB1">
        <w:rPr>
          <w:sz w:val="24"/>
          <w:szCs w:val="24"/>
        </w:rPr>
        <w:t xml:space="preserve"> </w:t>
      </w:r>
      <w:r w:rsidR="008D3BE8">
        <w:rPr>
          <w:sz w:val="24"/>
          <w:szCs w:val="24"/>
        </w:rPr>
        <w:t>appointed in terms of s 30 of</w:t>
      </w:r>
      <w:r w:rsidR="00DA7BB1">
        <w:rPr>
          <w:sz w:val="24"/>
          <w:szCs w:val="24"/>
        </w:rPr>
        <w:t xml:space="preserve"> the High Court Act 19 of 1990;</w:t>
      </w:r>
    </w:p>
    <w:p w14:paraId="2AA24343" w14:textId="7C333084" w:rsidR="008D3BE8" w:rsidRDefault="001424F6" w:rsidP="001424F6">
      <w:pPr>
        <w:pStyle w:val="BodyText"/>
        <w:spacing w:after="0"/>
        <w:ind w:left="720" w:hanging="360"/>
        <w:rPr>
          <w:sz w:val="24"/>
          <w:szCs w:val="24"/>
        </w:rPr>
      </w:pPr>
      <w:r>
        <w:rPr>
          <w:sz w:val="24"/>
          <w:szCs w:val="24"/>
        </w:rPr>
        <w:t>b)</w:t>
      </w:r>
      <w:r>
        <w:rPr>
          <w:sz w:val="24"/>
          <w:szCs w:val="24"/>
        </w:rPr>
        <w:tab/>
      </w:r>
      <w:r w:rsidR="00516937">
        <w:rPr>
          <w:sz w:val="24"/>
          <w:szCs w:val="24"/>
        </w:rPr>
        <w:t>The second</w:t>
      </w:r>
      <w:r w:rsidR="008D3BE8">
        <w:rPr>
          <w:sz w:val="24"/>
          <w:szCs w:val="24"/>
        </w:rPr>
        <w:t xml:space="preserve"> respondent is Standard Bank Namibia Limited</w:t>
      </w:r>
      <w:r w:rsidR="00CD5994">
        <w:rPr>
          <w:sz w:val="24"/>
          <w:szCs w:val="24"/>
        </w:rPr>
        <w:t xml:space="preserve"> (Standard Bank)</w:t>
      </w:r>
      <w:r w:rsidR="008D3BE8">
        <w:rPr>
          <w:sz w:val="24"/>
          <w:szCs w:val="24"/>
        </w:rPr>
        <w:t>, a registered commercial bank and public company with limited liability, duly incorporated  as such, with its head office in</w:t>
      </w:r>
      <w:r w:rsidR="00DA7BB1">
        <w:rPr>
          <w:sz w:val="24"/>
          <w:szCs w:val="24"/>
        </w:rPr>
        <w:t xml:space="preserve"> Chasie Street, Windhoek;</w:t>
      </w:r>
    </w:p>
    <w:p w14:paraId="2DFB2214" w14:textId="654DFEC1" w:rsidR="008D3BE8" w:rsidRDefault="001424F6" w:rsidP="001424F6">
      <w:pPr>
        <w:pStyle w:val="BodyText"/>
        <w:spacing w:after="0"/>
        <w:ind w:left="720" w:hanging="360"/>
        <w:rPr>
          <w:sz w:val="24"/>
          <w:szCs w:val="24"/>
        </w:rPr>
      </w:pPr>
      <w:r>
        <w:rPr>
          <w:sz w:val="24"/>
          <w:szCs w:val="24"/>
        </w:rPr>
        <w:t>c)</w:t>
      </w:r>
      <w:r>
        <w:rPr>
          <w:sz w:val="24"/>
          <w:szCs w:val="24"/>
        </w:rPr>
        <w:tab/>
      </w:r>
      <w:r w:rsidR="00516937">
        <w:rPr>
          <w:sz w:val="24"/>
          <w:szCs w:val="24"/>
        </w:rPr>
        <w:t>The third</w:t>
      </w:r>
      <w:r w:rsidR="008D3BE8">
        <w:rPr>
          <w:sz w:val="24"/>
          <w:szCs w:val="24"/>
        </w:rPr>
        <w:t xml:space="preserve"> respondent is Conroy Mouton</w:t>
      </w:r>
      <w:r w:rsidR="00CD5994">
        <w:rPr>
          <w:sz w:val="24"/>
          <w:szCs w:val="24"/>
        </w:rPr>
        <w:t xml:space="preserve"> (</w:t>
      </w:r>
      <w:r w:rsidR="00DA7BB1" w:rsidRPr="00992757">
        <w:rPr>
          <w:sz w:val="24"/>
          <w:szCs w:val="24"/>
        </w:rPr>
        <w:t xml:space="preserve">Mr </w:t>
      </w:r>
      <w:r w:rsidR="00CD5994" w:rsidRPr="00992757">
        <w:rPr>
          <w:sz w:val="24"/>
          <w:szCs w:val="24"/>
        </w:rPr>
        <w:t>Mouton</w:t>
      </w:r>
      <w:r w:rsidR="00CD5994">
        <w:rPr>
          <w:sz w:val="24"/>
          <w:szCs w:val="24"/>
        </w:rPr>
        <w:t>)</w:t>
      </w:r>
      <w:r w:rsidR="008D3BE8">
        <w:rPr>
          <w:sz w:val="24"/>
          <w:szCs w:val="24"/>
        </w:rPr>
        <w:t>, an ad</w:t>
      </w:r>
      <w:r w:rsidR="00DA7BB1">
        <w:rPr>
          <w:sz w:val="24"/>
          <w:szCs w:val="24"/>
        </w:rPr>
        <w:t>ult male residing in Swakopmund;</w:t>
      </w:r>
    </w:p>
    <w:p w14:paraId="165730B6" w14:textId="7A854250" w:rsidR="008D3BE8" w:rsidRDefault="001424F6" w:rsidP="001424F6">
      <w:pPr>
        <w:pStyle w:val="BodyText"/>
        <w:spacing w:after="0"/>
        <w:ind w:left="720" w:hanging="360"/>
        <w:rPr>
          <w:sz w:val="24"/>
          <w:szCs w:val="24"/>
        </w:rPr>
      </w:pPr>
      <w:r>
        <w:rPr>
          <w:sz w:val="24"/>
          <w:szCs w:val="24"/>
        </w:rPr>
        <w:t>d)</w:t>
      </w:r>
      <w:r>
        <w:rPr>
          <w:sz w:val="24"/>
          <w:szCs w:val="24"/>
        </w:rPr>
        <w:tab/>
      </w:r>
      <w:r w:rsidR="00516937">
        <w:rPr>
          <w:sz w:val="24"/>
          <w:szCs w:val="24"/>
        </w:rPr>
        <w:t>The fourth</w:t>
      </w:r>
      <w:r w:rsidR="008D3BE8">
        <w:rPr>
          <w:sz w:val="24"/>
          <w:szCs w:val="24"/>
        </w:rPr>
        <w:t xml:space="preserve"> respondent is the Registrar of Deeds, appointed in accordance wit</w:t>
      </w:r>
      <w:r w:rsidR="00516937">
        <w:rPr>
          <w:sz w:val="24"/>
          <w:szCs w:val="24"/>
        </w:rPr>
        <w:t>h s 2 of the Deed Registries Act 47 of 1937</w:t>
      </w:r>
      <w:r w:rsidR="00665A39">
        <w:rPr>
          <w:sz w:val="24"/>
          <w:szCs w:val="24"/>
        </w:rPr>
        <w:t>,</w:t>
      </w:r>
      <w:r w:rsidR="00516937">
        <w:rPr>
          <w:sz w:val="24"/>
          <w:szCs w:val="24"/>
        </w:rPr>
        <w:t xml:space="preserve"> with his offices situated at 45 Robert Mugabe Street, Windhoek;</w:t>
      </w:r>
    </w:p>
    <w:p w14:paraId="29F4689F" w14:textId="66E501DC" w:rsidR="00516937" w:rsidRPr="008D3BE8" w:rsidRDefault="001424F6" w:rsidP="001424F6">
      <w:pPr>
        <w:pStyle w:val="BodyText"/>
        <w:spacing w:after="0"/>
        <w:ind w:left="720" w:hanging="360"/>
        <w:rPr>
          <w:sz w:val="24"/>
          <w:szCs w:val="24"/>
        </w:rPr>
      </w:pPr>
      <w:r w:rsidRPr="008D3BE8">
        <w:rPr>
          <w:sz w:val="24"/>
          <w:szCs w:val="24"/>
        </w:rPr>
        <w:t>e)</w:t>
      </w:r>
      <w:r w:rsidRPr="008D3BE8">
        <w:rPr>
          <w:sz w:val="24"/>
          <w:szCs w:val="24"/>
        </w:rPr>
        <w:tab/>
      </w:r>
      <w:r w:rsidR="00516937">
        <w:rPr>
          <w:sz w:val="24"/>
          <w:szCs w:val="24"/>
        </w:rPr>
        <w:t xml:space="preserve">The fifth respondent is the Registrar of the High Court, appointed in terms of s 30 of the High Court Act 16 of 1990, with her offices at the High Court Building, c/o Judge JP Karuaihe Street and John Meinert Street, Windhoek. No relief was sought in respect of </w:t>
      </w:r>
      <w:r w:rsidR="00297CFF">
        <w:rPr>
          <w:sz w:val="24"/>
          <w:szCs w:val="24"/>
        </w:rPr>
        <w:t>this respondent</w:t>
      </w:r>
      <w:r w:rsidR="00516937">
        <w:rPr>
          <w:sz w:val="24"/>
          <w:szCs w:val="24"/>
        </w:rPr>
        <w:t xml:space="preserve">. </w:t>
      </w:r>
    </w:p>
    <w:p w14:paraId="205E5F93" w14:textId="77777777" w:rsidR="008D3BE8" w:rsidRDefault="008D3BE8" w:rsidP="008D3BE8">
      <w:pPr>
        <w:pStyle w:val="BodyText"/>
        <w:spacing w:after="0"/>
        <w:rPr>
          <w:sz w:val="24"/>
          <w:szCs w:val="24"/>
        </w:rPr>
      </w:pPr>
    </w:p>
    <w:p w14:paraId="5F854CA3" w14:textId="4E6DD72F" w:rsidR="00CD5994" w:rsidRDefault="001424F6" w:rsidP="001424F6">
      <w:pPr>
        <w:pStyle w:val="BodyText"/>
        <w:spacing w:after="0"/>
        <w:rPr>
          <w:sz w:val="24"/>
          <w:szCs w:val="24"/>
        </w:rPr>
      </w:pPr>
      <w:r>
        <w:rPr>
          <w:sz w:val="24"/>
          <w:szCs w:val="24"/>
        </w:rPr>
        <w:lastRenderedPageBreak/>
        <w:t>[3]</w:t>
      </w:r>
      <w:r>
        <w:rPr>
          <w:sz w:val="24"/>
          <w:szCs w:val="24"/>
        </w:rPr>
        <w:tab/>
      </w:r>
      <w:r w:rsidR="00CD5994">
        <w:rPr>
          <w:sz w:val="24"/>
          <w:szCs w:val="24"/>
        </w:rPr>
        <w:t xml:space="preserve">Only Standard Bank opposed the application by the applicants. The </w:t>
      </w:r>
      <w:r w:rsidR="0076023A" w:rsidRPr="00040F9F">
        <w:rPr>
          <w:sz w:val="24"/>
          <w:szCs w:val="24"/>
        </w:rPr>
        <w:t>deputy-sheriff</w:t>
      </w:r>
      <w:r w:rsidR="0076023A">
        <w:rPr>
          <w:sz w:val="24"/>
          <w:szCs w:val="24"/>
        </w:rPr>
        <w:t xml:space="preserve"> </w:t>
      </w:r>
      <w:r w:rsidR="00CD5994">
        <w:rPr>
          <w:sz w:val="24"/>
          <w:szCs w:val="24"/>
        </w:rPr>
        <w:t xml:space="preserve">and Mr Mouton did not oppose the application but took part in the </w:t>
      </w:r>
      <w:r w:rsidR="00CD5994" w:rsidRPr="00992757">
        <w:rPr>
          <w:sz w:val="24"/>
          <w:szCs w:val="24"/>
        </w:rPr>
        <w:t>proceeding</w:t>
      </w:r>
      <w:r w:rsidR="00DA7BB1" w:rsidRPr="00992757">
        <w:rPr>
          <w:sz w:val="24"/>
          <w:szCs w:val="24"/>
        </w:rPr>
        <w:t>s</w:t>
      </w:r>
      <w:r w:rsidR="00CD5994">
        <w:rPr>
          <w:sz w:val="24"/>
          <w:szCs w:val="24"/>
        </w:rPr>
        <w:t xml:space="preserve"> scheduled for 11 August 2022.</w:t>
      </w:r>
    </w:p>
    <w:p w14:paraId="17D9F8F0" w14:textId="77777777" w:rsidR="00CD5994" w:rsidRDefault="00CD5994" w:rsidP="00CD5994">
      <w:pPr>
        <w:pStyle w:val="BodyText"/>
        <w:spacing w:after="0"/>
        <w:rPr>
          <w:sz w:val="24"/>
          <w:szCs w:val="24"/>
        </w:rPr>
      </w:pPr>
    </w:p>
    <w:p w14:paraId="202FBBFF" w14:textId="23FD7B3F" w:rsidR="008D3BE8" w:rsidRDefault="001424F6" w:rsidP="001424F6">
      <w:pPr>
        <w:pStyle w:val="BodyText"/>
        <w:spacing w:after="0"/>
        <w:rPr>
          <w:sz w:val="24"/>
          <w:szCs w:val="24"/>
        </w:rPr>
      </w:pPr>
      <w:r>
        <w:rPr>
          <w:sz w:val="24"/>
          <w:szCs w:val="24"/>
        </w:rPr>
        <w:t>[4]</w:t>
      </w:r>
      <w:r>
        <w:rPr>
          <w:sz w:val="24"/>
          <w:szCs w:val="24"/>
        </w:rPr>
        <w:tab/>
      </w:r>
      <w:r w:rsidR="008D3BE8">
        <w:rPr>
          <w:sz w:val="24"/>
          <w:szCs w:val="24"/>
        </w:rPr>
        <w:t xml:space="preserve">During the appearance on 11 August 2022, an agreement which was recorded </w:t>
      </w:r>
      <w:r w:rsidR="00DA7BB1" w:rsidRPr="00FE7D78">
        <w:rPr>
          <w:sz w:val="24"/>
          <w:szCs w:val="24"/>
        </w:rPr>
        <w:t xml:space="preserve">in </w:t>
      </w:r>
      <w:r w:rsidR="00DA7BB1" w:rsidRPr="00992757">
        <w:rPr>
          <w:sz w:val="24"/>
          <w:szCs w:val="24"/>
        </w:rPr>
        <w:t>the following terms was concluded:</w:t>
      </w:r>
    </w:p>
    <w:p w14:paraId="624BF0F0" w14:textId="77777777" w:rsidR="008D3BE8" w:rsidRDefault="008D3BE8" w:rsidP="008D3BE8">
      <w:pPr>
        <w:pStyle w:val="BodyText"/>
        <w:spacing w:after="0"/>
        <w:rPr>
          <w:sz w:val="24"/>
          <w:szCs w:val="24"/>
        </w:rPr>
      </w:pPr>
    </w:p>
    <w:p w14:paraId="16671616" w14:textId="77777777" w:rsidR="00CD5994" w:rsidRDefault="008D3BE8" w:rsidP="008D3BE8">
      <w:pPr>
        <w:pStyle w:val="BodyText"/>
        <w:spacing w:after="0"/>
        <w:ind w:firstLine="720"/>
      </w:pPr>
      <w:r>
        <w:t>‘</w:t>
      </w:r>
      <w:r w:rsidR="00CD5994" w:rsidRPr="00CD5994">
        <w:rPr>
          <w:u w:val="single"/>
        </w:rPr>
        <w:t>As per Part A of the Notice of Motion</w:t>
      </w:r>
      <w:r w:rsidR="00CD5994">
        <w:t>:</w:t>
      </w:r>
    </w:p>
    <w:p w14:paraId="0BC6F6E1" w14:textId="77777777" w:rsidR="008D3BE8" w:rsidRDefault="00D21897" w:rsidP="00CD5994">
      <w:pPr>
        <w:pStyle w:val="BodyText"/>
        <w:spacing w:after="0"/>
      </w:pPr>
      <w:r>
        <w:t>1.</w:t>
      </w:r>
      <w:r w:rsidR="00DA7BB1">
        <w:tab/>
      </w:r>
      <w:r w:rsidR="008D3BE8">
        <w:t xml:space="preserve">That the non-compliance with rules of the High Court of Namibia relating to forms and service is hereby condoned as is envisaged in Rule 73(3) of the aforesaid rules and that the application is heard as a matter of urgency.  </w:t>
      </w:r>
    </w:p>
    <w:p w14:paraId="6AF9C1A5" w14:textId="77777777" w:rsidR="008D3BE8" w:rsidRDefault="008D3BE8" w:rsidP="008D3BE8">
      <w:pPr>
        <w:pStyle w:val="BodyText"/>
        <w:spacing w:after="0"/>
      </w:pPr>
      <w:r>
        <w:t>2.</w:t>
      </w:r>
      <w:r w:rsidR="00DA7BB1">
        <w:tab/>
      </w:r>
      <w:r>
        <w:t xml:space="preserve">Pending the final determination of Part B in this application, the third respondent is hereby interdicted and restrained from causing the property situated at Erf no 2277 Swakopmund, Extension 8, in the Municipality of Swakopmund, Registration Division "G', held by Title Deed No T863/1975 ("the property") to be transferred to and registered in the name of any other third party.  </w:t>
      </w:r>
    </w:p>
    <w:p w14:paraId="0A86C1B8" w14:textId="77777777" w:rsidR="008D3BE8" w:rsidRDefault="008D3BE8" w:rsidP="008D3BE8">
      <w:pPr>
        <w:pStyle w:val="BodyText"/>
        <w:spacing w:after="0"/>
      </w:pPr>
      <w:r>
        <w:t>3.</w:t>
      </w:r>
      <w:r w:rsidR="00DA7BB1">
        <w:tab/>
      </w:r>
      <w:r>
        <w:t xml:space="preserve">Any agreement which may encumber the property, will be subject to the rights of the registered owner of the property at all material times, and any change in ownership shall result in automatic substitution of said owner with the signatory of the agreement. Further, any such agreement shall contain a termination clause in favour of the rights of the owner at the time to terminate same upon one (1) month's written notice, and this court order shall be annexed to such agreement.  </w:t>
      </w:r>
    </w:p>
    <w:p w14:paraId="6EC25D2C" w14:textId="77777777" w:rsidR="008D3BE8" w:rsidRPr="008D3BE8" w:rsidRDefault="008D3BE8" w:rsidP="008D3BE8">
      <w:pPr>
        <w:pStyle w:val="BodyText"/>
        <w:spacing w:after="0"/>
        <w:rPr>
          <w:sz w:val="24"/>
          <w:szCs w:val="24"/>
        </w:rPr>
      </w:pPr>
      <w:r>
        <w:t>4.</w:t>
      </w:r>
      <w:r w:rsidR="00DA7BB1">
        <w:tab/>
      </w:r>
      <w:r>
        <w:t>Costs to be determined with the relief set out in Part B of this application.’</w:t>
      </w:r>
    </w:p>
    <w:p w14:paraId="317D5D11" w14:textId="77777777" w:rsidR="008D3BE8" w:rsidRDefault="008D3BE8" w:rsidP="007148DC">
      <w:pPr>
        <w:pStyle w:val="BodyText"/>
        <w:rPr>
          <w:sz w:val="24"/>
          <w:szCs w:val="24"/>
        </w:rPr>
      </w:pPr>
    </w:p>
    <w:p w14:paraId="31682739" w14:textId="77777777" w:rsidR="00ED409A" w:rsidRPr="00ED409A" w:rsidRDefault="00ED409A" w:rsidP="00ED409A">
      <w:pPr>
        <w:pStyle w:val="Heading1"/>
      </w:pPr>
      <w:r w:rsidRPr="00ED409A">
        <w:t>Background</w:t>
      </w:r>
    </w:p>
    <w:p w14:paraId="03B58B94" w14:textId="77777777" w:rsidR="00ED409A" w:rsidRPr="00ED409A" w:rsidRDefault="00ED409A" w:rsidP="00ED409A">
      <w:pPr>
        <w:spacing w:after="0" w:line="360" w:lineRule="auto"/>
        <w:jc w:val="both"/>
        <w:rPr>
          <w:rFonts w:ascii="Arial" w:hAnsi="Arial" w:cs="Arial"/>
          <w:sz w:val="24"/>
          <w:szCs w:val="24"/>
        </w:rPr>
      </w:pPr>
    </w:p>
    <w:p w14:paraId="66B86662" w14:textId="045DF7F1" w:rsidR="00566206" w:rsidRPr="001424F6" w:rsidRDefault="001424F6" w:rsidP="001424F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D5994" w:rsidRPr="001424F6">
        <w:rPr>
          <w:rFonts w:ascii="Arial" w:hAnsi="Arial" w:cs="Arial"/>
          <w:sz w:val="24"/>
          <w:szCs w:val="24"/>
        </w:rPr>
        <w:t>As indicated</w:t>
      </w:r>
      <w:r w:rsidR="00297CFF" w:rsidRPr="001424F6">
        <w:rPr>
          <w:rFonts w:ascii="Arial" w:hAnsi="Arial" w:cs="Arial"/>
          <w:sz w:val="24"/>
          <w:szCs w:val="24"/>
        </w:rPr>
        <w:t>,</w:t>
      </w:r>
      <w:r w:rsidR="00CD5994" w:rsidRPr="001424F6">
        <w:rPr>
          <w:rFonts w:ascii="Arial" w:hAnsi="Arial" w:cs="Arial"/>
          <w:sz w:val="24"/>
          <w:szCs w:val="24"/>
        </w:rPr>
        <w:t xml:space="preserve"> above this matter </w:t>
      </w:r>
      <w:r w:rsidR="00DA7BB1" w:rsidRPr="001424F6">
        <w:rPr>
          <w:rFonts w:ascii="Arial" w:hAnsi="Arial" w:cs="Arial"/>
          <w:sz w:val="24"/>
          <w:szCs w:val="24"/>
        </w:rPr>
        <w:t>concerns</w:t>
      </w:r>
      <w:r w:rsidR="00CD5994" w:rsidRPr="001424F6">
        <w:rPr>
          <w:rFonts w:ascii="Arial" w:hAnsi="Arial" w:cs="Arial"/>
          <w:sz w:val="24"/>
          <w:szCs w:val="24"/>
        </w:rPr>
        <w:t xml:space="preserve"> </w:t>
      </w:r>
      <w:r w:rsidR="00566206" w:rsidRPr="001424F6">
        <w:rPr>
          <w:rFonts w:ascii="Arial" w:hAnsi="Arial" w:cs="Arial"/>
          <w:sz w:val="24"/>
          <w:szCs w:val="24"/>
        </w:rPr>
        <w:t xml:space="preserve">immovable property situated at Erf </w:t>
      </w:r>
      <w:r w:rsidR="00DA7BB1" w:rsidRPr="001424F6">
        <w:rPr>
          <w:rFonts w:ascii="Arial" w:hAnsi="Arial" w:cs="Arial"/>
          <w:sz w:val="24"/>
          <w:szCs w:val="24"/>
        </w:rPr>
        <w:t xml:space="preserve">no. </w:t>
      </w:r>
      <w:r w:rsidR="00566206" w:rsidRPr="001424F6">
        <w:rPr>
          <w:rFonts w:ascii="Arial" w:hAnsi="Arial" w:cs="Arial"/>
          <w:sz w:val="24"/>
          <w:szCs w:val="24"/>
        </w:rPr>
        <w:t xml:space="preserve">2277, Extension 8, Swakopmund (the immovable property). </w:t>
      </w:r>
    </w:p>
    <w:p w14:paraId="4B3CB197" w14:textId="77777777" w:rsidR="00566206" w:rsidRDefault="00566206" w:rsidP="00566206">
      <w:pPr>
        <w:pStyle w:val="ListParagraph"/>
        <w:spacing w:after="0" w:line="360" w:lineRule="auto"/>
        <w:ind w:left="0"/>
        <w:jc w:val="both"/>
        <w:rPr>
          <w:rFonts w:ascii="Arial" w:hAnsi="Arial" w:cs="Arial"/>
          <w:sz w:val="24"/>
          <w:szCs w:val="24"/>
        </w:rPr>
      </w:pPr>
    </w:p>
    <w:p w14:paraId="7275CE96" w14:textId="4137A377" w:rsidR="00566206" w:rsidRPr="001424F6" w:rsidRDefault="001424F6" w:rsidP="001424F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66206" w:rsidRPr="001424F6">
        <w:rPr>
          <w:rFonts w:ascii="Arial" w:hAnsi="Arial" w:cs="Arial"/>
          <w:sz w:val="24"/>
          <w:szCs w:val="24"/>
        </w:rPr>
        <w:t xml:space="preserve">Mr Von Lüttichou, the sole member of Hanus </w:t>
      </w:r>
      <w:r w:rsidR="00585970" w:rsidRPr="001424F6">
        <w:rPr>
          <w:rFonts w:ascii="Arial" w:hAnsi="Arial" w:cs="Arial"/>
          <w:sz w:val="24"/>
          <w:szCs w:val="24"/>
        </w:rPr>
        <w:t>Properties</w:t>
      </w:r>
      <w:r w:rsidR="00E11546" w:rsidRPr="001424F6">
        <w:rPr>
          <w:rFonts w:ascii="Arial" w:hAnsi="Arial" w:cs="Arial"/>
          <w:sz w:val="24"/>
          <w:szCs w:val="24"/>
        </w:rPr>
        <w:t>,</w:t>
      </w:r>
      <w:r w:rsidR="00585970" w:rsidRPr="001424F6">
        <w:rPr>
          <w:rFonts w:ascii="Arial" w:hAnsi="Arial" w:cs="Arial"/>
          <w:sz w:val="24"/>
          <w:szCs w:val="24"/>
        </w:rPr>
        <w:t xml:space="preserve"> </w:t>
      </w:r>
      <w:r w:rsidR="00566206" w:rsidRPr="001424F6">
        <w:rPr>
          <w:rFonts w:ascii="Arial" w:hAnsi="Arial" w:cs="Arial"/>
          <w:sz w:val="24"/>
          <w:szCs w:val="24"/>
        </w:rPr>
        <w:t>caused the property to be bought and registered in the name of Hanus</w:t>
      </w:r>
      <w:r w:rsidR="00585970" w:rsidRPr="001424F6">
        <w:rPr>
          <w:rFonts w:ascii="Arial" w:hAnsi="Arial" w:cs="Arial"/>
          <w:sz w:val="24"/>
          <w:szCs w:val="24"/>
        </w:rPr>
        <w:t xml:space="preserve"> Properties</w:t>
      </w:r>
      <w:r w:rsidR="00566206" w:rsidRPr="001424F6">
        <w:rPr>
          <w:rFonts w:ascii="Arial" w:hAnsi="Arial" w:cs="Arial"/>
          <w:sz w:val="24"/>
          <w:szCs w:val="24"/>
        </w:rPr>
        <w:t>. This immovable property was transferred in the name of Hanus</w:t>
      </w:r>
      <w:r w:rsidR="00585970" w:rsidRPr="001424F6">
        <w:rPr>
          <w:rFonts w:ascii="Arial" w:hAnsi="Arial" w:cs="Arial"/>
          <w:sz w:val="24"/>
          <w:szCs w:val="24"/>
        </w:rPr>
        <w:t xml:space="preserve"> Properties</w:t>
      </w:r>
      <w:r w:rsidR="00566206" w:rsidRPr="001424F6">
        <w:rPr>
          <w:rFonts w:ascii="Arial" w:hAnsi="Arial" w:cs="Arial"/>
          <w:sz w:val="24"/>
          <w:szCs w:val="24"/>
        </w:rPr>
        <w:t xml:space="preserve"> on 14 August 2000. The </w:t>
      </w:r>
      <w:r w:rsidR="00FA01E5" w:rsidRPr="001424F6">
        <w:rPr>
          <w:rFonts w:ascii="Arial" w:hAnsi="Arial" w:cs="Arial"/>
          <w:sz w:val="24"/>
          <w:szCs w:val="24"/>
        </w:rPr>
        <w:t>purchasing</w:t>
      </w:r>
      <w:r w:rsidR="00566206" w:rsidRPr="001424F6">
        <w:rPr>
          <w:rFonts w:ascii="Arial" w:hAnsi="Arial" w:cs="Arial"/>
          <w:sz w:val="24"/>
          <w:szCs w:val="24"/>
        </w:rPr>
        <w:t xml:space="preserve"> of the </w:t>
      </w:r>
      <w:r w:rsidR="00566206" w:rsidRPr="001424F6">
        <w:rPr>
          <w:rFonts w:ascii="Arial" w:hAnsi="Arial" w:cs="Arial"/>
          <w:sz w:val="24"/>
          <w:szCs w:val="24"/>
        </w:rPr>
        <w:lastRenderedPageBreak/>
        <w:t xml:space="preserve">property was financed through Standard Bank. </w:t>
      </w:r>
      <w:r w:rsidR="008B0A40" w:rsidRPr="001424F6">
        <w:rPr>
          <w:rFonts w:ascii="Arial" w:hAnsi="Arial" w:cs="Arial"/>
          <w:sz w:val="24"/>
          <w:szCs w:val="24"/>
        </w:rPr>
        <w:t>The title deed was registered</w:t>
      </w:r>
      <w:r w:rsidR="00132333" w:rsidRPr="001424F6">
        <w:rPr>
          <w:rFonts w:ascii="Arial" w:hAnsi="Arial" w:cs="Arial"/>
          <w:sz w:val="24"/>
          <w:szCs w:val="24"/>
        </w:rPr>
        <w:t xml:space="preserve"> in the name of Hanus Properties</w:t>
      </w:r>
      <w:r w:rsidR="008B0A40" w:rsidRPr="001424F6">
        <w:rPr>
          <w:rFonts w:ascii="Arial" w:hAnsi="Arial" w:cs="Arial"/>
          <w:sz w:val="24"/>
          <w:szCs w:val="24"/>
        </w:rPr>
        <w:t xml:space="preserve"> under T4928/2000 on 29 August 2000.</w:t>
      </w:r>
    </w:p>
    <w:p w14:paraId="2C833D70" w14:textId="77777777" w:rsidR="00566206" w:rsidRPr="00566206" w:rsidRDefault="00566206" w:rsidP="00566206">
      <w:pPr>
        <w:pStyle w:val="ListParagraph"/>
        <w:rPr>
          <w:rFonts w:ascii="Arial" w:hAnsi="Arial" w:cs="Arial"/>
          <w:sz w:val="24"/>
          <w:szCs w:val="24"/>
        </w:rPr>
      </w:pPr>
    </w:p>
    <w:p w14:paraId="41D8CFB9" w14:textId="28823041" w:rsidR="00566206" w:rsidRPr="001424F6" w:rsidRDefault="001424F6" w:rsidP="001424F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66206" w:rsidRPr="001424F6">
        <w:rPr>
          <w:rFonts w:ascii="Arial" w:hAnsi="Arial" w:cs="Arial"/>
          <w:sz w:val="24"/>
          <w:szCs w:val="24"/>
        </w:rPr>
        <w:t>The original loan was repaid</w:t>
      </w:r>
      <w:r w:rsidR="00E11546" w:rsidRPr="001424F6">
        <w:rPr>
          <w:rFonts w:ascii="Arial" w:hAnsi="Arial" w:cs="Arial"/>
          <w:sz w:val="24"/>
          <w:szCs w:val="24"/>
        </w:rPr>
        <w:t>.</w:t>
      </w:r>
      <w:r w:rsidR="00566206" w:rsidRPr="001424F6">
        <w:rPr>
          <w:rFonts w:ascii="Arial" w:hAnsi="Arial" w:cs="Arial"/>
          <w:sz w:val="24"/>
          <w:szCs w:val="24"/>
        </w:rPr>
        <w:t xml:space="preserve"> </w:t>
      </w:r>
      <w:r w:rsidR="00E11546" w:rsidRPr="001424F6">
        <w:rPr>
          <w:rFonts w:ascii="Arial" w:hAnsi="Arial" w:cs="Arial"/>
          <w:sz w:val="24"/>
          <w:szCs w:val="24"/>
        </w:rPr>
        <w:t>H</w:t>
      </w:r>
      <w:r w:rsidR="00566206" w:rsidRPr="001424F6">
        <w:rPr>
          <w:rFonts w:ascii="Arial" w:hAnsi="Arial" w:cs="Arial"/>
          <w:sz w:val="24"/>
          <w:szCs w:val="24"/>
        </w:rPr>
        <w:t xml:space="preserve">owever, </w:t>
      </w:r>
      <w:r w:rsidR="00E11546" w:rsidRPr="001424F6">
        <w:rPr>
          <w:rFonts w:ascii="Arial" w:hAnsi="Arial" w:cs="Arial"/>
          <w:sz w:val="24"/>
          <w:szCs w:val="24"/>
        </w:rPr>
        <w:t>over</w:t>
      </w:r>
      <w:r w:rsidR="00566206" w:rsidRPr="001424F6">
        <w:rPr>
          <w:rFonts w:ascii="Arial" w:hAnsi="Arial" w:cs="Arial"/>
          <w:sz w:val="24"/>
          <w:szCs w:val="24"/>
        </w:rPr>
        <w:t xml:space="preserve"> the years</w:t>
      </w:r>
      <w:r w:rsidR="00585970" w:rsidRPr="001424F6">
        <w:rPr>
          <w:rFonts w:ascii="Arial" w:hAnsi="Arial" w:cs="Arial"/>
          <w:sz w:val="24"/>
          <w:szCs w:val="24"/>
        </w:rPr>
        <w:t>,</w:t>
      </w:r>
      <w:r w:rsidR="00566206" w:rsidRPr="001424F6">
        <w:rPr>
          <w:rFonts w:ascii="Arial" w:hAnsi="Arial" w:cs="Arial"/>
          <w:sz w:val="24"/>
          <w:szCs w:val="24"/>
        </w:rPr>
        <w:t xml:space="preserve"> Mr Von Lüttichou borrowed </w:t>
      </w:r>
      <w:r w:rsidR="00FA01E5" w:rsidRPr="001424F6">
        <w:rPr>
          <w:rFonts w:ascii="Arial" w:hAnsi="Arial" w:cs="Arial"/>
          <w:sz w:val="24"/>
          <w:szCs w:val="24"/>
        </w:rPr>
        <w:t xml:space="preserve">money </w:t>
      </w:r>
      <w:r w:rsidR="00566206" w:rsidRPr="001424F6">
        <w:rPr>
          <w:rFonts w:ascii="Arial" w:hAnsi="Arial" w:cs="Arial"/>
          <w:sz w:val="24"/>
          <w:szCs w:val="24"/>
        </w:rPr>
        <w:t>against the property</w:t>
      </w:r>
      <w:r w:rsidR="00E11546" w:rsidRPr="001424F6">
        <w:rPr>
          <w:rFonts w:ascii="Arial" w:hAnsi="Arial" w:cs="Arial"/>
          <w:sz w:val="24"/>
          <w:szCs w:val="24"/>
        </w:rPr>
        <w:t xml:space="preserve"> and </w:t>
      </w:r>
      <w:r w:rsidR="00E13703" w:rsidRPr="001424F6">
        <w:rPr>
          <w:rFonts w:ascii="Arial" w:hAnsi="Arial" w:cs="Arial"/>
          <w:sz w:val="24"/>
          <w:szCs w:val="24"/>
        </w:rPr>
        <w:t xml:space="preserve">fell into arrears with the payments on the </w:t>
      </w:r>
      <w:r w:rsidR="00585970" w:rsidRPr="001424F6">
        <w:rPr>
          <w:rFonts w:ascii="Arial" w:hAnsi="Arial" w:cs="Arial"/>
          <w:sz w:val="24"/>
          <w:szCs w:val="24"/>
        </w:rPr>
        <w:t>instalments</w:t>
      </w:r>
      <w:r w:rsidR="00E13703" w:rsidRPr="001424F6">
        <w:rPr>
          <w:rFonts w:ascii="Arial" w:hAnsi="Arial" w:cs="Arial"/>
          <w:sz w:val="24"/>
          <w:szCs w:val="24"/>
        </w:rPr>
        <w:t>. This resulted in Standard Bank issuing summons against the applicants under case number I 2970/2015</w:t>
      </w:r>
      <w:r w:rsidR="00E11546" w:rsidRPr="001424F6">
        <w:rPr>
          <w:rFonts w:ascii="Arial" w:hAnsi="Arial" w:cs="Arial"/>
          <w:sz w:val="24"/>
          <w:szCs w:val="24"/>
        </w:rPr>
        <w:t>,</w:t>
      </w:r>
      <w:r w:rsidR="00E13703" w:rsidRPr="001424F6">
        <w:rPr>
          <w:rFonts w:ascii="Arial" w:hAnsi="Arial" w:cs="Arial"/>
          <w:sz w:val="24"/>
          <w:szCs w:val="24"/>
        </w:rPr>
        <w:t xml:space="preserve"> and Standard Bank obtained default judgment against the applicants on 22 June 2016.</w:t>
      </w:r>
    </w:p>
    <w:p w14:paraId="35A5C479" w14:textId="77777777" w:rsidR="00E13703" w:rsidRPr="00E13703" w:rsidRDefault="00E13703" w:rsidP="00E13703">
      <w:pPr>
        <w:pStyle w:val="ListParagraph"/>
        <w:rPr>
          <w:rFonts w:ascii="Arial" w:hAnsi="Arial" w:cs="Arial"/>
          <w:sz w:val="24"/>
          <w:szCs w:val="24"/>
        </w:rPr>
      </w:pPr>
    </w:p>
    <w:p w14:paraId="336F2EC0" w14:textId="154C07A2" w:rsidR="00E13703" w:rsidRPr="001424F6" w:rsidRDefault="001424F6" w:rsidP="001424F6">
      <w:pPr>
        <w:spacing w:after="0" w:line="360" w:lineRule="auto"/>
        <w:jc w:val="both"/>
        <w:rPr>
          <w:rFonts w:ascii="Arial" w:hAnsi="Arial" w:cs="Arial"/>
          <w:sz w:val="24"/>
          <w:szCs w:val="24"/>
        </w:rPr>
      </w:pPr>
      <w:r w:rsidRPr="00992757">
        <w:rPr>
          <w:rFonts w:ascii="Arial" w:hAnsi="Arial" w:cs="Arial"/>
          <w:sz w:val="24"/>
          <w:szCs w:val="24"/>
        </w:rPr>
        <w:t>[8]</w:t>
      </w:r>
      <w:r w:rsidRPr="00992757">
        <w:rPr>
          <w:rFonts w:ascii="Arial" w:hAnsi="Arial" w:cs="Arial"/>
          <w:sz w:val="24"/>
          <w:szCs w:val="24"/>
        </w:rPr>
        <w:tab/>
      </w:r>
      <w:r w:rsidR="00E13703" w:rsidRPr="001424F6">
        <w:rPr>
          <w:rFonts w:ascii="Arial" w:hAnsi="Arial" w:cs="Arial"/>
          <w:sz w:val="24"/>
          <w:szCs w:val="24"/>
        </w:rPr>
        <w:t>On 3 September 2021</w:t>
      </w:r>
      <w:r w:rsidR="00585970" w:rsidRPr="001424F6">
        <w:rPr>
          <w:rFonts w:ascii="Arial" w:hAnsi="Arial" w:cs="Arial"/>
          <w:sz w:val="24"/>
          <w:szCs w:val="24"/>
        </w:rPr>
        <w:t>,</w:t>
      </w:r>
      <w:r w:rsidR="00E13703" w:rsidRPr="001424F6">
        <w:rPr>
          <w:rFonts w:ascii="Arial" w:hAnsi="Arial" w:cs="Arial"/>
          <w:sz w:val="24"/>
          <w:szCs w:val="24"/>
        </w:rPr>
        <w:t xml:space="preserve"> Standard Bank obtained an order in terms of r</w:t>
      </w:r>
      <w:r w:rsidR="00FA01E5" w:rsidRPr="001424F6">
        <w:rPr>
          <w:rFonts w:ascii="Arial" w:hAnsi="Arial" w:cs="Arial"/>
          <w:sz w:val="24"/>
          <w:szCs w:val="24"/>
        </w:rPr>
        <w:t>ule</w:t>
      </w:r>
      <w:r w:rsidR="00E13703" w:rsidRPr="001424F6">
        <w:rPr>
          <w:rFonts w:ascii="Arial" w:hAnsi="Arial" w:cs="Arial"/>
          <w:sz w:val="24"/>
          <w:szCs w:val="24"/>
        </w:rPr>
        <w:t xml:space="preserve"> 108 declaring the property specifically executable. </w:t>
      </w:r>
    </w:p>
    <w:p w14:paraId="4B613897" w14:textId="77777777" w:rsidR="00E13703" w:rsidRPr="00992757" w:rsidRDefault="00E13703" w:rsidP="00E13703">
      <w:pPr>
        <w:pStyle w:val="ListParagraph"/>
        <w:rPr>
          <w:rFonts w:ascii="Arial" w:hAnsi="Arial" w:cs="Arial"/>
          <w:sz w:val="24"/>
          <w:szCs w:val="24"/>
        </w:rPr>
      </w:pPr>
    </w:p>
    <w:p w14:paraId="6BC4E593" w14:textId="47271B18" w:rsidR="00E13703" w:rsidRPr="001424F6" w:rsidRDefault="001424F6" w:rsidP="001424F6">
      <w:pPr>
        <w:spacing w:after="0" w:line="360" w:lineRule="auto"/>
        <w:jc w:val="both"/>
        <w:rPr>
          <w:rFonts w:ascii="Arial" w:hAnsi="Arial" w:cs="Arial"/>
          <w:sz w:val="24"/>
          <w:szCs w:val="24"/>
        </w:rPr>
      </w:pPr>
      <w:r w:rsidRPr="00992757">
        <w:rPr>
          <w:rFonts w:ascii="Arial" w:hAnsi="Arial" w:cs="Arial"/>
          <w:sz w:val="24"/>
          <w:szCs w:val="24"/>
        </w:rPr>
        <w:t>[9]</w:t>
      </w:r>
      <w:r w:rsidRPr="00992757">
        <w:rPr>
          <w:rFonts w:ascii="Arial" w:hAnsi="Arial" w:cs="Arial"/>
          <w:sz w:val="24"/>
          <w:szCs w:val="24"/>
        </w:rPr>
        <w:tab/>
      </w:r>
      <w:r w:rsidR="00E13703" w:rsidRPr="001424F6">
        <w:rPr>
          <w:rFonts w:ascii="Arial" w:hAnsi="Arial" w:cs="Arial"/>
          <w:sz w:val="24"/>
          <w:szCs w:val="24"/>
        </w:rPr>
        <w:t>A sale in execution in respect of the immovable property was scheduled for 24 March 2022</w:t>
      </w:r>
      <w:r w:rsidR="00585970" w:rsidRPr="001424F6">
        <w:rPr>
          <w:rFonts w:ascii="Arial" w:hAnsi="Arial" w:cs="Arial"/>
          <w:sz w:val="24"/>
          <w:szCs w:val="24"/>
        </w:rPr>
        <w:t>.</w:t>
      </w:r>
    </w:p>
    <w:p w14:paraId="7BA827BE" w14:textId="77777777" w:rsidR="00585970" w:rsidRPr="00992757" w:rsidRDefault="00585970" w:rsidP="00585970">
      <w:pPr>
        <w:pStyle w:val="ListParagraph"/>
        <w:rPr>
          <w:rFonts w:ascii="Arial" w:hAnsi="Arial" w:cs="Arial"/>
          <w:sz w:val="24"/>
          <w:szCs w:val="24"/>
        </w:rPr>
      </w:pPr>
    </w:p>
    <w:p w14:paraId="7D09A13A" w14:textId="73518EB7" w:rsidR="00585970" w:rsidRPr="001424F6" w:rsidRDefault="001424F6" w:rsidP="001424F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85970" w:rsidRPr="001424F6">
        <w:rPr>
          <w:rFonts w:ascii="Arial" w:hAnsi="Arial" w:cs="Arial"/>
          <w:sz w:val="24"/>
          <w:szCs w:val="24"/>
        </w:rPr>
        <w:t>On 24 March 2022, at the sale in execution</w:t>
      </w:r>
      <w:r w:rsidR="00E546EC" w:rsidRPr="001424F6">
        <w:rPr>
          <w:rFonts w:ascii="Arial" w:hAnsi="Arial" w:cs="Arial"/>
          <w:sz w:val="24"/>
          <w:szCs w:val="24"/>
        </w:rPr>
        <w:t>,</w:t>
      </w:r>
      <w:r w:rsidR="00585970" w:rsidRPr="001424F6">
        <w:rPr>
          <w:rFonts w:ascii="Arial" w:hAnsi="Arial" w:cs="Arial"/>
          <w:sz w:val="24"/>
          <w:szCs w:val="24"/>
        </w:rPr>
        <w:t xml:space="preserve"> a certain Ms Judiana Erasmus </w:t>
      </w:r>
      <w:r w:rsidR="00FA01E5" w:rsidRPr="001424F6">
        <w:rPr>
          <w:rFonts w:ascii="Arial" w:hAnsi="Arial" w:cs="Arial"/>
          <w:sz w:val="24"/>
          <w:szCs w:val="24"/>
        </w:rPr>
        <w:t xml:space="preserve">(Ms Erasmus) </w:t>
      </w:r>
      <w:r w:rsidR="00585970" w:rsidRPr="001424F6">
        <w:rPr>
          <w:rFonts w:ascii="Arial" w:hAnsi="Arial" w:cs="Arial"/>
          <w:sz w:val="24"/>
          <w:szCs w:val="24"/>
        </w:rPr>
        <w:t>was the highest bidder. In terms of the conditions of sale</w:t>
      </w:r>
      <w:r w:rsidR="00E546EC" w:rsidRPr="001424F6">
        <w:rPr>
          <w:rFonts w:ascii="Arial" w:hAnsi="Arial" w:cs="Arial"/>
          <w:sz w:val="24"/>
          <w:szCs w:val="24"/>
        </w:rPr>
        <w:t>,</w:t>
      </w:r>
      <w:r w:rsidR="00585970" w:rsidRPr="001424F6">
        <w:rPr>
          <w:rFonts w:ascii="Arial" w:hAnsi="Arial" w:cs="Arial"/>
          <w:sz w:val="24"/>
          <w:szCs w:val="24"/>
        </w:rPr>
        <w:t xml:space="preserve"> Ms Erasmus purchased the property in her own name or the name of a nominee. On 4 April 2022</w:t>
      </w:r>
      <w:r w:rsidR="00E546EC" w:rsidRPr="001424F6">
        <w:rPr>
          <w:rFonts w:ascii="Arial" w:hAnsi="Arial" w:cs="Arial"/>
          <w:sz w:val="24"/>
          <w:szCs w:val="24"/>
        </w:rPr>
        <w:t>,</w:t>
      </w:r>
      <w:r w:rsidR="00585970" w:rsidRPr="001424F6">
        <w:rPr>
          <w:rFonts w:ascii="Arial" w:hAnsi="Arial" w:cs="Arial"/>
          <w:sz w:val="24"/>
          <w:szCs w:val="24"/>
        </w:rPr>
        <w:t xml:space="preserve"> Ms Erasmus signed a decree of nomination and nominated Mr Mouton, the third respondent, as </w:t>
      </w:r>
      <w:r w:rsidR="00E546EC" w:rsidRPr="001424F6">
        <w:rPr>
          <w:rFonts w:ascii="Arial" w:hAnsi="Arial" w:cs="Arial"/>
          <w:sz w:val="24"/>
          <w:szCs w:val="24"/>
        </w:rPr>
        <w:t xml:space="preserve">the </w:t>
      </w:r>
      <w:r w:rsidR="00585970" w:rsidRPr="001424F6">
        <w:rPr>
          <w:rFonts w:ascii="Arial" w:hAnsi="Arial" w:cs="Arial"/>
          <w:sz w:val="24"/>
          <w:szCs w:val="24"/>
        </w:rPr>
        <w:t>nominee</w:t>
      </w:r>
      <w:r w:rsidR="00791754" w:rsidRPr="001424F6">
        <w:rPr>
          <w:rFonts w:ascii="Arial" w:hAnsi="Arial" w:cs="Arial"/>
          <w:sz w:val="24"/>
          <w:szCs w:val="24"/>
        </w:rPr>
        <w:t>, who accepted the nomination and paid the required deposit</w:t>
      </w:r>
      <w:r w:rsidR="00585970" w:rsidRPr="001424F6">
        <w:rPr>
          <w:rFonts w:ascii="Arial" w:hAnsi="Arial" w:cs="Arial"/>
          <w:sz w:val="24"/>
          <w:szCs w:val="24"/>
        </w:rPr>
        <w:t xml:space="preserve">. </w:t>
      </w:r>
      <w:r w:rsidR="00791754" w:rsidRPr="001424F6">
        <w:rPr>
          <w:rFonts w:ascii="Arial" w:hAnsi="Arial" w:cs="Arial"/>
          <w:sz w:val="24"/>
          <w:szCs w:val="24"/>
        </w:rPr>
        <w:t>The deposit was subsequently paid back to Mr Mouton.</w:t>
      </w:r>
    </w:p>
    <w:p w14:paraId="757B1BFD" w14:textId="77777777" w:rsidR="00585970" w:rsidRPr="00585970" w:rsidRDefault="00585970" w:rsidP="00585970">
      <w:pPr>
        <w:pStyle w:val="ListParagraph"/>
        <w:rPr>
          <w:rFonts w:ascii="Arial" w:hAnsi="Arial" w:cs="Arial"/>
          <w:sz w:val="24"/>
          <w:szCs w:val="24"/>
        </w:rPr>
      </w:pPr>
    </w:p>
    <w:p w14:paraId="0EEDA4BC" w14:textId="4C23BDF8" w:rsidR="00E546EC" w:rsidRPr="001424F6" w:rsidRDefault="001424F6" w:rsidP="001424F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546EC" w:rsidRPr="001424F6">
        <w:rPr>
          <w:rFonts w:ascii="Arial" w:hAnsi="Arial" w:cs="Arial"/>
          <w:sz w:val="24"/>
          <w:szCs w:val="24"/>
        </w:rPr>
        <w:t xml:space="preserve">A further sale was scheduled for 12 July 2022 pursuant to the sale in execution on 24 March 2022. </w:t>
      </w:r>
      <w:r w:rsidR="00665A39" w:rsidRPr="001424F6">
        <w:rPr>
          <w:rFonts w:ascii="Arial" w:hAnsi="Arial" w:cs="Arial"/>
          <w:sz w:val="24"/>
          <w:szCs w:val="24"/>
        </w:rPr>
        <w:t xml:space="preserve">The immovable property was </w:t>
      </w:r>
      <w:r w:rsidR="00791754" w:rsidRPr="001424F6">
        <w:rPr>
          <w:rFonts w:ascii="Arial" w:hAnsi="Arial" w:cs="Arial"/>
          <w:sz w:val="24"/>
          <w:szCs w:val="24"/>
        </w:rPr>
        <w:t xml:space="preserve">again </w:t>
      </w:r>
      <w:r w:rsidR="00665A39" w:rsidRPr="001424F6">
        <w:rPr>
          <w:rFonts w:ascii="Arial" w:hAnsi="Arial" w:cs="Arial"/>
          <w:sz w:val="24"/>
          <w:szCs w:val="24"/>
        </w:rPr>
        <w:t>sold to Mr Mouton, the third respondent on the said date</w:t>
      </w:r>
      <w:r w:rsidR="00E546EC" w:rsidRPr="001424F6">
        <w:rPr>
          <w:rFonts w:ascii="Arial" w:hAnsi="Arial" w:cs="Arial"/>
          <w:sz w:val="24"/>
          <w:szCs w:val="24"/>
        </w:rPr>
        <w:t>.</w:t>
      </w:r>
    </w:p>
    <w:p w14:paraId="4DD58275" w14:textId="77777777" w:rsidR="00E546EC" w:rsidRPr="00E546EC" w:rsidRDefault="00E546EC" w:rsidP="00E546EC">
      <w:pPr>
        <w:pStyle w:val="ListParagraph"/>
        <w:rPr>
          <w:rFonts w:ascii="Arial" w:hAnsi="Arial" w:cs="Arial"/>
          <w:sz w:val="24"/>
          <w:szCs w:val="24"/>
        </w:rPr>
      </w:pPr>
    </w:p>
    <w:p w14:paraId="12FAAB42" w14:textId="4FB38C0A" w:rsidR="00585970" w:rsidRPr="001424F6" w:rsidRDefault="001424F6" w:rsidP="001424F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546EC" w:rsidRPr="001424F6">
        <w:rPr>
          <w:rFonts w:ascii="Arial" w:hAnsi="Arial" w:cs="Arial"/>
          <w:sz w:val="24"/>
          <w:szCs w:val="24"/>
        </w:rPr>
        <w:t>On 4 August 2022</w:t>
      </w:r>
      <w:r w:rsidR="00ED409A" w:rsidRPr="001424F6">
        <w:rPr>
          <w:rFonts w:ascii="Arial" w:hAnsi="Arial" w:cs="Arial"/>
          <w:sz w:val="24"/>
          <w:szCs w:val="24"/>
        </w:rPr>
        <w:t>,</w:t>
      </w:r>
      <w:r w:rsidR="00E546EC" w:rsidRPr="001424F6">
        <w:rPr>
          <w:rFonts w:ascii="Arial" w:hAnsi="Arial" w:cs="Arial"/>
          <w:sz w:val="24"/>
          <w:szCs w:val="24"/>
        </w:rPr>
        <w:t xml:space="preserve"> the </w:t>
      </w:r>
      <w:r w:rsidR="008B0A40" w:rsidRPr="001424F6">
        <w:rPr>
          <w:rFonts w:ascii="Arial" w:hAnsi="Arial" w:cs="Arial"/>
          <w:sz w:val="24"/>
          <w:szCs w:val="24"/>
        </w:rPr>
        <w:t>immovable property was registered in the name of Mr Conroy Elred Mouton under title deed number T5084/2022.</w:t>
      </w:r>
    </w:p>
    <w:p w14:paraId="3588B3E8" w14:textId="77777777" w:rsidR="00ED409A" w:rsidRDefault="00ED409A" w:rsidP="00ED409A">
      <w:pPr>
        <w:pStyle w:val="BodyText"/>
        <w:rPr>
          <w:sz w:val="24"/>
          <w:szCs w:val="24"/>
          <w:u w:val="single"/>
        </w:rPr>
      </w:pPr>
    </w:p>
    <w:p w14:paraId="586A9635" w14:textId="77777777" w:rsidR="00ED409A" w:rsidRPr="00CD5994" w:rsidRDefault="00ED409A" w:rsidP="00ED409A">
      <w:pPr>
        <w:pStyle w:val="BodyText"/>
        <w:rPr>
          <w:sz w:val="24"/>
          <w:szCs w:val="24"/>
          <w:u w:val="single"/>
        </w:rPr>
      </w:pPr>
      <w:r w:rsidRPr="00CD5994">
        <w:rPr>
          <w:sz w:val="24"/>
          <w:szCs w:val="24"/>
          <w:u w:val="single"/>
        </w:rPr>
        <w:t>The current application</w:t>
      </w:r>
    </w:p>
    <w:p w14:paraId="0C1161AC" w14:textId="7B1825FB" w:rsidR="00ED409A" w:rsidRDefault="001424F6" w:rsidP="001424F6">
      <w:pPr>
        <w:pStyle w:val="BodyText"/>
        <w:spacing w:after="0"/>
      </w:pPr>
      <w:r>
        <w:rPr>
          <w:sz w:val="24"/>
          <w:szCs w:val="24"/>
        </w:rPr>
        <w:lastRenderedPageBreak/>
        <w:t>[13]</w:t>
      </w:r>
      <w:r>
        <w:rPr>
          <w:sz w:val="24"/>
          <w:szCs w:val="24"/>
        </w:rPr>
        <w:tab/>
      </w:r>
      <w:r w:rsidR="00ED409A" w:rsidRPr="00CD5994">
        <w:rPr>
          <w:sz w:val="24"/>
          <w:szCs w:val="24"/>
        </w:rPr>
        <w:t>On 29 November 2022</w:t>
      </w:r>
      <w:r w:rsidR="00ED409A">
        <w:rPr>
          <w:sz w:val="24"/>
          <w:szCs w:val="24"/>
        </w:rPr>
        <w:t>,</w:t>
      </w:r>
      <w:r w:rsidR="00ED409A" w:rsidRPr="00CD5994">
        <w:rPr>
          <w:sz w:val="24"/>
          <w:szCs w:val="24"/>
        </w:rPr>
        <w:t xml:space="preserve"> the applicants filed an amended notice of motion seeking the following relief:</w:t>
      </w:r>
    </w:p>
    <w:p w14:paraId="11DCC4FA" w14:textId="77777777" w:rsidR="00ED409A" w:rsidRDefault="00ED409A" w:rsidP="00ED409A">
      <w:pPr>
        <w:pStyle w:val="BodyText"/>
      </w:pPr>
    </w:p>
    <w:p w14:paraId="5D7D54DB" w14:textId="77777777" w:rsidR="00ED409A" w:rsidRDefault="00ED409A" w:rsidP="00ED409A">
      <w:pPr>
        <w:pStyle w:val="BodyText"/>
        <w:ind w:firstLine="720"/>
      </w:pPr>
      <w:r>
        <w:t>‘</w:t>
      </w:r>
      <w:r w:rsidRPr="007148DC">
        <w:t xml:space="preserve">TAKE NOTICE that the </w:t>
      </w:r>
      <w:r w:rsidR="00665A39">
        <w:t>above-named</w:t>
      </w:r>
      <w:r w:rsidRPr="007148DC">
        <w:t xml:space="preserve"> applicants hereby amend or vary, as contemplated in rule 76(9), the terms of their notice of motion by deleting the prayers therein and substituting it with the following:</w:t>
      </w:r>
    </w:p>
    <w:p w14:paraId="2C2D2B94" w14:textId="77777777" w:rsidR="00ED409A" w:rsidRDefault="00ED409A" w:rsidP="00ED409A">
      <w:pPr>
        <w:spacing w:line="360" w:lineRule="auto"/>
        <w:jc w:val="both"/>
        <w:rPr>
          <w:rFonts w:ascii="Arial" w:hAnsi="Arial" w:cs="Arial"/>
        </w:rPr>
      </w:pPr>
      <w:r w:rsidRPr="007148DC">
        <w:rPr>
          <w:rFonts w:ascii="Arial" w:hAnsi="Arial" w:cs="Arial"/>
        </w:rPr>
        <w:t xml:space="preserve">1. </w:t>
      </w:r>
      <w:r w:rsidR="00FA01E5">
        <w:rPr>
          <w:rFonts w:ascii="Arial" w:hAnsi="Arial" w:cs="Arial"/>
        </w:rPr>
        <w:tab/>
      </w:r>
      <w:r w:rsidRPr="007148DC">
        <w:rPr>
          <w:rFonts w:ascii="Arial" w:hAnsi="Arial" w:cs="Arial"/>
        </w:rPr>
        <w:t xml:space="preserve">Calling upon the Respondents to show cause why the following </w:t>
      </w:r>
      <w:r>
        <w:rPr>
          <w:rFonts w:ascii="Arial" w:hAnsi="Arial" w:cs="Arial"/>
        </w:rPr>
        <w:t>actions/decisions</w:t>
      </w:r>
      <w:r w:rsidRPr="007148DC">
        <w:rPr>
          <w:rFonts w:ascii="Arial" w:hAnsi="Arial" w:cs="Arial"/>
        </w:rPr>
        <w:t>/ proceedings should not be reviewed and set aside:</w:t>
      </w:r>
    </w:p>
    <w:p w14:paraId="5BED9452" w14:textId="77777777" w:rsidR="00ED409A" w:rsidRDefault="00ED409A" w:rsidP="00ED409A">
      <w:pPr>
        <w:spacing w:line="360" w:lineRule="auto"/>
        <w:jc w:val="both"/>
        <w:rPr>
          <w:rFonts w:ascii="Arial" w:hAnsi="Arial" w:cs="Arial"/>
        </w:rPr>
      </w:pPr>
      <w:r w:rsidRPr="007148DC">
        <w:rPr>
          <w:rFonts w:ascii="Arial" w:hAnsi="Arial" w:cs="Arial"/>
        </w:rPr>
        <w:t xml:space="preserve">1.1. </w:t>
      </w:r>
      <w:r w:rsidR="00FA01E5">
        <w:rPr>
          <w:rFonts w:ascii="Arial" w:hAnsi="Arial" w:cs="Arial"/>
        </w:rPr>
        <w:tab/>
      </w:r>
      <w:r w:rsidRPr="007148DC">
        <w:rPr>
          <w:rFonts w:ascii="Arial" w:hAnsi="Arial" w:cs="Arial"/>
        </w:rPr>
        <w:t>The writ of execution - immovable property issued on 7 September 2021 directing the first respondent to attach and take into execution the property of the applicants being Erf no</w:t>
      </w:r>
      <w:r w:rsidR="00FA01E5">
        <w:rPr>
          <w:rFonts w:ascii="Arial" w:hAnsi="Arial" w:cs="Arial"/>
        </w:rPr>
        <w:t>.</w:t>
      </w:r>
      <w:r w:rsidRPr="007148DC">
        <w:rPr>
          <w:rFonts w:ascii="Arial" w:hAnsi="Arial" w:cs="Arial"/>
        </w:rPr>
        <w:t xml:space="preserve"> 2277 Swakopmund, Extension 8, Swakopmund, (“the property”); </w:t>
      </w:r>
    </w:p>
    <w:p w14:paraId="445FF989" w14:textId="77777777" w:rsidR="00ED409A" w:rsidRDefault="00ED409A" w:rsidP="00ED409A">
      <w:pPr>
        <w:spacing w:line="360" w:lineRule="auto"/>
        <w:jc w:val="both"/>
        <w:rPr>
          <w:rFonts w:ascii="Arial" w:hAnsi="Arial" w:cs="Arial"/>
        </w:rPr>
      </w:pPr>
      <w:r w:rsidRPr="007148DC">
        <w:rPr>
          <w:rFonts w:ascii="Arial" w:hAnsi="Arial" w:cs="Arial"/>
        </w:rPr>
        <w:t xml:space="preserve">1.2. </w:t>
      </w:r>
      <w:r w:rsidR="00FA01E5">
        <w:rPr>
          <w:rFonts w:ascii="Arial" w:hAnsi="Arial" w:cs="Arial"/>
        </w:rPr>
        <w:tab/>
      </w:r>
      <w:r w:rsidRPr="007148DC">
        <w:rPr>
          <w:rFonts w:ascii="Arial" w:hAnsi="Arial" w:cs="Arial"/>
        </w:rPr>
        <w:t xml:space="preserve">The purported attachment of the property by the first respondent pursuant to the abovementioned writ of execution – immovable property; </w:t>
      </w:r>
    </w:p>
    <w:p w14:paraId="30F4DE41" w14:textId="77777777" w:rsidR="00ED409A" w:rsidRDefault="00ED409A" w:rsidP="00ED409A">
      <w:pPr>
        <w:spacing w:line="360" w:lineRule="auto"/>
        <w:jc w:val="both"/>
        <w:rPr>
          <w:rFonts w:ascii="Arial" w:hAnsi="Arial" w:cs="Arial"/>
        </w:rPr>
      </w:pPr>
      <w:r w:rsidRPr="007148DC">
        <w:rPr>
          <w:rFonts w:ascii="Arial" w:hAnsi="Arial" w:cs="Arial"/>
        </w:rPr>
        <w:t xml:space="preserve">1.3. </w:t>
      </w:r>
      <w:r w:rsidR="00FA01E5">
        <w:rPr>
          <w:rFonts w:ascii="Arial" w:hAnsi="Arial" w:cs="Arial"/>
        </w:rPr>
        <w:tab/>
      </w:r>
      <w:r w:rsidRPr="007148DC">
        <w:rPr>
          <w:rFonts w:ascii="Arial" w:hAnsi="Arial" w:cs="Arial"/>
        </w:rPr>
        <w:t>The sale in execution held on 24 March 2022 at the property where the property was purportedly sold to Judiana Erasmus by way of auction as well as the subsequent nomination of the third respondent; 1.4. The sale in execution held on 12 July 2022 at the property where the property was purportedly sold to the third respondent by way of auction.</w:t>
      </w:r>
    </w:p>
    <w:p w14:paraId="3CFF2327" w14:textId="77777777" w:rsidR="00ED409A" w:rsidRDefault="00ED409A" w:rsidP="00ED409A">
      <w:pPr>
        <w:spacing w:line="360" w:lineRule="auto"/>
        <w:jc w:val="both"/>
        <w:rPr>
          <w:rFonts w:ascii="Arial" w:hAnsi="Arial" w:cs="Arial"/>
        </w:rPr>
      </w:pPr>
      <w:r w:rsidRPr="007148DC">
        <w:rPr>
          <w:rFonts w:ascii="Arial" w:hAnsi="Arial" w:cs="Arial"/>
        </w:rPr>
        <w:t xml:space="preserve">ALTERNATIVELY, in the alternative to prayer 1 and only in the event that the court finds that review proceedings are inappropriate in respect of the above </w:t>
      </w:r>
      <w:r>
        <w:rPr>
          <w:rFonts w:ascii="Arial" w:hAnsi="Arial" w:cs="Arial"/>
        </w:rPr>
        <w:t>actions/decisions</w:t>
      </w:r>
      <w:r w:rsidRPr="007148DC">
        <w:rPr>
          <w:rFonts w:ascii="Arial" w:hAnsi="Arial" w:cs="Arial"/>
        </w:rPr>
        <w:t xml:space="preserve">/proceedings: </w:t>
      </w:r>
    </w:p>
    <w:p w14:paraId="22F46A35" w14:textId="77777777" w:rsidR="00ED409A" w:rsidRDefault="00FA01E5" w:rsidP="00ED409A">
      <w:pPr>
        <w:spacing w:line="360" w:lineRule="auto"/>
        <w:jc w:val="both"/>
        <w:rPr>
          <w:rFonts w:ascii="Arial" w:hAnsi="Arial" w:cs="Arial"/>
        </w:rPr>
      </w:pPr>
      <w:r>
        <w:rPr>
          <w:rFonts w:ascii="Arial" w:hAnsi="Arial" w:cs="Arial"/>
        </w:rPr>
        <w:t>2.</w:t>
      </w:r>
      <w:r>
        <w:rPr>
          <w:rFonts w:ascii="Arial" w:hAnsi="Arial" w:cs="Arial"/>
        </w:rPr>
        <w:tab/>
      </w:r>
      <w:r w:rsidR="00ED409A" w:rsidRPr="007148DC">
        <w:rPr>
          <w:rFonts w:ascii="Arial" w:hAnsi="Arial" w:cs="Arial"/>
        </w:rPr>
        <w:t xml:space="preserve">Declaring the following </w:t>
      </w:r>
      <w:r w:rsidR="00ED409A">
        <w:rPr>
          <w:rFonts w:ascii="Arial" w:hAnsi="Arial" w:cs="Arial"/>
        </w:rPr>
        <w:t>actions/decisions</w:t>
      </w:r>
      <w:r w:rsidR="00ED409A" w:rsidRPr="007148DC">
        <w:rPr>
          <w:rFonts w:ascii="Arial" w:hAnsi="Arial" w:cs="Arial"/>
        </w:rPr>
        <w:t xml:space="preserve">/proceedings to be unlawful and/or invalid and setting them aside: </w:t>
      </w:r>
    </w:p>
    <w:p w14:paraId="159B4155" w14:textId="77777777" w:rsidR="00ED409A" w:rsidRDefault="00FA01E5" w:rsidP="00ED409A">
      <w:pPr>
        <w:spacing w:line="360" w:lineRule="auto"/>
        <w:jc w:val="both"/>
        <w:rPr>
          <w:rFonts w:ascii="Arial" w:hAnsi="Arial" w:cs="Arial"/>
        </w:rPr>
      </w:pPr>
      <w:r>
        <w:rPr>
          <w:rFonts w:ascii="Arial" w:hAnsi="Arial" w:cs="Arial"/>
        </w:rPr>
        <w:t>2.1.</w:t>
      </w:r>
      <w:r>
        <w:rPr>
          <w:rFonts w:ascii="Arial" w:hAnsi="Arial" w:cs="Arial"/>
        </w:rPr>
        <w:tab/>
      </w:r>
      <w:r w:rsidR="00ED409A" w:rsidRPr="007148DC">
        <w:rPr>
          <w:rFonts w:ascii="Arial" w:hAnsi="Arial" w:cs="Arial"/>
        </w:rPr>
        <w:t>The writ of execution -</w:t>
      </w:r>
      <w:r>
        <w:rPr>
          <w:rFonts w:ascii="Arial" w:hAnsi="Arial" w:cs="Arial"/>
        </w:rPr>
        <w:t xml:space="preserve"> immovable property issued on </w:t>
      </w:r>
      <w:r w:rsidR="00ED409A" w:rsidRPr="007148DC">
        <w:rPr>
          <w:rFonts w:ascii="Arial" w:hAnsi="Arial" w:cs="Arial"/>
        </w:rPr>
        <w:t>September 2021 directing the first respondent to attach and take into execution the property of the applicants being Erf no 2277 Swakopmund, Extension 8, Swakopmund, (“the property”);</w:t>
      </w:r>
    </w:p>
    <w:p w14:paraId="002617B3" w14:textId="77777777" w:rsidR="00ED409A" w:rsidRDefault="00FA01E5" w:rsidP="00ED409A">
      <w:pPr>
        <w:spacing w:line="360" w:lineRule="auto"/>
        <w:jc w:val="both"/>
        <w:rPr>
          <w:rFonts w:ascii="Arial" w:hAnsi="Arial" w:cs="Arial"/>
        </w:rPr>
      </w:pPr>
      <w:r>
        <w:rPr>
          <w:rFonts w:ascii="Arial" w:hAnsi="Arial" w:cs="Arial"/>
        </w:rPr>
        <w:t>2.2.</w:t>
      </w:r>
      <w:r>
        <w:rPr>
          <w:rFonts w:ascii="Arial" w:hAnsi="Arial" w:cs="Arial"/>
        </w:rPr>
        <w:tab/>
      </w:r>
      <w:r w:rsidR="00ED409A" w:rsidRPr="007148DC">
        <w:rPr>
          <w:rFonts w:ascii="Arial" w:hAnsi="Arial" w:cs="Arial"/>
        </w:rPr>
        <w:t xml:space="preserve">The purported attachment of the property by the first respondent pursuant to the abovementioned writ of execution – immovable property; </w:t>
      </w:r>
    </w:p>
    <w:p w14:paraId="5067DBE2" w14:textId="77777777" w:rsidR="00ED409A" w:rsidRDefault="00FA01E5" w:rsidP="00ED409A">
      <w:pPr>
        <w:spacing w:line="360" w:lineRule="auto"/>
        <w:jc w:val="both"/>
        <w:rPr>
          <w:rFonts w:ascii="Arial" w:hAnsi="Arial" w:cs="Arial"/>
        </w:rPr>
      </w:pPr>
      <w:r>
        <w:rPr>
          <w:rFonts w:ascii="Arial" w:hAnsi="Arial" w:cs="Arial"/>
        </w:rPr>
        <w:t>2.3.</w:t>
      </w:r>
      <w:r>
        <w:rPr>
          <w:rFonts w:ascii="Arial" w:hAnsi="Arial" w:cs="Arial"/>
        </w:rPr>
        <w:tab/>
      </w:r>
      <w:r w:rsidR="00ED409A" w:rsidRPr="007148DC">
        <w:rPr>
          <w:rFonts w:ascii="Arial" w:hAnsi="Arial" w:cs="Arial"/>
        </w:rPr>
        <w:t>The sale in execution held on 24 March 2022 at the property where the property was purportedly sold to Judiana Erasmus by way of auction as well as the subsequent nomination of the third respondent as purchaser;</w:t>
      </w:r>
    </w:p>
    <w:p w14:paraId="3B6B4D3D" w14:textId="77777777" w:rsidR="00ED409A" w:rsidRDefault="00FA01E5" w:rsidP="00ED409A">
      <w:pPr>
        <w:spacing w:line="360" w:lineRule="auto"/>
        <w:jc w:val="both"/>
        <w:rPr>
          <w:rFonts w:ascii="Arial" w:hAnsi="Arial" w:cs="Arial"/>
        </w:rPr>
      </w:pPr>
      <w:r>
        <w:rPr>
          <w:rFonts w:ascii="Arial" w:hAnsi="Arial" w:cs="Arial"/>
        </w:rPr>
        <w:lastRenderedPageBreak/>
        <w:t>2.4.</w:t>
      </w:r>
      <w:r>
        <w:rPr>
          <w:rFonts w:ascii="Arial" w:hAnsi="Arial" w:cs="Arial"/>
        </w:rPr>
        <w:tab/>
      </w:r>
      <w:r w:rsidR="00ED409A" w:rsidRPr="007148DC">
        <w:rPr>
          <w:rFonts w:ascii="Arial" w:hAnsi="Arial" w:cs="Arial"/>
        </w:rPr>
        <w:t>The sale in execution held on 12 July 2022 at the property where the property was purportedly sold to the third respondent by way of auction.</w:t>
      </w:r>
    </w:p>
    <w:p w14:paraId="1E7EE0BF" w14:textId="77777777" w:rsidR="00ED409A" w:rsidRDefault="00ED409A" w:rsidP="00ED409A">
      <w:pPr>
        <w:spacing w:line="360" w:lineRule="auto"/>
        <w:jc w:val="both"/>
        <w:rPr>
          <w:rFonts w:ascii="Arial" w:hAnsi="Arial" w:cs="Arial"/>
        </w:rPr>
      </w:pPr>
      <w:r w:rsidRPr="007148DC">
        <w:rPr>
          <w:rFonts w:ascii="Arial" w:hAnsi="Arial" w:cs="Arial"/>
        </w:rPr>
        <w:t>3.</w:t>
      </w:r>
      <w:r w:rsidR="00FA01E5">
        <w:rPr>
          <w:rFonts w:ascii="Arial" w:hAnsi="Arial" w:cs="Arial"/>
        </w:rPr>
        <w:tab/>
      </w:r>
      <w:r w:rsidRPr="007148DC">
        <w:rPr>
          <w:rFonts w:ascii="Arial" w:hAnsi="Arial" w:cs="Arial"/>
        </w:rPr>
        <w:t xml:space="preserve">An order: </w:t>
      </w:r>
    </w:p>
    <w:p w14:paraId="0480D316" w14:textId="77777777" w:rsidR="00ED409A" w:rsidRDefault="00FA01E5" w:rsidP="00ED409A">
      <w:pPr>
        <w:spacing w:line="360" w:lineRule="auto"/>
        <w:jc w:val="both"/>
        <w:rPr>
          <w:rFonts w:ascii="Arial" w:hAnsi="Arial" w:cs="Arial"/>
        </w:rPr>
      </w:pPr>
      <w:r>
        <w:rPr>
          <w:rFonts w:ascii="Arial" w:hAnsi="Arial" w:cs="Arial"/>
        </w:rPr>
        <w:t>3.1.</w:t>
      </w:r>
      <w:r>
        <w:rPr>
          <w:rFonts w:ascii="Arial" w:hAnsi="Arial" w:cs="Arial"/>
        </w:rPr>
        <w:tab/>
      </w:r>
      <w:r w:rsidR="00ED409A" w:rsidRPr="007148DC">
        <w:rPr>
          <w:rFonts w:ascii="Arial" w:hAnsi="Arial" w:cs="Arial"/>
        </w:rPr>
        <w:t xml:space="preserve">setting aside the transfer and registration of the property to the third respondent on 4 August 2022 as contemplated in section 6(1) of the Deeds Registries Act, Act 47 of 1937; and </w:t>
      </w:r>
    </w:p>
    <w:p w14:paraId="5D2EA258" w14:textId="77777777" w:rsidR="00ED409A" w:rsidRDefault="00ED409A" w:rsidP="00ED409A">
      <w:pPr>
        <w:spacing w:line="360" w:lineRule="auto"/>
        <w:jc w:val="both"/>
        <w:rPr>
          <w:rFonts w:ascii="Arial" w:hAnsi="Arial" w:cs="Arial"/>
        </w:rPr>
      </w:pPr>
      <w:r w:rsidRPr="007148DC">
        <w:rPr>
          <w:rFonts w:ascii="Arial" w:hAnsi="Arial" w:cs="Arial"/>
        </w:rPr>
        <w:t>3.2.</w:t>
      </w:r>
      <w:r w:rsidR="00FA01E5">
        <w:rPr>
          <w:rFonts w:ascii="Arial" w:hAnsi="Arial" w:cs="Arial"/>
        </w:rPr>
        <w:tab/>
      </w:r>
      <w:r w:rsidRPr="007148DC">
        <w:rPr>
          <w:rFonts w:ascii="Arial" w:hAnsi="Arial" w:cs="Arial"/>
        </w:rPr>
        <w:t xml:space="preserve"> directing the fourth respondent to cancel any mortgage bond which may have been registered over the property pursuant to such transfer into the name of the third respondent; </w:t>
      </w:r>
    </w:p>
    <w:p w14:paraId="61170260" w14:textId="77777777" w:rsidR="00ED409A" w:rsidRDefault="00FA01E5" w:rsidP="00ED409A">
      <w:pPr>
        <w:spacing w:line="360" w:lineRule="auto"/>
        <w:jc w:val="both"/>
        <w:rPr>
          <w:rFonts w:ascii="Arial" w:hAnsi="Arial" w:cs="Arial"/>
        </w:rPr>
      </w:pPr>
      <w:r>
        <w:rPr>
          <w:rFonts w:ascii="Arial" w:hAnsi="Arial" w:cs="Arial"/>
        </w:rPr>
        <w:t>3.3.</w:t>
      </w:r>
      <w:r>
        <w:rPr>
          <w:rFonts w:ascii="Arial" w:hAnsi="Arial" w:cs="Arial"/>
        </w:rPr>
        <w:tab/>
      </w:r>
      <w:r w:rsidR="00ED409A" w:rsidRPr="007148DC">
        <w:rPr>
          <w:rFonts w:ascii="Arial" w:hAnsi="Arial" w:cs="Arial"/>
        </w:rPr>
        <w:t xml:space="preserve">directing the fourth respondent to cancel Deed of Transfer No T5084/2022 under which the property was transferred to the third respondent and to thereafter cancel the relevant endorsement on Deed of Transfer No 4928/2000, as contemplated in section 6(2) of the Deeds Registries Act, Act 47 of 1937. </w:t>
      </w:r>
    </w:p>
    <w:p w14:paraId="4AC3191B" w14:textId="77777777" w:rsidR="00ED409A" w:rsidRDefault="00FA01E5" w:rsidP="00ED409A">
      <w:pPr>
        <w:spacing w:line="360" w:lineRule="auto"/>
        <w:jc w:val="both"/>
        <w:rPr>
          <w:rFonts w:ascii="Arial" w:hAnsi="Arial" w:cs="Arial"/>
        </w:rPr>
      </w:pPr>
      <w:r>
        <w:rPr>
          <w:rFonts w:ascii="Arial" w:hAnsi="Arial" w:cs="Arial"/>
        </w:rPr>
        <w:t>4.</w:t>
      </w:r>
      <w:r>
        <w:rPr>
          <w:rFonts w:ascii="Arial" w:hAnsi="Arial" w:cs="Arial"/>
        </w:rPr>
        <w:tab/>
      </w:r>
      <w:r w:rsidR="00ED409A" w:rsidRPr="007148DC">
        <w:rPr>
          <w:rFonts w:ascii="Arial" w:hAnsi="Arial" w:cs="Arial"/>
        </w:rPr>
        <w:t>That the respondents who elect to oppose this application pay the costs thereof, jointly and severally, the one paying the other to be absolved.</w:t>
      </w:r>
    </w:p>
    <w:p w14:paraId="39A700CB" w14:textId="77777777" w:rsidR="00ED409A" w:rsidRDefault="00ED409A" w:rsidP="00D55B65">
      <w:pPr>
        <w:spacing w:after="0" w:line="360" w:lineRule="auto"/>
        <w:jc w:val="both"/>
        <w:rPr>
          <w:rFonts w:ascii="Arial" w:hAnsi="Arial" w:cs="Arial"/>
        </w:rPr>
      </w:pPr>
      <w:r w:rsidRPr="007148DC">
        <w:rPr>
          <w:rFonts w:ascii="Arial" w:hAnsi="Arial" w:cs="Arial"/>
        </w:rPr>
        <w:t xml:space="preserve">5. </w:t>
      </w:r>
      <w:r w:rsidR="00FA01E5">
        <w:rPr>
          <w:rFonts w:ascii="Arial" w:hAnsi="Arial" w:cs="Arial"/>
        </w:rPr>
        <w:tab/>
      </w:r>
      <w:r w:rsidRPr="007148DC">
        <w:rPr>
          <w:rFonts w:ascii="Arial" w:hAnsi="Arial" w:cs="Arial"/>
        </w:rPr>
        <w:t>Further and/or alternative relief.</w:t>
      </w:r>
      <w:r w:rsidR="00D55B65">
        <w:rPr>
          <w:rFonts w:ascii="Arial" w:hAnsi="Arial" w:cs="Arial"/>
        </w:rPr>
        <w:t>’</w:t>
      </w:r>
    </w:p>
    <w:p w14:paraId="56D6395F" w14:textId="77777777" w:rsidR="00D55B65" w:rsidRDefault="00D55B65" w:rsidP="00D55B65">
      <w:pPr>
        <w:spacing w:after="0" w:line="360" w:lineRule="auto"/>
        <w:jc w:val="both"/>
        <w:rPr>
          <w:rFonts w:ascii="Arial" w:hAnsi="Arial" w:cs="Arial"/>
        </w:rPr>
      </w:pPr>
    </w:p>
    <w:p w14:paraId="7363D23E" w14:textId="5A68A1E8" w:rsidR="00132333" w:rsidRPr="001424F6" w:rsidRDefault="001424F6" w:rsidP="001424F6">
      <w:pPr>
        <w:spacing w:after="0" w:line="360" w:lineRule="auto"/>
        <w:jc w:val="both"/>
        <w:rPr>
          <w:rFonts w:ascii="Arial" w:hAnsi="Arial" w:cs="Arial"/>
          <w:sz w:val="24"/>
          <w:szCs w:val="24"/>
        </w:rPr>
      </w:pPr>
      <w:r w:rsidRPr="00992757">
        <w:rPr>
          <w:rFonts w:ascii="Arial" w:hAnsi="Arial" w:cs="Arial"/>
          <w:sz w:val="24"/>
          <w:szCs w:val="24"/>
        </w:rPr>
        <w:t>[14]</w:t>
      </w:r>
      <w:r w:rsidRPr="00992757">
        <w:rPr>
          <w:rFonts w:ascii="Arial" w:hAnsi="Arial" w:cs="Arial"/>
          <w:sz w:val="24"/>
          <w:szCs w:val="24"/>
        </w:rPr>
        <w:tab/>
      </w:r>
      <w:r w:rsidR="00ED409A" w:rsidRPr="001424F6">
        <w:rPr>
          <w:rFonts w:ascii="Arial" w:hAnsi="Arial" w:cs="Arial"/>
          <w:sz w:val="24"/>
          <w:szCs w:val="24"/>
        </w:rPr>
        <w:t>From the</w:t>
      </w:r>
      <w:r w:rsidR="00FA01E5" w:rsidRPr="001424F6">
        <w:rPr>
          <w:rFonts w:ascii="Arial" w:hAnsi="Arial" w:cs="Arial"/>
          <w:sz w:val="24"/>
          <w:szCs w:val="24"/>
        </w:rPr>
        <w:t xml:space="preserve"> reading of the</w:t>
      </w:r>
      <w:r w:rsidR="00ED409A" w:rsidRPr="001424F6">
        <w:rPr>
          <w:rFonts w:ascii="Arial" w:hAnsi="Arial" w:cs="Arial"/>
          <w:sz w:val="24"/>
          <w:szCs w:val="24"/>
        </w:rPr>
        <w:t xml:space="preserve"> amended notice of motion</w:t>
      </w:r>
      <w:r w:rsidR="00665A39" w:rsidRPr="001424F6">
        <w:rPr>
          <w:rFonts w:ascii="Arial" w:hAnsi="Arial" w:cs="Arial"/>
          <w:sz w:val="24"/>
          <w:szCs w:val="24"/>
        </w:rPr>
        <w:t>,</w:t>
      </w:r>
      <w:r w:rsidR="00ED409A" w:rsidRPr="001424F6">
        <w:rPr>
          <w:rFonts w:ascii="Arial" w:hAnsi="Arial" w:cs="Arial"/>
          <w:sz w:val="24"/>
          <w:szCs w:val="24"/>
        </w:rPr>
        <w:t xml:space="preserve"> it is clear that the applicants launched a two-pronged attack, which </w:t>
      </w:r>
      <w:r w:rsidR="00B2686F" w:rsidRPr="001424F6">
        <w:rPr>
          <w:rFonts w:ascii="Arial" w:hAnsi="Arial" w:cs="Arial"/>
          <w:sz w:val="24"/>
          <w:szCs w:val="24"/>
        </w:rPr>
        <w:t>is</w:t>
      </w:r>
      <w:r w:rsidR="00FA01E5" w:rsidRPr="001424F6">
        <w:rPr>
          <w:rFonts w:ascii="Arial" w:hAnsi="Arial" w:cs="Arial"/>
          <w:sz w:val="24"/>
          <w:szCs w:val="24"/>
        </w:rPr>
        <w:t xml:space="preserve"> aimed at:</w:t>
      </w:r>
    </w:p>
    <w:p w14:paraId="57858178" w14:textId="77777777" w:rsidR="00FA01E5" w:rsidRPr="00992757" w:rsidRDefault="00FA01E5" w:rsidP="00FA01E5">
      <w:pPr>
        <w:pStyle w:val="ListParagraph"/>
        <w:spacing w:after="0" w:line="360" w:lineRule="auto"/>
        <w:ind w:left="0"/>
        <w:jc w:val="both"/>
        <w:rPr>
          <w:rFonts w:ascii="Arial" w:hAnsi="Arial" w:cs="Arial"/>
          <w:sz w:val="24"/>
          <w:szCs w:val="24"/>
        </w:rPr>
      </w:pPr>
    </w:p>
    <w:p w14:paraId="37C4B6A1" w14:textId="27525250" w:rsidR="00ED409A" w:rsidRPr="001424F6" w:rsidRDefault="001424F6" w:rsidP="001424F6">
      <w:pPr>
        <w:spacing w:after="0" w:line="360" w:lineRule="auto"/>
        <w:ind w:left="720" w:hanging="360"/>
        <w:rPr>
          <w:rFonts w:ascii="Arial" w:hAnsi="Arial" w:cs="Arial"/>
          <w:sz w:val="24"/>
          <w:szCs w:val="24"/>
        </w:rPr>
      </w:pPr>
      <w:r w:rsidRPr="00992757">
        <w:rPr>
          <w:rFonts w:ascii="Arial" w:hAnsi="Arial" w:cs="Arial"/>
          <w:sz w:val="24"/>
          <w:szCs w:val="24"/>
        </w:rPr>
        <w:t>a)</w:t>
      </w:r>
      <w:r w:rsidRPr="00992757">
        <w:rPr>
          <w:rFonts w:ascii="Arial" w:hAnsi="Arial" w:cs="Arial"/>
          <w:sz w:val="24"/>
          <w:szCs w:val="24"/>
        </w:rPr>
        <w:tab/>
      </w:r>
      <w:r w:rsidR="00ED409A" w:rsidRPr="001424F6">
        <w:rPr>
          <w:rFonts w:ascii="Arial" w:hAnsi="Arial" w:cs="Arial"/>
          <w:sz w:val="24"/>
          <w:szCs w:val="24"/>
        </w:rPr>
        <w:t>Reviewing and setting aside the sale in executio</w:t>
      </w:r>
      <w:r w:rsidR="00665A39" w:rsidRPr="001424F6">
        <w:rPr>
          <w:rFonts w:ascii="Arial" w:hAnsi="Arial" w:cs="Arial"/>
          <w:sz w:val="24"/>
          <w:szCs w:val="24"/>
        </w:rPr>
        <w:t>n</w:t>
      </w:r>
      <w:r w:rsidR="00D92514" w:rsidRPr="001424F6">
        <w:rPr>
          <w:rFonts w:ascii="Arial" w:hAnsi="Arial" w:cs="Arial"/>
          <w:sz w:val="24"/>
          <w:szCs w:val="24"/>
        </w:rPr>
        <w:t>;</w:t>
      </w:r>
      <w:r w:rsidR="00ED409A" w:rsidRPr="001424F6">
        <w:rPr>
          <w:rFonts w:ascii="Arial" w:hAnsi="Arial" w:cs="Arial"/>
          <w:sz w:val="24"/>
          <w:szCs w:val="24"/>
        </w:rPr>
        <w:t xml:space="preserve"> and </w:t>
      </w:r>
    </w:p>
    <w:p w14:paraId="109F16C2" w14:textId="066908BE" w:rsidR="00ED409A" w:rsidRPr="001424F6" w:rsidRDefault="001424F6" w:rsidP="001424F6">
      <w:pPr>
        <w:spacing w:after="0" w:line="360" w:lineRule="auto"/>
        <w:ind w:left="720" w:hanging="360"/>
        <w:rPr>
          <w:rFonts w:ascii="Arial" w:hAnsi="Arial" w:cs="Arial"/>
          <w:sz w:val="24"/>
          <w:szCs w:val="24"/>
        </w:rPr>
      </w:pPr>
      <w:r>
        <w:rPr>
          <w:rFonts w:ascii="Arial" w:hAnsi="Arial" w:cs="Arial"/>
          <w:sz w:val="24"/>
          <w:szCs w:val="24"/>
        </w:rPr>
        <w:t>b)</w:t>
      </w:r>
      <w:r>
        <w:rPr>
          <w:rFonts w:ascii="Arial" w:hAnsi="Arial" w:cs="Arial"/>
          <w:sz w:val="24"/>
          <w:szCs w:val="24"/>
        </w:rPr>
        <w:tab/>
      </w:r>
      <w:r w:rsidR="00FA01E5" w:rsidRPr="001424F6">
        <w:rPr>
          <w:rFonts w:ascii="Arial" w:hAnsi="Arial" w:cs="Arial"/>
          <w:sz w:val="24"/>
          <w:szCs w:val="24"/>
        </w:rPr>
        <w:t>Reviewing and setting aside t</w:t>
      </w:r>
      <w:r w:rsidR="006A06EF" w:rsidRPr="001424F6">
        <w:rPr>
          <w:rFonts w:ascii="Arial" w:hAnsi="Arial" w:cs="Arial"/>
          <w:sz w:val="24"/>
          <w:szCs w:val="24"/>
        </w:rPr>
        <w:t xml:space="preserve">he registration of transfer of the immovable property and the steps associated therewith. </w:t>
      </w:r>
    </w:p>
    <w:p w14:paraId="4238C2E7" w14:textId="77777777" w:rsidR="006A06EF" w:rsidRDefault="006A06EF" w:rsidP="006A06EF">
      <w:pPr>
        <w:pStyle w:val="ListParagraph"/>
        <w:spacing w:after="0" w:line="360" w:lineRule="auto"/>
        <w:rPr>
          <w:rFonts w:ascii="Arial" w:hAnsi="Arial" w:cs="Arial"/>
          <w:sz w:val="24"/>
          <w:szCs w:val="24"/>
        </w:rPr>
      </w:pPr>
    </w:p>
    <w:p w14:paraId="1699FB20" w14:textId="1B806F57" w:rsidR="006A06EF" w:rsidRPr="001424F6" w:rsidRDefault="001424F6" w:rsidP="001424F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A06EF" w:rsidRPr="001424F6">
        <w:rPr>
          <w:rFonts w:ascii="Arial" w:hAnsi="Arial" w:cs="Arial"/>
          <w:sz w:val="24"/>
          <w:szCs w:val="24"/>
        </w:rPr>
        <w:t>In support of their application</w:t>
      </w:r>
      <w:r w:rsidR="00B2686F" w:rsidRPr="001424F6">
        <w:rPr>
          <w:rFonts w:ascii="Arial" w:hAnsi="Arial" w:cs="Arial"/>
          <w:sz w:val="24"/>
          <w:szCs w:val="24"/>
        </w:rPr>
        <w:t>,</w:t>
      </w:r>
      <w:r w:rsidR="006A06EF" w:rsidRPr="001424F6">
        <w:rPr>
          <w:rFonts w:ascii="Arial" w:hAnsi="Arial" w:cs="Arial"/>
          <w:sz w:val="24"/>
          <w:szCs w:val="24"/>
        </w:rPr>
        <w:t xml:space="preserve"> the applicants raised a number of </w:t>
      </w:r>
      <w:r w:rsidR="00B2686F" w:rsidRPr="001424F6">
        <w:rPr>
          <w:rFonts w:ascii="Arial" w:hAnsi="Arial" w:cs="Arial"/>
          <w:sz w:val="24"/>
          <w:szCs w:val="24"/>
        </w:rPr>
        <w:t>issues</w:t>
      </w:r>
      <w:r w:rsidR="006A06EF" w:rsidRPr="001424F6">
        <w:rPr>
          <w:rFonts w:ascii="Arial" w:hAnsi="Arial" w:cs="Arial"/>
          <w:sz w:val="24"/>
          <w:szCs w:val="24"/>
        </w:rPr>
        <w:t xml:space="preserve"> which can be loosely termed as grounds of review. These are as follows:</w:t>
      </w:r>
    </w:p>
    <w:p w14:paraId="2C43C0FC" w14:textId="77777777" w:rsidR="00FC6396" w:rsidRPr="006A06EF" w:rsidRDefault="00FC6396" w:rsidP="00FC6396">
      <w:pPr>
        <w:pStyle w:val="ListParagraph"/>
        <w:spacing w:after="0" w:line="360" w:lineRule="auto"/>
        <w:ind w:left="0"/>
        <w:jc w:val="both"/>
        <w:rPr>
          <w:rFonts w:ascii="Arial" w:hAnsi="Arial" w:cs="Arial"/>
          <w:sz w:val="24"/>
          <w:szCs w:val="24"/>
        </w:rPr>
      </w:pPr>
    </w:p>
    <w:p w14:paraId="3E4F4C87" w14:textId="2497837F" w:rsidR="00ED409A" w:rsidRPr="001424F6" w:rsidRDefault="001424F6" w:rsidP="001424F6">
      <w:pPr>
        <w:spacing w:line="360" w:lineRule="auto"/>
        <w:ind w:left="357" w:hanging="357"/>
        <w:rPr>
          <w:rFonts w:ascii="Arial" w:hAnsi="Arial" w:cs="Arial"/>
          <w:sz w:val="24"/>
          <w:szCs w:val="24"/>
        </w:rPr>
      </w:pPr>
      <w:r>
        <w:rPr>
          <w:rFonts w:ascii="Arial" w:hAnsi="Arial" w:cs="Arial"/>
          <w:sz w:val="24"/>
          <w:szCs w:val="24"/>
        </w:rPr>
        <w:t>(i)</w:t>
      </w:r>
      <w:r>
        <w:rPr>
          <w:rFonts w:ascii="Arial" w:hAnsi="Arial" w:cs="Arial"/>
          <w:sz w:val="24"/>
          <w:szCs w:val="24"/>
        </w:rPr>
        <w:tab/>
      </w:r>
      <w:r w:rsidR="006A06EF" w:rsidRPr="001424F6">
        <w:rPr>
          <w:rFonts w:ascii="Arial" w:hAnsi="Arial" w:cs="Arial"/>
          <w:sz w:val="24"/>
          <w:szCs w:val="24"/>
        </w:rPr>
        <w:t xml:space="preserve">The writ of attachment is invalid for want of revival of the judgment; </w:t>
      </w:r>
    </w:p>
    <w:p w14:paraId="0337ADBD" w14:textId="59C55A5B" w:rsidR="006A06EF" w:rsidRPr="001424F6" w:rsidRDefault="001424F6" w:rsidP="001424F6">
      <w:pPr>
        <w:spacing w:line="360" w:lineRule="auto"/>
        <w:ind w:left="357" w:hanging="357"/>
        <w:rPr>
          <w:rFonts w:ascii="Arial" w:hAnsi="Arial" w:cs="Arial"/>
          <w:sz w:val="24"/>
          <w:szCs w:val="24"/>
        </w:rPr>
      </w:pPr>
      <w:r>
        <w:rPr>
          <w:rFonts w:ascii="Arial" w:hAnsi="Arial" w:cs="Arial"/>
          <w:sz w:val="24"/>
          <w:szCs w:val="24"/>
        </w:rPr>
        <w:t>(ii)</w:t>
      </w:r>
      <w:r>
        <w:rPr>
          <w:rFonts w:ascii="Arial" w:hAnsi="Arial" w:cs="Arial"/>
          <w:sz w:val="24"/>
          <w:szCs w:val="24"/>
        </w:rPr>
        <w:tab/>
      </w:r>
      <w:r w:rsidR="006A06EF" w:rsidRPr="001424F6">
        <w:rPr>
          <w:rFonts w:ascii="Arial" w:hAnsi="Arial" w:cs="Arial"/>
          <w:sz w:val="24"/>
          <w:szCs w:val="24"/>
        </w:rPr>
        <w:t>The failure to attach the immovable property as contemplated in r</w:t>
      </w:r>
      <w:r w:rsidR="00FA01E5" w:rsidRPr="001424F6">
        <w:rPr>
          <w:rFonts w:ascii="Arial" w:hAnsi="Arial" w:cs="Arial"/>
          <w:sz w:val="24"/>
          <w:szCs w:val="24"/>
        </w:rPr>
        <w:t>ule</w:t>
      </w:r>
      <w:r w:rsidR="006A06EF" w:rsidRPr="001424F6">
        <w:rPr>
          <w:rFonts w:ascii="Arial" w:hAnsi="Arial" w:cs="Arial"/>
          <w:sz w:val="24"/>
          <w:szCs w:val="24"/>
        </w:rPr>
        <w:t xml:space="preserve"> 109(3);</w:t>
      </w:r>
    </w:p>
    <w:p w14:paraId="0A10E535" w14:textId="57B928CB" w:rsidR="006A06EF" w:rsidRPr="001424F6" w:rsidRDefault="001424F6" w:rsidP="001424F6">
      <w:pPr>
        <w:spacing w:line="360" w:lineRule="auto"/>
        <w:ind w:left="357" w:hanging="357"/>
        <w:rPr>
          <w:rFonts w:ascii="Arial" w:hAnsi="Arial" w:cs="Arial"/>
          <w:sz w:val="24"/>
          <w:szCs w:val="24"/>
        </w:rPr>
      </w:pPr>
      <w:r>
        <w:rPr>
          <w:rFonts w:ascii="Arial" w:hAnsi="Arial" w:cs="Arial"/>
          <w:sz w:val="24"/>
          <w:szCs w:val="24"/>
        </w:rPr>
        <w:t>(iii)</w:t>
      </w:r>
      <w:r>
        <w:rPr>
          <w:rFonts w:ascii="Arial" w:hAnsi="Arial" w:cs="Arial"/>
          <w:sz w:val="24"/>
          <w:szCs w:val="24"/>
        </w:rPr>
        <w:tab/>
      </w:r>
      <w:r w:rsidR="006A06EF" w:rsidRPr="001424F6">
        <w:rPr>
          <w:rFonts w:ascii="Arial" w:hAnsi="Arial" w:cs="Arial"/>
          <w:sz w:val="24"/>
          <w:szCs w:val="24"/>
        </w:rPr>
        <w:t xml:space="preserve">The failure to comply with rule 110(8) because </w:t>
      </w:r>
      <w:r w:rsidR="00B2686F" w:rsidRPr="001424F6">
        <w:rPr>
          <w:rFonts w:ascii="Arial" w:hAnsi="Arial" w:cs="Arial"/>
          <w:sz w:val="24"/>
          <w:szCs w:val="24"/>
        </w:rPr>
        <w:t>the</w:t>
      </w:r>
      <w:r w:rsidR="006A06EF" w:rsidRPr="001424F6">
        <w:rPr>
          <w:rFonts w:ascii="Arial" w:hAnsi="Arial" w:cs="Arial"/>
          <w:sz w:val="24"/>
          <w:szCs w:val="24"/>
        </w:rPr>
        <w:t xml:space="preserve"> auction was not held in public;</w:t>
      </w:r>
    </w:p>
    <w:p w14:paraId="4535E8EA" w14:textId="1526F5A8" w:rsidR="006A06EF" w:rsidRPr="001424F6" w:rsidRDefault="001424F6" w:rsidP="001424F6">
      <w:pPr>
        <w:spacing w:line="360" w:lineRule="auto"/>
        <w:ind w:left="357" w:hanging="357"/>
        <w:rPr>
          <w:rFonts w:ascii="Arial" w:hAnsi="Arial" w:cs="Arial"/>
          <w:sz w:val="24"/>
          <w:szCs w:val="24"/>
        </w:rPr>
      </w:pPr>
      <w:r>
        <w:rPr>
          <w:rFonts w:ascii="Arial" w:hAnsi="Arial" w:cs="Arial"/>
          <w:sz w:val="24"/>
          <w:szCs w:val="24"/>
        </w:rPr>
        <w:t>(iv)</w:t>
      </w:r>
      <w:r>
        <w:rPr>
          <w:rFonts w:ascii="Arial" w:hAnsi="Arial" w:cs="Arial"/>
          <w:sz w:val="24"/>
          <w:szCs w:val="24"/>
        </w:rPr>
        <w:tab/>
      </w:r>
      <w:r w:rsidR="006A06EF" w:rsidRPr="001424F6">
        <w:rPr>
          <w:rFonts w:ascii="Arial" w:hAnsi="Arial" w:cs="Arial"/>
          <w:sz w:val="24"/>
          <w:szCs w:val="24"/>
        </w:rPr>
        <w:t>The 24 March 2022 sale in execution was not cancelled;</w:t>
      </w:r>
    </w:p>
    <w:p w14:paraId="40352E7E" w14:textId="6D95C1B8" w:rsidR="006A06EF" w:rsidRPr="001424F6" w:rsidRDefault="001424F6" w:rsidP="001424F6">
      <w:pPr>
        <w:spacing w:line="360" w:lineRule="auto"/>
        <w:ind w:left="357" w:hanging="357"/>
        <w:rPr>
          <w:rFonts w:ascii="Arial" w:hAnsi="Arial" w:cs="Arial"/>
          <w:sz w:val="24"/>
          <w:szCs w:val="24"/>
        </w:rPr>
      </w:pPr>
      <w:r>
        <w:rPr>
          <w:rFonts w:ascii="Arial" w:hAnsi="Arial" w:cs="Arial"/>
          <w:sz w:val="24"/>
          <w:szCs w:val="24"/>
        </w:rPr>
        <w:lastRenderedPageBreak/>
        <w:t>(v)</w:t>
      </w:r>
      <w:r>
        <w:rPr>
          <w:rFonts w:ascii="Arial" w:hAnsi="Arial" w:cs="Arial"/>
          <w:sz w:val="24"/>
          <w:szCs w:val="24"/>
        </w:rPr>
        <w:tab/>
      </w:r>
      <w:r w:rsidR="006A06EF" w:rsidRPr="001424F6">
        <w:rPr>
          <w:rFonts w:ascii="Arial" w:hAnsi="Arial" w:cs="Arial"/>
          <w:sz w:val="24"/>
          <w:szCs w:val="24"/>
        </w:rPr>
        <w:t xml:space="preserve">Failure to comply with rule 110(3); </w:t>
      </w:r>
    </w:p>
    <w:p w14:paraId="53456BFE" w14:textId="22BCBE49" w:rsidR="006A06EF" w:rsidRPr="001424F6" w:rsidRDefault="001424F6" w:rsidP="001424F6">
      <w:pPr>
        <w:spacing w:line="360" w:lineRule="auto"/>
        <w:ind w:left="357" w:hanging="357"/>
        <w:rPr>
          <w:rFonts w:ascii="Arial" w:hAnsi="Arial" w:cs="Arial"/>
          <w:sz w:val="24"/>
          <w:szCs w:val="24"/>
        </w:rPr>
      </w:pPr>
      <w:r>
        <w:rPr>
          <w:rFonts w:ascii="Arial" w:hAnsi="Arial" w:cs="Arial"/>
          <w:sz w:val="24"/>
          <w:szCs w:val="24"/>
        </w:rPr>
        <w:t>(vi)</w:t>
      </w:r>
      <w:r>
        <w:rPr>
          <w:rFonts w:ascii="Arial" w:hAnsi="Arial" w:cs="Arial"/>
          <w:sz w:val="24"/>
          <w:szCs w:val="24"/>
        </w:rPr>
        <w:tab/>
      </w:r>
      <w:r w:rsidR="006A06EF" w:rsidRPr="001424F6">
        <w:rPr>
          <w:rFonts w:ascii="Arial" w:hAnsi="Arial" w:cs="Arial"/>
          <w:sz w:val="24"/>
          <w:szCs w:val="24"/>
        </w:rPr>
        <w:t xml:space="preserve">Irregularities in the actions taken by the </w:t>
      </w:r>
      <w:r w:rsidR="0076023A" w:rsidRPr="001424F6">
        <w:rPr>
          <w:rFonts w:ascii="Arial" w:hAnsi="Arial" w:cs="Arial"/>
          <w:sz w:val="24"/>
          <w:szCs w:val="24"/>
        </w:rPr>
        <w:t xml:space="preserve">deputy-sheriff </w:t>
      </w:r>
      <w:r w:rsidR="006A06EF" w:rsidRPr="001424F6">
        <w:rPr>
          <w:rFonts w:ascii="Arial" w:hAnsi="Arial" w:cs="Arial"/>
          <w:sz w:val="24"/>
          <w:szCs w:val="24"/>
        </w:rPr>
        <w:t xml:space="preserve">in respect of the sale in execution. </w:t>
      </w:r>
    </w:p>
    <w:p w14:paraId="294CCF68" w14:textId="77777777" w:rsidR="001A0941" w:rsidRPr="009A4A77" w:rsidRDefault="001A0941" w:rsidP="009A4A77">
      <w:pPr>
        <w:rPr>
          <w:rFonts w:ascii="Arial" w:hAnsi="Arial" w:cs="Arial"/>
          <w:sz w:val="24"/>
          <w:szCs w:val="24"/>
        </w:rPr>
      </w:pPr>
    </w:p>
    <w:p w14:paraId="02BDA459" w14:textId="77777777" w:rsidR="00132333" w:rsidRPr="00132333" w:rsidRDefault="00132333" w:rsidP="00132333">
      <w:pPr>
        <w:pStyle w:val="ListParagraph"/>
        <w:spacing w:after="0" w:line="360" w:lineRule="auto"/>
        <w:ind w:left="0"/>
        <w:jc w:val="both"/>
        <w:rPr>
          <w:rFonts w:ascii="Arial" w:hAnsi="Arial" w:cs="Arial"/>
          <w:sz w:val="24"/>
          <w:szCs w:val="24"/>
          <w:u w:val="single"/>
        </w:rPr>
      </w:pPr>
      <w:r w:rsidRPr="00132333">
        <w:rPr>
          <w:rFonts w:ascii="Arial" w:hAnsi="Arial" w:cs="Arial"/>
          <w:sz w:val="24"/>
          <w:szCs w:val="24"/>
          <w:u w:val="single"/>
        </w:rPr>
        <w:t>Founding papers</w:t>
      </w:r>
    </w:p>
    <w:p w14:paraId="40569C76" w14:textId="77777777" w:rsidR="00132333" w:rsidRPr="00132333" w:rsidRDefault="00132333" w:rsidP="00132333">
      <w:pPr>
        <w:pStyle w:val="ListParagraph"/>
        <w:rPr>
          <w:rFonts w:ascii="Arial" w:hAnsi="Arial" w:cs="Arial"/>
          <w:sz w:val="24"/>
          <w:szCs w:val="24"/>
        </w:rPr>
      </w:pPr>
    </w:p>
    <w:p w14:paraId="55BD2233" w14:textId="71329685" w:rsidR="00132333" w:rsidRPr="001424F6" w:rsidRDefault="001424F6" w:rsidP="001424F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2686F" w:rsidRPr="001424F6">
        <w:rPr>
          <w:rFonts w:ascii="Arial" w:hAnsi="Arial" w:cs="Arial"/>
          <w:sz w:val="24"/>
          <w:szCs w:val="24"/>
        </w:rPr>
        <w:t xml:space="preserve">It is common cause that the first applicant </w:t>
      </w:r>
      <w:r w:rsidR="00FA01E5" w:rsidRPr="001424F6">
        <w:rPr>
          <w:rFonts w:ascii="Arial" w:hAnsi="Arial" w:cs="Arial"/>
          <w:sz w:val="24"/>
          <w:szCs w:val="24"/>
        </w:rPr>
        <w:t>fell</w:t>
      </w:r>
      <w:r w:rsidR="00B2686F" w:rsidRPr="001424F6">
        <w:rPr>
          <w:rFonts w:ascii="Arial" w:hAnsi="Arial" w:cs="Arial"/>
          <w:sz w:val="24"/>
          <w:szCs w:val="24"/>
        </w:rPr>
        <w:t xml:space="preserve"> in arrears with the payments in respect of the loans advanced by Standard Bank</w:t>
      </w:r>
      <w:r w:rsidR="00665A39" w:rsidRPr="001424F6">
        <w:rPr>
          <w:rFonts w:ascii="Arial" w:hAnsi="Arial" w:cs="Arial"/>
          <w:sz w:val="24"/>
          <w:szCs w:val="24"/>
        </w:rPr>
        <w:t>,</w:t>
      </w:r>
      <w:r w:rsidR="00B2686F" w:rsidRPr="001424F6">
        <w:rPr>
          <w:rFonts w:ascii="Arial" w:hAnsi="Arial" w:cs="Arial"/>
          <w:sz w:val="24"/>
          <w:szCs w:val="24"/>
        </w:rPr>
        <w:t xml:space="preserve"> and attempts by Mr Von</w:t>
      </w:r>
      <w:r w:rsidR="00B2686F" w:rsidRPr="001424F6">
        <w:rPr>
          <w:sz w:val="24"/>
          <w:szCs w:val="24"/>
        </w:rPr>
        <w:t xml:space="preserve"> </w:t>
      </w:r>
      <w:r w:rsidR="00B2686F" w:rsidRPr="001424F6">
        <w:rPr>
          <w:rFonts w:ascii="Arial" w:hAnsi="Arial" w:cs="Arial"/>
          <w:sz w:val="24"/>
          <w:szCs w:val="24"/>
        </w:rPr>
        <w:t xml:space="preserve">Lüttichou to make alternative payment arrangements in respect of the arrears, was unsuccessful. </w:t>
      </w:r>
    </w:p>
    <w:p w14:paraId="53D5EC5F" w14:textId="77777777" w:rsidR="00462864" w:rsidRDefault="00462864" w:rsidP="00462864">
      <w:pPr>
        <w:pStyle w:val="ListParagraph"/>
        <w:spacing w:after="0" w:line="360" w:lineRule="auto"/>
        <w:ind w:left="0"/>
        <w:jc w:val="both"/>
        <w:rPr>
          <w:rFonts w:ascii="Arial" w:hAnsi="Arial" w:cs="Arial"/>
          <w:sz w:val="24"/>
          <w:szCs w:val="24"/>
        </w:rPr>
      </w:pPr>
    </w:p>
    <w:p w14:paraId="50D9DD4A" w14:textId="191CF508" w:rsidR="00462864" w:rsidRPr="001424F6" w:rsidRDefault="001424F6" w:rsidP="001424F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2686F" w:rsidRPr="001424F6">
        <w:rPr>
          <w:rFonts w:ascii="Arial" w:hAnsi="Arial" w:cs="Arial"/>
          <w:sz w:val="24"/>
          <w:szCs w:val="24"/>
        </w:rPr>
        <w:t xml:space="preserve"> Mr Von Lüttichou </w:t>
      </w:r>
      <w:r w:rsidR="00462864" w:rsidRPr="001424F6">
        <w:rPr>
          <w:rFonts w:ascii="Arial" w:hAnsi="Arial" w:cs="Arial"/>
          <w:sz w:val="24"/>
          <w:szCs w:val="24"/>
        </w:rPr>
        <w:t>deposed to a comprehensive founding affidavit</w:t>
      </w:r>
      <w:r w:rsidR="00D65AFA" w:rsidRPr="001424F6">
        <w:rPr>
          <w:rFonts w:ascii="Arial" w:hAnsi="Arial" w:cs="Arial"/>
          <w:sz w:val="24"/>
          <w:szCs w:val="24"/>
        </w:rPr>
        <w:t>,</w:t>
      </w:r>
      <w:r w:rsidR="00462864" w:rsidRPr="001424F6">
        <w:rPr>
          <w:rFonts w:ascii="Arial" w:hAnsi="Arial" w:cs="Arial"/>
          <w:sz w:val="24"/>
          <w:szCs w:val="24"/>
        </w:rPr>
        <w:t xml:space="preserve"> and I do not intend to replicate it</w:t>
      </w:r>
      <w:r w:rsidR="000B75B9" w:rsidRPr="001424F6">
        <w:rPr>
          <w:rFonts w:ascii="Arial" w:hAnsi="Arial" w:cs="Arial"/>
          <w:sz w:val="24"/>
          <w:szCs w:val="24"/>
        </w:rPr>
        <w:t>. I will</w:t>
      </w:r>
      <w:r w:rsidR="00462864" w:rsidRPr="001424F6">
        <w:rPr>
          <w:rFonts w:ascii="Arial" w:hAnsi="Arial" w:cs="Arial"/>
          <w:sz w:val="24"/>
          <w:szCs w:val="24"/>
        </w:rPr>
        <w:t xml:space="preserve"> summarise the grounds on which the applicants seek the sale of the immovable property reviewed and set aside. </w:t>
      </w:r>
      <w:r w:rsidR="006C26F2" w:rsidRPr="001424F6">
        <w:rPr>
          <w:rFonts w:ascii="Arial" w:hAnsi="Arial" w:cs="Arial"/>
          <w:sz w:val="24"/>
          <w:szCs w:val="24"/>
        </w:rPr>
        <w:t>Mr Von Lüttichou avers that the sale of the immovable property is invalid for the following reasons:</w:t>
      </w:r>
      <w:r w:rsidR="00462864" w:rsidRPr="001424F6">
        <w:rPr>
          <w:rFonts w:ascii="Arial" w:hAnsi="Arial" w:cs="Arial"/>
          <w:sz w:val="24"/>
          <w:szCs w:val="24"/>
        </w:rPr>
        <w:t xml:space="preserve"> </w:t>
      </w:r>
    </w:p>
    <w:p w14:paraId="510B457C" w14:textId="77777777" w:rsidR="00462864" w:rsidRPr="00462864" w:rsidRDefault="00462864" w:rsidP="00462864">
      <w:pPr>
        <w:pStyle w:val="ListParagraph"/>
        <w:rPr>
          <w:rFonts w:ascii="Arial" w:hAnsi="Arial" w:cs="Arial"/>
          <w:sz w:val="24"/>
          <w:szCs w:val="24"/>
        </w:rPr>
      </w:pPr>
    </w:p>
    <w:p w14:paraId="38758B93" w14:textId="402D2899" w:rsidR="00992757" w:rsidRPr="001424F6" w:rsidRDefault="001424F6" w:rsidP="001424F6">
      <w:pPr>
        <w:spacing w:after="0" w:line="360" w:lineRule="auto"/>
        <w:ind w:left="340"/>
        <w:jc w:val="both"/>
        <w:rPr>
          <w:rFonts w:ascii="Arial" w:hAnsi="Arial" w:cs="Arial"/>
          <w:i/>
          <w:sz w:val="24"/>
          <w:szCs w:val="24"/>
        </w:rPr>
      </w:pPr>
      <w:r w:rsidRPr="00992757">
        <w:rPr>
          <w:rFonts w:ascii="Arial" w:hAnsi="Arial" w:cs="Arial"/>
          <w:sz w:val="24"/>
          <w:szCs w:val="24"/>
        </w:rPr>
        <w:t>i)</w:t>
      </w:r>
      <w:r w:rsidRPr="00992757">
        <w:rPr>
          <w:rFonts w:ascii="Arial" w:hAnsi="Arial" w:cs="Arial"/>
          <w:sz w:val="24"/>
          <w:szCs w:val="24"/>
        </w:rPr>
        <w:tab/>
      </w:r>
      <w:r w:rsidR="000838AA" w:rsidRPr="001424F6">
        <w:rPr>
          <w:rFonts w:ascii="Arial" w:hAnsi="Arial" w:cs="Arial"/>
          <w:i/>
          <w:sz w:val="24"/>
          <w:szCs w:val="24"/>
        </w:rPr>
        <w:t>The writ of attachment is invalid for want of revival of the judgment</w:t>
      </w:r>
      <w:r w:rsidR="000838AA" w:rsidRPr="001424F6">
        <w:rPr>
          <w:rFonts w:ascii="Arial" w:hAnsi="Arial" w:cs="Arial"/>
          <w:sz w:val="24"/>
          <w:szCs w:val="24"/>
        </w:rPr>
        <w:t>:</w:t>
      </w:r>
      <w:r w:rsidR="00462864" w:rsidRPr="001424F6">
        <w:rPr>
          <w:rFonts w:ascii="Arial" w:hAnsi="Arial" w:cs="Arial"/>
          <w:sz w:val="24"/>
          <w:szCs w:val="24"/>
        </w:rPr>
        <w:t xml:space="preserve"> In support of this contention</w:t>
      </w:r>
      <w:r w:rsidR="00042518" w:rsidRPr="001424F6">
        <w:rPr>
          <w:rFonts w:ascii="Arial" w:hAnsi="Arial" w:cs="Arial"/>
          <w:sz w:val="24"/>
          <w:szCs w:val="24"/>
        </w:rPr>
        <w:t>,</w:t>
      </w:r>
      <w:r w:rsidR="00462864" w:rsidRPr="001424F6">
        <w:rPr>
          <w:rFonts w:ascii="Arial" w:hAnsi="Arial" w:cs="Arial"/>
          <w:sz w:val="24"/>
          <w:szCs w:val="24"/>
        </w:rPr>
        <w:t xml:space="preserve"> Mr Von Lüttichou submitted that the writ of execution for purposes of attaching the property was issued on 7 September 2021 after the court declared the property specially executable</w:t>
      </w:r>
      <w:r w:rsidR="00042518" w:rsidRPr="001424F6">
        <w:rPr>
          <w:rFonts w:ascii="Arial" w:hAnsi="Arial" w:cs="Arial"/>
          <w:sz w:val="24"/>
          <w:szCs w:val="24"/>
        </w:rPr>
        <w:t xml:space="preserve"> on 3 September 2021. However, </w:t>
      </w:r>
      <w:r w:rsidR="00CF5269" w:rsidRPr="001424F6">
        <w:rPr>
          <w:rFonts w:ascii="Arial" w:hAnsi="Arial" w:cs="Arial"/>
          <w:sz w:val="24"/>
          <w:szCs w:val="24"/>
        </w:rPr>
        <w:t>Mr Von Lüttichou</w:t>
      </w:r>
      <w:r w:rsidR="008934C8" w:rsidRPr="001424F6">
        <w:rPr>
          <w:rFonts w:ascii="Arial" w:hAnsi="Arial" w:cs="Arial"/>
          <w:sz w:val="24"/>
          <w:szCs w:val="24"/>
        </w:rPr>
        <w:t xml:space="preserve"> points out that</w:t>
      </w:r>
      <w:r w:rsidR="00297CFF" w:rsidRPr="001424F6">
        <w:rPr>
          <w:rFonts w:ascii="Arial" w:hAnsi="Arial" w:cs="Arial"/>
          <w:sz w:val="24"/>
          <w:szCs w:val="24"/>
        </w:rPr>
        <w:t>,</w:t>
      </w:r>
      <w:r w:rsidR="008934C8" w:rsidRPr="001424F6">
        <w:rPr>
          <w:rFonts w:ascii="Arial" w:hAnsi="Arial" w:cs="Arial"/>
          <w:sz w:val="24"/>
          <w:szCs w:val="24"/>
        </w:rPr>
        <w:t xml:space="preserve"> the writ of execution was issued more than four years after the judgment was obtained. The issuing of the writ of execution is</w:t>
      </w:r>
      <w:r w:rsidR="002F0B1D" w:rsidRPr="001424F6">
        <w:rPr>
          <w:rFonts w:ascii="Arial" w:hAnsi="Arial" w:cs="Arial"/>
          <w:sz w:val="24"/>
          <w:szCs w:val="24"/>
        </w:rPr>
        <w:t>,</w:t>
      </w:r>
      <w:r w:rsidR="008934C8" w:rsidRPr="001424F6">
        <w:rPr>
          <w:rFonts w:ascii="Arial" w:hAnsi="Arial" w:cs="Arial"/>
          <w:sz w:val="24"/>
          <w:szCs w:val="24"/>
        </w:rPr>
        <w:t xml:space="preserve"> therefore</w:t>
      </w:r>
      <w:r w:rsidR="002F0B1D" w:rsidRPr="001424F6">
        <w:rPr>
          <w:rFonts w:ascii="Arial" w:hAnsi="Arial" w:cs="Arial"/>
          <w:sz w:val="24"/>
          <w:szCs w:val="24"/>
        </w:rPr>
        <w:t>,</w:t>
      </w:r>
      <w:r w:rsidR="008934C8" w:rsidRPr="001424F6">
        <w:rPr>
          <w:rFonts w:ascii="Arial" w:hAnsi="Arial" w:cs="Arial"/>
          <w:sz w:val="24"/>
          <w:szCs w:val="24"/>
        </w:rPr>
        <w:t xml:space="preserve"> contrary </w:t>
      </w:r>
      <w:r w:rsidR="00D65AFA" w:rsidRPr="001424F6">
        <w:rPr>
          <w:rFonts w:ascii="Arial" w:hAnsi="Arial" w:cs="Arial"/>
          <w:sz w:val="24"/>
          <w:szCs w:val="24"/>
        </w:rPr>
        <w:t xml:space="preserve">to </w:t>
      </w:r>
      <w:r w:rsidR="008934C8" w:rsidRPr="001424F6">
        <w:rPr>
          <w:rFonts w:ascii="Arial" w:hAnsi="Arial" w:cs="Arial"/>
          <w:sz w:val="24"/>
          <w:szCs w:val="24"/>
        </w:rPr>
        <w:t xml:space="preserve">the provisions of rule 112(1), as there was no application </w:t>
      </w:r>
      <w:r w:rsidR="00803967" w:rsidRPr="001424F6">
        <w:rPr>
          <w:rFonts w:ascii="Arial" w:hAnsi="Arial" w:cs="Arial"/>
          <w:sz w:val="24"/>
          <w:szCs w:val="24"/>
        </w:rPr>
        <w:t xml:space="preserve">brought to </w:t>
      </w:r>
      <w:r w:rsidR="008934C8" w:rsidRPr="001424F6">
        <w:rPr>
          <w:rFonts w:ascii="Arial" w:hAnsi="Arial" w:cs="Arial"/>
          <w:sz w:val="24"/>
          <w:szCs w:val="24"/>
        </w:rPr>
        <w:t xml:space="preserve">revive the judgment, nor did </w:t>
      </w:r>
      <w:r w:rsidR="00803967" w:rsidRPr="001424F6">
        <w:rPr>
          <w:rFonts w:ascii="Arial" w:hAnsi="Arial" w:cs="Arial"/>
          <w:sz w:val="24"/>
          <w:szCs w:val="24"/>
        </w:rPr>
        <w:t>Standard Bank</w:t>
      </w:r>
      <w:r w:rsidR="006C26F2" w:rsidRPr="001424F6">
        <w:rPr>
          <w:rFonts w:ascii="Arial" w:hAnsi="Arial" w:cs="Arial"/>
          <w:sz w:val="24"/>
          <w:szCs w:val="24"/>
        </w:rPr>
        <w:t xml:space="preserve"> seek consent from the first applicant to revive the judgment. In these circumstances, so contend Mr Von Lüttichou, there could not have been a valid attachment of the property</w:t>
      </w:r>
      <w:r w:rsidR="00D65AFA" w:rsidRPr="001424F6">
        <w:rPr>
          <w:rFonts w:ascii="Arial" w:hAnsi="Arial" w:cs="Arial"/>
          <w:sz w:val="24"/>
          <w:szCs w:val="24"/>
        </w:rPr>
        <w:t>,</w:t>
      </w:r>
      <w:r w:rsidR="006C26F2" w:rsidRPr="001424F6">
        <w:rPr>
          <w:rFonts w:ascii="Arial" w:hAnsi="Arial" w:cs="Arial"/>
          <w:sz w:val="24"/>
          <w:szCs w:val="24"/>
        </w:rPr>
        <w:t xml:space="preserve"> and as a consequence, there could be no valid sale in execution. </w:t>
      </w:r>
    </w:p>
    <w:p w14:paraId="107864F7" w14:textId="77777777" w:rsidR="00992757" w:rsidRPr="00992757" w:rsidRDefault="00992757" w:rsidP="00992757">
      <w:pPr>
        <w:pStyle w:val="ListParagraph"/>
        <w:spacing w:after="0" w:line="360" w:lineRule="auto"/>
        <w:ind w:left="340"/>
        <w:jc w:val="both"/>
        <w:rPr>
          <w:rFonts w:ascii="Arial" w:hAnsi="Arial" w:cs="Arial"/>
          <w:i/>
          <w:sz w:val="24"/>
          <w:szCs w:val="24"/>
        </w:rPr>
      </w:pPr>
    </w:p>
    <w:p w14:paraId="75C6140B" w14:textId="4A46AB8C" w:rsidR="00992757" w:rsidRPr="001424F6" w:rsidRDefault="001424F6" w:rsidP="001424F6">
      <w:pPr>
        <w:spacing w:after="0" w:line="360" w:lineRule="auto"/>
        <w:ind w:left="340"/>
        <w:jc w:val="both"/>
        <w:rPr>
          <w:rFonts w:ascii="Arial" w:hAnsi="Arial" w:cs="Arial"/>
          <w:i/>
          <w:sz w:val="24"/>
          <w:szCs w:val="24"/>
        </w:rPr>
      </w:pPr>
      <w:r w:rsidRPr="00992757">
        <w:rPr>
          <w:rFonts w:ascii="Arial" w:hAnsi="Arial" w:cs="Arial"/>
          <w:sz w:val="24"/>
          <w:szCs w:val="24"/>
        </w:rPr>
        <w:t>ii)</w:t>
      </w:r>
      <w:r w:rsidRPr="00992757">
        <w:rPr>
          <w:rFonts w:ascii="Arial" w:hAnsi="Arial" w:cs="Arial"/>
          <w:sz w:val="24"/>
          <w:szCs w:val="24"/>
        </w:rPr>
        <w:tab/>
      </w:r>
      <w:r w:rsidR="006C26F2" w:rsidRPr="001424F6">
        <w:rPr>
          <w:rFonts w:ascii="Arial" w:hAnsi="Arial" w:cs="Arial"/>
          <w:i/>
          <w:sz w:val="24"/>
          <w:szCs w:val="24"/>
        </w:rPr>
        <w:t>The immovable property was not attached</w:t>
      </w:r>
      <w:r w:rsidR="00D65AFA" w:rsidRPr="001424F6">
        <w:rPr>
          <w:rFonts w:ascii="Arial" w:hAnsi="Arial" w:cs="Arial"/>
          <w:i/>
          <w:sz w:val="24"/>
          <w:szCs w:val="24"/>
        </w:rPr>
        <w:t>,</w:t>
      </w:r>
      <w:r w:rsidR="006C26F2" w:rsidRPr="001424F6">
        <w:rPr>
          <w:rFonts w:ascii="Arial" w:hAnsi="Arial" w:cs="Arial"/>
          <w:i/>
          <w:sz w:val="24"/>
          <w:szCs w:val="24"/>
        </w:rPr>
        <w:t xml:space="preserve"> and </w:t>
      </w:r>
      <w:r w:rsidR="00D65AFA" w:rsidRPr="001424F6">
        <w:rPr>
          <w:rFonts w:ascii="Arial" w:hAnsi="Arial" w:cs="Arial"/>
          <w:i/>
          <w:sz w:val="24"/>
          <w:szCs w:val="24"/>
        </w:rPr>
        <w:t>therefore</w:t>
      </w:r>
      <w:r w:rsidR="002F0B1D" w:rsidRPr="001424F6">
        <w:rPr>
          <w:rFonts w:ascii="Arial" w:hAnsi="Arial" w:cs="Arial"/>
          <w:i/>
          <w:sz w:val="24"/>
          <w:szCs w:val="24"/>
        </w:rPr>
        <w:t>,</w:t>
      </w:r>
      <w:r w:rsidR="006C26F2" w:rsidRPr="001424F6">
        <w:rPr>
          <w:rFonts w:ascii="Arial" w:hAnsi="Arial" w:cs="Arial"/>
          <w:i/>
          <w:sz w:val="24"/>
          <w:szCs w:val="24"/>
        </w:rPr>
        <w:t xml:space="preserve"> there was a failure to comply with rule 109(3</w:t>
      </w:r>
      <w:r w:rsidR="00992757" w:rsidRPr="001424F6">
        <w:rPr>
          <w:rFonts w:ascii="Arial" w:hAnsi="Arial" w:cs="Arial"/>
          <w:i/>
          <w:sz w:val="24"/>
          <w:szCs w:val="24"/>
        </w:rPr>
        <w:t xml:space="preserve">): </w:t>
      </w:r>
      <w:r w:rsidR="0071720F" w:rsidRPr="001424F6">
        <w:rPr>
          <w:rFonts w:ascii="Arial" w:hAnsi="Arial" w:cs="Arial"/>
          <w:sz w:val="24"/>
          <w:szCs w:val="24"/>
        </w:rPr>
        <w:t xml:space="preserve">From a subsequent supplementary affidavit filed by Mr Von </w:t>
      </w:r>
      <w:r w:rsidR="0071720F" w:rsidRPr="001424F6">
        <w:rPr>
          <w:rFonts w:ascii="Arial" w:hAnsi="Arial" w:cs="Arial"/>
          <w:sz w:val="24"/>
          <w:szCs w:val="24"/>
        </w:rPr>
        <w:lastRenderedPageBreak/>
        <w:t>Lüttichou</w:t>
      </w:r>
      <w:r w:rsidR="002F0B1D" w:rsidRPr="001424F6">
        <w:rPr>
          <w:rFonts w:ascii="Arial" w:hAnsi="Arial" w:cs="Arial"/>
          <w:sz w:val="24"/>
          <w:szCs w:val="24"/>
        </w:rPr>
        <w:t>,</w:t>
      </w:r>
      <w:r w:rsidR="0071720F" w:rsidRPr="001424F6">
        <w:rPr>
          <w:rFonts w:ascii="Arial" w:hAnsi="Arial" w:cs="Arial"/>
          <w:sz w:val="24"/>
          <w:szCs w:val="24"/>
        </w:rPr>
        <w:t xml:space="preserve"> it appears that the applicants no longer </w:t>
      </w:r>
      <w:r w:rsidR="002F0B1D" w:rsidRPr="001424F6">
        <w:rPr>
          <w:rFonts w:ascii="Arial" w:hAnsi="Arial" w:cs="Arial"/>
          <w:sz w:val="24"/>
          <w:szCs w:val="24"/>
        </w:rPr>
        <w:t>pursue</w:t>
      </w:r>
      <w:r w:rsidR="0071720F" w:rsidRPr="001424F6">
        <w:rPr>
          <w:rFonts w:ascii="Arial" w:hAnsi="Arial" w:cs="Arial"/>
          <w:sz w:val="24"/>
          <w:szCs w:val="24"/>
        </w:rPr>
        <w:t xml:space="preserve"> this ground of review, having considered the documents discovered by Standard Bank.</w:t>
      </w:r>
      <w:r w:rsidR="00665A39" w:rsidRPr="001424F6">
        <w:rPr>
          <w:rFonts w:ascii="Arial" w:hAnsi="Arial" w:cs="Arial"/>
          <w:sz w:val="24"/>
          <w:szCs w:val="24"/>
        </w:rPr>
        <w:t xml:space="preserve"> </w:t>
      </w:r>
    </w:p>
    <w:p w14:paraId="4AFBF2AA" w14:textId="77777777" w:rsidR="00992757" w:rsidRPr="00992757" w:rsidRDefault="00992757" w:rsidP="00992757">
      <w:pPr>
        <w:pStyle w:val="ListParagraph"/>
        <w:spacing w:after="0" w:line="360" w:lineRule="auto"/>
        <w:ind w:left="340"/>
        <w:jc w:val="both"/>
        <w:rPr>
          <w:rFonts w:ascii="Arial" w:hAnsi="Arial" w:cs="Arial"/>
          <w:i/>
          <w:sz w:val="24"/>
          <w:szCs w:val="24"/>
        </w:rPr>
      </w:pPr>
    </w:p>
    <w:p w14:paraId="3E994996" w14:textId="27BEAB82" w:rsidR="00A0574E" w:rsidRPr="001424F6" w:rsidRDefault="001424F6" w:rsidP="001424F6">
      <w:pPr>
        <w:spacing w:after="0" w:line="360" w:lineRule="auto"/>
        <w:ind w:left="340"/>
        <w:jc w:val="both"/>
        <w:rPr>
          <w:rFonts w:ascii="Arial" w:hAnsi="Arial" w:cs="Arial"/>
          <w:sz w:val="24"/>
          <w:szCs w:val="24"/>
        </w:rPr>
      </w:pPr>
      <w:r w:rsidRPr="00665A39">
        <w:rPr>
          <w:rFonts w:ascii="Arial" w:hAnsi="Arial" w:cs="Arial"/>
          <w:sz w:val="24"/>
          <w:szCs w:val="24"/>
        </w:rPr>
        <w:t>iii)</w:t>
      </w:r>
      <w:r w:rsidRPr="00665A39">
        <w:rPr>
          <w:rFonts w:ascii="Arial" w:hAnsi="Arial" w:cs="Arial"/>
          <w:sz w:val="24"/>
          <w:szCs w:val="24"/>
        </w:rPr>
        <w:tab/>
      </w:r>
      <w:r w:rsidR="00A0574E" w:rsidRPr="001424F6">
        <w:rPr>
          <w:rFonts w:ascii="Arial" w:hAnsi="Arial" w:cs="Arial"/>
          <w:i/>
          <w:sz w:val="24"/>
          <w:szCs w:val="24"/>
        </w:rPr>
        <w:t>Failure to comply with rule 110(8) as the auction was not held in public</w:t>
      </w:r>
      <w:r w:rsidR="00A0574E" w:rsidRPr="001424F6">
        <w:rPr>
          <w:rFonts w:ascii="Arial" w:hAnsi="Arial" w:cs="Arial"/>
          <w:sz w:val="24"/>
          <w:szCs w:val="24"/>
        </w:rPr>
        <w:t>: Mr Von Lüttichou submits that in terms of rule 110(8)</w:t>
      </w:r>
      <w:r w:rsidR="00A469BB" w:rsidRPr="001424F6">
        <w:rPr>
          <w:rFonts w:ascii="Arial" w:hAnsi="Arial" w:cs="Arial"/>
          <w:sz w:val="24"/>
          <w:szCs w:val="24"/>
        </w:rPr>
        <w:t>,</w:t>
      </w:r>
      <w:r w:rsidR="00A0574E" w:rsidRPr="001424F6">
        <w:rPr>
          <w:rFonts w:ascii="Arial" w:hAnsi="Arial" w:cs="Arial"/>
          <w:sz w:val="24"/>
          <w:szCs w:val="24"/>
        </w:rPr>
        <w:t xml:space="preserve"> the </w:t>
      </w:r>
      <w:r w:rsidR="0076023A" w:rsidRPr="001424F6">
        <w:rPr>
          <w:rFonts w:ascii="Arial" w:hAnsi="Arial" w:cs="Arial"/>
          <w:sz w:val="24"/>
          <w:szCs w:val="24"/>
        </w:rPr>
        <w:t xml:space="preserve">deputy-sheriff </w:t>
      </w:r>
      <w:r w:rsidR="00A0574E" w:rsidRPr="001424F6">
        <w:rPr>
          <w:rFonts w:ascii="Arial" w:hAnsi="Arial" w:cs="Arial"/>
          <w:sz w:val="24"/>
          <w:szCs w:val="24"/>
        </w:rPr>
        <w:t xml:space="preserve">must sell any immovable property that has been under attachment by public auction. According to </w:t>
      </w:r>
      <w:r w:rsidR="00F90906" w:rsidRPr="001424F6">
        <w:rPr>
          <w:rFonts w:ascii="Arial" w:hAnsi="Arial" w:cs="Arial"/>
          <w:sz w:val="24"/>
          <w:szCs w:val="24"/>
        </w:rPr>
        <w:t>him</w:t>
      </w:r>
      <w:r w:rsidR="00B534E5" w:rsidRPr="001424F6">
        <w:rPr>
          <w:rFonts w:ascii="Arial" w:hAnsi="Arial" w:cs="Arial"/>
          <w:sz w:val="24"/>
          <w:szCs w:val="24"/>
        </w:rPr>
        <w:t>,</w:t>
      </w:r>
      <w:r w:rsidR="00A0574E" w:rsidRPr="001424F6">
        <w:rPr>
          <w:rFonts w:ascii="Arial" w:hAnsi="Arial" w:cs="Arial"/>
          <w:sz w:val="24"/>
          <w:szCs w:val="24"/>
        </w:rPr>
        <w:t xml:space="preserve"> the auction was </w:t>
      </w:r>
      <w:r w:rsidR="00665A39" w:rsidRPr="001424F6">
        <w:rPr>
          <w:rFonts w:ascii="Arial" w:hAnsi="Arial" w:cs="Arial"/>
          <w:sz w:val="24"/>
          <w:szCs w:val="24"/>
        </w:rPr>
        <w:t>held on both occasions in the</w:t>
      </w:r>
      <w:r w:rsidR="00D92514" w:rsidRPr="001424F6">
        <w:rPr>
          <w:rFonts w:ascii="Arial" w:hAnsi="Arial" w:cs="Arial"/>
          <w:sz w:val="24"/>
          <w:szCs w:val="24"/>
        </w:rPr>
        <w:t xml:space="preserve"> kitchen/dining area of the </w:t>
      </w:r>
      <w:r w:rsidR="00665A39" w:rsidRPr="001424F6">
        <w:rPr>
          <w:rFonts w:ascii="Arial" w:hAnsi="Arial" w:cs="Arial"/>
          <w:sz w:val="24"/>
          <w:szCs w:val="24"/>
        </w:rPr>
        <w:t>house</w:t>
      </w:r>
      <w:r w:rsidR="00A0574E" w:rsidRPr="001424F6">
        <w:rPr>
          <w:rFonts w:ascii="Arial" w:hAnsi="Arial" w:cs="Arial"/>
          <w:sz w:val="24"/>
          <w:szCs w:val="24"/>
        </w:rPr>
        <w:t xml:space="preserve">. </w:t>
      </w:r>
      <w:r w:rsidR="00B534E5" w:rsidRPr="001424F6">
        <w:rPr>
          <w:rFonts w:ascii="Arial" w:hAnsi="Arial" w:cs="Arial"/>
          <w:sz w:val="24"/>
          <w:szCs w:val="24"/>
        </w:rPr>
        <w:t>In addition to the fact that the auction was not held in public</w:t>
      </w:r>
      <w:r w:rsidR="00665A39" w:rsidRPr="001424F6">
        <w:rPr>
          <w:rFonts w:ascii="Arial" w:hAnsi="Arial" w:cs="Arial"/>
          <w:sz w:val="24"/>
          <w:szCs w:val="24"/>
        </w:rPr>
        <w:t>,</w:t>
      </w:r>
      <w:r w:rsidR="00B534E5" w:rsidRPr="001424F6">
        <w:rPr>
          <w:rFonts w:ascii="Arial" w:hAnsi="Arial" w:cs="Arial"/>
          <w:sz w:val="24"/>
          <w:szCs w:val="24"/>
        </w:rPr>
        <w:t xml:space="preserve"> the successful bidder in respect of the 12 July 2022 auction</w:t>
      </w:r>
      <w:r w:rsidR="00665A39" w:rsidRPr="001424F6">
        <w:rPr>
          <w:rFonts w:ascii="Arial" w:hAnsi="Arial" w:cs="Arial"/>
          <w:sz w:val="24"/>
          <w:szCs w:val="24"/>
        </w:rPr>
        <w:t>,</w:t>
      </w:r>
      <w:r w:rsidR="00B534E5" w:rsidRPr="001424F6">
        <w:rPr>
          <w:rFonts w:ascii="Arial" w:hAnsi="Arial" w:cs="Arial"/>
          <w:sz w:val="24"/>
          <w:szCs w:val="24"/>
        </w:rPr>
        <w:t xml:space="preserve"> was </w:t>
      </w:r>
      <w:r w:rsidR="00F90906" w:rsidRPr="001424F6">
        <w:rPr>
          <w:rFonts w:ascii="Arial" w:hAnsi="Arial" w:cs="Arial"/>
          <w:sz w:val="24"/>
          <w:szCs w:val="24"/>
        </w:rPr>
        <w:t xml:space="preserve">via </w:t>
      </w:r>
      <w:r w:rsidR="00B534E5" w:rsidRPr="001424F6">
        <w:rPr>
          <w:rFonts w:ascii="Arial" w:hAnsi="Arial" w:cs="Arial"/>
          <w:sz w:val="24"/>
          <w:szCs w:val="24"/>
        </w:rPr>
        <w:t xml:space="preserve">a telephone bid. Mr Von Lüttichou contends that it is irregular for the </w:t>
      </w:r>
      <w:r w:rsidR="0076023A" w:rsidRPr="001424F6">
        <w:rPr>
          <w:rFonts w:ascii="Arial" w:hAnsi="Arial" w:cs="Arial"/>
          <w:sz w:val="24"/>
          <w:szCs w:val="24"/>
        </w:rPr>
        <w:t>deputy-sheriff</w:t>
      </w:r>
      <w:r w:rsidR="00B534E5" w:rsidRPr="001424F6">
        <w:rPr>
          <w:rFonts w:ascii="Arial" w:hAnsi="Arial" w:cs="Arial"/>
          <w:sz w:val="24"/>
          <w:szCs w:val="24"/>
        </w:rPr>
        <w:t xml:space="preserve"> to receive a bid telephonically</w:t>
      </w:r>
      <w:r w:rsidR="00D65AFA" w:rsidRPr="001424F6">
        <w:rPr>
          <w:rFonts w:ascii="Arial" w:hAnsi="Arial" w:cs="Arial"/>
          <w:sz w:val="24"/>
          <w:szCs w:val="24"/>
        </w:rPr>
        <w:t>,</w:t>
      </w:r>
      <w:r w:rsidR="00665A39" w:rsidRPr="001424F6">
        <w:rPr>
          <w:rFonts w:ascii="Arial" w:hAnsi="Arial" w:cs="Arial"/>
          <w:sz w:val="24"/>
          <w:szCs w:val="24"/>
        </w:rPr>
        <w:t xml:space="preserve"> which</w:t>
      </w:r>
      <w:r w:rsidR="00B534E5" w:rsidRPr="001424F6">
        <w:rPr>
          <w:rFonts w:ascii="Arial" w:hAnsi="Arial" w:cs="Arial"/>
          <w:sz w:val="24"/>
          <w:szCs w:val="24"/>
        </w:rPr>
        <w:t xml:space="preserve"> is inconsistent with the requirement of a public auction.</w:t>
      </w:r>
    </w:p>
    <w:p w14:paraId="19A8D390" w14:textId="77777777" w:rsidR="00665A39" w:rsidRPr="00665A39" w:rsidRDefault="00665A39" w:rsidP="00665A39">
      <w:pPr>
        <w:pStyle w:val="ListParagraph"/>
        <w:rPr>
          <w:rFonts w:ascii="Arial" w:hAnsi="Arial" w:cs="Arial"/>
          <w:sz w:val="24"/>
          <w:szCs w:val="24"/>
        </w:rPr>
      </w:pPr>
    </w:p>
    <w:p w14:paraId="7CC90D81" w14:textId="1E7DC8C9" w:rsidR="00462864" w:rsidRPr="001424F6" w:rsidRDefault="001424F6" w:rsidP="001424F6">
      <w:pPr>
        <w:spacing w:after="0" w:line="360" w:lineRule="auto"/>
        <w:ind w:left="34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B534E5" w:rsidRPr="001424F6">
        <w:rPr>
          <w:rFonts w:ascii="Arial" w:hAnsi="Arial" w:cs="Arial"/>
          <w:i/>
          <w:sz w:val="24"/>
          <w:szCs w:val="24"/>
        </w:rPr>
        <w:t>The 24 March 2022 sale was not cancelled</w:t>
      </w:r>
      <w:r w:rsidR="00B534E5" w:rsidRPr="001424F6">
        <w:rPr>
          <w:rFonts w:ascii="Arial" w:hAnsi="Arial" w:cs="Arial"/>
          <w:sz w:val="24"/>
          <w:szCs w:val="24"/>
        </w:rPr>
        <w:t>: Mr Von Lüttichou submits that if a purchaser does not comply with the conditions</w:t>
      </w:r>
      <w:r w:rsidR="00791754" w:rsidRPr="001424F6">
        <w:rPr>
          <w:rFonts w:ascii="Arial" w:hAnsi="Arial" w:cs="Arial"/>
          <w:sz w:val="24"/>
          <w:szCs w:val="24"/>
        </w:rPr>
        <w:t xml:space="preserve"> of sale</w:t>
      </w:r>
      <w:r w:rsidR="00B534E5" w:rsidRPr="001424F6">
        <w:rPr>
          <w:rFonts w:ascii="Arial" w:hAnsi="Arial" w:cs="Arial"/>
          <w:sz w:val="24"/>
          <w:szCs w:val="24"/>
        </w:rPr>
        <w:t xml:space="preserve">, the court may, in terms of rule 110(10), on a report of the </w:t>
      </w:r>
      <w:r w:rsidR="0076023A" w:rsidRPr="001424F6">
        <w:rPr>
          <w:rFonts w:ascii="Arial" w:hAnsi="Arial" w:cs="Arial"/>
          <w:sz w:val="24"/>
          <w:szCs w:val="24"/>
        </w:rPr>
        <w:t>deputy-sheriff</w:t>
      </w:r>
      <w:r w:rsidR="00B534E5" w:rsidRPr="001424F6">
        <w:rPr>
          <w:rFonts w:ascii="Arial" w:hAnsi="Arial" w:cs="Arial"/>
          <w:sz w:val="24"/>
          <w:szCs w:val="24"/>
        </w:rPr>
        <w:t>, and after due notice to the purchase</w:t>
      </w:r>
      <w:r w:rsidR="00D92514" w:rsidRPr="001424F6">
        <w:rPr>
          <w:rFonts w:ascii="Arial" w:hAnsi="Arial" w:cs="Arial"/>
          <w:sz w:val="24"/>
          <w:szCs w:val="24"/>
        </w:rPr>
        <w:t>r</w:t>
      </w:r>
      <w:r w:rsidR="00B534E5" w:rsidRPr="001424F6">
        <w:rPr>
          <w:rFonts w:ascii="Arial" w:hAnsi="Arial" w:cs="Arial"/>
          <w:sz w:val="24"/>
          <w:szCs w:val="24"/>
        </w:rPr>
        <w:t xml:space="preserve">, summarily cancel the sale and the property may again be up for sale. In the current instance, he was informed by the </w:t>
      </w:r>
      <w:r w:rsidR="0076023A" w:rsidRPr="001424F6">
        <w:rPr>
          <w:rFonts w:ascii="Arial" w:hAnsi="Arial" w:cs="Arial"/>
          <w:sz w:val="24"/>
          <w:szCs w:val="24"/>
        </w:rPr>
        <w:t xml:space="preserve">deputy-sheriff </w:t>
      </w:r>
      <w:r w:rsidR="00B534E5" w:rsidRPr="001424F6">
        <w:rPr>
          <w:rFonts w:ascii="Arial" w:hAnsi="Arial" w:cs="Arial"/>
          <w:sz w:val="24"/>
          <w:szCs w:val="24"/>
        </w:rPr>
        <w:t xml:space="preserve">that the immovable property was sold on 24 March 2022 and that the purchaser </w:t>
      </w:r>
      <w:r w:rsidR="009E2128" w:rsidRPr="001424F6">
        <w:rPr>
          <w:rFonts w:ascii="Arial" w:hAnsi="Arial" w:cs="Arial"/>
          <w:sz w:val="24"/>
          <w:szCs w:val="24"/>
        </w:rPr>
        <w:t>paid the 10 per cent deposit. Despite a request for proof of payment of the deposit, nothing was forthcoming. According to Mr Von Lüttichou</w:t>
      </w:r>
      <w:r w:rsidR="00665A39" w:rsidRPr="001424F6">
        <w:rPr>
          <w:rFonts w:ascii="Arial" w:hAnsi="Arial" w:cs="Arial"/>
          <w:sz w:val="24"/>
          <w:szCs w:val="24"/>
        </w:rPr>
        <w:t>,</w:t>
      </w:r>
      <w:r w:rsidR="009E2128" w:rsidRPr="001424F6">
        <w:rPr>
          <w:rFonts w:ascii="Arial" w:hAnsi="Arial" w:cs="Arial"/>
          <w:sz w:val="24"/>
          <w:szCs w:val="24"/>
        </w:rPr>
        <w:t xml:space="preserve"> the </w:t>
      </w:r>
      <w:r w:rsidR="0076023A" w:rsidRPr="001424F6">
        <w:rPr>
          <w:rFonts w:ascii="Arial" w:hAnsi="Arial" w:cs="Arial"/>
          <w:sz w:val="24"/>
          <w:szCs w:val="24"/>
        </w:rPr>
        <w:t xml:space="preserve">deputy-sheriff </w:t>
      </w:r>
      <w:r w:rsidR="009E2128" w:rsidRPr="001424F6">
        <w:rPr>
          <w:rFonts w:ascii="Arial" w:hAnsi="Arial" w:cs="Arial"/>
          <w:sz w:val="24"/>
          <w:szCs w:val="24"/>
        </w:rPr>
        <w:t xml:space="preserve">also informed him that the guarantee was sent to Standard Bank’s legal representative, but the transfer of the immovable property did not happen. Instead, the property was again put up for sale, without the 24 March 2022 sale being cancelled by the court. </w:t>
      </w:r>
    </w:p>
    <w:p w14:paraId="48181808" w14:textId="77777777" w:rsidR="005F5F25" w:rsidRDefault="005F5F25" w:rsidP="005F5F25">
      <w:pPr>
        <w:pStyle w:val="ListParagraph"/>
        <w:spacing w:after="0" w:line="360" w:lineRule="auto"/>
        <w:ind w:left="340"/>
        <w:jc w:val="both"/>
        <w:rPr>
          <w:rFonts w:ascii="Arial" w:hAnsi="Arial" w:cs="Arial"/>
          <w:sz w:val="24"/>
          <w:szCs w:val="24"/>
        </w:rPr>
      </w:pPr>
    </w:p>
    <w:p w14:paraId="5F5EC2A5" w14:textId="0B90D4BF" w:rsidR="009E2128" w:rsidRPr="001424F6" w:rsidRDefault="001424F6" w:rsidP="001424F6">
      <w:pPr>
        <w:spacing w:after="0" w:line="360" w:lineRule="auto"/>
        <w:ind w:left="340"/>
        <w:jc w:val="both"/>
        <w:rPr>
          <w:rFonts w:ascii="Arial" w:hAnsi="Arial" w:cs="Arial"/>
          <w:sz w:val="24"/>
          <w:szCs w:val="24"/>
        </w:rPr>
      </w:pPr>
      <w:r>
        <w:rPr>
          <w:rFonts w:ascii="Arial" w:hAnsi="Arial" w:cs="Arial"/>
          <w:sz w:val="24"/>
          <w:szCs w:val="24"/>
        </w:rPr>
        <w:t>v)</w:t>
      </w:r>
      <w:r>
        <w:rPr>
          <w:rFonts w:ascii="Arial" w:hAnsi="Arial" w:cs="Arial"/>
          <w:sz w:val="24"/>
          <w:szCs w:val="24"/>
        </w:rPr>
        <w:tab/>
      </w:r>
      <w:r w:rsidR="009E2128" w:rsidRPr="001424F6">
        <w:rPr>
          <w:rFonts w:ascii="Arial" w:hAnsi="Arial" w:cs="Arial"/>
          <w:i/>
          <w:sz w:val="24"/>
          <w:szCs w:val="24"/>
        </w:rPr>
        <w:t>Failure to comply with rule 110(3)</w:t>
      </w:r>
      <w:r w:rsidR="009E2128" w:rsidRPr="001424F6">
        <w:rPr>
          <w:rFonts w:ascii="Arial" w:hAnsi="Arial" w:cs="Arial"/>
          <w:sz w:val="24"/>
          <w:szCs w:val="24"/>
        </w:rPr>
        <w:t>:</w:t>
      </w:r>
      <w:r w:rsidR="0013795C" w:rsidRPr="001424F6">
        <w:rPr>
          <w:rFonts w:ascii="Arial" w:hAnsi="Arial" w:cs="Arial"/>
          <w:sz w:val="24"/>
          <w:szCs w:val="24"/>
        </w:rPr>
        <w:t xml:space="preserve"> </w:t>
      </w:r>
      <w:r w:rsidR="009E2128" w:rsidRPr="001424F6">
        <w:rPr>
          <w:rFonts w:ascii="Arial" w:hAnsi="Arial" w:cs="Arial"/>
          <w:sz w:val="24"/>
          <w:szCs w:val="24"/>
        </w:rPr>
        <w:t>Mr Von Lüttichou contends that the two auctions were not published in a newspaper circulating in the district in which the property is located.</w:t>
      </w:r>
      <w:r w:rsidR="0013795C" w:rsidRPr="001424F6">
        <w:rPr>
          <w:rFonts w:ascii="Arial" w:hAnsi="Arial" w:cs="Arial"/>
          <w:sz w:val="24"/>
          <w:szCs w:val="24"/>
        </w:rPr>
        <w:t xml:space="preserve"> According to Mr Von Lüttichou</w:t>
      </w:r>
      <w:r w:rsidR="00EA1144" w:rsidRPr="001424F6">
        <w:rPr>
          <w:rFonts w:ascii="Arial" w:hAnsi="Arial" w:cs="Arial"/>
          <w:sz w:val="24"/>
          <w:szCs w:val="24"/>
        </w:rPr>
        <w:t>,</w:t>
      </w:r>
      <w:r w:rsidR="0013795C" w:rsidRPr="001424F6">
        <w:rPr>
          <w:rFonts w:ascii="Arial" w:hAnsi="Arial" w:cs="Arial"/>
          <w:sz w:val="24"/>
          <w:szCs w:val="24"/>
        </w:rPr>
        <w:t xml:space="preserve"> he requested proof of the publication of the sale in execution but received nothing. </w:t>
      </w:r>
      <w:r w:rsidR="00EA1144" w:rsidRPr="001424F6">
        <w:rPr>
          <w:rFonts w:ascii="Arial" w:hAnsi="Arial" w:cs="Arial"/>
          <w:sz w:val="24"/>
          <w:szCs w:val="24"/>
        </w:rPr>
        <w:t>Due to the</w:t>
      </w:r>
      <w:r w:rsidR="0013795C" w:rsidRPr="001424F6">
        <w:rPr>
          <w:rFonts w:ascii="Arial" w:hAnsi="Arial" w:cs="Arial"/>
          <w:sz w:val="24"/>
          <w:szCs w:val="24"/>
        </w:rPr>
        <w:t xml:space="preserve"> </w:t>
      </w:r>
      <w:r w:rsidR="00F90906" w:rsidRPr="001424F6">
        <w:rPr>
          <w:rFonts w:ascii="Arial" w:hAnsi="Arial" w:cs="Arial"/>
          <w:sz w:val="24"/>
          <w:szCs w:val="24"/>
        </w:rPr>
        <w:t>respondents</w:t>
      </w:r>
      <w:r w:rsidR="00992757" w:rsidRPr="001424F6">
        <w:rPr>
          <w:rFonts w:ascii="Arial" w:hAnsi="Arial" w:cs="Arial"/>
          <w:sz w:val="24"/>
          <w:szCs w:val="24"/>
        </w:rPr>
        <w:t>’</w:t>
      </w:r>
      <w:r w:rsidR="00F90906" w:rsidRPr="001424F6">
        <w:rPr>
          <w:rFonts w:ascii="Arial" w:hAnsi="Arial" w:cs="Arial"/>
          <w:sz w:val="24"/>
          <w:szCs w:val="24"/>
        </w:rPr>
        <w:t xml:space="preserve"> </w:t>
      </w:r>
      <w:r w:rsidR="0013795C" w:rsidRPr="001424F6">
        <w:rPr>
          <w:rFonts w:ascii="Arial" w:hAnsi="Arial" w:cs="Arial"/>
          <w:sz w:val="24"/>
          <w:szCs w:val="24"/>
        </w:rPr>
        <w:t>non-compliance with rule 110(3)</w:t>
      </w:r>
      <w:r w:rsidR="00EA1144" w:rsidRPr="001424F6">
        <w:rPr>
          <w:rFonts w:ascii="Arial" w:hAnsi="Arial" w:cs="Arial"/>
          <w:sz w:val="24"/>
          <w:szCs w:val="24"/>
        </w:rPr>
        <w:t>,</w:t>
      </w:r>
      <w:r w:rsidR="0013795C" w:rsidRPr="001424F6">
        <w:rPr>
          <w:rFonts w:ascii="Arial" w:hAnsi="Arial" w:cs="Arial"/>
          <w:sz w:val="24"/>
          <w:szCs w:val="24"/>
        </w:rPr>
        <w:t xml:space="preserve"> </w:t>
      </w:r>
      <w:r w:rsidR="00EA1144" w:rsidRPr="001424F6">
        <w:rPr>
          <w:rFonts w:ascii="Arial" w:hAnsi="Arial" w:cs="Arial"/>
          <w:sz w:val="24"/>
          <w:szCs w:val="24"/>
        </w:rPr>
        <w:t xml:space="preserve">it resulted in prejudice to the applicants, because publication </w:t>
      </w:r>
      <w:r w:rsidR="00D92514" w:rsidRPr="001424F6">
        <w:rPr>
          <w:rFonts w:ascii="Arial" w:hAnsi="Arial" w:cs="Arial"/>
          <w:sz w:val="24"/>
          <w:szCs w:val="24"/>
        </w:rPr>
        <w:t xml:space="preserve">of the sale </w:t>
      </w:r>
      <w:r w:rsidR="00EA1144" w:rsidRPr="001424F6">
        <w:rPr>
          <w:rFonts w:ascii="Arial" w:hAnsi="Arial" w:cs="Arial"/>
          <w:sz w:val="24"/>
          <w:szCs w:val="24"/>
        </w:rPr>
        <w:t>would result in more people attending the a</w:t>
      </w:r>
      <w:r w:rsidR="00D92514" w:rsidRPr="001424F6">
        <w:rPr>
          <w:rFonts w:ascii="Arial" w:hAnsi="Arial" w:cs="Arial"/>
          <w:sz w:val="24"/>
          <w:szCs w:val="24"/>
        </w:rPr>
        <w:t>u</w:t>
      </w:r>
      <w:r w:rsidR="00EA1144" w:rsidRPr="001424F6">
        <w:rPr>
          <w:rFonts w:ascii="Arial" w:hAnsi="Arial" w:cs="Arial"/>
          <w:sz w:val="24"/>
          <w:szCs w:val="24"/>
        </w:rPr>
        <w:t xml:space="preserve">ction and more people who would bid and thereby, likely, secure a higher purchase price. </w:t>
      </w:r>
    </w:p>
    <w:p w14:paraId="515E28AE" w14:textId="77777777" w:rsidR="005F5F25" w:rsidRPr="005F5F25" w:rsidRDefault="005F5F25" w:rsidP="005F5F25">
      <w:pPr>
        <w:pStyle w:val="ListParagraph"/>
        <w:rPr>
          <w:rFonts w:ascii="Arial" w:hAnsi="Arial" w:cs="Arial"/>
          <w:sz w:val="24"/>
          <w:szCs w:val="24"/>
        </w:rPr>
      </w:pPr>
    </w:p>
    <w:p w14:paraId="244B74E7" w14:textId="3B7BF878" w:rsidR="00DE3F5A" w:rsidRPr="001424F6" w:rsidRDefault="001424F6" w:rsidP="001424F6">
      <w:pPr>
        <w:spacing w:after="0" w:line="360" w:lineRule="auto"/>
        <w:ind w:left="34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EA1144" w:rsidRPr="001424F6">
        <w:rPr>
          <w:rFonts w:ascii="Arial" w:hAnsi="Arial" w:cs="Arial"/>
          <w:i/>
          <w:sz w:val="24"/>
          <w:szCs w:val="24"/>
        </w:rPr>
        <w:t xml:space="preserve">Irregularities by the </w:t>
      </w:r>
      <w:r w:rsidR="0076023A" w:rsidRPr="001424F6">
        <w:rPr>
          <w:rFonts w:ascii="Arial" w:hAnsi="Arial" w:cs="Arial"/>
          <w:i/>
          <w:sz w:val="24"/>
          <w:szCs w:val="24"/>
        </w:rPr>
        <w:t>deputy-sheriff</w:t>
      </w:r>
      <w:r w:rsidR="00EA1144" w:rsidRPr="001424F6">
        <w:rPr>
          <w:rFonts w:ascii="Arial" w:hAnsi="Arial" w:cs="Arial"/>
          <w:sz w:val="24"/>
          <w:szCs w:val="24"/>
        </w:rPr>
        <w:t xml:space="preserve">: Mr Von Lüttichou submits that the </w:t>
      </w:r>
      <w:r w:rsidR="0076023A" w:rsidRPr="001424F6">
        <w:rPr>
          <w:rFonts w:ascii="Arial" w:hAnsi="Arial" w:cs="Arial"/>
          <w:sz w:val="24"/>
          <w:szCs w:val="24"/>
        </w:rPr>
        <w:t>deputy-sheriff</w:t>
      </w:r>
      <w:r w:rsidR="00EA1144" w:rsidRPr="001424F6">
        <w:rPr>
          <w:rFonts w:ascii="Arial" w:hAnsi="Arial" w:cs="Arial"/>
          <w:sz w:val="24"/>
          <w:szCs w:val="24"/>
        </w:rPr>
        <w:t xml:space="preserve"> committed an irregularity by creating a </w:t>
      </w:r>
      <w:r w:rsidR="00A95993" w:rsidRPr="001424F6">
        <w:rPr>
          <w:rFonts w:ascii="Arial" w:hAnsi="Arial" w:cs="Arial"/>
          <w:sz w:val="24"/>
          <w:szCs w:val="24"/>
        </w:rPr>
        <w:t>WhatsApp group</w:t>
      </w:r>
      <w:r w:rsidR="00EA1144" w:rsidRPr="001424F6">
        <w:rPr>
          <w:rFonts w:ascii="Arial" w:hAnsi="Arial" w:cs="Arial"/>
          <w:sz w:val="24"/>
          <w:szCs w:val="24"/>
        </w:rPr>
        <w:t xml:space="preserve"> and inviting </w:t>
      </w:r>
      <w:r w:rsidR="00F90906" w:rsidRPr="001424F6">
        <w:rPr>
          <w:rFonts w:ascii="Arial" w:hAnsi="Arial" w:cs="Arial"/>
          <w:sz w:val="24"/>
          <w:szCs w:val="24"/>
        </w:rPr>
        <w:t xml:space="preserve">the participants on the group </w:t>
      </w:r>
      <w:r w:rsidR="00EA1144" w:rsidRPr="001424F6">
        <w:rPr>
          <w:rFonts w:ascii="Arial" w:hAnsi="Arial" w:cs="Arial"/>
          <w:sz w:val="24"/>
          <w:szCs w:val="24"/>
        </w:rPr>
        <w:t>to the sale.</w:t>
      </w:r>
      <w:r w:rsidR="00A95993" w:rsidRPr="001424F6">
        <w:rPr>
          <w:rFonts w:ascii="Arial" w:hAnsi="Arial" w:cs="Arial"/>
          <w:sz w:val="24"/>
          <w:szCs w:val="24"/>
        </w:rPr>
        <w:t xml:space="preserve"> According to Mr Von Lüttichou, the process followed by the </w:t>
      </w:r>
      <w:r w:rsidR="0076023A" w:rsidRPr="001424F6">
        <w:rPr>
          <w:rFonts w:ascii="Arial" w:hAnsi="Arial" w:cs="Arial"/>
          <w:sz w:val="24"/>
          <w:szCs w:val="24"/>
        </w:rPr>
        <w:t>deputy-sheriff</w:t>
      </w:r>
      <w:r w:rsidR="00A95993" w:rsidRPr="001424F6">
        <w:rPr>
          <w:rFonts w:ascii="Arial" w:hAnsi="Arial" w:cs="Arial"/>
          <w:sz w:val="24"/>
          <w:szCs w:val="24"/>
        </w:rPr>
        <w:t xml:space="preserve"> destroys the integrity of the execution process and renders the sale in execution irregular.</w:t>
      </w:r>
    </w:p>
    <w:p w14:paraId="7DD085A6" w14:textId="77777777" w:rsidR="005F5F25" w:rsidRPr="005F5F25" w:rsidRDefault="005F5F25" w:rsidP="005F5F25">
      <w:pPr>
        <w:pStyle w:val="ListParagraph"/>
        <w:rPr>
          <w:rFonts w:ascii="Arial" w:hAnsi="Arial" w:cs="Arial"/>
          <w:sz w:val="24"/>
          <w:szCs w:val="24"/>
        </w:rPr>
      </w:pPr>
    </w:p>
    <w:p w14:paraId="43A4394D" w14:textId="3F497949" w:rsidR="000A4E12" w:rsidRPr="001424F6" w:rsidRDefault="001424F6" w:rsidP="001424F6">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A4E12" w:rsidRPr="001424F6">
        <w:rPr>
          <w:rFonts w:ascii="Arial" w:hAnsi="Arial" w:cs="Arial"/>
          <w:sz w:val="24"/>
          <w:szCs w:val="24"/>
        </w:rPr>
        <w:t>Pursuant to the filing of the founding affidavit</w:t>
      </w:r>
      <w:r w:rsidR="00297CFF" w:rsidRPr="001424F6">
        <w:rPr>
          <w:rFonts w:ascii="Arial" w:hAnsi="Arial" w:cs="Arial"/>
          <w:sz w:val="24"/>
          <w:szCs w:val="24"/>
        </w:rPr>
        <w:t>,</w:t>
      </w:r>
      <w:r w:rsidR="000A4E12" w:rsidRPr="001424F6">
        <w:rPr>
          <w:rFonts w:ascii="Arial" w:hAnsi="Arial" w:cs="Arial"/>
          <w:sz w:val="24"/>
          <w:szCs w:val="24"/>
        </w:rPr>
        <w:t xml:space="preserve"> Mr Von Lüttichou</w:t>
      </w:r>
      <w:r w:rsidR="0076023A" w:rsidRPr="001424F6">
        <w:rPr>
          <w:rFonts w:ascii="Arial" w:hAnsi="Arial" w:cs="Arial"/>
          <w:sz w:val="24"/>
          <w:szCs w:val="24"/>
        </w:rPr>
        <w:t xml:space="preserve"> also filed a supplementary affidavit</w:t>
      </w:r>
      <w:r w:rsidR="00297CFF" w:rsidRPr="001424F6">
        <w:rPr>
          <w:rFonts w:ascii="Arial" w:hAnsi="Arial" w:cs="Arial"/>
          <w:sz w:val="24"/>
          <w:szCs w:val="24"/>
        </w:rPr>
        <w:t>,</w:t>
      </w:r>
      <w:r w:rsidR="0076023A" w:rsidRPr="001424F6">
        <w:rPr>
          <w:rFonts w:ascii="Arial" w:hAnsi="Arial" w:cs="Arial"/>
          <w:sz w:val="24"/>
          <w:szCs w:val="24"/>
        </w:rPr>
        <w:t xml:space="preserve"> which to a large extent is a </w:t>
      </w:r>
      <w:r w:rsidR="00F90906" w:rsidRPr="001424F6">
        <w:rPr>
          <w:rFonts w:ascii="Arial" w:hAnsi="Arial" w:cs="Arial"/>
          <w:sz w:val="24"/>
          <w:szCs w:val="24"/>
        </w:rPr>
        <w:t xml:space="preserve">repetition </w:t>
      </w:r>
      <w:r w:rsidR="0076023A" w:rsidRPr="001424F6">
        <w:rPr>
          <w:rFonts w:ascii="Arial" w:hAnsi="Arial" w:cs="Arial"/>
          <w:sz w:val="24"/>
          <w:szCs w:val="24"/>
        </w:rPr>
        <w:t xml:space="preserve">of what was mentioned in the founding affidavit </w:t>
      </w:r>
      <w:r w:rsidR="000D1EC7" w:rsidRPr="001424F6">
        <w:rPr>
          <w:rFonts w:ascii="Arial" w:hAnsi="Arial" w:cs="Arial"/>
          <w:sz w:val="24"/>
          <w:szCs w:val="24"/>
        </w:rPr>
        <w:t xml:space="preserve">but also raised further issues that did not form part of the grounds of review. </w:t>
      </w:r>
    </w:p>
    <w:p w14:paraId="0E370C87" w14:textId="77777777" w:rsidR="008B59F1" w:rsidRDefault="008B59F1" w:rsidP="008B59F1">
      <w:pPr>
        <w:pStyle w:val="ListParagraph"/>
        <w:spacing w:after="0" w:line="360" w:lineRule="auto"/>
        <w:ind w:left="0"/>
        <w:jc w:val="both"/>
        <w:rPr>
          <w:rFonts w:ascii="Arial" w:hAnsi="Arial" w:cs="Arial"/>
          <w:sz w:val="24"/>
          <w:szCs w:val="24"/>
        </w:rPr>
      </w:pPr>
    </w:p>
    <w:p w14:paraId="70E84A71" w14:textId="09705BB3" w:rsidR="000D1EC7" w:rsidRPr="001424F6" w:rsidRDefault="001424F6" w:rsidP="001424F6">
      <w:pPr>
        <w:spacing w:after="0" w:line="360" w:lineRule="auto"/>
        <w:jc w:val="both"/>
        <w:rPr>
          <w:rFonts w:ascii="Arial" w:hAnsi="Arial" w:cs="Arial"/>
          <w:sz w:val="24"/>
          <w:szCs w:val="24"/>
        </w:rPr>
      </w:pPr>
      <w:r w:rsidRPr="000A4E12">
        <w:rPr>
          <w:rFonts w:ascii="Arial" w:hAnsi="Arial" w:cs="Arial"/>
          <w:sz w:val="24"/>
          <w:szCs w:val="24"/>
        </w:rPr>
        <w:t>[19]</w:t>
      </w:r>
      <w:r w:rsidRPr="000A4E12">
        <w:rPr>
          <w:rFonts w:ascii="Arial" w:hAnsi="Arial" w:cs="Arial"/>
          <w:sz w:val="24"/>
          <w:szCs w:val="24"/>
        </w:rPr>
        <w:tab/>
      </w:r>
      <w:r w:rsidR="000D1EC7" w:rsidRPr="001424F6">
        <w:rPr>
          <w:rFonts w:ascii="Arial" w:hAnsi="Arial" w:cs="Arial"/>
          <w:sz w:val="24"/>
          <w:szCs w:val="24"/>
        </w:rPr>
        <w:t>These issues raised included the alleged tampering with documents in the deeds office, the late payment of transfer duties, the alleged invalidity of the power of attorney to pass transfer signed by the deputy-sheriff, alleged failure to comply with s 76 of the Local Authorities Act 23 of 1992</w:t>
      </w:r>
      <w:r w:rsidR="00F90906" w:rsidRPr="001424F6">
        <w:rPr>
          <w:rFonts w:ascii="Arial" w:hAnsi="Arial" w:cs="Arial"/>
          <w:sz w:val="24"/>
          <w:szCs w:val="24"/>
        </w:rPr>
        <w:t>,</w:t>
      </w:r>
      <w:r w:rsidR="000D1EC7" w:rsidRPr="001424F6">
        <w:rPr>
          <w:rFonts w:ascii="Arial" w:hAnsi="Arial" w:cs="Arial"/>
          <w:sz w:val="24"/>
          <w:szCs w:val="24"/>
        </w:rPr>
        <w:t xml:space="preserve"> the alleged irregularity in </w:t>
      </w:r>
      <w:r w:rsidR="008B59F1" w:rsidRPr="001424F6">
        <w:rPr>
          <w:rFonts w:ascii="Arial" w:hAnsi="Arial" w:cs="Arial"/>
          <w:sz w:val="24"/>
          <w:szCs w:val="24"/>
        </w:rPr>
        <w:t xml:space="preserve">the </w:t>
      </w:r>
      <w:r w:rsidR="000D1EC7" w:rsidRPr="001424F6">
        <w:rPr>
          <w:rFonts w:ascii="Arial" w:hAnsi="Arial" w:cs="Arial"/>
          <w:sz w:val="24"/>
          <w:szCs w:val="24"/>
        </w:rPr>
        <w:t xml:space="preserve">request </w:t>
      </w:r>
      <w:r w:rsidR="008B59F1" w:rsidRPr="001424F6">
        <w:rPr>
          <w:rFonts w:ascii="Arial" w:hAnsi="Arial" w:cs="Arial"/>
          <w:sz w:val="24"/>
          <w:szCs w:val="24"/>
        </w:rPr>
        <w:t xml:space="preserve">for expedition and the alleged failure of the purchaser timeously </w:t>
      </w:r>
      <w:r w:rsidR="00992757" w:rsidRPr="001424F6">
        <w:rPr>
          <w:rFonts w:ascii="Arial" w:hAnsi="Arial" w:cs="Arial"/>
          <w:sz w:val="24"/>
          <w:szCs w:val="24"/>
        </w:rPr>
        <w:t>c</w:t>
      </w:r>
      <w:r w:rsidR="00F90906" w:rsidRPr="001424F6">
        <w:rPr>
          <w:rFonts w:ascii="Arial" w:hAnsi="Arial" w:cs="Arial"/>
          <w:sz w:val="24"/>
          <w:szCs w:val="24"/>
        </w:rPr>
        <w:t xml:space="preserve">omplying </w:t>
      </w:r>
      <w:r w:rsidR="008B59F1" w:rsidRPr="001424F6">
        <w:rPr>
          <w:rFonts w:ascii="Arial" w:hAnsi="Arial" w:cs="Arial"/>
          <w:sz w:val="24"/>
          <w:szCs w:val="24"/>
        </w:rPr>
        <w:t>with the conditions of sale.</w:t>
      </w:r>
    </w:p>
    <w:p w14:paraId="1A7CC21F" w14:textId="77777777" w:rsidR="005E5F21" w:rsidRDefault="005E5F21" w:rsidP="007C009D">
      <w:pPr>
        <w:pStyle w:val="ListParagraph"/>
        <w:spacing w:after="0" w:line="360" w:lineRule="auto"/>
        <w:ind w:left="340"/>
        <w:jc w:val="both"/>
        <w:rPr>
          <w:rFonts w:ascii="Arial" w:hAnsi="Arial" w:cs="Arial"/>
          <w:sz w:val="24"/>
          <w:szCs w:val="24"/>
        </w:rPr>
      </w:pPr>
    </w:p>
    <w:p w14:paraId="3F2FD67C" w14:textId="77777777" w:rsidR="00EA1144" w:rsidRDefault="00DE3F5A" w:rsidP="00DE3F5A">
      <w:pPr>
        <w:pStyle w:val="Heading1"/>
      </w:pPr>
      <w:r w:rsidRPr="00DE3F5A">
        <w:t>Answering affidavit</w:t>
      </w:r>
      <w:r w:rsidR="00A95993" w:rsidRPr="00DE3F5A">
        <w:t xml:space="preserve"> </w:t>
      </w:r>
    </w:p>
    <w:p w14:paraId="294427DE" w14:textId="77777777" w:rsidR="00DE3F5A" w:rsidRPr="00DE3F5A" w:rsidRDefault="00DE3F5A" w:rsidP="00DE3F5A">
      <w:pPr>
        <w:spacing w:after="0" w:line="360" w:lineRule="auto"/>
        <w:jc w:val="both"/>
        <w:rPr>
          <w:rFonts w:ascii="Arial" w:hAnsi="Arial" w:cs="Arial"/>
          <w:sz w:val="24"/>
          <w:szCs w:val="24"/>
          <w:u w:val="single"/>
        </w:rPr>
      </w:pPr>
    </w:p>
    <w:p w14:paraId="36BA3ACD" w14:textId="7E910EF9" w:rsidR="00462864" w:rsidRPr="001424F6" w:rsidRDefault="001424F6" w:rsidP="001424F6">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33C84" w:rsidRPr="001424F6">
        <w:rPr>
          <w:rFonts w:ascii="Arial" w:hAnsi="Arial" w:cs="Arial"/>
          <w:sz w:val="24"/>
          <w:szCs w:val="24"/>
        </w:rPr>
        <w:t>Mr Colmer, the Manager: Specialised Recoveries of Standard Bank deposed to the answering affidavit on behalf of the second respondent.</w:t>
      </w:r>
    </w:p>
    <w:p w14:paraId="216EAB6F" w14:textId="77777777" w:rsidR="00733C84" w:rsidRDefault="00733C84" w:rsidP="008B59F1">
      <w:pPr>
        <w:pStyle w:val="ListParagraph"/>
        <w:spacing w:after="0" w:line="360" w:lineRule="auto"/>
        <w:ind w:left="0"/>
        <w:jc w:val="both"/>
        <w:rPr>
          <w:rFonts w:ascii="Arial" w:hAnsi="Arial" w:cs="Arial"/>
          <w:sz w:val="24"/>
          <w:szCs w:val="24"/>
        </w:rPr>
      </w:pPr>
    </w:p>
    <w:p w14:paraId="2DB37673" w14:textId="06F39327" w:rsidR="000838AA" w:rsidRPr="001424F6" w:rsidRDefault="001424F6" w:rsidP="001424F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33C84" w:rsidRPr="001424F6">
        <w:rPr>
          <w:rFonts w:ascii="Arial" w:hAnsi="Arial" w:cs="Arial"/>
          <w:sz w:val="24"/>
          <w:szCs w:val="24"/>
        </w:rPr>
        <w:t>As indicated above, Standard Bank raised a point in lim</w:t>
      </w:r>
      <w:r w:rsidR="00672653" w:rsidRPr="001424F6">
        <w:rPr>
          <w:rFonts w:ascii="Arial" w:hAnsi="Arial" w:cs="Arial"/>
          <w:sz w:val="24"/>
          <w:szCs w:val="24"/>
        </w:rPr>
        <w:t>in</w:t>
      </w:r>
      <w:r w:rsidR="00733C84" w:rsidRPr="001424F6">
        <w:rPr>
          <w:rFonts w:ascii="Arial" w:hAnsi="Arial" w:cs="Arial"/>
          <w:sz w:val="24"/>
          <w:szCs w:val="24"/>
        </w:rPr>
        <w:t xml:space="preserve">e which is that the relief sought by the applicant is not competent under rule 76. Rule 76 provides for the review of a decision or proceedings of an inferior court, a tribunal, an administrative body or an administrative official. Mr Colmer contends that the </w:t>
      </w:r>
      <w:r w:rsidR="0076023A" w:rsidRPr="001424F6">
        <w:rPr>
          <w:rFonts w:ascii="Arial" w:hAnsi="Arial" w:cs="Arial"/>
          <w:sz w:val="24"/>
          <w:szCs w:val="24"/>
        </w:rPr>
        <w:t xml:space="preserve">deputy-sheriff </w:t>
      </w:r>
      <w:r w:rsidR="00733C84" w:rsidRPr="001424F6">
        <w:rPr>
          <w:rFonts w:ascii="Arial" w:hAnsi="Arial" w:cs="Arial"/>
          <w:sz w:val="24"/>
          <w:szCs w:val="24"/>
        </w:rPr>
        <w:t xml:space="preserve">is not an administrative official and his actions at a sale in execution is not administrative in nature. He further contends that the </w:t>
      </w:r>
      <w:r w:rsidR="0076023A" w:rsidRPr="001424F6">
        <w:rPr>
          <w:rFonts w:ascii="Arial" w:hAnsi="Arial" w:cs="Arial"/>
          <w:sz w:val="24"/>
          <w:szCs w:val="24"/>
        </w:rPr>
        <w:t xml:space="preserve">deputy-sheriff </w:t>
      </w:r>
      <w:r w:rsidR="00733C84" w:rsidRPr="001424F6">
        <w:rPr>
          <w:rFonts w:ascii="Arial" w:hAnsi="Arial" w:cs="Arial"/>
          <w:sz w:val="24"/>
          <w:szCs w:val="24"/>
        </w:rPr>
        <w:t xml:space="preserve">is an official of the court who conducts a sale in execution in terms of the rules of court and a sale in execution (and the conduct of the </w:t>
      </w:r>
      <w:r w:rsidR="0076023A" w:rsidRPr="001424F6">
        <w:rPr>
          <w:rFonts w:ascii="Arial" w:hAnsi="Arial" w:cs="Arial"/>
          <w:sz w:val="24"/>
          <w:szCs w:val="24"/>
        </w:rPr>
        <w:t>deputy-sheriff</w:t>
      </w:r>
      <w:r w:rsidR="00733C84" w:rsidRPr="001424F6">
        <w:rPr>
          <w:rFonts w:ascii="Arial" w:hAnsi="Arial" w:cs="Arial"/>
          <w:sz w:val="24"/>
          <w:szCs w:val="24"/>
        </w:rPr>
        <w:t>) is not an administrative action and as a result</w:t>
      </w:r>
      <w:r w:rsidR="00D65AFA" w:rsidRPr="001424F6">
        <w:rPr>
          <w:rFonts w:ascii="Arial" w:hAnsi="Arial" w:cs="Arial"/>
          <w:sz w:val="24"/>
          <w:szCs w:val="24"/>
        </w:rPr>
        <w:t>,</w:t>
      </w:r>
      <w:r w:rsidR="00733C84" w:rsidRPr="001424F6">
        <w:rPr>
          <w:rFonts w:ascii="Arial" w:hAnsi="Arial" w:cs="Arial"/>
          <w:sz w:val="24"/>
          <w:szCs w:val="24"/>
        </w:rPr>
        <w:t xml:space="preserve"> not subject to review</w:t>
      </w:r>
      <w:r w:rsidR="000838AA" w:rsidRPr="001424F6">
        <w:rPr>
          <w:rFonts w:ascii="Arial" w:hAnsi="Arial" w:cs="Arial"/>
          <w:sz w:val="24"/>
          <w:szCs w:val="24"/>
        </w:rPr>
        <w:t>.</w:t>
      </w:r>
    </w:p>
    <w:p w14:paraId="58D3EB4C" w14:textId="77777777" w:rsidR="000838AA" w:rsidRPr="000838AA" w:rsidRDefault="000838AA" w:rsidP="000838AA">
      <w:pPr>
        <w:pStyle w:val="ListParagraph"/>
        <w:rPr>
          <w:rFonts w:ascii="Arial" w:hAnsi="Arial" w:cs="Arial"/>
          <w:sz w:val="24"/>
          <w:szCs w:val="24"/>
        </w:rPr>
      </w:pPr>
    </w:p>
    <w:p w14:paraId="54F6B46D" w14:textId="40592EE9" w:rsidR="00733C84" w:rsidRPr="001424F6" w:rsidRDefault="001424F6" w:rsidP="001424F6">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40C12" w:rsidRPr="001424F6">
        <w:rPr>
          <w:rFonts w:ascii="Arial" w:hAnsi="Arial" w:cs="Arial"/>
          <w:sz w:val="24"/>
          <w:szCs w:val="24"/>
        </w:rPr>
        <w:t xml:space="preserve">Mr Colmer comprehensively responded to </w:t>
      </w:r>
      <w:r w:rsidR="00D55B65" w:rsidRPr="001424F6">
        <w:rPr>
          <w:rFonts w:ascii="Arial" w:hAnsi="Arial" w:cs="Arial"/>
          <w:sz w:val="24"/>
          <w:szCs w:val="24"/>
        </w:rPr>
        <w:t xml:space="preserve">the </w:t>
      </w:r>
      <w:r w:rsidR="00A40C12" w:rsidRPr="001424F6">
        <w:rPr>
          <w:rFonts w:ascii="Arial" w:hAnsi="Arial" w:cs="Arial"/>
          <w:sz w:val="24"/>
          <w:szCs w:val="24"/>
        </w:rPr>
        <w:t xml:space="preserve">grounds of appeal raised by the applicants. I will briefly summarise these responses as follows: </w:t>
      </w:r>
      <w:r w:rsidR="000838AA" w:rsidRPr="001424F6">
        <w:rPr>
          <w:rFonts w:ascii="Arial" w:hAnsi="Arial" w:cs="Arial"/>
          <w:sz w:val="24"/>
          <w:szCs w:val="24"/>
        </w:rPr>
        <w:t xml:space="preserve"> </w:t>
      </w:r>
    </w:p>
    <w:p w14:paraId="17749011" w14:textId="77777777" w:rsidR="000838AA" w:rsidRPr="000838AA" w:rsidRDefault="000838AA" w:rsidP="000838AA">
      <w:pPr>
        <w:pStyle w:val="ListParagraph"/>
        <w:rPr>
          <w:rFonts w:ascii="Arial" w:hAnsi="Arial" w:cs="Arial"/>
          <w:sz w:val="24"/>
          <w:szCs w:val="24"/>
        </w:rPr>
      </w:pPr>
    </w:p>
    <w:p w14:paraId="6DC7A72D" w14:textId="61A22645" w:rsidR="000838AA" w:rsidRPr="001424F6" w:rsidRDefault="001424F6" w:rsidP="001424F6">
      <w:pPr>
        <w:spacing w:after="0" w:line="360" w:lineRule="auto"/>
        <w:ind w:left="340"/>
        <w:jc w:val="both"/>
        <w:rPr>
          <w:rFonts w:ascii="Arial" w:hAnsi="Arial" w:cs="Arial"/>
          <w:i/>
          <w:sz w:val="24"/>
          <w:szCs w:val="24"/>
        </w:rPr>
      </w:pPr>
      <w:r w:rsidRPr="005F5F25">
        <w:rPr>
          <w:rFonts w:ascii="Arial" w:hAnsi="Arial" w:cs="Arial"/>
          <w:i/>
          <w:sz w:val="24"/>
          <w:szCs w:val="24"/>
        </w:rPr>
        <w:t>i)</w:t>
      </w:r>
      <w:r w:rsidRPr="005F5F25">
        <w:rPr>
          <w:rFonts w:ascii="Arial" w:hAnsi="Arial" w:cs="Arial"/>
          <w:i/>
          <w:sz w:val="24"/>
          <w:szCs w:val="24"/>
        </w:rPr>
        <w:tab/>
      </w:r>
      <w:r w:rsidR="009849E7" w:rsidRPr="001424F6">
        <w:rPr>
          <w:rFonts w:ascii="Arial" w:hAnsi="Arial" w:cs="Arial"/>
          <w:i/>
          <w:sz w:val="24"/>
          <w:szCs w:val="24"/>
        </w:rPr>
        <w:t>The writ of attachment is invalid for want of revival of the judgment:</w:t>
      </w:r>
      <w:r w:rsidR="009849E7" w:rsidRPr="001424F6">
        <w:rPr>
          <w:rFonts w:ascii="Arial" w:hAnsi="Arial" w:cs="Arial"/>
          <w:sz w:val="24"/>
          <w:szCs w:val="24"/>
        </w:rPr>
        <w:t xml:space="preserve"> Mr Colmer submits that</w:t>
      </w:r>
      <w:r w:rsidR="00297CFF" w:rsidRPr="001424F6">
        <w:rPr>
          <w:rFonts w:ascii="Arial" w:hAnsi="Arial" w:cs="Arial"/>
          <w:sz w:val="24"/>
          <w:szCs w:val="24"/>
        </w:rPr>
        <w:t xml:space="preserve">, </w:t>
      </w:r>
      <w:r w:rsidR="009849E7" w:rsidRPr="001424F6">
        <w:rPr>
          <w:rFonts w:ascii="Arial" w:hAnsi="Arial" w:cs="Arial"/>
          <w:sz w:val="24"/>
          <w:szCs w:val="24"/>
        </w:rPr>
        <w:t xml:space="preserve">the </w:t>
      </w:r>
      <w:r w:rsidR="00D65AFA" w:rsidRPr="001424F6">
        <w:rPr>
          <w:rFonts w:ascii="Arial" w:hAnsi="Arial" w:cs="Arial"/>
          <w:sz w:val="24"/>
          <w:szCs w:val="24"/>
        </w:rPr>
        <w:t>timelines</w:t>
      </w:r>
      <w:r w:rsidR="009849E7" w:rsidRPr="001424F6">
        <w:rPr>
          <w:rFonts w:ascii="Arial" w:hAnsi="Arial" w:cs="Arial"/>
          <w:sz w:val="24"/>
          <w:szCs w:val="24"/>
        </w:rPr>
        <w:t xml:space="preserve"> from </w:t>
      </w:r>
      <w:r w:rsidR="00D65AFA" w:rsidRPr="001424F6">
        <w:rPr>
          <w:rFonts w:ascii="Arial" w:hAnsi="Arial" w:cs="Arial"/>
          <w:sz w:val="24"/>
          <w:szCs w:val="24"/>
        </w:rPr>
        <w:t xml:space="preserve">the </w:t>
      </w:r>
      <w:r w:rsidR="009849E7" w:rsidRPr="001424F6">
        <w:rPr>
          <w:rFonts w:ascii="Arial" w:hAnsi="Arial" w:cs="Arial"/>
          <w:sz w:val="24"/>
          <w:szCs w:val="24"/>
        </w:rPr>
        <w:t>date of judgment to the granting of the order declaring the immovable property executable clear</w:t>
      </w:r>
      <w:r w:rsidR="00297CFF" w:rsidRPr="001424F6">
        <w:rPr>
          <w:rFonts w:ascii="Arial" w:hAnsi="Arial" w:cs="Arial"/>
          <w:sz w:val="24"/>
          <w:szCs w:val="24"/>
        </w:rPr>
        <w:t>ly</w:t>
      </w:r>
      <w:r w:rsidR="009849E7" w:rsidRPr="001424F6">
        <w:rPr>
          <w:rFonts w:ascii="Arial" w:hAnsi="Arial" w:cs="Arial"/>
          <w:sz w:val="24"/>
          <w:szCs w:val="24"/>
        </w:rPr>
        <w:t xml:space="preserve"> </w:t>
      </w:r>
      <w:r w:rsidR="00414373" w:rsidRPr="001424F6">
        <w:rPr>
          <w:rFonts w:ascii="Arial" w:hAnsi="Arial" w:cs="Arial"/>
          <w:sz w:val="24"/>
          <w:szCs w:val="24"/>
        </w:rPr>
        <w:t xml:space="preserve">indicate </w:t>
      </w:r>
      <w:r w:rsidR="009849E7" w:rsidRPr="001424F6">
        <w:rPr>
          <w:rFonts w:ascii="Arial" w:hAnsi="Arial" w:cs="Arial"/>
          <w:sz w:val="24"/>
          <w:szCs w:val="24"/>
        </w:rPr>
        <w:t>that there was no need for the superannuation of the judgment as required by rule 112(1).</w:t>
      </w:r>
      <w:r w:rsidR="00D65AFA" w:rsidRPr="001424F6">
        <w:rPr>
          <w:rFonts w:ascii="Arial" w:hAnsi="Arial" w:cs="Arial"/>
          <w:sz w:val="24"/>
          <w:szCs w:val="24"/>
        </w:rPr>
        <w:t xml:space="preserve"> According to </w:t>
      </w:r>
      <w:r w:rsidR="00297CFF" w:rsidRPr="001424F6">
        <w:rPr>
          <w:rFonts w:ascii="Arial" w:hAnsi="Arial" w:cs="Arial"/>
          <w:sz w:val="24"/>
          <w:szCs w:val="24"/>
        </w:rPr>
        <w:t>him</w:t>
      </w:r>
      <w:r w:rsidR="00D65AFA" w:rsidRPr="001424F6">
        <w:rPr>
          <w:rFonts w:ascii="Arial" w:hAnsi="Arial" w:cs="Arial"/>
          <w:sz w:val="24"/>
          <w:szCs w:val="24"/>
        </w:rPr>
        <w:t xml:space="preserve"> the applicants, on numerous occasions were served with a writ of attachment (dating back to 2016).</w:t>
      </w:r>
      <w:r w:rsidR="009849E7" w:rsidRPr="001424F6">
        <w:rPr>
          <w:rFonts w:ascii="Arial" w:hAnsi="Arial" w:cs="Arial"/>
          <w:sz w:val="24"/>
          <w:szCs w:val="24"/>
        </w:rPr>
        <w:t xml:space="preserve"> </w:t>
      </w:r>
      <w:r w:rsidR="00297CFF" w:rsidRPr="001424F6">
        <w:rPr>
          <w:rFonts w:ascii="Arial" w:hAnsi="Arial" w:cs="Arial"/>
          <w:sz w:val="24"/>
          <w:szCs w:val="24"/>
        </w:rPr>
        <w:t>He</w:t>
      </w:r>
      <w:r w:rsidR="009849E7" w:rsidRPr="001424F6">
        <w:rPr>
          <w:rFonts w:ascii="Arial" w:hAnsi="Arial" w:cs="Arial"/>
          <w:sz w:val="24"/>
          <w:szCs w:val="24"/>
        </w:rPr>
        <w:t xml:space="preserve"> contends that once the writ of execution had been issued, it </w:t>
      </w:r>
      <w:r w:rsidR="00D65AFA" w:rsidRPr="001424F6">
        <w:rPr>
          <w:rFonts w:ascii="Arial" w:hAnsi="Arial" w:cs="Arial"/>
          <w:sz w:val="24"/>
          <w:szCs w:val="24"/>
        </w:rPr>
        <w:t>remained</w:t>
      </w:r>
      <w:r w:rsidR="009849E7" w:rsidRPr="001424F6">
        <w:rPr>
          <w:rFonts w:ascii="Arial" w:hAnsi="Arial" w:cs="Arial"/>
          <w:sz w:val="24"/>
          <w:szCs w:val="24"/>
        </w:rPr>
        <w:t xml:space="preserve"> in force and may be </w:t>
      </w:r>
      <w:r w:rsidR="00D65AFA" w:rsidRPr="001424F6">
        <w:rPr>
          <w:rFonts w:ascii="Arial" w:hAnsi="Arial" w:cs="Arial"/>
          <w:sz w:val="24"/>
          <w:szCs w:val="24"/>
        </w:rPr>
        <w:t>executed</w:t>
      </w:r>
      <w:r w:rsidR="009849E7" w:rsidRPr="001424F6">
        <w:rPr>
          <w:rFonts w:ascii="Arial" w:hAnsi="Arial" w:cs="Arial"/>
          <w:sz w:val="24"/>
          <w:szCs w:val="24"/>
        </w:rPr>
        <w:t xml:space="preserve"> without being renew</w:t>
      </w:r>
      <w:r w:rsidR="00D65AFA" w:rsidRPr="001424F6">
        <w:rPr>
          <w:rFonts w:ascii="Arial" w:hAnsi="Arial" w:cs="Arial"/>
          <w:sz w:val="24"/>
          <w:szCs w:val="24"/>
        </w:rPr>
        <w:t>ed</w:t>
      </w:r>
      <w:r w:rsidR="009849E7" w:rsidRPr="001424F6">
        <w:rPr>
          <w:rFonts w:ascii="Arial" w:hAnsi="Arial" w:cs="Arial"/>
          <w:sz w:val="24"/>
          <w:szCs w:val="24"/>
        </w:rPr>
        <w:t xml:space="preserve">. In the case of the applicants two writs were issued, one against the movables on 24 June 2016 and one against the </w:t>
      </w:r>
      <w:r w:rsidR="00524677" w:rsidRPr="001424F6">
        <w:rPr>
          <w:rFonts w:ascii="Arial" w:hAnsi="Arial" w:cs="Arial"/>
          <w:sz w:val="24"/>
          <w:szCs w:val="24"/>
        </w:rPr>
        <w:t>immovables or immovable property</w:t>
      </w:r>
      <w:r w:rsidR="009849E7" w:rsidRPr="001424F6">
        <w:rPr>
          <w:rFonts w:ascii="Arial" w:hAnsi="Arial" w:cs="Arial"/>
          <w:sz w:val="24"/>
          <w:szCs w:val="24"/>
        </w:rPr>
        <w:t xml:space="preserve"> on 7 September 2021. As a result</w:t>
      </w:r>
      <w:r w:rsidR="00D65AFA" w:rsidRPr="001424F6">
        <w:rPr>
          <w:rFonts w:ascii="Arial" w:hAnsi="Arial" w:cs="Arial"/>
          <w:sz w:val="24"/>
          <w:szCs w:val="24"/>
        </w:rPr>
        <w:t>,</w:t>
      </w:r>
      <w:r w:rsidR="009849E7" w:rsidRPr="001424F6">
        <w:rPr>
          <w:rFonts w:ascii="Arial" w:hAnsi="Arial" w:cs="Arial"/>
          <w:sz w:val="24"/>
          <w:szCs w:val="24"/>
        </w:rPr>
        <w:t xml:space="preserve"> </w:t>
      </w:r>
      <w:r w:rsidR="00297CFF" w:rsidRPr="001424F6">
        <w:rPr>
          <w:rFonts w:ascii="Arial" w:hAnsi="Arial" w:cs="Arial"/>
          <w:sz w:val="24"/>
          <w:szCs w:val="24"/>
        </w:rPr>
        <w:t>he</w:t>
      </w:r>
      <w:r w:rsidR="009849E7" w:rsidRPr="001424F6">
        <w:rPr>
          <w:rFonts w:ascii="Arial" w:hAnsi="Arial" w:cs="Arial"/>
          <w:sz w:val="24"/>
          <w:szCs w:val="24"/>
        </w:rPr>
        <w:t xml:space="preserve"> denies that the writ was invalid or that the subsequent attachment </w:t>
      </w:r>
      <w:r w:rsidR="00D65AFA" w:rsidRPr="001424F6">
        <w:rPr>
          <w:rFonts w:ascii="Arial" w:hAnsi="Arial" w:cs="Arial"/>
          <w:sz w:val="24"/>
          <w:szCs w:val="24"/>
        </w:rPr>
        <w:t xml:space="preserve">of sale in execution was tainted. </w:t>
      </w:r>
      <w:r w:rsidR="009849E7" w:rsidRPr="001424F6">
        <w:rPr>
          <w:rFonts w:ascii="Arial" w:hAnsi="Arial" w:cs="Arial"/>
          <w:sz w:val="24"/>
          <w:szCs w:val="24"/>
        </w:rPr>
        <w:t xml:space="preserve">  </w:t>
      </w:r>
    </w:p>
    <w:p w14:paraId="1F6562BC" w14:textId="77777777" w:rsidR="005F5F25" w:rsidRPr="00D65AFA" w:rsidRDefault="005F5F25" w:rsidP="005F5F25">
      <w:pPr>
        <w:pStyle w:val="ListParagraph"/>
        <w:spacing w:after="0" w:line="360" w:lineRule="auto"/>
        <w:ind w:left="340"/>
        <w:jc w:val="both"/>
        <w:rPr>
          <w:rFonts w:ascii="Arial" w:hAnsi="Arial" w:cs="Arial"/>
          <w:i/>
          <w:sz w:val="24"/>
          <w:szCs w:val="24"/>
        </w:rPr>
      </w:pPr>
    </w:p>
    <w:p w14:paraId="0F8983AB" w14:textId="673D7AD6" w:rsidR="00D65AFA" w:rsidRPr="001424F6" w:rsidRDefault="001424F6" w:rsidP="001424F6">
      <w:pPr>
        <w:spacing w:after="0" w:line="360" w:lineRule="auto"/>
        <w:ind w:left="340"/>
        <w:jc w:val="both"/>
        <w:rPr>
          <w:rFonts w:ascii="Arial" w:hAnsi="Arial" w:cs="Arial"/>
          <w:i/>
          <w:sz w:val="24"/>
          <w:szCs w:val="24"/>
        </w:rPr>
      </w:pPr>
      <w:r w:rsidRPr="005F5F25">
        <w:rPr>
          <w:rFonts w:ascii="Arial" w:hAnsi="Arial" w:cs="Arial"/>
          <w:i/>
          <w:sz w:val="24"/>
          <w:szCs w:val="24"/>
        </w:rPr>
        <w:t>ii)</w:t>
      </w:r>
      <w:r w:rsidRPr="005F5F25">
        <w:rPr>
          <w:rFonts w:ascii="Arial" w:hAnsi="Arial" w:cs="Arial"/>
          <w:i/>
          <w:sz w:val="24"/>
          <w:szCs w:val="24"/>
        </w:rPr>
        <w:tab/>
      </w:r>
      <w:r w:rsidR="00D65AFA" w:rsidRPr="001424F6">
        <w:rPr>
          <w:rFonts w:ascii="Arial" w:hAnsi="Arial" w:cs="Arial"/>
          <w:i/>
          <w:sz w:val="24"/>
          <w:szCs w:val="24"/>
        </w:rPr>
        <w:t>The failure to attach the immovable property as contemplated in r</w:t>
      </w:r>
      <w:r w:rsidR="00496A5E" w:rsidRPr="001424F6">
        <w:rPr>
          <w:rFonts w:ascii="Arial" w:hAnsi="Arial" w:cs="Arial"/>
          <w:i/>
          <w:sz w:val="24"/>
          <w:szCs w:val="24"/>
        </w:rPr>
        <w:t>ule</w:t>
      </w:r>
      <w:r w:rsidR="00D65AFA" w:rsidRPr="001424F6">
        <w:rPr>
          <w:rFonts w:ascii="Arial" w:hAnsi="Arial" w:cs="Arial"/>
          <w:i/>
          <w:sz w:val="24"/>
          <w:szCs w:val="24"/>
        </w:rPr>
        <w:t xml:space="preserve"> 109(3):</w:t>
      </w:r>
      <w:r w:rsidR="002618C3" w:rsidRPr="001424F6">
        <w:rPr>
          <w:rFonts w:ascii="Arial" w:hAnsi="Arial" w:cs="Arial"/>
          <w:sz w:val="24"/>
          <w:szCs w:val="24"/>
        </w:rPr>
        <w:t xml:space="preserve"> Mr Colmer </w:t>
      </w:r>
      <w:r w:rsidR="00BC5891" w:rsidRPr="001424F6">
        <w:rPr>
          <w:rFonts w:ascii="Arial" w:hAnsi="Arial" w:cs="Arial"/>
          <w:sz w:val="24"/>
          <w:szCs w:val="24"/>
        </w:rPr>
        <w:t xml:space="preserve">referred the court to the applicants’ supplementary affidavit dated 29 November 2022 wherein the applicants appear to have abandoned this ground of review, and there is no need to deal with it further. </w:t>
      </w:r>
    </w:p>
    <w:p w14:paraId="298CE188" w14:textId="77777777" w:rsidR="005F5F25" w:rsidRPr="005F5F25" w:rsidRDefault="005F5F25" w:rsidP="005F5F25">
      <w:pPr>
        <w:pStyle w:val="ListParagraph"/>
        <w:rPr>
          <w:rFonts w:ascii="Arial" w:hAnsi="Arial" w:cs="Arial"/>
          <w:i/>
          <w:sz w:val="24"/>
          <w:szCs w:val="24"/>
        </w:rPr>
      </w:pPr>
    </w:p>
    <w:p w14:paraId="1CB4F0E8" w14:textId="234CC85C" w:rsidR="00BC5891" w:rsidRPr="001424F6" w:rsidRDefault="001424F6" w:rsidP="001424F6">
      <w:pPr>
        <w:spacing w:after="0" w:line="360" w:lineRule="auto"/>
        <w:ind w:left="340"/>
        <w:jc w:val="both"/>
        <w:rPr>
          <w:rFonts w:ascii="Arial" w:hAnsi="Arial" w:cs="Arial"/>
          <w:i/>
          <w:sz w:val="24"/>
          <w:szCs w:val="24"/>
        </w:rPr>
      </w:pPr>
      <w:r w:rsidRPr="005F5F25">
        <w:rPr>
          <w:rFonts w:ascii="Arial" w:hAnsi="Arial" w:cs="Arial"/>
          <w:i/>
          <w:sz w:val="24"/>
          <w:szCs w:val="24"/>
        </w:rPr>
        <w:t>iii)</w:t>
      </w:r>
      <w:r w:rsidRPr="005F5F25">
        <w:rPr>
          <w:rFonts w:ascii="Arial" w:hAnsi="Arial" w:cs="Arial"/>
          <w:i/>
          <w:sz w:val="24"/>
          <w:szCs w:val="24"/>
        </w:rPr>
        <w:tab/>
      </w:r>
      <w:r w:rsidR="00BC5891" w:rsidRPr="001424F6">
        <w:rPr>
          <w:rFonts w:ascii="Arial" w:hAnsi="Arial" w:cs="Arial"/>
          <w:i/>
          <w:sz w:val="24"/>
          <w:szCs w:val="24"/>
        </w:rPr>
        <w:t xml:space="preserve">The failure to comply with rule 110(8) because the auction was not held in public: </w:t>
      </w:r>
      <w:r w:rsidR="00BC5891" w:rsidRPr="001424F6">
        <w:rPr>
          <w:rFonts w:ascii="Arial" w:hAnsi="Arial" w:cs="Arial"/>
          <w:sz w:val="24"/>
          <w:szCs w:val="24"/>
        </w:rPr>
        <w:t>In this regard, Mr Colmer submits that</w:t>
      </w:r>
      <w:r w:rsidR="00297CFF" w:rsidRPr="001424F6">
        <w:rPr>
          <w:rFonts w:ascii="Arial" w:hAnsi="Arial" w:cs="Arial"/>
          <w:sz w:val="24"/>
          <w:szCs w:val="24"/>
        </w:rPr>
        <w:t>,</w:t>
      </w:r>
      <w:r w:rsidR="00BC5891" w:rsidRPr="001424F6">
        <w:rPr>
          <w:rFonts w:ascii="Arial" w:hAnsi="Arial" w:cs="Arial"/>
          <w:sz w:val="24"/>
          <w:szCs w:val="24"/>
        </w:rPr>
        <w:t xml:space="preserve"> whether or not an auction is a public auction</w:t>
      </w:r>
      <w:r w:rsidR="00297CFF" w:rsidRPr="001424F6">
        <w:rPr>
          <w:rFonts w:ascii="Arial" w:hAnsi="Arial" w:cs="Arial"/>
          <w:sz w:val="24"/>
          <w:szCs w:val="24"/>
        </w:rPr>
        <w:t>,</w:t>
      </w:r>
      <w:r w:rsidR="00BC5891" w:rsidRPr="001424F6">
        <w:rPr>
          <w:rFonts w:ascii="Arial" w:hAnsi="Arial" w:cs="Arial"/>
          <w:sz w:val="24"/>
          <w:szCs w:val="24"/>
        </w:rPr>
        <w:t xml:space="preserve"> or not</w:t>
      </w:r>
      <w:r w:rsidR="00297CFF" w:rsidRPr="001424F6">
        <w:rPr>
          <w:rFonts w:ascii="Arial" w:hAnsi="Arial" w:cs="Arial"/>
          <w:sz w:val="24"/>
          <w:szCs w:val="24"/>
        </w:rPr>
        <w:t>,</w:t>
      </w:r>
      <w:r w:rsidR="00BC5891" w:rsidRPr="001424F6">
        <w:rPr>
          <w:rFonts w:ascii="Arial" w:hAnsi="Arial" w:cs="Arial"/>
          <w:sz w:val="24"/>
          <w:szCs w:val="24"/>
        </w:rPr>
        <w:t xml:space="preserve"> is not determined by the place at which it is held, nor by the specific room or area within a property. </w:t>
      </w:r>
      <w:r w:rsidR="00496A5E" w:rsidRPr="001424F6">
        <w:rPr>
          <w:rFonts w:ascii="Arial" w:hAnsi="Arial" w:cs="Arial"/>
          <w:sz w:val="24"/>
          <w:szCs w:val="24"/>
        </w:rPr>
        <w:t xml:space="preserve">He </w:t>
      </w:r>
      <w:r w:rsidR="00BC5891" w:rsidRPr="001424F6">
        <w:rPr>
          <w:rFonts w:ascii="Arial" w:hAnsi="Arial" w:cs="Arial"/>
          <w:sz w:val="24"/>
          <w:szCs w:val="24"/>
        </w:rPr>
        <w:t>contends that in order for the immovable property to be sold by public auction</w:t>
      </w:r>
      <w:r w:rsidR="00297CFF" w:rsidRPr="001424F6">
        <w:rPr>
          <w:rFonts w:ascii="Arial" w:hAnsi="Arial" w:cs="Arial"/>
          <w:sz w:val="24"/>
          <w:szCs w:val="24"/>
        </w:rPr>
        <w:t>,</w:t>
      </w:r>
      <w:r w:rsidR="00BC5891" w:rsidRPr="001424F6">
        <w:rPr>
          <w:rFonts w:ascii="Arial" w:hAnsi="Arial" w:cs="Arial"/>
          <w:sz w:val="24"/>
          <w:szCs w:val="24"/>
        </w:rPr>
        <w:t xml:space="preserve"> </w:t>
      </w:r>
      <w:r w:rsidR="00496A5E" w:rsidRPr="001424F6">
        <w:rPr>
          <w:rFonts w:ascii="Arial" w:hAnsi="Arial" w:cs="Arial"/>
          <w:sz w:val="24"/>
          <w:szCs w:val="24"/>
        </w:rPr>
        <w:t xml:space="preserve">it </w:t>
      </w:r>
      <w:r w:rsidR="00BC5891" w:rsidRPr="001424F6">
        <w:rPr>
          <w:rFonts w:ascii="Arial" w:hAnsi="Arial" w:cs="Arial"/>
          <w:sz w:val="24"/>
          <w:szCs w:val="24"/>
        </w:rPr>
        <w:t>simply means that any and all persons</w:t>
      </w:r>
      <w:r w:rsidR="00784764" w:rsidRPr="001424F6">
        <w:rPr>
          <w:rFonts w:ascii="Arial" w:hAnsi="Arial" w:cs="Arial"/>
          <w:sz w:val="24"/>
          <w:szCs w:val="24"/>
        </w:rPr>
        <w:t>,</w:t>
      </w:r>
      <w:r w:rsidR="00BC5891" w:rsidRPr="001424F6">
        <w:rPr>
          <w:rFonts w:ascii="Arial" w:hAnsi="Arial" w:cs="Arial"/>
          <w:sz w:val="24"/>
          <w:szCs w:val="24"/>
        </w:rPr>
        <w:t xml:space="preserve"> who choose</w:t>
      </w:r>
      <w:r w:rsidR="00784764" w:rsidRPr="001424F6">
        <w:rPr>
          <w:rFonts w:ascii="Arial" w:hAnsi="Arial" w:cs="Arial"/>
          <w:sz w:val="24"/>
          <w:szCs w:val="24"/>
        </w:rPr>
        <w:t>,</w:t>
      </w:r>
      <w:r w:rsidR="00BC5891" w:rsidRPr="001424F6">
        <w:rPr>
          <w:rFonts w:ascii="Arial" w:hAnsi="Arial" w:cs="Arial"/>
          <w:sz w:val="24"/>
          <w:szCs w:val="24"/>
        </w:rPr>
        <w:t xml:space="preserve"> are permitted to attend and offer bids. </w:t>
      </w:r>
      <w:r w:rsidR="005E5F21" w:rsidRPr="001424F6">
        <w:rPr>
          <w:rFonts w:ascii="Arial" w:hAnsi="Arial" w:cs="Arial"/>
          <w:sz w:val="24"/>
          <w:szCs w:val="24"/>
        </w:rPr>
        <w:t xml:space="preserve">On the issue that one of the bidders bid telephonically, </w:t>
      </w:r>
      <w:r w:rsidR="00784764" w:rsidRPr="001424F6">
        <w:rPr>
          <w:rFonts w:ascii="Arial" w:hAnsi="Arial" w:cs="Arial"/>
          <w:sz w:val="24"/>
          <w:szCs w:val="24"/>
        </w:rPr>
        <w:t>he</w:t>
      </w:r>
      <w:r w:rsidR="005E5F21" w:rsidRPr="001424F6">
        <w:rPr>
          <w:rFonts w:ascii="Arial" w:hAnsi="Arial" w:cs="Arial"/>
          <w:sz w:val="24"/>
          <w:szCs w:val="24"/>
        </w:rPr>
        <w:t xml:space="preserve"> contends that bidders are not prohibited from submitting telephonic bids. The sale in execution was advertised in terms of the rules of court, and as a result, all members of the public were invited to attend the auction. </w:t>
      </w:r>
    </w:p>
    <w:p w14:paraId="648AA73B" w14:textId="77777777" w:rsidR="005F5F25" w:rsidRPr="005F5F25" w:rsidRDefault="005F5F25" w:rsidP="005F5F25">
      <w:pPr>
        <w:pStyle w:val="ListParagraph"/>
        <w:rPr>
          <w:rFonts w:ascii="Arial" w:hAnsi="Arial" w:cs="Arial"/>
          <w:i/>
          <w:sz w:val="24"/>
          <w:szCs w:val="24"/>
        </w:rPr>
      </w:pPr>
    </w:p>
    <w:p w14:paraId="363E700E" w14:textId="1B1545C1" w:rsidR="005F5F25" w:rsidRPr="001424F6" w:rsidRDefault="001424F6" w:rsidP="001424F6">
      <w:pPr>
        <w:spacing w:after="0" w:line="360" w:lineRule="auto"/>
        <w:ind w:left="340"/>
        <w:jc w:val="both"/>
        <w:rPr>
          <w:rFonts w:ascii="Arial" w:hAnsi="Arial" w:cs="Arial"/>
          <w:i/>
          <w:sz w:val="24"/>
          <w:szCs w:val="24"/>
        </w:rPr>
      </w:pPr>
      <w:r w:rsidRPr="005F5F25">
        <w:rPr>
          <w:rFonts w:ascii="Arial" w:hAnsi="Arial" w:cs="Arial"/>
          <w:i/>
          <w:sz w:val="24"/>
          <w:szCs w:val="24"/>
        </w:rPr>
        <w:lastRenderedPageBreak/>
        <w:t>iv)</w:t>
      </w:r>
      <w:r w:rsidRPr="005F5F25">
        <w:rPr>
          <w:rFonts w:ascii="Arial" w:hAnsi="Arial" w:cs="Arial"/>
          <w:i/>
          <w:sz w:val="24"/>
          <w:szCs w:val="24"/>
        </w:rPr>
        <w:tab/>
      </w:r>
      <w:r w:rsidR="005E5F21" w:rsidRPr="001424F6">
        <w:rPr>
          <w:rFonts w:ascii="Arial" w:hAnsi="Arial" w:cs="Arial"/>
          <w:i/>
          <w:sz w:val="24"/>
          <w:szCs w:val="24"/>
        </w:rPr>
        <w:t>The 24 March 2022 sale in execution was not cancelled</w:t>
      </w:r>
      <w:r w:rsidR="008F0B58" w:rsidRPr="001424F6">
        <w:rPr>
          <w:rFonts w:ascii="Arial" w:hAnsi="Arial" w:cs="Arial"/>
          <w:i/>
          <w:sz w:val="24"/>
          <w:szCs w:val="24"/>
        </w:rPr>
        <w:t xml:space="preserve">: </w:t>
      </w:r>
      <w:r w:rsidR="008F0B58" w:rsidRPr="001424F6">
        <w:rPr>
          <w:rFonts w:ascii="Arial" w:hAnsi="Arial" w:cs="Arial"/>
          <w:sz w:val="24"/>
          <w:szCs w:val="24"/>
        </w:rPr>
        <w:t xml:space="preserve">Mr Colmer conceded that the immovable property was sold to Ms Judiana Erasmus or </w:t>
      </w:r>
      <w:r w:rsidR="00524677" w:rsidRPr="001424F6">
        <w:rPr>
          <w:rFonts w:ascii="Arial" w:hAnsi="Arial" w:cs="Arial"/>
          <w:sz w:val="24"/>
          <w:szCs w:val="24"/>
        </w:rPr>
        <w:t xml:space="preserve">her </w:t>
      </w:r>
      <w:r w:rsidR="008F0B58" w:rsidRPr="001424F6">
        <w:rPr>
          <w:rFonts w:ascii="Arial" w:hAnsi="Arial" w:cs="Arial"/>
          <w:sz w:val="24"/>
          <w:szCs w:val="24"/>
        </w:rPr>
        <w:t>nominee on 24 March 2022</w:t>
      </w:r>
      <w:r w:rsidR="004A7EE2" w:rsidRPr="001424F6">
        <w:rPr>
          <w:rFonts w:ascii="Arial" w:hAnsi="Arial" w:cs="Arial"/>
          <w:sz w:val="24"/>
          <w:szCs w:val="24"/>
        </w:rPr>
        <w:t xml:space="preserve">. On 4 April 2022 the purchaser, in writing nominated the third respondent as the purchaser of the property, and on 6 April 2022, Mr Mouton accepted the nomination. Given the manner </w:t>
      </w:r>
      <w:r w:rsidR="007C009D" w:rsidRPr="001424F6">
        <w:rPr>
          <w:rFonts w:ascii="Arial" w:hAnsi="Arial" w:cs="Arial"/>
          <w:sz w:val="24"/>
          <w:szCs w:val="24"/>
        </w:rPr>
        <w:t xml:space="preserve">in which the purchaser nominated Mr Mouton, Standard Bank’s legal practitioner requested the </w:t>
      </w:r>
      <w:r w:rsidR="0076023A" w:rsidRPr="001424F6">
        <w:rPr>
          <w:rFonts w:ascii="Arial" w:hAnsi="Arial" w:cs="Arial"/>
          <w:sz w:val="24"/>
          <w:szCs w:val="24"/>
        </w:rPr>
        <w:t xml:space="preserve">deputy-sheriff </w:t>
      </w:r>
      <w:r w:rsidR="007C009D" w:rsidRPr="001424F6">
        <w:rPr>
          <w:rFonts w:ascii="Arial" w:hAnsi="Arial" w:cs="Arial"/>
          <w:sz w:val="24"/>
          <w:szCs w:val="24"/>
        </w:rPr>
        <w:t>to consider cancelling the sale</w:t>
      </w:r>
      <w:r w:rsidR="005560AA" w:rsidRPr="001424F6">
        <w:rPr>
          <w:rFonts w:ascii="Arial" w:hAnsi="Arial" w:cs="Arial"/>
          <w:sz w:val="24"/>
          <w:szCs w:val="24"/>
        </w:rPr>
        <w:t>, refunding the deposit to the purchaser and arranging a new sale in execution. Mr Colmer states that f</w:t>
      </w:r>
      <w:r w:rsidR="007C009D" w:rsidRPr="001424F6">
        <w:rPr>
          <w:rFonts w:ascii="Arial" w:hAnsi="Arial" w:cs="Arial"/>
          <w:sz w:val="24"/>
          <w:szCs w:val="24"/>
        </w:rPr>
        <w:t xml:space="preserve">or reasons </w:t>
      </w:r>
      <w:r w:rsidR="00F94102" w:rsidRPr="001424F6">
        <w:rPr>
          <w:rFonts w:ascii="Arial" w:hAnsi="Arial" w:cs="Arial"/>
          <w:sz w:val="24"/>
          <w:szCs w:val="24"/>
        </w:rPr>
        <w:t xml:space="preserve">known to the </w:t>
      </w:r>
      <w:r w:rsidR="0076023A" w:rsidRPr="001424F6">
        <w:rPr>
          <w:rFonts w:ascii="Arial" w:hAnsi="Arial" w:cs="Arial"/>
          <w:sz w:val="24"/>
          <w:szCs w:val="24"/>
        </w:rPr>
        <w:t>deputy-sheriff</w:t>
      </w:r>
      <w:r w:rsidR="00784764" w:rsidRPr="001424F6">
        <w:rPr>
          <w:rFonts w:ascii="Arial" w:hAnsi="Arial" w:cs="Arial"/>
          <w:sz w:val="24"/>
          <w:szCs w:val="24"/>
        </w:rPr>
        <w:t>,</w:t>
      </w:r>
      <w:r w:rsidR="0076023A" w:rsidRPr="001424F6">
        <w:rPr>
          <w:rFonts w:ascii="Arial" w:hAnsi="Arial" w:cs="Arial"/>
          <w:sz w:val="24"/>
          <w:szCs w:val="24"/>
        </w:rPr>
        <w:t xml:space="preserve"> </w:t>
      </w:r>
      <w:r w:rsidR="00F94102" w:rsidRPr="001424F6">
        <w:rPr>
          <w:rFonts w:ascii="Arial" w:hAnsi="Arial" w:cs="Arial"/>
          <w:sz w:val="24"/>
          <w:szCs w:val="24"/>
        </w:rPr>
        <w:t xml:space="preserve">the sale was not cancelled but submits that the validity of the second sale in execution cannot be tainted by the </w:t>
      </w:r>
      <w:r w:rsidR="0076023A" w:rsidRPr="001424F6">
        <w:rPr>
          <w:rFonts w:ascii="Arial" w:hAnsi="Arial" w:cs="Arial"/>
          <w:sz w:val="24"/>
          <w:szCs w:val="24"/>
        </w:rPr>
        <w:t>deputy-sheriff</w:t>
      </w:r>
      <w:r w:rsidR="00F94102" w:rsidRPr="001424F6">
        <w:rPr>
          <w:rFonts w:ascii="Arial" w:hAnsi="Arial" w:cs="Arial"/>
          <w:sz w:val="24"/>
          <w:szCs w:val="24"/>
        </w:rPr>
        <w:t>’s failure to have the sale in execution cancelled by a judge in chambers.</w:t>
      </w:r>
    </w:p>
    <w:p w14:paraId="145D98F6" w14:textId="77777777" w:rsidR="005F5F25" w:rsidRPr="005F5F25" w:rsidRDefault="005F5F25" w:rsidP="005F5F25">
      <w:pPr>
        <w:pStyle w:val="ListParagraph"/>
        <w:rPr>
          <w:rFonts w:ascii="Arial" w:hAnsi="Arial" w:cs="Arial"/>
          <w:sz w:val="24"/>
          <w:szCs w:val="24"/>
        </w:rPr>
      </w:pPr>
    </w:p>
    <w:p w14:paraId="65C1E0F8" w14:textId="7B330BEB" w:rsidR="00007D79" w:rsidRPr="001424F6" w:rsidRDefault="001424F6" w:rsidP="001424F6">
      <w:pPr>
        <w:spacing w:after="0" w:line="360" w:lineRule="auto"/>
        <w:ind w:left="340"/>
        <w:jc w:val="both"/>
        <w:rPr>
          <w:rFonts w:ascii="Arial" w:hAnsi="Arial" w:cs="Arial"/>
          <w:i/>
          <w:sz w:val="24"/>
          <w:szCs w:val="24"/>
        </w:rPr>
      </w:pPr>
      <w:r w:rsidRPr="005F5F25">
        <w:rPr>
          <w:rFonts w:ascii="Arial" w:hAnsi="Arial" w:cs="Arial"/>
          <w:i/>
          <w:sz w:val="24"/>
          <w:szCs w:val="24"/>
        </w:rPr>
        <w:t>v)</w:t>
      </w:r>
      <w:r w:rsidRPr="005F5F25">
        <w:rPr>
          <w:rFonts w:ascii="Arial" w:hAnsi="Arial" w:cs="Arial"/>
          <w:i/>
          <w:sz w:val="24"/>
          <w:szCs w:val="24"/>
        </w:rPr>
        <w:tab/>
      </w:r>
      <w:r w:rsidR="00007D79" w:rsidRPr="001424F6">
        <w:rPr>
          <w:rFonts w:ascii="Arial" w:hAnsi="Arial" w:cs="Arial"/>
          <w:i/>
          <w:sz w:val="24"/>
          <w:szCs w:val="24"/>
        </w:rPr>
        <w:t>Failure to comply with rule 110(3):</w:t>
      </w:r>
      <w:r w:rsidR="00007D79" w:rsidRPr="001424F6">
        <w:rPr>
          <w:rFonts w:ascii="Arial" w:hAnsi="Arial" w:cs="Arial"/>
          <w:sz w:val="24"/>
          <w:szCs w:val="24"/>
        </w:rPr>
        <w:t xml:space="preserve"> Mr Colmer submits that both sales in execution were duly advertised. It was </w:t>
      </w:r>
      <w:r w:rsidR="008C4F56" w:rsidRPr="001424F6">
        <w:rPr>
          <w:rFonts w:ascii="Arial" w:hAnsi="Arial" w:cs="Arial"/>
          <w:sz w:val="24"/>
          <w:szCs w:val="24"/>
        </w:rPr>
        <w:t>published in the government gazette and in both the Namibian and Republikein newspapers</w:t>
      </w:r>
      <w:r w:rsidR="006D6D24" w:rsidRPr="001424F6">
        <w:rPr>
          <w:rFonts w:ascii="Arial" w:hAnsi="Arial" w:cs="Arial"/>
          <w:i/>
          <w:sz w:val="24"/>
          <w:szCs w:val="24"/>
        </w:rPr>
        <w:t xml:space="preserve">, </w:t>
      </w:r>
      <w:r w:rsidR="006D6D24" w:rsidRPr="001424F6">
        <w:rPr>
          <w:rFonts w:ascii="Arial" w:hAnsi="Arial" w:cs="Arial"/>
          <w:sz w:val="24"/>
          <w:szCs w:val="24"/>
        </w:rPr>
        <w:t>the latter</w:t>
      </w:r>
      <w:r w:rsidR="00784764" w:rsidRPr="001424F6">
        <w:rPr>
          <w:rFonts w:ascii="Arial" w:hAnsi="Arial" w:cs="Arial"/>
          <w:sz w:val="24"/>
          <w:szCs w:val="24"/>
        </w:rPr>
        <w:t>,</w:t>
      </w:r>
      <w:r w:rsidR="006D6D24" w:rsidRPr="001424F6">
        <w:rPr>
          <w:rFonts w:ascii="Arial" w:hAnsi="Arial" w:cs="Arial"/>
          <w:sz w:val="24"/>
          <w:szCs w:val="24"/>
        </w:rPr>
        <w:t xml:space="preserve"> which are circulated nationally, including in the district where the immovable property is situated.</w:t>
      </w:r>
    </w:p>
    <w:p w14:paraId="59E06E7F" w14:textId="77777777" w:rsidR="005F5F25" w:rsidRPr="005F5F25" w:rsidRDefault="005F5F25" w:rsidP="005F5F25">
      <w:pPr>
        <w:pStyle w:val="ListParagraph"/>
        <w:rPr>
          <w:rFonts w:ascii="Arial" w:hAnsi="Arial" w:cs="Arial"/>
          <w:i/>
          <w:sz w:val="24"/>
          <w:szCs w:val="24"/>
        </w:rPr>
      </w:pPr>
    </w:p>
    <w:p w14:paraId="11FBE744" w14:textId="79C521B4" w:rsidR="006D6D24" w:rsidRPr="001424F6" w:rsidRDefault="001424F6" w:rsidP="001424F6">
      <w:pPr>
        <w:spacing w:after="0" w:line="360" w:lineRule="auto"/>
        <w:ind w:left="340"/>
        <w:jc w:val="both"/>
        <w:rPr>
          <w:rFonts w:ascii="Arial" w:hAnsi="Arial" w:cs="Arial"/>
          <w:i/>
          <w:sz w:val="24"/>
          <w:szCs w:val="24"/>
        </w:rPr>
      </w:pPr>
      <w:r w:rsidRPr="00992757">
        <w:rPr>
          <w:rFonts w:ascii="Arial" w:hAnsi="Arial" w:cs="Arial"/>
          <w:i/>
          <w:sz w:val="24"/>
          <w:szCs w:val="24"/>
        </w:rPr>
        <w:t>vi)</w:t>
      </w:r>
      <w:r w:rsidRPr="00992757">
        <w:rPr>
          <w:rFonts w:ascii="Arial" w:hAnsi="Arial" w:cs="Arial"/>
          <w:i/>
          <w:sz w:val="24"/>
          <w:szCs w:val="24"/>
        </w:rPr>
        <w:tab/>
      </w:r>
      <w:r w:rsidR="00EE45C2" w:rsidRPr="001424F6">
        <w:rPr>
          <w:rFonts w:ascii="Arial" w:hAnsi="Arial" w:cs="Arial"/>
          <w:i/>
          <w:sz w:val="24"/>
          <w:szCs w:val="24"/>
        </w:rPr>
        <w:t xml:space="preserve">Irregularities in the actions taken by the </w:t>
      </w:r>
      <w:r w:rsidR="0076023A" w:rsidRPr="001424F6">
        <w:rPr>
          <w:rFonts w:ascii="Arial" w:hAnsi="Arial" w:cs="Arial"/>
          <w:i/>
          <w:sz w:val="24"/>
          <w:szCs w:val="24"/>
        </w:rPr>
        <w:t>deputy-sheriff</w:t>
      </w:r>
      <w:r w:rsidR="0076023A" w:rsidRPr="001424F6">
        <w:rPr>
          <w:rFonts w:ascii="Arial" w:hAnsi="Arial" w:cs="Arial"/>
          <w:sz w:val="24"/>
          <w:szCs w:val="24"/>
        </w:rPr>
        <w:t xml:space="preserve"> </w:t>
      </w:r>
      <w:r w:rsidR="00EE45C2" w:rsidRPr="001424F6">
        <w:rPr>
          <w:rFonts w:ascii="Arial" w:hAnsi="Arial" w:cs="Arial"/>
          <w:i/>
          <w:sz w:val="24"/>
          <w:szCs w:val="24"/>
        </w:rPr>
        <w:t xml:space="preserve">in respect of the sale in execution: </w:t>
      </w:r>
      <w:r w:rsidR="00EE45C2" w:rsidRPr="001424F6">
        <w:rPr>
          <w:rFonts w:ascii="Arial" w:hAnsi="Arial" w:cs="Arial"/>
          <w:sz w:val="24"/>
          <w:szCs w:val="24"/>
        </w:rPr>
        <w:t>Mr Colmer states that h</w:t>
      </w:r>
      <w:r w:rsidR="00496A5E" w:rsidRPr="001424F6">
        <w:rPr>
          <w:rFonts w:ascii="Arial" w:hAnsi="Arial" w:cs="Arial"/>
          <w:sz w:val="24"/>
          <w:szCs w:val="24"/>
        </w:rPr>
        <w:t>e has no knowledge of the WhatsA</w:t>
      </w:r>
      <w:r w:rsidR="00EE45C2" w:rsidRPr="001424F6">
        <w:rPr>
          <w:rFonts w:ascii="Arial" w:hAnsi="Arial" w:cs="Arial"/>
          <w:sz w:val="24"/>
          <w:szCs w:val="24"/>
        </w:rPr>
        <w:t xml:space="preserve">pp groups created by the </w:t>
      </w:r>
      <w:r w:rsidR="0076023A" w:rsidRPr="001424F6">
        <w:rPr>
          <w:rFonts w:ascii="Arial" w:hAnsi="Arial" w:cs="Arial"/>
          <w:sz w:val="24"/>
          <w:szCs w:val="24"/>
        </w:rPr>
        <w:t>deputy-sheriff</w:t>
      </w:r>
      <w:r w:rsidR="00EE45C2" w:rsidRPr="001424F6">
        <w:rPr>
          <w:rFonts w:ascii="Arial" w:hAnsi="Arial" w:cs="Arial"/>
          <w:sz w:val="24"/>
          <w:szCs w:val="24"/>
        </w:rPr>
        <w:t>, generally or in this particular matter. Mr Colmer however</w:t>
      </w:r>
      <w:r w:rsidR="00496A5E" w:rsidRPr="001424F6">
        <w:rPr>
          <w:rFonts w:ascii="Arial" w:hAnsi="Arial" w:cs="Arial"/>
          <w:sz w:val="24"/>
          <w:szCs w:val="24"/>
        </w:rPr>
        <w:t>,</w:t>
      </w:r>
      <w:r w:rsidR="00EE45C2" w:rsidRPr="001424F6">
        <w:rPr>
          <w:rFonts w:ascii="Arial" w:hAnsi="Arial" w:cs="Arial"/>
          <w:sz w:val="24"/>
          <w:szCs w:val="24"/>
        </w:rPr>
        <w:t xml:space="preserve"> submits that on the face of it</w:t>
      </w:r>
      <w:r w:rsidR="00784764" w:rsidRPr="001424F6">
        <w:rPr>
          <w:rFonts w:ascii="Arial" w:hAnsi="Arial" w:cs="Arial"/>
          <w:sz w:val="24"/>
          <w:szCs w:val="24"/>
        </w:rPr>
        <w:t>,</w:t>
      </w:r>
      <w:r w:rsidR="00EE45C2" w:rsidRPr="001424F6">
        <w:rPr>
          <w:rFonts w:ascii="Arial" w:hAnsi="Arial" w:cs="Arial"/>
          <w:sz w:val="24"/>
          <w:szCs w:val="24"/>
        </w:rPr>
        <w:t xml:space="preserve"> the fact that the </w:t>
      </w:r>
      <w:r w:rsidR="0076023A" w:rsidRPr="001424F6">
        <w:rPr>
          <w:rFonts w:ascii="Arial" w:hAnsi="Arial" w:cs="Arial"/>
          <w:sz w:val="24"/>
          <w:szCs w:val="24"/>
        </w:rPr>
        <w:t xml:space="preserve">deputy-sheriff </w:t>
      </w:r>
      <w:r w:rsidR="00EE45C2" w:rsidRPr="001424F6">
        <w:rPr>
          <w:rFonts w:ascii="Arial" w:hAnsi="Arial" w:cs="Arial"/>
          <w:sz w:val="24"/>
          <w:szCs w:val="24"/>
        </w:rPr>
        <w:t xml:space="preserve">took additional steps by circulating the notice of the sale </w:t>
      </w:r>
      <w:r w:rsidR="00B71940" w:rsidRPr="001424F6">
        <w:rPr>
          <w:rFonts w:ascii="Arial" w:hAnsi="Arial" w:cs="Arial"/>
          <w:sz w:val="24"/>
          <w:szCs w:val="24"/>
        </w:rPr>
        <w:t xml:space="preserve">on social media in addition to the publications stands to benefit the judgment debtor as the notice of sale was brought to the </w:t>
      </w:r>
      <w:r w:rsidR="00496A5E" w:rsidRPr="001424F6">
        <w:rPr>
          <w:rFonts w:ascii="Arial" w:hAnsi="Arial" w:cs="Arial"/>
          <w:sz w:val="24"/>
          <w:szCs w:val="24"/>
        </w:rPr>
        <w:t xml:space="preserve">attention of the </w:t>
      </w:r>
      <w:r w:rsidR="00B71940" w:rsidRPr="001424F6">
        <w:rPr>
          <w:rFonts w:ascii="Arial" w:hAnsi="Arial" w:cs="Arial"/>
          <w:sz w:val="24"/>
          <w:szCs w:val="24"/>
        </w:rPr>
        <w:t>wider public.</w:t>
      </w:r>
    </w:p>
    <w:p w14:paraId="07E3C91D" w14:textId="77777777" w:rsidR="001C0235" w:rsidRDefault="001C0235" w:rsidP="001C0235">
      <w:pPr>
        <w:spacing w:after="0" w:line="360" w:lineRule="auto"/>
        <w:jc w:val="both"/>
        <w:rPr>
          <w:rFonts w:ascii="Arial" w:hAnsi="Arial" w:cs="Arial"/>
          <w:sz w:val="24"/>
          <w:szCs w:val="24"/>
        </w:rPr>
      </w:pPr>
    </w:p>
    <w:p w14:paraId="48A713DC" w14:textId="53995DBD" w:rsidR="001C0235" w:rsidRPr="001424F6" w:rsidRDefault="001424F6" w:rsidP="001424F6">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71940" w:rsidRPr="001424F6">
        <w:rPr>
          <w:rFonts w:ascii="Arial" w:hAnsi="Arial" w:cs="Arial"/>
          <w:sz w:val="24"/>
          <w:szCs w:val="24"/>
        </w:rPr>
        <w:t xml:space="preserve">Mr Colmer is of the view that the complaints or grounds of review raised by the applicants are without merit and stand to be dismissed. </w:t>
      </w:r>
    </w:p>
    <w:p w14:paraId="4CB1ACD9" w14:textId="77777777" w:rsidR="00CE7CC4" w:rsidRDefault="00CE7CC4" w:rsidP="00CE7CC4">
      <w:pPr>
        <w:pStyle w:val="ListParagraph"/>
        <w:spacing w:after="0" w:line="360" w:lineRule="auto"/>
        <w:ind w:left="0"/>
        <w:jc w:val="both"/>
        <w:rPr>
          <w:rFonts w:ascii="Arial" w:hAnsi="Arial" w:cs="Arial"/>
          <w:sz w:val="24"/>
          <w:szCs w:val="24"/>
        </w:rPr>
      </w:pPr>
    </w:p>
    <w:p w14:paraId="5740D713" w14:textId="77777777" w:rsidR="00CE7CC4" w:rsidRPr="00992757" w:rsidRDefault="00CE7CC4" w:rsidP="00CE7CC4">
      <w:pPr>
        <w:pStyle w:val="ListParagraph"/>
        <w:spacing w:after="0" w:line="360" w:lineRule="auto"/>
        <w:ind w:left="0"/>
        <w:jc w:val="both"/>
        <w:rPr>
          <w:rFonts w:ascii="Arial" w:hAnsi="Arial" w:cs="Arial"/>
          <w:sz w:val="24"/>
          <w:szCs w:val="24"/>
          <w:u w:val="single"/>
        </w:rPr>
      </w:pPr>
      <w:r w:rsidRPr="00992757">
        <w:rPr>
          <w:rFonts w:ascii="Arial" w:hAnsi="Arial" w:cs="Arial"/>
          <w:sz w:val="24"/>
          <w:szCs w:val="24"/>
          <w:u w:val="single"/>
        </w:rPr>
        <w:t>Arguments advance</w:t>
      </w:r>
      <w:r w:rsidR="00496A5E" w:rsidRPr="00992757">
        <w:rPr>
          <w:rFonts w:ascii="Arial" w:hAnsi="Arial" w:cs="Arial"/>
          <w:sz w:val="24"/>
          <w:szCs w:val="24"/>
          <w:u w:val="single"/>
        </w:rPr>
        <w:t>d</w:t>
      </w:r>
    </w:p>
    <w:p w14:paraId="6D87D05D" w14:textId="77777777" w:rsidR="00982AC1" w:rsidRPr="00992757" w:rsidRDefault="00982AC1" w:rsidP="00CE7CC4">
      <w:pPr>
        <w:pStyle w:val="ListParagraph"/>
        <w:spacing w:after="0" w:line="360" w:lineRule="auto"/>
        <w:ind w:left="0"/>
        <w:jc w:val="both"/>
        <w:rPr>
          <w:rFonts w:ascii="Arial" w:hAnsi="Arial" w:cs="Arial"/>
          <w:sz w:val="24"/>
          <w:szCs w:val="24"/>
          <w:u w:val="single"/>
        </w:rPr>
      </w:pPr>
    </w:p>
    <w:p w14:paraId="0E515F2C" w14:textId="49604C66" w:rsidR="00982AC1" w:rsidRPr="00992757" w:rsidRDefault="001424F6" w:rsidP="001424F6">
      <w:pPr>
        <w:pStyle w:val="western"/>
        <w:shd w:val="clear" w:color="auto" w:fill="FFFFFF"/>
        <w:spacing w:before="0" w:beforeAutospacing="0" w:after="0" w:afterAutospacing="0" w:line="360" w:lineRule="auto"/>
        <w:jc w:val="both"/>
        <w:rPr>
          <w:rFonts w:ascii="Arial" w:hAnsi="Arial" w:cs="Arial"/>
          <w:shd w:val="clear" w:color="auto" w:fill="FFFFFF"/>
        </w:rPr>
      </w:pPr>
      <w:r w:rsidRPr="00992757">
        <w:rPr>
          <w:rFonts w:ascii="Arial" w:hAnsi="Arial" w:cs="Arial"/>
        </w:rPr>
        <w:t>[24]</w:t>
      </w:r>
      <w:r w:rsidRPr="00992757">
        <w:rPr>
          <w:rFonts w:ascii="Arial" w:hAnsi="Arial" w:cs="Arial"/>
        </w:rPr>
        <w:tab/>
      </w:r>
      <w:r w:rsidR="00982AC1" w:rsidRPr="00992757">
        <w:rPr>
          <w:rFonts w:ascii="Arial" w:hAnsi="Arial" w:cs="Arial"/>
        </w:rPr>
        <w:t>Both counsel advanced very able arguments not only in their written heads but also in their supplementary oral arguments. These arguments were comprehensive</w:t>
      </w:r>
      <w:r w:rsidR="00027997" w:rsidRPr="00992757">
        <w:rPr>
          <w:rFonts w:ascii="Arial" w:hAnsi="Arial" w:cs="Arial"/>
        </w:rPr>
        <w:t>,</w:t>
      </w:r>
      <w:r w:rsidR="00982AC1" w:rsidRPr="00992757">
        <w:rPr>
          <w:rFonts w:ascii="Arial" w:hAnsi="Arial" w:cs="Arial"/>
        </w:rPr>
        <w:t xml:space="preserve"> and </w:t>
      </w:r>
      <w:r w:rsidR="00982AC1" w:rsidRPr="00992757">
        <w:rPr>
          <w:rFonts w:ascii="Arial" w:hAnsi="Arial" w:cs="Arial"/>
        </w:rPr>
        <w:lastRenderedPageBreak/>
        <w:t>I will not attempt to replicate them. Instead, I will attempt to lift out the major points made by the respective counsel in support of their arguments</w:t>
      </w:r>
      <w:r w:rsidR="00992757" w:rsidRPr="00992757">
        <w:rPr>
          <w:rFonts w:ascii="Arial" w:hAnsi="Arial" w:cs="Arial"/>
        </w:rPr>
        <w:t xml:space="preserve"> during my discussion hereunder</w:t>
      </w:r>
      <w:r w:rsidR="00982AC1" w:rsidRPr="00992757">
        <w:rPr>
          <w:rFonts w:ascii="Arial" w:hAnsi="Arial" w:cs="Arial"/>
        </w:rPr>
        <w:t xml:space="preserve">. </w:t>
      </w:r>
    </w:p>
    <w:p w14:paraId="62BCD74D" w14:textId="77777777" w:rsidR="00982AC1" w:rsidRPr="00992757" w:rsidRDefault="00982AC1" w:rsidP="00982AC1">
      <w:pPr>
        <w:pStyle w:val="western"/>
        <w:shd w:val="clear" w:color="auto" w:fill="FFFFFF"/>
        <w:spacing w:before="0" w:beforeAutospacing="0" w:after="0" w:afterAutospacing="0" w:line="360" w:lineRule="auto"/>
        <w:jc w:val="both"/>
        <w:rPr>
          <w:rFonts w:ascii="Arial" w:hAnsi="Arial" w:cs="Arial"/>
          <w:shd w:val="clear" w:color="auto" w:fill="FFFFFF"/>
        </w:rPr>
      </w:pPr>
    </w:p>
    <w:p w14:paraId="019C8748" w14:textId="1946BA28" w:rsidR="00982AC1" w:rsidRPr="00982AC1" w:rsidRDefault="001424F6" w:rsidP="001424F6">
      <w:pPr>
        <w:pStyle w:val="western"/>
        <w:shd w:val="clear" w:color="auto" w:fill="FFFFFF"/>
        <w:spacing w:before="0" w:beforeAutospacing="0" w:after="0" w:afterAutospacing="0" w:line="360" w:lineRule="auto"/>
        <w:jc w:val="both"/>
        <w:rPr>
          <w:rFonts w:ascii="Arial" w:hAnsi="Arial" w:cs="Arial"/>
          <w:shd w:val="clear" w:color="auto" w:fill="FFFFFF"/>
        </w:rPr>
      </w:pPr>
      <w:r w:rsidRPr="00982AC1">
        <w:rPr>
          <w:rFonts w:ascii="Arial" w:hAnsi="Arial" w:cs="Arial"/>
        </w:rPr>
        <w:t>[25]</w:t>
      </w:r>
      <w:r w:rsidRPr="00982AC1">
        <w:rPr>
          <w:rFonts w:ascii="Arial" w:hAnsi="Arial" w:cs="Arial"/>
        </w:rPr>
        <w:tab/>
      </w:r>
      <w:r w:rsidR="00496A5E" w:rsidRPr="00992757">
        <w:rPr>
          <w:rFonts w:ascii="Arial" w:hAnsi="Arial" w:cs="Arial"/>
          <w:shd w:val="clear" w:color="auto" w:fill="FFFFFF"/>
        </w:rPr>
        <w:t xml:space="preserve">Where </w:t>
      </w:r>
      <w:r w:rsidR="00982AC1" w:rsidRPr="00992757">
        <w:rPr>
          <w:rFonts w:ascii="Arial" w:hAnsi="Arial" w:cs="Arial"/>
          <w:shd w:val="clear" w:color="auto" w:fill="FFFFFF"/>
        </w:rPr>
        <w:t>in the</w:t>
      </w:r>
      <w:r w:rsidR="00982AC1" w:rsidRPr="00982AC1">
        <w:rPr>
          <w:rFonts w:ascii="Arial" w:hAnsi="Arial" w:cs="Arial"/>
          <w:shd w:val="clear" w:color="auto" w:fill="FFFFFF"/>
        </w:rPr>
        <w:t xml:space="preserve"> course of this judgment</w:t>
      </w:r>
      <w:r w:rsidR="00027997">
        <w:rPr>
          <w:rFonts w:ascii="Arial" w:hAnsi="Arial" w:cs="Arial"/>
          <w:shd w:val="clear" w:color="auto" w:fill="FFFFFF"/>
        </w:rPr>
        <w:t>,</w:t>
      </w:r>
      <w:r w:rsidR="00982AC1" w:rsidRPr="00982AC1">
        <w:rPr>
          <w:rFonts w:ascii="Arial" w:hAnsi="Arial" w:cs="Arial"/>
          <w:shd w:val="clear" w:color="auto" w:fill="FFFFFF"/>
        </w:rPr>
        <w:t xml:space="preserve"> I use the words ‘submit’ and ‘argue’ and their derivatives, they must be understood to encompass both the heads of arguments and the oral submissions made in court.</w:t>
      </w:r>
    </w:p>
    <w:p w14:paraId="6CFE949E" w14:textId="77777777" w:rsidR="00142F09" w:rsidRPr="00142F09" w:rsidRDefault="00142F09" w:rsidP="00CE7CC4">
      <w:pPr>
        <w:pStyle w:val="ListParagraph"/>
        <w:spacing w:after="0" w:line="360" w:lineRule="auto"/>
        <w:ind w:left="0"/>
        <w:jc w:val="both"/>
        <w:rPr>
          <w:rFonts w:ascii="Arial" w:hAnsi="Arial" w:cs="Arial"/>
          <w:sz w:val="24"/>
          <w:szCs w:val="24"/>
          <w:u w:val="single"/>
        </w:rPr>
      </w:pPr>
    </w:p>
    <w:p w14:paraId="7D986BD4" w14:textId="77777777" w:rsidR="00A7436A" w:rsidRPr="00A7436A" w:rsidRDefault="00A7436A" w:rsidP="00A7436A">
      <w:pPr>
        <w:pStyle w:val="ListParagraph"/>
        <w:rPr>
          <w:rFonts w:ascii="Arial" w:hAnsi="Arial" w:cs="Arial"/>
          <w:i/>
          <w:sz w:val="24"/>
          <w:szCs w:val="24"/>
        </w:rPr>
      </w:pPr>
    </w:p>
    <w:p w14:paraId="5B6DA81D" w14:textId="77777777" w:rsidR="00FF1347" w:rsidRDefault="001E4AE0" w:rsidP="001E4AE0">
      <w:pPr>
        <w:pStyle w:val="Heading1"/>
      </w:pPr>
      <w:r w:rsidRPr="001E4AE0">
        <w:t xml:space="preserve">Discussion </w:t>
      </w:r>
    </w:p>
    <w:p w14:paraId="18D7435E" w14:textId="77777777" w:rsidR="000C6042" w:rsidRPr="000C6042" w:rsidRDefault="000C6042" w:rsidP="000C6042"/>
    <w:p w14:paraId="15403708" w14:textId="77777777" w:rsidR="00FF1347" w:rsidRDefault="009D33CE" w:rsidP="00FF1347">
      <w:pPr>
        <w:pStyle w:val="ListParagraph"/>
        <w:spacing w:after="0" w:line="360" w:lineRule="auto"/>
        <w:ind w:left="0"/>
        <w:jc w:val="both"/>
        <w:rPr>
          <w:rFonts w:ascii="Arial" w:hAnsi="Arial" w:cs="Arial"/>
          <w:i/>
          <w:sz w:val="24"/>
          <w:szCs w:val="24"/>
        </w:rPr>
      </w:pPr>
      <w:r w:rsidRPr="009D33CE">
        <w:rPr>
          <w:rFonts w:ascii="Arial" w:hAnsi="Arial" w:cs="Arial"/>
          <w:i/>
          <w:sz w:val="24"/>
          <w:szCs w:val="24"/>
        </w:rPr>
        <w:t>Point in limine</w:t>
      </w:r>
    </w:p>
    <w:p w14:paraId="5B8BE521" w14:textId="77777777" w:rsidR="001E1CC3" w:rsidRPr="009D33CE" w:rsidRDefault="001E1CC3" w:rsidP="00FF1347">
      <w:pPr>
        <w:pStyle w:val="ListParagraph"/>
        <w:spacing w:after="0" w:line="360" w:lineRule="auto"/>
        <w:ind w:left="0"/>
        <w:jc w:val="both"/>
        <w:rPr>
          <w:rFonts w:ascii="Arial" w:hAnsi="Arial" w:cs="Arial"/>
          <w:i/>
          <w:sz w:val="24"/>
          <w:szCs w:val="24"/>
        </w:rPr>
      </w:pPr>
    </w:p>
    <w:p w14:paraId="20E1F7CF" w14:textId="358DBADF" w:rsidR="002D69BB" w:rsidRPr="001424F6" w:rsidRDefault="001424F6" w:rsidP="001424F6">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C6042" w:rsidRPr="001424F6">
        <w:rPr>
          <w:rFonts w:ascii="Arial" w:hAnsi="Arial" w:cs="Arial"/>
          <w:sz w:val="24"/>
          <w:szCs w:val="24"/>
        </w:rPr>
        <w:t xml:space="preserve">The regulatory framework within </w:t>
      </w:r>
      <w:r w:rsidR="00F853C2" w:rsidRPr="001424F6">
        <w:rPr>
          <w:rFonts w:ascii="Arial" w:hAnsi="Arial" w:cs="Arial"/>
          <w:sz w:val="24"/>
          <w:szCs w:val="24"/>
        </w:rPr>
        <w:t>which t</w:t>
      </w:r>
      <w:r w:rsidR="009D33CE" w:rsidRPr="001424F6">
        <w:rPr>
          <w:rFonts w:ascii="Arial" w:hAnsi="Arial" w:cs="Arial"/>
          <w:sz w:val="24"/>
          <w:szCs w:val="24"/>
        </w:rPr>
        <w:t xml:space="preserve">he </w:t>
      </w:r>
      <w:r w:rsidR="00D934D0" w:rsidRPr="001424F6">
        <w:rPr>
          <w:rFonts w:ascii="Arial" w:hAnsi="Arial" w:cs="Arial"/>
          <w:sz w:val="24"/>
          <w:szCs w:val="24"/>
        </w:rPr>
        <w:t xml:space="preserve">deputy-sheriff is appointed </w:t>
      </w:r>
      <w:r w:rsidR="00F853C2" w:rsidRPr="001424F6">
        <w:rPr>
          <w:rFonts w:ascii="Arial" w:hAnsi="Arial" w:cs="Arial"/>
          <w:sz w:val="24"/>
          <w:szCs w:val="24"/>
        </w:rPr>
        <w:t>is</w:t>
      </w:r>
      <w:r w:rsidR="00D934D0" w:rsidRPr="001424F6">
        <w:rPr>
          <w:rFonts w:ascii="Arial" w:hAnsi="Arial" w:cs="Arial"/>
          <w:sz w:val="24"/>
          <w:szCs w:val="24"/>
        </w:rPr>
        <w:t xml:space="preserve"> s 30(1) of the High Court Act 16 of 1990</w:t>
      </w:r>
      <w:r w:rsidR="00F853C2" w:rsidRPr="001424F6">
        <w:rPr>
          <w:rFonts w:ascii="Arial" w:hAnsi="Arial" w:cs="Arial"/>
          <w:sz w:val="24"/>
          <w:szCs w:val="24"/>
        </w:rPr>
        <w:t>,</w:t>
      </w:r>
      <w:r w:rsidR="00D934D0" w:rsidRPr="001424F6">
        <w:rPr>
          <w:rFonts w:ascii="Arial" w:hAnsi="Arial" w:cs="Arial"/>
          <w:sz w:val="24"/>
          <w:szCs w:val="24"/>
        </w:rPr>
        <w:t xml:space="preserve"> which reads as follows:</w:t>
      </w:r>
    </w:p>
    <w:p w14:paraId="17EC8B5B" w14:textId="77777777" w:rsidR="001E1CC3" w:rsidRDefault="001E1CC3" w:rsidP="001E1CC3">
      <w:pPr>
        <w:pStyle w:val="ListParagraph"/>
        <w:spacing w:after="0" w:line="360" w:lineRule="auto"/>
        <w:ind w:left="0"/>
        <w:jc w:val="both"/>
        <w:rPr>
          <w:rFonts w:ascii="Arial" w:hAnsi="Arial" w:cs="Arial"/>
          <w:sz w:val="24"/>
          <w:szCs w:val="24"/>
        </w:rPr>
      </w:pPr>
    </w:p>
    <w:p w14:paraId="68AADCA6" w14:textId="77777777" w:rsidR="00210C10" w:rsidRDefault="00210C10" w:rsidP="00210C10">
      <w:pPr>
        <w:pStyle w:val="ListParagraph"/>
        <w:spacing w:after="0" w:line="360" w:lineRule="auto"/>
        <w:ind w:left="0" w:firstLine="720"/>
        <w:jc w:val="both"/>
        <w:rPr>
          <w:rFonts w:ascii="Arial" w:hAnsi="Arial" w:cs="Arial"/>
        </w:rPr>
      </w:pPr>
      <w:r>
        <w:rPr>
          <w:rFonts w:ascii="Arial" w:hAnsi="Arial" w:cs="Arial"/>
        </w:rPr>
        <w:t>‘</w:t>
      </w:r>
      <w:r w:rsidR="00D934D0" w:rsidRPr="00210C10">
        <w:rPr>
          <w:rFonts w:ascii="Arial" w:hAnsi="Arial" w:cs="Arial"/>
        </w:rPr>
        <w:t xml:space="preserve">30 Appointment of officers of High Court </w:t>
      </w:r>
    </w:p>
    <w:p w14:paraId="7DDFCE27" w14:textId="77777777" w:rsidR="00D934D0" w:rsidRDefault="00D934D0" w:rsidP="00210C10">
      <w:pPr>
        <w:pStyle w:val="ListParagraph"/>
        <w:spacing w:after="0" w:line="360" w:lineRule="auto"/>
        <w:ind w:left="0"/>
        <w:jc w:val="both"/>
        <w:rPr>
          <w:rFonts w:ascii="Arial" w:hAnsi="Arial" w:cs="Arial"/>
        </w:rPr>
      </w:pPr>
      <w:r w:rsidRPr="00210C10">
        <w:rPr>
          <w:rFonts w:ascii="Arial" w:hAnsi="Arial" w:cs="Arial"/>
        </w:rPr>
        <w:t>(1)(</w:t>
      </w:r>
      <w:r w:rsidRPr="001E1CC3">
        <w:rPr>
          <w:rFonts w:ascii="Arial" w:hAnsi="Arial" w:cs="Arial"/>
          <w:i/>
        </w:rPr>
        <w:t>a</w:t>
      </w:r>
      <w:r w:rsidRPr="00210C10">
        <w:rPr>
          <w:rFonts w:ascii="Arial" w:hAnsi="Arial" w:cs="Arial"/>
        </w:rPr>
        <w:t>) The Minister may, subject to the laws governing the public service, appoint for the High Court a registrar and such deputy-registrars, assistant registrars, sheriffs, deputy-sheriffs and other officers as may be required for the administration of justice or the execution of the powers and authority of the said court: Provided that if, in the opinion of the Minister the duties of such deputy-sheriff can be performed satisfactorily or with a reduction in governmental cost by a person who is not an officer in the public service, the Minister may appoint any person as such deputy-sheriff at such remuneration and on such conditions as the Minister may determine.</w:t>
      </w:r>
      <w:r w:rsidR="00210C10">
        <w:rPr>
          <w:rFonts w:ascii="Arial" w:hAnsi="Arial" w:cs="Arial"/>
        </w:rPr>
        <w:t>’</w:t>
      </w:r>
    </w:p>
    <w:p w14:paraId="0DF4A60E" w14:textId="77777777" w:rsidR="00210C10" w:rsidRDefault="00210C10" w:rsidP="00210C10">
      <w:pPr>
        <w:pStyle w:val="ListParagraph"/>
        <w:spacing w:after="0" w:line="360" w:lineRule="auto"/>
        <w:ind w:left="0"/>
        <w:jc w:val="both"/>
        <w:rPr>
          <w:rFonts w:ascii="Arial" w:hAnsi="Arial" w:cs="Arial"/>
        </w:rPr>
      </w:pPr>
    </w:p>
    <w:p w14:paraId="7D933289" w14:textId="5A6AABB6" w:rsidR="00210C10" w:rsidRPr="00630C23" w:rsidRDefault="001424F6" w:rsidP="001424F6">
      <w:pPr>
        <w:pStyle w:val="Heading1"/>
        <w:shd w:val="clear" w:color="auto" w:fill="FFFFFF"/>
        <w:rPr>
          <w:color w:val="212529"/>
          <w:u w:val="none"/>
          <w:lang w:val="en-GB"/>
        </w:rPr>
      </w:pPr>
      <w:r w:rsidRPr="00630C23">
        <w:rPr>
          <w:color w:val="212529"/>
          <w:u w:val="none"/>
          <w:lang w:val="en-GB"/>
        </w:rPr>
        <w:t>[27]</w:t>
      </w:r>
      <w:r w:rsidRPr="00630C23">
        <w:rPr>
          <w:color w:val="212529"/>
          <w:u w:val="none"/>
          <w:lang w:val="en-GB"/>
        </w:rPr>
        <w:tab/>
      </w:r>
      <w:r w:rsidR="00630C23" w:rsidRPr="00630C23">
        <w:rPr>
          <w:bCs/>
          <w:color w:val="212529"/>
          <w:u w:val="none"/>
          <w:lang w:val="en-GB"/>
        </w:rPr>
        <w:t>Section 32 deals with the execution of process and the obligation and duty of the deputy sheriff to execute all judgments, writs, orders, warrants, commands and processes of this court. </w:t>
      </w:r>
      <w:r w:rsidR="00630C23">
        <w:rPr>
          <w:bCs/>
          <w:color w:val="212529"/>
          <w:u w:val="none"/>
          <w:lang w:val="en-GB"/>
        </w:rPr>
        <w:t>Section 32 reads as follows:</w:t>
      </w:r>
    </w:p>
    <w:p w14:paraId="1306AE9A" w14:textId="77777777" w:rsidR="00210C10" w:rsidRDefault="00210C10" w:rsidP="00210C10">
      <w:pPr>
        <w:pStyle w:val="ListParagraph"/>
        <w:spacing w:after="0" w:line="360" w:lineRule="auto"/>
        <w:ind w:left="0" w:firstLine="720"/>
        <w:jc w:val="both"/>
        <w:rPr>
          <w:rFonts w:ascii="Arial" w:hAnsi="Arial" w:cs="Arial"/>
        </w:rPr>
      </w:pPr>
    </w:p>
    <w:p w14:paraId="0265151A" w14:textId="77777777" w:rsidR="00210C10" w:rsidRDefault="00210C10" w:rsidP="00210C10">
      <w:pPr>
        <w:pStyle w:val="ListParagraph"/>
        <w:spacing w:after="0" w:line="360" w:lineRule="auto"/>
        <w:ind w:left="0" w:firstLine="720"/>
        <w:jc w:val="both"/>
        <w:rPr>
          <w:rFonts w:ascii="Arial" w:hAnsi="Arial" w:cs="Arial"/>
        </w:rPr>
      </w:pPr>
      <w:r>
        <w:rPr>
          <w:rFonts w:ascii="Arial" w:hAnsi="Arial" w:cs="Arial"/>
        </w:rPr>
        <w:t>‘</w:t>
      </w:r>
      <w:r w:rsidRPr="00210C10">
        <w:rPr>
          <w:rFonts w:ascii="Arial" w:hAnsi="Arial" w:cs="Arial"/>
        </w:rPr>
        <w:t xml:space="preserve">32 Execution of process </w:t>
      </w:r>
    </w:p>
    <w:p w14:paraId="7AE74109" w14:textId="5DA33D11" w:rsidR="00630C23" w:rsidRPr="001424F6" w:rsidRDefault="001424F6" w:rsidP="001424F6">
      <w:pPr>
        <w:spacing w:after="0" w:line="360" w:lineRule="auto"/>
        <w:ind w:firstLine="357"/>
        <w:jc w:val="both"/>
        <w:rPr>
          <w:rFonts w:ascii="Arial" w:hAnsi="Arial" w:cs="Arial"/>
        </w:rPr>
      </w:pPr>
      <w:r>
        <w:rPr>
          <w:rFonts w:ascii="Arial" w:hAnsi="Arial" w:cs="Arial"/>
        </w:rPr>
        <w:t>(1)</w:t>
      </w:r>
      <w:r>
        <w:rPr>
          <w:rFonts w:ascii="Arial" w:hAnsi="Arial" w:cs="Arial"/>
        </w:rPr>
        <w:tab/>
      </w:r>
      <w:r w:rsidR="00210C10" w:rsidRPr="001424F6">
        <w:rPr>
          <w:rFonts w:ascii="Arial" w:hAnsi="Arial" w:cs="Arial"/>
        </w:rPr>
        <w:t xml:space="preserve">The sheriff or the deputy-sheriff concerned or his or her assistant shall execute all sentences, decrees, judgments, writs, summonses, rules, orders, warrants, commands and </w:t>
      </w:r>
      <w:r w:rsidR="00210C10" w:rsidRPr="001424F6">
        <w:rPr>
          <w:rFonts w:ascii="Arial" w:hAnsi="Arial" w:cs="Arial"/>
        </w:rPr>
        <w:lastRenderedPageBreak/>
        <w:t>processes of the High Court directed to the sheriff and make return of the manner of execution thereof to the court and to the party at whose instance they were issued.</w:t>
      </w:r>
    </w:p>
    <w:p w14:paraId="14B6F820" w14:textId="365975EA" w:rsidR="00630C23" w:rsidRPr="001424F6" w:rsidRDefault="001424F6" w:rsidP="001424F6">
      <w:pPr>
        <w:spacing w:after="0" w:line="360" w:lineRule="auto"/>
        <w:jc w:val="both"/>
        <w:rPr>
          <w:rFonts w:ascii="Arial" w:hAnsi="Arial" w:cs="Arial"/>
          <w:sz w:val="24"/>
          <w:szCs w:val="24"/>
        </w:rPr>
      </w:pPr>
      <w:r w:rsidRPr="00630C23">
        <w:rPr>
          <w:rFonts w:ascii="Arial" w:hAnsi="Arial" w:cs="Arial"/>
          <w:sz w:val="24"/>
          <w:szCs w:val="24"/>
        </w:rPr>
        <w:t>(2)</w:t>
      </w:r>
      <w:r w:rsidRPr="00630C23">
        <w:rPr>
          <w:rFonts w:ascii="Arial" w:hAnsi="Arial" w:cs="Arial"/>
          <w:sz w:val="24"/>
          <w:szCs w:val="24"/>
        </w:rPr>
        <w:tab/>
      </w:r>
      <w:r w:rsidR="00630C23" w:rsidRPr="001424F6">
        <w:rPr>
          <w:rFonts w:ascii="Arial" w:hAnsi="Arial" w:cs="Arial"/>
        </w:rPr>
        <w:t>The return of such sheriff or a deputy-sheriff or his or her assistant of the steps taken in connection with any such process of the High Court, shall be prima facie evidence of the matters stated therein.</w:t>
      </w:r>
    </w:p>
    <w:p w14:paraId="4A59A5C9" w14:textId="16215BCF" w:rsidR="00630C23" w:rsidRPr="001424F6" w:rsidRDefault="001424F6" w:rsidP="001424F6">
      <w:pPr>
        <w:spacing w:after="0" w:line="360" w:lineRule="auto"/>
        <w:jc w:val="both"/>
        <w:rPr>
          <w:rFonts w:ascii="Arial" w:hAnsi="Arial" w:cs="Arial"/>
          <w:sz w:val="24"/>
          <w:szCs w:val="24"/>
        </w:rPr>
      </w:pPr>
      <w:r w:rsidRPr="00630C23">
        <w:rPr>
          <w:rFonts w:ascii="Arial" w:hAnsi="Arial" w:cs="Arial"/>
          <w:sz w:val="24"/>
          <w:szCs w:val="24"/>
        </w:rPr>
        <w:t>(3)</w:t>
      </w:r>
      <w:r w:rsidRPr="00630C23">
        <w:rPr>
          <w:rFonts w:ascii="Arial" w:hAnsi="Arial" w:cs="Arial"/>
          <w:sz w:val="24"/>
          <w:szCs w:val="24"/>
        </w:rPr>
        <w:tab/>
      </w:r>
      <w:r w:rsidR="00FC45B7" w:rsidRPr="001424F6">
        <w:rPr>
          <w:rFonts w:ascii="Arial" w:hAnsi="Arial" w:cs="Arial"/>
        </w:rPr>
        <w:t>T</w:t>
      </w:r>
      <w:r w:rsidR="00630C23" w:rsidRPr="001424F6">
        <w:rPr>
          <w:rFonts w:ascii="Arial" w:hAnsi="Arial" w:cs="Arial"/>
        </w:rPr>
        <w:t xml:space="preserve">he Sheriff shall receive and cause to be detained all persons arrested by order of the High Court or committed to his or her custody by any order of that court, or by any competent authority authorised by this Act. </w:t>
      </w:r>
    </w:p>
    <w:p w14:paraId="6C39F8C4" w14:textId="763289F5" w:rsidR="000B75B9" w:rsidRPr="001424F6" w:rsidRDefault="001424F6" w:rsidP="001424F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0C23" w:rsidRPr="001424F6">
        <w:rPr>
          <w:rFonts w:ascii="Arial" w:hAnsi="Arial" w:cs="Arial"/>
        </w:rPr>
        <w:t>A refusal by such sheriff or any deputy-sheriff to perform any act which he or she is by law empowered to perform, shall be subject to review by the High Court on application ex parte or on notice, as the circumstances may require.</w:t>
      </w:r>
      <w:r w:rsidR="00210C10" w:rsidRPr="001424F6">
        <w:rPr>
          <w:rFonts w:ascii="Arial" w:hAnsi="Arial" w:cs="Arial"/>
        </w:rPr>
        <w:t>’</w:t>
      </w:r>
    </w:p>
    <w:p w14:paraId="070974DD" w14:textId="77777777" w:rsidR="000B75B9" w:rsidRPr="00984347" w:rsidRDefault="000B75B9" w:rsidP="00984347">
      <w:pPr>
        <w:pStyle w:val="Style8"/>
        <w:widowControl/>
        <w:autoSpaceDE/>
        <w:autoSpaceDN/>
        <w:adjustRightInd/>
        <w:spacing w:line="360" w:lineRule="auto"/>
        <w:rPr>
          <w:rFonts w:eastAsiaTheme="minorHAnsi"/>
          <w:lang w:eastAsia="en-US" w:bidi="ar-SA"/>
        </w:rPr>
      </w:pPr>
    </w:p>
    <w:p w14:paraId="10D4E6EE" w14:textId="2DBDF257" w:rsidR="00FC612B" w:rsidRPr="001424F6" w:rsidRDefault="001424F6" w:rsidP="001424F6">
      <w:pPr>
        <w:spacing w:after="0" w:line="360" w:lineRule="auto"/>
        <w:jc w:val="both"/>
        <w:rPr>
          <w:rFonts w:ascii="Arial" w:hAnsi="Arial" w:cs="Arial"/>
          <w:sz w:val="24"/>
          <w:szCs w:val="24"/>
        </w:rPr>
      </w:pPr>
      <w:r w:rsidRPr="00FC612B">
        <w:rPr>
          <w:rFonts w:ascii="Arial" w:hAnsi="Arial" w:cs="Arial"/>
          <w:sz w:val="24"/>
          <w:szCs w:val="24"/>
        </w:rPr>
        <w:t>[28]</w:t>
      </w:r>
      <w:r w:rsidRPr="00FC612B">
        <w:rPr>
          <w:rFonts w:ascii="Arial" w:hAnsi="Arial" w:cs="Arial"/>
          <w:sz w:val="24"/>
          <w:szCs w:val="24"/>
        </w:rPr>
        <w:tab/>
      </w:r>
      <w:r w:rsidR="00A87E41" w:rsidRPr="001424F6">
        <w:rPr>
          <w:rFonts w:ascii="Arial" w:hAnsi="Arial" w:cs="Arial"/>
          <w:sz w:val="24"/>
          <w:szCs w:val="24"/>
        </w:rPr>
        <w:t xml:space="preserve">From subrule (4) it is quite clear that the refusal of a deputy-sheriff to perform </w:t>
      </w:r>
      <w:r w:rsidR="00E94A75" w:rsidRPr="001424F6">
        <w:rPr>
          <w:rFonts w:ascii="Arial" w:hAnsi="Arial" w:cs="Arial"/>
          <w:sz w:val="24"/>
          <w:szCs w:val="24"/>
        </w:rPr>
        <w:t>an</w:t>
      </w:r>
      <w:r w:rsidR="00A87E41" w:rsidRPr="001424F6">
        <w:rPr>
          <w:rFonts w:ascii="Arial" w:hAnsi="Arial" w:cs="Arial"/>
          <w:sz w:val="24"/>
          <w:szCs w:val="24"/>
        </w:rPr>
        <w:t xml:space="preserve"> act that he is by law empowered to perform shall be subject to review by this court. The review application in the current context is not about the </w:t>
      </w:r>
      <w:r w:rsidR="001E1CC3" w:rsidRPr="001424F6">
        <w:rPr>
          <w:rFonts w:ascii="Arial" w:hAnsi="Arial" w:cs="Arial"/>
          <w:sz w:val="24"/>
          <w:szCs w:val="24"/>
        </w:rPr>
        <w:t>deputy-</w:t>
      </w:r>
      <w:r w:rsidR="00E94A75" w:rsidRPr="001424F6">
        <w:rPr>
          <w:rFonts w:ascii="Arial" w:hAnsi="Arial" w:cs="Arial"/>
          <w:sz w:val="24"/>
          <w:szCs w:val="24"/>
        </w:rPr>
        <w:t>sheriff’s</w:t>
      </w:r>
      <w:r w:rsidR="00A87E41" w:rsidRPr="001424F6">
        <w:rPr>
          <w:rFonts w:ascii="Arial" w:hAnsi="Arial" w:cs="Arial"/>
          <w:sz w:val="24"/>
          <w:szCs w:val="24"/>
        </w:rPr>
        <w:t xml:space="preserve"> refusal to perform an act but rather </w:t>
      </w:r>
      <w:r w:rsidR="00984347" w:rsidRPr="001424F6">
        <w:rPr>
          <w:rFonts w:ascii="Arial" w:hAnsi="Arial" w:cs="Arial"/>
          <w:sz w:val="24"/>
          <w:szCs w:val="24"/>
        </w:rPr>
        <w:t xml:space="preserve">a </w:t>
      </w:r>
      <w:r w:rsidR="00A87E41" w:rsidRPr="001424F6">
        <w:rPr>
          <w:rFonts w:ascii="Arial" w:hAnsi="Arial" w:cs="Arial"/>
          <w:sz w:val="24"/>
          <w:szCs w:val="24"/>
        </w:rPr>
        <w:t xml:space="preserve">complaint regarding </w:t>
      </w:r>
      <w:r w:rsidR="00E94A75" w:rsidRPr="001424F6">
        <w:rPr>
          <w:rFonts w:ascii="Arial" w:hAnsi="Arial" w:cs="Arial"/>
          <w:sz w:val="24"/>
          <w:szCs w:val="24"/>
        </w:rPr>
        <w:t>non-compliance</w:t>
      </w:r>
      <w:r w:rsidR="00984347" w:rsidRPr="001424F6">
        <w:rPr>
          <w:rFonts w:ascii="Arial" w:hAnsi="Arial" w:cs="Arial"/>
          <w:sz w:val="24"/>
          <w:szCs w:val="24"/>
        </w:rPr>
        <w:t>s</w:t>
      </w:r>
      <w:r w:rsidR="00E94A75" w:rsidRPr="001424F6">
        <w:rPr>
          <w:rFonts w:ascii="Arial" w:hAnsi="Arial" w:cs="Arial"/>
          <w:sz w:val="24"/>
          <w:szCs w:val="24"/>
        </w:rPr>
        <w:t xml:space="preserve"> by the deputy-sheriff. </w:t>
      </w:r>
      <w:r w:rsidR="00FC612B" w:rsidRPr="001424F6">
        <w:rPr>
          <w:rFonts w:ascii="Arial" w:hAnsi="Arial" w:cs="Arial"/>
          <w:sz w:val="24"/>
          <w:szCs w:val="24"/>
        </w:rPr>
        <w:t xml:space="preserve">The argument advanced on behalf </w:t>
      </w:r>
      <w:r w:rsidR="003F2B3E" w:rsidRPr="001424F6">
        <w:rPr>
          <w:rFonts w:ascii="Arial" w:hAnsi="Arial" w:cs="Arial"/>
          <w:sz w:val="24"/>
          <w:szCs w:val="24"/>
        </w:rPr>
        <w:t xml:space="preserve">of the </w:t>
      </w:r>
      <w:r w:rsidR="00791754" w:rsidRPr="001424F6">
        <w:rPr>
          <w:rFonts w:ascii="Arial" w:hAnsi="Arial" w:cs="Arial"/>
          <w:sz w:val="24"/>
          <w:szCs w:val="24"/>
        </w:rPr>
        <w:t>Bank</w:t>
      </w:r>
      <w:r w:rsidR="003F2B3E" w:rsidRPr="001424F6">
        <w:rPr>
          <w:rFonts w:ascii="Arial" w:hAnsi="Arial" w:cs="Arial"/>
          <w:sz w:val="24"/>
          <w:szCs w:val="24"/>
        </w:rPr>
        <w:t xml:space="preserve"> </w:t>
      </w:r>
      <w:r w:rsidR="00FC612B" w:rsidRPr="001424F6">
        <w:rPr>
          <w:rFonts w:ascii="Arial" w:hAnsi="Arial" w:cs="Arial"/>
          <w:sz w:val="24"/>
          <w:szCs w:val="24"/>
        </w:rPr>
        <w:t xml:space="preserve">is not that the conduct of the deputy-sheriff is not reviewable but </w:t>
      </w:r>
      <w:r w:rsidR="00791754" w:rsidRPr="001424F6">
        <w:rPr>
          <w:rFonts w:ascii="Arial" w:hAnsi="Arial" w:cs="Arial"/>
          <w:sz w:val="24"/>
          <w:szCs w:val="24"/>
        </w:rPr>
        <w:t>it</w:t>
      </w:r>
      <w:r w:rsidR="003F2B3E" w:rsidRPr="001424F6">
        <w:rPr>
          <w:rFonts w:ascii="Arial" w:hAnsi="Arial" w:cs="Arial"/>
          <w:sz w:val="24"/>
          <w:szCs w:val="24"/>
        </w:rPr>
        <w:t xml:space="preserve"> </w:t>
      </w:r>
      <w:r w:rsidR="00FC612B" w:rsidRPr="001424F6">
        <w:rPr>
          <w:rFonts w:ascii="Arial" w:hAnsi="Arial" w:cs="Arial"/>
          <w:sz w:val="24"/>
          <w:szCs w:val="24"/>
        </w:rPr>
        <w:t>contended that review in terms of rule 76 in the current context is incompetent.</w:t>
      </w:r>
    </w:p>
    <w:p w14:paraId="52ABE51E" w14:textId="77777777" w:rsidR="00FC612B" w:rsidRPr="00FC612B" w:rsidRDefault="00FC612B" w:rsidP="00FC612B">
      <w:pPr>
        <w:pStyle w:val="ListParagraph"/>
        <w:spacing w:after="0" w:line="360" w:lineRule="auto"/>
        <w:ind w:left="0"/>
        <w:jc w:val="both"/>
        <w:rPr>
          <w:rFonts w:ascii="Arial" w:hAnsi="Arial" w:cs="Arial"/>
          <w:sz w:val="24"/>
          <w:szCs w:val="24"/>
        </w:rPr>
      </w:pPr>
    </w:p>
    <w:p w14:paraId="278193A1" w14:textId="6EAFDB85" w:rsidR="00FC612B" w:rsidRPr="001424F6" w:rsidRDefault="001424F6" w:rsidP="001424F6">
      <w:pPr>
        <w:spacing w:after="0" w:line="360" w:lineRule="auto"/>
        <w:jc w:val="both"/>
        <w:rPr>
          <w:rFonts w:ascii="Arial" w:hAnsi="Arial" w:cs="Arial"/>
          <w:sz w:val="24"/>
          <w:szCs w:val="24"/>
        </w:rPr>
      </w:pPr>
      <w:r w:rsidRPr="003F2B3E">
        <w:rPr>
          <w:rFonts w:ascii="Arial" w:hAnsi="Arial" w:cs="Arial"/>
          <w:sz w:val="24"/>
          <w:szCs w:val="24"/>
        </w:rPr>
        <w:t>[29]</w:t>
      </w:r>
      <w:r w:rsidRPr="003F2B3E">
        <w:rPr>
          <w:rFonts w:ascii="Arial" w:hAnsi="Arial" w:cs="Arial"/>
          <w:sz w:val="24"/>
          <w:szCs w:val="24"/>
        </w:rPr>
        <w:tab/>
      </w:r>
      <w:r w:rsidR="00FC612B" w:rsidRPr="001424F6">
        <w:rPr>
          <w:rFonts w:ascii="Arial" w:hAnsi="Arial" w:cs="Arial"/>
          <w:sz w:val="24"/>
          <w:szCs w:val="24"/>
        </w:rPr>
        <w:t>Rule 76 (1) provides as follows:</w:t>
      </w:r>
    </w:p>
    <w:p w14:paraId="31095843" w14:textId="77777777" w:rsidR="00FC612B" w:rsidRPr="003F2B3E" w:rsidRDefault="00FC612B" w:rsidP="00FC612B">
      <w:pPr>
        <w:pStyle w:val="ListParagraph"/>
        <w:rPr>
          <w:rFonts w:ascii="Arial" w:hAnsi="Arial" w:cs="Arial"/>
          <w:sz w:val="24"/>
          <w:szCs w:val="24"/>
        </w:rPr>
      </w:pPr>
    </w:p>
    <w:p w14:paraId="4E8BD4D6" w14:textId="77777777" w:rsidR="00E94A75" w:rsidRPr="00FC612B" w:rsidRDefault="00FC612B" w:rsidP="00FC612B">
      <w:pPr>
        <w:pStyle w:val="ListParagraph"/>
        <w:spacing w:after="0" w:line="360" w:lineRule="auto"/>
        <w:ind w:left="0" w:firstLine="720"/>
        <w:jc w:val="both"/>
        <w:rPr>
          <w:rFonts w:ascii="Arial" w:hAnsi="Arial" w:cs="Arial"/>
          <w:sz w:val="24"/>
          <w:szCs w:val="24"/>
        </w:rPr>
      </w:pPr>
      <w:r>
        <w:rPr>
          <w:rFonts w:ascii="Arial" w:hAnsi="Arial" w:cs="Arial"/>
        </w:rPr>
        <w:t>‘</w:t>
      </w:r>
      <w:r w:rsidRPr="00FC612B">
        <w:rPr>
          <w:rFonts w:ascii="Arial" w:hAnsi="Arial" w:cs="Arial"/>
        </w:rPr>
        <w:t>All proceedings to bring under review the decision or proceedings of an inferior court, a tribunal, an administrative body or administrative official are, unless a law otherwise provides, by way of application directed and delivered by the party seeking to review such decision or proceedings to the magistrate or presiding officer of the court, the chairperson of the tribunal, the chairperson of the administrative body or the administrative official and to all other parties affected.</w:t>
      </w:r>
      <w:r>
        <w:rPr>
          <w:rFonts w:ascii="Arial" w:hAnsi="Arial" w:cs="Arial"/>
        </w:rPr>
        <w:t>’</w:t>
      </w:r>
      <w:r w:rsidRPr="00FC612B">
        <w:rPr>
          <w:rFonts w:ascii="Arial" w:hAnsi="Arial" w:cs="Arial"/>
          <w:color w:val="FF0000"/>
          <w:sz w:val="24"/>
          <w:szCs w:val="24"/>
        </w:rPr>
        <w:t xml:space="preserve"> </w:t>
      </w:r>
    </w:p>
    <w:p w14:paraId="6570EF0E" w14:textId="77777777" w:rsidR="00AB13BC" w:rsidRPr="00AB13BC" w:rsidRDefault="00AB13BC" w:rsidP="00AB13BC">
      <w:pPr>
        <w:pStyle w:val="ListParagraph"/>
        <w:spacing w:after="0" w:line="360" w:lineRule="auto"/>
        <w:ind w:left="0"/>
        <w:jc w:val="both"/>
        <w:rPr>
          <w:rFonts w:ascii="Arial" w:hAnsi="Arial" w:cs="Arial"/>
          <w:sz w:val="24"/>
          <w:szCs w:val="24"/>
        </w:rPr>
      </w:pPr>
    </w:p>
    <w:p w14:paraId="388FD9B5" w14:textId="05AB40DC" w:rsidR="00FC612B" w:rsidRPr="007C6B16" w:rsidRDefault="001424F6" w:rsidP="001424F6">
      <w:pPr>
        <w:pStyle w:val="Heading2"/>
        <w:shd w:val="clear" w:color="auto" w:fill="FFFFFF"/>
        <w:rPr>
          <w:i w:val="0"/>
        </w:rPr>
      </w:pPr>
      <w:r w:rsidRPr="007C6B16">
        <w:rPr>
          <w:i w:val="0"/>
        </w:rPr>
        <w:t>[30]</w:t>
      </w:r>
      <w:r w:rsidRPr="007C6B16">
        <w:rPr>
          <w:i w:val="0"/>
        </w:rPr>
        <w:tab/>
      </w:r>
      <w:r w:rsidR="00FC612B" w:rsidRPr="007C6B16">
        <w:rPr>
          <w:i w:val="0"/>
        </w:rPr>
        <w:t xml:space="preserve">The review before this court is neither in respect of proceedings of an inferior court, nor is it in respect of a tribunal. What remains is </w:t>
      </w:r>
      <w:r w:rsidR="00077EEF" w:rsidRPr="007C6B16">
        <w:rPr>
          <w:i w:val="0"/>
        </w:rPr>
        <w:t xml:space="preserve">a review </w:t>
      </w:r>
      <w:r w:rsidR="007C6B16" w:rsidRPr="007C6B16">
        <w:rPr>
          <w:i w:val="0"/>
        </w:rPr>
        <w:t>of</w:t>
      </w:r>
      <w:r w:rsidR="00077EEF" w:rsidRPr="007C6B16">
        <w:rPr>
          <w:i w:val="0"/>
        </w:rPr>
        <w:t xml:space="preserve"> the ‘decision or proceedings’ ‘of ‘…an administrative body or official…’</w:t>
      </w:r>
      <w:r w:rsidR="003F2B3E" w:rsidRPr="007C6B16">
        <w:rPr>
          <w:i w:val="0"/>
        </w:rPr>
        <w:t>.</w:t>
      </w:r>
      <w:r w:rsidR="00077EEF" w:rsidRPr="007C6B16">
        <w:rPr>
          <w:i w:val="0"/>
        </w:rPr>
        <w:t xml:space="preserve"> The pertinent question raised by the Bank is </w:t>
      </w:r>
      <w:r w:rsidR="00077EEF" w:rsidRPr="007C6B16">
        <w:rPr>
          <w:i w:val="0"/>
        </w:rPr>
        <w:lastRenderedPageBreak/>
        <w:t>whether the deputy-sheriff is an administrative official and whether his conduct amounts to administrative action.</w:t>
      </w:r>
    </w:p>
    <w:p w14:paraId="019FC4A2" w14:textId="77777777" w:rsidR="00077EEF" w:rsidRPr="00077EEF" w:rsidRDefault="00077EEF" w:rsidP="00077EEF"/>
    <w:p w14:paraId="69472017" w14:textId="77777777" w:rsidR="00984347" w:rsidRPr="00984347" w:rsidRDefault="00984347" w:rsidP="00984347"/>
    <w:p w14:paraId="68A6F6C2" w14:textId="77777777" w:rsidR="00984347" w:rsidRPr="00984347" w:rsidRDefault="00984347" w:rsidP="00984347"/>
    <w:p w14:paraId="68556510" w14:textId="77777777" w:rsidR="00984347" w:rsidRPr="00984347" w:rsidRDefault="00984347" w:rsidP="00984347"/>
    <w:p w14:paraId="2F1308EE" w14:textId="0C828169" w:rsidR="00984347" w:rsidRPr="003F2B3E" w:rsidRDefault="001424F6" w:rsidP="001424F6">
      <w:pPr>
        <w:pStyle w:val="Heading2"/>
        <w:shd w:val="clear" w:color="auto" w:fill="FFFFFF"/>
        <w:rPr>
          <w:i w:val="0"/>
        </w:rPr>
      </w:pPr>
      <w:r w:rsidRPr="003F2B3E">
        <w:rPr>
          <w:i w:val="0"/>
        </w:rPr>
        <w:t>[31]</w:t>
      </w:r>
      <w:r w:rsidRPr="003F2B3E">
        <w:rPr>
          <w:i w:val="0"/>
        </w:rPr>
        <w:tab/>
      </w:r>
      <w:r w:rsidR="00984347" w:rsidRPr="003F2B3E">
        <w:rPr>
          <w:i w:val="0"/>
        </w:rPr>
        <w:t>Ms Campbell argued that the deputy-sheriff is neither an administrative body nor an administrative official and therefore the review</w:t>
      </w:r>
      <w:r w:rsidR="00784764" w:rsidRPr="003F2B3E">
        <w:rPr>
          <w:i w:val="0"/>
        </w:rPr>
        <w:t xml:space="preserve"> relief</w:t>
      </w:r>
      <w:r w:rsidR="00984347" w:rsidRPr="003F2B3E">
        <w:rPr>
          <w:i w:val="0"/>
        </w:rPr>
        <w:t xml:space="preserve"> </w:t>
      </w:r>
      <w:r w:rsidR="00536266" w:rsidRPr="003F2B3E">
        <w:rPr>
          <w:i w:val="0"/>
        </w:rPr>
        <w:t>in terms of rule 76</w:t>
      </w:r>
      <w:r w:rsidR="00784764" w:rsidRPr="003F2B3E">
        <w:rPr>
          <w:i w:val="0"/>
        </w:rPr>
        <w:t xml:space="preserve"> is incompetent</w:t>
      </w:r>
      <w:r w:rsidR="00536266" w:rsidRPr="003F2B3E">
        <w:rPr>
          <w:i w:val="0"/>
        </w:rPr>
        <w:t>.</w:t>
      </w:r>
    </w:p>
    <w:p w14:paraId="084A5E71" w14:textId="77777777" w:rsidR="00984347" w:rsidRPr="00984347" w:rsidRDefault="00984347" w:rsidP="00984347"/>
    <w:p w14:paraId="2815CF92" w14:textId="58D55DF6" w:rsidR="00AB13BC" w:rsidRPr="00AB13BC" w:rsidRDefault="001424F6" w:rsidP="001424F6">
      <w:pPr>
        <w:pStyle w:val="Heading2"/>
        <w:shd w:val="clear" w:color="auto" w:fill="FFFFFF"/>
        <w:rPr>
          <w:i w:val="0"/>
        </w:rPr>
      </w:pPr>
      <w:r w:rsidRPr="00AB13BC">
        <w:rPr>
          <w:i w:val="0"/>
        </w:rPr>
        <w:t>[32]</w:t>
      </w:r>
      <w:r w:rsidRPr="00AB13BC">
        <w:rPr>
          <w:i w:val="0"/>
        </w:rPr>
        <w:tab/>
      </w:r>
      <w:r w:rsidR="00E94A75" w:rsidRPr="00AB13BC">
        <w:rPr>
          <w:i w:val="0"/>
        </w:rPr>
        <w:t xml:space="preserve">In </w:t>
      </w:r>
      <w:r w:rsidR="00AB13BC" w:rsidRPr="00F853C2">
        <w:rPr>
          <w:bCs/>
        </w:rPr>
        <w:t>Todd v Firstrand Bank Ltd and Others</w:t>
      </w:r>
      <w:r w:rsidR="00AB13BC" w:rsidRPr="00F853C2">
        <w:rPr>
          <w:rStyle w:val="FootnoteReference"/>
          <w:bCs/>
          <w:i w:val="0"/>
        </w:rPr>
        <w:footnoteReference w:id="1"/>
      </w:r>
      <w:r w:rsidR="00AB13BC" w:rsidRPr="00F853C2">
        <w:rPr>
          <w:bCs/>
          <w:i w:val="0"/>
        </w:rPr>
        <w:t xml:space="preserve"> Bins-Ward J, when faced with </w:t>
      </w:r>
      <w:r w:rsidR="00AB13BC" w:rsidRPr="00AB13BC">
        <w:rPr>
          <w:i w:val="0"/>
          <w:color w:val="242121"/>
          <w:shd w:val="clear" w:color="auto" w:fill="FFFFFF"/>
        </w:rPr>
        <w:t>an application to set aside a sale in execution as a r</w:t>
      </w:r>
      <w:r w:rsidR="001E1CC3">
        <w:rPr>
          <w:i w:val="0"/>
          <w:color w:val="242121"/>
          <w:shd w:val="clear" w:color="auto" w:fill="FFFFFF"/>
        </w:rPr>
        <w:t>esult of non-</w:t>
      </w:r>
      <w:r w:rsidR="001E1CC3" w:rsidRPr="00992757">
        <w:rPr>
          <w:i w:val="0"/>
          <w:color w:val="242121"/>
          <w:shd w:val="clear" w:color="auto" w:fill="FFFFFF"/>
        </w:rPr>
        <w:t xml:space="preserve">compliance </w:t>
      </w:r>
      <w:r w:rsidR="00FC45B7" w:rsidRPr="00992757">
        <w:rPr>
          <w:i w:val="0"/>
          <w:color w:val="242121"/>
          <w:shd w:val="clear" w:color="auto" w:fill="FFFFFF"/>
        </w:rPr>
        <w:t>by</w:t>
      </w:r>
      <w:r w:rsidR="001E1CC3" w:rsidRPr="00992757">
        <w:rPr>
          <w:i w:val="0"/>
          <w:color w:val="242121"/>
          <w:shd w:val="clear" w:color="auto" w:fill="FFFFFF"/>
        </w:rPr>
        <w:t xml:space="preserve"> the s</w:t>
      </w:r>
      <w:r w:rsidR="00AB13BC" w:rsidRPr="00992757">
        <w:rPr>
          <w:i w:val="0"/>
          <w:color w:val="242121"/>
          <w:shd w:val="clear" w:color="auto" w:fill="FFFFFF"/>
        </w:rPr>
        <w:t>heriff to</w:t>
      </w:r>
      <w:r w:rsidR="00AB13BC" w:rsidRPr="00AB13BC">
        <w:rPr>
          <w:i w:val="0"/>
          <w:color w:val="242121"/>
          <w:shd w:val="clear" w:color="auto" w:fill="FFFFFF"/>
        </w:rPr>
        <w:t xml:space="preserve"> </w:t>
      </w:r>
      <w:r w:rsidR="00AB13BC" w:rsidRPr="00AB13BC">
        <w:rPr>
          <w:rStyle w:val="FontStyle14"/>
          <w:rFonts w:eastAsiaTheme="minorHAnsi"/>
          <w:i w:val="0"/>
          <w:sz w:val="24"/>
          <w:szCs w:val="24"/>
        </w:rPr>
        <w:t>affix a copy of the notice of sale at the place where the sale was to take place</w:t>
      </w:r>
      <w:r w:rsidR="00AB13BC">
        <w:rPr>
          <w:rStyle w:val="FontStyle14"/>
          <w:rFonts w:eastAsiaTheme="minorHAnsi"/>
          <w:i w:val="0"/>
          <w:sz w:val="24"/>
          <w:szCs w:val="24"/>
          <w:lang w:val="en-ZA"/>
        </w:rPr>
        <w:t xml:space="preserve"> stated the following in his discussion of the legal principles:</w:t>
      </w:r>
    </w:p>
    <w:p w14:paraId="67C8E88E" w14:textId="77777777" w:rsidR="00AB13BC" w:rsidRDefault="00AB13BC" w:rsidP="00AB13BC">
      <w:pPr>
        <w:pStyle w:val="Style8"/>
        <w:spacing w:line="360" w:lineRule="auto"/>
        <w:ind w:firstLine="720"/>
        <w:rPr>
          <w:rStyle w:val="FontStyle14"/>
          <w:lang w:val="en-ZA"/>
        </w:rPr>
      </w:pPr>
    </w:p>
    <w:p w14:paraId="218E8B98" w14:textId="77777777" w:rsidR="00AB13BC" w:rsidRPr="00603AB7" w:rsidRDefault="00AB13BC" w:rsidP="00AB13BC">
      <w:pPr>
        <w:pStyle w:val="Style8"/>
        <w:spacing w:line="360" w:lineRule="auto"/>
        <w:ind w:firstLine="720"/>
        <w:rPr>
          <w:sz w:val="22"/>
          <w:szCs w:val="22"/>
        </w:rPr>
      </w:pPr>
      <w:r>
        <w:rPr>
          <w:rStyle w:val="FontStyle14"/>
          <w:lang w:val="en-ZA"/>
        </w:rPr>
        <w:t>‘</w:t>
      </w:r>
      <w:r w:rsidRPr="00603AB7">
        <w:rPr>
          <w:rStyle w:val="FontStyle14"/>
        </w:rPr>
        <w:t xml:space="preserve">[32] A sale in execution is part of the administrative process by which a judgment creditor can enforce a judgment given in its favour by a court. In effecting the sale the Sheriff exercises a public function in terms of legislation. In my view a sale in execution purportedly effected by the Sheriff has factual and legal consequences unless and until set aside by a competent court; cf. </w:t>
      </w:r>
      <w:r w:rsidR="001E1CC3">
        <w:rPr>
          <w:rStyle w:val="FontStyle16"/>
          <w:iCs w:val="0"/>
        </w:rPr>
        <w:t xml:space="preserve">Oudekraal Estates </w:t>
      </w:r>
      <w:r w:rsidR="001E1CC3">
        <w:rPr>
          <w:rStyle w:val="FontStyle16"/>
          <w:iCs w:val="0"/>
          <w:lang w:val="en-US"/>
        </w:rPr>
        <w:t>(</w:t>
      </w:r>
      <w:r w:rsidRPr="00603AB7">
        <w:rPr>
          <w:rStyle w:val="FontStyle16"/>
          <w:iCs w:val="0"/>
        </w:rPr>
        <w:t xml:space="preserve">Pty) Ltd v City of Cape Town and others </w:t>
      </w:r>
      <w:r w:rsidRPr="00603AB7">
        <w:rPr>
          <w:rStyle w:val="FontStyle14"/>
        </w:rPr>
        <w:t>2004 (6) SA 222 (SCA).</w:t>
      </w:r>
    </w:p>
    <w:p w14:paraId="748E114B" w14:textId="77777777" w:rsidR="00AB13BC" w:rsidRPr="00603AB7" w:rsidRDefault="00AB13BC" w:rsidP="00AB13BC">
      <w:pPr>
        <w:pStyle w:val="Style8"/>
        <w:spacing w:line="360" w:lineRule="auto"/>
        <w:rPr>
          <w:sz w:val="22"/>
          <w:szCs w:val="22"/>
        </w:rPr>
      </w:pPr>
    </w:p>
    <w:p w14:paraId="093A6A9A" w14:textId="77777777" w:rsidR="00AB13BC" w:rsidRDefault="001E1CC3" w:rsidP="00AB13BC">
      <w:pPr>
        <w:pStyle w:val="Style8"/>
        <w:spacing w:line="360" w:lineRule="auto"/>
        <w:rPr>
          <w:rStyle w:val="FontStyle14"/>
          <w:lang w:val="en-ZA"/>
        </w:rPr>
      </w:pPr>
      <w:r>
        <w:rPr>
          <w:rStyle w:val="FontStyle14"/>
        </w:rPr>
        <w:t>[33]</w:t>
      </w:r>
      <w:r>
        <w:rPr>
          <w:rStyle w:val="FontStyle14"/>
        </w:rPr>
        <w:tab/>
      </w:r>
      <w:r w:rsidR="00AB13BC" w:rsidRPr="00603AB7">
        <w:rPr>
          <w:rStyle w:val="FontStyle14"/>
        </w:rPr>
        <w:t xml:space="preserve">Any impugnment of a so-called 'judicial sale' on grounds that the Sheriff has failed to comply with the applicable legislation is thus essentially a review of administrative action, and amenable to the courts' wide discretion in such matters. That applications in this type of case are more often than not framed as applications for declaratory orders assisted by ancillary relief (cf. e.g. </w:t>
      </w:r>
      <w:r w:rsidR="00AB13BC" w:rsidRPr="00603AB7">
        <w:rPr>
          <w:rStyle w:val="FontStyle16"/>
          <w:iCs w:val="0"/>
        </w:rPr>
        <w:t xml:space="preserve">Menqa and another v Markom and others </w:t>
      </w:r>
      <w:r w:rsidR="00AB13BC" w:rsidRPr="00603AB7">
        <w:rPr>
          <w:rStyle w:val="FontStyle14"/>
        </w:rPr>
        <w:t xml:space="preserve">2008 (2) SA 120 (SCA)), and not in a form consonant with the procedure in terms of rule 53, does not detract from this characterisation (see </w:t>
      </w:r>
      <w:r w:rsidR="00AB13BC" w:rsidRPr="00603AB7">
        <w:rPr>
          <w:rStyle w:val="FontStyle16"/>
          <w:iCs w:val="0"/>
        </w:rPr>
        <w:t>Jockey Club of</w:t>
      </w:r>
      <w:r>
        <w:rPr>
          <w:rStyle w:val="FontStyle16"/>
          <w:iCs w:val="0"/>
          <w:lang w:val="en-US"/>
        </w:rPr>
        <w:t xml:space="preserve"> </w:t>
      </w:r>
      <w:r w:rsidR="00AB13BC" w:rsidRPr="00603AB7">
        <w:rPr>
          <w:rStyle w:val="FontStyle16"/>
          <w:iCs w:val="0"/>
        </w:rPr>
        <w:t xml:space="preserve">SA v Forbes </w:t>
      </w:r>
      <w:r w:rsidR="00AB13BC" w:rsidRPr="00603AB7">
        <w:rPr>
          <w:rStyle w:val="FontStyle14"/>
        </w:rPr>
        <w:t xml:space="preserve">1993 (1) SA 649 (A)). </w:t>
      </w:r>
    </w:p>
    <w:p w14:paraId="21184F45" w14:textId="77777777" w:rsidR="00AB13BC" w:rsidRPr="00AB13BC" w:rsidRDefault="00AB13BC" w:rsidP="00AB13BC">
      <w:pPr>
        <w:rPr>
          <w:lang w:val="en-ZA" w:eastAsia="zh-CN" w:bidi="hi-IN"/>
        </w:rPr>
      </w:pPr>
    </w:p>
    <w:p w14:paraId="3CA5BBD2" w14:textId="6F84E86C" w:rsidR="00E94A75" w:rsidRPr="001424F6" w:rsidRDefault="001424F6" w:rsidP="001424F6">
      <w:pPr>
        <w:spacing w:after="0"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AB13BC" w:rsidRPr="001424F6">
        <w:rPr>
          <w:rFonts w:ascii="Arial" w:hAnsi="Arial" w:cs="Arial"/>
          <w:sz w:val="24"/>
          <w:szCs w:val="24"/>
        </w:rPr>
        <w:t xml:space="preserve">Mr Tjombe argued the case for the applicants along similar lines, albeit not with reference to the aforementioned case. </w:t>
      </w:r>
      <w:r w:rsidR="00834CED" w:rsidRPr="001424F6">
        <w:rPr>
          <w:rFonts w:ascii="Arial" w:hAnsi="Arial" w:cs="Arial"/>
          <w:sz w:val="24"/>
          <w:szCs w:val="24"/>
        </w:rPr>
        <w:t>Mr Tjombe argued that the deputy-sheriff is an administrative official and performs an administrative act when conducting a sale in execution. In doing so</w:t>
      </w:r>
      <w:r w:rsidR="00784764" w:rsidRPr="001424F6">
        <w:rPr>
          <w:rFonts w:ascii="Arial" w:hAnsi="Arial" w:cs="Arial"/>
          <w:sz w:val="24"/>
          <w:szCs w:val="24"/>
        </w:rPr>
        <w:t>,</w:t>
      </w:r>
      <w:r w:rsidR="00834CED" w:rsidRPr="001424F6">
        <w:rPr>
          <w:rFonts w:ascii="Arial" w:hAnsi="Arial" w:cs="Arial"/>
          <w:sz w:val="24"/>
          <w:szCs w:val="24"/>
        </w:rPr>
        <w:t xml:space="preserve"> he is giving effect to and executing court orders, which is a public function which he does based only on the power derived from the High Court Act. </w:t>
      </w:r>
    </w:p>
    <w:p w14:paraId="3D233225" w14:textId="77777777" w:rsidR="002F03C3" w:rsidRDefault="002F03C3" w:rsidP="002F03C3">
      <w:pPr>
        <w:pStyle w:val="ListParagraph"/>
        <w:spacing w:after="0" w:line="360" w:lineRule="auto"/>
        <w:ind w:left="0"/>
        <w:jc w:val="both"/>
        <w:rPr>
          <w:rFonts w:ascii="Arial" w:hAnsi="Arial" w:cs="Arial"/>
          <w:sz w:val="24"/>
          <w:szCs w:val="24"/>
        </w:rPr>
      </w:pPr>
    </w:p>
    <w:p w14:paraId="0A477A87" w14:textId="0109B099" w:rsidR="00AB13BC" w:rsidRPr="001424F6" w:rsidRDefault="001424F6" w:rsidP="001424F6">
      <w:pPr>
        <w:spacing w:after="0" w:line="360" w:lineRule="auto"/>
        <w:jc w:val="both"/>
        <w:rPr>
          <w:rFonts w:ascii="Arial" w:hAnsi="Arial" w:cs="Arial"/>
          <w:sz w:val="24"/>
          <w:szCs w:val="24"/>
        </w:rPr>
      </w:pPr>
      <w:r w:rsidRPr="002F03C3">
        <w:rPr>
          <w:rFonts w:ascii="Arial" w:hAnsi="Arial" w:cs="Arial"/>
          <w:sz w:val="24"/>
          <w:szCs w:val="24"/>
        </w:rPr>
        <w:t>[35]</w:t>
      </w:r>
      <w:r w:rsidRPr="002F03C3">
        <w:rPr>
          <w:rFonts w:ascii="Arial" w:hAnsi="Arial" w:cs="Arial"/>
          <w:sz w:val="24"/>
          <w:szCs w:val="24"/>
        </w:rPr>
        <w:tab/>
      </w:r>
      <w:r w:rsidR="00AB13BC" w:rsidRPr="001424F6">
        <w:rPr>
          <w:rFonts w:ascii="Arial" w:hAnsi="Arial" w:cs="Arial"/>
          <w:sz w:val="24"/>
          <w:szCs w:val="24"/>
        </w:rPr>
        <w:t xml:space="preserve">The </w:t>
      </w:r>
      <w:r w:rsidR="00AB13BC" w:rsidRPr="001424F6">
        <w:rPr>
          <w:rFonts w:ascii="Arial" w:hAnsi="Arial" w:cs="Arial"/>
          <w:i/>
          <w:sz w:val="24"/>
          <w:szCs w:val="24"/>
        </w:rPr>
        <w:t>Todd</w:t>
      </w:r>
      <w:r w:rsidR="00AB13BC" w:rsidRPr="001424F6">
        <w:rPr>
          <w:rFonts w:ascii="Arial" w:hAnsi="Arial" w:cs="Arial"/>
          <w:sz w:val="24"/>
          <w:szCs w:val="24"/>
        </w:rPr>
        <w:t xml:space="preserve"> matter however went on appeal</w:t>
      </w:r>
      <w:r w:rsidR="002F03C3">
        <w:rPr>
          <w:rStyle w:val="FootnoteReference"/>
          <w:rFonts w:ascii="Arial" w:hAnsi="Arial" w:cs="Arial"/>
          <w:sz w:val="24"/>
          <w:szCs w:val="24"/>
        </w:rPr>
        <w:footnoteReference w:id="2"/>
      </w:r>
      <w:r w:rsidR="00AB13BC" w:rsidRPr="001424F6">
        <w:rPr>
          <w:rFonts w:ascii="Arial" w:hAnsi="Arial" w:cs="Arial"/>
          <w:sz w:val="24"/>
          <w:szCs w:val="24"/>
        </w:rPr>
        <w:t xml:space="preserve"> and </w:t>
      </w:r>
      <w:r w:rsidR="002F03C3" w:rsidRPr="001424F6">
        <w:rPr>
          <w:rFonts w:ascii="Arial" w:hAnsi="Arial" w:cs="Arial"/>
          <w:sz w:val="24"/>
          <w:szCs w:val="24"/>
        </w:rPr>
        <w:t>in c</w:t>
      </w:r>
      <w:r w:rsidR="00834CED" w:rsidRPr="001424F6">
        <w:rPr>
          <w:rFonts w:ascii="Arial" w:hAnsi="Arial" w:cs="Arial"/>
          <w:sz w:val="24"/>
          <w:szCs w:val="24"/>
        </w:rPr>
        <w:t xml:space="preserve">oncluding </w:t>
      </w:r>
      <w:r w:rsidR="002F03C3" w:rsidRPr="001424F6">
        <w:rPr>
          <w:rFonts w:ascii="Arial" w:hAnsi="Arial" w:cs="Arial"/>
          <w:sz w:val="24"/>
          <w:szCs w:val="24"/>
        </w:rPr>
        <w:t xml:space="preserve">his judgment Lewis JA remarked the following </w:t>
      </w:r>
      <w:r w:rsidR="00536266" w:rsidRPr="001424F6">
        <w:rPr>
          <w:rFonts w:ascii="Arial" w:hAnsi="Arial" w:cs="Arial"/>
          <w:sz w:val="24"/>
          <w:szCs w:val="24"/>
        </w:rPr>
        <w:t>with</w:t>
      </w:r>
      <w:r w:rsidR="002F03C3" w:rsidRPr="001424F6">
        <w:rPr>
          <w:rFonts w:ascii="Arial" w:hAnsi="Arial" w:cs="Arial"/>
          <w:sz w:val="24"/>
          <w:szCs w:val="24"/>
        </w:rPr>
        <w:t xml:space="preserve"> respect </w:t>
      </w:r>
      <w:r w:rsidR="00834CED" w:rsidRPr="001424F6">
        <w:rPr>
          <w:rFonts w:ascii="Arial" w:hAnsi="Arial" w:cs="Arial"/>
          <w:sz w:val="24"/>
          <w:szCs w:val="24"/>
        </w:rPr>
        <w:t xml:space="preserve">to </w:t>
      </w:r>
      <w:r w:rsidR="002F03C3" w:rsidRPr="001424F6">
        <w:rPr>
          <w:rFonts w:ascii="Arial" w:hAnsi="Arial" w:cs="Arial"/>
          <w:sz w:val="24"/>
          <w:szCs w:val="24"/>
        </w:rPr>
        <w:t xml:space="preserve">the judgment of Binns-Ward J on </w:t>
      </w:r>
      <w:r w:rsidR="002F03C3" w:rsidRPr="001424F6">
        <w:rPr>
          <w:rFonts w:ascii="Arial" w:hAnsi="Arial" w:cs="Arial"/>
          <w:color w:val="242121"/>
          <w:sz w:val="24"/>
          <w:szCs w:val="24"/>
          <w:shd w:val="clear" w:color="auto" w:fill="FFFFFF"/>
        </w:rPr>
        <w:t>characterising the deputy-sheriff’s action as administrative in nature:</w:t>
      </w:r>
    </w:p>
    <w:p w14:paraId="733452A6" w14:textId="77777777" w:rsidR="002F03C3" w:rsidRPr="002F03C3" w:rsidRDefault="002F03C3" w:rsidP="002F03C3">
      <w:pPr>
        <w:pStyle w:val="ListParagraph"/>
        <w:spacing w:after="0" w:line="360" w:lineRule="auto"/>
        <w:ind w:left="0"/>
        <w:jc w:val="both"/>
        <w:rPr>
          <w:rFonts w:ascii="Arial" w:hAnsi="Arial" w:cs="Arial"/>
          <w:sz w:val="24"/>
          <w:szCs w:val="24"/>
        </w:rPr>
      </w:pPr>
    </w:p>
    <w:p w14:paraId="3953A0B1" w14:textId="77777777" w:rsidR="002F03C3" w:rsidRPr="00231BC6" w:rsidRDefault="002F03C3" w:rsidP="00231BC6">
      <w:pPr>
        <w:pStyle w:val="ListParagraph"/>
        <w:spacing w:after="0" w:line="360" w:lineRule="auto"/>
        <w:ind w:left="0"/>
        <w:jc w:val="both"/>
        <w:rPr>
          <w:rFonts w:ascii="Arial" w:hAnsi="Arial" w:cs="Arial"/>
          <w:shd w:val="clear" w:color="auto" w:fill="FFFFFF"/>
        </w:rPr>
      </w:pPr>
      <w:r w:rsidRPr="00231BC6">
        <w:rPr>
          <w:rFonts w:ascii="Arial" w:hAnsi="Arial" w:cs="Arial"/>
          <w:shd w:val="clear" w:color="auto" w:fill="FFFFFF"/>
        </w:rPr>
        <w:t>‘[23] There is one final matter that requires mention. The high court characterised the Deputy Sheriff’s action as administrative in nature and said that the rules for judicial review were pertinent. That is not so. A sale in execution is a procedure executed by an official of the court in terms of the Uniform Rules of Court. It is not an administrative action and is not subject to review as such. If the official fails to comply with the rules, and the non-compliance does go to the root of the matter, the sale in execution (or any other court process similarly affected) will be invalid. Review proceedings are not required to set it aside. So too, the invalid act does not stand and have legal consequences until it is set aside.’</w:t>
      </w:r>
    </w:p>
    <w:p w14:paraId="58487FD7" w14:textId="77777777" w:rsidR="002F03C3" w:rsidRDefault="002F03C3" w:rsidP="002F03C3">
      <w:pPr>
        <w:spacing w:after="0" w:line="360" w:lineRule="auto"/>
        <w:jc w:val="both"/>
        <w:rPr>
          <w:rFonts w:ascii="Arial" w:hAnsi="Arial" w:cs="Arial"/>
        </w:rPr>
      </w:pPr>
    </w:p>
    <w:p w14:paraId="705D3744" w14:textId="12613A38" w:rsidR="00F853C2" w:rsidRPr="001424F6" w:rsidRDefault="001424F6" w:rsidP="001424F6">
      <w:pPr>
        <w:spacing w:after="0" w:line="360" w:lineRule="auto"/>
        <w:jc w:val="both"/>
        <w:rPr>
          <w:rFonts w:ascii="Arial" w:hAnsi="Arial" w:cs="Arial"/>
          <w:sz w:val="24"/>
          <w:szCs w:val="24"/>
        </w:rPr>
      </w:pPr>
      <w:r w:rsidRPr="00992757">
        <w:rPr>
          <w:rFonts w:ascii="Arial" w:hAnsi="Arial" w:cs="Arial"/>
          <w:sz w:val="24"/>
          <w:szCs w:val="24"/>
        </w:rPr>
        <w:t>[36]</w:t>
      </w:r>
      <w:r w:rsidRPr="00992757">
        <w:rPr>
          <w:rFonts w:ascii="Arial" w:hAnsi="Arial" w:cs="Arial"/>
          <w:sz w:val="24"/>
          <w:szCs w:val="24"/>
        </w:rPr>
        <w:tab/>
      </w:r>
      <w:r w:rsidR="00F853C2" w:rsidRPr="001424F6">
        <w:rPr>
          <w:rFonts w:ascii="Arial" w:hAnsi="Arial" w:cs="Arial"/>
          <w:sz w:val="24"/>
          <w:szCs w:val="24"/>
        </w:rPr>
        <w:t xml:space="preserve">In </w:t>
      </w:r>
      <w:r w:rsidR="00F853C2" w:rsidRPr="001424F6">
        <w:rPr>
          <w:rFonts w:ascii="Arial" w:hAnsi="Arial" w:cs="Arial"/>
          <w:i/>
          <w:sz w:val="24"/>
          <w:szCs w:val="24"/>
        </w:rPr>
        <w:t>Standard Bank Namibia Limited v Somaeb</w:t>
      </w:r>
      <w:r w:rsidR="00F853C2">
        <w:rPr>
          <w:rStyle w:val="FootnoteReference"/>
          <w:rFonts w:ascii="Arial" w:hAnsi="Arial" w:cs="Arial"/>
          <w:i/>
          <w:sz w:val="24"/>
          <w:szCs w:val="24"/>
        </w:rPr>
        <w:footnoteReference w:id="3"/>
      </w:r>
      <w:r w:rsidR="00F853C2" w:rsidRPr="001424F6">
        <w:rPr>
          <w:rFonts w:ascii="Arial" w:hAnsi="Arial" w:cs="Arial"/>
          <w:i/>
          <w:sz w:val="24"/>
          <w:szCs w:val="24"/>
        </w:rPr>
        <w:t xml:space="preserve"> </w:t>
      </w:r>
      <w:r w:rsidR="00F853C2" w:rsidRPr="001424F6">
        <w:rPr>
          <w:rFonts w:ascii="Arial" w:hAnsi="Arial" w:cs="Arial"/>
          <w:sz w:val="24"/>
          <w:szCs w:val="24"/>
        </w:rPr>
        <w:t xml:space="preserve">Cheda J followed the South African Supreme Court (supra) when he </w:t>
      </w:r>
      <w:r w:rsidR="001E1CC3" w:rsidRPr="001424F6">
        <w:rPr>
          <w:rFonts w:ascii="Arial" w:hAnsi="Arial" w:cs="Arial"/>
          <w:sz w:val="24"/>
          <w:szCs w:val="24"/>
        </w:rPr>
        <w:t xml:space="preserve">held </w:t>
      </w:r>
      <w:r w:rsidR="00F853C2" w:rsidRPr="001424F6">
        <w:rPr>
          <w:rFonts w:ascii="Arial" w:hAnsi="Arial" w:cs="Arial"/>
          <w:sz w:val="24"/>
          <w:szCs w:val="24"/>
        </w:rPr>
        <w:t xml:space="preserve">that the deputy-sheriff is not an administrative official but a court official who executes a court order. </w:t>
      </w:r>
    </w:p>
    <w:p w14:paraId="431E1594" w14:textId="77777777" w:rsidR="00F853C2" w:rsidRPr="00992757" w:rsidRDefault="00F853C2" w:rsidP="00F853C2">
      <w:pPr>
        <w:pStyle w:val="ListParagraph"/>
        <w:spacing w:line="360" w:lineRule="auto"/>
        <w:ind w:left="0"/>
        <w:jc w:val="both"/>
        <w:rPr>
          <w:rFonts w:ascii="Arial" w:hAnsi="Arial" w:cs="Arial"/>
          <w:sz w:val="24"/>
          <w:szCs w:val="24"/>
        </w:rPr>
      </w:pPr>
    </w:p>
    <w:p w14:paraId="742E9B90" w14:textId="19476170" w:rsidR="00E05855" w:rsidRPr="001424F6" w:rsidRDefault="001424F6" w:rsidP="001424F6">
      <w:pPr>
        <w:spacing w:line="360" w:lineRule="auto"/>
        <w:jc w:val="both"/>
        <w:rPr>
          <w:rFonts w:ascii="Arial" w:hAnsi="Arial" w:cs="Arial"/>
          <w:sz w:val="24"/>
          <w:szCs w:val="24"/>
        </w:rPr>
      </w:pPr>
      <w:r w:rsidRPr="00E05855">
        <w:rPr>
          <w:rFonts w:ascii="Arial" w:hAnsi="Arial" w:cs="Arial"/>
          <w:sz w:val="24"/>
          <w:szCs w:val="24"/>
        </w:rPr>
        <w:t>[37]</w:t>
      </w:r>
      <w:r w:rsidRPr="00E05855">
        <w:rPr>
          <w:rFonts w:ascii="Arial" w:hAnsi="Arial" w:cs="Arial"/>
          <w:sz w:val="24"/>
          <w:szCs w:val="24"/>
        </w:rPr>
        <w:tab/>
      </w:r>
      <w:r w:rsidR="00E05855" w:rsidRPr="001424F6">
        <w:rPr>
          <w:rFonts w:ascii="Arial" w:hAnsi="Arial" w:cs="Arial"/>
          <w:sz w:val="24"/>
          <w:szCs w:val="24"/>
        </w:rPr>
        <w:t xml:space="preserve">In </w:t>
      </w:r>
      <w:r w:rsidR="00E05855" w:rsidRPr="001424F6">
        <w:rPr>
          <w:rFonts w:ascii="Arial" w:hAnsi="Arial" w:cs="Arial"/>
          <w:i/>
          <w:sz w:val="24"/>
          <w:szCs w:val="24"/>
        </w:rPr>
        <w:t>Januarie v Registrar of High Court &amp; Others</w:t>
      </w:r>
      <w:r w:rsidR="00E05855" w:rsidRPr="00992757">
        <w:rPr>
          <w:rStyle w:val="FootnoteReference"/>
          <w:rFonts w:ascii="Arial" w:hAnsi="Arial" w:cs="Arial"/>
          <w:i/>
          <w:sz w:val="24"/>
          <w:szCs w:val="24"/>
        </w:rPr>
        <w:footnoteReference w:id="4"/>
      </w:r>
      <w:r w:rsidR="00E05855" w:rsidRPr="001424F6">
        <w:rPr>
          <w:rFonts w:ascii="Arial" w:hAnsi="Arial" w:cs="Arial"/>
          <w:i/>
          <w:sz w:val="24"/>
          <w:szCs w:val="24"/>
        </w:rPr>
        <w:t xml:space="preserve"> </w:t>
      </w:r>
      <w:r w:rsidR="00E05855" w:rsidRPr="001424F6">
        <w:rPr>
          <w:rFonts w:ascii="Arial" w:hAnsi="Arial" w:cs="Arial"/>
          <w:sz w:val="24"/>
          <w:szCs w:val="24"/>
        </w:rPr>
        <w:t>the applicant brought an application for revie</w:t>
      </w:r>
      <w:r w:rsidR="001E1CC3" w:rsidRPr="001424F6">
        <w:rPr>
          <w:rFonts w:ascii="Arial" w:hAnsi="Arial" w:cs="Arial"/>
          <w:sz w:val="24"/>
          <w:szCs w:val="24"/>
        </w:rPr>
        <w:t>w against the registrar of the High C</w:t>
      </w:r>
      <w:r w:rsidR="00E05855" w:rsidRPr="001424F6">
        <w:rPr>
          <w:rFonts w:ascii="Arial" w:hAnsi="Arial" w:cs="Arial"/>
          <w:sz w:val="24"/>
          <w:szCs w:val="24"/>
        </w:rPr>
        <w:t xml:space="preserve">ourt, the deputy-sheriff, </w:t>
      </w:r>
      <w:r w:rsidR="001E1CC3" w:rsidRPr="001424F6">
        <w:rPr>
          <w:rFonts w:ascii="Arial" w:hAnsi="Arial" w:cs="Arial"/>
          <w:sz w:val="24"/>
          <w:szCs w:val="24"/>
        </w:rPr>
        <w:t xml:space="preserve">of </w:t>
      </w:r>
      <w:r w:rsidR="00E05855" w:rsidRPr="001424F6">
        <w:rPr>
          <w:rFonts w:ascii="Arial" w:hAnsi="Arial" w:cs="Arial"/>
          <w:sz w:val="24"/>
          <w:szCs w:val="24"/>
        </w:rPr>
        <w:t>Rehoboth and the registrar of deeds.</w:t>
      </w:r>
      <w:r w:rsidR="00B60C25" w:rsidRPr="001424F6">
        <w:rPr>
          <w:rFonts w:ascii="Arial" w:hAnsi="Arial" w:cs="Arial"/>
          <w:sz w:val="24"/>
          <w:szCs w:val="24"/>
        </w:rPr>
        <w:t xml:space="preserve"> </w:t>
      </w:r>
      <w:r w:rsidR="00F853C2" w:rsidRPr="001424F6">
        <w:rPr>
          <w:rFonts w:ascii="Arial" w:hAnsi="Arial" w:cs="Arial"/>
          <w:sz w:val="24"/>
          <w:szCs w:val="24"/>
        </w:rPr>
        <w:t>T</w:t>
      </w:r>
      <w:r w:rsidR="00B60C25" w:rsidRPr="001424F6">
        <w:rPr>
          <w:rFonts w:ascii="Arial" w:hAnsi="Arial" w:cs="Arial"/>
          <w:sz w:val="24"/>
          <w:szCs w:val="24"/>
        </w:rPr>
        <w:t xml:space="preserve">he applicant sought to set aside the original decision of the Registrar </w:t>
      </w:r>
      <w:r w:rsidR="00B60C25" w:rsidRPr="001424F6">
        <w:rPr>
          <w:rFonts w:ascii="Arial" w:hAnsi="Arial" w:cs="Arial"/>
          <w:sz w:val="24"/>
          <w:szCs w:val="24"/>
        </w:rPr>
        <w:lastRenderedPageBreak/>
        <w:t>to declare the property executable and seeking further and ancillary relief</w:t>
      </w:r>
      <w:r w:rsidR="00784764" w:rsidRPr="001424F6">
        <w:rPr>
          <w:rFonts w:ascii="Arial" w:hAnsi="Arial" w:cs="Arial"/>
          <w:sz w:val="24"/>
          <w:szCs w:val="24"/>
        </w:rPr>
        <w:t>,</w:t>
      </w:r>
      <w:r w:rsidR="00B60C25" w:rsidRPr="001424F6">
        <w:rPr>
          <w:rFonts w:ascii="Arial" w:hAnsi="Arial" w:cs="Arial"/>
          <w:sz w:val="24"/>
          <w:szCs w:val="24"/>
        </w:rPr>
        <w:t xml:space="preserve"> namely</w:t>
      </w:r>
      <w:r w:rsidR="00784764" w:rsidRPr="001424F6">
        <w:rPr>
          <w:rFonts w:ascii="Arial" w:hAnsi="Arial" w:cs="Arial"/>
          <w:sz w:val="24"/>
          <w:szCs w:val="24"/>
        </w:rPr>
        <w:t>,</w:t>
      </w:r>
      <w:r w:rsidR="00B60C25" w:rsidRPr="001424F6">
        <w:rPr>
          <w:rFonts w:ascii="Arial" w:hAnsi="Arial" w:cs="Arial"/>
          <w:sz w:val="24"/>
          <w:szCs w:val="24"/>
        </w:rPr>
        <w:t xml:space="preserve"> setting aside the writ and the purported decision of the Deputy-Sheriff to sell the property by public auction and to proceed with </w:t>
      </w:r>
      <w:r w:rsidR="00414D2D" w:rsidRPr="001424F6">
        <w:rPr>
          <w:rFonts w:ascii="Arial" w:hAnsi="Arial" w:cs="Arial"/>
          <w:sz w:val="24"/>
          <w:szCs w:val="24"/>
        </w:rPr>
        <w:t xml:space="preserve">the </w:t>
      </w:r>
      <w:r w:rsidR="00B60C25" w:rsidRPr="001424F6">
        <w:rPr>
          <w:rFonts w:ascii="Arial" w:hAnsi="Arial" w:cs="Arial"/>
          <w:sz w:val="24"/>
          <w:szCs w:val="24"/>
        </w:rPr>
        <w:t xml:space="preserve">transfer </w:t>
      </w:r>
      <w:r w:rsidR="00414D2D" w:rsidRPr="001424F6">
        <w:rPr>
          <w:rFonts w:ascii="Arial" w:hAnsi="Arial" w:cs="Arial"/>
          <w:sz w:val="24"/>
          <w:szCs w:val="24"/>
        </w:rPr>
        <w:t xml:space="preserve">of the property </w:t>
      </w:r>
      <w:r w:rsidR="00B60C25" w:rsidRPr="001424F6">
        <w:rPr>
          <w:rFonts w:ascii="Arial" w:hAnsi="Arial" w:cs="Arial"/>
          <w:sz w:val="24"/>
          <w:szCs w:val="24"/>
        </w:rPr>
        <w:t xml:space="preserve">and to set aside the ‘decision’ of the Registrar of Deeds to execute registration of </w:t>
      </w:r>
      <w:r w:rsidR="00414D2D" w:rsidRPr="001424F6">
        <w:rPr>
          <w:rFonts w:ascii="Arial" w:hAnsi="Arial" w:cs="Arial"/>
          <w:sz w:val="24"/>
          <w:szCs w:val="24"/>
        </w:rPr>
        <w:t xml:space="preserve">the </w:t>
      </w:r>
      <w:r w:rsidR="00B60C25" w:rsidRPr="001424F6">
        <w:rPr>
          <w:rFonts w:ascii="Arial" w:hAnsi="Arial" w:cs="Arial"/>
          <w:sz w:val="24"/>
          <w:szCs w:val="24"/>
        </w:rPr>
        <w:t>transfer</w:t>
      </w:r>
      <w:r w:rsidR="00F853C2" w:rsidRPr="001424F6">
        <w:rPr>
          <w:rFonts w:ascii="Arial" w:hAnsi="Arial" w:cs="Arial"/>
          <w:sz w:val="24"/>
          <w:szCs w:val="24"/>
        </w:rPr>
        <w:t xml:space="preserve"> by means of a review</w:t>
      </w:r>
      <w:r w:rsidR="00B60C25" w:rsidRPr="001424F6">
        <w:rPr>
          <w:rFonts w:ascii="Arial" w:hAnsi="Arial" w:cs="Arial"/>
          <w:sz w:val="24"/>
          <w:szCs w:val="24"/>
        </w:rPr>
        <w:t>.</w:t>
      </w:r>
      <w:r w:rsidR="00B60C25" w:rsidRPr="001424F6">
        <w:rPr>
          <w:rFonts w:cs="Arial"/>
        </w:rPr>
        <w:t xml:space="preserve"> </w:t>
      </w:r>
      <w:r w:rsidR="00E05855" w:rsidRPr="001424F6">
        <w:rPr>
          <w:rFonts w:ascii="Arial" w:hAnsi="Arial" w:cs="Arial"/>
          <w:sz w:val="24"/>
          <w:szCs w:val="24"/>
        </w:rPr>
        <w:t>Smuts J held as follows:</w:t>
      </w:r>
    </w:p>
    <w:p w14:paraId="3B12EA7C" w14:textId="77777777" w:rsidR="00E05855" w:rsidRDefault="00E05855" w:rsidP="00E05855">
      <w:pPr>
        <w:pStyle w:val="ListParagraph"/>
        <w:spacing w:after="0" w:line="360" w:lineRule="auto"/>
        <w:ind w:left="0" w:firstLine="720"/>
        <w:rPr>
          <w:rFonts w:ascii="Arial" w:hAnsi="Arial" w:cs="Arial"/>
        </w:rPr>
      </w:pPr>
    </w:p>
    <w:p w14:paraId="5FBA6499" w14:textId="77777777" w:rsidR="00E05855" w:rsidRPr="00E05855" w:rsidRDefault="00E05855" w:rsidP="00B60C25">
      <w:pPr>
        <w:pStyle w:val="ListParagraph"/>
        <w:spacing w:after="0" w:line="360" w:lineRule="auto"/>
        <w:ind w:left="0" w:firstLine="720"/>
        <w:jc w:val="both"/>
        <w:rPr>
          <w:rFonts w:ascii="Arial" w:hAnsi="Arial" w:cs="Arial"/>
        </w:rPr>
      </w:pPr>
      <w:r>
        <w:rPr>
          <w:rFonts w:ascii="Arial" w:hAnsi="Arial" w:cs="Arial"/>
        </w:rPr>
        <w:t>‘</w:t>
      </w:r>
      <w:r w:rsidRPr="00E05855">
        <w:rPr>
          <w:rFonts w:ascii="Arial" w:hAnsi="Arial" w:cs="Arial"/>
        </w:rPr>
        <w:t>[30]</w:t>
      </w:r>
      <w:r w:rsidRPr="00E05855">
        <w:rPr>
          <w:rFonts w:ascii="Arial" w:hAnsi="Arial" w:cs="Arial"/>
        </w:rPr>
        <w:tab/>
        <w:t xml:space="preserve">There is also further reason why the application would fall to be dismissed. It concerns the point taken on behalf of the second respondent that the order declaring the property as executable does not constitute administrative action for the purpose of a review and is thus not susceptible to review proceedings in the High Court. As was argued by Mr. Boonzaier with reference to authority, the order itself is judicial in nature and deemed to be a judgment of this court. As an order of this court, that it would not therefore be susceptible to review in an application </w:t>
      </w:r>
      <w:r w:rsidRPr="00324140">
        <w:rPr>
          <w:rFonts w:ascii="Arial" w:hAnsi="Arial" w:cs="Arial"/>
        </w:rPr>
        <w:t>to this court</w:t>
      </w:r>
      <w:r w:rsidRPr="00E05855">
        <w:rPr>
          <w:rFonts w:ascii="Arial" w:hAnsi="Arial" w:cs="Arial"/>
        </w:rPr>
        <w:t>. For this reason</w:t>
      </w:r>
      <w:r w:rsidR="00526203">
        <w:rPr>
          <w:rFonts w:ascii="Arial" w:hAnsi="Arial" w:cs="Arial"/>
        </w:rPr>
        <w:t>,</w:t>
      </w:r>
      <w:r w:rsidRPr="00E05855">
        <w:rPr>
          <w:rFonts w:ascii="Arial" w:hAnsi="Arial" w:cs="Arial"/>
        </w:rPr>
        <w:t xml:space="preserve"> as well, the application would fall to be dismissed.</w:t>
      </w:r>
      <w:r w:rsidR="00B60C25">
        <w:rPr>
          <w:rFonts w:ascii="Arial" w:hAnsi="Arial" w:cs="Arial"/>
        </w:rPr>
        <w:t>’</w:t>
      </w:r>
    </w:p>
    <w:p w14:paraId="0CB21B59" w14:textId="77777777" w:rsidR="00E05855" w:rsidRDefault="00E05855" w:rsidP="00E05855">
      <w:pPr>
        <w:pStyle w:val="ListParagraph"/>
        <w:spacing w:after="0" w:line="360" w:lineRule="auto"/>
        <w:ind w:left="0"/>
        <w:jc w:val="both"/>
        <w:rPr>
          <w:rFonts w:ascii="Arial" w:hAnsi="Arial" w:cs="Arial"/>
        </w:rPr>
      </w:pPr>
    </w:p>
    <w:p w14:paraId="27CFF00A" w14:textId="16495C7A" w:rsidR="004724B8" w:rsidRPr="001424F6" w:rsidRDefault="001424F6" w:rsidP="001424F6">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26203" w:rsidRPr="001424F6">
        <w:rPr>
          <w:rFonts w:ascii="Arial" w:hAnsi="Arial" w:cs="Arial"/>
          <w:sz w:val="24"/>
          <w:szCs w:val="24"/>
        </w:rPr>
        <w:t>The aforementioned matter</w:t>
      </w:r>
      <w:r w:rsidR="00F853C2" w:rsidRPr="001424F6">
        <w:rPr>
          <w:rFonts w:ascii="Arial" w:hAnsi="Arial" w:cs="Arial"/>
          <w:sz w:val="24"/>
          <w:szCs w:val="24"/>
        </w:rPr>
        <w:t>s</w:t>
      </w:r>
      <w:r w:rsidR="00526203" w:rsidRPr="001424F6">
        <w:rPr>
          <w:rFonts w:ascii="Arial" w:hAnsi="Arial" w:cs="Arial"/>
          <w:sz w:val="24"/>
          <w:szCs w:val="24"/>
        </w:rPr>
        <w:t xml:space="preserve"> </w:t>
      </w:r>
      <w:r w:rsidR="00152DFE" w:rsidRPr="001424F6">
        <w:rPr>
          <w:rFonts w:ascii="Arial" w:hAnsi="Arial" w:cs="Arial"/>
          <w:sz w:val="24"/>
          <w:szCs w:val="24"/>
        </w:rPr>
        <w:t>tie</w:t>
      </w:r>
      <w:r w:rsidR="00526203" w:rsidRPr="001424F6">
        <w:rPr>
          <w:rFonts w:ascii="Arial" w:hAnsi="Arial" w:cs="Arial"/>
          <w:sz w:val="24"/>
          <w:szCs w:val="24"/>
        </w:rPr>
        <w:t xml:space="preserve"> in with the SCA judgment in </w:t>
      </w:r>
      <w:r w:rsidR="00526203" w:rsidRPr="001424F6">
        <w:rPr>
          <w:rFonts w:ascii="Arial" w:hAnsi="Arial" w:cs="Arial"/>
          <w:i/>
          <w:sz w:val="24"/>
          <w:szCs w:val="24"/>
        </w:rPr>
        <w:t>Todd</w:t>
      </w:r>
      <w:r w:rsidR="00152DFE" w:rsidRPr="001424F6">
        <w:rPr>
          <w:rFonts w:ascii="Arial" w:hAnsi="Arial" w:cs="Arial"/>
          <w:i/>
          <w:sz w:val="24"/>
          <w:szCs w:val="24"/>
        </w:rPr>
        <w:t>,</w:t>
      </w:r>
      <w:r w:rsidR="00526203" w:rsidRPr="001424F6">
        <w:rPr>
          <w:rFonts w:ascii="Arial" w:hAnsi="Arial" w:cs="Arial"/>
          <w:sz w:val="24"/>
          <w:szCs w:val="24"/>
        </w:rPr>
        <w:t xml:space="preserve"> and as a result</w:t>
      </w:r>
      <w:r w:rsidR="00152DFE" w:rsidRPr="001424F6">
        <w:rPr>
          <w:rFonts w:ascii="Arial" w:hAnsi="Arial" w:cs="Arial"/>
          <w:sz w:val="24"/>
          <w:szCs w:val="24"/>
        </w:rPr>
        <w:t>,</w:t>
      </w:r>
      <w:r w:rsidR="00526203" w:rsidRPr="001424F6">
        <w:rPr>
          <w:rFonts w:ascii="Arial" w:hAnsi="Arial" w:cs="Arial"/>
          <w:sz w:val="24"/>
          <w:szCs w:val="24"/>
        </w:rPr>
        <w:t xml:space="preserve"> I am of the view that the actions of the deputy-sheriff do not fall within the purview of rule 76 and </w:t>
      </w:r>
      <w:r w:rsidR="00152DFE" w:rsidRPr="001424F6">
        <w:rPr>
          <w:rFonts w:ascii="Arial" w:hAnsi="Arial" w:cs="Arial"/>
          <w:sz w:val="24"/>
          <w:szCs w:val="24"/>
        </w:rPr>
        <w:t>are</w:t>
      </w:r>
      <w:r w:rsidR="00526203" w:rsidRPr="001424F6">
        <w:rPr>
          <w:rFonts w:ascii="Arial" w:hAnsi="Arial" w:cs="Arial"/>
          <w:sz w:val="24"/>
          <w:szCs w:val="24"/>
        </w:rPr>
        <w:t xml:space="preserve"> not susceptible to review and the point in limine is upheld.</w:t>
      </w:r>
    </w:p>
    <w:p w14:paraId="6F3866C7" w14:textId="77777777" w:rsidR="00536266" w:rsidRDefault="00536266" w:rsidP="00536266">
      <w:pPr>
        <w:pStyle w:val="ListParagraph"/>
        <w:spacing w:after="0" w:line="360" w:lineRule="auto"/>
        <w:ind w:left="0"/>
        <w:jc w:val="both"/>
        <w:rPr>
          <w:rFonts w:ascii="Arial" w:hAnsi="Arial" w:cs="Arial"/>
          <w:sz w:val="24"/>
          <w:szCs w:val="24"/>
        </w:rPr>
      </w:pPr>
    </w:p>
    <w:p w14:paraId="61CBD481" w14:textId="77777777" w:rsidR="00152DFE" w:rsidRPr="002F0B1D" w:rsidRDefault="00152DFE" w:rsidP="00152DFE">
      <w:pPr>
        <w:pStyle w:val="Heading2"/>
      </w:pPr>
      <w:r>
        <w:t>Alternative relief sought</w:t>
      </w:r>
    </w:p>
    <w:p w14:paraId="63A44E93" w14:textId="77777777" w:rsidR="00526203" w:rsidRDefault="00526203" w:rsidP="00526203">
      <w:pPr>
        <w:pStyle w:val="ListParagraph"/>
        <w:spacing w:after="0" w:line="360" w:lineRule="auto"/>
        <w:ind w:left="0"/>
        <w:jc w:val="both"/>
        <w:rPr>
          <w:rFonts w:ascii="Arial" w:hAnsi="Arial" w:cs="Arial"/>
        </w:rPr>
      </w:pPr>
    </w:p>
    <w:p w14:paraId="316744F4" w14:textId="6D6557B4" w:rsidR="002F03C3" w:rsidRPr="001424F6" w:rsidRDefault="001424F6" w:rsidP="001424F6">
      <w:pPr>
        <w:spacing w:after="0" w:line="360" w:lineRule="auto"/>
        <w:jc w:val="both"/>
        <w:rPr>
          <w:rFonts w:ascii="Arial" w:hAnsi="Arial" w:cs="Arial"/>
          <w:sz w:val="24"/>
          <w:szCs w:val="24"/>
        </w:rPr>
      </w:pPr>
      <w:r w:rsidRPr="0082732C">
        <w:rPr>
          <w:rFonts w:ascii="Arial" w:hAnsi="Arial" w:cs="Arial"/>
          <w:sz w:val="24"/>
          <w:szCs w:val="24"/>
        </w:rPr>
        <w:t>[39]</w:t>
      </w:r>
      <w:r w:rsidRPr="0082732C">
        <w:rPr>
          <w:rFonts w:ascii="Arial" w:hAnsi="Arial" w:cs="Arial"/>
          <w:sz w:val="24"/>
          <w:szCs w:val="24"/>
        </w:rPr>
        <w:tab/>
      </w:r>
      <w:r w:rsidR="00152DFE" w:rsidRPr="001424F6">
        <w:rPr>
          <w:rFonts w:ascii="Arial" w:hAnsi="Arial" w:cs="Arial"/>
          <w:sz w:val="24"/>
          <w:szCs w:val="24"/>
        </w:rPr>
        <w:t>I will proceed to consider the alternative relief sought as</w:t>
      </w:r>
      <w:r w:rsidR="00526203" w:rsidRPr="001424F6">
        <w:rPr>
          <w:rFonts w:ascii="Arial" w:hAnsi="Arial" w:cs="Arial"/>
          <w:sz w:val="24"/>
          <w:szCs w:val="24"/>
        </w:rPr>
        <w:t xml:space="preserve"> the point in limine is not dispositive of the matter</w:t>
      </w:r>
      <w:r w:rsidR="00152DFE" w:rsidRPr="001424F6">
        <w:rPr>
          <w:rFonts w:ascii="Arial" w:hAnsi="Arial" w:cs="Arial"/>
          <w:sz w:val="24"/>
          <w:szCs w:val="24"/>
        </w:rPr>
        <w:t>.</w:t>
      </w:r>
      <w:r w:rsidR="00526203" w:rsidRPr="001424F6">
        <w:rPr>
          <w:rFonts w:ascii="Arial" w:hAnsi="Arial" w:cs="Arial"/>
          <w:sz w:val="24"/>
          <w:szCs w:val="24"/>
        </w:rPr>
        <w:t xml:space="preserve"> </w:t>
      </w:r>
      <w:r w:rsidR="00B33050" w:rsidRPr="001424F6">
        <w:rPr>
          <w:rFonts w:ascii="Arial" w:hAnsi="Arial" w:cs="Arial"/>
          <w:sz w:val="24"/>
          <w:szCs w:val="24"/>
        </w:rPr>
        <w:t>The grounds of review</w:t>
      </w:r>
      <w:r w:rsidR="008B27AA" w:rsidRPr="001424F6">
        <w:rPr>
          <w:rFonts w:ascii="Arial" w:hAnsi="Arial" w:cs="Arial"/>
          <w:sz w:val="24"/>
          <w:szCs w:val="24"/>
        </w:rPr>
        <w:t xml:space="preserve"> (complaints)</w:t>
      </w:r>
      <w:r w:rsidR="00B33050" w:rsidRPr="001424F6">
        <w:rPr>
          <w:rFonts w:ascii="Arial" w:hAnsi="Arial" w:cs="Arial"/>
          <w:sz w:val="24"/>
          <w:szCs w:val="24"/>
        </w:rPr>
        <w:t xml:space="preserve"> also serve as the basis for the declaratory relief sought in the alternative.</w:t>
      </w:r>
    </w:p>
    <w:p w14:paraId="61CD1F87" w14:textId="77777777" w:rsidR="002C6734" w:rsidRDefault="002C6734" w:rsidP="002C6734">
      <w:pPr>
        <w:pStyle w:val="ListParagraph"/>
        <w:spacing w:after="0" w:line="360" w:lineRule="auto"/>
        <w:ind w:left="0"/>
        <w:jc w:val="both"/>
        <w:rPr>
          <w:rFonts w:ascii="Arial" w:hAnsi="Arial" w:cs="Arial"/>
        </w:rPr>
      </w:pPr>
    </w:p>
    <w:p w14:paraId="153F648C" w14:textId="77777777" w:rsidR="002F0B1D" w:rsidRDefault="002F0B1D" w:rsidP="002F0B1D">
      <w:pPr>
        <w:pStyle w:val="ListParagraph"/>
        <w:spacing w:after="0" w:line="360" w:lineRule="auto"/>
        <w:ind w:left="0"/>
        <w:rPr>
          <w:rFonts w:ascii="Arial" w:hAnsi="Arial" w:cs="Arial"/>
          <w:i/>
          <w:sz w:val="24"/>
          <w:szCs w:val="24"/>
        </w:rPr>
      </w:pPr>
      <w:r w:rsidRPr="002F0B1D">
        <w:rPr>
          <w:rFonts w:ascii="Arial" w:hAnsi="Arial" w:cs="Arial"/>
          <w:i/>
          <w:sz w:val="24"/>
          <w:szCs w:val="24"/>
        </w:rPr>
        <w:t>The writ of attachment is invalid for want of revival of the judgment</w:t>
      </w:r>
    </w:p>
    <w:p w14:paraId="3C0114EB" w14:textId="77777777" w:rsidR="0082732C" w:rsidRPr="002F0B1D" w:rsidRDefault="0082732C" w:rsidP="002F0B1D">
      <w:pPr>
        <w:pStyle w:val="ListParagraph"/>
        <w:spacing w:after="0" w:line="360" w:lineRule="auto"/>
        <w:ind w:left="0"/>
        <w:rPr>
          <w:rFonts w:ascii="Arial" w:hAnsi="Arial" w:cs="Arial"/>
          <w:i/>
          <w:sz w:val="24"/>
          <w:szCs w:val="24"/>
        </w:rPr>
      </w:pPr>
    </w:p>
    <w:p w14:paraId="108C4ED8" w14:textId="773323FD" w:rsidR="002F0B1D" w:rsidRPr="001424F6" w:rsidRDefault="001424F6" w:rsidP="001424F6">
      <w:pPr>
        <w:spacing w:after="0" w:line="360" w:lineRule="auto"/>
        <w:rPr>
          <w:rFonts w:ascii="Arial" w:hAnsi="Arial" w:cs="Arial"/>
          <w:sz w:val="24"/>
          <w:szCs w:val="24"/>
        </w:rPr>
      </w:pPr>
      <w:r>
        <w:rPr>
          <w:rFonts w:ascii="Arial" w:hAnsi="Arial" w:cs="Arial"/>
          <w:sz w:val="24"/>
          <w:szCs w:val="24"/>
        </w:rPr>
        <w:t>[40]</w:t>
      </w:r>
      <w:r>
        <w:rPr>
          <w:rFonts w:ascii="Arial" w:hAnsi="Arial" w:cs="Arial"/>
          <w:sz w:val="24"/>
          <w:szCs w:val="24"/>
        </w:rPr>
        <w:tab/>
      </w:r>
      <w:r w:rsidR="0082732C" w:rsidRPr="001424F6">
        <w:rPr>
          <w:rFonts w:ascii="Arial" w:hAnsi="Arial" w:cs="Arial"/>
          <w:sz w:val="24"/>
          <w:szCs w:val="24"/>
        </w:rPr>
        <w:t xml:space="preserve">Rule 112 of the </w:t>
      </w:r>
      <w:r w:rsidR="00FC45B7" w:rsidRPr="001424F6">
        <w:rPr>
          <w:rFonts w:ascii="Arial" w:hAnsi="Arial" w:cs="Arial"/>
          <w:sz w:val="24"/>
          <w:szCs w:val="24"/>
        </w:rPr>
        <w:t>r</w:t>
      </w:r>
      <w:r w:rsidR="002F0B1D" w:rsidRPr="001424F6">
        <w:rPr>
          <w:rFonts w:ascii="Arial" w:hAnsi="Arial" w:cs="Arial"/>
          <w:sz w:val="24"/>
          <w:szCs w:val="24"/>
        </w:rPr>
        <w:t>ule</w:t>
      </w:r>
      <w:r w:rsidR="0082732C" w:rsidRPr="001424F6">
        <w:rPr>
          <w:rFonts w:ascii="Arial" w:hAnsi="Arial" w:cs="Arial"/>
          <w:sz w:val="24"/>
          <w:szCs w:val="24"/>
        </w:rPr>
        <w:t>s</w:t>
      </w:r>
      <w:r w:rsidR="002F0B1D" w:rsidRPr="001424F6">
        <w:rPr>
          <w:rFonts w:ascii="Arial" w:hAnsi="Arial" w:cs="Arial"/>
          <w:sz w:val="24"/>
          <w:szCs w:val="24"/>
        </w:rPr>
        <w:t xml:space="preserve"> of court reads as follows:</w:t>
      </w:r>
    </w:p>
    <w:p w14:paraId="71B97547" w14:textId="77777777" w:rsidR="0082732C" w:rsidRDefault="0082732C" w:rsidP="0082732C">
      <w:pPr>
        <w:pStyle w:val="ListParagraph"/>
        <w:spacing w:after="0" w:line="360" w:lineRule="auto"/>
        <w:ind w:left="0"/>
        <w:rPr>
          <w:rFonts w:ascii="Arial" w:hAnsi="Arial" w:cs="Arial"/>
          <w:sz w:val="24"/>
          <w:szCs w:val="24"/>
        </w:rPr>
      </w:pPr>
    </w:p>
    <w:p w14:paraId="72D52990" w14:textId="77777777" w:rsidR="00CD65A9" w:rsidRDefault="00CD65A9" w:rsidP="00CD65A9">
      <w:pPr>
        <w:pStyle w:val="ListParagraph"/>
        <w:spacing w:after="0" w:line="360" w:lineRule="auto"/>
        <w:ind w:left="0" w:firstLine="720"/>
        <w:jc w:val="both"/>
        <w:rPr>
          <w:rFonts w:ascii="Arial" w:hAnsi="Arial" w:cs="Arial"/>
        </w:rPr>
      </w:pPr>
      <w:r>
        <w:rPr>
          <w:rFonts w:ascii="Arial" w:hAnsi="Arial" w:cs="Arial"/>
        </w:rPr>
        <w:t>‘</w:t>
      </w:r>
      <w:r w:rsidR="002F0B1D" w:rsidRPr="002F0B1D">
        <w:rPr>
          <w:rFonts w:ascii="Arial" w:hAnsi="Arial" w:cs="Arial"/>
        </w:rPr>
        <w:t xml:space="preserve">112. (1) A writ of execution may not be issued after the expiry of three years from the day on which a judgment has been pronounced, unless the – </w:t>
      </w:r>
    </w:p>
    <w:p w14:paraId="76A8746B" w14:textId="77777777" w:rsidR="00CD65A9" w:rsidRDefault="0082732C" w:rsidP="00CD65A9">
      <w:pPr>
        <w:pStyle w:val="ListParagraph"/>
        <w:spacing w:after="0" w:line="360" w:lineRule="auto"/>
        <w:ind w:left="0"/>
        <w:jc w:val="both"/>
        <w:rPr>
          <w:rFonts w:ascii="Arial" w:hAnsi="Arial" w:cs="Arial"/>
        </w:rPr>
      </w:pPr>
      <w:r>
        <w:rPr>
          <w:rFonts w:ascii="Arial" w:hAnsi="Arial" w:cs="Arial"/>
        </w:rPr>
        <w:t>(a)</w:t>
      </w:r>
      <w:r>
        <w:rPr>
          <w:rFonts w:ascii="Arial" w:hAnsi="Arial" w:cs="Arial"/>
        </w:rPr>
        <w:tab/>
      </w:r>
      <w:r w:rsidR="002F0B1D" w:rsidRPr="002F0B1D">
        <w:rPr>
          <w:rFonts w:ascii="Arial" w:hAnsi="Arial" w:cs="Arial"/>
        </w:rPr>
        <w:t xml:space="preserve">debtor consents to the issue of the writ; or </w:t>
      </w:r>
    </w:p>
    <w:p w14:paraId="3787177F" w14:textId="77777777" w:rsidR="00CD65A9" w:rsidRDefault="0082732C" w:rsidP="00CD65A9">
      <w:pPr>
        <w:pStyle w:val="ListParagraph"/>
        <w:spacing w:after="0" w:line="360" w:lineRule="auto"/>
        <w:ind w:left="0"/>
        <w:jc w:val="both"/>
        <w:rPr>
          <w:rFonts w:ascii="Arial" w:hAnsi="Arial" w:cs="Arial"/>
        </w:rPr>
      </w:pPr>
      <w:r>
        <w:rPr>
          <w:rFonts w:ascii="Arial" w:hAnsi="Arial" w:cs="Arial"/>
        </w:rPr>
        <w:lastRenderedPageBreak/>
        <w:t>(b)</w:t>
      </w:r>
      <w:r>
        <w:rPr>
          <w:rFonts w:ascii="Arial" w:hAnsi="Arial" w:cs="Arial"/>
        </w:rPr>
        <w:tab/>
      </w:r>
      <w:r w:rsidR="002F0B1D" w:rsidRPr="002F0B1D">
        <w:rPr>
          <w:rFonts w:ascii="Arial" w:hAnsi="Arial" w:cs="Arial"/>
        </w:rPr>
        <w:t xml:space="preserve">judgment is revived by the court on notice to the debtor, but in such a case no new proof of the debt is required. </w:t>
      </w:r>
    </w:p>
    <w:p w14:paraId="549D28E5" w14:textId="77777777" w:rsidR="00CD65A9" w:rsidRDefault="0082732C" w:rsidP="00CD65A9">
      <w:pPr>
        <w:pStyle w:val="ListParagraph"/>
        <w:spacing w:after="0" w:line="360" w:lineRule="auto"/>
        <w:ind w:left="0"/>
        <w:jc w:val="both"/>
        <w:rPr>
          <w:rFonts w:ascii="Arial" w:hAnsi="Arial" w:cs="Arial"/>
        </w:rPr>
      </w:pPr>
      <w:r>
        <w:rPr>
          <w:rFonts w:ascii="Arial" w:hAnsi="Arial" w:cs="Arial"/>
        </w:rPr>
        <w:t>(2)</w:t>
      </w:r>
      <w:r>
        <w:rPr>
          <w:rFonts w:ascii="Arial" w:hAnsi="Arial" w:cs="Arial"/>
        </w:rPr>
        <w:tab/>
      </w:r>
      <w:r w:rsidR="002F0B1D" w:rsidRPr="002F0B1D">
        <w:rPr>
          <w:rFonts w:ascii="Arial" w:hAnsi="Arial" w:cs="Arial"/>
        </w:rPr>
        <w:t xml:space="preserve">In case of a judgment for periodic payments the three years referred to in subrule (1) run in respect of any payment from the due date of payment. </w:t>
      </w:r>
    </w:p>
    <w:p w14:paraId="2C36B727" w14:textId="77777777" w:rsidR="002F0B1D" w:rsidRDefault="0082732C" w:rsidP="00CD65A9">
      <w:pPr>
        <w:pStyle w:val="ListParagraph"/>
        <w:spacing w:after="0" w:line="360" w:lineRule="auto"/>
        <w:ind w:left="0"/>
        <w:jc w:val="both"/>
        <w:rPr>
          <w:rFonts w:ascii="Arial" w:hAnsi="Arial" w:cs="Arial"/>
        </w:rPr>
      </w:pPr>
      <w:r>
        <w:rPr>
          <w:rFonts w:ascii="Arial" w:hAnsi="Arial" w:cs="Arial"/>
        </w:rPr>
        <w:t>(3)</w:t>
      </w:r>
      <w:r>
        <w:rPr>
          <w:rFonts w:ascii="Arial" w:hAnsi="Arial" w:cs="Arial"/>
        </w:rPr>
        <w:tab/>
      </w:r>
      <w:r w:rsidR="002F0B1D" w:rsidRPr="002F0B1D">
        <w:rPr>
          <w:rFonts w:ascii="Arial" w:hAnsi="Arial" w:cs="Arial"/>
        </w:rPr>
        <w:t>Once a writ of execution of a judgment has been issued, it remains in force and may, subject to section 11(</w:t>
      </w:r>
      <w:r w:rsidR="002F0B1D" w:rsidRPr="0082732C">
        <w:rPr>
          <w:rFonts w:ascii="Arial" w:hAnsi="Arial" w:cs="Arial"/>
          <w:i/>
        </w:rPr>
        <w:t>a</w:t>
      </w:r>
      <w:r w:rsidR="002F0B1D" w:rsidRPr="002F0B1D">
        <w:rPr>
          <w:rFonts w:ascii="Arial" w:hAnsi="Arial" w:cs="Arial"/>
        </w:rPr>
        <w:t>)(</w:t>
      </w:r>
      <w:r w:rsidR="002F0B1D" w:rsidRPr="0082732C">
        <w:rPr>
          <w:rFonts w:ascii="Arial" w:hAnsi="Arial" w:cs="Arial"/>
          <w:i/>
        </w:rPr>
        <w:t>ii</w:t>
      </w:r>
      <w:r w:rsidR="002F0B1D" w:rsidRPr="002F0B1D">
        <w:rPr>
          <w:rFonts w:ascii="Arial" w:hAnsi="Arial" w:cs="Arial"/>
        </w:rPr>
        <w:t>) of the Prescription Act, 1969 (Act No. 68 of 1969), at any time be executed without being renewed until judgment has been satisfied in full.</w:t>
      </w:r>
      <w:r w:rsidR="00CD65A9">
        <w:rPr>
          <w:rFonts w:ascii="Arial" w:hAnsi="Arial" w:cs="Arial"/>
        </w:rPr>
        <w:t>’</w:t>
      </w:r>
    </w:p>
    <w:p w14:paraId="4A1D2477" w14:textId="77777777" w:rsidR="00CD65A9" w:rsidRDefault="00CD65A9" w:rsidP="00CD65A9">
      <w:pPr>
        <w:pStyle w:val="ListParagraph"/>
        <w:spacing w:after="0" w:line="360" w:lineRule="auto"/>
        <w:ind w:left="0"/>
        <w:jc w:val="both"/>
        <w:rPr>
          <w:rFonts w:ascii="Arial" w:hAnsi="Arial" w:cs="Arial"/>
          <w:sz w:val="24"/>
          <w:szCs w:val="24"/>
        </w:rPr>
      </w:pPr>
    </w:p>
    <w:p w14:paraId="5B0CC624" w14:textId="4DD4CA3C" w:rsidR="003D09C9" w:rsidRPr="001424F6" w:rsidRDefault="001424F6" w:rsidP="001424F6">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D09C9" w:rsidRPr="001424F6">
        <w:rPr>
          <w:rFonts w:ascii="Arial" w:hAnsi="Arial" w:cs="Arial"/>
          <w:sz w:val="24"/>
          <w:szCs w:val="24"/>
        </w:rPr>
        <w:t xml:space="preserve">The applicants advanced their case for the invalidity of the writ in paras 69 and 70 of the founding affidavit deposed to by Mr Von Lüttichou.  The applicants state </w:t>
      </w:r>
      <w:r w:rsidR="0082732C" w:rsidRPr="001424F6">
        <w:rPr>
          <w:rFonts w:ascii="Arial" w:hAnsi="Arial" w:cs="Arial"/>
          <w:sz w:val="24"/>
          <w:szCs w:val="24"/>
        </w:rPr>
        <w:t xml:space="preserve">that </w:t>
      </w:r>
      <w:r w:rsidR="003D09C9" w:rsidRPr="001424F6">
        <w:rPr>
          <w:rFonts w:ascii="Arial" w:hAnsi="Arial" w:cs="Arial"/>
          <w:sz w:val="24"/>
          <w:szCs w:val="24"/>
        </w:rPr>
        <w:t>the reason for the invalidity of the writ of attachment of the immovable property is that the writ was issued on 7 September 2021, which is more than four years after the granting of the judgment on 22 June 2016. The applicants maintain that because the judgment was not revived</w:t>
      </w:r>
      <w:r w:rsidR="00784764" w:rsidRPr="001424F6">
        <w:rPr>
          <w:rFonts w:ascii="Arial" w:hAnsi="Arial" w:cs="Arial"/>
          <w:sz w:val="24"/>
          <w:szCs w:val="24"/>
        </w:rPr>
        <w:t>,</w:t>
      </w:r>
      <w:r w:rsidR="003D09C9" w:rsidRPr="001424F6">
        <w:rPr>
          <w:rFonts w:ascii="Arial" w:hAnsi="Arial" w:cs="Arial"/>
          <w:sz w:val="24"/>
          <w:szCs w:val="24"/>
        </w:rPr>
        <w:t xml:space="preserve"> the writ of attachment was issued contrary to the provisions of rule 112(1).</w:t>
      </w:r>
    </w:p>
    <w:p w14:paraId="141A35E9" w14:textId="77777777" w:rsidR="00175136" w:rsidRDefault="00175136" w:rsidP="00175136">
      <w:pPr>
        <w:pStyle w:val="ListParagraph"/>
        <w:spacing w:after="0" w:line="360" w:lineRule="auto"/>
        <w:ind w:left="0"/>
        <w:rPr>
          <w:rFonts w:ascii="Arial" w:hAnsi="Arial" w:cs="Arial"/>
          <w:sz w:val="24"/>
          <w:szCs w:val="24"/>
        </w:rPr>
      </w:pPr>
    </w:p>
    <w:p w14:paraId="4C92F586" w14:textId="25C36E31" w:rsidR="00443AEF" w:rsidRPr="001424F6" w:rsidRDefault="001424F6" w:rsidP="001424F6">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43AEF" w:rsidRPr="001424F6">
        <w:rPr>
          <w:rFonts w:ascii="Arial" w:hAnsi="Arial" w:cs="Arial"/>
          <w:sz w:val="24"/>
          <w:szCs w:val="24"/>
        </w:rPr>
        <w:t xml:space="preserve">Standard Bank responded to this averment by setting out the chronology of the litigation in this matter </w:t>
      </w:r>
      <w:r w:rsidR="00907C4A" w:rsidRPr="001424F6">
        <w:rPr>
          <w:rFonts w:ascii="Arial" w:hAnsi="Arial" w:cs="Arial"/>
          <w:sz w:val="24"/>
          <w:szCs w:val="24"/>
        </w:rPr>
        <w:t xml:space="preserve">indicating that a writ of execution was issued against movables on 24 June 2016 and thereafter the said writ of execution was served on the first applicant on 16 July 2017, 23 January 2019 and 29 October 2019, when nulla bona returns were filed, and on the second applicant on 10 October 2023. </w:t>
      </w:r>
    </w:p>
    <w:p w14:paraId="3CE1F344" w14:textId="77777777" w:rsidR="00C325C8" w:rsidRDefault="00C325C8" w:rsidP="0082732C">
      <w:pPr>
        <w:pStyle w:val="ListParagraph"/>
        <w:spacing w:after="0" w:line="360" w:lineRule="auto"/>
        <w:ind w:left="0"/>
        <w:jc w:val="both"/>
        <w:rPr>
          <w:rFonts w:ascii="Arial" w:hAnsi="Arial" w:cs="Arial"/>
          <w:sz w:val="24"/>
          <w:szCs w:val="24"/>
        </w:rPr>
      </w:pPr>
    </w:p>
    <w:p w14:paraId="433E4C86" w14:textId="10F4D54F" w:rsidR="003D09C9" w:rsidRPr="001424F6" w:rsidRDefault="001424F6" w:rsidP="001424F6">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325C8" w:rsidRPr="001424F6">
        <w:rPr>
          <w:rFonts w:ascii="Arial" w:hAnsi="Arial" w:cs="Arial"/>
          <w:sz w:val="24"/>
          <w:szCs w:val="24"/>
        </w:rPr>
        <w:t xml:space="preserve">In the replying affidavit by Mr Von Lüttichou, he stated for the first time that the writ of execution was only in respect of the second applicant’s movable property and that no writ of execution was issued in respect of the movable property of the first applicant, who is the registered owner of the immovable property. </w:t>
      </w:r>
    </w:p>
    <w:p w14:paraId="480A7BD5" w14:textId="77777777" w:rsidR="00C325C8" w:rsidRPr="00C325C8" w:rsidRDefault="00C325C8" w:rsidP="0082732C">
      <w:pPr>
        <w:pStyle w:val="ListParagraph"/>
        <w:jc w:val="both"/>
        <w:rPr>
          <w:rFonts w:ascii="Arial" w:hAnsi="Arial" w:cs="Arial"/>
          <w:sz w:val="24"/>
          <w:szCs w:val="24"/>
        </w:rPr>
      </w:pPr>
    </w:p>
    <w:p w14:paraId="553D7B56" w14:textId="281EF3C8" w:rsidR="00C325C8" w:rsidRPr="001424F6" w:rsidRDefault="001424F6" w:rsidP="001424F6">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C325C8" w:rsidRPr="001424F6">
        <w:rPr>
          <w:rFonts w:ascii="Arial" w:hAnsi="Arial" w:cs="Arial"/>
          <w:sz w:val="24"/>
          <w:szCs w:val="24"/>
        </w:rPr>
        <w:t>Interestingly</w:t>
      </w:r>
      <w:r w:rsidR="0082732C" w:rsidRPr="001424F6">
        <w:rPr>
          <w:rFonts w:ascii="Arial" w:hAnsi="Arial" w:cs="Arial"/>
          <w:sz w:val="24"/>
          <w:szCs w:val="24"/>
        </w:rPr>
        <w:t>,</w:t>
      </w:r>
      <w:r w:rsidR="00C325C8" w:rsidRPr="001424F6">
        <w:rPr>
          <w:rFonts w:ascii="Arial" w:hAnsi="Arial" w:cs="Arial"/>
          <w:sz w:val="24"/>
          <w:szCs w:val="24"/>
        </w:rPr>
        <w:t xml:space="preserve"> Mr Von Lüttichou then </w:t>
      </w:r>
      <w:r w:rsidR="00240E15" w:rsidRPr="001424F6">
        <w:rPr>
          <w:rFonts w:ascii="Arial" w:hAnsi="Arial" w:cs="Arial"/>
          <w:sz w:val="24"/>
          <w:szCs w:val="24"/>
        </w:rPr>
        <w:t>proceeded</w:t>
      </w:r>
      <w:r w:rsidR="00C325C8" w:rsidRPr="001424F6">
        <w:rPr>
          <w:rFonts w:ascii="Arial" w:hAnsi="Arial" w:cs="Arial"/>
          <w:sz w:val="24"/>
          <w:szCs w:val="24"/>
        </w:rPr>
        <w:t xml:space="preserve"> to state the following in respect of the rule 108 proceedings and </w:t>
      </w:r>
      <w:r w:rsidR="0082732C" w:rsidRPr="001424F6">
        <w:rPr>
          <w:rFonts w:ascii="Arial" w:hAnsi="Arial" w:cs="Arial"/>
          <w:sz w:val="24"/>
          <w:szCs w:val="24"/>
        </w:rPr>
        <w:t xml:space="preserve">the </w:t>
      </w:r>
      <w:r w:rsidR="00C325C8" w:rsidRPr="001424F6">
        <w:rPr>
          <w:rFonts w:ascii="Arial" w:hAnsi="Arial" w:cs="Arial"/>
          <w:sz w:val="24"/>
          <w:szCs w:val="24"/>
        </w:rPr>
        <w:t>order in para 23 of his replying affidavit:</w:t>
      </w:r>
    </w:p>
    <w:p w14:paraId="32B16DBB" w14:textId="77777777" w:rsidR="00C325C8" w:rsidRPr="00C325C8" w:rsidRDefault="00C325C8" w:rsidP="0082732C">
      <w:pPr>
        <w:pStyle w:val="ListParagraph"/>
        <w:jc w:val="both"/>
        <w:rPr>
          <w:rFonts w:ascii="Arial" w:hAnsi="Arial" w:cs="Arial"/>
          <w:sz w:val="24"/>
          <w:szCs w:val="24"/>
        </w:rPr>
      </w:pPr>
    </w:p>
    <w:p w14:paraId="5BCB7074" w14:textId="77777777" w:rsidR="00C325C8" w:rsidRPr="00C325C8" w:rsidRDefault="00C325C8" w:rsidP="0082732C">
      <w:pPr>
        <w:pStyle w:val="ListParagraph"/>
        <w:spacing w:after="0" w:line="360" w:lineRule="auto"/>
        <w:ind w:left="0" w:firstLine="720"/>
        <w:jc w:val="both"/>
        <w:rPr>
          <w:rFonts w:ascii="Arial" w:hAnsi="Arial" w:cs="Arial"/>
          <w:sz w:val="24"/>
          <w:szCs w:val="24"/>
        </w:rPr>
      </w:pPr>
      <w:r>
        <w:rPr>
          <w:rFonts w:ascii="Arial" w:hAnsi="Arial" w:cs="Arial"/>
          <w:sz w:val="24"/>
          <w:szCs w:val="24"/>
        </w:rPr>
        <w:t>‘</w:t>
      </w:r>
      <w:r>
        <w:rPr>
          <w:rFonts w:ascii="Arial" w:hAnsi="Arial" w:cs="Arial"/>
        </w:rPr>
        <w:t xml:space="preserve">The application was not opposed. However, the court should not have granted the order because there was never a valid nulla bona return in respect of the first applicant. Whilst I do not </w:t>
      </w:r>
      <w:r>
        <w:rPr>
          <w:rFonts w:ascii="Arial" w:hAnsi="Arial" w:cs="Arial"/>
        </w:rPr>
        <w:lastRenderedPageBreak/>
        <w:t>challenge the order, the error in issuing the order should be taken into consideration in determining the validity of the further processes.’</w:t>
      </w:r>
    </w:p>
    <w:p w14:paraId="26A603F5" w14:textId="77777777" w:rsidR="00240E15" w:rsidRDefault="00240E15" w:rsidP="0082732C">
      <w:pPr>
        <w:pStyle w:val="ListParagraph"/>
        <w:spacing w:after="0" w:line="360" w:lineRule="auto"/>
        <w:ind w:left="0"/>
        <w:jc w:val="both"/>
        <w:rPr>
          <w:rFonts w:ascii="Arial" w:hAnsi="Arial" w:cs="Arial"/>
          <w:sz w:val="24"/>
          <w:szCs w:val="24"/>
        </w:rPr>
      </w:pPr>
    </w:p>
    <w:p w14:paraId="49F2A479" w14:textId="64767457" w:rsidR="0075376C" w:rsidRPr="001424F6" w:rsidRDefault="001424F6" w:rsidP="001424F6">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75376C" w:rsidRPr="001424F6">
        <w:rPr>
          <w:rFonts w:ascii="Arial" w:hAnsi="Arial" w:cs="Arial"/>
          <w:sz w:val="24"/>
          <w:szCs w:val="24"/>
        </w:rPr>
        <w:t>What Mr Von Lüttichou stated in the replying affidavit with regards to the rule 108</w:t>
      </w:r>
      <w:r w:rsidR="007B486D" w:rsidRPr="001424F6">
        <w:rPr>
          <w:rFonts w:ascii="Arial" w:hAnsi="Arial" w:cs="Arial"/>
          <w:sz w:val="24"/>
          <w:szCs w:val="24"/>
        </w:rPr>
        <w:t xml:space="preserve"> proceedings</w:t>
      </w:r>
      <w:r w:rsidR="0075376C" w:rsidRPr="001424F6">
        <w:rPr>
          <w:rFonts w:ascii="Arial" w:hAnsi="Arial" w:cs="Arial"/>
          <w:sz w:val="24"/>
          <w:szCs w:val="24"/>
        </w:rPr>
        <w:t>, in my view, is a contradiction in terms. On the one hand</w:t>
      </w:r>
      <w:r w:rsidR="007B486D" w:rsidRPr="001424F6">
        <w:rPr>
          <w:rFonts w:ascii="Arial" w:hAnsi="Arial" w:cs="Arial"/>
          <w:sz w:val="24"/>
          <w:szCs w:val="24"/>
        </w:rPr>
        <w:t>,</w:t>
      </w:r>
      <w:r w:rsidR="0075376C" w:rsidRPr="001424F6">
        <w:rPr>
          <w:rFonts w:ascii="Arial" w:hAnsi="Arial" w:cs="Arial"/>
          <w:sz w:val="24"/>
          <w:szCs w:val="24"/>
        </w:rPr>
        <w:t xml:space="preserve"> he does not take issue with the order or </w:t>
      </w:r>
      <w:r w:rsidR="007B486D" w:rsidRPr="001424F6">
        <w:rPr>
          <w:rFonts w:ascii="Arial" w:hAnsi="Arial" w:cs="Arial"/>
          <w:sz w:val="24"/>
          <w:szCs w:val="24"/>
        </w:rPr>
        <w:t>challenge</w:t>
      </w:r>
      <w:r w:rsidR="0075376C" w:rsidRPr="001424F6">
        <w:rPr>
          <w:rFonts w:ascii="Arial" w:hAnsi="Arial" w:cs="Arial"/>
          <w:sz w:val="24"/>
          <w:szCs w:val="24"/>
        </w:rPr>
        <w:t xml:space="preserve"> it yet in the </w:t>
      </w:r>
      <w:r w:rsidR="007B486D" w:rsidRPr="001424F6">
        <w:rPr>
          <w:rFonts w:ascii="Arial" w:hAnsi="Arial" w:cs="Arial"/>
          <w:sz w:val="24"/>
          <w:szCs w:val="24"/>
        </w:rPr>
        <w:t>same</w:t>
      </w:r>
      <w:r w:rsidR="0075376C" w:rsidRPr="001424F6">
        <w:rPr>
          <w:rFonts w:ascii="Arial" w:hAnsi="Arial" w:cs="Arial"/>
          <w:sz w:val="24"/>
          <w:szCs w:val="24"/>
        </w:rPr>
        <w:t xml:space="preserve"> breath </w:t>
      </w:r>
      <w:r w:rsidR="007B486D" w:rsidRPr="001424F6">
        <w:rPr>
          <w:rFonts w:ascii="Arial" w:hAnsi="Arial" w:cs="Arial"/>
          <w:sz w:val="24"/>
          <w:szCs w:val="24"/>
        </w:rPr>
        <w:t>wants</w:t>
      </w:r>
      <w:r w:rsidR="0075376C" w:rsidRPr="001424F6">
        <w:rPr>
          <w:rFonts w:ascii="Arial" w:hAnsi="Arial" w:cs="Arial"/>
          <w:sz w:val="24"/>
          <w:szCs w:val="24"/>
        </w:rPr>
        <w:t xml:space="preserve"> this court to take the purported error into consideration in determining the validity of the further processes. </w:t>
      </w:r>
    </w:p>
    <w:p w14:paraId="7C9C80F5" w14:textId="77777777" w:rsidR="0075376C" w:rsidRDefault="0075376C" w:rsidP="0082732C">
      <w:pPr>
        <w:pStyle w:val="ListParagraph"/>
        <w:spacing w:after="0" w:line="360" w:lineRule="auto"/>
        <w:ind w:left="0"/>
        <w:jc w:val="both"/>
        <w:rPr>
          <w:rFonts w:ascii="Arial" w:hAnsi="Arial" w:cs="Arial"/>
          <w:sz w:val="24"/>
          <w:szCs w:val="24"/>
        </w:rPr>
      </w:pPr>
    </w:p>
    <w:p w14:paraId="1B0C3064" w14:textId="4607108A" w:rsidR="007B486D" w:rsidRPr="001424F6" w:rsidRDefault="001424F6" w:rsidP="001424F6">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7B486D" w:rsidRPr="001424F6">
        <w:rPr>
          <w:rFonts w:ascii="Arial" w:hAnsi="Arial" w:cs="Arial"/>
          <w:sz w:val="24"/>
          <w:szCs w:val="24"/>
        </w:rPr>
        <w:t xml:space="preserve">The order of this court declaring the immovable property executable </w:t>
      </w:r>
      <w:r w:rsidR="00784764" w:rsidRPr="001424F6">
        <w:rPr>
          <w:rFonts w:ascii="Arial" w:hAnsi="Arial" w:cs="Arial"/>
          <w:sz w:val="24"/>
          <w:szCs w:val="24"/>
        </w:rPr>
        <w:t xml:space="preserve">is </w:t>
      </w:r>
      <w:r w:rsidR="007B486D" w:rsidRPr="001424F6">
        <w:rPr>
          <w:rFonts w:ascii="Arial" w:hAnsi="Arial" w:cs="Arial"/>
          <w:sz w:val="24"/>
          <w:szCs w:val="24"/>
        </w:rPr>
        <w:t>in my considered view</w:t>
      </w:r>
      <w:r w:rsidR="00784764" w:rsidRPr="001424F6">
        <w:rPr>
          <w:rFonts w:ascii="Arial" w:hAnsi="Arial" w:cs="Arial"/>
          <w:sz w:val="24"/>
          <w:szCs w:val="24"/>
        </w:rPr>
        <w:t>,</w:t>
      </w:r>
      <w:r w:rsidR="007B486D" w:rsidRPr="001424F6">
        <w:rPr>
          <w:rFonts w:ascii="Arial" w:hAnsi="Arial" w:cs="Arial"/>
          <w:sz w:val="24"/>
          <w:szCs w:val="24"/>
        </w:rPr>
        <w:t xml:space="preserve"> with full force and effect as there was no application to have that order set aside by a court of competent jurisdiction.</w:t>
      </w:r>
    </w:p>
    <w:p w14:paraId="3DA929B2" w14:textId="77777777" w:rsidR="007B486D" w:rsidRPr="007B486D" w:rsidRDefault="007B486D" w:rsidP="0082732C">
      <w:pPr>
        <w:pStyle w:val="ListParagraph"/>
        <w:jc w:val="both"/>
        <w:rPr>
          <w:rFonts w:ascii="Arial" w:hAnsi="Arial" w:cs="Arial"/>
          <w:sz w:val="24"/>
          <w:szCs w:val="24"/>
        </w:rPr>
      </w:pPr>
    </w:p>
    <w:p w14:paraId="1DB16270" w14:textId="195E61F2" w:rsidR="0075376C" w:rsidRPr="001424F6" w:rsidRDefault="001424F6" w:rsidP="001424F6">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5376C" w:rsidRPr="001424F6">
        <w:rPr>
          <w:rFonts w:ascii="Arial" w:hAnsi="Arial" w:cs="Arial"/>
          <w:sz w:val="24"/>
          <w:szCs w:val="24"/>
        </w:rPr>
        <w:t xml:space="preserve">Ms Campbell </w:t>
      </w:r>
      <w:r w:rsidR="00617E1F" w:rsidRPr="001424F6">
        <w:rPr>
          <w:rFonts w:ascii="Arial" w:hAnsi="Arial" w:cs="Arial"/>
          <w:sz w:val="24"/>
          <w:szCs w:val="24"/>
        </w:rPr>
        <w:t xml:space="preserve">argued </w:t>
      </w:r>
      <w:r w:rsidR="0075376C" w:rsidRPr="001424F6">
        <w:rPr>
          <w:rFonts w:ascii="Arial" w:hAnsi="Arial" w:cs="Arial"/>
          <w:sz w:val="24"/>
          <w:szCs w:val="24"/>
        </w:rPr>
        <w:t>that the applicants took an about</w:t>
      </w:r>
      <w:r w:rsidR="007B486D" w:rsidRPr="001424F6">
        <w:rPr>
          <w:rFonts w:ascii="Arial" w:hAnsi="Arial" w:cs="Arial"/>
          <w:sz w:val="24"/>
          <w:szCs w:val="24"/>
        </w:rPr>
        <w:t>-</w:t>
      </w:r>
      <w:r w:rsidR="0075376C" w:rsidRPr="001424F6">
        <w:rPr>
          <w:rFonts w:ascii="Arial" w:hAnsi="Arial" w:cs="Arial"/>
          <w:sz w:val="24"/>
          <w:szCs w:val="24"/>
        </w:rPr>
        <w:t xml:space="preserve">turn in their replying papers and raised a completely different reason for the invalidity of the writ and why there should have been compliance with rule 112 of the rules of court. </w:t>
      </w:r>
      <w:r w:rsidR="00617E1F" w:rsidRPr="001424F6">
        <w:rPr>
          <w:rFonts w:ascii="Arial" w:hAnsi="Arial" w:cs="Arial"/>
          <w:sz w:val="24"/>
          <w:szCs w:val="24"/>
        </w:rPr>
        <w:t xml:space="preserve">I agree with this contention. </w:t>
      </w:r>
      <w:r w:rsidR="0075376C" w:rsidRPr="001424F6">
        <w:rPr>
          <w:rFonts w:ascii="Arial" w:hAnsi="Arial" w:cs="Arial"/>
          <w:sz w:val="24"/>
          <w:szCs w:val="24"/>
        </w:rPr>
        <w:t xml:space="preserve">The augmented complaint raised in the replying affidavit appears to be an afterthought and does not </w:t>
      </w:r>
      <w:r w:rsidR="007B486D" w:rsidRPr="001424F6">
        <w:rPr>
          <w:rFonts w:ascii="Arial" w:hAnsi="Arial" w:cs="Arial"/>
          <w:sz w:val="24"/>
          <w:szCs w:val="24"/>
        </w:rPr>
        <w:t>speak</w:t>
      </w:r>
      <w:r w:rsidR="0075376C" w:rsidRPr="001424F6">
        <w:rPr>
          <w:rFonts w:ascii="Arial" w:hAnsi="Arial" w:cs="Arial"/>
          <w:sz w:val="24"/>
          <w:szCs w:val="24"/>
        </w:rPr>
        <w:t xml:space="preserve"> to </w:t>
      </w:r>
      <w:r w:rsidR="007B486D" w:rsidRPr="001424F6">
        <w:rPr>
          <w:rFonts w:ascii="Arial" w:hAnsi="Arial" w:cs="Arial"/>
          <w:sz w:val="24"/>
          <w:szCs w:val="24"/>
        </w:rPr>
        <w:t>the</w:t>
      </w:r>
      <w:r w:rsidR="0075376C" w:rsidRPr="001424F6">
        <w:rPr>
          <w:rFonts w:ascii="Arial" w:hAnsi="Arial" w:cs="Arial"/>
          <w:sz w:val="24"/>
          <w:szCs w:val="24"/>
        </w:rPr>
        <w:t xml:space="preserve"> founding papers</w:t>
      </w:r>
      <w:r w:rsidR="007B486D" w:rsidRPr="001424F6">
        <w:rPr>
          <w:rFonts w:ascii="Arial" w:hAnsi="Arial" w:cs="Arial"/>
          <w:sz w:val="24"/>
          <w:szCs w:val="24"/>
        </w:rPr>
        <w:t>.</w:t>
      </w:r>
      <w:r w:rsidR="0075376C" w:rsidRPr="001424F6">
        <w:rPr>
          <w:rFonts w:ascii="Arial" w:hAnsi="Arial" w:cs="Arial"/>
          <w:sz w:val="24"/>
          <w:szCs w:val="24"/>
        </w:rPr>
        <w:t xml:space="preserve"> </w:t>
      </w:r>
      <w:r w:rsidR="007B486D" w:rsidRPr="001424F6">
        <w:rPr>
          <w:rFonts w:ascii="Arial" w:hAnsi="Arial" w:cs="Arial"/>
          <w:sz w:val="24"/>
          <w:szCs w:val="24"/>
        </w:rPr>
        <w:t>Standard</w:t>
      </w:r>
      <w:r w:rsidR="0075376C" w:rsidRPr="001424F6">
        <w:rPr>
          <w:rFonts w:ascii="Arial" w:hAnsi="Arial" w:cs="Arial"/>
          <w:sz w:val="24"/>
          <w:szCs w:val="24"/>
        </w:rPr>
        <w:t xml:space="preserve"> Bank could </w:t>
      </w:r>
      <w:r w:rsidR="007B486D" w:rsidRPr="001424F6">
        <w:rPr>
          <w:rFonts w:ascii="Arial" w:hAnsi="Arial" w:cs="Arial"/>
          <w:sz w:val="24"/>
          <w:szCs w:val="24"/>
        </w:rPr>
        <w:t xml:space="preserve">also </w:t>
      </w:r>
      <w:r w:rsidR="0075376C" w:rsidRPr="001424F6">
        <w:rPr>
          <w:rFonts w:ascii="Arial" w:hAnsi="Arial" w:cs="Arial"/>
          <w:sz w:val="24"/>
          <w:szCs w:val="24"/>
        </w:rPr>
        <w:t xml:space="preserve">not respond to the </w:t>
      </w:r>
      <w:r w:rsidR="007B486D" w:rsidRPr="001424F6">
        <w:rPr>
          <w:rFonts w:ascii="Arial" w:hAnsi="Arial" w:cs="Arial"/>
          <w:sz w:val="24"/>
          <w:szCs w:val="24"/>
        </w:rPr>
        <w:t>further issue in respect of rule 112 raised in the replying papers. The applicants will remain limited to their founding papers in this regard.</w:t>
      </w:r>
      <w:r w:rsidR="00115C7E" w:rsidRPr="001424F6">
        <w:rPr>
          <w:rFonts w:ascii="Arial" w:hAnsi="Arial" w:cs="Arial"/>
          <w:sz w:val="24"/>
          <w:szCs w:val="24"/>
        </w:rPr>
        <w:t xml:space="preserve"> As an aside I need to also mention that the paper file in this matter went missing and had to be reco</w:t>
      </w:r>
      <w:r w:rsidR="00AF1ECC" w:rsidRPr="001424F6">
        <w:rPr>
          <w:rFonts w:ascii="Arial" w:hAnsi="Arial" w:cs="Arial"/>
          <w:sz w:val="24"/>
          <w:szCs w:val="24"/>
        </w:rPr>
        <w:t>nstructed. The second respondent could not assist the court further in this regard but pointed out that nulla bona returns were filed in respect of the first applicant.</w:t>
      </w:r>
    </w:p>
    <w:p w14:paraId="391A352F" w14:textId="77777777" w:rsidR="007B486D" w:rsidRPr="007B486D" w:rsidRDefault="007B486D" w:rsidP="0082732C">
      <w:pPr>
        <w:pStyle w:val="ListParagraph"/>
        <w:jc w:val="both"/>
        <w:rPr>
          <w:rFonts w:ascii="Arial" w:hAnsi="Arial" w:cs="Arial"/>
          <w:sz w:val="24"/>
          <w:szCs w:val="24"/>
        </w:rPr>
      </w:pPr>
    </w:p>
    <w:p w14:paraId="3D772564" w14:textId="53031F4C" w:rsidR="007B486D" w:rsidRPr="001424F6" w:rsidRDefault="001424F6" w:rsidP="001424F6">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6D66E0" w:rsidRPr="001424F6">
        <w:rPr>
          <w:rFonts w:ascii="Arial" w:hAnsi="Arial" w:cs="Arial"/>
          <w:sz w:val="24"/>
          <w:szCs w:val="24"/>
        </w:rPr>
        <w:t xml:space="preserve">There was no reason to superannuate the judgment as required by rule 112(1) because once a writ of execution of a judgment has been issued it remains in force and may be executed without being renewed as contemplated in rule 112(3). Two writs were issued in this matter, i.e. 24 June 2016 (two days after the judgment) and 7 September 2021 (five days after the order declaring the property executable). </w:t>
      </w:r>
    </w:p>
    <w:p w14:paraId="1EE23496" w14:textId="77777777" w:rsidR="006D66E0" w:rsidRPr="006D66E0" w:rsidRDefault="006D66E0" w:rsidP="006D66E0">
      <w:pPr>
        <w:pStyle w:val="ListParagraph"/>
        <w:rPr>
          <w:rFonts w:ascii="Arial" w:hAnsi="Arial" w:cs="Arial"/>
          <w:sz w:val="24"/>
          <w:szCs w:val="24"/>
        </w:rPr>
      </w:pPr>
    </w:p>
    <w:p w14:paraId="67082E5D" w14:textId="00912B3F" w:rsidR="006D66E0" w:rsidRPr="001424F6" w:rsidRDefault="001424F6" w:rsidP="001424F6">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D66E0" w:rsidRPr="001424F6">
        <w:rPr>
          <w:rFonts w:ascii="Arial" w:hAnsi="Arial" w:cs="Arial"/>
          <w:sz w:val="24"/>
          <w:szCs w:val="24"/>
        </w:rPr>
        <w:t xml:space="preserve">This ground of complaint therefore has no merit </w:t>
      </w:r>
      <w:r w:rsidR="004B0C6C" w:rsidRPr="001424F6">
        <w:rPr>
          <w:rFonts w:ascii="Arial" w:hAnsi="Arial" w:cs="Arial"/>
          <w:sz w:val="24"/>
          <w:szCs w:val="24"/>
        </w:rPr>
        <w:t>and is</w:t>
      </w:r>
      <w:r w:rsidR="006D66E0" w:rsidRPr="001424F6">
        <w:rPr>
          <w:rFonts w:ascii="Arial" w:hAnsi="Arial" w:cs="Arial"/>
          <w:sz w:val="24"/>
          <w:szCs w:val="24"/>
        </w:rPr>
        <w:t xml:space="preserve"> dismissed.</w:t>
      </w:r>
    </w:p>
    <w:p w14:paraId="3FE797C0" w14:textId="77777777" w:rsidR="00CD65A9" w:rsidRPr="00A87E41" w:rsidRDefault="00CD65A9" w:rsidP="00967ED3">
      <w:pPr>
        <w:pStyle w:val="ListParagraph"/>
        <w:spacing w:after="0" w:line="360" w:lineRule="auto"/>
        <w:ind w:left="0"/>
        <w:jc w:val="both"/>
        <w:rPr>
          <w:rFonts w:ascii="Arial" w:hAnsi="Arial" w:cs="Arial"/>
          <w:sz w:val="24"/>
          <w:szCs w:val="24"/>
        </w:rPr>
      </w:pPr>
    </w:p>
    <w:p w14:paraId="32B58528" w14:textId="77777777" w:rsidR="002F0B1D" w:rsidRDefault="002F0B1D" w:rsidP="00967ED3">
      <w:pPr>
        <w:pStyle w:val="ListParagraph"/>
        <w:spacing w:after="0" w:line="360" w:lineRule="auto"/>
        <w:ind w:left="0"/>
        <w:jc w:val="both"/>
        <w:rPr>
          <w:rFonts w:ascii="Arial" w:hAnsi="Arial" w:cs="Arial"/>
          <w:i/>
          <w:sz w:val="24"/>
          <w:szCs w:val="24"/>
        </w:rPr>
      </w:pPr>
      <w:r w:rsidRPr="002F0B1D">
        <w:rPr>
          <w:rFonts w:ascii="Arial" w:hAnsi="Arial" w:cs="Arial"/>
          <w:i/>
          <w:sz w:val="24"/>
          <w:szCs w:val="24"/>
        </w:rPr>
        <w:lastRenderedPageBreak/>
        <w:t xml:space="preserve">The failure to attach the immovable property as contemplated in </w:t>
      </w:r>
      <w:r w:rsidRPr="00617E1F">
        <w:rPr>
          <w:rFonts w:ascii="Arial" w:hAnsi="Arial" w:cs="Arial"/>
          <w:i/>
          <w:sz w:val="24"/>
          <w:szCs w:val="24"/>
        </w:rPr>
        <w:t>r</w:t>
      </w:r>
      <w:r w:rsidR="00967ED3" w:rsidRPr="00617E1F">
        <w:rPr>
          <w:rFonts w:ascii="Arial" w:hAnsi="Arial" w:cs="Arial"/>
          <w:i/>
          <w:sz w:val="24"/>
          <w:szCs w:val="24"/>
        </w:rPr>
        <w:t>ule</w:t>
      </w:r>
      <w:r w:rsidRPr="002F0B1D">
        <w:rPr>
          <w:rFonts w:ascii="Arial" w:hAnsi="Arial" w:cs="Arial"/>
          <w:i/>
          <w:sz w:val="24"/>
          <w:szCs w:val="24"/>
        </w:rPr>
        <w:t xml:space="preserve"> 109(3)</w:t>
      </w:r>
    </w:p>
    <w:p w14:paraId="78C2124A" w14:textId="77777777" w:rsidR="004B0C6C" w:rsidRPr="002F0B1D" w:rsidRDefault="004B0C6C" w:rsidP="00967ED3">
      <w:pPr>
        <w:pStyle w:val="ListParagraph"/>
        <w:spacing w:after="0" w:line="360" w:lineRule="auto"/>
        <w:ind w:left="0"/>
        <w:jc w:val="both"/>
        <w:rPr>
          <w:rFonts w:ascii="Arial" w:hAnsi="Arial" w:cs="Arial"/>
          <w:i/>
          <w:sz w:val="24"/>
          <w:szCs w:val="24"/>
        </w:rPr>
      </w:pPr>
    </w:p>
    <w:p w14:paraId="48449B04" w14:textId="554E79B1" w:rsidR="002F0B1D" w:rsidRPr="001424F6" w:rsidRDefault="001424F6" w:rsidP="001424F6">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B0C6C" w:rsidRPr="001424F6">
        <w:rPr>
          <w:rFonts w:ascii="Arial" w:hAnsi="Arial" w:cs="Arial"/>
          <w:sz w:val="24"/>
          <w:szCs w:val="24"/>
        </w:rPr>
        <w:t>The applicants did not pursue this point further apart from relying on the complaint of superannuation, but in light of the discussion above, this ground of complaint has no merit and is dismissed.</w:t>
      </w:r>
    </w:p>
    <w:p w14:paraId="0AFBC54B" w14:textId="77777777" w:rsidR="00742372" w:rsidRDefault="00742372" w:rsidP="00967ED3">
      <w:pPr>
        <w:pStyle w:val="ListParagraph"/>
        <w:spacing w:after="0" w:line="360" w:lineRule="auto"/>
        <w:ind w:left="0"/>
        <w:jc w:val="both"/>
        <w:rPr>
          <w:rFonts w:ascii="Arial" w:hAnsi="Arial" w:cs="Arial"/>
          <w:sz w:val="24"/>
          <w:szCs w:val="24"/>
        </w:rPr>
      </w:pPr>
    </w:p>
    <w:p w14:paraId="77CC83BE" w14:textId="77777777" w:rsidR="002F0B1D" w:rsidRDefault="002F0B1D" w:rsidP="00967ED3">
      <w:pPr>
        <w:pStyle w:val="ListParagraph"/>
        <w:spacing w:after="0" w:line="360" w:lineRule="auto"/>
        <w:ind w:left="0"/>
        <w:jc w:val="both"/>
        <w:rPr>
          <w:rFonts w:ascii="Arial" w:hAnsi="Arial" w:cs="Arial"/>
          <w:i/>
          <w:sz w:val="24"/>
          <w:szCs w:val="24"/>
        </w:rPr>
      </w:pPr>
      <w:r w:rsidRPr="002F0B1D">
        <w:rPr>
          <w:rFonts w:ascii="Arial" w:hAnsi="Arial" w:cs="Arial"/>
          <w:i/>
          <w:sz w:val="24"/>
          <w:szCs w:val="24"/>
        </w:rPr>
        <w:t>The failure to comply with rule 110(8) because the auction was not held in public</w:t>
      </w:r>
    </w:p>
    <w:p w14:paraId="7BE70462" w14:textId="77777777" w:rsidR="00742372" w:rsidRPr="002F0B1D" w:rsidRDefault="00742372" w:rsidP="00967ED3">
      <w:pPr>
        <w:pStyle w:val="ListParagraph"/>
        <w:spacing w:after="0" w:line="360" w:lineRule="auto"/>
        <w:ind w:left="0"/>
        <w:jc w:val="both"/>
        <w:rPr>
          <w:rFonts w:ascii="Arial" w:hAnsi="Arial" w:cs="Arial"/>
          <w:i/>
          <w:sz w:val="24"/>
          <w:szCs w:val="24"/>
        </w:rPr>
      </w:pPr>
    </w:p>
    <w:p w14:paraId="68A02740" w14:textId="4BDDBBC7" w:rsidR="002F0B1D" w:rsidRPr="001424F6" w:rsidRDefault="001424F6" w:rsidP="001424F6">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742372" w:rsidRPr="001424F6">
        <w:rPr>
          <w:rFonts w:ascii="Arial" w:hAnsi="Arial" w:cs="Arial"/>
          <w:sz w:val="24"/>
          <w:szCs w:val="24"/>
        </w:rPr>
        <w:t xml:space="preserve">The basis of the </w:t>
      </w:r>
      <w:r w:rsidR="00A21A5A" w:rsidRPr="001424F6">
        <w:rPr>
          <w:rFonts w:ascii="Arial" w:hAnsi="Arial" w:cs="Arial"/>
          <w:sz w:val="24"/>
          <w:szCs w:val="24"/>
        </w:rPr>
        <w:t>applicant’s</w:t>
      </w:r>
      <w:r w:rsidR="00742372" w:rsidRPr="001424F6">
        <w:rPr>
          <w:rFonts w:ascii="Arial" w:hAnsi="Arial" w:cs="Arial"/>
          <w:sz w:val="24"/>
          <w:szCs w:val="24"/>
        </w:rPr>
        <w:t xml:space="preserve"> complaint is that the</w:t>
      </w:r>
      <w:r w:rsidR="00A21A5A" w:rsidRPr="001424F6">
        <w:rPr>
          <w:rFonts w:ascii="Arial" w:hAnsi="Arial" w:cs="Arial"/>
          <w:sz w:val="24"/>
          <w:szCs w:val="24"/>
        </w:rPr>
        <w:t>re was a non-compliance with rule 110(8)</w:t>
      </w:r>
      <w:r w:rsidR="00742372" w:rsidRPr="001424F6">
        <w:rPr>
          <w:rFonts w:ascii="Arial" w:hAnsi="Arial" w:cs="Arial"/>
          <w:sz w:val="24"/>
          <w:szCs w:val="24"/>
        </w:rPr>
        <w:t xml:space="preserve"> </w:t>
      </w:r>
      <w:r w:rsidR="00A21A5A" w:rsidRPr="001424F6">
        <w:rPr>
          <w:rFonts w:ascii="Arial" w:hAnsi="Arial" w:cs="Arial"/>
          <w:sz w:val="24"/>
          <w:szCs w:val="24"/>
        </w:rPr>
        <w:t xml:space="preserve">as the deputy-sheriff held the </w:t>
      </w:r>
      <w:r w:rsidR="00742372" w:rsidRPr="001424F6">
        <w:rPr>
          <w:rFonts w:ascii="Arial" w:hAnsi="Arial" w:cs="Arial"/>
          <w:sz w:val="24"/>
          <w:szCs w:val="24"/>
        </w:rPr>
        <w:t>auction inside the immovable property.</w:t>
      </w:r>
    </w:p>
    <w:p w14:paraId="630EA1A2" w14:textId="77777777" w:rsidR="00A21A5A" w:rsidRDefault="00A21A5A" w:rsidP="00967ED3">
      <w:pPr>
        <w:pStyle w:val="ListParagraph"/>
        <w:spacing w:after="0" w:line="360" w:lineRule="auto"/>
        <w:ind w:left="0"/>
        <w:jc w:val="both"/>
        <w:rPr>
          <w:rFonts w:ascii="Arial" w:hAnsi="Arial" w:cs="Arial"/>
          <w:sz w:val="24"/>
          <w:szCs w:val="24"/>
        </w:rPr>
      </w:pPr>
    </w:p>
    <w:p w14:paraId="435BA675" w14:textId="14211107" w:rsidR="009F788B" w:rsidRPr="001424F6" w:rsidRDefault="001424F6" w:rsidP="001424F6">
      <w:pPr>
        <w:spacing w:after="0" w:line="360" w:lineRule="auto"/>
        <w:rPr>
          <w:rFonts w:ascii="Arial" w:hAnsi="Arial" w:cs="Arial"/>
          <w:sz w:val="24"/>
          <w:szCs w:val="24"/>
        </w:rPr>
      </w:pPr>
      <w:r>
        <w:rPr>
          <w:rFonts w:ascii="Arial" w:hAnsi="Arial" w:cs="Arial"/>
          <w:sz w:val="24"/>
          <w:szCs w:val="24"/>
        </w:rPr>
        <w:t>[52]</w:t>
      </w:r>
      <w:r>
        <w:rPr>
          <w:rFonts w:ascii="Arial" w:hAnsi="Arial" w:cs="Arial"/>
          <w:sz w:val="24"/>
          <w:szCs w:val="24"/>
        </w:rPr>
        <w:tab/>
      </w:r>
      <w:r w:rsidR="00A21A5A" w:rsidRPr="001424F6">
        <w:rPr>
          <w:rFonts w:ascii="Arial" w:hAnsi="Arial" w:cs="Arial"/>
          <w:sz w:val="24"/>
          <w:szCs w:val="24"/>
        </w:rPr>
        <w:t>Rule 110(8) provides that the deputy-sheriff must sell by public auction any immovable property attached in execution.</w:t>
      </w:r>
      <w:r w:rsidR="005F78DF" w:rsidRPr="001424F6">
        <w:rPr>
          <w:rFonts w:ascii="Arial" w:hAnsi="Arial" w:cs="Arial"/>
          <w:sz w:val="24"/>
          <w:szCs w:val="24"/>
        </w:rPr>
        <w:t xml:space="preserve"> It is however informative to note that the rules d</w:t>
      </w:r>
      <w:r w:rsidR="001E015B" w:rsidRPr="001424F6">
        <w:rPr>
          <w:rFonts w:ascii="Arial" w:hAnsi="Arial" w:cs="Arial"/>
          <w:sz w:val="24"/>
          <w:szCs w:val="24"/>
        </w:rPr>
        <w:t>o not define the word</w:t>
      </w:r>
      <w:r w:rsidR="00861FCC" w:rsidRPr="001424F6">
        <w:rPr>
          <w:rFonts w:ascii="Arial" w:hAnsi="Arial" w:cs="Arial"/>
          <w:sz w:val="24"/>
          <w:szCs w:val="24"/>
        </w:rPr>
        <w:t>s</w:t>
      </w:r>
      <w:r w:rsidR="001E015B" w:rsidRPr="001424F6">
        <w:rPr>
          <w:rFonts w:ascii="Arial" w:hAnsi="Arial" w:cs="Arial"/>
          <w:sz w:val="24"/>
          <w:szCs w:val="24"/>
        </w:rPr>
        <w:t xml:space="preserve"> ‘public’ or ‘public auction’.</w:t>
      </w:r>
    </w:p>
    <w:p w14:paraId="2E0DB1D8" w14:textId="77777777" w:rsidR="005F78DF" w:rsidRPr="005F78DF" w:rsidRDefault="005F78DF" w:rsidP="005F78DF">
      <w:pPr>
        <w:pStyle w:val="ListParagraph"/>
        <w:rPr>
          <w:rFonts w:ascii="Arial" w:hAnsi="Arial" w:cs="Arial"/>
          <w:sz w:val="24"/>
          <w:szCs w:val="24"/>
        </w:rPr>
      </w:pPr>
    </w:p>
    <w:p w14:paraId="5E6C6F0D" w14:textId="7E2FE7FA" w:rsidR="00A21A5A" w:rsidRPr="005F78DF" w:rsidRDefault="001424F6" w:rsidP="001424F6">
      <w:pPr>
        <w:pStyle w:val="HCR-Numberingaffidavit"/>
        <w:numPr>
          <w:ilvl w:val="0"/>
          <w:numId w:val="0"/>
        </w:numPr>
        <w:spacing w:before="0" w:after="0"/>
      </w:pPr>
      <w:r w:rsidRPr="005F78DF">
        <w:rPr>
          <w:rFonts w:cs="Arial"/>
          <w:szCs w:val="24"/>
        </w:rPr>
        <w:t>[53]</w:t>
      </w:r>
      <w:r w:rsidRPr="005F78DF">
        <w:rPr>
          <w:rFonts w:cs="Arial"/>
          <w:szCs w:val="24"/>
        </w:rPr>
        <w:tab/>
      </w:r>
      <w:r w:rsidR="00A21A5A">
        <w:rPr>
          <w:rFonts w:cs="Arial"/>
          <w:szCs w:val="24"/>
        </w:rPr>
        <w:t>The Oxford Advanced Learner’s Dictionary of Current English</w:t>
      </w:r>
      <w:r w:rsidR="00A21A5A">
        <w:rPr>
          <w:rStyle w:val="FootnoteReference"/>
          <w:rFonts w:cs="Arial"/>
          <w:szCs w:val="24"/>
        </w:rPr>
        <w:footnoteReference w:id="5"/>
      </w:r>
      <w:r w:rsidR="00A21A5A">
        <w:rPr>
          <w:rFonts w:cs="Arial"/>
          <w:szCs w:val="24"/>
        </w:rPr>
        <w:t xml:space="preserve"> </w:t>
      </w:r>
      <w:r w:rsidR="00A21A5A">
        <w:t xml:space="preserve">defines </w:t>
      </w:r>
      <w:r w:rsidR="002835FA">
        <w:t>‘</w:t>
      </w:r>
      <w:r w:rsidR="00A21A5A" w:rsidRPr="002835FA">
        <w:t>the public</w:t>
      </w:r>
      <w:r w:rsidR="002835FA">
        <w:t>’</w:t>
      </w:r>
      <w:r w:rsidR="00A21A5A">
        <w:t>, as being, amongst others</w:t>
      </w:r>
      <w:r w:rsidR="00A21A5A" w:rsidRPr="00A21A5A">
        <w:t xml:space="preserve">, </w:t>
      </w:r>
      <w:r w:rsidR="002835FA">
        <w:t>‘</w:t>
      </w:r>
      <w:r w:rsidR="00A21A5A" w:rsidRPr="00A21A5A">
        <w:t xml:space="preserve">members of the community </w:t>
      </w:r>
      <w:r w:rsidR="00A21A5A" w:rsidRPr="002835FA">
        <w:t>in general</w:t>
      </w:r>
      <w:r w:rsidR="002835FA" w:rsidRPr="002835FA">
        <w:t>’</w:t>
      </w:r>
      <w:r w:rsidR="00A21A5A" w:rsidRPr="00A21A5A">
        <w:t>,</w:t>
      </w:r>
      <w:r w:rsidR="00A21A5A">
        <w:t xml:space="preserve"> and </w:t>
      </w:r>
      <w:r w:rsidR="00A21A5A" w:rsidRPr="002835FA">
        <w:t>‘in pub</w:t>
      </w:r>
      <w:r w:rsidR="001E015B">
        <w:t>l</w:t>
      </w:r>
      <w:r w:rsidR="00A21A5A" w:rsidRPr="002835FA">
        <w:t>ic</w:t>
      </w:r>
      <w:r w:rsidR="002835FA">
        <w:t>’</w:t>
      </w:r>
      <w:r w:rsidR="00A21A5A" w:rsidRPr="002835FA">
        <w:t xml:space="preserve"> </w:t>
      </w:r>
      <w:r w:rsidR="00A21A5A">
        <w:t xml:space="preserve">as, </w:t>
      </w:r>
      <w:r w:rsidR="002835FA">
        <w:t>‘</w:t>
      </w:r>
      <w:r w:rsidR="00A21A5A" w:rsidRPr="002835FA">
        <w:t>openly, not in private</w:t>
      </w:r>
      <w:r w:rsidR="002835FA">
        <w:t>’</w:t>
      </w:r>
      <w:r w:rsidR="00A21A5A">
        <w:rPr>
          <w:i/>
        </w:rPr>
        <w:t>.</w:t>
      </w:r>
      <w:r w:rsidR="00A21A5A">
        <w:t xml:space="preserve"> </w:t>
      </w:r>
      <w:r w:rsidR="00A21A5A">
        <w:rPr>
          <w:i/>
        </w:rPr>
        <w:t xml:space="preserve"> </w:t>
      </w:r>
    </w:p>
    <w:p w14:paraId="00ED3FC9" w14:textId="77777777" w:rsidR="005F78DF" w:rsidRDefault="005F78DF" w:rsidP="005F78DF">
      <w:pPr>
        <w:pStyle w:val="ListParagraph"/>
      </w:pPr>
    </w:p>
    <w:p w14:paraId="28B4B160" w14:textId="7DF013AE" w:rsidR="005F78DF" w:rsidRDefault="001424F6" w:rsidP="001424F6">
      <w:pPr>
        <w:pStyle w:val="HCR-Numberingaffidavit"/>
        <w:numPr>
          <w:ilvl w:val="0"/>
          <w:numId w:val="0"/>
        </w:numPr>
        <w:spacing w:before="0" w:after="0"/>
        <w:outlineLvl w:val="9"/>
      </w:pPr>
      <w:r>
        <w:rPr>
          <w:rFonts w:cs="Arial"/>
          <w:szCs w:val="24"/>
        </w:rPr>
        <w:t>[54]</w:t>
      </w:r>
      <w:r>
        <w:rPr>
          <w:rFonts w:cs="Arial"/>
          <w:szCs w:val="24"/>
        </w:rPr>
        <w:tab/>
      </w:r>
      <w:r w:rsidR="005F78DF">
        <w:t xml:space="preserve">In </w:t>
      </w:r>
      <w:r w:rsidR="005F78DF" w:rsidRPr="00DA08B5">
        <w:rPr>
          <w:i/>
        </w:rPr>
        <w:t>S v Rossouw</w:t>
      </w:r>
      <w:r w:rsidR="005F78DF">
        <w:t xml:space="preserve"> </w:t>
      </w:r>
      <w:r w:rsidR="005F78DF">
        <w:rPr>
          <w:rStyle w:val="FootnoteReference"/>
        </w:rPr>
        <w:footnoteReference w:id="6"/>
      </w:r>
      <w:r w:rsidR="005F78DF">
        <w:t xml:space="preserve"> on appeal to the Transvaal Provincial Division, Boshoff J and de Villiers JJ had to decide whether</w:t>
      </w:r>
      <w:r w:rsidR="00784764">
        <w:t>,</w:t>
      </w:r>
      <w:r w:rsidR="005F78DF">
        <w:t xml:space="preserve"> in the particular circumstances of the case the shares were offered to a member of the public as prohibited by section 80 </w:t>
      </w:r>
      <w:r w:rsidR="005F78DF">
        <w:rPr>
          <w:i/>
        </w:rPr>
        <w:t xml:space="preserve">bis </w:t>
      </w:r>
      <w:r w:rsidR="005F78DF">
        <w:t>(1) of the Companies Act. In answering this question Boshoff J stated (translated) that:</w:t>
      </w:r>
    </w:p>
    <w:p w14:paraId="370581EC" w14:textId="77777777" w:rsidR="005F78DF" w:rsidRDefault="005F78DF" w:rsidP="005F78DF">
      <w:pPr>
        <w:pStyle w:val="ListParagraph"/>
      </w:pPr>
    </w:p>
    <w:p w14:paraId="69561C1A" w14:textId="77777777" w:rsidR="005F78DF" w:rsidRDefault="005F78DF" w:rsidP="005F78DF">
      <w:pPr>
        <w:pStyle w:val="HCR-Numberingaffidavit"/>
        <w:numPr>
          <w:ilvl w:val="0"/>
          <w:numId w:val="0"/>
        </w:numPr>
        <w:spacing w:before="0" w:after="0"/>
        <w:ind w:firstLine="720"/>
        <w:outlineLvl w:val="9"/>
        <w:rPr>
          <w:sz w:val="22"/>
        </w:rPr>
      </w:pPr>
      <w:r>
        <w:rPr>
          <w:sz w:val="22"/>
        </w:rPr>
        <w:t>‘</w:t>
      </w:r>
      <w:r w:rsidRPr="005F78DF">
        <w:rPr>
          <w:sz w:val="22"/>
        </w:rPr>
        <w:t xml:space="preserve">The word </w:t>
      </w:r>
      <w:r w:rsidRPr="001E015B">
        <w:rPr>
          <w:sz w:val="22"/>
        </w:rPr>
        <w:t>“public”</w:t>
      </w:r>
      <w:r w:rsidRPr="005F78DF">
        <w:rPr>
          <w:sz w:val="22"/>
        </w:rPr>
        <w:t xml:space="preserve"> </w:t>
      </w:r>
      <w:r w:rsidRPr="005F78DF">
        <w:rPr>
          <w:sz w:val="22"/>
          <w:u w:val="single"/>
        </w:rPr>
        <w:t>normally refers to the public as whole</w:t>
      </w:r>
      <w:r w:rsidRPr="005F78DF">
        <w:rPr>
          <w:sz w:val="22"/>
        </w:rPr>
        <w:t xml:space="preserve">, rather than the community as an organized unity. It may also refer to a particular part of the community, but that will depend on the context within which it is used. In such a case there is normally some indication to which part of </w:t>
      </w:r>
      <w:r w:rsidRPr="005F78DF">
        <w:rPr>
          <w:sz w:val="22"/>
        </w:rPr>
        <w:lastRenderedPageBreak/>
        <w:t>the community reference is made. In section 80 bis there is nothing which gives the word, as used therein, any limited meaning…</w:t>
      </w:r>
      <w:r>
        <w:rPr>
          <w:sz w:val="22"/>
        </w:rPr>
        <w:t>’</w:t>
      </w:r>
      <w:r w:rsidRPr="005F78DF">
        <w:rPr>
          <w:rStyle w:val="FootnoteReference"/>
          <w:sz w:val="22"/>
        </w:rPr>
        <w:footnoteReference w:id="7"/>
      </w:r>
      <w:r>
        <w:rPr>
          <w:sz w:val="22"/>
        </w:rPr>
        <w:t xml:space="preserve"> (my emphasis)</w:t>
      </w:r>
    </w:p>
    <w:p w14:paraId="2781000B" w14:textId="77777777" w:rsidR="005F78DF" w:rsidRPr="005F78DF" w:rsidRDefault="005F78DF" w:rsidP="005F78DF">
      <w:pPr>
        <w:pStyle w:val="HCR-Numberingaffidavit"/>
        <w:numPr>
          <w:ilvl w:val="0"/>
          <w:numId w:val="0"/>
        </w:numPr>
        <w:spacing w:before="0" w:after="0"/>
        <w:ind w:firstLine="720"/>
        <w:outlineLvl w:val="9"/>
        <w:rPr>
          <w:sz w:val="22"/>
        </w:rPr>
      </w:pPr>
    </w:p>
    <w:p w14:paraId="1AEB5D5F" w14:textId="59CBE3D4" w:rsidR="005F78DF" w:rsidRDefault="001424F6" w:rsidP="001424F6">
      <w:pPr>
        <w:pStyle w:val="HCR-Numberingaffidavit"/>
        <w:numPr>
          <w:ilvl w:val="0"/>
          <w:numId w:val="0"/>
        </w:numPr>
        <w:spacing w:before="0" w:after="0"/>
      </w:pPr>
      <w:r>
        <w:rPr>
          <w:rFonts w:cs="Arial"/>
          <w:szCs w:val="24"/>
        </w:rPr>
        <w:t>[55]</w:t>
      </w:r>
      <w:r>
        <w:rPr>
          <w:rFonts w:cs="Arial"/>
          <w:szCs w:val="24"/>
        </w:rPr>
        <w:tab/>
      </w:r>
      <w:r w:rsidR="001E015B">
        <w:t xml:space="preserve">The question of what is a public auction arose in </w:t>
      </w:r>
      <w:r w:rsidR="001E015B">
        <w:rPr>
          <w:i/>
        </w:rPr>
        <w:t>Osry v Hirsch, Loubser &amp; Co.</w:t>
      </w:r>
      <w:r w:rsidR="007321DF">
        <w:rPr>
          <w:i/>
        </w:rPr>
        <w:t>,</w:t>
      </w:r>
      <w:r w:rsidR="001E015B">
        <w:rPr>
          <w:i/>
        </w:rPr>
        <w:t xml:space="preserve"> Ltd</w:t>
      </w:r>
      <w:r w:rsidR="001E015B">
        <w:rPr>
          <w:rStyle w:val="FootnoteReference"/>
        </w:rPr>
        <w:footnoteReference w:id="8"/>
      </w:r>
      <w:r w:rsidR="001E015B">
        <w:t xml:space="preserve"> </w:t>
      </w:r>
      <w:r w:rsidR="00967ED3" w:rsidRPr="00617E1F">
        <w:t>where the court had to decide</w:t>
      </w:r>
      <w:r w:rsidR="00967ED3">
        <w:t xml:space="preserve"> </w:t>
      </w:r>
      <w:r w:rsidR="001E015B" w:rsidRPr="0056749D">
        <w:t>whether it was comp</w:t>
      </w:r>
      <w:r w:rsidR="001E015B">
        <w:t>e</w:t>
      </w:r>
      <w:r w:rsidR="001E015B" w:rsidRPr="0056749D">
        <w:t>tent for an agent to purchase the goo</w:t>
      </w:r>
      <w:r w:rsidR="001E015B">
        <w:t>d</w:t>
      </w:r>
      <w:r w:rsidR="001E015B" w:rsidRPr="0056749D">
        <w:t>s of his principal at a public auction.</w:t>
      </w:r>
      <w:r w:rsidR="001E015B">
        <w:t xml:space="preserve"> In answering the question</w:t>
      </w:r>
      <w:r w:rsidR="00784764">
        <w:t>,</w:t>
      </w:r>
      <w:r w:rsidR="001E015B">
        <w:t xml:space="preserve"> Kotze JP did an extensive review of</w:t>
      </w:r>
      <w:r w:rsidR="00184289">
        <w:t xml:space="preserve"> the Roman Law and Roman Dutch </w:t>
      </w:r>
      <w:r w:rsidR="00184289" w:rsidRPr="00617E1F">
        <w:t>a</w:t>
      </w:r>
      <w:r w:rsidR="001E015B" w:rsidRPr="00617E1F">
        <w:t>uthorities</w:t>
      </w:r>
      <w:r w:rsidR="001E015B">
        <w:t xml:space="preserve"> in determining the distinction between public and private auctions. Kotze JP explained the distinction as follows:</w:t>
      </w:r>
    </w:p>
    <w:p w14:paraId="5269C1E7" w14:textId="77777777" w:rsidR="001530A5" w:rsidRDefault="001530A5" w:rsidP="001530A5">
      <w:pPr>
        <w:pStyle w:val="HCR-Numberingaffidavit"/>
        <w:numPr>
          <w:ilvl w:val="0"/>
          <w:numId w:val="0"/>
        </w:numPr>
        <w:spacing w:before="0" w:after="0"/>
        <w:outlineLvl w:val="9"/>
        <w:rPr>
          <w:sz w:val="22"/>
          <w:szCs w:val="22"/>
        </w:rPr>
      </w:pPr>
    </w:p>
    <w:p w14:paraId="3E40A431" w14:textId="77777777" w:rsidR="001E015B" w:rsidRDefault="001530A5" w:rsidP="001530A5">
      <w:pPr>
        <w:pStyle w:val="HCR-Numberingaffidavit"/>
        <w:numPr>
          <w:ilvl w:val="0"/>
          <w:numId w:val="0"/>
        </w:numPr>
        <w:spacing w:before="0" w:after="0"/>
        <w:ind w:firstLine="360"/>
        <w:outlineLvl w:val="9"/>
        <w:rPr>
          <w:sz w:val="22"/>
          <w:szCs w:val="22"/>
        </w:rPr>
      </w:pPr>
      <w:r>
        <w:rPr>
          <w:sz w:val="22"/>
          <w:szCs w:val="22"/>
        </w:rPr>
        <w:t>‘</w:t>
      </w:r>
      <w:r w:rsidR="001E015B" w:rsidRPr="001530A5">
        <w:rPr>
          <w:sz w:val="22"/>
          <w:szCs w:val="22"/>
        </w:rPr>
        <w:t xml:space="preserve">The material point is not the meaning of the term </w:t>
      </w:r>
      <w:r w:rsidR="001E015B" w:rsidRPr="001530A5">
        <w:rPr>
          <w:i/>
          <w:sz w:val="22"/>
          <w:szCs w:val="22"/>
        </w:rPr>
        <w:t>auctio</w:t>
      </w:r>
      <w:r w:rsidR="001E015B" w:rsidRPr="001530A5">
        <w:rPr>
          <w:sz w:val="22"/>
          <w:szCs w:val="22"/>
        </w:rPr>
        <w:t xml:space="preserve">, but in what sense do the jurists understand the expression </w:t>
      </w:r>
      <w:r w:rsidR="001E015B" w:rsidRPr="001530A5">
        <w:rPr>
          <w:i/>
          <w:sz w:val="22"/>
          <w:szCs w:val="22"/>
        </w:rPr>
        <w:t xml:space="preserve">publica </w:t>
      </w:r>
      <w:r w:rsidR="0019169C">
        <w:rPr>
          <w:i/>
          <w:sz w:val="22"/>
          <w:szCs w:val="22"/>
        </w:rPr>
        <w:t>auction.</w:t>
      </w:r>
      <w:r w:rsidR="001E015B" w:rsidRPr="001530A5">
        <w:rPr>
          <w:sz w:val="22"/>
          <w:szCs w:val="22"/>
        </w:rPr>
        <w:t xml:space="preserve"> After having defined </w:t>
      </w:r>
      <w:r w:rsidR="001E015B" w:rsidRPr="001530A5">
        <w:rPr>
          <w:i/>
          <w:sz w:val="22"/>
          <w:szCs w:val="22"/>
        </w:rPr>
        <w:t>auctio</w:t>
      </w:r>
      <w:r w:rsidR="001E015B" w:rsidRPr="001530A5">
        <w:rPr>
          <w:sz w:val="22"/>
          <w:szCs w:val="22"/>
        </w:rPr>
        <w:t xml:space="preserve"> (in his Book </w:t>
      </w:r>
      <w:r w:rsidR="001E015B" w:rsidRPr="001530A5">
        <w:rPr>
          <w:i/>
          <w:sz w:val="22"/>
          <w:szCs w:val="22"/>
        </w:rPr>
        <w:t>De Auctionibus</w:t>
      </w:r>
      <w:r w:rsidR="001E015B" w:rsidRPr="001530A5">
        <w:rPr>
          <w:sz w:val="22"/>
          <w:szCs w:val="22"/>
        </w:rPr>
        <w:t xml:space="preserve">, Lib. 1, chap. 2) as a sale in which the thing to be sold is openly knocked down by the crier to the highest bidder, Matthaeus, in chap.3, n.2, divides auctions into </w:t>
      </w:r>
      <w:r w:rsidR="001E015B" w:rsidRPr="001530A5">
        <w:rPr>
          <w:i/>
          <w:sz w:val="22"/>
          <w:szCs w:val="22"/>
          <w:u w:val="single"/>
        </w:rPr>
        <w:t>public</w:t>
      </w:r>
      <w:r w:rsidR="001E015B" w:rsidRPr="001530A5">
        <w:rPr>
          <w:sz w:val="22"/>
          <w:szCs w:val="22"/>
        </w:rPr>
        <w:t xml:space="preserve"> and </w:t>
      </w:r>
      <w:r w:rsidR="001E015B" w:rsidRPr="001530A5">
        <w:rPr>
          <w:i/>
          <w:sz w:val="22"/>
          <w:szCs w:val="22"/>
          <w:u w:val="single"/>
        </w:rPr>
        <w:t>private</w:t>
      </w:r>
      <w:r w:rsidR="001E015B" w:rsidRPr="001530A5">
        <w:rPr>
          <w:sz w:val="22"/>
          <w:szCs w:val="22"/>
        </w:rPr>
        <w:t>. “</w:t>
      </w:r>
      <w:r w:rsidR="001E015B" w:rsidRPr="001530A5">
        <w:rPr>
          <w:sz w:val="22"/>
          <w:szCs w:val="22"/>
          <w:u w:val="single"/>
        </w:rPr>
        <w:t>by the former, (i.e. “public auction”) he says, is to be understood a sale where the fiscus or the magistrate, on behalf of the state, proclaims certain goods for sale, or where by the authority of the judge the property of a judgment debtor or of a debtor hiding is sold</w:t>
      </w:r>
      <w:r w:rsidR="001E015B" w:rsidRPr="001530A5">
        <w:rPr>
          <w:sz w:val="22"/>
          <w:szCs w:val="22"/>
        </w:rPr>
        <w:t xml:space="preserve">; and by the latter (i.e. “private auction”) wherever private persons voluntarily hold a sale, whether to be through bankers at their banking table, or without them in open places and streets. </w:t>
      </w:r>
      <w:r w:rsidR="001E015B" w:rsidRPr="001530A5">
        <w:rPr>
          <w:sz w:val="22"/>
          <w:szCs w:val="22"/>
          <w:u w:val="single"/>
        </w:rPr>
        <w:t>In this distinction between the two, not the place, but the person is regarded. For if we pay attention to the place, then every auction will be publi</w:t>
      </w:r>
      <w:r w:rsidR="001E015B" w:rsidRPr="001530A5">
        <w:rPr>
          <w:sz w:val="22"/>
          <w:szCs w:val="22"/>
        </w:rPr>
        <w:t xml:space="preserve">c, since it is held in the market place, at the bankers’ tables, or even at a house, a place nevertheless open to anyone. According to Matthaeus then </w:t>
      </w:r>
      <w:r w:rsidR="001E015B" w:rsidRPr="001530A5">
        <w:rPr>
          <w:i/>
          <w:sz w:val="22"/>
          <w:szCs w:val="22"/>
          <w:u w:val="single"/>
        </w:rPr>
        <w:t>publica auctio</w:t>
      </w:r>
      <w:r w:rsidR="001E015B" w:rsidRPr="001530A5">
        <w:rPr>
          <w:sz w:val="22"/>
          <w:szCs w:val="22"/>
        </w:rPr>
        <w:t xml:space="preserve"> </w:t>
      </w:r>
      <w:r w:rsidR="001E015B" w:rsidRPr="001530A5">
        <w:rPr>
          <w:sz w:val="22"/>
          <w:szCs w:val="22"/>
          <w:u w:val="single"/>
        </w:rPr>
        <w:t>does not denote the sale by bidding held in a public place, or to which anyone has access, but a sale held by public authority</w:t>
      </w:r>
      <w:r w:rsidR="001E015B" w:rsidRPr="001530A5">
        <w:rPr>
          <w:sz w:val="22"/>
          <w:szCs w:val="22"/>
        </w:rPr>
        <w:t>. When therefore, at the commencement of chapter 10, Matthaeus states that ‘it is handed down by the jurists as a rule that he, who is otherwise prohibited from buying, can nevertheless purchase, if the thing is being sold by pub</w:t>
      </w:r>
      <w:r>
        <w:rPr>
          <w:sz w:val="22"/>
          <w:szCs w:val="22"/>
        </w:rPr>
        <w:t>l</w:t>
      </w:r>
      <w:r w:rsidR="001E015B" w:rsidRPr="001530A5">
        <w:rPr>
          <w:sz w:val="22"/>
          <w:szCs w:val="22"/>
        </w:rPr>
        <w:t xml:space="preserve">ic auction,” </w:t>
      </w:r>
      <w:r w:rsidR="001E015B" w:rsidRPr="001530A5">
        <w:rPr>
          <w:sz w:val="22"/>
          <w:szCs w:val="22"/>
          <w:u w:val="single"/>
        </w:rPr>
        <w:t>his meaning is that the sale by auction takes place by public authority</w:t>
      </w:r>
      <w:r w:rsidR="001E015B" w:rsidRPr="001530A5">
        <w:rPr>
          <w:sz w:val="22"/>
          <w:szCs w:val="22"/>
        </w:rPr>
        <w:t>.</w:t>
      </w:r>
      <w:r>
        <w:rPr>
          <w:sz w:val="22"/>
          <w:szCs w:val="22"/>
        </w:rPr>
        <w:t>’</w:t>
      </w:r>
      <w:r w:rsidR="001E015B" w:rsidRPr="004040A9">
        <w:rPr>
          <w:rStyle w:val="FootnoteReference"/>
        </w:rPr>
        <w:footnoteReference w:id="9"/>
      </w:r>
      <w:r w:rsidR="0019169C">
        <w:rPr>
          <w:sz w:val="22"/>
          <w:szCs w:val="22"/>
        </w:rPr>
        <w:t xml:space="preserve"> </w:t>
      </w:r>
      <w:r w:rsidR="0019169C" w:rsidRPr="00617E1F">
        <w:rPr>
          <w:sz w:val="22"/>
          <w:szCs w:val="22"/>
        </w:rPr>
        <w:t>(my emphasis)</w:t>
      </w:r>
    </w:p>
    <w:p w14:paraId="50E7CD82" w14:textId="77777777" w:rsidR="00231BC6" w:rsidRDefault="00231BC6" w:rsidP="001530A5">
      <w:pPr>
        <w:pStyle w:val="HCR-Numberingaffidavit"/>
        <w:numPr>
          <w:ilvl w:val="0"/>
          <w:numId w:val="0"/>
        </w:numPr>
        <w:spacing w:before="0" w:after="0"/>
        <w:ind w:firstLine="360"/>
        <w:outlineLvl w:val="9"/>
      </w:pPr>
    </w:p>
    <w:p w14:paraId="67C3C8AB" w14:textId="43EC42CF" w:rsidR="001E015B" w:rsidRPr="00617E1F" w:rsidRDefault="001424F6" w:rsidP="001424F6">
      <w:pPr>
        <w:pStyle w:val="HCR-Numberingaffidavit"/>
        <w:numPr>
          <w:ilvl w:val="0"/>
          <w:numId w:val="0"/>
        </w:numPr>
        <w:spacing w:before="0" w:after="0"/>
      </w:pPr>
      <w:r w:rsidRPr="00617E1F">
        <w:rPr>
          <w:rFonts w:cs="Arial"/>
          <w:szCs w:val="24"/>
        </w:rPr>
        <w:t>[56]</w:t>
      </w:r>
      <w:r w:rsidRPr="00617E1F">
        <w:rPr>
          <w:rFonts w:cs="Arial"/>
          <w:szCs w:val="24"/>
        </w:rPr>
        <w:tab/>
      </w:r>
      <w:r w:rsidR="001530A5">
        <w:t>A</w:t>
      </w:r>
      <w:r w:rsidR="001E015B">
        <w:t>nd later</w:t>
      </w:r>
      <w:r w:rsidR="001530A5">
        <w:t xml:space="preserve"> </w:t>
      </w:r>
      <w:r w:rsidR="0019169C" w:rsidRPr="00617E1F">
        <w:t xml:space="preserve">on </w:t>
      </w:r>
      <w:r w:rsidR="001530A5" w:rsidRPr="00617E1F">
        <w:t>the learned judge proceed</w:t>
      </w:r>
      <w:r w:rsidR="0019169C" w:rsidRPr="00617E1F">
        <w:t>ed</w:t>
      </w:r>
      <w:r w:rsidR="001530A5" w:rsidRPr="00617E1F">
        <w:t xml:space="preserve"> to state that:</w:t>
      </w:r>
    </w:p>
    <w:p w14:paraId="5CF63D28" w14:textId="77777777" w:rsidR="001E015B" w:rsidRDefault="001530A5" w:rsidP="0019169C">
      <w:pPr>
        <w:pStyle w:val="HCR-Numberingaffidavit"/>
        <w:numPr>
          <w:ilvl w:val="0"/>
          <w:numId w:val="0"/>
        </w:numPr>
        <w:ind w:firstLine="360"/>
        <w:rPr>
          <w:sz w:val="22"/>
        </w:rPr>
      </w:pPr>
      <w:r w:rsidRPr="00617E1F">
        <w:lastRenderedPageBreak/>
        <w:t>‘</w:t>
      </w:r>
      <w:r w:rsidR="001E015B" w:rsidRPr="00617E1F">
        <w:rPr>
          <w:sz w:val="22"/>
        </w:rPr>
        <w:t>It appears therefore, from what has been premised, that Matthaeus</w:t>
      </w:r>
      <w:r w:rsidR="0019169C" w:rsidRPr="00617E1F">
        <w:rPr>
          <w:sz w:val="22"/>
        </w:rPr>
        <w:t xml:space="preserve"> </w:t>
      </w:r>
      <w:r w:rsidR="001E015B" w:rsidRPr="00617E1F">
        <w:rPr>
          <w:sz w:val="22"/>
        </w:rPr>
        <w:t>is</w:t>
      </w:r>
      <w:r w:rsidR="001E015B" w:rsidRPr="004040A9">
        <w:rPr>
          <w:sz w:val="22"/>
        </w:rPr>
        <w:t xml:space="preserve"> correct when he writ</w:t>
      </w:r>
      <w:r w:rsidR="001E015B">
        <w:rPr>
          <w:sz w:val="22"/>
        </w:rPr>
        <w:t>e</w:t>
      </w:r>
      <w:r w:rsidR="001E015B" w:rsidRPr="004040A9">
        <w:rPr>
          <w:sz w:val="22"/>
        </w:rPr>
        <w:t xml:space="preserve">s that </w:t>
      </w:r>
      <w:r w:rsidR="001E015B" w:rsidRPr="00917819">
        <w:rPr>
          <w:sz w:val="22"/>
          <w:u w:val="single"/>
        </w:rPr>
        <w:t xml:space="preserve">the distinction between a </w:t>
      </w:r>
      <w:r w:rsidR="001E015B" w:rsidRPr="00917819">
        <w:rPr>
          <w:i/>
          <w:sz w:val="22"/>
          <w:u w:val="single"/>
        </w:rPr>
        <w:t>public</w:t>
      </w:r>
      <w:r w:rsidR="001E015B" w:rsidRPr="00917819">
        <w:rPr>
          <w:sz w:val="22"/>
          <w:u w:val="single"/>
        </w:rPr>
        <w:t xml:space="preserve"> and </w:t>
      </w:r>
      <w:r w:rsidR="001E015B" w:rsidRPr="00917819">
        <w:rPr>
          <w:i/>
          <w:sz w:val="22"/>
          <w:u w:val="single"/>
        </w:rPr>
        <w:t>private</w:t>
      </w:r>
      <w:r w:rsidR="001E015B" w:rsidRPr="00917819">
        <w:rPr>
          <w:sz w:val="22"/>
          <w:u w:val="single"/>
        </w:rPr>
        <w:t xml:space="preserve"> auction relates not to the place where, but the authority by which, the sale by bidding </w:t>
      </w:r>
      <w:r w:rsidR="001E015B" w:rsidRPr="00917819">
        <w:rPr>
          <w:i/>
          <w:sz w:val="22"/>
          <w:u w:val="single"/>
        </w:rPr>
        <w:t xml:space="preserve">(auctio) </w:t>
      </w:r>
      <w:r w:rsidR="001E015B" w:rsidRPr="00917819">
        <w:rPr>
          <w:sz w:val="22"/>
          <w:u w:val="single"/>
        </w:rPr>
        <w:t>is held.</w:t>
      </w:r>
      <w:r w:rsidR="001E015B">
        <w:rPr>
          <w:sz w:val="22"/>
        </w:rPr>
        <w:t xml:space="preserve"> </w:t>
      </w:r>
      <w:r w:rsidR="001E015B" w:rsidRPr="00923433">
        <w:rPr>
          <w:sz w:val="22"/>
          <w:u w:val="single"/>
        </w:rPr>
        <w:t xml:space="preserve">The conclusion, therefore is that, when the jurists state that a tutor can buy his pupil’s property at a </w:t>
      </w:r>
      <w:r w:rsidR="001E015B" w:rsidRPr="00923433">
        <w:rPr>
          <w:i/>
          <w:sz w:val="22"/>
          <w:u w:val="single"/>
        </w:rPr>
        <w:t>public auction</w:t>
      </w:r>
      <w:r w:rsidR="001E015B" w:rsidRPr="00923433">
        <w:rPr>
          <w:sz w:val="22"/>
          <w:u w:val="single"/>
        </w:rPr>
        <w:t xml:space="preserve"> they have in view a sale by means of bidding held by authority of the State or Government, under which is included the decree or sentence of a judge, acting in his official and public capacity</w:t>
      </w:r>
      <w:r w:rsidR="001E015B">
        <w:rPr>
          <w:sz w:val="22"/>
        </w:rPr>
        <w:t xml:space="preserve">. It also follows that, if a Tutor sells the things of his pupil at ordinary auction sale, he cannot buy any of these things </w:t>
      </w:r>
      <w:r w:rsidR="001E015B">
        <w:rPr>
          <w:i/>
          <w:sz w:val="22"/>
        </w:rPr>
        <w:t>palam et bona fide</w:t>
      </w:r>
      <w:r w:rsidR="001E015B">
        <w:rPr>
          <w:sz w:val="22"/>
        </w:rPr>
        <w:t xml:space="preserve">, for the simple reason that the auction is held by his on authority as tutor, and, as already shown, a Tutor cannot be </w:t>
      </w:r>
      <w:r w:rsidR="001E015B">
        <w:rPr>
          <w:i/>
          <w:sz w:val="22"/>
        </w:rPr>
        <w:t xml:space="preserve">auctor in rem suam. </w:t>
      </w:r>
      <w:r w:rsidR="001E015B">
        <w:rPr>
          <w:sz w:val="22"/>
        </w:rPr>
        <w:t xml:space="preserve">The mere employment by him of an auctioneer or crier dos not in any way alter the legal character of the sale. – it would remain a </w:t>
      </w:r>
      <w:r w:rsidR="001E015B">
        <w:rPr>
          <w:i/>
          <w:sz w:val="22"/>
        </w:rPr>
        <w:t>private</w:t>
      </w:r>
      <w:r w:rsidR="001E015B">
        <w:rPr>
          <w:sz w:val="22"/>
        </w:rPr>
        <w:t xml:space="preserve"> and not a </w:t>
      </w:r>
      <w:r w:rsidR="001E015B">
        <w:rPr>
          <w:i/>
          <w:sz w:val="22"/>
        </w:rPr>
        <w:t xml:space="preserve">public </w:t>
      </w:r>
      <w:r w:rsidR="001E015B">
        <w:rPr>
          <w:sz w:val="22"/>
        </w:rPr>
        <w:t>auction in the sense of the law</w:t>
      </w:r>
      <w:r w:rsidR="001E015B" w:rsidRPr="00617E1F">
        <w:rPr>
          <w:sz w:val="22"/>
        </w:rPr>
        <w:t>….</w:t>
      </w:r>
      <w:r w:rsidRPr="00617E1F">
        <w:rPr>
          <w:sz w:val="22"/>
        </w:rPr>
        <w:t>’</w:t>
      </w:r>
      <w:r w:rsidR="001E015B" w:rsidRPr="00617E1F">
        <w:rPr>
          <w:rStyle w:val="FootnoteReference"/>
          <w:sz w:val="22"/>
        </w:rPr>
        <w:footnoteReference w:id="10"/>
      </w:r>
      <w:r w:rsidR="00CB01BA" w:rsidRPr="00617E1F">
        <w:rPr>
          <w:sz w:val="22"/>
        </w:rPr>
        <w:t xml:space="preserve"> (my emphasis)</w:t>
      </w:r>
    </w:p>
    <w:p w14:paraId="6D951D17" w14:textId="65D8A985" w:rsidR="007321DF" w:rsidRDefault="001424F6" w:rsidP="001424F6">
      <w:pPr>
        <w:pStyle w:val="HCR-Numberingaffidavit"/>
        <w:numPr>
          <w:ilvl w:val="0"/>
          <w:numId w:val="0"/>
        </w:numPr>
        <w:spacing w:before="0" w:after="0"/>
        <w:outlineLvl w:val="9"/>
        <w:rPr>
          <w:szCs w:val="24"/>
        </w:rPr>
      </w:pPr>
      <w:r>
        <w:rPr>
          <w:rFonts w:cs="Arial"/>
          <w:szCs w:val="24"/>
        </w:rPr>
        <w:t>[57]</w:t>
      </w:r>
      <w:r>
        <w:rPr>
          <w:rFonts w:cs="Arial"/>
          <w:szCs w:val="24"/>
        </w:rPr>
        <w:tab/>
      </w:r>
      <w:r w:rsidR="007321DF" w:rsidRPr="00784764">
        <w:rPr>
          <w:szCs w:val="24"/>
        </w:rPr>
        <w:t>The judge concluded that:</w:t>
      </w:r>
    </w:p>
    <w:p w14:paraId="0C89FB56" w14:textId="77777777" w:rsidR="00861FCC" w:rsidRPr="00784764" w:rsidRDefault="00861FCC" w:rsidP="00861FCC">
      <w:pPr>
        <w:pStyle w:val="HCR-Numberingaffidavit"/>
        <w:numPr>
          <w:ilvl w:val="0"/>
          <w:numId w:val="0"/>
        </w:numPr>
        <w:spacing w:before="0" w:after="0"/>
        <w:outlineLvl w:val="9"/>
        <w:rPr>
          <w:szCs w:val="24"/>
        </w:rPr>
      </w:pPr>
    </w:p>
    <w:p w14:paraId="247BCF03" w14:textId="77777777" w:rsidR="001E015B" w:rsidRDefault="00CB01BA" w:rsidP="007321DF">
      <w:pPr>
        <w:pStyle w:val="HCR-Numberingaffidavit"/>
        <w:numPr>
          <w:ilvl w:val="0"/>
          <w:numId w:val="0"/>
        </w:numPr>
        <w:spacing w:before="0" w:after="0"/>
        <w:ind w:firstLine="360"/>
        <w:outlineLvl w:val="9"/>
        <w:rPr>
          <w:sz w:val="22"/>
        </w:rPr>
      </w:pPr>
      <w:r>
        <w:rPr>
          <w:sz w:val="22"/>
        </w:rPr>
        <w:t>‘</w:t>
      </w:r>
      <w:r w:rsidR="001E015B">
        <w:rPr>
          <w:sz w:val="22"/>
        </w:rPr>
        <w:t xml:space="preserve">The true import of these words has already been explained. </w:t>
      </w:r>
      <w:r w:rsidR="001E015B" w:rsidRPr="007321DF">
        <w:rPr>
          <w:sz w:val="22"/>
          <w:u w:val="single"/>
        </w:rPr>
        <w:t>They denote in law, unless the contrary appears from the context, an auction sale held by public authority</w:t>
      </w:r>
      <w:r w:rsidR="001E015B">
        <w:rPr>
          <w:sz w:val="22"/>
        </w:rPr>
        <w:t>, whereas an ordinary auction sale, to which those members of the public who care to attend have free access, is held to be by private auction.</w:t>
      </w:r>
      <w:r w:rsidR="007321DF">
        <w:rPr>
          <w:sz w:val="22"/>
        </w:rPr>
        <w:t>’</w:t>
      </w:r>
      <w:r w:rsidR="001E015B">
        <w:rPr>
          <w:rStyle w:val="FootnoteReference"/>
          <w:sz w:val="22"/>
        </w:rPr>
        <w:footnoteReference w:id="11"/>
      </w:r>
      <w:r w:rsidR="007321DF">
        <w:rPr>
          <w:sz w:val="22"/>
        </w:rPr>
        <w:t xml:space="preserve"> (my emphasis)</w:t>
      </w:r>
    </w:p>
    <w:p w14:paraId="3CC1657B" w14:textId="77777777" w:rsidR="001E015B" w:rsidRDefault="001E015B" w:rsidP="001E015B">
      <w:pPr>
        <w:pStyle w:val="HCR-Numberingaffidavit"/>
        <w:numPr>
          <w:ilvl w:val="0"/>
          <w:numId w:val="0"/>
        </w:numPr>
        <w:spacing w:before="0" w:after="0"/>
      </w:pPr>
    </w:p>
    <w:p w14:paraId="625EECC8" w14:textId="24798B10" w:rsidR="005F78DF" w:rsidRPr="00617E1F" w:rsidRDefault="001424F6" w:rsidP="001424F6">
      <w:pPr>
        <w:pStyle w:val="HCR-Numberingaffidavit"/>
        <w:numPr>
          <w:ilvl w:val="0"/>
          <w:numId w:val="0"/>
        </w:numPr>
        <w:spacing w:before="0" w:after="0"/>
      </w:pPr>
      <w:r w:rsidRPr="00617E1F">
        <w:rPr>
          <w:rFonts w:cs="Arial"/>
          <w:szCs w:val="24"/>
        </w:rPr>
        <w:t>[58]</w:t>
      </w:r>
      <w:r w:rsidRPr="00617E1F">
        <w:rPr>
          <w:rFonts w:cs="Arial"/>
          <w:szCs w:val="24"/>
        </w:rPr>
        <w:tab/>
      </w:r>
      <w:r w:rsidR="007321DF" w:rsidRPr="00617E1F">
        <w:t>The applicants are missing the mark with their submission that the auction was no</w:t>
      </w:r>
      <w:r w:rsidR="00CB01BA" w:rsidRPr="00617E1F">
        <w:t>t</w:t>
      </w:r>
      <w:r w:rsidR="007321DF" w:rsidRPr="00617E1F">
        <w:t xml:space="preserve"> conducted in public</w:t>
      </w:r>
      <w:r w:rsidR="00784764">
        <w:t>,</w:t>
      </w:r>
      <w:r w:rsidR="008C1974" w:rsidRPr="00617E1F">
        <w:t xml:space="preserve"> as a public auction concerns not the place of the auction but the authority by which </w:t>
      </w:r>
      <w:r w:rsidR="00CB01BA" w:rsidRPr="00617E1F">
        <w:t>t</w:t>
      </w:r>
      <w:r w:rsidR="008C1974" w:rsidRPr="00617E1F">
        <w:t>he sale is held and there can be no doubt regarding the latter.</w:t>
      </w:r>
    </w:p>
    <w:p w14:paraId="6EAEB156" w14:textId="77777777" w:rsidR="008C1974" w:rsidRPr="00617E1F" w:rsidRDefault="008C1974" w:rsidP="00DF0023">
      <w:pPr>
        <w:pStyle w:val="HCR-Numberingaffidavit"/>
        <w:numPr>
          <w:ilvl w:val="0"/>
          <w:numId w:val="0"/>
        </w:numPr>
        <w:spacing w:before="0" w:after="0"/>
      </w:pPr>
    </w:p>
    <w:p w14:paraId="3ED613AC" w14:textId="54C4FF0D" w:rsidR="00BC0904" w:rsidRPr="001424F6" w:rsidRDefault="001424F6" w:rsidP="001424F6">
      <w:pPr>
        <w:spacing w:after="0" w:line="360" w:lineRule="auto"/>
        <w:jc w:val="both"/>
        <w:rPr>
          <w:rFonts w:ascii="Arial" w:hAnsi="Arial" w:cs="Arial"/>
          <w:sz w:val="24"/>
          <w:szCs w:val="24"/>
        </w:rPr>
      </w:pPr>
      <w:r w:rsidRPr="00617E1F">
        <w:rPr>
          <w:rFonts w:ascii="Arial" w:hAnsi="Arial" w:cs="Arial"/>
          <w:sz w:val="24"/>
          <w:szCs w:val="24"/>
        </w:rPr>
        <w:t>[59]</w:t>
      </w:r>
      <w:r w:rsidRPr="00617E1F">
        <w:rPr>
          <w:rFonts w:ascii="Arial" w:hAnsi="Arial" w:cs="Arial"/>
          <w:sz w:val="24"/>
          <w:szCs w:val="24"/>
        </w:rPr>
        <w:tab/>
      </w:r>
      <w:r w:rsidR="00BC0904" w:rsidRPr="001424F6">
        <w:rPr>
          <w:rFonts w:ascii="Arial" w:hAnsi="Arial" w:cs="Arial"/>
          <w:sz w:val="24"/>
          <w:szCs w:val="24"/>
        </w:rPr>
        <w:t>The applicants further raised the issue that Mr Mouton was not present at the auction as he submitted his bid telephonically. The applicants did not avail any authority to this court fortifying their submission that the failure of the bidder to be physically pres</w:t>
      </w:r>
      <w:r w:rsidR="000216BD" w:rsidRPr="001424F6">
        <w:rPr>
          <w:rFonts w:ascii="Arial" w:hAnsi="Arial" w:cs="Arial"/>
          <w:sz w:val="24"/>
          <w:szCs w:val="24"/>
        </w:rPr>
        <w:t>ent at the auction would impede</w:t>
      </w:r>
      <w:r w:rsidR="00BC0904" w:rsidRPr="001424F6">
        <w:rPr>
          <w:rFonts w:ascii="Arial" w:hAnsi="Arial" w:cs="Arial"/>
          <w:sz w:val="24"/>
          <w:szCs w:val="24"/>
        </w:rPr>
        <w:t xml:space="preserve"> the integrity of the process. </w:t>
      </w:r>
      <w:r w:rsidR="00861FCC" w:rsidRPr="001424F6">
        <w:rPr>
          <w:rFonts w:ascii="Arial" w:hAnsi="Arial" w:cs="Arial"/>
          <w:sz w:val="24"/>
          <w:szCs w:val="24"/>
        </w:rPr>
        <w:t>It should further be noted that the deputy-sheriff informed all the bidders in attendance that there was a phone bidder and enquired if there was an opposition to the deputy-sheriff receiving a phone bid.</w:t>
      </w:r>
      <w:r w:rsidR="008B27AA" w:rsidRPr="001424F6">
        <w:rPr>
          <w:rFonts w:ascii="Arial" w:hAnsi="Arial" w:cs="Arial"/>
          <w:sz w:val="24"/>
          <w:szCs w:val="24"/>
        </w:rPr>
        <w:t xml:space="preserve"> There was no opposition.</w:t>
      </w:r>
    </w:p>
    <w:p w14:paraId="35BD88D3" w14:textId="77777777" w:rsidR="00BC0904" w:rsidRPr="00BC0904" w:rsidRDefault="00BC0904" w:rsidP="00BC0904">
      <w:pPr>
        <w:pStyle w:val="ListParagraph"/>
        <w:rPr>
          <w:rFonts w:ascii="Arial" w:hAnsi="Arial" w:cs="Arial"/>
          <w:sz w:val="24"/>
          <w:szCs w:val="24"/>
        </w:rPr>
      </w:pPr>
    </w:p>
    <w:p w14:paraId="4336CA3D" w14:textId="67BAC363" w:rsidR="00A21A5A" w:rsidRPr="001424F6" w:rsidRDefault="001424F6" w:rsidP="001424F6">
      <w:pPr>
        <w:spacing w:after="0" w:line="360" w:lineRule="auto"/>
        <w:rPr>
          <w:rFonts w:ascii="Arial" w:hAnsi="Arial" w:cs="Arial"/>
          <w:sz w:val="24"/>
          <w:szCs w:val="24"/>
        </w:rPr>
      </w:pPr>
      <w:r>
        <w:rPr>
          <w:rFonts w:ascii="Arial" w:hAnsi="Arial" w:cs="Arial"/>
          <w:sz w:val="24"/>
          <w:szCs w:val="24"/>
        </w:rPr>
        <w:t>[60]</w:t>
      </w:r>
      <w:r>
        <w:rPr>
          <w:rFonts w:ascii="Arial" w:hAnsi="Arial" w:cs="Arial"/>
          <w:sz w:val="24"/>
          <w:szCs w:val="24"/>
        </w:rPr>
        <w:tab/>
      </w:r>
      <w:r w:rsidR="00746E0B" w:rsidRPr="001424F6">
        <w:rPr>
          <w:rFonts w:ascii="Arial" w:hAnsi="Arial" w:cs="Arial"/>
          <w:sz w:val="24"/>
          <w:szCs w:val="24"/>
        </w:rPr>
        <w:t xml:space="preserve">This ground of </w:t>
      </w:r>
      <w:r w:rsidR="008B27AA" w:rsidRPr="001424F6">
        <w:rPr>
          <w:rFonts w:ascii="Arial" w:hAnsi="Arial" w:cs="Arial"/>
          <w:sz w:val="24"/>
          <w:szCs w:val="24"/>
        </w:rPr>
        <w:t>complaint</w:t>
      </w:r>
      <w:r w:rsidR="00861FCC" w:rsidRPr="001424F6">
        <w:rPr>
          <w:rFonts w:ascii="Arial" w:hAnsi="Arial" w:cs="Arial"/>
          <w:sz w:val="24"/>
          <w:szCs w:val="24"/>
        </w:rPr>
        <w:t xml:space="preserve"> </w:t>
      </w:r>
      <w:r w:rsidR="00746E0B" w:rsidRPr="001424F6">
        <w:rPr>
          <w:rFonts w:ascii="Arial" w:hAnsi="Arial" w:cs="Arial"/>
          <w:sz w:val="24"/>
          <w:szCs w:val="24"/>
        </w:rPr>
        <w:t xml:space="preserve">is </w:t>
      </w:r>
      <w:r w:rsidR="008B27AA" w:rsidRPr="001424F6">
        <w:rPr>
          <w:rFonts w:ascii="Arial" w:hAnsi="Arial" w:cs="Arial"/>
          <w:sz w:val="24"/>
          <w:szCs w:val="24"/>
        </w:rPr>
        <w:t xml:space="preserve">without merit and </w:t>
      </w:r>
      <w:r w:rsidR="00746E0B" w:rsidRPr="001424F6">
        <w:rPr>
          <w:rFonts w:ascii="Arial" w:hAnsi="Arial" w:cs="Arial"/>
          <w:sz w:val="24"/>
          <w:szCs w:val="24"/>
        </w:rPr>
        <w:t>therefore dismissed.</w:t>
      </w:r>
    </w:p>
    <w:p w14:paraId="27F959DB" w14:textId="77777777" w:rsidR="00746E0B" w:rsidRPr="00746E0B" w:rsidRDefault="00746E0B" w:rsidP="00746E0B">
      <w:pPr>
        <w:pStyle w:val="ListParagraph"/>
        <w:rPr>
          <w:rFonts w:ascii="Arial" w:hAnsi="Arial" w:cs="Arial"/>
          <w:sz w:val="24"/>
          <w:szCs w:val="24"/>
        </w:rPr>
      </w:pPr>
    </w:p>
    <w:p w14:paraId="23F8FC47" w14:textId="77777777" w:rsidR="002F0B1D" w:rsidRDefault="002F0B1D" w:rsidP="002F0B1D">
      <w:pPr>
        <w:pStyle w:val="ListParagraph"/>
        <w:spacing w:after="0" w:line="360" w:lineRule="auto"/>
        <w:ind w:left="0"/>
        <w:rPr>
          <w:rFonts w:ascii="Arial" w:hAnsi="Arial" w:cs="Arial"/>
          <w:i/>
          <w:sz w:val="24"/>
          <w:szCs w:val="24"/>
        </w:rPr>
      </w:pPr>
      <w:r w:rsidRPr="002F0B1D">
        <w:rPr>
          <w:rFonts w:ascii="Arial" w:hAnsi="Arial" w:cs="Arial"/>
          <w:i/>
          <w:sz w:val="24"/>
          <w:szCs w:val="24"/>
        </w:rPr>
        <w:t>The 24 March 2022 sale in execution was not cancelled</w:t>
      </w:r>
      <w:r w:rsidR="00784764">
        <w:rPr>
          <w:rFonts w:ascii="Arial" w:hAnsi="Arial" w:cs="Arial"/>
          <w:i/>
          <w:sz w:val="24"/>
          <w:szCs w:val="24"/>
        </w:rPr>
        <w:t>,</w:t>
      </w:r>
      <w:r w:rsidR="0022659D">
        <w:rPr>
          <w:rFonts w:ascii="Arial" w:hAnsi="Arial" w:cs="Arial"/>
          <w:i/>
          <w:sz w:val="24"/>
          <w:szCs w:val="24"/>
        </w:rPr>
        <w:t xml:space="preserve"> therefore</w:t>
      </w:r>
      <w:r w:rsidR="00784764">
        <w:rPr>
          <w:rFonts w:ascii="Arial" w:hAnsi="Arial" w:cs="Arial"/>
          <w:i/>
          <w:sz w:val="24"/>
          <w:szCs w:val="24"/>
        </w:rPr>
        <w:t>,</w:t>
      </w:r>
      <w:r w:rsidR="0022659D">
        <w:rPr>
          <w:rFonts w:ascii="Arial" w:hAnsi="Arial" w:cs="Arial"/>
          <w:i/>
          <w:sz w:val="24"/>
          <w:szCs w:val="24"/>
        </w:rPr>
        <w:t xml:space="preserve"> the sale of 12 June 2023 cannot be valid</w:t>
      </w:r>
      <w:r w:rsidR="000216BD">
        <w:rPr>
          <w:rFonts w:ascii="Arial" w:hAnsi="Arial" w:cs="Arial"/>
          <w:i/>
          <w:sz w:val="24"/>
          <w:szCs w:val="24"/>
        </w:rPr>
        <w:t>.</w:t>
      </w:r>
    </w:p>
    <w:p w14:paraId="21F301D7" w14:textId="77777777" w:rsidR="00746E0B" w:rsidRDefault="00746E0B" w:rsidP="002F0B1D">
      <w:pPr>
        <w:pStyle w:val="ListParagraph"/>
        <w:spacing w:after="0" w:line="360" w:lineRule="auto"/>
        <w:ind w:left="0"/>
        <w:rPr>
          <w:rFonts w:ascii="Arial" w:hAnsi="Arial" w:cs="Arial"/>
          <w:sz w:val="24"/>
          <w:szCs w:val="24"/>
        </w:rPr>
      </w:pPr>
    </w:p>
    <w:p w14:paraId="029A6AFA" w14:textId="2E4BBED5" w:rsidR="00DF0023" w:rsidRPr="001424F6" w:rsidRDefault="001424F6" w:rsidP="001424F6">
      <w:pPr>
        <w:spacing w:after="0" w:line="360" w:lineRule="auto"/>
        <w:rPr>
          <w:rFonts w:ascii="Arial" w:hAnsi="Arial" w:cs="Arial"/>
          <w:sz w:val="24"/>
          <w:szCs w:val="24"/>
        </w:rPr>
      </w:pPr>
      <w:r>
        <w:rPr>
          <w:rFonts w:ascii="Arial" w:hAnsi="Arial" w:cs="Arial"/>
          <w:sz w:val="24"/>
          <w:szCs w:val="24"/>
        </w:rPr>
        <w:t>[61]</w:t>
      </w:r>
      <w:r>
        <w:rPr>
          <w:rFonts w:ascii="Arial" w:hAnsi="Arial" w:cs="Arial"/>
          <w:sz w:val="24"/>
          <w:szCs w:val="24"/>
        </w:rPr>
        <w:tab/>
      </w:r>
      <w:r w:rsidR="00DF0023" w:rsidRPr="001424F6">
        <w:rPr>
          <w:rFonts w:ascii="Arial" w:hAnsi="Arial" w:cs="Arial"/>
          <w:sz w:val="24"/>
          <w:szCs w:val="24"/>
        </w:rPr>
        <w:t xml:space="preserve">The following </w:t>
      </w:r>
      <w:r w:rsidR="00746E0B" w:rsidRPr="001424F6">
        <w:rPr>
          <w:rFonts w:ascii="Arial" w:hAnsi="Arial" w:cs="Arial"/>
          <w:sz w:val="24"/>
          <w:szCs w:val="24"/>
        </w:rPr>
        <w:t>is common cause</w:t>
      </w:r>
      <w:r w:rsidR="00DF0023" w:rsidRPr="001424F6">
        <w:rPr>
          <w:rFonts w:ascii="Arial" w:hAnsi="Arial" w:cs="Arial"/>
          <w:sz w:val="24"/>
          <w:szCs w:val="24"/>
        </w:rPr>
        <w:t xml:space="preserve"> regarding the sale of 24 March 2022:</w:t>
      </w:r>
    </w:p>
    <w:p w14:paraId="7906B270" w14:textId="77777777" w:rsidR="00784764" w:rsidRDefault="00784764" w:rsidP="00784764">
      <w:pPr>
        <w:pStyle w:val="ListParagraph"/>
        <w:spacing w:after="0" w:line="360" w:lineRule="auto"/>
        <w:ind w:left="0"/>
        <w:rPr>
          <w:rFonts w:ascii="Arial" w:hAnsi="Arial" w:cs="Arial"/>
          <w:sz w:val="24"/>
          <w:szCs w:val="24"/>
        </w:rPr>
      </w:pPr>
    </w:p>
    <w:p w14:paraId="10F866AF" w14:textId="4EF2FE9A" w:rsidR="00DF0023" w:rsidRPr="001424F6" w:rsidRDefault="001424F6" w:rsidP="001424F6">
      <w:pPr>
        <w:spacing w:after="0" w:line="360" w:lineRule="auto"/>
        <w:rPr>
          <w:rFonts w:ascii="Arial" w:hAnsi="Arial" w:cs="Arial"/>
          <w:sz w:val="24"/>
          <w:szCs w:val="24"/>
        </w:rPr>
      </w:pPr>
      <w:r>
        <w:rPr>
          <w:rFonts w:ascii="Arial" w:hAnsi="Arial" w:cs="Arial"/>
          <w:sz w:val="24"/>
          <w:szCs w:val="24"/>
        </w:rPr>
        <w:t>a)</w:t>
      </w:r>
      <w:r>
        <w:rPr>
          <w:rFonts w:ascii="Arial" w:hAnsi="Arial" w:cs="Arial"/>
          <w:sz w:val="24"/>
          <w:szCs w:val="24"/>
        </w:rPr>
        <w:tab/>
      </w:r>
      <w:r w:rsidR="000216BD" w:rsidRPr="001424F6">
        <w:rPr>
          <w:rFonts w:ascii="Arial" w:hAnsi="Arial" w:cs="Arial"/>
          <w:sz w:val="24"/>
          <w:szCs w:val="24"/>
        </w:rPr>
        <w:t>T</w:t>
      </w:r>
      <w:r w:rsidR="00746E0B" w:rsidRPr="001424F6">
        <w:rPr>
          <w:rFonts w:ascii="Arial" w:hAnsi="Arial" w:cs="Arial"/>
          <w:sz w:val="24"/>
          <w:szCs w:val="24"/>
        </w:rPr>
        <w:t>hat a sale was scheduled and held on 24 March 2022</w:t>
      </w:r>
      <w:r w:rsidR="00DF0023" w:rsidRPr="001424F6">
        <w:rPr>
          <w:rFonts w:ascii="Arial" w:hAnsi="Arial" w:cs="Arial"/>
          <w:sz w:val="24"/>
          <w:szCs w:val="24"/>
        </w:rPr>
        <w:t>.</w:t>
      </w:r>
    </w:p>
    <w:p w14:paraId="2487F2A9" w14:textId="4286E3DF" w:rsidR="00DF0023" w:rsidRPr="001424F6" w:rsidRDefault="001424F6" w:rsidP="001424F6">
      <w:pPr>
        <w:spacing w:after="0" w:line="360" w:lineRule="auto"/>
        <w:rPr>
          <w:rFonts w:ascii="Arial" w:hAnsi="Arial" w:cs="Arial"/>
          <w:sz w:val="24"/>
          <w:szCs w:val="24"/>
        </w:rPr>
      </w:pPr>
      <w:r>
        <w:rPr>
          <w:rFonts w:ascii="Arial" w:hAnsi="Arial" w:cs="Arial"/>
          <w:sz w:val="24"/>
          <w:szCs w:val="24"/>
        </w:rPr>
        <w:t>b)</w:t>
      </w:r>
      <w:r>
        <w:rPr>
          <w:rFonts w:ascii="Arial" w:hAnsi="Arial" w:cs="Arial"/>
          <w:sz w:val="24"/>
          <w:szCs w:val="24"/>
        </w:rPr>
        <w:tab/>
      </w:r>
      <w:r w:rsidR="00746E0B" w:rsidRPr="001424F6">
        <w:rPr>
          <w:rFonts w:ascii="Arial" w:hAnsi="Arial" w:cs="Arial"/>
          <w:sz w:val="24"/>
          <w:szCs w:val="24"/>
        </w:rPr>
        <w:t xml:space="preserve"> </w:t>
      </w:r>
      <w:r w:rsidR="00DF0023" w:rsidRPr="001424F6">
        <w:rPr>
          <w:rFonts w:ascii="Arial" w:hAnsi="Arial" w:cs="Arial"/>
          <w:sz w:val="24"/>
          <w:szCs w:val="24"/>
        </w:rPr>
        <w:t xml:space="preserve">The conditions of sale </w:t>
      </w:r>
      <w:r w:rsidR="000216BD" w:rsidRPr="001424F6">
        <w:rPr>
          <w:rFonts w:ascii="Arial" w:hAnsi="Arial" w:cs="Arial"/>
          <w:sz w:val="24"/>
          <w:szCs w:val="24"/>
        </w:rPr>
        <w:t xml:space="preserve">were </w:t>
      </w:r>
      <w:r w:rsidR="00DF0023" w:rsidRPr="001424F6">
        <w:rPr>
          <w:rFonts w:ascii="Arial" w:hAnsi="Arial" w:cs="Arial"/>
          <w:sz w:val="24"/>
          <w:szCs w:val="24"/>
        </w:rPr>
        <w:t xml:space="preserve">not complied with by Ms Erasmus who was the successful bidder. </w:t>
      </w:r>
    </w:p>
    <w:p w14:paraId="0E7501E2" w14:textId="4E19E2DC" w:rsidR="00DF0023" w:rsidRPr="001424F6" w:rsidRDefault="001424F6" w:rsidP="001424F6">
      <w:pPr>
        <w:spacing w:after="0" w:line="360" w:lineRule="auto"/>
        <w:rPr>
          <w:rFonts w:ascii="Arial" w:hAnsi="Arial" w:cs="Arial"/>
          <w:sz w:val="24"/>
          <w:szCs w:val="24"/>
        </w:rPr>
      </w:pPr>
      <w:r>
        <w:rPr>
          <w:rFonts w:ascii="Arial" w:hAnsi="Arial" w:cs="Arial"/>
          <w:sz w:val="24"/>
          <w:szCs w:val="24"/>
        </w:rPr>
        <w:t>c)</w:t>
      </w:r>
      <w:r>
        <w:rPr>
          <w:rFonts w:ascii="Arial" w:hAnsi="Arial" w:cs="Arial"/>
          <w:sz w:val="24"/>
          <w:szCs w:val="24"/>
        </w:rPr>
        <w:tab/>
      </w:r>
      <w:r w:rsidR="00DF0023" w:rsidRPr="001424F6">
        <w:rPr>
          <w:rFonts w:ascii="Arial" w:hAnsi="Arial" w:cs="Arial"/>
          <w:sz w:val="24"/>
          <w:szCs w:val="24"/>
        </w:rPr>
        <w:t>The required 10 per cent deposit on the purchase sum was not paid at the time of the sale.</w:t>
      </w:r>
    </w:p>
    <w:p w14:paraId="39D5EF54" w14:textId="129313CA" w:rsidR="00DF0023" w:rsidRPr="001424F6" w:rsidRDefault="001424F6" w:rsidP="001424F6">
      <w:pPr>
        <w:spacing w:after="0" w:line="360" w:lineRule="auto"/>
        <w:rPr>
          <w:rFonts w:ascii="Arial" w:hAnsi="Arial" w:cs="Arial"/>
          <w:sz w:val="24"/>
          <w:szCs w:val="24"/>
        </w:rPr>
      </w:pPr>
      <w:r>
        <w:rPr>
          <w:rFonts w:ascii="Arial" w:hAnsi="Arial" w:cs="Arial"/>
          <w:sz w:val="24"/>
          <w:szCs w:val="24"/>
        </w:rPr>
        <w:t>d)</w:t>
      </w:r>
      <w:r>
        <w:rPr>
          <w:rFonts w:ascii="Arial" w:hAnsi="Arial" w:cs="Arial"/>
          <w:sz w:val="24"/>
          <w:szCs w:val="24"/>
        </w:rPr>
        <w:tab/>
      </w:r>
      <w:r w:rsidR="00DF0023" w:rsidRPr="001424F6">
        <w:rPr>
          <w:rFonts w:ascii="Arial" w:hAnsi="Arial" w:cs="Arial"/>
          <w:sz w:val="24"/>
          <w:szCs w:val="24"/>
        </w:rPr>
        <w:t>On 4 April 2022 Ms Erasmus nominated Mr Mouton as the purchaser of the property.</w:t>
      </w:r>
    </w:p>
    <w:p w14:paraId="5F4B3425" w14:textId="3ED3B08D" w:rsidR="00DF0023" w:rsidRPr="001424F6" w:rsidRDefault="001424F6" w:rsidP="001424F6">
      <w:pPr>
        <w:spacing w:after="0" w:line="360" w:lineRule="auto"/>
        <w:rPr>
          <w:rFonts w:ascii="Arial" w:hAnsi="Arial" w:cs="Arial"/>
          <w:sz w:val="24"/>
          <w:szCs w:val="24"/>
        </w:rPr>
      </w:pPr>
      <w:r>
        <w:rPr>
          <w:rFonts w:ascii="Arial" w:hAnsi="Arial" w:cs="Arial"/>
          <w:sz w:val="24"/>
          <w:szCs w:val="24"/>
        </w:rPr>
        <w:t>e)</w:t>
      </w:r>
      <w:r>
        <w:rPr>
          <w:rFonts w:ascii="Arial" w:hAnsi="Arial" w:cs="Arial"/>
          <w:sz w:val="24"/>
          <w:szCs w:val="24"/>
        </w:rPr>
        <w:tab/>
      </w:r>
      <w:r w:rsidR="00DF0023" w:rsidRPr="001424F6">
        <w:rPr>
          <w:rFonts w:ascii="Arial" w:hAnsi="Arial" w:cs="Arial"/>
          <w:sz w:val="24"/>
          <w:szCs w:val="24"/>
        </w:rPr>
        <w:t>On 6 April 2022 Mr Mouton, in writing, accept</w:t>
      </w:r>
      <w:r w:rsidR="00784764" w:rsidRPr="001424F6">
        <w:rPr>
          <w:rFonts w:ascii="Arial" w:hAnsi="Arial" w:cs="Arial"/>
          <w:sz w:val="24"/>
          <w:szCs w:val="24"/>
        </w:rPr>
        <w:t>ed</w:t>
      </w:r>
      <w:r w:rsidR="00DF0023" w:rsidRPr="001424F6">
        <w:rPr>
          <w:rFonts w:ascii="Arial" w:hAnsi="Arial" w:cs="Arial"/>
          <w:sz w:val="24"/>
          <w:szCs w:val="24"/>
        </w:rPr>
        <w:t xml:space="preserve"> the nomination and paid the 10 per cent deposit in the sum of N$215 000. </w:t>
      </w:r>
    </w:p>
    <w:p w14:paraId="631C45FB" w14:textId="3DEECC25" w:rsidR="00DF0023" w:rsidRPr="001424F6" w:rsidRDefault="001424F6" w:rsidP="001424F6">
      <w:pPr>
        <w:spacing w:after="0" w:line="360" w:lineRule="auto"/>
        <w:rPr>
          <w:rFonts w:ascii="Arial" w:hAnsi="Arial" w:cs="Arial"/>
          <w:sz w:val="24"/>
          <w:szCs w:val="24"/>
        </w:rPr>
      </w:pPr>
      <w:r>
        <w:rPr>
          <w:rFonts w:ascii="Arial" w:hAnsi="Arial" w:cs="Arial"/>
          <w:sz w:val="24"/>
          <w:szCs w:val="24"/>
        </w:rPr>
        <w:t>f)</w:t>
      </w:r>
      <w:r>
        <w:rPr>
          <w:rFonts w:ascii="Arial" w:hAnsi="Arial" w:cs="Arial"/>
          <w:sz w:val="24"/>
          <w:szCs w:val="24"/>
        </w:rPr>
        <w:tab/>
      </w:r>
      <w:r w:rsidR="00DF0023" w:rsidRPr="001424F6">
        <w:rPr>
          <w:rFonts w:ascii="Arial" w:hAnsi="Arial" w:cs="Arial"/>
          <w:sz w:val="24"/>
          <w:szCs w:val="24"/>
        </w:rPr>
        <w:t xml:space="preserve"> The sale in execution of 24 March 2022 was not cancelled by a judge as provided for in rule 110(10).</w:t>
      </w:r>
    </w:p>
    <w:p w14:paraId="4EB5A685" w14:textId="77777777" w:rsidR="00DF0023" w:rsidRDefault="00DF0023" w:rsidP="00DF0023">
      <w:pPr>
        <w:spacing w:after="0" w:line="360" w:lineRule="auto"/>
        <w:rPr>
          <w:rFonts w:ascii="Arial" w:hAnsi="Arial" w:cs="Arial"/>
          <w:sz w:val="24"/>
          <w:szCs w:val="24"/>
        </w:rPr>
      </w:pPr>
    </w:p>
    <w:p w14:paraId="29C20B38" w14:textId="77777777" w:rsidR="002F0B1D" w:rsidRPr="00B94921" w:rsidRDefault="00B94921" w:rsidP="00B94921">
      <w:pPr>
        <w:spacing w:after="0" w:line="360" w:lineRule="auto"/>
        <w:rPr>
          <w:rFonts w:ascii="Arial" w:hAnsi="Arial" w:cs="Arial"/>
          <w:sz w:val="24"/>
          <w:szCs w:val="24"/>
        </w:rPr>
      </w:pPr>
      <w:r>
        <w:rPr>
          <w:rFonts w:ascii="Arial" w:hAnsi="Arial" w:cs="Arial"/>
          <w:sz w:val="24"/>
          <w:szCs w:val="24"/>
        </w:rPr>
        <w:t>[6</w:t>
      </w:r>
      <w:r w:rsidR="00231BC6">
        <w:rPr>
          <w:rFonts w:ascii="Arial" w:hAnsi="Arial" w:cs="Arial"/>
          <w:sz w:val="24"/>
          <w:szCs w:val="24"/>
        </w:rPr>
        <w:t>2</w:t>
      </w:r>
      <w:r>
        <w:rPr>
          <w:rFonts w:ascii="Arial" w:hAnsi="Arial" w:cs="Arial"/>
          <w:sz w:val="24"/>
          <w:szCs w:val="24"/>
        </w:rPr>
        <w:t>]</w:t>
      </w:r>
      <w:r>
        <w:rPr>
          <w:rFonts w:ascii="Arial" w:hAnsi="Arial" w:cs="Arial"/>
          <w:sz w:val="24"/>
          <w:szCs w:val="24"/>
        </w:rPr>
        <w:tab/>
      </w:r>
      <w:r w:rsidR="00DF0023" w:rsidRPr="00B94921">
        <w:rPr>
          <w:rFonts w:ascii="Arial" w:hAnsi="Arial" w:cs="Arial"/>
          <w:sz w:val="24"/>
          <w:szCs w:val="24"/>
        </w:rPr>
        <w:t xml:space="preserve">Rule 110(10), provides as follows: </w:t>
      </w:r>
    </w:p>
    <w:p w14:paraId="14352116" w14:textId="77777777" w:rsidR="00DF0023" w:rsidRDefault="00DF0023" w:rsidP="00DF0023">
      <w:pPr>
        <w:pStyle w:val="ListParagraph"/>
        <w:spacing w:after="0" w:line="360" w:lineRule="auto"/>
        <w:ind w:left="0"/>
      </w:pPr>
    </w:p>
    <w:p w14:paraId="5543163E" w14:textId="77777777" w:rsidR="00DF0023" w:rsidRDefault="00DF0023" w:rsidP="00DF0023">
      <w:pPr>
        <w:pStyle w:val="ListParagraph"/>
        <w:spacing w:after="0" w:line="360" w:lineRule="auto"/>
        <w:ind w:left="0" w:firstLine="720"/>
        <w:jc w:val="both"/>
        <w:rPr>
          <w:rFonts w:ascii="Arial" w:hAnsi="Arial" w:cs="Arial"/>
        </w:rPr>
      </w:pPr>
      <w:r w:rsidRPr="00DF0023">
        <w:rPr>
          <w:rFonts w:ascii="Arial" w:hAnsi="Arial" w:cs="Arial"/>
        </w:rPr>
        <w:t>‘</w:t>
      </w:r>
      <w:r w:rsidR="00184289" w:rsidRPr="00617E1F">
        <w:rPr>
          <w:rFonts w:ascii="Arial" w:hAnsi="Arial" w:cs="Arial"/>
        </w:rPr>
        <w:t>110</w:t>
      </w:r>
      <w:r w:rsidRPr="00617E1F">
        <w:rPr>
          <w:rFonts w:ascii="Arial" w:hAnsi="Arial" w:cs="Arial"/>
        </w:rPr>
        <w:t>(10) If the purchaser fails to carry out any of his or her obligations under the conditions of sale a judge may, on the report of the deputy-sheriff after due notice to the purchaser, summarily cancel the sale and</w:t>
      </w:r>
      <w:r w:rsidRPr="00DF0023">
        <w:rPr>
          <w:rFonts w:ascii="Arial" w:hAnsi="Arial" w:cs="Arial"/>
        </w:rPr>
        <w:t xml:space="preserve"> the property may again be put up for sale.’</w:t>
      </w:r>
    </w:p>
    <w:p w14:paraId="09B92CC8" w14:textId="77777777" w:rsidR="00DF0023" w:rsidRDefault="00DF0023" w:rsidP="00DF0023">
      <w:pPr>
        <w:spacing w:after="0" w:line="360" w:lineRule="auto"/>
        <w:jc w:val="both"/>
        <w:rPr>
          <w:rFonts w:ascii="Arial" w:hAnsi="Arial" w:cs="Arial"/>
          <w:sz w:val="24"/>
          <w:szCs w:val="24"/>
        </w:rPr>
      </w:pPr>
    </w:p>
    <w:p w14:paraId="1FF7A97C" w14:textId="49055061" w:rsidR="005506D4" w:rsidRPr="001424F6" w:rsidRDefault="001424F6" w:rsidP="001424F6">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506D4" w:rsidRPr="001424F6">
        <w:rPr>
          <w:rFonts w:ascii="Arial" w:hAnsi="Arial" w:cs="Arial"/>
          <w:sz w:val="24"/>
          <w:szCs w:val="24"/>
        </w:rPr>
        <w:t xml:space="preserve">The applicants take issue with the fact that the deputy-sheriff and the second respondent proceeded to schedule a second sale in execution for 12 July 2022 and the immovable property was </w:t>
      </w:r>
      <w:r w:rsidR="00184289" w:rsidRPr="001424F6">
        <w:rPr>
          <w:rFonts w:ascii="Arial" w:hAnsi="Arial" w:cs="Arial"/>
          <w:sz w:val="24"/>
          <w:szCs w:val="24"/>
        </w:rPr>
        <w:t>resold</w:t>
      </w:r>
      <w:r w:rsidR="005506D4" w:rsidRPr="001424F6">
        <w:rPr>
          <w:rFonts w:ascii="Arial" w:hAnsi="Arial" w:cs="Arial"/>
          <w:sz w:val="24"/>
          <w:szCs w:val="24"/>
        </w:rPr>
        <w:t>, albeit to the same purchaser and contend that the failure to cancel the first sale tainted the second sale with irregularity.</w:t>
      </w:r>
    </w:p>
    <w:p w14:paraId="7B2DAFB1" w14:textId="77777777" w:rsidR="0050301D" w:rsidRDefault="0050301D" w:rsidP="0050301D">
      <w:pPr>
        <w:pStyle w:val="ListParagraph"/>
        <w:spacing w:after="0" w:line="360" w:lineRule="auto"/>
        <w:ind w:left="0"/>
        <w:jc w:val="both"/>
        <w:rPr>
          <w:rFonts w:ascii="Arial" w:hAnsi="Arial" w:cs="Arial"/>
          <w:sz w:val="24"/>
          <w:szCs w:val="24"/>
        </w:rPr>
      </w:pPr>
    </w:p>
    <w:p w14:paraId="22BA1B9A" w14:textId="1E79A9BA" w:rsidR="000C51CD" w:rsidRPr="001424F6" w:rsidRDefault="001424F6" w:rsidP="001424F6">
      <w:pPr>
        <w:spacing w:after="0" w:line="360" w:lineRule="auto"/>
        <w:jc w:val="both"/>
        <w:rPr>
          <w:rFonts w:ascii="Times New Roman" w:hAnsi="Times New Roman" w:cs="Times New Roman"/>
          <w:sz w:val="24"/>
          <w:szCs w:val="24"/>
        </w:rPr>
      </w:pPr>
      <w:r w:rsidRPr="00617E1F">
        <w:rPr>
          <w:rFonts w:ascii="Arial" w:hAnsi="Arial" w:cs="Arial"/>
          <w:sz w:val="24"/>
          <w:szCs w:val="24"/>
        </w:rPr>
        <w:t>[64]</w:t>
      </w:r>
      <w:r w:rsidRPr="00617E1F">
        <w:rPr>
          <w:rFonts w:ascii="Arial" w:hAnsi="Arial" w:cs="Arial"/>
          <w:sz w:val="24"/>
          <w:szCs w:val="24"/>
        </w:rPr>
        <w:tab/>
      </w:r>
      <w:r w:rsidR="0050301D" w:rsidRPr="001424F6">
        <w:rPr>
          <w:rFonts w:ascii="Arial" w:hAnsi="Arial" w:cs="Arial"/>
          <w:sz w:val="24"/>
          <w:szCs w:val="24"/>
        </w:rPr>
        <w:t xml:space="preserve">In </w:t>
      </w:r>
      <w:r w:rsidR="0050301D" w:rsidRPr="001424F6">
        <w:rPr>
          <w:rFonts w:ascii="Arial" w:hAnsi="Arial" w:cs="Arial"/>
          <w:i/>
          <w:sz w:val="24"/>
          <w:szCs w:val="24"/>
        </w:rPr>
        <w:t>Standard Bank Namibia Limited v Groenewald</w:t>
      </w:r>
      <w:r w:rsidR="0050301D" w:rsidRPr="00617E1F">
        <w:rPr>
          <w:rStyle w:val="FootnoteReference"/>
          <w:rFonts w:ascii="Arial" w:hAnsi="Arial" w:cs="Arial"/>
          <w:i/>
          <w:sz w:val="24"/>
          <w:szCs w:val="24"/>
        </w:rPr>
        <w:footnoteReference w:id="12"/>
      </w:r>
      <w:r w:rsidR="0050301D" w:rsidRPr="001424F6">
        <w:rPr>
          <w:rFonts w:ascii="Arial" w:hAnsi="Arial" w:cs="Arial"/>
          <w:sz w:val="24"/>
          <w:szCs w:val="24"/>
        </w:rPr>
        <w:t xml:space="preserve"> Angula DJP</w:t>
      </w:r>
      <w:r w:rsidR="000C51CD" w:rsidRPr="001424F6">
        <w:rPr>
          <w:rFonts w:ascii="Arial" w:hAnsi="Arial" w:cs="Arial"/>
          <w:sz w:val="24"/>
          <w:szCs w:val="24"/>
        </w:rPr>
        <w:t xml:space="preserve"> stated </w:t>
      </w:r>
      <w:r w:rsidR="000216BD" w:rsidRPr="001424F6">
        <w:rPr>
          <w:rFonts w:ascii="Arial" w:hAnsi="Arial" w:cs="Arial"/>
          <w:sz w:val="24"/>
          <w:szCs w:val="24"/>
        </w:rPr>
        <w:t>the following:</w:t>
      </w:r>
    </w:p>
    <w:p w14:paraId="58C1B7FD" w14:textId="77777777" w:rsidR="000C51CD" w:rsidRPr="000C51CD" w:rsidRDefault="000C51CD" w:rsidP="000C51CD">
      <w:pPr>
        <w:pStyle w:val="ListParagraph"/>
        <w:rPr>
          <w:rFonts w:ascii="Arial" w:hAnsi="Arial" w:cs="Arial"/>
          <w:sz w:val="24"/>
          <w:szCs w:val="24"/>
        </w:rPr>
      </w:pPr>
    </w:p>
    <w:p w14:paraId="1ABC44F9" w14:textId="77777777" w:rsidR="0050301D" w:rsidRDefault="000C51CD" w:rsidP="000C51CD">
      <w:pPr>
        <w:pStyle w:val="ListParagraph"/>
        <w:spacing w:after="0" w:line="360" w:lineRule="auto"/>
        <w:ind w:left="0" w:firstLine="720"/>
        <w:jc w:val="both"/>
        <w:rPr>
          <w:rFonts w:ascii="Times New Roman" w:hAnsi="Times New Roman" w:cs="Times New Roman"/>
          <w:sz w:val="24"/>
          <w:szCs w:val="24"/>
        </w:rPr>
      </w:pPr>
      <w:r>
        <w:rPr>
          <w:rFonts w:ascii="Arial" w:hAnsi="Arial" w:cs="Arial"/>
          <w:sz w:val="24"/>
          <w:szCs w:val="24"/>
        </w:rPr>
        <w:t>‘</w:t>
      </w:r>
      <w:r w:rsidR="0050301D" w:rsidRPr="0050301D">
        <w:rPr>
          <w:rFonts w:ascii="Arial" w:hAnsi="Arial" w:cs="Arial"/>
          <w:sz w:val="24"/>
          <w:szCs w:val="24"/>
        </w:rPr>
        <w:t xml:space="preserve">It should be borne in mind that a valid agreement of sale comes into being at a sale in execution at the fall of the hammer on the terms and conditions set out in the conditions of sale which are displayed, pronounced or read out be the Deputy Sheriff, who is the auctioneer. The purpose of the signing of the conditions of sale is to record and have certainty of the oral contract and its contents, as concluded by the auction sale, </w:t>
      </w:r>
      <w:r w:rsidR="0050301D" w:rsidRPr="0050301D">
        <w:rPr>
          <w:rFonts w:ascii="Arial" w:hAnsi="Arial" w:cs="Arial"/>
          <w:sz w:val="24"/>
          <w:szCs w:val="24"/>
        </w:rPr>
        <w:lastRenderedPageBreak/>
        <w:t>and to ensure that the Deputy Sheriff and the Purchaser are bound thereto by reason of their signatures.</w:t>
      </w:r>
      <w:r>
        <w:rPr>
          <w:rFonts w:ascii="Arial" w:hAnsi="Arial" w:cs="Arial"/>
          <w:sz w:val="24"/>
          <w:szCs w:val="24"/>
        </w:rPr>
        <w:t>’</w:t>
      </w:r>
      <w:r w:rsidR="0050301D">
        <w:rPr>
          <w:rStyle w:val="FootnoteReference"/>
          <w:rFonts w:ascii="Arial" w:hAnsi="Arial" w:cs="Arial"/>
          <w:sz w:val="24"/>
          <w:szCs w:val="24"/>
        </w:rPr>
        <w:footnoteReference w:id="13"/>
      </w:r>
      <w:r w:rsidR="0050301D" w:rsidRPr="0050301D">
        <w:rPr>
          <w:rFonts w:ascii="Times New Roman" w:hAnsi="Times New Roman" w:cs="Times New Roman"/>
          <w:sz w:val="24"/>
          <w:szCs w:val="24"/>
        </w:rPr>
        <w:t xml:space="preserve"> </w:t>
      </w:r>
    </w:p>
    <w:p w14:paraId="43AEB2B0" w14:textId="77777777" w:rsidR="00115405" w:rsidRPr="0050301D" w:rsidRDefault="00115405" w:rsidP="000C51CD">
      <w:pPr>
        <w:pStyle w:val="ListParagraph"/>
        <w:spacing w:after="0" w:line="360" w:lineRule="auto"/>
        <w:ind w:left="0" w:firstLine="720"/>
        <w:jc w:val="both"/>
        <w:rPr>
          <w:rFonts w:ascii="Times New Roman" w:hAnsi="Times New Roman" w:cs="Times New Roman"/>
          <w:sz w:val="24"/>
          <w:szCs w:val="24"/>
        </w:rPr>
      </w:pPr>
    </w:p>
    <w:p w14:paraId="2009E68D" w14:textId="6C8DE715" w:rsidR="00CC437F" w:rsidRPr="001424F6" w:rsidRDefault="001424F6" w:rsidP="001424F6">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992E6D" w:rsidRPr="001424F6">
        <w:rPr>
          <w:rFonts w:ascii="Arial" w:hAnsi="Arial" w:cs="Arial"/>
          <w:sz w:val="24"/>
          <w:szCs w:val="24"/>
        </w:rPr>
        <w:t>On 24 March 2022</w:t>
      </w:r>
      <w:r w:rsidR="00CD2F5D" w:rsidRPr="001424F6">
        <w:rPr>
          <w:rFonts w:ascii="Arial" w:hAnsi="Arial" w:cs="Arial"/>
          <w:sz w:val="24"/>
          <w:szCs w:val="24"/>
        </w:rPr>
        <w:t>,</w:t>
      </w:r>
      <w:r w:rsidR="00992E6D" w:rsidRPr="001424F6">
        <w:rPr>
          <w:rFonts w:ascii="Arial" w:hAnsi="Arial" w:cs="Arial"/>
          <w:sz w:val="24"/>
          <w:szCs w:val="24"/>
        </w:rPr>
        <w:t xml:space="preserve"> the highest bidder was Ms Erasmus and a valid agreement came into being when the bid was awarded to Ms Erasmus</w:t>
      </w:r>
      <w:r w:rsidR="007E659A" w:rsidRPr="001424F6">
        <w:rPr>
          <w:rFonts w:ascii="Arial" w:hAnsi="Arial" w:cs="Arial"/>
          <w:sz w:val="24"/>
          <w:szCs w:val="24"/>
        </w:rPr>
        <w:t xml:space="preserve"> (or her nominee)</w:t>
      </w:r>
      <w:r w:rsidR="00CC437F" w:rsidRPr="001424F6">
        <w:rPr>
          <w:rFonts w:ascii="Arial" w:hAnsi="Arial" w:cs="Arial"/>
          <w:sz w:val="24"/>
          <w:szCs w:val="24"/>
        </w:rPr>
        <w:t>.</w:t>
      </w:r>
      <w:r w:rsidR="00CC437F" w:rsidRPr="00CC437F">
        <w:t xml:space="preserve"> </w:t>
      </w:r>
      <w:r w:rsidR="00CC437F" w:rsidRPr="001424F6">
        <w:rPr>
          <w:rFonts w:ascii="Arial" w:hAnsi="Arial" w:cs="Arial"/>
        </w:rPr>
        <w:t>T</w:t>
      </w:r>
      <w:r w:rsidR="00CC437F" w:rsidRPr="001424F6">
        <w:rPr>
          <w:rFonts w:ascii="Arial" w:hAnsi="Arial" w:cs="Arial"/>
          <w:sz w:val="24"/>
          <w:szCs w:val="24"/>
        </w:rPr>
        <w:t xml:space="preserve">he public auction was over when her bid was accepted by the deputy-sheriff and with it ceased the deputy-sheriff’s authority under the rules to further sell the property. Upon the conclusion of the sale by public auction of the property to the </w:t>
      </w:r>
      <w:r w:rsidR="007E659A" w:rsidRPr="001424F6">
        <w:rPr>
          <w:rFonts w:ascii="Arial" w:hAnsi="Arial" w:cs="Arial"/>
          <w:sz w:val="24"/>
          <w:szCs w:val="24"/>
        </w:rPr>
        <w:t>Ms Erasmus or her nominee</w:t>
      </w:r>
      <w:r w:rsidR="00CC437F" w:rsidRPr="001424F6">
        <w:rPr>
          <w:rFonts w:ascii="Arial" w:hAnsi="Arial" w:cs="Arial"/>
          <w:sz w:val="24"/>
          <w:szCs w:val="24"/>
        </w:rPr>
        <w:t>, the deputy-sheriff became functus officio.</w:t>
      </w:r>
      <w:r w:rsidR="00CC437F">
        <w:rPr>
          <w:rStyle w:val="FootnoteReference"/>
          <w:rFonts w:ascii="Arial" w:hAnsi="Arial" w:cs="Arial"/>
          <w:sz w:val="24"/>
          <w:szCs w:val="24"/>
        </w:rPr>
        <w:footnoteReference w:id="14"/>
      </w:r>
    </w:p>
    <w:p w14:paraId="36DE762E" w14:textId="77777777" w:rsidR="00992E6D" w:rsidRDefault="00992E6D" w:rsidP="00CC437F">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0F689D14" w14:textId="36FCBC4F" w:rsidR="00BA1574" w:rsidRPr="001424F6" w:rsidRDefault="001424F6" w:rsidP="001424F6">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CC437F" w:rsidRPr="001424F6">
        <w:rPr>
          <w:rFonts w:ascii="Arial" w:hAnsi="Arial" w:cs="Arial"/>
          <w:sz w:val="24"/>
          <w:szCs w:val="24"/>
        </w:rPr>
        <w:t xml:space="preserve">In </w:t>
      </w:r>
      <w:r w:rsidR="00CC437F" w:rsidRPr="001424F6">
        <w:rPr>
          <w:rFonts w:ascii="Arial" w:hAnsi="Arial" w:cs="Arial"/>
          <w:i/>
          <w:sz w:val="24"/>
          <w:szCs w:val="24"/>
        </w:rPr>
        <w:t>Syfrets Bank Ltd and Others</w:t>
      </w:r>
      <w:r w:rsidR="008A6B98" w:rsidRPr="001424F6">
        <w:rPr>
          <w:rFonts w:ascii="Arial" w:hAnsi="Arial" w:cs="Arial"/>
          <w:i/>
          <w:sz w:val="24"/>
          <w:szCs w:val="24"/>
        </w:rPr>
        <w:t xml:space="preserve"> </w:t>
      </w:r>
      <w:r w:rsidR="00CC437F" w:rsidRPr="001424F6">
        <w:rPr>
          <w:rFonts w:ascii="Arial" w:hAnsi="Arial" w:cs="Arial"/>
          <w:i/>
          <w:sz w:val="24"/>
          <w:szCs w:val="24"/>
        </w:rPr>
        <w:t>v Sheriff of The Supreme Court, Durban Central, and Another</w:t>
      </w:r>
      <w:r w:rsidR="00CC437F" w:rsidRPr="001424F6">
        <w:rPr>
          <w:rFonts w:ascii="Arial" w:hAnsi="Arial" w:cs="Arial"/>
          <w:sz w:val="24"/>
          <w:szCs w:val="24"/>
        </w:rPr>
        <w:t xml:space="preserve">; </w:t>
      </w:r>
      <w:r w:rsidR="00CC437F" w:rsidRPr="001424F6">
        <w:rPr>
          <w:rFonts w:ascii="Arial" w:hAnsi="Arial" w:cs="Arial"/>
          <w:i/>
          <w:sz w:val="24"/>
          <w:szCs w:val="24"/>
        </w:rPr>
        <w:t>Schoerie N</w:t>
      </w:r>
      <w:r w:rsidR="00CB7831" w:rsidRPr="001424F6">
        <w:rPr>
          <w:rFonts w:ascii="Arial" w:hAnsi="Arial" w:cs="Arial"/>
          <w:i/>
          <w:sz w:val="24"/>
          <w:szCs w:val="24"/>
        </w:rPr>
        <w:t>O</w:t>
      </w:r>
      <w:r w:rsidR="00CC437F" w:rsidRPr="001424F6">
        <w:rPr>
          <w:rFonts w:ascii="Arial" w:hAnsi="Arial" w:cs="Arial"/>
          <w:i/>
          <w:sz w:val="24"/>
          <w:szCs w:val="24"/>
        </w:rPr>
        <w:t xml:space="preserve"> v Syfrets Bank Ltd and Others</w:t>
      </w:r>
      <w:r w:rsidR="00BA1574" w:rsidRPr="001424F6">
        <w:rPr>
          <w:rFonts w:ascii="Arial" w:hAnsi="Arial" w:cs="Arial"/>
          <w:i/>
          <w:sz w:val="24"/>
          <w:szCs w:val="24"/>
        </w:rPr>
        <w:t>,</w:t>
      </w:r>
      <w:r w:rsidR="00BA1574">
        <w:rPr>
          <w:rStyle w:val="FootnoteReference"/>
          <w:rFonts w:ascii="Arial" w:hAnsi="Arial" w:cs="Arial"/>
          <w:sz w:val="24"/>
          <w:szCs w:val="24"/>
        </w:rPr>
        <w:footnoteReference w:id="15"/>
      </w:r>
      <w:r w:rsidR="00CC437F" w:rsidRPr="001424F6">
        <w:rPr>
          <w:rFonts w:ascii="Arial" w:hAnsi="Arial" w:cs="Arial"/>
          <w:sz w:val="24"/>
          <w:szCs w:val="24"/>
        </w:rPr>
        <w:t xml:space="preserve"> Combrink J held (in the context of rule 46 of the South African Uniforms rules, which is the equivalent to our rule 110) that</w:t>
      </w:r>
      <w:r w:rsidR="00BA1574" w:rsidRPr="001424F6">
        <w:rPr>
          <w:rFonts w:ascii="Arial" w:hAnsi="Arial" w:cs="Arial"/>
          <w:sz w:val="24"/>
          <w:szCs w:val="24"/>
        </w:rPr>
        <w:t>:</w:t>
      </w:r>
    </w:p>
    <w:p w14:paraId="3B5EBDFD" w14:textId="77777777" w:rsidR="00BA1574" w:rsidRPr="00BA1574" w:rsidRDefault="00BA1574" w:rsidP="00BA1574">
      <w:pPr>
        <w:pStyle w:val="ListParagraph"/>
        <w:rPr>
          <w:rFonts w:ascii="Arial" w:hAnsi="Arial" w:cs="Arial"/>
          <w:sz w:val="24"/>
          <w:szCs w:val="24"/>
        </w:rPr>
      </w:pPr>
    </w:p>
    <w:p w14:paraId="3CAB75D1" w14:textId="77777777" w:rsidR="00CC437F" w:rsidRDefault="00BA1574" w:rsidP="00BA1574">
      <w:pPr>
        <w:pStyle w:val="ListParagraph"/>
        <w:spacing w:after="0" w:line="360" w:lineRule="auto"/>
        <w:ind w:left="0" w:firstLine="720"/>
        <w:jc w:val="both"/>
        <w:rPr>
          <w:rFonts w:ascii="Arial" w:hAnsi="Arial" w:cs="Arial"/>
        </w:rPr>
      </w:pPr>
      <w:r w:rsidRPr="00BA1574">
        <w:rPr>
          <w:rFonts w:ascii="Arial" w:hAnsi="Arial" w:cs="Arial"/>
        </w:rPr>
        <w:t>‘</w:t>
      </w:r>
      <w:r w:rsidRPr="00CD2F5D">
        <w:rPr>
          <w:rFonts w:ascii="Arial" w:hAnsi="Arial" w:cs="Arial"/>
          <w:u w:val="single"/>
        </w:rPr>
        <w:t xml:space="preserve">The public auction was over when the bank's final bid was accepted by the Sheriff and with it ceased the Sheriff's authority under the Rules to further sell the property. </w:t>
      </w:r>
      <w:r w:rsidRPr="00BA1574">
        <w:rPr>
          <w:rFonts w:ascii="Arial" w:hAnsi="Arial" w:cs="Arial"/>
        </w:rPr>
        <w:t xml:space="preserve">Upon the conclusion of the sale by public auction of the property to the bank, </w:t>
      </w:r>
      <w:r w:rsidRPr="00CD2F5D">
        <w:rPr>
          <w:rFonts w:ascii="Arial" w:hAnsi="Arial" w:cs="Arial"/>
          <w:u w:val="single"/>
        </w:rPr>
        <w:t xml:space="preserve">the Sheriff became </w:t>
      </w:r>
      <w:r w:rsidRPr="00CD2F5D">
        <w:rPr>
          <w:rFonts w:ascii="Arial" w:hAnsi="Arial" w:cs="Arial"/>
          <w:i/>
          <w:u w:val="single"/>
        </w:rPr>
        <w:t>functus officio</w:t>
      </w:r>
      <w:r w:rsidRPr="00BA1574">
        <w:rPr>
          <w:rFonts w:ascii="Arial" w:hAnsi="Arial" w:cs="Arial"/>
        </w:rPr>
        <w:t xml:space="preserve"> (see </w:t>
      </w:r>
      <w:r w:rsidRPr="00BA1574">
        <w:rPr>
          <w:rFonts w:ascii="Arial" w:hAnsi="Arial" w:cs="Arial"/>
          <w:i/>
        </w:rPr>
        <w:t>Nicolau's</w:t>
      </w:r>
      <w:r w:rsidRPr="00BA1574">
        <w:rPr>
          <w:rFonts w:ascii="Arial" w:hAnsi="Arial" w:cs="Arial"/>
        </w:rPr>
        <w:t xml:space="preserve"> case supra at 886A). </w:t>
      </w:r>
      <w:r w:rsidRPr="00CD2F5D">
        <w:rPr>
          <w:rFonts w:ascii="Arial" w:hAnsi="Arial" w:cs="Arial"/>
          <w:u w:val="single"/>
        </w:rPr>
        <w:t>T</w:t>
      </w:r>
      <w:r w:rsidR="00CC437F" w:rsidRPr="00CD2F5D">
        <w:rPr>
          <w:rFonts w:ascii="Arial" w:hAnsi="Arial" w:cs="Arial"/>
          <w:u w:val="single"/>
        </w:rPr>
        <w:t>o undo that sale the Sheriff had no power under Rule 46 other than to obtain cancellation of the sale by a Judge in chambers in terms of Rule 46(11)</w:t>
      </w:r>
      <w:r w:rsidR="00CC437F" w:rsidRPr="00BA1574">
        <w:rPr>
          <w:rFonts w:ascii="Arial" w:hAnsi="Arial" w:cs="Arial"/>
        </w:rPr>
        <w:t xml:space="preserve"> and even then the Sheriff's authority under the Rules would require a sale by public auction once more. No other form of sale is within the Sheriff's power.’ </w:t>
      </w:r>
      <w:r w:rsidR="00CD2F5D">
        <w:rPr>
          <w:rFonts w:ascii="Arial" w:hAnsi="Arial" w:cs="Arial"/>
        </w:rPr>
        <w:t>(my emphasis)</w:t>
      </w:r>
    </w:p>
    <w:p w14:paraId="18D3A3C7" w14:textId="77777777" w:rsidR="005D18BA" w:rsidRDefault="005D18BA" w:rsidP="00BA1574">
      <w:pPr>
        <w:pStyle w:val="ListParagraph"/>
        <w:spacing w:after="0" w:line="360" w:lineRule="auto"/>
        <w:ind w:left="0" w:firstLine="720"/>
        <w:jc w:val="both"/>
        <w:rPr>
          <w:rFonts w:ascii="Arial" w:hAnsi="Arial" w:cs="Arial"/>
        </w:rPr>
      </w:pPr>
    </w:p>
    <w:p w14:paraId="0A3EBC66" w14:textId="35C7EDAE" w:rsidR="002E04C3" w:rsidRPr="001424F6" w:rsidRDefault="001424F6" w:rsidP="001424F6">
      <w:pPr>
        <w:spacing w:after="0" w:line="360" w:lineRule="auto"/>
        <w:jc w:val="both"/>
        <w:rPr>
          <w:rFonts w:ascii="Arial" w:hAnsi="Arial" w:cs="Arial"/>
          <w:sz w:val="24"/>
          <w:szCs w:val="24"/>
        </w:rPr>
      </w:pPr>
      <w:r w:rsidRPr="00143723">
        <w:rPr>
          <w:rFonts w:ascii="Arial" w:hAnsi="Arial" w:cs="Arial"/>
          <w:sz w:val="24"/>
          <w:szCs w:val="24"/>
        </w:rPr>
        <w:t>[67]</w:t>
      </w:r>
      <w:r w:rsidRPr="00143723">
        <w:rPr>
          <w:rFonts w:ascii="Arial" w:hAnsi="Arial" w:cs="Arial"/>
          <w:sz w:val="24"/>
          <w:szCs w:val="24"/>
        </w:rPr>
        <w:tab/>
      </w:r>
      <w:r w:rsidR="002E04C3" w:rsidRPr="001424F6">
        <w:rPr>
          <w:rFonts w:ascii="Arial" w:hAnsi="Arial" w:cs="Arial"/>
          <w:color w:val="242121"/>
          <w:sz w:val="24"/>
          <w:szCs w:val="24"/>
          <w:shd w:val="clear" w:color="auto" w:fill="FFFFFF"/>
        </w:rPr>
        <w:t xml:space="preserve">The act of the </w:t>
      </w:r>
      <w:r w:rsidR="005D18BA" w:rsidRPr="001424F6">
        <w:rPr>
          <w:rFonts w:ascii="Arial" w:hAnsi="Arial" w:cs="Arial"/>
          <w:color w:val="242121"/>
          <w:sz w:val="24"/>
          <w:szCs w:val="24"/>
          <w:shd w:val="clear" w:color="auto" w:fill="FFFFFF"/>
        </w:rPr>
        <w:t>deputy-sheriff</w:t>
      </w:r>
      <w:r w:rsidR="000216BD" w:rsidRPr="001424F6">
        <w:rPr>
          <w:rFonts w:ascii="Arial" w:hAnsi="Arial" w:cs="Arial"/>
          <w:color w:val="242121"/>
          <w:sz w:val="24"/>
          <w:szCs w:val="24"/>
          <w:shd w:val="clear" w:color="auto" w:fill="FFFFFF"/>
        </w:rPr>
        <w:t xml:space="preserve"> is not an ‘application’</w:t>
      </w:r>
      <w:r w:rsidR="002E04C3" w:rsidRPr="001424F6">
        <w:rPr>
          <w:rFonts w:ascii="Arial" w:hAnsi="Arial" w:cs="Arial"/>
          <w:color w:val="242121"/>
          <w:sz w:val="24"/>
          <w:szCs w:val="24"/>
          <w:shd w:val="clear" w:color="auto" w:fill="FFFFFF"/>
        </w:rPr>
        <w:t xml:space="preserve"> contemplated by </w:t>
      </w:r>
      <w:r w:rsidR="005D18BA" w:rsidRPr="001424F6">
        <w:rPr>
          <w:rFonts w:ascii="Arial" w:hAnsi="Arial" w:cs="Arial"/>
          <w:color w:val="242121"/>
          <w:sz w:val="24"/>
          <w:szCs w:val="24"/>
          <w:shd w:val="clear" w:color="auto" w:fill="FFFFFF"/>
        </w:rPr>
        <w:t>r</w:t>
      </w:r>
      <w:r w:rsidR="002E04C3" w:rsidRPr="001424F6">
        <w:rPr>
          <w:rFonts w:ascii="Arial" w:hAnsi="Arial" w:cs="Arial"/>
          <w:color w:val="242121"/>
          <w:sz w:val="24"/>
          <w:szCs w:val="24"/>
          <w:shd w:val="clear" w:color="auto" w:fill="FFFFFF"/>
        </w:rPr>
        <w:t>ule 6</w:t>
      </w:r>
      <w:r w:rsidR="005D18BA" w:rsidRPr="001424F6">
        <w:rPr>
          <w:rFonts w:ascii="Arial" w:hAnsi="Arial" w:cs="Arial"/>
          <w:color w:val="242121"/>
          <w:sz w:val="24"/>
          <w:szCs w:val="24"/>
          <w:shd w:val="clear" w:color="auto" w:fill="FFFFFF"/>
        </w:rPr>
        <w:t>5</w:t>
      </w:r>
      <w:r w:rsidR="002E04C3" w:rsidRPr="001424F6">
        <w:rPr>
          <w:rFonts w:ascii="Arial" w:hAnsi="Arial" w:cs="Arial"/>
          <w:color w:val="242121"/>
          <w:sz w:val="24"/>
          <w:szCs w:val="24"/>
          <w:shd w:val="clear" w:color="auto" w:fill="FFFFFF"/>
        </w:rPr>
        <w:t xml:space="preserve">. The </w:t>
      </w:r>
      <w:r w:rsidR="005D18BA" w:rsidRPr="001424F6">
        <w:rPr>
          <w:rFonts w:ascii="Arial" w:hAnsi="Arial" w:cs="Arial"/>
          <w:color w:val="242121"/>
          <w:sz w:val="24"/>
          <w:szCs w:val="24"/>
          <w:shd w:val="clear" w:color="auto" w:fill="FFFFFF"/>
        </w:rPr>
        <w:t>deputy-</w:t>
      </w:r>
      <w:r w:rsidR="002E04C3" w:rsidRPr="001424F6">
        <w:rPr>
          <w:rFonts w:ascii="Arial" w:hAnsi="Arial" w:cs="Arial"/>
          <w:color w:val="242121"/>
          <w:sz w:val="24"/>
          <w:szCs w:val="24"/>
          <w:shd w:val="clear" w:color="auto" w:fill="FFFFFF"/>
        </w:rPr>
        <w:t>sheriff presents a report</w:t>
      </w:r>
      <w:r w:rsidR="005D18BA" w:rsidRPr="001424F6">
        <w:rPr>
          <w:rFonts w:ascii="Arial" w:hAnsi="Arial" w:cs="Arial"/>
          <w:color w:val="242121"/>
          <w:sz w:val="24"/>
          <w:szCs w:val="24"/>
          <w:shd w:val="clear" w:color="auto" w:fill="FFFFFF"/>
        </w:rPr>
        <w:t xml:space="preserve"> and t</w:t>
      </w:r>
      <w:r w:rsidR="002E04C3" w:rsidRPr="001424F6">
        <w:rPr>
          <w:rFonts w:ascii="Arial" w:hAnsi="Arial" w:cs="Arial"/>
          <w:color w:val="242121"/>
          <w:sz w:val="24"/>
          <w:szCs w:val="24"/>
          <w:shd w:val="clear" w:color="auto" w:fill="FFFFFF"/>
        </w:rPr>
        <w:t xml:space="preserve">he judge cancels the sale. The act of the judge in cancelling the sale in terms of </w:t>
      </w:r>
      <w:r w:rsidR="005D18BA" w:rsidRPr="001424F6">
        <w:rPr>
          <w:rFonts w:ascii="Arial" w:hAnsi="Arial" w:cs="Arial"/>
          <w:color w:val="242121"/>
          <w:sz w:val="24"/>
          <w:szCs w:val="24"/>
          <w:shd w:val="clear" w:color="auto" w:fill="FFFFFF"/>
        </w:rPr>
        <w:t>r</w:t>
      </w:r>
      <w:r w:rsidR="002E04C3" w:rsidRPr="001424F6">
        <w:rPr>
          <w:rFonts w:ascii="Arial" w:hAnsi="Arial" w:cs="Arial"/>
          <w:color w:val="242121"/>
          <w:sz w:val="24"/>
          <w:szCs w:val="24"/>
          <w:shd w:val="clear" w:color="auto" w:fill="FFFFFF"/>
        </w:rPr>
        <w:t xml:space="preserve">ule </w:t>
      </w:r>
      <w:r w:rsidR="005D18BA" w:rsidRPr="001424F6">
        <w:rPr>
          <w:rFonts w:ascii="Arial" w:hAnsi="Arial" w:cs="Arial"/>
          <w:color w:val="242121"/>
          <w:sz w:val="24"/>
          <w:szCs w:val="24"/>
          <w:shd w:val="clear" w:color="auto" w:fill="FFFFFF"/>
        </w:rPr>
        <w:t>110(10)</w:t>
      </w:r>
      <w:r w:rsidR="002E04C3" w:rsidRPr="001424F6">
        <w:rPr>
          <w:rFonts w:ascii="Arial" w:hAnsi="Arial" w:cs="Arial"/>
          <w:color w:val="242121"/>
          <w:sz w:val="24"/>
          <w:szCs w:val="24"/>
          <w:shd w:val="clear" w:color="auto" w:fill="FFFFFF"/>
        </w:rPr>
        <w:t xml:space="preserve"> is not a judgment in any conventional sense. </w:t>
      </w:r>
      <w:r w:rsidR="002E04C3" w:rsidRPr="001424F6">
        <w:rPr>
          <w:rFonts w:ascii="Arial" w:hAnsi="Arial" w:cs="Arial"/>
          <w:color w:val="242121"/>
          <w:sz w:val="24"/>
          <w:szCs w:val="24"/>
          <w:shd w:val="clear" w:color="auto" w:fill="FFFFFF"/>
        </w:rPr>
        <w:lastRenderedPageBreak/>
        <w:t>The procedure is </w:t>
      </w:r>
      <w:r w:rsidR="002E04C3" w:rsidRPr="001424F6">
        <w:rPr>
          <w:rFonts w:ascii="Arial" w:hAnsi="Arial" w:cs="Arial"/>
          <w:i/>
          <w:iCs/>
          <w:color w:val="242121"/>
          <w:sz w:val="24"/>
          <w:szCs w:val="24"/>
          <w:shd w:val="clear" w:color="auto" w:fill="FFFFFF"/>
        </w:rPr>
        <w:t>sui generis.</w:t>
      </w:r>
      <w:r w:rsidR="002E04C3" w:rsidRPr="001424F6">
        <w:rPr>
          <w:rFonts w:ascii="Arial" w:hAnsi="Arial" w:cs="Arial"/>
          <w:color w:val="242121"/>
          <w:sz w:val="24"/>
          <w:szCs w:val="24"/>
          <w:shd w:val="clear" w:color="auto" w:fill="FFFFFF"/>
        </w:rPr>
        <w:t xml:space="preserve"> Its function is to provide judicial oversight to the process of </w:t>
      </w:r>
      <w:r w:rsidR="000216BD" w:rsidRPr="001424F6">
        <w:rPr>
          <w:rFonts w:ascii="Arial" w:hAnsi="Arial" w:cs="Arial"/>
          <w:color w:val="242121"/>
          <w:sz w:val="24"/>
          <w:szCs w:val="24"/>
          <w:shd w:val="clear" w:color="auto" w:fill="FFFFFF"/>
        </w:rPr>
        <w:t>execution of judgments. The ‘cancellation’</w:t>
      </w:r>
      <w:r w:rsidR="002E04C3" w:rsidRPr="001424F6">
        <w:rPr>
          <w:rFonts w:ascii="Arial" w:hAnsi="Arial" w:cs="Arial"/>
          <w:color w:val="242121"/>
          <w:sz w:val="24"/>
          <w:szCs w:val="24"/>
          <w:shd w:val="clear" w:color="auto" w:fill="FFFFFF"/>
        </w:rPr>
        <w:t xml:space="preserve">, albeit a decision of the judge, defies forensic classification. It is not an approval of the </w:t>
      </w:r>
      <w:r w:rsidR="005D18BA" w:rsidRPr="001424F6">
        <w:rPr>
          <w:rFonts w:ascii="Arial" w:hAnsi="Arial" w:cs="Arial"/>
          <w:color w:val="242121"/>
          <w:sz w:val="24"/>
          <w:szCs w:val="24"/>
          <w:shd w:val="clear" w:color="auto" w:fill="FFFFFF"/>
        </w:rPr>
        <w:t>deputy-</w:t>
      </w:r>
      <w:r w:rsidR="002E04C3" w:rsidRPr="001424F6">
        <w:rPr>
          <w:rFonts w:ascii="Arial" w:hAnsi="Arial" w:cs="Arial"/>
          <w:color w:val="242121"/>
          <w:sz w:val="24"/>
          <w:szCs w:val="24"/>
          <w:shd w:val="clear" w:color="auto" w:fill="FFFFFF"/>
        </w:rPr>
        <w:t>sheriff’s act; the judge </w:t>
      </w:r>
      <w:r w:rsidR="002E04C3" w:rsidRPr="001424F6">
        <w:rPr>
          <w:rFonts w:ascii="Arial" w:hAnsi="Arial" w:cs="Arial"/>
          <w:i/>
          <w:iCs/>
          <w:color w:val="242121"/>
          <w:sz w:val="24"/>
          <w:szCs w:val="24"/>
          <w:shd w:val="clear" w:color="auto" w:fill="FFFFFF"/>
        </w:rPr>
        <w:t>per se</w:t>
      </w:r>
      <w:r w:rsidR="002E04C3" w:rsidRPr="001424F6">
        <w:rPr>
          <w:rFonts w:ascii="Arial" w:hAnsi="Arial" w:cs="Arial"/>
          <w:color w:val="242121"/>
          <w:sz w:val="24"/>
          <w:szCs w:val="24"/>
          <w:shd w:val="clear" w:color="auto" w:fill="FFFFFF"/>
        </w:rPr>
        <w:t xml:space="preserve"> effects the cancellation, albeit at the instance of the </w:t>
      </w:r>
      <w:r w:rsidR="00143723" w:rsidRPr="001424F6">
        <w:rPr>
          <w:rFonts w:ascii="Arial" w:hAnsi="Arial" w:cs="Arial"/>
          <w:color w:val="242121"/>
          <w:sz w:val="24"/>
          <w:szCs w:val="24"/>
          <w:shd w:val="clear" w:color="auto" w:fill="FFFFFF"/>
        </w:rPr>
        <w:t>deputy s</w:t>
      </w:r>
      <w:r w:rsidR="002E04C3" w:rsidRPr="001424F6">
        <w:rPr>
          <w:rFonts w:ascii="Arial" w:hAnsi="Arial" w:cs="Arial"/>
          <w:color w:val="242121"/>
          <w:sz w:val="24"/>
          <w:szCs w:val="24"/>
          <w:shd w:val="clear" w:color="auto" w:fill="FFFFFF"/>
        </w:rPr>
        <w:t>heriff and, doubtless, in turn, at the instance of the judgment creditor. This cancellation is the precursor to autho</w:t>
      </w:r>
      <w:r w:rsidR="00184289" w:rsidRPr="001424F6">
        <w:rPr>
          <w:rFonts w:ascii="Arial" w:hAnsi="Arial" w:cs="Arial"/>
          <w:color w:val="242121"/>
          <w:sz w:val="24"/>
          <w:szCs w:val="24"/>
          <w:shd w:val="clear" w:color="auto" w:fill="FFFFFF"/>
        </w:rPr>
        <w:t>rising, as contemplated by the r</w:t>
      </w:r>
      <w:r w:rsidR="002E04C3" w:rsidRPr="001424F6">
        <w:rPr>
          <w:rFonts w:ascii="Arial" w:hAnsi="Arial" w:cs="Arial"/>
          <w:color w:val="242121"/>
          <w:sz w:val="24"/>
          <w:szCs w:val="24"/>
          <w:shd w:val="clear" w:color="auto" w:fill="FFFFFF"/>
        </w:rPr>
        <w:t>ule</w:t>
      </w:r>
      <w:r w:rsidR="00184289" w:rsidRPr="001424F6">
        <w:rPr>
          <w:rFonts w:ascii="Arial" w:hAnsi="Arial" w:cs="Arial"/>
          <w:color w:val="242121"/>
          <w:sz w:val="24"/>
          <w:szCs w:val="24"/>
          <w:shd w:val="clear" w:color="auto" w:fill="FFFFFF"/>
        </w:rPr>
        <w:t>s</w:t>
      </w:r>
      <w:r w:rsidR="002E04C3" w:rsidRPr="001424F6">
        <w:rPr>
          <w:rFonts w:ascii="Arial" w:hAnsi="Arial" w:cs="Arial"/>
          <w:color w:val="242121"/>
          <w:sz w:val="24"/>
          <w:szCs w:val="24"/>
          <w:shd w:val="clear" w:color="auto" w:fill="FFFFFF"/>
        </w:rPr>
        <w:t>, a resale.</w:t>
      </w:r>
      <w:r w:rsidR="005D18BA" w:rsidRPr="005D18BA">
        <w:rPr>
          <w:rStyle w:val="FootnoteReference"/>
          <w:rFonts w:ascii="Arial" w:hAnsi="Arial" w:cs="Arial"/>
          <w:color w:val="242121"/>
          <w:sz w:val="24"/>
          <w:szCs w:val="24"/>
          <w:shd w:val="clear" w:color="auto" w:fill="FFFFFF"/>
        </w:rPr>
        <w:footnoteReference w:id="16"/>
      </w:r>
    </w:p>
    <w:p w14:paraId="23CE43E3" w14:textId="77777777" w:rsidR="00143723" w:rsidRPr="00143723" w:rsidRDefault="00143723" w:rsidP="00143723">
      <w:pPr>
        <w:pStyle w:val="ListParagraph"/>
        <w:rPr>
          <w:rFonts w:ascii="Arial" w:hAnsi="Arial" w:cs="Arial"/>
          <w:sz w:val="24"/>
          <w:szCs w:val="24"/>
        </w:rPr>
      </w:pPr>
    </w:p>
    <w:p w14:paraId="3B0F2319" w14:textId="3550703C" w:rsidR="00297E5C" w:rsidRPr="008574E9" w:rsidRDefault="001424F6" w:rsidP="001424F6">
      <w:pPr>
        <w:pStyle w:val="NormalWeb"/>
        <w:shd w:val="clear" w:color="auto" w:fill="FFFFFF"/>
        <w:spacing w:before="0" w:beforeAutospacing="0" w:after="0" w:afterAutospacing="0" w:line="360" w:lineRule="auto"/>
        <w:jc w:val="both"/>
        <w:rPr>
          <w:rFonts w:ascii="Arial" w:hAnsi="Arial" w:cs="Arial"/>
          <w:sz w:val="22"/>
          <w:szCs w:val="22"/>
        </w:rPr>
      </w:pPr>
      <w:r w:rsidRPr="008574E9">
        <w:rPr>
          <w:rFonts w:ascii="Arial" w:hAnsi="Arial" w:cs="Arial"/>
        </w:rPr>
        <w:t>[68]</w:t>
      </w:r>
      <w:r w:rsidRPr="008574E9">
        <w:rPr>
          <w:rFonts w:ascii="Arial" w:hAnsi="Arial" w:cs="Arial"/>
        </w:rPr>
        <w:tab/>
      </w:r>
      <w:r w:rsidR="00297E5C" w:rsidRPr="008574E9">
        <w:rPr>
          <w:rFonts w:ascii="Arial" w:hAnsi="Arial" w:cs="Arial"/>
        </w:rPr>
        <w:t>Th</w:t>
      </w:r>
      <w:r w:rsidR="005254E5" w:rsidRPr="008574E9">
        <w:rPr>
          <w:rFonts w:ascii="Arial" w:hAnsi="Arial" w:cs="Arial"/>
        </w:rPr>
        <w:t>e nature of the rule 110(10) process was further clarified in</w:t>
      </w:r>
      <w:r w:rsidR="00297E5C" w:rsidRPr="008574E9">
        <w:rPr>
          <w:rFonts w:ascii="Arial" w:hAnsi="Arial" w:cs="Arial"/>
        </w:rPr>
        <w:t xml:space="preserve"> </w:t>
      </w:r>
      <w:r w:rsidR="00297E5C" w:rsidRPr="008574E9">
        <w:rPr>
          <w:rFonts w:ascii="Arial" w:hAnsi="Arial" w:cs="Arial"/>
          <w:bCs/>
          <w:i/>
          <w:shd w:val="clear" w:color="auto" w:fill="FFFFFF"/>
        </w:rPr>
        <w:t>Agricultural Bank of Namibia v Ntema and Another</w:t>
      </w:r>
      <w:r w:rsidR="00297E5C" w:rsidRPr="008574E9">
        <w:rPr>
          <w:rFonts w:ascii="Arial" w:hAnsi="Arial" w:cs="Arial"/>
          <w:bCs/>
          <w:shd w:val="clear" w:color="auto" w:fill="FFFFFF"/>
        </w:rPr>
        <w:t>,</w:t>
      </w:r>
      <w:r w:rsidR="00297E5C" w:rsidRPr="008574E9">
        <w:rPr>
          <w:rStyle w:val="FootnoteReference"/>
          <w:rFonts w:ascii="Arial" w:hAnsi="Arial" w:cs="Arial"/>
          <w:bCs/>
          <w:shd w:val="clear" w:color="auto" w:fill="FFFFFF"/>
        </w:rPr>
        <w:footnoteReference w:id="17"/>
      </w:r>
      <w:r w:rsidR="00297E5C" w:rsidRPr="008574E9">
        <w:rPr>
          <w:rFonts w:ascii="Arial" w:hAnsi="Arial" w:cs="Arial"/>
          <w:bCs/>
          <w:shd w:val="clear" w:color="auto" w:fill="FFFFFF"/>
        </w:rPr>
        <w:t xml:space="preserve"> </w:t>
      </w:r>
      <w:r w:rsidR="005254E5" w:rsidRPr="008574E9">
        <w:rPr>
          <w:rFonts w:ascii="Arial" w:hAnsi="Arial" w:cs="Arial"/>
          <w:bCs/>
          <w:shd w:val="clear" w:color="auto" w:fill="FFFFFF"/>
        </w:rPr>
        <w:t xml:space="preserve">when </w:t>
      </w:r>
      <w:r w:rsidR="00297E5C" w:rsidRPr="008574E9">
        <w:rPr>
          <w:rFonts w:ascii="Arial" w:hAnsi="Arial" w:cs="Arial"/>
          <w:bCs/>
          <w:shd w:val="clear" w:color="auto" w:fill="FFFFFF"/>
        </w:rPr>
        <w:t>Angu</w:t>
      </w:r>
      <w:r w:rsidR="005254E5" w:rsidRPr="008574E9">
        <w:rPr>
          <w:rFonts w:ascii="Arial" w:hAnsi="Arial" w:cs="Arial"/>
          <w:bCs/>
          <w:shd w:val="clear" w:color="auto" w:fill="FFFFFF"/>
        </w:rPr>
        <w:t>la</w:t>
      </w:r>
      <w:r w:rsidR="00297E5C" w:rsidRPr="008574E9">
        <w:rPr>
          <w:rFonts w:ascii="Arial" w:hAnsi="Arial" w:cs="Arial"/>
          <w:bCs/>
          <w:shd w:val="clear" w:color="auto" w:fill="FFFFFF"/>
        </w:rPr>
        <w:t xml:space="preserve"> DJP stated as follows:</w:t>
      </w:r>
    </w:p>
    <w:p w14:paraId="4EC2426F" w14:textId="77777777" w:rsidR="00297E5C" w:rsidRPr="008574E9" w:rsidRDefault="00297E5C" w:rsidP="00297E5C">
      <w:pPr>
        <w:pStyle w:val="ListParagraph"/>
        <w:spacing w:after="0" w:line="360" w:lineRule="auto"/>
        <w:ind w:left="0"/>
        <w:jc w:val="both"/>
        <w:rPr>
          <w:rFonts w:ascii="Arial" w:hAnsi="Arial" w:cs="Arial"/>
        </w:rPr>
      </w:pPr>
    </w:p>
    <w:p w14:paraId="0D7B79B0" w14:textId="77777777" w:rsidR="00297E5C" w:rsidRPr="008574E9" w:rsidRDefault="00297E5C" w:rsidP="00297E5C">
      <w:pPr>
        <w:pStyle w:val="NormalWeb"/>
        <w:shd w:val="clear" w:color="auto" w:fill="FFFFFF"/>
        <w:spacing w:before="0" w:beforeAutospacing="0" w:after="0" w:afterAutospacing="0" w:line="360" w:lineRule="auto"/>
        <w:ind w:firstLine="720"/>
        <w:jc w:val="both"/>
        <w:rPr>
          <w:rFonts w:ascii="Arial" w:hAnsi="Arial" w:cs="Arial"/>
          <w:sz w:val="22"/>
          <w:szCs w:val="22"/>
        </w:rPr>
      </w:pPr>
      <w:r w:rsidRPr="008574E9">
        <w:rPr>
          <w:rFonts w:ascii="Arial" w:hAnsi="Arial" w:cs="Arial"/>
          <w:sz w:val="22"/>
          <w:szCs w:val="22"/>
        </w:rPr>
        <w:t>‘[29]</w:t>
      </w:r>
      <w:r w:rsidR="00B94921" w:rsidRPr="008574E9">
        <w:rPr>
          <w:rFonts w:ascii="Arial" w:hAnsi="Arial" w:cs="Arial"/>
          <w:sz w:val="22"/>
          <w:szCs w:val="22"/>
        </w:rPr>
        <w:tab/>
      </w:r>
      <w:r w:rsidRPr="008574E9">
        <w:rPr>
          <w:rFonts w:ascii="Arial" w:hAnsi="Arial" w:cs="Arial"/>
          <w:sz w:val="22"/>
          <w:szCs w:val="22"/>
          <w:lang w:val="en-GB"/>
        </w:rPr>
        <w:t>What remains for consideration is the format the report under rule 110(10) and 110(11) should take. It is to be noted that rule 110(10) makes mention of ‘the report’ to a Judge whereas rule 110(11) speaks of ‘an application to a Judge’. I am aware that there is no uniformity amongst the Deputy-Sheriffs when they file a report requesting a cancellation of the sale in terms of rule 110(10). This is to be expected because the rule does not prescribe the format the report should take. Some Deputy-Sheriffs write letters as ‘a report’ in terms of rule 110(10) other file ‘a report’ in a form of an affidavit</w:t>
      </w:r>
      <w:r w:rsidRPr="008574E9">
        <w:rPr>
          <w:rFonts w:ascii="Arial" w:hAnsi="Arial" w:cs="Arial"/>
          <w:sz w:val="22"/>
          <w:szCs w:val="22"/>
        </w:rPr>
        <w:t>.</w:t>
      </w:r>
    </w:p>
    <w:p w14:paraId="54F814DA" w14:textId="77777777" w:rsidR="00CB7831" w:rsidRPr="008574E9" w:rsidRDefault="00CB7831" w:rsidP="00297E5C">
      <w:pPr>
        <w:pStyle w:val="NormalWeb"/>
        <w:shd w:val="clear" w:color="auto" w:fill="FFFFFF"/>
        <w:spacing w:before="0" w:beforeAutospacing="0" w:after="0" w:afterAutospacing="0" w:line="360" w:lineRule="auto"/>
        <w:ind w:firstLine="720"/>
        <w:jc w:val="both"/>
        <w:rPr>
          <w:rFonts w:ascii="Arial" w:hAnsi="Arial" w:cs="Arial"/>
          <w:sz w:val="22"/>
          <w:szCs w:val="22"/>
        </w:rPr>
      </w:pPr>
    </w:p>
    <w:p w14:paraId="4C44C6B6" w14:textId="77777777" w:rsidR="00297E5C" w:rsidRPr="008574E9" w:rsidRDefault="00297E5C" w:rsidP="00297E5C">
      <w:pPr>
        <w:shd w:val="clear" w:color="auto" w:fill="FFFFFF"/>
        <w:spacing w:after="100" w:afterAutospacing="1" w:line="360" w:lineRule="auto"/>
        <w:jc w:val="both"/>
        <w:rPr>
          <w:rFonts w:ascii="Arial" w:eastAsia="Times New Roman" w:hAnsi="Arial" w:cs="Arial"/>
        </w:rPr>
      </w:pPr>
      <w:r w:rsidRPr="008574E9">
        <w:rPr>
          <w:rFonts w:ascii="Arial" w:eastAsia="Times New Roman" w:hAnsi="Arial" w:cs="Arial"/>
        </w:rPr>
        <w:t> [30]</w:t>
      </w:r>
      <w:r w:rsidR="00B94921" w:rsidRPr="008574E9">
        <w:rPr>
          <w:rFonts w:ascii="Arial" w:eastAsia="Times New Roman" w:hAnsi="Arial" w:cs="Arial"/>
        </w:rPr>
        <w:tab/>
      </w:r>
      <w:r w:rsidRPr="008574E9">
        <w:rPr>
          <w:rFonts w:ascii="Arial" w:eastAsia="Times New Roman" w:hAnsi="Arial" w:cs="Arial"/>
          <w:lang w:val="en-GB"/>
        </w:rPr>
        <w:t>In my view, the rule does not contemplate a formal application in terms of rule 65(4). I am however of the view that, since the ‘report’ serves a basis upon which a Judge makes a decision to cancel the sale which has far-reaching legal consequences for the parties, in particular the purchaser, it would be preferable that the ‘report’ be in a form of an affidavit. An affidavit has a force of evidence under oath upon which a judge can comfortably rely for his or her decision. On the other hand a loose ‘report’ in a form of a letter by the Deputy-Sheriff addressed to the Registrar with a request to place the letter before a Judge to cancel the sale in execution, lacks an aura of </w:t>
      </w:r>
      <w:r w:rsidRPr="008574E9">
        <w:rPr>
          <w:rFonts w:ascii="Arial" w:eastAsia="Times New Roman" w:hAnsi="Arial" w:cs="Arial"/>
          <w:i/>
          <w:iCs/>
          <w:lang w:val="en-GB"/>
        </w:rPr>
        <w:t>quasi-judicial</w:t>
      </w:r>
      <w:r w:rsidRPr="008574E9">
        <w:rPr>
          <w:rFonts w:ascii="Arial" w:eastAsia="Times New Roman" w:hAnsi="Arial" w:cs="Arial"/>
          <w:lang w:val="en-GB"/>
        </w:rPr>
        <w:t> authority under which a Deputy-Sheriff operates. It is trite that a Deputy-Sheriff discharges his or her functions as representing the Judge.</w:t>
      </w:r>
      <w:r w:rsidR="005254E5" w:rsidRPr="008574E9">
        <w:rPr>
          <w:rStyle w:val="FootnoteReference"/>
          <w:rFonts w:ascii="Arial" w:eastAsia="Times New Roman" w:hAnsi="Arial" w:cs="Arial"/>
          <w:lang w:val="en-GB"/>
        </w:rPr>
        <w:footnoteReference w:id="18"/>
      </w:r>
      <w:r w:rsidRPr="008574E9">
        <w:rPr>
          <w:rFonts w:ascii="Arial" w:eastAsia="Times New Roman" w:hAnsi="Arial" w:cs="Arial"/>
          <w:lang w:val="en-GB"/>
        </w:rPr>
        <w:t> </w:t>
      </w:r>
      <w:r w:rsidRPr="008574E9">
        <w:rPr>
          <w:rFonts w:ascii="Arial" w:eastAsia="Times New Roman" w:hAnsi="Arial" w:cs="Arial"/>
          <w:u w:val="single"/>
          <w:lang w:val="en-GB"/>
        </w:rPr>
        <w:t xml:space="preserve">In this connection regard must be had to the fact that the cancelation of the sale in execution is done by a Judge, </w:t>
      </w:r>
      <w:r w:rsidR="00B94921" w:rsidRPr="008574E9">
        <w:rPr>
          <w:rFonts w:ascii="Arial" w:eastAsia="Times New Roman" w:hAnsi="Arial" w:cs="Arial"/>
          <w:u w:val="single"/>
          <w:lang w:val="en-GB"/>
        </w:rPr>
        <w:t xml:space="preserve">this </w:t>
      </w:r>
      <w:r w:rsidRPr="008574E9">
        <w:rPr>
          <w:rFonts w:ascii="Arial" w:eastAsia="Times New Roman" w:hAnsi="Arial" w:cs="Arial"/>
          <w:u w:val="single"/>
          <w:lang w:val="en-GB"/>
        </w:rPr>
        <w:t>means that in doing so, a Judge is exercising judicial oversight over the process of execution</w:t>
      </w:r>
      <w:r w:rsidRPr="008574E9">
        <w:rPr>
          <w:rFonts w:ascii="Arial" w:eastAsia="Times New Roman" w:hAnsi="Arial" w:cs="Arial"/>
          <w:lang w:val="en-GB"/>
        </w:rPr>
        <w:t>. It follows therefore, in my view, the Judge must act upon verifiable and reliable information. It is for those reasons I would propose that the ‘report’ be made in a form of an affidavit as a requirement in this jurisdiction</w:t>
      </w:r>
      <w:r w:rsidRPr="008574E9">
        <w:rPr>
          <w:rFonts w:ascii="Arial" w:eastAsia="Times New Roman" w:hAnsi="Arial" w:cs="Arial"/>
        </w:rPr>
        <w:t>.</w:t>
      </w:r>
      <w:r w:rsidR="00B94921" w:rsidRPr="008574E9">
        <w:rPr>
          <w:rFonts w:ascii="Arial" w:eastAsia="Times New Roman" w:hAnsi="Arial" w:cs="Arial"/>
        </w:rPr>
        <w:t>’</w:t>
      </w:r>
      <w:r w:rsidR="005254E5" w:rsidRPr="008574E9">
        <w:rPr>
          <w:rFonts w:ascii="Arial" w:eastAsia="Times New Roman" w:hAnsi="Arial" w:cs="Arial"/>
        </w:rPr>
        <w:t xml:space="preserve"> (my emphasis)</w:t>
      </w:r>
    </w:p>
    <w:p w14:paraId="058813F4" w14:textId="77777777" w:rsidR="00297E5C" w:rsidRPr="00297E5C" w:rsidRDefault="00297E5C" w:rsidP="00297E5C">
      <w:pPr>
        <w:pStyle w:val="ListParagraph"/>
        <w:rPr>
          <w:rFonts w:ascii="Arial" w:hAnsi="Arial" w:cs="Arial"/>
          <w:sz w:val="24"/>
          <w:szCs w:val="24"/>
        </w:rPr>
      </w:pPr>
    </w:p>
    <w:p w14:paraId="50723754" w14:textId="274C4DC6" w:rsidR="00241C42" w:rsidRPr="001424F6" w:rsidRDefault="001424F6" w:rsidP="001424F6">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241C42" w:rsidRPr="001424F6">
        <w:rPr>
          <w:rFonts w:ascii="Arial" w:hAnsi="Arial" w:cs="Arial"/>
          <w:sz w:val="24"/>
          <w:szCs w:val="24"/>
        </w:rPr>
        <w:t>Ms Campbell submitted that the wording of rule 110(10) is permissive and not p</w:t>
      </w:r>
      <w:r w:rsidR="00CB7831" w:rsidRPr="001424F6">
        <w:rPr>
          <w:rFonts w:ascii="Arial" w:hAnsi="Arial" w:cs="Arial"/>
          <w:sz w:val="24"/>
          <w:szCs w:val="24"/>
        </w:rPr>
        <w:t>er</w:t>
      </w:r>
      <w:r w:rsidR="00241C42" w:rsidRPr="001424F6">
        <w:rPr>
          <w:rFonts w:ascii="Arial" w:hAnsi="Arial" w:cs="Arial"/>
          <w:sz w:val="24"/>
          <w:szCs w:val="24"/>
        </w:rPr>
        <w:t>empt</w:t>
      </w:r>
      <w:r w:rsidR="00674907" w:rsidRPr="001424F6">
        <w:rPr>
          <w:rFonts w:ascii="Arial" w:hAnsi="Arial" w:cs="Arial"/>
          <w:sz w:val="24"/>
          <w:szCs w:val="24"/>
        </w:rPr>
        <w:t>ory</w:t>
      </w:r>
      <w:r w:rsidR="00241C42" w:rsidRPr="001424F6">
        <w:rPr>
          <w:rFonts w:ascii="Arial" w:hAnsi="Arial" w:cs="Arial"/>
          <w:sz w:val="24"/>
          <w:szCs w:val="24"/>
        </w:rPr>
        <w:t xml:space="preserve"> and that nothing in the rules obliges the deputy-sheriff to cancel the sale in the event of non-compliance with the conditions of sale.</w:t>
      </w:r>
      <w:r w:rsidR="00674907" w:rsidRPr="001424F6">
        <w:rPr>
          <w:rFonts w:ascii="Arial" w:hAnsi="Arial" w:cs="Arial"/>
          <w:sz w:val="24"/>
          <w:szCs w:val="24"/>
        </w:rPr>
        <w:t xml:space="preserve"> I fully agree but this election by the deputy-sheriff will depend on whether or not </w:t>
      </w:r>
      <w:r w:rsidR="001F6337" w:rsidRPr="001424F6">
        <w:rPr>
          <w:rFonts w:ascii="Arial" w:hAnsi="Arial" w:cs="Arial"/>
          <w:sz w:val="24"/>
          <w:szCs w:val="24"/>
        </w:rPr>
        <w:t>he can waive strict compliance</w:t>
      </w:r>
      <w:r w:rsidR="00674907" w:rsidRPr="001424F6">
        <w:rPr>
          <w:rFonts w:ascii="Arial" w:hAnsi="Arial" w:cs="Arial"/>
          <w:sz w:val="24"/>
          <w:szCs w:val="24"/>
        </w:rPr>
        <w:t xml:space="preserve"> </w:t>
      </w:r>
      <w:r w:rsidR="001F6337" w:rsidRPr="001424F6">
        <w:rPr>
          <w:rFonts w:ascii="Arial" w:hAnsi="Arial" w:cs="Arial"/>
          <w:sz w:val="24"/>
          <w:szCs w:val="24"/>
        </w:rPr>
        <w:t>with respec</w:t>
      </w:r>
      <w:r w:rsidR="00674907" w:rsidRPr="001424F6">
        <w:rPr>
          <w:rFonts w:ascii="Arial" w:hAnsi="Arial" w:cs="Arial"/>
          <w:sz w:val="24"/>
          <w:szCs w:val="24"/>
        </w:rPr>
        <w:t xml:space="preserve">t </w:t>
      </w:r>
      <w:r w:rsidR="00184289" w:rsidRPr="001424F6">
        <w:rPr>
          <w:rFonts w:ascii="Arial" w:hAnsi="Arial" w:cs="Arial"/>
          <w:sz w:val="24"/>
          <w:szCs w:val="24"/>
        </w:rPr>
        <w:t xml:space="preserve">to the </w:t>
      </w:r>
      <w:r w:rsidR="00674907" w:rsidRPr="001424F6">
        <w:rPr>
          <w:rFonts w:ascii="Arial" w:hAnsi="Arial" w:cs="Arial"/>
          <w:sz w:val="24"/>
          <w:szCs w:val="24"/>
        </w:rPr>
        <w:t>conditions of sale. If the non-compliance is not material the deputy-sheriff will not approach a judge to set the sale in execution aside. However, in the current instance there was a valid agreement of sale in respect of the first sale and that sale had to be set aside in order to proceed with a resale.</w:t>
      </w:r>
    </w:p>
    <w:p w14:paraId="48C17A7D" w14:textId="77777777" w:rsidR="00241C42" w:rsidRPr="00241C42" w:rsidRDefault="00241C42" w:rsidP="00241C42">
      <w:pPr>
        <w:pStyle w:val="ListParagraph"/>
        <w:rPr>
          <w:rFonts w:ascii="Arial" w:hAnsi="Arial" w:cs="Arial"/>
          <w:sz w:val="24"/>
          <w:szCs w:val="24"/>
        </w:rPr>
      </w:pPr>
    </w:p>
    <w:p w14:paraId="4184F99B" w14:textId="3C034EF3" w:rsidR="00AA026B" w:rsidRPr="001424F6" w:rsidRDefault="001424F6" w:rsidP="001424F6">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674907" w:rsidRPr="001424F6">
        <w:rPr>
          <w:rFonts w:ascii="Arial" w:hAnsi="Arial" w:cs="Arial"/>
          <w:sz w:val="24"/>
          <w:szCs w:val="24"/>
        </w:rPr>
        <w:t>T</w:t>
      </w:r>
      <w:r w:rsidR="00AA026B" w:rsidRPr="001424F6">
        <w:rPr>
          <w:rFonts w:ascii="Arial" w:hAnsi="Arial" w:cs="Arial"/>
          <w:sz w:val="24"/>
          <w:szCs w:val="24"/>
        </w:rPr>
        <w:t xml:space="preserve">he conditions of sale </w:t>
      </w:r>
      <w:r w:rsidR="00674907" w:rsidRPr="001424F6">
        <w:rPr>
          <w:rFonts w:ascii="Arial" w:hAnsi="Arial" w:cs="Arial"/>
          <w:sz w:val="24"/>
          <w:szCs w:val="24"/>
        </w:rPr>
        <w:t xml:space="preserve">before me </w:t>
      </w:r>
      <w:r w:rsidR="00CB7831" w:rsidRPr="001424F6">
        <w:rPr>
          <w:rFonts w:ascii="Arial" w:hAnsi="Arial" w:cs="Arial"/>
          <w:sz w:val="24"/>
          <w:szCs w:val="24"/>
        </w:rPr>
        <w:t>are</w:t>
      </w:r>
      <w:r w:rsidR="00674907" w:rsidRPr="001424F6">
        <w:rPr>
          <w:rFonts w:ascii="Arial" w:hAnsi="Arial" w:cs="Arial"/>
          <w:sz w:val="24"/>
          <w:szCs w:val="24"/>
        </w:rPr>
        <w:t xml:space="preserve"> in line with the rules of court</w:t>
      </w:r>
      <w:r w:rsidR="00F06A53" w:rsidRPr="001424F6">
        <w:rPr>
          <w:rFonts w:ascii="Arial" w:hAnsi="Arial" w:cs="Arial"/>
          <w:sz w:val="24"/>
          <w:szCs w:val="24"/>
        </w:rPr>
        <w:t>.</w:t>
      </w:r>
      <w:r w:rsidR="00AA026B" w:rsidRPr="001424F6">
        <w:rPr>
          <w:rFonts w:ascii="Arial" w:hAnsi="Arial" w:cs="Arial"/>
          <w:sz w:val="24"/>
          <w:szCs w:val="24"/>
        </w:rPr>
        <w:t xml:space="preserve"> The conditions of sale </w:t>
      </w:r>
      <w:r w:rsidR="009F332B" w:rsidRPr="001424F6">
        <w:rPr>
          <w:rFonts w:ascii="Arial" w:hAnsi="Arial" w:cs="Arial"/>
          <w:sz w:val="24"/>
          <w:szCs w:val="24"/>
        </w:rPr>
        <w:t>are</w:t>
      </w:r>
      <w:r w:rsidR="00AA026B" w:rsidRPr="001424F6">
        <w:rPr>
          <w:rFonts w:ascii="Arial" w:hAnsi="Arial" w:cs="Arial"/>
          <w:sz w:val="24"/>
          <w:szCs w:val="24"/>
        </w:rPr>
        <w:t xml:space="preserve"> clear that</w:t>
      </w:r>
      <w:r w:rsidR="00CB7831" w:rsidRPr="001424F6">
        <w:rPr>
          <w:rFonts w:ascii="Arial" w:hAnsi="Arial" w:cs="Arial"/>
          <w:sz w:val="24"/>
          <w:szCs w:val="24"/>
        </w:rPr>
        <w:t>,</w:t>
      </w:r>
      <w:r w:rsidR="00AA026B" w:rsidRPr="001424F6">
        <w:rPr>
          <w:rFonts w:ascii="Arial" w:hAnsi="Arial" w:cs="Arial"/>
          <w:sz w:val="24"/>
          <w:szCs w:val="24"/>
        </w:rPr>
        <w:t xml:space="preserve"> in the event of failure by the purchaser to carry out his or her obligations under the conditions of sale, the sale may be cancelled by a judge, summarily on the request of the deputy-sheriff after due notice to the purchaser</w:t>
      </w:r>
      <w:r w:rsidR="003E59C1">
        <w:rPr>
          <w:rStyle w:val="FootnoteReference"/>
          <w:rFonts w:ascii="Arial" w:hAnsi="Arial" w:cs="Arial"/>
          <w:sz w:val="24"/>
          <w:szCs w:val="24"/>
        </w:rPr>
        <w:footnoteReference w:id="19"/>
      </w:r>
      <w:r w:rsidR="00340749" w:rsidRPr="001424F6">
        <w:rPr>
          <w:rFonts w:ascii="Arial" w:hAnsi="Arial" w:cs="Arial"/>
          <w:sz w:val="24"/>
          <w:szCs w:val="24"/>
        </w:rPr>
        <w:t>. The discretion</w:t>
      </w:r>
      <w:r w:rsidR="00AA026B" w:rsidRPr="001424F6">
        <w:rPr>
          <w:rFonts w:ascii="Arial" w:hAnsi="Arial" w:cs="Arial"/>
          <w:sz w:val="24"/>
          <w:szCs w:val="24"/>
        </w:rPr>
        <w:t xml:space="preserve"> </w:t>
      </w:r>
      <w:r w:rsidR="00CB7831" w:rsidRPr="001424F6">
        <w:rPr>
          <w:rFonts w:ascii="Arial" w:hAnsi="Arial" w:cs="Arial"/>
          <w:sz w:val="24"/>
          <w:szCs w:val="24"/>
        </w:rPr>
        <w:t xml:space="preserve">whether to </w:t>
      </w:r>
      <w:r w:rsidR="00AA026B" w:rsidRPr="001424F6">
        <w:rPr>
          <w:rFonts w:ascii="Arial" w:hAnsi="Arial" w:cs="Arial"/>
          <w:sz w:val="24"/>
          <w:szCs w:val="24"/>
        </w:rPr>
        <w:t xml:space="preserve">cancel the sale or not lies with the judge to whom the report </w:t>
      </w:r>
      <w:r w:rsidR="009F332B" w:rsidRPr="001424F6">
        <w:rPr>
          <w:rFonts w:ascii="Arial" w:hAnsi="Arial" w:cs="Arial"/>
          <w:sz w:val="24"/>
          <w:szCs w:val="24"/>
        </w:rPr>
        <w:t xml:space="preserve">is </w:t>
      </w:r>
      <w:r w:rsidR="00AA026B" w:rsidRPr="001424F6">
        <w:rPr>
          <w:rFonts w:ascii="Arial" w:hAnsi="Arial" w:cs="Arial"/>
          <w:sz w:val="24"/>
          <w:szCs w:val="24"/>
        </w:rPr>
        <w:t xml:space="preserve">submitted for consideration. </w:t>
      </w:r>
    </w:p>
    <w:p w14:paraId="2568943D" w14:textId="77777777" w:rsidR="00AA026B" w:rsidRPr="00AA026B" w:rsidRDefault="00AA026B" w:rsidP="00AA026B">
      <w:pPr>
        <w:pStyle w:val="ListParagraph"/>
        <w:rPr>
          <w:rFonts w:ascii="Arial" w:hAnsi="Arial" w:cs="Arial"/>
          <w:sz w:val="24"/>
          <w:szCs w:val="24"/>
        </w:rPr>
      </w:pPr>
    </w:p>
    <w:p w14:paraId="380BB556" w14:textId="784108BB" w:rsidR="00AA026B" w:rsidRPr="001424F6" w:rsidRDefault="001424F6" w:rsidP="001424F6">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F06A53" w:rsidRPr="001424F6">
        <w:rPr>
          <w:rFonts w:ascii="Arial" w:hAnsi="Arial" w:cs="Arial"/>
          <w:sz w:val="24"/>
          <w:szCs w:val="24"/>
        </w:rPr>
        <w:t>The non-compliance</w:t>
      </w:r>
      <w:r w:rsidR="00CB7831" w:rsidRPr="001424F6">
        <w:rPr>
          <w:rFonts w:ascii="Arial" w:hAnsi="Arial" w:cs="Arial"/>
          <w:sz w:val="24"/>
          <w:szCs w:val="24"/>
        </w:rPr>
        <w:t>s</w:t>
      </w:r>
      <w:r w:rsidR="00F06A53" w:rsidRPr="001424F6">
        <w:rPr>
          <w:rFonts w:ascii="Arial" w:hAnsi="Arial" w:cs="Arial"/>
          <w:sz w:val="24"/>
          <w:szCs w:val="24"/>
        </w:rPr>
        <w:t xml:space="preserve"> by Ms Erasmus with the conditions of sale were material and there was no other choice but to approach a judge for an order in terms of rule 110(10).</w:t>
      </w:r>
    </w:p>
    <w:p w14:paraId="34388187" w14:textId="77777777" w:rsidR="00AA026B" w:rsidRPr="00AA026B" w:rsidRDefault="00AA026B" w:rsidP="00AA026B">
      <w:pPr>
        <w:pStyle w:val="ListParagraph"/>
        <w:rPr>
          <w:rFonts w:ascii="Arial" w:hAnsi="Arial" w:cs="Arial"/>
          <w:sz w:val="24"/>
          <w:szCs w:val="24"/>
        </w:rPr>
      </w:pPr>
    </w:p>
    <w:p w14:paraId="76CDF759" w14:textId="228C1D17" w:rsidR="00115405" w:rsidRPr="001424F6" w:rsidRDefault="001424F6" w:rsidP="001424F6">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115405" w:rsidRPr="001424F6">
        <w:rPr>
          <w:rFonts w:ascii="Arial" w:hAnsi="Arial" w:cs="Arial"/>
          <w:sz w:val="24"/>
          <w:szCs w:val="24"/>
        </w:rPr>
        <w:t>The deputy-sheriff was clearly aware of the provisions of rule 110(10) as he proceeded to draft a report for submission to a judge to obtain an order cancelling the sale of 24 March 2022. This report was never submitted to the legal practitioners of the Bank and never submitted to a judge to consider</w:t>
      </w:r>
      <w:r w:rsidR="00CB7831" w:rsidRPr="001424F6">
        <w:rPr>
          <w:rFonts w:ascii="Arial" w:hAnsi="Arial" w:cs="Arial"/>
          <w:sz w:val="24"/>
          <w:szCs w:val="24"/>
        </w:rPr>
        <w:t>,</w:t>
      </w:r>
      <w:r w:rsidR="001F6337" w:rsidRPr="001424F6">
        <w:rPr>
          <w:rFonts w:ascii="Arial" w:hAnsi="Arial" w:cs="Arial"/>
          <w:sz w:val="24"/>
          <w:szCs w:val="24"/>
        </w:rPr>
        <w:t xml:space="preserve"> </w:t>
      </w:r>
      <w:r w:rsidR="009F332B" w:rsidRPr="001424F6">
        <w:rPr>
          <w:rFonts w:ascii="Arial" w:hAnsi="Arial" w:cs="Arial"/>
          <w:sz w:val="24"/>
          <w:szCs w:val="24"/>
        </w:rPr>
        <w:t xml:space="preserve">apparently due to </w:t>
      </w:r>
      <w:r w:rsidR="001F6337" w:rsidRPr="001424F6">
        <w:rPr>
          <w:rFonts w:ascii="Arial" w:hAnsi="Arial" w:cs="Arial"/>
          <w:sz w:val="24"/>
          <w:szCs w:val="24"/>
        </w:rPr>
        <w:t xml:space="preserve">an oversight </w:t>
      </w:r>
      <w:r w:rsidR="00184289" w:rsidRPr="001424F6">
        <w:rPr>
          <w:rFonts w:ascii="Arial" w:hAnsi="Arial" w:cs="Arial"/>
          <w:sz w:val="24"/>
          <w:szCs w:val="24"/>
        </w:rPr>
        <w:t>by</w:t>
      </w:r>
      <w:r w:rsidR="001F6337" w:rsidRPr="001424F6">
        <w:rPr>
          <w:rFonts w:ascii="Arial" w:hAnsi="Arial" w:cs="Arial"/>
          <w:sz w:val="24"/>
          <w:szCs w:val="24"/>
        </w:rPr>
        <w:t xml:space="preserve"> the deputy-sherif</w:t>
      </w:r>
      <w:r w:rsidR="000216BD" w:rsidRPr="001424F6">
        <w:rPr>
          <w:rFonts w:ascii="Arial" w:hAnsi="Arial" w:cs="Arial"/>
          <w:sz w:val="24"/>
          <w:szCs w:val="24"/>
        </w:rPr>
        <w:t>f</w:t>
      </w:r>
      <w:r w:rsidR="001F6337" w:rsidRPr="001424F6">
        <w:rPr>
          <w:rFonts w:ascii="Arial" w:hAnsi="Arial" w:cs="Arial"/>
          <w:sz w:val="24"/>
          <w:szCs w:val="24"/>
        </w:rPr>
        <w:t>.</w:t>
      </w:r>
    </w:p>
    <w:p w14:paraId="56971355" w14:textId="77777777" w:rsidR="00115405" w:rsidRPr="00115405" w:rsidRDefault="00115405" w:rsidP="00115405">
      <w:pPr>
        <w:pStyle w:val="ListParagraph"/>
        <w:rPr>
          <w:rFonts w:ascii="Arial" w:hAnsi="Arial" w:cs="Arial"/>
          <w:sz w:val="24"/>
          <w:szCs w:val="24"/>
        </w:rPr>
      </w:pPr>
    </w:p>
    <w:p w14:paraId="7CCD8369" w14:textId="762FE2F4" w:rsidR="001160A5" w:rsidRPr="001424F6" w:rsidRDefault="001424F6" w:rsidP="001424F6">
      <w:pPr>
        <w:spacing w:after="0" w:line="360" w:lineRule="auto"/>
        <w:jc w:val="both"/>
        <w:rPr>
          <w:rFonts w:ascii="Arial" w:hAnsi="Arial" w:cs="Arial"/>
          <w:i/>
          <w:sz w:val="24"/>
          <w:szCs w:val="24"/>
        </w:rPr>
      </w:pPr>
      <w:r w:rsidRPr="001160A5">
        <w:rPr>
          <w:rFonts w:ascii="Arial" w:hAnsi="Arial" w:cs="Arial"/>
          <w:sz w:val="24"/>
          <w:szCs w:val="24"/>
        </w:rPr>
        <w:t>[73]</w:t>
      </w:r>
      <w:r w:rsidRPr="001160A5">
        <w:rPr>
          <w:rFonts w:ascii="Arial" w:hAnsi="Arial" w:cs="Arial"/>
          <w:sz w:val="24"/>
          <w:szCs w:val="24"/>
        </w:rPr>
        <w:tab/>
      </w:r>
      <w:r w:rsidR="001F6337" w:rsidRPr="001424F6">
        <w:rPr>
          <w:rFonts w:ascii="Arial" w:hAnsi="Arial" w:cs="Arial"/>
          <w:sz w:val="24"/>
          <w:szCs w:val="24"/>
        </w:rPr>
        <w:t>T</w:t>
      </w:r>
      <w:r w:rsidR="007C26CB" w:rsidRPr="001424F6">
        <w:rPr>
          <w:rFonts w:ascii="Arial" w:hAnsi="Arial" w:cs="Arial"/>
          <w:sz w:val="24"/>
          <w:szCs w:val="24"/>
        </w:rPr>
        <w:t xml:space="preserve">he deputy-sheriff </w:t>
      </w:r>
      <w:r w:rsidR="00BB6A4F" w:rsidRPr="001424F6">
        <w:rPr>
          <w:rFonts w:ascii="Arial" w:hAnsi="Arial" w:cs="Arial"/>
          <w:sz w:val="24"/>
          <w:szCs w:val="24"/>
        </w:rPr>
        <w:t xml:space="preserve">was under the misguided belief </w:t>
      </w:r>
      <w:r w:rsidR="007C26CB" w:rsidRPr="001424F6">
        <w:rPr>
          <w:rFonts w:ascii="Arial" w:hAnsi="Arial" w:cs="Arial"/>
          <w:sz w:val="24"/>
          <w:szCs w:val="24"/>
        </w:rPr>
        <w:t xml:space="preserve">that the </w:t>
      </w:r>
      <w:r w:rsidR="00EE0E1E" w:rsidRPr="001424F6">
        <w:rPr>
          <w:rFonts w:ascii="Arial" w:hAnsi="Arial" w:cs="Arial"/>
          <w:sz w:val="24"/>
          <w:szCs w:val="24"/>
        </w:rPr>
        <w:t>sale was cancelled in terms of rule 110(10)</w:t>
      </w:r>
      <w:r w:rsidR="00F06A53" w:rsidRPr="001424F6">
        <w:rPr>
          <w:rFonts w:ascii="Arial" w:hAnsi="Arial" w:cs="Arial"/>
          <w:sz w:val="24"/>
          <w:szCs w:val="24"/>
        </w:rPr>
        <w:t xml:space="preserve"> a</w:t>
      </w:r>
      <w:r w:rsidR="007C26CB" w:rsidRPr="001424F6">
        <w:rPr>
          <w:rFonts w:ascii="Arial" w:hAnsi="Arial" w:cs="Arial"/>
          <w:sz w:val="24"/>
          <w:szCs w:val="24"/>
        </w:rPr>
        <w:t>nd proceeded with the</w:t>
      </w:r>
      <w:r w:rsidR="00F06A53" w:rsidRPr="001424F6">
        <w:rPr>
          <w:rFonts w:ascii="Arial" w:hAnsi="Arial" w:cs="Arial"/>
          <w:sz w:val="24"/>
          <w:szCs w:val="24"/>
        </w:rPr>
        <w:t xml:space="preserve"> resale </w:t>
      </w:r>
      <w:r w:rsidR="007C26CB" w:rsidRPr="001424F6">
        <w:rPr>
          <w:rFonts w:ascii="Arial" w:hAnsi="Arial" w:cs="Arial"/>
          <w:sz w:val="24"/>
          <w:szCs w:val="24"/>
        </w:rPr>
        <w:t xml:space="preserve">which </w:t>
      </w:r>
      <w:r w:rsidR="00F06A53" w:rsidRPr="001424F6">
        <w:rPr>
          <w:rFonts w:ascii="Arial" w:hAnsi="Arial" w:cs="Arial"/>
          <w:sz w:val="24"/>
          <w:szCs w:val="24"/>
        </w:rPr>
        <w:t xml:space="preserve">was scheduled </w:t>
      </w:r>
      <w:r w:rsidR="007C26CB" w:rsidRPr="001424F6">
        <w:rPr>
          <w:rFonts w:ascii="Arial" w:hAnsi="Arial" w:cs="Arial"/>
          <w:sz w:val="24"/>
          <w:szCs w:val="24"/>
        </w:rPr>
        <w:t>for</w:t>
      </w:r>
      <w:r w:rsidR="00F06A53" w:rsidRPr="001424F6">
        <w:rPr>
          <w:rFonts w:ascii="Arial" w:hAnsi="Arial" w:cs="Arial"/>
          <w:sz w:val="24"/>
          <w:szCs w:val="24"/>
        </w:rPr>
        <w:t xml:space="preserve"> 12 July 2022</w:t>
      </w:r>
      <w:r w:rsidR="007C26CB" w:rsidRPr="001424F6">
        <w:rPr>
          <w:rFonts w:ascii="Arial" w:hAnsi="Arial" w:cs="Arial"/>
          <w:sz w:val="24"/>
          <w:szCs w:val="24"/>
        </w:rPr>
        <w:t xml:space="preserve">, on which date </w:t>
      </w:r>
      <w:r w:rsidR="00F06A53" w:rsidRPr="001424F6">
        <w:rPr>
          <w:rFonts w:ascii="Arial" w:hAnsi="Arial" w:cs="Arial"/>
          <w:sz w:val="24"/>
          <w:szCs w:val="24"/>
        </w:rPr>
        <w:t>the property was again sold to Mr Mouton</w:t>
      </w:r>
      <w:r w:rsidR="001160A5" w:rsidRPr="001424F6">
        <w:rPr>
          <w:rFonts w:ascii="Arial" w:hAnsi="Arial" w:cs="Arial"/>
          <w:sz w:val="24"/>
          <w:szCs w:val="24"/>
        </w:rPr>
        <w:t xml:space="preserve"> for the </w:t>
      </w:r>
      <w:r w:rsidR="00710E54" w:rsidRPr="001424F6">
        <w:rPr>
          <w:rFonts w:ascii="Arial" w:hAnsi="Arial" w:cs="Arial"/>
          <w:sz w:val="24"/>
          <w:szCs w:val="24"/>
        </w:rPr>
        <w:t>N$2 250 000</w:t>
      </w:r>
      <w:r w:rsidR="001160A5" w:rsidRPr="001424F6">
        <w:rPr>
          <w:rFonts w:ascii="Arial" w:hAnsi="Arial" w:cs="Arial"/>
          <w:sz w:val="24"/>
          <w:szCs w:val="24"/>
        </w:rPr>
        <w:t xml:space="preserve"> as </w:t>
      </w:r>
      <w:r w:rsidR="00710E54" w:rsidRPr="001424F6">
        <w:rPr>
          <w:rFonts w:ascii="Arial" w:hAnsi="Arial" w:cs="Arial"/>
          <w:sz w:val="24"/>
          <w:szCs w:val="24"/>
        </w:rPr>
        <w:t xml:space="preserve">as opposed to the N$2 150 000 </w:t>
      </w:r>
      <w:r w:rsidR="001160A5" w:rsidRPr="001424F6">
        <w:rPr>
          <w:rFonts w:ascii="Arial" w:hAnsi="Arial" w:cs="Arial"/>
          <w:sz w:val="24"/>
          <w:szCs w:val="24"/>
        </w:rPr>
        <w:t>during the first sale</w:t>
      </w:r>
      <w:r w:rsidR="00BB6A4F" w:rsidRPr="001424F6">
        <w:rPr>
          <w:rFonts w:ascii="Arial" w:hAnsi="Arial" w:cs="Arial"/>
          <w:sz w:val="24"/>
          <w:szCs w:val="24"/>
        </w:rPr>
        <w:t xml:space="preserve"> in execution</w:t>
      </w:r>
      <w:r w:rsidR="001160A5" w:rsidRPr="001424F6">
        <w:rPr>
          <w:rFonts w:ascii="Arial" w:hAnsi="Arial" w:cs="Arial"/>
          <w:sz w:val="24"/>
          <w:szCs w:val="24"/>
        </w:rPr>
        <w:t>.</w:t>
      </w:r>
    </w:p>
    <w:p w14:paraId="733743AF" w14:textId="77777777" w:rsidR="001160A5" w:rsidRPr="001160A5" w:rsidRDefault="001160A5" w:rsidP="001160A5">
      <w:pPr>
        <w:pStyle w:val="ListParagraph"/>
        <w:rPr>
          <w:rFonts w:ascii="Arial" w:hAnsi="Arial" w:cs="Arial"/>
          <w:sz w:val="24"/>
          <w:szCs w:val="24"/>
        </w:rPr>
      </w:pPr>
    </w:p>
    <w:p w14:paraId="2A2C8A2F" w14:textId="0B679280" w:rsidR="00F06A53" w:rsidRPr="001424F6" w:rsidRDefault="001424F6" w:rsidP="001424F6">
      <w:pPr>
        <w:spacing w:after="0" w:line="360" w:lineRule="auto"/>
        <w:jc w:val="both"/>
        <w:rPr>
          <w:rFonts w:ascii="Arial" w:hAnsi="Arial" w:cs="Arial"/>
          <w:i/>
          <w:sz w:val="24"/>
          <w:szCs w:val="24"/>
        </w:rPr>
      </w:pPr>
      <w:r w:rsidRPr="00F06A53">
        <w:rPr>
          <w:rFonts w:ascii="Arial" w:hAnsi="Arial" w:cs="Arial"/>
          <w:sz w:val="24"/>
          <w:szCs w:val="24"/>
        </w:rPr>
        <w:t>[74]</w:t>
      </w:r>
      <w:r w:rsidRPr="00F06A53">
        <w:rPr>
          <w:rFonts w:ascii="Arial" w:hAnsi="Arial" w:cs="Arial"/>
          <w:sz w:val="24"/>
          <w:szCs w:val="24"/>
        </w:rPr>
        <w:tab/>
      </w:r>
      <w:r w:rsidR="00324140" w:rsidRPr="001424F6">
        <w:rPr>
          <w:rFonts w:ascii="Arial" w:hAnsi="Arial" w:cs="Arial"/>
          <w:sz w:val="24"/>
          <w:szCs w:val="24"/>
        </w:rPr>
        <w:t xml:space="preserve">During the second sale in execution there </w:t>
      </w:r>
      <w:r w:rsidR="00BB6A4F" w:rsidRPr="001424F6">
        <w:rPr>
          <w:rFonts w:ascii="Arial" w:hAnsi="Arial" w:cs="Arial"/>
          <w:sz w:val="24"/>
          <w:szCs w:val="24"/>
        </w:rPr>
        <w:t>w</w:t>
      </w:r>
      <w:r w:rsidR="00324140" w:rsidRPr="001424F6">
        <w:rPr>
          <w:rFonts w:ascii="Arial" w:hAnsi="Arial" w:cs="Arial"/>
          <w:sz w:val="24"/>
          <w:szCs w:val="24"/>
        </w:rPr>
        <w:t>as compliance with the conditions of sale and</w:t>
      </w:r>
      <w:r w:rsidR="001160A5" w:rsidRPr="001424F6">
        <w:rPr>
          <w:rFonts w:ascii="Arial" w:hAnsi="Arial" w:cs="Arial"/>
          <w:sz w:val="24"/>
          <w:szCs w:val="24"/>
        </w:rPr>
        <w:t xml:space="preserve"> </w:t>
      </w:r>
      <w:r w:rsidR="005B3639" w:rsidRPr="001424F6">
        <w:rPr>
          <w:rFonts w:ascii="Arial" w:hAnsi="Arial" w:cs="Arial"/>
          <w:sz w:val="24"/>
          <w:szCs w:val="24"/>
        </w:rPr>
        <w:t xml:space="preserve">full payment was </w:t>
      </w:r>
      <w:r w:rsidR="00324140" w:rsidRPr="001424F6">
        <w:rPr>
          <w:rFonts w:ascii="Arial" w:hAnsi="Arial" w:cs="Arial"/>
          <w:sz w:val="24"/>
          <w:szCs w:val="24"/>
        </w:rPr>
        <w:t>made</w:t>
      </w:r>
      <w:r w:rsidR="005B3639" w:rsidRPr="001424F6">
        <w:rPr>
          <w:rFonts w:ascii="Arial" w:hAnsi="Arial" w:cs="Arial"/>
          <w:sz w:val="24"/>
          <w:szCs w:val="24"/>
        </w:rPr>
        <w:t xml:space="preserve"> in respect of the purchase price and</w:t>
      </w:r>
      <w:r w:rsidR="00F06A53" w:rsidRPr="001424F6">
        <w:rPr>
          <w:rFonts w:ascii="Arial" w:hAnsi="Arial" w:cs="Arial"/>
          <w:sz w:val="24"/>
          <w:szCs w:val="24"/>
        </w:rPr>
        <w:t xml:space="preserve"> </w:t>
      </w:r>
      <w:r w:rsidR="005B3639" w:rsidRPr="001424F6">
        <w:rPr>
          <w:rFonts w:ascii="Arial" w:hAnsi="Arial" w:cs="Arial"/>
          <w:sz w:val="24"/>
          <w:szCs w:val="24"/>
        </w:rPr>
        <w:t xml:space="preserve">the property was </w:t>
      </w:r>
      <w:r w:rsidR="00F06A53" w:rsidRPr="001424F6">
        <w:rPr>
          <w:rFonts w:ascii="Arial" w:hAnsi="Arial" w:cs="Arial"/>
          <w:sz w:val="24"/>
          <w:szCs w:val="24"/>
        </w:rPr>
        <w:t xml:space="preserve">registered </w:t>
      </w:r>
      <w:r w:rsidR="005B3639" w:rsidRPr="001424F6">
        <w:rPr>
          <w:rFonts w:ascii="Arial" w:hAnsi="Arial" w:cs="Arial"/>
          <w:sz w:val="24"/>
          <w:szCs w:val="24"/>
        </w:rPr>
        <w:t>in the name of Mr Mouton.</w:t>
      </w:r>
    </w:p>
    <w:p w14:paraId="09BDFF6D" w14:textId="77777777" w:rsidR="00F06A53" w:rsidRPr="00F06A53" w:rsidRDefault="00F06A53" w:rsidP="00F06A53">
      <w:pPr>
        <w:pStyle w:val="ListParagraph"/>
        <w:rPr>
          <w:rFonts w:ascii="Arial" w:hAnsi="Arial" w:cs="Arial"/>
          <w:i/>
          <w:sz w:val="24"/>
          <w:szCs w:val="24"/>
        </w:rPr>
      </w:pPr>
    </w:p>
    <w:p w14:paraId="58FC9D9C" w14:textId="77777777" w:rsidR="002F0B1D" w:rsidRDefault="002F0B1D" w:rsidP="00F06A53">
      <w:pPr>
        <w:pStyle w:val="ListParagraph"/>
        <w:spacing w:after="0" w:line="360" w:lineRule="auto"/>
        <w:ind w:left="0"/>
        <w:jc w:val="both"/>
        <w:rPr>
          <w:rFonts w:ascii="Arial" w:hAnsi="Arial" w:cs="Arial"/>
          <w:i/>
          <w:sz w:val="24"/>
          <w:szCs w:val="24"/>
        </w:rPr>
      </w:pPr>
      <w:r w:rsidRPr="002F0B1D">
        <w:rPr>
          <w:rFonts w:ascii="Arial" w:hAnsi="Arial" w:cs="Arial"/>
          <w:i/>
          <w:sz w:val="24"/>
          <w:szCs w:val="24"/>
        </w:rPr>
        <w:t xml:space="preserve">Failure to comply with rule 110(3) </w:t>
      </w:r>
    </w:p>
    <w:p w14:paraId="6E375F88" w14:textId="77777777" w:rsidR="002F5180" w:rsidRPr="002F0B1D" w:rsidRDefault="002F5180" w:rsidP="002F0B1D">
      <w:pPr>
        <w:pStyle w:val="ListParagraph"/>
        <w:spacing w:after="0" w:line="360" w:lineRule="auto"/>
        <w:ind w:left="0"/>
        <w:rPr>
          <w:rFonts w:ascii="Arial" w:hAnsi="Arial" w:cs="Arial"/>
          <w:i/>
          <w:sz w:val="24"/>
          <w:szCs w:val="24"/>
        </w:rPr>
      </w:pPr>
    </w:p>
    <w:p w14:paraId="5D58D9E4" w14:textId="5EF6CEE0" w:rsidR="002F0B1D" w:rsidRPr="001424F6" w:rsidRDefault="001424F6" w:rsidP="001424F6">
      <w:pPr>
        <w:spacing w:after="0" w:line="360" w:lineRule="auto"/>
        <w:rPr>
          <w:rFonts w:ascii="Arial" w:hAnsi="Arial" w:cs="Arial"/>
          <w:sz w:val="24"/>
          <w:szCs w:val="24"/>
        </w:rPr>
      </w:pPr>
      <w:r>
        <w:rPr>
          <w:rFonts w:ascii="Arial" w:hAnsi="Arial" w:cs="Arial"/>
          <w:sz w:val="24"/>
          <w:szCs w:val="24"/>
        </w:rPr>
        <w:t>[75]</w:t>
      </w:r>
      <w:r>
        <w:rPr>
          <w:rFonts w:ascii="Arial" w:hAnsi="Arial" w:cs="Arial"/>
          <w:sz w:val="24"/>
          <w:szCs w:val="24"/>
        </w:rPr>
        <w:tab/>
      </w:r>
      <w:r w:rsidR="00FD6C90" w:rsidRPr="001424F6">
        <w:rPr>
          <w:rFonts w:ascii="Arial" w:hAnsi="Arial" w:cs="Arial"/>
          <w:sz w:val="24"/>
          <w:szCs w:val="24"/>
        </w:rPr>
        <w:t>Rule 110(3) provides as follows:</w:t>
      </w:r>
    </w:p>
    <w:p w14:paraId="34ABF8D7" w14:textId="77777777" w:rsidR="00FD6C90" w:rsidRDefault="00FD6C90" w:rsidP="00FD6C90">
      <w:pPr>
        <w:spacing w:after="0" w:line="360" w:lineRule="auto"/>
      </w:pPr>
    </w:p>
    <w:p w14:paraId="447610FE" w14:textId="77777777" w:rsidR="00FD6C90" w:rsidRDefault="00FD6C90" w:rsidP="00ED4420">
      <w:pPr>
        <w:pStyle w:val="BodyTextIndent2"/>
        <w:ind w:firstLine="720"/>
        <w:jc w:val="both"/>
      </w:pPr>
      <w:r w:rsidRPr="00501063">
        <w:t>‘</w:t>
      </w:r>
      <w:r w:rsidR="00A015B2" w:rsidRPr="00501063">
        <w:t>110</w:t>
      </w:r>
      <w:r w:rsidR="00BB6A4F">
        <w:t xml:space="preserve">(3) </w:t>
      </w:r>
      <w:r w:rsidRPr="00FD6C90">
        <w:t>The deputy-sheriff must indicate two suitable newspapers circulating in the district in which the property is situated and require the execution creditor to –</w:t>
      </w:r>
    </w:p>
    <w:p w14:paraId="0076C5A8" w14:textId="77777777" w:rsidR="00FD6C90" w:rsidRDefault="00FD6C90" w:rsidP="000C51CD">
      <w:pPr>
        <w:spacing w:after="0" w:line="360" w:lineRule="auto"/>
        <w:jc w:val="both"/>
        <w:rPr>
          <w:rFonts w:ascii="Arial" w:hAnsi="Arial" w:cs="Arial"/>
        </w:rPr>
      </w:pPr>
      <w:r w:rsidRPr="00FD6C90">
        <w:rPr>
          <w:rFonts w:ascii="Arial" w:hAnsi="Arial" w:cs="Arial"/>
        </w:rPr>
        <w:t>(a)</w:t>
      </w:r>
      <w:r w:rsidR="00BB6A4F">
        <w:rPr>
          <w:rFonts w:ascii="Arial" w:hAnsi="Arial" w:cs="Arial"/>
        </w:rPr>
        <w:tab/>
      </w:r>
      <w:r w:rsidRPr="00FD6C90">
        <w:rPr>
          <w:rFonts w:ascii="Arial" w:hAnsi="Arial" w:cs="Arial"/>
        </w:rPr>
        <w:t>publish the notice referred to in subrule (2)(</w:t>
      </w:r>
      <w:r w:rsidRPr="00BB6A4F">
        <w:rPr>
          <w:rFonts w:ascii="Arial" w:hAnsi="Arial" w:cs="Arial"/>
          <w:i/>
        </w:rPr>
        <w:t>a</w:t>
      </w:r>
      <w:r w:rsidRPr="00FD6C90">
        <w:rPr>
          <w:rFonts w:ascii="Arial" w:hAnsi="Arial" w:cs="Arial"/>
        </w:rPr>
        <w:t>) once in each of those newspapers not less than five days and not more than 10 days before the date appointed for the sale and in the Gazette not more than 14 days before the date appointed for the sale; and</w:t>
      </w:r>
    </w:p>
    <w:p w14:paraId="6789684A" w14:textId="77777777" w:rsidR="00FD6C90" w:rsidRDefault="00FD6C90" w:rsidP="000C51CD">
      <w:pPr>
        <w:pStyle w:val="BodyText"/>
        <w:spacing w:after="0"/>
      </w:pPr>
      <w:r w:rsidRPr="00FD6C90">
        <w:t>(b)</w:t>
      </w:r>
      <w:r w:rsidR="00BB6A4F">
        <w:tab/>
      </w:r>
      <w:r w:rsidRPr="00FD6C90">
        <w:t>furnish the deputy-sheriff, not later than the day before the date of the sale, with one copy of each of those newspapers and with the number of the Gazette in which the notice is published, but a new notice must be published in respect of each subsequent sale re-scheduled after the initial publication.</w:t>
      </w:r>
      <w:r w:rsidR="000C51CD">
        <w:t>’</w:t>
      </w:r>
    </w:p>
    <w:p w14:paraId="1D72C9CF" w14:textId="77777777" w:rsidR="00FD6C90" w:rsidRPr="00FD6C90" w:rsidRDefault="00FD6C90" w:rsidP="00FD6C90">
      <w:pPr>
        <w:spacing w:after="0" w:line="360" w:lineRule="auto"/>
        <w:rPr>
          <w:rFonts w:ascii="Arial" w:hAnsi="Arial" w:cs="Arial"/>
        </w:rPr>
      </w:pPr>
    </w:p>
    <w:p w14:paraId="57B4D0DB" w14:textId="1C23C5E9" w:rsidR="00FD6C90" w:rsidRPr="001424F6" w:rsidRDefault="001424F6" w:rsidP="001424F6">
      <w:pPr>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FD6C90" w:rsidRPr="001424F6">
        <w:rPr>
          <w:rFonts w:ascii="Arial" w:hAnsi="Arial" w:cs="Arial"/>
          <w:sz w:val="24"/>
          <w:szCs w:val="24"/>
        </w:rPr>
        <w:t xml:space="preserve"> It is common cause that the two auctions were not published in the local newspaper</w:t>
      </w:r>
      <w:r w:rsidR="006E0CEF" w:rsidRPr="001424F6">
        <w:rPr>
          <w:rFonts w:ascii="Arial" w:hAnsi="Arial" w:cs="Arial"/>
          <w:sz w:val="24"/>
          <w:szCs w:val="24"/>
        </w:rPr>
        <w:t>s</w:t>
      </w:r>
      <w:r w:rsidR="00FD6C90" w:rsidRPr="001424F6">
        <w:rPr>
          <w:rFonts w:ascii="Arial" w:hAnsi="Arial" w:cs="Arial"/>
          <w:sz w:val="24"/>
          <w:szCs w:val="24"/>
        </w:rPr>
        <w:t xml:space="preserve"> circulating in the district in which the property is located</w:t>
      </w:r>
      <w:r w:rsidR="006E0CEF" w:rsidRPr="001424F6">
        <w:rPr>
          <w:rFonts w:ascii="Arial" w:hAnsi="Arial" w:cs="Arial"/>
          <w:sz w:val="24"/>
          <w:szCs w:val="24"/>
        </w:rPr>
        <w:t xml:space="preserve"> as the applicants insisted it should have been done</w:t>
      </w:r>
      <w:r w:rsidR="00FD6C90" w:rsidRPr="001424F6">
        <w:rPr>
          <w:rFonts w:ascii="Arial" w:hAnsi="Arial" w:cs="Arial"/>
          <w:sz w:val="24"/>
          <w:szCs w:val="24"/>
        </w:rPr>
        <w:t>. The publications were however done in two national newspapers, i.e. the Namibian and the Republikein</w:t>
      </w:r>
      <w:r w:rsidR="002F5180" w:rsidRPr="001424F6">
        <w:rPr>
          <w:rFonts w:ascii="Arial" w:hAnsi="Arial" w:cs="Arial"/>
          <w:sz w:val="24"/>
          <w:szCs w:val="24"/>
        </w:rPr>
        <w:t>, which are circulated in the Erongo region where the property is situated. The sale in execution was also published in the Government Gazette as required by rule 110(3)(</w:t>
      </w:r>
      <w:r w:rsidR="002F5180" w:rsidRPr="001424F6">
        <w:rPr>
          <w:rFonts w:ascii="Arial" w:hAnsi="Arial" w:cs="Arial"/>
          <w:i/>
          <w:sz w:val="24"/>
          <w:szCs w:val="24"/>
        </w:rPr>
        <w:t>b</w:t>
      </w:r>
      <w:r w:rsidR="002F5180" w:rsidRPr="001424F6">
        <w:rPr>
          <w:rFonts w:ascii="Arial" w:hAnsi="Arial" w:cs="Arial"/>
          <w:sz w:val="24"/>
          <w:szCs w:val="24"/>
        </w:rPr>
        <w:t>).</w:t>
      </w:r>
    </w:p>
    <w:p w14:paraId="4EBD4669" w14:textId="77777777" w:rsidR="006E0CEF" w:rsidRDefault="006E0CEF" w:rsidP="006E0CEF">
      <w:pPr>
        <w:pStyle w:val="ListParagraph"/>
        <w:spacing w:after="0" w:line="360" w:lineRule="auto"/>
        <w:ind w:left="0"/>
        <w:jc w:val="both"/>
        <w:rPr>
          <w:rFonts w:ascii="Arial" w:hAnsi="Arial" w:cs="Arial"/>
          <w:sz w:val="24"/>
          <w:szCs w:val="24"/>
        </w:rPr>
      </w:pPr>
    </w:p>
    <w:p w14:paraId="4E4316B7" w14:textId="4811956C" w:rsidR="002F5180" w:rsidRPr="001424F6" w:rsidRDefault="001424F6" w:rsidP="001424F6">
      <w:pPr>
        <w:spacing w:after="0" w:line="36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6E0CEF" w:rsidRPr="001424F6">
        <w:rPr>
          <w:rFonts w:ascii="Arial" w:hAnsi="Arial" w:cs="Arial"/>
          <w:sz w:val="24"/>
          <w:szCs w:val="24"/>
        </w:rPr>
        <w:t>As opposed to the argument advanced by the applicants</w:t>
      </w:r>
      <w:r w:rsidR="00CB7831" w:rsidRPr="001424F6">
        <w:rPr>
          <w:rFonts w:ascii="Arial" w:hAnsi="Arial" w:cs="Arial"/>
          <w:sz w:val="24"/>
          <w:szCs w:val="24"/>
        </w:rPr>
        <w:t>,</w:t>
      </w:r>
      <w:r w:rsidR="006E0CEF" w:rsidRPr="001424F6">
        <w:rPr>
          <w:rFonts w:ascii="Arial" w:hAnsi="Arial" w:cs="Arial"/>
          <w:sz w:val="24"/>
          <w:szCs w:val="24"/>
        </w:rPr>
        <w:t xml:space="preserve"> the rule does not provide that the publications must be done in </w:t>
      </w:r>
      <w:r w:rsidR="006E0CEF" w:rsidRPr="001424F6">
        <w:rPr>
          <w:rFonts w:ascii="Arial" w:hAnsi="Arial" w:cs="Arial"/>
          <w:sz w:val="24"/>
          <w:szCs w:val="24"/>
          <w:u w:val="single"/>
        </w:rPr>
        <w:t>local</w:t>
      </w:r>
      <w:r w:rsidR="006E0CEF" w:rsidRPr="001424F6">
        <w:rPr>
          <w:rFonts w:ascii="Arial" w:hAnsi="Arial" w:cs="Arial"/>
          <w:sz w:val="24"/>
          <w:szCs w:val="24"/>
        </w:rPr>
        <w:t xml:space="preserve"> newspapers but instead provides for the publication in two </w:t>
      </w:r>
      <w:r w:rsidR="006E0CEF" w:rsidRPr="001424F6">
        <w:rPr>
          <w:rFonts w:ascii="Arial" w:hAnsi="Arial" w:cs="Arial"/>
          <w:sz w:val="24"/>
          <w:szCs w:val="24"/>
          <w:u w:val="single"/>
        </w:rPr>
        <w:t>suitable</w:t>
      </w:r>
      <w:r w:rsidR="006E0CEF" w:rsidRPr="001424F6">
        <w:rPr>
          <w:rFonts w:ascii="Arial" w:hAnsi="Arial" w:cs="Arial"/>
          <w:sz w:val="24"/>
          <w:szCs w:val="24"/>
        </w:rPr>
        <w:t xml:space="preserve"> newspapers circulating in the district in which the property is situated</w:t>
      </w:r>
      <w:r w:rsidR="00C466A2" w:rsidRPr="001424F6">
        <w:rPr>
          <w:rFonts w:ascii="Arial" w:hAnsi="Arial" w:cs="Arial"/>
          <w:sz w:val="24"/>
          <w:szCs w:val="24"/>
        </w:rPr>
        <w:t>.</w:t>
      </w:r>
    </w:p>
    <w:p w14:paraId="7ECB4BE2" w14:textId="77777777" w:rsidR="00C466A2" w:rsidRPr="00C466A2" w:rsidRDefault="00C466A2" w:rsidP="00C466A2">
      <w:pPr>
        <w:pStyle w:val="ListParagraph"/>
        <w:rPr>
          <w:rFonts w:ascii="Arial" w:hAnsi="Arial" w:cs="Arial"/>
          <w:sz w:val="24"/>
          <w:szCs w:val="24"/>
        </w:rPr>
      </w:pPr>
    </w:p>
    <w:p w14:paraId="582B2266" w14:textId="73F6DDC5" w:rsidR="00C466A2" w:rsidRPr="001424F6" w:rsidRDefault="001424F6" w:rsidP="001424F6">
      <w:pPr>
        <w:spacing w:after="0" w:line="36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C466A2" w:rsidRPr="001424F6">
        <w:rPr>
          <w:rFonts w:ascii="Arial" w:hAnsi="Arial" w:cs="Arial"/>
          <w:sz w:val="24"/>
          <w:szCs w:val="24"/>
        </w:rPr>
        <w:t xml:space="preserve">It would appear that the basis for the applicants’ complaint is that they are prejudiced because local residents might not have seen the publications, which would have resulted in them not attending the auction. It was argued by Mr Tjombe that if more people attended the auction then more people would bid resulting in a higher purchase price. </w:t>
      </w:r>
    </w:p>
    <w:p w14:paraId="09D3824B" w14:textId="77777777" w:rsidR="00C466A2" w:rsidRPr="00C466A2" w:rsidRDefault="00C466A2" w:rsidP="00C466A2">
      <w:pPr>
        <w:pStyle w:val="ListParagraph"/>
        <w:rPr>
          <w:rFonts w:ascii="Arial" w:hAnsi="Arial" w:cs="Arial"/>
          <w:sz w:val="24"/>
          <w:szCs w:val="24"/>
        </w:rPr>
      </w:pPr>
    </w:p>
    <w:p w14:paraId="123A258E" w14:textId="0861E335" w:rsidR="00C466A2" w:rsidRPr="001424F6" w:rsidRDefault="001424F6" w:rsidP="001424F6">
      <w:pPr>
        <w:spacing w:after="0" w:line="36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C466A2" w:rsidRPr="001424F6">
        <w:rPr>
          <w:rFonts w:ascii="Arial" w:hAnsi="Arial" w:cs="Arial"/>
          <w:sz w:val="24"/>
          <w:szCs w:val="24"/>
        </w:rPr>
        <w:t xml:space="preserve">These submissions advanced by Mr Tjombe </w:t>
      </w:r>
      <w:r w:rsidR="00D949A9" w:rsidRPr="001424F6">
        <w:rPr>
          <w:rFonts w:ascii="Arial" w:hAnsi="Arial" w:cs="Arial"/>
          <w:sz w:val="24"/>
          <w:szCs w:val="24"/>
        </w:rPr>
        <w:t>are</w:t>
      </w:r>
      <w:r w:rsidR="00C466A2" w:rsidRPr="001424F6">
        <w:rPr>
          <w:rFonts w:ascii="Arial" w:hAnsi="Arial" w:cs="Arial"/>
          <w:sz w:val="24"/>
          <w:szCs w:val="24"/>
        </w:rPr>
        <w:t xml:space="preserve"> mere speculation. The national newspapers wherein the publications were done are suitable newspapers with a much broader base of readers than what a local newspaper at the coast would have. </w:t>
      </w:r>
    </w:p>
    <w:p w14:paraId="5BBF75CD" w14:textId="77777777" w:rsidR="00992E6D" w:rsidRPr="00992E6D" w:rsidRDefault="00992E6D" w:rsidP="00992E6D">
      <w:pPr>
        <w:pStyle w:val="ListParagraph"/>
        <w:rPr>
          <w:rFonts w:ascii="Arial" w:hAnsi="Arial" w:cs="Arial"/>
          <w:sz w:val="24"/>
          <w:szCs w:val="24"/>
        </w:rPr>
      </w:pPr>
    </w:p>
    <w:p w14:paraId="5B1722AC" w14:textId="0A03437A" w:rsidR="00992E6D" w:rsidRPr="001424F6" w:rsidRDefault="001424F6" w:rsidP="001424F6">
      <w:pPr>
        <w:spacing w:after="0" w:line="360" w:lineRule="auto"/>
        <w:jc w:val="both"/>
        <w:rPr>
          <w:rFonts w:ascii="Arial" w:hAnsi="Arial" w:cs="Arial"/>
          <w:sz w:val="24"/>
          <w:szCs w:val="24"/>
        </w:rPr>
      </w:pPr>
      <w:r w:rsidRPr="00617E1F">
        <w:rPr>
          <w:rFonts w:ascii="Arial" w:hAnsi="Arial" w:cs="Arial"/>
          <w:sz w:val="24"/>
          <w:szCs w:val="24"/>
        </w:rPr>
        <w:t>[80]</w:t>
      </w:r>
      <w:r w:rsidRPr="00617E1F">
        <w:rPr>
          <w:rFonts w:ascii="Arial" w:hAnsi="Arial" w:cs="Arial"/>
          <w:sz w:val="24"/>
          <w:szCs w:val="24"/>
        </w:rPr>
        <w:tab/>
      </w:r>
      <w:r w:rsidR="00992E6D" w:rsidRPr="001424F6">
        <w:rPr>
          <w:rFonts w:ascii="Arial" w:hAnsi="Arial" w:cs="Arial"/>
          <w:sz w:val="24"/>
          <w:szCs w:val="24"/>
        </w:rPr>
        <w:t xml:space="preserve">The complaint raised that the deputy-sheriff had a WhatsApp group in respect of the properties on auction and that the people on the group </w:t>
      </w:r>
      <w:r w:rsidR="00BB6A4F" w:rsidRPr="001424F6">
        <w:rPr>
          <w:rFonts w:ascii="Arial" w:hAnsi="Arial" w:cs="Arial"/>
          <w:sz w:val="24"/>
          <w:szCs w:val="24"/>
        </w:rPr>
        <w:t>are</w:t>
      </w:r>
      <w:r w:rsidR="00992E6D" w:rsidRPr="001424F6">
        <w:rPr>
          <w:rFonts w:ascii="Arial" w:hAnsi="Arial" w:cs="Arial"/>
          <w:sz w:val="24"/>
          <w:szCs w:val="24"/>
        </w:rPr>
        <w:t xml:space="preserve"> his friends is without merit. </w:t>
      </w:r>
      <w:r w:rsidR="00BB6A4F" w:rsidRPr="001424F6">
        <w:rPr>
          <w:rFonts w:ascii="Arial" w:hAnsi="Arial" w:cs="Arial"/>
          <w:sz w:val="24"/>
          <w:szCs w:val="24"/>
        </w:rPr>
        <w:t xml:space="preserve">Having a </w:t>
      </w:r>
      <w:r w:rsidR="00992E6D" w:rsidRPr="001424F6">
        <w:rPr>
          <w:rFonts w:ascii="Arial" w:hAnsi="Arial" w:cs="Arial"/>
          <w:sz w:val="24"/>
          <w:szCs w:val="24"/>
        </w:rPr>
        <w:t xml:space="preserve">forum on an electronic platform advising potential bidders is </w:t>
      </w:r>
      <w:r w:rsidR="00366795" w:rsidRPr="001424F6">
        <w:rPr>
          <w:rFonts w:ascii="Arial" w:hAnsi="Arial" w:cs="Arial"/>
          <w:sz w:val="24"/>
          <w:szCs w:val="24"/>
        </w:rPr>
        <w:t xml:space="preserve">aimed at </w:t>
      </w:r>
      <w:r w:rsidR="00992E6D" w:rsidRPr="001424F6">
        <w:rPr>
          <w:rFonts w:ascii="Arial" w:hAnsi="Arial" w:cs="Arial"/>
          <w:sz w:val="24"/>
          <w:szCs w:val="24"/>
        </w:rPr>
        <w:t>broaden</w:t>
      </w:r>
      <w:r w:rsidR="00366795" w:rsidRPr="001424F6">
        <w:rPr>
          <w:rFonts w:ascii="Arial" w:hAnsi="Arial" w:cs="Arial"/>
          <w:sz w:val="24"/>
          <w:szCs w:val="24"/>
        </w:rPr>
        <w:t>ing</w:t>
      </w:r>
      <w:r w:rsidR="00992E6D" w:rsidRPr="001424F6">
        <w:rPr>
          <w:rFonts w:ascii="Arial" w:hAnsi="Arial" w:cs="Arial"/>
          <w:sz w:val="24"/>
          <w:szCs w:val="24"/>
        </w:rPr>
        <w:t xml:space="preserve"> the basis of potential buyers. </w:t>
      </w:r>
    </w:p>
    <w:p w14:paraId="2199FB3A" w14:textId="77777777" w:rsidR="00992E6D" w:rsidRPr="00992E6D" w:rsidRDefault="00992E6D" w:rsidP="00992E6D">
      <w:pPr>
        <w:pStyle w:val="ListParagraph"/>
        <w:rPr>
          <w:rFonts w:ascii="Arial" w:hAnsi="Arial" w:cs="Arial"/>
          <w:sz w:val="24"/>
          <w:szCs w:val="24"/>
        </w:rPr>
      </w:pPr>
    </w:p>
    <w:p w14:paraId="2B479246" w14:textId="52CC90B8" w:rsidR="00992E6D" w:rsidRPr="001424F6" w:rsidRDefault="001424F6" w:rsidP="001424F6">
      <w:pPr>
        <w:spacing w:after="0"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992E6D" w:rsidRPr="001424F6">
        <w:rPr>
          <w:rFonts w:ascii="Arial" w:hAnsi="Arial" w:cs="Arial"/>
          <w:sz w:val="24"/>
          <w:szCs w:val="24"/>
        </w:rPr>
        <w:t>O</w:t>
      </w:r>
      <w:r w:rsidR="00CC437F" w:rsidRPr="001424F6">
        <w:rPr>
          <w:rFonts w:ascii="Arial" w:hAnsi="Arial" w:cs="Arial"/>
          <w:sz w:val="24"/>
          <w:szCs w:val="24"/>
        </w:rPr>
        <w:t>ne should not l</w:t>
      </w:r>
      <w:r w:rsidR="00992E6D" w:rsidRPr="001424F6">
        <w:rPr>
          <w:rFonts w:ascii="Arial" w:hAnsi="Arial" w:cs="Arial"/>
          <w:sz w:val="24"/>
          <w:szCs w:val="24"/>
        </w:rPr>
        <w:t xml:space="preserve">ose sight of the fact that there were substantive compliance with the rules regarding publication and the WhatsApp group was over and above the publications. </w:t>
      </w:r>
      <w:r w:rsidR="00CC437F" w:rsidRPr="001424F6">
        <w:rPr>
          <w:rFonts w:ascii="Arial" w:hAnsi="Arial" w:cs="Arial"/>
          <w:sz w:val="24"/>
          <w:szCs w:val="24"/>
        </w:rPr>
        <w:t xml:space="preserve">The validity of the sale in execution was not reliant on </w:t>
      </w:r>
      <w:r w:rsidR="00366795" w:rsidRPr="001424F6">
        <w:rPr>
          <w:rFonts w:ascii="Arial" w:hAnsi="Arial" w:cs="Arial"/>
          <w:color w:val="000000" w:themeColor="text1"/>
          <w:sz w:val="24"/>
          <w:szCs w:val="24"/>
        </w:rPr>
        <w:t xml:space="preserve">the </w:t>
      </w:r>
      <w:r w:rsidR="00CC437F" w:rsidRPr="001424F6">
        <w:rPr>
          <w:rFonts w:ascii="Arial" w:hAnsi="Arial" w:cs="Arial"/>
          <w:sz w:val="24"/>
          <w:szCs w:val="24"/>
        </w:rPr>
        <w:t>publication on an electronic platform and therefore, the</w:t>
      </w:r>
      <w:r w:rsidR="00992E6D" w:rsidRPr="001424F6">
        <w:rPr>
          <w:rFonts w:ascii="Arial" w:hAnsi="Arial" w:cs="Arial"/>
          <w:sz w:val="24"/>
          <w:szCs w:val="24"/>
        </w:rPr>
        <w:t xml:space="preserve"> </w:t>
      </w:r>
      <w:r w:rsidR="00CC437F" w:rsidRPr="001424F6">
        <w:rPr>
          <w:rFonts w:ascii="Arial" w:hAnsi="Arial" w:cs="Arial"/>
          <w:sz w:val="24"/>
          <w:szCs w:val="24"/>
        </w:rPr>
        <w:t>complaint</w:t>
      </w:r>
      <w:r w:rsidR="00992E6D" w:rsidRPr="001424F6">
        <w:rPr>
          <w:rFonts w:ascii="Arial" w:hAnsi="Arial" w:cs="Arial"/>
          <w:sz w:val="24"/>
          <w:szCs w:val="24"/>
        </w:rPr>
        <w:t xml:space="preserve"> directed at the </w:t>
      </w:r>
      <w:r w:rsidR="00CC437F" w:rsidRPr="001424F6">
        <w:rPr>
          <w:rFonts w:ascii="Arial" w:hAnsi="Arial" w:cs="Arial"/>
          <w:sz w:val="24"/>
          <w:szCs w:val="24"/>
        </w:rPr>
        <w:t xml:space="preserve">conduct of the </w:t>
      </w:r>
      <w:r w:rsidR="00992E6D" w:rsidRPr="001424F6">
        <w:rPr>
          <w:rFonts w:ascii="Arial" w:hAnsi="Arial" w:cs="Arial"/>
          <w:sz w:val="24"/>
          <w:szCs w:val="24"/>
        </w:rPr>
        <w:t xml:space="preserve">deputy-sheriff </w:t>
      </w:r>
      <w:r w:rsidR="00CC437F" w:rsidRPr="001424F6">
        <w:rPr>
          <w:rFonts w:ascii="Arial" w:hAnsi="Arial" w:cs="Arial"/>
          <w:sz w:val="24"/>
          <w:szCs w:val="24"/>
        </w:rPr>
        <w:t>in this regard is without merit.</w:t>
      </w:r>
    </w:p>
    <w:p w14:paraId="73C355BA" w14:textId="77777777" w:rsidR="0022659D" w:rsidRPr="0022659D" w:rsidRDefault="0022659D" w:rsidP="0022659D">
      <w:pPr>
        <w:pStyle w:val="ListParagraph"/>
        <w:rPr>
          <w:rFonts w:ascii="Arial" w:hAnsi="Arial" w:cs="Arial"/>
          <w:sz w:val="24"/>
          <w:szCs w:val="24"/>
        </w:rPr>
      </w:pPr>
    </w:p>
    <w:p w14:paraId="27BCB9A8" w14:textId="77777777" w:rsidR="002F0B1D" w:rsidRDefault="002F0B1D" w:rsidP="002F0B1D">
      <w:pPr>
        <w:pStyle w:val="ListParagraph"/>
        <w:spacing w:after="0" w:line="360" w:lineRule="auto"/>
        <w:ind w:left="0"/>
        <w:rPr>
          <w:rFonts w:ascii="Arial" w:hAnsi="Arial" w:cs="Arial"/>
          <w:i/>
          <w:sz w:val="24"/>
          <w:szCs w:val="24"/>
        </w:rPr>
      </w:pPr>
      <w:r w:rsidRPr="002F0B1D">
        <w:rPr>
          <w:rFonts w:ascii="Arial" w:hAnsi="Arial" w:cs="Arial"/>
          <w:i/>
          <w:sz w:val="24"/>
          <w:szCs w:val="24"/>
        </w:rPr>
        <w:t xml:space="preserve">Irregularities in the actions taken by the deputy-sheriff in respect of the sale in execution </w:t>
      </w:r>
    </w:p>
    <w:p w14:paraId="0E2B29E4" w14:textId="77777777" w:rsidR="00F06A53" w:rsidRPr="002F0B1D" w:rsidRDefault="00F06A53" w:rsidP="002F0B1D">
      <w:pPr>
        <w:pStyle w:val="ListParagraph"/>
        <w:spacing w:after="0" w:line="360" w:lineRule="auto"/>
        <w:ind w:left="0"/>
        <w:rPr>
          <w:rFonts w:ascii="Arial" w:hAnsi="Arial" w:cs="Arial"/>
          <w:i/>
          <w:sz w:val="24"/>
          <w:szCs w:val="24"/>
        </w:rPr>
      </w:pPr>
    </w:p>
    <w:p w14:paraId="28F2CAB9" w14:textId="77777777" w:rsidR="000B75B9" w:rsidRPr="00340749" w:rsidRDefault="001A0941" w:rsidP="001A0941">
      <w:pPr>
        <w:pStyle w:val="ListParagraph"/>
        <w:spacing w:after="0" w:line="360" w:lineRule="auto"/>
        <w:ind w:left="0"/>
        <w:jc w:val="both"/>
        <w:rPr>
          <w:rFonts w:ascii="Arial" w:hAnsi="Arial" w:cs="Arial"/>
          <w:strike/>
          <w:sz w:val="24"/>
          <w:szCs w:val="24"/>
        </w:rPr>
      </w:pPr>
      <w:r>
        <w:rPr>
          <w:rFonts w:ascii="Arial" w:hAnsi="Arial" w:cs="Arial"/>
          <w:sz w:val="24"/>
          <w:szCs w:val="24"/>
        </w:rPr>
        <w:t>[</w:t>
      </w:r>
      <w:r w:rsidR="00231BC6">
        <w:rPr>
          <w:rFonts w:ascii="Arial" w:hAnsi="Arial" w:cs="Arial"/>
          <w:sz w:val="24"/>
          <w:szCs w:val="24"/>
        </w:rPr>
        <w:t>82</w:t>
      </w:r>
      <w:r>
        <w:rPr>
          <w:rFonts w:ascii="Arial" w:hAnsi="Arial" w:cs="Arial"/>
          <w:sz w:val="24"/>
          <w:szCs w:val="24"/>
        </w:rPr>
        <w:t>]</w:t>
      </w:r>
      <w:r>
        <w:rPr>
          <w:rFonts w:ascii="Arial" w:hAnsi="Arial" w:cs="Arial"/>
          <w:sz w:val="24"/>
          <w:szCs w:val="24"/>
        </w:rPr>
        <w:tab/>
      </w:r>
      <w:r w:rsidR="00F06A53">
        <w:rPr>
          <w:rFonts w:ascii="Arial" w:hAnsi="Arial" w:cs="Arial"/>
          <w:sz w:val="24"/>
          <w:szCs w:val="24"/>
        </w:rPr>
        <w:t xml:space="preserve">Various alleged irregularities were listed by the applicants </w:t>
      </w:r>
      <w:r>
        <w:rPr>
          <w:rFonts w:ascii="Arial" w:hAnsi="Arial" w:cs="Arial"/>
          <w:sz w:val="24"/>
          <w:szCs w:val="24"/>
        </w:rPr>
        <w:t xml:space="preserve">as stated in full in paragraph [21] above.  </w:t>
      </w:r>
      <w:r w:rsidR="001C221A">
        <w:rPr>
          <w:rFonts w:ascii="Arial" w:hAnsi="Arial" w:cs="Arial"/>
          <w:sz w:val="24"/>
          <w:szCs w:val="24"/>
        </w:rPr>
        <w:t>None of these complaints results in invalidity.</w:t>
      </w:r>
    </w:p>
    <w:p w14:paraId="0557EC35" w14:textId="77777777" w:rsidR="00F06A53" w:rsidRDefault="00F06A53" w:rsidP="00F06A53">
      <w:pPr>
        <w:pStyle w:val="ListParagraph"/>
        <w:spacing w:after="0" w:line="360" w:lineRule="auto"/>
        <w:ind w:left="0"/>
        <w:jc w:val="both"/>
        <w:rPr>
          <w:rFonts w:ascii="Arial" w:hAnsi="Arial" w:cs="Arial"/>
          <w:sz w:val="24"/>
          <w:szCs w:val="24"/>
        </w:rPr>
      </w:pPr>
    </w:p>
    <w:p w14:paraId="190D6E4B" w14:textId="23DAD044" w:rsidR="00F06A53" w:rsidRPr="001424F6" w:rsidRDefault="001424F6" w:rsidP="001424F6">
      <w:pPr>
        <w:spacing w:after="0" w:line="36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F06A53" w:rsidRPr="001424F6">
        <w:rPr>
          <w:rFonts w:ascii="Arial" w:hAnsi="Arial" w:cs="Arial"/>
          <w:sz w:val="24"/>
          <w:szCs w:val="24"/>
        </w:rPr>
        <w:t xml:space="preserve">I do not intend to discuss any of the purported irregularities </w:t>
      </w:r>
      <w:r w:rsidR="00C74948" w:rsidRPr="001424F6">
        <w:rPr>
          <w:rFonts w:ascii="Arial" w:hAnsi="Arial" w:cs="Arial"/>
          <w:sz w:val="24"/>
          <w:szCs w:val="24"/>
        </w:rPr>
        <w:t>because</w:t>
      </w:r>
      <w:r w:rsidR="00F06A53" w:rsidRPr="001424F6">
        <w:rPr>
          <w:rFonts w:ascii="Arial" w:hAnsi="Arial" w:cs="Arial"/>
          <w:sz w:val="24"/>
          <w:szCs w:val="24"/>
        </w:rPr>
        <w:t xml:space="preserve"> in my view it does not take the matter any further. </w:t>
      </w:r>
    </w:p>
    <w:p w14:paraId="334D0033" w14:textId="77777777" w:rsidR="00B742E3" w:rsidRDefault="00B742E3" w:rsidP="00B742E3">
      <w:pPr>
        <w:pStyle w:val="ListParagraph"/>
        <w:spacing w:after="0" w:line="360" w:lineRule="auto"/>
        <w:ind w:left="0"/>
        <w:jc w:val="both"/>
        <w:rPr>
          <w:rFonts w:ascii="Arial" w:hAnsi="Arial" w:cs="Arial"/>
          <w:sz w:val="24"/>
          <w:szCs w:val="24"/>
        </w:rPr>
      </w:pPr>
    </w:p>
    <w:p w14:paraId="2C0D6CE9" w14:textId="3F5438EB" w:rsidR="00B742E3" w:rsidRPr="001424F6" w:rsidRDefault="001424F6" w:rsidP="001424F6">
      <w:pPr>
        <w:spacing w:after="0" w:line="360" w:lineRule="auto"/>
        <w:jc w:val="both"/>
        <w:rPr>
          <w:rFonts w:ascii="Arial" w:hAnsi="Arial" w:cs="Arial"/>
          <w:sz w:val="24"/>
          <w:szCs w:val="24"/>
        </w:rPr>
      </w:pPr>
      <w:r w:rsidRPr="00710E54">
        <w:rPr>
          <w:rFonts w:ascii="Arial" w:hAnsi="Arial" w:cs="Arial"/>
          <w:sz w:val="24"/>
          <w:szCs w:val="24"/>
        </w:rPr>
        <w:t>[84]</w:t>
      </w:r>
      <w:r w:rsidRPr="00710E54">
        <w:rPr>
          <w:rFonts w:ascii="Arial" w:hAnsi="Arial" w:cs="Arial"/>
          <w:sz w:val="24"/>
          <w:szCs w:val="24"/>
        </w:rPr>
        <w:tab/>
      </w:r>
      <w:r w:rsidR="00B742E3" w:rsidRPr="001424F6">
        <w:rPr>
          <w:rFonts w:ascii="Arial" w:hAnsi="Arial" w:cs="Arial"/>
          <w:sz w:val="24"/>
          <w:szCs w:val="24"/>
        </w:rPr>
        <w:t>I do however wish to remark that complaints against the behaviour of the deputy-sheriff</w:t>
      </w:r>
      <w:r w:rsidR="00340749" w:rsidRPr="001424F6">
        <w:rPr>
          <w:rFonts w:ascii="Arial" w:hAnsi="Arial" w:cs="Arial"/>
          <w:sz w:val="24"/>
          <w:szCs w:val="24"/>
        </w:rPr>
        <w:t xml:space="preserve"> are</w:t>
      </w:r>
      <w:r w:rsidR="006F4E42" w:rsidRPr="001424F6">
        <w:rPr>
          <w:rFonts w:ascii="Arial" w:hAnsi="Arial" w:cs="Arial"/>
          <w:sz w:val="24"/>
          <w:szCs w:val="24"/>
        </w:rPr>
        <w:t xml:space="preserve"> not grounds for review and if the applicants were dissatisfied with the conduct of the deputy-sheriff a complaint can be filed with the Registrar of the Supreme and High Court</w:t>
      </w:r>
      <w:r w:rsidR="00340749" w:rsidRPr="001424F6">
        <w:rPr>
          <w:rFonts w:ascii="Arial" w:hAnsi="Arial" w:cs="Arial"/>
          <w:sz w:val="24"/>
          <w:szCs w:val="24"/>
        </w:rPr>
        <w:t>s</w:t>
      </w:r>
      <w:r w:rsidR="006F4E42" w:rsidRPr="001424F6">
        <w:rPr>
          <w:rFonts w:ascii="Arial" w:hAnsi="Arial" w:cs="Arial"/>
          <w:sz w:val="24"/>
          <w:szCs w:val="24"/>
        </w:rPr>
        <w:t xml:space="preserve"> of Namibia in terms of High Court Act</w:t>
      </w:r>
      <w:r w:rsidR="00340749" w:rsidRPr="001424F6">
        <w:rPr>
          <w:rFonts w:ascii="Arial" w:hAnsi="Arial" w:cs="Arial"/>
          <w:sz w:val="24"/>
          <w:szCs w:val="24"/>
        </w:rPr>
        <w:t>.</w:t>
      </w:r>
    </w:p>
    <w:p w14:paraId="1A17EBF5" w14:textId="77777777" w:rsidR="00B742E3" w:rsidRPr="00D949A9" w:rsidRDefault="00B742E3" w:rsidP="00B742E3">
      <w:pPr>
        <w:pStyle w:val="ListParagraph"/>
        <w:rPr>
          <w:rFonts w:ascii="Arial" w:hAnsi="Arial" w:cs="Arial"/>
          <w:color w:val="FF0000"/>
          <w:sz w:val="24"/>
          <w:szCs w:val="24"/>
        </w:rPr>
      </w:pPr>
    </w:p>
    <w:p w14:paraId="22C3CA28" w14:textId="6A218FD4" w:rsidR="00B742E3" w:rsidRPr="001424F6" w:rsidRDefault="001424F6" w:rsidP="001424F6">
      <w:pPr>
        <w:spacing w:after="0" w:line="360" w:lineRule="auto"/>
        <w:jc w:val="both"/>
        <w:rPr>
          <w:rFonts w:ascii="Arial" w:hAnsi="Arial" w:cs="Arial"/>
          <w:sz w:val="24"/>
          <w:szCs w:val="24"/>
        </w:rPr>
      </w:pPr>
      <w:r w:rsidRPr="00710E54">
        <w:rPr>
          <w:rFonts w:ascii="Arial" w:hAnsi="Arial" w:cs="Arial"/>
          <w:sz w:val="24"/>
          <w:szCs w:val="24"/>
        </w:rPr>
        <w:t>[85]</w:t>
      </w:r>
      <w:r w:rsidRPr="00710E54">
        <w:rPr>
          <w:rFonts w:ascii="Arial" w:hAnsi="Arial" w:cs="Arial"/>
          <w:sz w:val="24"/>
          <w:szCs w:val="24"/>
        </w:rPr>
        <w:tab/>
      </w:r>
      <w:r w:rsidR="00B742E3" w:rsidRPr="001424F6">
        <w:rPr>
          <w:rFonts w:ascii="Arial" w:hAnsi="Arial" w:cs="Arial"/>
          <w:sz w:val="24"/>
          <w:szCs w:val="24"/>
        </w:rPr>
        <w:t xml:space="preserve">The court must express </w:t>
      </w:r>
      <w:r w:rsidR="00340749" w:rsidRPr="001424F6">
        <w:rPr>
          <w:rFonts w:ascii="Arial" w:hAnsi="Arial" w:cs="Arial"/>
          <w:sz w:val="24"/>
          <w:szCs w:val="24"/>
        </w:rPr>
        <w:t xml:space="preserve">its </w:t>
      </w:r>
      <w:r w:rsidR="00B742E3" w:rsidRPr="001424F6">
        <w:rPr>
          <w:rFonts w:ascii="Arial" w:hAnsi="Arial" w:cs="Arial"/>
          <w:sz w:val="24"/>
          <w:szCs w:val="24"/>
        </w:rPr>
        <w:t xml:space="preserve">displeasure with the </w:t>
      </w:r>
      <w:r w:rsidR="00B742E3" w:rsidRPr="001424F6">
        <w:rPr>
          <w:rFonts w:ascii="Arial" w:hAnsi="Arial" w:cs="Arial"/>
          <w:i/>
          <w:sz w:val="24"/>
          <w:szCs w:val="24"/>
        </w:rPr>
        <w:t>ad homine</w:t>
      </w:r>
      <w:r w:rsidR="008A6B98" w:rsidRPr="001424F6">
        <w:rPr>
          <w:rFonts w:ascii="Arial" w:hAnsi="Arial" w:cs="Arial"/>
          <w:i/>
          <w:sz w:val="24"/>
          <w:szCs w:val="24"/>
        </w:rPr>
        <w:t>m</w:t>
      </w:r>
      <w:r w:rsidR="00B742E3" w:rsidRPr="001424F6">
        <w:rPr>
          <w:rFonts w:ascii="Arial" w:hAnsi="Arial" w:cs="Arial"/>
          <w:sz w:val="24"/>
          <w:szCs w:val="24"/>
        </w:rPr>
        <w:t xml:space="preserve"> attack</w:t>
      </w:r>
      <w:r w:rsidR="008A6B98" w:rsidRPr="001424F6">
        <w:rPr>
          <w:rFonts w:ascii="Arial" w:hAnsi="Arial" w:cs="Arial"/>
          <w:sz w:val="24"/>
          <w:szCs w:val="24"/>
        </w:rPr>
        <w:t xml:space="preserve"> by the applicants </w:t>
      </w:r>
      <w:r w:rsidR="00DD3B83" w:rsidRPr="001424F6">
        <w:rPr>
          <w:rFonts w:ascii="Arial" w:hAnsi="Arial" w:cs="Arial"/>
          <w:sz w:val="24"/>
          <w:szCs w:val="24"/>
        </w:rPr>
        <w:t>on</w:t>
      </w:r>
      <w:r w:rsidR="008A6B98" w:rsidRPr="001424F6">
        <w:rPr>
          <w:rFonts w:ascii="Arial" w:hAnsi="Arial" w:cs="Arial"/>
          <w:sz w:val="24"/>
          <w:szCs w:val="24"/>
        </w:rPr>
        <w:t xml:space="preserve"> </w:t>
      </w:r>
      <w:r w:rsidR="00B742E3" w:rsidRPr="001424F6">
        <w:rPr>
          <w:rFonts w:ascii="Arial" w:hAnsi="Arial" w:cs="Arial"/>
          <w:sz w:val="24"/>
          <w:szCs w:val="24"/>
        </w:rPr>
        <w:t>the deputy-sheriff, the Bank’s legal practitioner and the conveyancer</w:t>
      </w:r>
      <w:r w:rsidR="00340749" w:rsidRPr="001424F6">
        <w:rPr>
          <w:rFonts w:ascii="Arial" w:hAnsi="Arial" w:cs="Arial"/>
          <w:sz w:val="24"/>
          <w:szCs w:val="24"/>
        </w:rPr>
        <w:t>, this</w:t>
      </w:r>
      <w:r w:rsidR="008A6B98" w:rsidRPr="001424F6">
        <w:rPr>
          <w:rFonts w:ascii="Arial" w:hAnsi="Arial" w:cs="Arial"/>
          <w:sz w:val="24"/>
          <w:szCs w:val="24"/>
        </w:rPr>
        <w:t xml:space="preserve"> was uncalled for</w:t>
      </w:r>
      <w:r w:rsidR="00DD3B83" w:rsidRPr="001424F6">
        <w:rPr>
          <w:rFonts w:ascii="Arial" w:hAnsi="Arial" w:cs="Arial"/>
          <w:sz w:val="24"/>
          <w:szCs w:val="24"/>
        </w:rPr>
        <w:t xml:space="preserve">. Allegations of dishonest and improper conduct were made against these officers of court with no </w:t>
      </w:r>
      <w:r w:rsidR="006F4E42" w:rsidRPr="001424F6">
        <w:rPr>
          <w:rFonts w:ascii="Arial" w:hAnsi="Arial" w:cs="Arial"/>
          <w:sz w:val="24"/>
          <w:szCs w:val="24"/>
        </w:rPr>
        <w:t>factual basis.</w:t>
      </w:r>
      <w:r w:rsidR="00DD3B83" w:rsidRPr="001424F6">
        <w:rPr>
          <w:rFonts w:ascii="Arial" w:hAnsi="Arial" w:cs="Arial"/>
          <w:sz w:val="24"/>
          <w:szCs w:val="24"/>
        </w:rPr>
        <w:t xml:space="preserve"> These types of allegations should </w:t>
      </w:r>
      <w:r w:rsidR="00DD3B83" w:rsidRPr="001424F6">
        <w:rPr>
          <w:rFonts w:ascii="Arial" w:hAnsi="Arial" w:cs="Arial"/>
          <w:sz w:val="24"/>
          <w:szCs w:val="24"/>
          <w:shd w:val="clear" w:color="auto" w:fill="FFFFFF"/>
        </w:rPr>
        <w:t xml:space="preserve">not be </w:t>
      </w:r>
      <w:r w:rsidR="00710E54" w:rsidRPr="001424F6">
        <w:rPr>
          <w:rFonts w:ascii="Arial" w:hAnsi="Arial" w:cs="Arial"/>
          <w:sz w:val="24"/>
          <w:szCs w:val="24"/>
          <w:shd w:val="clear" w:color="auto" w:fill="FFFFFF"/>
        </w:rPr>
        <w:t>made</w:t>
      </w:r>
      <w:r w:rsidR="00340749" w:rsidRPr="001424F6">
        <w:rPr>
          <w:rFonts w:ascii="Arial" w:hAnsi="Arial" w:cs="Arial"/>
          <w:sz w:val="24"/>
          <w:szCs w:val="24"/>
          <w:shd w:val="clear" w:color="auto" w:fill="FFFFFF"/>
        </w:rPr>
        <w:t xml:space="preserve"> </w:t>
      </w:r>
      <w:r w:rsidR="00DD3B83" w:rsidRPr="001424F6">
        <w:rPr>
          <w:rFonts w:ascii="Arial" w:hAnsi="Arial" w:cs="Arial"/>
          <w:sz w:val="24"/>
          <w:szCs w:val="24"/>
          <w:shd w:val="clear" w:color="auto" w:fill="FFFFFF"/>
        </w:rPr>
        <w:t xml:space="preserve">lightly, and I am of the view that the allegations made in </w:t>
      </w:r>
      <w:r w:rsidR="00710E54" w:rsidRPr="001424F6">
        <w:rPr>
          <w:rFonts w:ascii="Arial" w:hAnsi="Arial" w:cs="Arial"/>
          <w:sz w:val="24"/>
          <w:szCs w:val="24"/>
          <w:shd w:val="clear" w:color="auto" w:fill="FFFFFF"/>
        </w:rPr>
        <w:t xml:space="preserve">this </w:t>
      </w:r>
      <w:r w:rsidR="00DD3B83" w:rsidRPr="001424F6">
        <w:rPr>
          <w:rFonts w:ascii="Arial" w:hAnsi="Arial" w:cs="Arial"/>
          <w:sz w:val="24"/>
          <w:szCs w:val="24"/>
          <w:shd w:val="clear" w:color="auto" w:fill="FFFFFF"/>
        </w:rPr>
        <w:t xml:space="preserve">respect </w:t>
      </w:r>
      <w:r w:rsidR="00340749" w:rsidRPr="001424F6">
        <w:rPr>
          <w:rFonts w:ascii="Arial" w:hAnsi="Arial" w:cs="Arial"/>
          <w:sz w:val="24"/>
          <w:szCs w:val="24"/>
          <w:shd w:val="clear" w:color="auto" w:fill="FFFFFF"/>
        </w:rPr>
        <w:t>were inappropriate</w:t>
      </w:r>
      <w:r w:rsidR="00DD3B83" w:rsidRPr="001424F6">
        <w:rPr>
          <w:rFonts w:ascii="Arial" w:hAnsi="Arial" w:cs="Arial"/>
          <w:sz w:val="24"/>
          <w:szCs w:val="24"/>
          <w:shd w:val="clear" w:color="auto" w:fill="FFFFFF"/>
        </w:rPr>
        <w:t>. </w:t>
      </w:r>
    </w:p>
    <w:p w14:paraId="4C2F2431" w14:textId="77777777" w:rsidR="00B742E3" w:rsidRPr="00340749" w:rsidRDefault="00B742E3" w:rsidP="00340749">
      <w:pPr>
        <w:rPr>
          <w:rFonts w:ascii="Arial" w:hAnsi="Arial" w:cs="Arial"/>
          <w:sz w:val="24"/>
          <w:szCs w:val="24"/>
        </w:rPr>
      </w:pPr>
    </w:p>
    <w:p w14:paraId="478C4677" w14:textId="77777777" w:rsidR="00F06A53" w:rsidRPr="00F06A53" w:rsidRDefault="00F06A53" w:rsidP="00F06A53">
      <w:pPr>
        <w:pStyle w:val="ListParagraph"/>
        <w:spacing w:after="0" w:line="360" w:lineRule="auto"/>
        <w:ind w:left="0"/>
        <w:jc w:val="both"/>
        <w:rPr>
          <w:rFonts w:ascii="Arial" w:hAnsi="Arial" w:cs="Arial"/>
          <w:i/>
          <w:sz w:val="24"/>
          <w:szCs w:val="24"/>
        </w:rPr>
      </w:pPr>
      <w:r w:rsidRPr="00F06A53">
        <w:rPr>
          <w:rFonts w:ascii="Arial" w:hAnsi="Arial" w:cs="Arial"/>
          <w:i/>
          <w:sz w:val="24"/>
          <w:szCs w:val="24"/>
        </w:rPr>
        <w:t>Relief sought</w:t>
      </w:r>
    </w:p>
    <w:p w14:paraId="6B7814D3" w14:textId="77777777" w:rsidR="00F06A53" w:rsidRPr="00F06A53" w:rsidRDefault="00F06A53" w:rsidP="00F06A53">
      <w:pPr>
        <w:pStyle w:val="ListParagraph"/>
        <w:rPr>
          <w:rFonts w:ascii="Arial" w:hAnsi="Arial" w:cs="Arial"/>
          <w:sz w:val="24"/>
          <w:szCs w:val="24"/>
        </w:rPr>
      </w:pPr>
    </w:p>
    <w:p w14:paraId="78C3DB6F" w14:textId="6983B8DF" w:rsidR="00DD3B83" w:rsidRPr="001424F6" w:rsidRDefault="001424F6" w:rsidP="001424F6">
      <w:pPr>
        <w:spacing w:after="0" w:line="360" w:lineRule="auto"/>
        <w:jc w:val="both"/>
        <w:rPr>
          <w:rFonts w:ascii="Arial" w:hAnsi="Arial" w:cs="Arial"/>
          <w:sz w:val="24"/>
          <w:szCs w:val="24"/>
        </w:rPr>
      </w:pPr>
      <w:r w:rsidRPr="00EB7712">
        <w:rPr>
          <w:rFonts w:ascii="Arial" w:hAnsi="Arial" w:cs="Arial"/>
          <w:sz w:val="24"/>
          <w:szCs w:val="24"/>
        </w:rPr>
        <w:t>[86]</w:t>
      </w:r>
      <w:r w:rsidRPr="00EB7712">
        <w:rPr>
          <w:rFonts w:ascii="Arial" w:hAnsi="Arial" w:cs="Arial"/>
          <w:sz w:val="24"/>
          <w:szCs w:val="24"/>
        </w:rPr>
        <w:tab/>
      </w:r>
      <w:r w:rsidR="00F06A53" w:rsidRPr="001424F6">
        <w:rPr>
          <w:rFonts w:ascii="Arial" w:hAnsi="Arial" w:cs="Arial"/>
          <w:sz w:val="24"/>
          <w:szCs w:val="24"/>
        </w:rPr>
        <w:t xml:space="preserve">The predicament </w:t>
      </w:r>
      <w:r w:rsidR="00A015B2" w:rsidRPr="001424F6">
        <w:rPr>
          <w:rFonts w:ascii="Arial" w:hAnsi="Arial" w:cs="Arial"/>
          <w:sz w:val="24"/>
          <w:szCs w:val="24"/>
        </w:rPr>
        <w:t xml:space="preserve">in </w:t>
      </w:r>
      <w:r w:rsidR="00F06A53" w:rsidRPr="001424F6">
        <w:rPr>
          <w:rFonts w:ascii="Arial" w:hAnsi="Arial" w:cs="Arial"/>
          <w:sz w:val="24"/>
          <w:szCs w:val="24"/>
        </w:rPr>
        <w:t xml:space="preserve">the relief sought by the applicants is that the property was transferred and duly registered in the name of Mr Mouton. </w:t>
      </w:r>
      <w:r w:rsidR="00DD3B83" w:rsidRPr="001424F6">
        <w:rPr>
          <w:rFonts w:ascii="Arial" w:hAnsi="Arial" w:cs="Arial"/>
          <w:sz w:val="24"/>
          <w:szCs w:val="24"/>
        </w:rPr>
        <w:t>The applicants seek an order setting aside the transfer and registration of the property to the third respondent on 4 August 2022. In addition there</w:t>
      </w:r>
      <w:r w:rsidR="005A76E8" w:rsidRPr="001424F6">
        <w:rPr>
          <w:rFonts w:ascii="Arial" w:hAnsi="Arial" w:cs="Arial"/>
          <w:sz w:val="24"/>
          <w:szCs w:val="24"/>
        </w:rPr>
        <w:t>to</w:t>
      </w:r>
      <w:r w:rsidR="00DD3B83" w:rsidRPr="001424F6">
        <w:rPr>
          <w:rFonts w:ascii="Arial" w:hAnsi="Arial" w:cs="Arial"/>
          <w:sz w:val="24"/>
          <w:szCs w:val="24"/>
        </w:rPr>
        <w:t xml:space="preserve"> the applicants seek an order directing the fourth respondent to cancel any mortgage bond which may have been registered over the property pursuant to such transfer into the name of the third respondent</w:t>
      </w:r>
      <w:r w:rsidR="00EB7712" w:rsidRPr="00EB7712">
        <w:rPr>
          <w:rStyle w:val="FootnoteReference"/>
          <w:rFonts w:ascii="Arial" w:hAnsi="Arial" w:cs="Arial"/>
          <w:sz w:val="24"/>
          <w:szCs w:val="24"/>
        </w:rPr>
        <w:footnoteReference w:id="20"/>
      </w:r>
      <w:r w:rsidR="00DD3B83" w:rsidRPr="001424F6">
        <w:rPr>
          <w:rFonts w:ascii="Arial" w:hAnsi="Arial" w:cs="Arial"/>
          <w:sz w:val="24"/>
          <w:szCs w:val="24"/>
        </w:rPr>
        <w:t xml:space="preserve"> and further that this court should direct the fourth respondent to cancel </w:t>
      </w:r>
      <w:r w:rsidR="00D76662" w:rsidRPr="001424F6">
        <w:rPr>
          <w:rFonts w:ascii="Arial" w:hAnsi="Arial" w:cs="Arial"/>
          <w:sz w:val="24"/>
          <w:szCs w:val="24"/>
        </w:rPr>
        <w:t xml:space="preserve">the </w:t>
      </w:r>
      <w:r w:rsidR="00DD3B83" w:rsidRPr="001424F6">
        <w:rPr>
          <w:rFonts w:ascii="Arial" w:hAnsi="Arial" w:cs="Arial"/>
          <w:sz w:val="24"/>
          <w:szCs w:val="24"/>
        </w:rPr>
        <w:t xml:space="preserve">Deed of Transfer and the relevant endorsement on </w:t>
      </w:r>
      <w:r w:rsidR="00D76662" w:rsidRPr="001424F6">
        <w:rPr>
          <w:rFonts w:ascii="Arial" w:hAnsi="Arial" w:cs="Arial"/>
          <w:sz w:val="24"/>
          <w:szCs w:val="24"/>
        </w:rPr>
        <w:t xml:space="preserve">the </w:t>
      </w:r>
      <w:r w:rsidR="00DD3B83" w:rsidRPr="001424F6">
        <w:rPr>
          <w:rFonts w:ascii="Arial" w:hAnsi="Arial" w:cs="Arial"/>
          <w:sz w:val="24"/>
          <w:szCs w:val="24"/>
        </w:rPr>
        <w:t xml:space="preserve">Deed of Transfer. </w:t>
      </w:r>
    </w:p>
    <w:p w14:paraId="0CC62A0A" w14:textId="77777777" w:rsidR="00DD3B83" w:rsidRPr="004C5441" w:rsidRDefault="00DD3B83" w:rsidP="00DD3B83">
      <w:pPr>
        <w:pStyle w:val="ListParagraph"/>
        <w:spacing w:after="0" w:line="360" w:lineRule="auto"/>
        <w:ind w:left="0"/>
        <w:jc w:val="both"/>
        <w:rPr>
          <w:rFonts w:ascii="Arial" w:hAnsi="Arial" w:cs="Arial"/>
          <w:color w:val="FF0000"/>
          <w:sz w:val="24"/>
          <w:szCs w:val="24"/>
        </w:rPr>
      </w:pPr>
    </w:p>
    <w:p w14:paraId="294766B9" w14:textId="317A8825" w:rsidR="003A2F6F" w:rsidRPr="00EB7712" w:rsidRDefault="001424F6" w:rsidP="001424F6">
      <w:pPr>
        <w:pStyle w:val="BodyText"/>
        <w:spacing w:after="0"/>
        <w:rPr>
          <w:sz w:val="24"/>
          <w:szCs w:val="24"/>
        </w:rPr>
      </w:pPr>
      <w:r w:rsidRPr="00EB7712">
        <w:rPr>
          <w:sz w:val="24"/>
          <w:szCs w:val="24"/>
        </w:rPr>
        <w:t>[87]</w:t>
      </w:r>
      <w:r w:rsidRPr="00EB7712">
        <w:rPr>
          <w:sz w:val="24"/>
          <w:szCs w:val="24"/>
        </w:rPr>
        <w:tab/>
      </w:r>
      <w:r w:rsidR="00DD3B83" w:rsidRPr="00EB7712">
        <w:rPr>
          <w:sz w:val="24"/>
          <w:szCs w:val="24"/>
          <w:shd w:val="clear" w:color="auto" w:fill="FFFFFF"/>
          <w:lang w:val="en-GB"/>
        </w:rPr>
        <w:t>This relief can only be considered if the court find</w:t>
      </w:r>
      <w:r w:rsidR="00D76662" w:rsidRPr="00EB7712">
        <w:rPr>
          <w:sz w:val="24"/>
          <w:szCs w:val="24"/>
          <w:shd w:val="clear" w:color="auto" w:fill="FFFFFF"/>
          <w:lang w:val="en-GB"/>
        </w:rPr>
        <w:t>s</w:t>
      </w:r>
      <w:r w:rsidR="00DD3B83" w:rsidRPr="00EB7712">
        <w:rPr>
          <w:sz w:val="24"/>
          <w:szCs w:val="24"/>
          <w:shd w:val="clear" w:color="auto" w:fill="FFFFFF"/>
          <w:lang w:val="en-GB"/>
        </w:rPr>
        <w:t xml:space="preserve"> that the sale in execut</w:t>
      </w:r>
      <w:r w:rsidR="00F03550" w:rsidRPr="00EB7712">
        <w:rPr>
          <w:sz w:val="24"/>
          <w:szCs w:val="24"/>
          <w:shd w:val="clear" w:color="auto" w:fill="FFFFFF"/>
          <w:lang w:val="en-GB"/>
        </w:rPr>
        <w:t>ion of 12 July 2022 was nullified as a result of the non-compliance with rule 110(10). However, I must pause and point out that even if the applicants are successful in their application their de facto position would not change</w:t>
      </w:r>
      <w:r w:rsidR="00EB7712" w:rsidRPr="00EB7712">
        <w:rPr>
          <w:sz w:val="24"/>
          <w:szCs w:val="24"/>
          <w:shd w:val="clear" w:color="auto" w:fill="FFFFFF"/>
          <w:lang w:val="en-GB"/>
        </w:rPr>
        <w:t xml:space="preserve"> and they would not receive possession of the property</w:t>
      </w:r>
      <w:r w:rsidR="003A2F6F" w:rsidRPr="00EB7712">
        <w:rPr>
          <w:sz w:val="24"/>
          <w:szCs w:val="24"/>
          <w:shd w:val="clear" w:color="auto" w:fill="FFFFFF"/>
          <w:lang w:val="en-GB"/>
        </w:rPr>
        <w:t xml:space="preserve">. The applicants </w:t>
      </w:r>
      <w:r w:rsidR="00F03550" w:rsidRPr="00EB7712">
        <w:rPr>
          <w:sz w:val="24"/>
          <w:szCs w:val="24"/>
          <w:shd w:val="clear" w:color="auto" w:fill="FFFFFF"/>
          <w:lang w:val="en-GB"/>
        </w:rPr>
        <w:t xml:space="preserve">did not make out a case </w:t>
      </w:r>
      <w:r w:rsidR="00D76662" w:rsidRPr="00EB7712">
        <w:rPr>
          <w:sz w:val="24"/>
          <w:szCs w:val="24"/>
          <w:shd w:val="clear" w:color="auto" w:fill="FFFFFF"/>
          <w:lang w:val="en-GB"/>
        </w:rPr>
        <w:t>f</w:t>
      </w:r>
      <w:r w:rsidR="00F03550" w:rsidRPr="00EB7712">
        <w:rPr>
          <w:sz w:val="24"/>
          <w:szCs w:val="24"/>
          <w:shd w:val="clear" w:color="auto" w:fill="FFFFFF"/>
          <w:lang w:val="en-GB"/>
        </w:rPr>
        <w:t xml:space="preserve">or the setting aside of the writ in execution of the immovable property. </w:t>
      </w:r>
      <w:r w:rsidR="003A2F6F" w:rsidRPr="00EB7712">
        <w:rPr>
          <w:sz w:val="24"/>
          <w:szCs w:val="24"/>
          <w:shd w:val="clear" w:color="auto" w:fill="FFFFFF"/>
          <w:lang w:val="en-GB"/>
        </w:rPr>
        <w:t xml:space="preserve">In any event, in </w:t>
      </w:r>
      <w:r w:rsidR="003A2F6F" w:rsidRPr="00EB7712">
        <w:rPr>
          <w:i/>
          <w:sz w:val="24"/>
          <w:szCs w:val="24"/>
        </w:rPr>
        <w:t>Le Roux v Yskor Landgoed (EDMS) Bpk en Ander</w:t>
      </w:r>
      <w:r w:rsidR="003A2F6F" w:rsidRPr="00EB7712">
        <w:rPr>
          <w:sz w:val="24"/>
          <w:szCs w:val="24"/>
        </w:rPr>
        <w:t>e</w:t>
      </w:r>
      <w:r w:rsidR="003A2F6F" w:rsidRPr="00EB7712">
        <w:rPr>
          <w:rStyle w:val="FootnoteReference"/>
          <w:sz w:val="24"/>
          <w:szCs w:val="24"/>
        </w:rPr>
        <w:footnoteReference w:id="21"/>
      </w:r>
      <w:r w:rsidR="003A2F6F" w:rsidRPr="00EB7712">
        <w:rPr>
          <w:sz w:val="24"/>
          <w:szCs w:val="24"/>
        </w:rPr>
        <w:t xml:space="preserve"> the court held that a writ can only be set aside if the writ is no longer supported by the underlying causa. That is not the case in the current matter.</w:t>
      </w:r>
    </w:p>
    <w:p w14:paraId="333C9DAD" w14:textId="77777777" w:rsidR="00F03550" w:rsidRPr="00D76662" w:rsidRDefault="00F03550" w:rsidP="00D76662">
      <w:pPr>
        <w:rPr>
          <w:rFonts w:ascii="Arial" w:hAnsi="Arial" w:cs="Arial"/>
          <w:color w:val="FF0000"/>
          <w:sz w:val="24"/>
          <w:szCs w:val="24"/>
          <w:shd w:val="clear" w:color="auto" w:fill="FFFFFF"/>
          <w:lang w:val="en-GB"/>
        </w:rPr>
      </w:pPr>
    </w:p>
    <w:p w14:paraId="3779C0DA" w14:textId="1D7BCD2A" w:rsidR="00DD3B83" w:rsidRPr="001424F6" w:rsidRDefault="001424F6" w:rsidP="001424F6">
      <w:pPr>
        <w:spacing w:after="0" w:line="360" w:lineRule="auto"/>
        <w:jc w:val="both"/>
        <w:rPr>
          <w:rFonts w:ascii="Arial" w:hAnsi="Arial" w:cs="Arial"/>
          <w:sz w:val="24"/>
          <w:szCs w:val="24"/>
        </w:rPr>
      </w:pPr>
      <w:r w:rsidRPr="00EB7712">
        <w:rPr>
          <w:rFonts w:ascii="Arial" w:hAnsi="Arial" w:cs="Arial"/>
          <w:sz w:val="24"/>
          <w:szCs w:val="24"/>
        </w:rPr>
        <w:t>[88]</w:t>
      </w:r>
      <w:r w:rsidRPr="00EB7712">
        <w:rPr>
          <w:rFonts w:ascii="Arial" w:hAnsi="Arial" w:cs="Arial"/>
          <w:sz w:val="24"/>
          <w:szCs w:val="24"/>
        </w:rPr>
        <w:tab/>
      </w:r>
      <w:r w:rsidR="003A2F6F" w:rsidRPr="001424F6">
        <w:rPr>
          <w:rFonts w:ascii="Arial" w:hAnsi="Arial" w:cs="Arial"/>
          <w:iCs/>
          <w:sz w:val="24"/>
          <w:szCs w:val="24"/>
          <w:shd w:val="clear" w:color="auto" w:fill="FFFFFF"/>
          <w:lang w:val="en-GB"/>
        </w:rPr>
        <w:t xml:space="preserve">The practical effect of an order setting aside the sale in execution of 12 June 2022 is that the applicants would still not be entitled to the immovable property and the deputy-sheriff would still be obliged to sell the property in a sale in execution. The reason is </w:t>
      </w:r>
      <w:r w:rsidR="00D76662" w:rsidRPr="001424F6">
        <w:rPr>
          <w:rFonts w:ascii="Arial" w:hAnsi="Arial" w:cs="Arial"/>
          <w:iCs/>
          <w:sz w:val="24"/>
          <w:szCs w:val="24"/>
          <w:shd w:val="clear" w:color="auto" w:fill="FFFFFF"/>
          <w:lang w:val="en-GB"/>
        </w:rPr>
        <w:t>simple</w:t>
      </w:r>
      <w:r w:rsidR="003A2F6F" w:rsidRPr="001424F6">
        <w:rPr>
          <w:rFonts w:ascii="Arial" w:hAnsi="Arial" w:cs="Arial"/>
          <w:iCs/>
          <w:sz w:val="24"/>
          <w:szCs w:val="24"/>
          <w:shd w:val="clear" w:color="auto" w:fill="FFFFFF"/>
          <w:lang w:val="en-GB"/>
        </w:rPr>
        <w:t xml:space="preserve"> and that is that the applicants lost their right to claim any entitlement to the immovable property upon the granting of the order declaring the property executable. </w:t>
      </w:r>
    </w:p>
    <w:p w14:paraId="54E83E37" w14:textId="77777777" w:rsidR="00997A78" w:rsidRPr="004C5441" w:rsidRDefault="00997A78" w:rsidP="00997A78">
      <w:pPr>
        <w:pStyle w:val="ListParagraph"/>
        <w:spacing w:after="0" w:line="360" w:lineRule="auto"/>
        <w:ind w:left="0"/>
        <w:jc w:val="both"/>
        <w:rPr>
          <w:rFonts w:ascii="Arial" w:hAnsi="Arial" w:cs="Arial"/>
          <w:color w:val="FF0000"/>
          <w:sz w:val="24"/>
          <w:szCs w:val="24"/>
        </w:rPr>
      </w:pPr>
    </w:p>
    <w:p w14:paraId="6CA7A7B5" w14:textId="6F7D83ED" w:rsidR="004C5441" w:rsidRPr="001424F6" w:rsidRDefault="001424F6" w:rsidP="001424F6">
      <w:pPr>
        <w:spacing w:after="0" w:line="360" w:lineRule="auto"/>
        <w:jc w:val="both"/>
        <w:rPr>
          <w:rFonts w:ascii="Arial" w:hAnsi="Arial" w:cs="Arial"/>
          <w:sz w:val="24"/>
          <w:szCs w:val="24"/>
        </w:rPr>
      </w:pPr>
      <w:r w:rsidRPr="00EB7712">
        <w:rPr>
          <w:rFonts w:ascii="Arial" w:hAnsi="Arial" w:cs="Arial"/>
          <w:sz w:val="24"/>
          <w:szCs w:val="24"/>
        </w:rPr>
        <w:t>[89]</w:t>
      </w:r>
      <w:r w:rsidRPr="00EB7712">
        <w:rPr>
          <w:rFonts w:ascii="Arial" w:hAnsi="Arial" w:cs="Arial"/>
          <w:sz w:val="24"/>
          <w:szCs w:val="24"/>
        </w:rPr>
        <w:tab/>
      </w:r>
      <w:r w:rsidR="004C5441" w:rsidRPr="001424F6">
        <w:rPr>
          <w:rFonts w:ascii="Arial" w:hAnsi="Arial" w:cs="Arial"/>
          <w:iCs/>
          <w:sz w:val="24"/>
          <w:szCs w:val="24"/>
          <w:shd w:val="clear" w:color="auto" w:fill="FFFFFF"/>
          <w:lang w:val="en-GB"/>
        </w:rPr>
        <w:t xml:space="preserve">It should also be </w:t>
      </w:r>
      <w:r w:rsidR="005A76E8" w:rsidRPr="001424F6">
        <w:rPr>
          <w:rFonts w:ascii="Arial" w:hAnsi="Arial" w:cs="Arial"/>
          <w:iCs/>
          <w:sz w:val="24"/>
          <w:szCs w:val="24"/>
          <w:shd w:val="clear" w:color="auto" w:fill="FFFFFF"/>
          <w:lang w:val="en-GB"/>
        </w:rPr>
        <w:t>borne</w:t>
      </w:r>
      <w:r w:rsidR="004C5441" w:rsidRPr="001424F6">
        <w:rPr>
          <w:rFonts w:ascii="Arial" w:hAnsi="Arial" w:cs="Arial"/>
          <w:iCs/>
          <w:sz w:val="24"/>
          <w:szCs w:val="24"/>
          <w:shd w:val="clear" w:color="auto" w:fill="FFFFFF"/>
          <w:lang w:val="en-GB"/>
        </w:rPr>
        <w:t xml:space="preserve"> in mind that the bond registered in favour of the second respondent, Standard Bank</w:t>
      </w:r>
      <w:r w:rsidR="00EB7712" w:rsidRPr="001424F6">
        <w:rPr>
          <w:rFonts w:ascii="Arial" w:hAnsi="Arial" w:cs="Arial"/>
          <w:iCs/>
          <w:sz w:val="24"/>
          <w:szCs w:val="24"/>
          <w:shd w:val="clear" w:color="auto" w:fill="FFFFFF"/>
          <w:lang w:val="en-GB"/>
        </w:rPr>
        <w:t>,</w:t>
      </w:r>
      <w:r w:rsidR="004C5441" w:rsidRPr="001424F6">
        <w:rPr>
          <w:rFonts w:ascii="Arial" w:hAnsi="Arial" w:cs="Arial"/>
          <w:iCs/>
          <w:sz w:val="24"/>
          <w:szCs w:val="24"/>
          <w:shd w:val="clear" w:color="auto" w:fill="FFFFFF"/>
          <w:lang w:val="en-GB"/>
        </w:rPr>
        <w:t xml:space="preserve"> was cancelled and there is no provision made for the re-registering of the bond. The prayers of the applicants do not indicate in whose name the property should be transferred in the event that the relief sought is granted. The applicants also do not deal with the issue of enrichment or the repayment of the funds by Mr Mouton.</w:t>
      </w:r>
    </w:p>
    <w:p w14:paraId="76D9C1E3" w14:textId="77777777" w:rsidR="003A2F6F" w:rsidRPr="003A2F6F" w:rsidRDefault="003A2F6F" w:rsidP="003A2F6F">
      <w:pPr>
        <w:pStyle w:val="ListParagraph"/>
        <w:spacing w:after="0" w:line="360" w:lineRule="auto"/>
        <w:ind w:left="0"/>
        <w:jc w:val="both"/>
        <w:rPr>
          <w:rFonts w:ascii="Arial" w:hAnsi="Arial" w:cs="Arial"/>
          <w:sz w:val="24"/>
          <w:szCs w:val="24"/>
        </w:rPr>
      </w:pPr>
    </w:p>
    <w:p w14:paraId="1AF01A7A" w14:textId="3AFBFDEB" w:rsidR="00B5193D" w:rsidRPr="001424F6" w:rsidRDefault="001424F6" w:rsidP="001424F6">
      <w:pPr>
        <w:spacing w:after="0" w:line="36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B5193D" w:rsidRPr="001424F6">
        <w:rPr>
          <w:rFonts w:ascii="Arial" w:hAnsi="Arial" w:cs="Arial"/>
          <w:sz w:val="24"/>
          <w:szCs w:val="24"/>
        </w:rPr>
        <w:t xml:space="preserve">In </w:t>
      </w:r>
      <w:r w:rsidR="00B5193D" w:rsidRPr="001424F6">
        <w:rPr>
          <w:rFonts w:ascii="Arial" w:hAnsi="Arial" w:cs="Arial"/>
          <w:i/>
          <w:sz w:val="24"/>
          <w:szCs w:val="24"/>
        </w:rPr>
        <w:t>Menqa and Another v Markom And Others,</w:t>
      </w:r>
      <w:r w:rsidR="00B5193D">
        <w:rPr>
          <w:rStyle w:val="FootnoteReference"/>
          <w:rFonts w:ascii="Arial" w:hAnsi="Arial" w:cs="Arial"/>
          <w:sz w:val="24"/>
          <w:szCs w:val="24"/>
        </w:rPr>
        <w:footnoteReference w:id="22"/>
      </w:r>
      <w:r w:rsidR="00B5193D" w:rsidRPr="001424F6">
        <w:rPr>
          <w:rFonts w:ascii="Arial" w:hAnsi="Arial" w:cs="Arial"/>
          <w:sz w:val="24"/>
          <w:szCs w:val="24"/>
        </w:rPr>
        <w:t xml:space="preserve"> Cloete JA in the dissenting judgment, discusses the consequences of being a successful litigant in the setting aside of a sale in execution:</w:t>
      </w:r>
    </w:p>
    <w:p w14:paraId="08347B49" w14:textId="77777777" w:rsidR="00B5193D" w:rsidRDefault="00B5193D" w:rsidP="00B5193D">
      <w:pPr>
        <w:pStyle w:val="ListParagraph"/>
        <w:spacing w:after="0" w:line="360" w:lineRule="auto"/>
        <w:ind w:left="0"/>
        <w:jc w:val="both"/>
        <w:rPr>
          <w:rFonts w:ascii="Arial" w:hAnsi="Arial" w:cs="Arial"/>
          <w:sz w:val="24"/>
          <w:szCs w:val="24"/>
        </w:rPr>
      </w:pPr>
    </w:p>
    <w:p w14:paraId="606A6580" w14:textId="77777777" w:rsidR="00B5193D" w:rsidRDefault="00B5193D" w:rsidP="00B5193D">
      <w:pPr>
        <w:pStyle w:val="BodyTextIndent3"/>
        <w:rPr>
          <w:sz w:val="22"/>
          <w:szCs w:val="22"/>
        </w:rPr>
      </w:pPr>
      <w:r>
        <w:rPr>
          <w:sz w:val="22"/>
          <w:szCs w:val="22"/>
        </w:rPr>
        <w:t>‘</w:t>
      </w:r>
      <w:r w:rsidRPr="002307E1">
        <w:rPr>
          <w:sz w:val="22"/>
          <w:szCs w:val="22"/>
        </w:rPr>
        <w:t>[49] Matthaeus discusses the position where a debtor succeeds in having a sale in execution set aside. He says  that if the debtor wishes to have the completed sale set aside for want of compliance with formalities, fairness dictates that he must return to the purchaser the money the latter disbursed. This is the situation, continues Matthaeus, when the debtor sues the purchaser and demands the goods unlawfully awarded to him; because if he sues the creditors, he is not obliged to pay the purchase price to them, but must pay the debt he owes together with accrued interest - and in such a case the purchaser is required to obtain the money he paid, from the creditors. It is not necessary to consider the position at common law any further because to require Markom to pay Menqa the price paid by the latter for the property, or to pay the execution creditor the full debt owed together with accrued interest, as a prerequisite to his being allowed to recover the property,</w:t>
      </w:r>
      <w:r>
        <w:rPr>
          <w:sz w:val="22"/>
          <w:szCs w:val="22"/>
        </w:rPr>
        <w:t>..’</w:t>
      </w:r>
    </w:p>
    <w:p w14:paraId="6CC4D25D" w14:textId="77777777" w:rsidR="00B5193D" w:rsidRDefault="00B5193D" w:rsidP="00B5193D">
      <w:pPr>
        <w:pStyle w:val="ListParagraph"/>
        <w:rPr>
          <w:rFonts w:ascii="Arial" w:hAnsi="Arial" w:cs="Arial"/>
          <w:sz w:val="24"/>
          <w:szCs w:val="24"/>
        </w:rPr>
      </w:pPr>
    </w:p>
    <w:p w14:paraId="55C72515" w14:textId="77777777" w:rsidR="004C5441" w:rsidRDefault="004C5441" w:rsidP="004C5441">
      <w:pPr>
        <w:pStyle w:val="BodyText2"/>
      </w:pPr>
      <w:r w:rsidRPr="004C5441">
        <w:t>Was the sale in execution on 12 June 2022 a nullity and should the sale in execution be set aside?</w:t>
      </w:r>
    </w:p>
    <w:p w14:paraId="53E674AA" w14:textId="77777777" w:rsidR="002C0F7B" w:rsidRPr="004C5441" w:rsidRDefault="002C0F7B" w:rsidP="004C5441">
      <w:pPr>
        <w:pStyle w:val="BodyText2"/>
      </w:pPr>
    </w:p>
    <w:p w14:paraId="4B167606" w14:textId="2057F2CC" w:rsidR="003A2F6F" w:rsidRPr="001424F6" w:rsidRDefault="001424F6" w:rsidP="001424F6">
      <w:pPr>
        <w:spacing w:after="0" w:line="360" w:lineRule="auto"/>
        <w:jc w:val="both"/>
        <w:rPr>
          <w:rFonts w:ascii="Arial" w:hAnsi="Arial" w:cs="Arial"/>
          <w:sz w:val="24"/>
          <w:szCs w:val="24"/>
        </w:rPr>
      </w:pPr>
      <w:r w:rsidRPr="00EB7712">
        <w:rPr>
          <w:rFonts w:ascii="Arial" w:hAnsi="Arial" w:cs="Arial"/>
          <w:sz w:val="24"/>
          <w:szCs w:val="24"/>
        </w:rPr>
        <w:t>[91]</w:t>
      </w:r>
      <w:r w:rsidRPr="00EB7712">
        <w:rPr>
          <w:rFonts w:ascii="Arial" w:hAnsi="Arial" w:cs="Arial"/>
          <w:sz w:val="24"/>
          <w:szCs w:val="24"/>
        </w:rPr>
        <w:tab/>
      </w:r>
      <w:r w:rsidR="003A2F6F" w:rsidRPr="001424F6">
        <w:rPr>
          <w:rFonts w:ascii="Arial" w:hAnsi="Arial" w:cs="Arial"/>
          <w:sz w:val="24"/>
          <w:szCs w:val="24"/>
        </w:rPr>
        <w:t xml:space="preserve">It is also important to note that </w:t>
      </w:r>
      <w:r w:rsidR="00AB7313" w:rsidRPr="001424F6">
        <w:rPr>
          <w:rFonts w:ascii="Arial" w:hAnsi="Arial" w:cs="Arial"/>
          <w:sz w:val="24"/>
          <w:szCs w:val="24"/>
        </w:rPr>
        <w:t>Mr Mouton was the nominee of Ms Erasmus in the 24 March 2022 sale, when the property was sold for N$2 </w:t>
      </w:r>
      <w:r w:rsidR="001C1AB6" w:rsidRPr="001424F6">
        <w:rPr>
          <w:rFonts w:ascii="Arial" w:hAnsi="Arial" w:cs="Arial"/>
          <w:sz w:val="24"/>
          <w:szCs w:val="24"/>
        </w:rPr>
        <w:t>1</w:t>
      </w:r>
      <w:r w:rsidR="00AB7313" w:rsidRPr="001424F6">
        <w:rPr>
          <w:rFonts w:ascii="Arial" w:hAnsi="Arial" w:cs="Arial"/>
          <w:sz w:val="24"/>
          <w:szCs w:val="24"/>
        </w:rPr>
        <w:t xml:space="preserve">50 000. Mr Mouton was the one who paid the deposit in that instance. </w:t>
      </w:r>
    </w:p>
    <w:p w14:paraId="37BA9CF8" w14:textId="77777777" w:rsidR="00AB7313" w:rsidRPr="00EB7712" w:rsidRDefault="00AB7313" w:rsidP="00AB7313">
      <w:pPr>
        <w:pStyle w:val="ListParagraph"/>
        <w:rPr>
          <w:rFonts w:ascii="Arial" w:hAnsi="Arial" w:cs="Arial"/>
          <w:sz w:val="24"/>
          <w:szCs w:val="24"/>
        </w:rPr>
      </w:pPr>
    </w:p>
    <w:p w14:paraId="0D24B94D" w14:textId="6275F510" w:rsidR="003A2F6F" w:rsidRPr="001424F6" w:rsidRDefault="001424F6" w:rsidP="001424F6">
      <w:pPr>
        <w:spacing w:after="0" w:line="360" w:lineRule="auto"/>
        <w:jc w:val="both"/>
        <w:rPr>
          <w:rFonts w:ascii="Arial" w:hAnsi="Arial" w:cs="Arial"/>
          <w:sz w:val="24"/>
          <w:szCs w:val="24"/>
        </w:rPr>
      </w:pPr>
      <w:r w:rsidRPr="00EB7712">
        <w:rPr>
          <w:rFonts w:ascii="Arial" w:hAnsi="Arial" w:cs="Arial"/>
          <w:sz w:val="24"/>
          <w:szCs w:val="24"/>
        </w:rPr>
        <w:t>[92]</w:t>
      </w:r>
      <w:r w:rsidRPr="00EB7712">
        <w:rPr>
          <w:rFonts w:ascii="Arial" w:hAnsi="Arial" w:cs="Arial"/>
          <w:sz w:val="24"/>
          <w:szCs w:val="24"/>
        </w:rPr>
        <w:tab/>
      </w:r>
      <w:r w:rsidR="00B5193D" w:rsidRPr="001424F6">
        <w:rPr>
          <w:rFonts w:ascii="Arial" w:hAnsi="Arial" w:cs="Arial"/>
          <w:sz w:val="24"/>
          <w:szCs w:val="24"/>
        </w:rPr>
        <w:t>When reali</w:t>
      </w:r>
      <w:r w:rsidR="00EB7712" w:rsidRPr="001424F6">
        <w:rPr>
          <w:rFonts w:ascii="Arial" w:hAnsi="Arial" w:cs="Arial"/>
          <w:sz w:val="24"/>
          <w:szCs w:val="24"/>
        </w:rPr>
        <w:t>s</w:t>
      </w:r>
      <w:r w:rsidR="00B5193D" w:rsidRPr="001424F6">
        <w:rPr>
          <w:rFonts w:ascii="Arial" w:hAnsi="Arial" w:cs="Arial"/>
          <w:sz w:val="24"/>
          <w:szCs w:val="24"/>
        </w:rPr>
        <w:t xml:space="preserve">ing </w:t>
      </w:r>
      <w:r w:rsidR="00EB7712" w:rsidRPr="001424F6">
        <w:rPr>
          <w:rFonts w:ascii="Arial" w:hAnsi="Arial" w:cs="Arial"/>
          <w:sz w:val="24"/>
          <w:szCs w:val="24"/>
        </w:rPr>
        <w:t>that there was no proper compliance</w:t>
      </w:r>
      <w:r w:rsidR="00B5193D" w:rsidRPr="001424F6">
        <w:rPr>
          <w:rFonts w:ascii="Arial" w:hAnsi="Arial" w:cs="Arial"/>
          <w:sz w:val="24"/>
          <w:szCs w:val="24"/>
        </w:rPr>
        <w:t xml:space="preserve"> with the conditions of sale it was decided that the sale should be cancelled</w:t>
      </w:r>
      <w:r w:rsidR="00EB7712" w:rsidRPr="001424F6">
        <w:rPr>
          <w:rFonts w:ascii="Arial" w:hAnsi="Arial" w:cs="Arial"/>
          <w:sz w:val="24"/>
          <w:szCs w:val="24"/>
        </w:rPr>
        <w:t>.</w:t>
      </w:r>
      <w:r w:rsidR="00B5193D" w:rsidRPr="001424F6">
        <w:rPr>
          <w:rFonts w:ascii="Arial" w:hAnsi="Arial" w:cs="Arial"/>
          <w:sz w:val="24"/>
          <w:szCs w:val="24"/>
        </w:rPr>
        <w:t xml:space="preserve"> </w:t>
      </w:r>
      <w:r w:rsidR="00EB7712" w:rsidRPr="001424F6">
        <w:rPr>
          <w:rFonts w:ascii="Arial" w:hAnsi="Arial" w:cs="Arial"/>
          <w:sz w:val="24"/>
          <w:szCs w:val="24"/>
        </w:rPr>
        <w:t>T</w:t>
      </w:r>
      <w:r w:rsidR="00B5193D" w:rsidRPr="001424F6">
        <w:rPr>
          <w:rFonts w:ascii="Arial" w:hAnsi="Arial" w:cs="Arial"/>
          <w:sz w:val="24"/>
          <w:szCs w:val="24"/>
        </w:rPr>
        <w:t xml:space="preserve">his was with the knowledge of Mr Mouton as the deposit was returned to him. </w:t>
      </w:r>
      <w:r w:rsidR="009A36AB" w:rsidRPr="001424F6">
        <w:rPr>
          <w:rFonts w:ascii="Arial" w:hAnsi="Arial" w:cs="Arial"/>
          <w:sz w:val="24"/>
          <w:szCs w:val="24"/>
        </w:rPr>
        <w:t>On</w:t>
      </w:r>
      <w:r w:rsidR="00B5193D" w:rsidRPr="001424F6">
        <w:rPr>
          <w:rFonts w:ascii="Arial" w:hAnsi="Arial" w:cs="Arial"/>
          <w:sz w:val="24"/>
          <w:szCs w:val="24"/>
        </w:rPr>
        <w:t xml:space="preserve"> 12 June 2022</w:t>
      </w:r>
      <w:r w:rsidR="005A76E8" w:rsidRPr="001424F6">
        <w:rPr>
          <w:rFonts w:ascii="Arial" w:hAnsi="Arial" w:cs="Arial"/>
          <w:sz w:val="24"/>
          <w:szCs w:val="24"/>
        </w:rPr>
        <w:t>,</w:t>
      </w:r>
      <w:r w:rsidR="00B5193D" w:rsidRPr="001424F6">
        <w:rPr>
          <w:rFonts w:ascii="Arial" w:hAnsi="Arial" w:cs="Arial"/>
          <w:sz w:val="24"/>
          <w:szCs w:val="24"/>
        </w:rPr>
        <w:t xml:space="preserve"> Mr Mouton was again the highest bidder and the property sold for N$2 250 000, being </w:t>
      </w:r>
      <w:r w:rsidR="001C1AB6" w:rsidRPr="001424F6">
        <w:rPr>
          <w:rFonts w:ascii="Arial" w:hAnsi="Arial" w:cs="Arial"/>
          <w:sz w:val="24"/>
          <w:szCs w:val="24"/>
        </w:rPr>
        <w:t>N$100 000 more than the first</w:t>
      </w:r>
      <w:r w:rsidR="00B5193D" w:rsidRPr="001424F6">
        <w:rPr>
          <w:rFonts w:ascii="Arial" w:hAnsi="Arial" w:cs="Arial"/>
          <w:sz w:val="24"/>
          <w:szCs w:val="24"/>
        </w:rPr>
        <w:t xml:space="preserve"> sale in execution. </w:t>
      </w:r>
    </w:p>
    <w:p w14:paraId="54E58554" w14:textId="77777777" w:rsidR="001C1AB6" w:rsidRDefault="001C1AB6" w:rsidP="001C1AB6">
      <w:pPr>
        <w:pStyle w:val="ListParagraph"/>
        <w:rPr>
          <w:rFonts w:ascii="Arial" w:hAnsi="Arial" w:cs="Arial"/>
          <w:color w:val="242121"/>
        </w:rPr>
      </w:pPr>
    </w:p>
    <w:p w14:paraId="0438D6DD" w14:textId="1BFA36CB" w:rsidR="009A36AB" w:rsidRPr="00EB7712" w:rsidRDefault="001424F6" w:rsidP="001424F6">
      <w:pPr>
        <w:pStyle w:val="NormalWeb"/>
        <w:shd w:val="clear" w:color="auto" w:fill="FFFFFF"/>
        <w:spacing w:before="0" w:beforeAutospacing="0" w:after="0" w:afterAutospacing="0" w:line="360" w:lineRule="auto"/>
        <w:jc w:val="both"/>
        <w:rPr>
          <w:rFonts w:ascii="Arial" w:hAnsi="Arial" w:cs="Arial"/>
        </w:rPr>
      </w:pPr>
      <w:r w:rsidRPr="00EB7712">
        <w:rPr>
          <w:rFonts w:ascii="Arial" w:hAnsi="Arial" w:cs="Arial"/>
        </w:rPr>
        <w:t>[93]</w:t>
      </w:r>
      <w:r w:rsidRPr="00EB7712">
        <w:rPr>
          <w:rFonts w:ascii="Arial" w:hAnsi="Arial" w:cs="Arial"/>
        </w:rPr>
        <w:tab/>
      </w:r>
      <w:r w:rsidR="00ED4420" w:rsidRPr="00EB7712">
        <w:rPr>
          <w:rFonts w:ascii="Arial" w:hAnsi="Arial" w:cs="Arial"/>
        </w:rPr>
        <w:t>R</w:t>
      </w:r>
      <w:r w:rsidR="002C0F7B" w:rsidRPr="00EB7712">
        <w:rPr>
          <w:rFonts w:ascii="Arial" w:hAnsi="Arial" w:cs="Arial"/>
        </w:rPr>
        <w:t>ule 110(10) is for purposes of judicial oversight</w:t>
      </w:r>
      <w:r w:rsidR="001C1AB6" w:rsidRPr="00EB7712">
        <w:rPr>
          <w:rFonts w:ascii="Arial" w:hAnsi="Arial" w:cs="Arial"/>
        </w:rPr>
        <w:t xml:space="preserve"> and </w:t>
      </w:r>
      <w:r w:rsidR="009A36AB" w:rsidRPr="00EB7712">
        <w:rPr>
          <w:rFonts w:ascii="Arial" w:hAnsi="Arial" w:cs="Arial"/>
        </w:rPr>
        <w:t xml:space="preserve">there needs to be strict compliance with the rule, however, </w:t>
      </w:r>
      <w:r w:rsidR="001C1AB6" w:rsidRPr="00EB7712">
        <w:rPr>
          <w:rFonts w:ascii="Arial" w:hAnsi="Arial" w:cs="Arial"/>
        </w:rPr>
        <w:t>in my view</w:t>
      </w:r>
      <w:r w:rsidR="009A36AB" w:rsidRPr="00EB7712">
        <w:rPr>
          <w:rFonts w:ascii="Arial" w:hAnsi="Arial" w:cs="Arial"/>
        </w:rPr>
        <w:t>,</w:t>
      </w:r>
      <w:r w:rsidR="001C1AB6" w:rsidRPr="00EB7712">
        <w:rPr>
          <w:rFonts w:ascii="Arial" w:hAnsi="Arial" w:cs="Arial"/>
        </w:rPr>
        <w:t xml:space="preserve"> the circumstance of the current matter is unique in that the purchaser</w:t>
      </w:r>
      <w:r w:rsidR="009A36AB" w:rsidRPr="00EB7712">
        <w:rPr>
          <w:rFonts w:ascii="Arial" w:hAnsi="Arial" w:cs="Arial"/>
        </w:rPr>
        <w:t xml:space="preserve"> in both sales in execution</w:t>
      </w:r>
      <w:r w:rsidR="001C1AB6" w:rsidRPr="00EB7712">
        <w:rPr>
          <w:rFonts w:ascii="Arial" w:hAnsi="Arial" w:cs="Arial"/>
        </w:rPr>
        <w:t xml:space="preserve"> is the same person and there was an increase in the sale price during the second sale.</w:t>
      </w:r>
      <w:r w:rsidR="009A36AB" w:rsidRPr="00EB7712">
        <w:rPr>
          <w:rFonts w:ascii="Arial" w:hAnsi="Arial" w:cs="Arial"/>
        </w:rPr>
        <w:t xml:space="preserve"> By ordering that</w:t>
      </w:r>
      <w:r w:rsidR="00ED4420" w:rsidRPr="00EB7712">
        <w:rPr>
          <w:rFonts w:ascii="Arial" w:hAnsi="Arial" w:cs="Arial"/>
        </w:rPr>
        <w:t>,</w:t>
      </w:r>
      <w:r w:rsidR="009A36AB" w:rsidRPr="00EB7712">
        <w:rPr>
          <w:rFonts w:ascii="Arial" w:hAnsi="Arial" w:cs="Arial"/>
        </w:rPr>
        <w:t xml:space="preserve"> the second sale in execution would be to the prejudice of both the judgment debtor and the judgment creditor. </w:t>
      </w:r>
    </w:p>
    <w:p w14:paraId="13978C9E" w14:textId="77777777" w:rsidR="000747DC" w:rsidRDefault="000747DC" w:rsidP="000747DC">
      <w:pPr>
        <w:pStyle w:val="ListParagraph"/>
        <w:rPr>
          <w:rFonts w:ascii="Arial" w:hAnsi="Arial" w:cs="Arial"/>
          <w:color w:val="242121"/>
        </w:rPr>
      </w:pPr>
    </w:p>
    <w:p w14:paraId="37FA42F2" w14:textId="359E7BA5" w:rsidR="001C1AB6" w:rsidRPr="00EB7712" w:rsidRDefault="001424F6" w:rsidP="001424F6">
      <w:pPr>
        <w:pStyle w:val="NormalWeb"/>
        <w:shd w:val="clear" w:color="auto" w:fill="FFFFFF"/>
        <w:spacing w:before="0" w:beforeAutospacing="0" w:after="0" w:afterAutospacing="0" w:line="360" w:lineRule="auto"/>
        <w:jc w:val="both"/>
        <w:rPr>
          <w:rFonts w:ascii="Arial" w:hAnsi="Arial" w:cs="Arial"/>
        </w:rPr>
      </w:pPr>
      <w:r w:rsidRPr="00EB7712">
        <w:rPr>
          <w:rFonts w:ascii="Arial" w:hAnsi="Arial" w:cs="Arial"/>
        </w:rPr>
        <w:t>[94]</w:t>
      </w:r>
      <w:r w:rsidRPr="00EB7712">
        <w:rPr>
          <w:rFonts w:ascii="Arial" w:hAnsi="Arial" w:cs="Arial"/>
        </w:rPr>
        <w:tab/>
      </w:r>
      <w:r w:rsidR="001C1AB6" w:rsidRPr="00EB7712">
        <w:rPr>
          <w:rFonts w:ascii="Arial" w:hAnsi="Arial" w:cs="Arial"/>
        </w:rPr>
        <w:t xml:space="preserve"> If the </w:t>
      </w:r>
      <w:r w:rsidR="000747DC" w:rsidRPr="00EB7712">
        <w:rPr>
          <w:rFonts w:ascii="Arial" w:hAnsi="Arial" w:cs="Arial"/>
        </w:rPr>
        <w:t>circumstances</w:t>
      </w:r>
      <w:r w:rsidR="001C1AB6" w:rsidRPr="00EB7712">
        <w:rPr>
          <w:rFonts w:ascii="Arial" w:hAnsi="Arial" w:cs="Arial"/>
        </w:rPr>
        <w:t xml:space="preserve"> were any different, for example</w:t>
      </w:r>
      <w:r w:rsidR="009A36AB" w:rsidRPr="00EB7712">
        <w:rPr>
          <w:rFonts w:ascii="Arial" w:hAnsi="Arial" w:cs="Arial"/>
        </w:rPr>
        <w:t>,</w:t>
      </w:r>
      <w:r w:rsidR="001C1AB6" w:rsidRPr="00EB7712">
        <w:rPr>
          <w:rFonts w:ascii="Arial" w:hAnsi="Arial" w:cs="Arial"/>
        </w:rPr>
        <w:t xml:space="preserve"> a different purchaser or the return on the second sale in execution was less </w:t>
      </w:r>
      <w:r w:rsidR="009A36AB" w:rsidRPr="00EB7712">
        <w:rPr>
          <w:rFonts w:ascii="Arial" w:hAnsi="Arial" w:cs="Arial"/>
        </w:rPr>
        <w:t xml:space="preserve">than the first </w:t>
      </w:r>
      <w:r w:rsidR="000747DC" w:rsidRPr="00EB7712">
        <w:rPr>
          <w:rFonts w:ascii="Arial" w:hAnsi="Arial" w:cs="Arial"/>
        </w:rPr>
        <w:t>sale</w:t>
      </w:r>
      <w:r w:rsidR="009A36AB" w:rsidRPr="00EB7712">
        <w:rPr>
          <w:rFonts w:ascii="Arial" w:hAnsi="Arial" w:cs="Arial"/>
        </w:rPr>
        <w:t xml:space="preserve">, </w:t>
      </w:r>
      <w:r w:rsidR="001C1AB6" w:rsidRPr="00EB7712">
        <w:rPr>
          <w:rFonts w:ascii="Arial" w:hAnsi="Arial" w:cs="Arial"/>
        </w:rPr>
        <w:t>I would not have hesitated in setting aside the second sale in execution</w:t>
      </w:r>
      <w:r w:rsidR="000747DC" w:rsidRPr="00EB7712">
        <w:rPr>
          <w:rFonts w:ascii="Arial" w:hAnsi="Arial" w:cs="Arial"/>
        </w:rPr>
        <w:t xml:space="preserve"> for non-compliance with rule 110(10)</w:t>
      </w:r>
      <w:r w:rsidR="001C1AB6" w:rsidRPr="00EB7712">
        <w:rPr>
          <w:rFonts w:ascii="Arial" w:hAnsi="Arial" w:cs="Arial"/>
        </w:rPr>
        <w:t>, but that is not the case before me.</w:t>
      </w:r>
    </w:p>
    <w:p w14:paraId="16E70493" w14:textId="77777777" w:rsidR="001C1AB6" w:rsidRPr="00997A78" w:rsidRDefault="001C1AB6" w:rsidP="001C1AB6">
      <w:pPr>
        <w:pStyle w:val="ListParagraph"/>
        <w:rPr>
          <w:rFonts w:ascii="Arial" w:hAnsi="Arial" w:cs="Arial"/>
          <w:color w:val="FF0000"/>
        </w:rPr>
      </w:pPr>
    </w:p>
    <w:p w14:paraId="37A739E5" w14:textId="24C1B08B" w:rsidR="00EB7712" w:rsidRPr="00EB7712" w:rsidRDefault="001424F6" w:rsidP="001424F6">
      <w:pPr>
        <w:pStyle w:val="NormalWeb"/>
        <w:shd w:val="clear" w:color="auto" w:fill="FFFFFF"/>
        <w:spacing w:before="0" w:beforeAutospacing="0" w:after="0" w:afterAutospacing="0" w:line="360" w:lineRule="auto"/>
        <w:jc w:val="both"/>
        <w:rPr>
          <w:rFonts w:ascii="Arial" w:hAnsi="Arial" w:cs="Arial"/>
        </w:rPr>
      </w:pPr>
      <w:r w:rsidRPr="00EB7712">
        <w:rPr>
          <w:rFonts w:ascii="Arial" w:hAnsi="Arial" w:cs="Arial"/>
        </w:rPr>
        <w:t>[95]</w:t>
      </w:r>
      <w:r w:rsidRPr="00EB7712">
        <w:rPr>
          <w:rFonts w:ascii="Arial" w:hAnsi="Arial" w:cs="Arial"/>
        </w:rPr>
        <w:tab/>
      </w:r>
      <w:r w:rsidR="00EB7712" w:rsidRPr="00EB7712">
        <w:rPr>
          <w:rFonts w:ascii="Arial" w:hAnsi="Arial" w:cs="Arial"/>
        </w:rPr>
        <w:t>That being said, I am of the view that setting aside the second sale in execution would result in an absurdity. The deed of transfer would have to be cancelled and property would be reregistered, supposedly, in the name of the judgment debtors. The property would remain in the possession of the deputy-sheriff and a letter of demand must be directed to the purchaser in the first sale in execution to comply with the conditions of sale, which is Mr Mouton, the purchaser in the second sale in execution.  Over and above the potential absurdity in granting the relief sought there are a number of practical issues resulting from an order setting aside the second sale in execution that were not addressed in the papers of the applicants as discussed in paras 88 and 89 above. The consequences for the innocent third party, Mr Mouton, who expended N$2 250 000 as a result of the sale, would also be far reaching</w:t>
      </w:r>
    </w:p>
    <w:p w14:paraId="2564CC67" w14:textId="77777777" w:rsidR="001C1AB6" w:rsidRPr="000747DC" w:rsidRDefault="001C1AB6" w:rsidP="001C1AB6">
      <w:pPr>
        <w:pStyle w:val="ListParagraph"/>
        <w:rPr>
          <w:rFonts w:ascii="Arial" w:hAnsi="Arial" w:cs="Arial"/>
          <w:color w:val="242121"/>
        </w:rPr>
      </w:pPr>
    </w:p>
    <w:p w14:paraId="27024677" w14:textId="77777777" w:rsidR="001C1AB6" w:rsidRDefault="001C1AB6" w:rsidP="00912EA1">
      <w:pPr>
        <w:pStyle w:val="ListParagraph"/>
        <w:jc w:val="both"/>
        <w:rPr>
          <w:rFonts w:ascii="Arial" w:hAnsi="Arial" w:cs="Arial"/>
          <w:color w:val="242121"/>
        </w:rPr>
      </w:pPr>
    </w:p>
    <w:p w14:paraId="1D55FBCE" w14:textId="579FB3CD" w:rsidR="002C0F7B" w:rsidRPr="001424F6" w:rsidRDefault="001424F6" w:rsidP="001424F6">
      <w:pPr>
        <w:spacing w:after="0" w:line="360" w:lineRule="auto"/>
        <w:jc w:val="both"/>
        <w:rPr>
          <w:rFonts w:ascii="Arial" w:hAnsi="Arial" w:cs="Arial"/>
          <w:sz w:val="24"/>
          <w:szCs w:val="24"/>
          <w:shd w:val="clear" w:color="auto" w:fill="FFFFFF"/>
          <w:lang w:val="en-GB"/>
        </w:rPr>
      </w:pPr>
      <w:r w:rsidRPr="00EB7712">
        <w:rPr>
          <w:rFonts w:ascii="Arial" w:hAnsi="Arial" w:cs="Arial"/>
          <w:sz w:val="24"/>
          <w:szCs w:val="24"/>
          <w:lang w:val="en-GB"/>
        </w:rPr>
        <w:t>[96]</w:t>
      </w:r>
      <w:r w:rsidRPr="00EB7712">
        <w:rPr>
          <w:rFonts w:ascii="Arial" w:hAnsi="Arial" w:cs="Arial"/>
          <w:sz w:val="24"/>
          <w:szCs w:val="24"/>
          <w:lang w:val="en-GB"/>
        </w:rPr>
        <w:tab/>
      </w:r>
      <w:r w:rsidR="00912EA1" w:rsidRPr="001424F6">
        <w:rPr>
          <w:rFonts w:ascii="Arial" w:hAnsi="Arial" w:cs="Arial"/>
          <w:sz w:val="24"/>
          <w:szCs w:val="24"/>
          <w:shd w:val="clear" w:color="auto" w:fill="FFFFFF"/>
          <w:lang w:val="en-GB"/>
        </w:rPr>
        <w:t>Immovable property validly sold in execution at judicial sales cannot, as a general rule, after registration of transfer be vindicated from a </w:t>
      </w:r>
      <w:r w:rsidR="00912EA1" w:rsidRPr="001424F6">
        <w:rPr>
          <w:rFonts w:ascii="Arial" w:hAnsi="Arial" w:cs="Arial"/>
          <w:i/>
          <w:iCs/>
          <w:sz w:val="24"/>
          <w:szCs w:val="24"/>
          <w:shd w:val="clear" w:color="auto" w:fill="FFFFFF"/>
          <w:lang w:val="en-GB"/>
        </w:rPr>
        <w:t>bona fide</w:t>
      </w:r>
      <w:r w:rsidR="00912EA1" w:rsidRPr="001424F6">
        <w:rPr>
          <w:rFonts w:ascii="Arial" w:hAnsi="Arial" w:cs="Arial"/>
          <w:sz w:val="24"/>
          <w:szCs w:val="24"/>
          <w:shd w:val="clear" w:color="auto" w:fill="FFFFFF"/>
        </w:rPr>
        <w:t> </w:t>
      </w:r>
      <w:r w:rsidR="00912EA1" w:rsidRPr="001424F6">
        <w:rPr>
          <w:rFonts w:ascii="Arial" w:hAnsi="Arial" w:cs="Arial"/>
          <w:sz w:val="24"/>
          <w:szCs w:val="24"/>
          <w:shd w:val="clear" w:color="auto" w:fill="FFFFFF"/>
          <w:lang w:val="en-GB"/>
        </w:rPr>
        <w:t>purchaser. It was held by Van den Heever JA in </w:t>
      </w:r>
      <w:r w:rsidR="00912EA1" w:rsidRPr="001424F6">
        <w:rPr>
          <w:rFonts w:ascii="Arial" w:hAnsi="Arial" w:cs="Arial"/>
          <w:i/>
          <w:iCs/>
          <w:sz w:val="24"/>
          <w:szCs w:val="24"/>
          <w:shd w:val="clear" w:color="auto" w:fill="FFFFFF"/>
          <w:lang w:val="en-GB"/>
        </w:rPr>
        <w:t>Sookdeyi v Sahadeo</w:t>
      </w:r>
      <w:r w:rsidR="00912EA1" w:rsidRPr="00EB7712">
        <w:rPr>
          <w:rStyle w:val="FootnoteReference"/>
          <w:rFonts w:ascii="Arial" w:hAnsi="Arial" w:cs="Arial"/>
          <w:i/>
          <w:iCs/>
          <w:sz w:val="24"/>
          <w:szCs w:val="24"/>
          <w:shd w:val="clear" w:color="auto" w:fill="FFFFFF"/>
          <w:lang w:val="en-GB"/>
        </w:rPr>
        <w:footnoteReference w:id="23"/>
      </w:r>
      <w:r w:rsidR="00912EA1" w:rsidRPr="001424F6">
        <w:rPr>
          <w:rFonts w:ascii="Arial" w:hAnsi="Arial" w:cs="Arial"/>
          <w:i/>
          <w:iCs/>
          <w:sz w:val="24"/>
          <w:szCs w:val="24"/>
          <w:shd w:val="clear" w:color="auto" w:fill="FFFFFF"/>
          <w:lang w:val="en-GB"/>
        </w:rPr>
        <w:t xml:space="preserve"> </w:t>
      </w:r>
      <w:r w:rsidR="00912EA1" w:rsidRPr="001424F6">
        <w:rPr>
          <w:rFonts w:ascii="Arial" w:hAnsi="Arial" w:cs="Arial"/>
          <w:sz w:val="24"/>
          <w:szCs w:val="24"/>
          <w:shd w:val="clear" w:color="auto" w:fill="FFFFFF"/>
          <w:lang w:val="en-GB"/>
        </w:rPr>
        <w:t>that it was a principle of the common law that a perfected sale in execution should after transfer or delivery of the subject matter not be lightly impugned and that the reluctance to rescind perfected sales in execution has been received in our case law.</w:t>
      </w:r>
      <w:r w:rsidR="007D5AE2" w:rsidRPr="001424F6">
        <w:rPr>
          <w:rFonts w:ascii="Arial" w:hAnsi="Arial" w:cs="Arial"/>
          <w:sz w:val="24"/>
          <w:szCs w:val="24"/>
          <w:shd w:val="clear" w:color="auto" w:fill="FFFFFF"/>
          <w:lang w:val="en-GB"/>
        </w:rPr>
        <w:t xml:space="preserve"> I must concur and cannot accede to the prayers of the applicants.</w:t>
      </w:r>
    </w:p>
    <w:p w14:paraId="06A9C6A3" w14:textId="77777777" w:rsidR="00997A78" w:rsidRPr="00EB7712" w:rsidRDefault="00997A78" w:rsidP="00997A78">
      <w:pPr>
        <w:pStyle w:val="ListParagraph"/>
        <w:spacing w:after="0" w:line="360" w:lineRule="auto"/>
        <w:ind w:left="0"/>
        <w:jc w:val="both"/>
        <w:rPr>
          <w:rFonts w:ascii="Arial" w:hAnsi="Arial" w:cs="Arial"/>
          <w:sz w:val="24"/>
          <w:szCs w:val="24"/>
          <w:shd w:val="clear" w:color="auto" w:fill="FFFFFF"/>
          <w:lang w:val="en-GB"/>
        </w:rPr>
      </w:pPr>
    </w:p>
    <w:p w14:paraId="3A36028E" w14:textId="1CB5141B" w:rsidR="00C74948" w:rsidRPr="00EB7712" w:rsidRDefault="001424F6" w:rsidP="001424F6">
      <w:pPr>
        <w:pStyle w:val="NormalWeb"/>
        <w:shd w:val="clear" w:color="auto" w:fill="FFFFFF"/>
        <w:spacing w:before="0" w:beforeAutospacing="0" w:after="0" w:afterAutospacing="0" w:line="360" w:lineRule="auto"/>
        <w:jc w:val="both"/>
        <w:rPr>
          <w:rFonts w:ascii="Arial" w:hAnsi="Arial" w:cs="Arial"/>
          <w:u w:val="single"/>
        </w:rPr>
      </w:pPr>
      <w:r w:rsidRPr="00EB7712">
        <w:rPr>
          <w:rFonts w:ascii="Arial" w:hAnsi="Arial" w:cs="Arial"/>
        </w:rPr>
        <w:t>[97]</w:t>
      </w:r>
      <w:r w:rsidRPr="00EB7712">
        <w:rPr>
          <w:rFonts w:ascii="Arial" w:hAnsi="Arial" w:cs="Arial"/>
        </w:rPr>
        <w:tab/>
      </w:r>
      <w:r w:rsidR="00912EA1" w:rsidRPr="00EB7712">
        <w:rPr>
          <w:rFonts w:ascii="Arial" w:hAnsi="Arial" w:cs="Arial"/>
          <w:shd w:val="clear" w:color="auto" w:fill="FFFFFF"/>
          <w:lang w:val="en-GB"/>
        </w:rPr>
        <w:t xml:space="preserve">For reasons set out above I am of the view that although there was no strict compliance with rule 110(10) by the deputy-sheriff it would </w:t>
      </w:r>
      <w:r w:rsidR="00162509" w:rsidRPr="00EB7712">
        <w:rPr>
          <w:rFonts w:ascii="Arial" w:hAnsi="Arial" w:cs="Arial"/>
          <w:shd w:val="clear" w:color="auto" w:fill="FFFFFF"/>
          <w:lang w:val="en-GB"/>
        </w:rPr>
        <w:t>be inappropriate</w:t>
      </w:r>
      <w:r w:rsidR="00912EA1" w:rsidRPr="00EB7712">
        <w:rPr>
          <w:rFonts w:ascii="Arial" w:hAnsi="Arial" w:cs="Arial"/>
          <w:shd w:val="clear" w:color="auto" w:fill="FFFFFF"/>
          <w:lang w:val="en-GB"/>
        </w:rPr>
        <w:t xml:space="preserve"> to set the second sale in execution dated 12 June 2022 aside</w:t>
      </w:r>
      <w:r w:rsidR="00997A78" w:rsidRPr="00EB7712">
        <w:rPr>
          <w:rFonts w:ascii="Arial" w:hAnsi="Arial" w:cs="Arial"/>
          <w:shd w:val="clear" w:color="auto" w:fill="FFFFFF"/>
          <w:lang w:val="en-GB"/>
        </w:rPr>
        <w:t>.</w:t>
      </w:r>
    </w:p>
    <w:p w14:paraId="450CC2EC" w14:textId="77777777" w:rsidR="00997A78" w:rsidRDefault="00997A78" w:rsidP="00997A78">
      <w:pPr>
        <w:pStyle w:val="ListParagraph"/>
        <w:rPr>
          <w:rFonts w:ascii="Arial" w:hAnsi="Arial" w:cs="Arial"/>
          <w:u w:val="single"/>
        </w:rPr>
      </w:pPr>
    </w:p>
    <w:p w14:paraId="159EC090" w14:textId="77777777" w:rsidR="00D55B65" w:rsidRPr="00D55B65" w:rsidRDefault="00D55B65" w:rsidP="00D55B65">
      <w:pPr>
        <w:pStyle w:val="ListParagraph"/>
        <w:spacing w:after="0" w:line="360" w:lineRule="auto"/>
        <w:ind w:left="0"/>
        <w:jc w:val="both"/>
        <w:rPr>
          <w:rFonts w:ascii="Arial" w:hAnsi="Arial" w:cs="Arial"/>
          <w:sz w:val="24"/>
          <w:szCs w:val="24"/>
          <w:u w:val="single"/>
        </w:rPr>
      </w:pPr>
      <w:r w:rsidRPr="00D55B65">
        <w:rPr>
          <w:rFonts w:ascii="Arial" w:hAnsi="Arial" w:cs="Arial"/>
          <w:sz w:val="24"/>
          <w:szCs w:val="24"/>
          <w:u w:val="single"/>
        </w:rPr>
        <w:t>Order</w:t>
      </w:r>
    </w:p>
    <w:p w14:paraId="064E0C36" w14:textId="77777777" w:rsidR="00D55B65" w:rsidRPr="00C74948" w:rsidRDefault="00D55B65" w:rsidP="00D55B65">
      <w:pPr>
        <w:pStyle w:val="ListParagraph"/>
        <w:rPr>
          <w:rFonts w:ascii="Arial" w:hAnsi="Arial" w:cs="Arial"/>
          <w:color w:val="000000" w:themeColor="text1"/>
          <w:sz w:val="24"/>
          <w:szCs w:val="24"/>
        </w:rPr>
      </w:pPr>
    </w:p>
    <w:p w14:paraId="7B373A6C" w14:textId="0864C3B8" w:rsidR="00D55B65" w:rsidRPr="001424F6" w:rsidRDefault="001424F6" w:rsidP="001424F6">
      <w:pPr>
        <w:spacing w:after="0"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D55B65" w:rsidRPr="001424F6">
        <w:rPr>
          <w:rFonts w:ascii="Arial" w:hAnsi="Arial" w:cs="Arial"/>
          <w:sz w:val="24"/>
          <w:szCs w:val="24"/>
        </w:rPr>
        <w:t>My order is as follows:</w:t>
      </w:r>
    </w:p>
    <w:p w14:paraId="10C93407" w14:textId="77777777" w:rsidR="00162509" w:rsidRPr="00D55B65" w:rsidRDefault="00162509" w:rsidP="00162509">
      <w:pPr>
        <w:pStyle w:val="ListParagraph"/>
        <w:spacing w:after="0" w:line="360" w:lineRule="auto"/>
        <w:ind w:left="0"/>
        <w:jc w:val="both"/>
        <w:rPr>
          <w:rFonts w:ascii="Arial" w:hAnsi="Arial" w:cs="Arial"/>
          <w:sz w:val="24"/>
          <w:szCs w:val="24"/>
        </w:rPr>
      </w:pPr>
    </w:p>
    <w:p w14:paraId="11DDAE83" w14:textId="0B82457C" w:rsidR="00162509" w:rsidRPr="001424F6" w:rsidRDefault="001424F6" w:rsidP="001424F6">
      <w:pPr>
        <w:spacing w:after="0" w:line="360" w:lineRule="auto"/>
        <w:ind w:left="720" w:hanging="360"/>
        <w:jc w:val="both"/>
        <w:rPr>
          <w:rFonts w:ascii="Arial" w:hAnsi="Arial" w:cs="Arial"/>
          <w:sz w:val="24"/>
          <w:szCs w:val="24"/>
        </w:rPr>
      </w:pPr>
      <w:r w:rsidRPr="00162509">
        <w:rPr>
          <w:rFonts w:ascii="Arial" w:hAnsi="Arial" w:cs="Arial"/>
          <w:sz w:val="24"/>
          <w:szCs w:val="24"/>
        </w:rPr>
        <w:t>1.</w:t>
      </w:r>
      <w:r w:rsidRPr="00162509">
        <w:rPr>
          <w:rFonts w:ascii="Arial" w:hAnsi="Arial" w:cs="Arial"/>
          <w:sz w:val="24"/>
          <w:szCs w:val="24"/>
        </w:rPr>
        <w:tab/>
      </w:r>
      <w:r w:rsidR="00162509" w:rsidRPr="001424F6">
        <w:rPr>
          <w:rFonts w:ascii="Arial" w:hAnsi="Arial" w:cs="Arial"/>
          <w:color w:val="000000" w:themeColor="text1"/>
          <w:sz w:val="24"/>
          <w:szCs w:val="24"/>
        </w:rPr>
        <w:t xml:space="preserve">The review relief and alternative relief sought by the applicants are dismissed. </w:t>
      </w:r>
    </w:p>
    <w:p w14:paraId="007C9363" w14:textId="1FBCBCAF" w:rsidR="00162509" w:rsidRPr="001424F6" w:rsidRDefault="001424F6" w:rsidP="001424F6">
      <w:pPr>
        <w:spacing w:after="0" w:line="360" w:lineRule="auto"/>
        <w:ind w:left="720" w:hanging="360"/>
        <w:jc w:val="both"/>
        <w:rPr>
          <w:rFonts w:ascii="Arial" w:hAnsi="Arial" w:cs="Arial"/>
          <w:sz w:val="24"/>
          <w:szCs w:val="24"/>
        </w:rPr>
      </w:pPr>
      <w:r w:rsidRPr="00162509">
        <w:rPr>
          <w:rFonts w:ascii="Arial" w:hAnsi="Arial" w:cs="Arial"/>
          <w:sz w:val="24"/>
          <w:szCs w:val="24"/>
        </w:rPr>
        <w:t>2.</w:t>
      </w:r>
      <w:r w:rsidRPr="00162509">
        <w:rPr>
          <w:rFonts w:ascii="Arial" w:hAnsi="Arial" w:cs="Arial"/>
          <w:sz w:val="24"/>
          <w:szCs w:val="24"/>
        </w:rPr>
        <w:tab/>
      </w:r>
      <w:r w:rsidR="00162509" w:rsidRPr="001424F6">
        <w:rPr>
          <w:rFonts w:ascii="Arial" w:hAnsi="Arial" w:cs="Arial"/>
          <w:sz w:val="24"/>
          <w:szCs w:val="24"/>
        </w:rPr>
        <w:t xml:space="preserve">The applicants are ordered to pay the costs of the application consequent upon the employment of one instructing and two instructed counsel.  </w:t>
      </w:r>
    </w:p>
    <w:p w14:paraId="462EEE7E" w14:textId="66C7627A" w:rsidR="00162509" w:rsidRPr="001424F6" w:rsidRDefault="001424F6" w:rsidP="001424F6">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62509" w:rsidRPr="001424F6">
        <w:rPr>
          <w:rFonts w:ascii="Arial" w:hAnsi="Arial" w:cs="Arial"/>
          <w:sz w:val="24"/>
          <w:szCs w:val="24"/>
        </w:rPr>
        <w:t>The matter is regarded as finalised and removed from the roll.</w:t>
      </w:r>
    </w:p>
    <w:p w14:paraId="11803417" w14:textId="77777777" w:rsidR="00162509" w:rsidRDefault="00162509" w:rsidP="00162509">
      <w:pPr>
        <w:spacing w:after="0" w:line="360" w:lineRule="auto"/>
        <w:jc w:val="both"/>
        <w:rPr>
          <w:rFonts w:ascii="Arial" w:hAnsi="Arial" w:cs="Arial"/>
          <w:sz w:val="24"/>
          <w:szCs w:val="24"/>
        </w:rPr>
      </w:pPr>
    </w:p>
    <w:p w14:paraId="7E5B0CE6" w14:textId="77777777" w:rsidR="00162509" w:rsidRPr="007D5AE2" w:rsidRDefault="00162509" w:rsidP="007D5AE2">
      <w:pPr>
        <w:pStyle w:val="Style8"/>
        <w:widowControl/>
        <w:autoSpaceDE/>
        <w:autoSpaceDN/>
        <w:adjustRightInd/>
        <w:spacing w:line="360" w:lineRule="auto"/>
        <w:rPr>
          <w:rFonts w:eastAsiaTheme="minorHAnsi"/>
          <w:lang w:eastAsia="en-US" w:bidi="ar-SA"/>
        </w:rPr>
      </w:pPr>
      <w:r w:rsidRPr="007D5AE2">
        <w:rPr>
          <w:rFonts w:eastAsiaTheme="minorHAnsi"/>
          <w:lang w:eastAsia="en-US" w:bidi="ar-SA"/>
        </w:rPr>
        <w:t xml:space="preserve"> </w:t>
      </w:r>
    </w:p>
    <w:p w14:paraId="060ADCC1" w14:textId="77777777" w:rsidR="007D5AE2" w:rsidRDefault="007D5AE2" w:rsidP="00162509">
      <w:pPr>
        <w:spacing w:after="0" w:line="360" w:lineRule="auto"/>
        <w:jc w:val="both"/>
        <w:rPr>
          <w:rFonts w:ascii="Arial" w:hAnsi="Arial" w:cs="Arial"/>
          <w:sz w:val="24"/>
          <w:szCs w:val="24"/>
        </w:rPr>
      </w:pPr>
    </w:p>
    <w:p w14:paraId="69C37BB4" w14:textId="77777777" w:rsidR="007D5AE2" w:rsidRDefault="007D5AE2" w:rsidP="00162509">
      <w:pPr>
        <w:spacing w:after="0" w:line="360" w:lineRule="auto"/>
        <w:jc w:val="both"/>
        <w:rPr>
          <w:rFonts w:ascii="Arial" w:hAnsi="Arial" w:cs="Arial"/>
          <w:sz w:val="24"/>
          <w:szCs w:val="24"/>
        </w:rPr>
      </w:pPr>
    </w:p>
    <w:p w14:paraId="0B6D8CF3" w14:textId="77777777" w:rsidR="007D5AE2" w:rsidRDefault="007D5AE2" w:rsidP="00162509">
      <w:pPr>
        <w:spacing w:after="0" w:line="360" w:lineRule="auto"/>
        <w:jc w:val="both"/>
        <w:rPr>
          <w:rFonts w:ascii="Arial" w:hAnsi="Arial" w:cs="Arial"/>
          <w:sz w:val="24"/>
          <w:szCs w:val="24"/>
        </w:rPr>
      </w:pPr>
    </w:p>
    <w:p w14:paraId="04C4F09E" w14:textId="77777777" w:rsidR="007D5AE2" w:rsidRPr="00162509" w:rsidRDefault="007D5AE2" w:rsidP="00162509">
      <w:pPr>
        <w:spacing w:after="0" w:line="360" w:lineRule="auto"/>
        <w:jc w:val="both"/>
        <w:rPr>
          <w:rFonts w:ascii="Arial" w:hAnsi="Arial" w:cs="Arial"/>
          <w:sz w:val="24"/>
          <w:szCs w:val="24"/>
        </w:rPr>
      </w:pPr>
    </w:p>
    <w:p w14:paraId="124F8291" w14:textId="77777777" w:rsidR="00D55B65" w:rsidRPr="00D55B65" w:rsidRDefault="00D55B65" w:rsidP="00D55B65">
      <w:pPr>
        <w:pStyle w:val="ListParagraph"/>
        <w:spacing w:after="0" w:line="360" w:lineRule="auto"/>
        <w:ind w:left="0"/>
        <w:jc w:val="both"/>
        <w:rPr>
          <w:rFonts w:ascii="Arial" w:hAnsi="Arial" w:cs="Arial"/>
          <w:sz w:val="24"/>
          <w:szCs w:val="24"/>
        </w:rPr>
      </w:pPr>
      <w:r w:rsidRPr="00A015B2">
        <w:rPr>
          <w:rFonts w:ascii="Arial" w:hAnsi="Arial" w:cs="Arial"/>
          <w:sz w:val="24"/>
          <w:szCs w:val="24"/>
        </w:rPr>
        <w:t xml:space="preserve">                                                                                                </w:t>
      </w:r>
      <w:r>
        <w:rPr>
          <w:rFonts w:ascii="Arial" w:hAnsi="Arial" w:cs="Arial"/>
          <w:color w:val="FF0000"/>
          <w:sz w:val="24"/>
          <w:szCs w:val="24"/>
        </w:rPr>
        <w:t xml:space="preserve"> </w:t>
      </w:r>
      <w:r w:rsidRPr="00D55B65">
        <w:rPr>
          <w:rFonts w:ascii="Arial" w:hAnsi="Arial" w:cs="Arial"/>
          <w:sz w:val="24"/>
          <w:szCs w:val="24"/>
        </w:rPr>
        <w:t xml:space="preserve">   ____________________</w:t>
      </w:r>
    </w:p>
    <w:p w14:paraId="0F50ABC0" w14:textId="77777777" w:rsidR="00D55B65" w:rsidRPr="00D55B65" w:rsidRDefault="00D55B65" w:rsidP="00D55B65">
      <w:pPr>
        <w:pStyle w:val="ListParagraph"/>
        <w:spacing w:after="0" w:line="360" w:lineRule="auto"/>
        <w:ind w:left="0"/>
        <w:jc w:val="both"/>
        <w:rPr>
          <w:rFonts w:ascii="Arial" w:hAnsi="Arial" w:cs="Arial"/>
          <w:sz w:val="24"/>
          <w:szCs w:val="24"/>
        </w:rPr>
      </w:pP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t xml:space="preserve">   JS Prinsloo</w:t>
      </w:r>
    </w:p>
    <w:p w14:paraId="24D9ABA2" w14:textId="77777777" w:rsidR="00A015B2" w:rsidRPr="00A015B2" w:rsidRDefault="00D55B65" w:rsidP="00D55B65">
      <w:pPr>
        <w:pStyle w:val="ListParagraph"/>
        <w:spacing w:after="0" w:line="360" w:lineRule="auto"/>
        <w:ind w:left="0"/>
        <w:jc w:val="both"/>
        <w:rPr>
          <w:rFonts w:ascii="Arial" w:hAnsi="Arial" w:cs="Arial"/>
          <w:sz w:val="24"/>
          <w:szCs w:val="24"/>
        </w:rPr>
      </w:pP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t xml:space="preserve">   Judge</w:t>
      </w:r>
    </w:p>
    <w:p w14:paraId="4D9A393F" w14:textId="77777777" w:rsidR="00617E1F" w:rsidRDefault="00617E1F" w:rsidP="00D55B65">
      <w:pPr>
        <w:pStyle w:val="ListParagraph"/>
        <w:spacing w:after="0" w:line="360" w:lineRule="auto"/>
        <w:ind w:left="0"/>
        <w:jc w:val="both"/>
        <w:rPr>
          <w:rFonts w:ascii="Arial" w:hAnsi="Arial" w:cs="Arial"/>
          <w:sz w:val="24"/>
          <w:szCs w:val="24"/>
        </w:rPr>
      </w:pPr>
    </w:p>
    <w:p w14:paraId="30930619" w14:textId="77777777" w:rsidR="00617E1F" w:rsidRDefault="00617E1F" w:rsidP="00D55B65">
      <w:pPr>
        <w:pStyle w:val="ListParagraph"/>
        <w:spacing w:after="0" w:line="360" w:lineRule="auto"/>
        <w:ind w:left="0"/>
        <w:jc w:val="both"/>
        <w:rPr>
          <w:rFonts w:ascii="Arial" w:hAnsi="Arial" w:cs="Arial"/>
          <w:sz w:val="24"/>
          <w:szCs w:val="24"/>
        </w:rPr>
      </w:pPr>
    </w:p>
    <w:p w14:paraId="135DA941" w14:textId="77777777" w:rsidR="00617E1F" w:rsidRDefault="00617E1F" w:rsidP="00D55B65">
      <w:pPr>
        <w:pStyle w:val="ListParagraph"/>
        <w:spacing w:after="0" w:line="360" w:lineRule="auto"/>
        <w:ind w:left="0"/>
        <w:jc w:val="both"/>
        <w:rPr>
          <w:rFonts w:ascii="Arial" w:hAnsi="Arial" w:cs="Arial"/>
          <w:sz w:val="24"/>
          <w:szCs w:val="24"/>
        </w:rPr>
      </w:pPr>
    </w:p>
    <w:p w14:paraId="0B32D09F" w14:textId="77777777" w:rsidR="00617E1F" w:rsidRDefault="00617E1F" w:rsidP="00D55B65">
      <w:pPr>
        <w:pStyle w:val="ListParagraph"/>
        <w:spacing w:after="0" w:line="360" w:lineRule="auto"/>
        <w:ind w:left="0"/>
        <w:jc w:val="both"/>
        <w:rPr>
          <w:rFonts w:ascii="Arial" w:hAnsi="Arial" w:cs="Arial"/>
          <w:sz w:val="24"/>
          <w:szCs w:val="24"/>
        </w:rPr>
      </w:pPr>
    </w:p>
    <w:p w14:paraId="377A2B78" w14:textId="77777777" w:rsidR="00617E1F" w:rsidRDefault="00617E1F" w:rsidP="00D55B65">
      <w:pPr>
        <w:pStyle w:val="ListParagraph"/>
        <w:spacing w:after="0" w:line="360" w:lineRule="auto"/>
        <w:ind w:left="0"/>
        <w:jc w:val="both"/>
        <w:rPr>
          <w:rFonts w:ascii="Arial" w:hAnsi="Arial" w:cs="Arial"/>
          <w:sz w:val="24"/>
          <w:szCs w:val="24"/>
        </w:rPr>
      </w:pPr>
    </w:p>
    <w:p w14:paraId="64E26DE9" w14:textId="77777777" w:rsidR="00EB7712" w:rsidRDefault="00EB7712" w:rsidP="00D55B65">
      <w:pPr>
        <w:pStyle w:val="ListParagraph"/>
        <w:spacing w:after="0" w:line="360" w:lineRule="auto"/>
        <w:ind w:left="0"/>
        <w:jc w:val="both"/>
        <w:rPr>
          <w:rFonts w:ascii="Arial" w:hAnsi="Arial" w:cs="Arial"/>
          <w:sz w:val="24"/>
          <w:szCs w:val="24"/>
        </w:rPr>
      </w:pPr>
    </w:p>
    <w:p w14:paraId="5D9F833F" w14:textId="77777777" w:rsidR="00EB7712" w:rsidRDefault="00EB7712" w:rsidP="00D55B65">
      <w:pPr>
        <w:pStyle w:val="ListParagraph"/>
        <w:spacing w:after="0" w:line="360" w:lineRule="auto"/>
        <w:ind w:left="0"/>
        <w:jc w:val="both"/>
        <w:rPr>
          <w:rFonts w:ascii="Arial" w:hAnsi="Arial" w:cs="Arial"/>
          <w:sz w:val="24"/>
          <w:szCs w:val="24"/>
        </w:rPr>
      </w:pPr>
    </w:p>
    <w:p w14:paraId="4B7AEE8A" w14:textId="77777777" w:rsidR="00EB7712" w:rsidRDefault="00EB7712" w:rsidP="00D55B65">
      <w:pPr>
        <w:pStyle w:val="ListParagraph"/>
        <w:spacing w:after="0" w:line="360" w:lineRule="auto"/>
        <w:ind w:left="0"/>
        <w:jc w:val="both"/>
        <w:rPr>
          <w:rFonts w:ascii="Arial" w:hAnsi="Arial" w:cs="Arial"/>
          <w:sz w:val="24"/>
          <w:szCs w:val="24"/>
        </w:rPr>
      </w:pPr>
    </w:p>
    <w:p w14:paraId="461DF821" w14:textId="77777777" w:rsidR="00EB7712" w:rsidRDefault="00EB7712" w:rsidP="00D55B65">
      <w:pPr>
        <w:pStyle w:val="ListParagraph"/>
        <w:spacing w:after="0" w:line="360" w:lineRule="auto"/>
        <w:ind w:left="0"/>
        <w:jc w:val="both"/>
        <w:rPr>
          <w:rFonts w:ascii="Arial" w:hAnsi="Arial" w:cs="Arial"/>
          <w:sz w:val="24"/>
          <w:szCs w:val="24"/>
        </w:rPr>
      </w:pPr>
    </w:p>
    <w:p w14:paraId="06C4D538" w14:textId="77777777" w:rsidR="00EB7712" w:rsidRDefault="00EB7712" w:rsidP="00D55B65">
      <w:pPr>
        <w:pStyle w:val="ListParagraph"/>
        <w:spacing w:after="0" w:line="360" w:lineRule="auto"/>
        <w:ind w:left="0"/>
        <w:jc w:val="both"/>
        <w:rPr>
          <w:rFonts w:ascii="Arial" w:hAnsi="Arial" w:cs="Arial"/>
          <w:sz w:val="24"/>
          <w:szCs w:val="24"/>
        </w:rPr>
      </w:pPr>
    </w:p>
    <w:p w14:paraId="483486E8" w14:textId="77777777" w:rsidR="00EB7712" w:rsidRDefault="00EB7712" w:rsidP="00D55B65">
      <w:pPr>
        <w:pStyle w:val="ListParagraph"/>
        <w:spacing w:after="0" w:line="360" w:lineRule="auto"/>
        <w:ind w:left="0"/>
        <w:jc w:val="both"/>
        <w:rPr>
          <w:rFonts w:ascii="Arial" w:hAnsi="Arial" w:cs="Arial"/>
          <w:sz w:val="24"/>
          <w:szCs w:val="24"/>
        </w:rPr>
      </w:pPr>
    </w:p>
    <w:p w14:paraId="222849A6" w14:textId="77777777" w:rsidR="00EB7712" w:rsidRDefault="00EB7712" w:rsidP="00D55B65">
      <w:pPr>
        <w:pStyle w:val="ListParagraph"/>
        <w:spacing w:after="0" w:line="360" w:lineRule="auto"/>
        <w:ind w:left="0"/>
        <w:jc w:val="both"/>
        <w:rPr>
          <w:rFonts w:ascii="Arial" w:hAnsi="Arial" w:cs="Arial"/>
          <w:sz w:val="24"/>
          <w:szCs w:val="24"/>
        </w:rPr>
      </w:pPr>
    </w:p>
    <w:p w14:paraId="7E9E3733" w14:textId="77777777" w:rsidR="00EB7712" w:rsidRDefault="00EB7712" w:rsidP="00D55B65">
      <w:pPr>
        <w:pStyle w:val="ListParagraph"/>
        <w:spacing w:after="0" w:line="360" w:lineRule="auto"/>
        <w:ind w:left="0"/>
        <w:jc w:val="both"/>
        <w:rPr>
          <w:rFonts w:ascii="Arial" w:hAnsi="Arial" w:cs="Arial"/>
          <w:sz w:val="24"/>
          <w:szCs w:val="24"/>
        </w:rPr>
      </w:pPr>
    </w:p>
    <w:p w14:paraId="16B88DD3" w14:textId="77777777" w:rsidR="00EB7712" w:rsidRDefault="00EB7712" w:rsidP="00D55B65">
      <w:pPr>
        <w:pStyle w:val="ListParagraph"/>
        <w:spacing w:after="0" w:line="360" w:lineRule="auto"/>
        <w:ind w:left="0"/>
        <w:jc w:val="both"/>
        <w:rPr>
          <w:rFonts w:ascii="Arial" w:hAnsi="Arial" w:cs="Arial"/>
          <w:sz w:val="24"/>
          <w:szCs w:val="24"/>
        </w:rPr>
      </w:pPr>
    </w:p>
    <w:p w14:paraId="41259984" w14:textId="77777777" w:rsidR="00EB7712" w:rsidRDefault="00EB7712" w:rsidP="00D55B65">
      <w:pPr>
        <w:pStyle w:val="ListParagraph"/>
        <w:spacing w:after="0" w:line="360" w:lineRule="auto"/>
        <w:ind w:left="0"/>
        <w:jc w:val="both"/>
        <w:rPr>
          <w:rFonts w:ascii="Arial" w:hAnsi="Arial" w:cs="Arial"/>
          <w:sz w:val="24"/>
          <w:szCs w:val="24"/>
        </w:rPr>
      </w:pPr>
    </w:p>
    <w:p w14:paraId="5A7F29D4" w14:textId="77777777" w:rsidR="00EB7712" w:rsidRDefault="00EB7712" w:rsidP="00D55B65">
      <w:pPr>
        <w:pStyle w:val="ListParagraph"/>
        <w:spacing w:after="0" w:line="360" w:lineRule="auto"/>
        <w:ind w:left="0"/>
        <w:jc w:val="both"/>
        <w:rPr>
          <w:rFonts w:ascii="Arial" w:hAnsi="Arial" w:cs="Arial"/>
          <w:sz w:val="24"/>
          <w:szCs w:val="24"/>
        </w:rPr>
      </w:pPr>
    </w:p>
    <w:p w14:paraId="5B7491CA" w14:textId="77777777" w:rsidR="00EB7712" w:rsidRDefault="00EB7712" w:rsidP="00D55B65">
      <w:pPr>
        <w:pStyle w:val="ListParagraph"/>
        <w:spacing w:after="0" w:line="360" w:lineRule="auto"/>
        <w:ind w:left="0"/>
        <w:jc w:val="both"/>
        <w:rPr>
          <w:rFonts w:ascii="Arial" w:hAnsi="Arial" w:cs="Arial"/>
          <w:sz w:val="24"/>
          <w:szCs w:val="24"/>
        </w:rPr>
      </w:pPr>
    </w:p>
    <w:p w14:paraId="2209E22E" w14:textId="77777777" w:rsidR="00EB7712" w:rsidRDefault="00EB7712" w:rsidP="00D55B65">
      <w:pPr>
        <w:pStyle w:val="ListParagraph"/>
        <w:spacing w:after="0" w:line="360" w:lineRule="auto"/>
        <w:ind w:left="0"/>
        <w:jc w:val="both"/>
        <w:rPr>
          <w:rFonts w:ascii="Arial" w:hAnsi="Arial" w:cs="Arial"/>
          <w:sz w:val="24"/>
          <w:szCs w:val="24"/>
        </w:rPr>
      </w:pPr>
    </w:p>
    <w:p w14:paraId="7036B27C" w14:textId="77777777" w:rsidR="00EB7712" w:rsidRDefault="00EB7712" w:rsidP="00D55B65">
      <w:pPr>
        <w:pStyle w:val="ListParagraph"/>
        <w:spacing w:after="0" w:line="360" w:lineRule="auto"/>
        <w:ind w:left="0"/>
        <w:jc w:val="both"/>
        <w:rPr>
          <w:rFonts w:ascii="Arial" w:hAnsi="Arial" w:cs="Arial"/>
          <w:sz w:val="24"/>
          <w:szCs w:val="24"/>
        </w:rPr>
      </w:pPr>
    </w:p>
    <w:p w14:paraId="7D6A2C97" w14:textId="77777777" w:rsidR="00EB7712" w:rsidRDefault="00EB7712" w:rsidP="00D55B65">
      <w:pPr>
        <w:pStyle w:val="ListParagraph"/>
        <w:spacing w:after="0" w:line="360" w:lineRule="auto"/>
        <w:ind w:left="0"/>
        <w:jc w:val="both"/>
        <w:rPr>
          <w:rFonts w:ascii="Arial" w:hAnsi="Arial" w:cs="Arial"/>
          <w:sz w:val="24"/>
          <w:szCs w:val="24"/>
        </w:rPr>
      </w:pPr>
    </w:p>
    <w:p w14:paraId="6D3D8C45" w14:textId="77777777" w:rsidR="00EB7712" w:rsidRDefault="00EB7712" w:rsidP="00D55B65">
      <w:pPr>
        <w:pStyle w:val="ListParagraph"/>
        <w:spacing w:after="0" w:line="360" w:lineRule="auto"/>
        <w:ind w:left="0"/>
        <w:jc w:val="both"/>
        <w:rPr>
          <w:rFonts w:ascii="Arial" w:hAnsi="Arial" w:cs="Arial"/>
          <w:sz w:val="24"/>
          <w:szCs w:val="24"/>
        </w:rPr>
      </w:pPr>
    </w:p>
    <w:p w14:paraId="6D3B372A" w14:textId="77777777" w:rsidR="00EB7712" w:rsidRDefault="00EB7712" w:rsidP="00D55B65">
      <w:pPr>
        <w:pStyle w:val="ListParagraph"/>
        <w:spacing w:after="0" w:line="360" w:lineRule="auto"/>
        <w:ind w:left="0"/>
        <w:jc w:val="both"/>
        <w:rPr>
          <w:rFonts w:ascii="Arial" w:hAnsi="Arial" w:cs="Arial"/>
          <w:sz w:val="24"/>
          <w:szCs w:val="24"/>
        </w:rPr>
      </w:pPr>
    </w:p>
    <w:p w14:paraId="13C02917" w14:textId="77777777" w:rsidR="00EB7712" w:rsidRDefault="00EB7712" w:rsidP="00D55B65">
      <w:pPr>
        <w:pStyle w:val="ListParagraph"/>
        <w:spacing w:after="0" w:line="360" w:lineRule="auto"/>
        <w:ind w:left="0"/>
        <w:jc w:val="both"/>
        <w:rPr>
          <w:rFonts w:ascii="Arial" w:hAnsi="Arial" w:cs="Arial"/>
          <w:sz w:val="24"/>
          <w:szCs w:val="24"/>
        </w:rPr>
      </w:pPr>
    </w:p>
    <w:p w14:paraId="4DF5214F" w14:textId="77777777" w:rsidR="00D55B65" w:rsidRPr="00D55B65" w:rsidRDefault="00D55B65" w:rsidP="00D55B65">
      <w:pPr>
        <w:pStyle w:val="ListParagraph"/>
        <w:spacing w:after="0" w:line="360" w:lineRule="auto"/>
        <w:ind w:left="0"/>
        <w:jc w:val="both"/>
        <w:rPr>
          <w:rFonts w:ascii="Arial" w:hAnsi="Arial" w:cs="Arial"/>
          <w:sz w:val="24"/>
          <w:szCs w:val="24"/>
        </w:rPr>
      </w:pPr>
      <w:r w:rsidRPr="00D55B65">
        <w:rPr>
          <w:rFonts w:ascii="Arial" w:hAnsi="Arial" w:cs="Arial"/>
          <w:sz w:val="24"/>
          <w:szCs w:val="24"/>
        </w:rPr>
        <w:t>For the applicants:</w:t>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t>N Tjombe</w:t>
      </w:r>
    </w:p>
    <w:p w14:paraId="500BB841" w14:textId="77777777" w:rsidR="00D55B65" w:rsidRPr="00D55B65" w:rsidRDefault="00D55B65" w:rsidP="00D55B65">
      <w:pPr>
        <w:pStyle w:val="ListParagraph"/>
        <w:spacing w:after="0" w:line="360" w:lineRule="auto"/>
        <w:ind w:left="0"/>
        <w:jc w:val="both"/>
        <w:rPr>
          <w:rFonts w:ascii="Arial" w:hAnsi="Arial" w:cs="Arial"/>
          <w:sz w:val="24"/>
          <w:szCs w:val="24"/>
        </w:rPr>
      </w:pP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00A015B2">
        <w:rPr>
          <w:rFonts w:ascii="Arial" w:hAnsi="Arial" w:cs="Arial"/>
          <w:sz w:val="24"/>
          <w:szCs w:val="24"/>
        </w:rPr>
        <w:t>Of Tjome-</w:t>
      </w:r>
      <w:r w:rsidRPr="00D55B65">
        <w:rPr>
          <w:rFonts w:ascii="Arial" w:hAnsi="Arial" w:cs="Arial"/>
          <w:sz w:val="24"/>
          <w:szCs w:val="24"/>
        </w:rPr>
        <w:t>Elago Legal Practitioners</w:t>
      </w:r>
    </w:p>
    <w:p w14:paraId="6CA8664F" w14:textId="77777777" w:rsidR="00D55B65" w:rsidRPr="00D55B65" w:rsidRDefault="00D55B65" w:rsidP="00D55B65">
      <w:pPr>
        <w:pStyle w:val="ListParagraph"/>
        <w:spacing w:after="0" w:line="360" w:lineRule="auto"/>
        <w:ind w:left="0"/>
        <w:jc w:val="both"/>
        <w:rPr>
          <w:rFonts w:ascii="Arial" w:hAnsi="Arial" w:cs="Arial"/>
          <w:sz w:val="24"/>
          <w:szCs w:val="24"/>
        </w:rPr>
      </w:pP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t>Windhoek</w:t>
      </w:r>
    </w:p>
    <w:p w14:paraId="1369D698" w14:textId="77777777" w:rsidR="00D55B65" w:rsidRPr="00D55B65" w:rsidRDefault="00D55B65" w:rsidP="00D55B65">
      <w:pPr>
        <w:pStyle w:val="ListParagraph"/>
        <w:spacing w:after="0" w:line="360" w:lineRule="auto"/>
        <w:ind w:left="0"/>
        <w:jc w:val="both"/>
        <w:rPr>
          <w:rFonts w:ascii="Arial" w:hAnsi="Arial" w:cs="Arial"/>
          <w:sz w:val="24"/>
          <w:szCs w:val="24"/>
        </w:rPr>
      </w:pPr>
    </w:p>
    <w:p w14:paraId="5E5A3C4A" w14:textId="77777777" w:rsidR="00D55B65" w:rsidRPr="00D55B65" w:rsidRDefault="00D55B65" w:rsidP="00D55B65">
      <w:pPr>
        <w:pStyle w:val="ListParagraph"/>
        <w:spacing w:after="0" w:line="360" w:lineRule="auto"/>
        <w:ind w:left="0"/>
        <w:jc w:val="both"/>
        <w:rPr>
          <w:rFonts w:ascii="Arial" w:hAnsi="Arial" w:cs="Arial"/>
          <w:sz w:val="24"/>
          <w:szCs w:val="24"/>
        </w:rPr>
      </w:pPr>
      <w:r w:rsidRPr="00D55B65">
        <w:rPr>
          <w:rFonts w:ascii="Arial" w:hAnsi="Arial" w:cs="Arial"/>
          <w:sz w:val="24"/>
          <w:szCs w:val="24"/>
        </w:rPr>
        <w:t>For the second respondent:</w:t>
      </w:r>
      <w:r w:rsidRPr="00D55B65">
        <w:rPr>
          <w:rFonts w:ascii="Arial" w:hAnsi="Arial" w:cs="Arial"/>
          <w:sz w:val="24"/>
          <w:szCs w:val="24"/>
        </w:rPr>
        <w:tab/>
      </w:r>
      <w:r w:rsidRPr="00D55B65">
        <w:rPr>
          <w:rFonts w:ascii="Arial" w:hAnsi="Arial" w:cs="Arial"/>
          <w:sz w:val="24"/>
          <w:szCs w:val="24"/>
        </w:rPr>
        <w:tab/>
      </w:r>
      <w:r w:rsidRPr="00D55B65">
        <w:rPr>
          <w:rFonts w:ascii="Arial" w:hAnsi="Arial" w:cs="Arial"/>
          <w:sz w:val="24"/>
          <w:szCs w:val="24"/>
        </w:rPr>
        <w:tab/>
        <w:t>Y Campbell</w:t>
      </w:r>
      <w:r w:rsidR="00ED4420">
        <w:rPr>
          <w:rFonts w:ascii="Arial" w:hAnsi="Arial" w:cs="Arial"/>
          <w:sz w:val="24"/>
          <w:szCs w:val="24"/>
        </w:rPr>
        <w:t xml:space="preserve"> </w:t>
      </w:r>
    </w:p>
    <w:p w14:paraId="46C7D021" w14:textId="77777777" w:rsidR="00D55B65" w:rsidRPr="00D55B65" w:rsidRDefault="001F3A05" w:rsidP="00D55B65">
      <w:pPr>
        <w:pStyle w:val="ListParagraph"/>
        <w:spacing w:after="0" w:line="360" w:lineRule="auto"/>
        <w:ind w:left="5040"/>
        <w:jc w:val="both"/>
        <w:rPr>
          <w:rFonts w:ascii="Arial" w:hAnsi="Arial" w:cs="Arial"/>
          <w:sz w:val="24"/>
          <w:szCs w:val="24"/>
        </w:rPr>
      </w:pPr>
      <w:r>
        <w:rPr>
          <w:rFonts w:ascii="Arial" w:hAnsi="Arial" w:cs="Arial"/>
          <w:sz w:val="24"/>
          <w:szCs w:val="24"/>
        </w:rPr>
        <w:t xml:space="preserve">Instructed by </w:t>
      </w:r>
      <w:r w:rsidR="00D55B65" w:rsidRPr="00D55B65">
        <w:rPr>
          <w:rFonts w:ascii="Arial" w:hAnsi="Arial" w:cs="Arial"/>
          <w:sz w:val="24"/>
          <w:szCs w:val="24"/>
        </w:rPr>
        <w:t>Englin</w:t>
      </w:r>
      <w:r w:rsidR="00A015B2">
        <w:rPr>
          <w:rFonts w:ascii="Arial" w:hAnsi="Arial" w:cs="Arial"/>
          <w:sz w:val="24"/>
          <w:szCs w:val="24"/>
        </w:rPr>
        <w:t>g</w:t>
      </w:r>
      <w:r w:rsidR="00D55B65" w:rsidRPr="00D55B65">
        <w:rPr>
          <w:rFonts w:ascii="Arial" w:hAnsi="Arial" w:cs="Arial"/>
          <w:sz w:val="24"/>
          <w:szCs w:val="24"/>
        </w:rPr>
        <w:t xml:space="preserve">, Stritter and Partners, </w:t>
      </w:r>
    </w:p>
    <w:p w14:paraId="7A885561" w14:textId="77777777" w:rsidR="00D55B65" w:rsidRDefault="00711B56" w:rsidP="00711B56">
      <w:pPr>
        <w:pStyle w:val="ListParagraph"/>
        <w:spacing w:after="0" w:line="360" w:lineRule="auto"/>
        <w:ind w:left="5040"/>
        <w:jc w:val="both"/>
        <w:rPr>
          <w:rFonts w:ascii="Arial" w:hAnsi="Arial" w:cs="Arial"/>
          <w:sz w:val="24"/>
          <w:szCs w:val="24"/>
        </w:rPr>
      </w:pPr>
      <w:r>
        <w:rPr>
          <w:rFonts w:ascii="Arial" w:hAnsi="Arial" w:cs="Arial"/>
          <w:sz w:val="24"/>
          <w:szCs w:val="24"/>
        </w:rPr>
        <w:t>Windhoek</w:t>
      </w:r>
    </w:p>
    <w:p w14:paraId="5B4070CF" w14:textId="77777777" w:rsidR="004813FE" w:rsidRPr="005F78DF" w:rsidRDefault="004813FE" w:rsidP="005F78DF">
      <w:pPr>
        <w:pStyle w:val="Style8"/>
        <w:widowControl/>
        <w:autoSpaceDE/>
        <w:autoSpaceDN/>
        <w:adjustRightInd/>
        <w:spacing w:line="360" w:lineRule="auto"/>
        <w:rPr>
          <w:rFonts w:eastAsiaTheme="minorHAnsi"/>
          <w:lang w:eastAsia="en-US" w:bidi="ar-SA"/>
        </w:rPr>
      </w:pPr>
    </w:p>
    <w:sectPr w:rsidR="004813FE" w:rsidRPr="005F78DF" w:rsidSect="000B75B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478F" w14:textId="77777777" w:rsidR="00A65E91" w:rsidRDefault="00A65E91" w:rsidP="00232314">
      <w:pPr>
        <w:spacing w:after="0" w:line="240" w:lineRule="auto"/>
      </w:pPr>
      <w:r>
        <w:separator/>
      </w:r>
    </w:p>
  </w:endnote>
  <w:endnote w:type="continuationSeparator" w:id="0">
    <w:p w14:paraId="70C00BBB" w14:textId="77777777" w:rsidR="00A65E91" w:rsidRDefault="00A65E91" w:rsidP="0023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CD9E" w14:textId="77777777" w:rsidR="00A65E91" w:rsidRDefault="00A65E91" w:rsidP="00232314">
      <w:pPr>
        <w:spacing w:after="0" w:line="240" w:lineRule="auto"/>
      </w:pPr>
      <w:r>
        <w:separator/>
      </w:r>
    </w:p>
  </w:footnote>
  <w:footnote w:type="continuationSeparator" w:id="0">
    <w:p w14:paraId="13D5DCE4" w14:textId="77777777" w:rsidR="00A65E91" w:rsidRDefault="00A65E91" w:rsidP="00232314">
      <w:pPr>
        <w:spacing w:after="0" w:line="240" w:lineRule="auto"/>
      </w:pPr>
      <w:r>
        <w:continuationSeparator/>
      </w:r>
    </w:p>
  </w:footnote>
  <w:footnote w:id="1">
    <w:p w14:paraId="6D64C610" w14:textId="77777777" w:rsidR="00EB7712" w:rsidRPr="00AB13BC" w:rsidRDefault="00EB7712" w:rsidP="003F2B3E">
      <w:pPr>
        <w:pStyle w:val="Heading2"/>
        <w:shd w:val="clear" w:color="auto" w:fill="FFFFFF"/>
        <w:spacing w:after="180" w:line="288" w:lineRule="atLeast"/>
        <w:rPr>
          <w:i w:val="0"/>
          <w:color w:val="64473A"/>
          <w:sz w:val="20"/>
          <w:szCs w:val="20"/>
        </w:rPr>
      </w:pPr>
      <w:r>
        <w:rPr>
          <w:rStyle w:val="FootnoteReference"/>
        </w:rPr>
        <w:footnoteRef/>
      </w:r>
      <w:r>
        <w:t xml:space="preserve"> </w:t>
      </w:r>
      <w:r w:rsidRPr="00AB13BC">
        <w:rPr>
          <w:bCs/>
          <w:color w:val="64473A"/>
          <w:sz w:val="20"/>
          <w:szCs w:val="20"/>
        </w:rPr>
        <w:t xml:space="preserve">Todd </w:t>
      </w:r>
      <w:r w:rsidRPr="00AB13BC">
        <w:rPr>
          <w:bCs/>
          <w:sz w:val="20"/>
          <w:szCs w:val="20"/>
        </w:rPr>
        <w:t>v Firstrand Bank Ltd and Others (</w:t>
      </w:r>
      <w:r w:rsidRPr="00AB13BC">
        <w:rPr>
          <w:bCs/>
          <w:i w:val="0"/>
          <w:sz w:val="20"/>
          <w:szCs w:val="20"/>
        </w:rPr>
        <w:t>20373/10, 1467/12) [2012] ZAWCHC 7 (9 February 2012).</w:t>
      </w:r>
    </w:p>
    <w:p w14:paraId="4E0F573D" w14:textId="77777777" w:rsidR="00EB7712" w:rsidRPr="00AB13BC" w:rsidRDefault="00EB7712">
      <w:pPr>
        <w:pStyle w:val="FootnoteText"/>
        <w:rPr>
          <w:lang w:val="en-ZA"/>
        </w:rPr>
      </w:pPr>
    </w:p>
  </w:footnote>
  <w:footnote w:id="2">
    <w:p w14:paraId="3D92A0A4" w14:textId="77777777" w:rsidR="00EB7712" w:rsidRPr="00784764" w:rsidRDefault="00EB7712" w:rsidP="007C6B16">
      <w:pPr>
        <w:pStyle w:val="Heading2"/>
        <w:shd w:val="clear" w:color="auto" w:fill="FFFFFF"/>
        <w:rPr>
          <w:sz w:val="20"/>
          <w:szCs w:val="20"/>
          <w:lang w:val="en-ZA"/>
        </w:rPr>
      </w:pPr>
      <w:r w:rsidRPr="00784764">
        <w:rPr>
          <w:rStyle w:val="FootnoteReference"/>
          <w:sz w:val="20"/>
          <w:szCs w:val="20"/>
        </w:rPr>
        <w:footnoteRef/>
      </w:r>
      <w:r w:rsidRPr="00784764">
        <w:rPr>
          <w:sz w:val="20"/>
          <w:szCs w:val="20"/>
        </w:rPr>
        <w:t xml:space="preserve"> </w:t>
      </w:r>
      <w:r w:rsidRPr="00784764">
        <w:rPr>
          <w:bCs/>
          <w:color w:val="64473A"/>
          <w:sz w:val="20"/>
          <w:szCs w:val="20"/>
        </w:rPr>
        <w:t>To</w:t>
      </w:r>
      <w:r w:rsidRPr="00784764">
        <w:rPr>
          <w:bCs/>
          <w:sz w:val="20"/>
          <w:szCs w:val="20"/>
        </w:rPr>
        <w:t>dd v First Rand Bank Ltd and Others</w:t>
      </w:r>
      <w:r w:rsidRPr="00784764">
        <w:rPr>
          <w:bCs/>
          <w:i w:val="0"/>
          <w:sz w:val="20"/>
          <w:szCs w:val="20"/>
        </w:rPr>
        <w:t xml:space="preserve"> (497/12) [2013] ZASCA 61; [2013] 3 All SA 500 (SCA) (24 May 2013)</w:t>
      </w:r>
      <w:r>
        <w:rPr>
          <w:bCs/>
          <w:i w:val="0"/>
          <w:sz w:val="20"/>
          <w:szCs w:val="20"/>
        </w:rPr>
        <w:t>.</w:t>
      </w:r>
    </w:p>
  </w:footnote>
  <w:footnote w:id="3">
    <w:p w14:paraId="3D29997B" w14:textId="77777777" w:rsidR="00EB7712" w:rsidRPr="00784764" w:rsidRDefault="00EB7712" w:rsidP="007C6B16">
      <w:pPr>
        <w:pStyle w:val="FootnoteText"/>
        <w:spacing w:line="360" w:lineRule="auto"/>
        <w:jc w:val="both"/>
        <w:rPr>
          <w:rFonts w:ascii="Arial" w:hAnsi="Arial" w:cs="Arial"/>
          <w:lang w:val="en-ZA"/>
        </w:rPr>
      </w:pPr>
      <w:r w:rsidRPr="00784764">
        <w:rPr>
          <w:rStyle w:val="FootnoteReference"/>
          <w:rFonts w:ascii="Arial" w:hAnsi="Arial" w:cs="Arial"/>
        </w:rPr>
        <w:footnoteRef/>
      </w:r>
      <w:r w:rsidRPr="00784764">
        <w:rPr>
          <w:rFonts w:ascii="Arial" w:hAnsi="Arial" w:cs="Arial"/>
        </w:rPr>
        <w:t xml:space="preserve"> </w:t>
      </w:r>
      <w:r w:rsidRPr="00784764">
        <w:rPr>
          <w:rFonts w:ascii="Arial" w:hAnsi="Arial" w:cs="Arial"/>
          <w:i/>
        </w:rPr>
        <w:t xml:space="preserve">Standard Bank Namibia Limited v Somaeb </w:t>
      </w:r>
      <w:r w:rsidRPr="00784764">
        <w:rPr>
          <w:rFonts w:ascii="Arial" w:hAnsi="Arial" w:cs="Arial"/>
        </w:rPr>
        <w:t>(I 1912/2013) [2014] NAHCMD 98 (26 March 2014) at para [13].</w:t>
      </w:r>
    </w:p>
  </w:footnote>
  <w:footnote w:id="4">
    <w:p w14:paraId="7FF1DEB8" w14:textId="77777777" w:rsidR="00EB7712" w:rsidRPr="00E05855" w:rsidRDefault="00EB7712" w:rsidP="007C6B16">
      <w:pPr>
        <w:pStyle w:val="FootnoteText"/>
        <w:spacing w:line="360" w:lineRule="auto"/>
        <w:jc w:val="both"/>
        <w:rPr>
          <w:rFonts w:ascii="Arial" w:hAnsi="Arial" w:cs="Arial"/>
          <w:lang w:val="en-ZA"/>
        </w:rPr>
      </w:pPr>
      <w:r w:rsidRPr="00784764">
        <w:rPr>
          <w:rStyle w:val="FootnoteReference"/>
          <w:rFonts w:ascii="Arial" w:hAnsi="Arial" w:cs="Arial"/>
        </w:rPr>
        <w:footnoteRef/>
      </w:r>
      <w:r w:rsidRPr="00784764">
        <w:rPr>
          <w:rFonts w:ascii="Arial" w:hAnsi="Arial" w:cs="Arial"/>
        </w:rPr>
        <w:t xml:space="preserve"> </w:t>
      </w:r>
      <w:r w:rsidRPr="00784764">
        <w:rPr>
          <w:rFonts w:ascii="Arial" w:hAnsi="Arial" w:cs="Arial"/>
          <w:i/>
        </w:rPr>
        <w:t xml:space="preserve">Januarie v Registrar of High Court &amp; others </w:t>
      </w:r>
      <w:r w:rsidRPr="00784764">
        <w:rPr>
          <w:rFonts w:ascii="Arial" w:hAnsi="Arial" w:cs="Arial"/>
        </w:rPr>
        <w:t>(I 396/2009) [2013] NAHCMD 276 (8 October 2013).</w:t>
      </w:r>
    </w:p>
  </w:footnote>
  <w:footnote w:id="5">
    <w:p w14:paraId="7CFA2D47" w14:textId="77777777" w:rsidR="00EB7712" w:rsidRPr="00967ED3" w:rsidRDefault="00EB7712" w:rsidP="00967ED3">
      <w:pPr>
        <w:pStyle w:val="HCR-Numberingaffidavit"/>
        <w:numPr>
          <w:ilvl w:val="0"/>
          <w:numId w:val="0"/>
        </w:numPr>
        <w:spacing w:before="0" w:after="0"/>
        <w:outlineLvl w:val="9"/>
        <w:rPr>
          <w:rFonts w:cs="Arial"/>
          <w:sz w:val="20"/>
          <w:lang w:val="en-ZA"/>
        </w:rPr>
      </w:pPr>
      <w:r>
        <w:rPr>
          <w:rStyle w:val="FootnoteReference"/>
        </w:rPr>
        <w:footnoteRef/>
      </w:r>
      <w:r>
        <w:t xml:space="preserve"> </w:t>
      </w:r>
      <w:r w:rsidRPr="00967ED3">
        <w:rPr>
          <w:rFonts w:cs="Arial"/>
          <w:iCs/>
          <w:sz w:val="20"/>
          <w:shd w:val="clear" w:color="auto" w:fill="FFFFFF"/>
        </w:rPr>
        <w:t>Hornby, Albert Sydney. Oxford Advanced Learner's Dictionary of Current English, Editor Jonathan Crowther. Oxford, England:</w:t>
      </w:r>
      <w:r>
        <w:rPr>
          <w:rFonts w:cs="Arial"/>
          <w:iCs/>
          <w:sz w:val="20"/>
          <w:shd w:val="clear" w:color="auto" w:fill="FFFFFF"/>
        </w:rPr>
        <w:t xml:space="preserve"> </w:t>
      </w:r>
      <w:r w:rsidRPr="00967ED3">
        <w:rPr>
          <w:rFonts w:cs="Arial"/>
          <w:iCs/>
          <w:sz w:val="20"/>
          <w:shd w:val="clear" w:color="auto" w:fill="FFFFFF"/>
        </w:rPr>
        <w:t>Oxford University Press, 1995.</w:t>
      </w:r>
    </w:p>
  </w:footnote>
  <w:footnote w:id="6">
    <w:p w14:paraId="24A8077D" w14:textId="77777777" w:rsidR="00EB7712" w:rsidRPr="00967ED3" w:rsidRDefault="00EB7712" w:rsidP="00967ED3">
      <w:pPr>
        <w:pStyle w:val="FootnoteText"/>
        <w:spacing w:line="360" w:lineRule="auto"/>
        <w:jc w:val="both"/>
        <w:rPr>
          <w:rFonts w:ascii="Arial" w:hAnsi="Arial" w:cs="Arial"/>
        </w:rPr>
      </w:pPr>
      <w:r w:rsidRPr="00967ED3">
        <w:rPr>
          <w:rStyle w:val="FootnoteReference"/>
          <w:rFonts w:ascii="Arial" w:hAnsi="Arial" w:cs="Arial"/>
        </w:rPr>
        <w:footnoteRef/>
      </w:r>
      <w:r w:rsidRPr="00967ED3">
        <w:rPr>
          <w:rFonts w:ascii="Arial" w:hAnsi="Arial" w:cs="Arial"/>
        </w:rPr>
        <w:t xml:space="preserve"> </w:t>
      </w:r>
      <w:r w:rsidRPr="00967ED3">
        <w:rPr>
          <w:rFonts w:ascii="Arial" w:hAnsi="Arial" w:cs="Arial"/>
          <w:i/>
        </w:rPr>
        <w:t>S v Rossouw</w:t>
      </w:r>
      <w:r w:rsidRPr="00967ED3">
        <w:rPr>
          <w:rFonts w:ascii="Arial" w:hAnsi="Arial" w:cs="Arial"/>
        </w:rPr>
        <w:t xml:space="preserve"> 1968 (4) SA 380</w:t>
      </w:r>
      <w:r>
        <w:rPr>
          <w:rFonts w:ascii="Arial" w:hAnsi="Arial" w:cs="Arial"/>
        </w:rPr>
        <w:t>.</w:t>
      </w:r>
    </w:p>
  </w:footnote>
  <w:footnote w:id="7">
    <w:p w14:paraId="5D340247" w14:textId="77777777" w:rsidR="00EB7712" w:rsidRPr="00967ED3" w:rsidRDefault="00EB7712" w:rsidP="008A6B98">
      <w:pPr>
        <w:pStyle w:val="FootnoteText"/>
        <w:spacing w:line="360" w:lineRule="auto"/>
        <w:jc w:val="both"/>
        <w:rPr>
          <w:rFonts w:ascii="Arial" w:hAnsi="Arial" w:cs="Arial"/>
        </w:rPr>
      </w:pPr>
      <w:r w:rsidRPr="00967ED3">
        <w:rPr>
          <w:rStyle w:val="FootnoteReference"/>
          <w:rFonts w:ascii="Arial" w:hAnsi="Arial" w:cs="Arial"/>
        </w:rPr>
        <w:footnoteRef/>
      </w:r>
      <w:r>
        <w:rPr>
          <w:rFonts w:ascii="Arial" w:hAnsi="Arial" w:cs="Arial"/>
        </w:rPr>
        <w:t xml:space="preserve"> </w:t>
      </w:r>
      <w:r w:rsidRPr="00967ED3">
        <w:rPr>
          <w:rFonts w:ascii="Arial" w:hAnsi="Arial" w:cs="Arial"/>
          <w:i/>
        </w:rPr>
        <w:t>S v Rossouw</w:t>
      </w:r>
      <w:r>
        <w:rPr>
          <w:rFonts w:ascii="Arial" w:hAnsi="Arial" w:cs="Arial"/>
          <w:i/>
        </w:rPr>
        <w:t xml:space="preserve"> </w:t>
      </w:r>
      <w:r w:rsidRPr="00784764">
        <w:rPr>
          <w:rFonts w:ascii="Arial" w:hAnsi="Arial" w:cs="Arial"/>
        </w:rPr>
        <w:t>supra</w:t>
      </w:r>
      <w:r>
        <w:rPr>
          <w:rFonts w:ascii="Arial" w:hAnsi="Arial" w:cs="Arial"/>
          <w:i/>
        </w:rPr>
        <w:t xml:space="preserve"> a</w:t>
      </w:r>
      <w:r w:rsidRPr="00967ED3">
        <w:rPr>
          <w:rFonts w:ascii="Arial" w:hAnsi="Arial" w:cs="Arial"/>
        </w:rPr>
        <w:t>t 385 C-D</w:t>
      </w:r>
      <w:r>
        <w:rPr>
          <w:rFonts w:ascii="Arial" w:hAnsi="Arial" w:cs="Arial"/>
        </w:rPr>
        <w:t>.</w:t>
      </w:r>
    </w:p>
  </w:footnote>
  <w:footnote w:id="8">
    <w:p w14:paraId="2F483CA7" w14:textId="77777777" w:rsidR="00EB7712" w:rsidRPr="00967ED3" w:rsidRDefault="00EB7712" w:rsidP="008A6B98">
      <w:pPr>
        <w:pStyle w:val="FootnoteText"/>
        <w:spacing w:line="360" w:lineRule="auto"/>
        <w:jc w:val="both"/>
        <w:rPr>
          <w:rFonts w:ascii="Arial" w:hAnsi="Arial" w:cs="Arial"/>
        </w:rPr>
      </w:pPr>
      <w:r w:rsidRPr="00967ED3">
        <w:rPr>
          <w:rStyle w:val="FootnoteReference"/>
          <w:rFonts w:ascii="Arial" w:hAnsi="Arial" w:cs="Arial"/>
        </w:rPr>
        <w:footnoteRef/>
      </w:r>
      <w:r>
        <w:rPr>
          <w:rFonts w:ascii="Arial" w:hAnsi="Arial" w:cs="Arial"/>
        </w:rPr>
        <w:t xml:space="preserve"> </w:t>
      </w:r>
      <w:r w:rsidRPr="00967ED3">
        <w:rPr>
          <w:rFonts w:ascii="Arial" w:hAnsi="Arial" w:cs="Arial"/>
          <w:i/>
        </w:rPr>
        <w:t>Osry v Hirsch, Loubser &amp; Co., Ltd</w:t>
      </w:r>
      <w:r w:rsidRPr="00967ED3">
        <w:rPr>
          <w:rFonts w:ascii="Arial" w:hAnsi="Arial" w:cs="Arial"/>
        </w:rPr>
        <w:t xml:space="preserve"> 1922 CPD 531.</w:t>
      </w:r>
    </w:p>
  </w:footnote>
  <w:footnote w:id="9">
    <w:p w14:paraId="014BAADD" w14:textId="77777777" w:rsidR="00EB7712" w:rsidRDefault="00EB7712" w:rsidP="001530A5">
      <w:pPr>
        <w:pStyle w:val="FootnoteText"/>
        <w:spacing w:line="360" w:lineRule="auto"/>
      </w:pPr>
      <w:r w:rsidRPr="001530A5">
        <w:rPr>
          <w:rStyle w:val="FootnoteReference"/>
          <w:rFonts w:ascii="Arial" w:hAnsi="Arial" w:cs="Arial"/>
        </w:rPr>
        <w:footnoteRef/>
      </w:r>
      <w:r>
        <w:rPr>
          <w:rFonts w:ascii="Arial" w:hAnsi="Arial" w:cs="Arial"/>
        </w:rPr>
        <w:t xml:space="preserve"> </w:t>
      </w:r>
      <w:r w:rsidRPr="001530A5">
        <w:rPr>
          <w:rFonts w:ascii="Arial" w:hAnsi="Arial" w:cs="Arial"/>
        </w:rPr>
        <w:t>Supra at 554 to 555.</w:t>
      </w:r>
    </w:p>
  </w:footnote>
  <w:footnote w:id="10">
    <w:p w14:paraId="4EE68BBE" w14:textId="77777777" w:rsidR="00EB7712" w:rsidRDefault="00EB7712" w:rsidP="001E015B">
      <w:pPr>
        <w:pStyle w:val="FootnoteText"/>
      </w:pPr>
      <w:r>
        <w:rPr>
          <w:rStyle w:val="FootnoteReference"/>
        </w:rPr>
        <w:footnoteRef/>
      </w:r>
      <w:r>
        <w:t xml:space="preserve"> </w:t>
      </w:r>
      <w:r w:rsidRPr="00CB01BA">
        <w:rPr>
          <w:rFonts w:ascii="Arial" w:hAnsi="Arial" w:cs="Arial"/>
        </w:rPr>
        <w:t>At p. 557</w:t>
      </w:r>
      <w:r>
        <w:rPr>
          <w:rFonts w:ascii="Arial" w:hAnsi="Arial" w:cs="Arial"/>
        </w:rPr>
        <w:t>.</w:t>
      </w:r>
    </w:p>
  </w:footnote>
  <w:footnote w:id="11">
    <w:p w14:paraId="7D8BDF59" w14:textId="77777777" w:rsidR="00EB7712" w:rsidRDefault="00EB7712" w:rsidP="001E015B">
      <w:pPr>
        <w:pStyle w:val="FootnoteText"/>
      </w:pPr>
      <w:r>
        <w:rPr>
          <w:rStyle w:val="FootnoteReference"/>
        </w:rPr>
        <w:footnoteRef/>
      </w:r>
      <w:r>
        <w:t xml:space="preserve"> </w:t>
      </w:r>
      <w:r w:rsidRPr="000216BD">
        <w:rPr>
          <w:rFonts w:ascii="Arial" w:hAnsi="Arial" w:cs="Arial"/>
        </w:rPr>
        <w:t>At p. 560</w:t>
      </w:r>
      <w:r>
        <w:rPr>
          <w:rFonts w:ascii="Arial" w:hAnsi="Arial" w:cs="Arial"/>
        </w:rPr>
        <w:t>.</w:t>
      </w:r>
    </w:p>
  </w:footnote>
  <w:footnote w:id="12">
    <w:p w14:paraId="7A045124" w14:textId="77777777" w:rsidR="00EB7712" w:rsidRPr="0050301D" w:rsidRDefault="00EB7712">
      <w:pPr>
        <w:pStyle w:val="FootnoteText"/>
        <w:rPr>
          <w:lang w:val="en-ZA"/>
        </w:rPr>
      </w:pPr>
      <w:r>
        <w:rPr>
          <w:rStyle w:val="FootnoteReference"/>
        </w:rPr>
        <w:footnoteRef/>
      </w:r>
      <w:r>
        <w:t xml:space="preserve"> </w:t>
      </w:r>
      <w:r w:rsidRPr="0050301D">
        <w:rPr>
          <w:rFonts w:ascii="Arial" w:hAnsi="Arial" w:cs="Arial"/>
          <w:i/>
        </w:rPr>
        <w:t>Standard</w:t>
      </w:r>
      <w:r>
        <w:rPr>
          <w:rFonts w:ascii="Arial" w:hAnsi="Arial" w:cs="Arial"/>
          <w:i/>
          <w:sz w:val="24"/>
          <w:szCs w:val="24"/>
        </w:rPr>
        <w:t xml:space="preserve"> </w:t>
      </w:r>
      <w:r w:rsidRPr="0050301D">
        <w:rPr>
          <w:rFonts w:ascii="Arial" w:hAnsi="Arial" w:cs="Arial"/>
          <w:i/>
        </w:rPr>
        <w:t>Bank Namibia Limited v Groenewald</w:t>
      </w:r>
      <w:r w:rsidRPr="0050301D">
        <w:rPr>
          <w:rFonts w:ascii="Arial" w:hAnsi="Arial" w:cs="Arial"/>
        </w:rPr>
        <w:t xml:space="preserve"> (I 633/2016)</w:t>
      </w:r>
      <w:r w:rsidRPr="0050301D">
        <w:rPr>
          <w:rFonts w:ascii="Arial" w:hAnsi="Arial" w:cs="Arial"/>
          <w:b/>
        </w:rPr>
        <w:t xml:space="preserve"> </w:t>
      </w:r>
      <w:r w:rsidRPr="0050301D">
        <w:rPr>
          <w:rFonts w:ascii="Arial" w:hAnsi="Arial" w:cs="Arial"/>
        </w:rPr>
        <w:t>[2023] NAHCMD 296 (6 June 2023)</w:t>
      </w:r>
      <w:r>
        <w:rPr>
          <w:rFonts w:ascii="Arial" w:hAnsi="Arial" w:cs="Arial"/>
        </w:rPr>
        <w:t>.</w:t>
      </w:r>
    </w:p>
  </w:footnote>
  <w:footnote w:id="13">
    <w:p w14:paraId="12A9BD01" w14:textId="77777777" w:rsidR="00EB7712" w:rsidRPr="00BA1574" w:rsidRDefault="00EB7712" w:rsidP="00CC437F">
      <w:pPr>
        <w:pStyle w:val="FootnoteText"/>
        <w:spacing w:line="360" w:lineRule="auto"/>
        <w:jc w:val="both"/>
        <w:rPr>
          <w:rFonts w:ascii="Arial" w:hAnsi="Arial" w:cs="Arial"/>
        </w:rPr>
      </w:pPr>
      <w:r w:rsidRPr="00CC437F">
        <w:rPr>
          <w:rStyle w:val="FootnoteReference"/>
          <w:rFonts w:ascii="Arial" w:hAnsi="Arial" w:cs="Arial"/>
        </w:rPr>
        <w:footnoteRef/>
      </w:r>
      <w:r w:rsidRPr="00CC437F">
        <w:rPr>
          <w:rFonts w:ascii="Arial" w:hAnsi="Arial" w:cs="Arial"/>
        </w:rPr>
        <w:t xml:space="preserve"> </w:t>
      </w:r>
      <w:r w:rsidRPr="00BA1574">
        <w:rPr>
          <w:rFonts w:ascii="Arial" w:hAnsi="Arial" w:cs="Arial"/>
          <w:bCs/>
          <w:i/>
        </w:rPr>
        <w:t>Schuurman v Davey</w:t>
      </w:r>
      <w:r w:rsidRPr="00BA1574">
        <w:rPr>
          <w:rFonts w:ascii="Arial" w:hAnsi="Arial" w:cs="Arial"/>
          <w:bCs/>
        </w:rPr>
        <w:t xml:space="preserve"> 1908 TS 664</w:t>
      </w:r>
      <w:r>
        <w:rPr>
          <w:rStyle w:val="Hyperlink"/>
          <w:rFonts w:ascii="Arial" w:hAnsi="Arial" w:cs="Arial"/>
          <w:bCs/>
          <w:u w:val="none"/>
        </w:rPr>
        <w:t xml:space="preserve"> </w:t>
      </w:r>
      <w:r w:rsidRPr="00BA1574">
        <w:rPr>
          <w:rFonts w:ascii="Arial" w:hAnsi="Arial" w:cs="Arial"/>
        </w:rPr>
        <w:t xml:space="preserve">at 668; </w:t>
      </w:r>
      <w:r w:rsidRPr="00BA1574">
        <w:rPr>
          <w:rFonts w:ascii="Arial" w:hAnsi="Arial" w:cs="Arial"/>
          <w:bCs/>
          <w:i/>
        </w:rPr>
        <w:t>De Villiers v Parys Town Council</w:t>
      </w:r>
      <w:r w:rsidRPr="00BA1574">
        <w:rPr>
          <w:rFonts w:ascii="Arial" w:hAnsi="Arial" w:cs="Arial"/>
          <w:bCs/>
        </w:rPr>
        <w:t xml:space="preserve"> 1910 OPD 55</w:t>
      </w:r>
      <w:r w:rsidRPr="00BA1574">
        <w:rPr>
          <w:rFonts w:ascii="Arial" w:hAnsi="Arial" w:cs="Arial"/>
        </w:rPr>
        <w:t xml:space="preserve"> at 58; </w:t>
      </w:r>
      <w:r w:rsidRPr="00BA1574">
        <w:rPr>
          <w:rFonts w:ascii="Arial" w:hAnsi="Arial" w:cs="Arial"/>
          <w:bCs/>
          <w:i/>
        </w:rPr>
        <w:t>Estate Francis v Landsales (Pty) Ltd and Others</w:t>
      </w:r>
      <w:r w:rsidRPr="00BA1574">
        <w:rPr>
          <w:rFonts w:ascii="Arial" w:hAnsi="Arial" w:cs="Arial"/>
        </w:rPr>
        <w:t xml:space="preserve"> </w:t>
      </w:r>
      <w:r w:rsidRPr="00BA1574">
        <w:rPr>
          <w:rFonts w:ascii="Arial" w:hAnsi="Arial" w:cs="Arial"/>
          <w:bCs/>
        </w:rPr>
        <w:t>1940 NPD 441</w:t>
      </w:r>
      <w:r w:rsidRPr="00BA1574">
        <w:rPr>
          <w:rFonts w:ascii="Arial" w:hAnsi="Arial" w:cs="Arial"/>
        </w:rPr>
        <w:t xml:space="preserve"> at 457; </w:t>
      </w:r>
      <w:r w:rsidRPr="00BA1574">
        <w:rPr>
          <w:rFonts w:ascii="Arial" w:hAnsi="Arial" w:cs="Arial"/>
          <w:bCs/>
          <w:i/>
        </w:rPr>
        <w:t>Clerke v CP Perks and Son</w:t>
      </w:r>
      <w:r w:rsidRPr="00BA1574">
        <w:rPr>
          <w:rFonts w:ascii="Arial" w:hAnsi="Arial" w:cs="Arial"/>
        </w:rPr>
        <w:t xml:space="preserve"> 1965(3) SA 397 (ECD) at 400 C.</w:t>
      </w:r>
    </w:p>
  </w:footnote>
  <w:footnote w:id="14">
    <w:p w14:paraId="14C48AA2" w14:textId="77777777" w:rsidR="00EB7712" w:rsidRPr="00BA1574" w:rsidRDefault="00EB7712" w:rsidP="00CC437F">
      <w:pPr>
        <w:pStyle w:val="FootnoteText"/>
        <w:spacing w:line="360" w:lineRule="auto"/>
        <w:rPr>
          <w:rFonts w:ascii="Arial" w:hAnsi="Arial" w:cs="Arial"/>
          <w:lang w:val="en-ZA"/>
        </w:rPr>
      </w:pPr>
      <w:r w:rsidRPr="00BA1574">
        <w:rPr>
          <w:rStyle w:val="FootnoteReference"/>
          <w:rFonts w:ascii="Arial" w:hAnsi="Arial" w:cs="Arial"/>
        </w:rPr>
        <w:footnoteRef/>
      </w:r>
      <w:r w:rsidRPr="00BA1574">
        <w:rPr>
          <w:rFonts w:ascii="Arial" w:hAnsi="Arial" w:cs="Arial"/>
        </w:rPr>
        <w:t xml:space="preserve"> </w:t>
      </w:r>
      <w:r w:rsidRPr="00BA1574">
        <w:rPr>
          <w:rFonts w:ascii="Arial" w:hAnsi="Arial" w:cs="Arial"/>
          <w:i/>
        </w:rPr>
        <w:t>Nicolau v Navarone Investments (Pty) Ltd </w:t>
      </w:r>
      <w:r w:rsidRPr="00BA1574">
        <w:rPr>
          <w:rFonts w:ascii="Arial" w:hAnsi="Arial" w:cs="Arial"/>
        </w:rPr>
        <w:t>1971 (3) SA 883 (W) at 886A.</w:t>
      </w:r>
    </w:p>
  </w:footnote>
  <w:footnote w:id="15">
    <w:p w14:paraId="53073654" w14:textId="77777777" w:rsidR="00EB7712" w:rsidRPr="00CC437F" w:rsidRDefault="00EB7712" w:rsidP="00BA1574">
      <w:pPr>
        <w:pStyle w:val="FootnoteText"/>
        <w:spacing w:line="360" w:lineRule="auto"/>
        <w:rPr>
          <w:lang w:val="en-ZA"/>
        </w:rPr>
      </w:pPr>
      <w:r w:rsidRPr="00BA1574">
        <w:rPr>
          <w:rStyle w:val="FootnoteReference"/>
          <w:rFonts w:ascii="Arial" w:hAnsi="Arial" w:cs="Arial"/>
        </w:rPr>
        <w:footnoteRef/>
      </w:r>
      <w:r w:rsidRPr="00BA1574">
        <w:rPr>
          <w:rFonts w:ascii="Arial" w:hAnsi="Arial" w:cs="Arial"/>
        </w:rPr>
        <w:t xml:space="preserve"> </w:t>
      </w:r>
      <w:r w:rsidRPr="00BA1574">
        <w:rPr>
          <w:rFonts w:ascii="Arial" w:hAnsi="Arial" w:cs="Arial"/>
          <w:i/>
        </w:rPr>
        <w:t>Syfrets Bank Ltd and Othersv Sheriff of The Supreme Court, Durban Central, and Another</w:t>
      </w:r>
      <w:r w:rsidRPr="00BA1574">
        <w:rPr>
          <w:rFonts w:ascii="Arial" w:hAnsi="Arial" w:cs="Arial"/>
        </w:rPr>
        <w:t xml:space="preserve">; </w:t>
      </w:r>
      <w:r w:rsidRPr="00BA1574">
        <w:rPr>
          <w:rFonts w:ascii="Arial" w:hAnsi="Arial" w:cs="Arial"/>
          <w:i/>
        </w:rPr>
        <w:t>Schoerie N</w:t>
      </w:r>
      <w:r>
        <w:rPr>
          <w:rFonts w:ascii="Arial" w:hAnsi="Arial" w:cs="Arial"/>
          <w:i/>
        </w:rPr>
        <w:t>O</w:t>
      </w:r>
      <w:r w:rsidRPr="00BA1574">
        <w:rPr>
          <w:rFonts w:ascii="Arial" w:hAnsi="Arial" w:cs="Arial"/>
          <w:i/>
        </w:rPr>
        <w:t xml:space="preserve"> v Syfrets Bank Ltd and Others</w:t>
      </w:r>
      <w:r w:rsidRPr="00BA1574">
        <w:rPr>
          <w:rFonts w:ascii="Arial" w:hAnsi="Arial" w:cs="Arial"/>
        </w:rPr>
        <w:t xml:space="preserve"> 1997 (1) SA 764 (D) at 771 F-G.</w:t>
      </w:r>
    </w:p>
  </w:footnote>
  <w:footnote w:id="16">
    <w:p w14:paraId="56BC074F" w14:textId="77777777" w:rsidR="00EB7712" w:rsidRPr="005D18BA" w:rsidRDefault="00EB7712" w:rsidP="005254E5">
      <w:pPr>
        <w:pStyle w:val="Heading2"/>
        <w:shd w:val="clear" w:color="auto" w:fill="FFFFFF"/>
        <w:rPr>
          <w:lang w:val="en-ZA"/>
        </w:rPr>
      </w:pPr>
      <w:r w:rsidRPr="005D18BA">
        <w:rPr>
          <w:rStyle w:val="FootnoteReference"/>
          <w:i w:val="0"/>
        </w:rPr>
        <w:footnoteRef/>
      </w:r>
      <w:r w:rsidRPr="005D18BA">
        <w:rPr>
          <w:i w:val="0"/>
        </w:rPr>
        <w:t xml:space="preserve"> </w:t>
      </w:r>
      <w:r w:rsidRPr="00617E1F">
        <w:rPr>
          <w:bCs/>
          <w:sz w:val="20"/>
          <w:szCs w:val="20"/>
        </w:rPr>
        <w:t xml:space="preserve">Standard Bank of South Africa Ltd v Ndlovu and Another In re: Sheriff of Johannesburg South v Kibel In re: Kibel v Standard Bank of South Africa Ltd and Another </w:t>
      </w:r>
      <w:r w:rsidRPr="00617E1F">
        <w:rPr>
          <w:bCs/>
          <w:i w:val="0"/>
          <w:sz w:val="20"/>
          <w:szCs w:val="20"/>
        </w:rPr>
        <w:t xml:space="preserve">(2010/33229) [2012] ZAGPJHC 285 (28 March 2012). </w:t>
      </w:r>
    </w:p>
  </w:footnote>
  <w:footnote w:id="17">
    <w:p w14:paraId="067156E4" w14:textId="77777777" w:rsidR="00EB7712" w:rsidRPr="00B94921" w:rsidRDefault="00EB7712" w:rsidP="005254E5">
      <w:pPr>
        <w:pStyle w:val="NormalWeb"/>
        <w:shd w:val="clear" w:color="auto" w:fill="FFFFFF"/>
        <w:spacing w:before="0" w:beforeAutospacing="0" w:after="0" w:afterAutospacing="0" w:line="360" w:lineRule="auto"/>
        <w:jc w:val="both"/>
        <w:rPr>
          <w:rFonts w:ascii="Arial" w:hAnsi="Arial" w:cs="Arial"/>
          <w:lang w:val="en-ZA"/>
        </w:rPr>
      </w:pPr>
      <w:r w:rsidRPr="00297E5C">
        <w:rPr>
          <w:rStyle w:val="FootnoteReference"/>
          <w:rFonts w:ascii="Arial" w:hAnsi="Arial" w:cs="Arial"/>
        </w:rPr>
        <w:footnoteRef/>
      </w:r>
      <w:r>
        <w:rPr>
          <w:rFonts w:ascii="Arial" w:hAnsi="Arial" w:cs="Arial"/>
        </w:rPr>
        <w:t xml:space="preserve"> </w:t>
      </w:r>
      <w:r w:rsidRPr="00B94921">
        <w:rPr>
          <w:rFonts w:ascii="Arial" w:hAnsi="Arial" w:cs="Arial"/>
          <w:bCs/>
          <w:i/>
          <w:sz w:val="20"/>
          <w:szCs w:val="20"/>
          <w:shd w:val="clear" w:color="auto" w:fill="FFFFFF"/>
        </w:rPr>
        <w:t>Agricultural Bank of Namibia v Ntema and Another</w:t>
      </w:r>
      <w:r w:rsidRPr="00B94921">
        <w:rPr>
          <w:rFonts w:ascii="Arial" w:hAnsi="Arial" w:cs="Arial"/>
          <w:bCs/>
          <w:sz w:val="20"/>
          <w:szCs w:val="20"/>
          <w:shd w:val="clear" w:color="auto" w:fill="FFFFFF"/>
        </w:rPr>
        <w:t xml:space="preserve"> (HC-MD-CIV-ACT-CON- 3643/2018) [2023] NAHCMD 83 (28 March 2023)</w:t>
      </w:r>
      <w:r w:rsidRPr="00B94921">
        <w:rPr>
          <w:rFonts w:ascii="Arial" w:hAnsi="Arial" w:cs="Arial"/>
          <w:sz w:val="20"/>
          <w:szCs w:val="20"/>
        </w:rPr>
        <w:t>.</w:t>
      </w:r>
    </w:p>
  </w:footnote>
  <w:footnote w:id="18">
    <w:p w14:paraId="451F1F9A" w14:textId="77777777" w:rsidR="00EB7712" w:rsidRPr="005254E5" w:rsidRDefault="00EB7712" w:rsidP="005254E5">
      <w:pPr>
        <w:pStyle w:val="FootnoteText"/>
        <w:spacing w:line="360" w:lineRule="auto"/>
        <w:jc w:val="both"/>
        <w:rPr>
          <w:rFonts w:ascii="Arial" w:hAnsi="Arial" w:cs="Arial"/>
          <w:lang w:val="en-ZA"/>
        </w:rPr>
      </w:pPr>
      <w:r w:rsidRPr="005254E5">
        <w:rPr>
          <w:rStyle w:val="FootnoteReference"/>
          <w:rFonts w:ascii="Arial" w:hAnsi="Arial" w:cs="Arial"/>
        </w:rPr>
        <w:footnoteRef/>
      </w:r>
      <w:r w:rsidRPr="005254E5">
        <w:rPr>
          <w:rFonts w:ascii="Arial" w:hAnsi="Arial" w:cs="Arial"/>
        </w:rPr>
        <w:t xml:space="preserve"> </w:t>
      </w:r>
      <w:r>
        <w:rPr>
          <w:rFonts w:ascii="Arial" w:hAnsi="Arial" w:cs="Arial"/>
        </w:rPr>
        <w:t>See footnote 15 supra.</w:t>
      </w:r>
    </w:p>
  </w:footnote>
  <w:footnote w:id="19">
    <w:p w14:paraId="560C2851" w14:textId="77777777" w:rsidR="00EB7712" w:rsidRPr="003E59C1" w:rsidRDefault="00EB7712">
      <w:pPr>
        <w:pStyle w:val="FootnoteText"/>
        <w:rPr>
          <w:rFonts w:ascii="Arial" w:hAnsi="Arial" w:cs="Arial"/>
          <w:lang w:val="en-ZA"/>
        </w:rPr>
      </w:pPr>
      <w:r w:rsidRPr="003E59C1">
        <w:rPr>
          <w:rStyle w:val="FootnoteReference"/>
          <w:rFonts w:ascii="Arial" w:hAnsi="Arial" w:cs="Arial"/>
        </w:rPr>
        <w:footnoteRef/>
      </w:r>
      <w:r w:rsidRPr="003E59C1">
        <w:rPr>
          <w:rFonts w:ascii="Arial" w:hAnsi="Arial" w:cs="Arial"/>
        </w:rPr>
        <w:t xml:space="preserve"> </w:t>
      </w:r>
      <w:r w:rsidRPr="003E59C1">
        <w:rPr>
          <w:rFonts w:ascii="Arial" w:hAnsi="Arial" w:cs="Arial"/>
          <w:lang w:val="en-ZA"/>
        </w:rPr>
        <w:t>Also see para 8 of Form 26.</w:t>
      </w:r>
    </w:p>
  </w:footnote>
  <w:footnote w:id="20">
    <w:p w14:paraId="2B738F4F" w14:textId="77777777" w:rsidR="00EB7712" w:rsidRPr="004C5441" w:rsidRDefault="00EB7712" w:rsidP="00EB7712">
      <w:pPr>
        <w:pStyle w:val="FootnoteText"/>
        <w:spacing w:line="360" w:lineRule="auto"/>
        <w:rPr>
          <w:lang w:val="en-ZA"/>
        </w:rPr>
      </w:pPr>
      <w:r>
        <w:rPr>
          <w:rStyle w:val="FootnoteReference"/>
        </w:rPr>
        <w:footnoteRef/>
      </w:r>
      <w:r>
        <w:t xml:space="preserve"> </w:t>
      </w:r>
      <w:r w:rsidRPr="004C5441">
        <w:rPr>
          <w:rFonts w:ascii="Arial" w:hAnsi="Arial" w:cs="Arial"/>
          <w:lang w:val="en-ZA"/>
        </w:rPr>
        <w:t>There was no mortgage bond registered by the third respondent.</w:t>
      </w:r>
    </w:p>
  </w:footnote>
  <w:footnote w:id="21">
    <w:p w14:paraId="0B4D820D" w14:textId="77777777" w:rsidR="00EB7712" w:rsidRPr="008556CB" w:rsidRDefault="00EB7712" w:rsidP="004C5441">
      <w:pPr>
        <w:pStyle w:val="FootnoteText"/>
        <w:spacing w:line="360" w:lineRule="auto"/>
      </w:pPr>
      <w:r>
        <w:rPr>
          <w:rStyle w:val="FootnoteReference"/>
        </w:rPr>
        <w:footnoteRef/>
      </w:r>
      <w:r>
        <w:t xml:space="preserve"> </w:t>
      </w:r>
      <w:r w:rsidRPr="008556CB">
        <w:rPr>
          <w:rFonts w:ascii="Arial" w:hAnsi="Arial" w:cs="Arial"/>
          <w:i/>
        </w:rPr>
        <w:t>Le Roux v Yskor Landgoed (EDMS) Bpk en Andere</w:t>
      </w:r>
      <w:r w:rsidRPr="008556CB">
        <w:t xml:space="preserve"> </w:t>
      </w:r>
      <w:r w:rsidRPr="008556CB">
        <w:rPr>
          <w:rFonts w:ascii="Arial" w:hAnsi="Arial" w:cs="Arial"/>
        </w:rPr>
        <w:t>1984 (4) SA 257 A-B.</w:t>
      </w:r>
    </w:p>
  </w:footnote>
  <w:footnote w:id="22">
    <w:p w14:paraId="3782D09D" w14:textId="77777777" w:rsidR="00EB7712" w:rsidRPr="002307E1" w:rsidRDefault="00EB7712" w:rsidP="00B5193D">
      <w:pPr>
        <w:pStyle w:val="FootnoteText"/>
        <w:rPr>
          <w:lang w:val="en-ZA"/>
        </w:rPr>
      </w:pPr>
      <w:r>
        <w:rPr>
          <w:rStyle w:val="FootnoteReference"/>
        </w:rPr>
        <w:footnoteRef/>
      </w:r>
      <w:r>
        <w:t xml:space="preserve"> </w:t>
      </w:r>
      <w:r w:rsidRPr="002307E1">
        <w:rPr>
          <w:rFonts w:ascii="Arial" w:hAnsi="Arial" w:cs="Arial"/>
          <w:i/>
        </w:rPr>
        <w:t xml:space="preserve">Menqa and Another v Markom </w:t>
      </w:r>
      <w:r>
        <w:rPr>
          <w:rFonts w:ascii="Arial" w:hAnsi="Arial" w:cs="Arial"/>
          <w:i/>
        </w:rPr>
        <w:t>a</w:t>
      </w:r>
      <w:r w:rsidRPr="002307E1">
        <w:rPr>
          <w:rFonts w:ascii="Arial" w:hAnsi="Arial" w:cs="Arial"/>
          <w:i/>
        </w:rPr>
        <w:t>nd Others</w:t>
      </w:r>
      <w:r w:rsidRPr="002307E1">
        <w:rPr>
          <w:rFonts w:ascii="Arial" w:hAnsi="Arial" w:cs="Arial"/>
        </w:rPr>
        <w:t xml:space="preserve"> 2008 (2) SA 120 (SCA)</w:t>
      </w:r>
      <w:r>
        <w:rPr>
          <w:rFonts w:ascii="Arial" w:hAnsi="Arial" w:cs="Arial"/>
        </w:rPr>
        <w:t xml:space="preserve"> 142 F-H.</w:t>
      </w:r>
    </w:p>
  </w:footnote>
  <w:footnote w:id="23">
    <w:p w14:paraId="3089F11A" w14:textId="77777777" w:rsidR="00EB7712" w:rsidRPr="00912EA1" w:rsidRDefault="00EB7712">
      <w:pPr>
        <w:pStyle w:val="FootnoteText"/>
        <w:rPr>
          <w:lang w:val="en-ZA"/>
        </w:rPr>
      </w:pPr>
      <w:r>
        <w:rPr>
          <w:rStyle w:val="FootnoteReference"/>
        </w:rPr>
        <w:footnoteRef/>
      </w:r>
      <w:r>
        <w:t xml:space="preserve"> </w:t>
      </w:r>
      <w:r w:rsidRPr="007D5AE2">
        <w:rPr>
          <w:rFonts w:ascii="Arial" w:hAnsi="Arial" w:cs="Arial"/>
          <w:i/>
          <w:iCs/>
          <w:shd w:val="clear" w:color="auto" w:fill="FFFFFF"/>
          <w:lang w:val="en-GB"/>
        </w:rPr>
        <w:t xml:space="preserve">Sookdeyi v Sahadeo </w:t>
      </w:r>
      <w:r w:rsidRPr="007D5AE2">
        <w:rPr>
          <w:rFonts w:ascii="Arial" w:hAnsi="Arial" w:cs="Arial"/>
          <w:shd w:val="clear" w:color="auto" w:fill="FFFFFF"/>
        </w:rPr>
        <w:t>1952 (4) SA (A) at 571G-572B.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60914"/>
      <w:docPartObj>
        <w:docPartGallery w:val="Page Numbers (Top of Page)"/>
        <w:docPartUnique/>
      </w:docPartObj>
    </w:sdtPr>
    <w:sdtEndPr>
      <w:rPr>
        <w:noProof/>
      </w:rPr>
    </w:sdtEndPr>
    <w:sdtContent>
      <w:p w14:paraId="5C791125" w14:textId="77777777" w:rsidR="00EB7712" w:rsidRDefault="00EB7712">
        <w:pPr>
          <w:pStyle w:val="Header"/>
          <w:jc w:val="right"/>
        </w:pPr>
        <w:r>
          <w:fldChar w:fldCharType="begin"/>
        </w:r>
        <w:r>
          <w:instrText xml:space="preserve"> PAGE   \* MERGEFORMAT </w:instrText>
        </w:r>
        <w:r>
          <w:fldChar w:fldCharType="separate"/>
        </w:r>
        <w:r w:rsidR="00C268F2">
          <w:rPr>
            <w:noProof/>
          </w:rPr>
          <w:t>34</w:t>
        </w:r>
        <w:r>
          <w:rPr>
            <w:noProof/>
          </w:rPr>
          <w:fldChar w:fldCharType="end"/>
        </w:r>
      </w:p>
    </w:sdtContent>
  </w:sdt>
  <w:p w14:paraId="2B93A996" w14:textId="77777777" w:rsidR="00EB7712" w:rsidRDefault="00EB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08F"/>
    <w:multiLevelType w:val="hybridMultilevel"/>
    <w:tmpl w:val="9FCE391C"/>
    <w:lvl w:ilvl="0" w:tplc="E084B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0A28"/>
    <w:multiLevelType w:val="multilevel"/>
    <w:tmpl w:val="7DFCBC14"/>
    <w:lvl w:ilvl="0">
      <w:start w:val="1"/>
      <w:numFmt w:val="decimal"/>
      <w:suff w:val="nothing"/>
      <w:lvlText w:val="%1"/>
      <w:lvlJc w:val="center"/>
      <w:pPr>
        <w:ind w:left="0" w:firstLine="4320"/>
      </w:pPr>
      <w:rPr>
        <w:rFonts w:hint="default"/>
        <w:sz w:val="24"/>
        <w:szCs w:val="24"/>
      </w:rPr>
    </w:lvl>
    <w:lvl w:ilvl="1">
      <w:start w:val="1"/>
      <w:numFmt w:val="decimal"/>
      <w:pStyle w:val="HCR-Numberingaffidavit"/>
      <w:lvlText w:val="%1.%2."/>
      <w:lvlJc w:val="left"/>
      <w:pPr>
        <w:tabs>
          <w:tab w:val="num" w:pos="851"/>
        </w:tabs>
        <w:ind w:left="0" w:firstLine="0"/>
      </w:pPr>
      <w:rPr>
        <w:rFonts w:ascii="Arial" w:hAnsi="Arial" w:hint="default"/>
        <w:b w:val="0"/>
        <w:sz w:val="24"/>
        <w:szCs w:val="20"/>
      </w:rPr>
    </w:lvl>
    <w:lvl w:ilvl="2">
      <w:start w:val="1"/>
      <w:numFmt w:val="decimal"/>
      <w:lvlText w:val="%1.%2.%3."/>
      <w:lvlJc w:val="left"/>
      <w:pPr>
        <w:tabs>
          <w:tab w:val="num" w:pos="1701"/>
        </w:tabs>
        <w:ind w:left="851" w:firstLine="0"/>
      </w:pPr>
      <w:rPr>
        <w:rFonts w:ascii="Arial" w:hAnsi="Arial" w:hint="default"/>
        <w:sz w:val="24"/>
      </w:rPr>
    </w:lvl>
    <w:lvl w:ilvl="3">
      <w:start w:val="1"/>
      <w:numFmt w:val="decimal"/>
      <w:lvlText w:val="%1.%2.%3.%4."/>
      <w:lvlJc w:val="left"/>
      <w:pPr>
        <w:tabs>
          <w:tab w:val="num" w:pos="2552"/>
        </w:tabs>
        <w:ind w:left="1701" w:firstLine="0"/>
      </w:pPr>
      <w:rPr>
        <w:rFonts w:ascii="Arial" w:hAnsi="Arial" w:hint="default"/>
        <w:b w:val="0"/>
        <w:sz w:val="24"/>
      </w:rPr>
    </w:lvl>
    <w:lvl w:ilvl="4">
      <w:start w:val="1"/>
      <w:numFmt w:val="decimal"/>
      <w:lvlText w:val="%1.%2.%3.%4.%5."/>
      <w:lvlJc w:val="left"/>
      <w:pPr>
        <w:tabs>
          <w:tab w:val="num" w:pos="3402"/>
        </w:tabs>
        <w:ind w:left="2552" w:firstLine="0"/>
      </w:pPr>
      <w:rPr>
        <w:rFonts w:ascii="Arial" w:hAnsi="Arial" w:hint="default"/>
        <w:sz w:val="20"/>
      </w:rPr>
    </w:lvl>
    <w:lvl w:ilvl="5">
      <w:start w:val="1"/>
      <w:numFmt w:val="decimal"/>
      <w:lvlText w:val="%1.%2.%3.%4.%5.%6."/>
      <w:lvlJc w:val="left"/>
      <w:pPr>
        <w:tabs>
          <w:tab w:val="num" w:pos="4253"/>
        </w:tabs>
        <w:ind w:left="3402" w:firstLine="0"/>
      </w:pPr>
      <w:rPr>
        <w:rFonts w:ascii="Arial" w:hAnsi="Arial" w:hint="default"/>
        <w:sz w:val="20"/>
      </w:rPr>
    </w:lvl>
    <w:lvl w:ilvl="6">
      <w:start w:val="1"/>
      <w:numFmt w:val="decimal"/>
      <w:lvlText w:val="%1.%2.%3.%4.%5.%6.%7."/>
      <w:lvlJc w:val="left"/>
      <w:pPr>
        <w:tabs>
          <w:tab w:val="num" w:pos="6480"/>
        </w:tabs>
        <w:ind w:left="6480" w:hanging="1440"/>
      </w:pPr>
      <w:rPr>
        <w:rFonts w:ascii="Arial" w:hAnsi="Aria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96474"/>
    <w:multiLevelType w:val="hybridMultilevel"/>
    <w:tmpl w:val="2BB88E5A"/>
    <w:lvl w:ilvl="0" w:tplc="528A011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53303"/>
    <w:multiLevelType w:val="hybridMultilevel"/>
    <w:tmpl w:val="1B525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EA4"/>
    <w:multiLevelType w:val="hybridMultilevel"/>
    <w:tmpl w:val="171ABF96"/>
    <w:lvl w:ilvl="0" w:tplc="798C8F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4230"/>
    <w:multiLevelType w:val="hybridMultilevel"/>
    <w:tmpl w:val="EBFCDD78"/>
    <w:lvl w:ilvl="0" w:tplc="138C2E42">
      <w:start w:val="63"/>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353B"/>
    <w:multiLevelType w:val="hybridMultilevel"/>
    <w:tmpl w:val="C1C088B2"/>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B09AC"/>
    <w:multiLevelType w:val="hybridMultilevel"/>
    <w:tmpl w:val="724C59D4"/>
    <w:lvl w:ilvl="0" w:tplc="78BAE838">
      <w:start w:val="6"/>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93395"/>
    <w:multiLevelType w:val="hybridMultilevel"/>
    <w:tmpl w:val="22E61454"/>
    <w:lvl w:ilvl="0" w:tplc="043A6F46">
      <w:start w:val="95"/>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D2607"/>
    <w:multiLevelType w:val="hybridMultilevel"/>
    <w:tmpl w:val="9FCE391C"/>
    <w:lvl w:ilvl="0" w:tplc="E084B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C7B67"/>
    <w:multiLevelType w:val="hybridMultilevel"/>
    <w:tmpl w:val="CD803964"/>
    <w:lvl w:ilvl="0" w:tplc="773CB8A0">
      <w:start w:val="96"/>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0769D"/>
    <w:multiLevelType w:val="hybridMultilevel"/>
    <w:tmpl w:val="5296C8EE"/>
    <w:lvl w:ilvl="0" w:tplc="9A566C7C">
      <w:start w:val="28"/>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273D6"/>
    <w:multiLevelType w:val="hybridMultilevel"/>
    <w:tmpl w:val="FCD05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86DB2"/>
    <w:multiLevelType w:val="hybridMultilevel"/>
    <w:tmpl w:val="23DABEF8"/>
    <w:lvl w:ilvl="0" w:tplc="EA4052F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75482"/>
    <w:multiLevelType w:val="hybridMultilevel"/>
    <w:tmpl w:val="98EADE16"/>
    <w:lvl w:ilvl="0" w:tplc="1E98EED8">
      <w:start w:val="34"/>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E10C4"/>
    <w:multiLevelType w:val="hybridMultilevel"/>
    <w:tmpl w:val="B798E27C"/>
    <w:lvl w:ilvl="0" w:tplc="5A94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E0CF0"/>
    <w:multiLevelType w:val="hybridMultilevel"/>
    <w:tmpl w:val="F52C4F72"/>
    <w:lvl w:ilvl="0" w:tplc="0B04FC2C">
      <w:start w:val="83"/>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86797"/>
    <w:multiLevelType w:val="hybridMultilevel"/>
    <w:tmpl w:val="5B3ED7A0"/>
    <w:lvl w:ilvl="0" w:tplc="057810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77358"/>
    <w:multiLevelType w:val="hybridMultilevel"/>
    <w:tmpl w:val="70CCA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B07E3"/>
    <w:multiLevelType w:val="hybridMultilevel"/>
    <w:tmpl w:val="A24A9052"/>
    <w:lvl w:ilvl="0" w:tplc="8CD8CD2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12464">
    <w:abstractNumId w:val="2"/>
  </w:num>
  <w:num w:numId="2" w16cid:durableId="1680548345">
    <w:abstractNumId w:val="18"/>
  </w:num>
  <w:num w:numId="3" w16cid:durableId="873813125">
    <w:abstractNumId w:val="3"/>
  </w:num>
  <w:num w:numId="4" w16cid:durableId="361714758">
    <w:abstractNumId w:val="4"/>
  </w:num>
  <w:num w:numId="5" w16cid:durableId="381636974">
    <w:abstractNumId w:val="13"/>
  </w:num>
  <w:num w:numId="6" w16cid:durableId="1090660074">
    <w:abstractNumId w:val="17"/>
  </w:num>
  <w:num w:numId="7" w16cid:durableId="297800568">
    <w:abstractNumId w:val="15"/>
  </w:num>
  <w:num w:numId="8" w16cid:durableId="1876036237">
    <w:abstractNumId w:val="1"/>
  </w:num>
  <w:num w:numId="9" w16cid:durableId="1907035339">
    <w:abstractNumId w:val="12"/>
  </w:num>
  <w:num w:numId="10" w16cid:durableId="2323135">
    <w:abstractNumId w:val="7"/>
  </w:num>
  <w:num w:numId="11" w16cid:durableId="548684984">
    <w:abstractNumId w:val="0"/>
  </w:num>
  <w:num w:numId="12" w16cid:durableId="1003315646">
    <w:abstractNumId w:val="9"/>
  </w:num>
  <w:num w:numId="13" w16cid:durableId="1229808371">
    <w:abstractNumId w:val="8"/>
  </w:num>
  <w:num w:numId="14" w16cid:durableId="2108232270">
    <w:abstractNumId w:val="10"/>
  </w:num>
  <w:num w:numId="15" w16cid:durableId="1903369644">
    <w:abstractNumId w:val="19"/>
  </w:num>
  <w:num w:numId="16" w16cid:durableId="1077216451">
    <w:abstractNumId w:val="6"/>
  </w:num>
  <w:num w:numId="17" w16cid:durableId="1361318662">
    <w:abstractNumId w:val="11"/>
  </w:num>
  <w:num w:numId="18" w16cid:durableId="2045474902">
    <w:abstractNumId w:val="14"/>
  </w:num>
  <w:num w:numId="19" w16cid:durableId="501161085">
    <w:abstractNumId w:val="5"/>
  </w:num>
  <w:num w:numId="20" w16cid:durableId="11908003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DC"/>
    <w:rsid w:val="00007D79"/>
    <w:rsid w:val="000216BD"/>
    <w:rsid w:val="000273C1"/>
    <w:rsid w:val="00027997"/>
    <w:rsid w:val="00030ABC"/>
    <w:rsid w:val="00040F9F"/>
    <w:rsid w:val="00042518"/>
    <w:rsid w:val="000506BB"/>
    <w:rsid w:val="0005323A"/>
    <w:rsid w:val="000747DC"/>
    <w:rsid w:val="00077EEF"/>
    <w:rsid w:val="000838AA"/>
    <w:rsid w:val="00085381"/>
    <w:rsid w:val="00097067"/>
    <w:rsid w:val="000A2021"/>
    <w:rsid w:val="000A4E12"/>
    <w:rsid w:val="000B0C81"/>
    <w:rsid w:val="000B75B9"/>
    <w:rsid w:val="000C0C55"/>
    <w:rsid w:val="000C51CD"/>
    <w:rsid w:val="000C6042"/>
    <w:rsid w:val="000D1EC7"/>
    <w:rsid w:val="000D7E68"/>
    <w:rsid w:val="00115405"/>
    <w:rsid w:val="00115C7E"/>
    <w:rsid w:val="001160A5"/>
    <w:rsid w:val="00124997"/>
    <w:rsid w:val="00132333"/>
    <w:rsid w:val="0013795C"/>
    <w:rsid w:val="001424F6"/>
    <w:rsid w:val="00142F09"/>
    <w:rsid w:val="00143723"/>
    <w:rsid w:val="00143F3B"/>
    <w:rsid w:val="00152DFE"/>
    <w:rsid w:val="001530A5"/>
    <w:rsid w:val="00156095"/>
    <w:rsid w:val="00162509"/>
    <w:rsid w:val="00173555"/>
    <w:rsid w:val="00175136"/>
    <w:rsid w:val="00184289"/>
    <w:rsid w:val="00187820"/>
    <w:rsid w:val="0019169C"/>
    <w:rsid w:val="001A0941"/>
    <w:rsid w:val="001A674B"/>
    <w:rsid w:val="001C0235"/>
    <w:rsid w:val="001C1AB6"/>
    <w:rsid w:val="001C221A"/>
    <w:rsid w:val="001C45DB"/>
    <w:rsid w:val="001E015B"/>
    <w:rsid w:val="001E082F"/>
    <w:rsid w:val="001E1CC3"/>
    <w:rsid w:val="001E4AE0"/>
    <w:rsid w:val="001F3A05"/>
    <w:rsid w:val="001F6337"/>
    <w:rsid w:val="001F69EB"/>
    <w:rsid w:val="002108CF"/>
    <w:rsid w:val="00210C10"/>
    <w:rsid w:val="00215A63"/>
    <w:rsid w:val="0022659D"/>
    <w:rsid w:val="002307E1"/>
    <w:rsid w:val="00231BC6"/>
    <w:rsid w:val="00232314"/>
    <w:rsid w:val="00240E15"/>
    <w:rsid w:val="00241C42"/>
    <w:rsid w:val="002618C3"/>
    <w:rsid w:val="002835FA"/>
    <w:rsid w:val="00297CFF"/>
    <w:rsid w:val="00297E5C"/>
    <w:rsid w:val="002B04B1"/>
    <w:rsid w:val="002C0F7B"/>
    <w:rsid w:val="002C6734"/>
    <w:rsid w:val="002D69BB"/>
    <w:rsid w:val="002E04C3"/>
    <w:rsid w:val="002F03C3"/>
    <w:rsid w:val="002F0B1D"/>
    <w:rsid w:val="002F3A90"/>
    <w:rsid w:val="002F5180"/>
    <w:rsid w:val="00321885"/>
    <w:rsid w:val="00324140"/>
    <w:rsid w:val="00340749"/>
    <w:rsid w:val="00357675"/>
    <w:rsid w:val="00366795"/>
    <w:rsid w:val="00382812"/>
    <w:rsid w:val="00386E41"/>
    <w:rsid w:val="003A2F6F"/>
    <w:rsid w:val="003B286A"/>
    <w:rsid w:val="003B5C3D"/>
    <w:rsid w:val="003C4DF5"/>
    <w:rsid w:val="003C54A5"/>
    <w:rsid w:val="003D09C9"/>
    <w:rsid w:val="003E59C1"/>
    <w:rsid w:val="003F2B3E"/>
    <w:rsid w:val="00414373"/>
    <w:rsid w:val="00414D2D"/>
    <w:rsid w:val="004416E1"/>
    <w:rsid w:val="00443AEF"/>
    <w:rsid w:val="00454E17"/>
    <w:rsid w:val="00462864"/>
    <w:rsid w:val="004724B8"/>
    <w:rsid w:val="00474123"/>
    <w:rsid w:val="004813FE"/>
    <w:rsid w:val="00496A5E"/>
    <w:rsid w:val="004A779D"/>
    <w:rsid w:val="004A7CC4"/>
    <w:rsid w:val="004A7EE2"/>
    <w:rsid w:val="004B0C6C"/>
    <w:rsid w:val="004C5441"/>
    <w:rsid w:val="004C75A1"/>
    <w:rsid w:val="004C7B61"/>
    <w:rsid w:val="004E0925"/>
    <w:rsid w:val="004F231C"/>
    <w:rsid w:val="004F7241"/>
    <w:rsid w:val="00501063"/>
    <w:rsid w:val="0050301D"/>
    <w:rsid w:val="00516937"/>
    <w:rsid w:val="00524677"/>
    <w:rsid w:val="005254E5"/>
    <w:rsid w:val="005259BB"/>
    <w:rsid w:val="00526203"/>
    <w:rsid w:val="00536266"/>
    <w:rsid w:val="005506D4"/>
    <w:rsid w:val="005560AA"/>
    <w:rsid w:val="00560F14"/>
    <w:rsid w:val="00566206"/>
    <w:rsid w:val="00585970"/>
    <w:rsid w:val="00587021"/>
    <w:rsid w:val="005A6955"/>
    <w:rsid w:val="005A76E8"/>
    <w:rsid w:val="005B3639"/>
    <w:rsid w:val="005D0436"/>
    <w:rsid w:val="005D18BA"/>
    <w:rsid w:val="005D41A3"/>
    <w:rsid w:val="005E5F21"/>
    <w:rsid w:val="005F5F25"/>
    <w:rsid w:val="005F78DF"/>
    <w:rsid w:val="00610FFB"/>
    <w:rsid w:val="00617A95"/>
    <w:rsid w:val="00617E1F"/>
    <w:rsid w:val="00625DE4"/>
    <w:rsid w:val="00630C23"/>
    <w:rsid w:val="006354E7"/>
    <w:rsid w:val="0066008B"/>
    <w:rsid w:val="00665A39"/>
    <w:rsid w:val="00672653"/>
    <w:rsid w:val="00674907"/>
    <w:rsid w:val="0068630A"/>
    <w:rsid w:val="006A06EF"/>
    <w:rsid w:val="006C26F2"/>
    <w:rsid w:val="006C2A09"/>
    <w:rsid w:val="006D3E65"/>
    <w:rsid w:val="006D66E0"/>
    <w:rsid w:val="006D6D24"/>
    <w:rsid w:val="006E0CEF"/>
    <w:rsid w:val="006E152E"/>
    <w:rsid w:val="006F4E42"/>
    <w:rsid w:val="00710E54"/>
    <w:rsid w:val="00711B56"/>
    <w:rsid w:val="007148DC"/>
    <w:rsid w:val="0071720F"/>
    <w:rsid w:val="00720E38"/>
    <w:rsid w:val="00726509"/>
    <w:rsid w:val="007321DF"/>
    <w:rsid w:val="00733C84"/>
    <w:rsid w:val="00742372"/>
    <w:rsid w:val="00746E0B"/>
    <w:rsid w:val="0075376C"/>
    <w:rsid w:val="0076023A"/>
    <w:rsid w:val="00782FED"/>
    <w:rsid w:val="00784764"/>
    <w:rsid w:val="00791754"/>
    <w:rsid w:val="0079212D"/>
    <w:rsid w:val="007B486D"/>
    <w:rsid w:val="007C009D"/>
    <w:rsid w:val="007C26CB"/>
    <w:rsid w:val="007C6B16"/>
    <w:rsid w:val="007D5AE2"/>
    <w:rsid w:val="007E659A"/>
    <w:rsid w:val="008038FA"/>
    <w:rsid w:val="00803967"/>
    <w:rsid w:val="00806DA2"/>
    <w:rsid w:val="0082732C"/>
    <w:rsid w:val="00834CED"/>
    <w:rsid w:val="0084692B"/>
    <w:rsid w:val="008574E9"/>
    <w:rsid w:val="00861FCC"/>
    <w:rsid w:val="00865AF0"/>
    <w:rsid w:val="008934C8"/>
    <w:rsid w:val="008960F7"/>
    <w:rsid w:val="008A593B"/>
    <w:rsid w:val="008A6B98"/>
    <w:rsid w:val="008B0A40"/>
    <w:rsid w:val="008B27AA"/>
    <w:rsid w:val="008B59F1"/>
    <w:rsid w:val="008C1974"/>
    <w:rsid w:val="008C4F56"/>
    <w:rsid w:val="008D3575"/>
    <w:rsid w:val="008D3BE8"/>
    <w:rsid w:val="008E0E18"/>
    <w:rsid w:val="008F0B58"/>
    <w:rsid w:val="00907C4A"/>
    <w:rsid w:val="00912EA1"/>
    <w:rsid w:val="00924517"/>
    <w:rsid w:val="00956203"/>
    <w:rsid w:val="00967ED3"/>
    <w:rsid w:val="00982AC1"/>
    <w:rsid w:val="00984347"/>
    <w:rsid w:val="009849E7"/>
    <w:rsid w:val="00992757"/>
    <w:rsid w:val="00992E6D"/>
    <w:rsid w:val="00997A78"/>
    <w:rsid w:val="009A2FC6"/>
    <w:rsid w:val="009A36AB"/>
    <w:rsid w:val="009A4A77"/>
    <w:rsid w:val="009B4726"/>
    <w:rsid w:val="009C0D26"/>
    <w:rsid w:val="009D33CE"/>
    <w:rsid w:val="009E08F0"/>
    <w:rsid w:val="009E2128"/>
    <w:rsid w:val="009F332B"/>
    <w:rsid w:val="009F788B"/>
    <w:rsid w:val="00A015B2"/>
    <w:rsid w:val="00A0574E"/>
    <w:rsid w:val="00A21A5A"/>
    <w:rsid w:val="00A24E97"/>
    <w:rsid w:val="00A40C12"/>
    <w:rsid w:val="00A4617B"/>
    <w:rsid w:val="00A469BB"/>
    <w:rsid w:val="00A53825"/>
    <w:rsid w:val="00A65E91"/>
    <w:rsid w:val="00A7436A"/>
    <w:rsid w:val="00A87E41"/>
    <w:rsid w:val="00A95993"/>
    <w:rsid w:val="00AA026B"/>
    <w:rsid w:val="00AA0F43"/>
    <w:rsid w:val="00AB13BC"/>
    <w:rsid w:val="00AB7313"/>
    <w:rsid w:val="00AD3F02"/>
    <w:rsid w:val="00AF1ECC"/>
    <w:rsid w:val="00AF7A2B"/>
    <w:rsid w:val="00B108AE"/>
    <w:rsid w:val="00B25927"/>
    <w:rsid w:val="00B2686F"/>
    <w:rsid w:val="00B3209A"/>
    <w:rsid w:val="00B33050"/>
    <w:rsid w:val="00B5193D"/>
    <w:rsid w:val="00B534E5"/>
    <w:rsid w:val="00B60C25"/>
    <w:rsid w:val="00B63FA5"/>
    <w:rsid w:val="00B71940"/>
    <w:rsid w:val="00B7209B"/>
    <w:rsid w:val="00B72FB3"/>
    <w:rsid w:val="00B742E3"/>
    <w:rsid w:val="00B82090"/>
    <w:rsid w:val="00B94921"/>
    <w:rsid w:val="00BA1574"/>
    <w:rsid w:val="00BB6A4F"/>
    <w:rsid w:val="00BC0904"/>
    <w:rsid w:val="00BC5891"/>
    <w:rsid w:val="00BC59A7"/>
    <w:rsid w:val="00BD74C2"/>
    <w:rsid w:val="00C060B8"/>
    <w:rsid w:val="00C13DFF"/>
    <w:rsid w:val="00C16C26"/>
    <w:rsid w:val="00C268F2"/>
    <w:rsid w:val="00C325C8"/>
    <w:rsid w:val="00C466A2"/>
    <w:rsid w:val="00C74948"/>
    <w:rsid w:val="00C87DB0"/>
    <w:rsid w:val="00C92186"/>
    <w:rsid w:val="00CB01BA"/>
    <w:rsid w:val="00CB7831"/>
    <w:rsid w:val="00CC437F"/>
    <w:rsid w:val="00CC6590"/>
    <w:rsid w:val="00CD2F5D"/>
    <w:rsid w:val="00CD421C"/>
    <w:rsid w:val="00CD5994"/>
    <w:rsid w:val="00CD65A9"/>
    <w:rsid w:val="00CE7CC4"/>
    <w:rsid w:val="00CF1DAE"/>
    <w:rsid w:val="00CF1FEA"/>
    <w:rsid w:val="00CF5269"/>
    <w:rsid w:val="00D1051C"/>
    <w:rsid w:val="00D1316B"/>
    <w:rsid w:val="00D16AB1"/>
    <w:rsid w:val="00D21897"/>
    <w:rsid w:val="00D52408"/>
    <w:rsid w:val="00D54489"/>
    <w:rsid w:val="00D55B65"/>
    <w:rsid w:val="00D65AFA"/>
    <w:rsid w:val="00D736FF"/>
    <w:rsid w:val="00D76662"/>
    <w:rsid w:val="00D83C72"/>
    <w:rsid w:val="00D856DD"/>
    <w:rsid w:val="00D92514"/>
    <w:rsid w:val="00D934D0"/>
    <w:rsid w:val="00D949A9"/>
    <w:rsid w:val="00D97BEC"/>
    <w:rsid w:val="00DA7BB1"/>
    <w:rsid w:val="00DB6AE5"/>
    <w:rsid w:val="00DD3B83"/>
    <w:rsid w:val="00DE3F5A"/>
    <w:rsid w:val="00DF0023"/>
    <w:rsid w:val="00E05855"/>
    <w:rsid w:val="00E11546"/>
    <w:rsid w:val="00E13703"/>
    <w:rsid w:val="00E546EC"/>
    <w:rsid w:val="00E750B8"/>
    <w:rsid w:val="00E94A75"/>
    <w:rsid w:val="00EA1144"/>
    <w:rsid w:val="00EB7712"/>
    <w:rsid w:val="00ED409A"/>
    <w:rsid w:val="00ED4420"/>
    <w:rsid w:val="00EE0E1E"/>
    <w:rsid w:val="00EE45C2"/>
    <w:rsid w:val="00EF04DD"/>
    <w:rsid w:val="00F03550"/>
    <w:rsid w:val="00F06A53"/>
    <w:rsid w:val="00F33276"/>
    <w:rsid w:val="00F47075"/>
    <w:rsid w:val="00F52E4E"/>
    <w:rsid w:val="00F853C2"/>
    <w:rsid w:val="00F90906"/>
    <w:rsid w:val="00F94102"/>
    <w:rsid w:val="00FA01E5"/>
    <w:rsid w:val="00FA1301"/>
    <w:rsid w:val="00FC3B08"/>
    <w:rsid w:val="00FC45B7"/>
    <w:rsid w:val="00FC612B"/>
    <w:rsid w:val="00FC6396"/>
    <w:rsid w:val="00FD6C90"/>
    <w:rsid w:val="00FE5058"/>
    <w:rsid w:val="00FE7D78"/>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FCE96"/>
  <w15:chartTrackingRefBased/>
  <w15:docId w15:val="{E178B01B-4C21-4F04-B409-C3B8F9E7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09A"/>
    <w:pPr>
      <w:keepNext/>
      <w:spacing w:after="0" w:line="360" w:lineRule="auto"/>
      <w:jc w:val="both"/>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2F0B1D"/>
    <w:pPr>
      <w:keepNext/>
      <w:spacing w:after="0" w:line="360" w:lineRule="auto"/>
      <w:jc w:val="both"/>
      <w:outlineLvl w:val="1"/>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148DC"/>
    <w:pPr>
      <w:spacing w:line="360" w:lineRule="auto"/>
      <w:jc w:val="both"/>
    </w:pPr>
    <w:rPr>
      <w:rFonts w:ascii="Arial" w:hAnsi="Arial" w:cs="Arial"/>
    </w:rPr>
  </w:style>
  <w:style w:type="character" w:customStyle="1" w:styleId="BodyTextChar">
    <w:name w:val="Body Text Char"/>
    <w:basedOn w:val="DefaultParagraphFont"/>
    <w:link w:val="BodyText"/>
    <w:uiPriority w:val="99"/>
    <w:rsid w:val="007148DC"/>
    <w:rPr>
      <w:rFonts w:ascii="Arial" w:hAnsi="Arial" w:cs="Arial"/>
    </w:rPr>
  </w:style>
  <w:style w:type="paragraph" w:styleId="ListParagraph">
    <w:name w:val="List Paragraph"/>
    <w:basedOn w:val="Normal"/>
    <w:link w:val="ListParagraphChar"/>
    <w:uiPriority w:val="34"/>
    <w:qFormat/>
    <w:rsid w:val="008D3BE8"/>
    <w:pPr>
      <w:ind w:left="720"/>
      <w:contextualSpacing/>
    </w:pPr>
  </w:style>
  <w:style w:type="character" w:customStyle="1" w:styleId="Heading1Char">
    <w:name w:val="Heading 1 Char"/>
    <w:basedOn w:val="DefaultParagraphFont"/>
    <w:link w:val="Heading1"/>
    <w:uiPriority w:val="9"/>
    <w:rsid w:val="00ED409A"/>
    <w:rPr>
      <w:rFonts w:ascii="Arial" w:hAnsi="Arial" w:cs="Arial"/>
      <w:sz w:val="24"/>
      <w:szCs w:val="24"/>
      <w:u w:val="single"/>
    </w:rPr>
  </w:style>
  <w:style w:type="paragraph" w:customStyle="1" w:styleId="western">
    <w:name w:val="western"/>
    <w:basedOn w:val="Normal"/>
    <w:rsid w:val="00982AC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FootnoteText">
    <w:name w:val="footnote text"/>
    <w:aliases w:val="HCR: - Footnote text,Footnote Text Char Char,Footnote Text Char1 Char Char,Footnote Text Char Char Char Char,Footnote Text Char1 Char Char Char Char,Footnote Text Char Char Char Char Char Char,Car,fn"/>
    <w:basedOn w:val="Normal"/>
    <w:link w:val="FootnoteTextChar"/>
    <w:uiPriority w:val="99"/>
    <w:unhideWhenUsed/>
    <w:qFormat/>
    <w:rsid w:val="00232314"/>
    <w:pPr>
      <w:spacing w:after="0" w:line="240" w:lineRule="auto"/>
    </w:pPr>
    <w:rPr>
      <w:sz w:val="20"/>
      <w:szCs w:val="20"/>
    </w:rPr>
  </w:style>
  <w:style w:type="character" w:customStyle="1" w:styleId="FootnoteTextChar">
    <w:name w:val="Footnote Text Char"/>
    <w:aliases w:val="HCR: - Footnote text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32314"/>
    <w:rPr>
      <w:sz w:val="20"/>
      <w:szCs w:val="20"/>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232314"/>
    <w:rPr>
      <w:vertAlign w:val="superscript"/>
    </w:rPr>
  </w:style>
  <w:style w:type="character" w:customStyle="1" w:styleId="ListParagraphChar">
    <w:name w:val="List Paragraph Char"/>
    <w:link w:val="ListParagraph"/>
    <w:uiPriority w:val="34"/>
    <w:locked/>
    <w:rsid w:val="00FA1301"/>
  </w:style>
  <w:style w:type="paragraph" w:styleId="Header">
    <w:name w:val="header"/>
    <w:basedOn w:val="Normal"/>
    <w:link w:val="HeaderChar"/>
    <w:uiPriority w:val="99"/>
    <w:unhideWhenUsed/>
    <w:rsid w:val="000B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B9"/>
  </w:style>
  <w:style w:type="paragraph" w:styleId="Footer">
    <w:name w:val="footer"/>
    <w:basedOn w:val="Normal"/>
    <w:link w:val="FooterChar"/>
    <w:uiPriority w:val="99"/>
    <w:unhideWhenUsed/>
    <w:rsid w:val="000B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B9"/>
  </w:style>
  <w:style w:type="character" w:customStyle="1" w:styleId="Heading2Char">
    <w:name w:val="Heading 2 Char"/>
    <w:basedOn w:val="DefaultParagraphFont"/>
    <w:link w:val="Heading2"/>
    <w:uiPriority w:val="9"/>
    <w:rsid w:val="002F0B1D"/>
    <w:rPr>
      <w:rFonts w:ascii="Arial" w:hAnsi="Arial" w:cs="Arial"/>
      <w:i/>
      <w:sz w:val="24"/>
      <w:szCs w:val="24"/>
    </w:rPr>
  </w:style>
  <w:style w:type="character" w:styleId="Hyperlink">
    <w:name w:val="Hyperlink"/>
    <w:basedOn w:val="DefaultParagraphFont"/>
    <w:uiPriority w:val="99"/>
    <w:semiHidden/>
    <w:unhideWhenUsed/>
    <w:rsid w:val="00E94A75"/>
    <w:rPr>
      <w:color w:val="0000FF"/>
      <w:u w:val="single"/>
    </w:rPr>
  </w:style>
  <w:style w:type="paragraph" w:customStyle="1" w:styleId="Style8">
    <w:name w:val="Style8"/>
    <w:basedOn w:val="Normal"/>
    <w:next w:val="Normal"/>
    <w:uiPriority w:val="99"/>
    <w:rsid w:val="00AB13BC"/>
    <w:pPr>
      <w:widowControl w:val="0"/>
      <w:autoSpaceDE w:val="0"/>
      <w:autoSpaceDN w:val="0"/>
      <w:adjustRightInd w:val="0"/>
      <w:spacing w:after="0" w:line="542" w:lineRule="exact"/>
      <w:jc w:val="both"/>
    </w:pPr>
    <w:rPr>
      <w:rFonts w:ascii="Arial" w:eastAsia="Times New Roman" w:hAnsi="Arial" w:cs="Arial"/>
      <w:sz w:val="24"/>
      <w:szCs w:val="24"/>
      <w:lang w:eastAsia="zh-CN" w:bidi="hi-IN"/>
    </w:rPr>
  </w:style>
  <w:style w:type="character" w:customStyle="1" w:styleId="FontStyle14">
    <w:name w:val="Font Style14"/>
    <w:basedOn w:val="DefaultParagraphFont"/>
    <w:uiPriority w:val="99"/>
    <w:rsid w:val="00AB13BC"/>
    <w:rPr>
      <w:rFonts w:eastAsia="Times New Roman"/>
      <w:sz w:val="22"/>
      <w:szCs w:val="22"/>
      <w:lang w:val="x-none" w:eastAsia="zh-CN" w:bidi="hi-IN"/>
    </w:rPr>
  </w:style>
  <w:style w:type="character" w:customStyle="1" w:styleId="FontStyle16">
    <w:name w:val="Font Style16"/>
    <w:basedOn w:val="DefaultParagraphFont"/>
    <w:uiPriority w:val="99"/>
    <w:rsid w:val="00AB13BC"/>
    <w:rPr>
      <w:rFonts w:eastAsia="Times New Roman"/>
      <w:i/>
      <w:iCs/>
      <w:sz w:val="22"/>
      <w:szCs w:val="22"/>
      <w:lang w:val="x-none" w:eastAsia="zh-CN" w:bidi="hi-IN"/>
    </w:rPr>
  </w:style>
  <w:style w:type="paragraph" w:styleId="BodyTextIndent">
    <w:name w:val="Body Text Indent"/>
    <w:basedOn w:val="Normal"/>
    <w:link w:val="BodyTextIndentChar"/>
    <w:uiPriority w:val="99"/>
    <w:unhideWhenUsed/>
    <w:rsid w:val="00357675"/>
    <w:pPr>
      <w:spacing w:after="0" w:line="360" w:lineRule="auto"/>
      <w:ind w:right="27" w:firstLine="360"/>
      <w:jc w:val="both"/>
    </w:pPr>
    <w:rPr>
      <w:rFonts w:ascii="Arial" w:hAnsi="Arial" w:cs="Arial"/>
    </w:rPr>
  </w:style>
  <w:style w:type="character" w:customStyle="1" w:styleId="BodyTextIndentChar">
    <w:name w:val="Body Text Indent Char"/>
    <w:basedOn w:val="DefaultParagraphFont"/>
    <w:link w:val="BodyTextIndent"/>
    <w:uiPriority w:val="99"/>
    <w:rsid w:val="00357675"/>
    <w:rPr>
      <w:rFonts w:ascii="Arial" w:hAnsi="Arial" w:cs="Arial"/>
    </w:rPr>
  </w:style>
  <w:style w:type="paragraph" w:customStyle="1" w:styleId="HCR-Numberingaffidavit">
    <w:name w:val="HCR: - Numbering: affidavit"/>
    <w:qFormat/>
    <w:rsid w:val="00A21A5A"/>
    <w:pPr>
      <w:numPr>
        <w:ilvl w:val="1"/>
        <w:numId w:val="8"/>
      </w:numPr>
      <w:spacing w:before="240" w:after="240" w:line="360" w:lineRule="auto"/>
      <w:jc w:val="both"/>
      <w:outlineLvl w:val="1"/>
    </w:pPr>
    <w:rPr>
      <w:rFonts w:ascii="Arial" w:eastAsia="Arial" w:hAnsi="Arial" w:cs="Times New Roman"/>
      <w:sz w:val="24"/>
      <w:szCs w:val="20"/>
    </w:rPr>
  </w:style>
  <w:style w:type="paragraph" w:styleId="BodyTextIndent2">
    <w:name w:val="Body Text Indent 2"/>
    <w:basedOn w:val="Normal"/>
    <w:link w:val="BodyTextIndent2Char"/>
    <w:uiPriority w:val="99"/>
    <w:unhideWhenUsed/>
    <w:rsid w:val="00FD6C90"/>
    <w:pPr>
      <w:spacing w:after="0" w:line="360" w:lineRule="auto"/>
      <w:ind w:firstLine="360"/>
    </w:pPr>
    <w:rPr>
      <w:rFonts w:ascii="Arial" w:hAnsi="Arial" w:cs="Arial"/>
    </w:rPr>
  </w:style>
  <w:style w:type="character" w:customStyle="1" w:styleId="BodyTextIndent2Char">
    <w:name w:val="Body Text Indent 2 Char"/>
    <w:basedOn w:val="DefaultParagraphFont"/>
    <w:link w:val="BodyTextIndent2"/>
    <w:uiPriority w:val="99"/>
    <w:rsid w:val="00FD6C90"/>
    <w:rPr>
      <w:rFonts w:ascii="Arial" w:hAnsi="Arial" w:cs="Arial"/>
    </w:rPr>
  </w:style>
  <w:style w:type="paragraph" w:styleId="BodyTextIndent3">
    <w:name w:val="Body Text Indent 3"/>
    <w:basedOn w:val="Normal"/>
    <w:link w:val="BodyTextIndent3Char"/>
    <w:uiPriority w:val="99"/>
    <w:unhideWhenUsed/>
    <w:rsid w:val="002307E1"/>
    <w:pPr>
      <w:spacing w:after="0" w:line="360" w:lineRule="auto"/>
      <w:ind w:firstLine="72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rsid w:val="002307E1"/>
    <w:rPr>
      <w:rFonts w:ascii="Arial" w:hAnsi="Arial" w:cs="Arial"/>
      <w:sz w:val="24"/>
      <w:szCs w:val="24"/>
    </w:rPr>
  </w:style>
  <w:style w:type="paragraph" w:styleId="BalloonText">
    <w:name w:val="Balloon Text"/>
    <w:basedOn w:val="Normal"/>
    <w:link w:val="BalloonTextChar"/>
    <w:uiPriority w:val="99"/>
    <w:semiHidden/>
    <w:unhideWhenUsed/>
    <w:rsid w:val="00711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56"/>
    <w:rPr>
      <w:rFonts w:ascii="Segoe UI" w:hAnsi="Segoe UI" w:cs="Segoe UI"/>
      <w:sz w:val="18"/>
      <w:szCs w:val="18"/>
    </w:rPr>
  </w:style>
  <w:style w:type="paragraph" w:styleId="NormalWeb">
    <w:name w:val="Normal (Web)"/>
    <w:basedOn w:val="Normal"/>
    <w:uiPriority w:val="99"/>
    <w:unhideWhenUsed/>
    <w:rsid w:val="00297E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C5441"/>
    <w:rPr>
      <w:rFonts w:ascii="Arial" w:hAnsi="Arial" w:cs="Arial"/>
      <w:i/>
      <w:sz w:val="24"/>
      <w:szCs w:val="24"/>
    </w:rPr>
  </w:style>
  <w:style w:type="character" w:customStyle="1" w:styleId="BodyText2Char">
    <w:name w:val="Body Text 2 Char"/>
    <w:basedOn w:val="DefaultParagraphFont"/>
    <w:link w:val="BodyText2"/>
    <w:uiPriority w:val="99"/>
    <w:rsid w:val="004C5441"/>
    <w:rPr>
      <w:rFonts w:ascii="Arial" w:hAnsi="Arial" w:cs="Arial"/>
      <w:i/>
      <w:sz w:val="24"/>
      <w:szCs w:val="24"/>
    </w:rPr>
  </w:style>
  <w:style w:type="paragraph" w:styleId="Title">
    <w:name w:val="Title"/>
    <w:basedOn w:val="Normal"/>
    <w:next w:val="Normal"/>
    <w:link w:val="TitleChar"/>
    <w:uiPriority w:val="10"/>
    <w:qFormat/>
    <w:rsid w:val="00791754"/>
    <w:pPr>
      <w:spacing w:after="0" w:line="360" w:lineRule="auto"/>
      <w:jc w:val="center"/>
    </w:pPr>
    <w:rPr>
      <w:rFonts w:ascii="Arial" w:eastAsia="Calibri" w:hAnsi="Arial" w:cs="Arial"/>
      <w:b/>
      <w:color w:val="000000" w:themeColor="text1"/>
      <w:szCs w:val="24"/>
    </w:rPr>
  </w:style>
  <w:style w:type="character" w:customStyle="1" w:styleId="TitleChar">
    <w:name w:val="Title Char"/>
    <w:basedOn w:val="DefaultParagraphFont"/>
    <w:link w:val="Title"/>
    <w:uiPriority w:val="10"/>
    <w:rsid w:val="00791754"/>
    <w:rPr>
      <w:rFonts w:ascii="Arial" w:eastAsia="Calibri" w:hAnsi="Arial" w:cs="Arial"/>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997">
      <w:bodyDiv w:val="1"/>
      <w:marLeft w:val="0"/>
      <w:marRight w:val="0"/>
      <w:marTop w:val="0"/>
      <w:marBottom w:val="0"/>
      <w:divBdr>
        <w:top w:val="none" w:sz="0" w:space="0" w:color="auto"/>
        <w:left w:val="none" w:sz="0" w:space="0" w:color="auto"/>
        <w:bottom w:val="none" w:sz="0" w:space="0" w:color="auto"/>
        <w:right w:val="none" w:sz="0" w:space="0" w:color="auto"/>
      </w:divBdr>
    </w:div>
    <w:div w:id="251550875">
      <w:bodyDiv w:val="1"/>
      <w:marLeft w:val="0"/>
      <w:marRight w:val="0"/>
      <w:marTop w:val="0"/>
      <w:marBottom w:val="0"/>
      <w:divBdr>
        <w:top w:val="none" w:sz="0" w:space="0" w:color="auto"/>
        <w:left w:val="none" w:sz="0" w:space="0" w:color="auto"/>
        <w:bottom w:val="none" w:sz="0" w:space="0" w:color="auto"/>
        <w:right w:val="none" w:sz="0" w:space="0" w:color="auto"/>
      </w:divBdr>
    </w:div>
    <w:div w:id="309988403">
      <w:bodyDiv w:val="1"/>
      <w:marLeft w:val="0"/>
      <w:marRight w:val="0"/>
      <w:marTop w:val="0"/>
      <w:marBottom w:val="0"/>
      <w:divBdr>
        <w:top w:val="none" w:sz="0" w:space="0" w:color="auto"/>
        <w:left w:val="none" w:sz="0" w:space="0" w:color="auto"/>
        <w:bottom w:val="none" w:sz="0" w:space="0" w:color="auto"/>
        <w:right w:val="none" w:sz="0" w:space="0" w:color="auto"/>
      </w:divBdr>
    </w:div>
    <w:div w:id="775297169">
      <w:bodyDiv w:val="1"/>
      <w:marLeft w:val="0"/>
      <w:marRight w:val="0"/>
      <w:marTop w:val="0"/>
      <w:marBottom w:val="0"/>
      <w:divBdr>
        <w:top w:val="none" w:sz="0" w:space="0" w:color="auto"/>
        <w:left w:val="none" w:sz="0" w:space="0" w:color="auto"/>
        <w:bottom w:val="none" w:sz="0" w:space="0" w:color="auto"/>
        <w:right w:val="none" w:sz="0" w:space="0" w:color="auto"/>
      </w:divBdr>
    </w:div>
    <w:div w:id="846210913">
      <w:bodyDiv w:val="1"/>
      <w:marLeft w:val="0"/>
      <w:marRight w:val="0"/>
      <w:marTop w:val="0"/>
      <w:marBottom w:val="0"/>
      <w:divBdr>
        <w:top w:val="none" w:sz="0" w:space="0" w:color="auto"/>
        <w:left w:val="none" w:sz="0" w:space="0" w:color="auto"/>
        <w:bottom w:val="none" w:sz="0" w:space="0" w:color="auto"/>
        <w:right w:val="none" w:sz="0" w:space="0" w:color="auto"/>
      </w:divBdr>
    </w:div>
    <w:div w:id="1440636162">
      <w:bodyDiv w:val="1"/>
      <w:marLeft w:val="0"/>
      <w:marRight w:val="0"/>
      <w:marTop w:val="0"/>
      <w:marBottom w:val="0"/>
      <w:divBdr>
        <w:top w:val="none" w:sz="0" w:space="0" w:color="auto"/>
        <w:left w:val="none" w:sz="0" w:space="0" w:color="auto"/>
        <w:bottom w:val="none" w:sz="0" w:space="0" w:color="auto"/>
        <w:right w:val="none" w:sz="0" w:space="0" w:color="auto"/>
      </w:divBdr>
    </w:div>
    <w:div w:id="1468669913">
      <w:bodyDiv w:val="1"/>
      <w:marLeft w:val="0"/>
      <w:marRight w:val="0"/>
      <w:marTop w:val="0"/>
      <w:marBottom w:val="0"/>
      <w:divBdr>
        <w:top w:val="none" w:sz="0" w:space="0" w:color="auto"/>
        <w:left w:val="none" w:sz="0" w:space="0" w:color="auto"/>
        <w:bottom w:val="none" w:sz="0" w:space="0" w:color="auto"/>
        <w:right w:val="none" w:sz="0" w:space="0" w:color="auto"/>
      </w:divBdr>
    </w:div>
    <w:div w:id="1971010826">
      <w:bodyDiv w:val="1"/>
      <w:marLeft w:val="0"/>
      <w:marRight w:val="0"/>
      <w:marTop w:val="0"/>
      <w:marBottom w:val="0"/>
      <w:divBdr>
        <w:top w:val="none" w:sz="0" w:space="0" w:color="auto"/>
        <w:left w:val="none" w:sz="0" w:space="0" w:color="auto"/>
        <w:bottom w:val="none" w:sz="0" w:space="0" w:color="auto"/>
        <w:right w:val="none" w:sz="0" w:space="0" w:color="auto"/>
      </w:divBdr>
    </w:div>
    <w:div w:id="20344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2023-10-12T18:30:00+00:00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A4C1-7893-4A34-BD42-18ADEFD6C6B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0E6327B1-7307-46FB-8161-B57E84C2AE31}">
  <ds:schemaRefs>
    <ds:schemaRef ds:uri="http://schemas.openxmlformats.org/officeDocument/2006/bibliography"/>
  </ds:schemaRefs>
</ds:datastoreItem>
</file>

<file path=customXml/itemProps3.xml><?xml version="1.0" encoding="utf-8"?>
<ds:datastoreItem xmlns:ds="http://schemas.openxmlformats.org/officeDocument/2006/customXml" ds:itemID="{DAEED189-7ED0-4896-A404-19988E69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881EE-418D-4FCD-BC68-41F6E7182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10197</Words>
  <Characters>52413</Characters>
  <Application>Microsoft Office Word</Application>
  <DocSecurity>0</DocSecurity>
  <Lines>6551</Lines>
  <Paragraphs>3295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Hanus Properties and Consultants CC v The Deputy Sheriff Swakop (HC-MD-CIV-MOT-REV-2022-00359) [2023] 646 (13 October 2023)</dc:title>
  <dc:subject/>
  <dc:creator>Prinsloo Hannelie</dc:creator>
  <cp:keywords/>
  <dc:description/>
  <cp:lastModifiedBy>Mariana Anguelov</cp:lastModifiedBy>
  <cp:revision>3</cp:revision>
  <cp:lastPrinted>2023-10-13T12:29:00Z</cp:lastPrinted>
  <dcterms:created xsi:type="dcterms:W3CDTF">2023-10-13T12:45:00Z</dcterms:created>
  <dcterms:modified xsi:type="dcterms:W3CDTF">2023-10-17T17:17:00Z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cdeabcc4-d6e7-46ea-83c3-cd8d2da7dea5</vt:lpwstr>
  </property>
  <property fmtid="{D5CDD505-2E9C-101B-9397-08002B2CF9AE}" pid="3" name="ContentTypeId">
    <vt:lpwstr>0x0101000ECE0F99B3F8644397ECB0C536651393</vt:lpwstr>
  </property>
</Properties>
</file>