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B40844" w:rsidRPr="00EA2DE2" w:rsidRDefault="00B40844" w:rsidP="00B40844">
      <w:pPr>
        <w:spacing w:after="0" w:line="360" w:lineRule="auto"/>
        <w:jc w:val="both"/>
        <w:rPr>
          <w:rFonts w:ascii="Arial Narrow" w:hAnsi="Arial Narrow"/>
          <w:sz w:val="10"/>
          <w:szCs w:val="10"/>
        </w:rPr>
      </w:pPr>
      <w:r>
        <w:rPr>
          <w:noProof/>
          <w:lang w:val="en-US"/>
        </w:rPr>
        <w:drawing>
          <wp:anchor distT="0" distB="0" distL="114300" distR="114300" simplePos="0" relativeHeight="251659264" behindDoc="0" locked="0" layoutInCell="1" allowOverlap="1" wp14:anchorId="2A8CF2A1" wp14:editId="7C44D916">
            <wp:simplePos x="0" y="0"/>
            <wp:positionH relativeFrom="margin">
              <wp:align>center</wp:align>
            </wp:positionH>
            <wp:positionV relativeFrom="paragraph">
              <wp:posOffset>119767</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B40844" w:rsidP="00B40844">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B40844" w:rsidRPr="00EA2DE2" w:rsidRDefault="00B40844" w:rsidP="00B40844">
      <w:pPr>
        <w:spacing w:after="0" w:line="360" w:lineRule="auto"/>
        <w:jc w:val="center"/>
        <w:rPr>
          <w:rFonts w:ascii="Arial" w:hAnsi="Arial" w:cs="Arial"/>
          <w:b/>
          <w:sz w:val="14"/>
          <w:szCs w:val="14"/>
        </w:rPr>
      </w:pPr>
    </w:p>
    <w:p w:rsidR="00B40844" w:rsidRPr="0093211F" w:rsidRDefault="008006A3" w:rsidP="0093211F">
      <w:pPr>
        <w:pStyle w:val="Heading3"/>
        <w:rPr>
          <w:rFonts w:eastAsiaTheme="minorHAnsi"/>
          <w:lang w:val="en-ZA"/>
        </w:rPr>
      </w:pPr>
      <w:r w:rsidRPr="0093211F">
        <w:rPr>
          <w:rFonts w:eastAsiaTheme="minorHAnsi"/>
          <w:lang w:val="en-ZA"/>
        </w:rPr>
        <w:t>RULING</w:t>
      </w:r>
    </w:p>
    <w:p w:rsidR="0093211F" w:rsidRDefault="0093211F" w:rsidP="00B40844">
      <w:pPr>
        <w:spacing w:after="0" w:line="360" w:lineRule="auto"/>
        <w:jc w:val="center"/>
        <w:rPr>
          <w:rFonts w:ascii="Arial" w:hAnsi="Arial" w:cs="Arial"/>
          <w:b/>
          <w:sz w:val="24"/>
          <w:szCs w:val="24"/>
        </w:rPr>
      </w:pPr>
    </w:p>
    <w:p w:rsidR="00002E9A" w:rsidRDefault="00002E9A" w:rsidP="0093211F">
      <w:pPr>
        <w:pStyle w:val="Heading3"/>
      </w:pPr>
      <w:r>
        <w:t>PRACTICE DIRECTIVE 61</w:t>
      </w:r>
    </w:p>
    <w:tbl>
      <w:tblPr>
        <w:tblStyle w:val="TableGrid"/>
        <w:tblW w:w="10476" w:type="dxa"/>
        <w:tblInd w:w="-275" w:type="dxa"/>
        <w:tblLook w:val="04A0" w:firstRow="1" w:lastRow="0" w:firstColumn="1" w:lastColumn="0" w:noHBand="0" w:noVBand="1"/>
      </w:tblPr>
      <w:tblGrid>
        <w:gridCol w:w="5232"/>
        <w:gridCol w:w="1134"/>
        <w:gridCol w:w="4110"/>
      </w:tblGrid>
      <w:tr w:rsidR="00CA7995" w:rsidRPr="00CA7995" w:rsidTr="00002E9A">
        <w:trPr>
          <w:trHeight w:val="1396"/>
        </w:trPr>
        <w:tc>
          <w:tcPr>
            <w:tcW w:w="6366" w:type="dxa"/>
            <w:gridSpan w:val="2"/>
            <w:vMerge w:val="restart"/>
          </w:tcPr>
          <w:p w:rsidR="00B40844" w:rsidRDefault="00B40844" w:rsidP="00937C89">
            <w:pPr>
              <w:spacing w:line="360" w:lineRule="auto"/>
              <w:jc w:val="both"/>
              <w:rPr>
                <w:rFonts w:ascii="Arial" w:hAnsi="Arial" w:cs="Arial"/>
                <w:b/>
                <w:sz w:val="24"/>
                <w:szCs w:val="24"/>
              </w:rPr>
            </w:pPr>
            <w:r w:rsidRPr="00CA7995">
              <w:rPr>
                <w:rFonts w:ascii="Arial" w:hAnsi="Arial" w:cs="Arial"/>
                <w:b/>
                <w:sz w:val="24"/>
                <w:szCs w:val="24"/>
              </w:rPr>
              <w:t>Case Title:</w:t>
            </w:r>
          </w:p>
          <w:p w:rsidR="00B40844" w:rsidRDefault="00B40844" w:rsidP="00341C0F">
            <w:pPr>
              <w:tabs>
                <w:tab w:val="left" w:pos="3564"/>
                <w:tab w:val="left" w:pos="3706"/>
                <w:tab w:val="left" w:pos="4273"/>
              </w:tabs>
              <w:spacing w:line="360" w:lineRule="auto"/>
              <w:jc w:val="both"/>
              <w:rPr>
                <w:rFonts w:ascii="Arial" w:hAnsi="Arial" w:cs="Arial"/>
                <w:sz w:val="24"/>
                <w:szCs w:val="24"/>
              </w:rPr>
            </w:pPr>
          </w:p>
          <w:p w:rsidR="00002E9A" w:rsidRDefault="009F24BF" w:rsidP="00002E9A">
            <w:pPr>
              <w:spacing w:line="360" w:lineRule="auto"/>
              <w:jc w:val="both"/>
              <w:rPr>
                <w:rFonts w:ascii="Arial" w:hAnsi="Arial" w:cs="Arial"/>
                <w:sz w:val="24"/>
                <w:szCs w:val="24"/>
              </w:rPr>
            </w:pPr>
            <w:r>
              <w:rPr>
                <w:rFonts w:ascii="Arial" w:hAnsi="Arial" w:cs="Arial"/>
                <w:sz w:val="24"/>
                <w:szCs w:val="24"/>
              </w:rPr>
              <w:t>ARCH RESOURCES (PTY) LTD                       PLAINT</w:t>
            </w:r>
            <w:r w:rsidR="0093211F">
              <w:rPr>
                <w:rFonts w:ascii="Arial" w:hAnsi="Arial" w:cs="Arial"/>
                <w:sz w:val="24"/>
                <w:szCs w:val="24"/>
              </w:rPr>
              <w:t>I</w:t>
            </w:r>
            <w:r>
              <w:rPr>
                <w:rFonts w:ascii="Arial" w:hAnsi="Arial" w:cs="Arial"/>
                <w:sz w:val="24"/>
                <w:szCs w:val="24"/>
              </w:rPr>
              <w:t>FF</w:t>
            </w:r>
          </w:p>
          <w:p w:rsidR="009F24BF" w:rsidRDefault="009F24BF" w:rsidP="00002E9A">
            <w:pPr>
              <w:spacing w:line="360" w:lineRule="auto"/>
              <w:jc w:val="both"/>
              <w:rPr>
                <w:rFonts w:ascii="Arial" w:hAnsi="Arial" w:cs="Arial"/>
                <w:sz w:val="24"/>
                <w:szCs w:val="24"/>
              </w:rPr>
            </w:pPr>
          </w:p>
          <w:p w:rsidR="00002E9A" w:rsidRDefault="00341C0F" w:rsidP="00002E9A">
            <w:pPr>
              <w:spacing w:line="360" w:lineRule="auto"/>
              <w:jc w:val="both"/>
              <w:rPr>
                <w:rFonts w:ascii="Arial" w:hAnsi="Arial" w:cs="Arial"/>
                <w:sz w:val="24"/>
                <w:szCs w:val="24"/>
              </w:rPr>
            </w:pPr>
            <w:r>
              <w:rPr>
                <w:rFonts w:ascii="Arial" w:hAnsi="Arial" w:cs="Arial"/>
                <w:sz w:val="24"/>
                <w:szCs w:val="24"/>
              </w:rPr>
              <w:t>v</w:t>
            </w:r>
          </w:p>
          <w:p w:rsidR="00002E9A" w:rsidRDefault="00002E9A" w:rsidP="00002E9A">
            <w:pPr>
              <w:spacing w:line="360" w:lineRule="auto"/>
              <w:jc w:val="both"/>
              <w:rPr>
                <w:rFonts w:ascii="Arial" w:hAnsi="Arial" w:cs="Arial"/>
                <w:sz w:val="24"/>
                <w:szCs w:val="24"/>
              </w:rPr>
            </w:pPr>
          </w:p>
          <w:p w:rsidR="0093211F" w:rsidRDefault="009F24BF" w:rsidP="000F1377">
            <w:pPr>
              <w:spacing w:line="360" w:lineRule="auto"/>
              <w:jc w:val="both"/>
              <w:rPr>
                <w:rFonts w:ascii="Arial" w:eastAsia="Times New Roman" w:hAnsi="Arial" w:cs="Arial"/>
                <w:sz w:val="24"/>
                <w:szCs w:val="24"/>
              </w:rPr>
            </w:pPr>
            <w:r>
              <w:rPr>
                <w:rFonts w:ascii="Arial" w:eastAsia="Times New Roman" w:hAnsi="Arial" w:cs="Arial"/>
                <w:sz w:val="24"/>
                <w:szCs w:val="24"/>
              </w:rPr>
              <w:t xml:space="preserve">CANDINO MINING &amp; </w:t>
            </w:r>
            <w:r w:rsidR="0093211F">
              <w:rPr>
                <w:rFonts w:ascii="Arial" w:eastAsia="Times New Roman" w:hAnsi="Arial" w:cs="Arial"/>
                <w:sz w:val="24"/>
                <w:szCs w:val="24"/>
              </w:rPr>
              <w:t>CONSTRUCTION</w:t>
            </w:r>
            <w:r>
              <w:rPr>
                <w:rFonts w:ascii="Arial" w:eastAsia="Times New Roman" w:hAnsi="Arial" w:cs="Arial"/>
                <w:sz w:val="24"/>
                <w:szCs w:val="24"/>
              </w:rPr>
              <w:t xml:space="preserve"> </w:t>
            </w:r>
            <w:r w:rsidR="0094364A" w:rsidRPr="0094364A">
              <w:rPr>
                <w:rFonts w:ascii="Arial" w:eastAsia="Times New Roman" w:hAnsi="Arial" w:cs="Arial"/>
                <w:sz w:val="24"/>
                <w:szCs w:val="24"/>
              </w:rPr>
              <w:t>CC</w:t>
            </w:r>
            <w:r w:rsidR="000F1377">
              <w:rPr>
                <w:rFonts w:ascii="Arial" w:eastAsia="Times New Roman" w:hAnsi="Arial" w:cs="Arial"/>
                <w:sz w:val="24"/>
                <w:szCs w:val="24"/>
              </w:rPr>
              <w:t xml:space="preserve">            </w:t>
            </w:r>
            <w:r w:rsidR="0094364A">
              <w:rPr>
                <w:rFonts w:ascii="Arial" w:eastAsia="Times New Roman" w:hAnsi="Arial" w:cs="Arial"/>
                <w:sz w:val="24"/>
                <w:szCs w:val="24"/>
              </w:rPr>
              <w:t xml:space="preserve">                                                 </w:t>
            </w:r>
            <w:r w:rsidR="0093211F">
              <w:rPr>
                <w:rFonts w:ascii="Arial" w:eastAsia="Times New Roman" w:hAnsi="Arial" w:cs="Arial"/>
                <w:sz w:val="24"/>
                <w:szCs w:val="24"/>
              </w:rPr>
              <w:t xml:space="preserve">               </w:t>
            </w:r>
          </w:p>
          <w:p w:rsidR="00002E9A" w:rsidRDefault="0093211F" w:rsidP="000F1377">
            <w:pPr>
              <w:spacing w:line="360" w:lineRule="auto"/>
              <w:jc w:val="both"/>
              <w:rPr>
                <w:rFonts w:ascii="Arial" w:hAnsi="Arial" w:cs="Arial"/>
                <w:sz w:val="24"/>
                <w:szCs w:val="24"/>
              </w:rPr>
            </w:pPr>
            <w:r>
              <w:rPr>
                <w:rFonts w:ascii="Arial" w:eastAsia="Times New Roman" w:hAnsi="Arial" w:cs="Arial"/>
                <w:sz w:val="24"/>
                <w:szCs w:val="24"/>
              </w:rPr>
              <w:t xml:space="preserve">                                                                 </w:t>
            </w:r>
            <w:r w:rsidR="0094364A">
              <w:rPr>
                <w:rFonts w:ascii="Arial" w:eastAsia="Times New Roman" w:hAnsi="Arial" w:cs="Arial"/>
                <w:sz w:val="24"/>
                <w:szCs w:val="24"/>
              </w:rPr>
              <w:t>1</w:t>
            </w:r>
            <w:r w:rsidR="0094364A" w:rsidRPr="00EC4F7C">
              <w:rPr>
                <w:rFonts w:ascii="Arial" w:eastAsia="Times New Roman" w:hAnsi="Arial" w:cs="Arial"/>
                <w:sz w:val="24"/>
                <w:szCs w:val="24"/>
                <w:vertAlign w:val="superscript"/>
              </w:rPr>
              <w:t>st</w:t>
            </w:r>
            <w:r w:rsidR="009F24BF">
              <w:rPr>
                <w:rFonts w:ascii="Arial" w:eastAsia="Times New Roman" w:hAnsi="Arial" w:cs="Arial"/>
                <w:sz w:val="24"/>
                <w:szCs w:val="24"/>
              </w:rPr>
              <w:t xml:space="preserve"> DEFENDANT</w:t>
            </w:r>
          </w:p>
          <w:p w:rsidR="00002E9A" w:rsidRPr="00002E9A" w:rsidRDefault="009F24BF" w:rsidP="000F1377">
            <w:pPr>
              <w:spacing w:line="360" w:lineRule="auto"/>
              <w:jc w:val="both"/>
              <w:rPr>
                <w:rFonts w:ascii="Arial" w:hAnsi="Arial" w:cs="Arial"/>
                <w:sz w:val="24"/>
                <w:szCs w:val="24"/>
              </w:rPr>
            </w:pPr>
            <w:r>
              <w:rPr>
                <w:rFonts w:ascii="Arial" w:hAnsi="Arial" w:cs="Arial"/>
                <w:sz w:val="24"/>
                <w:szCs w:val="24"/>
              </w:rPr>
              <w:t xml:space="preserve">JURIUS NKOSHI           </w:t>
            </w:r>
            <w:r w:rsidR="0094364A">
              <w:rPr>
                <w:rFonts w:ascii="Arial" w:hAnsi="Arial" w:cs="Arial"/>
                <w:sz w:val="24"/>
                <w:szCs w:val="24"/>
              </w:rPr>
              <w:t xml:space="preserve">                     </w:t>
            </w:r>
            <w:r>
              <w:rPr>
                <w:rFonts w:ascii="Arial" w:hAnsi="Arial" w:cs="Arial"/>
                <w:sz w:val="24"/>
                <w:szCs w:val="24"/>
              </w:rPr>
              <w:t xml:space="preserve">    </w:t>
            </w:r>
            <w:r w:rsidR="0094364A">
              <w:rPr>
                <w:rFonts w:ascii="Arial" w:hAnsi="Arial" w:cs="Arial"/>
                <w:sz w:val="24"/>
                <w:szCs w:val="24"/>
              </w:rPr>
              <w:t xml:space="preserve"> 2</w:t>
            </w:r>
            <w:r w:rsidR="0094364A" w:rsidRPr="0094364A">
              <w:rPr>
                <w:rFonts w:ascii="Arial" w:hAnsi="Arial" w:cs="Arial"/>
                <w:sz w:val="24"/>
                <w:szCs w:val="24"/>
                <w:vertAlign w:val="superscript"/>
              </w:rPr>
              <w:t>nd</w:t>
            </w:r>
            <w:r w:rsidR="0094364A">
              <w:rPr>
                <w:rFonts w:ascii="Arial" w:hAnsi="Arial" w:cs="Arial"/>
                <w:sz w:val="24"/>
                <w:szCs w:val="24"/>
              </w:rPr>
              <w:t xml:space="preserve"> </w:t>
            </w:r>
            <w:r>
              <w:rPr>
                <w:rFonts w:ascii="Arial" w:hAnsi="Arial" w:cs="Arial"/>
                <w:sz w:val="24"/>
                <w:szCs w:val="24"/>
              </w:rPr>
              <w:t>DEFENDANT</w:t>
            </w: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Case No:</w:t>
            </w:r>
          </w:p>
          <w:p w:rsidR="00B40844" w:rsidRDefault="009F24BF" w:rsidP="00937C89">
            <w:pPr>
              <w:spacing w:line="360" w:lineRule="auto"/>
              <w:jc w:val="both"/>
              <w:rPr>
                <w:rFonts w:ascii="Arial" w:hAnsi="Arial" w:cs="Arial"/>
                <w:sz w:val="24"/>
                <w:szCs w:val="24"/>
                <w:shd w:val="clear" w:color="auto" w:fill="FFFFFF"/>
              </w:rPr>
            </w:pPr>
            <w:r w:rsidRPr="009F24BF">
              <w:rPr>
                <w:rFonts w:ascii="Arial" w:hAnsi="Arial" w:cs="Arial"/>
                <w:sz w:val="24"/>
                <w:szCs w:val="24"/>
                <w:shd w:val="clear" w:color="auto" w:fill="FFFFFF"/>
              </w:rPr>
              <w:t>HC-MD-CIV-ACT-CON-2023/00932</w:t>
            </w:r>
          </w:p>
          <w:p w:rsidR="0093211F" w:rsidRPr="0093211F" w:rsidRDefault="0093211F" w:rsidP="00937C89">
            <w:pPr>
              <w:spacing w:line="360" w:lineRule="auto"/>
              <w:jc w:val="both"/>
              <w:rPr>
                <w:rFonts w:ascii="Arial" w:hAnsi="Arial" w:cs="Arial"/>
                <w:sz w:val="24"/>
                <w:szCs w:val="24"/>
                <w:shd w:val="clear" w:color="auto" w:fill="FFFFFF"/>
              </w:rPr>
            </w:pPr>
            <w:r w:rsidRPr="0093211F">
              <w:rPr>
                <w:rFonts w:ascii="Arial" w:hAnsi="Arial" w:cs="Arial"/>
                <w:color w:val="333333"/>
                <w:sz w:val="24"/>
                <w:szCs w:val="24"/>
                <w:shd w:val="clear" w:color="auto" w:fill="FFFFFF"/>
              </w:rPr>
              <w:t>INT-HC-EXP-2023/00233</w:t>
            </w:r>
          </w:p>
        </w:tc>
      </w:tr>
      <w:tr w:rsidR="00CA7995" w:rsidRPr="00CA7995" w:rsidTr="00002E9A">
        <w:trPr>
          <w:trHeight w:val="968"/>
        </w:trPr>
        <w:tc>
          <w:tcPr>
            <w:tcW w:w="6366" w:type="dxa"/>
            <w:gridSpan w:val="2"/>
            <w:vMerge/>
          </w:tcPr>
          <w:p w:rsidR="00B40844" w:rsidRPr="00CA7995" w:rsidRDefault="00B40844" w:rsidP="00937C89">
            <w:pPr>
              <w:spacing w:line="360" w:lineRule="auto"/>
              <w:jc w:val="both"/>
              <w:rPr>
                <w:rFonts w:ascii="Arial" w:hAnsi="Arial" w:cs="Arial"/>
                <w:sz w:val="24"/>
                <w:szCs w:val="24"/>
              </w:rPr>
            </w:pPr>
          </w:p>
        </w:tc>
        <w:tc>
          <w:tcPr>
            <w:tcW w:w="4110" w:type="dxa"/>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Division of Court:</w:t>
            </w:r>
          </w:p>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HIGH COURT (MAIN DIVISION)</w:t>
            </w:r>
          </w:p>
        </w:tc>
      </w:tr>
      <w:tr w:rsidR="00CA7995" w:rsidRPr="00CA7995" w:rsidTr="00002E9A">
        <w:trPr>
          <w:trHeight w:val="965"/>
        </w:trPr>
        <w:tc>
          <w:tcPr>
            <w:tcW w:w="6366" w:type="dxa"/>
            <w:gridSpan w:val="2"/>
            <w:vMerge w:val="restart"/>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Heard before:</w:t>
            </w:r>
          </w:p>
          <w:p w:rsidR="00B40844" w:rsidRPr="00CA7995" w:rsidRDefault="00002E9A" w:rsidP="00937C89">
            <w:pPr>
              <w:spacing w:line="360" w:lineRule="auto"/>
              <w:jc w:val="both"/>
              <w:rPr>
                <w:rFonts w:ascii="Arial" w:hAnsi="Arial" w:cs="Arial"/>
                <w:sz w:val="24"/>
                <w:szCs w:val="24"/>
              </w:rPr>
            </w:pPr>
            <w:r w:rsidRPr="00806722">
              <w:rPr>
                <w:rFonts w:ascii="Arial" w:hAnsi="Arial" w:cs="Arial"/>
                <w:sz w:val="24"/>
                <w:szCs w:val="24"/>
                <w:lang w:val="en-US"/>
              </w:rPr>
              <w:t>HONOURABLE LADY JUSTICE PRINSLOO</w:t>
            </w: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Date of hearing:</w:t>
            </w:r>
          </w:p>
          <w:p w:rsidR="00B40844" w:rsidRPr="00CA7995" w:rsidRDefault="00AC6531" w:rsidP="00C2633E">
            <w:pPr>
              <w:spacing w:line="360" w:lineRule="auto"/>
              <w:jc w:val="both"/>
              <w:rPr>
                <w:rFonts w:ascii="Arial" w:hAnsi="Arial" w:cs="Arial"/>
                <w:sz w:val="24"/>
                <w:szCs w:val="24"/>
              </w:rPr>
            </w:pPr>
            <w:r>
              <w:rPr>
                <w:rFonts w:ascii="Arial" w:hAnsi="Arial" w:cs="Arial"/>
                <w:sz w:val="24"/>
                <w:szCs w:val="24"/>
                <w:lang w:val="en-US"/>
              </w:rPr>
              <w:t>25 September</w:t>
            </w:r>
            <w:r w:rsidR="009F24BF">
              <w:rPr>
                <w:rFonts w:ascii="Arial" w:hAnsi="Arial" w:cs="Arial"/>
                <w:sz w:val="24"/>
                <w:szCs w:val="24"/>
                <w:lang w:val="en-US"/>
              </w:rPr>
              <w:t xml:space="preserve"> 2023 </w:t>
            </w:r>
          </w:p>
        </w:tc>
      </w:tr>
      <w:tr w:rsidR="00CA7995" w:rsidRPr="00CA7995" w:rsidTr="00002E9A">
        <w:trPr>
          <w:trHeight w:val="991"/>
        </w:trPr>
        <w:tc>
          <w:tcPr>
            <w:tcW w:w="6366" w:type="dxa"/>
            <w:gridSpan w:val="2"/>
            <w:vMerge/>
          </w:tcPr>
          <w:p w:rsidR="00B40844" w:rsidRPr="00CA7995" w:rsidRDefault="00B40844" w:rsidP="00937C89">
            <w:pPr>
              <w:spacing w:line="360" w:lineRule="auto"/>
              <w:jc w:val="both"/>
              <w:rPr>
                <w:rFonts w:ascii="Arial" w:hAnsi="Arial" w:cs="Arial"/>
                <w:b/>
                <w:sz w:val="24"/>
                <w:szCs w:val="24"/>
              </w:rPr>
            </w:pP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Delivered on:</w:t>
            </w:r>
          </w:p>
          <w:p w:rsidR="00B40844" w:rsidRPr="00CA7995" w:rsidRDefault="009F24BF" w:rsidP="00C2633E">
            <w:pPr>
              <w:spacing w:line="360" w:lineRule="auto"/>
              <w:jc w:val="both"/>
              <w:rPr>
                <w:rFonts w:ascii="Arial" w:hAnsi="Arial" w:cs="Arial"/>
                <w:b/>
                <w:sz w:val="24"/>
                <w:szCs w:val="24"/>
              </w:rPr>
            </w:pPr>
            <w:r>
              <w:rPr>
                <w:rFonts w:ascii="Arial" w:hAnsi="Arial" w:cs="Arial"/>
                <w:sz w:val="24"/>
                <w:szCs w:val="24"/>
                <w:lang w:val="en-US"/>
              </w:rPr>
              <w:t xml:space="preserve">13 October </w:t>
            </w:r>
            <w:r w:rsidR="00002E9A">
              <w:rPr>
                <w:rFonts w:ascii="Arial" w:hAnsi="Arial" w:cs="Arial"/>
                <w:sz w:val="24"/>
                <w:szCs w:val="24"/>
                <w:lang w:val="en-US"/>
              </w:rPr>
              <w:t>2023</w:t>
            </w:r>
          </w:p>
        </w:tc>
      </w:tr>
      <w:tr w:rsidR="00CA7995" w:rsidRPr="00CA7995" w:rsidTr="00002E9A">
        <w:trPr>
          <w:trHeight w:val="876"/>
        </w:trPr>
        <w:tc>
          <w:tcPr>
            <w:tcW w:w="10476" w:type="dxa"/>
            <w:gridSpan w:val="3"/>
          </w:tcPr>
          <w:p w:rsidR="00B40844" w:rsidRPr="00CA7995" w:rsidRDefault="00B40844" w:rsidP="009F24BF">
            <w:pPr>
              <w:spacing w:line="360" w:lineRule="auto"/>
              <w:jc w:val="both"/>
              <w:rPr>
                <w:rFonts w:ascii="Arial" w:hAnsi="Arial" w:cs="Arial"/>
                <w:sz w:val="24"/>
                <w:szCs w:val="24"/>
              </w:rPr>
            </w:pPr>
            <w:r w:rsidRPr="00CA7995">
              <w:rPr>
                <w:rFonts w:ascii="Arial" w:hAnsi="Arial" w:cs="Arial"/>
                <w:b/>
                <w:sz w:val="24"/>
                <w:szCs w:val="24"/>
              </w:rPr>
              <w:t xml:space="preserve">Neutral citation: </w:t>
            </w:r>
            <w:bookmarkStart w:id="0" w:name="_GoBack"/>
            <w:r w:rsidR="009F24BF">
              <w:rPr>
                <w:rFonts w:ascii="Arial" w:eastAsia="Times New Roman" w:hAnsi="Arial" w:cs="Arial"/>
                <w:i/>
                <w:sz w:val="24"/>
                <w:szCs w:val="24"/>
              </w:rPr>
              <w:t>Arch Resources (Pty) Ltd v Candino Mining &amp; Construction</w:t>
            </w:r>
            <w:r w:rsidR="002457E7">
              <w:rPr>
                <w:rFonts w:ascii="Arial" w:eastAsia="Times New Roman" w:hAnsi="Arial" w:cs="Arial"/>
                <w:i/>
                <w:sz w:val="24"/>
                <w:szCs w:val="24"/>
              </w:rPr>
              <w:t xml:space="preserve"> CC</w:t>
            </w:r>
            <w:r w:rsidR="0094364A">
              <w:rPr>
                <w:rFonts w:ascii="Arial" w:eastAsia="Times New Roman" w:hAnsi="Arial" w:cs="Arial"/>
                <w:i/>
                <w:sz w:val="24"/>
                <w:szCs w:val="24"/>
              </w:rPr>
              <w:t xml:space="preserve"> </w:t>
            </w:r>
            <w:r w:rsidR="00002E9A" w:rsidRPr="007B0507">
              <w:rPr>
                <w:rFonts w:ascii="Arial" w:eastAsia="Times New Roman" w:hAnsi="Arial" w:cs="Arial"/>
                <w:sz w:val="24"/>
                <w:szCs w:val="24"/>
              </w:rPr>
              <w:t>(</w:t>
            </w:r>
            <w:r w:rsidR="009F24BF" w:rsidRPr="009F24BF">
              <w:rPr>
                <w:rFonts w:ascii="Arial" w:eastAsia="Times New Roman" w:hAnsi="Arial" w:cs="Arial"/>
                <w:sz w:val="24"/>
                <w:szCs w:val="24"/>
              </w:rPr>
              <w:t>HC-MD-CIV-</w:t>
            </w:r>
            <w:r w:rsidR="009F24BF" w:rsidRPr="009F24BF">
              <w:rPr>
                <w:rFonts w:ascii="Arial" w:eastAsia="Times New Roman" w:hAnsi="Arial" w:cs="Arial"/>
                <w:sz w:val="24"/>
                <w:szCs w:val="24"/>
              </w:rPr>
              <w:tab/>
            </w:r>
            <w:r w:rsidR="009F24BF" w:rsidRPr="009F24BF">
              <w:rPr>
                <w:rFonts w:ascii="Arial" w:eastAsia="Times New Roman" w:hAnsi="Arial" w:cs="Arial"/>
                <w:sz w:val="24"/>
                <w:szCs w:val="24"/>
              </w:rPr>
              <w:tab/>
            </w:r>
            <w:r w:rsidR="009F24BF" w:rsidRPr="009F24BF">
              <w:rPr>
                <w:rFonts w:ascii="Arial" w:eastAsia="Times New Roman" w:hAnsi="Arial" w:cs="Arial"/>
                <w:sz w:val="24"/>
                <w:szCs w:val="24"/>
              </w:rPr>
              <w:tab/>
            </w:r>
            <w:r w:rsidR="009F24BF">
              <w:rPr>
                <w:rFonts w:ascii="Arial" w:eastAsia="Times New Roman" w:hAnsi="Arial" w:cs="Arial"/>
                <w:sz w:val="24"/>
                <w:szCs w:val="24"/>
              </w:rPr>
              <w:t xml:space="preserve">       </w:t>
            </w:r>
            <w:r w:rsidR="009F24BF" w:rsidRPr="009F24BF">
              <w:rPr>
                <w:rFonts w:ascii="Arial" w:eastAsia="Times New Roman" w:hAnsi="Arial" w:cs="Arial"/>
                <w:sz w:val="24"/>
                <w:szCs w:val="24"/>
              </w:rPr>
              <w:t>ACT-CON-2023/00932</w:t>
            </w:r>
            <w:r w:rsidR="00002E9A">
              <w:rPr>
                <w:rFonts w:ascii="Arial" w:hAnsi="Arial" w:cs="Arial"/>
                <w:sz w:val="24"/>
                <w:szCs w:val="24"/>
              </w:rPr>
              <w:t>) [</w:t>
            </w:r>
            <w:r w:rsidR="00002E9A" w:rsidRPr="00FE3661">
              <w:rPr>
                <w:rFonts w:ascii="Arial" w:hAnsi="Arial" w:cs="Arial"/>
                <w:sz w:val="24"/>
                <w:szCs w:val="24"/>
              </w:rPr>
              <w:t>202</w:t>
            </w:r>
            <w:r w:rsidR="00002E9A">
              <w:rPr>
                <w:rFonts w:ascii="Arial" w:hAnsi="Arial" w:cs="Arial"/>
                <w:sz w:val="24"/>
                <w:szCs w:val="24"/>
              </w:rPr>
              <w:t>3</w:t>
            </w:r>
            <w:r w:rsidR="00002E9A" w:rsidRPr="00FE3661">
              <w:rPr>
                <w:rFonts w:ascii="Arial" w:hAnsi="Arial" w:cs="Arial"/>
                <w:sz w:val="24"/>
                <w:szCs w:val="24"/>
              </w:rPr>
              <w:t>]</w:t>
            </w:r>
            <w:r w:rsidR="00002E9A" w:rsidRPr="00FE3661">
              <w:rPr>
                <w:rFonts w:ascii="Arial" w:hAnsi="Arial" w:cs="Arial"/>
                <w:i/>
                <w:sz w:val="24"/>
                <w:szCs w:val="24"/>
              </w:rPr>
              <w:t xml:space="preserve"> </w:t>
            </w:r>
            <w:r w:rsidR="00002E9A" w:rsidRPr="00FE3661">
              <w:rPr>
                <w:rFonts w:ascii="Arial" w:hAnsi="Arial" w:cs="Arial"/>
                <w:sz w:val="24"/>
                <w:szCs w:val="24"/>
              </w:rPr>
              <w:t xml:space="preserve">NAHCMD </w:t>
            </w:r>
            <w:r w:rsidR="00BA31AF" w:rsidRPr="00932B14">
              <w:rPr>
                <w:rFonts w:ascii="Arial" w:hAnsi="Arial" w:cs="Arial"/>
                <w:sz w:val="24"/>
                <w:szCs w:val="24"/>
              </w:rPr>
              <w:t>647</w:t>
            </w:r>
            <w:r w:rsidR="009F24BF">
              <w:rPr>
                <w:rFonts w:ascii="Arial" w:hAnsi="Arial" w:cs="Arial"/>
                <w:sz w:val="24"/>
                <w:szCs w:val="24"/>
              </w:rPr>
              <w:t xml:space="preserve"> (13 October </w:t>
            </w:r>
            <w:r w:rsidR="00002E9A">
              <w:rPr>
                <w:rFonts w:ascii="Arial" w:hAnsi="Arial" w:cs="Arial"/>
                <w:sz w:val="24"/>
                <w:szCs w:val="24"/>
              </w:rPr>
              <w:t>2023)</w:t>
            </w:r>
            <w:bookmarkEnd w:id="0"/>
          </w:p>
        </w:tc>
      </w:tr>
      <w:tr w:rsidR="00002E9A" w:rsidRPr="00CA7995" w:rsidTr="00002E9A">
        <w:trPr>
          <w:trHeight w:val="876"/>
        </w:trPr>
        <w:tc>
          <w:tcPr>
            <w:tcW w:w="10476" w:type="dxa"/>
            <w:gridSpan w:val="3"/>
          </w:tcPr>
          <w:p w:rsidR="00002E9A" w:rsidRDefault="00002E9A" w:rsidP="00002E9A">
            <w:pPr>
              <w:shd w:val="clear" w:color="auto" w:fill="FFFFFF"/>
              <w:rPr>
                <w:rFonts w:ascii="Arial" w:eastAsia="Times New Roman" w:hAnsi="Arial" w:cs="Arial"/>
                <w:b/>
                <w:sz w:val="24"/>
                <w:szCs w:val="24"/>
                <w:lang w:val="en-US"/>
              </w:rPr>
            </w:pPr>
            <w:r w:rsidRPr="007B2C80">
              <w:rPr>
                <w:rFonts w:ascii="Arial" w:eastAsia="Times New Roman" w:hAnsi="Arial" w:cs="Arial"/>
                <w:b/>
                <w:sz w:val="24"/>
                <w:szCs w:val="24"/>
                <w:lang w:val="en-US"/>
              </w:rPr>
              <w:t>Results on merits:</w:t>
            </w:r>
          </w:p>
          <w:p w:rsidR="00002E9A" w:rsidRPr="00002E9A" w:rsidRDefault="00002E9A" w:rsidP="00002E9A">
            <w:pPr>
              <w:shd w:val="clear" w:color="auto" w:fill="FFFFFF"/>
              <w:rPr>
                <w:rFonts w:ascii="Arial" w:eastAsia="Times New Roman" w:hAnsi="Arial" w:cs="Arial"/>
                <w:sz w:val="24"/>
                <w:szCs w:val="24"/>
                <w:lang w:val="en-US"/>
              </w:rPr>
            </w:pPr>
          </w:p>
          <w:p w:rsidR="00002E9A" w:rsidRPr="00CA7995" w:rsidRDefault="00002E9A" w:rsidP="00002E9A">
            <w:pPr>
              <w:spacing w:line="360" w:lineRule="auto"/>
              <w:jc w:val="both"/>
              <w:rPr>
                <w:rFonts w:ascii="Arial" w:hAnsi="Arial" w:cs="Arial"/>
                <w:b/>
                <w:sz w:val="24"/>
                <w:szCs w:val="24"/>
              </w:rPr>
            </w:pPr>
            <w:r w:rsidRPr="00A2352A">
              <w:rPr>
                <w:rFonts w:ascii="Arial" w:eastAsia="Times New Roman" w:hAnsi="Arial" w:cs="Arial"/>
                <w:sz w:val="24"/>
                <w:szCs w:val="24"/>
                <w:lang w:val="en-US"/>
              </w:rPr>
              <w:t>Merits not considered.</w:t>
            </w:r>
          </w:p>
        </w:tc>
      </w:tr>
      <w:tr w:rsidR="00CA7995" w:rsidRPr="00CA7995" w:rsidTr="00002E9A">
        <w:tc>
          <w:tcPr>
            <w:tcW w:w="10476" w:type="dxa"/>
            <w:gridSpan w:val="3"/>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The order:</w:t>
            </w:r>
          </w:p>
          <w:p w:rsidR="00CA32E6" w:rsidRPr="00CA32E6" w:rsidRDefault="006916C9" w:rsidP="00CA32E6">
            <w:pPr>
              <w:pStyle w:val="NormalWeb"/>
              <w:shd w:val="clear" w:color="auto" w:fill="FFFFFF"/>
              <w:spacing w:after="0" w:line="360" w:lineRule="auto"/>
              <w:jc w:val="both"/>
              <w:rPr>
                <w:rFonts w:ascii="Arial" w:hAnsi="Arial" w:cs="Arial"/>
              </w:rPr>
            </w:pPr>
            <w:r>
              <w:rPr>
                <w:rFonts w:ascii="Arial" w:hAnsi="Arial" w:cs="Arial"/>
              </w:rPr>
              <w:t>1.</w:t>
            </w:r>
            <w:r w:rsidRPr="006916C9">
              <w:rPr>
                <w:rFonts w:ascii="Arial" w:hAnsi="Arial" w:cs="Arial"/>
              </w:rPr>
              <w:tab/>
            </w:r>
            <w:r w:rsidR="00CA32E6">
              <w:rPr>
                <w:rFonts w:ascii="Arial" w:hAnsi="Arial" w:cs="Arial"/>
              </w:rPr>
              <w:t>T</w:t>
            </w:r>
            <w:r w:rsidR="00CA32E6" w:rsidRPr="00CA32E6">
              <w:rPr>
                <w:rFonts w:ascii="Arial" w:hAnsi="Arial" w:cs="Arial"/>
              </w:rPr>
              <w:t>he defendants’ exception is upheld.</w:t>
            </w:r>
          </w:p>
          <w:p w:rsidR="00CA32E6" w:rsidRPr="00CA32E6" w:rsidRDefault="00CA32E6" w:rsidP="00CA32E6">
            <w:pPr>
              <w:pStyle w:val="NormalWeb"/>
              <w:shd w:val="clear" w:color="auto" w:fill="FFFFFF"/>
              <w:spacing w:after="0" w:line="360" w:lineRule="auto"/>
              <w:jc w:val="both"/>
              <w:rPr>
                <w:rFonts w:ascii="Arial" w:hAnsi="Arial" w:cs="Arial"/>
              </w:rPr>
            </w:pPr>
            <w:r w:rsidRPr="00CA32E6">
              <w:rPr>
                <w:rFonts w:ascii="Arial" w:hAnsi="Arial" w:cs="Arial"/>
              </w:rPr>
              <w:t>2.</w:t>
            </w:r>
            <w:r w:rsidRPr="00CA32E6">
              <w:rPr>
                <w:rFonts w:ascii="Arial" w:hAnsi="Arial" w:cs="Arial"/>
              </w:rPr>
              <w:tab/>
              <w:t xml:space="preserve">The plaintiff’s particulars of claim </w:t>
            </w:r>
            <w:r w:rsidR="00F65A80">
              <w:rPr>
                <w:rFonts w:ascii="Arial" w:hAnsi="Arial" w:cs="Arial"/>
              </w:rPr>
              <w:t>are</w:t>
            </w:r>
            <w:r w:rsidRPr="00CA32E6">
              <w:rPr>
                <w:rFonts w:ascii="Arial" w:hAnsi="Arial" w:cs="Arial"/>
              </w:rPr>
              <w:t xml:space="preserve"> set aside and is granted leave to amend </w:t>
            </w:r>
            <w:r w:rsidR="006D1814">
              <w:rPr>
                <w:rFonts w:ascii="Arial" w:hAnsi="Arial" w:cs="Arial"/>
              </w:rPr>
              <w:t>its</w:t>
            </w:r>
            <w:r w:rsidRPr="00CA32E6">
              <w:rPr>
                <w:rFonts w:ascii="Arial" w:hAnsi="Arial" w:cs="Arial"/>
              </w:rPr>
              <w:t xml:space="preserve"> particulars of claim, if so advised, within 15 days of this order.</w:t>
            </w:r>
          </w:p>
          <w:p w:rsidR="00CA32E6" w:rsidRPr="00CA32E6" w:rsidRDefault="00CA32E6" w:rsidP="00CA32E6">
            <w:pPr>
              <w:pStyle w:val="NormalWeb"/>
              <w:shd w:val="clear" w:color="auto" w:fill="FFFFFF"/>
              <w:spacing w:after="0" w:line="360" w:lineRule="auto"/>
              <w:jc w:val="both"/>
              <w:rPr>
                <w:rFonts w:ascii="Arial" w:hAnsi="Arial" w:cs="Arial"/>
              </w:rPr>
            </w:pPr>
            <w:r w:rsidRPr="00CA32E6">
              <w:rPr>
                <w:rFonts w:ascii="Arial" w:hAnsi="Arial" w:cs="Arial"/>
              </w:rPr>
              <w:lastRenderedPageBreak/>
              <w:t>3.</w:t>
            </w:r>
            <w:r w:rsidRPr="00CA32E6">
              <w:rPr>
                <w:rFonts w:ascii="Arial" w:hAnsi="Arial" w:cs="Arial"/>
              </w:rPr>
              <w:tab/>
              <w:t xml:space="preserve">The plaintiff is ordered to pay the </w:t>
            </w:r>
            <w:r w:rsidR="00F65A80">
              <w:rPr>
                <w:rFonts w:ascii="Arial" w:hAnsi="Arial" w:cs="Arial"/>
              </w:rPr>
              <w:t>defendants' costs</w:t>
            </w:r>
            <w:r w:rsidRPr="00CA32E6">
              <w:rPr>
                <w:rFonts w:ascii="Arial" w:hAnsi="Arial" w:cs="Arial"/>
              </w:rPr>
              <w:t xml:space="preserve"> occasioned by the exception. Such costs are to include the costs of one instructing and one instructed legal practitioner.</w:t>
            </w:r>
          </w:p>
          <w:p w:rsidR="00CA32E6" w:rsidRPr="00CA32E6" w:rsidRDefault="00CA32E6" w:rsidP="00CA32E6">
            <w:pPr>
              <w:pStyle w:val="NormalWeb"/>
              <w:shd w:val="clear" w:color="auto" w:fill="FFFFFF"/>
              <w:spacing w:after="0" w:line="360" w:lineRule="auto"/>
              <w:jc w:val="both"/>
              <w:rPr>
                <w:rFonts w:ascii="Arial" w:hAnsi="Arial" w:cs="Arial"/>
              </w:rPr>
            </w:pPr>
            <w:r w:rsidRPr="00CA32E6">
              <w:rPr>
                <w:rFonts w:ascii="Arial" w:hAnsi="Arial" w:cs="Arial"/>
              </w:rPr>
              <w:t>4.</w:t>
            </w:r>
            <w:r w:rsidRPr="00CA32E6">
              <w:rPr>
                <w:rFonts w:ascii="Arial" w:hAnsi="Arial" w:cs="Arial"/>
              </w:rPr>
              <w:tab/>
              <w:t xml:space="preserve">The case is postponed to </w:t>
            </w:r>
            <w:r w:rsidR="00AD0B9B" w:rsidRPr="00932B14">
              <w:rPr>
                <w:rFonts w:ascii="Arial" w:hAnsi="Arial" w:cs="Arial"/>
                <w:b/>
              </w:rPr>
              <w:t>16 November 2023</w:t>
            </w:r>
            <w:r w:rsidRPr="00932B14">
              <w:rPr>
                <w:rFonts w:ascii="Arial" w:hAnsi="Arial" w:cs="Arial"/>
              </w:rPr>
              <w:t xml:space="preserve"> at </w:t>
            </w:r>
            <w:r w:rsidRPr="00932B14">
              <w:rPr>
                <w:rFonts w:ascii="Arial" w:hAnsi="Arial" w:cs="Arial"/>
                <w:b/>
              </w:rPr>
              <w:t>15h</w:t>
            </w:r>
            <w:r w:rsidR="00AD0B9B" w:rsidRPr="00932B14">
              <w:rPr>
                <w:rFonts w:ascii="Arial" w:hAnsi="Arial" w:cs="Arial"/>
                <w:b/>
              </w:rPr>
              <w:t>00</w:t>
            </w:r>
            <w:r w:rsidRPr="00932B14">
              <w:rPr>
                <w:rFonts w:ascii="Arial" w:hAnsi="Arial" w:cs="Arial"/>
              </w:rPr>
              <w:t xml:space="preserve"> for</w:t>
            </w:r>
            <w:r w:rsidRPr="00CA32E6">
              <w:rPr>
                <w:rFonts w:ascii="Arial" w:hAnsi="Arial" w:cs="Arial"/>
              </w:rPr>
              <w:t xml:space="preserve"> </w:t>
            </w:r>
            <w:r w:rsidR="00AD0B9B">
              <w:rPr>
                <w:rFonts w:ascii="Arial" w:hAnsi="Arial" w:cs="Arial"/>
              </w:rPr>
              <w:t>further c</w:t>
            </w:r>
            <w:r w:rsidRPr="00CA32E6">
              <w:rPr>
                <w:rFonts w:ascii="Arial" w:hAnsi="Arial" w:cs="Arial"/>
              </w:rPr>
              <w:t>ase planning conference in terms of rule 23(5).</w:t>
            </w:r>
          </w:p>
          <w:p w:rsidR="008C2200" w:rsidRPr="00B47800" w:rsidRDefault="00CA32E6" w:rsidP="00AD0B9B">
            <w:pPr>
              <w:pStyle w:val="NormalWeb"/>
              <w:shd w:val="clear" w:color="auto" w:fill="FFFFFF"/>
              <w:spacing w:after="0" w:line="360" w:lineRule="auto"/>
              <w:jc w:val="both"/>
              <w:rPr>
                <w:rFonts w:ascii="Arial" w:hAnsi="Arial" w:cs="Arial"/>
              </w:rPr>
            </w:pPr>
            <w:r w:rsidRPr="00CA32E6">
              <w:rPr>
                <w:rFonts w:ascii="Arial" w:hAnsi="Arial" w:cs="Arial"/>
              </w:rPr>
              <w:t>5.</w:t>
            </w:r>
            <w:r w:rsidRPr="00CA32E6">
              <w:rPr>
                <w:rFonts w:ascii="Arial" w:hAnsi="Arial" w:cs="Arial"/>
              </w:rPr>
              <w:tab/>
              <w:t xml:space="preserve">The parties shall file a joint case plan on or before </w:t>
            </w:r>
            <w:r w:rsidR="00AD0B9B">
              <w:rPr>
                <w:rFonts w:ascii="Arial" w:hAnsi="Arial" w:cs="Arial"/>
              </w:rPr>
              <w:t>13 November 2023</w:t>
            </w:r>
            <w:r w:rsidRPr="00CA32E6">
              <w:rPr>
                <w:rFonts w:ascii="Arial" w:hAnsi="Arial" w:cs="Arial"/>
              </w:rPr>
              <w:t>.</w:t>
            </w:r>
          </w:p>
        </w:tc>
      </w:tr>
      <w:tr w:rsidR="00CA7995" w:rsidRPr="00CA7995" w:rsidTr="00002E9A">
        <w:trPr>
          <w:trHeight w:val="548"/>
        </w:trPr>
        <w:tc>
          <w:tcPr>
            <w:tcW w:w="10476" w:type="dxa"/>
            <w:gridSpan w:val="3"/>
          </w:tcPr>
          <w:p w:rsidR="00B40844" w:rsidRPr="00CA7995" w:rsidRDefault="008F5871" w:rsidP="008F5871">
            <w:pPr>
              <w:tabs>
                <w:tab w:val="right" w:pos="9693"/>
              </w:tabs>
              <w:spacing w:line="360" w:lineRule="auto"/>
              <w:jc w:val="both"/>
              <w:rPr>
                <w:rFonts w:ascii="Arial" w:hAnsi="Arial" w:cs="Arial"/>
                <w:b/>
                <w:sz w:val="24"/>
                <w:szCs w:val="24"/>
              </w:rPr>
            </w:pPr>
            <w:r w:rsidRPr="00806722">
              <w:rPr>
                <w:rFonts w:ascii="Arial" w:hAnsi="Arial" w:cs="Arial"/>
                <w:b/>
                <w:sz w:val="24"/>
                <w:szCs w:val="24"/>
                <w:lang w:val="en-US"/>
              </w:rPr>
              <w:lastRenderedPageBreak/>
              <w:t>Reasons for orders:</w:t>
            </w:r>
          </w:p>
        </w:tc>
      </w:tr>
      <w:tr w:rsidR="00CA7995" w:rsidRPr="00CA7995" w:rsidTr="00002E9A">
        <w:tc>
          <w:tcPr>
            <w:tcW w:w="10476" w:type="dxa"/>
            <w:gridSpan w:val="3"/>
          </w:tcPr>
          <w:p w:rsidR="00CA32E6" w:rsidRDefault="00CA32E6" w:rsidP="00ED76B2">
            <w:pPr>
              <w:spacing w:line="360" w:lineRule="auto"/>
              <w:jc w:val="both"/>
              <w:rPr>
                <w:rFonts w:ascii="Arial" w:hAnsi="Arial" w:cs="Arial"/>
                <w:sz w:val="24"/>
                <w:szCs w:val="24"/>
              </w:rPr>
            </w:pPr>
          </w:p>
          <w:p w:rsidR="00CA32E6" w:rsidRDefault="00CA32E6" w:rsidP="00ED76B2">
            <w:pPr>
              <w:spacing w:line="360" w:lineRule="auto"/>
              <w:jc w:val="both"/>
              <w:rPr>
                <w:rFonts w:ascii="Arial" w:hAnsi="Arial" w:cs="Arial"/>
                <w:sz w:val="24"/>
                <w:szCs w:val="24"/>
              </w:rPr>
            </w:pPr>
            <w:r>
              <w:rPr>
                <w:rFonts w:ascii="Arial" w:hAnsi="Arial" w:cs="Arial"/>
                <w:sz w:val="24"/>
                <w:szCs w:val="24"/>
              </w:rPr>
              <w:t>Prinsloo J:</w:t>
            </w:r>
          </w:p>
          <w:p w:rsidR="00CA32E6" w:rsidRPr="00EA2DE2" w:rsidRDefault="00CA32E6" w:rsidP="00ED76B2">
            <w:pPr>
              <w:spacing w:line="360" w:lineRule="auto"/>
              <w:jc w:val="both"/>
              <w:rPr>
                <w:rFonts w:ascii="Arial" w:hAnsi="Arial" w:cs="Arial"/>
                <w:sz w:val="24"/>
                <w:szCs w:val="24"/>
              </w:rPr>
            </w:pPr>
          </w:p>
          <w:p w:rsidR="00B40844" w:rsidRPr="00CA7995" w:rsidRDefault="00B40844" w:rsidP="00ED76B2">
            <w:pPr>
              <w:spacing w:line="360" w:lineRule="auto"/>
              <w:jc w:val="both"/>
              <w:rPr>
                <w:rFonts w:ascii="Arial" w:hAnsi="Arial" w:cs="Arial"/>
                <w:sz w:val="24"/>
                <w:szCs w:val="24"/>
                <w:u w:val="single"/>
              </w:rPr>
            </w:pPr>
            <w:r w:rsidRPr="00CA7995">
              <w:rPr>
                <w:rFonts w:ascii="Arial" w:hAnsi="Arial" w:cs="Arial"/>
                <w:sz w:val="24"/>
                <w:szCs w:val="24"/>
                <w:u w:val="single"/>
              </w:rPr>
              <w:t>Introduction</w:t>
            </w:r>
          </w:p>
          <w:p w:rsidR="00B40844" w:rsidRPr="00CA7995" w:rsidRDefault="00B40844" w:rsidP="00ED76B2">
            <w:pPr>
              <w:spacing w:line="360" w:lineRule="auto"/>
              <w:jc w:val="both"/>
              <w:rPr>
                <w:rFonts w:ascii="Arial" w:hAnsi="Arial" w:cs="Arial"/>
                <w:sz w:val="24"/>
                <w:szCs w:val="24"/>
              </w:rPr>
            </w:pPr>
          </w:p>
          <w:p w:rsidR="009F24BF" w:rsidRDefault="009F24BF" w:rsidP="009F24BF">
            <w:pPr>
              <w:pStyle w:val="BodyText"/>
            </w:pPr>
            <w:r>
              <w:t>[1]</w:t>
            </w:r>
            <w:r>
              <w:tab/>
              <w:t xml:space="preserve">The parties are Arch Resources (Pty) Ltd, a private company with limited liability as the plaintiff and Candino Mining and Construction CC, a close corporation and Jurius Nkoshi, a major male businessman, as </w:t>
            </w:r>
            <w:r w:rsidRPr="006D1814">
              <w:t>the</w:t>
            </w:r>
            <w:r>
              <w:t xml:space="preserve"> defendants. I will refer to the parties as they are in the main action. </w:t>
            </w:r>
          </w:p>
          <w:p w:rsidR="009F24BF" w:rsidRDefault="009F24BF" w:rsidP="009F24BF">
            <w:pPr>
              <w:pStyle w:val="BodyText"/>
            </w:pPr>
          </w:p>
          <w:p w:rsidR="009F24BF" w:rsidRDefault="009F24BF" w:rsidP="009F24BF">
            <w:pPr>
              <w:pStyle w:val="BodyText"/>
            </w:pPr>
            <w:r>
              <w:t>[2]</w:t>
            </w:r>
            <w:r>
              <w:tab/>
              <w:t xml:space="preserve">Before me serves an exception raised in terms of rule 57 of the rules of court on the basis that the plaintiff’s particulars of claim </w:t>
            </w:r>
            <w:r w:rsidRPr="006D1814">
              <w:t>do</w:t>
            </w:r>
            <w:r>
              <w:t xml:space="preserve"> not disclose a cause of action, alternatively</w:t>
            </w:r>
            <w:r w:rsidR="00AD0B9B">
              <w:t>,</w:t>
            </w:r>
            <w:r>
              <w:t xml:space="preserve"> that the particulars of claim </w:t>
            </w:r>
            <w:r w:rsidR="00F65A80">
              <w:t xml:space="preserve">are </w:t>
            </w:r>
            <w:r>
              <w:t>vague and embarrassing and therefore</w:t>
            </w:r>
            <w:r w:rsidR="00AD0B9B">
              <w:t>,</w:t>
            </w:r>
            <w:r>
              <w:t xml:space="preserve"> excipiable. </w:t>
            </w:r>
          </w:p>
          <w:p w:rsidR="009F24BF" w:rsidRDefault="009F24BF" w:rsidP="009F24BF">
            <w:pPr>
              <w:pStyle w:val="BodyText"/>
            </w:pPr>
          </w:p>
          <w:p w:rsidR="009F24BF" w:rsidRDefault="009F24BF" w:rsidP="009F24BF">
            <w:pPr>
              <w:pStyle w:val="BodyText"/>
            </w:pPr>
            <w:r>
              <w:t>[3]</w:t>
            </w:r>
            <w:r>
              <w:tab/>
              <w:t xml:space="preserve">The plaintiff was afforded the opportunity to remove the cause of the complaint in terms of rule 57(2), however, the parties could not resolve the defendants’ complaint amicably resulting in the hearing of the exception. </w:t>
            </w:r>
          </w:p>
          <w:p w:rsidR="009F24BF" w:rsidRDefault="009F24BF" w:rsidP="009F24BF">
            <w:pPr>
              <w:pStyle w:val="BodyText"/>
            </w:pPr>
          </w:p>
          <w:p w:rsidR="009F24BF" w:rsidRPr="004200FD" w:rsidRDefault="009F24BF" w:rsidP="009F24BF">
            <w:pPr>
              <w:pStyle w:val="BodyText"/>
              <w:rPr>
                <w:u w:val="single"/>
              </w:rPr>
            </w:pPr>
            <w:r w:rsidRPr="004200FD">
              <w:rPr>
                <w:u w:val="single"/>
              </w:rPr>
              <w:t>Background</w:t>
            </w:r>
          </w:p>
          <w:p w:rsidR="009F24BF" w:rsidRDefault="009F24BF" w:rsidP="009F24BF">
            <w:pPr>
              <w:pStyle w:val="BodyText"/>
            </w:pPr>
          </w:p>
          <w:p w:rsidR="009F24BF" w:rsidRDefault="009F24BF" w:rsidP="009F24BF">
            <w:pPr>
              <w:pStyle w:val="BodyText"/>
            </w:pPr>
            <w:r>
              <w:t>[4]</w:t>
            </w:r>
            <w:r>
              <w:tab/>
              <w:t xml:space="preserve">For purposes of its claim against the defendants, the plaintiff relies on a written agreement entered into between the parties on 7 April 2021 wherein the plaintiff was represented by Mr Justus Hausiku and the first defendant was represented by the second defendant. In terms of the written agreement, the plaintiff would provide a construction support facility on behalf of the first defendant in respect of the Katima Mulilo Airport runway rehabilitation. </w:t>
            </w:r>
          </w:p>
          <w:p w:rsidR="009F24BF" w:rsidRDefault="009F24BF" w:rsidP="009F24BF">
            <w:pPr>
              <w:pStyle w:val="BodyText"/>
            </w:pPr>
          </w:p>
          <w:p w:rsidR="009F24BF" w:rsidRDefault="009F24BF" w:rsidP="009F24BF">
            <w:pPr>
              <w:pStyle w:val="BodyText"/>
            </w:pPr>
            <w:r>
              <w:t>[5]</w:t>
            </w:r>
            <w:r>
              <w:tab/>
              <w:t xml:space="preserve">In terms of the agreement, the plaintiff would cause a performance guarantee to the value of N$9 610 205,73, being 10 per cent of the value of the project, to be issued by Momentum </w:t>
            </w:r>
            <w:r w:rsidR="00B66380">
              <w:t>Short-</w:t>
            </w:r>
            <w:r w:rsidR="00B66380">
              <w:lastRenderedPageBreak/>
              <w:t>Term</w:t>
            </w:r>
            <w:r>
              <w:t xml:space="preserve"> Insurance </w:t>
            </w:r>
            <w:r w:rsidR="00000108">
              <w:t>(</w:t>
            </w:r>
            <w:r w:rsidR="00AD0B9B">
              <w:t>‘</w:t>
            </w:r>
            <w:r w:rsidR="00000108">
              <w:t>Momentum</w:t>
            </w:r>
            <w:r w:rsidR="00AD0B9B">
              <w:t>’</w:t>
            </w:r>
            <w:r w:rsidR="00000108">
              <w:t xml:space="preserve">) </w:t>
            </w:r>
            <w:r>
              <w:t>on behalf of the first defendant to the Ministry of Works and Transport. The first defendant would be liable to pay facility fees in the amount of N$4 million to the plaintiff</w:t>
            </w:r>
            <w:r w:rsidR="00F65A80">
              <w:t>,</w:t>
            </w:r>
            <w:r>
              <w:t xml:space="preserve"> of which 50 per cent would be payable with the first progress payment, and the remaining 50 per cent would be payable with the second progress payment.</w:t>
            </w:r>
          </w:p>
          <w:p w:rsidR="009F24BF" w:rsidRDefault="009F24BF" w:rsidP="009F24BF">
            <w:pPr>
              <w:pStyle w:val="BodyText"/>
            </w:pPr>
          </w:p>
          <w:p w:rsidR="009F24BF" w:rsidRDefault="009F24BF" w:rsidP="009F24BF">
            <w:pPr>
              <w:pStyle w:val="BodyText"/>
            </w:pPr>
            <w:r>
              <w:t>[6]</w:t>
            </w:r>
            <w:r>
              <w:tab/>
              <w:t>The second defendant provided an ‘unlimited suretyship</w:t>
            </w:r>
            <w:r w:rsidR="004200FD">
              <w:t>’</w:t>
            </w:r>
            <w:r>
              <w:t xml:space="preserve"> to the Plaintiff in respect of the guarantee provided to the first defendant and agreed to be held liable jointly and severally with the first defendant for any debt due to the Plaintiff by the first defendant.</w:t>
            </w:r>
          </w:p>
          <w:p w:rsidR="009F24BF" w:rsidRDefault="009F24BF" w:rsidP="009F24BF">
            <w:pPr>
              <w:pStyle w:val="BodyText"/>
            </w:pPr>
          </w:p>
          <w:p w:rsidR="009F24BF" w:rsidRDefault="009F24BF" w:rsidP="009F24BF">
            <w:pPr>
              <w:pStyle w:val="BodyText"/>
            </w:pPr>
            <w:r>
              <w:t>[7]</w:t>
            </w:r>
            <w:r>
              <w:tab/>
              <w:t xml:space="preserve">The plaintiff pleads that it complied with all its obligations in terms of the agreement between the parties in that it caused the performance guarantee to be issued by Momentum on or about 23 April 2021. </w:t>
            </w:r>
            <w:r w:rsidR="00F65A80">
              <w:t>The first defendant completed the project</w:t>
            </w:r>
            <w:r>
              <w:t xml:space="preserve"> on or about 5 November 2022</w:t>
            </w:r>
            <w:r w:rsidR="00F65A80">
              <w:t>,</w:t>
            </w:r>
            <w:r>
              <w:t xml:space="preserve"> and as a result</w:t>
            </w:r>
            <w:r w:rsidR="004200FD">
              <w:t>,</w:t>
            </w:r>
            <w:r>
              <w:t xml:space="preserve"> all the progress payments were received by the first defendant </w:t>
            </w:r>
            <w:r w:rsidRPr="006D1814">
              <w:t xml:space="preserve">by </w:t>
            </w:r>
            <w:r w:rsidR="004200FD" w:rsidRPr="006D1814">
              <w:t>the</w:t>
            </w:r>
            <w:r w:rsidR="004200FD">
              <w:t xml:space="preserve"> </w:t>
            </w:r>
            <w:r>
              <w:t xml:space="preserve">completion date. </w:t>
            </w:r>
          </w:p>
          <w:p w:rsidR="009F24BF" w:rsidRDefault="009F24BF" w:rsidP="009F24BF">
            <w:pPr>
              <w:pStyle w:val="BodyText"/>
            </w:pPr>
          </w:p>
          <w:p w:rsidR="009F24BF" w:rsidRDefault="009F24BF" w:rsidP="009F24BF">
            <w:pPr>
              <w:pStyle w:val="BodyText"/>
            </w:pPr>
            <w:r>
              <w:t>[8]</w:t>
            </w:r>
            <w:r>
              <w:tab/>
              <w:t xml:space="preserve">The plaintiff further pleads that the first defendant made a total payment of N$2 250 000 to the plaintiff and failed to pay the </w:t>
            </w:r>
            <w:r w:rsidR="004200FD" w:rsidRPr="006D1814">
              <w:t xml:space="preserve">remaining </w:t>
            </w:r>
            <w:r w:rsidRPr="006D1814">
              <w:t>balance of N$1 750 000 to the plaintiff</w:t>
            </w:r>
            <w:r w:rsidR="00F65A80">
              <w:t>,</w:t>
            </w:r>
            <w:r w:rsidRPr="006D1814">
              <w:t xml:space="preserve"> resulting in the first defendant’s breach. Further, due to the first defendant’s breach, the second defendant</w:t>
            </w:r>
            <w:r w:rsidR="00F65A80">
              <w:t>,</w:t>
            </w:r>
            <w:r w:rsidRPr="006D1814">
              <w:t xml:space="preserve"> as surety and co-principal debtor</w:t>
            </w:r>
            <w:r w:rsidR="00F65A80">
              <w:t>,</w:t>
            </w:r>
            <w:r w:rsidRPr="006D1814">
              <w:t xml:space="preserve"> is liable jointly and severally for the payment of N$1 750 000. The plaintiff according</w:t>
            </w:r>
            <w:r w:rsidR="004200FD" w:rsidRPr="006D1814">
              <w:t>ly</w:t>
            </w:r>
            <w:r w:rsidRPr="006D1814">
              <w:t xml:space="preserve"> claims</w:t>
            </w:r>
            <w:r>
              <w:t xml:space="preserve"> the said amount plus interest at the rate of 20% from 5 November 2022 and the costs of suit. </w:t>
            </w:r>
          </w:p>
          <w:p w:rsidR="009F24BF" w:rsidRDefault="009F24BF" w:rsidP="009F24BF">
            <w:pPr>
              <w:pStyle w:val="BodyText"/>
            </w:pPr>
          </w:p>
          <w:p w:rsidR="009F24BF" w:rsidRDefault="009F24BF" w:rsidP="009F24BF">
            <w:pPr>
              <w:pStyle w:val="BodyText"/>
            </w:pPr>
            <w:r>
              <w:t>[9]</w:t>
            </w:r>
            <w:r>
              <w:tab/>
            </w:r>
            <w:r w:rsidR="004200FD">
              <w:t xml:space="preserve">Copies </w:t>
            </w:r>
            <w:r>
              <w:t xml:space="preserve">of the agreement and the performance guarantee were annexed to the particulars of claim as Annexure </w:t>
            </w:r>
            <w:r w:rsidR="004200FD">
              <w:t>‘</w:t>
            </w:r>
            <w:r>
              <w:t>A</w:t>
            </w:r>
            <w:r w:rsidR="004200FD">
              <w:t>’</w:t>
            </w:r>
            <w:r>
              <w:t xml:space="preserve"> and </w:t>
            </w:r>
            <w:r w:rsidR="004200FD">
              <w:t>‘</w:t>
            </w:r>
            <w:r>
              <w:t>B</w:t>
            </w:r>
            <w:r w:rsidR="004200FD">
              <w:t>’</w:t>
            </w:r>
            <w:r w:rsidR="00F65A80">
              <w:t>,</w:t>
            </w:r>
            <w:r w:rsidR="004200FD">
              <w:t xml:space="preserve"> </w:t>
            </w:r>
            <w:r>
              <w:t xml:space="preserve">respectively. </w:t>
            </w:r>
          </w:p>
          <w:p w:rsidR="009F24BF" w:rsidRDefault="009F24BF" w:rsidP="009F24BF">
            <w:pPr>
              <w:pStyle w:val="BodyText"/>
            </w:pPr>
          </w:p>
          <w:p w:rsidR="009F24BF" w:rsidRPr="004200FD" w:rsidRDefault="009F24BF" w:rsidP="009F24BF">
            <w:pPr>
              <w:pStyle w:val="BodyText"/>
              <w:rPr>
                <w:u w:val="single"/>
              </w:rPr>
            </w:pPr>
            <w:r w:rsidRPr="004200FD">
              <w:rPr>
                <w:u w:val="single"/>
              </w:rPr>
              <w:t>The exception</w:t>
            </w:r>
          </w:p>
          <w:p w:rsidR="009F24BF" w:rsidRDefault="009F24BF" w:rsidP="009F24BF">
            <w:pPr>
              <w:pStyle w:val="BodyText"/>
            </w:pPr>
          </w:p>
          <w:p w:rsidR="009F24BF" w:rsidRDefault="009F24BF" w:rsidP="009F24BF">
            <w:pPr>
              <w:pStyle w:val="BodyText"/>
            </w:pPr>
            <w:r w:rsidRPr="006D1814">
              <w:t>[10]</w:t>
            </w:r>
            <w:r w:rsidRPr="006D1814">
              <w:tab/>
              <w:t>The defendants</w:t>
            </w:r>
            <w:r w:rsidR="00AD0B9B">
              <w:t>’</w:t>
            </w:r>
            <w:r w:rsidRPr="006D1814">
              <w:t xml:space="preserve"> four grounds of exception are</w:t>
            </w:r>
            <w:r>
              <w:t>:</w:t>
            </w:r>
          </w:p>
          <w:p w:rsidR="004200FD" w:rsidRDefault="004200FD" w:rsidP="009F24BF">
            <w:pPr>
              <w:pStyle w:val="BodyText"/>
            </w:pPr>
          </w:p>
          <w:p w:rsidR="004200FD" w:rsidRPr="004200FD" w:rsidRDefault="004200FD" w:rsidP="009F24BF">
            <w:pPr>
              <w:pStyle w:val="BodyText"/>
              <w:rPr>
                <w:sz w:val="22"/>
                <w:szCs w:val="22"/>
              </w:rPr>
            </w:pPr>
            <w:r w:rsidRPr="004200FD">
              <w:tab/>
            </w:r>
            <w:r w:rsidR="009F24BF">
              <w:t>‘</w:t>
            </w:r>
            <w:r w:rsidR="009F24BF" w:rsidRPr="004200FD">
              <w:rPr>
                <w:sz w:val="22"/>
                <w:szCs w:val="22"/>
              </w:rPr>
              <w:t>GROUND</w:t>
            </w:r>
            <w:r w:rsidR="006D1814">
              <w:rPr>
                <w:sz w:val="22"/>
                <w:szCs w:val="22"/>
              </w:rPr>
              <w:t xml:space="preserve"> 1</w:t>
            </w:r>
          </w:p>
          <w:p w:rsidR="009F24BF" w:rsidRPr="004200FD" w:rsidRDefault="004200FD" w:rsidP="009F24BF">
            <w:pPr>
              <w:pStyle w:val="BodyText"/>
              <w:rPr>
                <w:sz w:val="22"/>
                <w:szCs w:val="22"/>
              </w:rPr>
            </w:pPr>
            <w:r w:rsidRPr="004200FD">
              <w:rPr>
                <w:sz w:val="22"/>
                <w:szCs w:val="22"/>
              </w:rPr>
              <w:t>1.</w:t>
            </w:r>
            <w:r w:rsidRPr="004200FD">
              <w:rPr>
                <w:sz w:val="22"/>
                <w:szCs w:val="22"/>
              </w:rPr>
              <w:tab/>
            </w:r>
            <w:r w:rsidR="009F24BF" w:rsidRPr="004200FD">
              <w:rPr>
                <w:sz w:val="22"/>
                <w:szCs w:val="22"/>
              </w:rPr>
              <w:t xml:space="preserve">The plaintiff relies on a written agreement. </w:t>
            </w:r>
          </w:p>
          <w:p w:rsidR="009F24BF" w:rsidRPr="004200FD" w:rsidRDefault="004200FD" w:rsidP="009F24BF">
            <w:pPr>
              <w:pStyle w:val="BodyText"/>
              <w:rPr>
                <w:sz w:val="22"/>
                <w:szCs w:val="22"/>
              </w:rPr>
            </w:pPr>
            <w:r w:rsidRPr="004200FD">
              <w:rPr>
                <w:sz w:val="22"/>
                <w:szCs w:val="22"/>
              </w:rPr>
              <w:t xml:space="preserve">2. </w:t>
            </w:r>
            <w:r w:rsidRPr="004200FD">
              <w:rPr>
                <w:sz w:val="22"/>
                <w:szCs w:val="22"/>
              </w:rPr>
              <w:tab/>
            </w:r>
            <w:r w:rsidR="009F24BF" w:rsidRPr="004200FD">
              <w:rPr>
                <w:sz w:val="22"/>
                <w:szCs w:val="22"/>
              </w:rPr>
              <w:t>The plaintiff alleges that the written agreement is annexure A.</w:t>
            </w:r>
          </w:p>
          <w:p w:rsidR="009F24BF" w:rsidRPr="004200FD" w:rsidRDefault="009F24BF" w:rsidP="009F24BF">
            <w:pPr>
              <w:pStyle w:val="BodyText"/>
              <w:rPr>
                <w:sz w:val="22"/>
                <w:szCs w:val="22"/>
              </w:rPr>
            </w:pPr>
            <w:r w:rsidRPr="004200FD">
              <w:rPr>
                <w:sz w:val="22"/>
                <w:szCs w:val="22"/>
              </w:rPr>
              <w:t xml:space="preserve">3. </w:t>
            </w:r>
            <w:r w:rsidR="004200FD" w:rsidRPr="004200FD">
              <w:rPr>
                <w:sz w:val="22"/>
                <w:szCs w:val="22"/>
              </w:rPr>
              <w:tab/>
            </w:r>
            <w:r w:rsidRPr="004200FD">
              <w:rPr>
                <w:sz w:val="22"/>
                <w:szCs w:val="22"/>
              </w:rPr>
              <w:t xml:space="preserve">In paragraph 6, the plaintiff alleges ‘the relevant express, alternatively tacit, in the further alternative implied terms of the agreement’. </w:t>
            </w:r>
          </w:p>
          <w:p w:rsidR="009F24BF" w:rsidRPr="004200FD" w:rsidRDefault="009F24BF" w:rsidP="009F24BF">
            <w:pPr>
              <w:pStyle w:val="BodyText"/>
              <w:rPr>
                <w:sz w:val="22"/>
                <w:szCs w:val="22"/>
              </w:rPr>
            </w:pPr>
            <w:r w:rsidRPr="004200FD">
              <w:rPr>
                <w:sz w:val="22"/>
                <w:szCs w:val="22"/>
              </w:rPr>
              <w:t xml:space="preserve">4. </w:t>
            </w:r>
            <w:r w:rsidR="004200FD" w:rsidRPr="004200FD">
              <w:rPr>
                <w:sz w:val="22"/>
                <w:szCs w:val="22"/>
              </w:rPr>
              <w:tab/>
            </w:r>
            <w:r w:rsidRPr="004200FD">
              <w:rPr>
                <w:sz w:val="22"/>
                <w:szCs w:val="22"/>
              </w:rPr>
              <w:t xml:space="preserve">Annexure A, however, does not mirror what is alleged in paragraph 6, including in regard to what is alleged in paragraphs 6.1 and 6.3.3. </w:t>
            </w:r>
          </w:p>
          <w:p w:rsidR="009F24BF" w:rsidRPr="004200FD" w:rsidRDefault="009F24BF" w:rsidP="009F24BF">
            <w:pPr>
              <w:pStyle w:val="BodyText"/>
              <w:rPr>
                <w:sz w:val="22"/>
                <w:szCs w:val="22"/>
              </w:rPr>
            </w:pPr>
          </w:p>
          <w:p w:rsidR="009F24BF" w:rsidRPr="004200FD" w:rsidRDefault="009F24BF" w:rsidP="009F24BF">
            <w:pPr>
              <w:pStyle w:val="BodyText"/>
              <w:rPr>
                <w:sz w:val="22"/>
                <w:szCs w:val="22"/>
              </w:rPr>
            </w:pPr>
            <w:r w:rsidRPr="004200FD">
              <w:rPr>
                <w:sz w:val="22"/>
                <w:szCs w:val="22"/>
              </w:rPr>
              <w:t xml:space="preserve">GROUND 2 </w:t>
            </w:r>
          </w:p>
          <w:p w:rsidR="009F24BF" w:rsidRPr="004200FD" w:rsidRDefault="009F24BF" w:rsidP="006D1814">
            <w:pPr>
              <w:pStyle w:val="BodyText"/>
              <w:rPr>
                <w:sz w:val="22"/>
                <w:szCs w:val="22"/>
              </w:rPr>
            </w:pPr>
            <w:r w:rsidRPr="004200FD">
              <w:rPr>
                <w:sz w:val="22"/>
                <w:szCs w:val="22"/>
              </w:rPr>
              <w:t>5.</w:t>
            </w:r>
            <w:r w:rsidR="004200FD">
              <w:t xml:space="preserve"> </w:t>
            </w:r>
            <w:r w:rsidR="004200FD" w:rsidRPr="004200FD">
              <w:rPr>
                <w:sz w:val="22"/>
                <w:szCs w:val="22"/>
              </w:rPr>
              <w:tab/>
            </w:r>
            <w:r w:rsidRPr="004200FD">
              <w:rPr>
                <w:sz w:val="22"/>
                <w:szCs w:val="22"/>
              </w:rPr>
              <w:t xml:space="preserve"> Insofar as the ‘obligations in terms of the agreement between the parties’ do not appear ex facie annexure A, the allegations contained in paragraph 7 that the plaintiff ‘complied with all its obligations’ are similarly unsustainable. </w:t>
            </w:r>
          </w:p>
          <w:p w:rsidR="009F24BF" w:rsidRPr="004200FD" w:rsidRDefault="009F24BF" w:rsidP="006D1814">
            <w:pPr>
              <w:pStyle w:val="BodyText"/>
              <w:rPr>
                <w:sz w:val="22"/>
                <w:szCs w:val="22"/>
              </w:rPr>
            </w:pPr>
          </w:p>
          <w:p w:rsidR="009F24BF" w:rsidRPr="004200FD" w:rsidRDefault="009F24BF" w:rsidP="006D1814">
            <w:pPr>
              <w:pStyle w:val="BodyText"/>
              <w:rPr>
                <w:sz w:val="22"/>
                <w:szCs w:val="22"/>
              </w:rPr>
            </w:pPr>
            <w:r w:rsidRPr="004200FD">
              <w:rPr>
                <w:sz w:val="22"/>
                <w:szCs w:val="22"/>
              </w:rPr>
              <w:t xml:space="preserve">GROUND 3 </w:t>
            </w:r>
          </w:p>
          <w:p w:rsidR="009F24BF" w:rsidRPr="004200FD" w:rsidRDefault="009F24BF" w:rsidP="009F24BF">
            <w:pPr>
              <w:pStyle w:val="BodyText"/>
              <w:rPr>
                <w:sz w:val="22"/>
                <w:szCs w:val="22"/>
              </w:rPr>
            </w:pPr>
            <w:r w:rsidRPr="004200FD">
              <w:rPr>
                <w:sz w:val="22"/>
                <w:szCs w:val="22"/>
              </w:rPr>
              <w:t>6.</w:t>
            </w:r>
            <w:r w:rsidR="004200FD">
              <w:t xml:space="preserve"> </w:t>
            </w:r>
            <w:r w:rsidR="004200FD" w:rsidRPr="004200FD">
              <w:rPr>
                <w:sz w:val="22"/>
                <w:szCs w:val="22"/>
              </w:rPr>
              <w:tab/>
            </w:r>
            <w:r w:rsidRPr="004200FD">
              <w:rPr>
                <w:sz w:val="22"/>
                <w:szCs w:val="22"/>
              </w:rPr>
              <w:t xml:space="preserve"> In paragraph 6.10, the plaintiff alleges that ‘the Second Defendant, as member of the First Defendant, provided an unlimited suretyship to the Plaintiff in respect of the guarantee provided to the First Defendant and agreed to be held liable jointly and severally with the First Defendant for any debt due to the Plaintiff by the First Defendant’. </w:t>
            </w:r>
          </w:p>
          <w:p w:rsidR="009F24BF" w:rsidRPr="004200FD" w:rsidRDefault="009F24BF" w:rsidP="009F24BF">
            <w:pPr>
              <w:pStyle w:val="BodyText"/>
              <w:rPr>
                <w:sz w:val="22"/>
                <w:szCs w:val="22"/>
              </w:rPr>
            </w:pPr>
            <w:r w:rsidRPr="004200FD">
              <w:rPr>
                <w:sz w:val="22"/>
                <w:szCs w:val="22"/>
              </w:rPr>
              <w:t xml:space="preserve">7. </w:t>
            </w:r>
            <w:r w:rsidR="004200FD" w:rsidRPr="004200FD">
              <w:rPr>
                <w:sz w:val="22"/>
                <w:szCs w:val="22"/>
              </w:rPr>
              <w:tab/>
            </w:r>
            <w:r w:rsidRPr="004200FD">
              <w:rPr>
                <w:sz w:val="22"/>
                <w:szCs w:val="22"/>
              </w:rPr>
              <w:t xml:space="preserve">In paragraph 11, the plaintiff alleges that the second defendant was a ‘surety and co-principal debtor’. </w:t>
            </w:r>
          </w:p>
          <w:p w:rsidR="009F24BF" w:rsidRPr="004200FD" w:rsidRDefault="009F24BF" w:rsidP="009F24BF">
            <w:pPr>
              <w:pStyle w:val="BodyText"/>
              <w:rPr>
                <w:sz w:val="22"/>
                <w:szCs w:val="22"/>
              </w:rPr>
            </w:pPr>
            <w:r w:rsidRPr="004200FD">
              <w:rPr>
                <w:sz w:val="22"/>
                <w:szCs w:val="22"/>
              </w:rPr>
              <w:t>8.</w:t>
            </w:r>
            <w:r w:rsidR="004200FD">
              <w:t xml:space="preserve"> </w:t>
            </w:r>
            <w:r w:rsidR="004200FD" w:rsidRPr="004200FD">
              <w:rPr>
                <w:sz w:val="22"/>
                <w:szCs w:val="22"/>
              </w:rPr>
              <w:tab/>
            </w:r>
            <w:r w:rsidRPr="004200FD">
              <w:rPr>
                <w:sz w:val="22"/>
                <w:szCs w:val="22"/>
              </w:rPr>
              <w:t xml:space="preserve"> On the basis of the above allegations, the plaintiff seeks to hold the second defendant ‘liable jointly and severally with the Plaintiff” for the claimed amount. </w:t>
            </w:r>
          </w:p>
          <w:p w:rsidR="009F24BF" w:rsidRPr="004200FD" w:rsidRDefault="009F24BF" w:rsidP="009F24BF">
            <w:pPr>
              <w:pStyle w:val="BodyText"/>
              <w:rPr>
                <w:sz w:val="22"/>
                <w:szCs w:val="22"/>
              </w:rPr>
            </w:pPr>
            <w:r w:rsidRPr="004200FD">
              <w:rPr>
                <w:sz w:val="22"/>
                <w:szCs w:val="22"/>
              </w:rPr>
              <w:t xml:space="preserve">9. </w:t>
            </w:r>
            <w:r w:rsidR="004200FD" w:rsidRPr="004200FD">
              <w:rPr>
                <w:sz w:val="22"/>
                <w:szCs w:val="22"/>
              </w:rPr>
              <w:tab/>
            </w:r>
            <w:r w:rsidRPr="004200FD">
              <w:rPr>
                <w:sz w:val="22"/>
                <w:szCs w:val="22"/>
              </w:rPr>
              <w:t xml:space="preserve">Annexure </w:t>
            </w:r>
            <w:r w:rsidR="00734146">
              <w:rPr>
                <w:sz w:val="22"/>
                <w:szCs w:val="22"/>
              </w:rPr>
              <w:t>‘</w:t>
            </w:r>
            <w:r w:rsidRPr="004200FD">
              <w:rPr>
                <w:sz w:val="22"/>
                <w:szCs w:val="22"/>
              </w:rPr>
              <w:t>A</w:t>
            </w:r>
            <w:r w:rsidR="00734146">
              <w:rPr>
                <w:sz w:val="22"/>
                <w:szCs w:val="22"/>
              </w:rPr>
              <w:t>’</w:t>
            </w:r>
            <w:r w:rsidRPr="004200FD">
              <w:rPr>
                <w:sz w:val="22"/>
                <w:szCs w:val="22"/>
              </w:rPr>
              <w:t xml:space="preserve">, however, does not mirror what is alleged in paragraphs 6, 10 and 11. Without derogating from the aforementioned, Annexure </w:t>
            </w:r>
            <w:r w:rsidR="00734146">
              <w:rPr>
                <w:sz w:val="22"/>
                <w:szCs w:val="22"/>
              </w:rPr>
              <w:t>‘</w:t>
            </w:r>
            <w:r w:rsidRPr="004200FD">
              <w:rPr>
                <w:sz w:val="22"/>
                <w:szCs w:val="22"/>
              </w:rPr>
              <w:t>A</w:t>
            </w:r>
            <w:r w:rsidR="00734146">
              <w:rPr>
                <w:sz w:val="22"/>
                <w:szCs w:val="22"/>
              </w:rPr>
              <w:t>’</w:t>
            </w:r>
            <w:r w:rsidRPr="004200FD">
              <w:rPr>
                <w:sz w:val="22"/>
                <w:szCs w:val="22"/>
              </w:rPr>
              <w:t xml:space="preserve"> does not reflect that the second defendant agreed to be ‘held liable jointly and severally with the First Defendant for any debt due to the Plaintiff by the First Defendant’ or that the second defendant bound himself as a ‘co-principal debtor’.</w:t>
            </w:r>
          </w:p>
          <w:p w:rsidR="009F24BF" w:rsidRPr="004200FD" w:rsidRDefault="009F24BF" w:rsidP="009F24BF">
            <w:pPr>
              <w:pStyle w:val="BodyText"/>
              <w:rPr>
                <w:sz w:val="22"/>
                <w:szCs w:val="22"/>
              </w:rPr>
            </w:pPr>
            <w:r w:rsidRPr="004200FD">
              <w:rPr>
                <w:sz w:val="22"/>
                <w:szCs w:val="22"/>
              </w:rPr>
              <w:t xml:space="preserve">10. </w:t>
            </w:r>
            <w:r w:rsidR="004200FD" w:rsidRPr="004200FD">
              <w:rPr>
                <w:sz w:val="22"/>
                <w:szCs w:val="22"/>
              </w:rPr>
              <w:tab/>
            </w:r>
            <w:r w:rsidRPr="004200FD">
              <w:rPr>
                <w:sz w:val="22"/>
                <w:szCs w:val="22"/>
              </w:rPr>
              <w:t>The terms of the contract of suretyship must be embodied in a written document signed by or on behalf of the surety</w:t>
            </w:r>
            <w:r w:rsidRPr="006D1814">
              <w:rPr>
                <w:sz w:val="22"/>
                <w:szCs w:val="22"/>
              </w:rPr>
              <w:t xml:space="preserve">. </w:t>
            </w:r>
            <w:r w:rsidR="004200FD" w:rsidRPr="006D1814">
              <w:rPr>
                <w:sz w:val="22"/>
                <w:szCs w:val="22"/>
              </w:rPr>
              <w:t xml:space="preserve"> </w:t>
            </w:r>
          </w:p>
          <w:p w:rsidR="009F24BF" w:rsidRPr="004200FD" w:rsidRDefault="009F24BF" w:rsidP="009F24BF">
            <w:pPr>
              <w:pStyle w:val="BodyText"/>
              <w:rPr>
                <w:sz w:val="22"/>
                <w:szCs w:val="22"/>
              </w:rPr>
            </w:pPr>
          </w:p>
          <w:p w:rsidR="009F24BF" w:rsidRPr="004200FD" w:rsidRDefault="004200FD" w:rsidP="009F24BF">
            <w:pPr>
              <w:pStyle w:val="BodyText"/>
              <w:rPr>
                <w:sz w:val="22"/>
                <w:szCs w:val="22"/>
              </w:rPr>
            </w:pPr>
            <w:r>
              <w:rPr>
                <w:sz w:val="22"/>
                <w:szCs w:val="22"/>
              </w:rPr>
              <w:t xml:space="preserve">GROUND 4 </w:t>
            </w:r>
          </w:p>
          <w:p w:rsidR="009F24BF" w:rsidRPr="004200FD" w:rsidRDefault="009F24BF" w:rsidP="009F24BF">
            <w:pPr>
              <w:pStyle w:val="BodyText"/>
              <w:rPr>
                <w:sz w:val="22"/>
                <w:szCs w:val="22"/>
              </w:rPr>
            </w:pPr>
            <w:r w:rsidRPr="004200FD">
              <w:rPr>
                <w:sz w:val="22"/>
                <w:szCs w:val="22"/>
              </w:rPr>
              <w:t>11.</w:t>
            </w:r>
            <w:r w:rsidR="004200FD">
              <w:t xml:space="preserve"> </w:t>
            </w:r>
            <w:r w:rsidR="004200FD" w:rsidRPr="004200FD">
              <w:rPr>
                <w:sz w:val="22"/>
                <w:szCs w:val="22"/>
              </w:rPr>
              <w:tab/>
            </w:r>
            <w:r w:rsidRPr="004200FD">
              <w:rPr>
                <w:sz w:val="22"/>
                <w:szCs w:val="22"/>
              </w:rPr>
              <w:t xml:space="preserve"> Annexure A refers to ‘subject to the terms, exclusions, provisions and conditions contained in the CONSTRUCTION SUPPORT FACILITY’. </w:t>
            </w:r>
          </w:p>
          <w:p w:rsidR="009F24BF" w:rsidRPr="004200FD" w:rsidRDefault="009F24BF" w:rsidP="009F24BF">
            <w:pPr>
              <w:pStyle w:val="BodyText"/>
              <w:rPr>
                <w:sz w:val="22"/>
                <w:szCs w:val="22"/>
              </w:rPr>
            </w:pPr>
            <w:r w:rsidRPr="004200FD">
              <w:rPr>
                <w:sz w:val="22"/>
                <w:szCs w:val="22"/>
              </w:rPr>
              <w:t>12.</w:t>
            </w:r>
            <w:r w:rsidR="004200FD">
              <w:t xml:space="preserve"> </w:t>
            </w:r>
            <w:r w:rsidR="004200FD" w:rsidRPr="004200FD">
              <w:rPr>
                <w:sz w:val="22"/>
                <w:szCs w:val="22"/>
              </w:rPr>
              <w:tab/>
            </w:r>
            <w:r w:rsidRPr="004200FD">
              <w:rPr>
                <w:sz w:val="22"/>
                <w:szCs w:val="22"/>
              </w:rPr>
              <w:t xml:space="preserve"> A document by the above title is not attached to the particulars of claim. </w:t>
            </w:r>
          </w:p>
          <w:p w:rsidR="009F24BF" w:rsidRPr="004200FD" w:rsidRDefault="009F24BF" w:rsidP="009F24BF">
            <w:pPr>
              <w:pStyle w:val="BodyText"/>
              <w:rPr>
                <w:sz w:val="22"/>
                <w:szCs w:val="22"/>
              </w:rPr>
            </w:pPr>
            <w:r w:rsidRPr="004200FD">
              <w:rPr>
                <w:sz w:val="22"/>
                <w:szCs w:val="22"/>
              </w:rPr>
              <w:t xml:space="preserve">13. </w:t>
            </w:r>
            <w:r w:rsidR="004200FD" w:rsidRPr="004200FD">
              <w:rPr>
                <w:sz w:val="22"/>
                <w:szCs w:val="22"/>
              </w:rPr>
              <w:tab/>
            </w:r>
            <w:r w:rsidRPr="004200FD">
              <w:rPr>
                <w:sz w:val="22"/>
                <w:szCs w:val="22"/>
              </w:rPr>
              <w:t xml:space="preserve">Rule 45(7) requires a plaintiff who relies on a written contract to attach a true copy thereof or of the part relied on to the pleading. </w:t>
            </w:r>
          </w:p>
          <w:p w:rsidR="009F24BF" w:rsidRPr="004200FD" w:rsidRDefault="009F24BF" w:rsidP="009F24BF">
            <w:pPr>
              <w:pStyle w:val="BodyText"/>
              <w:rPr>
                <w:sz w:val="22"/>
                <w:szCs w:val="22"/>
              </w:rPr>
            </w:pPr>
            <w:r w:rsidRPr="004200FD">
              <w:rPr>
                <w:sz w:val="22"/>
                <w:szCs w:val="22"/>
              </w:rPr>
              <w:t xml:space="preserve">14. </w:t>
            </w:r>
            <w:r w:rsidR="004200FD" w:rsidRPr="004200FD">
              <w:rPr>
                <w:sz w:val="22"/>
                <w:szCs w:val="22"/>
              </w:rPr>
              <w:tab/>
            </w:r>
            <w:r w:rsidRPr="004200FD">
              <w:rPr>
                <w:sz w:val="22"/>
                <w:szCs w:val="22"/>
              </w:rPr>
              <w:t>This the plaintiff has failed to do.</w:t>
            </w:r>
            <w:r w:rsidR="00734146">
              <w:rPr>
                <w:sz w:val="22"/>
                <w:szCs w:val="22"/>
              </w:rPr>
              <w:t>’</w:t>
            </w:r>
          </w:p>
          <w:p w:rsidR="009F24BF" w:rsidRPr="004200FD" w:rsidRDefault="009F24BF" w:rsidP="009F24BF">
            <w:pPr>
              <w:pStyle w:val="BodyText"/>
              <w:rPr>
                <w:sz w:val="22"/>
                <w:szCs w:val="22"/>
              </w:rPr>
            </w:pPr>
          </w:p>
          <w:p w:rsidR="009F24BF" w:rsidRPr="00734146" w:rsidRDefault="009F24BF" w:rsidP="009F24BF">
            <w:pPr>
              <w:pStyle w:val="BodyText"/>
              <w:rPr>
                <w:u w:val="single"/>
              </w:rPr>
            </w:pPr>
            <w:r w:rsidRPr="00734146">
              <w:rPr>
                <w:u w:val="single"/>
              </w:rPr>
              <w:t>The law on exceptions</w:t>
            </w:r>
          </w:p>
          <w:p w:rsidR="009F24BF" w:rsidRDefault="009F24BF" w:rsidP="009F24BF">
            <w:pPr>
              <w:pStyle w:val="BodyText"/>
            </w:pPr>
          </w:p>
          <w:p w:rsidR="009F24BF" w:rsidRDefault="00335443" w:rsidP="009F24BF">
            <w:pPr>
              <w:pStyle w:val="BodyText"/>
            </w:pPr>
            <w:r>
              <w:t>[11</w:t>
            </w:r>
            <w:r w:rsidR="009F24BF">
              <w:t>]</w:t>
            </w:r>
            <w:r w:rsidR="009F24BF">
              <w:tab/>
            </w:r>
            <w:r w:rsidR="00F65A80">
              <w:t>Several trite principles apply</w:t>
            </w:r>
            <w:r w:rsidR="009F24BF">
              <w:t xml:space="preserve"> to exceptions. I will not repeat all these principles but will highlight a few. </w:t>
            </w:r>
          </w:p>
          <w:p w:rsidR="009F24BF" w:rsidRDefault="009F24BF" w:rsidP="009F24BF">
            <w:pPr>
              <w:pStyle w:val="BodyText"/>
            </w:pPr>
          </w:p>
          <w:p w:rsidR="009F24BF" w:rsidRDefault="00335443" w:rsidP="009F24BF">
            <w:pPr>
              <w:pStyle w:val="BodyText"/>
            </w:pPr>
            <w:r>
              <w:lastRenderedPageBreak/>
              <w:t>[12</w:t>
            </w:r>
            <w:r w:rsidR="009F24BF">
              <w:t>]</w:t>
            </w:r>
            <w:r w:rsidR="009F24BF">
              <w:tab/>
            </w:r>
            <w:r w:rsidR="00B66380">
              <w:t>The main purpose of an exception that a claim does not disclose a cause of action is to avoid leading unnecessary evidence at the trial.</w:t>
            </w:r>
            <w:r w:rsidR="00B66380">
              <w:rPr>
                <w:rStyle w:val="FootnoteReference"/>
              </w:rPr>
              <w:footnoteReference w:id="1"/>
            </w:r>
          </w:p>
          <w:p w:rsidR="009F24BF" w:rsidRDefault="009F24BF" w:rsidP="009F24BF">
            <w:pPr>
              <w:pStyle w:val="BodyText"/>
            </w:pPr>
          </w:p>
          <w:p w:rsidR="009F24BF" w:rsidRDefault="00335443" w:rsidP="009F24BF">
            <w:pPr>
              <w:pStyle w:val="BodyText"/>
            </w:pPr>
            <w:r>
              <w:t>[13</w:t>
            </w:r>
            <w:r w:rsidR="009F24BF">
              <w:t>]</w:t>
            </w:r>
            <w:r w:rsidR="009F24BF">
              <w:tab/>
              <w:t xml:space="preserve">Where an exception is taken on the ground that no cause of action is disclosed, the facts as alleged in the plaintiff’s pleadings are taken as correct for the purposes of deciding the exception. Admitting that all the allegations in the particulars of claim are true, the exception asserts that even with such admission, the particulars of </w:t>
            </w:r>
            <w:r w:rsidR="009F24BF" w:rsidRPr="006D1814">
              <w:t>claim do not</w:t>
            </w:r>
            <w:r w:rsidR="009F24BF">
              <w:t xml:space="preserve"> disclose a cause of action. The excipient has a duty to persuade the court that upon every interpretation which the pleading can reasonably bear, n</w:t>
            </w:r>
            <w:r w:rsidR="006D1814">
              <w:t>o cause of action is disclosed.</w:t>
            </w:r>
            <w:r w:rsidR="004200FD">
              <w:rPr>
                <w:rStyle w:val="FootnoteReference"/>
              </w:rPr>
              <w:footnoteReference w:id="2"/>
            </w:r>
          </w:p>
          <w:p w:rsidR="009F24BF" w:rsidRDefault="009F24BF" w:rsidP="009F24BF">
            <w:pPr>
              <w:pStyle w:val="BodyText"/>
            </w:pPr>
          </w:p>
          <w:p w:rsidR="009F24BF" w:rsidRDefault="00335443" w:rsidP="009F24BF">
            <w:pPr>
              <w:pStyle w:val="BodyText"/>
            </w:pPr>
            <w:r>
              <w:t>[14</w:t>
            </w:r>
            <w:r w:rsidR="009F24BF">
              <w:t>]</w:t>
            </w:r>
            <w:r w:rsidR="009F24BF">
              <w:tab/>
              <w:t>It is a first principle in dealing with matters of exception that if evidence can be led which can disclose a cause of action alleged in the pleadings, that particular pleading is not excipiable. A pleading is only excipiable on the basis that no possible evidence led on the pleading can disclose a cause of action. Therefore, the remedy of an exception is only available where an exception goes to</w:t>
            </w:r>
            <w:r w:rsidR="004200FD">
              <w:t xml:space="preserve"> the root of a claim or defence</w:t>
            </w:r>
            <w:r w:rsidR="009F24BF">
              <w:t>.</w:t>
            </w:r>
            <w:r w:rsidR="004200FD">
              <w:rPr>
                <w:rStyle w:val="FootnoteReference"/>
              </w:rPr>
              <w:footnoteReference w:id="3"/>
            </w:r>
          </w:p>
          <w:p w:rsidR="009F24BF" w:rsidRDefault="009F24BF" w:rsidP="009F24BF">
            <w:pPr>
              <w:pStyle w:val="BodyText"/>
            </w:pPr>
          </w:p>
          <w:p w:rsidR="009F24BF" w:rsidRDefault="00335443" w:rsidP="009F24BF">
            <w:pPr>
              <w:pStyle w:val="BodyText"/>
            </w:pPr>
            <w:r>
              <w:t>[15</w:t>
            </w:r>
            <w:r w:rsidR="009F24BF">
              <w:t>]</w:t>
            </w:r>
            <w:r w:rsidR="009F24BF">
              <w:tab/>
              <w:t>Concerning an exception on the basis of a pleading being vague and embarrassing, an excipient must show vagueness amounting to embarrassment and embarr</w:t>
            </w:r>
            <w:r w:rsidR="004200FD">
              <w:t>assment amounting to prejudice.</w:t>
            </w:r>
            <w:r w:rsidR="004200FD">
              <w:rPr>
                <w:rStyle w:val="FootnoteReference"/>
              </w:rPr>
              <w:footnoteReference w:id="4"/>
            </w:r>
            <w:r w:rsidR="009F24BF">
              <w:t xml:space="preserve"> The Court must not look too critically at the pleadings nor should it adopt an overly technical approach. Prejudice to a litigant facing an embarrassing pleading must lie ultimately in an inability to prepare properly to meet an opponent’s case.</w:t>
            </w:r>
            <w:r w:rsidR="00280EB1">
              <w:rPr>
                <w:rStyle w:val="FootnoteReference"/>
              </w:rPr>
              <w:footnoteReference w:id="5"/>
            </w:r>
            <w:r w:rsidR="009F24BF">
              <w:t xml:space="preserve"> </w:t>
            </w:r>
          </w:p>
          <w:p w:rsidR="009F24BF" w:rsidRDefault="009F24BF" w:rsidP="009F24BF">
            <w:pPr>
              <w:pStyle w:val="BodyText"/>
            </w:pPr>
          </w:p>
          <w:p w:rsidR="009F24BF" w:rsidRDefault="00335443" w:rsidP="009F24BF">
            <w:pPr>
              <w:pStyle w:val="BodyText"/>
            </w:pPr>
            <w:r>
              <w:t>[16</w:t>
            </w:r>
            <w:r w:rsidR="009F24BF">
              <w:t>]</w:t>
            </w:r>
            <w:r w:rsidR="009F24BF">
              <w:tab/>
              <w:t xml:space="preserve">The onus of showing that a pleading is excipiable rests on an excipient. </w:t>
            </w:r>
          </w:p>
          <w:p w:rsidR="009F24BF" w:rsidRDefault="009F24BF" w:rsidP="009F24BF">
            <w:pPr>
              <w:pStyle w:val="BodyText"/>
            </w:pPr>
          </w:p>
          <w:p w:rsidR="009F24BF" w:rsidRPr="004200FD" w:rsidRDefault="009F24BF" w:rsidP="009F24BF">
            <w:pPr>
              <w:pStyle w:val="BodyText"/>
              <w:rPr>
                <w:u w:val="single"/>
              </w:rPr>
            </w:pPr>
            <w:r w:rsidRPr="004200FD">
              <w:rPr>
                <w:u w:val="single"/>
              </w:rPr>
              <w:t>Discussion</w:t>
            </w:r>
          </w:p>
          <w:p w:rsidR="009F24BF" w:rsidRPr="004200FD" w:rsidRDefault="009F24BF" w:rsidP="009F24BF">
            <w:pPr>
              <w:pStyle w:val="BodyText"/>
              <w:rPr>
                <w:u w:val="single"/>
              </w:rPr>
            </w:pPr>
          </w:p>
          <w:p w:rsidR="009F24BF" w:rsidRPr="004200FD" w:rsidRDefault="004200FD" w:rsidP="009F24BF">
            <w:pPr>
              <w:pStyle w:val="BodyText"/>
              <w:rPr>
                <w:i/>
              </w:rPr>
            </w:pPr>
            <w:r w:rsidRPr="006D1814">
              <w:rPr>
                <w:i/>
              </w:rPr>
              <w:t>Grounds one and two</w:t>
            </w:r>
          </w:p>
          <w:p w:rsidR="009F24BF" w:rsidRPr="004200FD" w:rsidRDefault="009F24BF" w:rsidP="009F24BF">
            <w:pPr>
              <w:pStyle w:val="BodyText"/>
              <w:rPr>
                <w:i/>
              </w:rPr>
            </w:pPr>
          </w:p>
          <w:p w:rsidR="009F24BF" w:rsidRDefault="00335443" w:rsidP="009F24BF">
            <w:pPr>
              <w:pStyle w:val="BodyText"/>
            </w:pPr>
            <w:r>
              <w:lastRenderedPageBreak/>
              <w:t>[17</w:t>
            </w:r>
            <w:r w:rsidR="009F24BF">
              <w:t>]</w:t>
            </w:r>
            <w:r w:rsidR="009F24BF">
              <w:tab/>
              <w:t xml:space="preserve">I am of the view that the first two grounds of exception can be discussed as one. </w:t>
            </w:r>
          </w:p>
          <w:p w:rsidR="004200FD" w:rsidRDefault="004200FD" w:rsidP="009F24BF">
            <w:pPr>
              <w:pStyle w:val="BodyText"/>
            </w:pPr>
          </w:p>
          <w:p w:rsidR="009F24BF" w:rsidRDefault="00335443" w:rsidP="009F24BF">
            <w:pPr>
              <w:pStyle w:val="BodyText"/>
            </w:pPr>
            <w:r>
              <w:t>[18</w:t>
            </w:r>
            <w:r w:rsidR="009F24BF">
              <w:t>]</w:t>
            </w:r>
            <w:r w:rsidR="009F24BF">
              <w:tab/>
              <w:t xml:space="preserve">It is common cause that the plaintiff relies on a written agreement (Annexure </w:t>
            </w:r>
            <w:r w:rsidR="00734146">
              <w:t>‘</w:t>
            </w:r>
            <w:r w:rsidR="009F24BF">
              <w:t>A</w:t>
            </w:r>
            <w:r w:rsidR="00734146">
              <w:t>’</w:t>
            </w:r>
            <w:r w:rsidR="009F24BF">
              <w:t>)</w:t>
            </w:r>
            <w:r w:rsidR="00B66380">
              <w:t>,</w:t>
            </w:r>
            <w:r w:rsidR="009F24BF">
              <w:t xml:space="preserve"> and in para 6 of the particulars of claim the plaintiff alleges the ‘relevant express, alternatively tacit, in the further alternative implied terms of the agreement.’ The defendants aver that the particulars of claim do not mirror the written agreement relied upon. In this regard, the defendants referred to para</w:t>
            </w:r>
            <w:r w:rsidR="00AD0B9B">
              <w:t>s</w:t>
            </w:r>
            <w:r w:rsidR="009F24BF">
              <w:t xml:space="preserve"> 6.1 and 6.3.3 of the particulars of claim that state that:</w:t>
            </w:r>
          </w:p>
          <w:p w:rsidR="004200FD" w:rsidRDefault="004200FD" w:rsidP="009F24BF">
            <w:pPr>
              <w:pStyle w:val="BodyText"/>
            </w:pPr>
          </w:p>
          <w:p w:rsidR="009F24BF" w:rsidRPr="006D1814" w:rsidRDefault="004200FD" w:rsidP="009F24BF">
            <w:pPr>
              <w:pStyle w:val="BodyText"/>
              <w:rPr>
                <w:sz w:val="22"/>
                <w:szCs w:val="22"/>
              </w:rPr>
            </w:pPr>
            <w:r w:rsidRPr="004200FD">
              <w:tab/>
            </w:r>
            <w:r w:rsidR="009F24BF">
              <w:t>‘</w:t>
            </w:r>
            <w:r w:rsidR="009F24BF" w:rsidRPr="006D1814">
              <w:rPr>
                <w:sz w:val="22"/>
                <w:szCs w:val="22"/>
              </w:rPr>
              <w:t>6.1 The Plaintiff would cause a performance guarantee to the value of N$9,610,204. 73, being 10% of the value of the Project, to be issued by Momentum Short-Term  Insurance Company (“Momentum”) on behalf of the First Defendant to the Ministry of Works</w:t>
            </w:r>
            <w:r w:rsidRPr="006D1814">
              <w:rPr>
                <w:sz w:val="22"/>
                <w:szCs w:val="22"/>
              </w:rPr>
              <w:t xml:space="preserve"> and Transport (“the Employer”)</w:t>
            </w:r>
            <w:r w:rsidR="009F24BF" w:rsidRPr="006D1814">
              <w:rPr>
                <w:sz w:val="22"/>
                <w:szCs w:val="22"/>
              </w:rPr>
              <w:t>;</w:t>
            </w:r>
          </w:p>
          <w:p w:rsidR="009F24BF" w:rsidRDefault="009F24BF" w:rsidP="009F24BF">
            <w:pPr>
              <w:pStyle w:val="BodyText"/>
            </w:pPr>
            <w:r w:rsidRPr="006D1814">
              <w:rPr>
                <w:sz w:val="22"/>
                <w:szCs w:val="22"/>
              </w:rPr>
              <w:t xml:space="preserve">6.3.3 </w:t>
            </w:r>
            <w:r w:rsidR="00734146" w:rsidRPr="006D1814">
              <w:rPr>
                <w:sz w:val="22"/>
                <w:szCs w:val="22"/>
              </w:rPr>
              <w:tab/>
            </w:r>
            <w:r w:rsidRPr="006D1814">
              <w:rPr>
                <w:sz w:val="22"/>
                <w:szCs w:val="22"/>
              </w:rPr>
              <w:t>Should the total facility progress fee not have been paid by the last month of the project the full outstanding amount would become due and payable</w:t>
            </w:r>
            <w:r>
              <w:t>.’</w:t>
            </w:r>
          </w:p>
          <w:p w:rsidR="009F24BF" w:rsidRDefault="009F24BF" w:rsidP="009F24BF">
            <w:pPr>
              <w:pStyle w:val="BodyText"/>
            </w:pPr>
          </w:p>
          <w:p w:rsidR="009F24BF" w:rsidRDefault="00335443" w:rsidP="009F24BF">
            <w:pPr>
              <w:pStyle w:val="BodyText"/>
            </w:pPr>
            <w:r>
              <w:t>[19</w:t>
            </w:r>
            <w:r w:rsidR="009F24BF">
              <w:t>]</w:t>
            </w:r>
            <w:r w:rsidR="009F24BF">
              <w:tab/>
              <w:t>The defendants further maintain that the allegations in para 7 of the particulars of claim wherein the plaintiff avers that the plaintiff complied with its ‘obligations in terms of the agreement between the parties’</w:t>
            </w:r>
            <w:r w:rsidR="00DE2F19">
              <w:t>,</w:t>
            </w:r>
            <w:r w:rsidR="009F24BF">
              <w:t xml:space="preserve"> but the obligations do not appear ex fa</w:t>
            </w:r>
            <w:r w:rsidR="0031547D">
              <w:t>cie A</w:t>
            </w:r>
            <w:r w:rsidR="009F24BF">
              <w:t xml:space="preserve">nnexure </w:t>
            </w:r>
            <w:r w:rsidR="0031547D">
              <w:t>‘</w:t>
            </w:r>
            <w:r w:rsidR="009F24BF">
              <w:t>A</w:t>
            </w:r>
            <w:r w:rsidR="0031547D">
              <w:t>’</w:t>
            </w:r>
            <w:r w:rsidR="009F24BF">
              <w:t>, is unsustainable.</w:t>
            </w:r>
          </w:p>
          <w:p w:rsidR="009F24BF" w:rsidRDefault="009F24BF" w:rsidP="009F24BF">
            <w:pPr>
              <w:pStyle w:val="BodyText"/>
            </w:pPr>
          </w:p>
          <w:p w:rsidR="009F24BF" w:rsidRDefault="00335443" w:rsidP="009F24BF">
            <w:pPr>
              <w:pStyle w:val="BodyText"/>
            </w:pPr>
            <w:r>
              <w:t>[20</w:t>
            </w:r>
            <w:r w:rsidR="009F24BF">
              <w:t>]</w:t>
            </w:r>
            <w:r w:rsidR="009F24BF">
              <w:tab/>
              <w:t xml:space="preserve">The plaintiff argued that whatever is pleaded in the particulars of claim </w:t>
            </w:r>
            <w:r w:rsidR="00F65A80">
              <w:t>are</w:t>
            </w:r>
            <w:r w:rsidR="009F24BF">
              <w:t xml:space="preserve"> not at odds with Annexure </w:t>
            </w:r>
            <w:r w:rsidR="00746F26">
              <w:t>‘</w:t>
            </w:r>
            <w:r w:rsidR="009F24BF">
              <w:t>A</w:t>
            </w:r>
            <w:r w:rsidR="00746F26">
              <w:t>’</w:t>
            </w:r>
            <w:r w:rsidR="009F24BF">
              <w:t xml:space="preserve"> to the particulars of claim. The court was referred to Annexure </w:t>
            </w:r>
            <w:r w:rsidR="00746F26">
              <w:t>‘</w:t>
            </w:r>
            <w:r w:rsidR="009F24BF">
              <w:t>A</w:t>
            </w:r>
            <w:r w:rsidR="00746F26">
              <w:t>’</w:t>
            </w:r>
            <w:r w:rsidR="009F24BF">
              <w:t xml:space="preserve"> regarding the guarantee value and the due payment. Annexure </w:t>
            </w:r>
            <w:r w:rsidR="00746F26">
              <w:t>‘</w:t>
            </w:r>
            <w:r w:rsidR="009F24BF">
              <w:t>A</w:t>
            </w:r>
            <w:r w:rsidR="00746F26">
              <w:t>’</w:t>
            </w:r>
            <w:r w:rsidR="009F24BF">
              <w:t xml:space="preserve"> in th</w:t>
            </w:r>
            <w:r w:rsidR="00734146">
              <w:t>is regard provides as follows:</w:t>
            </w:r>
            <w:r w:rsidR="00746F26">
              <w:t xml:space="preserve"> </w:t>
            </w:r>
            <w:r w:rsidR="00746F26" w:rsidRPr="00932B14">
              <w:t>‘</w:t>
            </w:r>
            <w:r w:rsidR="006D1814" w:rsidRPr="00932B14">
              <w:t>*Should</w:t>
            </w:r>
            <w:r w:rsidR="009F24BF">
              <w:t xml:space="preserve"> the total FPF’s not have been collectable by the last month the full outstanding amount will become immediately due and payable.’</w:t>
            </w:r>
          </w:p>
          <w:p w:rsidR="009F24BF" w:rsidRDefault="009F24BF" w:rsidP="009F24BF">
            <w:pPr>
              <w:pStyle w:val="BodyText"/>
            </w:pPr>
          </w:p>
          <w:p w:rsidR="009F24BF" w:rsidRDefault="00335443" w:rsidP="009F24BF">
            <w:pPr>
              <w:pStyle w:val="BodyText"/>
            </w:pPr>
            <w:r>
              <w:t>[21</w:t>
            </w:r>
            <w:r w:rsidR="009F24BF">
              <w:t>]</w:t>
            </w:r>
            <w:r w:rsidR="009F24BF">
              <w:tab/>
              <w:t xml:space="preserve">Having considered the particulars of claim and the Annexure </w:t>
            </w:r>
            <w:r w:rsidR="006D1814">
              <w:t>‘</w:t>
            </w:r>
            <w:r w:rsidR="009F24BF">
              <w:t>A</w:t>
            </w:r>
            <w:r w:rsidR="006D1814">
              <w:t>’</w:t>
            </w:r>
            <w:r w:rsidR="00DE2F19">
              <w:t>,</w:t>
            </w:r>
            <w:r w:rsidR="009F24BF">
              <w:t xml:space="preserve"> it is clear that:</w:t>
            </w:r>
          </w:p>
          <w:p w:rsidR="009F24BF" w:rsidRDefault="009F24BF" w:rsidP="009F24BF">
            <w:pPr>
              <w:pStyle w:val="BodyText"/>
            </w:pPr>
          </w:p>
          <w:p w:rsidR="009F24BF" w:rsidRDefault="00746F26" w:rsidP="009F24BF">
            <w:pPr>
              <w:pStyle w:val="BodyText"/>
            </w:pPr>
            <w:r>
              <w:t>a)</w:t>
            </w:r>
            <w:r w:rsidRPr="00746F26">
              <w:tab/>
            </w:r>
            <w:r w:rsidR="009F24BF">
              <w:t xml:space="preserve">There is no reference made in the agreement of Momentum. It is therefore not clear that Momentum advanced the guarantee (this is in fact not even clear from Annexure </w:t>
            </w:r>
            <w:r w:rsidR="00D072F5">
              <w:t>‘</w:t>
            </w:r>
            <w:r w:rsidR="009F24BF">
              <w:t>B</w:t>
            </w:r>
            <w:r w:rsidR="00D072F5">
              <w:t>’</w:t>
            </w:r>
            <w:r w:rsidR="009F24BF">
              <w:t xml:space="preserve"> that it was indeed via Momentum that the plaintiff provided a guarantee).</w:t>
            </w:r>
          </w:p>
          <w:p w:rsidR="009F24BF" w:rsidRDefault="009F24BF" w:rsidP="009F24BF">
            <w:pPr>
              <w:pStyle w:val="BodyText"/>
            </w:pPr>
            <w:r>
              <w:t>b)</w:t>
            </w:r>
            <w:r w:rsidR="00746F26" w:rsidRPr="00746F26">
              <w:tab/>
            </w:r>
            <w:r>
              <w:t>The only reference made to the plaintiff (if one can call it a reference) is the plaintiff’s logo on page 1 of the agreement.</w:t>
            </w:r>
          </w:p>
          <w:p w:rsidR="009F24BF" w:rsidRDefault="00746F26" w:rsidP="009F24BF">
            <w:pPr>
              <w:pStyle w:val="BodyText"/>
            </w:pPr>
            <w:r>
              <w:t>c)</w:t>
            </w:r>
            <w:r w:rsidRPr="00746F26">
              <w:tab/>
            </w:r>
            <w:r w:rsidR="00000108">
              <w:t>The plaintiff pleads in para</w:t>
            </w:r>
            <w:r w:rsidR="009F24BF">
              <w:t xml:space="preserve"> 6.3.3</w:t>
            </w:r>
            <w:r w:rsidR="00DE2F19">
              <w:t>,</w:t>
            </w:r>
            <w:r w:rsidR="009F24BF">
              <w:t xml:space="preserve"> ‘should the total facility progress fees not have been </w:t>
            </w:r>
            <w:r w:rsidR="009F24BF" w:rsidRPr="00D072F5">
              <w:rPr>
                <w:u w:val="single"/>
              </w:rPr>
              <w:t>paid</w:t>
            </w:r>
            <w:r w:rsidR="009F24BF">
              <w:t xml:space="preserve"> by the last month of the project the full outstanding amount will immediately become due and payable’ which clause is probably a reference made to the clause </w:t>
            </w:r>
            <w:r w:rsidR="00000108">
              <w:t>at the bottom</w:t>
            </w:r>
            <w:r w:rsidR="009F24BF">
              <w:t xml:space="preserve"> of Annexure </w:t>
            </w:r>
            <w:r w:rsidR="00D072F5">
              <w:t>‘</w:t>
            </w:r>
            <w:r w:rsidR="009F24BF">
              <w:t>A</w:t>
            </w:r>
            <w:r w:rsidR="00D072F5">
              <w:t>’</w:t>
            </w:r>
            <w:r w:rsidR="009F24BF">
              <w:t xml:space="preserve"> where the asterisk is. </w:t>
            </w:r>
            <w:r w:rsidR="00DE2F19">
              <w:t>However, the ‘asterisk’ clause</w:t>
            </w:r>
            <w:r w:rsidR="009F24BF">
              <w:t xml:space="preserve"> reads as follows</w:t>
            </w:r>
            <w:r w:rsidR="00D072F5">
              <w:t>:</w:t>
            </w:r>
            <w:r w:rsidR="00734146">
              <w:t xml:space="preserve"> ‘</w:t>
            </w:r>
            <w:r w:rsidR="00DE2F19">
              <w:t>*</w:t>
            </w:r>
            <w:r w:rsidR="00000108">
              <w:t>S</w:t>
            </w:r>
            <w:r w:rsidR="009F24BF">
              <w:t xml:space="preserve">hould the total FPF’s not </w:t>
            </w:r>
            <w:r w:rsidR="009F24BF">
              <w:lastRenderedPageBreak/>
              <w:t xml:space="preserve">have been </w:t>
            </w:r>
            <w:r w:rsidR="009F24BF" w:rsidRPr="00D072F5">
              <w:rPr>
                <w:u w:val="single"/>
              </w:rPr>
              <w:t>collectable</w:t>
            </w:r>
            <w:r w:rsidR="009F24BF">
              <w:t xml:space="preserve"> by the last month the full outstanding amount will become immediately due and payable’.</w:t>
            </w:r>
            <w:r w:rsidR="00000108">
              <w:t xml:space="preserve"> </w:t>
            </w:r>
          </w:p>
          <w:p w:rsidR="00000108" w:rsidRDefault="00000108" w:rsidP="009F24BF">
            <w:pPr>
              <w:pStyle w:val="BodyText"/>
            </w:pPr>
          </w:p>
          <w:p w:rsidR="009F24BF" w:rsidRDefault="00335443" w:rsidP="009F24BF">
            <w:pPr>
              <w:pStyle w:val="BodyText"/>
            </w:pPr>
            <w:r>
              <w:t>[22</w:t>
            </w:r>
            <w:r w:rsidR="009F24BF">
              <w:t>]</w:t>
            </w:r>
            <w:r w:rsidR="009F24BF">
              <w:tab/>
            </w:r>
            <w:r w:rsidR="00000108">
              <w:t>As illustrated above</w:t>
            </w:r>
            <w:r w:rsidR="00DE2F19">
              <w:t>,</w:t>
            </w:r>
            <w:r w:rsidR="00000108">
              <w:t xml:space="preserve"> t</w:t>
            </w:r>
            <w:r w:rsidR="009F24BF">
              <w:t xml:space="preserve">he particulars of claim and Annexure </w:t>
            </w:r>
            <w:r w:rsidR="00D072F5">
              <w:t>‘</w:t>
            </w:r>
            <w:r w:rsidR="009F24BF">
              <w:t>A</w:t>
            </w:r>
            <w:r w:rsidR="00D072F5">
              <w:t>’</w:t>
            </w:r>
            <w:r w:rsidR="009F24BF">
              <w:t xml:space="preserve"> on material aspects do not speak to one another</w:t>
            </w:r>
            <w:r w:rsidR="00DE2F19">
              <w:t>,</w:t>
            </w:r>
            <w:r w:rsidR="009F24BF">
              <w:t xml:space="preserve"> and the exception in respect of grounds one and two is upheld.</w:t>
            </w:r>
          </w:p>
          <w:p w:rsidR="00D072F5" w:rsidRDefault="00D072F5" w:rsidP="009F24BF">
            <w:pPr>
              <w:pStyle w:val="BodyText"/>
            </w:pPr>
          </w:p>
          <w:p w:rsidR="009F24BF" w:rsidRPr="00D072F5" w:rsidRDefault="00D072F5" w:rsidP="009F24BF">
            <w:pPr>
              <w:pStyle w:val="BodyText"/>
              <w:rPr>
                <w:i/>
              </w:rPr>
            </w:pPr>
            <w:r>
              <w:rPr>
                <w:i/>
              </w:rPr>
              <w:t>Ground three:</w:t>
            </w:r>
          </w:p>
          <w:p w:rsidR="009F24BF" w:rsidRDefault="009F24BF" w:rsidP="009F24BF">
            <w:pPr>
              <w:pStyle w:val="BodyText"/>
            </w:pPr>
          </w:p>
          <w:p w:rsidR="009F24BF" w:rsidRDefault="00335443" w:rsidP="009F24BF">
            <w:pPr>
              <w:pStyle w:val="BodyText"/>
            </w:pPr>
            <w:r>
              <w:t>[23</w:t>
            </w:r>
            <w:r w:rsidR="009F24BF">
              <w:t>]</w:t>
            </w:r>
            <w:r w:rsidR="009F24BF">
              <w:tab/>
              <w:t xml:space="preserve"> The third ground of exception relates to the suretyship of the second defendant. In para 6.10, the plaintiff alleges tha</w:t>
            </w:r>
            <w:r w:rsidR="00D072F5">
              <w:t xml:space="preserve">t: </w:t>
            </w:r>
            <w:r w:rsidR="009F24BF">
              <w:t>‘the Second Defendant, as member of the First Defendant, provided an unlimited suretyship to the Plaintiff in respect of the guarantee provided to the First Defendant and agreed to be held liable jointly and severally with the First Defendant for any debt due to the Plaintiff by the First Defendant’ and in para 11, the plaintiff alleges that the second defendant was a ‘surety and co-principal debtor’.</w:t>
            </w:r>
          </w:p>
          <w:p w:rsidR="009F24BF" w:rsidRDefault="009F24BF" w:rsidP="009F24BF">
            <w:pPr>
              <w:pStyle w:val="BodyText"/>
            </w:pPr>
          </w:p>
          <w:p w:rsidR="009F24BF" w:rsidRDefault="00335443" w:rsidP="009F24BF">
            <w:pPr>
              <w:pStyle w:val="BodyText"/>
            </w:pPr>
            <w:r>
              <w:t>[24</w:t>
            </w:r>
            <w:r w:rsidR="00CA32E6">
              <w:t>]</w:t>
            </w:r>
            <w:r w:rsidR="00CA32E6">
              <w:tab/>
              <w:t>Again</w:t>
            </w:r>
            <w:r w:rsidR="00DE2F19">
              <w:t>,</w:t>
            </w:r>
            <w:r w:rsidR="00CA32E6">
              <w:t xml:space="preserve"> the plaintiff </w:t>
            </w:r>
            <w:r w:rsidR="00DE2F19">
              <w:t>bases</w:t>
            </w:r>
            <w:r w:rsidR="009F24BF">
              <w:t xml:space="preserve"> these averments on Annexure </w:t>
            </w:r>
            <w:r w:rsidR="00CA32E6">
              <w:t>‘</w:t>
            </w:r>
            <w:r w:rsidR="009F24BF">
              <w:t>A</w:t>
            </w:r>
            <w:r w:rsidR="00CA32E6">
              <w:t>’</w:t>
            </w:r>
            <w:r w:rsidR="009F24BF">
              <w:t xml:space="preserve">. The suretyship that the plaintiff relies </w:t>
            </w:r>
            <w:r w:rsidR="00CA32E6" w:rsidRPr="0082316B">
              <w:t>on</w:t>
            </w:r>
            <w:r w:rsidR="00CA32E6">
              <w:t xml:space="preserve"> </w:t>
            </w:r>
            <w:r w:rsidR="009F24BF">
              <w:t>appears on page two of the agreement and consists of one line that reads ‘3. The contractor &amp; its directors jointly and severally provide unlimited surety towards the guarantee provided.’</w:t>
            </w:r>
          </w:p>
          <w:p w:rsidR="009F24BF" w:rsidRDefault="009F24BF" w:rsidP="009F24BF">
            <w:pPr>
              <w:pStyle w:val="BodyText"/>
            </w:pPr>
          </w:p>
          <w:p w:rsidR="009F24BF" w:rsidRDefault="00335443" w:rsidP="009F24BF">
            <w:pPr>
              <w:pStyle w:val="BodyText"/>
            </w:pPr>
            <w:r>
              <w:t>[25</w:t>
            </w:r>
            <w:r w:rsidR="009F24BF">
              <w:t>]</w:t>
            </w:r>
            <w:r w:rsidR="009F24BF">
              <w:tab/>
              <w:t xml:space="preserve">The agreement is then concluded as follows:  </w:t>
            </w:r>
          </w:p>
          <w:p w:rsidR="009F24BF" w:rsidRDefault="009F24BF" w:rsidP="009F24BF">
            <w:pPr>
              <w:pStyle w:val="BodyText"/>
            </w:pPr>
          </w:p>
          <w:p w:rsidR="009F24BF" w:rsidRDefault="00CA32E6" w:rsidP="009F24BF">
            <w:pPr>
              <w:pStyle w:val="BodyText"/>
              <w:rPr>
                <w:sz w:val="22"/>
                <w:szCs w:val="22"/>
              </w:rPr>
            </w:pPr>
            <w:r w:rsidRPr="00CA32E6">
              <w:tab/>
            </w:r>
            <w:r w:rsidR="009F24BF" w:rsidRPr="00CA32E6">
              <w:rPr>
                <w:sz w:val="22"/>
                <w:szCs w:val="22"/>
              </w:rPr>
              <w:t>’I</w:t>
            </w:r>
            <w:r w:rsidR="00DE2F19">
              <w:rPr>
                <w:sz w:val="22"/>
                <w:szCs w:val="22"/>
              </w:rPr>
              <w:t>,</w:t>
            </w:r>
            <w:r w:rsidR="009F24BF" w:rsidRPr="00CA32E6">
              <w:rPr>
                <w:sz w:val="22"/>
                <w:szCs w:val="22"/>
              </w:rPr>
              <w:t xml:space="preserve"> Jurius Nkoshi</w:t>
            </w:r>
            <w:r w:rsidR="00DE2F19">
              <w:rPr>
                <w:sz w:val="22"/>
                <w:szCs w:val="22"/>
              </w:rPr>
              <w:t>,</w:t>
            </w:r>
            <w:r w:rsidR="009F24BF" w:rsidRPr="00CA32E6">
              <w:rPr>
                <w:sz w:val="22"/>
                <w:szCs w:val="22"/>
              </w:rPr>
              <w:t xml:space="preserve"> in my capacity as managing member declare that I have read and understood the Terms and Conditions of this Quote and do hereby accept and bind myself and the company to the quote laid out herein and undertake to action and adhere to all the terms and conditions as stated.</w:t>
            </w:r>
            <w:r w:rsidR="0082316B">
              <w:rPr>
                <w:sz w:val="22"/>
                <w:szCs w:val="22"/>
              </w:rPr>
              <w:t>’</w:t>
            </w:r>
            <w:r w:rsidR="009F24BF" w:rsidRPr="00CA32E6">
              <w:rPr>
                <w:sz w:val="22"/>
                <w:szCs w:val="22"/>
              </w:rPr>
              <w:t xml:space="preserve"> </w:t>
            </w:r>
          </w:p>
          <w:p w:rsidR="00734146" w:rsidRPr="00CA32E6" w:rsidRDefault="00734146" w:rsidP="009F24BF">
            <w:pPr>
              <w:pStyle w:val="BodyText"/>
              <w:rPr>
                <w:sz w:val="22"/>
                <w:szCs w:val="22"/>
              </w:rPr>
            </w:pPr>
          </w:p>
          <w:p w:rsidR="009F24BF" w:rsidRPr="00CA32E6" w:rsidRDefault="009F24BF" w:rsidP="009F24BF">
            <w:pPr>
              <w:pStyle w:val="BodyText"/>
              <w:rPr>
                <w:sz w:val="22"/>
                <w:szCs w:val="22"/>
              </w:rPr>
            </w:pPr>
            <w:r w:rsidRPr="00CA32E6">
              <w:rPr>
                <w:sz w:val="22"/>
                <w:szCs w:val="22"/>
              </w:rPr>
              <w:t>(Signed) On behalf of the Contractor’</w:t>
            </w:r>
          </w:p>
          <w:p w:rsidR="009F24BF" w:rsidRDefault="009F24BF" w:rsidP="009F24BF">
            <w:pPr>
              <w:pStyle w:val="BodyText"/>
            </w:pPr>
          </w:p>
          <w:p w:rsidR="009F24BF" w:rsidRDefault="00335443" w:rsidP="009F24BF">
            <w:pPr>
              <w:pStyle w:val="BodyText"/>
            </w:pPr>
            <w:r>
              <w:t>[26</w:t>
            </w:r>
            <w:r w:rsidR="009F24BF">
              <w:t>]</w:t>
            </w:r>
            <w:r w:rsidR="009F24BF">
              <w:tab/>
            </w:r>
            <w:r w:rsidR="00CA32E6" w:rsidRPr="004F6A2A">
              <w:t>T</w:t>
            </w:r>
            <w:r w:rsidR="009F24BF" w:rsidRPr="004F6A2A">
              <w:t xml:space="preserve">he following </w:t>
            </w:r>
            <w:r w:rsidR="00CA32E6" w:rsidRPr="004F6A2A">
              <w:t xml:space="preserve">issues arise </w:t>
            </w:r>
            <w:r w:rsidR="009F24BF" w:rsidRPr="004F6A2A">
              <w:t xml:space="preserve">if one assumes </w:t>
            </w:r>
            <w:r w:rsidR="00CA32E6" w:rsidRPr="004F6A2A">
              <w:t xml:space="preserve">that </w:t>
            </w:r>
            <w:r w:rsidR="009F24BF" w:rsidRPr="004F6A2A">
              <w:t>the second</w:t>
            </w:r>
            <w:r w:rsidR="009F24BF">
              <w:t xml:space="preserve"> defendant, Mr Nkoshi, signed on behalf of the contractor (a joint surety):</w:t>
            </w:r>
          </w:p>
          <w:p w:rsidR="009F24BF" w:rsidRDefault="009F24BF" w:rsidP="009F24BF">
            <w:pPr>
              <w:pStyle w:val="BodyText"/>
            </w:pPr>
          </w:p>
          <w:p w:rsidR="009F24BF" w:rsidRDefault="009F24BF" w:rsidP="009F24BF">
            <w:pPr>
              <w:pStyle w:val="BodyText"/>
            </w:pPr>
            <w:r>
              <w:t>a)</w:t>
            </w:r>
            <w:r>
              <w:tab/>
              <w:t xml:space="preserve">Clause 3 of Annexure </w:t>
            </w:r>
            <w:r w:rsidR="00734146">
              <w:t>‘</w:t>
            </w:r>
            <w:r>
              <w:t>A</w:t>
            </w:r>
            <w:r w:rsidR="00734146">
              <w:t>’</w:t>
            </w:r>
            <w:r>
              <w:t xml:space="preserve"> referred to above refers to ‘directors’</w:t>
            </w:r>
            <w:r w:rsidR="00DE2F19">
              <w:t>. H</w:t>
            </w:r>
            <w:r>
              <w:t xml:space="preserve">owever, only a company has directors, yet </w:t>
            </w:r>
            <w:r w:rsidR="00DE2F19">
              <w:t xml:space="preserve">in the current matter, </w:t>
            </w:r>
            <w:r>
              <w:t>the contractor is a close corporation;</w:t>
            </w:r>
          </w:p>
          <w:p w:rsidR="009F24BF" w:rsidRDefault="009F24BF" w:rsidP="009F24BF">
            <w:pPr>
              <w:pStyle w:val="BodyText"/>
            </w:pPr>
          </w:p>
          <w:p w:rsidR="009F24BF" w:rsidRDefault="009F24BF" w:rsidP="009F24BF">
            <w:pPr>
              <w:pStyle w:val="BodyText"/>
            </w:pPr>
            <w:r>
              <w:lastRenderedPageBreak/>
              <w:t>b)</w:t>
            </w:r>
            <w:r>
              <w:tab/>
              <w:t>Mr Nkoshi is a ‘managing member’, meaning there must be more than one member, which member</w:t>
            </w:r>
            <w:r w:rsidR="004F6A2A">
              <w:t>(s)</w:t>
            </w:r>
            <w:r>
              <w:t xml:space="preserve"> did not sign the agreement;</w:t>
            </w:r>
          </w:p>
          <w:p w:rsidR="009F24BF" w:rsidRDefault="009F24BF" w:rsidP="009F24BF">
            <w:pPr>
              <w:pStyle w:val="BodyText"/>
            </w:pPr>
            <w:r>
              <w:t>c)</w:t>
            </w:r>
            <w:r>
              <w:tab/>
            </w:r>
            <w:r w:rsidR="004F6A2A">
              <w:t>A</w:t>
            </w:r>
            <w:r>
              <w:t xml:space="preserve"> suretyship will only be valid when </w:t>
            </w:r>
            <w:r w:rsidRPr="00CA32E6">
              <w:rPr>
                <w:u w:val="single"/>
              </w:rPr>
              <w:t xml:space="preserve">all </w:t>
            </w:r>
            <w:r w:rsidR="00CA32E6">
              <w:t>the members sign the agreement</w:t>
            </w:r>
            <w:r>
              <w:t>;</w:t>
            </w:r>
            <w:r w:rsidR="00CA32E6">
              <w:rPr>
                <w:rStyle w:val="FootnoteReference"/>
              </w:rPr>
              <w:footnoteReference w:id="6"/>
            </w:r>
            <w:r w:rsidR="00335443">
              <w:t xml:space="preserve"> </w:t>
            </w:r>
          </w:p>
          <w:p w:rsidR="009F24BF" w:rsidRDefault="009F24BF" w:rsidP="009F24BF">
            <w:pPr>
              <w:pStyle w:val="BodyText"/>
            </w:pPr>
            <w:r>
              <w:t>d)</w:t>
            </w:r>
            <w:r>
              <w:tab/>
              <w:t xml:space="preserve">Furthermore, it is not </w:t>
            </w:r>
            <w:r w:rsidR="00DE2F19">
              <w:t>clear</w:t>
            </w:r>
            <w:r>
              <w:t xml:space="preserve"> that Jurius Nkoshi (the second defendant) in fact bound himself as surety. I say so for the following reasons:</w:t>
            </w:r>
          </w:p>
          <w:p w:rsidR="009F24BF" w:rsidRDefault="009F24BF" w:rsidP="009F24BF">
            <w:pPr>
              <w:pStyle w:val="BodyText"/>
            </w:pPr>
          </w:p>
          <w:p w:rsidR="009F24BF" w:rsidRDefault="009F24BF" w:rsidP="009F24BF">
            <w:pPr>
              <w:pStyle w:val="BodyText"/>
            </w:pPr>
            <w:r>
              <w:t>i.</w:t>
            </w:r>
            <w:r>
              <w:tab/>
              <w:t>Mr Nkoshi signed on behalf of the contractor, in his capacity as ‘managing member’ and not his personal capacity as a surety; and lastly</w:t>
            </w:r>
            <w:r w:rsidR="00DE2F19">
              <w:t>,</w:t>
            </w:r>
            <w:r>
              <w:t xml:space="preserve"> </w:t>
            </w:r>
          </w:p>
          <w:p w:rsidR="009F24BF" w:rsidRDefault="009F24BF" w:rsidP="009F24BF">
            <w:pPr>
              <w:pStyle w:val="BodyText"/>
            </w:pPr>
            <w:r>
              <w:t>ii.</w:t>
            </w:r>
            <w:r>
              <w:tab/>
              <w:t>Mr Nkoshi is not identified as a surety</w:t>
            </w:r>
            <w:r w:rsidR="00DE2F19">
              <w:t>,</w:t>
            </w:r>
            <w:r>
              <w:t xml:space="preserve"> and </w:t>
            </w:r>
            <w:r w:rsidR="00DE2F19">
              <w:t xml:space="preserve">it is not clear from the agreement that </w:t>
            </w:r>
            <w:r>
              <w:t>Mr Nkoshi bound himself as a surety in his personal capacity.</w:t>
            </w:r>
          </w:p>
          <w:p w:rsidR="009F24BF" w:rsidRDefault="009F24BF" w:rsidP="009F24BF">
            <w:pPr>
              <w:pStyle w:val="BodyText"/>
            </w:pPr>
          </w:p>
          <w:p w:rsidR="009F24BF" w:rsidRDefault="00335443" w:rsidP="009F24BF">
            <w:pPr>
              <w:pStyle w:val="BodyText"/>
            </w:pPr>
            <w:r>
              <w:t>[27</w:t>
            </w:r>
            <w:r w:rsidR="009F24BF">
              <w:t>]</w:t>
            </w:r>
            <w:r w:rsidR="009F24BF">
              <w:tab/>
              <w:t>In my view</w:t>
            </w:r>
            <w:r w:rsidR="00C7285A">
              <w:t>,</w:t>
            </w:r>
            <w:r w:rsidR="009F24BF">
              <w:t xml:space="preserve"> the exception was well taken and must be upheld.</w:t>
            </w:r>
          </w:p>
          <w:p w:rsidR="009F24BF" w:rsidRDefault="009F24BF" w:rsidP="009F24BF">
            <w:pPr>
              <w:pStyle w:val="BodyText"/>
            </w:pPr>
          </w:p>
          <w:p w:rsidR="009F24BF" w:rsidRPr="00CA32E6" w:rsidRDefault="009F24BF" w:rsidP="009F24BF">
            <w:pPr>
              <w:pStyle w:val="BodyText"/>
              <w:rPr>
                <w:i/>
              </w:rPr>
            </w:pPr>
            <w:r w:rsidRPr="00CA32E6">
              <w:rPr>
                <w:i/>
              </w:rPr>
              <w:t xml:space="preserve">Ground four: </w:t>
            </w:r>
          </w:p>
          <w:p w:rsidR="009F24BF" w:rsidRDefault="009F24BF" w:rsidP="009F24BF">
            <w:pPr>
              <w:pStyle w:val="BodyText"/>
            </w:pPr>
          </w:p>
          <w:p w:rsidR="009F24BF" w:rsidRDefault="00335443" w:rsidP="009F24BF">
            <w:pPr>
              <w:pStyle w:val="BodyText"/>
            </w:pPr>
            <w:r>
              <w:t>[28</w:t>
            </w:r>
            <w:r w:rsidR="009F24BF">
              <w:t>]</w:t>
            </w:r>
            <w:r w:rsidR="009F24BF">
              <w:tab/>
              <w:t xml:space="preserve">The written agreement (Annexure </w:t>
            </w:r>
            <w:r w:rsidR="00CA32E6">
              <w:t>‘</w:t>
            </w:r>
            <w:r w:rsidR="009F24BF">
              <w:t>A</w:t>
            </w:r>
            <w:r w:rsidR="00CA32E6">
              <w:t>’</w:t>
            </w:r>
            <w:r w:rsidR="009F24BF">
              <w:t xml:space="preserve">) states on the second page that ‘it is agreed and understood that otherwise subject to the terms, exclusions, provisions and conditions contained in the CONSTRUCTION SUPPORT FACILITY or endorse thereon the following is </w:t>
            </w:r>
            <w:r w:rsidR="009F24BF" w:rsidRPr="004F6A2A">
              <w:rPr>
                <w:u w:val="single"/>
              </w:rPr>
              <w:t>also</w:t>
            </w:r>
            <w:r w:rsidR="009F24BF">
              <w:t xml:space="preserve"> applicable’. The exception raised by the defendants is that this document is not attached to the particulars of claim. In response, the plaintiff contends that it does not rely on the Construction Support Facility document and that this document can be accessed by way of the discovery process or even </w:t>
            </w:r>
            <w:r w:rsidR="00CA32E6" w:rsidRPr="004F6A2A">
              <w:t>by way of</w:t>
            </w:r>
            <w:r w:rsidR="00CA32E6">
              <w:t xml:space="preserve"> </w:t>
            </w:r>
            <w:r w:rsidR="009F24BF">
              <w:t>a request for further particulars</w:t>
            </w:r>
            <w:r w:rsidR="00CA32E6">
              <w:t xml:space="preserve">. </w:t>
            </w:r>
          </w:p>
          <w:p w:rsidR="009F24BF" w:rsidRDefault="009F24BF" w:rsidP="009F24BF">
            <w:pPr>
              <w:pStyle w:val="BodyText"/>
            </w:pPr>
          </w:p>
          <w:p w:rsidR="009F24BF" w:rsidRDefault="00335443" w:rsidP="009F24BF">
            <w:pPr>
              <w:pStyle w:val="BodyText"/>
            </w:pPr>
            <w:r>
              <w:t>[29</w:t>
            </w:r>
            <w:r w:rsidR="009F24BF">
              <w:t>]</w:t>
            </w:r>
            <w:r w:rsidR="009F24BF">
              <w:tab/>
              <w:t>The defendants submitted that this is contrary to the objectives of the rules as well as contrary to rule 45(7), which provides that a party must attach a contract relied upon. If the plaintiff intended to rely on only a portion of the written agreement</w:t>
            </w:r>
            <w:r w:rsidR="00C7285A">
              <w:t>,</w:t>
            </w:r>
            <w:r w:rsidR="009F24BF">
              <w:t xml:space="preserve"> it would be expected to be pleaded accordingly. If not</w:t>
            </w:r>
            <w:r w:rsidR="00C7285A">
              <w:t>,</w:t>
            </w:r>
            <w:r w:rsidR="009F24BF">
              <w:t xml:space="preserve"> then the complete agreement should be attached to the particulars of claim as provided for in rule 45 </w:t>
            </w:r>
            <w:r w:rsidR="00CA32E6">
              <w:t>(</w:t>
            </w:r>
            <w:r w:rsidR="009F24BF">
              <w:t xml:space="preserve">7). </w:t>
            </w:r>
          </w:p>
          <w:p w:rsidR="009F24BF" w:rsidRDefault="009F24BF" w:rsidP="009F24BF">
            <w:pPr>
              <w:pStyle w:val="BodyText"/>
            </w:pPr>
          </w:p>
          <w:p w:rsidR="009F24BF" w:rsidRDefault="00335443" w:rsidP="009F24BF">
            <w:pPr>
              <w:pStyle w:val="BodyText"/>
            </w:pPr>
            <w:r>
              <w:t>[30</w:t>
            </w:r>
            <w:r w:rsidR="009F24BF">
              <w:t>]</w:t>
            </w:r>
            <w:r w:rsidR="009F24BF">
              <w:tab/>
              <w:t xml:space="preserve">It is my understanding that Annexure </w:t>
            </w:r>
            <w:r w:rsidR="00CA32E6">
              <w:t>‘</w:t>
            </w:r>
            <w:r w:rsidR="009F24BF">
              <w:t>A</w:t>
            </w:r>
            <w:r w:rsidR="00CA32E6">
              <w:t>’</w:t>
            </w:r>
            <w:r w:rsidR="009F24BF">
              <w:t xml:space="preserve"> is the exclusive memorial of the agreement between the parties</w:t>
            </w:r>
            <w:r w:rsidR="00C7285A">
              <w:t>,</w:t>
            </w:r>
            <w:r w:rsidR="009F24BF">
              <w:t xml:space="preserve"> and it is </w:t>
            </w:r>
            <w:r w:rsidR="00C7285A">
              <w:t>unsatisfactory</w:t>
            </w:r>
            <w:r w:rsidR="009F24BF">
              <w:t xml:space="preserve"> to say the defendants must wait until discovery to receive the document. </w:t>
            </w:r>
            <w:r w:rsidR="00CA32E6" w:rsidRPr="004F6A2A">
              <w:t>T</w:t>
            </w:r>
            <w:r w:rsidR="009F24BF" w:rsidRPr="004F6A2A">
              <w:t xml:space="preserve">he </w:t>
            </w:r>
            <w:r w:rsidR="00C7285A">
              <w:t>overriding objectives of the Rules of Court are</w:t>
            </w:r>
            <w:r w:rsidR="009F24BF">
              <w:t xml:space="preserve"> to facilitate the resolution of the real issues in dispute justly and speedily, efficiently and cost-effectively as far as practicable. </w:t>
            </w:r>
            <w:r w:rsidR="00CA32E6">
              <w:t xml:space="preserve"> </w:t>
            </w:r>
            <w:r w:rsidR="00CA32E6" w:rsidRPr="004F6A2A">
              <w:lastRenderedPageBreak/>
              <w:t>The plaintiff’s failure in n</w:t>
            </w:r>
            <w:r w:rsidR="009F24BF" w:rsidRPr="004F6A2A">
              <w:t>ot filing</w:t>
            </w:r>
            <w:r w:rsidR="009F24BF">
              <w:t xml:space="preserve"> the Construction Support Facility </w:t>
            </w:r>
            <w:r w:rsidR="00CA32E6">
              <w:t xml:space="preserve">document </w:t>
            </w:r>
            <w:r w:rsidR="009F24BF">
              <w:t xml:space="preserve">may lead to amendment of </w:t>
            </w:r>
            <w:r w:rsidR="00CA32E6" w:rsidRPr="004F6A2A">
              <w:t>the</w:t>
            </w:r>
            <w:r w:rsidR="00CA32E6">
              <w:t xml:space="preserve"> </w:t>
            </w:r>
            <w:r w:rsidR="009F24BF">
              <w:t>pleadings</w:t>
            </w:r>
            <w:r w:rsidR="004F6A2A">
              <w:t>, which would be neither speedy nor cost-effective</w:t>
            </w:r>
            <w:r w:rsidR="009F24BF">
              <w:t xml:space="preserve">. </w:t>
            </w:r>
          </w:p>
          <w:p w:rsidR="009F24BF" w:rsidRDefault="009F24BF" w:rsidP="009F24BF">
            <w:pPr>
              <w:pStyle w:val="BodyText"/>
            </w:pPr>
          </w:p>
          <w:p w:rsidR="009F24BF" w:rsidRDefault="00335443" w:rsidP="009F24BF">
            <w:pPr>
              <w:pStyle w:val="BodyText"/>
            </w:pPr>
            <w:r>
              <w:t>[31</w:t>
            </w:r>
            <w:r w:rsidR="009F24BF">
              <w:t>]</w:t>
            </w:r>
            <w:r w:rsidR="009F24BF">
              <w:tab/>
              <w:t>The fourth ground of exception is thus upheld.</w:t>
            </w:r>
          </w:p>
          <w:p w:rsidR="009F24BF" w:rsidRDefault="009F24BF" w:rsidP="009F24BF">
            <w:pPr>
              <w:pStyle w:val="BodyText"/>
            </w:pPr>
          </w:p>
          <w:p w:rsidR="00B601AD" w:rsidRPr="00B51514" w:rsidRDefault="00B601AD" w:rsidP="00B51514">
            <w:pPr>
              <w:pStyle w:val="Heading2"/>
              <w:outlineLvl w:val="1"/>
            </w:pPr>
            <w:r w:rsidRPr="00B51514">
              <w:t xml:space="preserve">Order </w:t>
            </w:r>
          </w:p>
          <w:p w:rsidR="00737C3D" w:rsidRPr="0078733C" w:rsidRDefault="00737C3D" w:rsidP="00474C2A">
            <w:pPr>
              <w:tabs>
                <w:tab w:val="left" w:pos="837"/>
              </w:tabs>
              <w:spacing w:line="360" w:lineRule="auto"/>
              <w:jc w:val="both"/>
              <w:rPr>
                <w:rFonts w:ascii="Arial" w:hAnsi="Arial" w:cs="Arial"/>
                <w:sz w:val="24"/>
                <w:szCs w:val="24"/>
              </w:rPr>
            </w:pPr>
          </w:p>
          <w:p w:rsidR="00737C3D" w:rsidRPr="00734146" w:rsidRDefault="00734146" w:rsidP="00734146">
            <w:pPr>
              <w:tabs>
                <w:tab w:val="left" w:pos="837"/>
              </w:tabs>
              <w:spacing w:line="360" w:lineRule="auto"/>
              <w:jc w:val="both"/>
              <w:rPr>
                <w:rFonts w:ascii="Arial" w:hAnsi="Arial" w:cs="Arial"/>
                <w:sz w:val="24"/>
                <w:szCs w:val="24"/>
              </w:rPr>
            </w:pPr>
            <w:r>
              <w:rPr>
                <w:rFonts w:ascii="Arial" w:hAnsi="Arial" w:cs="Arial"/>
                <w:sz w:val="24"/>
                <w:szCs w:val="24"/>
              </w:rPr>
              <w:t>[</w:t>
            </w:r>
            <w:r w:rsidR="00335443">
              <w:rPr>
                <w:rFonts w:ascii="Arial" w:hAnsi="Arial" w:cs="Arial"/>
                <w:sz w:val="24"/>
                <w:szCs w:val="24"/>
              </w:rPr>
              <w:t>3</w:t>
            </w:r>
            <w:r w:rsidR="004F6A2A">
              <w:rPr>
                <w:rFonts w:ascii="Arial" w:hAnsi="Arial" w:cs="Arial"/>
                <w:sz w:val="24"/>
                <w:szCs w:val="24"/>
              </w:rPr>
              <w:t>2</w:t>
            </w:r>
            <w:r>
              <w:rPr>
                <w:rFonts w:ascii="Arial" w:hAnsi="Arial" w:cs="Arial"/>
                <w:sz w:val="24"/>
                <w:szCs w:val="24"/>
              </w:rPr>
              <w:t>]</w:t>
            </w:r>
            <w:r w:rsidRPr="00734146">
              <w:rPr>
                <w:rFonts w:ascii="Arial" w:hAnsi="Arial" w:cs="Arial"/>
                <w:sz w:val="24"/>
                <w:szCs w:val="24"/>
              </w:rPr>
              <w:tab/>
            </w:r>
            <w:r w:rsidR="006916C9" w:rsidRPr="00734146">
              <w:rPr>
                <w:rFonts w:ascii="Arial" w:hAnsi="Arial" w:cs="Arial"/>
                <w:sz w:val="24"/>
                <w:szCs w:val="24"/>
              </w:rPr>
              <w:t>In the result</w:t>
            </w:r>
            <w:r w:rsidR="0000513F" w:rsidRPr="00734146">
              <w:rPr>
                <w:rFonts w:ascii="Arial" w:hAnsi="Arial" w:cs="Arial"/>
                <w:sz w:val="24"/>
                <w:szCs w:val="24"/>
              </w:rPr>
              <w:t>, I make the order as set out above.</w:t>
            </w:r>
          </w:p>
          <w:p w:rsidR="00C04F28" w:rsidRPr="00CA7995" w:rsidRDefault="00C04F28" w:rsidP="00474C2A">
            <w:pPr>
              <w:tabs>
                <w:tab w:val="left" w:pos="837"/>
              </w:tabs>
              <w:spacing w:line="360" w:lineRule="auto"/>
              <w:jc w:val="both"/>
              <w:rPr>
                <w:rFonts w:ascii="Arial" w:hAnsi="Arial" w:cs="Arial"/>
                <w:sz w:val="24"/>
                <w:szCs w:val="24"/>
              </w:rPr>
            </w:pPr>
          </w:p>
        </w:tc>
      </w:tr>
      <w:tr w:rsidR="00CA7995" w:rsidRPr="00CA7995" w:rsidTr="0000513F">
        <w:tc>
          <w:tcPr>
            <w:tcW w:w="5232" w:type="dxa"/>
          </w:tcPr>
          <w:p w:rsidR="00B40844" w:rsidRPr="00CA7995" w:rsidRDefault="00B40844" w:rsidP="00ED76B2">
            <w:pPr>
              <w:spacing w:line="360" w:lineRule="auto"/>
              <w:jc w:val="center"/>
              <w:rPr>
                <w:rFonts w:ascii="Arial" w:hAnsi="Arial" w:cs="Arial"/>
                <w:b/>
                <w:sz w:val="24"/>
                <w:szCs w:val="24"/>
              </w:rPr>
            </w:pPr>
            <w:r w:rsidRPr="00CA7995">
              <w:rPr>
                <w:rFonts w:ascii="Arial" w:hAnsi="Arial" w:cs="Arial"/>
                <w:b/>
                <w:sz w:val="24"/>
                <w:szCs w:val="24"/>
              </w:rPr>
              <w:lastRenderedPageBreak/>
              <w:t>Judge’s signature:</w:t>
            </w:r>
          </w:p>
        </w:tc>
        <w:tc>
          <w:tcPr>
            <w:tcW w:w="5244" w:type="dxa"/>
            <w:gridSpan w:val="2"/>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00513F">
        <w:trPr>
          <w:trHeight w:val="1114"/>
        </w:trPr>
        <w:tc>
          <w:tcPr>
            <w:tcW w:w="5232" w:type="dxa"/>
          </w:tcPr>
          <w:p w:rsidR="00B40844" w:rsidRPr="00CA7995" w:rsidRDefault="00B40844" w:rsidP="00937C89">
            <w:pPr>
              <w:spacing w:line="360" w:lineRule="auto"/>
              <w:jc w:val="both"/>
              <w:rPr>
                <w:rFonts w:ascii="Arial" w:hAnsi="Arial" w:cs="Arial"/>
                <w:sz w:val="24"/>
                <w:szCs w:val="24"/>
              </w:rPr>
            </w:pPr>
          </w:p>
          <w:p w:rsidR="0000513F" w:rsidRPr="00CA7995" w:rsidRDefault="0000513F"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tc>
        <w:tc>
          <w:tcPr>
            <w:tcW w:w="5244" w:type="dxa"/>
            <w:gridSpan w:val="2"/>
          </w:tcPr>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rsidTr="00002E9A">
        <w:tc>
          <w:tcPr>
            <w:tcW w:w="10476" w:type="dxa"/>
            <w:gridSpan w:val="3"/>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CA7995" w:rsidTr="0000513F">
        <w:tc>
          <w:tcPr>
            <w:tcW w:w="5232" w:type="dxa"/>
          </w:tcPr>
          <w:p w:rsidR="00B40844" w:rsidRPr="00CA7995" w:rsidRDefault="00734146" w:rsidP="00937C89">
            <w:pPr>
              <w:spacing w:line="360" w:lineRule="auto"/>
              <w:jc w:val="center"/>
              <w:rPr>
                <w:rFonts w:ascii="Arial" w:hAnsi="Arial" w:cs="Arial"/>
                <w:b/>
                <w:sz w:val="24"/>
                <w:szCs w:val="24"/>
              </w:rPr>
            </w:pPr>
            <w:r>
              <w:rPr>
                <w:rFonts w:ascii="Arial" w:hAnsi="Arial" w:cs="Arial"/>
                <w:b/>
                <w:sz w:val="24"/>
                <w:szCs w:val="24"/>
              </w:rPr>
              <w:t>Applicants</w:t>
            </w:r>
          </w:p>
        </w:tc>
        <w:tc>
          <w:tcPr>
            <w:tcW w:w="5244" w:type="dxa"/>
            <w:gridSpan w:val="2"/>
          </w:tcPr>
          <w:p w:rsidR="00B40844" w:rsidRPr="00CA7995" w:rsidRDefault="00734146" w:rsidP="00937C89">
            <w:pPr>
              <w:spacing w:line="360" w:lineRule="auto"/>
              <w:jc w:val="center"/>
              <w:rPr>
                <w:rFonts w:ascii="Arial" w:hAnsi="Arial" w:cs="Arial"/>
                <w:b/>
                <w:sz w:val="24"/>
                <w:szCs w:val="24"/>
              </w:rPr>
            </w:pPr>
            <w:r>
              <w:rPr>
                <w:rFonts w:ascii="Arial" w:hAnsi="Arial" w:cs="Arial"/>
                <w:b/>
                <w:sz w:val="24"/>
                <w:szCs w:val="24"/>
              </w:rPr>
              <w:t>Respondents</w:t>
            </w:r>
          </w:p>
        </w:tc>
      </w:tr>
      <w:tr w:rsidR="00CA7995" w:rsidRPr="00CA7995" w:rsidTr="0000513F">
        <w:tc>
          <w:tcPr>
            <w:tcW w:w="5232" w:type="dxa"/>
          </w:tcPr>
          <w:p w:rsidR="00B40844" w:rsidRPr="00B11B99" w:rsidRDefault="00734146" w:rsidP="00937C89">
            <w:pPr>
              <w:spacing w:line="360" w:lineRule="auto"/>
              <w:jc w:val="center"/>
              <w:rPr>
                <w:rFonts w:ascii="Arial" w:hAnsi="Arial" w:cs="Arial"/>
                <w:sz w:val="24"/>
                <w:szCs w:val="24"/>
              </w:rPr>
            </w:pPr>
            <w:r>
              <w:rPr>
                <w:rFonts w:ascii="Arial" w:hAnsi="Arial" w:cs="Arial"/>
                <w:sz w:val="24"/>
                <w:szCs w:val="24"/>
              </w:rPr>
              <w:t>D</w:t>
            </w:r>
            <w:r w:rsidRPr="00734146">
              <w:rPr>
                <w:rFonts w:ascii="Arial" w:hAnsi="Arial" w:cs="Arial"/>
                <w:sz w:val="24"/>
                <w:szCs w:val="24"/>
              </w:rPr>
              <w:t xml:space="preserve"> OBBES</w:t>
            </w:r>
            <w:r>
              <w:rPr>
                <w:rFonts w:ascii="Arial" w:hAnsi="Arial" w:cs="Arial"/>
                <w:sz w:val="24"/>
                <w:szCs w:val="24"/>
              </w:rPr>
              <w:t xml:space="preserve"> (assisted by S HORN)</w:t>
            </w:r>
          </w:p>
          <w:p w:rsidR="00394F42" w:rsidRDefault="00734146" w:rsidP="00937C89">
            <w:pPr>
              <w:spacing w:line="360" w:lineRule="auto"/>
              <w:jc w:val="center"/>
              <w:rPr>
                <w:rFonts w:ascii="Arial" w:hAnsi="Arial" w:cs="Arial"/>
                <w:sz w:val="24"/>
                <w:szCs w:val="24"/>
              </w:rPr>
            </w:pPr>
            <w:r>
              <w:rPr>
                <w:rFonts w:ascii="Arial" w:hAnsi="Arial" w:cs="Arial"/>
                <w:sz w:val="24"/>
                <w:szCs w:val="24"/>
              </w:rPr>
              <w:t xml:space="preserve">of </w:t>
            </w:r>
            <w:r w:rsidRPr="00734146">
              <w:rPr>
                <w:rFonts w:ascii="Arial" w:hAnsi="Arial" w:cs="Arial"/>
                <w:sz w:val="24"/>
                <w:szCs w:val="24"/>
              </w:rPr>
              <w:t>Theunissen, Louw &amp; Partners</w:t>
            </w:r>
            <w:r w:rsidR="00394F42">
              <w:rPr>
                <w:rFonts w:ascii="Arial" w:hAnsi="Arial" w:cs="Arial"/>
                <w:sz w:val="24"/>
                <w:szCs w:val="24"/>
              </w:rPr>
              <w:t>,</w:t>
            </w:r>
          </w:p>
          <w:p w:rsidR="00B40844" w:rsidRPr="00B11B99" w:rsidRDefault="0078733C" w:rsidP="00937C89">
            <w:pPr>
              <w:spacing w:line="360" w:lineRule="auto"/>
              <w:jc w:val="center"/>
              <w:rPr>
                <w:rFonts w:ascii="Arial" w:hAnsi="Arial" w:cs="Arial"/>
                <w:sz w:val="24"/>
                <w:szCs w:val="24"/>
              </w:rPr>
            </w:pPr>
            <w:r w:rsidRPr="00B11B99">
              <w:rPr>
                <w:rFonts w:ascii="Arial" w:hAnsi="Arial" w:cs="Arial"/>
                <w:sz w:val="24"/>
                <w:szCs w:val="24"/>
              </w:rPr>
              <w:t xml:space="preserve">Windhoek </w:t>
            </w:r>
          </w:p>
          <w:p w:rsidR="00B40844" w:rsidRPr="00D24453" w:rsidRDefault="00B40844" w:rsidP="00937C89">
            <w:pPr>
              <w:spacing w:line="360" w:lineRule="auto"/>
              <w:jc w:val="center"/>
              <w:rPr>
                <w:rFonts w:ascii="Arial" w:hAnsi="Arial" w:cs="Arial"/>
                <w:sz w:val="24"/>
                <w:szCs w:val="24"/>
              </w:rPr>
            </w:pPr>
          </w:p>
        </w:tc>
        <w:tc>
          <w:tcPr>
            <w:tcW w:w="5244" w:type="dxa"/>
            <w:gridSpan w:val="2"/>
          </w:tcPr>
          <w:p w:rsidR="00B40844" w:rsidRPr="00CA7995" w:rsidRDefault="00734146" w:rsidP="00937C89">
            <w:pPr>
              <w:spacing w:line="360" w:lineRule="auto"/>
              <w:jc w:val="center"/>
              <w:rPr>
                <w:rFonts w:ascii="Arial" w:hAnsi="Arial" w:cs="Arial"/>
                <w:sz w:val="24"/>
                <w:szCs w:val="24"/>
              </w:rPr>
            </w:pPr>
            <w:r>
              <w:rPr>
                <w:rFonts w:ascii="Arial" w:hAnsi="Arial" w:cs="Arial"/>
                <w:sz w:val="24"/>
                <w:szCs w:val="24"/>
              </w:rPr>
              <w:t>C</w:t>
            </w:r>
            <w:r w:rsidRPr="00734146">
              <w:rPr>
                <w:rFonts w:ascii="Arial" w:hAnsi="Arial" w:cs="Arial"/>
                <w:sz w:val="24"/>
                <w:szCs w:val="24"/>
              </w:rPr>
              <w:t xml:space="preserve"> VAN ZYL </w:t>
            </w:r>
            <w:r>
              <w:rPr>
                <w:rFonts w:ascii="Arial" w:hAnsi="Arial" w:cs="Arial"/>
                <w:sz w:val="24"/>
                <w:szCs w:val="24"/>
              </w:rPr>
              <w:t>(</w:t>
            </w:r>
            <w:r w:rsidRPr="00734146">
              <w:rPr>
                <w:rFonts w:ascii="Arial" w:hAnsi="Arial" w:cs="Arial"/>
                <w:sz w:val="24"/>
                <w:szCs w:val="24"/>
              </w:rPr>
              <w:t>assisted</w:t>
            </w:r>
            <w:r>
              <w:rPr>
                <w:rFonts w:ascii="Arial" w:hAnsi="Arial" w:cs="Arial"/>
                <w:sz w:val="24"/>
                <w:szCs w:val="24"/>
              </w:rPr>
              <w:t xml:space="preserve"> by F </w:t>
            </w:r>
            <w:r w:rsidRPr="00734146">
              <w:rPr>
                <w:rFonts w:ascii="Arial" w:hAnsi="Arial" w:cs="Arial"/>
                <w:sz w:val="24"/>
                <w:szCs w:val="24"/>
              </w:rPr>
              <w:t>PRETORIUS</w:t>
            </w:r>
            <w:r>
              <w:rPr>
                <w:rFonts w:ascii="Arial" w:hAnsi="Arial" w:cs="Arial"/>
                <w:sz w:val="24"/>
                <w:szCs w:val="24"/>
              </w:rPr>
              <w:t>)</w:t>
            </w:r>
          </w:p>
          <w:p w:rsidR="00692710" w:rsidRDefault="00394F42" w:rsidP="00692710">
            <w:pPr>
              <w:pStyle w:val="BodyText2"/>
              <w:jc w:val="center"/>
              <w:rPr>
                <w:color w:val="auto"/>
              </w:rPr>
            </w:pPr>
            <w:r>
              <w:rPr>
                <w:color w:val="auto"/>
              </w:rPr>
              <w:t>of</w:t>
            </w:r>
            <w:r w:rsidR="00734146">
              <w:rPr>
                <w:color w:val="auto"/>
              </w:rPr>
              <w:t xml:space="preserve"> </w:t>
            </w:r>
            <w:r w:rsidR="00734146" w:rsidRPr="00734146">
              <w:rPr>
                <w:color w:val="auto"/>
              </w:rPr>
              <w:t>Francois Erasmus &amp; Partners</w:t>
            </w:r>
          </w:p>
          <w:p w:rsidR="0000513F" w:rsidRPr="00734146" w:rsidRDefault="00692710" w:rsidP="00734146">
            <w:pPr>
              <w:pStyle w:val="BodyText2"/>
              <w:jc w:val="center"/>
              <w:rPr>
                <w:i/>
                <w:color w:val="auto"/>
              </w:rPr>
            </w:pPr>
            <w:r>
              <w:rPr>
                <w:color w:val="auto"/>
              </w:rPr>
              <w:t>Windhoek</w:t>
            </w:r>
          </w:p>
        </w:tc>
      </w:tr>
    </w:tbl>
    <w:p w:rsidR="00B845CF" w:rsidRDefault="00B845CF"/>
    <w:sectPr w:rsidR="00B845CF" w:rsidSect="00002E9A">
      <w:headerReference w:type="default" r:id="rId9"/>
      <w:pgSz w:w="11906" w:h="16838"/>
      <w:pgMar w:top="851" w:right="1080" w:bottom="851" w:left="108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2A0" w:rsidRDefault="005802A0" w:rsidP="00B40844">
      <w:pPr>
        <w:spacing w:after="0" w:line="240" w:lineRule="auto"/>
      </w:pPr>
      <w:r>
        <w:separator/>
      </w:r>
    </w:p>
  </w:endnote>
  <w:endnote w:type="continuationSeparator" w:id="0">
    <w:p w:rsidR="005802A0" w:rsidRDefault="005802A0"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2A0" w:rsidRDefault="005802A0" w:rsidP="00B40844">
      <w:pPr>
        <w:spacing w:after="0" w:line="240" w:lineRule="auto"/>
      </w:pPr>
      <w:r>
        <w:separator/>
      </w:r>
    </w:p>
  </w:footnote>
  <w:footnote w:type="continuationSeparator" w:id="0">
    <w:p w:rsidR="005802A0" w:rsidRDefault="005802A0" w:rsidP="00B40844">
      <w:pPr>
        <w:spacing w:after="0" w:line="240" w:lineRule="auto"/>
      </w:pPr>
      <w:r>
        <w:continuationSeparator/>
      </w:r>
    </w:p>
  </w:footnote>
  <w:footnote w:id="1">
    <w:p w:rsidR="00B66380" w:rsidRPr="004200FD" w:rsidRDefault="00B66380" w:rsidP="00B66380">
      <w:pPr>
        <w:pStyle w:val="FootnoteText"/>
        <w:jc w:val="both"/>
        <w:rPr>
          <w:rFonts w:ascii="Arial" w:hAnsi="Arial" w:cs="Arial"/>
          <w:lang w:val="en-US"/>
        </w:rPr>
      </w:pPr>
      <w:r>
        <w:rPr>
          <w:rStyle w:val="FootnoteReference"/>
        </w:rPr>
        <w:footnoteRef/>
      </w:r>
      <w:r>
        <w:t xml:space="preserve"> </w:t>
      </w:r>
      <w:r w:rsidRPr="004200FD">
        <w:rPr>
          <w:rFonts w:ascii="Arial" w:hAnsi="Arial" w:cs="Arial"/>
          <w:i/>
        </w:rPr>
        <w:t>Barclays National Bank Ltd v Thompson</w:t>
      </w:r>
      <w:r w:rsidRPr="004200FD">
        <w:rPr>
          <w:rFonts w:ascii="Arial" w:hAnsi="Arial" w:cs="Arial"/>
        </w:rPr>
        <w:t xml:space="preserve"> 1</w:t>
      </w:r>
      <w:r>
        <w:rPr>
          <w:rFonts w:ascii="Arial" w:hAnsi="Arial" w:cs="Arial"/>
        </w:rPr>
        <w:t>989 (1) SA 547 (A) at 553 G – I</w:t>
      </w:r>
      <w:r w:rsidRPr="004200FD">
        <w:rPr>
          <w:rFonts w:ascii="Arial" w:hAnsi="Arial" w:cs="Arial"/>
        </w:rPr>
        <w:t xml:space="preserve">; </w:t>
      </w:r>
      <w:r w:rsidRPr="004200FD">
        <w:rPr>
          <w:rFonts w:ascii="Arial" w:hAnsi="Arial" w:cs="Arial"/>
          <w:i/>
        </w:rPr>
        <w:t xml:space="preserve">Dharumpal Transport (Pty) Ltd v Dharumpal </w:t>
      </w:r>
      <w:r w:rsidRPr="004200FD">
        <w:rPr>
          <w:rFonts w:ascii="Arial" w:hAnsi="Arial" w:cs="Arial"/>
        </w:rPr>
        <w:t xml:space="preserve">1956 (1) SA 700 (A) at 706.; Herbstein &amp; Van Winsen, </w:t>
      </w:r>
      <w:r w:rsidRPr="004200FD">
        <w:rPr>
          <w:rFonts w:ascii="Arial" w:hAnsi="Arial" w:cs="Arial"/>
          <w:i/>
        </w:rPr>
        <w:t>The Civil Practice of the High Courts and the Supreme Court of Appeal of South Africa</w:t>
      </w:r>
      <w:r w:rsidRPr="004200FD">
        <w:rPr>
          <w:rFonts w:ascii="Arial" w:hAnsi="Arial" w:cs="Arial"/>
        </w:rPr>
        <w:t xml:space="preserve">, 5th edition, at 638; </w:t>
      </w:r>
      <w:r w:rsidRPr="004200FD">
        <w:rPr>
          <w:rFonts w:ascii="Arial" w:hAnsi="Arial" w:cs="Arial"/>
          <w:i/>
        </w:rPr>
        <w:t>Denker v Cosack and Others</w:t>
      </w:r>
      <w:r w:rsidRPr="004200FD">
        <w:rPr>
          <w:rFonts w:ascii="Arial" w:hAnsi="Arial" w:cs="Arial"/>
        </w:rPr>
        <w:t xml:space="preserve"> 2006 (1) NR 370 (HC).</w:t>
      </w:r>
    </w:p>
  </w:footnote>
  <w:footnote w:id="2">
    <w:p w:rsidR="004200FD" w:rsidRPr="004200FD" w:rsidRDefault="004200FD" w:rsidP="00734146">
      <w:pPr>
        <w:pStyle w:val="FootnoteText"/>
        <w:jc w:val="both"/>
        <w:rPr>
          <w:rFonts w:ascii="Arial" w:hAnsi="Arial" w:cs="Arial"/>
          <w:lang w:val="en-US"/>
        </w:rPr>
      </w:pPr>
      <w:r>
        <w:rPr>
          <w:rStyle w:val="FootnoteReference"/>
        </w:rPr>
        <w:footnoteRef/>
      </w:r>
      <w:r>
        <w:t xml:space="preserve"> </w:t>
      </w:r>
      <w:r w:rsidRPr="004200FD">
        <w:rPr>
          <w:rFonts w:ascii="Arial" w:hAnsi="Arial" w:cs="Arial"/>
          <w:i/>
        </w:rPr>
        <w:t>Van Straten N.O and Another v Namibia Financial Institutions and Another</w:t>
      </w:r>
      <w:r w:rsidRPr="004200FD">
        <w:rPr>
          <w:rFonts w:ascii="Arial" w:hAnsi="Arial" w:cs="Arial"/>
        </w:rPr>
        <w:t xml:space="preserve"> 2016 (3) NR 747 at 755.</w:t>
      </w:r>
    </w:p>
  </w:footnote>
  <w:footnote w:id="3">
    <w:p w:rsidR="004200FD" w:rsidRPr="004200FD" w:rsidRDefault="004200FD" w:rsidP="00734146">
      <w:pPr>
        <w:pStyle w:val="FootnoteText"/>
        <w:jc w:val="both"/>
        <w:rPr>
          <w:rFonts w:ascii="Arial" w:hAnsi="Arial" w:cs="Arial"/>
          <w:lang w:val="en-US"/>
        </w:rPr>
      </w:pPr>
      <w:r>
        <w:rPr>
          <w:rStyle w:val="FootnoteReference"/>
        </w:rPr>
        <w:footnoteRef/>
      </w:r>
      <w:r>
        <w:t xml:space="preserve"> </w:t>
      </w:r>
      <w:r w:rsidRPr="004200FD">
        <w:rPr>
          <w:rFonts w:ascii="Arial" w:hAnsi="Arial" w:cs="Arial"/>
          <w:i/>
        </w:rPr>
        <w:t>Lampert-Zakiewicz v Marine &amp; Trade Insurance Co Ltd</w:t>
      </w:r>
      <w:r w:rsidRPr="004200FD">
        <w:rPr>
          <w:rFonts w:ascii="Arial" w:hAnsi="Arial" w:cs="Arial"/>
        </w:rPr>
        <w:t xml:space="preserve"> 1975 (4) SA 597 (C) at 599F-G.</w:t>
      </w:r>
    </w:p>
  </w:footnote>
  <w:footnote w:id="4">
    <w:p w:rsidR="004200FD" w:rsidRPr="004200FD" w:rsidRDefault="004200FD" w:rsidP="00734146">
      <w:pPr>
        <w:pStyle w:val="FootnoteText"/>
        <w:jc w:val="both"/>
        <w:rPr>
          <w:rFonts w:ascii="Arial" w:hAnsi="Arial" w:cs="Arial"/>
          <w:lang w:val="en-US"/>
        </w:rPr>
      </w:pPr>
      <w:r>
        <w:rPr>
          <w:rStyle w:val="FootnoteReference"/>
        </w:rPr>
        <w:footnoteRef/>
      </w:r>
      <w:r>
        <w:t xml:space="preserve"> </w:t>
      </w:r>
      <w:r w:rsidRPr="004200FD">
        <w:rPr>
          <w:rFonts w:ascii="Arial" w:hAnsi="Arial" w:cs="Arial"/>
          <w:i/>
        </w:rPr>
        <w:t>Van Straten NO and Another v Namibia Financial Institutions Supervisory Authority and Another</w:t>
      </w:r>
      <w:r w:rsidRPr="004200FD">
        <w:rPr>
          <w:rFonts w:ascii="Arial" w:hAnsi="Arial" w:cs="Arial"/>
        </w:rPr>
        <w:t xml:space="preserve"> 2016 (3) NR 747 (SC), paragraphs 19 and 20, at 756B-D and 756E.</w:t>
      </w:r>
    </w:p>
  </w:footnote>
  <w:footnote w:id="5">
    <w:p w:rsidR="00280EB1" w:rsidRPr="00280EB1" w:rsidRDefault="00280EB1" w:rsidP="00734146">
      <w:pPr>
        <w:pStyle w:val="FootnoteText"/>
        <w:jc w:val="both"/>
        <w:rPr>
          <w:lang w:val="en-US"/>
        </w:rPr>
      </w:pPr>
      <w:r>
        <w:rPr>
          <w:rStyle w:val="FootnoteReference"/>
        </w:rPr>
        <w:footnoteRef/>
      </w:r>
      <w:r>
        <w:t xml:space="preserve"> </w:t>
      </w:r>
      <w:r w:rsidRPr="00280EB1">
        <w:rPr>
          <w:rFonts w:ascii="Arial" w:hAnsi="Arial" w:cs="Arial"/>
          <w:i/>
        </w:rPr>
        <w:t>Standard Bank of SA Ltd v Hunky Dory Inv</w:t>
      </w:r>
      <w:r w:rsidRPr="00280EB1">
        <w:rPr>
          <w:rFonts w:ascii="Arial" w:hAnsi="Arial" w:cs="Arial"/>
        </w:rPr>
        <w:t xml:space="preserve"> 194 (Pty) Ltd (1) 2010 (1) SA 627 (C) at 630 paragraph 9 and paragraph 10; </w:t>
      </w:r>
      <w:r w:rsidRPr="00280EB1">
        <w:rPr>
          <w:rFonts w:ascii="Arial" w:hAnsi="Arial" w:cs="Arial"/>
          <w:i/>
        </w:rPr>
        <w:t>Lowenthal v Street Guarantee (Pty) Ltd and Others</w:t>
      </w:r>
      <w:r w:rsidRPr="00280EB1">
        <w:rPr>
          <w:rFonts w:ascii="Arial" w:hAnsi="Arial" w:cs="Arial"/>
        </w:rPr>
        <w:t xml:space="preserve"> [2018] JOL 39436 GJ, paragraphs 6 &amp; 7; Erasmus, Superior Court Practice at D1-342. See also </w:t>
      </w:r>
      <w:r w:rsidRPr="00280EB1">
        <w:rPr>
          <w:rFonts w:ascii="Arial" w:hAnsi="Arial" w:cs="Arial"/>
          <w:i/>
        </w:rPr>
        <w:t>CrawfordBrunt v Kavnat and Another</w:t>
      </w:r>
      <w:r w:rsidRPr="00280EB1">
        <w:rPr>
          <w:rFonts w:ascii="Arial" w:hAnsi="Arial" w:cs="Arial"/>
        </w:rPr>
        <w:t xml:space="preserve"> 1967 (4) SA 308 (C) at 310G.</w:t>
      </w:r>
    </w:p>
  </w:footnote>
  <w:footnote w:id="6">
    <w:p w:rsidR="00CA32E6" w:rsidRPr="00CA32E6" w:rsidRDefault="00CA32E6" w:rsidP="00CA32E6">
      <w:pPr>
        <w:pStyle w:val="FootnoteText"/>
        <w:spacing w:line="360" w:lineRule="auto"/>
        <w:jc w:val="both"/>
        <w:rPr>
          <w:rFonts w:ascii="Arial" w:hAnsi="Arial" w:cs="Arial"/>
          <w:lang w:val="en-US"/>
        </w:rPr>
      </w:pPr>
      <w:r>
        <w:rPr>
          <w:rStyle w:val="FootnoteReference"/>
        </w:rPr>
        <w:footnoteRef/>
      </w:r>
      <w:r>
        <w:t xml:space="preserve"> </w:t>
      </w:r>
      <w:r w:rsidRPr="00CA32E6">
        <w:rPr>
          <w:rFonts w:ascii="Arial" w:hAnsi="Arial" w:cs="Arial"/>
        </w:rPr>
        <w:t>Section 52(2) of the C</w:t>
      </w:r>
      <w:r w:rsidR="00AD0B9B">
        <w:rPr>
          <w:rFonts w:ascii="Arial" w:hAnsi="Arial" w:cs="Arial"/>
        </w:rPr>
        <w:t xml:space="preserve">lose Corporation Act 26 of 1988 </w:t>
      </w:r>
      <w:r w:rsidRPr="00CA32E6">
        <w:rPr>
          <w:rFonts w:ascii="Arial" w:hAnsi="Arial" w:cs="Arial"/>
        </w:rPr>
        <w:t>‘</w:t>
      </w:r>
      <w:r w:rsidR="00BA31AF">
        <w:rPr>
          <w:rFonts w:ascii="Arial" w:hAnsi="Arial" w:cs="Arial"/>
        </w:rPr>
        <w:t>. . .</w:t>
      </w:r>
      <w:r w:rsidRPr="00CA32E6">
        <w:rPr>
          <w:rFonts w:ascii="Arial" w:hAnsi="Arial" w:cs="Arial"/>
        </w:rPr>
        <w:t>the provision of any particular security with the express previously obtained consent in writing of all the members of a corporation.’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374223"/>
      <w:docPartObj>
        <w:docPartGallery w:val="Page Numbers (Top of Page)"/>
        <w:docPartUnique/>
      </w:docPartObj>
    </w:sdtPr>
    <w:sdtEndPr>
      <w:rPr>
        <w:noProof/>
      </w:rPr>
    </w:sdtEndPr>
    <w:sdtContent>
      <w:p w:rsidR="000F3512" w:rsidRDefault="000F3512">
        <w:pPr>
          <w:pStyle w:val="Header"/>
          <w:jc w:val="right"/>
        </w:pPr>
        <w:r>
          <w:fldChar w:fldCharType="begin"/>
        </w:r>
        <w:r>
          <w:instrText xml:space="preserve"> PAGE   \* MERGEFORMAT </w:instrText>
        </w:r>
        <w:r>
          <w:fldChar w:fldCharType="separate"/>
        </w:r>
        <w:r w:rsidR="00C97C2B">
          <w:rPr>
            <w:noProof/>
          </w:rPr>
          <w:t>2</w:t>
        </w:r>
        <w:r>
          <w:rPr>
            <w:noProof/>
          </w:rPr>
          <w:fldChar w:fldCharType="end"/>
        </w:r>
      </w:p>
    </w:sdtContent>
  </w:sdt>
  <w:p w:rsidR="000F3512" w:rsidRDefault="000F3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nsid w:val="01F7038A"/>
    <w:multiLevelType w:val="hybridMultilevel"/>
    <w:tmpl w:val="D76841E0"/>
    <w:lvl w:ilvl="0" w:tplc="28DE282E">
      <w:start w:val="30"/>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4">
    <w:nsid w:val="081C5BD4"/>
    <w:multiLevelType w:val="hybridMultilevel"/>
    <w:tmpl w:val="3574ED52"/>
    <w:lvl w:ilvl="0" w:tplc="A0F6A74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C2F99"/>
    <w:multiLevelType w:val="hybridMultilevel"/>
    <w:tmpl w:val="34A025DE"/>
    <w:lvl w:ilvl="0" w:tplc="1206B95A">
      <w:start w:val="30"/>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FC4C30"/>
    <w:multiLevelType w:val="hybridMultilevel"/>
    <w:tmpl w:val="587AD1CA"/>
    <w:lvl w:ilvl="0" w:tplc="1B6C5474">
      <w:start w:val="28"/>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115F99"/>
    <w:multiLevelType w:val="hybridMultilevel"/>
    <w:tmpl w:val="9A789E54"/>
    <w:lvl w:ilvl="0" w:tplc="4DDC790C">
      <w:start w:val="34"/>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211A84"/>
    <w:multiLevelType w:val="hybridMultilevel"/>
    <w:tmpl w:val="8EC6E7AC"/>
    <w:lvl w:ilvl="0" w:tplc="439058C0">
      <w:start w:val="30"/>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45644BDB"/>
    <w:multiLevelType w:val="hybridMultilevel"/>
    <w:tmpl w:val="91F25AF8"/>
    <w:lvl w:ilvl="0" w:tplc="69708FAE">
      <w:start w:val="17"/>
      <w:numFmt w:val="decimal"/>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8CE80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FAD48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BC81C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5ECB7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C0AEE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8C594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7820E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DCACB2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3">
    <w:nsid w:val="52607D56"/>
    <w:multiLevelType w:val="hybridMultilevel"/>
    <w:tmpl w:val="CB6EE64C"/>
    <w:lvl w:ilvl="0" w:tplc="1B6C5474">
      <w:start w:val="28"/>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324516"/>
    <w:multiLevelType w:val="hybridMultilevel"/>
    <w:tmpl w:val="1CFEAE1A"/>
    <w:lvl w:ilvl="0" w:tplc="85D2710A">
      <w:start w:val="30"/>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2"/>
  </w:num>
  <w:num w:numId="4">
    <w:abstractNumId w:val="3"/>
  </w:num>
  <w:num w:numId="5">
    <w:abstractNumId w:val="1"/>
  </w:num>
  <w:num w:numId="6">
    <w:abstractNumId w:val="10"/>
  </w:num>
  <w:num w:numId="7">
    <w:abstractNumId w:val="8"/>
  </w:num>
  <w:num w:numId="8">
    <w:abstractNumId w:val="11"/>
  </w:num>
  <w:num w:numId="9">
    <w:abstractNumId w:val="5"/>
  </w:num>
  <w:num w:numId="10">
    <w:abstractNumId w:val="2"/>
  </w:num>
  <w:num w:numId="11">
    <w:abstractNumId w:val="15"/>
  </w:num>
  <w:num w:numId="12">
    <w:abstractNumId w:val="9"/>
  </w:num>
  <w:num w:numId="13">
    <w:abstractNumId w:val="4"/>
  </w:num>
  <w:num w:numId="14">
    <w:abstractNumId w:val="7"/>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0108"/>
    <w:rsid w:val="00002E9A"/>
    <w:rsid w:val="0000513F"/>
    <w:rsid w:val="00007B32"/>
    <w:rsid w:val="000142CE"/>
    <w:rsid w:val="00015808"/>
    <w:rsid w:val="00025869"/>
    <w:rsid w:val="0002753F"/>
    <w:rsid w:val="00030A66"/>
    <w:rsid w:val="00052806"/>
    <w:rsid w:val="00053646"/>
    <w:rsid w:val="00067499"/>
    <w:rsid w:val="00080C9B"/>
    <w:rsid w:val="000929C5"/>
    <w:rsid w:val="00093454"/>
    <w:rsid w:val="000A358F"/>
    <w:rsid w:val="000A4391"/>
    <w:rsid w:val="000A6E7F"/>
    <w:rsid w:val="000B07EA"/>
    <w:rsid w:val="000B55BA"/>
    <w:rsid w:val="000C03BB"/>
    <w:rsid w:val="000D00E4"/>
    <w:rsid w:val="000D3BDD"/>
    <w:rsid w:val="000D3C9C"/>
    <w:rsid w:val="000D732A"/>
    <w:rsid w:val="000E05A2"/>
    <w:rsid w:val="000E2366"/>
    <w:rsid w:val="000F1377"/>
    <w:rsid w:val="000F287A"/>
    <w:rsid w:val="000F3512"/>
    <w:rsid w:val="000F39A3"/>
    <w:rsid w:val="000F681E"/>
    <w:rsid w:val="001112BA"/>
    <w:rsid w:val="00113CEA"/>
    <w:rsid w:val="00116AFB"/>
    <w:rsid w:val="001223B7"/>
    <w:rsid w:val="00124C63"/>
    <w:rsid w:val="00127D04"/>
    <w:rsid w:val="00141F58"/>
    <w:rsid w:val="00152FEA"/>
    <w:rsid w:val="00155AA0"/>
    <w:rsid w:val="001744E0"/>
    <w:rsid w:val="0018718C"/>
    <w:rsid w:val="001905B2"/>
    <w:rsid w:val="001B3825"/>
    <w:rsid w:val="001C3B87"/>
    <w:rsid w:val="001C5EDB"/>
    <w:rsid w:val="001D34F1"/>
    <w:rsid w:val="001E097B"/>
    <w:rsid w:val="001E0CEE"/>
    <w:rsid w:val="001E12B3"/>
    <w:rsid w:val="001F1138"/>
    <w:rsid w:val="0020219D"/>
    <w:rsid w:val="002065A1"/>
    <w:rsid w:val="002123CA"/>
    <w:rsid w:val="00212D37"/>
    <w:rsid w:val="00217744"/>
    <w:rsid w:val="00217821"/>
    <w:rsid w:val="00224808"/>
    <w:rsid w:val="002317B0"/>
    <w:rsid w:val="002346D4"/>
    <w:rsid w:val="0023549A"/>
    <w:rsid w:val="00241219"/>
    <w:rsid w:val="002457E7"/>
    <w:rsid w:val="002536EA"/>
    <w:rsid w:val="0026588D"/>
    <w:rsid w:val="00276736"/>
    <w:rsid w:val="00280EB1"/>
    <w:rsid w:val="002A4AA3"/>
    <w:rsid w:val="002A4D60"/>
    <w:rsid w:val="002B0E84"/>
    <w:rsid w:val="002B0FE5"/>
    <w:rsid w:val="002B38E0"/>
    <w:rsid w:val="002C1EF6"/>
    <w:rsid w:val="002D20C5"/>
    <w:rsid w:val="002E738E"/>
    <w:rsid w:val="0031179F"/>
    <w:rsid w:val="00311D3E"/>
    <w:rsid w:val="0031523D"/>
    <w:rsid w:val="0031547D"/>
    <w:rsid w:val="00322F39"/>
    <w:rsid w:val="00323AAF"/>
    <w:rsid w:val="00323E22"/>
    <w:rsid w:val="0032410B"/>
    <w:rsid w:val="00326B51"/>
    <w:rsid w:val="00331313"/>
    <w:rsid w:val="00335443"/>
    <w:rsid w:val="00340EA6"/>
    <w:rsid w:val="003413C7"/>
    <w:rsid w:val="00341C0F"/>
    <w:rsid w:val="00344AA0"/>
    <w:rsid w:val="0035617B"/>
    <w:rsid w:val="00357914"/>
    <w:rsid w:val="00366466"/>
    <w:rsid w:val="00371B8F"/>
    <w:rsid w:val="0038382D"/>
    <w:rsid w:val="00384B95"/>
    <w:rsid w:val="0039196F"/>
    <w:rsid w:val="00391CC7"/>
    <w:rsid w:val="00394F42"/>
    <w:rsid w:val="003A18AD"/>
    <w:rsid w:val="003A49EA"/>
    <w:rsid w:val="003B1871"/>
    <w:rsid w:val="003B5557"/>
    <w:rsid w:val="003C2574"/>
    <w:rsid w:val="003C4613"/>
    <w:rsid w:val="003D165C"/>
    <w:rsid w:val="003D3059"/>
    <w:rsid w:val="003D517E"/>
    <w:rsid w:val="003D7D94"/>
    <w:rsid w:val="003E1B3E"/>
    <w:rsid w:val="003F4BD4"/>
    <w:rsid w:val="00404B70"/>
    <w:rsid w:val="00412278"/>
    <w:rsid w:val="004169A8"/>
    <w:rsid w:val="004200FD"/>
    <w:rsid w:val="00426C60"/>
    <w:rsid w:val="00431A65"/>
    <w:rsid w:val="004352E5"/>
    <w:rsid w:val="004358E2"/>
    <w:rsid w:val="00435953"/>
    <w:rsid w:val="00436C2B"/>
    <w:rsid w:val="00441476"/>
    <w:rsid w:val="0044191C"/>
    <w:rsid w:val="00442AD9"/>
    <w:rsid w:val="004531EB"/>
    <w:rsid w:val="00463486"/>
    <w:rsid w:val="004665B1"/>
    <w:rsid w:val="00466B36"/>
    <w:rsid w:val="00474C2A"/>
    <w:rsid w:val="00475B7A"/>
    <w:rsid w:val="004907E4"/>
    <w:rsid w:val="004936A7"/>
    <w:rsid w:val="004A1B08"/>
    <w:rsid w:val="004A2D48"/>
    <w:rsid w:val="004B4D93"/>
    <w:rsid w:val="004C25B3"/>
    <w:rsid w:val="004C646F"/>
    <w:rsid w:val="004D18F4"/>
    <w:rsid w:val="004E0908"/>
    <w:rsid w:val="004F3089"/>
    <w:rsid w:val="004F4FAF"/>
    <w:rsid w:val="004F6A2A"/>
    <w:rsid w:val="00503F36"/>
    <w:rsid w:val="00505444"/>
    <w:rsid w:val="00514B48"/>
    <w:rsid w:val="005224F4"/>
    <w:rsid w:val="00535F29"/>
    <w:rsid w:val="00536EFF"/>
    <w:rsid w:val="00552964"/>
    <w:rsid w:val="00560068"/>
    <w:rsid w:val="00562322"/>
    <w:rsid w:val="005629DA"/>
    <w:rsid w:val="005642CA"/>
    <w:rsid w:val="005676AD"/>
    <w:rsid w:val="005802A0"/>
    <w:rsid w:val="00594F6C"/>
    <w:rsid w:val="00595374"/>
    <w:rsid w:val="005A4D90"/>
    <w:rsid w:val="005A5672"/>
    <w:rsid w:val="005B62A0"/>
    <w:rsid w:val="005C0E24"/>
    <w:rsid w:val="005C21D7"/>
    <w:rsid w:val="005C3354"/>
    <w:rsid w:val="005C3ABD"/>
    <w:rsid w:val="005C7050"/>
    <w:rsid w:val="005C7608"/>
    <w:rsid w:val="005D7BD0"/>
    <w:rsid w:val="005F033D"/>
    <w:rsid w:val="005F325C"/>
    <w:rsid w:val="005F32EB"/>
    <w:rsid w:val="00601890"/>
    <w:rsid w:val="00603F88"/>
    <w:rsid w:val="006056FB"/>
    <w:rsid w:val="00610BF1"/>
    <w:rsid w:val="006115E2"/>
    <w:rsid w:val="006160F2"/>
    <w:rsid w:val="00633B86"/>
    <w:rsid w:val="00641030"/>
    <w:rsid w:val="0066520E"/>
    <w:rsid w:val="00672C76"/>
    <w:rsid w:val="006771F2"/>
    <w:rsid w:val="00684AAE"/>
    <w:rsid w:val="006916C9"/>
    <w:rsid w:val="00692710"/>
    <w:rsid w:val="00695745"/>
    <w:rsid w:val="006976D9"/>
    <w:rsid w:val="006A0BA4"/>
    <w:rsid w:val="006A5064"/>
    <w:rsid w:val="006B7210"/>
    <w:rsid w:val="006B7521"/>
    <w:rsid w:val="006D0991"/>
    <w:rsid w:val="006D1814"/>
    <w:rsid w:val="006D7450"/>
    <w:rsid w:val="006E0FD4"/>
    <w:rsid w:val="006E610D"/>
    <w:rsid w:val="006F1B9B"/>
    <w:rsid w:val="006F641D"/>
    <w:rsid w:val="00702C62"/>
    <w:rsid w:val="00703171"/>
    <w:rsid w:val="00710D39"/>
    <w:rsid w:val="007261C4"/>
    <w:rsid w:val="00734146"/>
    <w:rsid w:val="00736DA4"/>
    <w:rsid w:val="00737C3D"/>
    <w:rsid w:val="00746C0C"/>
    <w:rsid w:val="00746F26"/>
    <w:rsid w:val="0075246F"/>
    <w:rsid w:val="00766C68"/>
    <w:rsid w:val="0078274D"/>
    <w:rsid w:val="00784253"/>
    <w:rsid w:val="007853D8"/>
    <w:rsid w:val="0078733C"/>
    <w:rsid w:val="00793238"/>
    <w:rsid w:val="007950C8"/>
    <w:rsid w:val="00796B9C"/>
    <w:rsid w:val="007B774E"/>
    <w:rsid w:val="007D0792"/>
    <w:rsid w:val="007D6C74"/>
    <w:rsid w:val="007E4B40"/>
    <w:rsid w:val="007F397E"/>
    <w:rsid w:val="007F68C4"/>
    <w:rsid w:val="008006A3"/>
    <w:rsid w:val="00805692"/>
    <w:rsid w:val="00812409"/>
    <w:rsid w:val="00815969"/>
    <w:rsid w:val="00816D5D"/>
    <w:rsid w:val="00821A0C"/>
    <w:rsid w:val="0082316B"/>
    <w:rsid w:val="008275AC"/>
    <w:rsid w:val="00835300"/>
    <w:rsid w:val="0084650C"/>
    <w:rsid w:val="008473F9"/>
    <w:rsid w:val="00882F73"/>
    <w:rsid w:val="00890A20"/>
    <w:rsid w:val="00892D9A"/>
    <w:rsid w:val="008943D8"/>
    <w:rsid w:val="008A1447"/>
    <w:rsid w:val="008B171D"/>
    <w:rsid w:val="008C2200"/>
    <w:rsid w:val="008C74AA"/>
    <w:rsid w:val="008E0730"/>
    <w:rsid w:val="008E14E7"/>
    <w:rsid w:val="008F5871"/>
    <w:rsid w:val="008F59A0"/>
    <w:rsid w:val="0091061F"/>
    <w:rsid w:val="00916D1F"/>
    <w:rsid w:val="009279BE"/>
    <w:rsid w:val="0093211F"/>
    <w:rsid w:val="00932B14"/>
    <w:rsid w:val="00937C89"/>
    <w:rsid w:val="0094364A"/>
    <w:rsid w:val="009617AA"/>
    <w:rsid w:val="00972F1D"/>
    <w:rsid w:val="009733A9"/>
    <w:rsid w:val="009919F6"/>
    <w:rsid w:val="00993484"/>
    <w:rsid w:val="00997C11"/>
    <w:rsid w:val="009A7A59"/>
    <w:rsid w:val="009C35C9"/>
    <w:rsid w:val="009C4BD7"/>
    <w:rsid w:val="009C6F3F"/>
    <w:rsid w:val="009D27E8"/>
    <w:rsid w:val="009D2C2F"/>
    <w:rsid w:val="009E6375"/>
    <w:rsid w:val="009F24BF"/>
    <w:rsid w:val="00A04E1C"/>
    <w:rsid w:val="00A10E40"/>
    <w:rsid w:val="00A15CD1"/>
    <w:rsid w:val="00A22E0F"/>
    <w:rsid w:val="00A26B7B"/>
    <w:rsid w:val="00A3327E"/>
    <w:rsid w:val="00A33C3D"/>
    <w:rsid w:val="00A50F13"/>
    <w:rsid w:val="00A531DB"/>
    <w:rsid w:val="00A61F12"/>
    <w:rsid w:val="00A66511"/>
    <w:rsid w:val="00A71C58"/>
    <w:rsid w:val="00A75ED6"/>
    <w:rsid w:val="00AA3ECB"/>
    <w:rsid w:val="00AA5FD6"/>
    <w:rsid w:val="00AA6DF3"/>
    <w:rsid w:val="00AB04B8"/>
    <w:rsid w:val="00AC6531"/>
    <w:rsid w:val="00AD0B9B"/>
    <w:rsid w:val="00AD344A"/>
    <w:rsid w:val="00AD72DD"/>
    <w:rsid w:val="00AE4E72"/>
    <w:rsid w:val="00AF482A"/>
    <w:rsid w:val="00B01B6C"/>
    <w:rsid w:val="00B11B99"/>
    <w:rsid w:val="00B121EA"/>
    <w:rsid w:val="00B13154"/>
    <w:rsid w:val="00B40844"/>
    <w:rsid w:val="00B463CA"/>
    <w:rsid w:val="00B47800"/>
    <w:rsid w:val="00B50C99"/>
    <w:rsid w:val="00B51514"/>
    <w:rsid w:val="00B56E34"/>
    <w:rsid w:val="00B5737E"/>
    <w:rsid w:val="00B601AD"/>
    <w:rsid w:val="00B61AC7"/>
    <w:rsid w:val="00B66380"/>
    <w:rsid w:val="00B808CB"/>
    <w:rsid w:val="00B845CF"/>
    <w:rsid w:val="00B92DE7"/>
    <w:rsid w:val="00B9407E"/>
    <w:rsid w:val="00BA31AF"/>
    <w:rsid w:val="00BB13F4"/>
    <w:rsid w:val="00BB277C"/>
    <w:rsid w:val="00BB3273"/>
    <w:rsid w:val="00BB51A9"/>
    <w:rsid w:val="00BC5931"/>
    <w:rsid w:val="00BC593B"/>
    <w:rsid w:val="00BE30F8"/>
    <w:rsid w:val="00BE31AD"/>
    <w:rsid w:val="00BF4F06"/>
    <w:rsid w:val="00C04F28"/>
    <w:rsid w:val="00C06EB4"/>
    <w:rsid w:val="00C21CBD"/>
    <w:rsid w:val="00C2633E"/>
    <w:rsid w:val="00C3264E"/>
    <w:rsid w:val="00C545FA"/>
    <w:rsid w:val="00C7285A"/>
    <w:rsid w:val="00C73D5D"/>
    <w:rsid w:val="00C77314"/>
    <w:rsid w:val="00C9305A"/>
    <w:rsid w:val="00C96890"/>
    <w:rsid w:val="00C97C2B"/>
    <w:rsid w:val="00CA32E6"/>
    <w:rsid w:val="00CA7995"/>
    <w:rsid w:val="00CB5856"/>
    <w:rsid w:val="00CC7431"/>
    <w:rsid w:val="00CD0FB3"/>
    <w:rsid w:val="00CD62C0"/>
    <w:rsid w:val="00CE5E5B"/>
    <w:rsid w:val="00CF00D3"/>
    <w:rsid w:val="00CF413C"/>
    <w:rsid w:val="00D072F5"/>
    <w:rsid w:val="00D07B3B"/>
    <w:rsid w:val="00D113DD"/>
    <w:rsid w:val="00D12350"/>
    <w:rsid w:val="00D14EF6"/>
    <w:rsid w:val="00D15A0A"/>
    <w:rsid w:val="00D24453"/>
    <w:rsid w:val="00D25285"/>
    <w:rsid w:val="00D30D4D"/>
    <w:rsid w:val="00D37DAA"/>
    <w:rsid w:val="00D5070E"/>
    <w:rsid w:val="00D535DC"/>
    <w:rsid w:val="00D547B6"/>
    <w:rsid w:val="00D6224D"/>
    <w:rsid w:val="00D63ED9"/>
    <w:rsid w:val="00D647CD"/>
    <w:rsid w:val="00D7272F"/>
    <w:rsid w:val="00D80947"/>
    <w:rsid w:val="00D82604"/>
    <w:rsid w:val="00D837ED"/>
    <w:rsid w:val="00D913E4"/>
    <w:rsid w:val="00D91FF4"/>
    <w:rsid w:val="00D923E9"/>
    <w:rsid w:val="00D960EA"/>
    <w:rsid w:val="00DA1C85"/>
    <w:rsid w:val="00DB5AA2"/>
    <w:rsid w:val="00DD40DA"/>
    <w:rsid w:val="00DD76E7"/>
    <w:rsid w:val="00DE2F19"/>
    <w:rsid w:val="00DF340A"/>
    <w:rsid w:val="00E0573A"/>
    <w:rsid w:val="00E11E88"/>
    <w:rsid w:val="00E221FD"/>
    <w:rsid w:val="00E27101"/>
    <w:rsid w:val="00E33022"/>
    <w:rsid w:val="00E41BE5"/>
    <w:rsid w:val="00E533BE"/>
    <w:rsid w:val="00E540B7"/>
    <w:rsid w:val="00E62DB3"/>
    <w:rsid w:val="00E6481E"/>
    <w:rsid w:val="00E70A30"/>
    <w:rsid w:val="00E71FD9"/>
    <w:rsid w:val="00E83C8A"/>
    <w:rsid w:val="00E96F9E"/>
    <w:rsid w:val="00EA2DE2"/>
    <w:rsid w:val="00EA5A80"/>
    <w:rsid w:val="00EB1AE0"/>
    <w:rsid w:val="00EC29B1"/>
    <w:rsid w:val="00EC4F7C"/>
    <w:rsid w:val="00ED5B76"/>
    <w:rsid w:val="00ED7008"/>
    <w:rsid w:val="00ED76B2"/>
    <w:rsid w:val="00EF184A"/>
    <w:rsid w:val="00EF2FFD"/>
    <w:rsid w:val="00F0235A"/>
    <w:rsid w:val="00F02767"/>
    <w:rsid w:val="00F0488E"/>
    <w:rsid w:val="00F05CAB"/>
    <w:rsid w:val="00F0783D"/>
    <w:rsid w:val="00F258A0"/>
    <w:rsid w:val="00F26CEA"/>
    <w:rsid w:val="00F2784F"/>
    <w:rsid w:val="00F502F0"/>
    <w:rsid w:val="00F51335"/>
    <w:rsid w:val="00F52EEA"/>
    <w:rsid w:val="00F62BCA"/>
    <w:rsid w:val="00F65529"/>
    <w:rsid w:val="00F65903"/>
    <w:rsid w:val="00F65A80"/>
    <w:rsid w:val="00F72231"/>
    <w:rsid w:val="00F758E9"/>
    <w:rsid w:val="00F7691A"/>
    <w:rsid w:val="00F82EDF"/>
    <w:rsid w:val="00F8480F"/>
    <w:rsid w:val="00F92D04"/>
    <w:rsid w:val="00F95E5F"/>
    <w:rsid w:val="00FA07D9"/>
    <w:rsid w:val="00FB2E9E"/>
    <w:rsid w:val="00FB5F14"/>
    <w:rsid w:val="00FB7918"/>
    <w:rsid w:val="00FC2237"/>
    <w:rsid w:val="00FC6F2E"/>
    <w:rsid w:val="00FD3799"/>
    <w:rsid w:val="00FD68B7"/>
    <w:rsid w:val="00FE6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paragraph" w:styleId="Heading1">
    <w:name w:val="heading 1"/>
    <w:basedOn w:val="Normal"/>
    <w:next w:val="Normal"/>
    <w:link w:val="Heading1Char"/>
    <w:uiPriority w:val="9"/>
    <w:qFormat/>
    <w:rsid w:val="000B07EA"/>
    <w:pPr>
      <w:keepNext/>
      <w:spacing w:after="0" w:line="360" w:lineRule="auto"/>
      <w:jc w:val="both"/>
      <w:outlineLvl w:val="0"/>
    </w:pPr>
    <w:rPr>
      <w:rFonts w:ascii="Arial" w:hAnsi="Arial" w:cs="Arial"/>
      <w:i/>
      <w:sz w:val="24"/>
      <w:szCs w:val="24"/>
    </w:rPr>
  </w:style>
  <w:style w:type="paragraph" w:styleId="Heading2">
    <w:name w:val="heading 2"/>
    <w:basedOn w:val="Normal"/>
    <w:next w:val="Normal"/>
    <w:link w:val="Heading2Char"/>
    <w:uiPriority w:val="9"/>
    <w:unhideWhenUsed/>
    <w:qFormat/>
    <w:rsid w:val="00B51514"/>
    <w:pPr>
      <w:keepNext/>
      <w:spacing w:after="0" w:line="360" w:lineRule="auto"/>
      <w:jc w:val="both"/>
      <w:outlineLvl w:val="1"/>
    </w:pPr>
    <w:rPr>
      <w:rFonts w:ascii="Arial" w:hAnsi="Arial" w:cs="Arial"/>
      <w:sz w:val="24"/>
      <w:szCs w:val="24"/>
      <w:u w:val="single"/>
    </w:rPr>
  </w:style>
  <w:style w:type="paragraph" w:styleId="Heading3">
    <w:name w:val="heading 3"/>
    <w:basedOn w:val="Normal"/>
    <w:next w:val="Normal"/>
    <w:link w:val="Heading3Char"/>
    <w:uiPriority w:val="9"/>
    <w:unhideWhenUsed/>
    <w:qFormat/>
    <w:rsid w:val="0093211F"/>
    <w:pPr>
      <w:keepNext/>
      <w:spacing w:after="0" w:line="360" w:lineRule="auto"/>
      <w:jc w:val="center"/>
      <w:outlineLvl w:val="2"/>
    </w:pPr>
    <w:rPr>
      <w:rFonts w:ascii="Arial" w:eastAsia="Times New Roman" w:hAnsi="Arial" w:cs="Arial"/>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BodyText">
    <w:name w:val="Body Text"/>
    <w:basedOn w:val="Normal"/>
    <w:link w:val="BodyTextChar"/>
    <w:uiPriority w:val="99"/>
    <w:unhideWhenUsed/>
    <w:rsid w:val="0078733C"/>
    <w:pPr>
      <w:tabs>
        <w:tab w:val="left" w:pos="729"/>
      </w:tabs>
      <w:spacing w:after="0" w:line="360" w:lineRule="auto"/>
      <w:jc w:val="both"/>
    </w:pPr>
    <w:rPr>
      <w:rFonts w:ascii="Arial" w:hAnsi="Arial" w:cs="Arial"/>
      <w:sz w:val="24"/>
      <w:szCs w:val="24"/>
    </w:rPr>
  </w:style>
  <w:style w:type="character" w:customStyle="1" w:styleId="BodyTextChar">
    <w:name w:val="Body Text Char"/>
    <w:basedOn w:val="DefaultParagraphFont"/>
    <w:link w:val="BodyText"/>
    <w:uiPriority w:val="99"/>
    <w:rsid w:val="0078733C"/>
    <w:rPr>
      <w:rFonts w:ascii="Arial" w:hAnsi="Arial" w:cs="Arial"/>
      <w:sz w:val="24"/>
      <w:szCs w:val="24"/>
      <w:lang w:val="en-ZA"/>
    </w:rPr>
  </w:style>
  <w:style w:type="paragraph" w:styleId="BodyTextIndent">
    <w:name w:val="Body Text Indent"/>
    <w:basedOn w:val="Normal"/>
    <w:link w:val="BodyTextIndentChar"/>
    <w:uiPriority w:val="99"/>
    <w:unhideWhenUsed/>
    <w:rsid w:val="0078733C"/>
    <w:pPr>
      <w:spacing w:after="0" w:line="360" w:lineRule="auto"/>
      <w:ind w:left="20" w:hanging="20"/>
      <w:jc w:val="both"/>
    </w:pPr>
    <w:rPr>
      <w:rFonts w:ascii="Arial" w:hAnsi="Arial" w:cs="Arial"/>
      <w:sz w:val="24"/>
      <w:szCs w:val="24"/>
    </w:rPr>
  </w:style>
  <w:style w:type="character" w:customStyle="1" w:styleId="BodyTextIndentChar">
    <w:name w:val="Body Text Indent Char"/>
    <w:basedOn w:val="DefaultParagraphFont"/>
    <w:link w:val="BodyTextIndent"/>
    <w:uiPriority w:val="99"/>
    <w:rsid w:val="0078733C"/>
    <w:rPr>
      <w:rFonts w:ascii="Arial" w:hAnsi="Arial" w:cs="Arial"/>
      <w:sz w:val="24"/>
      <w:szCs w:val="24"/>
      <w:lang w:val="en-ZA"/>
    </w:rPr>
  </w:style>
  <w:style w:type="paragraph" w:styleId="BodyText2">
    <w:name w:val="Body Text 2"/>
    <w:basedOn w:val="Normal"/>
    <w:link w:val="BodyText2Char"/>
    <w:uiPriority w:val="99"/>
    <w:unhideWhenUsed/>
    <w:rsid w:val="0078733C"/>
    <w:pPr>
      <w:spacing w:after="0" w:line="360" w:lineRule="auto"/>
    </w:pPr>
    <w:rPr>
      <w:rFonts w:ascii="Arial" w:hAnsi="Arial" w:cs="Arial"/>
      <w:color w:val="7030A0"/>
      <w:sz w:val="24"/>
      <w:szCs w:val="24"/>
    </w:rPr>
  </w:style>
  <w:style w:type="character" w:customStyle="1" w:styleId="BodyText2Char">
    <w:name w:val="Body Text 2 Char"/>
    <w:basedOn w:val="DefaultParagraphFont"/>
    <w:link w:val="BodyText2"/>
    <w:uiPriority w:val="99"/>
    <w:rsid w:val="0078733C"/>
    <w:rPr>
      <w:rFonts w:ascii="Arial" w:hAnsi="Arial" w:cs="Arial"/>
      <w:color w:val="7030A0"/>
      <w:sz w:val="24"/>
      <w:szCs w:val="24"/>
      <w:lang w:val="en-ZA"/>
    </w:rPr>
  </w:style>
  <w:style w:type="paragraph" w:styleId="Header">
    <w:name w:val="header"/>
    <w:basedOn w:val="Normal"/>
    <w:link w:val="HeaderChar"/>
    <w:uiPriority w:val="99"/>
    <w:unhideWhenUsed/>
    <w:rsid w:val="00141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F58"/>
    <w:rPr>
      <w:lang w:val="en-ZA"/>
    </w:rPr>
  </w:style>
  <w:style w:type="character" w:customStyle="1" w:styleId="Heading1Char">
    <w:name w:val="Heading 1 Char"/>
    <w:basedOn w:val="DefaultParagraphFont"/>
    <w:link w:val="Heading1"/>
    <w:uiPriority w:val="9"/>
    <w:rsid w:val="000B07EA"/>
    <w:rPr>
      <w:rFonts w:ascii="Arial" w:hAnsi="Arial" w:cs="Arial"/>
      <w:i/>
      <w:sz w:val="24"/>
      <w:szCs w:val="24"/>
      <w:lang w:val="en-ZA"/>
    </w:rPr>
  </w:style>
  <w:style w:type="character" w:styleId="Hyperlink">
    <w:name w:val="Hyperlink"/>
    <w:basedOn w:val="DefaultParagraphFont"/>
    <w:uiPriority w:val="99"/>
    <w:semiHidden/>
    <w:unhideWhenUsed/>
    <w:rsid w:val="00441476"/>
    <w:rPr>
      <w:color w:val="0000FF"/>
      <w:u w:val="single"/>
    </w:rPr>
  </w:style>
  <w:style w:type="paragraph" w:styleId="BodyText3">
    <w:name w:val="Body Text 3"/>
    <w:basedOn w:val="Normal"/>
    <w:link w:val="BodyText3Char"/>
    <w:uiPriority w:val="99"/>
    <w:unhideWhenUsed/>
    <w:rsid w:val="00815969"/>
    <w:pPr>
      <w:spacing w:after="0" w:line="360" w:lineRule="auto"/>
      <w:jc w:val="both"/>
    </w:pPr>
    <w:rPr>
      <w:rFonts w:ascii="Arial" w:hAnsi="Arial" w:cs="Arial"/>
      <w:lang w:val="en-US"/>
    </w:rPr>
  </w:style>
  <w:style w:type="character" w:customStyle="1" w:styleId="BodyText3Char">
    <w:name w:val="Body Text 3 Char"/>
    <w:basedOn w:val="DefaultParagraphFont"/>
    <w:link w:val="BodyText3"/>
    <w:uiPriority w:val="99"/>
    <w:rsid w:val="00815969"/>
    <w:rPr>
      <w:rFonts w:ascii="Arial" w:hAnsi="Arial" w:cs="Arial"/>
    </w:rPr>
  </w:style>
  <w:style w:type="character" w:customStyle="1" w:styleId="Heading2Char">
    <w:name w:val="Heading 2 Char"/>
    <w:basedOn w:val="DefaultParagraphFont"/>
    <w:link w:val="Heading2"/>
    <w:uiPriority w:val="9"/>
    <w:rsid w:val="00B51514"/>
    <w:rPr>
      <w:rFonts w:ascii="Arial" w:hAnsi="Arial" w:cs="Arial"/>
      <w:sz w:val="24"/>
      <w:szCs w:val="24"/>
      <w:u w:val="single"/>
      <w:lang w:val="en-ZA"/>
    </w:rPr>
  </w:style>
  <w:style w:type="character" w:customStyle="1" w:styleId="Heading3Char">
    <w:name w:val="Heading 3 Char"/>
    <w:basedOn w:val="DefaultParagraphFont"/>
    <w:link w:val="Heading3"/>
    <w:uiPriority w:val="9"/>
    <w:rsid w:val="0093211F"/>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94596">
      <w:bodyDiv w:val="1"/>
      <w:marLeft w:val="0"/>
      <w:marRight w:val="0"/>
      <w:marTop w:val="0"/>
      <w:marBottom w:val="0"/>
      <w:divBdr>
        <w:top w:val="none" w:sz="0" w:space="0" w:color="auto"/>
        <w:left w:val="none" w:sz="0" w:space="0" w:color="auto"/>
        <w:bottom w:val="none" w:sz="0" w:space="0" w:color="auto"/>
        <w:right w:val="none" w:sz="0" w:space="0" w:color="auto"/>
      </w:divBdr>
    </w:div>
    <w:div w:id="1551528162">
      <w:bodyDiv w:val="1"/>
      <w:marLeft w:val="0"/>
      <w:marRight w:val="0"/>
      <w:marTop w:val="0"/>
      <w:marBottom w:val="0"/>
      <w:divBdr>
        <w:top w:val="none" w:sz="0" w:space="0" w:color="auto"/>
        <w:left w:val="none" w:sz="0" w:space="0" w:color="auto"/>
        <w:bottom w:val="none" w:sz="0" w:space="0" w:color="auto"/>
        <w:right w:val="none" w:sz="0" w:space="0" w:color="auto"/>
      </w:divBdr>
    </w:div>
    <w:div w:id="199382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2023-10-12T18:30:00+00:00</Judgment_x0020_Date>
    <Year xmlns="c1afb1bd-f2fb-40fd-9abb-aea55b4d7662">2023</Year>
  </documentManagement>
</p:properties>
</file>

<file path=customXml/itemProps1.xml><?xml version="1.0" encoding="utf-8"?>
<ds:datastoreItem xmlns:ds="http://schemas.openxmlformats.org/officeDocument/2006/customXml" ds:itemID="{DA79FE73-6936-4DCB-BD4F-11340A5FF45B}"/>
</file>

<file path=customXml/itemProps2.xml><?xml version="1.0" encoding="utf-8"?>
<ds:datastoreItem xmlns:ds="http://schemas.openxmlformats.org/officeDocument/2006/customXml" ds:itemID="{BD4FC4AB-B1C0-4C51-A4CC-9FA221B0B18E}"/>
</file>

<file path=customXml/itemProps3.xml><?xml version="1.0" encoding="utf-8"?>
<ds:datastoreItem xmlns:ds="http://schemas.openxmlformats.org/officeDocument/2006/customXml" ds:itemID="{86E734D5-178E-44D8-ABF4-728FB6B8CE7F}"/>
</file>

<file path=customXml/itemProps4.xml><?xml version="1.0" encoding="utf-8"?>
<ds:datastoreItem xmlns:ds="http://schemas.openxmlformats.org/officeDocument/2006/customXml" ds:itemID="{75C2757C-E0C0-4136-84D9-5285AAF91545}"/>
</file>

<file path=docProps/app.xml><?xml version="1.0" encoding="utf-8"?>
<Properties xmlns="http://schemas.openxmlformats.org/officeDocument/2006/extended-properties" xmlns:vt="http://schemas.openxmlformats.org/officeDocument/2006/docPropsVTypes">
  <Template>Normal</Template>
  <TotalTime>0</TotalTime>
  <Pages>9</Pages>
  <Words>2365</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 Resources (Pty) Ltd v Candino Mining and Const CC (HC-MD-CIV- ACT-CON-2023-00932) [2023] NAHCMD 647 (13 Oct 2023)</dc:title>
  <dc:subject/>
  <dc:creator>shomany keister</dc:creator>
  <cp:keywords/>
  <dc:description/>
  <cp:lastModifiedBy>Charlet Mokomele</cp:lastModifiedBy>
  <cp:revision>2</cp:revision>
  <cp:lastPrinted>2023-10-13T08:47:00Z</cp:lastPrinted>
  <dcterms:created xsi:type="dcterms:W3CDTF">2023-10-16T13:13:00Z</dcterms:created>
  <dcterms:modified xsi:type="dcterms:W3CDTF">2023-10-16T13:13:00Z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2cdfba32e7b52501905398caff7c37cc1126380f00be713e6bfbfe12cbdb4e62</vt:lpwstr>
  </property>
  <property fmtid="{D5CDD505-2E9C-101B-9397-08002B2CF9AE}" pid="3" name="ContentTypeId">
    <vt:lpwstr>0x0101000ECE0F99B3F8644397ECB0C536651393</vt:lpwstr>
  </property>
</Properties>
</file>