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15BED12F" w:rsidR="00B40844" w:rsidRPr="00163FB4" w:rsidRDefault="003414A7" w:rsidP="003414A7">
            <w:pPr>
              <w:jc w:val="both"/>
              <w:rPr>
                <w:rFonts w:ascii="Arial" w:hAnsi="Arial" w:cs="Arial"/>
                <w:sz w:val="24"/>
                <w:szCs w:val="24"/>
              </w:rPr>
            </w:pPr>
            <w:r w:rsidRPr="003414A7">
              <w:rPr>
                <w:rFonts w:ascii="Arial" w:hAnsi="Arial" w:cs="Arial"/>
                <w:sz w:val="24"/>
                <w:szCs w:val="24"/>
              </w:rPr>
              <w:t>MORGAN &amp; QUEEN MEDICAL SUPPLIES CC</w:t>
            </w:r>
            <w:r w:rsidR="001A13C3" w:rsidRPr="003414A7">
              <w:rPr>
                <w:rFonts w:ascii="Arial" w:hAnsi="Arial" w:cs="Arial"/>
                <w:sz w:val="24"/>
                <w:szCs w:val="24"/>
              </w:rPr>
              <w:t xml:space="preserve"> </w:t>
            </w:r>
            <w:r w:rsidR="00136505" w:rsidRPr="003414A7">
              <w:rPr>
                <w:rFonts w:ascii="Arial" w:hAnsi="Arial" w:cs="Arial"/>
                <w:sz w:val="24"/>
                <w:szCs w:val="24"/>
                <w:shd w:val="clear" w:color="auto" w:fill="FFFFFF"/>
              </w:rPr>
              <w:t xml:space="preserve">// </w:t>
            </w:r>
            <w:r w:rsidRPr="003414A7">
              <w:rPr>
                <w:rFonts w:ascii="Arial" w:hAnsi="Arial" w:cs="Arial"/>
                <w:sz w:val="24"/>
                <w:szCs w:val="24"/>
              </w:rPr>
              <w:t>REVIEW PANEL</w:t>
            </w:r>
            <w:r w:rsidR="00FE0A83" w:rsidRPr="003414A7">
              <w:rPr>
                <w:rFonts w:ascii="Arial" w:hAnsi="Arial" w:cs="Arial"/>
                <w:sz w:val="24"/>
                <w:szCs w:val="24"/>
              </w:rPr>
              <w:t xml:space="preserve"> &amp; </w:t>
            </w:r>
            <w:r w:rsidRPr="003414A7">
              <w:rPr>
                <w:rFonts w:ascii="Arial" w:hAnsi="Arial" w:cs="Arial"/>
                <w:sz w:val="24"/>
                <w:szCs w:val="24"/>
              </w:rPr>
              <w:t>13</w:t>
            </w:r>
            <w:r w:rsidR="00FE0A83" w:rsidRPr="003414A7">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6589BF57" w:rsidR="00865F37" w:rsidRPr="003414A7" w:rsidRDefault="003414A7" w:rsidP="00937C89">
            <w:pPr>
              <w:spacing w:line="360" w:lineRule="auto"/>
              <w:jc w:val="both"/>
              <w:rPr>
                <w:rFonts w:ascii="Arial" w:hAnsi="Arial" w:cs="Arial"/>
                <w:sz w:val="24"/>
                <w:szCs w:val="24"/>
              </w:rPr>
            </w:pPr>
            <w:r w:rsidRPr="003414A7">
              <w:rPr>
                <w:rFonts w:ascii="Arial" w:hAnsi="Arial" w:cs="Arial"/>
                <w:sz w:val="24"/>
                <w:szCs w:val="24"/>
              </w:rPr>
              <w:t>HC-MD-CIV-MOT-REV-2022/00577</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77777777" w:rsidR="00B40844" w:rsidRPr="004A5618" w:rsidRDefault="00B40844" w:rsidP="00136505">
            <w:pPr>
              <w:spacing w:line="360" w:lineRule="auto"/>
              <w:jc w:val="both"/>
              <w:rPr>
                <w:rFonts w:ascii="Arial" w:hAnsi="Arial" w:cs="Arial"/>
                <w:sz w:val="24"/>
                <w:szCs w:val="24"/>
              </w:rPr>
            </w:pPr>
            <w:r w:rsidRPr="004A5618">
              <w:rPr>
                <w:rFonts w:ascii="Arial" w:hAnsi="Arial" w:cs="Arial"/>
                <w:sz w:val="24"/>
                <w:szCs w:val="24"/>
              </w:rPr>
              <w:t xml:space="preserve">HONOURABLE MR JUSTICE </w:t>
            </w:r>
            <w:r w:rsidR="00136505" w:rsidRPr="004A5618">
              <w:rPr>
                <w:rFonts w:ascii="Arial" w:hAnsi="Arial" w:cs="Arial"/>
                <w:sz w:val="24"/>
                <w:szCs w:val="24"/>
              </w:rPr>
              <w:t>PARKER</w:t>
            </w:r>
            <w:r w:rsidRPr="004A5618">
              <w:rPr>
                <w:rFonts w:ascii="Arial" w:hAnsi="Arial" w:cs="Arial"/>
                <w:sz w:val="24"/>
                <w:szCs w:val="24"/>
              </w:rPr>
              <w:t xml:space="preserve">, </w:t>
            </w:r>
            <w:r w:rsidR="00136505" w:rsidRPr="004A5618">
              <w:rPr>
                <w:rFonts w:ascii="Arial" w:hAnsi="Arial" w:cs="Arial"/>
                <w:sz w:val="24"/>
                <w:szCs w:val="24"/>
              </w:rPr>
              <w:t>ACTING</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0DAC1AD8" w:rsidR="00B40844" w:rsidRPr="004A5618" w:rsidRDefault="003414A7" w:rsidP="003414A7">
            <w:pPr>
              <w:spacing w:line="360" w:lineRule="auto"/>
              <w:jc w:val="both"/>
              <w:rPr>
                <w:rFonts w:ascii="Arial" w:hAnsi="Arial" w:cs="Arial"/>
                <w:sz w:val="24"/>
                <w:szCs w:val="24"/>
              </w:rPr>
            </w:pPr>
            <w:r>
              <w:rPr>
                <w:rFonts w:ascii="Arial" w:hAnsi="Arial" w:cs="Arial"/>
                <w:sz w:val="24"/>
                <w:szCs w:val="24"/>
              </w:rPr>
              <w:t>2</w:t>
            </w:r>
            <w:r w:rsidR="00C2633E" w:rsidRPr="004A5618">
              <w:rPr>
                <w:rFonts w:ascii="Arial" w:hAnsi="Arial" w:cs="Arial"/>
                <w:sz w:val="24"/>
                <w:szCs w:val="24"/>
              </w:rPr>
              <w:t xml:space="preserve"> </w:t>
            </w:r>
            <w:r>
              <w:rPr>
                <w:rFonts w:ascii="Arial" w:hAnsi="Arial" w:cs="Arial"/>
                <w:sz w:val="24"/>
                <w:szCs w:val="24"/>
              </w:rPr>
              <w:t>AUGUST</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5AE1BE2C" w:rsidR="00B40844" w:rsidRPr="004A5618" w:rsidRDefault="003414A7" w:rsidP="00BB3C0C">
            <w:pPr>
              <w:spacing w:line="360" w:lineRule="auto"/>
              <w:jc w:val="both"/>
              <w:rPr>
                <w:rFonts w:ascii="Arial" w:hAnsi="Arial" w:cs="Arial"/>
                <w:b/>
                <w:sz w:val="24"/>
                <w:szCs w:val="24"/>
              </w:rPr>
            </w:pPr>
            <w:r>
              <w:rPr>
                <w:rFonts w:ascii="Arial" w:hAnsi="Arial" w:cs="Arial"/>
                <w:sz w:val="24"/>
                <w:szCs w:val="24"/>
              </w:rPr>
              <w:t>18</w:t>
            </w:r>
            <w:r w:rsidR="00136505" w:rsidRPr="004A5618">
              <w:rPr>
                <w:rFonts w:ascii="Arial" w:hAnsi="Arial" w:cs="Arial"/>
                <w:sz w:val="24"/>
                <w:szCs w:val="24"/>
              </w:rPr>
              <w:t xml:space="preserve"> </w:t>
            </w:r>
            <w:r w:rsidR="00BB3C0C">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53D7C2C8" w:rsidR="00B40844" w:rsidRPr="004A5618" w:rsidRDefault="00B40844" w:rsidP="00342CF7">
            <w:pPr>
              <w:spacing w:line="360" w:lineRule="auto"/>
              <w:ind w:left="2019" w:hanging="1986"/>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r w:rsidR="003414A7" w:rsidRPr="003414A7">
              <w:rPr>
                <w:rFonts w:ascii="Arial" w:hAnsi="Arial" w:cs="Arial"/>
                <w:i/>
                <w:sz w:val="24"/>
                <w:szCs w:val="24"/>
              </w:rPr>
              <w:t>Morgan &amp; Queen Medical Supplies CC</w:t>
            </w:r>
            <w:r w:rsidR="003414A7" w:rsidRPr="003414A7">
              <w:rPr>
                <w:rFonts w:ascii="Arial" w:hAnsi="Arial" w:cs="Arial"/>
                <w:i/>
                <w:sz w:val="24"/>
                <w:szCs w:val="24"/>
                <w:shd w:val="clear" w:color="auto" w:fill="FFFFFF"/>
              </w:rPr>
              <w:t xml:space="preserve"> v </w:t>
            </w:r>
            <w:r w:rsidR="003414A7" w:rsidRPr="003414A7">
              <w:rPr>
                <w:rFonts w:ascii="Arial" w:hAnsi="Arial" w:cs="Arial"/>
                <w:i/>
                <w:sz w:val="24"/>
                <w:szCs w:val="24"/>
              </w:rPr>
              <w:t>Review Panel</w:t>
            </w:r>
            <w:r w:rsidRPr="004A5618">
              <w:rPr>
                <w:rFonts w:ascii="Arial" w:hAnsi="Arial" w:cs="Arial"/>
                <w:sz w:val="24"/>
                <w:szCs w:val="24"/>
              </w:rPr>
              <w:t xml:space="preserve"> (</w:t>
            </w:r>
            <w:r w:rsidR="003414A7" w:rsidRPr="003414A7">
              <w:rPr>
                <w:rFonts w:ascii="Arial" w:hAnsi="Arial" w:cs="Arial"/>
                <w:sz w:val="24"/>
                <w:szCs w:val="24"/>
              </w:rPr>
              <w:t>HC-MD-CIV-MOT-REV-2022/00577</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342CF7">
              <w:rPr>
                <w:rFonts w:ascii="Arial" w:hAnsi="Arial" w:cs="Arial"/>
                <w:sz w:val="24"/>
                <w:szCs w:val="24"/>
              </w:rPr>
              <w:t>662</w:t>
            </w:r>
            <w:r w:rsidRPr="004A5618">
              <w:rPr>
                <w:rFonts w:ascii="Arial" w:hAnsi="Arial" w:cs="Arial"/>
                <w:sz w:val="24"/>
                <w:szCs w:val="24"/>
              </w:rPr>
              <w:t xml:space="preserve"> (</w:t>
            </w:r>
            <w:r w:rsidR="003414A7">
              <w:rPr>
                <w:rFonts w:ascii="Arial" w:hAnsi="Arial" w:cs="Arial"/>
                <w:sz w:val="24"/>
                <w:szCs w:val="24"/>
              </w:rPr>
              <w:t>18</w:t>
            </w:r>
            <w:r w:rsidR="00136505" w:rsidRPr="004A5618">
              <w:rPr>
                <w:rFonts w:ascii="Arial" w:hAnsi="Arial" w:cs="Arial"/>
                <w:sz w:val="24"/>
                <w:szCs w:val="24"/>
              </w:rPr>
              <w:t xml:space="preserve"> </w:t>
            </w:r>
            <w:r w:rsidR="00BB3C0C">
              <w:rPr>
                <w:rFonts w:ascii="Arial" w:hAnsi="Arial" w:cs="Arial"/>
                <w:sz w:val="24"/>
                <w:szCs w:val="24"/>
              </w:rPr>
              <w:t>October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42C5743C" w14:textId="77777777" w:rsidR="005111BA" w:rsidRPr="004A5618" w:rsidRDefault="005111BA" w:rsidP="005111BA">
            <w:pPr>
              <w:pStyle w:val="ListParagraph"/>
              <w:numPr>
                <w:ilvl w:val="0"/>
                <w:numId w:val="18"/>
              </w:numPr>
              <w:spacing w:line="360" w:lineRule="auto"/>
              <w:ind w:left="743" w:hanging="710"/>
              <w:jc w:val="both"/>
              <w:rPr>
                <w:rFonts w:ascii="Arial" w:hAnsi="Arial" w:cs="Arial"/>
                <w:sz w:val="24"/>
                <w:szCs w:val="24"/>
              </w:rPr>
            </w:pPr>
            <w:r>
              <w:rPr>
                <w:rFonts w:ascii="Arial" w:hAnsi="Arial" w:cs="Arial"/>
                <w:sz w:val="24"/>
                <w:szCs w:val="24"/>
              </w:rPr>
              <w:t>The decision by the first respondent dated 30 September 2022 in respect of Bid Number G/ONB/1305PO-3/2022 is reviewed and set aside and is declared null and void and of no force and effect.</w:t>
            </w:r>
          </w:p>
          <w:p w14:paraId="2C09096D" w14:textId="77777777" w:rsidR="005111BA" w:rsidRPr="004A5618" w:rsidRDefault="005111BA" w:rsidP="005111BA">
            <w:pPr>
              <w:pStyle w:val="ListParagraph"/>
              <w:spacing w:line="360" w:lineRule="auto"/>
              <w:ind w:left="743" w:hanging="710"/>
              <w:jc w:val="both"/>
              <w:rPr>
                <w:rFonts w:ascii="Arial" w:hAnsi="Arial" w:cs="Arial"/>
                <w:sz w:val="24"/>
                <w:szCs w:val="24"/>
              </w:rPr>
            </w:pPr>
          </w:p>
          <w:p w14:paraId="71BB5617" w14:textId="016679F4" w:rsidR="005111BA" w:rsidRPr="004A5618" w:rsidRDefault="005111BA" w:rsidP="005111BA">
            <w:pPr>
              <w:pStyle w:val="ListParagraph"/>
              <w:numPr>
                <w:ilvl w:val="0"/>
                <w:numId w:val="18"/>
              </w:numPr>
              <w:spacing w:line="360" w:lineRule="auto"/>
              <w:ind w:left="743" w:hanging="710"/>
              <w:jc w:val="both"/>
              <w:rPr>
                <w:rFonts w:ascii="Arial" w:hAnsi="Arial" w:cs="Arial"/>
                <w:sz w:val="24"/>
                <w:szCs w:val="24"/>
              </w:rPr>
            </w:pPr>
            <w:r>
              <w:rPr>
                <w:rFonts w:ascii="Arial" w:hAnsi="Arial" w:cs="Arial"/>
                <w:sz w:val="24"/>
                <w:szCs w:val="24"/>
              </w:rPr>
              <w:t xml:space="preserve">The validity period of the bid </w:t>
            </w:r>
            <w:r w:rsidR="004A3938">
              <w:rPr>
                <w:rFonts w:ascii="Arial" w:hAnsi="Arial" w:cs="Arial"/>
                <w:sz w:val="24"/>
                <w:szCs w:val="24"/>
              </w:rPr>
              <w:t xml:space="preserve">with </w:t>
            </w:r>
            <w:r>
              <w:rPr>
                <w:rFonts w:ascii="Arial" w:hAnsi="Arial" w:cs="Arial"/>
                <w:sz w:val="24"/>
                <w:szCs w:val="24"/>
              </w:rPr>
              <w:t>regard to Bid Number G/ONB/1305PO-3/2022 is extended.</w:t>
            </w:r>
          </w:p>
          <w:p w14:paraId="3AE292BD" w14:textId="77777777" w:rsidR="005111BA" w:rsidRPr="004A5618" w:rsidRDefault="005111BA" w:rsidP="005111BA">
            <w:pPr>
              <w:pStyle w:val="ListParagraph"/>
              <w:spacing w:line="360" w:lineRule="auto"/>
              <w:ind w:left="743" w:hanging="710"/>
              <w:rPr>
                <w:rFonts w:ascii="Arial" w:hAnsi="Arial" w:cs="Arial"/>
                <w:sz w:val="24"/>
                <w:szCs w:val="24"/>
              </w:rPr>
            </w:pPr>
          </w:p>
          <w:p w14:paraId="2124232B" w14:textId="77777777" w:rsidR="005111BA" w:rsidRDefault="005111BA" w:rsidP="005111BA">
            <w:pPr>
              <w:pStyle w:val="ListParagraph"/>
              <w:numPr>
                <w:ilvl w:val="0"/>
                <w:numId w:val="18"/>
              </w:numPr>
              <w:tabs>
                <w:tab w:val="left" w:pos="729"/>
              </w:tabs>
              <w:spacing w:line="360" w:lineRule="auto"/>
              <w:ind w:left="743" w:hanging="710"/>
              <w:jc w:val="both"/>
              <w:rPr>
                <w:rFonts w:ascii="Arial" w:hAnsi="Arial" w:cs="Arial"/>
                <w:sz w:val="24"/>
                <w:szCs w:val="24"/>
              </w:rPr>
            </w:pPr>
            <w:r>
              <w:rPr>
                <w:rFonts w:ascii="Arial" w:hAnsi="Arial" w:cs="Arial"/>
                <w:sz w:val="24"/>
                <w:szCs w:val="24"/>
              </w:rPr>
              <w:t>The bid is remitted to the second respondent for the second respondent to proceed with the award of the said tender and contract negotiations.</w:t>
            </w:r>
          </w:p>
          <w:p w14:paraId="0265FF8B" w14:textId="77777777" w:rsidR="005111BA" w:rsidRPr="00EE122C" w:rsidRDefault="005111BA" w:rsidP="005111BA">
            <w:pPr>
              <w:pStyle w:val="ListParagraph"/>
              <w:rPr>
                <w:rFonts w:ascii="Arial" w:hAnsi="Arial" w:cs="Arial"/>
                <w:sz w:val="24"/>
                <w:szCs w:val="24"/>
              </w:rPr>
            </w:pPr>
          </w:p>
          <w:p w14:paraId="1E091F96" w14:textId="77777777" w:rsidR="005111BA" w:rsidRDefault="005111BA" w:rsidP="005111BA">
            <w:pPr>
              <w:pStyle w:val="ListParagraph"/>
              <w:numPr>
                <w:ilvl w:val="0"/>
                <w:numId w:val="18"/>
              </w:numPr>
              <w:tabs>
                <w:tab w:val="left" w:pos="729"/>
              </w:tabs>
              <w:spacing w:line="360" w:lineRule="auto"/>
              <w:ind w:left="743" w:hanging="710"/>
              <w:jc w:val="both"/>
              <w:rPr>
                <w:rFonts w:ascii="Arial" w:hAnsi="Arial" w:cs="Arial"/>
                <w:sz w:val="24"/>
                <w:szCs w:val="24"/>
              </w:rPr>
            </w:pPr>
            <w:r>
              <w:rPr>
                <w:rFonts w:ascii="Arial" w:hAnsi="Arial" w:cs="Arial"/>
                <w:sz w:val="24"/>
                <w:szCs w:val="24"/>
              </w:rPr>
              <w:t>The third respondent shall pay the applicant’s costs of suit.</w:t>
            </w:r>
          </w:p>
          <w:p w14:paraId="5F0D77CA" w14:textId="77777777" w:rsidR="005111BA" w:rsidRPr="00EE122C" w:rsidRDefault="005111BA" w:rsidP="005111BA">
            <w:pPr>
              <w:pStyle w:val="ListParagraph"/>
              <w:rPr>
                <w:rFonts w:ascii="Arial" w:hAnsi="Arial" w:cs="Arial"/>
                <w:sz w:val="24"/>
                <w:szCs w:val="24"/>
              </w:rPr>
            </w:pPr>
          </w:p>
          <w:p w14:paraId="22B95701" w14:textId="77777777" w:rsidR="005111BA" w:rsidRPr="00E97512" w:rsidRDefault="005111BA" w:rsidP="005111BA">
            <w:pPr>
              <w:pStyle w:val="ListParagraph"/>
              <w:numPr>
                <w:ilvl w:val="0"/>
                <w:numId w:val="18"/>
              </w:numPr>
              <w:tabs>
                <w:tab w:val="left" w:pos="729"/>
              </w:tabs>
              <w:spacing w:line="360" w:lineRule="auto"/>
              <w:ind w:left="743" w:hanging="710"/>
              <w:jc w:val="both"/>
              <w:rPr>
                <w:rFonts w:ascii="Arial" w:hAnsi="Arial" w:cs="Arial"/>
                <w:sz w:val="24"/>
                <w:szCs w:val="24"/>
              </w:rPr>
            </w:pPr>
            <w:r>
              <w:rPr>
                <w:rFonts w:ascii="Arial" w:hAnsi="Arial" w:cs="Arial"/>
                <w:sz w:val="24"/>
                <w:szCs w:val="24"/>
              </w:rPr>
              <w:t>The matter is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4AD79593"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21A21805" w14:textId="28971A1C"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Pr="004A5618">
              <w:rPr>
                <w:rFonts w:ascii="Arial" w:hAnsi="Arial" w:cs="Arial"/>
                <w:sz w:val="24"/>
                <w:szCs w:val="24"/>
              </w:rPr>
              <w:tab/>
            </w:r>
            <w:r w:rsidR="00B42F3B">
              <w:rPr>
                <w:rFonts w:ascii="Arial" w:hAnsi="Arial" w:cs="Arial"/>
                <w:sz w:val="24"/>
                <w:szCs w:val="24"/>
              </w:rPr>
              <w:t xml:space="preserve">In the instant application, the applicant challenges by judicial review the validity of a decision of an administrative body, namely, the </w:t>
            </w:r>
            <w:r w:rsidR="00E53C47">
              <w:rPr>
                <w:rFonts w:ascii="Arial" w:hAnsi="Arial" w:cs="Arial"/>
                <w:sz w:val="24"/>
                <w:szCs w:val="24"/>
              </w:rPr>
              <w:t>Review Panel of the Procurement Board</w:t>
            </w:r>
            <w:r w:rsidR="00B56AD2">
              <w:rPr>
                <w:rFonts w:ascii="Arial" w:hAnsi="Arial" w:cs="Arial"/>
                <w:sz w:val="24"/>
                <w:szCs w:val="24"/>
              </w:rPr>
              <w:t xml:space="preserve"> (the first respondent). </w:t>
            </w:r>
            <w:r w:rsidR="00B42F3B">
              <w:rPr>
                <w:rFonts w:ascii="Arial" w:hAnsi="Arial" w:cs="Arial"/>
                <w:sz w:val="24"/>
                <w:szCs w:val="24"/>
              </w:rPr>
              <w:t xml:space="preserve">The applicant, represented by Mr </w:t>
            </w:r>
            <w:proofErr w:type="spellStart"/>
            <w:r w:rsidR="00B42F3B">
              <w:rPr>
                <w:rFonts w:ascii="Arial" w:hAnsi="Arial" w:cs="Arial"/>
                <w:sz w:val="24"/>
                <w:szCs w:val="24"/>
              </w:rPr>
              <w:t>Ketjijere</w:t>
            </w:r>
            <w:proofErr w:type="spellEnd"/>
            <w:r w:rsidR="00B42F3B">
              <w:rPr>
                <w:rFonts w:ascii="Arial" w:hAnsi="Arial" w:cs="Arial"/>
                <w:sz w:val="24"/>
                <w:szCs w:val="24"/>
              </w:rPr>
              <w:t xml:space="preserve">, seeks the relief set out in the notice of motion. Mr </w:t>
            </w:r>
            <w:proofErr w:type="spellStart"/>
            <w:r w:rsidR="00B42F3B">
              <w:rPr>
                <w:rFonts w:ascii="Arial" w:hAnsi="Arial" w:cs="Arial"/>
                <w:sz w:val="24"/>
                <w:szCs w:val="24"/>
              </w:rPr>
              <w:t>Ketjijere</w:t>
            </w:r>
            <w:proofErr w:type="spellEnd"/>
            <w:r w:rsidR="00B42F3B">
              <w:rPr>
                <w:rFonts w:ascii="Arial" w:hAnsi="Arial" w:cs="Arial"/>
                <w:sz w:val="24"/>
                <w:szCs w:val="24"/>
              </w:rPr>
              <w:t xml:space="preserve"> informed the court that the applicant does not persist in p</w:t>
            </w:r>
            <w:r w:rsidR="00B56AD2">
              <w:rPr>
                <w:rFonts w:ascii="Arial" w:hAnsi="Arial" w:cs="Arial"/>
                <w:sz w:val="24"/>
                <w:szCs w:val="24"/>
              </w:rPr>
              <w:t xml:space="preserve">ara 2 of the notice of motion. </w:t>
            </w:r>
            <w:r w:rsidR="00B42F3B">
              <w:rPr>
                <w:rFonts w:ascii="Arial" w:hAnsi="Arial" w:cs="Arial"/>
                <w:sz w:val="24"/>
                <w:szCs w:val="24"/>
              </w:rPr>
              <w:t xml:space="preserve">The third respondent, represented by Ms </w:t>
            </w:r>
            <w:proofErr w:type="spellStart"/>
            <w:r w:rsidR="00B42F3B">
              <w:rPr>
                <w:rFonts w:ascii="Arial" w:hAnsi="Arial" w:cs="Arial"/>
                <w:sz w:val="24"/>
                <w:szCs w:val="24"/>
              </w:rPr>
              <w:t>Shipindo</w:t>
            </w:r>
            <w:proofErr w:type="spellEnd"/>
            <w:r w:rsidR="004A3938">
              <w:rPr>
                <w:rFonts w:ascii="Arial" w:hAnsi="Arial" w:cs="Arial"/>
                <w:sz w:val="24"/>
                <w:szCs w:val="24"/>
              </w:rPr>
              <w:t>,</w:t>
            </w:r>
            <w:r w:rsidR="00B42F3B">
              <w:rPr>
                <w:rFonts w:ascii="Arial" w:hAnsi="Arial" w:cs="Arial"/>
                <w:sz w:val="24"/>
                <w:szCs w:val="24"/>
              </w:rPr>
              <w:t xml:space="preserve"> has moved to reject the application.</w:t>
            </w:r>
            <w:r w:rsidR="00B56AD2">
              <w:rPr>
                <w:rFonts w:ascii="Arial" w:hAnsi="Arial" w:cs="Arial"/>
                <w:sz w:val="24"/>
                <w:szCs w:val="24"/>
              </w:rPr>
              <w:t xml:space="preserve"> </w:t>
            </w:r>
            <w:r w:rsidR="004A3938">
              <w:rPr>
                <w:rFonts w:ascii="Arial" w:hAnsi="Arial" w:cs="Arial"/>
                <w:sz w:val="24"/>
                <w:szCs w:val="24"/>
              </w:rPr>
              <w:t>The applicable legislation is the Public Procurement Act 15 of 1995 (‘the Act’).</w:t>
            </w:r>
          </w:p>
          <w:p w14:paraId="62803B06" w14:textId="77777777" w:rsidR="00B32493" w:rsidRPr="004A5618" w:rsidRDefault="00B32493" w:rsidP="00B32493">
            <w:pPr>
              <w:spacing w:line="360" w:lineRule="auto"/>
              <w:jc w:val="both"/>
              <w:rPr>
                <w:rFonts w:ascii="Arial" w:hAnsi="Arial" w:cs="Arial"/>
                <w:sz w:val="24"/>
                <w:szCs w:val="24"/>
              </w:rPr>
            </w:pPr>
          </w:p>
          <w:p w14:paraId="6C6552C2" w14:textId="641BE7E6"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D9282E">
              <w:rPr>
                <w:rFonts w:ascii="Arial" w:hAnsi="Arial" w:cs="Arial"/>
                <w:sz w:val="24"/>
                <w:szCs w:val="24"/>
              </w:rPr>
              <w:t>The application concerns the procurement of wheelchairs under tender Bid Number G/ONB/1305PO-3/2022.  The applicant and the fourth to the fourteenth respondents were the bidders.  The applicant was selected as the successful bidder.</w:t>
            </w:r>
          </w:p>
          <w:p w14:paraId="0624C6CE" w14:textId="77777777" w:rsidR="00B32493" w:rsidRPr="004A5618" w:rsidRDefault="00B32493" w:rsidP="00B32493">
            <w:pPr>
              <w:spacing w:line="360" w:lineRule="auto"/>
              <w:jc w:val="both"/>
              <w:rPr>
                <w:rFonts w:ascii="Arial" w:hAnsi="Arial" w:cs="Arial"/>
                <w:sz w:val="24"/>
                <w:szCs w:val="24"/>
              </w:rPr>
            </w:pPr>
          </w:p>
          <w:p w14:paraId="4BEB76B8" w14:textId="07221D6D"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[3]</w:t>
            </w:r>
            <w:r w:rsidRPr="004A5618">
              <w:rPr>
                <w:rFonts w:ascii="Arial" w:hAnsi="Arial" w:cs="Arial"/>
                <w:sz w:val="24"/>
                <w:szCs w:val="24"/>
              </w:rPr>
              <w:tab/>
            </w:r>
            <w:r w:rsidR="00A60965">
              <w:rPr>
                <w:rFonts w:ascii="Arial" w:hAnsi="Arial" w:cs="Arial"/>
                <w:sz w:val="24"/>
                <w:szCs w:val="24"/>
              </w:rPr>
              <w:t>In the course of events, the Review Panel of the Procurement Board (</w:t>
            </w:r>
            <w:r w:rsidR="00857F1A">
              <w:rPr>
                <w:rFonts w:ascii="Arial" w:hAnsi="Arial" w:cs="Arial"/>
                <w:sz w:val="24"/>
                <w:szCs w:val="24"/>
              </w:rPr>
              <w:t>‘</w:t>
            </w:r>
            <w:r w:rsidR="00A60965">
              <w:rPr>
                <w:rFonts w:ascii="Arial" w:hAnsi="Arial" w:cs="Arial"/>
                <w:sz w:val="24"/>
                <w:szCs w:val="24"/>
              </w:rPr>
              <w:t xml:space="preserve">the </w:t>
            </w:r>
            <w:r w:rsidR="00857F1A">
              <w:rPr>
                <w:rFonts w:ascii="Arial" w:hAnsi="Arial" w:cs="Arial"/>
                <w:sz w:val="24"/>
                <w:szCs w:val="24"/>
              </w:rPr>
              <w:t>RP’</w:t>
            </w:r>
            <w:r w:rsidR="00A60965">
              <w:rPr>
                <w:rFonts w:ascii="Arial" w:hAnsi="Arial" w:cs="Arial"/>
                <w:sz w:val="24"/>
                <w:szCs w:val="24"/>
              </w:rPr>
              <w:t>) informed the applicant that it was disqualified and gave reasons for its decision.  Aggrieved by the R</w:t>
            </w:r>
            <w:r w:rsidR="00857F1A">
              <w:rPr>
                <w:rFonts w:ascii="Arial" w:hAnsi="Arial" w:cs="Arial"/>
                <w:sz w:val="24"/>
                <w:szCs w:val="24"/>
              </w:rPr>
              <w:t>P</w:t>
            </w:r>
            <w:r w:rsidR="00A60965">
              <w:rPr>
                <w:rFonts w:ascii="Arial" w:hAnsi="Arial" w:cs="Arial"/>
                <w:sz w:val="24"/>
                <w:szCs w:val="24"/>
              </w:rPr>
              <w:t>’s decision, the applicant lodged a review application in terms of s 59(1) of the Act which provides an internal statutory remedy.</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4B0A08B1"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[4]</w:t>
            </w:r>
            <w:r w:rsidRPr="004A5618">
              <w:rPr>
                <w:rFonts w:ascii="Arial" w:hAnsi="Arial" w:cs="Arial"/>
                <w:sz w:val="24"/>
                <w:szCs w:val="24"/>
              </w:rPr>
              <w:tab/>
            </w:r>
            <w:r w:rsidR="00A60965">
              <w:rPr>
                <w:rFonts w:ascii="Arial" w:hAnsi="Arial" w:cs="Arial"/>
                <w:sz w:val="24"/>
                <w:szCs w:val="24"/>
              </w:rPr>
              <w:t>In a letter dated 26 September 2022, the bidders, including the applicant, were informed that the third respondent had lodged a review application and informed all p</w:t>
            </w:r>
            <w:r w:rsidR="00E53C47">
              <w:rPr>
                <w:rFonts w:ascii="Arial" w:hAnsi="Arial" w:cs="Arial"/>
                <w:sz w:val="24"/>
                <w:szCs w:val="24"/>
              </w:rPr>
              <w:t>arties that the review hearing w</w:t>
            </w:r>
            <w:r w:rsidR="00A60965">
              <w:rPr>
                <w:rFonts w:ascii="Arial" w:hAnsi="Arial" w:cs="Arial"/>
                <w:sz w:val="24"/>
                <w:szCs w:val="24"/>
              </w:rPr>
              <w:t>ould take place on 30 September 2022 at 9</w:t>
            </w:r>
            <w:r w:rsidR="00857F1A">
              <w:rPr>
                <w:rFonts w:ascii="Arial" w:hAnsi="Arial" w:cs="Arial"/>
                <w:sz w:val="24"/>
                <w:szCs w:val="24"/>
              </w:rPr>
              <w:t>H</w:t>
            </w:r>
            <w:r w:rsidR="00A60965">
              <w:rPr>
                <w:rFonts w:ascii="Arial" w:hAnsi="Arial" w:cs="Arial"/>
                <w:sz w:val="24"/>
                <w:szCs w:val="24"/>
              </w:rPr>
              <w:t>40, 3</w:t>
            </w:r>
            <w:r w:rsidR="00A60965" w:rsidRPr="00A60965">
              <w:rPr>
                <w:rFonts w:ascii="Arial" w:hAnsi="Arial" w:cs="Arial"/>
                <w:sz w:val="24"/>
                <w:szCs w:val="24"/>
                <w:vertAlign w:val="superscript"/>
              </w:rPr>
              <w:t>rd</w:t>
            </w:r>
            <w:r w:rsidR="00A60965">
              <w:rPr>
                <w:rFonts w:ascii="Arial" w:hAnsi="Arial" w:cs="Arial"/>
                <w:sz w:val="24"/>
                <w:szCs w:val="24"/>
              </w:rPr>
              <w:t xml:space="preserve"> Floor Boardroom</w:t>
            </w:r>
            <w:r w:rsidR="00E53C47">
              <w:rPr>
                <w:rFonts w:ascii="Arial" w:hAnsi="Arial" w:cs="Arial"/>
                <w:sz w:val="24"/>
                <w:szCs w:val="24"/>
              </w:rPr>
              <w:t>,</w:t>
            </w:r>
            <w:r w:rsidR="00A60965">
              <w:rPr>
                <w:rFonts w:ascii="Arial" w:hAnsi="Arial" w:cs="Arial"/>
                <w:sz w:val="24"/>
                <w:szCs w:val="24"/>
              </w:rPr>
              <w:t xml:space="preserve"> Minis</w:t>
            </w:r>
            <w:r w:rsidR="00E53C47">
              <w:rPr>
                <w:rFonts w:ascii="Arial" w:hAnsi="Arial" w:cs="Arial"/>
                <w:sz w:val="24"/>
                <w:szCs w:val="24"/>
              </w:rPr>
              <w:t xml:space="preserve">try of Finance Head Office, </w:t>
            </w:r>
            <w:proofErr w:type="spellStart"/>
            <w:r w:rsidR="00E53C47">
              <w:rPr>
                <w:rFonts w:ascii="Arial" w:hAnsi="Arial" w:cs="Arial"/>
                <w:sz w:val="24"/>
                <w:szCs w:val="24"/>
              </w:rPr>
              <w:t>Molt</w:t>
            </w:r>
            <w:r w:rsidR="00A60965">
              <w:rPr>
                <w:rFonts w:ascii="Arial" w:hAnsi="Arial" w:cs="Arial"/>
                <w:sz w:val="24"/>
                <w:szCs w:val="24"/>
              </w:rPr>
              <w:t>ke</w:t>
            </w:r>
            <w:proofErr w:type="spellEnd"/>
            <w:r w:rsidR="00A60965">
              <w:rPr>
                <w:rFonts w:ascii="Arial" w:hAnsi="Arial" w:cs="Arial"/>
                <w:sz w:val="24"/>
                <w:szCs w:val="24"/>
              </w:rPr>
              <w:t xml:space="preserve"> Street, Windhoek.</w:t>
            </w:r>
            <w:r w:rsidR="00B56AD2">
              <w:rPr>
                <w:rFonts w:ascii="Arial" w:hAnsi="Arial" w:cs="Arial"/>
                <w:sz w:val="24"/>
                <w:szCs w:val="24"/>
              </w:rPr>
              <w:t xml:space="preserve"> </w:t>
            </w:r>
            <w:r w:rsidR="003A43B2">
              <w:rPr>
                <w:rFonts w:ascii="Arial" w:hAnsi="Arial" w:cs="Arial"/>
                <w:sz w:val="24"/>
                <w:szCs w:val="24"/>
              </w:rPr>
              <w:t xml:space="preserve">The parties were also informed that they could also participate via a virtual link and that a virtual </w:t>
            </w:r>
            <w:r w:rsidR="00C617C6">
              <w:rPr>
                <w:rFonts w:ascii="Arial" w:hAnsi="Arial" w:cs="Arial"/>
                <w:sz w:val="24"/>
                <w:szCs w:val="24"/>
              </w:rPr>
              <w:t>link password would be sent to the parties before the hearing.</w:t>
            </w:r>
          </w:p>
          <w:p w14:paraId="1682A39E" w14:textId="77777777" w:rsidR="00E53C47" w:rsidRDefault="00E53C47" w:rsidP="008E5E3D">
            <w:pPr>
              <w:spacing w:line="360" w:lineRule="auto"/>
              <w:jc w:val="both"/>
              <w:rPr>
                <w:rFonts w:ascii="Arial" w:hAnsi="Arial" w:cs="Arial"/>
                <w:sz w:val="24"/>
                <w:szCs w:val="24"/>
              </w:rPr>
            </w:pPr>
          </w:p>
          <w:p w14:paraId="4D437C49" w14:textId="2DF20A9B" w:rsidR="00B32493" w:rsidRPr="004A5618" w:rsidRDefault="00B32493" w:rsidP="008E5E3D">
            <w:pPr>
              <w:spacing w:line="360" w:lineRule="auto"/>
              <w:jc w:val="both"/>
              <w:rPr>
                <w:rFonts w:ascii="Arial" w:hAnsi="Arial" w:cs="Arial"/>
              </w:rPr>
            </w:pPr>
            <w:r w:rsidRPr="004A5618">
              <w:rPr>
                <w:rFonts w:ascii="Arial" w:hAnsi="Arial" w:cs="Arial"/>
                <w:sz w:val="24"/>
                <w:szCs w:val="24"/>
              </w:rPr>
              <w:t>[5]</w:t>
            </w:r>
            <w:r w:rsidRPr="004A5618">
              <w:rPr>
                <w:rFonts w:ascii="Arial" w:hAnsi="Arial" w:cs="Arial"/>
                <w:sz w:val="24"/>
                <w:szCs w:val="24"/>
              </w:rPr>
              <w:tab/>
            </w:r>
            <w:r w:rsidR="00D752D7">
              <w:rPr>
                <w:rFonts w:ascii="Arial" w:hAnsi="Arial" w:cs="Arial"/>
                <w:sz w:val="24"/>
                <w:szCs w:val="24"/>
              </w:rPr>
              <w:t>On the papers, I find that the first respondent (R</w:t>
            </w:r>
            <w:r w:rsidR="00857F1A">
              <w:rPr>
                <w:rFonts w:ascii="Arial" w:hAnsi="Arial" w:cs="Arial"/>
                <w:sz w:val="24"/>
                <w:szCs w:val="24"/>
              </w:rPr>
              <w:t>P</w:t>
            </w:r>
            <w:r w:rsidR="00D752D7">
              <w:rPr>
                <w:rFonts w:ascii="Arial" w:hAnsi="Arial" w:cs="Arial"/>
                <w:sz w:val="24"/>
                <w:szCs w:val="24"/>
              </w:rPr>
              <w:t>) did not keep its promise as far as the applicant was concerned.  No virtual link password was sent to the applicant.  The R</w:t>
            </w:r>
            <w:r w:rsidR="00857F1A">
              <w:rPr>
                <w:rFonts w:ascii="Arial" w:hAnsi="Arial" w:cs="Arial"/>
                <w:sz w:val="24"/>
                <w:szCs w:val="24"/>
              </w:rPr>
              <w:t>P</w:t>
            </w:r>
            <w:r w:rsidR="00D752D7">
              <w:rPr>
                <w:rFonts w:ascii="Arial" w:hAnsi="Arial" w:cs="Arial"/>
                <w:sz w:val="24"/>
                <w:szCs w:val="24"/>
              </w:rPr>
              <w:t xml:space="preserve"> concedes that the link was misrouted to the wrong email address.  Everybody who is familiar with </w:t>
            </w:r>
            <w:r w:rsidR="00042EFE">
              <w:rPr>
                <w:rFonts w:ascii="Arial" w:hAnsi="Arial" w:cs="Arial"/>
                <w:sz w:val="24"/>
                <w:szCs w:val="24"/>
              </w:rPr>
              <w:t xml:space="preserve">virtual </w:t>
            </w:r>
            <w:r w:rsidR="00042EFE">
              <w:rPr>
                <w:rFonts w:ascii="Arial" w:hAnsi="Arial" w:cs="Arial"/>
                <w:sz w:val="24"/>
                <w:szCs w:val="24"/>
              </w:rPr>
              <w:lastRenderedPageBreak/>
              <w:t xml:space="preserve">communication platforms knows that one cannot participate in any virtual communication without a virtual link password. The hearing of </w:t>
            </w:r>
            <w:r w:rsidR="00FF2867">
              <w:rPr>
                <w:rFonts w:ascii="Arial" w:hAnsi="Arial" w:cs="Arial"/>
                <w:sz w:val="24"/>
                <w:szCs w:val="24"/>
              </w:rPr>
              <w:t xml:space="preserve">the </w:t>
            </w:r>
            <w:r w:rsidR="00042EFE">
              <w:rPr>
                <w:rFonts w:ascii="Arial" w:hAnsi="Arial" w:cs="Arial"/>
                <w:sz w:val="24"/>
                <w:szCs w:val="24"/>
              </w:rPr>
              <w:t>review went ahead in the absence of the a</w:t>
            </w:r>
            <w:r w:rsidR="00047BBE">
              <w:rPr>
                <w:rFonts w:ascii="Arial" w:hAnsi="Arial" w:cs="Arial"/>
                <w:sz w:val="24"/>
                <w:szCs w:val="24"/>
              </w:rPr>
              <w:t xml:space="preserve">pplicant. It must be highlighted and mentioned in </w:t>
            </w:r>
            <w:proofErr w:type="spellStart"/>
            <w:r w:rsidR="00047BBE">
              <w:rPr>
                <w:rFonts w:ascii="Arial" w:hAnsi="Arial" w:cs="Arial"/>
                <w:sz w:val="24"/>
                <w:szCs w:val="24"/>
              </w:rPr>
              <w:t>capitalities</w:t>
            </w:r>
            <w:proofErr w:type="spellEnd"/>
            <w:r w:rsidR="00047BBE">
              <w:rPr>
                <w:rFonts w:ascii="Arial" w:hAnsi="Arial" w:cs="Arial"/>
                <w:sz w:val="24"/>
                <w:szCs w:val="24"/>
              </w:rPr>
              <w:t xml:space="preserve"> that of all </w:t>
            </w:r>
            <w:r w:rsidR="004E560F">
              <w:rPr>
                <w:rFonts w:ascii="Arial" w:hAnsi="Arial" w:cs="Arial"/>
                <w:sz w:val="24"/>
                <w:szCs w:val="24"/>
              </w:rPr>
              <w:t xml:space="preserve">the </w:t>
            </w:r>
            <w:r w:rsidR="00FF2867">
              <w:rPr>
                <w:rFonts w:ascii="Arial" w:hAnsi="Arial" w:cs="Arial"/>
                <w:sz w:val="24"/>
                <w:szCs w:val="24"/>
              </w:rPr>
              <w:t xml:space="preserve">interests of </w:t>
            </w:r>
            <w:r w:rsidR="00047BBE">
              <w:rPr>
                <w:rFonts w:ascii="Arial" w:hAnsi="Arial" w:cs="Arial"/>
                <w:sz w:val="24"/>
                <w:szCs w:val="24"/>
              </w:rPr>
              <w:t xml:space="preserve">the bidders </w:t>
            </w:r>
            <w:r w:rsidR="00FF2867">
              <w:rPr>
                <w:rFonts w:ascii="Arial" w:hAnsi="Arial" w:cs="Arial"/>
                <w:sz w:val="24"/>
                <w:szCs w:val="24"/>
              </w:rPr>
              <w:t xml:space="preserve">regarding </w:t>
            </w:r>
            <w:r w:rsidR="00047BBE">
              <w:rPr>
                <w:rFonts w:ascii="Arial" w:hAnsi="Arial" w:cs="Arial"/>
                <w:sz w:val="24"/>
                <w:szCs w:val="24"/>
              </w:rPr>
              <w:t>the hearing, the applicant’s interest was paramount</w:t>
            </w:r>
            <w:r w:rsidR="00FF2867">
              <w:rPr>
                <w:rFonts w:ascii="Arial" w:hAnsi="Arial" w:cs="Arial"/>
                <w:sz w:val="24"/>
                <w:szCs w:val="24"/>
              </w:rPr>
              <w:t>,</w:t>
            </w:r>
            <w:r w:rsidR="00047BBE">
              <w:rPr>
                <w:rFonts w:ascii="Arial" w:hAnsi="Arial" w:cs="Arial"/>
                <w:sz w:val="24"/>
                <w:szCs w:val="24"/>
              </w:rPr>
              <w:t xml:space="preserve"> because any adverse decision by the R</w:t>
            </w:r>
            <w:r w:rsidR="00B56AD2">
              <w:rPr>
                <w:rFonts w:ascii="Arial" w:hAnsi="Arial" w:cs="Arial"/>
                <w:sz w:val="24"/>
                <w:szCs w:val="24"/>
              </w:rPr>
              <w:t>P</w:t>
            </w:r>
            <w:r w:rsidR="00047BBE">
              <w:rPr>
                <w:rFonts w:ascii="Arial" w:hAnsi="Arial" w:cs="Arial"/>
                <w:sz w:val="24"/>
                <w:szCs w:val="24"/>
              </w:rPr>
              <w:t xml:space="preserve"> occasioned gravest prejudice to it, having been selected as the successful bidder by the employer.</w:t>
            </w:r>
          </w:p>
          <w:p w14:paraId="3103EDE3" w14:textId="77777777" w:rsidR="00B32493" w:rsidRPr="004A5618" w:rsidRDefault="00B32493" w:rsidP="00B32493">
            <w:pPr>
              <w:spacing w:line="360" w:lineRule="auto"/>
              <w:jc w:val="both"/>
              <w:rPr>
                <w:rFonts w:ascii="Arial" w:hAnsi="Arial" w:cs="Arial"/>
                <w:sz w:val="24"/>
                <w:szCs w:val="24"/>
              </w:rPr>
            </w:pPr>
          </w:p>
          <w:p w14:paraId="3890F0A9" w14:textId="3906F752" w:rsidR="00047BBE" w:rsidRDefault="00B32493" w:rsidP="002B44E0">
            <w:pPr>
              <w:spacing w:line="360" w:lineRule="auto"/>
              <w:jc w:val="both"/>
              <w:rPr>
                <w:rFonts w:ascii="Arial" w:hAnsi="Arial" w:cs="Arial"/>
                <w:sz w:val="24"/>
                <w:szCs w:val="24"/>
              </w:rPr>
            </w:pPr>
            <w:r w:rsidRPr="004A5618">
              <w:rPr>
                <w:rFonts w:ascii="Arial" w:hAnsi="Arial" w:cs="Arial"/>
                <w:sz w:val="24"/>
                <w:szCs w:val="24"/>
              </w:rPr>
              <w:t>[6]</w:t>
            </w:r>
            <w:r w:rsidRPr="004A5618">
              <w:rPr>
                <w:rFonts w:ascii="Arial" w:hAnsi="Arial" w:cs="Arial"/>
                <w:sz w:val="24"/>
                <w:szCs w:val="24"/>
              </w:rPr>
              <w:tab/>
            </w:r>
            <w:r w:rsidR="00047BBE">
              <w:rPr>
                <w:rFonts w:ascii="Arial" w:hAnsi="Arial" w:cs="Arial"/>
                <w:sz w:val="24"/>
                <w:szCs w:val="24"/>
              </w:rPr>
              <w:t>The applicant launched the application on two grounds:  The first ground is along these lines:</w:t>
            </w:r>
            <w:r w:rsidR="00A51EDB">
              <w:rPr>
                <w:rFonts w:ascii="Arial" w:hAnsi="Arial" w:cs="Arial"/>
                <w:sz w:val="24"/>
                <w:szCs w:val="24"/>
              </w:rPr>
              <w:t xml:space="preserve"> </w:t>
            </w:r>
            <w:r w:rsidR="00047BBE" w:rsidRPr="002B44E0">
              <w:rPr>
                <w:rFonts w:ascii="Arial" w:hAnsi="Arial" w:cs="Arial"/>
                <w:sz w:val="24"/>
                <w:szCs w:val="24"/>
              </w:rPr>
              <w:t xml:space="preserve">The applicant was not served with the review application of the third respondent that was heard before the first respondent. The link through which the </w:t>
            </w:r>
            <w:r w:rsidR="00320FFD">
              <w:rPr>
                <w:rFonts w:ascii="Arial" w:hAnsi="Arial" w:cs="Arial"/>
                <w:sz w:val="24"/>
                <w:szCs w:val="24"/>
              </w:rPr>
              <w:t>virtual</w:t>
            </w:r>
            <w:r w:rsidR="00047BBE" w:rsidRPr="002B44E0">
              <w:rPr>
                <w:rFonts w:ascii="Arial" w:hAnsi="Arial" w:cs="Arial"/>
                <w:sz w:val="24"/>
                <w:szCs w:val="24"/>
              </w:rPr>
              <w:t xml:space="preserve"> hearing was t</w:t>
            </w:r>
            <w:r w:rsidR="003A3390">
              <w:rPr>
                <w:rFonts w:ascii="Arial" w:hAnsi="Arial" w:cs="Arial"/>
                <w:sz w:val="24"/>
                <w:szCs w:val="24"/>
              </w:rPr>
              <w:t xml:space="preserve">o be heard was never served on </w:t>
            </w:r>
            <w:r w:rsidR="00047BBE" w:rsidRPr="002B44E0">
              <w:rPr>
                <w:rFonts w:ascii="Arial" w:hAnsi="Arial" w:cs="Arial"/>
                <w:sz w:val="24"/>
                <w:szCs w:val="24"/>
              </w:rPr>
              <w:t>or shared with the applicant. Therefore, the applicant was not able to participate in the review proceeding</w:t>
            </w:r>
            <w:r w:rsidR="003A3390">
              <w:rPr>
                <w:rFonts w:ascii="Arial" w:hAnsi="Arial" w:cs="Arial"/>
                <w:sz w:val="24"/>
                <w:szCs w:val="24"/>
              </w:rPr>
              <w:t xml:space="preserve">s before the first respondent. </w:t>
            </w:r>
            <w:r w:rsidR="00047BBE" w:rsidRPr="002B44E0">
              <w:rPr>
                <w:rFonts w:ascii="Arial" w:hAnsi="Arial" w:cs="Arial"/>
                <w:sz w:val="24"/>
                <w:szCs w:val="24"/>
              </w:rPr>
              <w:t xml:space="preserve">That on its own was in violation of regulation 42(3) as the applicant was not afforded the opportunity to present its case before the first respondent, thus, violating its right to </w:t>
            </w:r>
            <w:proofErr w:type="spellStart"/>
            <w:r w:rsidR="00047BBE" w:rsidRPr="003A3390">
              <w:rPr>
                <w:rFonts w:ascii="Arial" w:hAnsi="Arial" w:cs="Arial"/>
                <w:i/>
                <w:sz w:val="24"/>
                <w:szCs w:val="24"/>
              </w:rPr>
              <w:t>audi</w:t>
            </w:r>
            <w:proofErr w:type="spellEnd"/>
            <w:r w:rsidR="00047BBE" w:rsidRPr="003A3390">
              <w:rPr>
                <w:rFonts w:ascii="Arial" w:hAnsi="Arial" w:cs="Arial"/>
                <w:i/>
                <w:sz w:val="24"/>
                <w:szCs w:val="24"/>
              </w:rPr>
              <w:t xml:space="preserve"> alteram partem</w:t>
            </w:r>
            <w:r w:rsidR="00047BBE" w:rsidRPr="002B44E0">
              <w:rPr>
                <w:rFonts w:ascii="Arial" w:hAnsi="Arial" w:cs="Arial"/>
                <w:sz w:val="24"/>
                <w:szCs w:val="24"/>
              </w:rPr>
              <w:t xml:space="preserve"> and in turn article 18 of the Namibian Constitution.</w:t>
            </w:r>
          </w:p>
          <w:p w14:paraId="03010A9F" w14:textId="77777777" w:rsidR="002B44E0" w:rsidRPr="002B44E0" w:rsidRDefault="002B44E0" w:rsidP="002B44E0">
            <w:pPr>
              <w:spacing w:line="360" w:lineRule="auto"/>
              <w:jc w:val="both"/>
              <w:rPr>
                <w:rFonts w:ascii="Arial" w:hAnsi="Arial" w:cs="Arial"/>
                <w:sz w:val="24"/>
                <w:szCs w:val="24"/>
              </w:rPr>
            </w:pPr>
          </w:p>
          <w:p w14:paraId="3C765CEC" w14:textId="5B4AE885" w:rsidR="002B44E0" w:rsidRPr="002B44E0" w:rsidRDefault="002B44E0" w:rsidP="002B44E0">
            <w:pPr>
              <w:spacing w:line="360" w:lineRule="auto"/>
              <w:jc w:val="both"/>
              <w:rPr>
                <w:rFonts w:ascii="Arial" w:hAnsi="Arial" w:cs="Arial"/>
                <w:sz w:val="24"/>
                <w:szCs w:val="24"/>
              </w:rPr>
            </w:pPr>
            <w:r>
              <w:rPr>
                <w:rFonts w:ascii="Arial" w:hAnsi="Arial" w:cs="Arial"/>
                <w:sz w:val="24"/>
                <w:szCs w:val="24"/>
              </w:rPr>
              <w:t>[7]</w:t>
            </w:r>
            <w:r w:rsidRPr="004A5618">
              <w:rPr>
                <w:rFonts w:ascii="Arial" w:hAnsi="Arial" w:cs="Arial"/>
                <w:sz w:val="24"/>
                <w:szCs w:val="24"/>
              </w:rPr>
              <w:tab/>
            </w:r>
            <w:r w:rsidR="00047BBE" w:rsidRPr="002B44E0">
              <w:rPr>
                <w:rFonts w:ascii="Arial" w:hAnsi="Arial" w:cs="Arial"/>
                <w:sz w:val="24"/>
                <w:szCs w:val="24"/>
              </w:rPr>
              <w:t>The second ground is couched in the following terms:</w:t>
            </w:r>
            <w:r w:rsidR="00A51EDB">
              <w:rPr>
                <w:rFonts w:ascii="Arial" w:hAnsi="Arial" w:cs="Arial"/>
                <w:sz w:val="24"/>
                <w:szCs w:val="24"/>
              </w:rPr>
              <w:t xml:space="preserve"> </w:t>
            </w:r>
            <w:r w:rsidR="00CC24F2">
              <w:rPr>
                <w:rFonts w:ascii="Arial" w:hAnsi="Arial" w:cs="Arial"/>
                <w:sz w:val="24"/>
                <w:szCs w:val="24"/>
              </w:rPr>
              <w:t>The third respondent’s ‘purported’</w:t>
            </w:r>
            <w:r>
              <w:rPr>
                <w:rFonts w:ascii="Arial" w:hAnsi="Arial" w:cs="Arial"/>
                <w:sz w:val="24"/>
                <w:szCs w:val="24"/>
              </w:rPr>
              <w:t xml:space="preserve"> review application filed before the first respondent was defective in that the third respondent only filed a letter but not a valid review application on affidavit</w:t>
            </w:r>
            <w:r w:rsidR="00320FFD">
              <w:rPr>
                <w:rFonts w:ascii="Arial" w:hAnsi="Arial" w:cs="Arial"/>
                <w:sz w:val="24"/>
                <w:szCs w:val="24"/>
              </w:rPr>
              <w:t>,</w:t>
            </w:r>
            <w:r>
              <w:rPr>
                <w:rFonts w:ascii="Arial" w:hAnsi="Arial" w:cs="Arial"/>
                <w:sz w:val="24"/>
                <w:szCs w:val="24"/>
              </w:rPr>
              <w:t xml:space="preserve"> placing evidence before the first respondent</w:t>
            </w:r>
            <w:r w:rsidR="00CC24F2">
              <w:rPr>
                <w:rFonts w:ascii="Arial" w:hAnsi="Arial" w:cs="Arial"/>
                <w:sz w:val="24"/>
                <w:szCs w:val="24"/>
              </w:rPr>
              <w:t>. T</w:t>
            </w:r>
            <w:r>
              <w:rPr>
                <w:rFonts w:ascii="Arial" w:hAnsi="Arial" w:cs="Arial"/>
                <w:sz w:val="24"/>
                <w:szCs w:val="24"/>
              </w:rPr>
              <w:t xml:space="preserve">hus, there was no review application </w:t>
            </w:r>
            <w:r w:rsidR="0062003A">
              <w:rPr>
                <w:rFonts w:ascii="Arial" w:hAnsi="Arial" w:cs="Arial"/>
                <w:sz w:val="24"/>
                <w:szCs w:val="24"/>
              </w:rPr>
              <w:t>f</w:t>
            </w:r>
            <w:r>
              <w:rPr>
                <w:rFonts w:ascii="Arial" w:hAnsi="Arial" w:cs="Arial"/>
                <w:sz w:val="24"/>
                <w:szCs w:val="24"/>
              </w:rPr>
              <w:t>iled before the first responden</w:t>
            </w:r>
            <w:r w:rsidR="0062003A">
              <w:rPr>
                <w:rFonts w:ascii="Arial" w:hAnsi="Arial" w:cs="Arial"/>
                <w:sz w:val="24"/>
                <w:szCs w:val="24"/>
              </w:rPr>
              <w:t>t in respect of</w:t>
            </w:r>
            <w:r>
              <w:rPr>
                <w:rFonts w:ascii="Arial" w:hAnsi="Arial" w:cs="Arial"/>
                <w:sz w:val="24"/>
                <w:szCs w:val="24"/>
              </w:rPr>
              <w:t xml:space="preserve"> which a </w:t>
            </w:r>
            <w:r w:rsidR="00CC24F2">
              <w:rPr>
                <w:rFonts w:ascii="Arial" w:hAnsi="Arial" w:cs="Arial"/>
                <w:sz w:val="24"/>
                <w:szCs w:val="24"/>
              </w:rPr>
              <w:t>R</w:t>
            </w:r>
            <w:r>
              <w:rPr>
                <w:rFonts w:ascii="Arial" w:hAnsi="Arial" w:cs="Arial"/>
                <w:sz w:val="24"/>
                <w:szCs w:val="24"/>
              </w:rPr>
              <w:t xml:space="preserve">eview </w:t>
            </w:r>
            <w:r w:rsidR="00CC24F2">
              <w:rPr>
                <w:rFonts w:ascii="Arial" w:hAnsi="Arial" w:cs="Arial"/>
                <w:sz w:val="24"/>
                <w:szCs w:val="24"/>
              </w:rPr>
              <w:t>P</w:t>
            </w:r>
            <w:r w:rsidR="00990EDA">
              <w:rPr>
                <w:rFonts w:ascii="Arial" w:hAnsi="Arial" w:cs="Arial"/>
                <w:sz w:val="24"/>
                <w:szCs w:val="24"/>
              </w:rPr>
              <w:t xml:space="preserve">anel could be constituted. </w:t>
            </w:r>
            <w:r>
              <w:rPr>
                <w:rFonts w:ascii="Arial" w:hAnsi="Arial" w:cs="Arial"/>
                <w:sz w:val="24"/>
                <w:szCs w:val="24"/>
              </w:rPr>
              <w:t>Therefore, the decision of the first respondent stands to be reviewed and set aside.</w:t>
            </w:r>
          </w:p>
          <w:p w14:paraId="599172B0" w14:textId="09852AE2" w:rsidR="00B32493" w:rsidRPr="004A5618" w:rsidRDefault="009B600F" w:rsidP="00B32493">
            <w:pPr>
              <w:spacing w:line="360" w:lineRule="auto"/>
              <w:jc w:val="both"/>
              <w:rPr>
                <w:rFonts w:ascii="Arial" w:hAnsi="Arial" w:cs="Arial"/>
                <w:sz w:val="24"/>
                <w:szCs w:val="24"/>
              </w:rPr>
            </w:pPr>
            <w:r w:rsidRPr="004A5618">
              <w:rPr>
                <w:rFonts w:ascii="Arial" w:hAnsi="Arial" w:cs="Arial"/>
                <w:sz w:val="24"/>
                <w:szCs w:val="24"/>
              </w:rPr>
              <w:tab/>
            </w:r>
          </w:p>
          <w:p w14:paraId="59E6A03A" w14:textId="36051A4C"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62003A">
              <w:rPr>
                <w:rFonts w:ascii="Arial" w:hAnsi="Arial" w:cs="Arial"/>
                <w:sz w:val="24"/>
                <w:szCs w:val="24"/>
              </w:rPr>
              <w:t>8</w:t>
            </w:r>
            <w:r w:rsidRPr="004A5618">
              <w:rPr>
                <w:rFonts w:ascii="Arial" w:hAnsi="Arial" w:cs="Arial"/>
                <w:sz w:val="24"/>
                <w:szCs w:val="24"/>
              </w:rPr>
              <w:t>]</w:t>
            </w:r>
            <w:r w:rsidRPr="004A5618">
              <w:rPr>
                <w:rFonts w:ascii="Arial" w:hAnsi="Arial" w:cs="Arial"/>
                <w:sz w:val="24"/>
                <w:szCs w:val="24"/>
              </w:rPr>
              <w:tab/>
            </w:r>
            <w:r w:rsidR="002B44E0">
              <w:rPr>
                <w:rFonts w:ascii="Arial" w:hAnsi="Arial" w:cs="Arial"/>
                <w:sz w:val="24"/>
                <w:szCs w:val="24"/>
              </w:rPr>
              <w:t>I shall consider the first ground of review first because if upheld</w:t>
            </w:r>
            <w:r w:rsidR="00CC24F2">
              <w:rPr>
                <w:rFonts w:ascii="Arial" w:hAnsi="Arial" w:cs="Arial"/>
                <w:sz w:val="24"/>
                <w:szCs w:val="24"/>
              </w:rPr>
              <w:t>,</w:t>
            </w:r>
            <w:r w:rsidR="002B44E0">
              <w:rPr>
                <w:rFonts w:ascii="Arial" w:hAnsi="Arial" w:cs="Arial"/>
                <w:sz w:val="24"/>
                <w:szCs w:val="24"/>
              </w:rPr>
              <w:t xml:space="preserve"> it would be dispositive of the application.  The first ground charges that the applicant was denied his common law and constitutional right to </w:t>
            </w:r>
            <w:proofErr w:type="spellStart"/>
            <w:r w:rsidR="002B44E0" w:rsidRPr="00B77777">
              <w:rPr>
                <w:rFonts w:ascii="Arial" w:hAnsi="Arial" w:cs="Arial"/>
                <w:i/>
                <w:sz w:val="24"/>
                <w:szCs w:val="24"/>
              </w:rPr>
              <w:t>audi</w:t>
            </w:r>
            <w:proofErr w:type="spellEnd"/>
            <w:r w:rsidR="002B44E0" w:rsidRPr="00B77777">
              <w:rPr>
                <w:rFonts w:ascii="Arial" w:hAnsi="Arial" w:cs="Arial"/>
                <w:i/>
                <w:sz w:val="24"/>
                <w:szCs w:val="24"/>
              </w:rPr>
              <w:t xml:space="preserve"> alteram partem</w:t>
            </w:r>
            <w:r w:rsidR="002B44E0">
              <w:rPr>
                <w:rFonts w:ascii="Arial" w:hAnsi="Arial" w:cs="Arial"/>
                <w:sz w:val="24"/>
                <w:szCs w:val="24"/>
              </w:rPr>
              <w:t xml:space="preserve"> (‘</w:t>
            </w:r>
            <w:proofErr w:type="spellStart"/>
            <w:r w:rsidR="002B44E0" w:rsidRPr="00B77777">
              <w:rPr>
                <w:rFonts w:ascii="Arial" w:hAnsi="Arial" w:cs="Arial"/>
                <w:i/>
                <w:sz w:val="24"/>
                <w:szCs w:val="24"/>
              </w:rPr>
              <w:t>audi</w:t>
            </w:r>
            <w:proofErr w:type="spellEnd"/>
            <w:r w:rsidR="002B44E0">
              <w:rPr>
                <w:rFonts w:ascii="Arial" w:hAnsi="Arial" w:cs="Arial"/>
                <w:sz w:val="24"/>
                <w:szCs w:val="24"/>
              </w:rPr>
              <w:t xml:space="preserve">’ for short). </w:t>
            </w:r>
          </w:p>
          <w:p w14:paraId="7F9DBA0B" w14:textId="77777777" w:rsidR="00B32493" w:rsidRPr="004A5618" w:rsidRDefault="00B32493" w:rsidP="00B32493">
            <w:pPr>
              <w:spacing w:line="360" w:lineRule="auto"/>
              <w:jc w:val="both"/>
              <w:rPr>
                <w:rFonts w:ascii="Arial" w:hAnsi="Arial" w:cs="Arial"/>
                <w:sz w:val="24"/>
                <w:szCs w:val="24"/>
              </w:rPr>
            </w:pPr>
          </w:p>
          <w:p w14:paraId="60F72431" w14:textId="7CCE9721"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B77777">
              <w:rPr>
                <w:rFonts w:ascii="Arial" w:hAnsi="Arial" w:cs="Arial"/>
                <w:sz w:val="24"/>
                <w:szCs w:val="24"/>
              </w:rPr>
              <w:t>9</w:t>
            </w:r>
            <w:r w:rsidRPr="004A5618">
              <w:rPr>
                <w:rFonts w:ascii="Arial" w:hAnsi="Arial" w:cs="Arial"/>
                <w:sz w:val="24"/>
                <w:szCs w:val="24"/>
              </w:rPr>
              <w:t>]</w:t>
            </w:r>
            <w:r w:rsidRPr="004A5618">
              <w:rPr>
                <w:rFonts w:ascii="Arial" w:hAnsi="Arial" w:cs="Arial"/>
                <w:sz w:val="24"/>
                <w:szCs w:val="24"/>
              </w:rPr>
              <w:tab/>
            </w:r>
            <w:r w:rsidR="002B44E0">
              <w:rPr>
                <w:rFonts w:ascii="Arial" w:hAnsi="Arial" w:cs="Arial"/>
                <w:sz w:val="24"/>
                <w:szCs w:val="24"/>
              </w:rPr>
              <w:t xml:space="preserve">As intimated previously, I find, and it is undisputed and indisputable, that the applicant’s right to </w:t>
            </w:r>
            <w:proofErr w:type="spellStart"/>
            <w:r w:rsidR="002B44E0" w:rsidRPr="00B77777">
              <w:rPr>
                <w:rFonts w:ascii="Arial" w:hAnsi="Arial" w:cs="Arial"/>
                <w:i/>
                <w:sz w:val="24"/>
                <w:szCs w:val="24"/>
              </w:rPr>
              <w:t>audi</w:t>
            </w:r>
            <w:proofErr w:type="spellEnd"/>
            <w:r w:rsidR="002B44E0">
              <w:rPr>
                <w:rFonts w:ascii="Arial" w:hAnsi="Arial" w:cs="Arial"/>
                <w:sz w:val="24"/>
                <w:szCs w:val="24"/>
              </w:rPr>
              <w:t xml:space="preserve"> was violated, in the manner described above, in breach of his constitutional right under article 18 of the Namibian Constitution and his common law right to natural justice which, in any</w:t>
            </w:r>
            <w:r w:rsidR="00CC24F2">
              <w:rPr>
                <w:rFonts w:ascii="Arial" w:hAnsi="Arial" w:cs="Arial"/>
                <w:sz w:val="24"/>
                <w:szCs w:val="24"/>
              </w:rPr>
              <w:t xml:space="preserve"> case</w:t>
            </w:r>
            <w:r w:rsidR="002B44E0">
              <w:rPr>
                <w:rFonts w:ascii="Arial" w:hAnsi="Arial" w:cs="Arial"/>
                <w:sz w:val="24"/>
                <w:szCs w:val="24"/>
              </w:rPr>
              <w:t>, is protected by article 18.</w:t>
            </w:r>
          </w:p>
          <w:p w14:paraId="043450BC" w14:textId="77777777" w:rsidR="00B32493" w:rsidRPr="004A5618" w:rsidRDefault="00B32493" w:rsidP="00B32493">
            <w:pPr>
              <w:spacing w:line="360" w:lineRule="auto"/>
              <w:jc w:val="both"/>
              <w:rPr>
                <w:rFonts w:ascii="Arial" w:hAnsi="Arial" w:cs="Arial"/>
                <w:sz w:val="24"/>
                <w:szCs w:val="24"/>
              </w:rPr>
            </w:pPr>
          </w:p>
          <w:p w14:paraId="6609E31C" w14:textId="0C3557B6"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B77777">
              <w:rPr>
                <w:rFonts w:ascii="Arial" w:hAnsi="Arial" w:cs="Arial"/>
                <w:sz w:val="24"/>
                <w:szCs w:val="24"/>
              </w:rPr>
              <w:t>10</w:t>
            </w:r>
            <w:r w:rsidRPr="004A5618">
              <w:rPr>
                <w:rFonts w:ascii="Arial" w:hAnsi="Arial" w:cs="Arial"/>
                <w:sz w:val="24"/>
                <w:szCs w:val="24"/>
              </w:rPr>
              <w:t>]</w:t>
            </w:r>
            <w:r w:rsidRPr="004A5618">
              <w:rPr>
                <w:rFonts w:ascii="Arial" w:hAnsi="Arial" w:cs="Arial"/>
                <w:sz w:val="24"/>
                <w:szCs w:val="24"/>
              </w:rPr>
              <w:tab/>
            </w:r>
            <w:r w:rsidR="00BD61A4">
              <w:rPr>
                <w:rFonts w:ascii="Arial" w:hAnsi="Arial" w:cs="Arial"/>
                <w:sz w:val="24"/>
                <w:szCs w:val="24"/>
              </w:rPr>
              <w:t xml:space="preserve">Mr </w:t>
            </w:r>
            <w:proofErr w:type="spellStart"/>
            <w:r w:rsidR="00BD61A4">
              <w:rPr>
                <w:rFonts w:ascii="Arial" w:hAnsi="Arial" w:cs="Arial"/>
                <w:sz w:val="24"/>
                <w:szCs w:val="24"/>
              </w:rPr>
              <w:t>K</w:t>
            </w:r>
            <w:r w:rsidR="00BD61A4" w:rsidRPr="00E97512">
              <w:rPr>
                <w:rFonts w:ascii="Arial" w:hAnsi="Arial" w:cs="Arial"/>
                <w:sz w:val="24"/>
                <w:szCs w:val="24"/>
              </w:rPr>
              <w:t>etjijere</w:t>
            </w:r>
            <w:proofErr w:type="spellEnd"/>
            <w:r w:rsidR="00BD61A4">
              <w:rPr>
                <w:rFonts w:ascii="Arial" w:hAnsi="Arial" w:cs="Arial"/>
                <w:sz w:val="24"/>
                <w:szCs w:val="24"/>
              </w:rPr>
              <w:t xml:space="preserve"> submitted that on that ground alone the impugned decision stands</w:t>
            </w:r>
            <w:r w:rsidR="00B77777">
              <w:rPr>
                <w:rFonts w:ascii="Arial" w:hAnsi="Arial" w:cs="Arial"/>
                <w:sz w:val="24"/>
                <w:szCs w:val="24"/>
              </w:rPr>
              <w:t xml:space="preserve"> to be reviewed and set aside. I agree. </w:t>
            </w:r>
            <w:r w:rsidR="00BD61A4">
              <w:rPr>
                <w:rFonts w:ascii="Arial" w:hAnsi="Arial" w:cs="Arial"/>
                <w:sz w:val="24"/>
                <w:szCs w:val="24"/>
              </w:rPr>
              <w:t xml:space="preserve">The only unsatisfactory answer vouchsafed by the </w:t>
            </w:r>
            <w:r w:rsidR="00B77777">
              <w:rPr>
                <w:rFonts w:ascii="Arial" w:hAnsi="Arial" w:cs="Arial"/>
                <w:sz w:val="24"/>
                <w:szCs w:val="24"/>
              </w:rPr>
              <w:t>third</w:t>
            </w:r>
            <w:r w:rsidR="00BD61A4">
              <w:rPr>
                <w:rFonts w:ascii="Arial" w:hAnsi="Arial" w:cs="Arial"/>
                <w:sz w:val="24"/>
                <w:szCs w:val="24"/>
              </w:rPr>
              <w:t xml:space="preserve"> respondent’s counsel, Ms </w:t>
            </w:r>
            <w:proofErr w:type="spellStart"/>
            <w:r w:rsidR="00BD61A4">
              <w:rPr>
                <w:rFonts w:ascii="Arial" w:hAnsi="Arial" w:cs="Arial"/>
                <w:sz w:val="24"/>
                <w:szCs w:val="24"/>
              </w:rPr>
              <w:t>Shipindo</w:t>
            </w:r>
            <w:proofErr w:type="spellEnd"/>
            <w:r w:rsidR="00BD61A4">
              <w:rPr>
                <w:rFonts w:ascii="Arial" w:hAnsi="Arial" w:cs="Arial"/>
                <w:sz w:val="24"/>
                <w:szCs w:val="24"/>
              </w:rPr>
              <w:t xml:space="preserve">, is that the applicant should have made enquiries about the </w:t>
            </w:r>
            <w:r w:rsidR="00BD61A4">
              <w:rPr>
                <w:rFonts w:ascii="Arial" w:hAnsi="Arial" w:cs="Arial"/>
                <w:sz w:val="24"/>
                <w:szCs w:val="24"/>
              </w:rPr>
              <w:lastRenderedPageBreak/>
              <w:t xml:space="preserve">link. Why should it?  The </w:t>
            </w:r>
            <w:r w:rsidR="00F02BCC">
              <w:rPr>
                <w:rFonts w:ascii="Arial" w:hAnsi="Arial" w:cs="Arial"/>
                <w:sz w:val="24"/>
                <w:szCs w:val="24"/>
              </w:rPr>
              <w:t>first</w:t>
            </w:r>
            <w:bookmarkStart w:id="0" w:name="_GoBack"/>
            <w:bookmarkEnd w:id="0"/>
            <w:r w:rsidR="00BD61A4">
              <w:rPr>
                <w:rFonts w:ascii="Arial" w:hAnsi="Arial" w:cs="Arial"/>
                <w:sz w:val="24"/>
                <w:szCs w:val="24"/>
              </w:rPr>
              <w:t xml:space="preserve"> respondent promised to send it and it sent it to a wrong email address through no fault of the applicant.  In that regard </w:t>
            </w:r>
            <w:r w:rsidR="008A5AC1">
              <w:rPr>
                <w:rFonts w:ascii="Arial" w:hAnsi="Arial" w:cs="Arial"/>
                <w:sz w:val="24"/>
                <w:szCs w:val="24"/>
              </w:rPr>
              <w:t xml:space="preserve">it should be remembered that if, as a matter of law, the applicant was entitled to </w:t>
            </w:r>
            <w:proofErr w:type="spellStart"/>
            <w:r w:rsidR="008A5AC1" w:rsidRPr="00B77777">
              <w:rPr>
                <w:rFonts w:ascii="Arial" w:hAnsi="Arial" w:cs="Arial"/>
                <w:i/>
                <w:sz w:val="24"/>
                <w:szCs w:val="24"/>
              </w:rPr>
              <w:t>audi</w:t>
            </w:r>
            <w:proofErr w:type="spellEnd"/>
            <w:r w:rsidR="008A5AC1">
              <w:rPr>
                <w:rFonts w:ascii="Arial" w:hAnsi="Arial" w:cs="Arial"/>
                <w:sz w:val="24"/>
                <w:szCs w:val="24"/>
              </w:rPr>
              <w:t>, as the applicant in the instant proceeding was, ‘the reason (on the part of the respondent) for the failure to afford him one is completely immaterial’.</w:t>
            </w:r>
            <w:r w:rsidR="00F4176A">
              <w:rPr>
                <w:rStyle w:val="FootnoteReference"/>
                <w:rFonts w:ascii="Arial" w:hAnsi="Arial" w:cs="Arial"/>
                <w:sz w:val="24"/>
                <w:szCs w:val="24"/>
              </w:rPr>
              <w:footnoteReference w:id="1"/>
            </w:r>
            <w:r w:rsidR="00BD61A4">
              <w:rPr>
                <w:rFonts w:ascii="Arial" w:hAnsi="Arial" w:cs="Arial"/>
                <w:sz w:val="24"/>
                <w:szCs w:val="24"/>
              </w:rPr>
              <w:t xml:space="preserve"> </w:t>
            </w:r>
          </w:p>
          <w:p w14:paraId="245A8676" w14:textId="77777777" w:rsidR="00B32493" w:rsidRPr="004A5618" w:rsidRDefault="00B32493" w:rsidP="00B32493">
            <w:pPr>
              <w:spacing w:line="360" w:lineRule="auto"/>
              <w:jc w:val="both"/>
              <w:rPr>
                <w:rFonts w:ascii="Arial" w:hAnsi="Arial" w:cs="Arial"/>
                <w:sz w:val="24"/>
                <w:szCs w:val="24"/>
              </w:rPr>
            </w:pPr>
          </w:p>
          <w:p w14:paraId="3FE515D0" w14:textId="17A4FFCD"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B77777">
              <w:rPr>
                <w:rFonts w:ascii="Arial" w:hAnsi="Arial" w:cs="Arial"/>
                <w:sz w:val="24"/>
                <w:szCs w:val="24"/>
              </w:rPr>
              <w:t>1</w:t>
            </w:r>
            <w:r w:rsidRPr="004A5618">
              <w:rPr>
                <w:rFonts w:ascii="Arial" w:hAnsi="Arial" w:cs="Arial"/>
                <w:sz w:val="24"/>
                <w:szCs w:val="24"/>
              </w:rPr>
              <w:t>]</w:t>
            </w:r>
            <w:r w:rsidRPr="004A5618">
              <w:rPr>
                <w:rFonts w:ascii="Arial" w:hAnsi="Arial" w:cs="Arial"/>
                <w:sz w:val="24"/>
                <w:szCs w:val="24"/>
              </w:rPr>
              <w:tab/>
            </w:r>
            <w:r w:rsidR="00F4176A">
              <w:rPr>
                <w:rFonts w:ascii="Arial" w:hAnsi="Arial" w:cs="Arial"/>
                <w:sz w:val="24"/>
                <w:szCs w:val="24"/>
              </w:rPr>
              <w:t xml:space="preserve">Where the court finds that a basic human right guaranteed to the applicant by the Constitution has been violated, </w:t>
            </w:r>
            <w:proofErr w:type="spellStart"/>
            <w:r w:rsidR="00F4176A">
              <w:rPr>
                <w:rFonts w:ascii="Arial" w:hAnsi="Arial" w:cs="Arial"/>
                <w:sz w:val="24"/>
                <w:szCs w:val="24"/>
              </w:rPr>
              <w:t>eg</w:t>
            </w:r>
            <w:proofErr w:type="spellEnd"/>
            <w:r w:rsidR="00F4176A">
              <w:rPr>
                <w:rFonts w:ascii="Arial" w:hAnsi="Arial" w:cs="Arial"/>
                <w:sz w:val="24"/>
                <w:szCs w:val="24"/>
              </w:rPr>
              <w:t xml:space="preserve"> the right to </w:t>
            </w:r>
            <w:proofErr w:type="spellStart"/>
            <w:r w:rsidR="00F4176A" w:rsidRPr="00B77777">
              <w:rPr>
                <w:rFonts w:ascii="Arial" w:hAnsi="Arial" w:cs="Arial"/>
                <w:i/>
                <w:sz w:val="24"/>
                <w:szCs w:val="24"/>
              </w:rPr>
              <w:t>audi</w:t>
            </w:r>
            <w:proofErr w:type="spellEnd"/>
            <w:r w:rsidR="00F4176A">
              <w:rPr>
                <w:rFonts w:ascii="Arial" w:hAnsi="Arial" w:cs="Arial"/>
                <w:sz w:val="24"/>
                <w:szCs w:val="24"/>
              </w:rPr>
              <w:t>, the court has no discretion but a duty to review and set aside the impugned decision.</w:t>
            </w:r>
            <w:r w:rsidR="00F4176A">
              <w:rPr>
                <w:rStyle w:val="FootnoteReference"/>
                <w:rFonts w:ascii="Arial" w:hAnsi="Arial" w:cs="Arial"/>
                <w:sz w:val="24"/>
                <w:szCs w:val="24"/>
              </w:rPr>
              <w:footnoteReference w:id="2"/>
            </w:r>
          </w:p>
          <w:p w14:paraId="5282A833" w14:textId="77777777" w:rsidR="00B32493" w:rsidRPr="004A5618" w:rsidRDefault="00B32493" w:rsidP="00B32493">
            <w:pPr>
              <w:spacing w:line="360" w:lineRule="auto"/>
              <w:jc w:val="both"/>
              <w:rPr>
                <w:rFonts w:ascii="Arial" w:hAnsi="Arial" w:cs="Arial"/>
                <w:sz w:val="24"/>
                <w:szCs w:val="24"/>
              </w:rPr>
            </w:pPr>
          </w:p>
          <w:p w14:paraId="797B8BFC" w14:textId="0E016DF2"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B77777">
              <w:rPr>
                <w:rFonts w:ascii="Arial" w:hAnsi="Arial" w:cs="Arial"/>
                <w:sz w:val="24"/>
                <w:szCs w:val="24"/>
              </w:rPr>
              <w:t>2</w:t>
            </w:r>
            <w:r w:rsidRPr="004A5618">
              <w:rPr>
                <w:rFonts w:ascii="Arial" w:hAnsi="Arial" w:cs="Arial"/>
                <w:sz w:val="24"/>
                <w:szCs w:val="24"/>
              </w:rPr>
              <w:t>]</w:t>
            </w:r>
            <w:r w:rsidRPr="004A5618">
              <w:rPr>
                <w:rFonts w:ascii="Arial" w:hAnsi="Arial" w:cs="Arial"/>
                <w:sz w:val="24"/>
                <w:szCs w:val="24"/>
              </w:rPr>
              <w:tab/>
            </w:r>
            <w:r w:rsidR="00EE122C">
              <w:rPr>
                <w:rFonts w:ascii="Arial" w:hAnsi="Arial" w:cs="Arial"/>
                <w:sz w:val="24"/>
                <w:szCs w:val="24"/>
              </w:rPr>
              <w:t>Based on these reasons, I hold that the applicant has made out a case for the relief sought and is, therefore, entitled to judgment.  In the result, I order as follows:</w:t>
            </w:r>
          </w:p>
          <w:p w14:paraId="13B62C20" w14:textId="77777777" w:rsidR="00B32493" w:rsidRPr="004A5618" w:rsidRDefault="00B32493" w:rsidP="00B32493">
            <w:pPr>
              <w:spacing w:line="360" w:lineRule="auto"/>
              <w:jc w:val="both"/>
              <w:rPr>
                <w:rFonts w:ascii="Arial" w:hAnsi="Arial" w:cs="Arial"/>
                <w:sz w:val="24"/>
                <w:szCs w:val="24"/>
              </w:rPr>
            </w:pPr>
          </w:p>
          <w:p w14:paraId="6F3702DD" w14:textId="65C1A754" w:rsidR="00DA5689" w:rsidRPr="004A5618" w:rsidRDefault="00EE122C" w:rsidP="005111BA">
            <w:pPr>
              <w:pStyle w:val="ListParagraph"/>
              <w:numPr>
                <w:ilvl w:val="0"/>
                <w:numId w:val="20"/>
              </w:numPr>
              <w:spacing w:line="360" w:lineRule="auto"/>
              <w:ind w:left="743" w:hanging="710"/>
              <w:jc w:val="both"/>
              <w:rPr>
                <w:rFonts w:ascii="Arial" w:hAnsi="Arial" w:cs="Arial"/>
                <w:sz w:val="24"/>
                <w:szCs w:val="24"/>
              </w:rPr>
            </w:pPr>
            <w:r>
              <w:rPr>
                <w:rFonts w:ascii="Arial" w:hAnsi="Arial" w:cs="Arial"/>
                <w:sz w:val="24"/>
                <w:szCs w:val="24"/>
              </w:rPr>
              <w:t>The decision by the first respondent dated 30 September 2022 in respect of Bid Number G/ONB/1305PO-3/2022 is reviewed and set aside and is declared null and void and of no force and effect.</w:t>
            </w:r>
          </w:p>
          <w:p w14:paraId="2C75CA7A" w14:textId="77777777" w:rsidR="00DA5689" w:rsidRPr="004A5618" w:rsidRDefault="00DA5689" w:rsidP="00DA5689">
            <w:pPr>
              <w:pStyle w:val="ListParagraph"/>
              <w:spacing w:line="360" w:lineRule="auto"/>
              <w:ind w:left="743" w:hanging="710"/>
              <w:jc w:val="both"/>
              <w:rPr>
                <w:rFonts w:ascii="Arial" w:hAnsi="Arial" w:cs="Arial"/>
                <w:sz w:val="24"/>
                <w:szCs w:val="24"/>
              </w:rPr>
            </w:pPr>
          </w:p>
          <w:p w14:paraId="3DE57D44" w14:textId="1C88DA75" w:rsidR="00DA5689" w:rsidRPr="004A5618" w:rsidRDefault="00EE122C" w:rsidP="005111BA">
            <w:pPr>
              <w:pStyle w:val="ListParagraph"/>
              <w:numPr>
                <w:ilvl w:val="0"/>
                <w:numId w:val="20"/>
              </w:numPr>
              <w:spacing w:line="360" w:lineRule="auto"/>
              <w:ind w:left="743" w:hanging="710"/>
              <w:jc w:val="both"/>
              <w:rPr>
                <w:rFonts w:ascii="Arial" w:hAnsi="Arial" w:cs="Arial"/>
                <w:sz w:val="24"/>
                <w:szCs w:val="24"/>
              </w:rPr>
            </w:pPr>
            <w:r>
              <w:rPr>
                <w:rFonts w:ascii="Arial" w:hAnsi="Arial" w:cs="Arial"/>
                <w:sz w:val="24"/>
                <w:szCs w:val="24"/>
              </w:rPr>
              <w:t xml:space="preserve">The validity period of the bid </w:t>
            </w:r>
            <w:r w:rsidR="00CC24F2">
              <w:rPr>
                <w:rFonts w:ascii="Arial" w:hAnsi="Arial" w:cs="Arial"/>
                <w:sz w:val="24"/>
                <w:szCs w:val="24"/>
              </w:rPr>
              <w:t xml:space="preserve">with </w:t>
            </w:r>
            <w:r>
              <w:rPr>
                <w:rFonts w:ascii="Arial" w:hAnsi="Arial" w:cs="Arial"/>
                <w:sz w:val="24"/>
                <w:szCs w:val="24"/>
              </w:rPr>
              <w:t>regard to Bid Number G/ONB/1305PO-3/2022 is extended.</w:t>
            </w:r>
          </w:p>
          <w:p w14:paraId="28037677" w14:textId="77777777" w:rsidR="00DA5689" w:rsidRPr="004A5618" w:rsidRDefault="00DA5689" w:rsidP="00DA5689">
            <w:pPr>
              <w:pStyle w:val="ListParagraph"/>
              <w:spacing w:line="360" w:lineRule="auto"/>
              <w:ind w:left="743" w:hanging="710"/>
              <w:rPr>
                <w:rFonts w:ascii="Arial" w:hAnsi="Arial" w:cs="Arial"/>
                <w:sz w:val="24"/>
                <w:szCs w:val="24"/>
              </w:rPr>
            </w:pPr>
          </w:p>
          <w:p w14:paraId="43F1CF3B" w14:textId="5453E087" w:rsidR="00C04F28" w:rsidRDefault="00EE122C" w:rsidP="005111BA">
            <w:pPr>
              <w:pStyle w:val="ListParagraph"/>
              <w:numPr>
                <w:ilvl w:val="0"/>
                <w:numId w:val="20"/>
              </w:numPr>
              <w:tabs>
                <w:tab w:val="left" w:pos="729"/>
              </w:tabs>
              <w:spacing w:line="360" w:lineRule="auto"/>
              <w:ind w:left="743" w:hanging="710"/>
              <w:jc w:val="both"/>
              <w:rPr>
                <w:rFonts w:ascii="Arial" w:hAnsi="Arial" w:cs="Arial"/>
                <w:sz w:val="24"/>
                <w:szCs w:val="24"/>
              </w:rPr>
            </w:pPr>
            <w:r>
              <w:rPr>
                <w:rFonts w:ascii="Arial" w:hAnsi="Arial" w:cs="Arial"/>
                <w:sz w:val="24"/>
                <w:szCs w:val="24"/>
              </w:rPr>
              <w:t>The bid is remitted to the second respondent for the second respondent to proceed with the award of the said tender and contract negotiations.</w:t>
            </w:r>
          </w:p>
          <w:p w14:paraId="63FCA0A3" w14:textId="77777777" w:rsidR="00EE122C" w:rsidRPr="00EE122C" w:rsidRDefault="00EE122C" w:rsidP="00EE122C">
            <w:pPr>
              <w:pStyle w:val="ListParagraph"/>
              <w:rPr>
                <w:rFonts w:ascii="Arial" w:hAnsi="Arial" w:cs="Arial"/>
                <w:sz w:val="24"/>
                <w:szCs w:val="24"/>
              </w:rPr>
            </w:pPr>
          </w:p>
          <w:p w14:paraId="30D9825F" w14:textId="0ABE0370" w:rsidR="00EE122C" w:rsidRDefault="00EE122C" w:rsidP="005111BA">
            <w:pPr>
              <w:pStyle w:val="ListParagraph"/>
              <w:numPr>
                <w:ilvl w:val="0"/>
                <w:numId w:val="20"/>
              </w:numPr>
              <w:tabs>
                <w:tab w:val="left" w:pos="729"/>
              </w:tabs>
              <w:spacing w:line="360" w:lineRule="auto"/>
              <w:ind w:left="743" w:hanging="710"/>
              <w:jc w:val="both"/>
              <w:rPr>
                <w:rFonts w:ascii="Arial" w:hAnsi="Arial" w:cs="Arial"/>
                <w:sz w:val="24"/>
                <w:szCs w:val="24"/>
              </w:rPr>
            </w:pPr>
            <w:r>
              <w:rPr>
                <w:rFonts w:ascii="Arial" w:hAnsi="Arial" w:cs="Arial"/>
                <w:sz w:val="24"/>
                <w:szCs w:val="24"/>
              </w:rPr>
              <w:t>The third respondent shall pay the applicant’s costs of suit.</w:t>
            </w:r>
          </w:p>
          <w:p w14:paraId="4B9204B7" w14:textId="77777777" w:rsidR="00EE122C" w:rsidRPr="00EE122C" w:rsidRDefault="00EE122C" w:rsidP="00EE122C">
            <w:pPr>
              <w:pStyle w:val="ListParagraph"/>
              <w:rPr>
                <w:rFonts w:ascii="Arial" w:hAnsi="Arial" w:cs="Arial"/>
                <w:sz w:val="24"/>
                <w:szCs w:val="24"/>
              </w:rPr>
            </w:pPr>
          </w:p>
          <w:p w14:paraId="36969B7B" w14:textId="1ECA6566" w:rsidR="00EE122C" w:rsidRPr="00E97512" w:rsidRDefault="00EE122C" w:rsidP="005111BA">
            <w:pPr>
              <w:pStyle w:val="ListParagraph"/>
              <w:numPr>
                <w:ilvl w:val="0"/>
                <w:numId w:val="20"/>
              </w:numPr>
              <w:tabs>
                <w:tab w:val="left" w:pos="729"/>
              </w:tabs>
              <w:spacing w:line="360" w:lineRule="auto"/>
              <w:ind w:left="743" w:hanging="710"/>
              <w:jc w:val="both"/>
              <w:rPr>
                <w:rFonts w:ascii="Arial" w:hAnsi="Arial" w:cs="Arial"/>
                <w:sz w:val="24"/>
                <w:szCs w:val="24"/>
              </w:rPr>
            </w:pPr>
            <w:r>
              <w:rPr>
                <w:rFonts w:ascii="Arial" w:hAnsi="Arial" w:cs="Arial"/>
                <w:sz w:val="24"/>
                <w:szCs w:val="24"/>
              </w:rPr>
              <w:t>The matter is finalised and removed from the roll.</w:t>
            </w:r>
          </w:p>
          <w:p w14:paraId="71D39DDF" w14:textId="77777777" w:rsidR="007008BE" w:rsidRPr="004A5618" w:rsidRDefault="007008BE" w:rsidP="00B32493">
            <w:pPr>
              <w:pStyle w:val="ListParagraph"/>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77777777" w:rsidR="00B40844" w:rsidRPr="004A5618" w:rsidRDefault="00B40844"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7957A9D3" w14:textId="77777777" w:rsidR="007008BE" w:rsidRDefault="007008BE" w:rsidP="00937C89">
            <w:pPr>
              <w:spacing w:line="360" w:lineRule="auto"/>
              <w:jc w:val="both"/>
              <w:rPr>
                <w:rFonts w:ascii="Arial" w:hAnsi="Arial" w:cs="Arial"/>
                <w:sz w:val="24"/>
                <w:szCs w:val="24"/>
              </w:rPr>
            </w:pPr>
          </w:p>
          <w:p w14:paraId="0A03E537" w14:textId="77777777" w:rsidR="00E97512" w:rsidRDefault="00E97512" w:rsidP="00937C89">
            <w:pPr>
              <w:spacing w:line="360" w:lineRule="auto"/>
              <w:jc w:val="both"/>
              <w:rPr>
                <w:rFonts w:ascii="Arial" w:hAnsi="Arial" w:cs="Arial"/>
                <w:sz w:val="24"/>
                <w:szCs w:val="24"/>
              </w:rPr>
            </w:pPr>
          </w:p>
          <w:p w14:paraId="12F48819" w14:textId="77777777" w:rsidR="008E236C" w:rsidRDefault="008E236C"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lastRenderedPageBreak/>
              <w:t>Counsel:</w:t>
            </w:r>
          </w:p>
        </w:tc>
      </w:tr>
      <w:tr w:rsidR="00CA7995" w:rsidRPr="004A5618" w14:paraId="579F63FC" w14:textId="77777777" w:rsidTr="00136505">
        <w:tc>
          <w:tcPr>
            <w:tcW w:w="4770" w:type="dxa"/>
          </w:tcPr>
          <w:p w14:paraId="52D98B5F" w14:textId="2B73E907" w:rsidR="00B40844" w:rsidRPr="004A5618" w:rsidRDefault="00E97512"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397D2205" w:rsidR="00B40844" w:rsidRPr="004A5618" w:rsidRDefault="00E97512" w:rsidP="00937C89">
            <w:pPr>
              <w:spacing w:line="360" w:lineRule="auto"/>
              <w:jc w:val="center"/>
              <w:rPr>
                <w:rFonts w:ascii="Arial" w:hAnsi="Arial" w:cs="Arial"/>
                <w:b/>
                <w:sz w:val="24"/>
                <w:szCs w:val="24"/>
              </w:rPr>
            </w:pPr>
            <w:r>
              <w:rPr>
                <w:rFonts w:ascii="Arial" w:hAnsi="Arial" w:cs="Arial"/>
                <w:b/>
                <w:sz w:val="24"/>
                <w:szCs w:val="24"/>
              </w:rPr>
              <w:t>Third</w:t>
            </w:r>
            <w:r w:rsidR="00812E19">
              <w:rPr>
                <w:rFonts w:ascii="Arial" w:hAnsi="Arial" w:cs="Arial"/>
                <w:b/>
                <w:sz w:val="24"/>
                <w:szCs w:val="24"/>
              </w:rPr>
              <w:t xml:space="preserve"> Respondent</w:t>
            </w:r>
          </w:p>
        </w:tc>
      </w:tr>
      <w:tr w:rsidR="00CA7995" w:rsidRPr="004A5618" w14:paraId="7F6632AA" w14:textId="77777777" w:rsidTr="00136505">
        <w:tc>
          <w:tcPr>
            <w:tcW w:w="4770" w:type="dxa"/>
          </w:tcPr>
          <w:p w14:paraId="18BF780E" w14:textId="45B84B4F" w:rsidR="00E97512" w:rsidRPr="00E97512" w:rsidRDefault="00E97512" w:rsidP="00937C89">
            <w:pPr>
              <w:spacing w:line="360" w:lineRule="auto"/>
              <w:jc w:val="center"/>
              <w:rPr>
                <w:rFonts w:ascii="Arial" w:hAnsi="Arial" w:cs="Arial"/>
                <w:sz w:val="24"/>
                <w:szCs w:val="24"/>
              </w:rPr>
            </w:pPr>
            <w:r>
              <w:rPr>
                <w:rFonts w:ascii="Arial" w:hAnsi="Arial" w:cs="Arial"/>
                <w:sz w:val="24"/>
                <w:szCs w:val="24"/>
              </w:rPr>
              <w:t>H</w:t>
            </w:r>
            <w:r w:rsidRPr="00E97512">
              <w:rPr>
                <w:rFonts w:ascii="Arial" w:hAnsi="Arial" w:cs="Arial"/>
                <w:sz w:val="24"/>
                <w:szCs w:val="24"/>
              </w:rPr>
              <w:t xml:space="preserve"> </w:t>
            </w:r>
            <w:r>
              <w:rPr>
                <w:rFonts w:ascii="Arial" w:hAnsi="Arial" w:cs="Arial"/>
                <w:sz w:val="24"/>
                <w:szCs w:val="24"/>
              </w:rPr>
              <w:t>R</w:t>
            </w:r>
            <w:r w:rsidRPr="00E97512">
              <w:rPr>
                <w:rFonts w:ascii="Arial" w:hAnsi="Arial" w:cs="Arial"/>
                <w:sz w:val="24"/>
                <w:szCs w:val="24"/>
              </w:rPr>
              <w:t xml:space="preserve"> </w:t>
            </w:r>
            <w:proofErr w:type="spellStart"/>
            <w:r>
              <w:rPr>
                <w:rFonts w:ascii="Arial" w:hAnsi="Arial" w:cs="Arial"/>
                <w:sz w:val="24"/>
                <w:szCs w:val="24"/>
              </w:rPr>
              <w:t>K</w:t>
            </w:r>
            <w:r w:rsidRPr="00E97512">
              <w:rPr>
                <w:rFonts w:ascii="Arial" w:hAnsi="Arial" w:cs="Arial"/>
                <w:sz w:val="24"/>
                <w:szCs w:val="24"/>
              </w:rPr>
              <w:t>etjijere</w:t>
            </w:r>
            <w:proofErr w:type="spellEnd"/>
          </w:p>
          <w:p w14:paraId="5821C7F1" w14:textId="7A657649" w:rsidR="00B40844" w:rsidRPr="00134E9F" w:rsidRDefault="00E97512" w:rsidP="00937C89">
            <w:pPr>
              <w:spacing w:line="360" w:lineRule="auto"/>
              <w:jc w:val="center"/>
              <w:rPr>
                <w:rFonts w:ascii="Arial" w:hAnsi="Arial" w:cs="Arial"/>
                <w:sz w:val="24"/>
                <w:szCs w:val="24"/>
              </w:rPr>
            </w:pPr>
            <w:r>
              <w:rPr>
                <w:rFonts w:ascii="Arial" w:hAnsi="Arial" w:cs="Arial"/>
                <w:sz w:val="24"/>
                <w:szCs w:val="24"/>
              </w:rPr>
              <w:t>Of</w:t>
            </w:r>
          </w:p>
          <w:p w14:paraId="5DF3F17F" w14:textId="200EB561" w:rsidR="00B40844" w:rsidRPr="004A5618" w:rsidRDefault="00E97512" w:rsidP="00E97512">
            <w:pPr>
              <w:spacing w:line="360" w:lineRule="auto"/>
              <w:jc w:val="center"/>
              <w:rPr>
                <w:rFonts w:ascii="Arial" w:hAnsi="Arial" w:cs="Arial"/>
                <w:sz w:val="24"/>
                <w:szCs w:val="24"/>
              </w:rPr>
            </w:pPr>
            <w:proofErr w:type="spellStart"/>
            <w:r>
              <w:rPr>
                <w:rFonts w:ascii="Arial" w:hAnsi="Arial" w:cs="Arial"/>
                <w:sz w:val="24"/>
                <w:szCs w:val="24"/>
              </w:rPr>
              <w:t>B</w:t>
            </w:r>
            <w:r w:rsidRPr="00E97512">
              <w:rPr>
                <w:rFonts w:ascii="Arial" w:hAnsi="Arial" w:cs="Arial"/>
                <w:sz w:val="24"/>
                <w:szCs w:val="24"/>
              </w:rPr>
              <w:t>rockerhoff</w:t>
            </w:r>
            <w:proofErr w:type="spellEnd"/>
            <w:r w:rsidRPr="00E97512">
              <w:rPr>
                <w:rFonts w:ascii="Arial" w:hAnsi="Arial" w:cs="Arial"/>
                <w:sz w:val="24"/>
                <w:szCs w:val="24"/>
              </w:rPr>
              <w:t xml:space="preserve"> &amp; </w:t>
            </w:r>
            <w:r>
              <w:rPr>
                <w:rFonts w:ascii="Arial" w:hAnsi="Arial" w:cs="Arial"/>
                <w:sz w:val="24"/>
                <w:szCs w:val="24"/>
              </w:rPr>
              <w:t>A</w:t>
            </w:r>
            <w:r w:rsidRPr="00E97512">
              <w:rPr>
                <w:rFonts w:ascii="Arial" w:hAnsi="Arial" w:cs="Arial"/>
                <w:sz w:val="24"/>
                <w:szCs w:val="24"/>
              </w:rPr>
              <w:t xml:space="preserve">ssociates </w:t>
            </w:r>
            <w:r>
              <w:rPr>
                <w:rFonts w:ascii="Arial" w:hAnsi="Arial" w:cs="Arial"/>
                <w:sz w:val="24"/>
                <w:szCs w:val="24"/>
              </w:rPr>
              <w:t>L</w:t>
            </w:r>
            <w:r w:rsidRPr="00E97512">
              <w:rPr>
                <w:rFonts w:ascii="Arial" w:hAnsi="Arial" w:cs="Arial"/>
                <w:sz w:val="24"/>
                <w:szCs w:val="24"/>
              </w:rPr>
              <w:t xml:space="preserve">egal </w:t>
            </w:r>
            <w:r>
              <w:rPr>
                <w:rFonts w:ascii="Arial" w:hAnsi="Arial" w:cs="Arial"/>
                <w:sz w:val="24"/>
                <w:szCs w:val="24"/>
              </w:rPr>
              <w:t>P</w:t>
            </w:r>
            <w:r w:rsidRPr="00E97512">
              <w:rPr>
                <w:rFonts w:ascii="Arial" w:hAnsi="Arial" w:cs="Arial"/>
                <w:sz w:val="24"/>
                <w:szCs w:val="24"/>
              </w:rPr>
              <w:t>ractitioners</w:t>
            </w:r>
            <w:r w:rsidR="00136505" w:rsidRPr="004A5618">
              <w:rPr>
                <w:rFonts w:ascii="Arial" w:hAnsi="Arial" w:cs="Arial"/>
                <w:sz w:val="24"/>
                <w:szCs w:val="24"/>
              </w:rPr>
              <w:t>, Windhoek</w:t>
            </w:r>
          </w:p>
        </w:tc>
        <w:tc>
          <w:tcPr>
            <w:tcW w:w="5436" w:type="dxa"/>
            <w:gridSpan w:val="2"/>
          </w:tcPr>
          <w:p w14:paraId="5F22D321" w14:textId="2A94AE44" w:rsidR="00E97512" w:rsidRPr="00E97512" w:rsidRDefault="00E97512" w:rsidP="00B62F2B">
            <w:pPr>
              <w:spacing w:line="360" w:lineRule="auto"/>
              <w:jc w:val="center"/>
              <w:rPr>
                <w:rFonts w:ascii="Arial" w:hAnsi="Arial" w:cs="Arial"/>
                <w:sz w:val="24"/>
                <w:szCs w:val="24"/>
              </w:rPr>
            </w:pPr>
            <w:r>
              <w:rPr>
                <w:rFonts w:ascii="Arial" w:hAnsi="Arial" w:cs="Arial"/>
                <w:sz w:val="24"/>
                <w:szCs w:val="24"/>
              </w:rPr>
              <w:t>R</w:t>
            </w:r>
            <w:r w:rsidRPr="00E97512">
              <w:rPr>
                <w:rFonts w:ascii="Arial" w:hAnsi="Arial" w:cs="Arial"/>
                <w:sz w:val="24"/>
                <w:szCs w:val="24"/>
              </w:rPr>
              <w:t xml:space="preserve"> </w:t>
            </w:r>
            <w:proofErr w:type="spellStart"/>
            <w:r>
              <w:rPr>
                <w:rFonts w:ascii="Arial" w:hAnsi="Arial" w:cs="Arial"/>
                <w:sz w:val="24"/>
                <w:szCs w:val="24"/>
              </w:rPr>
              <w:t>S</w:t>
            </w:r>
            <w:r w:rsidRPr="00E97512">
              <w:rPr>
                <w:rFonts w:ascii="Arial" w:hAnsi="Arial" w:cs="Arial"/>
                <w:sz w:val="24"/>
                <w:szCs w:val="24"/>
              </w:rPr>
              <w:t>hipindo</w:t>
            </w:r>
            <w:proofErr w:type="spellEnd"/>
          </w:p>
          <w:p w14:paraId="5F572AD5" w14:textId="5EE1F7B3" w:rsidR="00B62F2B" w:rsidRPr="00134E9F" w:rsidRDefault="00E97512" w:rsidP="00B62F2B">
            <w:pPr>
              <w:spacing w:line="360" w:lineRule="auto"/>
              <w:jc w:val="center"/>
              <w:rPr>
                <w:rFonts w:ascii="Arial" w:hAnsi="Arial" w:cs="Arial"/>
                <w:sz w:val="24"/>
                <w:szCs w:val="24"/>
              </w:rPr>
            </w:pPr>
            <w:r>
              <w:rPr>
                <w:rFonts w:ascii="Arial" w:hAnsi="Arial" w:cs="Arial"/>
                <w:sz w:val="24"/>
                <w:szCs w:val="24"/>
              </w:rPr>
              <w:t>Of</w:t>
            </w:r>
          </w:p>
          <w:p w14:paraId="2EDA150C" w14:textId="28287677" w:rsidR="00B62F2B" w:rsidRPr="004A5618" w:rsidRDefault="00E97512" w:rsidP="007008BE">
            <w:pPr>
              <w:spacing w:line="360" w:lineRule="auto"/>
              <w:jc w:val="center"/>
              <w:rPr>
                <w:rFonts w:ascii="Arial" w:hAnsi="Arial" w:cs="Arial"/>
                <w:sz w:val="24"/>
                <w:szCs w:val="24"/>
              </w:rPr>
            </w:pPr>
            <w:proofErr w:type="spellStart"/>
            <w:r w:rsidRPr="00E97512">
              <w:rPr>
                <w:rFonts w:ascii="Arial" w:hAnsi="Arial" w:cs="Arial"/>
                <w:sz w:val="24"/>
                <w:szCs w:val="24"/>
              </w:rPr>
              <w:t>Shipindo</w:t>
            </w:r>
            <w:proofErr w:type="spellEnd"/>
            <w:r w:rsidRPr="00E97512">
              <w:rPr>
                <w:rFonts w:ascii="Arial" w:hAnsi="Arial" w:cs="Arial"/>
                <w:sz w:val="24"/>
                <w:szCs w:val="24"/>
              </w:rPr>
              <w:t xml:space="preserve"> &amp; Associates Incorporated</w:t>
            </w:r>
            <w:r w:rsidR="00B62F2B" w:rsidRPr="00812E19">
              <w:rPr>
                <w:rFonts w:ascii="Arial" w:hAnsi="Arial" w:cs="Arial"/>
                <w:sz w:val="24"/>
                <w:szCs w:val="24"/>
              </w:rPr>
              <w:t>,</w:t>
            </w:r>
            <w:r w:rsidR="00B62F2B" w:rsidRPr="004A5618">
              <w:rPr>
                <w:rFonts w:ascii="Arial" w:hAnsi="Arial" w:cs="Arial"/>
                <w:sz w:val="24"/>
                <w:szCs w:val="24"/>
              </w:rPr>
              <w:t xml:space="preserve"> Windhoek</w:t>
            </w: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FCEA9" w14:textId="77777777" w:rsidR="008575BB" w:rsidRPr="004A5618" w:rsidRDefault="008575BB" w:rsidP="00B40844">
      <w:pPr>
        <w:spacing w:after="0" w:line="240" w:lineRule="auto"/>
      </w:pPr>
      <w:r w:rsidRPr="004A5618">
        <w:separator/>
      </w:r>
    </w:p>
  </w:endnote>
  <w:endnote w:type="continuationSeparator" w:id="0">
    <w:p w14:paraId="44EF0582" w14:textId="77777777" w:rsidR="008575BB" w:rsidRPr="004A5618" w:rsidRDefault="008575BB"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678DD" w14:textId="77777777" w:rsidR="008575BB" w:rsidRPr="004A5618" w:rsidRDefault="008575BB" w:rsidP="00B40844">
      <w:pPr>
        <w:spacing w:after="0" w:line="240" w:lineRule="auto"/>
      </w:pPr>
      <w:r w:rsidRPr="004A5618">
        <w:separator/>
      </w:r>
    </w:p>
  </w:footnote>
  <w:footnote w:type="continuationSeparator" w:id="0">
    <w:p w14:paraId="4E836BBF" w14:textId="77777777" w:rsidR="008575BB" w:rsidRPr="004A5618" w:rsidRDefault="008575BB" w:rsidP="00B40844">
      <w:pPr>
        <w:spacing w:after="0" w:line="240" w:lineRule="auto"/>
      </w:pPr>
      <w:r w:rsidRPr="004A5618">
        <w:continuationSeparator/>
      </w:r>
    </w:p>
  </w:footnote>
  <w:footnote w:id="1">
    <w:p w14:paraId="4F1A6170" w14:textId="49316B95" w:rsidR="00F4176A" w:rsidRPr="00B77777" w:rsidRDefault="00F4176A" w:rsidP="00B77777">
      <w:pPr>
        <w:pStyle w:val="FootnoteText"/>
        <w:jc w:val="both"/>
        <w:rPr>
          <w:rFonts w:ascii="Arial" w:hAnsi="Arial" w:cs="Arial"/>
          <w:lang w:val="en-ZA"/>
        </w:rPr>
      </w:pPr>
      <w:r w:rsidRPr="00B77777">
        <w:rPr>
          <w:rStyle w:val="FootnoteReference"/>
          <w:rFonts w:ascii="Arial" w:hAnsi="Arial" w:cs="Arial"/>
        </w:rPr>
        <w:footnoteRef/>
      </w:r>
      <w:r w:rsidRPr="00B77777">
        <w:rPr>
          <w:rFonts w:ascii="Arial" w:hAnsi="Arial" w:cs="Arial"/>
        </w:rPr>
        <w:t xml:space="preserve"> </w:t>
      </w:r>
      <w:r w:rsidRPr="00B77777">
        <w:rPr>
          <w:rFonts w:ascii="Arial" w:hAnsi="Arial" w:cs="Arial"/>
          <w:i/>
          <w:lang w:val="en-ZA"/>
        </w:rPr>
        <w:t>National Director of Public Prosecutors v Zuma</w:t>
      </w:r>
      <w:r w:rsidRPr="00B77777">
        <w:rPr>
          <w:rFonts w:ascii="Arial" w:hAnsi="Arial" w:cs="Arial"/>
          <w:lang w:val="en-ZA"/>
        </w:rPr>
        <w:t xml:space="preserve"> 2009 (2) </w:t>
      </w:r>
      <w:r w:rsidR="00CC24F2">
        <w:rPr>
          <w:rFonts w:ascii="Arial" w:hAnsi="Arial" w:cs="Arial"/>
          <w:lang w:val="en-ZA"/>
        </w:rPr>
        <w:t xml:space="preserve">SA </w:t>
      </w:r>
      <w:r w:rsidRPr="00B77777">
        <w:rPr>
          <w:rFonts w:ascii="Arial" w:hAnsi="Arial" w:cs="Arial"/>
          <w:lang w:val="en-ZA"/>
        </w:rPr>
        <w:t>277 (SCA) para 23.</w:t>
      </w:r>
    </w:p>
  </w:footnote>
  <w:footnote w:id="2">
    <w:p w14:paraId="473736C0" w14:textId="69497BDB" w:rsidR="00F4176A" w:rsidRPr="00B77777" w:rsidRDefault="00F4176A" w:rsidP="00B77777">
      <w:pPr>
        <w:pStyle w:val="FootnoteText"/>
        <w:jc w:val="both"/>
        <w:rPr>
          <w:rFonts w:ascii="Arial" w:hAnsi="Arial" w:cs="Arial"/>
          <w:lang w:val="en-ZA"/>
        </w:rPr>
      </w:pPr>
      <w:r w:rsidRPr="00B77777">
        <w:rPr>
          <w:rStyle w:val="FootnoteReference"/>
          <w:rFonts w:ascii="Arial" w:hAnsi="Arial" w:cs="Arial"/>
        </w:rPr>
        <w:footnoteRef/>
      </w:r>
      <w:r w:rsidRPr="00B77777">
        <w:rPr>
          <w:rFonts w:ascii="Arial" w:hAnsi="Arial" w:cs="Arial"/>
        </w:rPr>
        <w:t xml:space="preserve"> </w:t>
      </w:r>
      <w:r w:rsidRPr="00B77777">
        <w:rPr>
          <w:rFonts w:ascii="Arial" w:hAnsi="Arial" w:cs="Arial"/>
          <w:i/>
          <w:lang w:val="en-ZA"/>
        </w:rPr>
        <w:t xml:space="preserve">Ridge v </w:t>
      </w:r>
      <w:proofErr w:type="spellStart"/>
      <w:r w:rsidRPr="00B77777">
        <w:rPr>
          <w:rFonts w:ascii="Arial" w:hAnsi="Arial" w:cs="Arial"/>
          <w:i/>
          <w:lang w:val="en-ZA"/>
        </w:rPr>
        <w:t>Buldwin</w:t>
      </w:r>
      <w:proofErr w:type="spellEnd"/>
      <w:r w:rsidRPr="00B77777">
        <w:rPr>
          <w:rFonts w:ascii="Arial" w:hAnsi="Arial" w:cs="Arial"/>
          <w:lang w:val="en-ZA"/>
        </w:rPr>
        <w:t xml:space="preserve"> [1964] A.C 40 (UKHL); </w:t>
      </w:r>
      <w:r w:rsidRPr="00B77777">
        <w:rPr>
          <w:rFonts w:ascii="Arial" w:hAnsi="Arial" w:cs="Arial"/>
          <w:i/>
          <w:lang w:val="en-ZA"/>
        </w:rPr>
        <w:t xml:space="preserve">Administrator, Transvaal &amp; Others v </w:t>
      </w:r>
      <w:proofErr w:type="spellStart"/>
      <w:r w:rsidRPr="00B77777">
        <w:rPr>
          <w:rFonts w:ascii="Arial" w:hAnsi="Arial" w:cs="Arial"/>
          <w:i/>
          <w:lang w:val="en-ZA"/>
        </w:rPr>
        <w:t>Zenzile</w:t>
      </w:r>
      <w:proofErr w:type="spellEnd"/>
      <w:r w:rsidRPr="00B77777">
        <w:rPr>
          <w:rFonts w:ascii="Arial" w:hAnsi="Arial" w:cs="Arial"/>
          <w:i/>
          <w:lang w:val="en-ZA"/>
        </w:rPr>
        <w:t xml:space="preserve"> &amp; Others</w:t>
      </w:r>
      <w:r w:rsidRPr="00B77777">
        <w:rPr>
          <w:rFonts w:ascii="Arial" w:hAnsi="Arial" w:cs="Arial"/>
          <w:lang w:val="en-ZA"/>
        </w:rPr>
        <w:t xml:space="preserve"> 1991 (1) SA 21 (A); </w:t>
      </w:r>
      <w:r w:rsidRPr="00B77777">
        <w:rPr>
          <w:rFonts w:ascii="Arial" w:hAnsi="Arial" w:cs="Arial"/>
          <w:i/>
          <w:lang w:val="en-ZA"/>
        </w:rPr>
        <w:t xml:space="preserve">Minister of Health and Social Services v </w:t>
      </w:r>
      <w:proofErr w:type="spellStart"/>
      <w:r w:rsidRPr="00B77777">
        <w:rPr>
          <w:rFonts w:ascii="Arial" w:hAnsi="Arial" w:cs="Arial"/>
          <w:i/>
          <w:lang w:val="en-ZA"/>
        </w:rPr>
        <w:t>Lisse</w:t>
      </w:r>
      <w:proofErr w:type="spellEnd"/>
      <w:r w:rsidRPr="00B77777">
        <w:rPr>
          <w:rFonts w:ascii="Arial" w:hAnsi="Arial" w:cs="Arial"/>
          <w:lang w:val="en-ZA"/>
        </w:rPr>
        <w:t xml:space="preserve"> 2008 (2) NR 739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F02BCC">
          <w:rPr>
            <w:rFonts w:ascii="Arial" w:hAnsi="Arial" w:cs="Arial"/>
            <w:noProof/>
            <w:sz w:val="24"/>
            <w:szCs w:val="24"/>
          </w:rPr>
          <w:t>5</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8"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2"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7"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8"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
  </w:num>
  <w:num w:numId="5">
    <w:abstractNumId w:val="1"/>
  </w:num>
  <w:num w:numId="6">
    <w:abstractNumId w:val="9"/>
  </w:num>
  <w:num w:numId="7">
    <w:abstractNumId w:val="8"/>
  </w:num>
  <w:num w:numId="8">
    <w:abstractNumId w:val="17"/>
  </w:num>
  <w:num w:numId="9">
    <w:abstractNumId w:val="6"/>
  </w:num>
  <w:num w:numId="10">
    <w:abstractNumId w:val="3"/>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7"/>
  </w:num>
  <w:num w:numId="16">
    <w:abstractNumId w:val="16"/>
  </w:num>
  <w:num w:numId="17">
    <w:abstractNumId w:val="4"/>
  </w:num>
  <w:num w:numId="18">
    <w:abstractNumId w:val="1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142CE"/>
    <w:rsid w:val="00015808"/>
    <w:rsid w:val="000200BD"/>
    <w:rsid w:val="00030A66"/>
    <w:rsid w:val="00031642"/>
    <w:rsid w:val="00042EFE"/>
    <w:rsid w:val="00043914"/>
    <w:rsid w:val="00047BBE"/>
    <w:rsid w:val="00052806"/>
    <w:rsid w:val="00053646"/>
    <w:rsid w:val="0006006E"/>
    <w:rsid w:val="000650A0"/>
    <w:rsid w:val="00071E6A"/>
    <w:rsid w:val="00076184"/>
    <w:rsid w:val="000929C5"/>
    <w:rsid w:val="000A6E7F"/>
    <w:rsid w:val="000B297E"/>
    <w:rsid w:val="000D1E23"/>
    <w:rsid w:val="000E7C99"/>
    <w:rsid w:val="000F2FD9"/>
    <w:rsid w:val="000F39A3"/>
    <w:rsid w:val="000F681E"/>
    <w:rsid w:val="00100870"/>
    <w:rsid w:val="001032AE"/>
    <w:rsid w:val="00116AFB"/>
    <w:rsid w:val="00117280"/>
    <w:rsid w:val="001223B7"/>
    <w:rsid w:val="00124C63"/>
    <w:rsid w:val="00130339"/>
    <w:rsid w:val="00134E9F"/>
    <w:rsid w:val="00136505"/>
    <w:rsid w:val="00144967"/>
    <w:rsid w:val="00150B08"/>
    <w:rsid w:val="00152FEA"/>
    <w:rsid w:val="00153ED0"/>
    <w:rsid w:val="00157447"/>
    <w:rsid w:val="00163FB4"/>
    <w:rsid w:val="001721EB"/>
    <w:rsid w:val="0017433C"/>
    <w:rsid w:val="001822C1"/>
    <w:rsid w:val="0018718C"/>
    <w:rsid w:val="001A13C3"/>
    <w:rsid w:val="001B2CA3"/>
    <w:rsid w:val="001B3825"/>
    <w:rsid w:val="001C1570"/>
    <w:rsid w:val="001C33C5"/>
    <w:rsid w:val="001E097B"/>
    <w:rsid w:val="001E113F"/>
    <w:rsid w:val="001E192B"/>
    <w:rsid w:val="001E2A2D"/>
    <w:rsid w:val="001E532E"/>
    <w:rsid w:val="002000BA"/>
    <w:rsid w:val="00204A1F"/>
    <w:rsid w:val="00217744"/>
    <w:rsid w:val="00222067"/>
    <w:rsid w:val="00224808"/>
    <w:rsid w:val="002317B0"/>
    <w:rsid w:val="0023549A"/>
    <w:rsid w:val="00241D98"/>
    <w:rsid w:val="00244BAC"/>
    <w:rsid w:val="00244F7C"/>
    <w:rsid w:val="002536EA"/>
    <w:rsid w:val="00255787"/>
    <w:rsid w:val="00276736"/>
    <w:rsid w:val="0028119C"/>
    <w:rsid w:val="002863C2"/>
    <w:rsid w:val="00287097"/>
    <w:rsid w:val="002A3C64"/>
    <w:rsid w:val="002A4AA3"/>
    <w:rsid w:val="002B38E0"/>
    <w:rsid w:val="002B44E0"/>
    <w:rsid w:val="002C1EF6"/>
    <w:rsid w:val="002D20C5"/>
    <w:rsid w:val="002D407B"/>
    <w:rsid w:val="002D633E"/>
    <w:rsid w:val="002E738E"/>
    <w:rsid w:val="002F06E3"/>
    <w:rsid w:val="00301CC7"/>
    <w:rsid w:val="00302F62"/>
    <w:rsid w:val="0030757C"/>
    <w:rsid w:val="00311DE0"/>
    <w:rsid w:val="0031523D"/>
    <w:rsid w:val="00320FFD"/>
    <w:rsid w:val="00322F39"/>
    <w:rsid w:val="00323AAF"/>
    <w:rsid w:val="00323E22"/>
    <w:rsid w:val="00340EA6"/>
    <w:rsid w:val="003414A7"/>
    <w:rsid w:val="00342CF7"/>
    <w:rsid w:val="0036327E"/>
    <w:rsid w:val="00371A8B"/>
    <w:rsid w:val="00371B8F"/>
    <w:rsid w:val="0038382D"/>
    <w:rsid w:val="003A18AD"/>
    <w:rsid w:val="003A3390"/>
    <w:rsid w:val="003A43B2"/>
    <w:rsid w:val="003B03B0"/>
    <w:rsid w:val="003C0EA4"/>
    <w:rsid w:val="003C2574"/>
    <w:rsid w:val="003D165C"/>
    <w:rsid w:val="003D3059"/>
    <w:rsid w:val="00404B70"/>
    <w:rsid w:val="00412278"/>
    <w:rsid w:val="00414B69"/>
    <w:rsid w:val="00415F4F"/>
    <w:rsid w:val="00426C60"/>
    <w:rsid w:val="00431A65"/>
    <w:rsid w:val="004352E5"/>
    <w:rsid w:val="004358E2"/>
    <w:rsid w:val="00436B1E"/>
    <w:rsid w:val="00436C2B"/>
    <w:rsid w:val="00437666"/>
    <w:rsid w:val="004416D0"/>
    <w:rsid w:val="00450650"/>
    <w:rsid w:val="00461F35"/>
    <w:rsid w:val="00463486"/>
    <w:rsid w:val="004665B1"/>
    <w:rsid w:val="00466B36"/>
    <w:rsid w:val="00472769"/>
    <w:rsid w:val="00474C2A"/>
    <w:rsid w:val="00475B7A"/>
    <w:rsid w:val="00475D2C"/>
    <w:rsid w:val="0048485D"/>
    <w:rsid w:val="00490505"/>
    <w:rsid w:val="004907E4"/>
    <w:rsid w:val="004936A7"/>
    <w:rsid w:val="004A2D48"/>
    <w:rsid w:val="004A325C"/>
    <w:rsid w:val="004A3938"/>
    <w:rsid w:val="004A5618"/>
    <w:rsid w:val="004B337B"/>
    <w:rsid w:val="004B6FA1"/>
    <w:rsid w:val="004C5788"/>
    <w:rsid w:val="004C646F"/>
    <w:rsid w:val="004D7D3B"/>
    <w:rsid w:val="004E02A0"/>
    <w:rsid w:val="004E3BFB"/>
    <w:rsid w:val="004E560F"/>
    <w:rsid w:val="004E6D2F"/>
    <w:rsid w:val="00503F36"/>
    <w:rsid w:val="005111BA"/>
    <w:rsid w:val="00512AB9"/>
    <w:rsid w:val="00522621"/>
    <w:rsid w:val="00523D75"/>
    <w:rsid w:val="005334B7"/>
    <w:rsid w:val="00535F29"/>
    <w:rsid w:val="00536EFF"/>
    <w:rsid w:val="005629DA"/>
    <w:rsid w:val="00580728"/>
    <w:rsid w:val="00586B27"/>
    <w:rsid w:val="00594F6C"/>
    <w:rsid w:val="005A0EBD"/>
    <w:rsid w:val="005A4D90"/>
    <w:rsid w:val="005B62A0"/>
    <w:rsid w:val="005B62C7"/>
    <w:rsid w:val="005B7449"/>
    <w:rsid w:val="005C0E24"/>
    <w:rsid w:val="005C21D7"/>
    <w:rsid w:val="005C3354"/>
    <w:rsid w:val="005C4157"/>
    <w:rsid w:val="005C715D"/>
    <w:rsid w:val="005C7D31"/>
    <w:rsid w:val="005D0D19"/>
    <w:rsid w:val="005D6452"/>
    <w:rsid w:val="005E2DC4"/>
    <w:rsid w:val="005F325C"/>
    <w:rsid w:val="005F32EB"/>
    <w:rsid w:val="00610BF1"/>
    <w:rsid w:val="006115E2"/>
    <w:rsid w:val="0061537D"/>
    <w:rsid w:val="0062003A"/>
    <w:rsid w:val="00637CEF"/>
    <w:rsid w:val="00672C76"/>
    <w:rsid w:val="006734C7"/>
    <w:rsid w:val="00695745"/>
    <w:rsid w:val="006976D9"/>
    <w:rsid w:val="006A0BA4"/>
    <w:rsid w:val="006A1E08"/>
    <w:rsid w:val="006B5854"/>
    <w:rsid w:val="006B7521"/>
    <w:rsid w:val="006C2FB6"/>
    <w:rsid w:val="006D0991"/>
    <w:rsid w:val="006D0E84"/>
    <w:rsid w:val="006D69E7"/>
    <w:rsid w:val="006D7450"/>
    <w:rsid w:val="006E014E"/>
    <w:rsid w:val="006E0FD4"/>
    <w:rsid w:val="006F07B3"/>
    <w:rsid w:val="006F1CCC"/>
    <w:rsid w:val="006F6DE3"/>
    <w:rsid w:val="007008BE"/>
    <w:rsid w:val="00700B1F"/>
    <w:rsid w:val="00702C62"/>
    <w:rsid w:val="00703171"/>
    <w:rsid w:val="00734802"/>
    <w:rsid w:val="00736DA4"/>
    <w:rsid w:val="007448FE"/>
    <w:rsid w:val="00746C0C"/>
    <w:rsid w:val="0075019C"/>
    <w:rsid w:val="00750F55"/>
    <w:rsid w:val="007600DB"/>
    <w:rsid w:val="00766C68"/>
    <w:rsid w:val="0078274D"/>
    <w:rsid w:val="007853D8"/>
    <w:rsid w:val="00787EE4"/>
    <w:rsid w:val="007950C8"/>
    <w:rsid w:val="007979CA"/>
    <w:rsid w:val="007B131C"/>
    <w:rsid w:val="007B2BC4"/>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75AC"/>
    <w:rsid w:val="00827F39"/>
    <w:rsid w:val="00835300"/>
    <w:rsid w:val="00843040"/>
    <w:rsid w:val="00853833"/>
    <w:rsid w:val="008575BB"/>
    <w:rsid w:val="00857F1A"/>
    <w:rsid w:val="00865F37"/>
    <w:rsid w:val="0087368D"/>
    <w:rsid w:val="00882F73"/>
    <w:rsid w:val="00883D7C"/>
    <w:rsid w:val="00886625"/>
    <w:rsid w:val="00890A20"/>
    <w:rsid w:val="00892D9A"/>
    <w:rsid w:val="008A1447"/>
    <w:rsid w:val="008A5AC1"/>
    <w:rsid w:val="008B5D68"/>
    <w:rsid w:val="008B6223"/>
    <w:rsid w:val="008C2200"/>
    <w:rsid w:val="008D54B2"/>
    <w:rsid w:val="008E0730"/>
    <w:rsid w:val="008E236C"/>
    <w:rsid w:val="008E5E3D"/>
    <w:rsid w:val="008F59A0"/>
    <w:rsid w:val="00912F74"/>
    <w:rsid w:val="00923430"/>
    <w:rsid w:val="009279BE"/>
    <w:rsid w:val="00937C89"/>
    <w:rsid w:val="00944CCD"/>
    <w:rsid w:val="0095505F"/>
    <w:rsid w:val="009661E4"/>
    <w:rsid w:val="009733A9"/>
    <w:rsid w:val="009856AB"/>
    <w:rsid w:val="00990EDA"/>
    <w:rsid w:val="009919F6"/>
    <w:rsid w:val="00996760"/>
    <w:rsid w:val="00997C11"/>
    <w:rsid w:val="009A5AD1"/>
    <w:rsid w:val="009A7A59"/>
    <w:rsid w:val="009B41E2"/>
    <w:rsid w:val="009B600F"/>
    <w:rsid w:val="009C3275"/>
    <w:rsid w:val="009C35C9"/>
    <w:rsid w:val="009C6F3F"/>
    <w:rsid w:val="009D24DC"/>
    <w:rsid w:val="009D27E8"/>
    <w:rsid w:val="009E730A"/>
    <w:rsid w:val="009F1FA2"/>
    <w:rsid w:val="009F2ADD"/>
    <w:rsid w:val="00A05FE8"/>
    <w:rsid w:val="00A10E40"/>
    <w:rsid w:val="00A13C7B"/>
    <w:rsid w:val="00A15CD1"/>
    <w:rsid w:val="00A22E0F"/>
    <w:rsid w:val="00A2391E"/>
    <w:rsid w:val="00A26B7B"/>
    <w:rsid w:val="00A31424"/>
    <w:rsid w:val="00A3327E"/>
    <w:rsid w:val="00A42469"/>
    <w:rsid w:val="00A45560"/>
    <w:rsid w:val="00A50F13"/>
    <w:rsid w:val="00A51EDB"/>
    <w:rsid w:val="00A60965"/>
    <w:rsid w:val="00A66511"/>
    <w:rsid w:val="00A75ED6"/>
    <w:rsid w:val="00A85792"/>
    <w:rsid w:val="00A90F3E"/>
    <w:rsid w:val="00A91240"/>
    <w:rsid w:val="00A9498C"/>
    <w:rsid w:val="00AA2EFA"/>
    <w:rsid w:val="00AA3ECB"/>
    <w:rsid w:val="00AD72DD"/>
    <w:rsid w:val="00AE0185"/>
    <w:rsid w:val="00AE08F0"/>
    <w:rsid w:val="00AE16BF"/>
    <w:rsid w:val="00B01B6C"/>
    <w:rsid w:val="00B050E7"/>
    <w:rsid w:val="00B119D6"/>
    <w:rsid w:val="00B121EA"/>
    <w:rsid w:val="00B32493"/>
    <w:rsid w:val="00B40844"/>
    <w:rsid w:val="00B42F3B"/>
    <w:rsid w:val="00B47800"/>
    <w:rsid w:val="00B50C99"/>
    <w:rsid w:val="00B56AD2"/>
    <w:rsid w:val="00B56E34"/>
    <w:rsid w:val="00B5737E"/>
    <w:rsid w:val="00B60287"/>
    <w:rsid w:val="00B61AC7"/>
    <w:rsid w:val="00B62F2B"/>
    <w:rsid w:val="00B77777"/>
    <w:rsid w:val="00B808CB"/>
    <w:rsid w:val="00B845CF"/>
    <w:rsid w:val="00B92DE7"/>
    <w:rsid w:val="00B9407E"/>
    <w:rsid w:val="00BA2C89"/>
    <w:rsid w:val="00BA4C8B"/>
    <w:rsid w:val="00BB13F4"/>
    <w:rsid w:val="00BB3273"/>
    <w:rsid w:val="00BB3C0C"/>
    <w:rsid w:val="00BC2C75"/>
    <w:rsid w:val="00BC5931"/>
    <w:rsid w:val="00BD61A4"/>
    <w:rsid w:val="00BE31AD"/>
    <w:rsid w:val="00BE3978"/>
    <w:rsid w:val="00BF44EC"/>
    <w:rsid w:val="00C04F28"/>
    <w:rsid w:val="00C06EB4"/>
    <w:rsid w:val="00C14AB5"/>
    <w:rsid w:val="00C2633E"/>
    <w:rsid w:val="00C3225B"/>
    <w:rsid w:val="00C360E9"/>
    <w:rsid w:val="00C47E3A"/>
    <w:rsid w:val="00C617C6"/>
    <w:rsid w:val="00C73D5D"/>
    <w:rsid w:val="00CA7995"/>
    <w:rsid w:val="00CB1183"/>
    <w:rsid w:val="00CC24F2"/>
    <w:rsid w:val="00CC7431"/>
    <w:rsid w:val="00CD62C0"/>
    <w:rsid w:val="00CE4631"/>
    <w:rsid w:val="00D03B96"/>
    <w:rsid w:val="00D04B6F"/>
    <w:rsid w:val="00D113DD"/>
    <w:rsid w:val="00D24453"/>
    <w:rsid w:val="00D25285"/>
    <w:rsid w:val="00D30D4D"/>
    <w:rsid w:val="00D32F8E"/>
    <w:rsid w:val="00D37DAA"/>
    <w:rsid w:val="00D5070E"/>
    <w:rsid w:val="00D547B6"/>
    <w:rsid w:val="00D61648"/>
    <w:rsid w:val="00D6224D"/>
    <w:rsid w:val="00D6655A"/>
    <w:rsid w:val="00D752D7"/>
    <w:rsid w:val="00D80947"/>
    <w:rsid w:val="00D86F11"/>
    <w:rsid w:val="00D87914"/>
    <w:rsid w:val="00D9282E"/>
    <w:rsid w:val="00D960EA"/>
    <w:rsid w:val="00D965B8"/>
    <w:rsid w:val="00DA1708"/>
    <w:rsid w:val="00DA2283"/>
    <w:rsid w:val="00DA5689"/>
    <w:rsid w:val="00DA58B4"/>
    <w:rsid w:val="00DB5AA2"/>
    <w:rsid w:val="00DD294A"/>
    <w:rsid w:val="00DD76E7"/>
    <w:rsid w:val="00DE1990"/>
    <w:rsid w:val="00DE220E"/>
    <w:rsid w:val="00E0573A"/>
    <w:rsid w:val="00E221FD"/>
    <w:rsid w:val="00E41BE5"/>
    <w:rsid w:val="00E4469F"/>
    <w:rsid w:val="00E452F4"/>
    <w:rsid w:val="00E533BE"/>
    <w:rsid w:val="00E5361F"/>
    <w:rsid w:val="00E53C47"/>
    <w:rsid w:val="00E55FBE"/>
    <w:rsid w:val="00E62DB3"/>
    <w:rsid w:val="00E73C41"/>
    <w:rsid w:val="00E778B9"/>
    <w:rsid w:val="00E911FB"/>
    <w:rsid w:val="00E96F9E"/>
    <w:rsid w:val="00E97512"/>
    <w:rsid w:val="00EA2DE2"/>
    <w:rsid w:val="00EB1AE0"/>
    <w:rsid w:val="00EC1776"/>
    <w:rsid w:val="00EC7E83"/>
    <w:rsid w:val="00ED27EE"/>
    <w:rsid w:val="00ED2C7B"/>
    <w:rsid w:val="00ED5B76"/>
    <w:rsid w:val="00ED7008"/>
    <w:rsid w:val="00ED76B2"/>
    <w:rsid w:val="00EE122C"/>
    <w:rsid w:val="00EE4268"/>
    <w:rsid w:val="00EF184A"/>
    <w:rsid w:val="00EF249A"/>
    <w:rsid w:val="00EF2FFD"/>
    <w:rsid w:val="00F0235A"/>
    <w:rsid w:val="00F02BCC"/>
    <w:rsid w:val="00F05B1C"/>
    <w:rsid w:val="00F05CAB"/>
    <w:rsid w:val="00F0783D"/>
    <w:rsid w:val="00F13D78"/>
    <w:rsid w:val="00F146F6"/>
    <w:rsid w:val="00F21EDB"/>
    <w:rsid w:val="00F260D2"/>
    <w:rsid w:val="00F3240F"/>
    <w:rsid w:val="00F3779B"/>
    <w:rsid w:val="00F4176A"/>
    <w:rsid w:val="00F4726A"/>
    <w:rsid w:val="00F47A1E"/>
    <w:rsid w:val="00F62189"/>
    <w:rsid w:val="00F65529"/>
    <w:rsid w:val="00F65903"/>
    <w:rsid w:val="00F66F79"/>
    <w:rsid w:val="00F72231"/>
    <w:rsid w:val="00F7691A"/>
    <w:rsid w:val="00F82EDF"/>
    <w:rsid w:val="00F84868"/>
    <w:rsid w:val="00F92D04"/>
    <w:rsid w:val="00F9481A"/>
    <w:rsid w:val="00F9509A"/>
    <w:rsid w:val="00FB27BC"/>
    <w:rsid w:val="00FB2E9E"/>
    <w:rsid w:val="00FB5F14"/>
    <w:rsid w:val="00FC2237"/>
    <w:rsid w:val="00FC6F2E"/>
    <w:rsid w:val="00FD68B7"/>
    <w:rsid w:val="00FE0A83"/>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2023-10-17T18:30:00+00:00</Judgment_x0020_Date>
    <Year xmlns="c1afb1bd-f2fb-40fd-9abb-aea55b4d7662">2023</Year>
  </documentManagement>
</p:properties>
</file>

<file path=customXml/itemProps1.xml><?xml version="1.0" encoding="utf-8"?>
<ds:datastoreItem xmlns:ds="http://schemas.openxmlformats.org/officeDocument/2006/customXml" ds:itemID="{3EE4ED6E-50B9-4A98-BB88-27BB1E69FFB3}"/>
</file>

<file path=customXml/itemProps2.xml><?xml version="1.0" encoding="utf-8"?>
<ds:datastoreItem xmlns:ds="http://schemas.openxmlformats.org/officeDocument/2006/customXml" ds:itemID="{3D7185FE-423E-4BEA-B707-6BFBFA690115}"/>
</file>

<file path=customXml/itemProps3.xml><?xml version="1.0" encoding="utf-8"?>
<ds:datastoreItem xmlns:ds="http://schemas.openxmlformats.org/officeDocument/2006/customXml" ds:itemID="{C881F60E-68D8-4CFC-AA78-3BD7450D3B6E}"/>
</file>

<file path=customXml/itemProps4.xml><?xml version="1.0" encoding="utf-8"?>
<ds:datastoreItem xmlns:ds="http://schemas.openxmlformats.org/officeDocument/2006/customXml" ds:itemID="{A52A5B3E-5CA0-4CE9-9053-3B0A9DE21F47}"/>
</file>

<file path=docProps/app.xml><?xml version="1.0" encoding="utf-8"?>
<Properties xmlns="http://schemas.openxmlformats.org/officeDocument/2006/extended-properties" xmlns:vt="http://schemas.openxmlformats.org/officeDocument/2006/docPropsVTypes">
  <Template>Normal</Template>
  <TotalTime>1623</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and Queen Medical Supplies CC v Review Panel (HC-MD-CIV-MOT-REV-2022-00577) [2023] NAHCMD 662 (18 October 2023)</dc:title>
  <dc:subject/>
  <dc:creator>shomany keister</dc:creator>
  <cp:keywords/>
  <dc:description/>
  <cp:lastModifiedBy>Lusia Simon</cp:lastModifiedBy>
  <cp:revision>47</cp:revision>
  <cp:lastPrinted>2023-10-17T12:36:00Z</cp:lastPrinted>
  <dcterms:created xsi:type="dcterms:W3CDTF">2023-10-10T09:47:00Z</dcterms:created>
  <dcterms:modified xsi:type="dcterms:W3CDTF">2023-10-19T09:23:00Z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