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53" w:rsidRPr="0030029F" w:rsidRDefault="00724553" w:rsidP="00535EE7">
      <w:pPr>
        <w:tabs>
          <w:tab w:val="center" w:pos="4513"/>
          <w:tab w:val="right" w:pos="9027"/>
        </w:tabs>
        <w:spacing w:after="0" w:line="360" w:lineRule="auto"/>
        <w:jc w:val="center"/>
        <w:rPr>
          <w:rFonts w:ascii="Arial" w:hAnsi="Arial" w:cs="Arial"/>
          <w:b/>
          <w:sz w:val="24"/>
          <w:szCs w:val="24"/>
        </w:rPr>
      </w:pPr>
    </w:p>
    <w:p w:rsidR="00535EE7" w:rsidRPr="0030029F" w:rsidRDefault="00535EE7" w:rsidP="00535EE7">
      <w:pPr>
        <w:tabs>
          <w:tab w:val="center" w:pos="4513"/>
          <w:tab w:val="right" w:pos="9027"/>
        </w:tabs>
        <w:spacing w:after="0" w:line="360" w:lineRule="auto"/>
        <w:jc w:val="center"/>
        <w:rPr>
          <w:rFonts w:ascii="Arial" w:hAnsi="Arial" w:cs="Arial"/>
          <w:b/>
          <w:sz w:val="24"/>
          <w:szCs w:val="24"/>
        </w:rPr>
      </w:pPr>
      <w:r w:rsidRPr="0030029F">
        <w:rPr>
          <w:rFonts w:ascii="Arial" w:hAnsi="Arial" w:cs="Arial"/>
          <w:b/>
          <w:noProof/>
          <w:sz w:val="24"/>
          <w:szCs w:val="24"/>
        </w:rPr>
        <mc:AlternateContent>
          <mc:Choice Requires="wps">
            <w:drawing>
              <wp:anchor distT="0" distB="0" distL="114300" distR="114300" simplePos="0" relativeHeight="251659264" behindDoc="0" locked="0" layoutInCell="1" allowOverlap="1" wp14:anchorId="5F84BC4B" wp14:editId="0238852E">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586A78" w:rsidRPr="00F36EA1" w:rsidRDefault="00586A78" w:rsidP="00535EE7">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586A78" w:rsidRPr="005713BA" w:rsidRDefault="00586A78" w:rsidP="00535E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4BC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586A78" w:rsidRPr="00F36EA1" w:rsidRDefault="00586A78" w:rsidP="00535EE7">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586A78" w:rsidRPr="005713BA" w:rsidRDefault="00586A78" w:rsidP="00535EE7">
                      <w:pPr>
                        <w:jc w:val="center"/>
                      </w:pPr>
                    </w:p>
                  </w:txbxContent>
                </v:textbox>
              </v:shape>
            </w:pict>
          </mc:Fallback>
        </mc:AlternateContent>
      </w:r>
      <w:r w:rsidRPr="0030029F">
        <w:rPr>
          <w:rFonts w:ascii="Arial" w:hAnsi="Arial" w:cs="Arial"/>
          <w:b/>
          <w:sz w:val="24"/>
          <w:szCs w:val="24"/>
        </w:rPr>
        <w:t>REPUBLIC OF NAMIBIA</w:t>
      </w:r>
    </w:p>
    <w:p w:rsidR="00535EE7" w:rsidRPr="0030029F" w:rsidRDefault="00535EE7" w:rsidP="00535EE7">
      <w:pPr>
        <w:spacing w:after="0" w:line="360" w:lineRule="auto"/>
        <w:jc w:val="center"/>
        <w:rPr>
          <w:rFonts w:ascii="Arial" w:hAnsi="Arial" w:cs="Arial"/>
          <w:b/>
          <w:sz w:val="32"/>
          <w:szCs w:val="32"/>
        </w:rPr>
      </w:pPr>
      <w:r w:rsidRPr="0030029F">
        <w:rPr>
          <w:rFonts w:ascii="Arial" w:hAnsi="Arial" w:cs="Arial"/>
          <w:b/>
          <w:noProof/>
          <w:sz w:val="32"/>
          <w:szCs w:val="32"/>
        </w:rPr>
        <w:drawing>
          <wp:inline distT="0" distB="0" distL="0" distR="0" wp14:anchorId="4D59F9D2" wp14:editId="0FD1CB68">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535EE7" w:rsidRPr="0030029F" w:rsidRDefault="00535EE7" w:rsidP="00535EE7">
      <w:pPr>
        <w:spacing w:after="0" w:line="360" w:lineRule="auto"/>
        <w:jc w:val="center"/>
        <w:rPr>
          <w:rFonts w:ascii="Arial" w:hAnsi="Arial" w:cs="Arial"/>
          <w:b/>
          <w:sz w:val="24"/>
          <w:szCs w:val="24"/>
        </w:rPr>
      </w:pPr>
      <w:r w:rsidRPr="0030029F">
        <w:rPr>
          <w:rFonts w:ascii="Arial" w:hAnsi="Arial" w:cs="Arial"/>
          <w:b/>
          <w:sz w:val="24"/>
          <w:szCs w:val="24"/>
        </w:rPr>
        <w:t>HIGH COURT OF NAMIBIA MAIN DIVISION, WINDHOEK</w:t>
      </w:r>
    </w:p>
    <w:p w:rsidR="00535EE7" w:rsidRPr="0030029F" w:rsidRDefault="00535EE7" w:rsidP="00535EE7">
      <w:pPr>
        <w:spacing w:after="0" w:line="360" w:lineRule="auto"/>
        <w:jc w:val="center"/>
        <w:rPr>
          <w:rFonts w:ascii="Arial" w:hAnsi="Arial" w:cs="Arial"/>
          <w:bCs/>
          <w:sz w:val="24"/>
          <w:szCs w:val="24"/>
        </w:rPr>
      </w:pPr>
    </w:p>
    <w:p w:rsidR="00535EE7" w:rsidRPr="0030029F" w:rsidRDefault="00535EE7" w:rsidP="00535EE7">
      <w:pPr>
        <w:spacing w:after="0" w:line="360" w:lineRule="auto"/>
        <w:jc w:val="center"/>
        <w:rPr>
          <w:rFonts w:ascii="Arial" w:hAnsi="Arial" w:cs="Arial"/>
          <w:b/>
          <w:sz w:val="24"/>
          <w:szCs w:val="24"/>
        </w:rPr>
      </w:pPr>
      <w:r w:rsidRPr="0030029F">
        <w:rPr>
          <w:rFonts w:ascii="Arial" w:hAnsi="Arial" w:cs="Arial"/>
          <w:b/>
          <w:sz w:val="24"/>
          <w:szCs w:val="24"/>
        </w:rPr>
        <w:t xml:space="preserve">JUDGMENT </w:t>
      </w:r>
    </w:p>
    <w:p w:rsidR="003B5E93" w:rsidRPr="0030029F" w:rsidRDefault="003B5E93" w:rsidP="00535EE7">
      <w:pPr>
        <w:spacing w:after="0" w:line="360" w:lineRule="auto"/>
        <w:jc w:val="center"/>
        <w:rPr>
          <w:rFonts w:ascii="Arial" w:hAnsi="Arial" w:cs="Arial"/>
          <w:sz w:val="24"/>
          <w:szCs w:val="24"/>
        </w:rPr>
      </w:pPr>
    </w:p>
    <w:p w:rsidR="00535EE7" w:rsidRPr="0030029F" w:rsidRDefault="00535EE7" w:rsidP="003B5E93">
      <w:pPr>
        <w:tabs>
          <w:tab w:val="right" w:pos="9540"/>
        </w:tabs>
        <w:spacing w:after="0" w:line="360" w:lineRule="auto"/>
        <w:jc w:val="both"/>
        <w:rPr>
          <w:rFonts w:ascii="Arial" w:hAnsi="Arial" w:cs="Arial"/>
          <w:sz w:val="24"/>
          <w:szCs w:val="24"/>
        </w:rPr>
      </w:pPr>
      <w:r w:rsidRPr="0030029F">
        <w:rPr>
          <w:rFonts w:ascii="Arial" w:hAnsi="Arial" w:cs="Arial"/>
          <w:b/>
          <w:sz w:val="24"/>
          <w:szCs w:val="24"/>
        </w:rPr>
        <w:tab/>
      </w:r>
      <w:r w:rsidR="003B5E93" w:rsidRPr="0030029F">
        <w:rPr>
          <w:rFonts w:ascii="Arial" w:hAnsi="Arial" w:cs="Arial"/>
          <w:b/>
          <w:sz w:val="24"/>
          <w:szCs w:val="24"/>
        </w:rPr>
        <w:t xml:space="preserve">         </w:t>
      </w:r>
      <w:r w:rsidRPr="0030029F">
        <w:rPr>
          <w:rFonts w:ascii="Arial" w:hAnsi="Arial" w:cs="Arial"/>
          <w:sz w:val="24"/>
          <w:szCs w:val="24"/>
        </w:rPr>
        <w:t>Case no: HC-MD-CIV-ACT-OTH-2018-00081</w:t>
      </w:r>
    </w:p>
    <w:p w:rsidR="003B5E93" w:rsidRPr="0030029F" w:rsidRDefault="003B5E93" w:rsidP="00535EE7">
      <w:pPr>
        <w:tabs>
          <w:tab w:val="right" w:pos="9000"/>
        </w:tabs>
        <w:spacing w:after="0" w:line="360" w:lineRule="auto"/>
        <w:jc w:val="both"/>
        <w:rPr>
          <w:rFonts w:ascii="Arial" w:hAnsi="Arial" w:cs="Arial"/>
          <w:b/>
          <w:sz w:val="24"/>
          <w:szCs w:val="24"/>
        </w:rPr>
      </w:pPr>
    </w:p>
    <w:p w:rsidR="00535EE7" w:rsidRPr="0030029F" w:rsidRDefault="00535EE7" w:rsidP="00535EE7">
      <w:pPr>
        <w:spacing w:after="0" w:line="360" w:lineRule="auto"/>
        <w:jc w:val="both"/>
        <w:rPr>
          <w:rFonts w:ascii="Arial" w:hAnsi="Arial" w:cs="Arial"/>
          <w:sz w:val="24"/>
          <w:szCs w:val="24"/>
        </w:rPr>
      </w:pPr>
      <w:r w:rsidRPr="0030029F">
        <w:rPr>
          <w:rFonts w:ascii="Arial" w:hAnsi="Arial" w:cs="Arial"/>
          <w:sz w:val="24"/>
          <w:szCs w:val="24"/>
        </w:rPr>
        <w:t>In the matter between</w:t>
      </w:r>
    </w:p>
    <w:p w:rsidR="00535EE7" w:rsidRPr="0030029F" w:rsidRDefault="00535EE7" w:rsidP="00535EE7">
      <w:pPr>
        <w:spacing w:after="0" w:line="360" w:lineRule="auto"/>
        <w:jc w:val="both"/>
        <w:rPr>
          <w:rFonts w:ascii="Arial" w:eastAsia="Times New Roman" w:hAnsi="Arial" w:cs="Arial"/>
          <w:b/>
          <w:sz w:val="24"/>
          <w:szCs w:val="24"/>
          <w:lang w:val="en-GB"/>
        </w:rPr>
      </w:pPr>
    </w:p>
    <w:p w:rsidR="00535EE7" w:rsidRPr="0030029F" w:rsidRDefault="00D85F6B" w:rsidP="00535EE7">
      <w:pPr>
        <w:spacing w:after="0" w:line="360" w:lineRule="auto"/>
        <w:jc w:val="both"/>
        <w:rPr>
          <w:rFonts w:ascii="Arial" w:eastAsia="Times New Roman" w:hAnsi="Arial" w:cs="Arial"/>
          <w:b/>
          <w:sz w:val="24"/>
          <w:szCs w:val="24"/>
          <w:lang w:val="en-GB"/>
        </w:rPr>
      </w:pPr>
      <w:r w:rsidRPr="0030029F">
        <w:rPr>
          <w:rFonts w:ascii="Arial" w:eastAsia="Times New Roman" w:hAnsi="Arial" w:cs="Arial"/>
          <w:b/>
          <w:sz w:val="24"/>
          <w:szCs w:val="24"/>
          <w:lang w:val="en-GB"/>
        </w:rPr>
        <w:t xml:space="preserve">HERERO ROYAL RED FLAG ASSOCIATION </w:t>
      </w:r>
      <w:r w:rsidRPr="0030029F">
        <w:rPr>
          <w:rFonts w:ascii="Arial" w:eastAsia="Times New Roman" w:hAnsi="Arial" w:cs="Arial"/>
          <w:b/>
          <w:sz w:val="24"/>
          <w:szCs w:val="24"/>
          <w:lang w:val="en-GB"/>
        </w:rPr>
        <w:tab/>
      </w:r>
      <w:r w:rsidRPr="0030029F">
        <w:rPr>
          <w:rFonts w:ascii="Arial" w:eastAsia="Times New Roman" w:hAnsi="Arial" w:cs="Arial"/>
          <w:b/>
          <w:sz w:val="24"/>
          <w:szCs w:val="24"/>
          <w:lang w:val="en-GB"/>
        </w:rPr>
        <w:tab/>
      </w:r>
      <w:r w:rsidRPr="0030029F">
        <w:rPr>
          <w:rFonts w:ascii="Arial" w:eastAsia="Times New Roman" w:hAnsi="Arial" w:cs="Arial"/>
          <w:b/>
          <w:sz w:val="24"/>
          <w:szCs w:val="24"/>
          <w:lang w:val="en-GB"/>
        </w:rPr>
        <w:tab/>
      </w:r>
      <w:r w:rsidRPr="0030029F">
        <w:rPr>
          <w:rFonts w:ascii="Arial" w:eastAsia="Times New Roman" w:hAnsi="Arial" w:cs="Arial"/>
          <w:b/>
          <w:sz w:val="24"/>
          <w:szCs w:val="24"/>
          <w:lang w:val="en-GB"/>
        </w:rPr>
        <w:tab/>
      </w:r>
      <w:r w:rsidR="003B5E93" w:rsidRPr="0030029F">
        <w:rPr>
          <w:rFonts w:ascii="Arial" w:eastAsia="Times New Roman" w:hAnsi="Arial" w:cs="Arial"/>
          <w:b/>
          <w:sz w:val="24"/>
          <w:szCs w:val="24"/>
          <w:lang w:val="en-GB"/>
        </w:rPr>
        <w:t xml:space="preserve">                </w:t>
      </w:r>
      <w:r w:rsidRPr="0030029F">
        <w:rPr>
          <w:rFonts w:ascii="Arial" w:eastAsia="Times New Roman" w:hAnsi="Arial" w:cs="Arial"/>
          <w:b/>
          <w:sz w:val="24"/>
          <w:szCs w:val="24"/>
          <w:lang w:val="en-GB"/>
        </w:rPr>
        <w:t>PLAINTIFF</w:t>
      </w:r>
    </w:p>
    <w:p w:rsidR="00535EE7" w:rsidRPr="0030029F" w:rsidRDefault="00535EE7" w:rsidP="00535EE7">
      <w:pPr>
        <w:spacing w:after="0" w:line="360" w:lineRule="auto"/>
        <w:jc w:val="both"/>
        <w:rPr>
          <w:rFonts w:ascii="Arial" w:eastAsia="Times New Roman" w:hAnsi="Arial" w:cs="Arial"/>
          <w:sz w:val="24"/>
          <w:szCs w:val="24"/>
          <w:lang w:val="en-GB"/>
        </w:rPr>
      </w:pPr>
    </w:p>
    <w:p w:rsidR="00535EE7" w:rsidRPr="0030029F" w:rsidRDefault="005E4791" w:rsidP="00535EE7">
      <w:pPr>
        <w:spacing w:after="0" w:line="360" w:lineRule="auto"/>
        <w:jc w:val="both"/>
        <w:rPr>
          <w:rFonts w:ascii="Arial" w:eastAsia="Times New Roman" w:hAnsi="Arial" w:cs="Arial"/>
          <w:sz w:val="24"/>
          <w:szCs w:val="24"/>
          <w:lang w:val="en-GB"/>
        </w:rPr>
      </w:pPr>
      <w:r w:rsidRPr="0030029F">
        <w:rPr>
          <w:rFonts w:ascii="Arial" w:eastAsia="Times New Roman" w:hAnsi="Arial" w:cs="Arial"/>
          <w:sz w:val="24"/>
          <w:szCs w:val="24"/>
          <w:lang w:val="en-GB"/>
        </w:rPr>
        <w:t>and</w:t>
      </w:r>
    </w:p>
    <w:p w:rsidR="00535EE7" w:rsidRPr="0030029F" w:rsidRDefault="00535EE7" w:rsidP="00535EE7">
      <w:pPr>
        <w:spacing w:after="0" w:line="360" w:lineRule="auto"/>
        <w:jc w:val="both"/>
        <w:rPr>
          <w:rFonts w:ascii="Arial" w:eastAsia="Times New Roman" w:hAnsi="Arial" w:cs="Arial"/>
          <w:b/>
          <w:sz w:val="24"/>
          <w:szCs w:val="24"/>
          <w:lang w:val="en-GB"/>
        </w:rPr>
      </w:pPr>
    </w:p>
    <w:p w:rsidR="00535EE7" w:rsidRPr="0030029F" w:rsidRDefault="00D85F6B" w:rsidP="00535EE7">
      <w:pPr>
        <w:spacing w:after="0" w:line="360" w:lineRule="auto"/>
        <w:jc w:val="both"/>
        <w:rPr>
          <w:rFonts w:ascii="Arial" w:eastAsia="Times New Roman" w:hAnsi="Arial" w:cs="Arial"/>
          <w:b/>
          <w:sz w:val="24"/>
          <w:szCs w:val="24"/>
          <w:lang w:val="en-GB"/>
        </w:rPr>
      </w:pPr>
      <w:r w:rsidRPr="0030029F">
        <w:rPr>
          <w:rFonts w:ascii="Arial" w:eastAsia="Times New Roman" w:hAnsi="Arial" w:cs="Arial"/>
          <w:b/>
          <w:sz w:val="24"/>
          <w:szCs w:val="24"/>
          <w:lang w:val="en-GB"/>
        </w:rPr>
        <w:t>HERERO RED FLAG ASSOCIATION</w:t>
      </w:r>
      <w:r w:rsidRPr="0030029F">
        <w:rPr>
          <w:rFonts w:ascii="Arial" w:eastAsia="Times New Roman" w:hAnsi="Arial" w:cs="Arial"/>
          <w:b/>
          <w:sz w:val="24"/>
          <w:szCs w:val="24"/>
          <w:lang w:val="en-GB"/>
        </w:rPr>
        <w:tab/>
      </w:r>
      <w:r w:rsidRPr="0030029F">
        <w:rPr>
          <w:rFonts w:ascii="Arial" w:eastAsia="Times New Roman" w:hAnsi="Arial" w:cs="Arial"/>
          <w:b/>
          <w:sz w:val="24"/>
          <w:szCs w:val="24"/>
          <w:lang w:val="en-GB"/>
        </w:rPr>
        <w:tab/>
      </w:r>
      <w:r w:rsidRPr="0030029F">
        <w:rPr>
          <w:rFonts w:ascii="Arial" w:eastAsia="Times New Roman" w:hAnsi="Arial" w:cs="Arial"/>
          <w:b/>
          <w:sz w:val="24"/>
          <w:szCs w:val="24"/>
          <w:lang w:val="en-GB"/>
        </w:rPr>
        <w:tab/>
      </w:r>
      <w:r w:rsidRPr="0030029F">
        <w:rPr>
          <w:rFonts w:ascii="Arial" w:eastAsia="Times New Roman" w:hAnsi="Arial" w:cs="Arial"/>
          <w:b/>
          <w:sz w:val="24"/>
          <w:szCs w:val="24"/>
          <w:lang w:val="en-GB"/>
        </w:rPr>
        <w:tab/>
      </w:r>
      <w:r w:rsidRPr="0030029F">
        <w:rPr>
          <w:rFonts w:ascii="Arial" w:eastAsia="Times New Roman" w:hAnsi="Arial" w:cs="Arial"/>
          <w:b/>
          <w:sz w:val="24"/>
          <w:szCs w:val="24"/>
          <w:lang w:val="en-GB"/>
        </w:rPr>
        <w:tab/>
      </w:r>
      <w:r w:rsidR="003B5E93" w:rsidRPr="0030029F">
        <w:rPr>
          <w:rFonts w:ascii="Arial" w:eastAsia="Times New Roman" w:hAnsi="Arial" w:cs="Arial"/>
          <w:b/>
          <w:sz w:val="24"/>
          <w:szCs w:val="24"/>
          <w:lang w:val="en-GB"/>
        </w:rPr>
        <w:t xml:space="preserve">       </w:t>
      </w:r>
      <w:r w:rsidRPr="0030029F">
        <w:rPr>
          <w:rFonts w:ascii="Arial" w:eastAsia="Times New Roman" w:hAnsi="Arial" w:cs="Arial"/>
          <w:b/>
          <w:sz w:val="24"/>
          <w:szCs w:val="24"/>
          <w:lang w:val="en-GB"/>
        </w:rPr>
        <w:t>1</w:t>
      </w:r>
      <w:r w:rsidRPr="0030029F">
        <w:rPr>
          <w:rFonts w:ascii="Arial" w:eastAsia="Times New Roman" w:hAnsi="Arial" w:cs="Arial"/>
          <w:b/>
          <w:sz w:val="24"/>
          <w:szCs w:val="24"/>
          <w:vertAlign w:val="superscript"/>
          <w:lang w:val="en-GB"/>
        </w:rPr>
        <w:t>ST</w:t>
      </w:r>
      <w:r w:rsidRPr="0030029F">
        <w:rPr>
          <w:rFonts w:ascii="Arial" w:eastAsia="Times New Roman" w:hAnsi="Arial" w:cs="Arial"/>
          <w:b/>
          <w:sz w:val="24"/>
          <w:szCs w:val="24"/>
          <w:lang w:val="en-GB"/>
        </w:rPr>
        <w:t xml:space="preserve"> DEFENDANT</w:t>
      </w:r>
    </w:p>
    <w:p w:rsidR="00535EE7" w:rsidRPr="0030029F" w:rsidRDefault="00D85F6B" w:rsidP="00535EE7">
      <w:pPr>
        <w:spacing w:after="0" w:line="360" w:lineRule="auto"/>
        <w:jc w:val="both"/>
        <w:rPr>
          <w:rFonts w:ascii="Arial" w:eastAsia="Times New Roman" w:hAnsi="Arial" w:cs="Arial"/>
          <w:b/>
          <w:sz w:val="24"/>
          <w:szCs w:val="24"/>
          <w:lang w:val="en-GB"/>
        </w:rPr>
      </w:pPr>
      <w:r w:rsidRPr="0030029F">
        <w:rPr>
          <w:rFonts w:ascii="Arial" w:eastAsia="Times New Roman" w:hAnsi="Arial" w:cs="Arial"/>
          <w:b/>
          <w:sz w:val="24"/>
          <w:szCs w:val="24"/>
          <w:lang w:val="en-GB"/>
        </w:rPr>
        <w:t>THE COUNCIL OF THE MUNICIPALITY OF WINDHOEK</w:t>
      </w:r>
      <w:r w:rsidRPr="0030029F">
        <w:rPr>
          <w:rFonts w:ascii="Arial" w:eastAsia="Times New Roman" w:hAnsi="Arial" w:cs="Arial"/>
          <w:b/>
          <w:sz w:val="24"/>
          <w:szCs w:val="24"/>
          <w:lang w:val="en-GB"/>
        </w:rPr>
        <w:tab/>
      </w:r>
      <w:r w:rsidRPr="0030029F">
        <w:rPr>
          <w:rFonts w:ascii="Arial" w:eastAsia="Times New Roman" w:hAnsi="Arial" w:cs="Arial"/>
          <w:b/>
          <w:sz w:val="24"/>
          <w:szCs w:val="24"/>
          <w:lang w:val="en-GB"/>
        </w:rPr>
        <w:tab/>
      </w:r>
      <w:r w:rsidR="003B5E93" w:rsidRPr="0030029F">
        <w:rPr>
          <w:rFonts w:ascii="Arial" w:eastAsia="Times New Roman" w:hAnsi="Arial" w:cs="Arial"/>
          <w:b/>
          <w:sz w:val="24"/>
          <w:szCs w:val="24"/>
          <w:lang w:val="en-GB"/>
        </w:rPr>
        <w:t xml:space="preserve">      </w:t>
      </w:r>
      <w:r w:rsidRPr="0030029F">
        <w:rPr>
          <w:rFonts w:ascii="Arial" w:eastAsia="Times New Roman" w:hAnsi="Arial" w:cs="Arial"/>
          <w:b/>
          <w:sz w:val="24"/>
          <w:szCs w:val="24"/>
          <w:lang w:val="en-GB"/>
        </w:rPr>
        <w:t>2</w:t>
      </w:r>
      <w:r w:rsidRPr="0030029F">
        <w:rPr>
          <w:rFonts w:ascii="Arial" w:eastAsia="Times New Roman" w:hAnsi="Arial" w:cs="Arial"/>
          <w:b/>
          <w:sz w:val="24"/>
          <w:szCs w:val="24"/>
          <w:vertAlign w:val="superscript"/>
          <w:lang w:val="en-GB"/>
        </w:rPr>
        <w:t>ND</w:t>
      </w:r>
      <w:r w:rsidRPr="0030029F">
        <w:rPr>
          <w:rFonts w:ascii="Arial" w:eastAsia="Times New Roman" w:hAnsi="Arial" w:cs="Arial"/>
          <w:b/>
          <w:sz w:val="24"/>
          <w:szCs w:val="24"/>
          <w:lang w:val="en-GB"/>
        </w:rPr>
        <w:t xml:space="preserve"> DEFENDANT</w:t>
      </w:r>
    </w:p>
    <w:p w:rsidR="00535EE7" w:rsidRPr="0030029F" w:rsidRDefault="00D85F6B" w:rsidP="00535EE7">
      <w:pPr>
        <w:spacing w:after="0" w:line="360" w:lineRule="auto"/>
        <w:jc w:val="both"/>
        <w:rPr>
          <w:rFonts w:ascii="Arial" w:eastAsia="Times New Roman" w:hAnsi="Arial" w:cs="Arial"/>
          <w:b/>
          <w:sz w:val="24"/>
          <w:szCs w:val="24"/>
          <w:lang w:val="en-GB"/>
        </w:rPr>
      </w:pPr>
      <w:r w:rsidRPr="0030029F">
        <w:rPr>
          <w:rFonts w:ascii="Arial" w:eastAsia="Times New Roman" w:hAnsi="Arial" w:cs="Arial"/>
          <w:b/>
          <w:sz w:val="24"/>
          <w:szCs w:val="24"/>
          <w:lang w:val="en-GB"/>
        </w:rPr>
        <w:t>THE REGISTRAR OF DEEDS</w:t>
      </w:r>
      <w:r w:rsidRPr="0030029F">
        <w:rPr>
          <w:rFonts w:ascii="Arial" w:eastAsia="Times New Roman" w:hAnsi="Arial" w:cs="Arial"/>
          <w:b/>
          <w:sz w:val="24"/>
          <w:szCs w:val="24"/>
          <w:lang w:val="en-GB"/>
        </w:rPr>
        <w:tab/>
      </w:r>
      <w:r w:rsidRPr="0030029F">
        <w:rPr>
          <w:rFonts w:ascii="Arial" w:eastAsia="Times New Roman" w:hAnsi="Arial" w:cs="Arial"/>
          <w:b/>
          <w:sz w:val="24"/>
          <w:szCs w:val="24"/>
          <w:lang w:val="en-GB"/>
        </w:rPr>
        <w:tab/>
      </w:r>
      <w:r w:rsidRPr="0030029F">
        <w:rPr>
          <w:rFonts w:ascii="Arial" w:eastAsia="Times New Roman" w:hAnsi="Arial" w:cs="Arial"/>
          <w:b/>
          <w:sz w:val="24"/>
          <w:szCs w:val="24"/>
          <w:lang w:val="en-GB"/>
        </w:rPr>
        <w:tab/>
      </w:r>
      <w:r w:rsidRPr="0030029F">
        <w:rPr>
          <w:rFonts w:ascii="Arial" w:eastAsia="Times New Roman" w:hAnsi="Arial" w:cs="Arial"/>
          <w:b/>
          <w:sz w:val="24"/>
          <w:szCs w:val="24"/>
          <w:lang w:val="en-GB"/>
        </w:rPr>
        <w:tab/>
      </w:r>
      <w:r w:rsidRPr="0030029F">
        <w:rPr>
          <w:rFonts w:ascii="Arial" w:eastAsia="Times New Roman" w:hAnsi="Arial" w:cs="Arial"/>
          <w:b/>
          <w:sz w:val="24"/>
          <w:szCs w:val="24"/>
          <w:lang w:val="en-GB"/>
        </w:rPr>
        <w:tab/>
      </w:r>
      <w:r w:rsidRPr="0030029F">
        <w:rPr>
          <w:rFonts w:ascii="Arial" w:eastAsia="Times New Roman" w:hAnsi="Arial" w:cs="Arial"/>
          <w:b/>
          <w:sz w:val="24"/>
          <w:szCs w:val="24"/>
          <w:lang w:val="en-GB"/>
        </w:rPr>
        <w:tab/>
      </w:r>
      <w:r w:rsidR="003B5E93" w:rsidRPr="0030029F">
        <w:rPr>
          <w:rFonts w:ascii="Arial" w:eastAsia="Times New Roman" w:hAnsi="Arial" w:cs="Arial"/>
          <w:b/>
          <w:sz w:val="24"/>
          <w:szCs w:val="24"/>
          <w:lang w:val="en-GB"/>
        </w:rPr>
        <w:t xml:space="preserve">      </w:t>
      </w:r>
      <w:r w:rsidRPr="0030029F">
        <w:rPr>
          <w:rFonts w:ascii="Arial" w:eastAsia="Times New Roman" w:hAnsi="Arial" w:cs="Arial"/>
          <w:b/>
          <w:sz w:val="24"/>
          <w:szCs w:val="24"/>
          <w:lang w:val="en-GB"/>
        </w:rPr>
        <w:t>3</w:t>
      </w:r>
      <w:r w:rsidRPr="0030029F">
        <w:rPr>
          <w:rFonts w:ascii="Arial" w:eastAsia="Times New Roman" w:hAnsi="Arial" w:cs="Arial"/>
          <w:b/>
          <w:sz w:val="24"/>
          <w:szCs w:val="24"/>
          <w:vertAlign w:val="superscript"/>
          <w:lang w:val="en-GB"/>
        </w:rPr>
        <w:t>RD</w:t>
      </w:r>
      <w:r w:rsidRPr="0030029F">
        <w:rPr>
          <w:rFonts w:ascii="Arial" w:eastAsia="Times New Roman" w:hAnsi="Arial" w:cs="Arial"/>
          <w:b/>
          <w:sz w:val="24"/>
          <w:szCs w:val="24"/>
          <w:lang w:val="en-GB"/>
        </w:rPr>
        <w:t xml:space="preserve"> DEFENDANT</w:t>
      </w:r>
    </w:p>
    <w:p w:rsidR="00535EE7" w:rsidRPr="0030029F" w:rsidRDefault="00D85F6B" w:rsidP="00535EE7">
      <w:pPr>
        <w:spacing w:after="0" w:line="360" w:lineRule="auto"/>
        <w:jc w:val="both"/>
        <w:rPr>
          <w:rFonts w:ascii="Arial" w:eastAsia="Times New Roman" w:hAnsi="Arial" w:cs="Arial"/>
          <w:b/>
          <w:sz w:val="24"/>
          <w:szCs w:val="24"/>
          <w:lang w:val="en-GB"/>
        </w:rPr>
      </w:pPr>
      <w:r w:rsidRPr="0030029F">
        <w:rPr>
          <w:rFonts w:ascii="Arial" w:eastAsia="Times New Roman" w:hAnsi="Arial" w:cs="Arial"/>
          <w:b/>
          <w:sz w:val="24"/>
          <w:szCs w:val="24"/>
          <w:lang w:val="en-GB"/>
        </w:rPr>
        <w:t>DR WEDER, KAUTA &amp; HOVEKA INCORPORATED</w:t>
      </w:r>
      <w:r w:rsidRPr="0030029F">
        <w:rPr>
          <w:rFonts w:ascii="Arial" w:eastAsia="Times New Roman" w:hAnsi="Arial" w:cs="Arial"/>
          <w:b/>
          <w:sz w:val="24"/>
          <w:szCs w:val="24"/>
          <w:lang w:val="en-GB"/>
        </w:rPr>
        <w:tab/>
      </w:r>
      <w:r w:rsidRPr="0030029F">
        <w:rPr>
          <w:rFonts w:ascii="Arial" w:eastAsia="Times New Roman" w:hAnsi="Arial" w:cs="Arial"/>
          <w:b/>
          <w:sz w:val="24"/>
          <w:szCs w:val="24"/>
          <w:lang w:val="en-GB"/>
        </w:rPr>
        <w:tab/>
      </w:r>
      <w:r w:rsidRPr="0030029F">
        <w:rPr>
          <w:rFonts w:ascii="Arial" w:eastAsia="Times New Roman" w:hAnsi="Arial" w:cs="Arial"/>
          <w:b/>
          <w:sz w:val="24"/>
          <w:szCs w:val="24"/>
          <w:lang w:val="en-GB"/>
        </w:rPr>
        <w:tab/>
      </w:r>
      <w:r w:rsidR="003B5E93" w:rsidRPr="0030029F">
        <w:rPr>
          <w:rFonts w:ascii="Arial" w:eastAsia="Times New Roman" w:hAnsi="Arial" w:cs="Arial"/>
          <w:b/>
          <w:sz w:val="24"/>
          <w:szCs w:val="24"/>
          <w:lang w:val="en-GB"/>
        </w:rPr>
        <w:t xml:space="preserve">      </w:t>
      </w:r>
      <w:r w:rsidRPr="0030029F">
        <w:rPr>
          <w:rFonts w:ascii="Arial" w:eastAsia="Times New Roman" w:hAnsi="Arial" w:cs="Arial"/>
          <w:b/>
          <w:sz w:val="24"/>
          <w:szCs w:val="24"/>
          <w:lang w:val="en-GB"/>
        </w:rPr>
        <w:t>4</w:t>
      </w:r>
      <w:r w:rsidRPr="0030029F">
        <w:rPr>
          <w:rFonts w:ascii="Arial" w:eastAsia="Times New Roman" w:hAnsi="Arial" w:cs="Arial"/>
          <w:b/>
          <w:sz w:val="24"/>
          <w:szCs w:val="24"/>
          <w:vertAlign w:val="superscript"/>
          <w:lang w:val="en-GB"/>
        </w:rPr>
        <w:t>TH</w:t>
      </w:r>
      <w:r w:rsidRPr="0030029F">
        <w:rPr>
          <w:rFonts w:ascii="Arial" w:eastAsia="Times New Roman" w:hAnsi="Arial" w:cs="Arial"/>
          <w:b/>
          <w:sz w:val="24"/>
          <w:szCs w:val="24"/>
          <w:lang w:val="en-GB"/>
        </w:rPr>
        <w:t xml:space="preserve"> DEFENDANT</w:t>
      </w:r>
    </w:p>
    <w:p w:rsidR="00535EE7" w:rsidRPr="0030029F" w:rsidRDefault="00535EE7" w:rsidP="00535EE7">
      <w:pPr>
        <w:spacing w:after="0" w:line="360" w:lineRule="auto"/>
        <w:jc w:val="both"/>
        <w:rPr>
          <w:rFonts w:ascii="Arial" w:eastAsia="Times New Roman" w:hAnsi="Arial" w:cs="Arial"/>
          <w:sz w:val="24"/>
          <w:szCs w:val="24"/>
          <w:lang w:val="en-GB"/>
        </w:rPr>
      </w:pPr>
    </w:p>
    <w:p w:rsidR="003F22D3" w:rsidRPr="0030029F" w:rsidRDefault="00535EE7" w:rsidP="00360E83">
      <w:pPr>
        <w:spacing w:after="0" w:line="360" w:lineRule="auto"/>
        <w:ind w:left="2160" w:hanging="2160"/>
        <w:jc w:val="both"/>
        <w:rPr>
          <w:rFonts w:ascii="Arial" w:hAnsi="Arial" w:cs="Arial"/>
          <w:i/>
          <w:sz w:val="24"/>
          <w:szCs w:val="24"/>
        </w:rPr>
      </w:pPr>
      <w:r w:rsidRPr="0030029F">
        <w:rPr>
          <w:rFonts w:ascii="Arial" w:hAnsi="Arial" w:cs="Arial"/>
          <w:b/>
          <w:sz w:val="24"/>
          <w:szCs w:val="24"/>
        </w:rPr>
        <w:t>Neutral citation:</w:t>
      </w:r>
      <w:r w:rsidR="00360E83" w:rsidRPr="0030029F">
        <w:rPr>
          <w:rFonts w:ascii="Arial" w:hAnsi="Arial" w:cs="Arial"/>
          <w:sz w:val="24"/>
          <w:szCs w:val="24"/>
        </w:rPr>
        <w:tab/>
      </w:r>
      <w:r w:rsidR="00EA27D2" w:rsidRPr="0030029F">
        <w:rPr>
          <w:rFonts w:ascii="Arial" w:hAnsi="Arial" w:cs="Arial"/>
          <w:i/>
          <w:sz w:val="24"/>
          <w:szCs w:val="24"/>
        </w:rPr>
        <w:t xml:space="preserve">Herero </w:t>
      </w:r>
      <w:r w:rsidR="004C2B77" w:rsidRPr="0030029F">
        <w:rPr>
          <w:rFonts w:ascii="Arial" w:hAnsi="Arial" w:cs="Arial"/>
          <w:i/>
          <w:sz w:val="24"/>
          <w:szCs w:val="24"/>
        </w:rPr>
        <w:t xml:space="preserve">Royal Red Flag Association </w:t>
      </w:r>
      <w:r w:rsidRPr="0030029F">
        <w:rPr>
          <w:rFonts w:ascii="Arial" w:hAnsi="Arial" w:cs="Arial"/>
          <w:i/>
          <w:sz w:val="24"/>
          <w:szCs w:val="24"/>
        </w:rPr>
        <w:t xml:space="preserve">v </w:t>
      </w:r>
      <w:r w:rsidR="00EA27D2" w:rsidRPr="0030029F">
        <w:rPr>
          <w:rFonts w:ascii="Arial" w:hAnsi="Arial" w:cs="Arial"/>
          <w:i/>
          <w:sz w:val="24"/>
          <w:szCs w:val="24"/>
        </w:rPr>
        <w:t xml:space="preserve">Herero </w:t>
      </w:r>
      <w:r w:rsidR="003F22D3" w:rsidRPr="0030029F">
        <w:rPr>
          <w:rFonts w:ascii="Arial" w:hAnsi="Arial" w:cs="Arial"/>
          <w:i/>
          <w:sz w:val="24"/>
          <w:szCs w:val="24"/>
        </w:rPr>
        <w:t>Red Flag Association</w:t>
      </w:r>
    </w:p>
    <w:p w:rsidR="00535EE7" w:rsidRPr="0030029F" w:rsidRDefault="00535EE7" w:rsidP="00764EB1">
      <w:pPr>
        <w:spacing w:after="0" w:line="360" w:lineRule="auto"/>
        <w:ind w:left="2160"/>
        <w:jc w:val="both"/>
        <w:rPr>
          <w:rFonts w:ascii="Arial" w:hAnsi="Arial" w:cs="Arial"/>
          <w:sz w:val="24"/>
          <w:szCs w:val="24"/>
        </w:rPr>
      </w:pPr>
      <w:bookmarkStart w:id="0" w:name="_GoBack"/>
      <w:bookmarkEnd w:id="0"/>
      <w:r w:rsidRPr="0030029F">
        <w:rPr>
          <w:rFonts w:ascii="Arial" w:hAnsi="Arial" w:cs="Arial"/>
          <w:sz w:val="24"/>
          <w:szCs w:val="24"/>
        </w:rPr>
        <w:t>(</w:t>
      </w:r>
      <w:r w:rsidR="004F701C" w:rsidRPr="0030029F">
        <w:rPr>
          <w:rFonts w:ascii="Arial" w:hAnsi="Arial" w:cs="Arial"/>
          <w:sz w:val="24"/>
          <w:szCs w:val="24"/>
        </w:rPr>
        <w:t>HC-MD-CIV-ACT-OTH-2018/</w:t>
      </w:r>
      <w:r w:rsidR="00EA27D2" w:rsidRPr="0030029F">
        <w:rPr>
          <w:rFonts w:ascii="Arial" w:hAnsi="Arial" w:cs="Arial"/>
          <w:sz w:val="24"/>
          <w:szCs w:val="24"/>
        </w:rPr>
        <w:t>00081</w:t>
      </w:r>
      <w:r w:rsidR="003B5E93" w:rsidRPr="0030029F">
        <w:rPr>
          <w:rFonts w:ascii="Arial" w:hAnsi="Arial" w:cs="Arial"/>
          <w:sz w:val="24"/>
          <w:szCs w:val="24"/>
        </w:rPr>
        <w:t xml:space="preserve">) [2020] NAHCMD </w:t>
      </w:r>
      <w:r w:rsidR="00FD4F0C" w:rsidRPr="0030029F">
        <w:rPr>
          <w:rFonts w:ascii="Arial" w:hAnsi="Arial" w:cs="Arial"/>
          <w:sz w:val="24"/>
          <w:szCs w:val="24"/>
        </w:rPr>
        <w:t>674</w:t>
      </w:r>
      <w:r w:rsidR="00360E83" w:rsidRPr="0030029F">
        <w:rPr>
          <w:rFonts w:ascii="Arial" w:hAnsi="Arial" w:cs="Arial"/>
          <w:sz w:val="24"/>
          <w:szCs w:val="24"/>
        </w:rPr>
        <w:t xml:space="preserve"> </w:t>
      </w:r>
      <w:r w:rsidRPr="0030029F">
        <w:rPr>
          <w:rFonts w:ascii="Arial" w:hAnsi="Arial" w:cs="Arial"/>
          <w:sz w:val="24"/>
          <w:szCs w:val="24"/>
        </w:rPr>
        <w:t>(</w:t>
      </w:r>
      <w:r w:rsidR="00A008DA" w:rsidRPr="0030029F">
        <w:rPr>
          <w:rFonts w:ascii="Arial" w:hAnsi="Arial" w:cs="Arial"/>
          <w:sz w:val="24"/>
          <w:szCs w:val="24"/>
        </w:rPr>
        <w:t>24</w:t>
      </w:r>
      <w:r w:rsidR="003B5E93" w:rsidRPr="0030029F">
        <w:rPr>
          <w:rFonts w:ascii="Arial" w:hAnsi="Arial" w:cs="Arial"/>
          <w:sz w:val="24"/>
          <w:szCs w:val="24"/>
        </w:rPr>
        <w:t xml:space="preserve"> </w:t>
      </w:r>
      <w:r w:rsidR="00A008DA" w:rsidRPr="0030029F">
        <w:rPr>
          <w:rFonts w:ascii="Arial" w:hAnsi="Arial" w:cs="Arial"/>
          <w:sz w:val="24"/>
          <w:szCs w:val="24"/>
        </w:rPr>
        <w:t xml:space="preserve">October </w:t>
      </w:r>
      <w:r w:rsidRPr="0030029F">
        <w:rPr>
          <w:rFonts w:ascii="Arial" w:hAnsi="Arial" w:cs="Arial"/>
          <w:sz w:val="24"/>
          <w:szCs w:val="24"/>
        </w:rPr>
        <w:t>202</w:t>
      </w:r>
      <w:r w:rsidR="00A008DA" w:rsidRPr="0030029F">
        <w:rPr>
          <w:rFonts w:ascii="Arial" w:hAnsi="Arial" w:cs="Arial"/>
          <w:sz w:val="24"/>
          <w:szCs w:val="24"/>
        </w:rPr>
        <w:t>3</w:t>
      </w:r>
      <w:r w:rsidRPr="0030029F">
        <w:rPr>
          <w:rFonts w:ascii="Arial" w:hAnsi="Arial" w:cs="Arial"/>
          <w:sz w:val="24"/>
          <w:szCs w:val="24"/>
        </w:rPr>
        <w:t>)</w:t>
      </w:r>
    </w:p>
    <w:p w:rsidR="003F22D3" w:rsidRPr="0030029F" w:rsidRDefault="003F22D3" w:rsidP="00360E83">
      <w:pPr>
        <w:spacing w:after="0" w:line="360" w:lineRule="auto"/>
        <w:ind w:left="2160" w:hanging="2160"/>
        <w:jc w:val="both"/>
        <w:rPr>
          <w:rFonts w:ascii="Arial" w:hAnsi="Arial" w:cs="Arial"/>
          <w:sz w:val="24"/>
          <w:szCs w:val="24"/>
        </w:rPr>
      </w:pPr>
    </w:p>
    <w:p w:rsidR="00EA27D2" w:rsidRPr="0030029F" w:rsidRDefault="00535EE7" w:rsidP="00535EE7">
      <w:pPr>
        <w:spacing w:after="0" w:line="360" w:lineRule="auto"/>
        <w:ind w:left="1440" w:hanging="1440"/>
        <w:jc w:val="both"/>
        <w:rPr>
          <w:rFonts w:ascii="Arial" w:hAnsi="Arial" w:cs="Arial"/>
          <w:sz w:val="24"/>
          <w:szCs w:val="24"/>
        </w:rPr>
      </w:pPr>
      <w:r w:rsidRPr="0030029F">
        <w:rPr>
          <w:rFonts w:ascii="Arial" w:hAnsi="Arial" w:cs="Arial"/>
          <w:b/>
          <w:sz w:val="24"/>
          <w:szCs w:val="24"/>
        </w:rPr>
        <w:t>Coram:</w:t>
      </w:r>
      <w:r w:rsidRPr="0030029F">
        <w:rPr>
          <w:rFonts w:ascii="Arial" w:hAnsi="Arial" w:cs="Arial"/>
          <w:sz w:val="24"/>
          <w:szCs w:val="24"/>
        </w:rPr>
        <w:tab/>
        <w:t xml:space="preserve">CLAASEN, J </w:t>
      </w:r>
    </w:p>
    <w:p w:rsidR="005F11D4" w:rsidRPr="0030029F" w:rsidRDefault="00724553" w:rsidP="003F22D3">
      <w:pPr>
        <w:spacing w:after="0" w:line="360" w:lineRule="auto"/>
        <w:ind w:left="1440" w:hanging="1440"/>
        <w:jc w:val="both"/>
        <w:rPr>
          <w:rFonts w:ascii="Arial" w:hAnsi="Arial" w:cs="Arial"/>
          <w:b/>
          <w:sz w:val="24"/>
          <w:szCs w:val="24"/>
        </w:rPr>
      </w:pPr>
      <w:r w:rsidRPr="0030029F">
        <w:rPr>
          <w:rFonts w:ascii="Arial" w:hAnsi="Arial" w:cs="Arial"/>
          <w:b/>
          <w:sz w:val="24"/>
          <w:szCs w:val="24"/>
        </w:rPr>
        <w:t>Heard</w:t>
      </w:r>
      <w:r w:rsidRPr="0030029F">
        <w:rPr>
          <w:rFonts w:ascii="Arial" w:hAnsi="Arial" w:cs="Arial"/>
          <w:sz w:val="24"/>
          <w:szCs w:val="24"/>
        </w:rPr>
        <w:t>:</w:t>
      </w:r>
      <w:r w:rsidRPr="0030029F">
        <w:rPr>
          <w:rFonts w:ascii="Arial" w:hAnsi="Arial" w:cs="Arial"/>
          <w:sz w:val="24"/>
          <w:szCs w:val="24"/>
        </w:rPr>
        <w:tab/>
      </w:r>
      <w:r w:rsidR="00A008DA" w:rsidRPr="0030029F">
        <w:rPr>
          <w:rFonts w:ascii="Arial" w:hAnsi="Arial" w:cs="Arial"/>
          <w:b/>
          <w:sz w:val="24"/>
          <w:szCs w:val="24"/>
        </w:rPr>
        <w:t>1</w:t>
      </w:r>
      <w:r w:rsidR="005E5B0F" w:rsidRPr="0030029F">
        <w:rPr>
          <w:rFonts w:ascii="Arial" w:hAnsi="Arial" w:cs="Arial"/>
          <w:b/>
          <w:sz w:val="24"/>
          <w:szCs w:val="24"/>
        </w:rPr>
        <w:t xml:space="preserve"> November 2022, 24 J</w:t>
      </w:r>
      <w:r w:rsidR="00A008DA" w:rsidRPr="0030029F">
        <w:rPr>
          <w:rFonts w:ascii="Arial" w:hAnsi="Arial" w:cs="Arial"/>
          <w:b/>
          <w:sz w:val="24"/>
          <w:szCs w:val="24"/>
        </w:rPr>
        <w:t xml:space="preserve">anuary 2023, 16 February 2023, </w:t>
      </w:r>
      <w:r w:rsidR="005E5B0F" w:rsidRPr="0030029F">
        <w:rPr>
          <w:rFonts w:ascii="Arial" w:hAnsi="Arial" w:cs="Arial"/>
          <w:b/>
          <w:sz w:val="24"/>
          <w:szCs w:val="24"/>
        </w:rPr>
        <w:t xml:space="preserve">2 March 2023, 19 April 2023, </w:t>
      </w:r>
      <w:r w:rsidR="00764EB1">
        <w:rPr>
          <w:rFonts w:ascii="Arial" w:hAnsi="Arial" w:cs="Arial"/>
          <w:b/>
          <w:sz w:val="24"/>
          <w:szCs w:val="24"/>
        </w:rPr>
        <w:t>12 July 2023, 11 October 2023.</w:t>
      </w:r>
    </w:p>
    <w:p w:rsidR="003F22D3" w:rsidRPr="0030029F" w:rsidRDefault="003F22D3" w:rsidP="003F22D3">
      <w:pPr>
        <w:spacing w:after="0" w:line="360" w:lineRule="auto"/>
        <w:ind w:left="1440" w:hanging="1440"/>
        <w:jc w:val="both"/>
        <w:rPr>
          <w:rFonts w:ascii="Arial" w:hAnsi="Arial" w:cs="Arial"/>
          <w:b/>
          <w:sz w:val="24"/>
          <w:szCs w:val="24"/>
        </w:rPr>
      </w:pPr>
    </w:p>
    <w:p w:rsidR="00535EE7" w:rsidRPr="0030029F" w:rsidRDefault="00535EE7" w:rsidP="00535EE7">
      <w:pPr>
        <w:spacing w:after="0" w:line="360" w:lineRule="auto"/>
        <w:jc w:val="both"/>
        <w:rPr>
          <w:rFonts w:ascii="Arial" w:hAnsi="Arial" w:cs="Arial"/>
          <w:b/>
          <w:sz w:val="24"/>
          <w:szCs w:val="24"/>
        </w:rPr>
      </w:pPr>
      <w:r w:rsidRPr="0030029F">
        <w:rPr>
          <w:rFonts w:ascii="Arial" w:hAnsi="Arial" w:cs="Arial"/>
          <w:b/>
          <w:bCs/>
          <w:sz w:val="24"/>
          <w:szCs w:val="24"/>
        </w:rPr>
        <w:t>Delivered</w:t>
      </w:r>
      <w:r w:rsidRPr="0030029F">
        <w:rPr>
          <w:rFonts w:ascii="Arial" w:hAnsi="Arial" w:cs="Arial"/>
          <w:sz w:val="24"/>
          <w:szCs w:val="24"/>
        </w:rPr>
        <w:t>:</w:t>
      </w:r>
      <w:r w:rsidR="00724553" w:rsidRPr="0030029F">
        <w:rPr>
          <w:rFonts w:ascii="Arial" w:hAnsi="Arial" w:cs="Arial"/>
          <w:b/>
          <w:sz w:val="24"/>
          <w:szCs w:val="24"/>
        </w:rPr>
        <w:tab/>
      </w:r>
      <w:r w:rsidR="00A008DA" w:rsidRPr="0030029F">
        <w:rPr>
          <w:rFonts w:ascii="Arial" w:hAnsi="Arial" w:cs="Arial"/>
          <w:b/>
          <w:sz w:val="24"/>
          <w:szCs w:val="24"/>
        </w:rPr>
        <w:t>24</w:t>
      </w:r>
      <w:r w:rsidR="0025104E" w:rsidRPr="0030029F">
        <w:rPr>
          <w:rFonts w:ascii="Arial" w:hAnsi="Arial" w:cs="Arial"/>
          <w:b/>
          <w:sz w:val="24"/>
          <w:szCs w:val="24"/>
        </w:rPr>
        <w:t xml:space="preserve"> October 2023</w:t>
      </w:r>
      <w:r w:rsidR="0047432C" w:rsidRPr="0030029F">
        <w:rPr>
          <w:rFonts w:ascii="Arial" w:hAnsi="Arial" w:cs="Arial"/>
          <w:b/>
          <w:sz w:val="24"/>
          <w:szCs w:val="24"/>
        </w:rPr>
        <w:t xml:space="preserve">    </w:t>
      </w:r>
    </w:p>
    <w:p w:rsidR="003F22D3" w:rsidRPr="0030029F" w:rsidRDefault="003F22D3" w:rsidP="00535EE7">
      <w:pPr>
        <w:spacing w:after="0" w:line="360" w:lineRule="auto"/>
        <w:jc w:val="both"/>
        <w:rPr>
          <w:rFonts w:ascii="Arial" w:hAnsi="Arial" w:cs="Arial"/>
          <w:sz w:val="24"/>
          <w:szCs w:val="24"/>
        </w:rPr>
      </w:pPr>
    </w:p>
    <w:p w:rsidR="001F18EB" w:rsidRPr="0030029F" w:rsidRDefault="0047432C" w:rsidP="001F18EB">
      <w:pPr>
        <w:spacing w:after="0" w:line="360" w:lineRule="auto"/>
        <w:jc w:val="both"/>
        <w:rPr>
          <w:rFonts w:ascii="Arial" w:hAnsi="Arial" w:cs="Arial"/>
          <w:sz w:val="24"/>
          <w:szCs w:val="24"/>
        </w:rPr>
      </w:pPr>
      <w:r w:rsidRPr="0030029F">
        <w:rPr>
          <w:rFonts w:ascii="Arial" w:hAnsi="Arial" w:cs="Arial"/>
          <w:b/>
          <w:sz w:val="24"/>
          <w:szCs w:val="24"/>
        </w:rPr>
        <w:t>F</w:t>
      </w:r>
      <w:r w:rsidR="00535EE7" w:rsidRPr="0030029F">
        <w:rPr>
          <w:rFonts w:ascii="Arial" w:hAnsi="Arial" w:cs="Arial"/>
          <w:b/>
          <w:sz w:val="24"/>
          <w:szCs w:val="24"/>
        </w:rPr>
        <w:t>lynote</w:t>
      </w:r>
      <w:r w:rsidR="001F21EE" w:rsidRPr="0030029F">
        <w:rPr>
          <w:rFonts w:ascii="Arial" w:hAnsi="Arial" w:cs="Arial"/>
          <w:sz w:val="24"/>
          <w:szCs w:val="24"/>
        </w:rPr>
        <w:t xml:space="preserve">:   </w:t>
      </w:r>
      <w:r w:rsidR="00146591" w:rsidRPr="0030029F">
        <w:rPr>
          <w:rFonts w:ascii="Arial" w:hAnsi="Arial" w:cs="Arial"/>
          <w:sz w:val="24"/>
          <w:szCs w:val="24"/>
        </w:rPr>
        <w:t>Sale  immovable land – Abstract sy</w:t>
      </w:r>
      <w:r w:rsidR="00086111" w:rsidRPr="0030029F">
        <w:rPr>
          <w:rFonts w:ascii="Arial" w:hAnsi="Arial" w:cs="Arial"/>
          <w:sz w:val="24"/>
          <w:szCs w:val="24"/>
        </w:rPr>
        <w:t>stem of transfer of ownership –</w:t>
      </w:r>
      <w:r w:rsidR="0025104E" w:rsidRPr="0030029F">
        <w:rPr>
          <w:rFonts w:ascii="Arial" w:hAnsi="Arial" w:cs="Arial"/>
          <w:sz w:val="24"/>
          <w:szCs w:val="24"/>
        </w:rPr>
        <w:t xml:space="preserve"> Essence of abstract theory that ownership passes if real agreement is valid  – Real agreement – Intention on part of the transferor and the transferee to transfer and to acquire ownership </w:t>
      </w:r>
      <w:r w:rsidR="001F18EB" w:rsidRPr="0030029F">
        <w:rPr>
          <w:rFonts w:ascii="Arial" w:hAnsi="Arial" w:cs="Arial"/>
          <w:sz w:val="24"/>
          <w:szCs w:val="24"/>
        </w:rPr>
        <w:t xml:space="preserve">of the land </w:t>
      </w:r>
      <w:r w:rsidR="00766D7E" w:rsidRPr="0030029F">
        <w:rPr>
          <w:rFonts w:ascii="Arial" w:eastAsiaTheme="minorEastAsia" w:hAnsi="Arial" w:cs="Arial"/>
          <w:sz w:val="24"/>
          <w:szCs w:val="24"/>
        </w:rPr>
        <w:t>–</w:t>
      </w:r>
      <w:r w:rsidR="001F18EB" w:rsidRPr="0030029F">
        <w:rPr>
          <w:rFonts w:ascii="Arial" w:eastAsiaTheme="minorEastAsia" w:hAnsi="Arial" w:cs="Arial"/>
          <w:sz w:val="24"/>
          <w:szCs w:val="24"/>
        </w:rPr>
        <w:t xml:space="preserve"> C</w:t>
      </w:r>
      <w:r w:rsidR="001F18EB" w:rsidRPr="0030029F">
        <w:rPr>
          <w:rFonts w:ascii="Arial" w:hAnsi="Arial" w:cs="Arial"/>
          <w:sz w:val="24"/>
          <w:szCs w:val="24"/>
        </w:rPr>
        <w:t>onsensus between the seller and the purchaser in all respects and a valid and real agreement was concluded</w:t>
      </w:r>
      <w:r w:rsidR="001F18EB" w:rsidRPr="0030029F">
        <w:rPr>
          <w:rFonts w:ascii="Arial" w:eastAsiaTheme="minorEastAsia" w:hAnsi="Arial" w:cs="Arial"/>
          <w:sz w:val="24"/>
          <w:szCs w:val="24"/>
        </w:rPr>
        <w:t xml:space="preserve"> – O</w:t>
      </w:r>
      <w:r w:rsidR="00766D7E" w:rsidRPr="0030029F">
        <w:rPr>
          <w:rFonts w:ascii="Arial" w:eastAsiaTheme="minorEastAsia" w:hAnsi="Arial" w:cs="Arial"/>
          <w:sz w:val="24"/>
          <w:szCs w:val="24"/>
        </w:rPr>
        <w:t>wnership should have passed</w:t>
      </w:r>
      <w:r w:rsidR="00137B04" w:rsidRPr="0030029F">
        <w:rPr>
          <w:rFonts w:ascii="Arial" w:eastAsiaTheme="minorEastAsia" w:hAnsi="Arial" w:cs="Arial"/>
          <w:sz w:val="24"/>
          <w:szCs w:val="24"/>
        </w:rPr>
        <w:t xml:space="preserve"> to the plaintiff instead</w:t>
      </w:r>
      <w:r w:rsidR="001F18EB" w:rsidRPr="0030029F">
        <w:rPr>
          <w:rFonts w:ascii="Arial" w:eastAsiaTheme="minorEastAsia" w:hAnsi="Arial" w:cs="Arial"/>
          <w:sz w:val="24"/>
          <w:szCs w:val="24"/>
        </w:rPr>
        <w:t xml:space="preserve"> – </w:t>
      </w:r>
      <w:r w:rsidR="001F18EB" w:rsidRPr="0030029F">
        <w:rPr>
          <w:rFonts w:ascii="Arial" w:hAnsi="Arial" w:cs="Arial"/>
          <w:sz w:val="24"/>
          <w:szCs w:val="24"/>
        </w:rPr>
        <w:t xml:space="preserve">Absent any real agreement, the first defendant, as a matter of law, never became the owner, that is despite the entry of it being the owner in the Deeds Registry. </w:t>
      </w:r>
    </w:p>
    <w:p w:rsidR="00137B04" w:rsidRPr="0030029F" w:rsidRDefault="00137B04" w:rsidP="001F21EE">
      <w:pPr>
        <w:spacing w:after="0" w:line="360" w:lineRule="auto"/>
        <w:jc w:val="both"/>
        <w:rPr>
          <w:rFonts w:ascii="Arial" w:hAnsi="Arial" w:cs="Arial"/>
          <w:sz w:val="24"/>
          <w:szCs w:val="24"/>
        </w:rPr>
      </w:pPr>
    </w:p>
    <w:p w:rsidR="001F21EE" w:rsidRPr="0030029F" w:rsidRDefault="001F21EE" w:rsidP="001F21EE">
      <w:pPr>
        <w:spacing w:after="0" w:line="360" w:lineRule="auto"/>
        <w:jc w:val="both"/>
        <w:rPr>
          <w:rFonts w:ascii="Arial" w:hAnsi="Arial" w:cs="Arial"/>
          <w:sz w:val="24"/>
          <w:szCs w:val="24"/>
        </w:rPr>
      </w:pPr>
      <w:r w:rsidRPr="0030029F">
        <w:rPr>
          <w:rFonts w:ascii="Arial" w:hAnsi="Arial" w:cs="Arial"/>
          <w:b/>
          <w:sz w:val="24"/>
          <w:szCs w:val="24"/>
        </w:rPr>
        <w:t>Summary</w:t>
      </w:r>
      <w:r w:rsidRPr="0030029F">
        <w:rPr>
          <w:rFonts w:ascii="Arial" w:hAnsi="Arial" w:cs="Arial"/>
          <w:sz w:val="24"/>
          <w:szCs w:val="24"/>
        </w:rPr>
        <w:t xml:space="preserve">: </w:t>
      </w:r>
      <w:r w:rsidR="001C6369" w:rsidRPr="0030029F">
        <w:rPr>
          <w:rFonts w:ascii="Arial" w:hAnsi="Arial" w:cs="Arial"/>
          <w:sz w:val="24"/>
          <w:szCs w:val="24"/>
        </w:rPr>
        <w:t xml:space="preserve"> </w:t>
      </w:r>
      <w:r w:rsidRPr="0030029F">
        <w:rPr>
          <w:rFonts w:ascii="Arial" w:hAnsi="Arial" w:cs="Arial"/>
          <w:sz w:val="24"/>
          <w:szCs w:val="24"/>
        </w:rPr>
        <w:t xml:space="preserve">The plaintiff instituted action for rectification of a certain title deed </w:t>
      </w:r>
      <w:r w:rsidR="007202E8" w:rsidRPr="0030029F">
        <w:rPr>
          <w:rFonts w:ascii="Arial" w:hAnsi="Arial" w:cs="Arial"/>
          <w:sz w:val="24"/>
          <w:szCs w:val="24"/>
        </w:rPr>
        <w:t xml:space="preserve">and </w:t>
      </w:r>
      <w:r w:rsidR="00B15BC2" w:rsidRPr="0030029F">
        <w:rPr>
          <w:rFonts w:ascii="Arial" w:hAnsi="Arial" w:cs="Arial"/>
          <w:sz w:val="24"/>
          <w:szCs w:val="24"/>
        </w:rPr>
        <w:t>eviction of</w:t>
      </w:r>
      <w:r w:rsidRPr="0030029F">
        <w:rPr>
          <w:rFonts w:ascii="Arial" w:hAnsi="Arial" w:cs="Arial"/>
          <w:sz w:val="24"/>
          <w:szCs w:val="24"/>
        </w:rPr>
        <w:t xml:space="preserve"> </w:t>
      </w:r>
      <w:r w:rsidR="005E4791" w:rsidRPr="0030029F">
        <w:rPr>
          <w:rFonts w:ascii="Arial" w:hAnsi="Arial" w:cs="Arial"/>
          <w:sz w:val="24"/>
          <w:szCs w:val="24"/>
        </w:rPr>
        <w:t xml:space="preserve">the </w:t>
      </w:r>
      <w:r w:rsidRPr="0030029F">
        <w:rPr>
          <w:rFonts w:ascii="Arial" w:hAnsi="Arial" w:cs="Arial"/>
          <w:sz w:val="24"/>
          <w:szCs w:val="24"/>
        </w:rPr>
        <w:t>first defendant from the premises. The plaintiff claims to have concluded a deed of sale and paid the purchase price for the property</w:t>
      </w:r>
      <w:r w:rsidR="00B15BC2" w:rsidRPr="0030029F">
        <w:rPr>
          <w:rFonts w:ascii="Arial" w:hAnsi="Arial" w:cs="Arial"/>
          <w:sz w:val="24"/>
          <w:szCs w:val="24"/>
        </w:rPr>
        <w:t xml:space="preserve">. The plaintiff </w:t>
      </w:r>
      <w:r w:rsidR="00930220" w:rsidRPr="0030029F">
        <w:rPr>
          <w:rFonts w:ascii="Arial" w:hAnsi="Arial" w:cs="Arial"/>
          <w:sz w:val="24"/>
          <w:szCs w:val="24"/>
        </w:rPr>
        <w:t xml:space="preserve">claims that the </w:t>
      </w:r>
      <w:r w:rsidR="00272924" w:rsidRPr="0030029F">
        <w:rPr>
          <w:rFonts w:ascii="Arial" w:hAnsi="Arial" w:cs="Arial"/>
          <w:sz w:val="24"/>
          <w:szCs w:val="24"/>
        </w:rPr>
        <w:t>Erf</w:t>
      </w:r>
      <w:r w:rsidR="00930220" w:rsidRPr="0030029F">
        <w:rPr>
          <w:rFonts w:ascii="Arial" w:hAnsi="Arial" w:cs="Arial"/>
          <w:sz w:val="24"/>
          <w:szCs w:val="24"/>
        </w:rPr>
        <w:t xml:space="preserve"> </w:t>
      </w:r>
      <w:r w:rsidR="009E1ECF" w:rsidRPr="0030029F">
        <w:rPr>
          <w:rFonts w:ascii="Arial" w:hAnsi="Arial" w:cs="Arial"/>
          <w:sz w:val="24"/>
          <w:szCs w:val="24"/>
        </w:rPr>
        <w:t xml:space="preserve">was registered in the name of first defendant because of an error. </w:t>
      </w:r>
      <w:r w:rsidRPr="0030029F">
        <w:rPr>
          <w:rFonts w:ascii="Arial" w:hAnsi="Arial" w:cs="Arial"/>
          <w:sz w:val="24"/>
          <w:szCs w:val="24"/>
        </w:rPr>
        <w:t xml:space="preserve">First defendant </w:t>
      </w:r>
      <w:r w:rsidR="009E1ECF" w:rsidRPr="0030029F">
        <w:rPr>
          <w:rFonts w:ascii="Arial" w:hAnsi="Arial" w:cs="Arial"/>
          <w:sz w:val="24"/>
          <w:szCs w:val="24"/>
        </w:rPr>
        <w:t xml:space="preserve">denies that </w:t>
      </w:r>
      <w:r w:rsidRPr="0030029F">
        <w:rPr>
          <w:rFonts w:ascii="Arial" w:hAnsi="Arial" w:cs="Arial"/>
          <w:sz w:val="24"/>
          <w:szCs w:val="24"/>
        </w:rPr>
        <w:t>the plaintiff paid the purchase price</w:t>
      </w:r>
      <w:r w:rsidR="009E1ECF" w:rsidRPr="0030029F">
        <w:rPr>
          <w:rFonts w:ascii="Arial" w:hAnsi="Arial" w:cs="Arial"/>
          <w:sz w:val="24"/>
          <w:szCs w:val="24"/>
        </w:rPr>
        <w:t xml:space="preserve">. </w:t>
      </w:r>
      <w:r w:rsidRPr="0030029F">
        <w:rPr>
          <w:rFonts w:ascii="Arial" w:hAnsi="Arial" w:cs="Arial"/>
          <w:sz w:val="24"/>
          <w:szCs w:val="24"/>
        </w:rPr>
        <w:t xml:space="preserve">The first defendant furthermore denies that an error occurred and pleaded that the said </w:t>
      </w:r>
      <w:r w:rsidR="00272924" w:rsidRPr="0030029F">
        <w:rPr>
          <w:rFonts w:ascii="Arial" w:hAnsi="Arial" w:cs="Arial"/>
          <w:sz w:val="24"/>
          <w:szCs w:val="24"/>
        </w:rPr>
        <w:t>Erf</w:t>
      </w:r>
      <w:r w:rsidRPr="0030029F">
        <w:rPr>
          <w:rFonts w:ascii="Arial" w:hAnsi="Arial" w:cs="Arial"/>
          <w:sz w:val="24"/>
          <w:szCs w:val="24"/>
        </w:rPr>
        <w:t xml:space="preserve"> was transferred in </w:t>
      </w:r>
      <w:r w:rsidR="00915622" w:rsidRPr="0030029F">
        <w:rPr>
          <w:rFonts w:ascii="Arial" w:hAnsi="Arial" w:cs="Arial"/>
          <w:sz w:val="24"/>
          <w:szCs w:val="24"/>
        </w:rPr>
        <w:t>accordance with the</w:t>
      </w:r>
      <w:r w:rsidR="009E1ECF" w:rsidRPr="0030029F">
        <w:rPr>
          <w:rFonts w:ascii="Arial" w:hAnsi="Arial" w:cs="Arial"/>
          <w:sz w:val="24"/>
          <w:szCs w:val="24"/>
        </w:rPr>
        <w:t xml:space="preserve"> power of attorney. </w:t>
      </w:r>
      <w:r w:rsidR="007202E8" w:rsidRPr="0030029F">
        <w:rPr>
          <w:rFonts w:ascii="Arial" w:hAnsi="Arial" w:cs="Arial"/>
          <w:sz w:val="24"/>
          <w:szCs w:val="24"/>
        </w:rPr>
        <w:t xml:space="preserve">First defendant </w:t>
      </w:r>
      <w:r w:rsidR="002B673D" w:rsidRPr="0030029F">
        <w:rPr>
          <w:rFonts w:ascii="Arial" w:hAnsi="Arial" w:cs="Arial"/>
          <w:sz w:val="24"/>
          <w:szCs w:val="24"/>
        </w:rPr>
        <w:t>filed a conditional co</w:t>
      </w:r>
      <w:r w:rsidR="00137B04" w:rsidRPr="0030029F">
        <w:rPr>
          <w:rFonts w:ascii="Arial" w:hAnsi="Arial" w:cs="Arial"/>
          <w:sz w:val="24"/>
          <w:szCs w:val="24"/>
        </w:rPr>
        <w:t>unterclaim for undue enrichment, but did not persist with it.</w:t>
      </w:r>
    </w:p>
    <w:p w:rsidR="0047432C" w:rsidRPr="0030029F" w:rsidRDefault="0047432C" w:rsidP="001F21EE">
      <w:pPr>
        <w:spacing w:after="0" w:line="360" w:lineRule="auto"/>
        <w:jc w:val="both"/>
        <w:rPr>
          <w:rFonts w:ascii="Arial" w:hAnsi="Arial" w:cs="Arial"/>
          <w:sz w:val="24"/>
          <w:szCs w:val="24"/>
        </w:rPr>
      </w:pPr>
    </w:p>
    <w:p w:rsidR="00BE708A" w:rsidRPr="0030029F" w:rsidRDefault="00BE708A" w:rsidP="00BE708A">
      <w:pPr>
        <w:spacing w:after="0" w:line="360" w:lineRule="auto"/>
        <w:jc w:val="both"/>
        <w:rPr>
          <w:rFonts w:ascii="Arial" w:hAnsi="Arial" w:cs="Arial"/>
          <w:sz w:val="24"/>
          <w:szCs w:val="24"/>
        </w:rPr>
      </w:pPr>
      <w:r w:rsidRPr="0030029F">
        <w:rPr>
          <w:rFonts w:ascii="Arial" w:hAnsi="Arial" w:cs="Arial"/>
          <w:i/>
          <w:sz w:val="24"/>
          <w:szCs w:val="24"/>
        </w:rPr>
        <w:t>Held</w:t>
      </w:r>
      <w:r w:rsidR="00137B04" w:rsidRPr="0030029F">
        <w:rPr>
          <w:rFonts w:ascii="Arial" w:hAnsi="Arial" w:cs="Arial"/>
          <w:i/>
          <w:sz w:val="24"/>
          <w:szCs w:val="24"/>
        </w:rPr>
        <w:t xml:space="preserve"> that</w:t>
      </w:r>
      <w:r w:rsidR="00137B04" w:rsidRPr="0030029F">
        <w:rPr>
          <w:rFonts w:ascii="Arial" w:hAnsi="Arial" w:cs="Arial"/>
          <w:sz w:val="24"/>
          <w:szCs w:val="24"/>
        </w:rPr>
        <w:t xml:space="preserve"> – </w:t>
      </w:r>
      <w:r w:rsidRPr="0030029F">
        <w:rPr>
          <w:rFonts w:ascii="Arial" w:hAnsi="Arial" w:cs="Arial"/>
          <w:sz w:val="24"/>
          <w:szCs w:val="24"/>
        </w:rPr>
        <w:t>Ownership never passed to</w:t>
      </w:r>
      <w:r w:rsidR="005E4791" w:rsidRPr="0030029F">
        <w:rPr>
          <w:rFonts w:ascii="Arial" w:hAnsi="Arial" w:cs="Arial"/>
          <w:sz w:val="24"/>
          <w:szCs w:val="24"/>
        </w:rPr>
        <w:t xml:space="preserve"> the</w:t>
      </w:r>
      <w:r w:rsidRPr="0030029F">
        <w:rPr>
          <w:rFonts w:ascii="Arial" w:hAnsi="Arial" w:cs="Arial"/>
          <w:sz w:val="24"/>
          <w:szCs w:val="24"/>
        </w:rPr>
        <w:t xml:space="preserve"> first defendant as there was no real agreement between</w:t>
      </w:r>
      <w:r w:rsidR="007202E8" w:rsidRPr="0030029F">
        <w:rPr>
          <w:rFonts w:ascii="Arial" w:hAnsi="Arial" w:cs="Arial"/>
          <w:sz w:val="24"/>
          <w:szCs w:val="24"/>
        </w:rPr>
        <w:t xml:space="preserve"> the</w:t>
      </w:r>
      <w:r w:rsidRPr="0030029F">
        <w:rPr>
          <w:rFonts w:ascii="Arial" w:hAnsi="Arial" w:cs="Arial"/>
          <w:sz w:val="24"/>
          <w:szCs w:val="24"/>
        </w:rPr>
        <w:t xml:space="preserve"> first defendant and the second defendant. The real agreement was between the plaintiff and the second defendant </w:t>
      </w:r>
      <w:r w:rsidR="00D75264" w:rsidRPr="0030029F">
        <w:rPr>
          <w:rFonts w:ascii="Arial" w:hAnsi="Arial" w:cs="Arial"/>
          <w:sz w:val="24"/>
          <w:szCs w:val="24"/>
        </w:rPr>
        <w:t xml:space="preserve">and the plaintiff is thus the true owner. </w:t>
      </w:r>
    </w:p>
    <w:p w:rsidR="00BE708A" w:rsidRPr="0030029F" w:rsidRDefault="00BE708A" w:rsidP="001F21EE">
      <w:pPr>
        <w:spacing w:after="0" w:line="360" w:lineRule="auto"/>
        <w:jc w:val="both"/>
        <w:rPr>
          <w:rFonts w:ascii="Arial" w:hAnsi="Arial" w:cs="Arial"/>
          <w:i/>
          <w:sz w:val="24"/>
          <w:szCs w:val="24"/>
        </w:rPr>
      </w:pPr>
    </w:p>
    <w:p w:rsidR="0047432C" w:rsidRPr="0030029F" w:rsidRDefault="00137B04" w:rsidP="001F21EE">
      <w:pPr>
        <w:spacing w:after="0" w:line="360" w:lineRule="auto"/>
        <w:jc w:val="both"/>
        <w:rPr>
          <w:rFonts w:ascii="Arial" w:hAnsi="Arial" w:cs="Arial"/>
          <w:sz w:val="24"/>
          <w:szCs w:val="24"/>
        </w:rPr>
      </w:pPr>
      <w:r w:rsidRPr="0030029F">
        <w:rPr>
          <w:rFonts w:ascii="Arial" w:hAnsi="Arial" w:cs="Arial"/>
          <w:i/>
          <w:sz w:val="24"/>
          <w:szCs w:val="24"/>
        </w:rPr>
        <w:t>Held further that</w:t>
      </w:r>
      <w:r w:rsidRPr="0030029F">
        <w:rPr>
          <w:rFonts w:ascii="Arial" w:hAnsi="Arial" w:cs="Arial"/>
          <w:sz w:val="24"/>
          <w:szCs w:val="24"/>
        </w:rPr>
        <w:t xml:space="preserve"> – </w:t>
      </w:r>
      <w:r w:rsidR="0047432C" w:rsidRPr="0030029F">
        <w:rPr>
          <w:rFonts w:ascii="Arial" w:hAnsi="Arial" w:cs="Arial"/>
          <w:sz w:val="24"/>
          <w:szCs w:val="24"/>
        </w:rPr>
        <w:t>Where a deed of transfer of immovable property does not reflect the real agreement between the seller and the purchaser of the property, there is no difference between rectification of a contract, on the one hand, and rectification of the deed of transfer</w:t>
      </w:r>
      <w:r w:rsidR="00DA2157" w:rsidRPr="0030029F">
        <w:rPr>
          <w:rFonts w:ascii="Arial" w:hAnsi="Arial" w:cs="Arial"/>
          <w:sz w:val="24"/>
          <w:szCs w:val="24"/>
        </w:rPr>
        <w:t>.</w:t>
      </w:r>
      <w:r w:rsidR="0047432C" w:rsidRPr="0030029F">
        <w:rPr>
          <w:rFonts w:ascii="Arial" w:hAnsi="Arial" w:cs="Arial"/>
          <w:sz w:val="24"/>
          <w:szCs w:val="24"/>
        </w:rPr>
        <w:t xml:space="preserve"> Rectification of the deed of transfer does not alter the rights and obligations of the parties to the deed of transfer: it merely serves to correct the deed of transfer and is a declaration of what the parties to the deed of transfer to be rectified had agreed to in the real agreement giving rise to the deed of transfer.</w:t>
      </w:r>
    </w:p>
    <w:p w:rsidR="001F21EE" w:rsidRPr="0030029F" w:rsidRDefault="001F21EE" w:rsidP="001F21EE">
      <w:pPr>
        <w:spacing w:after="0" w:line="360" w:lineRule="auto"/>
        <w:jc w:val="both"/>
        <w:rPr>
          <w:rFonts w:ascii="Arial" w:hAnsi="Arial" w:cs="Arial"/>
          <w:sz w:val="24"/>
          <w:szCs w:val="24"/>
          <w:lang w:val="en-GB"/>
        </w:rPr>
      </w:pPr>
    </w:p>
    <w:p w:rsidR="00535EE7" w:rsidRPr="0030029F" w:rsidRDefault="00AC0464" w:rsidP="003B5E93">
      <w:pPr>
        <w:spacing w:after="0" w:line="360" w:lineRule="auto"/>
        <w:jc w:val="both"/>
        <w:rPr>
          <w:rFonts w:ascii="Arial" w:hAnsi="Arial" w:cs="Arial"/>
          <w:bCs/>
          <w:sz w:val="24"/>
          <w:szCs w:val="24"/>
        </w:rPr>
      </w:pPr>
      <w:r>
        <w:rPr>
          <w:rFonts w:ascii="Arial" w:hAnsi="Arial" w:cs="Arial"/>
        </w:rPr>
        <w:pict>
          <v:rect id="_x0000_i1025" style="width:0;height:1.5pt" o:hralign="center" o:hrstd="t" o:hr="t" fillcolor="#a0a0a0" stroked="f"/>
        </w:pict>
      </w:r>
    </w:p>
    <w:p w:rsidR="00535EE7" w:rsidRPr="0030029F" w:rsidRDefault="00CC1447" w:rsidP="003B5E93">
      <w:pPr>
        <w:spacing w:after="0" w:line="360" w:lineRule="auto"/>
        <w:jc w:val="center"/>
        <w:rPr>
          <w:rFonts w:ascii="Arial" w:hAnsi="Arial" w:cs="Arial"/>
          <w:b/>
          <w:bCs/>
          <w:sz w:val="24"/>
          <w:szCs w:val="24"/>
        </w:rPr>
      </w:pPr>
      <w:r w:rsidRPr="0030029F">
        <w:rPr>
          <w:rFonts w:ascii="Arial" w:hAnsi="Arial" w:cs="Arial"/>
          <w:b/>
          <w:bCs/>
          <w:sz w:val="24"/>
          <w:szCs w:val="24"/>
        </w:rPr>
        <w:t>ORDER</w:t>
      </w:r>
    </w:p>
    <w:p w:rsidR="00535EE7" w:rsidRPr="0030029F" w:rsidRDefault="00AC0464" w:rsidP="003B5E93">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3B5E93" w:rsidRPr="0030029F" w:rsidRDefault="003B5E93" w:rsidP="003B5E93">
      <w:pPr>
        <w:pStyle w:val="ListParagraph"/>
        <w:spacing w:after="0" w:line="360" w:lineRule="auto"/>
        <w:jc w:val="both"/>
        <w:rPr>
          <w:rFonts w:ascii="Arial" w:hAnsi="Arial" w:cs="Arial"/>
          <w:sz w:val="24"/>
          <w:szCs w:val="24"/>
        </w:rPr>
      </w:pPr>
    </w:p>
    <w:p w:rsidR="002867CC" w:rsidRPr="0030029F" w:rsidRDefault="005E4791" w:rsidP="007C3D89">
      <w:pPr>
        <w:pStyle w:val="ListParagraph"/>
        <w:numPr>
          <w:ilvl w:val="0"/>
          <w:numId w:val="16"/>
        </w:numPr>
        <w:spacing w:after="0" w:line="360" w:lineRule="auto"/>
        <w:jc w:val="both"/>
        <w:rPr>
          <w:rFonts w:ascii="Arial" w:hAnsi="Arial" w:cs="Arial"/>
          <w:sz w:val="24"/>
          <w:szCs w:val="24"/>
        </w:rPr>
      </w:pPr>
      <w:r w:rsidRPr="0030029F">
        <w:rPr>
          <w:rFonts w:ascii="Arial" w:hAnsi="Arial" w:cs="Arial"/>
          <w:sz w:val="24"/>
          <w:szCs w:val="24"/>
        </w:rPr>
        <w:t>T</w:t>
      </w:r>
      <w:r w:rsidR="002867CC" w:rsidRPr="0030029F">
        <w:rPr>
          <w:rFonts w:ascii="Arial" w:hAnsi="Arial" w:cs="Arial"/>
          <w:sz w:val="24"/>
          <w:szCs w:val="24"/>
        </w:rPr>
        <w:t xml:space="preserve">he title deed T6147/2009 for </w:t>
      </w:r>
      <w:r w:rsidR="00272924" w:rsidRPr="0030029F">
        <w:rPr>
          <w:rFonts w:ascii="Arial" w:hAnsi="Arial" w:cs="Arial"/>
          <w:sz w:val="24"/>
          <w:szCs w:val="24"/>
        </w:rPr>
        <w:t>Erf</w:t>
      </w:r>
      <w:r w:rsidR="002867CC" w:rsidRPr="0030029F">
        <w:rPr>
          <w:rFonts w:ascii="Arial" w:hAnsi="Arial" w:cs="Arial"/>
          <w:sz w:val="24"/>
          <w:szCs w:val="24"/>
        </w:rPr>
        <w:t xml:space="preserve"> no 6297 (a portion of </w:t>
      </w:r>
      <w:r w:rsidR="00272924" w:rsidRPr="0030029F">
        <w:rPr>
          <w:rFonts w:ascii="Arial" w:hAnsi="Arial" w:cs="Arial"/>
          <w:sz w:val="24"/>
          <w:szCs w:val="24"/>
        </w:rPr>
        <w:t>Erf</w:t>
      </w:r>
      <w:r w:rsidR="002867CC" w:rsidRPr="0030029F">
        <w:rPr>
          <w:rFonts w:ascii="Arial" w:hAnsi="Arial" w:cs="Arial"/>
          <w:sz w:val="24"/>
          <w:szCs w:val="24"/>
        </w:rPr>
        <w:t xml:space="preserve"> 6296, Katutura extension no 11 </w:t>
      </w:r>
      <w:r w:rsidRPr="0030029F">
        <w:rPr>
          <w:rFonts w:ascii="Arial" w:hAnsi="Arial" w:cs="Arial"/>
          <w:sz w:val="24"/>
          <w:szCs w:val="24"/>
        </w:rPr>
        <w:t xml:space="preserve">must </w:t>
      </w:r>
      <w:r w:rsidR="002867CC" w:rsidRPr="0030029F">
        <w:rPr>
          <w:rFonts w:ascii="Arial" w:hAnsi="Arial" w:cs="Arial"/>
          <w:sz w:val="24"/>
          <w:szCs w:val="24"/>
        </w:rPr>
        <w:t>be rectified to reflect the name of the owner as ‘Herero Royal Red Flag Association (non-profit association incorporated under section 21) registration no 21/2016/0780</w:t>
      </w:r>
      <w:r w:rsidR="007C3D89" w:rsidRPr="0030029F">
        <w:rPr>
          <w:rFonts w:ascii="Arial" w:hAnsi="Arial" w:cs="Arial"/>
          <w:sz w:val="24"/>
          <w:szCs w:val="24"/>
        </w:rPr>
        <w:t>’</w:t>
      </w:r>
      <w:r w:rsidR="002867CC" w:rsidRPr="0030029F">
        <w:rPr>
          <w:rFonts w:ascii="Arial" w:hAnsi="Arial" w:cs="Arial"/>
          <w:sz w:val="24"/>
          <w:szCs w:val="24"/>
        </w:rPr>
        <w:t>.</w:t>
      </w:r>
    </w:p>
    <w:p w:rsidR="007C3D89" w:rsidRPr="0030029F" w:rsidRDefault="007C3D89" w:rsidP="007C3D89">
      <w:pPr>
        <w:pStyle w:val="ListParagraph"/>
        <w:spacing w:after="0" w:line="360" w:lineRule="auto"/>
        <w:jc w:val="both"/>
        <w:rPr>
          <w:rFonts w:ascii="Arial" w:hAnsi="Arial" w:cs="Arial"/>
          <w:sz w:val="24"/>
          <w:szCs w:val="24"/>
        </w:rPr>
      </w:pPr>
    </w:p>
    <w:p w:rsidR="002867CC" w:rsidRPr="0030029F" w:rsidRDefault="005E4791" w:rsidP="007C3D89">
      <w:pPr>
        <w:pStyle w:val="ListParagraph"/>
        <w:numPr>
          <w:ilvl w:val="0"/>
          <w:numId w:val="16"/>
        </w:numPr>
        <w:spacing w:after="0" w:line="360" w:lineRule="auto"/>
        <w:jc w:val="both"/>
        <w:rPr>
          <w:rFonts w:ascii="Arial" w:hAnsi="Arial" w:cs="Arial"/>
          <w:sz w:val="24"/>
          <w:szCs w:val="24"/>
        </w:rPr>
      </w:pPr>
      <w:r w:rsidRPr="0030029F">
        <w:rPr>
          <w:rFonts w:ascii="Arial" w:hAnsi="Arial" w:cs="Arial"/>
          <w:sz w:val="24"/>
          <w:szCs w:val="24"/>
        </w:rPr>
        <w:t>T</w:t>
      </w:r>
      <w:r w:rsidR="002867CC" w:rsidRPr="0030029F">
        <w:rPr>
          <w:rFonts w:ascii="Arial" w:hAnsi="Arial" w:cs="Arial"/>
          <w:sz w:val="24"/>
          <w:szCs w:val="24"/>
        </w:rPr>
        <w:t xml:space="preserve">he first defendant </w:t>
      </w:r>
      <w:r w:rsidRPr="0030029F">
        <w:rPr>
          <w:rFonts w:ascii="Arial" w:hAnsi="Arial" w:cs="Arial"/>
          <w:sz w:val="24"/>
          <w:szCs w:val="24"/>
        </w:rPr>
        <w:t xml:space="preserve">must </w:t>
      </w:r>
      <w:r w:rsidR="002867CC" w:rsidRPr="0030029F">
        <w:rPr>
          <w:rFonts w:ascii="Arial" w:hAnsi="Arial" w:cs="Arial"/>
          <w:sz w:val="24"/>
          <w:szCs w:val="24"/>
        </w:rPr>
        <w:t xml:space="preserve">vacate the </w:t>
      </w:r>
      <w:r w:rsidR="00272924" w:rsidRPr="0030029F">
        <w:rPr>
          <w:rFonts w:ascii="Arial" w:hAnsi="Arial" w:cs="Arial"/>
          <w:sz w:val="24"/>
          <w:szCs w:val="24"/>
        </w:rPr>
        <w:t>Erf</w:t>
      </w:r>
      <w:r w:rsidR="002867CC" w:rsidRPr="0030029F">
        <w:rPr>
          <w:rFonts w:ascii="Arial" w:hAnsi="Arial" w:cs="Arial"/>
          <w:sz w:val="24"/>
          <w:szCs w:val="24"/>
        </w:rPr>
        <w:t xml:space="preserve"> forthwith.</w:t>
      </w:r>
    </w:p>
    <w:p w:rsidR="007C3D89" w:rsidRPr="0030029F" w:rsidRDefault="007C3D89" w:rsidP="007C3D89">
      <w:pPr>
        <w:pStyle w:val="ListParagraph"/>
        <w:rPr>
          <w:rFonts w:ascii="Arial" w:hAnsi="Arial" w:cs="Arial"/>
          <w:sz w:val="24"/>
          <w:szCs w:val="24"/>
        </w:rPr>
      </w:pPr>
    </w:p>
    <w:p w:rsidR="002867CC" w:rsidRPr="0030029F" w:rsidRDefault="001139F9" w:rsidP="004D660B">
      <w:pPr>
        <w:pStyle w:val="ListParagraph"/>
        <w:numPr>
          <w:ilvl w:val="0"/>
          <w:numId w:val="16"/>
        </w:numPr>
        <w:spacing w:after="0" w:line="360" w:lineRule="auto"/>
        <w:jc w:val="both"/>
        <w:rPr>
          <w:rFonts w:ascii="Arial" w:hAnsi="Arial" w:cs="Arial"/>
          <w:sz w:val="24"/>
          <w:szCs w:val="24"/>
        </w:rPr>
      </w:pPr>
      <w:r w:rsidRPr="0030029F">
        <w:rPr>
          <w:rFonts w:ascii="Arial" w:hAnsi="Arial" w:cs="Arial"/>
          <w:sz w:val="24"/>
          <w:szCs w:val="24"/>
        </w:rPr>
        <w:t xml:space="preserve">In respect of the main claim, the first defendant is ordered to </w:t>
      </w:r>
      <w:r w:rsidR="002867CC" w:rsidRPr="0030029F">
        <w:rPr>
          <w:rFonts w:ascii="Arial" w:hAnsi="Arial" w:cs="Arial"/>
          <w:sz w:val="24"/>
          <w:szCs w:val="24"/>
        </w:rPr>
        <w:t xml:space="preserve">pay the </w:t>
      </w:r>
      <w:r w:rsidR="005E4791" w:rsidRPr="0030029F">
        <w:rPr>
          <w:rFonts w:ascii="Arial" w:hAnsi="Arial" w:cs="Arial"/>
          <w:sz w:val="24"/>
          <w:szCs w:val="24"/>
        </w:rPr>
        <w:t xml:space="preserve">plaintiff’s </w:t>
      </w:r>
      <w:r w:rsidR="002867CC" w:rsidRPr="0030029F">
        <w:rPr>
          <w:rFonts w:ascii="Arial" w:hAnsi="Arial" w:cs="Arial"/>
          <w:sz w:val="24"/>
          <w:szCs w:val="24"/>
        </w:rPr>
        <w:t>cost</w:t>
      </w:r>
      <w:r w:rsidRPr="0030029F">
        <w:rPr>
          <w:rFonts w:ascii="Arial" w:hAnsi="Arial" w:cs="Arial"/>
          <w:sz w:val="24"/>
          <w:szCs w:val="24"/>
        </w:rPr>
        <w:t xml:space="preserve"> of suit</w:t>
      </w:r>
      <w:r w:rsidR="005E4791" w:rsidRPr="0030029F">
        <w:rPr>
          <w:rFonts w:ascii="Arial" w:hAnsi="Arial" w:cs="Arial"/>
          <w:sz w:val="24"/>
          <w:szCs w:val="24"/>
        </w:rPr>
        <w:t>,</w:t>
      </w:r>
      <w:r w:rsidRPr="0030029F">
        <w:rPr>
          <w:rFonts w:ascii="Arial" w:hAnsi="Arial" w:cs="Arial"/>
          <w:sz w:val="24"/>
          <w:szCs w:val="24"/>
        </w:rPr>
        <w:t xml:space="preserve"> and such costs include</w:t>
      </w:r>
      <w:r w:rsidR="005E4791" w:rsidRPr="0030029F">
        <w:rPr>
          <w:rFonts w:ascii="Arial" w:hAnsi="Arial" w:cs="Arial"/>
          <w:sz w:val="24"/>
          <w:szCs w:val="24"/>
        </w:rPr>
        <w:t xml:space="preserve"> one instructing and one instructed counsel.</w:t>
      </w:r>
      <w:r w:rsidR="002867CC" w:rsidRPr="0030029F">
        <w:rPr>
          <w:rFonts w:ascii="Arial" w:hAnsi="Arial" w:cs="Arial"/>
          <w:sz w:val="24"/>
          <w:szCs w:val="24"/>
        </w:rPr>
        <w:t xml:space="preserve"> </w:t>
      </w:r>
    </w:p>
    <w:p w:rsidR="004D660B" w:rsidRPr="0030029F" w:rsidRDefault="004D660B" w:rsidP="004D660B">
      <w:pPr>
        <w:pStyle w:val="ListParagraph"/>
        <w:rPr>
          <w:rFonts w:ascii="Arial" w:hAnsi="Arial" w:cs="Arial"/>
          <w:sz w:val="24"/>
          <w:szCs w:val="24"/>
        </w:rPr>
      </w:pPr>
    </w:p>
    <w:p w:rsidR="004D660B" w:rsidRPr="0030029F" w:rsidRDefault="004D660B" w:rsidP="004D660B">
      <w:pPr>
        <w:pStyle w:val="ListParagraph"/>
        <w:numPr>
          <w:ilvl w:val="0"/>
          <w:numId w:val="16"/>
        </w:numPr>
        <w:spacing w:after="0" w:line="360" w:lineRule="auto"/>
        <w:jc w:val="both"/>
        <w:rPr>
          <w:rFonts w:ascii="Arial" w:hAnsi="Arial" w:cs="Arial"/>
          <w:sz w:val="24"/>
          <w:szCs w:val="24"/>
        </w:rPr>
      </w:pPr>
      <w:r w:rsidRPr="0030029F">
        <w:rPr>
          <w:rFonts w:ascii="Arial" w:hAnsi="Arial" w:cs="Arial"/>
          <w:sz w:val="24"/>
          <w:szCs w:val="24"/>
        </w:rPr>
        <w:t xml:space="preserve">The first defendant </w:t>
      </w:r>
      <w:r w:rsidR="001139F9" w:rsidRPr="0030029F">
        <w:rPr>
          <w:rFonts w:ascii="Arial" w:hAnsi="Arial" w:cs="Arial"/>
          <w:sz w:val="24"/>
          <w:szCs w:val="24"/>
        </w:rPr>
        <w:t>is ordered to pay the plaintiff’s costs in respect of its abandoned counterclaim, and such costs are limited to the costs incurred in regard to the taking of instructions and the drawing up of pleadings: such costs include</w:t>
      </w:r>
      <w:r w:rsidR="005E4791" w:rsidRPr="0030029F">
        <w:rPr>
          <w:rFonts w:ascii="Arial" w:hAnsi="Arial" w:cs="Arial"/>
          <w:sz w:val="24"/>
          <w:szCs w:val="24"/>
        </w:rPr>
        <w:t xml:space="preserve"> </w:t>
      </w:r>
      <w:r w:rsidR="001139F9" w:rsidRPr="0030029F">
        <w:rPr>
          <w:rFonts w:ascii="Arial" w:hAnsi="Arial" w:cs="Arial"/>
          <w:sz w:val="24"/>
          <w:szCs w:val="24"/>
        </w:rPr>
        <w:t xml:space="preserve">costs of </w:t>
      </w:r>
      <w:r w:rsidR="005E4791" w:rsidRPr="0030029F">
        <w:rPr>
          <w:rFonts w:ascii="Arial" w:hAnsi="Arial" w:cs="Arial"/>
          <w:sz w:val="24"/>
          <w:szCs w:val="24"/>
        </w:rPr>
        <w:t>one instructing and one instructed counsel</w:t>
      </w:r>
      <w:r w:rsidRPr="0030029F">
        <w:rPr>
          <w:rFonts w:ascii="Arial" w:hAnsi="Arial" w:cs="Arial"/>
          <w:sz w:val="24"/>
          <w:szCs w:val="24"/>
        </w:rPr>
        <w:t>.</w:t>
      </w:r>
    </w:p>
    <w:p w:rsidR="001139F9" w:rsidRPr="0030029F" w:rsidRDefault="001139F9" w:rsidP="001139F9">
      <w:pPr>
        <w:pStyle w:val="ListParagraph"/>
        <w:rPr>
          <w:rFonts w:ascii="Arial" w:hAnsi="Arial" w:cs="Arial"/>
          <w:sz w:val="24"/>
          <w:szCs w:val="24"/>
        </w:rPr>
      </w:pPr>
    </w:p>
    <w:p w:rsidR="001139F9" w:rsidRPr="0030029F" w:rsidRDefault="001139F9" w:rsidP="004D660B">
      <w:pPr>
        <w:pStyle w:val="ListParagraph"/>
        <w:numPr>
          <w:ilvl w:val="0"/>
          <w:numId w:val="16"/>
        </w:numPr>
        <w:spacing w:after="0" w:line="360" w:lineRule="auto"/>
        <w:jc w:val="both"/>
        <w:rPr>
          <w:rFonts w:ascii="Arial" w:hAnsi="Arial" w:cs="Arial"/>
          <w:sz w:val="24"/>
          <w:szCs w:val="24"/>
        </w:rPr>
      </w:pPr>
      <w:r w:rsidRPr="0030029F">
        <w:rPr>
          <w:rFonts w:ascii="Arial" w:hAnsi="Arial" w:cs="Arial"/>
          <w:sz w:val="24"/>
          <w:szCs w:val="24"/>
        </w:rPr>
        <w:t>The matter is regarded as finalised and is removed from the roll.</w:t>
      </w:r>
    </w:p>
    <w:p w:rsidR="003B5E93" w:rsidRPr="0030029F" w:rsidRDefault="003B5E93" w:rsidP="00DE2256">
      <w:pPr>
        <w:pStyle w:val="ListParagraph"/>
        <w:spacing w:after="0" w:line="360" w:lineRule="auto"/>
        <w:jc w:val="both"/>
        <w:rPr>
          <w:rFonts w:ascii="Arial" w:hAnsi="Arial" w:cs="Arial"/>
          <w:sz w:val="24"/>
          <w:szCs w:val="24"/>
        </w:rPr>
      </w:pPr>
    </w:p>
    <w:p w:rsidR="00535EE7" w:rsidRPr="0030029F" w:rsidRDefault="00AC0464" w:rsidP="00535EE7">
      <w:pPr>
        <w:spacing w:after="0" w:line="360" w:lineRule="auto"/>
        <w:rPr>
          <w:rFonts w:ascii="Arial" w:hAnsi="Arial" w:cs="Arial"/>
          <w:bCs/>
          <w:sz w:val="24"/>
          <w:szCs w:val="24"/>
        </w:rPr>
      </w:pPr>
      <w:r>
        <w:rPr>
          <w:rFonts w:ascii="Arial" w:hAnsi="Arial" w:cs="Arial"/>
        </w:rPr>
        <w:pict>
          <v:rect id="_x0000_i1027" style="width:0;height:1.5pt" o:hrstd="t" o:hr="t" fillcolor="#a0a0a0" stroked="f"/>
        </w:pict>
      </w:r>
    </w:p>
    <w:p w:rsidR="00535EE7" w:rsidRPr="0030029F" w:rsidRDefault="00535EE7" w:rsidP="00535EE7">
      <w:pPr>
        <w:spacing w:after="0" w:line="360" w:lineRule="auto"/>
        <w:jc w:val="center"/>
        <w:rPr>
          <w:rFonts w:ascii="Arial" w:hAnsi="Arial" w:cs="Arial"/>
          <w:b/>
          <w:sz w:val="24"/>
          <w:szCs w:val="24"/>
        </w:rPr>
      </w:pPr>
      <w:r w:rsidRPr="0030029F">
        <w:rPr>
          <w:rFonts w:ascii="Arial" w:hAnsi="Arial" w:cs="Arial"/>
          <w:b/>
          <w:sz w:val="24"/>
          <w:szCs w:val="24"/>
        </w:rPr>
        <w:t>JUDGMENT</w:t>
      </w:r>
    </w:p>
    <w:p w:rsidR="00535EE7" w:rsidRPr="0030029F" w:rsidRDefault="00AC0464" w:rsidP="00535EE7">
      <w:pPr>
        <w:spacing w:after="0" w:line="360" w:lineRule="auto"/>
        <w:rPr>
          <w:rFonts w:ascii="Arial" w:hAnsi="Arial" w:cs="Arial"/>
          <w:b/>
          <w:sz w:val="24"/>
          <w:szCs w:val="24"/>
        </w:rPr>
      </w:pPr>
      <w:r>
        <w:rPr>
          <w:rFonts w:ascii="Arial" w:hAnsi="Arial" w:cs="Arial"/>
          <w:bCs/>
          <w:sz w:val="24"/>
          <w:szCs w:val="24"/>
        </w:rPr>
        <w:pict>
          <v:rect id="_x0000_i1028" style="width:0;height:1.5pt" o:hrstd="t" o:hr="t" fillcolor="#a0a0a0" stroked="f"/>
        </w:pict>
      </w:r>
    </w:p>
    <w:p w:rsidR="009C7476" w:rsidRPr="0030029F" w:rsidRDefault="009C7476" w:rsidP="00535EE7">
      <w:pPr>
        <w:spacing w:after="0" w:line="360" w:lineRule="auto"/>
        <w:jc w:val="both"/>
        <w:rPr>
          <w:rFonts w:ascii="Arial" w:hAnsi="Arial" w:cs="Arial"/>
          <w:sz w:val="24"/>
          <w:szCs w:val="24"/>
        </w:rPr>
      </w:pPr>
    </w:p>
    <w:p w:rsidR="00535EE7" w:rsidRPr="0030029F" w:rsidRDefault="00535EE7" w:rsidP="00535EE7">
      <w:pPr>
        <w:spacing w:after="0" w:line="360" w:lineRule="auto"/>
        <w:jc w:val="both"/>
        <w:rPr>
          <w:rFonts w:ascii="Arial" w:hAnsi="Arial" w:cs="Arial"/>
          <w:sz w:val="24"/>
          <w:szCs w:val="24"/>
        </w:rPr>
      </w:pPr>
      <w:r w:rsidRPr="0030029F">
        <w:rPr>
          <w:rFonts w:ascii="Arial" w:hAnsi="Arial" w:cs="Arial"/>
          <w:sz w:val="24"/>
          <w:szCs w:val="24"/>
        </w:rPr>
        <w:t>CLAASEN J</w:t>
      </w:r>
      <w:r w:rsidR="009C7476" w:rsidRPr="0030029F">
        <w:rPr>
          <w:rFonts w:ascii="Arial" w:hAnsi="Arial" w:cs="Arial"/>
          <w:sz w:val="24"/>
          <w:szCs w:val="24"/>
        </w:rPr>
        <w:t>:</w:t>
      </w:r>
    </w:p>
    <w:p w:rsidR="00535EE7" w:rsidRPr="0030029F" w:rsidRDefault="00535EE7">
      <w:pPr>
        <w:rPr>
          <w:rFonts w:ascii="Arial" w:hAnsi="Arial" w:cs="Arial"/>
          <w:sz w:val="24"/>
          <w:szCs w:val="24"/>
        </w:rPr>
      </w:pPr>
    </w:p>
    <w:p w:rsidR="006B3266" w:rsidRPr="0030029F" w:rsidRDefault="00F222BB" w:rsidP="006D6473">
      <w:pPr>
        <w:spacing w:after="0" w:line="360" w:lineRule="auto"/>
        <w:jc w:val="both"/>
        <w:rPr>
          <w:rFonts w:ascii="Arial" w:hAnsi="Arial" w:cs="Arial"/>
          <w:sz w:val="24"/>
          <w:szCs w:val="24"/>
          <w:u w:val="single"/>
        </w:rPr>
      </w:pPr>
      <w:r w:rsidRPr="0030029F">
        <w:rPr>
          <w:rFonts w:ascii="Arial" w:hAnsi="Arial" w:cs="Arial"/>
          <w:sz w:val="24"/>
          <w:szCs w:val="24"/>
          <w:u w:val="single"/>
        </w:rPr>
        <w:t>Introduction</w:t>
      </w:r>
    </w:p>
    <w:p w:rsidR="0091320C" w:rsidRPr="0030029F" w:rsidRDefault="0091320C" w:rsidP="006D6473">
      <w:pPr>
        <w:spacing w:after="0" w:line="360" w:lineRule="auto"/>
        <w:jc w:val="both"/>
        <w:rPr>
          <w:rFonts w:ascii="Arial" w:hAnsi="Arial" w:cs="Arial"/>
          <w:sz w:val="24"/>
          <w:szCs w:val="24"/>
          <w:u w:val="single"/>
        </w:rPr>
      </w:pPr>
    </w:p>
    <w:p w:rsidR="00FC6CE7" w:rsidRPr="0030029F" w:rsidRDefault="00691D38" w:rsidP="006D6473">
      <w:pPr>
        <w:spacing w:after="0" w:line="360" w:lineRule="auto"/>
        <w:jc w:val="both"/>
        <w:rPr>
          <w:rFonts w:ascii="Arial" w:hAnsi="Arial" w:cs="Arial"/>
          <w:sz w:val="24"/>
          <w:szCs w:val="24"/>
        </w:rPr>
      </w:pPr>
      <w:r w:rsidRPr="0030029F">
        <w:rPr>
          <w:rFonts w:ascii="Arial" w:hAnsi="Arial" w:cs="Arial"/>
          <w:sz w:val="24"/>
          <w:szCs w:val="24"/>
        </w:rPr>
        <w:t>[1]</w:t>
      </w:r>
      <w:r w:rsidRPr="0030029F">
        <w:rPr>
          <w:rFonts w:ascii="Arial" w:hAnsi="Arial" w:cs="Arial"/>
          <w:sz w:val="24"/>
          <w:szCs w:val="24"/>
        </w:rPr>
        <w:tab/>
      </w:r>
      <w:r w:rsidR="00EE2A44" w:rsidRPr="0030029F">
        <w:rPr>
          <w:rFonts w:ascii="Arial" w:hAnsi="Arial" w:cs="Arial"/>
          <w:sz w:val="24"/>
          <w:szCs w:val="24"/>
        </w:rPr>
        <w:t>This</w:t>
      </w:r>
      <w:r w:rsidR="00BE137E" w:rsidRPr="0030029F">
        <w:rPr>
          <w:rFonts w:ascii="Arial" w:hAnsi="Arial" w:cs="Arial"/>
          <w:sz w:val="24"/>
          <w:szCs w:val="24"/>
        </w:rPr>
        <w:t xml:space="preserve"> </w:t>
      </w:r>
      <w:r w:rsidR="00EE2A44" w:rsidRPr="0030029F">
        <w:rPr>
          <w:rFonts w:ascii="Arial" w:hAnsi="Arial" w:cs="Arial"/>
          <w:sz w:val="24"/>
          <w:szCs w:val="24"/>
        </w:rPr>
        <w:t xml:space="preserve">dispute concerns </w:t>
      </w:r>
      <w:r w:rsidR="00272924" w:rsidRPr="0030029F">
        <w:rPr>
          <w:rFonts w:ascii="Arial" w:hAnsi="Arial" w:cs="Arial"/>
          <w:sz w:val="24"/>
          <w:szCs w:val="24"/>
        </w:rPr>
        <w:t>Erf</w:t>
      </w:r>
      <w:r w:rsidR="005C2CE8" w:rsidRPr="0030029F">
        <w:rPr>
          <w:rFonts w:ascii="Arial" w:hAnsi="Arial" w:cs="Arial"/>
          <w:sz w:val="24"/>
          <w:szCs w:val="24"/>
        </w:rPr>
        <w:t xml:space="preserve"> no. 6297 in Katutura, Windhoek, </w:t>
      </w:r>
      <w:r w:rsidR="00EE2A44" w:rsidRPr="0030029F">
        <w:rPr>
          <w:rFonts w:ascii="Arial" w:hAnsi="Arial" w:cs="Arial"/>
          <w:sz w:val="24"/>
          <w:szCs w:val="24"/>
        </w:rPr>
        <w:t>to which both the plaintiff and the first defendant lay claim of ownership.</w:t>
      </w:r>
      <w:r w:rsidR="00CA48F2" w:rsidRPr="0030029F">
        <w:rPr>
          <w:rFonts w:ascii="Arial" w:hAnsi="Arial" w:cs="Arial"/>
          <w:sz w:val="24"/>
          <w:szCs w:val="24"/>
        </w:rPr>
        <w:t xml:space="preserve"> The said </w:t>
      </w:r>
      <w:r w:rsidR="00272924" w:rsidRPr="0030029F">
        <w:rPr>
          <w:rFonts w:ascii="Arial" w:hAnsi="Arial" w:cs="Arial"/>
          <w:sz w:val="24"/>
          <w:szCs w:val="24"/>
        </w:rPr>
        <w:t>Erf</w:t>
      </w:r>
      <w:r w:rsidR="00CA48F2" w:rsidRPr="0030029F">
        <w:rPr>
          <w:rFonts w:ascii="Arial" w:hAnsi="Arial" w:cs="Arial"/>
          <w:sz w:val="24"/>
          <w:szCs w:val="24"/>
        </w:rPr>
        <w:t xml:space="preserve"> houses the commando of the </w:t>
      </w:r>
      <w:r w:rsidR="00CA48F2" w:rsidRPr="0030029F">
        <w:rPr>
          <w:rFonts w:ascii="Arial" w:hAnsi="Arial" w:cs="Arial"/>
          <w:sz w:val="24"/>
          <w:szCs w:val="24"/>
        </w:rPr>
        <w:lastRenderedPageBreak/>
        <w:t>Red Flag Regiment (</w:t>
      </w:r>
      <w:r w:rsidR="009C7476" w:rsidRPr="0030029F">
        <w:rPr>
          <w:rFonts w:ascii="Arial" w:hAnsi="Arial" w:cs="Arial"/>
          <w:sz w:val="24"/>
          <w:szCs w:val="24"/>
        </w:rPr>
        <w:t>‘</w:t>
      </w:r>
      <w:r w:rsidR="00CA48F2" w:rsidRPr="0030029F">
        <w:rPr>
          <w:rFonts w:ascii="Arial" w:hAnsi="Arial" w:cs="Arial"/>
          <w:sz w:val="24"/>
          <w:szCs w:val="24"/>
        </w:rPr>
        <w:t>the Regiment</w:t>
      </w:r>
      <w:r w:rsidR="009C7476" w:rsidRPr="0030029F">
        <w:rPr>
          <w:rFonts w:ascii="Arial" w:hAnsi="Arial" w:cs="Arial"/>
          <w:sz w:val="24"/>
          <w:szCs w:val="24"/>
        </w:rPr>
        <w:t>’</w:t>
      </w:r>
      <w:r w:rsidR="00CA48F2" w:rsidRPr="0030029F">
        <w:rPr>
          <w:rFonts w:ascii="Arial" w:hAnsi="Arial" w:cs="Arial"/>
          <w:sz w:val="24"/>
          <w:szCs w:val="24"/>
        </w:rPr>
        <w:t>)</w:t>
      </w:r>
      <w:r w:rsidR="00137B04" w:rsidRPr="0030029F">
        <w:rPr>
          <w:rFonts w:ascii="Arial" w:hAnsi="Arial" w:cs="Arial"/>
          <w:sz w:val="24"/>
          <w:szCs w:val="24"/>
        </w:rPr>
        <w:t xml:space="preserve">. Currently the </w:t>
      </w:r>
      <w:r w:rsidR="00272924" w:rsidRPr="0030029F">
        <w:rPr>
          <w:rFonts w:ascii="Arial" w:hAnsi="Arial" w:cs="Arial"/>
          <w:sz w:val="24"/>
          <w:szCs w:val="24"/>
        </w:rPr>
        <w:t>Erf</w:t>
      </w:r>
      <w:r w:rsidR="00FC6CE7" w:rsidRPr="0030029F">
        <w:rPr>
          <w:rFonts w:ascii="Arial" w:hAnsi="Arial" w:cs="Arial"/>
          <w:sz w:val="24"/>
          <w:szCs w:val="24"/>
        </w:rPr>
        <w:t xml:space="preserve"> is registered in </w:t>
      </w:r>
      <w:r w:rsidR="006A61FE" w:rsidRPr="0030029F">
        <w:rPr>
          <w:rFonts w:ascii="Arial" w:hAnsi="Arial" w:cs="Arial"/>
          <w:sz w:val="24"/>
          <w:szCs w:val="24"/>
        </w:rPr>
        <w:t>the name of the first defendant.</w:t>
      </w:r>
    </w:p>
    <w:p w:rsidR="00CA48F2" w:rsidRPr="0030029F" w:rsidRDefault="00FC6CE7" w:rsidP="006D6473">
      <w:pPr>
        <w:spacing w:after="0" w:line="360" w:lineRule="auto"/>
        <w:jc w:val="both"/>
        <w:rPr>
          <w:rFonts w:ascii="Arial" w:hAnsi="Arial" w:cs="Arial"/>
          <w:sz w:val="24"/>
          <w:szCs w:val="24"/>
        </w:rPr>
      </w:pPr>
      <w:r w:rsidRPr="0030029F">
        <w:rPr>
          <w:rFonts w:ascii="Arial" w:hAnsi="Arial" w:cs="Arial"/>
          <w:sz w:val="24"/>
          <w:szCs w:val="24"/>
        </w:rPr>
        <w:t xml:space="preserve"> </w:t>
      </w:r>
    </w:p>
    <w:p w:rsidR="00EE2A44" w:rsidRPr="0030029F" w:rsidRDefault="00CA48F2" w:rsidP="006D6473">
      <w:pPr>
        <w:spacing w:after="0" w:line="360" w:lineRule="auto"/>
        <w:jc w:val="both"/>
        <w:rPr>
          <w:rFonts w:ascii="Arial" w:hAnsi="Arial" w:cs="Arial"/>
          <w:sz w:val="24"/>
          <w:szCs w:val="24"/>
        </w:rPr>
      </w:pPr>
      <w:r w:rsidRPr="0030029F">
        <w:rPr>
          <w:rFonts w:ascii="Arial" w:hAnsi="Arial" w:cs="Arial"/>
          <w:sz w:val="24"/>
          <w:szCs w:val="24"/>
        </w:rPr>
        <w:t>[2]</w:t>
      </w:r>
      <w:r w:rsidRPr="0030029F">
        <w:rPr>
          <w:rFonts w:ascii="Arial" w:hAnsi="Arial" w:cs="Arial"/>
          <w:sz w:val="24"/>
          <w:szCs w:val="24"/>
        </w:rPr>
        <w:tab/>
      </w:r>
      <w:r w:rsidR="0091320C" w:rsidRPr="0030029F">
        <w:rPr>
          <w:rFonts w:ascii="Arial" w:hAnsi="Arial" w:cs="Arial"/>
          <w:sz w:val="24"/>
          <w:szCs w:val="24"/>
        </w:rPr>
        <w:t>T</w:t>
      </w:r>
      <w:r w:rsidR="00EE2A44" w:rsidRPr="0030029F">
        <w:rPr>
          <w:rFonts w:ascii="Arial" w:hAnsi="Arial" w:cs="Arial"/>
          <w:sz w:val="24"/>
          <w:szCs w:val="24"/>
        </w:rPr>
        <w:t xml:space="preserve">he </w:t>
      </w:r>
      <w:r w:rsidR="00BE137E" w:rsidRPr="0030029F">
        <w:rPr>
          <w:rFonts w:ascii="Arial" w:hAnsi="Arial" w:cs="Arial"/>
          <w:sz w:val="24"/>
          <w:szCs w:val="24"/>
        </w:rPr>
        <w:t>plaintiff</w:t>
      </w:r>
      <w:r w:rsidR="00EE2A44" w:rsidRPr="0030029F">
        <w:rPr>
          <w:rFonts w:ascii="Arial" w:hAnsi="Arial" w:cs="Arial"/>
          <w:sz w:val="24"/>
          <w:szCs w:val="24"/>
        </w:rPr>
        <w:t xml:space="preserve"> sued the </w:t>
      </w:r>
      <w:r w:rsidR="00B929CE" w:rsidRPr="0030029F">
        <w:rPr>
          <w:rFonts w:ascii="Arial" w:hAnsi="Arial" w:cs="Arial"/>
          <w:sz w:val="24"/>
          <w:szCs w:val="24"/>
        </w:rPr>
        <w:t>d</w:t>
      </w:r>
      <w:r w:rsidR="00EE2A44" w:rsidRPr="0030029F">
        <w:rPr>
          <w:rFonts w:ascii="Arial" w:hAnsi="Arial" w:cs="Arial"/>
          <w:sz w:val="24"/>
          <w:szCs w:val="24"/>
        </w:rPr>
        <w:t xml:space="preserve">efendants for rectification of the said title deed and an order that the plaintiff, rather than the first defendant, be reflected as the owner of the said land. The plaintiff also prays for eviction of the </w:t>
      </w:r>
      <w:r w:rsidR="005C2CE8" w:rsidRPr="0030029F">
        <w:rPr>
          <w:rFonts w:ascii="Arial" w:hAnsi="Arial" w:cs="Arial"/>
          <w:sz w:val="24"/>
          <w:szCs w:val="24"/>
        </w:rPr>
        <w:t xml:space="preserve">first </w:t>
      </w:r>
      <w:r w:rsidR="005C54E3" w:rsidRPr="0030029F">
        <w:rPr>
          <w:rFonts w:ascii="Arial" w:hAnsi="Arial" w:cs="Arial"/>
          <w:sz w:val="24"/>
          <w:szCs w:val="24"/>
        </w:rPr>
        <w:t>defendant from the</w:t>
      </w:r>
      <w:r w:rsidR="00EE2A44" w:rsidRPr="0030029F">
        <w:rPr>
          <w:rFonts w:ascii="Arial" w:hAnsi="Arial" w:cs="Arial"/>
          <w:sz w:val="24"/>
          <w:szCs w:val="24"/>
        </w:rPr>
        <w:t xml:space="preserve"> premises and cost of suit.</w:t>
      </w:r>
    </w:p>
    <w:p w:rsidR="00EE2A44" w:rsidRPr="0030029F" w:rsidRDefault="00EE2A44" w:rsidP="006D6473">
      <w:pPr>
        <w:spacing w:after="0" w:line="360" w:lineRule="auto"/>
        <w:jc w:val="both"/>
        <w:rPr>
          <w:rFonts w:ascii="Arial" w:hAnsi="Arial" w:cs="Arial"/>
          <w:sz w:val="24"/>
          <w:szCs w:val="24"/>
        </w:rPr>
      </w:pPr>
    </w:p>
    <w:p w:rsidR="00C61F7F" w:rsidRPr="0030029F" w:rsidRDefault="00CA48F2" w:rsidP="00C61F7F">
      <w:pPr>
        <w:spacing w:after="0" w:line="360" w:lineRule="auto"/>
        <w:jc w:val="both"/>
        <w:rPr>
          <w:rFonts w:ascii="Arial" w:hAnsi="Arial" w:cs="Arial"/>
          <w:sz w:val="24"/>
          <w:szCs w:val="24"/>
          <w:lang w:val="en-ZA"/>
        </w:rPr>
      </w:pPr>
      <w:r w:rsidRPr="0030029F">
        <w:rPr>
          <w:rFonts w:ascii="Arial" w:hAnsi="Arial" w:cs="Arial"/>
          <w:sz w:val="24"/>
          <w:szCs w:val="24"/>
        </w:rPr>
        <w:t>[3</w:t>
      </w:r>
      <w:r w:rsidR="00C61F7F" w:rsidRPr="0030029F">
        <w:rPr>
          <w:rFonts w:ascii="Arial" w:hAnsi="Arial" w:cs="Arial"/>
          <w:sz w:val="24"/>
          <w:szCs w:val="24"/>
        </w:rPr>
        <w:t>]</w:t>
      </w:r>
      <w:r w:rsidR="00C61F7F" w:rsidRPr="0030029F">
        <w:rPr>
          <w:rFonts w:ascii="Arial" w:hAnsi="Arial" w:cs="Arial"/>
          <w:sz w:val="24"/>
          <w:szCs w:val="24"/>
        </w:rPr>
        <w:tab/>
        <w:t>The case was defended by the first defendant only and this constitutes a judgment on the merits. T</w:t>
      </w:r>
      <w:r w:rsidR="0091320C" w:rsidRPr="0030029F">
        <w:rPr>
          <w:rFonts w:ascii="Arial" w:hAnsi="Arial" w:cs="Arial"/>
          <w:sz w:val="24"/>
          <w:szCs w:val="24"/>
        </w:rPr>
        <w:t>his was</w:t>
      </w:r>
      <w:r w:rsidR="00C61F7F" w:rsidRPr="0030029F">
        <w:rPr>
          <w:rFonts w:ascii="Arial" w:hAnsi="Arial" w:cs="Arial"/>
          <w:sz w:val="24"/>
          <w:szCs w:val="24"/>
        </w:rPr>
        <w:t xml:space="preserve"> after a trial took place</w:t>
      </w:r>
      <w:r w:rsidR="0091320C" w:rsidRPr="0030029F">
        <w:rPr>
          <w:rFonts w:ascii="Arial" w:hAnsi="Arial" w:cs="Arial"/>
          <w:sz w:val="24"/>
          <w:szCs w:val="24"/>
        </w:rPr>
        <w:t xml:space="preserve"> and </w:t>
      </w:r>
      <w:r w:rsidR="00C61F7F" w:rsidRPr="0030029F">
        <w:rPr>
          <w:rFonts w:ascii="Arial" w:hAnsi="Arial" w:cs="Arial"/>
          <w:sz w:val="24"/>
          <w:szCs w:val="24"/>
          <w:lang w:val="en-ZA"/>
        </w:rPr>
        <w:t xml:space="preserve">this court disposed of the matter by upholding a special plea of lack of </w:t>
      </w:r>
      <w:r w:rsidR="00C61F7F" w:rsidRPr="0030029F">
        <w:rPr>
          <w:rFonts w:ascii="Arial" w:hAnsi="Arial" w:cs="Arial"/>
          <w:i/>
          <w:sz w:val="24"/>
          <w:szCs w:val="24"/>
          <w:lang w:val="en-ZA"/>
        </w:rPr>
        <w:t>locus standi</w:t>
      </w:r>
      <w:r w:rsidR="00C61F7F" w:rsidRPr="0030029F">
        <w:rPr>
          <w:rFonts w:ascii="Arial" w:hAnsi="Arial" w:cs="Arial"/>
          <w:sz w:val="24"/>
          <w:szCs w:val="24"/>
          <w:lang w:val="en-ZA"/>
        </w:rPr>
        <w:t xml:space="preserve">. The plaintiff successfully appealed against that finding and the matter was referred back to this court </w:t>
      </w:r>
      <w:r w:rsidR="0091320C" w:rsidRPr="0030029F">
        <w:rPr>
          <w:rFonts w:ascii="Arial" w:hAnsi="Arial" w:cs="Arial"/>
          <w:sz w:val="24"/>
          <w:szCs w:val="24"/>
          <w:lang w:val="en-ZA"/>
        </w:rPr>
        <w:t xml:space="preserve">to render a </w:t>
      </w:r>
      <w:r w:rsidR="00C61F7F" w:rsidRPr="0030029F">
        <w:rPr>
          <w:rFonts w:ascii="Arial" w:hAnsi="Arial" w:cs="Arial"/>
          <w:sz w:val="24"/>
          <w:szCs w:val="24"/>
          <w:lang w:val="en-ZA"/>
        </w:rPr>
        <w:t>judgment on the merits.</w:t>
      </w:r>
    </w:p>
    <w:p w:rsidR="00C61F7F" w:rsidRPr="0030029F" w:rsidRDefault="00C61F7F" w:rsidP="00C61F7F">
      <w:pPr>
        <w:spacing w:after="0" w:line="360" w:lineRule="auto"/>
        <w:jc w:val="both"/>
        <w:rPr>
          <w:rFonts w:ascii="Arial" w:hAnsi="Arial" w:cs="Arial"/>
          <w:sz w:val="24"/>
          <w:szCs w:val="24"/>
          <w:lang w:val="en-ZA"/>
        </w:rPr>
      </w:pPr>
    </w:p>
    <w:p w:rsidR="00C61F7F" w:rsidRPr="0030029F" w:rsidRDefault="00C61F7F" w:rsidP="00C61F7F">
      <w:pPr>
        <w:spacing w:after="0" w:line="360" w:lineRule="auto"/>
        <w:jc w:val="both"/>
        <w:rPr>
          <w:rFonts w:ascii="Arial" w:hAnsi="Arial" w:cs="Arial"/>
          <w:sz w:val="24"/>
          <w:szCs w:val="24"/>
          <w:lang w:val="en-ZA"/>
        </w:rPr>
      </w:pPr>
      <w:r w:rsidRPr="0030029F">
        <w:rPr>
          <w:rFonts w:ascii="Arial" w:hAnsi="Arial" w:cs="Arial"/>
          <w:sz w:val="24"/>
          <w:szCs w:val="24"/>
          <w:lang w:val="en-ZA"/>
        </w:rPr>
        <w:t>[</w:t>
      </w:r>
      <w:r w:rsidR="000312B1" w:rsidRPr="0030029F">
        <w:rPr>
          <w:rFonts w:ascii="Arial" w:hAnsi="Arial" w:cs="Arial"/>
          <w:sz w:val="24"/>
          <w:szCs w:val="24"/>
          <w:lang w:val="en-ZA"/>
        </w:rPr>
        <w:t>4</w:t>
      </w:r>
      <w:r w:rsidRPr="0030029F">
        <w:rPr>
          <w:rFonts w:ascii="Arial" w:hAnsi="Arial" w:cs="Arial"/>
          <w:sz w:val="24"/>
          <w:szCs w:val="24"/>
          <w:lang w:val="en-ZA"/>
        </w:rPr>
        <w:t>]</w:t>
      </w:r>
      <w:r w:rsidRPr="0030029F">
        <w:rPr>
          <w:rFonts w:ascii="Arial" w:hAnsi="Arial" w:cs="Arial"/>
          <w:sz w:val="24"/>
          <w:szCs w:val="24"/>
          <w:lang w:val="en-ZA"/>
        </w:rPr>
        <w:tab/>
        <w:t xml:space="preserve">Once parties were invited for additional submissions before judgment, if so inclined, the first defendant </w:t>
      </w:r>
      <w:r w:rsidR="00137B04" w:rsidRPr="0030029F">
        <w:rPr>
          <w:rFonts w:ascii="Arial" w:hAnsi="Arial" w:cs="Arial"/>
          <w:sz w:val="24"/>
          <w:szCs w:val="24"/>
          <w:lang w:val="en-ZA"/>
        </w:rPr>
        <w:t xml:space="preserve">expressed its intention to </w:t>
      </w:r>
      <w:r w:rsidRPr="0030029F">
        <w:rPr>
          <w:rFonts w:ascii="Arial" w:hAnsi="Arial" w:cs="Arial"/>
          <w:sz w:val="24"/>
          <w:szCs w:val="24"/>
          <w:lang w:val="en-ZA"/>
        </w:rPr>
        <w:t xml:space="preserve">apply for </w:t>
      </w:r>
      <w:r w:rsidR="00137B04" w:rsidRPr="0030029F">
        <w:rPr>
          <w:rFonts w:ascii="Arial" w:hAnsi="Arial" w:cs="Arial"/>
          <w:sz w:val="24"/>
          <w:szCs w:val="24"/>
          <w:lang w:val="en-ZA"/>
        </w:rPr>
        <w:t xml:space="preserve">the </w:t>
      </w:r>
      <w:r w:rsidRPr="0030029F">
        <w:rPr>
          <w:rFonts w:ascii="Arial" w:hAnsi="Arial" w:cs="Arial"/>
          <w:sz w:val="24"/>
          <w:szCs w:val="24"/>
          <w:lang w:val="en-ZA"/>
        </w:rPr>
        <w:t xml:space="preserve">re-opening of its case. </w:t>
      </w:r>
      <w:r w:rsidR="000312B1" w:rsidRPr="0030029F">
        <w:rPr>
          <w:rFonts w:ascii="Arial" w:hAnsi="Arial" w:cs="Arial"/>
          <w:sz w:val="24"/>
          <w:szCs w:val="24"/>
          <w:lang w:val="en-ZA"/>
        </w:rPr>
        <w:t>That took some time as the applicants required time to gather funds for legal representatio</w:t>
      </w:r>
      <w:r w:rsidR="00137B04" w:rsidRPr="0030029F">
        <w:rPr>
          <w:rFonts w:ascii="Arial" w:hAnsi="Arial" w:cs="Arial"/>
          <w:sz w:val="24"/>
          <w:szCs w:val="24"/>
          <w:lang w:val="en-ZA"/>
        </w:rPr>
        <w:t>n.   Eventually, the</w:t>
      </w:r>
      <w:r w:rsidR="000312B1" w:rsidRPr="0030029F">
        <w:rPr>
          <w:rFonts w:ascii="Arial" w:hAnsi="Arial" w:cs="Arial"/>
          <w:sz w:val="24"/>
          <w:szCs w:val="24"/>
          <w:lang w:val="en-ZA"/>
        </w:rPr>
        <w:t xml:space="preserve"> application was heard and refused, which brought us to the finishing line of the trial a second time around. The previous round was consumed by </w:t>
      </w:r>
      <w:r w:rsidR="00041AA0" w:rsidRPr="0030029F">
        <w:rPr>
          <w:rFonts w:ascii="Arial" w:hAnsi="Arial" w:cs="Arial"/>
          <w:sz w:val="24"/>
          <w:szCs w:val="24"/>
          <w:lang w:val="en-ZA"/>
        </w:rPr>
        <w:t xml:space="preserve">a </w:t>
      </w:r>
      <w:r w:rsidR="000312B1" w:rsidRPr="0030029F">
        <w:rPr>
          <w:rFonts w:ascii="Arial" w:hAnsi="Arial" w:cs="Arial"/>
          <w:sz w:val="24"/>
          <w:szCs w:val="24"/>
          <w:lang w:val="en-ZA"/>
        </w:rPr>
        <w:t xml:space="preserve">special plea which has now become water under the bridge. I will thus </w:t>
      </w:r>
      <w:r w:rsidR="005C25B7" w:rsidRPr="0030029F">
        <w:rPr>
          <w:rFonts w:ascii="Arial" w:hAnsi="Arial" w:cs="Arial"/>
          <w:sz w:val="24"/>
          <w:szCs w:val="24"/>
          <w:lang w:val="en-ZA"/>
        </w:rPr>
        <w:t>focus on the pleadings insofar as it relates to the main claim</w:t>
      </w:r>
      <w:r w:rsidR="007202E8" w:rsidRPr="0030029F">
        <w:rPr>
          <w:rFonts w:ascii="Arial" w:hAnsi="Arial" w:cs="Arial"/>
          <w:sz w:val="24"/>
          <w:szCs w:val="24"/>
          <w:lang w:val="en-ZA"/>
        </w:rPr>
        <w:t>s</w:t>
      </w:r>
      <w:r w:rsidR="005C25B7" w:rsidRPr="0030029F">
        <w:rPr>
          <w:rFonts w:ascii="Arial" w:hAnsi="Arial" w:cs="Arial"/>
          <w:sz w:val="24"/>
          <w:szCs w:val="24"/>
          <w:lang w:val="en-ZA"/>
        </w:rPr>
        <w:t xml:space="preserve"> and </w:t>
      </w:r>
      <w:r w:rsidR="000312B1" w:rsidRPr="0030029F">
        <w:rPr>
          <w:rFonts w:ascii="Arial" w:hAnsi="Arial" w:cs="Arial"/>
          <w:sz w:val="24"/>
          <w:szCs w:val="24"/>
          <w:lang w:val="en-ZA"/>
        </w:rPr>
        <w:t>conditional counterclaim.</w:t>
      </w:r>
    </w:p>
    <w:p w:rsidR="005C25B7" w:rsidRPr="0030029F" w:rsidRDefault="005C25B7" w:rsidP="005C25B7">
      <w:pPr>
        <w:spacing w:after="0" w:line="360" w:lineRule="auto"/>
        <w:jc w:val="both"/>
        <w:rPr>
          <w:rFonts w:ascii="Arial" w:hAnsi="Arial" w:cs="Arial"/>
          <w:sz w:val="24"/>
          <w:szCs w:val="24"/>
        </w:rPr>
      </w:pPr>
    </w:p>
    <w:p w:rsidR="005C25B7" w:rsidRPr="0030029F" w:rsidRDefault="000312B1" w:rsidP="005C25B7">
      <w:pPr>
        <w:spacing w:after="0" w:line="360" w:lineRule="auto"/>
        <w:jc w:val="both"/>
        <w:rPr>
          <w:rFonts w:ascii="Arial" w:hAnsi="Arial" w:cs="Arial"/>
          <w:sz w:val="24"/>
          <w:szCs w:val="24"/>
        </w:rPr>
      </w:pPr>
      <w:r w:rsidRPr="0030029F">
        <w:rPr>
          <w:rFonts w:ascii="Arial" w:hAnsi="Arial" w:cs="Arial"/>
          <w:sz w:val="24"/>
          <w:szCs w:val="24"/>
        </w:rPr>
        <w:t>[5</w:t>
      </w:r>
      <w:r w:rsidR="005C25B7" w:rsidRPr="0030029F">
        <w:rPr>
          <w:rFonts w:ascii="Arial" w:hAnsi="Arial" w:cs="Arial"/>
          <w:sz w:val="24"/>
          <w:szCs w:val="24"/>
        </w:rPr>
        <w:t>]</w:t>
      </w:r>
      <w:r w:rsidR="005C25B7" w:rsidRPr="0030029F">
        <w:rPr>
          <w:rFonts w:ascii="Arial" w:hAnsi="Arial" w:cs="Arial"/>
          <w:sz w:val="24"/>
          <w:szCs w:val="24"/>
        </w:rPr>
        <w:tab/>
        <w:t xml:space="preserve">The </w:t>
      </w:r>
      <w:r w:rsidR="00E601FE" w:rsidRPr="0030029F">
        <w:rPr>
          <w:rFonts w:ascii="Arial" w:hAnsi="Arial" w:cs="Arial"/>
          <w:sz w:val="24"/>
          <w:szCs w:val="24"/>
        </w:rPr>
        <w:t>plaintiff claims that on 16 May 2000 the plaintiff</w:t>
      </w:r>
      <w:r w:rsidR="005C25B7" w:rsidRPr="0030029F">
        <w:rPr>
          <w:rFonts w:ascii="Arial" w:hAnsi="Arial" w:cs="Arial"/>
          <w:sz w:val="24"/>
          <w:szCs w:val="24"/>
        </w:rPr>
        <w:t xml:space="preserve"> purchased an immovable property from the second respondent and that the plaintiff paid the purchase price. The </w:t>
      </w:r>
      <w:r w:rsidR="005C2CE8" w:rsidRPr="0030029F">
        <w:rPr>
          <w:rFonts w:ascii="Arial" w:hAnsi="Arial" w:cs="Arial"/>
          <w:sz w:val="24"/>
          <w:szCs w:val="24"/>
        </w:rPr>
        <w:t xml:space="preserve">full description of the property is as follows: </w:t>
      </w:r>
      <w:r w:rsidR="005C25B7" w:rsidRPr="0030029F">
        <w:rPr>
          <w:rFonts w:ascii="Arial" w:hAnsi="Arial" w:cs="Arial"/>
          <w:sz w:val="24"/>
          <w:szCs w:val="24"/>
        </w:rPr>
        <w:t xml:space="preserve"> </w:t>
      </w:r>
    </w:p>
    <w:p w:rsidR="005C25B7" w:rsidRPr="0030029F" w:rsidRDefault="005C25B7" w:rsidP="005C25B7">
      <w:pPr>
        <w:spacing w:after="0" w:line="360" w:lineRule="auto"/>
        <w:jc w:val="both"/>
        <w:rPr>
          <w:rFonts w:ascii="Arial" w:hAnsi="Arial" w:cs="Arial"/>
          <w:sz w:val="24"/>
          <w:szCs w:val="24"/>
        </w:rPr>
      </w:pPr>
    </w:p>
    <w:p w:rsidR="005C25B7" w:rsidRPr="0030029F" w:rsidRDefault="005C25B7" w:rsidP="005C25B7">
      <w:pPr>
        <w:spacing w:after="0" w:line="360" w:lineRule="auto"/>
        <w:jc w:val="both"/>
        <w:rPr>
          <w:rFonts w:ascii="Arial" w:hAnsi="Arial" w:cs="Arial"/>
          <w:sz w:val="24"/>
          <w:szCs w:val="24"/>
        </w:rPr>
      </w:pPr>
      <w:r w:rsidRPr="0030029F">
        <w:rPr>
          <w:rFonts w:ascii="Arial" w:hAnsi="Arial" w:cs="Arial"/>
          <w:sz w:val="24"/>
          <w:szCs w:val="24"/>
        </w:rPr>
        <w:t>CERTAIN:</w:t>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00272924" w:rsidRPr="0030029F">
        <w:rPr>
          <w:rFonts w:ascii="Arial" w:hAnsi="Arial" w:cs="Arial"/>
          <w:sz w:val="24"/>
          <w:szCs w:val="24"/>
        </w:rPr>
        <w:t>ERF</w:t>
      </w:r>
      <w:r w:rsidRPr="0030029F">
        <w:rPr>
          <w:rFonts w:ascii="Arial" w:hAnsi="Arial" w:cs="Arial"/>
          <w:sz w:val="24"/>
          <w:szCs w:val="24"/>
        </w:rPr>
        <w:t xml:space="preserve"> NO. 6297 (A PORTION OF </w:t>
      </w:r>
      <w:r w:rsidR="00272924" w:rsidRPr="0030029F">
        <w:rPr>
          <w:rFonts w:ascii="Arial" w:hAnsi="Arial" w:cs="Arial"/>
          <w:sz w:val="24"/>
          <w:szCs w:val="24"/>
        </w:rPr>
        <w:t>ERF</w:t>
      </w:r>
      <w:r w:rsidRPr="0030029F">
        <w:rPr>
          <w:rFonts w:ascii="Arial" w:hAnsi="Arial" w:cs="Arial"/>
          <w:sz w:val="24"/>
          <w:szCs w:val="24"/>
        </w:rPr>
        <w:t xml:space="preserve"> 6296</w:t>
      </w:r>
    </w:p>
    <w:p w:rsidR="005C25B7" w:rsidRPr="0030029F" w:rsidRDefault="005C25B7" w:rsidP="005C25B7">
      <w:pPr>
        <w:spacing w:after="0" w:line="360" w:lineRule="auto"/>
        <w:jc w:val="both"/>
        <w:rPr>
          <w:rFonts w:ascii="Arial" w:hAnsi="Arial" w:cs="Arial"/>
          <w:sz w:val="24"/>
          <w:szCs w:val="24"/>
        </w:rPr>
      </w:pP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t>KATUTURA (EXTENSION NO 11)</w:t>
      </w:r>
    </w:p>
    <w:p w:rsidR="005C25B7" w:rsidRPr="0030029F" w:rsidRDefault="005C25B7" w:rsidP="005C25B7">
      <w:pPr>
        <w:spacing w:after="0" w:line="360" w:lineRule="auto"/>
        <w:jc w:val="both"/>
        <w:rPr>
          <w:rFonts w:ascii="Arial" w:hAnsi="Arial" w:cs="Arial"/>
          <w:sz w:val="24"/>
          <w:szCs w:val="24"/>
        </w:rPr>
      </w:pPr>
    </w:p>
    <w:p w:rsidR="005C25B7" w:rsidRPr="0030029F" w:rsidRDefault="005C25B7" w:rsidP="005C25B7">
      <w:pPr>
        <w:spacing w:after="0" w:line="360" w:lineRule="auto"/>
        <w:jc w:val="both"/>
        <w:rPr>
          <w:rFonts w:ascii="Arial" w:hAnsi="Arial" w:cs="Arial"/>
          <w:sz w:val="24"/>
          <w:szCs w:val="24"/>
        </w:rPr>
      </w:pPr>
      <w:r w:rsidRPr="0030029F">
        <w:rPr>
          <w:rFonts w:ascii="Arial" w:hAnsi="Arial" w:cs="Arial"/>
          <w:sz w:val="24"/>
          <w:szCs w:val="24"/>
        </w:rPr>
        <w:t>SITUATE:</w:t>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t>In the Municipality of WINDHOEK</w:t>
      </w:r>
    </w:p>
    <w:p w:rsidR="005C25B7" w:rsidRPr="0030029F" w:rsidRDefault="005C25B7" w:rsidP="005C25B7">
      <w:pPr>
        <w:spacing w:after="0" w:line="360" w:lineRule="auto"/>
        <w:jc w:val="both"/>
        <w:rPr>
          <w:rFonts w:ascii="Arial" w:hAnsi="Arial" w:cs="Arial"/>
          <w:sz w:val="24"/>
          <w:szCs w:val="24"/>
        </w:rPr>
      </w:pP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t>Registration Division “K”</w:t>
      </w:r>
    </w:p>
    <w:p w:rsidR="005C25B7" w:rsidRPr="0030029F" w:rsidRDefault="005C25B7" w:rsidP="005C25B7">
      <w:pPr>
        <w:spacing w:after="0" w:line="360" w:lineRule="auto"/>
        <w:jc w:val="both"/>
        <w:rPr>
          <w:rFonts w:ascii="Arial" w:hAnsi="Arial" w:cs="Arial"/>
          <w:sz w:val="24"/>
          <w:szCs w:val="24"/>
        </w:rPr>
      </w:pP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t>Khomas Region</w:t>
      </w:r>
    </w:p>
    <w:p w:rsidR="005C2CE8" w:rsidRPr="0030029F" w:rsidRDefault="005C2CE8" w:rsidP="005C25B7">
      <w:pPr>
        <w:spacing w:after="0" w:line="360" w:lineRule="auto"/>
        <w:jc w:val="both"/>
        <w:rPr>
          <w:rFonts w:ascii="Arial" w:hAnsi="Arial" w:cs="Arial"/>
          <w:sz w:val="24"/>
          <w:szCs w:val="24"/>
        </w:rPr>
      </w:pPr>
    </w:p>
    <w:p w:rsidR="005C25B7" w:rsidRPr="0030029F" w:rsidRDefault="005C25B7" w:rsidP="005C25B7">
      <w:pPr>
        <w:spacing w:after="0" w:line="360" w:lineRule="auto"/>
        <w:jc w:val="both"/>
        <w:rPr>
          <w:rFonts w:ascii="Arial" w:hAnsi="Arial" w:cs="Arial"/>
          <w:sz w:val="24"/>
          <w:szCs w:val="24"/>
        </w:rPr>
      </w:pPr>
      <w:r w:rsidRPr="0030029F">
        <w:rPr>
          <w:rFonts w:ascii="Arial" w:hAnsi="Arial" w:cs="Arial"/>
          <w:sz w:val="24"/>
          <w:szCs w:val="24"/>
        </w:rPr>
        <w:t>MEASURING:</w:t>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t>2391 (TWO THREE NINE ONE) square metres</w:t>
      </w:r>
    </w:p>
    <w:p w:rsidR="005C2CE8" w:rsidRPr="0030029F" w:rsidRDefault="005C2CE8" w:rsidP="005C25B7">
      <w:pPr>
        <w:spacing w:after="0" w:line="360" w:lineRule="auto"/>
        <w:ind w:left="3600"/>
        <w:jc w:val="both"/>
        <w:rPr>
          <w:rFonts w:ascii="Arial" w:hAnsi="Arial" w:cs="Arial"/>
          <w:sz w:val="24"/>
          <w:szCs w:val="24"/>
        </w:rPr>
      </w:pPr>
    </w:p>
    <w:p w:rsidR="005C25B7" w:rsidRPr="0030029F" w:rsidRDefault="005C25B7" w:rsidP="005C25B7">
      <w:pPr>
        <w:spacing w:after="0" w:line="360" w:lineRule="auto"/>
        <w:jc w:val="both"/>
        <w:rPr>
          <w:rFonts w:ascii="Arial" w:hAnsi="Arial" w:cs="Arial"/>
          <w:sz w:val="24"/>
          <w:szCs w:val="24"/>
        </w:rPr>
      </w:pPr>
      <w:r w:rsidRPr="0030029F">
        <w:rPr>
          <w:rFonts w:ascii="Arial" w:hAnsi="Arial" w:cs="Arial"/>
          <w:sz w:val="24"/>
          <w:szCs w:val="24"/>
        </w:rPr>
        <w:t>[</w:t>
      </w:r>
      <w:r w:rsidR="000312B1" w:rsidRPr="0030029F">
        <w:rPr>
          <w:rFonts w:ascii="Arial" w:hAnsi="Arial" w:cs="Arial"/>
          <w:sz w:val="24"/>
          <w:szCs w:val="24"/>
        </w:rPr>
        <w:t>6</w:t>
      </w:r>
      <w:r w:rsidRPr="0030029F">
        <w:rPr>
          <w:rFonts w:ascii="Arial" w:hAnsi="Arial" w:cs="Arial"/>
          <w:sz w:val="24"/>
          <w:szCs w:val="24"/>
        </w:rPr>
        <w:t>]</w:t>
      </w:r>
      <w:r w:rsidRPr="0030029F">
        <w:rPr>
          <w:rFonts w:ascii="Arial" w:hAnsi="Arial" w:cs="Arial"/>
          <w:sz w:val="24"/>
          <w:szCs w:val="24"/>
        </w:rPr>
        <w:tab/>
        <w:t xml:space="preserve"> </w:t>
      </w:r>
      <w:r w:rsidR="00BF6023" w:rsidRPr="0030029F">
        <w:rPr>
          <w:rFonts w:ascii="Arial" w:hAnsi="Arial" w:cs="Arial"/>
          <w:sz w:val="24"/>
          <w:szCs w:val="24"/>
        </w:rPr>
        <w:t>The plaintiff also claims that o</w:t>
      </w:r>
      <w:r w:rsidRPr="0030029F">
        <w:rPr>
          <w:rFonts w:ascii="Arial" w:hAnsi="Arial" w:cs="Arial"/>
          <w:sz w:val="24"/>
          <w:szCs w:val="24"/>
        </w:rPr>
        <w:t>n 26 May 2006 the second defendant instructed the fourth defendant, to effect transfer of the property to the plaintiff. However, due to an error in the registration of transfer of ownership</w:t>
      </w:r>
      <w:r w:rsidR="009C7476" w:rsidRPr="0030029F">
        <w:rPr>
          <w:rFonts w:ascii="Arial" w:hAnsi="Arial" w:cs="Arial"/>
          <w:sz w:val="24"/>
          <w:szCs w:val="24"/>
        </w:rPr>
        <w:t>,</w:t>
      </w:r>
      <w:r w:rsidRPr="0030029F">
        <w:rPr>
          <w:rFonts w:ascii="Arial" w:hAnsi="Arial" w:cs="Arial"/>
          <w:sz w:val="24"/>
          <w:szCs w:val="24"/>
        </w:rPr>
        <w:t xml:space="preserve"> the </w:t>
      </w:r>
      <w:r w:rsidR="00272924" w:rsidRPr="0030029F">
        <w:rPr>
          <w:rFonts w:ascii="Arial" w:hAnsi="Arial" w:cs="Arial"/>
          <w:sz w:val="24"/>
          <w:szCs w:val="24"/>
        </w:rPr>
        <w:t>Erf</w:t>
      </w:r>
      <w:r w:rsidRPr="0030029F">
        <w:rPr>
          <w:rFonts w:ascii="Arial" w:hAnsi="Arial" w:cs="Arial"/>
          <w:sz w:val="24"/>
          <w:szCs w:val="24"/>
        </w:rPr>
        <w:t xml:space="preserve"> was registered in the name of first defendant</w:t>
      </w:r>
      <w:r w:rsidR="00752CAC" w:rsidRPr="0030029F">
        <w:rPr>
          <w:rFonts w:ascii="Arial" w:hAnsi="Arial" w:cs="Arial"/>
          <w:sz w:val="24"/>
          <w:szCs w:val="24"/>
        </w:rPr>
        <w:t>,</w:t>
      </w:r>
      <w:r w:rsidRPr="0030029F">
        <w:rPr>
          <w:rFonts w:ascii="Arial" w:hAnsi="Arial" w:cs="Arial"/>
          <w:sz w:val="24"/>
          <w:szCs w:val="24"/>
        </w:rPr>
        <w:t xml:space="preserve"> instead of the </w:t>
      </w:r>
      <w:r w:rsidR="00752CAC" w:rsidRPr="0030029F">
        <w:rPr>
          <w:rFonts w:ascii="Arial" w:hAnsi="Arial" w:cs="Arial"/>
          <w:sz w:val="24"/>
          <w:szCs w:val="24"/>
        </w:rPr>
        <w:t xml:space="preserve">name of the </w:t>
      </w:r>
      <w:r w:rsidRPr="0030029F">
        <w:rPr>
          <w:rFonts w:ascii="Arial" w:hAnsi="Arial" w:cs="Arial"/>
          <w:sz w:val="24"/>
          <w:szCs w:val="24"/>
        </w:rPr>
        <w:t xml:space="preserve">plaintiff. </w:t>
      </w:r>
    </w:p>
    <w:p w:rsidR="00C61F7F" w:rsidRPr="0030029F" w:rsidRDefault="00C61F7F" w:rsidP="006D6473">
      <w:pPr>
        <w:spacing w:after="0" w:line="360" w:lineRule="auto"/>
        <w:jc w:val="both"/>
        <w:rPr>
          <w:rFonts w:ascii="Arial" w:hAnsi="Arial" w:cs="Arial"/>
          <w:sz w:val="24"/>
          <w:szCs w:val="24"/>
        </w:rPr>
      </w:pPr>
    </w:p>
    <w:p w:rsidR="00E1504E" w:rsidRPr="0030029F" w:rsidRDefault="005C25B7" w:rsidP="006D6473">
      <w:pPr>
        <w:spacing w:after="0" w:line="360" w:lineRule="auto"/>
        <w:jc w:val="both"/>
        <w:rPr>
          <w:rFonts w:ascii="Arial" w:hAnsi="Arial" w:cs="Arial"/>
          <w:sz w:val="24"/>
          <w:szCs w:val="24"/>
        </w:rPr>
      </w:pPr>
      <w:r w:rsidRPr="0030029F">
        <w:rPr>
          <w:rFonts w:ascii="Arial" w:hAnsi="Arial" w:cs="Arial"/>
        </w:rPr>
        <w:t>[</w:t>
      </w:r>
      <w:r w:rsidR="000312B1" w:rsidRPr="0030029F">
        <w:rPr>
          <w:rFonts w:ascii="Arial" w:hAnsi="Arial" w:cs="Arial"/>
        </w:rPr>
        <w:t>7</w:t>
      </w:r>
      <w:r w:rsidRPr="0030029F">
        <w:rPr>
          <w:rFonts w:ascii="Arial" w:hAnsi="Arial" w:cs="Arial"/>
        </w:rPr>
        <w:t>]</w:t>
      </w:r>
      <w:r w:rsidRPr="0030029F">
        <w:rPr>
          <w:rFonts w:ascii="Arial" w:hAnsi="Arial" w:cs="Arial"/>
        </w:rPr>
        <w:tab/>
        <w:t>T</w:t>
      </w:r>
      <w:r w:rsidR="005E769E" w:rsidRPr="0030029F">
        <w:rPr>
          <w:rFonts w:ascii="Arial" w:hAnsi="Arial" w:cs="Arial"/>
          <w:sz w:val="24"/>
          <w:szCs w:val="24"/>
        </w:rPr>
        <w:t xml:space="preserve">he </w:t>
      </w:r>
      <w:r w:rsidR="006E778E" w:rsidRPr="0030029F">
        <w:rPr>
          <w:rFonts w:ascii="Arial" w:hAnsi="Arial" w:cs="Arial"/>
          <w:sz w:val="24"/>
          <w:szCs w:val="24"/>
        </w:rPr>
        <w:t>fi</w:t>
      </w:r>
      <w:r w:rsidR="00FE0925" w:rsidRPr="0030029F">
        <w:rPr>
          <w:rFonts w:ascii="Arial" w:hAnsi="Arial" w:cs="Arial"/>
          <w:sz w:val="24"/>
          <w:szCs w:val="24"/>
        </w:rPr>
        <w:t>rst defendant in its plea</w:t>
      </w:r>
      <w:r w:rsidR="009C7476" w:rsidRPr="0030029F">
        <w:rPr>
          <w:rFonts w:ascii="Arial" w:hAnsi="Arial" w:cs="Arial"/>
          <w:sz w:val="24"/>
          <w:szCs w:val="24"/>
        </w:rPr>
        <w:t xml:space="preserve"> denies that </w:t>
      </w:r>
      <w:r w:rsidRPr="0030029F">
        <w:rPr>
          <w:rFonts w:ascii="Arial" w:hAnsi="Arial" w:cs="Arial"/>
          <w:sz w:val="24"/>
          <w:szCs w:val="24"/>
        </w:rPr>
        <w:t xml:space="preserve">the </w:t>
      </w:r>
      <w:r w:rsidR="005E769E" w:rsidRPr="0030029F">
        <w:rPr>
          <w:rFonts w:ascii="Arial" w:hAnsi="Arial" w:cs="Arial"/>
          <w:sz w:val="24"/>
          <w:szCs w:val="24"/>
        </w:rPr>
        <w:t>plaintiff paid the purchase price and that the second defendant’</w:t>
      </w:r>
      <w:r w:rsidR="0011744C" w:rsidRPr="0030029F">
        <w:rPr>
          <w:rFonts w:ascii="Arial" w:hAnsi="Arial" w:cs="Arial"/>
          <w:sz w:val="24"/>
          <w:szCs w:val="24"/>
        </w:rPr>
        <w:t>s instruction</w:t>
      </w:r>
      <w:r w:rsidR="005E769E" w:rsidRPr="0030029F">
        <w:rPr>
          <w:rFonts w:ascii="Arial" w:hAnsi="Arial" w:cs="Arial"/>
          <w:sz w:val="24"/>
          <w:szCs w:val="24"/>
        </w:rPr>
        <w:t xml:space="preserve"> was to effect transfer of the </w:t>
      </w:r>
      <w:r w:rsidR="00272924" w:rsidRPr="0030029F">
        <w:rPr>
          <w:rFonts w:ascii="Arial" w:hAnsi="Arial" w:cs="Arial"/>
          <w:sz w:val="24"/>
          <w:szCs w:val="24"/>
        </w:rPr>
        <w:t>Erf</w:t>
      </w:r>
      <w:r w:rsidR="005E769E" w:rsidRPr="0030029F">
        <w:rPr>
          <w:rFonts w:ascii="Arial" w:hAnsi="Arial" w:cs="Arial"/>
          <w:sz w:val="24"/>
          <w:szCs w:val="24"/>
        </w:rPr>
        <w:t xml:space="preserve"> to the p</w:t>
      </w:r>
      <w:r w:rsidR="006E778E" w:rsidRPr="0030029F">
        <w:rPr>
          <w:rFonts w:ascii="Arial" w:hAnsi="Arial" w:cs="Arial"/>
          <w:sz w:val="24"/>
          <w:szCs w:val="24"/>
        </w:rPr>
        <w:t xml:space="preserve">laintiff. The first defendant </w:t>
      </w:r>
      <w:r w:rsidRPr="0030029F">
        <w:rPr>
          <w:rFonts w:ascii="Arial" w:hAnsi="Arial" w:cs="Arial"/>
          <w:sz w:val="24"/>
          <w:szCs w:val="24"/>
        </w:rPr>
        <w:t xml:space="preserve">also </w:t>
      </w:r>
      <w:r w:rsidR="00752CAC" w:rsidRPr="0030029F">
        <w:rPr>
          <w:rFonts w:ascii="Arial" w:hAnsi="Arial" w:cs="Arial"/>
          <w:sz w:val="24"/>
          <w:szCs w:val="24"/>
        </w:rPr>
        <w:t>disagree</w:t>
      </w:r>
      <w:r w:rsidR="00041AA0" w:rsidRPr="0030029F">
        <w:rPr>
          <w:rFonts w:ascii="Arial" w:hAnsi="Arial" w:cs="Arial"/>
          <w:sz w:val="24"/>
          <w:szCs w:val="24"/>
        </w:rPr>
        <w:t>s</w:t>
      </w:r>
      <w:r w:rsidR="00752CAC" w:rsidRPr="0030029F">
        <w:rPr>
          <w:rFonts w:ascii="Arial" w:hAnsi="Arial" w:cs="Arial"/>
          <w:sz w:val="24"/>
          <w:szCs w:val="24"/>
        </w:rPr>
        <w:t xml:space="preserve"> with the contention that </w:t>
      </w:r>
      <w:r w:rsidRPr="0030029F">
        <w:rPr>
          <w:rFonts w:ascii="Arial" w:hAnsi="Arial" w:cs="Arial"/>
          <w:sz w:val="24"/>
          <w:szCs w:val="24"/>
        </w:rPr>
        <w:t>a</w:t>
      </w:r>
      <w:r w:rsidR="00E1504E" w:rsidRPr="0030029F">
        <w:rPr>
          <w:rFonts w:ascii="Arial" w:hAnsi="Arial" w:cs="Arial"/>
          <w:sz w:val="24"/>
          <w:szCs w:val="24"/>
        </w:rPr>
        <w:t xml:space="preserve">n error occurred and pleaded </w:t>
      </w:r>
      <w:r w:rsidR="006E778E" w:rsidRPr="0030029F">
        <w:rPr>
          <w:rFonts w:ascii="Arial" w:hAnsi="Arial" w:cs="Arial"/>
          <w:sz w:val="24"/>
          <w:szCs w:val="24"/>
        </w:rPr>
        <w:t xml:space="preserve">that the </w:t>
      </w:r>
      <w:r w:rsidRPr="0030029F">
        <w:rPr>
          <w:rFonts w:ascii="Arial" w:hAnsi="Arial" w:cs="Arial"/>
          <w:sz w:val="24"/>
          <w:szCs w:val="24"/>
        </w:rPr>
        <w:t xml:space="preserve">property </w:t>
      </w:r>
      <w:r w:rsidR="006E778E" w:rsidRPr="0030029F">
        <w:rPr>
          <w:rFonts w:ascii="Arial" w:hAnsi="Arial" w:cs="Arial"/>
          <w:sz w:val="24"/>
          <w:szCs w:val="24"/>
        </w:rPr>
        <w:t xml:space="preserve">was transferred in </w:t>
      </w:r>
      <w:r w:rsidRPr="0030029F">
        <w:rPr>
          <w:rFonts w:ascii="Arial" w:hAnsi="Arial" w:cs="Arial"/>
          <w:sz w:val="24"/>
          <w:szCs w:val="24"/>
        </w:rPr>
        <w:t xml:space="preserve">accordance with a </w:t>
      </w:r>
      <w:r w:rsidR="006E778E" w:rsidRPr="0030029F">
        <w:rPr>
          <w:rFonts w:ascii="Arial" w:hAnsi="Arial" w:cs="Arial"/>
          <w:sz w:val="24"/>
          <w:szCs w:val="24"/>
        </w:rPr>
        <w:t xml:space="preserve">power of attorney by the second defendant. </w:t>
      </w:r>
      <w:r w:rsidR="007202E8" w:rsidRPr="0030029F">
        <w:rPr>
          <w:rFonts w:ascii="Arial" w:hAnsi="Arial" w:cs="Arial"/>
          <w:sz w:val="24"/>
          <w:szCs w:val="24"/>
        </w:rPr>
        <w:t>The first defendant</w:t>
      </w:r>
      <w:r w:rsidR="00FE0925" w:rsidRPr="0030029F">
        <w:rPr>
          <w:rFonts w:ascii="Arial" w:hAnsi="Arial" w:cs="Arial"/>
          <w:sz w:val="24"/>
          <w:szCs w:val="24"/>
        </w:rPr>
        <w:t xml:space="preserve"> f</w:t>
      </w:r>
      <w:r w:rsidR="00FF2E95" w:rsidRPr="0030029F">
        <w:rPr>
          <w:rFonts w:ascii="Arial" w:hAnsi="Arial" w:cs="Arial"/>
          <w:sz w:val="24"/>
          <w:szCs w:val="24"/>
        </w:rPr>
        <w:t xml:space="preserve">iled a conditional counterclaim for undue enrichment of N$2 million, but </w:t>
      </w:r>
      <w:r w:rsidR="007202E8" w:rsidRPr="0030029F">
        <w:rPr>
          <w:rFonts w:ascii="Arial" w:hAnsi="Arial" w:cs="Arial"/>
          <w:sz w:val="24"/>
          <w:szCs w:val="24"/>
        </w:rPr>
        <w:t xml:space="preserve">did not persist with it </w:t>
      </w:r>
      <w:r w:rsidR="00FF2E95" w:rsidRPr="0030029F">
        <w:rPr>
          <w:rFonts w:ascii="Arial" w:hAnsi="Arial" w:cs="Arial"/>
          <w:sz w:val="24"/>
          <w:szCs w:val="24"/>
        </w:rPr>
        <w:t>in the end</w:t>
      </w:r>
      <w:r w:rsidR="009C7476" w:rsidRPr="0030029F">
        <w:rPr>
          <w:rFonts w:ascii="Arial" w:hAnsi="Arial" w:cs="Arial"/>
          <w:sz w:val="24"/>
          <w:szCs w:val="24"/>
        </w:rPr>
        <w:t>.</w:t>
      </w:r>
      <w:r w:rsidR="00FF2E95" w:rsidRPr="0030029F">
        <w:rPr>
          <w:rFonts w:ascii="Arial" w:hAnsi="Arial" w:cs="Arial"/>
          <w:sz w:val="24"/>
          <w:szCs w:val="24"/>
        </w:rPr>
        <w:t xml:space="preserve"> </w:t>
      </w:r>
      <w:r w:rsidR="000E48EB" w:rsidRPr="0030029F">
        <w:rPr>
          <w:rFonts w:ascii="Arial" w:hAnsi="Arial" w:cs="Arial"/>
          <w:sz w:val="24"/>
          <w:szCs w:val="24"/>
        </w:rPr>
        <w:t>In any event, no evidence was lead thereon and it was bound to be dismissed.</w:t>
      </w:r>
    </w:p>
    <w:p w:rsidR="005E6AB7" w:rsidRPr="0030029F" w:rsidRDefault="005E6AB7" w:rsidP="006D6473">
      <w:pPr>
        <w:spacing w:after="0" w:line="360" w:lineRule="auto"/>
        <w:jc w:val="both"/>
        <w:rPr>
          <w:rFonts w:ascii="Arial" w:hAnsi="Arial" w:cs="Arial"/>
          <w:sz w:val="24"/>
          <w:szCs w:val="24"/>
        </w:rPr>
      </w:pPr>
    </w:p>
    <w:p w:rsidR="006023B9" w:rsidRPr="0030029F" w:rsidRDefault="00DB49C6" w:rsidP="006023B9">
      <w:pPr>
        <w:spacing w:after="0" w:line="360" w:lineRule="auto"/>
        <w:jc w:val="both"/>
        <w:rPr>
          <w:rFonts w:ascii="Arial" w:hAnsi="Arial" w:cs="Arial"/>
          <w:sz w:val="24"/>
          <w:szCs w:val="24"/>
          <w:u w:val="single"/>
        </w:rPr>
      </w:pPr>
      <w:r w:rsidRPr="0030029F">
        <w:rPr>
          <w:rFonts w:ascii="Arial" w:hAnsi="Arial" w:cs="Arial"/>
          <w:sz w:val="24"/>
          <w:szCs w:val="24"/>
          <w:u w:val="single"/>
        </w:rPr>
        <w:t>Summary of the evidence</w:t>
      </w:r>
    </w:p>
    <w:p w:rsidR="006023B9" w:rsidRPr="0030029F" w:rsidRDefault="006023B9" w:rsidP="006023B9">
      <w:pPr>
        <w:spacing w:after="0" w:line="360" w:lineRule="auto"/>
        <w:jc w:val="both"/>
        <w:rPr>
          <w:rFonts w:ascii="Arial" w:hAnsi="Arial" w:cs="Arial"/>
          <w:sz w:val="24"/>
          <w:szCs w:val="24"/>
        </w:rPr>
      </w:pPr>
    </w:p>
    <w:p w:rsidR="00E601FE" w:rsidRPr="0030029F" w:rsidRDefault="005D6641" w:rsidP="00E601FE">
      <w:pPr>
        <w:spacing w:after="0" w:line="360" w:lineRule="auto"/>
        <w:jc w:val="both"/>
        <w:rPr>
          <w:rFonts w:ascii="Arial" w:hAnsi="Arial" w:cs="Arial"/>
          <w:sz w:val="24"/>
          <w:szCs w:val="24"/>
        </w:rPr>
      </w:pPr>
      <w:r w:rsidRPr="0030029F">
        <w:rPr>
          <w:rFonts w:ascii="Arial" w:hAnsi="Arial" w:cs="Arial"/>
          <w:sz w:val="24"/>
          <w:szCs w:val="24"/>
        </w:rPr>
        <w:t>[</w:t>
      </w:r>
      <w:r w:rsidR="00FF2E95" w:rsidRPr="0030029F">
        <w:rPr>
          <w:rFonts w:ascii="Arial" w:hAnsi="Arial" w:cs="Arial"/>
          <w:sz w:val="24"/>
          <w:szCs w:val="24"/>
        </w:rPr>
        <w:t>8</w:t>
      </w:r>
      <w:r w:rsidR="006023B9" w:rsidRPr="0030029F">
        <w:rPr>
          <w:rFonts w:ascii="Arial" w:hAnsi="Arial" w:cs="Arial"/>
          <w:sz w:val="24"/>
          <w:szCs w:val="24"/>
        </w:rPr>
        <w:t>]</w:t>
      </w:r>
      <w:r w:rsidR="006023B9" w:rsidRPr="0030029F">
        <w:rPr>
          <w:rFonts w:ascii="Arial" w:hAnsi="Arial" w:cs="Arial"/>
          <w:sz w:val="24"/>
          <w:szCs w:val="24"/>
        </w:rPr>
        <w:tab/>
        <w:t>The plaintiff called 2 witnesses</w:t>
      </w:r>
      <w:r w:rsidR="009C7476" w:rsidRPr="0030029F">
        <w:rPr>
          <w:rFonts w:ascii="Arial" w:hAnsi="Arial" w:cs="Arial"/>
          <w:sz w:val="24"/>
          <w:szCs w:val="24"/>
        </w:rPr>
        <w:t>,</w:t>
      </w:r>
      <w:r w:rsidR="006023B9" w:rsidRPr="0030029F">
        <w:rPr>
          <w:rFonts w:ascii="Arial" w:hAnsi="Arial" w:cs="Arial"/>
          <w:sz w:val="24"/>
          <w:szCs w:val="24"/>
        </w:rPr>
        <w:t xml:space="preserve"> </w:t>
      </w:r>
      <w:r w:rsidRPr="0030029F">
        <w:rPr>
          <w:rFonts w:ascii="Arial" w:hAnsi="Arial" w:cs="Arial"/>
          <w:sz w:val="24"/>
          <w:szCs w:val="24"/>
        </w:rPr>
        <w:t>whereas the first defendant elected to close its ca</w:t>
      </w:r>
      <w:r w:rsidR="005C2CE8" w:rsidRPr="0030029F">
        <w:rPr>
          <w:rFonts w:ascii="Arial" w:hAnsi="Arial" w:cs="Arial"/>
          <w:sz w:val="24"/>
          <w:szCs w:val="24"/>
        </w:rPr>
        <w:t>s</w:t>
      </w:r>
      <w:r w:rsidRPr="0030029F">
        <w:rPr>
          <w:rFonts w:ascii="Arial" w:hAnsi="Arial" w:cs="Arial"/>
          <w:sz w:val="24"/>
          <w:szCs w:val="24"/>
        </w:rPr>
        <w:t xml:space="preserve">e without calling any witnesses. </w:t>
      </w:r>
      <w:r w:rsidR="00E601FE" w:rsidRPr="0030029F">
        <w:rPr>
          <w:rFonts w:ascii="Arial" w:hAnsi="Arial" w:cs="Arial"/>
          <w:sz w:val="24"/>
          <w:szCs w:val="24"/>
        </w:rPr>
        <w:t xml:space="preserve">The first witness for the plaintiff was the late Mr Katuutire Kaura. He testified that he is </w:t>
      </w:r>
      <w:r w:rsidR="009C7476" w:rsidRPr="0030029F">
        <w:rPr>
          <w:rFonts w:ascii="Arial" w:hAnsi="Arial" w:cs="Arial"/>
          <w:sz w:val="24"/>
          <w:szCs w:val="24"/>
        </w:rPr>
        <w:t xml:space="preserve">a </w:t>
      </w:r>
      <w:r w:rsidR="00E601FE" w:rsidRPr="0030029F">
        <w:rPr>
          <w:rFonts w:ascii="Arial" w:hAnsi="Arial" w:cs="Arial"/>
          <w:sz w:val="24"/>
          <w:szCs w:val="24"/>
        </w:rPr>
        <w:t>member</w:t>
      </w:r>
      <w:r w:rsidR="009C7476" w:rsidRPr="0030029F">
        <w:rPr>
          <w:rFonts w:ascii="Arial" w:hAnsi="Arial" w:cs="Arial"/>
          <w:sz w:val="24"/>
          <w:szCs w:val="24"/>
        </w:rPr>
        <w:t xml:space="preserve"> of the Regiment </w:t>
      </w:r>
      <w:r w:rsidR="00E601FE" w:rsidRPr="0030029F">
        <w:rPr>
          <w:rFonts w:ascii="Arial" w:hAnsi="Arial" w:cs="Arial"/>
          <w:sz w:val="24"/>
          <w:szCs w:val="24"/>
        </w:rPr>
        <w:t xml:space="preserve">with the rank of General Field Marshall at the time that he testified.  </w:t>
      </w:r>
    </w:p>
    <w:p w:rsidR="008026EB" w:rsidRPr="0030029F" w:rsidRDefault="008026EB" w:rsidP="00E601FE">
      <w:pPr>
        <w:spacing w:after="0" w:line="360" w:lineRule="auto"/>
        <w:jc w:val="both"/>
        <w:rPr>
          <w:rFonts w:ascii="Arial" w:hAnsi="Arial" w:cs="Arial"/>
          <w:sz w:val="24"/>
          <w:szCs w:val="24"/>
        </w:rPr>
      </w:pPr>
    </w:p>
    <w:p w:rsidR="00E601FE" w:rsidRPr="0030029F" w:rsidRDefault="00E601FE" w:rsidP="00E601FE">
      <w:pPr>
        <w:spacing w:after="0" w:line="360" w:lineRule="auto"/>
        <w:jc w:val="both"/>
        <w:rPr>
          <w:rFonts w:ascii="Arial" w:hAnsi="Arial" w:cs="Arial"/>
          <w:sz w:val="24"/>
          <w:szCs w:val="24"/>
        </w:rPr>
      </w:pPr>
      <w:r w:rsidRPr="0030029F">
        <w:rPr>
          <w:rFonts w:ascii="Arial" w:hAnsi="Arial" w:cs="Arial"/>
          <w:sz w:val="24"/>
          <w:szCs w:val="24"/>
        </w:rPr>
        <w:t>[</w:t>
      </w:r>
      <w:r w:rsidR="00FF2E95" w:rsidRPr="0030029F">
        <w:rPr>
          <w:rFonts w:ascii="Arial" w:hAnsi="Arial" w:cs="Arial"/>
          <w:sz w:val="24"/>
          <w:szCs w:val="24"/>
        </w:rPr>
        <w:t>9</w:t>
      </w:r>
      <w:r w:rsidRPr="0030029F">
        <w:rPr>
          <w:rFonts w:ascii="Arial" w:hAnsi="Arial" w:cs="Arial"/>
          <w:sz w:val="24"/>
          <w:szCs w:val="24"/>
        </w:rPr>
        <w:t>]</w:t>
      </w:r>
      <w:r w:rsidRPr="0030029F">
        <w:rPr>
          <w:rFonts w:ascii="Arial" w:hAnsi="Arial" w:cs="Arial"/>
          <w:sz w:val="24"/>
          <w:szCs w:val="24"/>
        </w:rPr>
        <w:tab/>
      </w:r>
      <w:r w:rsidR="009C730F" w:rsidRPr="0030029F">
        <w:rPr>
          <w:rFonts w:ascii="Arial" w:hAnsi="Arial" w:cs="Arial"/>
          <w:sz w:val="24"/>
          <w:szCs w:val="24"/>
        </w:rPr>
        <w:t xml:space="preserve">He explained that in 1979 the Regiment occupied three municipal properties in Windhoek and that the one at the centre of this </w:t>
      </w:r>
      <w:r w:rsidR="00873B9C" w:rsidRPr="0030029F">
        <w:rPr>
          <w:rFonts w:ascii="Arial" w:hAnsi="Arial" w:cs="Arial"/>
          <w:sz w:val="24"/>
          <w:szCs w:val="24"/>
        </w:rPr>
        <w:t xml:space="preserve">case </w:t>
      </w:r>
      <w:r w:rsidR="009C730F" w:rsidRPr="0030029F">
        <w:rPr>
          <w:rFonts w:ascii="Arial" w:hAnsi="Arial" w:cs="Arial"/>
          <w:sz w:val="24"/>
          <w:szCs w:val="24"/>
        </w:rPr>
        <w:t>was used for commando buildings.</w:t>
      </w:r>
      <w:r w:rsidR="0035082F" w:rsidRPr="0030029F">
        <w:rPr>
          <w:rFonts w:ascii="Arial" w:hAnsi="Arial" w:cs="Arial"/>
          <w:sz w:val="24"/>
          <w:szCs w:val="24"/>
        </w:rPr>
        <w:t xml:space="preserve"> These buildings were f</w:t>
      </w:r>
      <w:r w:rsidR="009C7476" w:rsidRPr="0030029F">
        <w:rPr>
          <w:rFonts w:ascii="Arial" w:hAnsi="Arial" w:cs="Arial"/>
          <w:sz w:val="24"/>
          <w:szCs w:val="24"/>
        </w:rPr>
        <w:t xml:space="preserve">inanced with collections from </w:t>
      </w:r>
      <w:r w:rsidR="0035082F" w:rsidRPr="0030029F">
        <w:rPr>
          <w:rFonts w:ascii="Arial" w:hAnsi="Arial" w:cs="Arial"/>
          <w:sz w:val="24"/>
          <w:szCs w:val="24"/>
        </w:rPr>
        <w:t xml:space="preserve">members of the Regiment. </w:t>
      </w:r>
      <w:r w:rsidR="009C730F" w:rsidRPr="0030029F">
        <w:rPr>
          <w:rFonts w:ascii="Arial" w:hAnsi="Arial" w:cs="Arial"/>
          <w:sz w:val="24"/>
          <w:szCs w:val="24"/>
        </w:rPr>
        <w:t>During 1993 the second defendant put pressure on the Regiment to purch</w:t>
      </w:r>
      <w:r w:rsidR="000E7E85" w:rsidRPr="0030029F">
        <w:rPr>
          <w:rFonts w:ascii="Arial" w:hAnsi="Arial" w:cs="Arial"/>
          <w:sz w:val="24"/>
          <w:szCs w:val="24"/>
        </w:rPr>
        <w:t xml:space="preserve">ase the said </w:t>
      </w:r>
      <w:r w:rsidR="00272924" w:rsidRPr="0030029F">
        <w:rPr>
          <w:rFonts w:ascii="Arial" w:hAnsi="Arial" w:cs="Arial"/>
          <w:sz w:val="24"/>
          <w:szCs w:val="24"/>
        </w:rPr>
        <w:t>Erf</w:t>
      </w:r>
      <w:r w:rsidR="000E7E85" w:rsidRPr="0030029F">
        <w:rPr>
          <w:rFonts w:ascii="Arial" w:hAnsi="Arial" w:cs="Arial"/>
          <w:sz w:val="24"/>
          <w:szCs w:val="24"/>
        </w:rPr>
        <w:t>, and after having pondered over that</w:t>
      </w:r>
      <w:r w:rsidR="002A6B4D" w:rsidRPr="0030029F">
        <w:rPr>
          <w:rFonts w:ascii="Arial" w:hAnsi="Arial" w:cs="Arial"/>
          <w:sz w:val="24"/>
          <w:szCs w:val="24"/>
        </w:rPr>
        <w:t>,</w:t>
      </w:r>
      <w:r w:rsidR="000E7E85" w:rsidRPr="0030029F">
        <w:rPr>
          <w:rFonts w:ascii="Arial" w:hAnsi="Arial" w:cs="Arial"/>
          <w:sz w:val="24"/>
          <w:szCs w:val="24"/>
        </w:rPr>
        <w:t xml:space="preserve"> by 1994 the Regiment decided that it will do that. Subsequent</w:t>
      </w:r>
      <w:r w:rsidR="00873B9C" w:rsidRPr="0030029F">
        <w:rPr>
          <w:rFonts w:ascii="Arial" w:hAnsi="Arial" w:cs="Arial"/>
          <w:sz w:val="24"/>
          <w:szCs w:val="24"/>
        </w:rPr>
        <w:t>ly</w:t>
      </w:r>
      <w:r w:rsidR="000E7E85" w:rsidRPr="0030029F">
        <w:rPr>
          <w:rFonts w:ascii="Arial" w:hAnsi="Arial" w:cs="Arial"/>
          <w:sz w:val="24"/>
          <w:szCs w:val="24"/>
        </w:rPr>
        <w:t xml:space="preserve"> the </w:t>
      </w:r>
      <w:r w:rsidR="007202E8" w:rsidRPr="0030029F">
        <w:rPr>
          <w:rFonts w:ascii="Arial" w:hAnsi="Arial" w:cs="Arial"/>
          <w:sz w:val="24"/>
          <w:szCs w:val="24"/>
        </w:rPr>
        <w:t xml:space="preserve">Regimen </w:t>
      </w:r>
      <w:r w:rsidR="000E7E85" w:rsidRPr="0030029F">
        <w:rPr>
          <w:rFonts w:ascii="Arial" w:hAnsi="Arial" w:cs="Arial"/>
          <w:sz w:val="24"/>
          <w:szCs w:val="24"/>
        </w:rPr>
        <w:t>decided that an association should be created for that specific purpose. Hence, the Herero Royal Red Flag Association was born, which constitution</w:t>
      </w:r>
      <w:r w:rsidR="00CE24EE" w:rsidRPr="0030029F">
        <w:rPr>
          <w:rStyle w:val="FootnoteReference"/>
          <w:rFonts w:ascii="Arial" w:hAnsi="Arial" w:cs="Arial"/>
          <w:sz w:val="24"/>
          <w:szCs w:val="24"/>
        </w:rPr>
        <w:footnoteReference w:id="1"/>
      </w:r>
      <w:r w:rsidR="000E7E85" w:rsidRPr="0030029F">
        <w:rPr>
          <w:rFonts w:ascii="Arial" w:hAnsi="Arial" w:cs="Arial"/>
          <w:sz w:val="24"/>
          <w:szCs w:val="24"/>
        </w:rPr>
        <w:t xml:space="preserve"> bears a date </w:t>
      </w:r>
      <w:r w:rsidR="000E7E85" w:rsidRPr="0030029F">
        <w:rPr>
          <w:rFonts w:ascii="Arial" w:hAnsi="Arial" w:cs="Arial"/>
          <w:sz w:val="24"/>
          <w:szCs w:val="24"/>
        </w:rPr>
        <w:lastRenderedPageBreak/>
        <w:t xml:space="preserve">of 28 August 1996. </w:t>
      </w:r>
      <w:r w:rsidR="00CE24EE" w:rsidRPr="0030029F">
        <w:rPr>
          <w:rFonts w:ascii="Arial" w:hAnsi="Arial" w:cs="Arial"/>
          <w:sz w:val="24"/>
          <w:szCs w:val="24"/>
        </w:rPr>
        <w:t>He also deposed that the members of Herero Royal Red Flag Association were also members of the Regiment.</w:t>
      </w:r>
    </w:p>
    <w:p w:rsidR="005D6641" w:rsidRPr="0030029F" w:rsidRDefault="005D6641" w:rsidP="006023B9">
      <w:pPr>
        <w:spacing w:after="0" w:line="360" w:lineRule="auto"/>
        <w:jc w:val="both"/>
        <w:rPr>
          <w:rFonts w:ascii="Arial" w:hAnsi="Arial" w:cs="Arial"/>
          <w:sz w:val="24"/>
          <w:szCs w:val="24"/>
        </w:rPr>
      </w:pPr>
    </w:p>
    <w:p w:rsidR="00DE52E3" w:rsidRPr="0030029F" w:rsidRDefault="000E7E85" w:rsidP="00BB3A31">
      <w:pPr>
        <w:spacing w:after="0" w:line="360" w:lineRule="auto"/>
        <w:jc w:val="both"/>
        <w:rPr>
          <w:rFonts w:ascii="Arial" w:hAnsi="Arial" w:cs="Arial"/>
          <w:sz w:val="24"/>
          <w:szCs w:val="24"/>
        </w:rPr>
      </w:pPr>
      <w:r w:rsidRPr="0030029F">
        <w:rPr>
          <w:rFonts w:ascii="Arial" w:hAnsi="Arial" w:cs="Arial"/>
          <w:sz w:val="24"/>
          <w:szCs w:val="24"/>
        </w:rPr>
        <w:t>[1</w:t>
      </w:r>
      <w:r w:rsidR="00FF2E95" w:rsidRPr="0030029F">
        <w:rPr>
          <w:rFonts w:ascii="Arial" w:hAnsi="Arial" w:cs="Arial"/>
          <w:sz w:val="24"/>
          <w:szCs w:val="24"/>
        </w:rPr>
        <w:t>0</w:t>
      </w:r>
      <w:r w:rsidRPr="0030029F">
        <w:rPr>
          <w:rFonts w:ascii="Arial" w:hAnsi="Arial" w:cs="Arial"/>
          <w:sz w:val="24"/>
          <w:szCs w:val="24"/>
        </w:rPr>
        <w:t>]</w:t>
      </w:r>
      <w:r w:rsidRPr="0030029F">
        <w:rPr>
          <w:rFonts w:ascii="Arial" w:hAnsi="Arial" w:cs="Arial"/>
          <w:sz w:val="24"/>
          <w:szCs w:val="24"/>
        </w:rPr>
        <w:tab/>
      </w:r>
      <w:r w:rsidR="00CE24EE" w:rsidRPr="0030029F">
        <w:rPr>
          <w:rFonts w:ascii="Arial" w:hAnsi="Arial" w:cs="Arial"/>
          <w:sz w:val="24"/>
          <w:szCs w:val="24"/>
        </w:rPr>
        <w:t xml:space="preserve">Collections continued from amongst the members of the </w:t>
      </w:r>
      <w:r w:rsidR="0035082F" w:rsidRPr="0030029F">
        <w:rPr>
          <w:rFonts w:ascii="Arial" w:hAnsi="Arial" w:cs="Arial"/>
          <w:sz w:val="24"/>
          <w:szCs w:val="24"/>
        </w:rPr>
        <w:t>Regiment</w:t>
      </w:r>
      <w:r w:rsidR="00A36602" w:rsidRPr="0030029F">
        <w:rPr>
          <w:rFonts w:ascii="Arial" w:hAnsi="Arial" w:cs="Arial"/>
          <w:sz w:val="24"/>
          <w:szCs w:val="24"/>
        </w:rPr>
        <w:t xml:space="preserve"> and a</w:t>
      </w:r>
      <w:r w:rsidR="00CE24EE" w:rsidRPr="0030029F">
        <w:rPr>
          <w:rFonts w:ascii="Arial" w:hAnsi="Arial" w:cs="Arial"/>
          <w:sz w:val="24"/>
          <w:szCs w:val="24"/>
        </w:rPr>
        <w:t xml:space="preserve"> deed of sale</w:t>
      </w:r>
      <w:r w:rsidR="00A36602" w:rsidRPr="0030029F">
        <w:rPr>
          <w:rStyle w:val="FootnoteReference"/>
          <w:rFonts w:ascii="Arial" w:hAnsi="Arial" w:cs="Arial"/>
          <w:sz w:val="24"/>
          <w:szCs w:val="24"/>
        </w:rPr>
        <w:footnoteReference w:id="2"/>
      </w:r>
      <w:r w:rsidR="00CE24EE" w:rsidRPr="0030029F">
        <w:rPr>
          <w:rFonts w:ascii="Arial" w:hAnsi="Arial" w:cs="Arial"/>
          <w:sz w:val="24"/>
          <w:szCs w:val="24"/>
        </w:rPr>
        <w:t xml:space="preserve"> was concluded o</w:t>
      </w:r>
      <w:r w:rsidR="0035082F" w:rsidRPr="0030029F">
        <w:rPr>
          <w:rFonts w:ascii="Arial" w:hAnsi="Arial" w:cs="Arial"/>
          <w:sz w:val="24"/>
          <w:szCs w:val="24"/>
        </w:rPr>
        <w:t xml:space="preserve">n 16 May 2000 between the plaintiff and the second defendant for the commando’s </w:t>
      </w:r>
      <w:r w:rsidR="00272924" w:rsidRPr="0030029F">
        <w:rPr>
          <w:rFonts w:ascii="Arial" w:hAnsi="Arial" w:cs="Arial"/>
          <w:sz w:val="24"/>
          <w:szCs w:val="24"/>
        </w:rPr>
        <w:t>Erf</w:t>
      </w:r>
      <w:r w:rsidR="0035082F" w:rsidRPr="0030029F">
        <w:rPr>
          <w:rFonts w:ascii="Arial" w:hAnsi="Arial" w:cs="Arial"/>
          <w:sz w:val="24"/>
          <w:szCs w:val="24"/>
        </w:rPr>
        <w:t xml:space="preserve"> at a price of N$57 838. </w:t>
      </w:r>
      <w:r w:rsidR="00A36602" w:rsidRPr="0030029F">
        <w:rPr>
          <w:rFonts w:ascii="Arial" w:hAnsi="Arial" w:cs="Arial"/>
          <w:sz w:val="24"/>
          <w:szCs w:val="24"/>
        </w:rPr>
        <w:t>General Field Marshall Kamburona was the secretary of the Regiment and the Herero Royal Red Flag Association and he signed the deed on behalf of the Herero Royal Red Flag Association</w:t>
      </w:r>
      <w:r w:rsidR="008026EB" w:rsidRPr="0030029F">
        <w:rPr>
          <w:rFonts w:ascii="Arial" w:hAnsi="Arial" w:cs="Arial"/>
          <w:sz w:val="24"/>
          <w:szCs w:val="24"/>
        </w:rPr>
        <w:t xml:space="preserve">. The witness </w:t>
      </w:r>
      <w:r w:rsidR="00BB3A31" w:rsidRPr="0030029F">
        <w:rPr>
          <w:rFonts w:ascii="Arial" w:hAnsi="Arial" w:cs="Arial"/>
          <w:sz w:val="24"/>
          <w:szCs w:val="24"/>
        </w:rPr>
        <w:t>deposed that as far as he was concerned</w:t>
      </w:r>
      <w:r w:rsidR="009C7476" w:rsidRPr="0030029F">
        <w:rPr>
          <w:rFonts w:ascii="Arial" w:hAnsi="Arial" w:cs="Arial"/>
          <w:sz w:val="24"/>
          <w:szCs w:val="24"/>
        </w:rPr>
        <w:t>,</w:t>
      </w:r>
      <w:r w:rsidR="00BB3A31" w:rsidRPr="0030029F">
        <w:rPr>
          <w:rFonts w:ascii="Arial" w:hAnsi="Arial" w:cs="Arial"/>
          <w:sz w:val="24"/>
          <w:szCs w:val="24"/>
        </w:rPr>
        <w:t xml:space="preserve"> the property was purchased by the Herero Royal Red Flag Association</w:t>
      </w:r>
      <w:r w:rsidR="00DE52E3" w:rsidRPr="0030029F">
        <w:rPr>
          <w:rFonts w:ascii="Arial" w:hAnsi="Arial" w:cs="Arial"/>
          <w:sz w:val="24"/>
          <w:szCs w:val="24"/>
        </w:rPr>
        <w:t xml:space="preserve"> and the transaction was finalised</w:t>
      </w:r>
      <w:r w:rsidR="00386AA5" w:rsidRPr="0030029F">
        <w:rPr>
          <w:rFonts w:ascii="Arial" w:hAnsi="Arial" w:cs="Arial"/>
          <w:sz w:val="24"/>
          <w:szCs w:val="24"/>
        </w:rPr>
        <w:t>.</w:t>
      </w:r>
    </w:p>
    <w:p w:rsidR="00386AA5" w:rsidRPr="0030029F" w:rsidRDefault="00386AA5" w:rsidP="00BB3A31">
      <w:pPr>
        <w:spacing w:after="0" w:line="360" w:lineRule="auto"/>
        <w:jc w:val="both"/>
        <w:rPr>
          <w:rFonts w:ascii="Arial" w:hAnsi="Arial" w:cs="Arial"/>
          <w:sz w:val="24"/>
          <w:szCs w:val="24"/>
        </w:rPr>
      </w:pPr>
    </w:p>
    <w:p w:rsidR="00432A1A" w:rsidRPr="0030029F" w:rsidRDefault="008026EB" w:rsidP="00432A1A">
      <w:pPr>
        <w:spacing w:after="0" w:line="360" w:lineRule="auto"/>
        <w:jc w:val="both"/>
        <w:rPr>
          <w:rFonts w:ascii="Arial" w:hAnsi="Arial" w:cs="Arial"/>
          <w:sz w:val="24"/>
          <w:szCs w:val="24"/>
        </w:rPr>
      </w:pPr>
      <w:r w:rsidRPr="0030029F">
        <w:rPr>
          <w:rFonts w:ascii="Arial" w:hAnsi="Arial" w:cs="Arial"/>
          <w:sz w:val="24"/>
          <w:szCs w:val="24"/>
        </w:rPr>
        <w:t>[1</w:t>
      </w:r>
      <w:r w:rsidR="00FF2E95" w:rsidRPr="0030029F">
        <w:rPr>
          <w:rFonts w:ascii="Arial" w:hAnsi="Arial" w:cs="Arial"/>
          <w:sz w:val="24"/>
          <w:szCs w:val="24"/>
        </w:rPr>
        <w:t>1</w:t>
      </w:r>
      <w:r w:rsidR="00DE52E3" w:rsidRPr="0030029F">
        <w:rPr>
          <w:rFonts w:ascii="Arial" w:hAnsi="Arial" w:cs="Arial"/>
          <w:sz w:val="24"/>
          <w:szCs w:val="24"/>
        </w:rPr>
        <w:t>]</w:t>
      </w:r>
      <w:r w:rsidR="00DE52E3" w:rsidRPr="0030029F">
        <w:rPr>
          <w:rFonts w:ascii="Arial" w:hAnsi="Arial" w:cs="Arial"/>
          <w:sz w:val="24"/>
          <w:szCs w:val="24"/>
        </w:rPr>
        <w:tab/>
      </w:r>
      <w:r w:rsidRPr="0030029F">
        <w:rPr>
          <w:rFonts w:ascii="Arial" w:hAnsi="Arial" w:cs="Arial"/>
          <w:sz w:val="24"/>
          <w:szCs w:val="24"/>
        </w:rPr>
        <w:t>According to the witness</w:t>
      </w:r>
      <w:r w:rsidR="009C7476" w:rsidRPr="0030029F">
        <w:rPr>
          <w:rFonts w:ascii="Arial" w:hAnsi="Arial" w:cs="Arial"/>
          <w:sz w:val="24"/>
          <w:szCs w:val="24"/>
        </w:rPr>
        <w:t>,</w:t>
      </w:r>
      <w:r w:rsidRPr="0030029F">
        <w:rPr>
          <w:rFonts w:ascii="Arial" w:hAnsi="Arial" w:cs="Arial"/>
          <w:sz w:val="24"/>
          <w:szCs w:val="24"/>
        </w:rPr>
        <w:t xml:space="preserve"> a </w:t>
      </w:r>
      <w:r w:rsidR="00DE52E3" w:rsidRPr="0030029F">
        <w:rPr>
          <w:rFonts w:ascii="Arial" w:hAnsi="Arial" w:cs="Arial"/>
          <w:sz w:val="24"/>
          <w:szCs w:val="24"/>
        </w:rPr>
        <w:t>split</w:t>
      </w:r>
      <w:r w:rsidR="00873B9C" w:rsidRPr="0030029F">
        <w:rPr>
          <w:rFonts w:ascii="Arial" w:hAnsi="Arial" w:cs="Arial"/>
          <w:sz w:val="24"/>
          <w:szCs w:val="24"/>
        </w:rPr>
        <w:t xml:space="preserve"> occurred </w:t>
      </w:r>
      <w:r w:rsidR="00DE52E3" w:rsidRPr="0030029F">
        <w:rPr>
          <w:rFonts w:ascii="Arial" w:hAnsi="Arial" w:cs="Arial"/>
          <w:sz w:val="24"/>
          <w:szCs w:val="24"/>
        </w:rPr>
        <w:t xml:space="preserve">amongst </w:t>
      </w:r>
      <w:r w:rsidR="00873B9C" w:rsidRPr="0030029F">
        <w:rPr>
          <w:rFonts w:ascii="Arial" w:hAnsi="Arial" w:cs="Arial"/>
          <w:sz w:val="24"/>
          <w:szCs w:val="24"/>
        </w:rPr>
        <w:t xml:space="preserve">the </w:t>
      </w:r>
      <w:r w:rsidR="00DE52E3" w:rsidRPr="0030029F">
        <w:rPr>
          <w:rFonts w:ascii="Arial" w:hAnsi="Arial" w:cs="Arial"/>
          <w:sz w:val="24"/>
          <w:szCs w:val="24"/>
        </w:rPr>
        <w:t>party lines of the Democratic Turnhalle Alliance</w:t>
      </w:r>
      <w:r w:rsidRPr="0030029F">
        <w:rPr>
          <w:rFonts w:ascii="Arial" w:hAnsi="Arial" w:cs="Arial"/>
          <w:sz w:val="24"/>
          <w:szCs w:val="24"/>
        </w:rPr>
        <w:t xml:space="preserve"> </w:t>
      </w:r>
      <w:r w:rsidR="00873B9C" w:rsidRPr="0030029F">
        <w:rPr>
          <w:rFonts w:ascii="Arial" w:hAnsi="Arial" w:cs="Arial"/>
          <w:sz w:val="24"/>
          <w:szCs w:val="24"/>
        </w:rPr>
        <w:t xml:space="preserve">(DTA) </w:t>
      </w:r>
      <w:r w:rsidR="00DE52E3" w:rsidRPr="0030029F">
        <w:rPr>
          <w:rFonts w:ascii="Arial" w:hAnsi="Arial" w:cs="Arial"/>
          <w:sz w:val="24"/>
          <w:szCs w:val="24"/>
        </w:rPr>
        <w:t xml:space="preserve">and the </w:t>
      </w:r>
      <w:r w:rsidR="00432A1A" w:rsidRPr="0030029F">
        <w:rPr>
          <w:rFonts w:ascii="Arial" w:hAnsi="Arial" w:cs="Arial"/>
          <w:sz w:val="24"/>
          <w:szCs w:val="24"/>
        </w:rPr>
        <w:t>Nati</w:t>
      </w:r>
      <w:r w:rsidRPr="0030029F">
        <w:rPr>
          <w:rFonts w:ascii="Arial" w:hAnsi="Arial" w:cs="Arial"/>
          <w:sz w:val="24"/>
          <w:szCs w:val="24"/>
        </w:rPr>
        <w:t xml:space="preserve">onal Unity Organisation (NUDO) around 2003. That </w:t>
      </w:r>
      <w:r w:rsidR="00432A1A" w:rsidRPr="0030029F">
        <w:rPr>
          <w:rFonts w:ascii="Arial" w:hAnsi="Arial" w:cs="Arial"/>
          <w:sz w:val="24"/>
          <w:szCs w:val="24"/>
        </w:rPr>
        <w:t>caused frag</w:t>
      </w:r>
      <w:r w:rsidR="00873B9C" w:rsidRPr="0030029F">
        <w:rPr>
          <w:rFonts w:ascii="Arial" w:hAnsi="Arial" w:cs="Arial"/>
          <w:sz w:val="24"/>
          <w:szCs w:val="24"/>
        </w:rPr>
        <w:t>mentation amongst the Regiment m</w:t>
      </w:r>
      <w:r w:rsidR="00432A1A" w:rsidRPr="0030029F">
        <w:rPr>
          <w:rFonts w:ascii="Arial" w:hAnsi="Arial" w:cs="Arial"/>
          <w:sz w:val="24"/>
          <w:szCs w:val="24"/>
        </w:rPr>
        <w:t xml:space="preserve">embers. </w:t>
      </w:r>
    </w:p>
    <w:p w:rsidR="008026EB" w:rsidRPr="0030029F" w:rsidRDefault="008026EB" w:rsidP="00432A1A">
      <w:pPr>
        <w:spacing w:after="0" w:line="360" w:lineRule="auto"/>
        <w:jc w:val="both"/>
        <w:rPr>
          <w:rFonts w:ascii="Arial" w:hAnsi="Arial" w:cs="Arial"/>
          <w:sz w:val="24"/>
          <w:szCs w:val="24"/>
        </w:rPr>
      </w:pPr>
    </w:p>
    <w:p w:rsidR="00432A1A" w:rsidRPr="0030029F" w:rsidRDefault="00FF2E95" w:rsidP="00432A1A">
      <w:pPr>
        <w:spacing w:after="0" w:line="360" w:lineRule="auto"/>
        <w:jc w:val="both"/>
        <w:rPr>
          <w:rFonts w:ascii="Arial" w:hAnsi="Arial" w:cs="Arial"/>
          <w:sz w:val="24"/>
          <w:szCs w:val="24"/>
        </w:rPr>
      </w:pPr>
      <w:r w:rsidRPr="0030029F">
        <w:rPr>
          <w:rFonts w:ascii="Arial" w:hAnsi="Arial" w:cs="Arial"/>
          <w:sz w:val="24"/>
          <w:szCs w:val="24"/>
        </w:rPr>
        <w:t>[12</w:t>
      </w:r>
      <w:r w:rsidR="00432A1A" w:rsidRPr="0030029F">
        <w:rPr>
          <w:rFonts w:ascii="Arial" w:hAnsi="Arial" w:cs="Arial"/>
          <w:sz w:val="24"/>
          <w:szCs w:val="24"/>
        </w:rPr>
        <w:t>]</w:t>
      </w:r>
      <w:r w:rsidR="00432A1A" w:rsidRPr="0030029F">
        <w:rPr>
          <w:rFonts w:ascii="Arial" w:hAnsi="Arial" w:cs="Arial"/>
          <w:sz w:val="24"/>
          <w:szCs w:val="24"/>
        </w:rPr>
        <w:tab/>
      </w:r>
      <w:r w:rsidR="002A6B4D" w:rsidRPr="0030029F">
        <w:rPr>
          <w:rFonts w:ascii="Arial" w:hAnsi="Arial" w:cs="Arial"/>
          <w:sz w:val="24"/>
          <w:szCs w:val="24"/>
        </w:rPr>
        <w:t>During a meeting i</w:t>
      </w:r>
      <w:r w:rsidR="00432A1A" w:rsidRPr="0030029F">
        <w:rPr>
          <w:rFonts w:ascii="Arial" w:hAnsi="Arial" w:cs="Arial"/>
          <w:sz w:val="24"/>
          <w:szCs w:val="24"/>
        </w:rPr>
        <w:t>n 2015</w:t>
      </w:r>
      <w:r w:rsidR="009C7476" w:rsidRPr="0030029F">
        <w:rPr>
          <w:rFonts w:ascii="Arial" w:hAnsi="Arial" w:cs="Arial"/>
          <w:sz w:val="24"/>
          <w:szCs w:val="24"/>
        </w:rPr>
        <w:t>,</w:t>
      </w:r>
      <w:r w:rsidR="002A6B4D" w:rsidRPr="0030029F">
        <w:rPr>
          <w:rFonts w:ascii="Arial" w:hAnsi="Arial" w:cs="Arial"/>
          <w:sz w:val="24"/>
          <w:szCs w:val="24"/>
        </w:rPr>
        <w:t xml:space="preserve"> the witness saw documents that the said </w:t>
      </w:r>
      <w:r w:rsidR="00272924" w:rsidRPr="0030029F">
        <w:rPr>
          <w:rFonts w:ascii="Arial" w:hAnsi="Arial" w:cs="Arial"/>
          <w:sz w:val="24"/>
          <w:szCs w:val="24"/>
        </w:rPr>
        <w:t>Erf</w:t>
      </w:r>
      <w:r w:rsidR="002A6B4D" w:rsidRPr="0030029F">
        <w:rPr>
          <w:rFonts w:ascii="Arial" w:hAnsi="Arial" w:cs="Arial"/>
          <w:sz w:val="24"/>
          <w:szCs w:val="24"/>
        </w:rPr>
        <w:t xml:space="preserve"> was in fact </w:t>
      </w:r>
      <w:r w:rsidR="00432A1A" w:rsidRPr="0030029F">
        <w:rPr>
          <w:rFonts w:ascii="Arial" w:hAnsi="Arial" w:cs="Arial"/>
          <w:sz w:val="24"/>
          <w:szCs w:val="24"/>
        </w:rPr>
        <w:t>registered in the name of</w:t>
      </w:r>
      <w:r w:rsidR="002A6B4D" w:rsidRPr="0030029F">
        <w:rPr>
          <w:rFonts w:ascii="Arial" w:hAnsi="Arial" w:cs="Arial"/>
          <w:sz w:val="24"/>
          <w:szCs w:val="24"/>
        </w:rPr>
        <w:t xml:space="preserve"> the first defendant, as the new faction had registered </w:t>
      </w:r>
      <w:r w:rsidR="006B37A4" w:rsidRPr="0030029F">
        <w:rPr>
          <w:rFonts w:ascii="Arial" w:hAnsi="Arial" w:cs="Arial"/>
          <w:sz w:val="24"/>
          <w:szCs w:val="24"/>
        </w:rPr>
        <w:t xml:space="preserve">it as </w:t>
      </w:r>
      <w:r w:rsidR="002A6B4D" w:rsidRPr="0030029F">
        <w:rPr>
          <w:rFonts w:ascii="Arial" w:hAnsi="Arial" w:cs="Arial"/>
          <w:sz w:val="24"/>
          <w:szCs w:val="24"/>
        </w:rPr>
        <w:t xml:space="preserve">a section 21 company. That lead to </w:t>
      </w:r>
      <w:r w:rsidR="006B37A4" w:rsidRPr="0030029F">
        <w:rPr>
          <w:rFonts w:ascii="Arial" w:hAnsi="Arial" w:cs="Arial"/>
          <w:sz w:val="24"/>
          <w:szCs w:val="24"/>
        </w:rPr>
        <w:t xml:space="preserve">a </w:t>
      </w:r>
      <w:r w:rsidR="002A6B4D" w:rsidRPr="0030029F">
        <w:rPr>
          <w:rFonts w:ascii="Arial" w:hAnsi="Arial" w:cs="Arial"/>
          <w:sz w:val="24"/>
          <w:szCs w:val="24"/>
        </w:rPr>
        <w:t xml:space="preserve">debate between the plaintiff and the second defendant, but the matter was not resolved. </w:t>
      </w:r>
    </w:p>
    <w:p w:rsidR="002A6B4D" w:rsidRPr="0030029F" w:rsidRDefault="002A6B4D" w:rsidP="00432A1A">
      <w:pPr>
        <w:spacing w:after="0" w:line="360" w:lineRule="auto"/>
        <w:jc w:val="both"/>
        <w:rPr>
          <w:rFonts w:ascii="Arial" w:hAnsi="Arial" w:cs="Arial"/>
          <w:sz w:val="24"/>
          <w:szCs w:val="24"/>
        </w:rPr>
      </w:pPr>
    </w:p>
    <w:p w:rsidR="00D91A82" w:rsidRPr="0030029F" w:rsidRDefault="00FF2E95" w:rsidP="00432A1A">
      <w:pPr>
        <w:spacing w:after="0" w:line="360" w:lineRule="auto"/>
        <w:jc w:val="both"/>
        <w:rPr>
          <w:rFonts w:ascii="Arial" w:hAnsi="Arial" w:cs="Arial"/>
          <w:sz w:val="24"/>
          <w:szCs w:val="24"/>
        </w:rPr>
      </w:pPr>
      <w:r w:rsidRPr="0030029F">
        <w:rPr>
          <w:rFonts w:ascii="Arial" w:hAnsi="Arial" w:cs="Arial"/>
          <w:sz w:val="24"/>
          <w:szCs w:val="24"/>
        </w:rPr>
        <w:t>[13</w:t>
      </w:r>
      <w:r w:rsidR="002A6B4D" w:rsidRPr="0030029F">
        <w:rPr>
          <w:rFonts w:ascii="Arial" w:hAnsi="Arial" w:cs="Arial"/>
          <w:sz w:val="24"/>
          <w:szCs w:val="24"/>
        </w:rPr>
        <w:t>]</w:t>
      </w:r>
      <w:r w:rsidR="002A6B4D" w:rsidRPr="0030029F">
        <w:rPr>
          <w:rFonts w:ascii="Arial" w:hAnsi="Arial" w:cs="Arial"/>
          <w:sz w:val="24"/>
          <w:szCs w:val="24"/>
        </w:rPr>
        <w:tab/>
      </w:r>
      <w:r w:rsidR="00BF74B5" w:rsidRPr="0030029F">
        <w:rPr>
          <w:rFonts w:ascii="Arial" w:hAnsi="Arial" w:cs="Arial"/>
          <w:sz w:val="24"/>
          <w:szCs w:val="24"/>
        </w:rPr>
        <w:t>The second witness, Mr Mike Venaani, also a member of the Regiment, stated that by 1996 he held the rank of General Obetz.  His evidence aligned to that of the first witness for the plaintiff in all material respects relating to the transaction concluded between the plaintiff and the second defendant</w:t>
      </w:r>
      <w:r w:rsidR="00925C97" w:rsidRPr="0030029F">
        <w:rPr>
          <w:rFonts w:ascii="Arial" w:hAnsi="Arial" w:cs="Arial"/>
          <w:sz w:val="24"/>
          <w:szCs w:val="24"/>
        </w:rPr>
        <w:t xml:space="preserve">. He too </w:t>
      </w:r>
      <w:r w:rsidR="00217608" w:rsidRPr="0030029F">
        <w:rPr>
          <w:rFonts w:ascii="Arial" w:hAnsi="Arial" w:cs="Arial"/>
          <w:sz w:val="24"/>
          <w:szCs w:val="24"/>
        </w:rPr>
        <w:t xml:space="preserve">eventually learnt that the </w:t>
      </w:r>
      <w:r w:rsidR="00272924" w:rsidRPr="0030029F">
        <w:rPr>
          <w:rFonts w:ascii="Arial" w:hAnsi="Arial" w:cs="Arial"/>
          <w:sz w:val="24"/>
          <w:szCs w:val="24"/>
        </w:rPr>
        <w:t>Erf</w:t>
      </w:r>
      <w:r w:rsidR="003F22D3" w:rsidRPr="0030029F">
        <w:rPr>
          <w:rFonts w:ascii="Arial" w:hAnsi="Arial" w:cs="Arial"/>
          <w:sz w:val="24"/>
          <w:szCs w:val="24"/>
        </w:rPr>
        <w:t xml:space="preserve"> was </w:t>
      </w:r>
      <w:r w:rsidR="00217608" w:rsidRPr="0030029F">
        <w:rPr>
          <w:rFonts w:ascii="Arial" w:hAnsi="Arial" w:cs="Arial"/>
          <w:sz w:val="24"/>
          <w:szCs w:val="24"/>
        </w:rPr>
        <w:t xml:space="preserve">registered in the name of the first defendant, instead of the plaintiff. </w:t>
      </w:r>
    </w:p>
    <w:p w:rsidR="00D91A82" w:rsidRPr="0030029F" w:rsidRDefault="00D91A82" w:rsidP="00432A1A">
      <w:pPr>
        <w:spacing w:after="0" w:line="360" w:lineRule="auto"/>
        <w:jc w:val="both"/>
        <w:rPr>
          <w:rFonts w:ascii="Arial" w:hAnsi="Arial" w:cs="Arial"/>
          <w:sz w:val="24"/>
          <w:szCs w:val="24"/>
        </w:rPr>
      </w:pPr>
    </w:p>
    <w:p w:rsidR="002A6B4D" w:rsidRPr="0030029F" w:rsidRDefault="00D91A82" w:rsidP="00432A1A">
      <w:pPr>
        <w:spacing w:after="0" w:line="360" w:lineRule="auto"/>
        <w:jc w:val="both"/>
        <w:rPr>
          <w:rFonts w:ascii="Arial" w:hAnsi="Arial" w:cs="Arial"/>
          <w:sz w:val="24"/>
          <w:szCs w:val="24"/>
        </w:rPr>
      </w:pPr>
      <w:r w:rsidRPr="0030029F">
        <w:rPr>
          <w:rFonts w:ascii="Arial" w:hAnsi="Arial" w:cs="Arial"/>
          <w:sz w:val="24"/>
          <w:szCs w:val="24"/>
        </w:rPr>
        <w:t>[1</w:t>
      </w:r>
      <w:r w:rsidR="00FA2FF1" w:rsidRPr="0030029F">
        <w:rPr>
          <w:rFonts w:ascii="Arial" w:hAnsi="Arial" w:cs="Arial"/>
          <w:sz w:val="24"/>
          <w:szCs w:val="24"/>
        </w:rPr>
        <w:t>4</w:t>
      </w:r>
      <w:r w:rsidRPr="0030029F">
        <w:rPr>
          <w:rFonts w:ascii="Arial" w:hAnsi="Arial" w:cs="Arial"/>
          <w:sz w:val="24"/>
          <w:szCs w:val="24"/>
        </w:rPr>
        <w:t>]</w:t>
      </w:r>
      <w:r w:rsidRPr="0030029F">
        <w:rPr>
          <w:rFonts w:ascii="Arial" w:hAnsi="Arial" w:cs="Arial"/>
          <w:sz w:val="24"/>
          <w:szCs w:val="24"/>
        </w:rPr>
        <w:tab/>
        <w:t>Elaborate cross-examination was spent on the history, the decision making structures within the Regiment, whether the first witness had in fact in depth know</w:t>
      </w:r>
      <w:r w:rsidR="006B37A4" w:rsidRPr="0030029F">
        <w:rPr>
          <w:rFonts w:ascii="Arial" w:hAnsi="Arial" w:cs="Arial"/>
          <w:sz w:val="24"/>
          <w:szCs w:val="24"/>
        </w:rPr>
        <w:t>ledge of the Regiment’s affairs</w:t>
      </w:r>
      <w:r w:rsidR="00873B9C" w:rsidRPr="0030029F">
        <w:rPr>
          <w:rFonts w:ascii="Arial" w:hAnsi="Arial" w:cs="Arial"/>
          <w:sz w:val="24"/>
          <w:szCs w:val="24"/>
        </w:rPr>
        <w:t xml:space="preserve"> </w:t>
      </w:r>
      <w:r w:rsidRPr="0030029F">
        <w:rPr>
          <w:rFonts w:ascii="Arial" w:hAnsi="Arial" w:cs="Arial"/>
          <w:sz w:val="24"/>
          <w:szCs w:val="24"/>
        </w:rPr>
        <w:t xml:space="preserve">given that he only returned from exile in 1979 and </w:t>
      </w:r>
      <w:r w:rsidR="00925C97" w:rsidRPr="0030029F">
        <w:rPr>
          <w:rFonts w:ascii="Arial" w:hAnsi="Arial" w:cs="Arial"/>
          <w:sz w:val="24"/>
          <w:szCs w:val="24"/>
        </w:rPr>
        <w:t xml:space="preserve">the second </w:t>
      </w:r>
      <w:r w:rsidR="00925C97" w:rsidRPr="0030029F">
        <w:rPr>
          <w:rFonts w:ascii="Arial" w:hAnsi="Arial" w:cs="Arial"/>
          <w:sz w:val="24"/>
          <w:szCs w:val="24"/>
        </w:rPr>
        <w:lastRenderedPageBreak/>
        <w:t>defe</w:t>
      </w:r>
      <w:r w:rsidRPr="0030029F">
        <w:rPr>
          <w:rFonts w:ascii="Arial" w:hAnsi="Arial" w:cs="Arial"/>
          <w:sz w:val="24"/>
          <w:szCs w:val="24"/>
        </w:rPr>
        <w:t>ndant’s power of attorney wherein the word ‘Royal’ was scratche</w:t>
      </w:r>
      <w:r w:rsidR="006B37A4" w:rsidRPr="0030029F">
        <w:rPr>
          <w:rFonts w:ascii="Arial" w:hAnsi="Arial" w:cs="Arial"/>
          <w:sz w:val="24"/>
          <w:szCs w:val="24"/>
        </w:rPr>
        <w:t>d out’</w:t>
      </w:r>
      <w:r w:rsidRPr="0030029F">
        <w:rPr>
          <w:rFonts w:ascii="Arial" w:hAnsi="Arial" w:cs="Arial"/>
          <w:sz w:val="24"/>
          <w:szCs w:val="24"/>
        </w:rPr>
        <w:t xml:space="preserve">, resulting in the transfer being made to the first defendant. </w:t>
      </w:r>
      <w:r w:rsidR="00873B9C" w:rsidRPr="0030029F">
        <w:rPr>
          <w:rFonts w:ascii="Arial" w:hAnsi="Arial" w:cs="Arial"/>
          <w:sz w:val="24"/>
          <w:szCs w:val="24"/>
        </w:rPr>
        <w:t xml:space="preserve"> I will return to th</w:t>
      </w:r>
      <w:r w:rsidR="008026EB" w:rsidRPr="0030029F">
        <w:rPr>
          <w:rFonts w:ascii="Arial" w:hAnsi="Arial" w:cs="Arial"/>
          <w:sz w:val="24"/>
          <w:szCs w:val="24"/>
        </w:rPr>
        <w:t>at later in the judgment.</w:t>
      </w:r>
      <w:r w:rsidR="00873B9C" w:rsidRPr="0030029F">
        <w:rPr>
          <w:rFonts w:ascii="Arial" w:hAnsi="Arial" w:cs="Arial"/>
          <w:sz w:val="24"/>
          <w:szCs w:val="24"/>
        </w:rPr>
        <w:t xml:space="preserve"> </w:t>
      </w:r>
    </w:p>
    <w:p w:rsidR="00766D7E" w:rsidRPr="0030029F" w:rsidRDefault="00766D7E" w:rsidP="00432A1A">
      <w:pPr>
        <w:spacing w:after="0" w:line="360" w:lineRule="auto"/>
        <w:jc w:val="both"/>
        <w:rPr>
          <w:rFonts w:ascii="Arial" w:hAnsi="Arial" w:cs="Arial"/>
          <w:sz w:val="24"/>
          <w:szCs w:val="24"/>
        </w:rPr>
      </w:pPr>
    </w:p>
    <w:p w:rsidR="00766D7E" w:rsidRPr="0030029F" w:rsidRDefault="00766D7E" w:rsidP="00432A1A">
      <w:pPr>
        <w:spacing w:after="0" w:line="360" w:lineRule="auto"/>
        <w:jc w:val="both"/>
        <w:rPr>
          <w:rFonts w:ascii="Arial" w:hAnsi="Arial" w:cs="Arial"/>
          <w:sz w:val="24"/>
          <w:szCs w:val="24"/>
          <w:u w:val="single"/>
        </w:rPr>
      </w:pPr>
      <w:r w:rsidRPr="0030029F">
        <w:rPr>
          <w:rFonts w:ascii="Arial" w:hAnsi="Arial" w:cs="Arial"/>
          <w:sz w:val="24"/>
          <w:szCs w:val="24"/>
          <w:u w:val="single"/>
        </w:rPr>
        <w:t>The law and application thereof</w:t>
      </w:r>
    </w:p>
    <w:p w:rsidR="00FF2E95" w:rsidRPr="0030029F" w:rsidRDefault="00FF2E95" w:rsidP="00432A1A">
      <w:pPr>
        <w:spacing w:after="0" w:line="360" w:lineRule="auto"/>
        <w:jc w:val="both"/>
        <w:rPr>
          <w:rFonts w:ascii="Arial" w:hAnsi="Arial" w:cs="Arial"/>
          <w:sz w:val="24"/>
          <w:szCs w:val="24"/>
          <w:u w:val="single"/>
        </w:rPr>
      </w:pPr>
    </w:p>
    <w:p w:rsidR="00B33322" w:rsidRPr="0030029F" w:rsidRDefault="00FA2FF1" w:rsidP="00766D7E">
      <w:pPr>
        <w:spacing w:after="0" w:line="360" w:lineRule="auto"/>
        <w:contextualSpacing/>
        <w:jc w:val="both"/>
        <w:rPr>
          <w:rFonts w:ascii="Arial" w:eastAsiaTheme="minorEastAsia" w:hAnsi="Arial" w:cs="Arial"/>
          <w:sz w:val="24"/>
          <w:szCs w:val="24"/>
        </w:rPr>
      </w:pPr>
      <w:r w:rsidRPr="0030029F">
        <w:rPr>
          <w:rFonts w:ascii="Arial" w:eastAsiaTheme="minorEastAsia" w:hAnsi="Arial" w:cs="Arial"/>
          <w:sz w:val="24"/>
          <w:szCs w:val="24"/>
        </w:rPr>
        <w:t>[15</w:t>
      </w:r>
      <w:r w:rsidR="00FF2E95" w:rsidRPr="0030029F">
        <w:rPr>
          <w:rFonts w:ascii="Arial" w:eastAsiaTheme="minorEastAsia" w:hAnsi="Arial" w:cs="Arial"/>
          <w:sz w:val="24"/>
          <w:szCs w:val="24"/>
        </w:rPr>
        <w:t>]</w:t>
      </w:r>
      <w:r w:rsidR="00FF2E95" w:rsidRPr="0030029F">
        <w:rPr>
          <w:rFonts w:ascii="Arial" w:eastAsiaTheme="minorEastAsia" w:hAnsi="Arial" w:cs="Arial"/>
          <w:sz w:val="24"/>
          <w:szCs w:val="24"/>
        </w:rPr>
        <w:tab/>
      </w:r>
      <w:r w:rsidR="001B71F9" w:rsidRPr="0030029F">
        <w:rPr>
          <w:rFonts w:ascii="Arial" w:eastAsiaTheme="minorEastAsia" w:hAnsi="Arial" w:cs="Arial"/>
          <w:sz w:val="24"/>
          <w:szCs w:val="24"/>
        </w:rPr>
        <w:t xml:space="preserve">The parties were </w:t>
      </w:r>
      <w:r w:rsidR="001B71F9" w:rsidRPr="0030029F">
        <w:rPr>
          <w:rFonts w:ascii="Arial" w:eastAsiaTheme="minorEastAsia" w:hAnsi="Arial" w:cs="Arial"/>
          <w:i/>
          <w:sz w:val="24"/>
          <w:szCs w:val="24"/>
        </w:rPr>
        <w:t>ad i</w:t>
      </w:r>
      <w:r w:rsidR="006B37A4" w:rsidRPr="0030029F">
        <w:rPr>
          <w:rFonts w:ascii="Arial" w:eastAsiaTheme="minorEastAsia" w:hAnsi="Arial" w:cs="Arial"/>
          <w:i/>
          <w:sz w:val="24"/>
          <w:szCs w:val="24"/>
        </w:rPr>
        <w:t>d</w:t>
      </w:r>
      <w:r w:rsidR="001B71F9" w:rsidRPr="0030029F">
        <w:rPr>
          <w:rFonts w:ascii="Arial" w:eastAsiaTheme="minorEastAsia" w:hAnsi="Arial" w:cs="Arial"/>
          <w:i/>
          <w:sz w:val="24"/>
          <w:szCs w:val="24"/>
        </w:rPr>
        <w:t>em</w:t>
      </w:r>
      <w:r w:rsidR="001B71F9" w:rsidRPr="0030029F">
        <w:rPr>
          <w:rFonts w:ascii="Arial" w:eastAsiaTheme="minorEastAsia" w:hAnsi="Arial" w:cs="Arial"/>
          <w:sz w:val="24"/>
          <w:szCs w:val="24"/>
        </w:rPr>
        <w:t xml:space="preserve"> that the Namibian </w:t>
      </w:r>
      <w:r w:rsidR="00766D7E" w:rsidRPr="0030029F">
        <w:rPr>
          <w:rFonts w:ascii="Arial" w:eastAsiaTheme="minorEastAsia" w:hAnsi="Arial" w:cs="Arial"/>
          <w:sz w:val="24"/>
          <w:szCs w:val="24"/>
        </w:rPr>
        <w:t>law subscribes to the abstract</w:t>
      </w:r>
      <w:r w:rsidR="00925C97" w:rsidRPr="0030029F">
        <w:rPr>
          <w:rFonts w:ascii="Arial" w:eastAsiaTheme="minorEastAsia" w:hAnsi="Arial" w:cs="Arial"/>
          <w:sz w:val="24"/>
          <w:szCs w:val="24"/>
        </w:rPr>
        <w:t xml:space="preserve"> theory of transfer of property.</w:t>
      </w:r>
      <w:r w:rsidR="001B71F9" w:rsidRPr="0030029F">
        <w:rPr>
          <w:rFonts w:ascii="Arial" w:eastAsiaTheme="minorEastAsia" w:hAnsi="Arial" w:cs="Arial"/>
          <w:sz w:val="24"/>
          <w:szCs w:val="24"/>
        </w:rPr>
        <w:t xml:space="preserve"> </w:t>
      </w:r>
      <w:r w:rsidR="006B37A4" w:rsidRPr="0030029F">
        <w:rPr>
          <w:rFonts w:ascii="Arial" w:eastAsiaTheme="minorEastAsia" w:hAnsi="Arial" w:cs="Arial"/>
          <w:sz w:val="24"/>
          <w:szCs w:val="24"/>
        </w:rPr>
        <w:t>T</w:t>
      </w:r>
      <w:r w:rsidR="00B33322" w:rsidRPr="0030029F">
        <w:rPr>
          <w:rFonts w:ascii="Arial" w:eastAsiaTheme="minorEastAsia" w:hAnsi="Arial" w:cs="Arial"/>
          <w:sz w:val="24"/>
          <w:szCs w:val="24"/>
        </w:rPr>
        <w:t>he abstract theory and not the causal system, is applicable when it comes to the transfer of both movable and immovable property.</w:t>
      </w:r>
      <w:r w:rsidR="00192F45" w:rsidRPr="0030029F">
        <w:rPr>
          <w:rStyle w:val="FootnoteReference"/>
          <w:rFonts w:ascii="Arial" w:eastAsiaTheme="minorEastAsia" w:hAnsi="Arial" w:cs="Arial"/>
          <w:sz w:val="24"/>
          <w:szCs w:val="24"/>
        </w:rPr>
        <w:footnoteReference w:id="3"/>
      </w:r>
      <w:r w:rsidR="006B37A4" w:rsidRPr="0030029F">
        <w:rPr>
          <w:rFonts w:ascii="Arial" w:eastAsiaTheme="minorEastAsia" w:hAnsi="Arial" w:cs="Arial"/>
          <w:sz w:val="24"/>
          <w:szCs w:val="24"/>
        </w:rPr>
        <w:t xml:space="preserve"> The law on that has been settled.</w:t>
      </w:r>
    </w:p>
    <w:p w:rsidR="00B33322" w:rsidRPr="0030029F" w:rsidRDefault="00B33322" w:rsidP="00766D7E">
      <w:pPr>
        <w:spacing w:after="0" w:line="360" w:lineRule="auto"/>
        <w:contextualSpacing/>
        <w:jc w:val="both"/>
        <w:rPr>
          <w:rFonts w:ascii="Arial" w:eastAsiaTheme="minorEastAsia" w:hAnsi="Arial" w:cs="Arial"/>
          <w:sz w:val="24"/>
          <w:szCs w:val="24"/>
        </w:rPr>
      </w:pPr>
    </w:p>
    <w:p w:rsidR="00766D7E" w:rsidRPr="0030029F" w:rsidRDefault="00B33322" w:rsidP="00766D7E">
      <w:pPr>
        <w:spacing w:after="0" w:line="360" w:lineRule="auto"/>
        <w:contextualSpacing/>
        <w:jc w:val="both"/>
        <w:rPr>
          <w:rFonts w:ascii="Arial" w:eastAsiaTheme="minorEastAsia" w:hAnsi="Arial" w:cs="Arial"/>
          <w:sz w:val="24"/>
          <w:szCs w:val="24"/>
        </w:rPr>
      </w:pPr>
      <w:r w:rsidRPr="0030029F">
        <w:rPr>
          <w:rFonts w:ascii="Arial" w:eastAsiaTheme="minorEastAsia" w:hAnsi="Arial" w:cs="Arial"/>
          <w:sz w:val="24"/>
          <w:szCs w:val="24"/>
        </w:rPr>
        <w:t>[16]</w:t>
      </w:r>
      <w:r w:rsidRPr="0030029F">
        <w:rPr>
          <w:rFonts w:ascii="Arial" w:eastAsiaTheme="minorEastAsia" w:hAnsi="Arial" w:cs="Arial"/>
          <w:sz w:val="24"/>
          <w:szCs w:val="24"/>
        </w:rPr>
        <w:tab/>
        <w:t xml:space="preserve">According to the </w:t>
      </w:r>
      <w:r w:rsidR="0043641D" w:rsidRPr="0030029F">
        <w:rPr>
          <w:rFonts w:ascii="Arial" w:eastAsiaTheme="minorEastAsia" w:hAnsi="Arial" w:cs="Arial"/>
          <w:sz w:val="24"/>
          <w:szCs w:val="24"/>
        </w:rPr>
        <w:t>abstract</w:t>
      </w:r>
      <w:r w:rsidR="001B71F9" w:rsidRPr="0030029F">
        <w:rPr>
          <w:rFonts w:ascii="Arial" w:eastAsiaTheme="minorEastAsia" w:hAnsi="Arial" w:cs="Arial"/>
          <w:sz w:val="24"/>
          <w:szCs w:val="24"/>
        </w:rPr>
        <w:t xml:space="preserve"> </w:t>
      </w:r>
      <w:r w:rsidR="00766D7E" w:rsidRPr="0030029F">
        <w:rPr>
          <w:rFonts w:ascii="Arial" w:eastAsiaTheme="minorEastAsia" w:hAnsi="Arial" w:cs="Arial"/>
          <w:sz w:val="24"/>
          <w:szCs w:val="24"/>
        </w:rPr>
        <w:t xml:space="preserve">theory, the validity of the transfer of ownership is not dependent on a </w:t>
      </w:r>
      <w:r w:rsidR="001B71F9" w:rsidRPr="0030029F">
        <w:rPr>
          <w:rFonts w:ascii="Arial" w:eastAsiaTheme="minorEastAsia" w:hAnsi="Arial" w:cs="Arial"/>
          <w:sz w:val="24"/>
          <w:szCs w:val="24"/>
        </w:rPr>
        <w:t>valid underlying agreement. It</w:t>
      </w:r>
      <w:r w:rsidR="00766D7E" w:rsidRPr="0030029F">
        <w:rPr>
          <w:rFonts w:ascii="Arial" w:eastAsiaTheme="minorEastAsia" w:hAnsi="Arial" w:cs="Arial"/>
          <w:sz w:val="24"/>
          <w:szCs w:val="24"/>
        </w:rPr>
        <w:t xml:space="preserve"> means that ownership of immovable property passes on registration of transfer, notwithstanding that the underlying contract is defective</w:t>
      </w:r>
      <w:r w:rsidR="006B37A4" w:rsidRPr="0030029F">
        <w:rPr>
          <w:rFonts w:ascii="Arial" w:eastAsiaTheme="minorEastAsia" w:hAnsi="Arial" w:cs="Arial"/>
          <w:sz w:val="24"/>
          <w:szCs w:val="24"/>
        </w:rPr>
        <w:t>. R</w:t>
      </w:r>
      <w:r w:rsidR="00766D7E" w:rsidRPr="0030029F">
        <w:rPr>
          <w:rFonts w:ascii="Arial" w:eastAsiaTheme="minorEastAsia" w:hAnsi="Arial" w:cs="Arial"/>
          <w:sz w:val="24"/>
          <w:szCs w:val="24"/>
        </w:rPr>
        <w:t xml:space="preserve">egistration gives effect to a so-called real agreement, that is, a meeting of minds to transfer and receive ownership. The general principles applicable to agreements, apply to real agreements. Thus, a real agreement may itself be defective or may not have come into existence. In such a case registration of transfer does not result in the passing of ownership and has no effect. </w:t>
      </w:r>
      <w:r w:rsidR="006B37A4" w:rsidRPr="0030029F">
        <w:rPr>
          <w:rStyle w:val="FootnoteReference"/>
          <w:rFonts w:ascii="Arial" w:eastAsiaTheme="minorEastAsia" w:hAnsi="Arial" w:cs="Arial"/>
          <w:sz w:val="24"/>
          <w:szCs w:val="24"/>
        </w:rPr>
        <w:footnoteReference w:id="4"/>
      </w:r>
    </w:p>
    <w:p w:rsidR="00766D7E" w:rsidRPr="0030029F" w:rsidRDefault="00766D7E" w:rsidP="00432A1A">
      <w:pPr>
        <w:spacing w:after="0" w:line="360" w:lineRule="auto"/>
        <w:jc w:val="both"/>
        <w:rPr>
          <w:rFonts w:ascii="Arial" w:hAnsi="Arial" w:cs="Arial"/>
          <w:sz w:val="24"/>
          <w:szCs w:val="24"/>
        </w:rPr>
      </w:pPr>
    </w:p>
    <w:p w:rsidR="00D970E3" w:rsidRPr="0030029F" w:rsidRDefault="00195D75" w:rsidP="0043641D">
      <w:pPr>
        <w:spacing w:after="0" w:line="360" w:lineRule="auto"/>
        <w:jc w:val="both"/>
        <w:rPr>
          <w:rFonts w:ascii="Arial" w:hAnsi="Arial" w:cs="Arial"/>
          <w:sz w:val="24"/>
          <w:szCs w:val="24"/>
        </w:rPr>
      </w:pPr>
      <w:r w:rsidRPr="0030029F">
        <w:rPr>
          <w:rFonts w:ascii="Arial" w:hAnsi="Arial" w:cs="Arial"/>
          <w:sz w:val="24"/>
          <w:szCs w:val="24"/>
        </w:rPr>
        <w:t>[17</w:t>
      </w:r>
      <w:r w:rsidR="0043641D" w:rsidRPr="0030029F">
        <w:rPr>
          <w:rFonts w:ascii="Arial" w:hAnsi="Arial" w:cs="Arial"/>
          <w:sz w:val="24"/>
          <w:szCs w:val="24"/>
        </w:rPr>
        <w:t>]</w:t>
      </w:r>
      <w:r w:rsidR="0043641D" w:rsidRPr="0030029F">
        <w:rPr>
          <w:rFonts w:ascii="Arial" w:hAnsi="Arial" w:cs="Arial"/>
          <w:sz w:val="24"/>
          <w:szCs w:val="24"/>
        </w:rPr>
        <w:tab/>
      </w:r>
      <w:r w:rsidR="002D1738" w:rsidRPr="0030029F">
        <w:rPr>
          <w:rFonts w:ascii="Arial" w:hAnsi="Arial" w:cs="Arial"/>
          <w:sz w:val="24"/>
          <w:szCs w:val="24"/>
        </w:rPr>
        <w:t xml:space="preserve">That was all that the parties </w:t>
      </w:r>
      <w:r w:rsidR="004110BA" w:rsidRPr="0030029F">
        <w:rPr>
          <w:rFonts w:ascii="Arial" w:hAnsi="Arial" w:cs="Arial"/>
          <w:sz w:val="24"/>
          <w:szCs w:val="24"/>
        </w:rPr>
        <w:t xml:space="preserve">agreed </w:t>
      </w:r>
      <w:r w:rsidR="006B37A4" w:rsidRPr="0030029F">
        <w:rPr>
          <w:rFonts w:ascii="Arial" w:hAnsi="Arial" w:cs="Arial"/>
          <w:sz w:val="24"/>
          <w:szCs w:val="24"/>
        </w:rPr>
        <w:t>on</w:t>
      </w:r>
      <w:r w:rsidR="002D1738" w:rsidRPr="0030029F">
        <w:rPr>
          <w:rFonts w:ascii="Arial" w:hAnsi="Arial" w:cs="Arial"/>
          <w:sz w:val="24"/>
          <w:szCs w:val="24"/>
        </w:rPr>
        <w:t xml:space="preserve"> in their submissions respectively.</w:t>
      </w:r>
      <w:r w:rsidR="00BD20CF" w:rsidRPr="0030029F">
        <w:rPr>
          <w:rFonts w:ascii="Arial" w:hAnsi="Arial" w:cs="Arial"/>
          <w:sz w:val="24"/>
          <w:szCs w:val="24"/>
        </w:rPr>
        <w:t xml:space="preserve"> </w:t>
      </w:r>
      <w:r w:rsidR="00FE1863" w:rsidRPr="0030029F">
        <w:rPr>
          <w:rFonts w:ascii="Arial" w:hAnsi="Arial" w:cs="Arial"/>
          <w:sz w:val="24"/>
          <w:szCs w:val="24"/>
        </w:rPr>
        <w:t>Evidently it appears that th</w:t>
      </w:r>
      <w:r w:rsidR="00BD20CF" w:rsidRPr="0030029F">
        <w:rPr>
          <w:rFonts w:ascii="Arial" w:hAnsi="Arial" w:cs="Arial"/>
          <w:sz w:val="24"/>
          <w:szCs w:val="24"/>
        </w:rPr>
        <w:t xml:space="preserve">e first defendant is of the belief that the transaction was concluded between the first defendant and the second defendant. </w:t>
      </w:r>
      <w:r w:rsidR="002D1738" w:rsidRPr="0030029F">
        <w:rPr>
          <w:rFonts w:ascii="Arial" w:hAnsi="Arial" w:cs="Arial"/>
          <w:sz w:val="24"/>
          <w:szCs w:val="24"/>
        </w:rPr>
        <w:t xml:space="preserve"> </w:t>
      </w:r>
    </w:p>
    <w:p w:rsidR="00D970E3" w:rsidRPr="0030029F" w:rsidRDefault="00D970E3" w:rsidP="0043641D">
      <w:pPr>
        <w:spacing w:after="0" w:line="360" w:lineRule="auto"/>
        <w:jc w:val="both"/>
        <w:rPr>
          <w:rFonts w:ascii="Arial" w:hAnsi="Arial" w:cs="Arial"/>
          <w:sz w:val="24"/>
          <w:szCs w:val="24"/>
        </w:rPr>
      </w:pPr>
    </w:p>
    <w:p w:rsidR="00D368F8" w:rsidRPr="0030029F" w:rsidRDefault="00FE1863" w:rsidP="0043641D">
      <w:pPr>
        <w:spacing w:after="0" w:line="360" w:lineRule="auto"/>
        <w:jc w:val="both"/>
        <w:rPr>
          <w:rFonts w:ascii="Arial" w:hAnsi="Arial" w:cs="Arial"/>
          <w:sz w:val="24"/>
          <w:szCs w:val="24"/>
        </w:rPr>
      </w:pPr>
      <w:r w:rsidRPr="0030029F">
        <w:rPr>
          <w:rFonts w:ascii="Arial" w:hAnsi="Arial" w:cs="Arial"/>
          <w:sz w:val="24"/>
          <w:szCs w:val="24"/>
        </w:rPr>
        <w:t>[18]</w:t>
      </w:r>
      <w:r w:rsidRPr="0030029F">
        <w:rPr>
          <w:rFonts w:ascii="Arial" w:hAnsi="Arial" w:cs="Arial"/>
          <w:sz w:val="24"/>
          <w:szCs w:val="24"/>
        </w:rPr>
        <w:tab/>
      </w:r>
      <w:r w:rsidR="004623EB" w:rsidRPr="0030029F">
        <w:rPr>
          <w:rFonts w:ascii="Arial" w:hAnsi="Arial" w:cs="Arial"/>
          <w:sz w:val="24"/>
          <w:szCs w:val="24"/>
        </w:rPr>
        <w:t>Mr Tjiteere, c</w:t>
      </w:r>
      <w:r w:rsidR="005868A3" w:rsidRPr="0030029F">
        <w:rPr>
          <w:rFonts w:ascii="Arial" w:hAnsi="Arial" w:cs="Arial"/>
          <w:sz w:val="24"/>
          <w:szCs w:val="24"/>
        </w:rPr>
        <w:t xml:space="preserve">ounsel for the first </w:t>
      </w:r>
      <w:r w:rsidR="004110BA" w:rsidRPr="0030029F">
        <w:rPr>
          <w:rFonts w:ascii="Arial" w:hAnsi="Arial" w:cs="Arial"/>
          <w:sz w:val="24"/>
          <w:szCs w:val="24"/>
        </w:rPr>
        <w:t xml:space="preserve">defendant, </w:t>
      </w:r>
      <w:r w:rsidR="005868A3" w:rsidRPr="0030029F">
        <w:rPr>
          <w:rFonts w:ascii="Arial" w:hAnsi="Arial" w:cs="Arial"/>
          <w:sz w:val="24"/>
          <w:szCs w:val="24"/>
        </w:rPr>
        <w:t>contended that t</w:t>
      </w:r>
      <w:r w:rsidR="00D368F8" w:rsidRPr="0030029F">
        <w:rPr>
          <w:rFonts w:ascii="Arial" w:hAnsi="Arial" w:cs="Arial"/>
          <w:sz w:val="24"/>
          <w:szCs w:val="24"/>
        </w:rPr>
        <w:t>he claim for rectification is legally untenable in the absence of any evidence to establish that the second defendant did not intend to transfer the property to the first defendant.</w:t>
      </w:r>
      <w:r w:rsidR="006A6C1C" w:rsidRPr="0030029F">
        <w:rPr>
          <w:rFonts w:ascii="Arial" w:hAnsi="Arial" w:cs="Arial"/>
          <w:sz w:val="24"/>
          <w:szCs w:val="24"/>
        </w:rPr>
        <w:t xml:space="preserve"> </w:t>
      </w:r>
      <w:r w:rsidR="008B657E" w:rsidRPr="0030029F">
        <w:rPr>
          <w:rFonts w:ascii="Arial" w:hAnsi="Arial" w:cs="Arial"/>
          <w:sz w:val="24"/>
          <w:szCs w:val="24"/>
        </w:rPr>
        <w:t>In addition</w:t>
      </w:r>
      <w:r w:rsidR="00E5320A" w:rsidRPr="0030029F">
        <w:rPr>
          <w:rFonts w:ascii="Arial" w:hAnsi="Arial" w:cs="Arial"/>
          <w:sz w:val="24"/>
          <w:szCs w:val="24"/>
        </w:rPr>
        <w:t>,</w:t>
      </w:r>
      <w:r w:rsidR="008B657E" w:rsidRPr="0030029F">
        <w:rPr>
          <w:rFonts w:ascii="Arial" w:hAnsi="Arial" w:cs="Arial"/>
          <w:sz w:val="24"/>
          <w:szCs w:val="24"/>
        </w:rPr>
        <w:t xml:space="preserve"> he</w:t>
      </w:r>
      <w:r w:rsidR="00B33322" w:rsidRPr="0030029F">
        <w:rPr>
          <w:rFonts w:ascii="Arial" w:hAnsi="Arial" w:cs="Arial"/>
          <w:sz w:val="24"/>
          <w:szCs w:val="24"/>
        </w:rPr>
        <w:t xml:space="preserve"> referred to the general rule </w:t>
      </w:r>
      <w:r w:rsidR="00192F45" w:rsidRPr="0030029F">
        <w:rPr>
          <w:rFonts w:ascii="Arial" w:hAnsi="Arial" w:cs="Arial"/>
          <w:sz w:val="24"/>
          <w:szCs w:val="24"/>
        </w:rPr>
        <w:t xml:space="preserve">that land can only be transferred from one person to another by means of a </w:t>
      </w:r>
      <w:r w:rsidR="00192F45" w:rsidRPr="0030029F">
        <w:rPr>
          <w:rFonts w:ascii="Arial" w:hAnsi="Arial" w:cs="Arial"/>
          <w:sz w:val="24"/>
          <w:szCs w:val="24"/>
        </w:rPr>
        <w:lastRenderedPageBreak/>
        <w:t>deed of transfer, unless another law provides otherwise and that s 4(1)(</w:t>
      </w:r>
      <w:r w:rsidR="00192F45" w:rsidRPr="0030029F">
        <w:rPr>
          <w:rFonts w:ascii="Arial" w:hAnsi="Arial" w:cs="Arial"/>
          <w:i/>
          <w:sz w:val="24"/>
          <w:szCs w:val="24"/>
        </w:rPr>
        <w:t>b</w:t>
      </w:r>
      <w:r w:rsidR="00192F45" w:rsidRPr="0030029F">
        <w:rPr>
          <w:rFonts w:ascii="Arial" w:hAnsi="Arial" w:cs="Arial"/>
          <w:sz w:val="24"/>
          <w:szCs w:val="24"/>
        </w:rPr>
        <w:t>)</w:t>
      </w:r>
      <w:r w:rsidR="00B33322" w:rsidRPr="0030029F">
        <w:rPr>
          <w:rStyle w:val="FootnoteReference"/>
          <w:rFonts w:ascii="Arial" w:hAnsi="Arial" w:cs="Arial"/>
          <w:sz w:val="24"/>
          <w:szCs w:val="24"/>
        </w:rPr>
        <w:footnoteReference w:id="5"/>
      </w:r>
      <w:r w:rsidR="00B33322" w:rsidRPr="0030029F">
        <w:rPr>
          <w:rFonts w:ascii="Arial" w:hAnsi="Arial" w:cs="Arial"/>
          <w:sz w:val="24"/>
          <w:szCs w:val="24"/>
        </w:rPr>
        <w:t xml:space="preserve"> </w:t>
      </w:r>
      <w:r w:rsidR="002D1738" w:rsidRPr="0030029F">
        <w:rPr>
          <w:rFonts w:ascii="Arial" w:hAnsi="Arial" w:cs="Arial"/>
          <w:sz w:val="24"/>
          <w:szCs w:val="24"/>
        </w:rPr>
        <w:t>does not permit rectification if it will cause trans</w:t>
      </w:r>
      <w:r w:rsidR="00DD36B9" w:rsidRPr="0030029F">
        <w:rPr>
          <w:rFonts w:ascii="Arial" w:hAnsi="Arial" w:cs="Arial"/>
          <w:sz w:val="24"/>
          <w:szCs w:val="24"/>
        </w:rPr>
        <w:t>fer from one entity to another. He argued that th</w:t>
      </w:r>
      <w:r w:rsidR="002D1738" w:rsidRPr="0030029F">
        <w:rPr>
          <w:rFonts w:ascii="Arial" w:hAnsi="Arial" w:cs="Arial"/>
          <w:sz w:val="24"/>
          <w:szCs w:val="24"/>
        </w:rPr>
        <w:t xml:space="preserve">e court is not competent </w:t>
      </w:r>
      <w:r w:rsidR="00B33322" w:rsidRPr="0030029F">
        <w:rPr>
          <w:rFonts w:ascii="Arial" w:hAnsi="Arial" w:cs="Arial"/>
          <w:sz w:val="24"/>
          <w:szCs w:val="24"/>
        </w:rPr>
        <w:t>to grant</w:t>
      </w:r>
      <w:r w:rsidR="002D1738" w:rsidRPr="0030029F">
        <w:rPr>
          <w:rFonts w:ascii="Arial" w:hAnsi="Arial" w:cs="Arial"/>
          <w:sz w:val="24"/>
          <w:szCs w:val="24"/>
        </w:rPr>
        <w:t xml:space="preserve"> the</w:t>
      </w:r>
      <w:r w:rsidR="00B33322" w:rsidRPr="0030029F">
        <w:rPr>
          <w:rFonts w:ascii="Arial" w:hAnsi="Arial" w:cs="Arial"/>
          <w:sz w:val="24"/>
          <w:szCs w:val="24"/>
        </w:rPr>
        <w:t xml:space="preserve"> relief prayed for.</w:t>
      </w:r>
    </w:p>
    <w:p w:rsidR="0043641D" w:rsidRPr="0030029F" w:rsidRDefault="0043641D" w:rsidP="0043641D">
      <w:pPr>
        <w:spacing w:after="0" w:line="360" w:lineRule="auto"/>
        <w:jc w:val="both"/>
        <w:rPr>
          <w:rFonts w:ascii="Arial" w:hAnsi="Arial" w:cs="Arial"/>
          <w:sz w:val="24"/>
          <w:szCs w:val="24"/>
        </w:rPr>
      </w:pPr>
    </w:p>
    <w:p w:rsidR="00F52C3C" w:rsidRPr="0030029F" w:rsidRDefault="00057E1F" w:rsidP="00F52C3C">
      <w:pPr>
        <w:spacing w:after="0" w:line="360" w:lineRule="auto"/>
        <w:jc w:val="both"/>
        <w:rPr>
          <w:rFonts w:ascii="Arial" w:hAnsi="Arial" w:cs="Arial"/>
          <w:sz w:val="24"/>
          <w:szCs w:val="24"/>
        </w:rPr>
      </w:pPr>
      <w:r w:rsidRPr="0030029F">
        <w:rPr>
          <w:rFonts w:ascii="Arial" w:hAnsi="Arial" w:cs="Arial"/>
          <w:sz w:val="24"/>
          <w:szCs w:val="24"/>
        </w:rPr>
        <w:t>[19]</w:t>
      </w:r>
      <w:r w:rsidRPr="0030029F">
        <w:rPr>
          <w:rFonts w:ascii="Arial" w:hAnsi="Arial" w:cs="Arial"/>
          <w:sz w:val="24"/>
          <w:szCs w:val="24"/>
        </w:rPr>
        <w:tab/>
      </w:r>
      <w:r w:rsidR="005E0D8E" w:rsidRPr="0030029F">
        <w:rPr>
          <w:rFonts w:ascii="Arial" w:hAnsi="Arial" w:cs="Arial"/>
          <w:sz w:val="24"/>
          <w:szCs w:val="24"/>
        </w:rPr>
        <w:t>On the other hand</w:t>
      </w:r>
      <w:r w:rsidR="004623EB" w:rsidRPr="0030029F">
        <w:rPr>
          <w:rFonts w:ascii="Arial" w:hAnsi="Arial" w:cs="Arial"/>
          <w:sz w:val="24"/>
          <w:szCs w:val="24"/>
        </w:rPr>
        <w:t xml:space="preserve">, Mr Barnard, </w:t>
      </w:r>
      <w:r w:rsidR="005E0D8E" w:rsidRPr="0030029F">
        <w:rPr>
          <w:rFonts w:ascii="Arial" w:hAnsi="Arial" w:cs="Arial"/>
          <w:sz w:val="24"/>
          <w:szCs w:val="24"/>
        </w:rPr>
        <w:t xml:space="preserve"> counsel for the plaintiff</w:t>
      </w:r>
      <w:r w:rsidR="004623EB" w:rsidRPr="0030029F">
        <w:rPr>
          <w:rFonts w:ascii="Arial" w:hAnsi="Arial" w:cs="Arial"/>
          <w:sz w:val="24"/>
          <w:szCs w:val="24"/>
        </w:rPr>
        <w:t>,</w:t>
      </w:r>
      <w:r w:rsidR="00990007" w:rsidRPr="0030029F">
        <w:rPr>
          <w:rFonts w:ascii="Arial" w:hAnsi="Arial" w:cs="Arial"/>
          <w:sz w:val="24"/>
          <w:szCs w:val="24"/>
        </w:rPr>
        <w:t xml:space="preserve"> </w:t>
      </w:r>
      <w:r w:rsidR="005E0D8E" w:rsidRPr="0030029F">
        <w:rPr>
          <w:rFonts w:ascii="Arial" w:hAnsi="Arial" w:cs="Arial"/>
          <w:sz w:val="24"/>
          <w:szCs w:val="24"/>
        </w:rPr>
        <w:t>reiterated the principles and case law of the abstract theory as the basi</w:t>
      </w:r>
      <w:r w:rsidR="00F30284" w:rsidRPr="0030029F">
        <w:rPr>
          <w:rFonts w:ascii="Arial" w:hAnsi="Arial" w:cs="Arial"/>
          <w:sz w:val="24"/>
          <w:szCs w:val="24"/>
        </w:rPr>
        <w:t xml:space="preserve">s for the relief prayed for. </w:t>
      </w:r>
      <w:r w:rsidR="00BD20CF" w:rsidRPr="0030029F">
        <w:rPr>
          <w:rFonts w:ascii="Arial" w:hAnsi="Arial" w:cs="Arial"/>
          <w:sz w:val="24"/>
          <w:szCs w:val="24"/>
        </w:rPr>
        <w:t>He accentuated that there was no evidence that the first defendant originated as a result of the provisions of clause 23 of the deed of sale, as pleaded</w:t>
      </w:r>
      <w:r w:rsidR="00D970E3" w:rsidRPr="0030029F">
        <w:rPr>
          <w:rFonts w:ascii="Arial" w:hAnsi="Arial" w:cs="Arial"/>
          <w:sz w:val="24"/>
          <w:szCs w:val="24"/>
        </w:rPr>
        <w:t>.</w:t>
      </w:r>
      <w:r w:rsidR="00BD20CF" w:rsidRPr="0030029F">
        <w:rPr>
          <w:rFonts w:ascii="Arial" w:hAnsi="Arial" w:cs="Arial"/>
          <w:sz w:val="24"/>
          <w:szCs w:val="24"/>
        </w:rPr>
        <w:t xml:space="preserve"> </w:t>
      </w:r>
      <w:r w:rsidR="00F30284" w:rsidRPr="0030029F">
        <w:rPr>
          <w:rFonts w:ascii="Arial" w:hAnsi="Arial" w:cs="Arial"/>
          <w:sz w:val="24"/>
          <w:szCs w:val="24"/>
        </w:rPr>
        <w:t>In particular he emphasized that the</w:t>
      </w:r>
      <w:r w:rsidR="00195D75" w:rsidRPr="0030029F">
        <w:rPr>
          <w:rFonts w:ascii="Arial" w:hAnsi="Arial" w:cs="Arial"/>
          <w:sz w:val="24"/>
          <w:szCs w:val="24"/>
        </w:rPr>
        <w:t xml:space="preserve">re </w:t>
      </w:r>
      <w:r w:rsidR="005868A3" w:rsidRPr="0030029F">
        <w:rPr>
          <w:rFonts w:ascii="Arial" w:hAnsi="Arial" w:cs="Arial"/>
          <w:sz w:val="24"/>
          <w:szCs w:val="24"/>
        </w:rPr>
        <w:t xml:space="preserve">was a real agreement between the plaintiff and the second defendant and cited </w:t>
      </w:r>
      <w:r w:rsidR="00F52C3C" w:rsidRPr="0030029F">
        <w:rPr>
          <w:rFonts w:ascii="Arial" w:hAnsi="Arial" w:cs="Arial"/>
          <w:i/>
          <w:sz w:val="24"/>
          <w:szCs w:val="24"/>
        </w:rPr>
        <w:t>Weinerlein v Goch Buildings</w:t>
      </w:r>
      <w:r w:rsidR="00F52C3C" w:rsidRPr="0030029F">
        <w:rPr>
          <w:rStyle w:val="FootnoteReference"/>
          <w:rFonts w:ascii="Arial" w:hAnsi="Arial" w:cs="Arial"/>
          <w:sz w:val="24"/>
          <w:szCs w:val="24"/>
        </w:rPr>
        <w:footnoteReference w:id="6"/>
      </w:r>
      <w:r w:rsidR="00F52C3C" w:rsidRPr="0030029F">
        <w:rPr>
          <w:rFonts w:ascii="Arial" w:hAnsi="Arial" w:cs="Arial"/>
          <w:sz w:val="24"/>
          <w:szCs w:val="24"/>
        </w:rPr>
        <w:t xml:space="preserve"> wherein it was stated that:</w:t>
      </w:r>
    </w:p>
    <w:p w:rsidR="00F52C3C" w:rsidRPr="0030029F" w:rsidRDefault="00F52C3C" w:rsidP="00F52C3C">
      <w:pPr>
        <w:spacing w:after="0" w:line="360" w:lineRule="auto"/>
        <w:jc w:val="both"/>
        <w:rPr>
          <w:rFonts w:ascii="Arial" w:hAnsi="Arial" w:cs="Arial"/>
          <w:sz w:val="24"/>
          <w:szCs w:val="24"/>
        </w:rPr>
      </w:pPr>
    </w:p>
    <w:p w:rsidR="00F52C3C" w:rsidRPr="0030029F" w:rsidRDefault="00F52C3C" w:rsidP="00F52C3C">
      <w:pPr>
        <w:spacing w:after="0" w:line="360" w:lineRule="auto"/>
        <w:jc w:val="both"/>
        <w:rPr>
          <w:rFonts w:ascii="Arial" w:hAnsi="Arial" w:cs="Arial"/>
        </w:rPr>
      </w:pPr>
      <w:r w:rsidRPr="0030029F">
        <w:rPr>
          <w:rFonts w:ascii="Arial" w:hAnsi="Arial" w:cs="Arial"/>
          <w:sz w:val="24"/>
          <w:szCs w:val="24"/>
        </w:rPr>
        <w:tab/>
      </w:r>
      <w:r w:rsidRPr="0030029F">
        <w:rPr>
          <w:rFonts w:ascii="Arial" w:hAnsi="Arial" w:cs="Arial"/>
        </w:rPr>
        <w:t xml:space="preserve">‘The policy of our registration laws with regard to fixed property requires the true contract under which the land is held to be reflected on the register… the Court will not allow it to be used as an engine of fraud to extort from an adversary what the claimant knows that he was never entitled to, and in order to prevent this the written contract and the register to be rectified…’ </w:t>
      </w:r>
    </w:p>
    <w:p w:rsidR="00336DA1" w:rsidRPr="0030029F" w:rsidRDefault="00336DA1" w:rsidP="00336DA1">
      <w:pPr>
        <w:spacing w:after="0" w:line="360" w:lineRule="auto"/>
        <w:jc w:val="both"/>
        <w:rPr>
          <w:rFonts w:ascii="Arial" w:hAnsi="Arial" w:cs="Arial"/>
          <w:sz w:val="24"/>
          <w:szCs w:val="24"/>
        </w:rPr>
      </w:pPr>
    </w:p>
    <w:p w:rsidR="00537642" w:rsidRPr="0030029F" w:rsidRDefault="00041AA0" w:rsidP="00195D75">
      <w:pPr>
        <w:tabs>
          <w:tab w:val="left" w:pos="720"/>
        </w:tabs>
        <w:spacing w:after="0" w:line="360" w:lineRule="auto"/>
        <w:jc w:val="both"/>
        <w:rPr>
          <w:rFonts w:ascii="Arial" w:hAnsi="Arial" w:cs="Arial"/>
          <w:sz w:val="24"/>
          <w:szCs w:val="24"/>
        </w:rPr>
      </w:pPr>
      <w:r w:rsidRPr="0030029F">
        <w:rPr>
          <w:rFonts w:ascii="Arial" w:hAnsi="Arial" w:cs="Arial"/>
          <w:sz w:val="24"/>
          <w:szCs w:val="24"/>
        </w:rPr>
        <w:t>[20]</w:t>
      </w:r>
      <w:r w:rsidRPr="0030029F">
        <w:rPr>
          <w:rFonts w:ascii="Arial" w:hAnsi="Arial" w:cs="Arial"/>
          <w:sz w:val="24"/>
          <w:szCs w:val="24"/>
        </w:rPr>
        <w:tab/>
      </w:r>
      <w:r w:rsidR="004623EB" w:rsidRPr="0030029F">
        <w:rPr>
          <w:rFonts w:ascii="Arial" w:hAnsi="Arial" w:cs="Arial"/>
          <w:sz w:val="24"/>
          <w:szCs w:val="24"/>
        </w:rPr>
        <w:t xml:space="preserve">In support of his argument that rectification </w:t>
      </w:r>
      <w:r w:rsidR="006B37A4" w:rsidRPr="0030029F">
        <w:rPr>
          <w:rFonts w:ascii="Arial" w:hAnsi="Arial" w:cs="Arial"/>
          <w:sz w:val="24"/>
          <w:szCs w:val="24"/>
        </w:rPr>
        <w:t xml:space="preserve">can </w:t>
      </w:r>
      <w:r w:rsidR="004623EB" w:rsidRPr="0030029F">
        <w:rPr>
          <w:rFonts w:ascii="Arial" w:hAnsi="Arial" w:cs="Arial"/>
          <w:sz w:val="24"/>
          <w:szCs w:val="24"/>
        </w:rPr>
        <w:t>be granted he relied on</w:t>
      </w:r>
      <w:r w:rsidR="003809BD" w:rsidRPr="0030029F">
        <w:rPr>
          <w:rFonts w:ascii="Arial" w:hAnsi="Arial" w:cs="Arial"/>
          <w:sz w:val="24"/>
          <w:szCs w:val="24"/>
        </w:rPr>
        <w:t xml:space="preserve"> the </w:t>
      </w:r>
      <w:r w:rsidR="003809BD" w:rsidRPr="0030029F">
        <w:rPr>
          <w:rFonts w:ascii="Arial" w:hAnsi="Arial" w:cs="Arial"/>
          <w:i/>
          <w:sz w:val="24"/>
          <w:szCs w:val="24"/>
        </w:rPr>
        <w:t>dicta</w:t>
      </w:r>
      <w:r w:rsidR="003809BD" w:rsidRPr="0030029F">
        <w:rPr>
          <w:rFonts w:ascii="Arial" w:hAnsi="Arial" w:cs="Arial"/>
          <w:sz w:val="24"/>
          <w:szCs w:val="24"/>
        </w:rPr>
        <w:t xml:space="preserve">  expressed in </w:t>
      </w:r>
      <w:r w:rsidR="004623EB" w:rsidRPr="0030029F">
        <w:rPr>
          <w:rFonts w:ascii="Arial" w:hAnsi="Arial" w:cs="Arial"/>
          <w:sz w:val="24"/>
          <w:szCs w:val="24"/>
        </w:rPr>
        <w:t xml:space="preserve"> </w:t>
      </w:r>
      <w:r w:rsidR="004623EB" w:rsidRPr="0030029F">
        <w:rPr>
          <w:rFonts w:ascii="Arial" w:hAnsi="Arial" w:cs="Arial"/>
          <w:i/>
          <w:sz w:val="24"/>
          <w:szCs w:val="24"/>
        </w:rPr>
        <w:t>Bester</w:t>
      </w:r>
      <w:r w:rsidRPr="0030029F">
        <w:rPr>
          <w:rFonts w:ascii="Arial" w:hAnsi="Arial" w:cs="Arial"/>
          <w:i/>
          <w:sz w:val="24"/>
          <w:szCs w:val="24"/>
        </w:rPr>
        <w:t xml:space="preserve"> NNO v Schmidt Bou Onwikkelings CC</w:t>
      </w:r>
      <w:r w:rsidRPr="0030029F">
        <w:rPr>
          <w:rStyle w:val="FootnoteReference"/>
          <w:rFonts w:ascii="Arial" w:hAnsi="Arial" w:cs="Arial"/>
          <w:sz w:val="24"/>
          <w:szCs w:val="24"/>
        </w:rPr>
        <w:footnoteReference w:id="7"/>
      </w:r>
      <w:r w:rsidR="004623EB" w:rsidRPr="0030029F">
        <w:rPr>
          <w:rFonts w:ascii="Arial" w:hAnsi="Arial" w:cs="Arial"/>
          <w:sz w:val="24"/>
          <w:szCs w:val="24"/>
        </w:rPr>
        <w:t xml:space="preserve"> </w:t>
      </w:r>
      <w:r w:rsidRPr="0030029F">
        <w:rPr>
          <w:rFonts w:ascii="Arial" w:hAnsi="Arial" w:cs="Arial"/>
          <w:sz w:val="24"/>
          <w:szCs w:val="24"/>
        </w:rPr>
        <w:t>which also involved a</w:t>
      </w:r>
      <w:r w:rsidR="007E75F6" w:rsidRPr="0030029F">
        <w:rPr>
          <w:rFonts w:ascii="Arial" w:hAnsi="Arial" w:cs="Arial"/>
          <w:sz w:val="24"/>
          <w:szCs w:val="24"/>
        </w:rPr>
        <w:t xml:space="preserve"> mistaken transfer and rectification of the </w:t>
      </w:r>
      <w:r w:rsidRPr="0030029F">
        <w:rPr>
          <w:rFonts w:ascii="Arial" w:hAnsi="Arial" w:cs="Arial"/>
          <w:sz w:val="24"/>
          <w:szCs w:val="24"/>
        </w:rPr>
        <w:t xml:space="preserve">deed of transfer in order to reflect the true owner. In that matter the </w:t>
      </w:r>
      <w:r w:rsidR="007E75F6" w:rsidRPr="0030029F">
        <w:rPr>
          <w:rFonts w:ascii="Arial" w:hAnsi="Arial" w:cs="Arial"/>
          <w:sz w:val="24"/>
          <w:szCs w:val="24"/>
        </w:rPr>
        <w:t>owner (Schmidt Bou)</w:t>
      </w:r>
      <w:r w:rsidR="007E75F6" w:rsidRPr="0030029F">
        <w:rPr>
          <w:rFonts w:ascii="Arial" w:hAnsi="Arial" w:cs="Arial"/>
          <w:i/>
          <w:sz w:val="24"/>
          <w:szCs w:val="24"/>
        </w:rPr>
        <w:t xml:space="preserve"> </w:t>
      </w:r>
      <w:r w:rsidR="007E75F6" w:rsidRPr="0030029F">
        <w:rPr>
          <w:rFonts w:ascii="Arial" w:hAnsi="Arial" w:cs="Arial"/>
          <w:sz w:val="24"/>
          <w:szCs w:val="24"/>
        </w:rPr>
        <w:t xml:space="preserve">sold a portion of the mother </w:t>
      </w:r>
      <w:r w:rsidR="00272924" w:rsidRPr="0030029F">
        <w:rPr>
          <w:rFonts w:ascii="Arial" w:hAnsi="Arial" w:cs="Arial"/>
          <w:sz w:val="24"/>
          <w:szCs w:val="24"/>
        </w:rPr>
        <w:t>Erf</w:t>
      </w:r>
      <w:r w:rsidR="007E75F6" w:rsidRPr="0030029F">
        <w:rPr>
          <w:rFonts w:ascii="Arial" w:hAnsi="Arial" w:cs="Arial"/>
          <w:sz w:val="24"/>
          <w:szCs w:val="24"/>
        </w:rPr>
        <w:t xml:space="preserve"> to Innova Holding (Pty) Ltd (Innova).The deed of sale had a suspensive condition that the </w:t>
      </w:r>
      <w:r w:rsidR="00272924" w:rsidRPr="0030029F">
        <w:rPr>
          <w:rFonts w:ascii="Arial" w:hAnsi="Arial" w:cs="Arial"/>
          <w:sz w:val="24"/>
          <w:szCs w:val="24"/>
        </w:rPr>
        <w:t>Erf</w:t>
      </w:r>
      <w:r w:rsidR="007E75F6" w:rsidRPr="0030029F">
        <w:rPr>
          <w:rFonts w:ascii="Arial" w:hAnsi="Arial" w:cs="Arial"/>
          <w:sz w:val="24"/>
          <w:szCs w:val="24"/>
        </w:rPr>
        <w:t xml:space="preserve"> be subdivided and that the sold portion be transferred to Innova. </w:t>
      </w:r>
      <w:r w:rsidR="00537642" w:rsidRPr="0030029F">
        <w:rPr>
          <w:rFonts w:ascii="Arial" w:hAnsi="Arial" w:cs="Arial"/>
          <w:sz w:val="24"/>
          <w:szCs w:val="24"/>
        </w:rPr>
        <w:t xml:space="preserve">However, on the strength of a power of attorney signed by a representative of Schmidt Bou, the whole </w:t>
      </w:r>
      <w:r w:rsidR="00272924" w:rsidRPr="0030029F">
        <w:rPr>
          <w:rFonts w:ascii="Arial" w:hAnsi="Arial" w:cs="Arial"/>
          <w:sz w:val="24"/>
          <w:szCs w:val="24"/>
        </w:rPr>
        <w:t>Erf</w:t>
      </w:r>
      <w:r w:rsidR="00537642" w:rsidRPr="0030029F">
        <w:rPr>
          <w:rFonts w:ascii="Arial" w:hAnsi="Arial" w:cs="Arial"/>
          <w:sz w:val="24"/>
          <w:szCs w:val="24"/>
        </w:rPr>
        <w:t xml:space="preserve"> was transferred to Innova, and the title deed thus</w:t>
      </w:r>
      <w:r w:rsidR="006B37A4" w:rsidRPr="0030029F">
        <w:rPr>
          <w:rFonts w:ascii="Arial" w:hAnsi="Arial" w:cs="Arial"/>
          <w:sz w:val="24"/>
          <w:szCs w:val="24"/>
        </w:rPr>
        <w:t>,</w:t>
      </w:r>
      <w:r w:rsidR="00537642" w:rsidRPr="0030029F">
        <w:rPr>
          <w:rFonts w:ascii="Arial" w:hAnsi="Arial" w:cs="Arial"/>
          <w:sz w:val="24"/>
          <w:szCs w:val="24"/>
        </w:rPr>
        <w:t xml:space="preserve"> contained the mistaken transfer of the whole </w:t>
      </w:r>
      <w:r w:rsidR="00272924" w:rsidRPr="0030029F">
        <w:rPr>
          <w:rFonts w:ascii="Arial" w:hAnsi="Arial" w:cs="Arial"/>
          <w:sz w:val="24"/>
          <w:szCs w:val="24"/>
        </w:rPr>
        <w:t>Erf</w:t>
      </w:r>
      <w:r w:rsidR="00537642" w:rsidRPr="0030029F">
        <w:rPr>
          <w:rFonts w:ascii="Arial" w:hAnsi="Arial" w:cs="Arial"/>
          <w:sz w:val="24"/>
          <w:szCs w:val="24"/>
        </w:rPr>
        <w:t xml:space="preserve"> to Innova</w:t>
      </w:r>
      <w:r w:rsidR="003809BD" w:rsidRPr="0030029F">
        <w:rPr>
          <w:rFonts w:ascii="Arial" w:hAnsi="Arial" w:cs="Arial"/>
          <w:sz w:val="24"/>
          <w:szCs w:val="24"/>
        </w:rPr>
        <w:t xml:space="preserve">. </w:t>
      </w:r>
      <w:r w:rsidR="00537642" w:rsidRPr="0030029F">
        <w:rPr>
          <w:rFonts w:ascii="Arial" w:hAnsi="Arial" w:cs="Arial"/>
          <w:sz w:val="24"/>
          <w:szCs w:val="24"/>
        </w:rPr>
        <w:t>Subsequently Innova was liquidated</w:t>
      </w:r>
      <w:r w:rsidR="003809BD" w:rsidRPr="0030029F">
        <w:rPr>
          <w:rFonts w:ascii="Arial" w:hAnsi="Arial" w:cs="Arial"/>
          <w:sz w:val="24"/>
          <w:szCs w:val="24"/>
        </w:rPr>
        <w:t xml:space="preserve">. When </w:t>
      </w:r>
      <w:r w:rsidR="00537642" w:rsidRPr="0030029F">
        <w:rPr>
          <w:rFonts w:ascii="Arial" w:hAnsi="Arial" w:cs="Arial"/>
          <w:sz w:val="24"/>
          <w:szCs w:val="24"/>
        </w:rPr>
        <w:t xml:space="preserve">Schmidt Bou learned of the mistake it </w:t>
      </w:r>
      <w:r w:rsidR="003809BD" w:rsidRPr="0030029F">
        <w:rPr>
          <w:rFonts w:ascii="Arial" w:hAnsi="Arial" w:cs="Arial"/>
          <w:sz w:val="24"/>
          <w:szCs w:val="24"/>
        </w:rPr>
        <w:t xml:space="preserve">unsuccessfully </w:t>
      </w:r>
      <w:r w:rsidR="00537642" w:rsidRPr="0030029F">
        <w:rPr>
          <w:rFonts w:ascii="Arial" w:hAnsi="Arial" w:cs="Arial"/>
          <w:sz w:val="24"/>
          <w:szCs w:val="24"/>
        </w:rPr>
        <w:t>engaged the liq</w:t>
      </w:r>
      <w:r w:rsidR="003809BD" w:rsidRPr="0030029F">
        <w:rPr>
          <w:rFonts w:ascii="Arial" w:hAnsi="Arial" w:cs="Arial"/>
          <w:sz w:val="24"/>
          <w:szCs w:val="24"/>
        </w:rPr>
        <w:t xml:space="preserve">uidator (Bester NNO) to rectify the error, and ended </w:t>
      </w:r>
      <w:r w:rsidR="006B37A4" w:rsidRPr="0030029F">
        <w:rPr>
          <w:rFonts w:ascii="Arial" w:hAnsi="Arial" w:cs="Arial"/>
          <w:sz w:val="24"/>
          <w:szCs w:val="24"/>
        </w:rPr>
        <w:t xml:space="preserve">up </w:t>
      </w:r>
      <w:r w:rsidR="003809BD" w:rsidRPr="0030029F">
        <w:rPr>
          <w:rFonts w:ascii="Arial" w:hAnsi="Arial" w:cs="Arial"/>
          <w:sz w:val="24"/>
          <w:szCs w:val="24"/>
        </w:rPr>
        <w:t>going to court over the rectification. The High Court granted the rectification</w:t>
      </w:r>
      <w:r w:rsidR="001146B3" w:rsidRPr="0030029F">
        <w:rPr>
          <w:rFonts w:ascii="Arial" w:hAnsi="Arial" w:cs="Arial"/>
          <w:sz w:val="24"/>
          <w:szCs w:val="24"/>
        </w:rPr>
        <w:t xml:space="preserve"> as the </w:t>
      </w:r>
      <w:r w:rsidR="00DA7344" w:rsidRPr="0030029F">
        <w:rPr>
          <w:rFonts w:ascii="Arial" w:hAnsi="Arial" w:cs="Arial"/>
          <w:sz w:val="24"/>
          <w:szCs w:val="24"/>
        </w:rPr>
        <w:t xml:space="preserve">parties’ </w:t>
      </w:r>
      <w:r w:rsidR="001146B3" w:rsidRPr="0030029F">
        <w:rPr>
          <w:rFonts w:ascii="Arial" w:hAnsi="Arial" w:cs="Arial"/>
          <w:sz w:val="24"/>
          <w:szCs w:val="24"/>
        </w:rPr>
        <w:t xml:space="preserve">intention </w:t>
      </w:r>
      <w:r w:rsidR="00DA7344" w:rsidRPr="0030029F">
        <w:rPr>
          <w:rFonts w:ascii="Arial" w:hAnsi="Arial" w:cs="Arial"/>
          <w:sz w:val="24"/>
          <w:szCs w:val="24"/>
        </w:rPr>
        <w:t xml:space="preserve">was not to </w:t>
      </w:r>
      <w:r w:rsidR="001146B3" w:rsidRPr="0030029F">
        <w:rPr>
          <w:rFonts w:ascii="Arial" w:hAnsi="Arial" w:cs="Arial"/>
          <w:sz w:val="24"/>
          <w:szCs w:val="24"/>
        </w:rPr>
        <w:t xml:space="preserve">transfer the whole </w:t>
      </w:r>
      <w:r w:rsidR="00272924" w:rsidRPr="0030029F">
        <w:rPr>
          <w:rFonts w:ascii="Arial" w:hAnsi="Arial" w:cs="Arial"/>
          <w:sz w:val="24"/>
          <w:szCs w:val="24"/>
        </w:rPr>
        <w:t>Erf</w:t>
      </w:r>
      <w:r w:rsidR="001146B3" w:rsidRPr="0030029F">
        <w:rPr>
          <w:rFonts w:ascii="Arial" w:hAnsi="Arial" w:cs="Arial"/>
          <w:sz w:val="24"/>
          <w:szCs w:val="24"/>
        </w:rPr>
        <w:t xml:space="preserve"> and </w:t>
      </w:r>
      <w:r w:rsidR="009D6E3B" w:rsidRPr="0030029F">
        <w:rPr>
          <w:rFonts w:ascii="Arial" w:hAnsi="Arial" w:cs="Arial"/>
          <w:sz w:val="24"/>
          <w:szCs w:val="24"/>
        </w:rPr>
        <w:t xml:space="preserve">thus </w:t>
      </w:r>
      <w:r w:rsidR="001146B3" w:rsidRPr="0030029F">
        <w:rPr>
          <w:rFonts w:ascii="Arial" w:hAnsi="Arial" w:cs="Arial"/>
          <w:sz w:val="24"/>
          <w:szCs w:val="24"/>
        </w:rPr>
        <w:t xml:space="preserve">ownership did not pass to Innova. </w:t>
      </w:r>
      <w:r w:rsidR="003809BD" w:rsidRPr="0030029F">
        <w:rPr>
          <w:rFonts w:ascii="Arial" w:hAnsi="Arial" w:cs="Arial"/>
          <w:sz w:val="24"/>
          <w:szCs w:val="24"/>
        </w:rPr>
        <w:t>Bester NNO</w:t>
      </w:r>
      <w:r w:rsidR="009D6E3B" w:rsidRPr="0030029F">
        <w:rPr>
          <w:rFonts w:ascii="Arial" w:hAnsi="Arial" w:cs="Arial"/>
          <w:sz w:val="24"/>
          <w:szCs w:val="24"/>
        </w:rPr>
        <w:t xml:space="preserve"> appealed the finding, but it </w:t>
      </w:r>
      <w:r w:rsidR="001146B3" w:rsidRPr="0030029F">
        <w:rPr>
          <w:rFonts w:ascii="Arial" w:hAnsi="Arial" w:cs="Arial"/>
          <w:sz w:val="24"/>
          <w:szCs w:val="24"/>
        </w:rPr>
        <w:t xml:space="preserve">was dismissed by the </w:t>
      </w:r>
      <w:r w:rsidR="003809BD" w:rsidRPr="0030029F">
        <w:rPr>
          <w:rFonts w:ascii="Arial" w:hAnsi="Arial" w:cs="Arial"/>
          <w:sz w:val="24"/>
          <w:szCs w:val="24"/>
        </w:rPr>
        <w:t>Supreme Court of Appeal</w:t>
      </w:r>
      <w:r w:rsidR="009D6E3B" w:rsidRPr="0030029F">
        <w:rPr>
          <w:rFonts w:ascii="Arial" w:hAnsi="Arial" w:cs="Arial"/>
          <w:sz w:val="24"/>
          <w:szCs w:val="24"/>
        </w:rPr>
        <w:t xml:space="preserve">. </w:t>
      </w:r>
      <w:r w:rsidR="001146B3" w:rsidRPr="0030029F">
        <w:rPr>
          <w:rFonts w:ascii="Arial" w:hAnsi="Arial" w:cs="Arial"/>
          <w:sz w:val="24"/>
          <w:szCs w:val="24"/>
        </w:rPr>
        <w:t xml:space="preserve"> </w:t>
      </w:r>
    </w:p>
    <w:p w:rsidR="00537642" w:rsidRPr="0030029F" w:rsidRDefault="00537642" w:rsidP="00195D75">
      <w:pPr>
        <w:tabs>
          <w:tab w:val="left" w:pos="720"/>
        </w:tabs>
        <w:spacing w:after="0" w:line="360" w:lineRule="auto"/>
        <w:jc w:val="both"/>
        <w:rPr>
          <w:rFonts w:ascii="Arial" w:hAnsi="Arial" w:cs="Arial"/>
          <w:sz w:val="24"/>
          <w:szCs w:val="24"/>
        </w:rPr>
      </w:pPr>
    </w:p>
    <w:p w:rsidR="00A4297D" w:rsidRPr="0030029F" w:rsidRDefault="00FE1863" w:rsidP="00195D75">
      <w:pPr>
        <w:tabs>
          <w:tab w:val="left" w:pos="720"/>
        </w:tabs>
        <w:spacing w:after="0" w:line="360" w:lineRule="auto"/>
        <w:jc w:val="both"/>
        <w:rPr>
          <w:rFonts w:ascii="Arial" w:hAnsi="Arial" w:cs="Arial"/>
          <w:sz w:val="24"/>
          <w:szCs w:val="24"/>
        </w:rPr>
      </w:pPr>
      <w:r w:rsidRPr="0030029F">
        <w:rPr>
          <w:rFonts w:ascii="Arial" w:hAnsi="Arial" w:cs="Arial"/>
          <w:sz w:val="24"/>
          <w:szCs w:val="24"/>
        </w:rPr>
        <w:t>[21]</w:t>
      </w:r>
      <w:r w:rsidRPr="0030029F">
        <w:rPr>
          <w:rFonts w:ascii="Arial" w:hAnsi="Arial" w:cs="Arial"/>
          <w:sz w:val="24"/>
          <w:szCs w:val="24"/>
        </w:rPr>
        <w:tab/>
      </w:r>
      <w:r w:rsidR="00195D75" w:rsidRPr="0030029F">
        <w:rPr>
          <w:rFonts w:ascii="Arial" w:hAnsi="Arial" w:cs="Arial"/>
          <w:sz w:val="24"/>
          <w:szCs w:val="24"/>
        </w:rPr>
        <w:t xml:space="preserve">With that in mind it is sensible to </w:t>
      </w:r>
      <w:r w:rsidR="00CD688E" w:rsidRPr="0030029F">
        <w:rPr>
          <w:rFonts w:ascii="Arial" w:hAnsi="Arial" w:cs="Arial"/>
          <w:sz w:val="24"/>
          <w:szCs w:val="24"/>
        </w:rPr>
        <w:t xml:space="preserve">highlight the decisive dealings relating to the said </w:t>
      </w:r>
      <w:r w:rsidR="00272924" w:rsidRPr="0030029F">
        <w:rPr>
          <w:rFonts w:ascii="Arial" w:hAnsi="Arial" w:cs="Arial"/>
          <w:sz w:val="24"/>
          <w:szCs w:val="24"/>
        </w:rPr>
        <w:t>Erf</w:t>
      </w:r>
      <w:r w:rsidR="00CD688E" w:rsidRPr="0030029F">
        <w:rPr>
          <w:rFonts w:ascii="Arial" w:hAnsi="Arial" w:cs="Arial"/>
          <w:sz w:val="24"/>
          <w:szCs w:val="24"/>
        </w:rPr>
        <w:t xml:space="preserve"> and what manif</w:t>
      </w:r>
      <w:r w:rsidR="00A4297D" w:rsidRPr="0030029F">
        <w:rPr>
          <w:rFonts w:ascii="Arial" w:hAnsi="Arial" w:cs="Arial"/>
          <w:sz w:val="24"/>
          <w:szCs w:val="24"/>
        </w:rPr>
        <w:t xml:space="preserve">ested. </w:t>
      </w:r>
      <w:r w:rsidR="00195D75" w:rsidRPr="0030029F">
        <w:rPr>
          <w:rFonts w:ascii="Arial" w:hAnsi="Arial" w:cs="Arial"/>
          <w:sz w:val="24"/>
          <w:szCs w:val="24"/>
        </w:rPr>
        <w:t>It was common cause that hi</w:t>
      </w:r>
      <w:r w:rsidR="00CD688E" w:rsidRPr="0030029F">
        <w:rPr>
          <w:rFonts w:ascii="Arial" w:hAnsi="Arial" w:cs="Arial"/>
          <w:sz w:val="24"/>
          <w:szCs w:val="24"/>
        </w:rPr>
        <w:t xml:space="preserve">storically the </w:t>
      </w:r>
      <w:r w:rsidR="00272924" w:rsidRPr="0030029F">
        <w:rPr>
          <w:rFonts w:ascii="Arial" w:hAnsi="Arial" w:cs="Arial"/>
          <w:sz w:val="24"/>
          <w:szCs w:val="24"/>
        </w:rPr>
        <w:t>Erf</w:t>
      </w:r>
      <w:r w:rsidR="00CD688E" w:rsidRPr="0030029F">
        <w:rPr>
          <w:rFonts w:ascii="Arial" w:hAnsi="Arial" w:cs="Arial"/>
          <w:sz w:val="24"/>
          <w:szCs w:val="24"/>
        </w:rPr>
        <w:t xml:space="preserve"> had been occupied and used by the commando of the Regiment. Furthermore in 1996</w:t>
      </w:r>
      <w:r w:rsidR="00A33D7B" w:rsidRPr="0030029F">
        <w:rPr>
          <w:rFonts w:ascii="Arial" w:hAnsi="Arial" w:cs="Arial"/>
          <w:sz w:val="24"/>
          <w:szCs w:val="24"/>
        </w:rPr>
        <w:t>,</w:t>
      </w:r>
      <w:r w:rsidR="00CD688E" w:rsidRPr="0030029F">
        <w:rPr>
          <w:rFonts w:ascii="Arial" w:hAnsi="Arial" w:cs="Arial"/>
          <w:sz w:val="24"/>
          <w:szCs w:val="24"/>
        </w:rPr>
        <w:t xml:space="preserve"> a common law association, the Herero Royal Red Flag Association</w:t>
      </w:r>
      <w:r w:rsidR="00A33D7B" w:rsidRPr="0030029F">
        <w:rPr>
          <w:rFonts w:ascii="Arial" w:hAnsi="Arial" w:cs="Arial"/>
          <w:sz w:val="24"/>
          <w:szCs w:val="24"/>
        </w:rPr>
        <w:t>,</w:t>
      </w:r>
      <w:r w:rsidR="00CD688E" w:rsidRPr="0030029F">
        <w:rPr>
          <w:rFonts w:ascii="Arial" w:hAnsi="Arial" w:cs="Arial"/>
          <w:sz w:val="24"/>
          <w:szCs w:val="24"/>
        </w:rPr>
        <w:t xml:space="preserve"> was created specifically to purchase the said </w:t>
      </w:r>
      <w:r w:rsidR="00272924" w:rsidRPr="0030029F">
        <w:rPr>
          <w:rFonts w:ascii="Arial" w:hAnsi="Arial" w:cs="Arial"/>
          <w:sz w:val="24"/>
          <w:szCs w:val="24"/>
        </w:rPr>
        <w:t>Erf</w:t>
      </w:r>
      <w:r w:rsidR="00CD688E" w:rsidRPr="0030029F">
        <w:rPr>
          <w:rFonts w:ascii="Arial" w:hAnsi="Arial" w:cs="Arial"/>
          <w:sz w:val="24"/>
          <w:szCs w:val="24"/>
        </w:rPr>
        <w:t xml:space="preserve">.  </w:t>
      </w:r>
      <w:r w:rsidR="006A6C1C" w:rsidRPr="0030029F">
        <w:rPr>
          <w:rFonts w:ascii="Arial" w:hAnsi="Arial" w:cs="Arial"/>
          <w:sz w:val="24"/>
          <w:szCs w:val="24"/>
        </w:rPr>
        <w:t xml:space="preserve">  </w:t>
      </w:r>
    </w:p>
    <w:p w:rsidR="00A4297D" w:rsidRPr="0030029F" w:rsidRDefault="00A4297D" w:rsidP="00195D75">
      <w:pPr>
        <w:tabs>
          <w:tab w:val="left" w:pos="720"/>
        </w:tabs>
        <w:spacing w:after="0" w:line="360" w:lineRule="auto"/>
        <w:jc w:val="both"/>
        <w:rPr>
          <w:rFonts w:ascii="Arial" w:hAnsi="Arial" w:cs="Arial"/>
          <w:sz w:val="24"/>
          <w:szCs w:val="24"/>
        </w:rPr>
      </w:pPr>
    </w:p>
    <w:p w:rsidR="00416B50" w:rsidRPr="0030029F" w:rsidRDefault="00FE1863" w:rsidP="00FE1863">
      <w:pPr>
        <w:spacing w:after="0" w:line="360" w:lineRule="auto"/>
        <w:jc w:val="both"/>
        <w:rPr>
          <w:rFonts w:ascii="Arial" w:hAnsi="Arial" w:cs="Arial"/>
          <w:sz w:val="24"/>
          <w:szCs w:val="24"/>
        </w:rPr>
      </w:pPr>
      <w:r w:rsidRPr="0030029F">
        <w:rPr>
          <w:rFonts w:ascii="Arial" w:hAnsi="Arial" w:cs="Arial"/>
          <w:sz w:val="24"/>
          <w:szCs w:val="24"/>
        </w:rPr>
        <w:t>[22]</w:t>
      </w:r>
      <w:r w:rsidRPr="0030029F">
        <w:rPr>
          <w:rFonts w:ascii="Arial" w:hAnsi="Arial" w:cs="Arial"/>
          <w:sz w:val="24"/>
          <w:szCs w:val="24"/>
        </w:rPr>
        <w:tab/>
        <w:t>Apart from the oral evidence</w:t>
      </w:r>
      <w:r w:rsidR="00A33D7B" w:rsidRPr="0030029F">
        <w:rPr>
          <w:rFonts w:ascii="Arial" w:hAnsi="Arial" w:cs="Arial"/>
          <w:sz w:val="24"/>
          <w:szCs w:val="24"/>
        </w:rPr>
        <w:t>,</w:t>
      </w:r>
      <w:r w:rsidRPr="0030029F">
        <w:rPr>
          <w:rFonts w:ascii="Arial" w:hAnsi="Arial" w:cs="Arial"/>
          <w:sz w:val="24"/>
          <w:szCs w:val="24"/>
        </w:rPr>
        <w:t xml:space="preserve"> pertinent documents were tendered in evidence. Nothing material turns on the criticism against the late Mr Kaura’s evidence, namely that he testified, not from memory, but from papers. Both </w:t>
      </w:r>
      <w:r w:rsidR="003E4ED8" w:rsidRPr="0030029F">
        <w:rPr>
          <w:rFonts w:ascii="Arial" w:hAnsi="Arial" w:cs="Arial"/>
          <w:sz w:val="24"/>
          <w:szCs w:val="24"/>
        </w:rPr>
        <w:t xml:space="preserve">of the plaintiff’s </w:t>
      </w:r>
      <w:r w:rsidRPr="0030029F">
        <w:rPr>
          <w:rFonts w:ascii="Arial" w:hAnsi="Arial" w:cs="Arial"/>
          <w:sz w:val="24"/>
          <w:szCs w:val="24"/>
        </w:rPr>
        <w:t>witnesses were member</w:t>
      </w:r>
      <w:r w:rsidR="003E4ED8" w:rsidRPr="0030029F">
        <w:rPr>
          <w:rFonts w:ascii="Arial" w:hAnsi="Arial" w:cs="Arial"/>
          <w:sz w:val="24"/>
          <w:szCs w:val="24"/>
        </w:rPr>
        <w:t>s</w:t>
      </w:r>
      <w:r w:rsidRPr="0030029F">
        <w:rPr>
          <w:rFonts w:ascii="Arial" w:hAnsi="Arial" w:cs="Arial"/>
          <w:sz w:val="24"/>
          <w:szCs w:val="24"/>
        </w:rPr>
        <w:t xml:space="preserve"> and in leadership positions in the R</w:t>
      </w:r>
      <w:r w:rsidR="003E4ED8" w:rsidRPr="0030029F">
        <w:rPr>
          <w:rFonts w:ascii="Arial" w:hAnsi="Arial" w:cs="Arial"/>
          <w:sz w:val="24"/>
          <w:szCs w:val="24"/>
        </w:rPr>
        <w:t xml:space="preserve">egiment, and I am satisfied that they became privy to the </w:t>
      </w:r>
      <w:r w:rsidR="00416B50" w:rsidRPr="0030029F">
        <w:rPr>
          <w:rFonts w:ascii="Arial" w:hAnsi="Arial" w:cs="Arial"/>
          <w:sz w:val="24"/>
          <w:szCs w:val="24"/>
        </w:rPr>
        <w:t xml:space="preserve">Regiment’s </w:t>
      </w:r>
      <w:r w:rsidR="003E4ED8" w:rsidRPr="0030029F">
        <w:rPr>
          <w:rFonts w:ascii="Arial" w:hAnsi="Arial" w:cs="Arial"/>
          <w:sz w:val="24"/>
          <w:szCs w:val="24"/>
        </w:rPr>
        <w:t>affairs and had access to the documents. Considering their very senior age, a</w:t>
      </w:r>
      <w:r w:rsidRPr="0030029F">
        <w:rPr>
          <w:rFonts w:ascii="Arial" w:hAnsi="Arial" w:cs="Arial"/>
          <w:sz w:val="24"/>
          <w:szCs w:val="24"/>
        </w:rPr>
        <w:t>t the time</w:t>
      </w:r>
      <w:r w:rsidR="003E4ED8" w:rsidRPr="0030029F">
        <w:rPr>
          <w:rFonts w:ascii="Arial" w:hAnsi="Arial" w:cs="Arial"/>
          <w:sz w:val="24"/>
          <w:szCs w:val="24"/>
        </w:rPr>
        <w:t xml:space="preserve"> of their oral evidence, their evidence was clear and reliable.  In this instance I find nothing unbecoming about the witness wanting to have regard to the exhibits. </w:t>
      </w:r>
    </w:p>
    <w:p w:rsidR="00416B50" w:rsidRPr="0030029F" w:rsidRDefault="00416B50" w:rsidP="00FE1863">
      <w:pPr>
        <w:spacing w:after="0" w:line="360" w:lineRule="auto"/>
        <w:jc w:val="both"/>
        <w:rPr>
          <w:rFonts w:ascii="Arial" w:hAnsi="Arial" w:cs="Arial"/>
          <w:sz w:val="24"/>
          <w:szCs w:val="24"/>
        </w:rPr>
      </w:pPr>
    </w:p>
    <w:p w:rsidR="00964093" w:rsidRPr="0030029F" w:rsidRDefault="00416B50" w:rsidP="00FE1863">
      <w:pPr>
        <w:spacing w:after="0" w:line="360" w:lineRule="auto"/>
        <w:jc w:val="both"/>
        <w:rPr>
          <w:rFonts w:ascii="Arial" w:hAnsi="Arial" w:cs="Arial"/>
          <w:sz w:val="24"/>
          <w:szCs w:val="24"/>
        </w:rPr>
      </w:pPr>
      <w:r w:rsidRPr="0030029F">
        <w:rPr>
          <w:rFonts w:ascii="Arial" w:hAnsi="Arial" w:cs="Arial"/>
          <w:sz w:val="24"/>
          <w:szCs w:val="24"/>
        </w:rPr>
        <w:t>[23]</w:t>
      </w:r>
      <w:r w:rsidRPr="0030029F">
        <w:rPr>
          <w:rFonts w:ascii="Arial" w:hAnsi="Arial" w:cs="Arial"/>
          <w:sz w:val="24"/>
          <w:szCs w:val="24"/>
        </w:rPr>
        <w:tab/>
      </w:r>
      <w:r w:rsidR="00964093" w:rsidRPr="0030029F">
        <w:rPr>
          <w:rFonts w:ascii="Arial" w:hAnsi="Arial" w:cs="Arial"/>
          <w:sz w:val="24"/>
          <w:szCs w:val="24"/>
        </w:rPr>
        <w:t xml:space="preserve">Above </w:t>
      </w:r>
      <w:r w:rsidR="00E212C2" w:rsidRPr="0030029F">
        <w:rPr>
          <w:rFonts w:ascii="Arial" w:hAnsi="Arial" w:cs="Arial"/>
          <w:sz w:val="24"/>
          <w:szCs w:val="24"/>
        </w:rPr>
        <w:t>all</w:t>
      </w:r>
      <w:r w:rsidR="00841252" w:rsidRPr="0030029F">
        <w:rPr>
          <w:rFonts w:ascii="Arial" w:hAnsi="Arial" w:cs="Arial"/>
          <w:sz w:val="24"/>
          <w:szCs w:val="24"/>
        </w:rPr>
        <w:t xml:space="preserve">, the documentary evidence is telling, especially if one has regard to the following: </w:t>
      </w:r>
    </w:p>
    <w:p w:rsidR="00A33D7B" w:rsidRPr="0030029F" w:rsidRDefault="00A33D7B" w:rsidP="00FE1863">
      <w:pPr>
        <w:spacing w:after="0" w:line="360" w:lineRule="auto"/>
        <w:jc w:val="both"/>
        <w:rPr>
          <w:rFonts w:ascii="Arial" w:hAnsi="Arial" w:cs="Arial"/>
          <w:sz w:val="24"/>
          <w:szCs w:val="24"/>
        </w:rPr>
      </w:pPr>
    </w:p>
    <w:p w:rsidR="00B439DE" w:rsidRPr="0030029F" w:rsidRDefault="00964093" w:rsidP="00FE1863">
      <w:pPr>
        <w:spacing w:after="0" w:line="360" w:lineRule="auto"/>
        <w:jc w:val="both"/>
        <w:rPr>
          <w:rFonts w:ascii="Arial" w:hAnsi="Arial" w:cs="Arial"/>
          <w:sz w:val="24"/>
          <w:szCs w:val="24"/>
        </w:rPr>
      </w:pPr>
      <w:r w:rsidRPr="0030029F">
        <w:rPr>
          <w:rFonts w:ascii="Arial" w:hAnsi="Arial" w:cs="Arial"/>
          <w:sz w:val="24"/>
          <w:szCs w:val="24"/>
        </w:rPr>
        <w:t>(a)</w:t>
      </w:r>
      <w:r w:rsidR="00E212C2" w:rsidRPr="0030029F">
        <w:rPr>
          <w:rFonts w:ascii="Arial" w:hAnsi="Arial" w:cs="Arial"/>
          <w:sz w:val="24"/>
          <w:szCs w:val="24"/>
        </w:rPr>
        <w:tab/>
      </w:r>
      <w:r w:rsidR="00B439DE" w:rsidRPr="0030029F">
        <w:rPr>
          <w:rFonts w:ascii="Arial" w:hAnsi="Arial" w:cs="Arial"/>
          <w:sz w:val="24"/>
          <w:szCs w:val="24"/>
        </w:rPr>
        <w:t>A resolution</w:t>
      </w:r>
      <w:r w:rsidR="00B439DE" w:rsidRPr="0030029F">
        <w:rPr>
          <w:rStyle w:val="FootnoteReference"/>
          <w:rFonts w:ascii="Arial" w:hAnsi="Arial" w:cs="Arial"/>
          <w:sz w:val="24"/>
          <w:szCs w:val="24"/>
        </w:rPr>
        <w:footnoteReference w:id="8"/>
      </w:r>
      <w:r w:rsidR="00B439DE" w:rsidRPr="0030029F">
        <w:rPr>
          <w:rFonts w:ascii="Arial" w:hAnsi="Arial" w:cs="Arial"/>
          <w:sz w:val="24"/>
          <w:szCs w:val="24"/>
        </w:rPr>
        <w:t xml:space="preserve"> </w:t>
      </w:r>
      <w:r w:rsidR="00841252" w:rsidRPr="0030029F">
        <w:rPr>
          <w:rFonts w:ascii="Arial" w:hAnsi="Arial" w:cs="Arial"/>
          <w:sz w:val="24"/>
          <w:szCs w:val="24"/>
        </w:rPr>
        <w:t>(</w:t>
      </w:r>
      <w:r w:rsidR="00B439DE" w:rsidRPr="0030029F">
        <w:rPr>
          <w:rFonts w:ascii="Arial" w:hAnsi="Arial" w:cs="Arial"/>
          <w:sz w:val="24"/>
          <w:szCs w:val="24"/>
        </w:rPr>
        <w:t>no</w:t>
      </w:r>
      <w:r w:rsidR="00841252" w:rsidRPr="0030029F">
        <w:rPr>
          <w:rFonts w:ascii="Arial" w:hAnsi="Arial" w:cs="Arial"/>
          <w:sz w:val="24"/>
          <w:szCs w:val="24"/>
        </w:rPr>
        <w:t>.</w:t>
      </w:r>
      <w:r w:rsidR="00B439DE" w:rsidRPr="0030029F">
        <w:rPr>
          <w:rFonts w:ascii="Arial" w:hAnsi="Arial" w:cs="Arial"/>
          <w:sz w:val="24"/>
          <w:szCs w:val="24"/>
        </w:rPr>
        <w:t xml:space="preserve"> 40/02/2000</w:t>
      </w:r>
      <w:r w:rsidR="00841252" w:rsidRPr="0030029F">
        <w:rPr>
          <w:rFonts w:ascii="Arial" w:hAnsi="Arial" w:cs="Arial"/>
          <w:sz w:val="24"/>
          <w:szCs w:val="24"/>
        </w:rPr>
        <w:t>)</w:t>
      </w:r>
      <w:r w:rsidR="00B439DE" w:rsidRPr="0030029F">
        <w:rPr>
          <w:rFonts w:ascii="Arial" w:hAnsi="Arial" w:cs="Arial"/>
          <w:sz w:val="24"/>
          <w:szCs w:val="24"/>
        </w:rPr>
        <w:t xml:space="preserve"> passed by </w:t>
      </w:r>
      <w:r w:rsidR="000017C8" w:rsidRPr="0030029F">
        <w:rPr>
          <w:rFonts w:ascii="Arial" w:hAnsi="Arial" w:cs="Arial"/>
          <w:sz w:val="24"/>
          <w:szCs w:val="24"/>
        </w:rPr>
        <w:t xml:space="preserve">the </w:t>
      </w:r>
      <w:r w:rsidR="00B439DE" w:rsidRPr="0030029F">
        <w:rPr>
          <w:rFonts w:ascii="Arial" w:hAnsi="Arial" w:cs="Arial"/>
          <w:sz w:val="24"/>
          <w:szCs w:val="24"/>
        </w:rPr>
        <w:t xml:space="preserve">second defendant that </w:t>
      </w:r>
      <w:r w:rsidR="00272924" w:rsidRPr="0030029F">
        <w:rPr>
          <w:rFonts w:ascii="Arial" w:hAnsi="Arial" w:cs="Arial"/>
          <w:sz w:val="24"/>
          <w:szCs w:val="24"/>
        </w:rPr>
        <w:t>Erf</w:t>
      </w:r>
      <w:r w:rsidR="00B439DE" w:rsidRPr="0030029F">
        <w:rPr>
          <w:rFonts w:ascii="Arial" w:hAnsi="Arial" w:cs="Arial"/>
          <w:sz w:val="24"/>
          <w:szCs w:val="24"/>
        </w:rPr>
        <w:t xml:space="preserve"> 6297, Katutura, in extent 2391 square metres be sold to Herero Royal Red Flag Association at a subsidized price of N$ 57 838;</w:t>
      </w:r>
    </w:p>
    <w:p w:rsidR="00B439DE" w:rsidRPr="0030029F" w:rsidRDefault="002E40D3" w:rsidP="00FE1863">
      <w:pPr>
        <w:spacing w:after="0" w:line="360" w:lineRule="auto"/>
        <w:jc w:val="both"/>
        <w:rPr>
          <w:rFonts w:ascii="Arial" w:hAnsi="Arial" w:cs="Arial"/>
          <w:sz w:val="24"/>
          <w:szCs w:val="24"/>
        </w:rPr>
      </w:pPr>
      <w:r w:rsidRPr="0030029F">
        <w:rPr>
          <w:rFonts w:ascii="Arial" w:hAnsi="Arial" w:cs="Arial"/>
          <w:sz w:val="24"/>
          <w:szCs w:val="24"/>
        </w:rPr>
        <w:t>(b)</w:t>
      </w:r>
      <w:r w:rsidRPr="0030029F">
        <w:rPr>
          <w:rFonts w:ascii="Arial" w:hAnsi="Arial" w:cs="Arial"/>
          <w:sz w:val="24"/>
          <w:szCs w:val="24"/>
        </w:rPr>
        <w:tab/>
        <w:t>A d</w:t>
      </w:r>
      <w:r w:rsidR="00B439DE" w:rsidRPr="0030029F">
        <w:rPr>
          <w:rFonts w:ascii="Arial" w:hAnsi="Arial" w:cs="Arial"/>
          <w:sz w:val="24"/>
          <w:szCs w:val="24"/>
        </w:rPr>
        <w:t>eed of sale</w:t>
      </w:r>
      <w:r w:rsidR="00917563" w:rsidRPr="0030029F">
        <w:rPr>
          <w:rStyle w:val="FootnoteReference"/>
          <w:rFonts w:ascii="Arial" w:hAnsi="Arial" w:cs="Arial"/>
          <w:sz w:val="24"/>
          <w:szCs w:val="24"/>
        </w:rPr>
        <w:footnoteReference w:id="9"/>
      </w:r>
      <w:r w:rsidR="00B439DE" w:rsidRPr="0030029F">
        <w:rPr>
          <w:rFonts w:ascii="Arial" w:hAnsi="Arial" w:cs="Arial"/>
          <w:sz w:val="24"/>
          <w:szCs w:val="24"/>
        </w:rPr>
        <w:t xml:space="preserve"> concluded between the second defendant and Herero Royal Red Flag Association on 16 May 2000;</w:t>
      </w:r>
    </w:p>
    <w:p w:rsidR="000017C8" w:rsidRPr="0030029F" w:rsidRDefault="002073F5" w:rsidP="00FE1863">
      <w:pPr>
        <w:spacing w:after="0" w:line="360" w:lineRule="auto"/>
        <w:jc w:val="both"/>
        <w:rPr>
          <w:rFonts w:ascii="Arial" w:hAnsi="Arial" w:cs="Arial"/>
          <w:sz w:val="24"/>
          <w:szCs w:val="24"/>
        </w:rPr>
      </w:pPr>
      <w:r w:rsidRPr="0030029F">
        <w:rPr>
          <w:rFonts w:ascii="Arial" w:hAnsi="Arial" w:cs="Arial"/>
          <w:sz w:val="24"/>
          <w:szCs w:val="24"/>
        </w:rPr>
        <w:t>(</w:t>
      </w:r>
      <w:r w:rsidR="00B439DE" w:rsidRPr="0030029F">
        <w:rPr>
          <w:rFonts w:ascii="Arial" w:hAnsi="Arial" w:cs="Arial"/>
          <w:sz w:val="24"/>
          <w:szCs w:val="24"/>
        </w:rPr>
        <w:t>c)</w:t>
      </w:r>
      <w:r w:rsidR="00B439DE" w:rsidRPr="0030029F">
        <w:rPr>
          <w:rFonts w:ascii="Arial" w:hAnsi="Arial" w:cs="Arial"/>
          <w:sz w:val="24"/>
          <w:szCs w:val="24"/>
        </w:rPr>
        <w:tab/>
      </w:r>
      <w:r w:rsidR="002E40D3" w:rsidRPr="0030029F">
        <w:rPr>
          <w:rFonts w:ascii="Arial" w:hAnsi="Arial" w:cs="Arial"/>
          <w:sz w:val="24"/>
          <w:szCs w:val="24"/>
        </w:rPr>
        <w:t>An i</w:t>
      </w:r>
      <w:r w:rsidR="00917563" w:rsidRPr="0030029F">
        <w:rPr>
          <w:rFonts w:ascii="Arial" w:hAnsi="Arial" w:cs="Arial"/>
          <w:sz w:val="24"/>
          <w:szCs w:val="24"/>
        </w:rPr>
        <w:t>nstruction</w:t>
      </w:r>
      <w:r w:rsidR="00917563" w:rsidRPr="0030029F">
        <w:rPr>
          <w:rStyle w:val="FootnoteReference"/>
          <w:rFonts w:ascii="Arial" w:hAnsi="Arial" w:cs="Arial"/>
          <w:sz w:val="24"/>
          <w:szCs w:val="24"/>
        </w:rPr>
        <w:footnoteReference w:id="10"/>
      </w:r>
      <w:r w:rsidR="00917563" w:rsidRPr="0030029F">
        <w:rPr>
          <w:rFonts w:ascii="Arial" w:hAnsi="Arial" w:cs="Arial"/>
          <w:sz w:val="24"/>
          <w:szCs w:val="24"/>
        </w:rPr>
        <w:t xml:space="preserve"> </w:t>
      </w:r>
      <w:r w:rsidR="00B439DE" w:rsidRPr="0030029F">
        <w:rPr>
          <w:rFonts w:ascii="Arial" w:hAnsi="Arial" w:cs="Arial"/>
          <w:sz w:val="24"/>
          <w:szCs w:val="24"/>
        </w:rPr>
        <w:t xml:space="preserve">from </w:t>
      </w:r>
      <w:r w:rsidR="002E40D3" w:rsidRPr="0030029F">
        <w:rPr>
          <w:rFonts w:ascii="Arial" w:hAnsi="Arial" w:cs="Arial"/>
          <w:sz w:val="24"/>
          <w:szCs w:val="24"/>
        </w:rPr>
        <w:t xml:space="preserve">the </w:t>
      </w:r>
      <w:r w:rsidR="00B439DE" w:rsidRPr="0030029F">
        <w:rPr>
          <w:rFonts w:ascii="Arial" w:hAnsi="Arial" w:cs="Arial"/>
          <w:sz w:val="24"/>
          <w:szCs w:val="24"/>
        </w:rPr>
        <w:t>second defendant’s office, the Acting Chief of Housing and Properties</w:t>
      </w:r>
      <w:r w:rsidR="000017C8" w:rsidRPr="0030029F">
        <w:rPr>
          <w:rFonts w:ascii="Arial" w:hAnsi="Arial" w:cs="Arial"/>
          <w:sz w:val="24"/>
          <w:szCs w:val="24"/>
        </w:rPr>
        <w:t>,</w:t>
      </w:r>
      <w:r w:rsidR="00B439DE" w:rsidRPr="0030029F">
        <w:rPr>
          <w:rFonts w:ascii="Arial" w:hAnsi="Arial" w:cs="Arial"/>
          <w:sz w:val="24"/>
          <w:szCs w:val="24"/>
        </w:rPr>
        <w:t xml:space="preserve"> instructing the fourth defendant to transfer the said </w:t>
      </w:r>
      <w:r w:rsidR="00272924" w:rsidRPr="0030029F">
        <w:rPr>
          <w:rFonts w:ascii="Arial" w:hAnsi="Arial" w:cs="Arial"/>
          <w:sz w:val="24"/>
          <w:szCs w:val="24"/>
        </w:rPr>
        <w:t>Erf</w:t>
      </w:r>
      <w:r w:rsidR="00B439DE" w:rsidRPr="0030029F">
        <w:rPr>
          <w:rFonts w:ascii="Arial" w:hAnsi="Arial" w:cs="Arial"/>
          <w:sz w:val="24"/>
          <w:szCs w:val="24"/>
        </w:rPr>
        <w:t xml:space="preserve"> wherein the purchaser is indicated </w:t>
      </w:r>
      <w:r w:rsidRPr="0030029F">
        <w:rPr>
          <w:rFonts w:ascii="Arial" w:hAnsi="Arial" w:cs="Arial"/>
          <w:sz w:val="24"/>
          <w:szCs w:val="24"/>
        </w:rPr>
        <w:t xml:space="preserve">as </w:t>
      </w:r>
      <w:r w:rsidR="00B439DE" w:rsidRPr="0030029F">
        <w:rPr>
          <w:rFonts w:ascii="Arial" w:hAnsi="Arial" w:cs="Arial"/>
          <w:sz w:val="24"/>
          <w:szCs w:val="24"/>
        </w:rPr>
        <w:t>Herero Royal Red Flag Association</w:t>
      </w:r>
      <w:r w:rsidR="000017C8" w:rsidRPr="0030029F">
        <w:rPr>
          <w:rFonts w:ascii="Arial" w:hAnsi="Arial" w:cs="Arial"/>
          <w:sz w:val="24"/>
          <w:szCs w:val="24"/>
        </w:rPr>
        <w:t xml:space="preserve">. </w:t>
      </w:r>
    </w:p>
    <w:p w:rsidR="006F73E2" w:rsidRPr="0030029F" w:rsidRDefault="00841252" w:rsidP="00FE1863">
      <w:pPr>
        <w:spacing w:after="0" w:line="360" w:lineRule="auto"/>
        <w:jc w:val="both"/>
        <w:rPr>
          <w:rFonts w:ascii="Arial" w:hAnsi="Arial" w:cs="Arial"/>
          <w:sz w:val="24"/>
          <w:szCs w:val="24"/>
        </w:rPr>
      </w:pPr>
      <w:r w:rsidRPr="0030029F">
        <w:rPr>
          <w:rFonts w:ascii="Arial" w:hAnsi="Arial" w:cs="Arial"/>
          <w:sz w:val="24"/>
          <w:szCs w:val="24"/>
        </w:rPr>
        <w:t xml:space="preserve">(d) </w:t>
      </w:r>
      <w:r w:rsidRPr="0030029F">
        <w:rPr>
          <w:rFonts w:ascii="Arial" w:hAnsi="Arial" w:cs="Arial"/>
          <w:sz w:val="24"/>
          <w:szCs w:val="24"/>
        </w:rPr>
        <w:tab/>
      </w:r>
      <w:r w:rsidR="002E40D3" w:rsidRPr="0030029F">
        <w:rPr>
          <w:rFonts w:ascii="Arial" w:hAnsi="Arial" w:cs="Arial"/>
          <w:sz w:val="24"/>
          <w:szCs w:val="24"/>
        </w:rPr>
        <w:t>A p</w:t>
      </w:r>
      <w:r w:rsidRPr="0030029F">
        <w:rPr>
          <w:rFonts w:ascii="Arial" w:hAnsi="Arial" w:cs="Arial"/>
          <w:sz w:val="24"/>
          <w:szCs w:val="24"/>
        </w:rPr>
        <w:t>ower of attorney</w:t>
      </w:r>
      <w:r w:rsidRPr="0030029F">
        <w:rPr>
          <w:rStyle w:val="FootnoteReference"/>
          <w:rFonts w:ascii="Arial" w:hAnsi="Arial" w:cs="Arial"/>
          <w:sz w:val="24"/>
          <w:szCs w:val="24"/>
        </w:rPr>
        <w:footnoteReference w:id="11"/>
      </w:r>
      <w:r w:rsidR="00F57A3E" w:rsidRPr="0030029F">
        <w:rPr>
          <w:rFonts w:ascii="Arial" w:hAnsi="Arial" w:cs="Arial"/>
          <w:sz w:val="24"/>
          <w:szCs w:val="24"/>
        </w:rPr>
        <w:t xml:space="preserve"> by the second defendant’s Chief: Planner, Urban Policy, Strategy, Facilitation and Implementation Services to certain legal practitioners at the fourth </w:t>
      </w:r>
      <w:r w:rsidR="00F57A3E" w:rsidRPr="0030029F">
        <w:rPr>
          <w:rFonts w:ascii="Arial" w:hAnsi="Arial" w:cs="Arial"/>
          <w:sz w:val="24"/>
          <w:szCs w:val="24"/>
        </w:rPr>
        <w:lastRenderedPageBreak/>
        <w:t>defendant to pass transfer</w:t>
      </w:r>
      <w:r w:rsidR="00A33D7B" w:rsidRPr="0030029F">
        <w:rPr>
          <w:rFonts w:ascii="Arial" w:hAnsi="Arial" w:cs="Arial"/>
          <w:sz w:val="24"/>
          <w:szCs w:val="24"/>
        </w:rPr>
        <w:t>,</w:t>
      </w:r>
      <w:r w:rsidR="006F73E2" w:rsidRPr="0030029F">
        <w:rPr>
          <w:rFonts w:ascii="Arial" w:hAnsi="Arial" w:cs="Arial"/>
          <w:sz w:val="24"/>
          <w:szCs w:val="24"/>
        </w:rPr>
        <w:t xml:space="preserve"> wherein a line was drawn through the word ‘Royal’ in the name of the purchaser with the signatures of the said Chief and his witnesses.</w:t>
      </w:r>
    </w:p>
    <w:p w:rsidR="006F73E2" w:rsidRPr="0030029F" w:rsidRDefault="002E40D3" w:rsidP="00FE1863">
      <w:pPr>
        <w:spacing w:after="0" w:line="360" w:lineRule="auto"/>
        <w:jc w:val="both"/>
        <w:rPr>
          <w:rFonts w:ascii="Arial" w:hAnsi="Arial" w:cs="Arial"/>
          <w:sz w:val="24"/>
          <w:szCs w:val="24"/>
        </w:rPr>
      </w:pPr>
      <w:r w:rsidRPr="0030029F">
        <w:rPr>
          <w:rFonts w:ascii="Arial" w:hAnsi="Arial" w:cs="Arial"/>
          <w:sz w:val="24"/>
          <w:szCs w:val="24"/>
        </w:rPr>
        <w:t xml:space="preserve">(e) </w:t>
      </w:r>
      <w:r w:rsidRPr="0030029F">
        <w:rPr>
          <w:rFonts w:ascii="Arial" w:hAnsi="Arial" w:cs="Arial"/>
          <w:sz w:val="24"/>
          <w:szCs w:val="24"/>
        </w:rPr>
        <w:tab/>
        <w:t>A d</w:t>
      </w:r>
      <w:r w:rsidR="006F73E2" w:rsidRPr="0030029F">
        <w:rPr>
          <w:rFonts w:ascii="Arial" w:hAnsi="Arial" w:cs="Arial"/>
          <w:sz w:val="24"/>
          <w:szCs w:val="24"/>
        </w:rPr>
        <w:t>eed of transfer</w:t>
      </w:r>
      <w:r w:rsidR="000C0FC1" w:rsidRPr="0030029F">
        <w:rPr>
          <w:rFonts w:ascii="Arial" w:hAnsi="Arial" w:cs="Arial"/>
          <w:sz w:val="24"/>
          <w:szCs w:val="24"/>
        </w:rPr>
        <w:t>,</w:t>
      </w:r>
      <w:r w:rsidR="006F73E2" w:rsidRPr="0030029F">
        <w:rPr>
          <w:rStyle w:val="FootnoteReference"/>
          <w:rFonts w:ascii="Arial" w:hAnsi="Arial" w:cs="Arial"/>
          <w:sz w:val="24"/>
          <w:szCs w:val="24"/>
        </w:rPr>
        <w:footnoteReference w:id="12"/>
      </w:r>
      <w:r w:rsidR="006F73E2" w:rsidRPr="0030029F">
        <w:rPr>
          <w:rFonts w:ascii="Arial" w:hAnsi="Arial" w:cs="Arial"/>
          <w:sz w:val="24"/>
          <w:szCs w:val="24"/>
        </w:rPr>
        <w:t xml:space="preserve"> executed on 02 December 2009, wherein the </w:t>
      </w:r>
      <w:r w:rsidR="000C0FC1" w:rsidRPr="0030029F">
        <w:rPr>
          <w:rFonts w:ascii="Arial" w:hAnsi="Arial" w:cs="Arial"/>
          <w:sz w:val="24"/>
          <w:szCs w:val="24"/>
        </w:rPr>
        <w:t xml:space="preserve">said </w:t>
      </w:r>
      <w:r w:rsidR="00272924" w:rsidRPr="0030029F">
        <w:rPr>
          <w:rFonts w:ascii="Arial" w:hAnsi="Arial" w:cs="Arial"/>
          <w:sz w:val="24"/>
          <w:szCs w:val="24"/>
        </w:rPr>
        <w:t>Erf</w:t>
      </w:r>
      <w:r w:rsidR="000C0FC1" w:rsidRPr="0030029F">
        <w:rPr>
          <w:rFonts w:ascii="Arial" w:hAnsi="Arial" w:cs="Arial"/>
          <w:sz w:val="24"/>
          <w:szCs w:val="24"/>
        </w:rPr>
        <w:t xml:space="preserve"> is transferred to the Herero Red Flag Association. </w:t>
      </w:r>
    </w:p>
    <w:p w:rsidR="000C0FC1" w:rsidRPr="0030029F" w:rsidRDefault="000C0FC1" w:rsidP="00FE1863">
      <w:pPr>
        <w:spacing w:after="0" w:line="360" w:lineRule="auto"/>
        <w:jc w:val="both"/>
        <w:rPr>
          <w:rFonts w:ascii="Arial" w:hAnsi="Arial" w:cs="Arial"/>
          <w:sz w:val="24"/>
          <w:szCs w:val="24"/>
        </w:rPr>
      </w:pPr>
    </w:p>
    <w:p w:rsidR="008C2084" w:rsidRPr="0030029F" w:rsidRDefault="0015026D" w:rsidP="00150D0A">
      <w:pPr>
        <w:spacing w:after="0" w:line="360" w:lineRule="auto"/>
        <w:jc w:val="both"/>
        <w:rPr>
          <w:rFonts w:ascii="Arial" w:hAnsi="Arial" w:cs="Arial"/>
          <w:sz w:val="24"/>
          <w:szCs w:val="24"/>
        </w:rPr>
      </w:pPr>
      <w:r w:rsidRPr="0030029F">
        <w:rPr>
          <w:rFonts w:ascii="Arial" w:hAnsi="Arial" w:cs="Arial"/>
          <w:sz w:val="24"/>
          <w:szCs w:val="24"/>
        </w:rPr>
        <w:t>[24]</w:t>
      </w:r>
      <w:r w:rsidRPr="0030029F">
        <w:rPr>
          <w:rFonts w:ascii="Arial" w:hAnsi="Arial" w:cs="Arial"/>
          <w:sz w:val="24"/>
          <w:szCs w:val="24"/>
        </w:rPr>
        <w:tab/>
        <w:t xml:space="preserve">The Registrar of Deeds in its report indicated that there is no objection to the order sought. </w:t>
      </w:r>
      <w:r w:rsidR="00093D2E" w:rsidRPr="0030029F">
        <w:rPr>
          <w:rFonts w:ascii="Arial" w:hAnsi="Arial" w:cs="Arial"/>
          <w:sz w:val="24"/>
          <w:szCs w:val="24"/>
        </w:rPr>
        <w:t xml:space="preserve">That being said, </w:t>
      </w:r>
      <w:r w:rsidRPr="0030029F">
        <w:rPr>
          <w:rFonts w:ascii="Arial" w:hAnsi="Arial" w:cs="Arial"/>
          <w:sz w:val="24"/>
          <w:szCs w:val="24"/>
        </w:rPr>
        <w:t>i</w:t>
      </w:r>
      <w:r w:rsidR="00AE0D74" w:rsidRPr="0030029F">
        <w:rPr>
          <w:rFonts w:ascii="Arial" w:hAnsi="Arial" w:cs="Arial"/>
          <w:sz w:val="24"/>
          <w:szCs w:val="24"/>
        </w:rPr>
        <w:t>t has to be remembered that there was no evidence te</w:t>
      </w:r>
      <w:r w:rsidR="00A33D7B" w:rsidRPr="0030029F">
        <w:rPr>
          <w:rFonts w:ascii="Arial" w:hAnsi="Arial" w:cs="Arial"/>
          <w:sz w:val="24"/>
          <w:szCs w:val="24"/>
        </w:rPr>
        <w:t>ndered by any of the defendants</w:t>
      </w:r>
      <w:r w:rsidR="00AE0D74" w:rsidRPr="0030029F">
        <w:rPr>
          <w:rFonts w:ascii="Arial" w:hAnsi="Arial" w:cs="Arial"/>
          <w:sz w:val="24"/>
          <w:szCs w:val="24"/>
        </w:rPr>
        <w:t xml:space="preserve"> especially the second and fourth defendants to explain the </w:t>
      </w:r>
      <w:r w:rsidR="00082B45" w:rsidRPr="0030029F">
        <w:rPr>
          <w:rFonts w:ascii="Arial" w:hAnsi="Arial" w:cs="Arial"/>
          <w:sz w:val="24"/>
          <w:szCs w:val="24"/>
        </w:rPr>
        <w:t xml:space="preserve">basis for the </w:t>
      </w:r>
      <w:r w:rsidR="00AE0D74" w:rsidRPr="0030029F">
        <w:rPr>
          <w:rFonts w:ascii="Arial" w:hAnsi="Arial" w:cs="Arial"/>
          <w:sz w:val="24"/>
          <w:szCs w:val="24"/>
        </w:rPr>
        <w:t>amendment in the power of attorney</w:t>
      </w:r>
      <w:r w:rsidR="00082B45" w:rsidRPr="0030029F">
        <w:rPr>
          <w:rFonts w:ascii="Arial" w:hAnsi="Arial" w:cs="Arial"/>
          <w:sz w:val="24"/>
          <w:szCs w:val="24"/>
        </w:rPr>
        <w:t>. They did not defend the matter, nor did the first defendant</w:t>
      </w:r>
      <w:r w:rsidR="000A59E3" w:rsidRPr="0030029F">
        <w:rPr>
          <w:rFonts w:ascii="Arial" w:hAnsi="Arial" w:cs="Arial"/>
          <w:sz w:val="24"/>
          <w:szCs w:val="24"/>
        </w:rPr>
        <w:t xml:space="preserve">, during its cross-examination, </w:t>
      </w:r>
      <w:r w:rsidR="00082B45" w:rsidRPr="0030029F">
        <w:rPr>
          <w:rFonts w:ascii="Arial" w:hAnsi="Arial" w:cs="Arial"/>
          <w:sz w:val="24"/>
          <w:szCs w:val="24"/>
        </w:rPr>
        <w:t xml:space="preserve">postulate </w:t>
      </w:r>
      <w:r w:rsidR="00CA1C66" w:rsidRPr="0030029F">
        <w:rPr>
          <w:rFonts w:ascii="Arial" w:hAnsi="Arial" w:cs="Arial"/>
          <w:sz w:val="24"/>
          <w:szCs w:val="24"/>
        </w:rPr>
        <w:t xml:space="preserve">the root cause </w:t>
      </w:r>
      <w:r w:rsidR="00E037A1" w:rsidRPr="0030029F">
        <w:rPr>
          <w:rFonts w:ascii="Arial" w:hAnsi="Arial" w:cs="Arial"/>
          <w:sz w:val="24"/>
          <w:szCs w:val="24"/>
        </w:rPr>
        <w:t>for the peculiar amendment or come up wi</w:t>
      </w:r>
      <w:r w:rsidR="00230962" w:rsidRPr="0030029F">
        <w:rPr>
          <w:rFonts w:ascii="Arial" w:hAnsi="Arial" w:cs="Arial"/>
          <w:sz w:val="24"/>
          <w:szCs w:val="24"/>
        </w:rPr>
        <w:t xml:space="preserve">th a cogent explanation for it. </w:t>
      </w:r>
      <w:r w:rsidR="00A33D7B" w:rsidRPr="0030029F">
        <w:rPr>
          <w:rFonts w:ascii="Arial" w:hAnsi="Arial" w:cs="Arial"/>
          <w:sz w:val="24"/>
          <w:szCs w:val="24"/>
        </w:rPr>
        <w:t>The f</w:t>
      </w:r>
      <w:r w:rsidR="000A59E3" w:rsidRPr="0030029F">
        <w:rPr>
          <w:rFonts w:ascii="Arial" w:hAnsi="Arial" w:cs="Arial"/>
          <w:sz w:val="24"/>
          <w:szCs w:val="24"/>
        </w:rPr>
        <w:t xml:space="preserve">irst defendant’s cross-examination did not manage to </w:t>
      </w:r>
      <w:r w:rsidR="00230962" w:rsidRPr="0030029F">
        <w:rPr>
          <w:rFonts w:ascii="Arial" w:hAnsi="Arial" w:cs="Arial"/>
          <w:sz w:val="24"/>
          <w:szCs w:val="24"/>
        </w:rPr>
        <w:t xml:space="preserve">discredit </w:t>
      </w:r>
      <w:r w:rsidR="00A33D7B" w:rsidRPr="0030029F">
        <w:rPr>
          <w:rFonts w:ascii="Arial" w:hAnsi="Arial" w:cs="Arial"/>
          <w:sz w:val="24"/>
          <w:szCs w:val="24"/>
        </w:rPr>
        <w:t xml:space="preserve">the </w:t>
      </w:r>
      <w:r w:rsidR="00230962" w:rsidRPr="0030029F">
        <w:rPr>
          <w:rFonts w:ascii="Arial" w:hAnsi="Arial" w:cs="Arial"/>
          <w:sz w:val="24"/>
          <w:szCs w:val="24"/>
        </w:rPr>
        <w:t>plaintiff’s evidence or the paper trail that documents the transaction</w:t>
      </w:r>
      <w:r w:rsidR="00150D0A" w:rsidRPr="0030029F">
        <w:rPr>
          <w:rFonts w:ascii="Arial" w:hAnsi="Arial" w:cs="Arial"/>
          <w:sz w:val="24"/>
          <w:szCs w:val="24"/>
        </w:rPr>
        <w:t xml:space="preserve">. </w:t>
      </w:r>
      <w:r w:rsidR="008C2084" w:rsidRPr="0030029F">
        <w:rPr>
          <w:rFonts w:ascii="Arial" w:hAnsi="Arial" w:cs="Arial"/>
          <w:sz w:val="24"/>
          <w:szCs w:val="24"/>
        </w:rPr>
        <w:t xml:space="preserve">If I follow the argument of counsel for the first defendant, there was a clamour that the plaintiff should have given the reason for the mistake, be it fraud or otherwise. </w:t>
      </w:r>
    </w:p>
    <w:p w:rsidR="008C2084" w:rsidRPr="0030029F" w:rsidRDefault="008C2084" w:rsidP="00150D0A">
      <w:pPr>
        <w:spacing w:after="0" w:line="360" w:lineRule="auto"/>
        <w:jc w:val="both"/>
        <w:rPr>
          <w:rFonts w:ascii="Arial" w:hAnsi="Arial" w:cs="Arial"/>
          <w:sz w:val="24"/>
          <w:szCs w:val="24"/>
        </w:rPr>
      </w:pPr>
    </w:p>
    <w:p w:rsidR="00150D0A" w:rsidRPr="0030029F" w:rsidRDefault="008C2084" w:rsidP="00150D0A">
      <w:pPr>
        <w:spacing w:after="0" w:line="360" w:lineRule="auto"/>
        <w:jc w:val="both"/>
        <w:rPr>
          <w:rFonts w:ascii="Arial" w:hAnsi="Arial" w:cs="Arial"/>
          <w:sz w:val="24"/>
          <w:szCs w:val="24"/>
        </w:rPr>
      </w:pPr>
      <w:r w:rsidRPr="0030029F">
        <w:rPr>
          <w:rFonts w:ascii="Arial" w:hAnsi="Arial" w:cs="Arial"/>
          <w:sz w:val="24"/>
          <w:szCs w:val="24"/>
        </w:rPr>
        <w:t>[25]</w:t>
      </w:r>
      <w:r w:rsidRPr="0030029F">
        <w:rPr>
          <w:rFonts w:ascii="Arial" w:hAnsi="Arial" w:cs="Arial"/>
          <w:sz w:val="24"/>
          <w:szCs w:val="24"/>
        </w:rPr>
        <w:tab/>
      </w:r>
      <w:r w:rsidR="00150D0A" w:rsidRPr="0030029F">
        <w:rPr>
          <w:rFonts w:ascii="Arial" w:hAnsi="Arial" w:cs="Arial"/>
          <w:sz w:val="24"/>
          <w:szCs w:val="24"/>
        </w:rPr>
        <w:t>The bottom line of the oral evidence by the plaintiff was that at all material times there was no agreement between the first defendant and the second defendant</w:t>
      </w:r>
      <w:r w:rsidRPr="0030029F">
        <w:rPr>
          <w:rFonts w:ascii="Arial" w:hAnsi="Arial" w:cs="Arial"/>
          <w:sz w:val="24"/>
          <w:szCs w:val="24"/>
        </w:rPr>
        <w:t xml:space="preserve">. That is borne out by the documentary evidence too. </w:t>
      </w:r>
      <w:r w:rsidR="00A33D7B" w:rsidRPr="0030029F">
        <w:rPr>
          <w:rFonts w:ascii="Arial" w:hAnsi="Arial" w:cs="Arial"/>
          <w:sz w:val="24"/>
          <w:szCs w:val="24"/>
        </w:rPr>
        <w:t xml:space="preserve">Thus, there was </w:t>
      </w:r>
      <w:r w:rsidRPr="0030029F">
        <w:rPr>
          <w:rFonts w:ascii="Arial" w:hAnsi="Arial" w:cs="Arial"/>
          <w:sz w:val="24"/>
          <w:szCs w:val="24"/>
        </w:rPr>
        <w:t xml:space="preserve">no agreement, no resolution or any sound basis as to why the </w:t>
      </w:r>
      <w:r w:rsidR="00150D0A" w:rsidRPr="0030029F">
        <w:rPr>
          <w:rFonts w:ascii="Arial" w:hAnsi="Arial" w:cs="Arial"/>
          <w:sz w:val="24"/>
          <w:szCs w:val="24"/>
        </w:rPr>
        <w:t xml:space="preserve">title to </w:t>
      </w:r>
      <w:r w:rsidR="002073F5" w:rsidRPr="0030029F">
        <w:rPr>
          <w:rFonts w:ascii="Arial" w:hAnsi="Arial" w:cs="Arial"/>
          <w:sz w:val="24"/>
          <w:szCs w:val="24"/>
        </w:rPr>
        <w:t xml:space="preserve">the </w:t>
      </w:r>
      <w:r w:rsidR="00150D0A" w:rsidRPr="0030029F">
        <w:rPr>
          <w:rFonts w:ascii="Arial" w:hAnsi="Arial" w:cs="Arial"/>
          <w:sz w:val="24"/>
          <w:szCs w:val="24"/>
        </w:rPr>
        <w:t xml:space="preserve">property </w:t>
      </w:r>
      <w:r w:rsidRPr="0030029F">
        <w:rPr>
          <w:rFonts w:ascii="Arial" w:hAnsi="Arial" w:cs="Arial"/>
          <w:sz w:val="24"/>
          <w:szCs w:val="24"/>
        </w:rPr>
        <w:t xml:space="preserve">was to </w:t>
      </w:r>
      <w:r w:rsidR="00150D0A" w:rsidRPr="0030029F">
        <w:rPr>
          <w:rFonts w:ascii="Arial" w:hAnsi="Arial" w:cs="Arial"/>
          <w:sz w:val="24"/>
          <w:szCs w:val="24"/>
        </w:rPr>
        <w:t>be transferred to anyone</w:t>
      </w:r>
      <w:r w:rsidRPr="0030029F">
        <w:rPr>
          <w:rFonts w:ascii="Arial" w:hAnsi="Arial" w:cs="Arial"/>
          <w:sz w:val="24"/>
          <w:szCs w:val="24"/>
        </w:rPr>
        <w:t>,</w:t>
      </w:r>
      <w:r w:rsidR="0059547F" w:rsidRPr="0030029F">
        <w:rPr>
          <w:rFonts w:ascii="Arial" w:hAnsi="Arial" w:cs="Arial"/>
          <w:sz w:val="24"/>
          <w:szCs w:val="24"/>
        </w:rPr>
        <w:t xml:space="preserve"> other than </w:t>
      </w:r>
      <w:r w:rsidR="00B166C8" w:rsidRPr="0030029F">
        <w:rPr>
          <w:rFonts w:ascii="Arial" w:hAnsi="Arial" w:cs="Arial"/>
          <w:sz w:val="24"/>
          <w:szCs w:val="24"/>
        </w:rPr>
        <w:t xml:space="preserve">the </w:t>
      </w:r>
      <w:r w:rsidR="0059547F" w:rsidRPr="0030029F">
        <w:rPr>
          <w:rFonts w:ascii="Arial" w:hAnsi="Arial" w:cs="Arial"/>
          <w:sz w:val="24"/>
          <w:szCs w:val="24"/>
        </w:rPr>
        <w:t>plaintiff</w:t>
      </w:r>
      <w:r w:rsidRPr="0030029F">
        <w:rPr>
          <w:rFonts w:ascii="Arial" w:hAnsi="Arial" w:cs="Arial"/>
          <w:sz w:val="24"/>
          <w:szCs w:val="24"/>
        </w:rPr>
        <w:t xml:space="preserve">. That is why the expression by the late Mr Kaura that the </w:t>
      </w:r>
      <w:r w:rsidR="0059547F" w:rsidRPr="0030029F">
        <w:rPr>
          <w:rFonts w:ascii="Arial" w:hAnsi="Arial" w:cs="Arial"/>
          <w:sz w:val="24"/>
          <w:szCs w:val="24"/>
        </w:rPr>
        <w:t>first defendant essentially ‘hijacked’</w:t>
      </w:r>
      <w:r w:rsidR="008131CE" w:rsidRPr="0030029F">
        <w:rPr>
          <w:rFonts w:ascii="Arial" w:hAnsi="Arial" w:cs="Arial"/>
          <w:sz w:val="24"/>
          <w:szCs w:val="24"/>
        </w:rPr>
        <w:t xml:space="preserve"> the transfer of the </w:t>
      </w:r>
      <w:r w:rsidR="00272924" w:rsidRPr="0030029F">
        <w:rPr>
          <w:rFonts w:ascii="Arial" w:hAnsi="Arial" w:cs="Arial"/>
          <w:sz w:val="24"/>
          <w:szCs w:val="24"/>
        </w:rPr>
        <w:t>Erf</w:t>
      </w:r>
      <w:r w:rsidR="008131CE" w:rsidRPr="0030029F">
        <w:rPr>
          <w:rFonts w:ascii="Arial" w:hAnsi="Arial" w:cs="Arial"/>
          <w:sz w:val="24"/>
          <w:szCs w:val="24"/>
        </w:rPr>
        <w:t xml:space="preserve"> wa</w:t>
      </w:r>
      <w:r w:rsidRPr="0030029F">
        <w:rPr>
          <w:rFonts w:ascii="Arial" w:hAnsi="Arial" w:cs="Arial"/>
          <w:sz w:val="24"/>
          <w:szCs w:val="24"/>
        </w:rPr>
        <w:t xml:space="preserve">s spot on. </w:t>
      </w:r>
    </w:p>
    <w:p w:rsidR="00150D0A" w:rsidRPr="0030029F" w:rsidRDefault="00150D0A" w:rsidP="00150D0A">
      <w:pPr>
        <w:spacing w:after="0" w:line="360" w:lineRule="auto"/>
        <w:jc w:val="both"/>
        <w:rPr>
          <w:rFonts w:ascii="Arial" w:hAnsi="Arial" w:cs="Arial"/>
          <w:sz w:val="24"/>
          <w:szCs w:val="24"/>
        </w:rPr>
      </w:pPr>
    </w:p>
    <w:p w:rsidR="005D6F48" w:rsidRPr="0030029F" w:rsidRDefault="00150D0A" w:rsidP="00230962">
      <w:pPr>
        <w:spacing w:line="360" w:lineRule="auto"/>
        <w:jc w:val="both"/>
        <w:rPr>
          <w:rFonts w:ascii="Arial" w:hAnsi="Arial" w:cs="Arial"/>
          <w:sz w:val="24"/>
          <w:szCs w:val="24"/>
        </w:rPr>
      </w:pPr>
      <w:r w:rsidRPr="0030029F">
        <w:rPr>
          <w:rFonts w:ascii="Arial" w:hAnsi="Arial" w:cs="Arial"/>
          <w:sz w:val="24"/>
          <w:szCs w:val="24"/>
        </w:rPr>
        <w:t>[</w:t>
      </w:r>
      <w:r w:rsidR="008C2084" w:rsidRPr="0030029F">
        <w:rPr>
          <w:rFonts w:ascii="Arial" w:hAnsi="Arial" w:cs="Arial"/>
          <w:sz w:val="24"/>
          <w:szCs w:val="24"/>
        </w:rPr>
        <w:t>26</w:t>
      </w:r>
      <w:r w:rsidR="00506D6A" w:rsidRPr="0030029F">
        <w:rPr>
          <w:rFonts w:ascii="Arial" w:hAnsi="Arial" w:cs="Arial"/>
          <w:sz w:val="24"/>
          <w:szCs w:val="24"/>
        </w:rPr>
        <w:t>]</w:t>
      </w:r>
      <w:r w:rsidR="00506D6A" w:rsidRPr="0030029F">
        <w:rPr>
          <w:rFonts w:ascii="Arial" w:hAnsi="Arial" w:cs="Arial"/>
          <w:sz w:val="24"/>
          <w:szCs w:val="24"/>
        </w:rPr>
        <w:tab/>
      </w:r>
      <w:r w:rsidR="00230962" w:rsidRPr="0030029F">
        <w:rPr>
          <w:rFonts w:ascii="Arial" w:hAnsi="Arial" w:cs="Arial"/>
          <w:sz w:val="24"/>
          <w:szCs w:val="24"/>
        </w:rPr>
        <w:t>I</w:t>
      </w:r>
      <w:r w:rsidR="00434FA3" w:rsidRPr="0030029F">
        <w:rPr>
          <w:rFonts w:ascii="Arial" w:hAnsi="Arial" w:cs="Arial"/>
          <w:sz w:val="24"/>
          <w:szCs w:val="24"/>
        </w:rPr>
        <w:t>t is evident whi</w:t>
      </w:r>
      <w:r w:rsidR="00A33D7B" w:rsidRPr="0030029F">
        <w:rPr>
          <w:rFonts w:ascii="Arial" w:hAnsi="Arial" w:cs="Arial"/>
          <w:sz w:val="24"/>
          <w:szCs w:val="24"/>
        </w:rPr>
        <w:t>ch of the parties has the answer for the amended pow</w:t>
      </w:r>
      <w:r w:rsidR="00434FA3" w:rsidRPr="0030029F">
        <w:rPr>
          <w:rFonts w:ascii="Arial" w:hAnsi="Arial" w:cs="Arial"/>
          <w:sz w:val="24"/>
          <w:szCs w:val="24"/>
        </w:rPr>
        <w:t>er of attorney</w:t>
      </w:r>
      <w:r w:rsidR="00A33D7B" w:rsidRPr="0030029F">
        <w:rPr>
          <w:rFonts w:ascii="Arial" w:hAnsi="Arial" w:cs="Arial"/>
          <w:sz w:val="24"/>
          <w:szCs w:val="24"/>
        </w:rPr>
        <w:t xml:space="preserve">. Clearly it is </w:t>
      </w:r>
      <w:r w:rsidR="00434FA3" w:rsidRPr="0030029F">
        <w:rPr>
          <w:rFonts w:ascii="Arial" w:hAnsi="Arial" w:cs="Arial"/>
          <w:sz w:val="24"/>
          <w:szCs w:val="24"/>
        </w:rPr>
        <w:t xml:space="preserve">information that the plaintiff will not be privy to. </w:t>
      </w:r>
      <w:r w:rsidR="00412263" w:rsidRPr="0030029F">
        <w:rPr>
          <w:rFonts w:ascii="Arial" w:hAnsi="Arial" w:cs="Arial"/>
          <w:sz w:val="24"/>
          <w:szCs w:val="24"/>
        </w:rPr>
        <w:t>Incidentally,</w:t>
      </w:r>
      <w:r w:rsidR="002D5079" w:rsidRPr="0030029F">
        <w:rPr>
          <w:rFonts w:ascii="Arial" w:hAnsi="Arial" w:cs="Arial"/>
          <w:sz w:val="24"/>
          <w:szCs w:val="24"/>
        </w:rPr>
        <w:t xml:space="preserve"> in answer to the protest that plaintiff should have pleaded the reason for the error, </w:t>
      </w:r>
      <w:r w:rsidR="00412263" w:rsidRPr="0030029F">
        <w:rPr>
          <w:rFonts w:ascii="Arial" w:hAnsi="Arial" w:cs="Arial"/>
          <w:sz w:val="24"/>
          <w:szCs w:val="24"/>
        </w:rPr>
        <w:t xml:space="preserve">counsel for the plaintiff </w:t>
      </w:r>
      <w:r w:rsidR="002D5079" w:rsidRPr="0030029F">
        <w:rPr>
          <w:rFonts w:ascii="Arial" w:hAnsi="Arial" w:cs="Arial"/>
          <w:sz w:val="24"/>
          <w:szCs w:val="24"/>
        </w:rPr>
        <w:t>postulated that</w:t>
      </w:r>
      <w:r w:rsidR="00320E26" w:rsidRPr="0030029F">
        <w:rPr>
          <w:rFonts w:ascii="Arial" w:hAnsi="Arial" w:cs="Arial"/>
          <w:sz w:val="24"/>
          <w:szCs w:val="24"/>
        </w:rPr>
        <w:t xml:space="preserve"> in rectification claims</w:t>
      </w:r>
      <w:r w:rsidR="00A33D7B" w:rsidRPr="0030029F">
        <w:rPr>
          <w:rFonts w:ascii="Arial" w:hAnsi="Arial" w:cs="Arial"/>
          <w:sz w:val="24"/>
          <w:szCs w:val="24"/>
        </w:rPr>
        <w:t>,</w:t>
      </w:r>
      <w:r w:rsidR="00320E26" w:rsidRPr="0030029F">
        <w:rPr>
          <w:rFonts w:ascii="Arial" w:hAnsi="Arial" w:cs="Arial"/>
          <w:sz w:val="24"/>
          <w:szCs w:val="24"/>
        </w:rPr>
        <w:t xml:space="preserve"> it is </w:t>
      </w:r>
      <w:r w:rsidR="002D5079" w:rsidRPr="0030029F">
        <w:rPr>
          <w:rFonts w:ascii="Arial" w:hAnsi="Arial" w:cs="Arial"/>
          <w:sz w:val="24"/>
          <w:szCs w:val="24"/>
        </w:rPr>
        <w:t>not necessary to plead the cause of the mistake.</w:t>
      </w:r>
      <w:r w:rsidR="002D5079" w:rsidRPr="0030029F">
        <w:rPr>
          <w:rStyle w:val="FootnoteReference"/>
          <w:rFonts w:ascii="Arial" w:hAnsi="Arial" w:cs="Arial"/>
          <w:sz w:val="24"/>
          <w:szCs w:val="24"/>
        </w:rPr>
        <w:footnoteReference w:id="13"/>
      </w:r>
      <w:r w:rsidR="002D5079" w:rsidRPr="0030029F">
        <w:rPr>
          <w:rFonts w:ascii="Arial" w:hAnsi="Arial" w:cs="Arial"/>
          <w:sz w:val="24"/>
          <w:szCs w:val="24"/>
        </w:rPr>
        <w:t xml:space="preserve"> </w:t>
      </w:r>
      <w:r w:rsidR="00320E26" w:rsidRPr="0030029F">
        <w:rPr>
          <w:rFonts w:ascii="Arial" w:hAnsi="Arial" w:cs="Arial"/>
          <w:sz w:val="24"/>
          <w:szCs w:val="24"/>
        </w:rPr>
        <w:t xml:space="preserve">That is the position as set out in </w:t>
      </w:r>
      <w:r w:rsidR="005D6F48" w:rsidRPr="0030029F">
        <w:rPr>
          <w:rFonts w:ascii="Arial" w:hAnsi="Arial" w:cs="Arial"/>
          <w:sz w:val="24"/>
          <w:szCs w:val="24"/>
        </w:rPr>
        <w:t>Amlers Precedents of Pleadings</w:t>
      </w:r>
      <w:r w:rsidR="00230962" w:rsidRPr="0030029F">
        <w:rPr>
          <w:rFonts w:ascii="Arial" w:hAnsi="Arial" w:cs="Arial"/>
          <w:sz w:val="24"/>
          <w:szCs w:val="24"/>
        </w:rPr>
        <w:t>.</w:t>
      </w:r>
      <w:r w:rsidR="00230962" w:rsidRPr="0030029F">
        <w:rPr>
          <w:rStyle w:val="FootnoteReference"/>
          <w:rFonts w:ascii="Arial" w:hAnsi="Arial" w:cs="Arial"/>
          <w:sz w:val="24"/>
          <w:szCs w:val="24"/>
        </w:rPr>
        <w:footnoteReference w:id="14"/>
      </w:r>
      <w:r w:rsidR="00230962" w:rsidRPr="0030029F">
        <w:rPr>
          <w:rFonts w:ascii="Arial" w:hAnsi="Arial" w:cs="Arial"/>
          <w:sz w:val="24"/>
          <w:szCs w:val="24"/>
        </w:rPr>
        <w:t xml:space="preserve"> </w:t>
      </w:r>
    </w:p>
    <w:p w:rsidR="008131CE" w:rsidRPr="0030029F" w:rsidRDefault="008131CE" w:rsidP="00FE1863">
      <w:pPr>
        <w:spacing w:after="0" w:line="360" w:lineRule="auto"/>
        <w:jc w:val="both"/>
        <w:rPr>
          <w:rFonts w:ascii="Arial" w:hAnsi="Arial" w:cs="Arial"/>
          <w:sz w:val="24"/>
          <w:szCs w:val="24"/>
        </w:rPr>
      </w:pPr>
    </w:p>
    <w:p w:rsidR="00AE0D74" w:rsidRPr="0030029F" w:rsidRDefault="00AE455C" w:rsidP="00FE1863">
      <w:pPr>
        <w:spacing w:after="0" w:line="360" w:lineRule="auto"/>
        <w:jc w:val="both"/>
        <w:rPr>
          <w:rFonts w:ascii="Arial" w:hAnsi="Arial" w:cs="Arial"/>
          <w:sz w:val="24"/>
          <w:szCs w:val="24"/>
        </w:rPr>
      </w:pPr>
      <w:r w:rsidRPr="0030029F">
        <w:rPr>
          <w:rFonts w:ascii="Arial" w:hAnsi="Arial" w:cs="Arial"/>
          <w:sz w:val="24"/>
          <w:szCs w:val="24"/>
        </w:rPr>
        <w:t>[2</w:t>
      </w:r>
      <w:r w:rsidR="008C2084" w:rsidRPr="0030029F">
        <w:rPr>
          <w:rFonts w:ascii="Arial" w:hAnsi="Arial" w:cs="Arial"/>
          <w:sz w:val="24"/>
          <w:szCs w:val="24"/>
        </w:rPr>
        <w:t>7</w:t>
      </w:r>
      <w:r w:rsidRPr="0030029F">
        <w:rPr>
          <w:rFonts w:ascii="Arial" w:hAnsi="Arial" w:cs="Arial"/>
          <w:sz w:val="24"/>
          <w:szCs w:val="24"/>
        </w:rPr>
        <w:t>]</w:t>
      </w:r>
      <w:r w:rsidR="00320E26" w:rsidRPr="0030029F">
        <w:rPr>
          <w:rFonts w:ascii="Arial" w:hAnsi="Arial" w:cs="Arial"/>
          <w:sz w:val="24"/>
          <w:szCs w:val="24"/>
        </w:rPr>
        <w:tab/>
      </w:r>
      <w:r w:rsidR="00A33D7B" w:rsidRPr="0030029F">
        <w:rPr>
          <w:rFonts w:ascii="Arial" w:hAnsi="Arial" w:cs="Arial"/>
          <w:sz w:val="24"/>
          <w:szCs w:val="24"/>
        </w:rPr>
        <w:t>I</w:t>
      </w:r>
      <w:r w:rsidR="00320E26" w:rsidRPr="0030029F">
        <w:rPr>
          <w:rFonts w:ascii="Arial" w:hAnsi="Arial" w:cs="Arial"/>
          <w:sz w:val="24"/>
          <w:szCs w:val="24"/>
        </w:rPr>
        <w:t>n this situa</w:t>
      </w:r>
      <w:r w:rsidR="00A33D7B" w:rsidRPr="0030029F">
        <w:rPr>
          <w:rFonts w:ascii="Arial" w:hAnsi="Arial" w:cs="Arial"/>
          <w:sz w:val="24"/>
          <w:szCs w:val="24"/>
        </w:rPr>
        <w:t>tion wherein the parties who have the information have</w:t>
      </w:r>
      <w:r w:rsidR="00320E26" w:rsidRPr="0030029F">
        <w:rPr>
          <w:rFonts w:ascii="Arial" w:hAnsi="Arial" w:cs="Arial"/>
          <w:sz w:val="24"/>
          <w:szCs w:val="24"/>
        </w:rPr>
        <w:t xml:space="preserve"> not come forth to put their cards on the table, the court is constrained to </w:t>
      </w:r>
      <w:r w:rsidR="00A33D7B" w:rsidRPr="0030029F">
        <w:rPr>
          <w:rFonts w:ascii="Arial" w:hAnsi="Arial" w:cs="Arial"/>
          <w:sz w:val="24"/>
          <w:szCs w:val="24"/>
        </w:rPr>
        <w:t xml:space="preserve">agree with the plaintiff that </w:t>
      </w:r>
      <w:r w:rsidR="00320E26" w:rsidRPr="0030029F">
        <w:rPr>
          <w:rFonts w:ascii="Arial" w:hAnsi="Arial" w:cs="Arial"/>
          <w:sz w:val="24"/>
          <w:szCs w:val="24"/>
        </w:rPr>
        <w:t>it calls for a negative inf</w:t>
      </w:r>
      <w:r w:rsidR="00230962" w:rsidRPr="0030029F">
        <w:rPr>
          <w:rFonts w:ascii="Arial" w:hAnsi="Arial" w:cs="Arial"/>
          <w:sz w:val="24"/>
          <w:szCs w:val="24"/>
        </w:rPr>
        <w:t>erence against the defendants.</w:t>
      </w:r>
      <w:r w:rsidR="002356CF" w:rsidRPr="0030029F">
        <w:rPr>
          <w:rStyle w:val="FootnoteReference"/>
          <w:rFonts w:ascii="Arial" w:hAnsi="Arial" w:cs="Arial"/>
          <w:sz w:val="24"/>
          <w:szCs w:val="24"/>
        </w:rPr>
        <w:footnoteReference w:id="15"/>
      </w:r>
      <w:r w:rsidR="00230962" w:rsidRPr="0030029F">
        <w:rPr>
          <w:rFonts w:ascii="Arial" w:hAnsi="Arial" w:cs="Arial"/>
          <w:sz w:val="24"/>
          <w:szCs w:val="24"/>
        </w:rPr>
        <w:t xml:space="preserve"> </w:t>
      </w:r>
    </w:p>
    <w:p w:rsidR="0015026D" w:rsidRPr="0030029F" w:rsidRDefault="0015026D" w:rsidP="00FE1863">
      <w:pPr>
        <w:spacing w:after="0" w:line="360" w:lineRule="auto"/>
        <w:jc w:val="both"/>
        <w:rPr>
          <w:rFonts w:ascii="Arial" w:hAnsi="Arial" w:cs="Arial"/>
          <w:sz w:val="24"/>
          <w:szCs w:val="24"/>
        </w:rPr>
      </w:pPr>
    </w:p>
    <w:p w:rsidR="00EF7D98" w:rsidRPr="0030029F" w:rsidRDefault="008C2084" w:rsidP="00EF7D98">
      <w:pPr>
        <w:spacing w:after="0" w:line="360" w:lineRule="auto"/>
        <w:ind w:hanging="90"/>
        <w:jc w:val="both"/>
        <w:rPr>
          <w:rFonts w:ascii="Arial" w:hAnsi="Arial" w:cs="Arial"/>
          <w:sz w:val="24"/>
          <w:szCs w:val="24"/>
        </w:rPr>
      </w:pPr>
      <w:r w:rsidRPr="0030029F">
        <w:rPr>
          <w:rFonts w:ascii="Arial" w:hAnsi="Arial" w:cs="Arial"/>
          <w:sz w:val="24"/>
          <w:szCs w:val="24"/>
        </w:rPr>
        <w:t>[28</w:t>
      </w:r>
      <w:r w:rsidR="00586A78" w:rsidRPr="0030029F">
        <w:rPr>
          <w:rFonts w:ascii="Arial" w:hAnsi="Arial" w:cs="Arial"/>
          <w:sz w:val="24"/>
          <w:szCs w:val="24"/>
        </w:rPr>
        <w:t>]</w:t>
      </w:r>
      <w:r w:rsidR="00586A78" w:rsidRPr="0030029F">
        <w:rPr>
          <w:rFonts w:ascii="Arial" w:hAnsi="Arial" w:cs="Arial"/>
          <w:sz w:val="24"/>
          <w:szCs w:val="24"/>
        </w:rPr>
        <w:tab/>
      </w:r>
      <w:r w:rsidR="00EF7D98" w:rsidRPr="0030029F">
        <w:rPr>
          <w:rFonts w:ascii="Arial" w:hAnsi="Arial" w:cs="Arial"/>
          <w:sz w:val="24"/>
          <w:szCs w:val="24"/>
        </w:rPr>
        <w:t xml:space="preserve">In </w:t>
      </w:r>
      <w:r w:rsidR="00EF7D98" w:rsidRPr="0030029F">
        <w:rPr>
          <w:rFonts w:ascii="Arial" w:hAnsi="Arial" w:cs="Arial"/>
          <w:i/>
          <w:sz w:val="24"/>
          <w:szCs w:val="24"/>
        </w:rPr>
        <w:t>Satar v Clayton</w:t>
      </w:r>
      <w:r w:rsidR="00EF7D98" w:rsidRPr="0030029F">
        <w:rPr>
          <w:rStyle w:val="FootnoteReference"/>
          <w:rFonts w:ascii="Arial" w:hAnsi="Arial" w:cs="Arial"/>
          <w:sz w:val="20"/>
          <w:szCs w:val="20"/>
        </w:rPr>
        <w:footnoteReference w:id="16"/>
      </w:r>
      <w:r w:rsidR="00EF7D98" w:rsidRPr="0030029F">
        <w:rPr>
          <w:rFonts w:ascii="Arial" w:hAnsi="Arial" w:cs="Arial"/>
          <w:i/>
          <w:sz w:val="24"/>
          <w:szCs w:val="24"/>
        </w:rPr>
        <w:t xml:space="preserve"> </w:t>
      </w:r>
      <w:r w:rsidR="00EF7D98" w:rsidRPr="0030029F">
        <w:rPr>
          <w:rFonts w:ascii="Arial" w:hAnsi="Arial" w:cs="Arial"/>
          <w:sz w:val="24"/>
          <w:szCs w:val="24"/>
        </w:rPr>
        <w:t xml:space="preserve">Ueitele J </w:t>
      </w:r>
      <w:r w:rsidR="0050283D" w:rsidRPr="0030029F">
        <w:rPr>
          <w:rFonts w:ascii="Arial" w:hAnsi="Arial" w:cs="Arial"/>
          <w:sz w:val="24"/>
          <w:szCs w:val="24"/>
        </w:rPr>
        <w:t xml:space="preserve">referred to </w:t>
      </w:r>
      <w:r w:rsidR="00EF7D98" w:rsidRPr="0030029F">
        <w:rPr>
          <w:rFonts w:ascii="Arial" w:hAnsi="Arial" w:cs="Arial"/>
          <w:sz w:val="24"/>
          <w:szCs w:val="24"/>
        </w:rPr>
        <w:t>a description by Professor van der Merwe for a real agreement</w:t>
      </w:r>
      <w:r w:rsidR="0050283D" w:rsidRPr="0030029F">
        <w:rPr>
          <w:rFonts w:ascii="Arial" w:hAnsi="Arial" w:cs="Arial"/>
          <w:sz w:val="24"/>
          <w:szCs w:val="24"/>
        </w:rPr>
        <w:t xml:space="preserve"> </w:t>
      </w:r>
      <w:r w:rsidR="00EF7D98" w:rsidRPr="0030029F">
        <w:rPr>
          <w:rFonts w:ascii="Arial" w:hAnsi="Arial" w:cs="Arial"/>
          <w:sz w:val="24"/>
          <w:szCs w:val="24"/>
        </w:rPr>
        <w:t xml:space="preserve">as follows </w:t>
      </w:r>
      <w:r w:rsidR="00EF7D98" w:rsidRPr="0030029F">
        <w:rPr>
          <w:rStyle w:val="FootnoteReference"/>
          <w:rFonts w:ascii="Arial" w:hAnsi="Arial" w:cs="Arial"/>
          <w:sz w:val="24"/>
          <w:szCs w:val="24"/>
        </w:rPr>
        <w:footnoteReference w:id="17"/>
      </w:r>
      <w:r w:rsidR="00EF7D98" w:rsidRPr="0030029F">
        <w:rPr>
          <w:rFonts w:ascii="Arial" w:hAnsi="Arial" w:cs="Arial"/>
          <w:sz w:val="24"/>
          <w:szCs w:val="24"/>
        </w:rPr>
        <w:t xml:space="preserve"> </w:t>
      </w:r>
    </w:p>
    <w:p w:rsidR="00EF7D98" w:rsidRPr="0030029F" w:rsidRDefault="0050283D" w:rsidP="00EF7D98">
      <w:pPr>
        <w:spacing w:after="0" w:line="360" w:lineRule="auto"/>
        <w:jc w:val="both"/>
        <w:rPr>
          <w:rFonts w:ascii="Arial" w:hAnsi="Arial" w:cs="Arial"/>
          <w:sz w:val="24"/>
          <w:szCs w:val="24"/>
        </w:rPr>
      </w:pPr>
      <w:r w:rsidRPr="0030029F">
        <w:rPr>
          <w:rFonts w:ascii="Arial" w:hAnsi="Arial" w:cs="Arial"/>
          <w:sz w:val="24"/>
          <w:szCs w:val="24"/>
        </w:rPr>
        <w:tab/>
      </w:r>
    </w:p>
    <w:p w:rsidR="0050283D" w:rsidRPr="0030029F" w:rsidRDefault="00EF7D98" w:rsidP="0050283D">
      <w:pPr>
        <w:spacing w:after="0" w:line="360" w:lineRule="auto"/>
        <w:ind w:firstLine="567"/>
        <w:jc w:val="both"/>
        <w:rPr>
          <w:rFonts w:ascii="Arial" w:hAnsi="Arial" w:cs="Arial"/>
        </w:rPr>
      </w:pPr>
      <w:r w:rsidRPr="0030029F">
        <w:rPr>
          <w:rFonts w:ascii="Arial" w:hAnsi="Arial" w:cs="Arial"/>
        </w:rPr>
        <w:t xml:space="preserve">'Under the abstract system a real agreement, namely an agreement to transfer and accept ownership, is required for transfer of ownership. </w:t>
      </w:r>
      <w:r w:rsidRPr="0030029F">
        <w:rPr>
          <w:rFonts w:ascii="Arial" w:hAnsi="Arial" w:cs="Arial"/>
          <w:u w:val="single"/>
        </w:rPr>
        <w:t>In every instance it must consequently be determined factually whether a real agreement had indeed been reached.</w:t>
      </w:r>
      <w:r w:rsidRPr="0030029F">
        <w:rPr>
          <w:rFonts w:ascii="Arial" w:hAnsi="Arial" w:cs="Arial"/>
        </w:rPr>
        <w:t xml:space="preserve"> If the real agreement is merely voidable, for example as a result of undue influence, ownership will pass if the agreement had not been vitiated before transfer. If, however, the real agreement is void, having been induced by the fraudulent misrepresentations or by mistake ownership will not pass.' </w:t>
      </w:r>
      <w:r w:rsidR="00B166C8" w:rsidRPr="0030029F">
        <w:rPr>
          <w:rFonts w:ascii="Arial" w:hAnsi="Arial" w:cs="Arial"/>
          <w:sz w:val="24"/>
          <w:szCs w:val="24"/>
        </w:rPr>
        <w:t>My emphasis.</w:t>
      </w:r>
    </w:p>
    <w:p w:rsidR="0050283D" w:rsidRPr="0030029F" w:rsidRDefault="0050283D" w:rsidP="0050283D">
      <w:pPr>
        <w:spacing w:after="0" w:line="360" w:lineRule="auto"/>
        <w:jc w:val="both"/>
        <w:rPr>
          <w:rFonts w:ascii="Arial" w:hAnsi="Arial" w:cs="Arial"/>
        </w:rPr>
      </w:pPr>
    </w:p>
    <w:p w:rsidR="00BB08A0" w:rsidRPr="0030029F" w:rsidRDefault="0050283D" w:rsidP="00BB08A0">
      <w:pPr>
        <w:spacing w:after="0" w:line="360" w:lineRule="auto"/>
        <w:jc w:val="both"/>
        <w:rPr>
          <w:rFonts w:ascii="Arial" w:hAnsi="Arial" w:cs="Arial"/>
          <w:sz w:val="24"/>
          <w:szCs w:val="24"/>
        </w:rPr>
      </w:pPr>
      <w:r w:rsidRPr="0030029F">
        <w:rPr>
          <w:rFonts w:ascii="Arial" w:hAnsi="Arial" w:cs="Arial"/>
          <w:sz w:val="24"/>
          <w:szCs w:val="24"/>
        </w:rPr>
        <w:t xml:space="preserve">[29] </w:t>
      </w:r>
      <w:r w:rsidRPr="0030029F">
        <w:rPr>
          <w:rFonts w:ascii="Arial" w:hAnsi="Arial" w:cs="Arial"/>
          <w:sz w:val="24"/>
          <w:szCs w:val="24"/>
        </w:rPr>
        <w:tab/>
        <w:t xml:space="preserve">I thus return to the facts to assess whether it points to any </w:t>
      </w:r>
      <w:r w:rsidR="00586A78" w:rsidRPr="0030029F">
        <w:rPr>
          <w:rFonts w:ascii="Arial" w:hAnsi="Arial" w:cs="Arial"/>
          <w:sz w:val="24"/>
          <w:szCs w:val="24"/>
        </w:rPr>
        <w:t xml:space="preserve">real agreement and if so, </w:t>
      </w:r>
      <w:r w:rsidR="00A33D7B" w:rsidRPr="0030029F">
        <w:rPr>
          <w:rFonts w:ascii="Arial" w:hAnsi="Arial" w:cs="Arial"/>
          <w:sz w:val="24"/>
          <w:szCs w:val="24"/>
        </w:rPr>
        <w:t xml:space="preserve">who was the </w:t>
      </w:r>
      <w:r w:rsidR="00586A78" w:rsidRPr="0030029F">
        <w:rPr>
          <w:rFonts w:ascii="Arial" w:hAnsi="Arial" w:cs="Arial"/>
          <w:sz w:val="24"/>
          <w:szCs w:val="24"/>
        </w:rPr>
        <w:t>purchaser at the relevant time.</w:t>
      </w:r>
      <w:r w:rsidRPr="0030029F">
        <w:rPr>
          <w:rFonts w:ascii="Arial" w:hAnsi="Arial" w:cs="Arial"/>
          <w:sz w:val="24"/>
          <w:szCs w:val="24"/>
        </w:rPr>
        <w:t xml:space="preserve"> </w:t>
      </w:r>
      <w:r w:rsidR="00230962" w:rsidRPr="0030029F">
        <w:rPr>
          <w:rFonts w:ascii="Arial" w:hAnsi="Arial" w:cs="Arial"/>
          <w:sz w:val="24"/>
          <w:szCs w:val="24"/>
        </w:rPr>
        <w:t xml:space="preserve"> </w:t>
      </w:r>
      <w:r w:rsidR="00BB08A0" w:rsidRPr="0030029F">
        <w:rPr>
          <w:rFonts w:ascii="Arial" w:hAnsi="Arial" w:cs="Arial"/>
          <w:sz w:val="24"/>
          <w:szCs w:val="24"/>
        </w:rPr>
        <w:t xml:space="preserve">There is no doubt as to which entity purchased the said </w:t>
      </w:r>
      <w:r w:rsidR="00272924" w:rsidRPr="0030029F">
        <w:rPr>
          <w:rFonts w:ascii="Arial" w:hAnsi="Arial" w:cs="Arial"/>
          <w:sz w:val="24"/>
          <w:szCs w:val="24"/>
        </w:rPr>
        <w:t>Erf</w:t>
      </w:r>
      <w:r w:rsidR="00BB08A0" w:rsidRPr="0030029F">
        <w:rPr>
          <w:rFonts w:ascii="Arial" w:hAnsi="Arial" w:cs="Arial"/>
          <w:sz w:val="24"/>
          <w:szCs w:val="24"/>
        </w:rPr>
        <w:t>. I disagree that the first defendant was the purchaser. There was no evidence by the first defendant that it existed as a com</w:t>
      </w:r>
      <w:r w:rsidR="0059547F" w:rsidRPr="0030029F">
        <w:rPr>
          <w:rFonts w:ascii="Arial" w:hAnsi="Arial" w:cs="Arial"/>
          <w:sz w:val="24"/>
          <w:szCs w:val="24"/>
        </w:rPr>
        <w:t>mon law association prior to it</w:t>
      </w:r>
      <w:r w:rsidR="00BB08A0" w:rsidRPr="0030029F">
        <w:rPr>
          <w:rFonts w:ascii="Arial" w:hAnsi="Arial" w:cs="Arial"/>
          <w:sz w:val="24"/>
          <w:szCs w:val="24"/>
        </w:rPr>
        <w:t>s incorporation on 29 April 2009. The only common law association in exi</w:t>
      </w:r>
      <w:r w:rsidR="00567D35" w:rsidRPr="0030029F">
        <w:rPr>
          <w:rFonts w:ascii="Arial" w:hAnsi="Arial" w:cs="Arial"/>
          <w:sz w:val="24"/>
          <w:szCs w:val="24"/>
        </w:rPr>
        <w:t>stence at the time, was the one</w:t>
      </w:r>
      <w:r w:rsidR="00BB08A0" w:rsidRPr="0030029F">
        <w:rPr>
          <w:rFonts w:ascii="Arial" w:hAnsi="Arial" w:cs="Arial"/>
          <w:sz w:val="24"/>
          <w:szCs w:val="24"/>
        </w:rPr>
        <w:t xml:space="preserve"> created for the acquisition of the land, who subsequently purchased the </w:t>
      </w:r>
      <w:r w:rsidR="00272924" w:rsidRPr="0030029F">
        <w:rPr>
          <w:rFonts w:ascii="Arial" w:hAnsi="Arial" w:cs="Arial"/>
          <w:sz w:val="24"/>
          <w:szCs w:val="24"/>
        </w:rPr>
        <w:t>Erf</w:t>
      </w:r>
      <w:r w:rsidR="00BB08A0" w:rsidRPr="0030029F">
        <w:rPr>
          <w:rFonts w:ascii="Arial" w:hAnsi="Arial" w:cs="Arial"/>
          <w:sz w:val="24"/>
          <w:szCs w:val="24"/>
        </w:rPr>
        <w:t xml:space="preserve">. </w:t>
      </w:r>
    </w:p>
    <w:p w:rsidR="005F11D4" w:rsidRPr="0030029F" w:rsidRDefault="005F11D4" w:rsidP="00BB08A0">
      <w:pPr>
        <w:spacing w:after="0" w:line="360" w:lineRule="auto"/>
        <w:jc w:val="both"/>
        <w:rPr>
          <w:rFonts w:ascii="Arial" w:hAnsi="Arial" w:cs="Arial"/>
          <w:sz w:val="24"/>
          <w:szCs w:val="24"/>
        </w:rPr>
      </w:pPr>
    </w:p>
    <w:p w:rsidR="00307C98" w:rsidRPr="0030029F" w:rsidRDefault="0050283D" w:rsidP="00307C98">
      <w:pPr>
        <w:spacing w:after="0" w:line="360" w:lineRule="auto"/>
        <w:jc w:val="both"/>
        <w:rPr>
          <w:rFonts w:ascii="Arial" w:hAnsi="Arial" w:cs="Arial"/>
          <w:sz w:val="24"/>
          <w:szCs w:val="24"/>
        </w:rPr>
      </w:pPr>
      <w:r w:rsidRPr="0030029F">
        <w:rPr>
          <w:rFonts w:ascii="Arial" w:hAnsi="Arial" w:cs="Arial"/>
          <w:sz w:val="24"/>
          <w:szCs w:val="24"/>
        </w:rPr>
        <w:t>[30</w:t>
      </w:r>
      <w:r w:rsidR="00BB08A0" w:rsidRPr="0030029F">
        <w:rPr>
          <w:rFonts w:ascii="Arial" w:hAnsi="Arial" w:cs="Arial"/>
          <w:sz w:val="24"/>
          <w:szCs w:val="24"/>
        </w:rPr>
        <w:t>]</w:t>
      </w:r>
      <w:r w:rsidR="00BB08A0" w:rsidRPr="0030029F">
        <w:rPr>
          <w:rFonts w:ascii="Arial" w:hAnsi="Arial" w:cs="Arial"/>
          <w:sz w:val="24"/>
          <w:szCs w:val="24"/>
        </w:rPr>
        <w:tab/>
        <w:t xml:space="preserve"> A sale is defined as contract whereby one party (seller) undertakes to transfer a thing or the possession thereof to the other (the buyer) in return for a price by the latter.</w:t>
      </w:r>
      <w:r w:rsidR="00BB08A0" w:rsidRPr="0030029F">
        <w:rPr>
          <w:rStyle w:val="FootnoteReference"/>
          <w:rFonts w:ascii="Arial" w:hAnsi="Arial" w:cs="Arial"/>
          <w:sz w:val="24"/>
          <w:szCs w:val="24"/>
        </w:rPr>
        <w:footnoteReference w:id="18"/>
      </w:r>
      <w:r w:rsidR="00BB08A0" w:rsidRPr="0030029F">
        <w:rPr>
          <w:rFonts w:ascii="Arial" w:hAnsi="Arial" w:cs="Arial"/>
          <w:sz w:val="24"/>
          <w:szCs w:val="24"/>
        </w:rPr>
        <w:t xml:space="preserve"> Having considered the evidence, there was clearly an intention from the second defe</w:t>
      </w:r>
      <w:r w:rsidR="001F18EB" w:rsidRPr="0030029F">
        <w:rPr>
          <w:rFonts w:ascii="Arial" w:hAnsi="Arial" w:cs="Arial"/>
          <w:sz w:val="24"/>
          <w:szCs w:val="24"/>
        </w:rPr>
        <w:t xml:space="preserve">ndant to sell and transfer the </w:t>
      </w:r>
      <w:r w:rsidR="00BB08A0" w:rsidRPr="0030029F">
        <w:rPr>
          <w:rFonts w:ascii="Arial" w:hAnsi="Arial" w:cs="Arial"/>
          <w:sz w:val="24"/>
          <w:szCs w:val="24"/>
        </w:rPr>
        <w:t>land.  Likewise</w:t>
      </w:r>
      <w:r w:rsidR="00567D35" w:rsidRPr="0030029F">
        <w:rPr>
          <w:rFonts w:ascii="Arial" w:hAnsi="Arial" w:cs="Arial"/>
          <w:sz w:val="24"/>
          <w:szCs w:val="24"/>
        </w:rPr>
        <w:t>,</w:t>
      </w:r>
      <w:r w:rsidR="00BB08A0" w:rsidRPr="0030029F">
        <w:rPr>
          <w:rFonts w:ascii="Arial" w:hAnsi="Arial" w:cs="Arial"/>
          <w:sz w:val="24"/>
          <w:szCs w:val="24"/>
        </w:rPr>
        <w:t xml:space="preserve"> there was an intention from the Herero Royal R</w:t>
      </w:r>
      <w:r w:rsidR="001F18EB" w:rsidRPr="0030029F">
        <w:rPr>
          <w:rFonts w:ascii="Arial" w:hAnsi="Arial" w:cs="Arial"/>
          <w:sz w:val="24"/>
          <w:szCs w:val="24"/>
        </w:rPr>
        <w:t>ed Flag to purchase the</w:t>
      </w:r>
      <w:r w:rsidR="00BB08A0" w:rsidRPr="0030029F">
        <w:rPr>
          <w:rFonts w:ascii="Arial" w:hAnsi="Arial" w:cs="Arial"/>
          <w:sz w:val="24"/>
          <w:szCs w:val="24"/>
        </w:rPr>
        <w:t xml:space="preserve"> </w:t>
      </w:r>
      <w:r w:rsidR="00272924" w:rsidRPr="0030029F">
        <w:rPr>
          <w:rFonts w:ascii="Arial" w:hAnsi="Arial" w:cs="Arial"/>
          <w:sz w:val="24"/>
          <w:szCs w:val="24"/>
        </w:rPr>
        <w:t>Erf</w:t>
      </w:r>
      <w:r w:rsidR="00BB08A0" w:rsidRPr="0030029F">
        <w:rPr>
          <w:rFonts w:ascii="Arial" w:hAnsi="Arial" w:cs="Arial"/>
          <w:sz w:val="24"/>
          <w:szCs w:val="24"/>
        </w:rPr>
        <w:t>. Similarly</w:t>
      </w:r>
      <w:r w:rsidR="00567D35" w:rsidRPr="0030029F">
        <w:rPr>
          <w:rFonts w:ascii="Arial" w:hAnsi="Arial" w:cs="Arial"/>
          <w:sz w:val="24"/>
          <w:szCs w:val="24"/>
        </w:rPr>
        <w:t>,</w:t>
      </w:r>
      <w:r w:rsidR="00BB08A0" w:rsidRPr="0030029F">
        <w:rPr>
          <w:rFonts w:ascii="Arial" w:hAnsi="Arial" w:cs="Arial"/>
          <w:sz w:val="24"/>
          <w:szCs w:val="24"/>
        </w:rPr>
        <w:t xml:space="preserve"> the price was agreed upon. There was consensus between the seller and the purchaser in all respects and a valid and real agreement was </w:t>
      </w:r>
      <w:r w:rsidR="00BB08A0" w:rsidRPr="0030029F">
        <w:rPr>
          <w:rFonts w:ascii="Arial" w:hAnsi="Arial" w:cs="Arial"/>
          <w:sz w:val="24"/>
          <w:szCs w:val="24"/>
        </w:rPr>
        <w:lastRenderedPageBreak/>
        <w:t xml:space="preserve">concluded. </w:t>
      </w:r>
      <w:r w:rsidR="00230962" w:rsidRPr="0030029F">
        <w:rPr>
          <w:rFonts w:ascii="Arial" w:hAnsi="Arial" w:cs="Arial"/>
          <w:sz w:val="24"/>
          <w:szCs w:val="24"/>
        </w:rPr>
        <w:t>Thus</w:t>
      </w:r>
      <w:r w:rsidR="00567D35" w:rsidRPr="0030029F">
        <w:rPr>
          <w:rFonts w:ascii="Arial" w:hAnsi="Arial" w:cs="Arial"/>
          <w:sz w:val="24"/>
          <w:szCs w:val="24"/>
        </w:rPr>
        <w:t>,</w:t>
      </w:r>
      <w:r w:rsidR="00230962" w:rsidRPr="0030029F">
        <w:rPr>
          <w:rFonts w:ascii="Arial" w:hAnsi="Arial" w:cs="Arial"/>
          <w:sz w:val="24"/>
          <w:szCs w:val="24"/>
        </w:rPr>
        <w:t xml:space="preserve"> o</w:t>
      </w:r>
      <w:r w:rsidR="00DE5EA1" w:rsidRPr="0030029F">
        <w:rPr>
          <w:rFonts w:ascii="Arial" w:hAnsi="Arial" w:cs="Arial"/>
          <w:sz w:val="24"/>
          <w:szCs w:val="24"/>
        </w:rPr>
        <w:t xml:space="preserve">wnership never passed to first defendant as there was no real agreement between first defendant and the second defendant. </w:t>
      </w:r>
      <w:r w:rsidR="00307C98" w:rsidRPr="0030029F">
        <w:rPr>
          <w:rFonts w:ascii="Arial" w:hAnsi="Arial" w:cs="Arial"/>
          <w:sz w:val="24"/>
          <w:szCs w:val="24"/>
        </w:rPr>
        <w:t>Absent any real agreement, the first defendant, as a matter of law, never became the owner. That is despite the entry of it being the o</w:t>
      </w:r>
      <w:r w:rsidR="00567D35" w:rsidRPr="0030029F">
        <w:rPr>
          <w:rFonts w:ascii="Arial" w:hAnsi="Arial" w:cs="Arial"/>
          <w:sz w:val="24"/>
          <w:szCs w:val="24"/>
        </w:rPr>
        <w:t>wner in the Deeds R</w:t>
      </w:r>
      <w:r w:rsidR="00307C98" w:rsidRPr="0030029F">
        <w:rPr>
          <w:rFonts w:ascii="Arial" w:hAnsi="Arial" w:cs="Arial"/>
          <w:sz w:val="24"/>
          <w:szCs w:val="24"/>
        </w:rPr>
        <w:t xml:space="preserve">egistry. </w:t>
      </w:r>
    </w:p>
    <w:p w:rsidR="00586A78" w:rsidRPr="0030029F" w:rsidRDefault="00586A78" w:rsidP="00FE1863">
      <w:pPr>
        <w:spacing w:after="0" w:line="360" w:lineRule="auto"/>
        <w:jc w:val="both"/>
        <w:rPr>
          <w:rFonts w:ascii="Arial" w:hAnsi="Arial" w:cs="Arial"/>
          <w:sz w:val="24"/>
          <w:szCs w:val="24"/>
        </w:rPr>
      </w:pPr>
    </w:p>
    <w:p w:rsidR="00152F2C" w:rsidRPr="0030029F" w:rsidRDefault="008C2084" w:rsidP="00751854">
      <w:pPr>
        <w:spacing w:after="0" w:line="360" w:lineRule="auto"/>
        <w:jc w:val="both"/>
        <w:rPr>
          <w:rFonts w:ascii="Arial" w:hAnsi="Arial" w:cs="Arial"/>
          <w:sz w:val="24"/>
          <w:szCs w:val="24"/>
        </w:rPr>
      </w:pPr>
      <w:r w:rsidRPr="0030029F">
        <w:rPr>
          <w:rFonts w:ascii="Arial" w:hAnsi="Arial" w:cs="Arial"/>
          <w:sz w:val="24"/>
          <w:szCs w:val="24"/>
        </w:rPr>
        <w:t>[3</w:t>
      </w:r>
      <w:r w:rsidR="0050283D" w:rsidRPr="0030029F">
        <w:rPr>
          <w:rFonts w:ascii="Arial" w:hAnsi="Arial" w:cs="Arial"/>
          <w:sz w:val="24"/>
          <w:szCs w:val="24"/>
        </w:rPr>
        <w:t>1</w:t>
      </w:r>
      <w:r w:rsidR="0015026D" w:rsidRPr="0030029F">
        <w:rPr>
          <w:rFonts w:ascii="Arial" w:hAnsi="Arial" w:cs="Arial"/>
          <w:sz w:val="24"/>
          <w:szCs w:val="24"/>
        </w:rPr>
        <w:t>]</w:t>
      </w:r>
      <w:r w:rsidR="0015026D" w:rsidRPr="0030029F">
        <w:rPr>
          <w:rFonts w:ascii="Arial" w:hAnsi="Arial" w:cs="Arial"/>
          <w:sz w:val="24"/>
          <w:szCs w:val="24"/>
        </w:rPr>
        <w:tab/>
      </w:r>
      <w:r w:rsidR="001F18EB" w:rsidRPr="0030029F">
        <w:rPr>
          <w:rFonts w:ascii="Arial" w:hAnsi="Arial" w:cs="Arial"/>
          <w:sz w:val="24"/>
          <w:szCs w:val="24"/>
        </w:rPr>
        <w:t>As regards rectification, t</w:t>
      </w:r>
      <w:r w:rsidR="0015026D" w:rsidRPr="0030029F">
        <w:rPr>
          <w:rFonts w:ascii="Arial" w:hAnsi="Arial" w:cs="Arial"/>
          <w:sz w:val="24"/>
          <w:szCs w:val="24"/>
        </w:rPr>
        <w:t xml:space="preserve">he </w:t>
      </w:r>
      <w:r w:rsidRPr="0030029F">
        <w:rPr>
          <w:rFonts w:ascii="Arial" w:hAnsi="Arial" w:cs="Arial"/>
          <w:sz w:val="24"/>
          <w:szCs w:val="24"/>
        </w:rPr>
        <w:t xml:space="preserve">headnote of </w:t>
      </w:r>
      <w:r w:rsidR="00567D35" w:rsidRPr="0030029F">
        <w:rPr>
          <w:rFonts w:ascii="Arial" w:hAnsi="Arial" w:cs="Arial"/>
          <w:sz w:val="24"/>
          <w:szCs w:val="24"/>
        </w:rPr>
        <w:t xml:space="preserve">the </w:t>
      </w:r>
      <w:r w:rsidR="0015026D" w:rsidRPr="0030029F">
        <w:rPr>
          <w:rFonts w:ascii="Arial" w:hAnsi="Arial" w:cs="Arial"/>
          <w:i/>
          <w:sz w:val="24"/>
          <w:szCs w:val="24"/>
        </w:rPr>
        <w:t>Bester</w:t>
      </w:r>
      <w:r w:rsidR="00E748B3" w:rsidRPr="0030029F">
        <w:rPr>
          <w:rFonts w:ascii="Arial" w:hAnsi="Arial" w:cs="Arial"/>
          <w:i/>
          <w:sz w:val="24"/>
          <w:szCs w:val="24"/>
        </w:rPr>
        <w:t xml:space="preserve"> </w:t>
      </w:r>
      <w:r w:rsidR="00E748B3" w:rsidRPr="0030029F">
        <w:rPr>
          <w:rFonts w:ascii="Arial" w:hAnsi="Arial" w:cs="Arial"/>
          <w:sz w:val="24"/>
          <w:szCs w:val="24"/>
        </w:rPr>
        <w:t>case</w:t>
      </w:r>
      <w:r w:rsidR="0015026D" w:rsidRPr="0030029F">
        <w:rPr>
          <w:rStyle w:val="FootnoteReference"/>
          <w:rFonts w:ascii="Arial" w:hAnsi="Arial" w:cs="Arial"/>
          <w:sz w:val="24"/>
          <w:szCs w:val="24"/>
        </w:rPr>
        <w:footnoteReference w:id="19"/>
      </w:r>
      <w:r w:rsidR="00E748B3" w:rsidRPr="0030029F">
        <w:rPr>
          <w:rFonts w:ascii="Arial" w:hAnsi="Arial" w:cs="Arial"/>
          <w:sz w:val="24"/>
          <w:szCs w:val="24"/>
        </w:rPr>
        <w:t xml:space="preserve"> </w:t>
      </w:r>
      <w:r w:rsidR="001F18EB" w:rsidRPr="0030029F">
        <w:rPr>
          <w:rFonts w:ascii="Arial" w:hAnsi="Arial" w:cs="Arial"/>
          <w:sz w:val="24"/>
          <w:szCs w:val="24"/>
        </w:rPr>
        <w:t xml:space="preserve">explained that </w:t>
      </w:r>
      <w:r w:rsidR="00E748B3" w:rsidRPr="0030029F">
        <w:rPr>
          <w:rFonts w:ascii="Arial" w:hAnsi="Arial" w:cs="Arial"/>
          <w:sz w:val="24"/>
          <w:szCs w:val="24"/>
        </w:rPr>
        <w:t>where a deed of transfer of immovable property (regi</w:t>
      </w:r>
      <w:r w:rsidRPr="0030029F">
        <w:rPr>
          <w:rFonts w:ascii="Arial" w:hAnsi="Arial" w:cs="Arial"/>
          <w:sz w:val="24"/>
          <w:szCs w:val="24"/>
        </w:rPr>
        <w:t xml:space="preserve">stered in a deeds registry) </w:t>
      </w:r>
      <w:r w:rsidR="00E748B3" w:rsidRPr="0030029F">
        <w:rPr>
          <w:rFonts w:ascii="Arial" w:hAnsi="Arial" w:cs="Arial"/>
          <w:sz w:val="24"/>
          <w:szCs w:val="24"/>
        </w:rPr>
        <w:t>does not reflect the real agreement between the seller and the purchaser of the property, there is no difference between rectification of a contract, on the one hand, and rectification of the</w:t>
      </w:r>
      <w:r w:rsidR="0030029F">
        <w:rPr>
          <w:rFonts w:ascii="Arial" w:hAnsi="Arial" w:cs="Arial"/>
          <w:sz w:val="24"/>
          <w:szCs w:val="24"/>
        </w:rPr>
        <w:t xml:space="preserve"> deed of transfer. </w:t>
      </w:r>
      <w:r w:rsidR="00E748B3" w:rsidRPr="0030029F">
        <w:rPr>
          <w:rFonts w:ascii="Arial" w:hAnsi="Arial" w:cs="Arial"/>
          <w:sz w:val="24"/>
          <w:szCs w:val="24"/>
        </w:rPr>
        <w:t xml:space="preserve">Rectification of the deed of transfer does not alter the rights and obligations of the parties to the deed of transfer: it merely serves to correct the deed of transfer and is a declaration of what the parties to the deed of transfer to be rectified had agreed to in the real agreement giving rise to the deed of transfer. </w:t>
      </w:r>
    </w:p>
    <w:p w:rsidR="00152F2C" w:rsidRPr="0030029F" w:rsidRDefault="00152F2C" w:rsidP="00751854">
      <w:pPr>
        <w:spacing w:after="0" w:line="360" w:lineRule="auto"/>
        <w:jc w:val="both"/>
        <w:rPr>
          <w:rFonts w:ascii="Arial" w:hAnsi="Arial" w:cs="Arial"/>
          <w:sz w:val="24"/>
          <w:szCs w:val="24"/>
        </w:rPr>
      </w:pPr>
    </w:p>
    <w:p w:rsidR="00386AA5" w:rsidRPr="0030029F" w:rsidRDefault="00152F2C" w:rsidP="00751854">
      <w:pPr>
        <w:spacing w:after="0" w:line="360" w:lineRule="auto"/>
        <w:jc w:val="both"/>
        <w:rPr>
          <w:rFonts w:ascii="Arial" w:hAnsi="Arial" w:cs="Arial"/>
          <w:sz w:val="24"/>
          <w:szCs w:val="24"/>
        </w:rPr>
      </w:pPr>
      <w:r w:rsidRPr="0030029F">
        <w:rPr>
          <w:rFonts w:ascii="Arial" w:hAnsi="Arial" w:cs="Arial"/>
          <w:sz w:val="24"/>
          <w:szCs w:val="24"/>
        </w:rPr>
        <w:t>[3</w:t>
      </w:r>
      <w:r w:rsidR="0050283D" w:rsidRPr="0030029F">
        <w:rPr>
          <w:rFonts w:ascii="Arial" w:hAnsi="Arial" w:cs="Arial"/>
          <w:sz w:val="24"/>
          <w:szCs w:val="24"/>
        </w:rPr>
        <w:t>2</w:t>
      </w:r>
      <w:r w:rsidRPr="0030029F">
        <w:rPr>
          <w:rFonts w:ascii="Arial" w:hAnsi="Arial" w:cs="Arial"/>
          <w:sz w:val="24"/>
          <w:szCs w:val="24"/>
        </w:rPr>
        <w:t>]</w:t>
      </w:r>
      <w:r w:rsidRPr="0030029F">
        <w:rPr>
          <w:rFonts w:ascii="Arial" w:hAnsi="Arial" w:cs="Arial"/>
          <w:sz w:val="24"/>
          <w:szCs w:val="24"/>
        </w:rPr>
        <w:tab/>
        <w:t>In light of that</w:t>
      </w:r>
      <w:r w:rsidR="00CB796C" w:rsidRPr="0030029F">
        <w:rPr>
          <w:rFonts w:ascii="Arial" w:hAnsi="Arial" w:cs="Arial"/>
          <w:sz w:val="24"/>
          <w:szCs w:val="24"/>
        </w:rPr>
        <w:t>,</w:t>
      </w:r>
      <w:r w:rsidRPr="0030029F">
        <w:rPr>
          <w:rFonts w:ascii="Arial" w:hAnsi="Arial" w:cs="Arial"/>
          <w:sz w:val="24"/>
          <w:szCs w:val="24"/>
        </w:rPr>
        <w:t xml:space="preserve"> I</w:t>
      </w:r>
      <w:r w:rsidR="00150D0A" w:rsidRPr="0030029F">
        <w:rPr>
          <w:rFonts w:ascii="Arial" w:hAnsi="Arial" w:cs="Arial"/>
          <w:sz w:val="24"/>
          <w:szCs w:val="24"/>
        </w:rPr>
        <w:t xml:space="preserve"> do not regard this as constituting a transfer of one</w:t>
      </w:r>
      <w:r w:rsidR="00CB796C" w:rsidRPr="0030029F">
        <w:rPr>
          <w:rFonts w:ascii="Arial" w:hAnsi="Arial" w:cs="Arial"/>
          <w:sz w:val="24"/>
          <w:szCs w:val="24"/>
        </w:rPr>
        <w:t xml:space="preserve"> entity to the other, as contend</w:t>
      </w:r>
      <w:r w:rsidR="00150D0A" w:rsidRPr="0030029F">
        <w:rPr>
          <w:rFonts w:ascii="Arial" w:hAnsi="Arial" w:cs="Arial"/>
          <w:sz w:val="24"/>
          <w:szCs w:val="24"/>
        </w:rPr>
        <w:t>ed by counsel for the first defendant</w:t>
      </w:r>
      <w:r w:rsidR="008C2084" w:rsidRPr="0030029F">
        <w:rPr>
          <w:rFonts w:ascii="Arial" w:hAnsi="Arial" w:cs="Arial"/>
          <w:sz w:val="24"/>
          <w:szCs w:val="24"/>
        </w:rPr>
        <w:t>, which would contravene s 4(1)</w:t>
      </w:r>
      <w:r w:rsidR="008C2084" w:rsidRPr="0030029F">
        <w:rPr>
          <w:rFonts w:ascii="Arial" w:hAnsi="Arial" w:cs="Arial"/>
          <w:i/>
          <w:sz w:val="24"/>
          <w:szCs w:val="24"/>
        </w:rPr>
        <w:t xml:space="preserve">(b) </w:t>
      </w:r>
      <w:r w:rsidR="008C2084" w:rsidRPr="0030029F">
        <w:rPr>
          <w:rFonts w:ascii="Arial" w:hAnsi="Arial" w:cs="Arial"/>
          <w:sz w:val="24"/>
          <w:szCs w:val="24"/>
        </w:rPr>
        <w:t>of the Deeds Registries Act</w:t>
      </w:r>
      <w:r w:rsidR="00150D0A" w:rsidRPr="0030029F">
        <w:rPr>
          <w:rFonts w:ascii="Arial" w:hAnsi="Arial" w:cs="Arial"/>
          <w:sz w:val="24"/>
          <w:szCs w:val="24"/>
        </w:rPr>
        <w:t>. In any event</w:t>
      </w:r>
      <w:r w:rsidR="00CB796C" w:rsidRPr="0030029F">
        <w:rPr>
          <w:rFonts w:ascii="Arial" w:hAnsi="Arial" w:cs="Arial"/>
          <w:sz w:val="24"/>
          <w:szCs w:val="24"/>
        </w:rPr>
        <w:t>,</w:t>
      </w:r>
      <w:r w:rsidR="00150D0A" w:rsidRPr="0030029F">
        <w:rPr>
          <w:rFonts w:ascii="Arial" w:hAnsi="Arial" w:cs="Arial"/>
          <w:sz w:val="24"/>
          <w:szCs w:val="24"/>
        </w:rPr>
        <w:t xml:space="preserve"> the High Court</w:t>
      </w:r>
      <w:r w:rsidR="008C2084" w:rsidRPr="0030029F">
        <w:rPr>
          <w:rFonts w:ascii="Arial" w:hAnsi="Arial" w:cs="Arial"/>
          <w:sz w:val="24"/>
          <w:szCs w:val="24"/>
        </w:rPr>
        <w:t xml:space="preserve"> also</w:t>
      </w:r>
      <w:r w:rsidR="00150D0A" w:rsidRPr="0030029F">
        <w:rPr>
          <w:rFonts w:ascii="Arial" w:hAnsi="Arial" w:cs="Arial"/>
          <w:sz w:val="24"/>
          <w:szCs w:val="24"/>
        </w:rPr>
        <w:t xml:space="preserve"> </w:t>
      </w:r>
      <w:r w:rsidR="008C2084" w:rsidRPr="0030029F">
        <w:rPr>
          <w:rFonts w:ascii="Arial" w:hAnsi="Arial" w:cs="Arial"/>
          <w:sz w:val="24"/>
          <w:szCs w:val="24"/>
        </w:rPr>
        <w:t xml:space="preserve">has inherent jurisdiction. </w:t>
      </w:r>
      <w:r w:rsidRPr="0030029F">
        <w:rPr>
          <w:rFonts w:ascii="Arial" w:hAnsi="Arial" w:cs="Arial"/>
          <w:sz w:val="24"/>
          <w:szCs w:val="24"/>
        </w:rPr>
        <w:t xml:space="preserve">In addition </w:t>
      </w:r>
      <w:r w:rsidR="008131CE" w:rsidRPr="0030029F">
        <w:rPr>
          <w:rFonts w:ascii="Arial" w:hAnsi="Arial" w:cs="Arial"/>
          <w:sz w:val="24"/>
          <w:szCs w:val="24"/>
        </w:rPr>
        <w:t xml:space="preserve">I concur that the plaintiff is not a different legal person from the common law association and that the section 21 company has all the rights, obligation, assets and liabilities that the common law association had. Should that not be </w:t>
      </w:r>
      <w:r w:rsidR="00CB796C" w:rsidRPr="0030029F">
        <w:rPr>
          <w:rFonts w:ascii="Arial" w:hAnsi="Arial" w:cs="Arial"/>
          <w:sz w:val="24"/>
          <w:szCs w:val="24"/>
        </w:rPr>
        <w:t xml:space="preserve">the </w:t>
      </w:r>
      <w:r w:rsidR="008131CE" w:rsidRPr="0030029F">
        <w:rPr>
          <w:rFonts w:ascii="Arial" w:hAnsi="Arial" w:cs="Arial"/>
          <w:sz w:val="24"/>
          <w:szCs w:val="24"/>
        </w:rPr>
        <w:t xml:space="preserve">case it would mean that the all the assets and rights that the common law association had would be </w:t>
      </w:r>
      <w:r w:rsidR="008131CE" w:rsidRPr="0030029F">
        <w:rPr>
          <w:rFonts w:ascii="Arial" w:hAnsi="Arial" w:cs="Arial"/>
          <w:i/>
          <w:sz w:val="24"/>
          <w:szCs w:val="24"/>
        </w:rPr>
        <w:t>bona vacantia</w:t>
      </w:r>
      <w:r w:rsidR="008131CE" w:rsidRPr="0030029F">
        <w:rPr>
          <w:rFonts w:ascii="Arial" w:hAnsi="Arial" w:cs="Arial"/>
          <w:sz w:val="24"/>
          <w:szCs w:val="24"/>
        </w:rPr>
        <w:t xml:space="preserve">, which would be a legal absurdity. </w:t>
      </w:r>
    </w:p>
    <w:p w:rsidR="008131CE" w:rsidRPr="0030029F" w:rsidRDefault="008131CE" w:rsidP="00751854">
      <w:pPr>
        <w:spacing w:after="0" w:line="360" w:lineRule="auto"/>
        <w:jc w:val="both"/>
        <w:rPr>
          <w:rFonts w:ascii="Arial" w:hAnsi="Arial" w:cs="Arial"/>
          <w:sz w:val="24"/>
          <w:szCs w:val="24"/>
        </w:rPr>
      </w:pPr>
    </w:p>
    <w:p w:rsidR="00751854" w:rsidRPr="0030029F" w:rsidRDefault="008131CE" w:rsidP="00751854">
      <w:pPr>
        <w:spacing w:after="0" w:line="360" w:lineRule="auto"/>
        <w:jc w:val="both"/>
        <w:rPr>
          <w:rFonts w:ascii="Arial" w:hAnsi="Arial" w:cs="Arial"/>
          <w:sz w:val="24"/>
          <w:szCs w:val="24"/>
        </w:rPr>
      </w:pPr>
      <w:r w:rsidRPr="0030029F">
        <w:rPr>
          <w:rFonts w:ascii="Arial" w:hAnsi="Arial" w:cs="Arial"/>
          <w:sz w:val="24"/>
          <w:szCs w:val="24"/>
        </w:rPr>
        <w:t>[3</w:t>
      </w:r>
      <w:r w:rsidR="0050283D" w:rsidRPr="0030029F">
        <w:rPr>
          <w:rFonts w:ascii="Arial" w:hAnsi="Arial" w:cs="Arial"/>
          <w:sz w:val="24"/>
          <w:szCs w:val="24"/>
        </w:rPr>
        <w:t>3</w:t>
      </w:r>
      <w:r w:rsidR="008C2084" w:rsidRPr="0030029F">
        <w:rPr>
          <w:rFonts w:ascii="Arial" w:hAnsi="Arial" w:cs="Arial"/>
          <w:sz w:val="24"/>
          <w:szCs w:val="24"/>
        </w:rPr>
        <w:t>]</w:t>
      </w:r>
      <w:r w:rsidR="008C2084" w:rsidRPr="0030029F">
        <w:rPr>
          <w:rFonts w:ascii="Arial" w:hAnsi="Arial" w:cs="Arial"/>
          <w:sz w:val="24"/>
          <w:szCs w:val="24"/>
        </w:rPr>
        <w:tab/>
        <w:t xml:space="preserve">Finally, the first </w:t>
      </w:r>
      <w:r w:rsidR="00751854" w:rsidRPr="0030029F">
        <w:rPr>
          <w:rFonts w:ascii="Arial" w:hAnsi="Arial" w:cs="Arial"/>
          <w:sz w:val="24"/>
          <w:szCs w:val="24"/>
        </w:rPr>
        <w:t>defendant also pointed to the failure of the plaintiff to have indicated a pre-incorporation contract in its memorandum on regist</w:t>
      </w:r>
      <w:r w:rsidRPr="0030029F">
        <w:rPr>
          <w:rFonts w:ascii="Arial" w:hAnsi="Arial" w:cs="Arial"/>
          <w:sz w:val="24"/>
          <w:szCs w:val="24"/>
        </w:rPr>
        <w:t>ration.</w:t>
      </w:r>
      <w:r w:rsidR="00751854" w:rsidRPr="0030029F">
        <w:rPr>
          <w:rFonts w:ascii="Arial" w:hAnsi="Arial" w:cs="Arial"/>
          <w:sz w:val="24"/>
          <w:szCs w:val="24"/>
        </w:rPr>
        <w:t xml:space="preserve"> </w:t>
      </w:r>
      <w:r w:rsidR="00307C98" w:rsidRPr="0030029F">
        <w:rPr>
          <w:rFonts w:ascii="Arial" w:hAnsi="Arial" w:cs="Arial"/>
          <w:sz w:val="24"/>
          <w:szCs w:val="24"/>
        </w:rPr>
        <w:t>This was not</w:t>
      </w:r>
      <w:r w:rsidR="002867CC" w:rsidRPr="0030029F">
        <w:rPr>
          <w:rFonts w:ascii="Arial" w:hAnsi="Arial" w:cs="Arial"/>
          <w:sz w:val="24"/>
          <w:szCs w:val="24"/>
        </w:rPr>
        <w:t xml:space="preserve"> </w:t>
      </w:r>
      <w:r w:rsidR="00307C98" w:rsidRPr="0030029F">
        <w:rPr>
          <w:rFonts w:ascii="Arial" w:hAnsi="Arial" w:cs="Arial"/>
          <w:sz w:val="24"/>
          <w:szCs w:val="24"/>
        </w:rPr>
        <w:t>pleaded, nor in pre-trial agreement and thus n</w:t>
      </w:r>
      <w:r w:rsidR="008C2084" w:rsidRPr="0030029F">
        <w:rPr>
          <w:rFonts w:ascii="Arial" w:hAnsi="Arial" w:cs="Arial"/>
          <w:sz w:val="24"/>
          <w:szCs w:val="24"/>
        </w:rPr>
        <w:t xml:space="preserve">ot available to first defendant. </w:t>
      </w:r>
    </w:p>
    <w:p w:rsidR="00172059" w:rsidRPr="0030029F" w:rsidRDefault="00172059" w:rsidP="00751854">
      <w:pPr>
        <w:spacing w:after="0" w:line="360" w:lineRule="auto"/>
        <w:jc w:val="both"/>
        <w:rPr>
          <w:rFonts w:ascii="Arial" w:hAnsi="Arial" w:cs="Arial"/>
          <w:sz w:val="24"/>
          <w:szCs w:val="24"/>
        </w:rPr>
      </w:pPr>
    </w:p>
    <w:p w:rsidR="00172059" w:rsidRPr="0030029F" w:rsidRDefault="00172059" w:rsidP="00751854">
      <w:pPr>
        <w:spacing w:after="0" w:line="360" w:lineRule="auto"/>
        <w:jc w:val="both"/>
        <w:rPr>
          <w:rFonts w:ascii="Arial" w:hAnsi="Arial" w:cs="Arial"/>
          <w:sz w:val="24"/>
          <w:szCs w:val="24"/>
        </w:rPr>
      </w:pPr>
      <w:r w:rsidRPr="0030029F">
        <w:rPr>
          <w:rFonts w:ascii="Arial" w:hAnsi="Arial" w:cs="Arial"/>
          <w:sz w:val="24"/>
          <w:szCs w:val="24"/>
        </w:rPr>
        <w:t>[</w:t>
      </w:r>
      <w:r w:rsidR="0050283D" w:rsidRPr="0030029F">
        <w:rPr>
          <w:rFonts w:ascii="Arial" w:hAnsi="Arial" w:cs="Arial"/>
          <w:sz w:val="24"/>
          <w:szCs w:val="24"/>
        </w:rPr>
        <w:t>34</w:t>
      </w:r>
      <w:r w:rsidRPr="0030029F">
        <w:rPr>
          <w:rFonts w:ascii="Arial" w:hAnsi="Arial" w:cs="Arial"/>
          <w:sz w:val="24"/>
          <w:szCs w:val="24"/>
        </w:rPr>
        <w:t>]</w:t>
      </w:r>
      <w:r w:rsidRPr="0030029F">
        <w:rPr>
          <w:rFonts w:ascii="Arial" w:hAnsi="Arial" w:cs="Arial"/>
          <w:sz w:val="24"/>
          <w:szCs w:val="24"/>
        </w:rPr>
        <w:tab/>
        <w:t>Therefore</w:t>
      </w:r>
      <w:r w:rsidR="00CB796C" w:rsidRPr="0030029F">
        <w:rPr>
          <w:rFonts w:ascii="Arial" w:hAnsi="Arial" w:cs="Arial"/>
          <w:sz w:val="24"/>
          <w:szCs w:val="24"/>
        </w:rPr>
        <w:t>,</w:t>
      </w:r>
      <w:r w:rsidRPr="0030029F">
        <w:rPr>
          <w:rFonts w:ascii="Arial" w:hAnsi="Arial" w:cs="Arial"/>
          <w:sz w:val="24"/>
          <w:szCs w:val="24"/>
        </w:rPr>
        <w:t xml:space="preserve"> </w:t>
      </w:r>
      <w:r w:rsidR="00CB796C" w:rsidRPr="0030029F">
        <w:rPr>
          <w:rFonts w:ascii="Arial" w:hAnsi="Arial" w:cs="Arial"/>
          <w:sz w:val="24"/>
          <w:szCs w:val="24"/>
        </w:rPr>
        <w:t>the plaintiff’s claim succeeds and there is no reason to deviate from the general rule that cost follows the event.</w:t>
      </w:r>
      <w:r w:rsidRPr="0030029F">
        <w:rPr>
          <w:rFonts w:ascii="Arial" w:hAnsi="Arial" w:cs="Arial"/>
          <w:sz w:val="24"/>
          <w:szCs w:val="24"/>
        </w:rPr>
        <w:t xml:space="preserve"> Hence</w:t>
      </w:r>
      <w:r w:rsidR="00CB796C" w:rsidRPr="0030029F">
        <w:rPr>
          <w:rFonts w:ascii="Arial" w:hAnsi="Arial" w:cs="Arial"/>
          <w:sz w:val="24"/>
          <w:szCs w:val="24"/>
        </w:rPr>
        <w:t>,</w:t>
      </w:r>
      <w:r w:rsidRPr="0030029F">
        <w:rPr>
          <w:rFonts w:ascii="Arial" w:hAnsi="Arial" w:cs="Arial"/>
          <w:sz w:val="24"/>
          <w:szCs w:val="24"/>
        </w:rPr>
        <w:t xml:space="preserve"> I grant the relief as </w:t>
      </w:r>
      <w:r w:rsidR="00B23893" w:rsidRPr="0030029F">
        <w:rPr>
          <w:rFonts w:ascii="Arial" w:hAnsi="Arial" w:cs="Arial"/>
          <w:sz w:val="24"/>
          <w:szCs w:val="24"/>
        </w:rPr>
        <w:t xml:space="preserve">prayed for in the </w:t>
      </w:r>
      <w:r w:rsidRPr="0030029F">
        <w:rPr>
          <w:rFonts w:ascii="Arial" w:hAnsi="Arial" w:cs="Arial"/>
          <w:sz w:val="24"/>
          <w:szCs w:val="24"/>
        </w:rPr>
        <w:t>following terms:</w:t>
      </w:r>
    </w:p>
    <w:p w:rsidR="00B23893" w:rsidRPr="0030029F" w:rsidRDefault="00B23893" w:rsidP="00751854">
      <w:pPr>
        <w:spacing w:after="0" w:line="360" w:lineRule="auto"/>
        <w:jc w:val="both"/>
        <w:rPr>
          <w:rFonts w:ascii="Arial" w:hAnsi="Arial" w:cs="Arial"/>
          <w:sz w:val="24"/>
          <w:szCs w:val="24"/>
        </w:rPr>
      </w:pPr>
    </w:p>
    <w:p w:rsidR="00172059" w:rsidRPr="0030029F" w:rsidRDefault="00CB796C" w:rsidP="0030029F">
      <w:pPr>
        <w:pStyle w:val="ListParagraph"/>
        <w:numPr>
          <w:ilvl w:val="0"/>
          <w:numId w:val="17"/>
        </w:numPr>
        <w:spacing w:after="0" w:line="360" w:lineRule="auto"/>
        <w:jc w:val="both"/>
        <w:rPr>
          <w:rFonts w:ascii="Arial" w:hAnsi="Arial" w:cs="Arial"/>
          <w:sz w:val="24"/>
          <w:szCs w:val="24"/>
        </w:rPr>
      </w:pPr>
      <w:r w:rsidRPr="0030029F">
        <w:rPr>
          <w:rFonts w:ascii="Arial" w:hAnsi="Arial" w:cs="Arial"/>
          <w:sz w:val="24"/>
          <w:szCs w:val="24"/>
        </w:rPr>
        <w:t>T</w:t>
      </w:r>
      <w:r w:rsidR="00172059" w:rsidRPr="0030029F">
        <w:rPr>
          <w:rFonts w:ascii="Arial" w:hAnsi="Arial" w:cs="Arial"/>
          <w:sz w:val="24"/>
          <w:szCs w:val="24"/>
        </w:rPr>
        <w:t xml:space="preserve">he title deed T6147/2009 for </w:t>
      </w:r>
      <w:r w:rsidR="00272924" w:rsidRPr="0030029F">
        <w:rPr>
          <w:rFonts w:ascii="Arial" w:hAnsi="Arial" w:cs="Arial"/>
          <w:sz w:val="24"/>
          <w:szCs w:val="24"/>
        </w:rPr>
        <w:t>Erf</w:t>
      </w:r>
      <w:r w:rsidR="00172059" w:rsidRPr="0030029F">
        <w:rPr>
          <w:rFonts w:ascii="Arial" w:hAnsi="Arial" w:cs="Arial"/>
          <w:sz w:val="24"/>
          <w:szCs w:val="24"/>
        </w:rPr>
        <w:t xml:space="preserve"> no 6297 (a portion of </w:t>
      </w:r>
      <w:r w:rsidR="00272924" w:rsidRPr="0030029F">
        <w:rPr>
          <w:rFonts w:ascii="Arial" w:hAnsi="Arial" w:cs="Arial"/>
          <w:sz w:val="24"/>
          <w:szCs w:val="24"/>
        </w:rPr>
        <w:t>Erf</w:t>
      </w:r>
      <w:r w:rsidR="00172059" w:rsidRPr="0030029F">
        <w:rPr>
          <w:rFonts w:ascii="Arial" w:hAnsi="Arial" w:cs="Arial"/>
          <w:sz w:val="24"/>
          <w:szCs w:val="24"/>
        </w:rPr>
        <w:t xml:space="preserve"> 6296, Katutura extension no 11 be </w:t>
      </w:r>
      <w:r w:rsidRPr="0030029F">
        <w:rPr>
          <w:rFonts w:ascii="Arial" w:hAnsi="Arial" w:cs="Arial"/>
          <w:sz w:val="24"/>
          <w:szCs w:val="24"/>
        </w:rPr>
        <w:t xml:space="preserve">must </w:t>
      </w:r>
      <w:r w:rsidR="00172059" w:rsidRPr="0030029F">
        <w:rPr>
          <w:rFonts w:ascii="Arial" w:hAnsi="Arial" w:cs="Arial"/>
          <w:sz w:val="24"/>
          <w:szCs w:val="24"/>
        </w:rPr>
        <w:t>rectified to reflect the name of the owner as ‘Herero Royal Red Flag Association (non-profit association incorporated under section 21) registration no 21/2016/0780.</w:t>
      </w:r>
    </w:p>
    <w:p w:rsidR="00B23893" w:rsidRPr="0030029F" w:rsidRDefault="00B23893" w:rsidP="00172059">
      <w:pPr>
        <w:spacing w:after="0" w:line="360" w:lineRule="auto"/>
        <w:jc w:val="both"/>
        <w:rPr>
          <w:rFonts w:ascii="Arial" w:hAnsi="Arial" w:cs="Arial"/>
          <w:sz w:val="24"/>
          <w:szCs w:val="24"/>
        </w:rPr>
      </w:pPr>
    </w:p>
    <w:p w:rsidR="0030029F" w:rsidRDefault="00CB796C" w:rsidP="00FF69BF">
      <w:pPr>
        <w:pStyle w:val="ListParagraph"/>
        <w:numPr>
          <w:ilvl w:val="0"/>
          <w:numId w:val="17"/>
        </w:numPr>
        <w:spacing w:after="0" w:line="360" w:lineRule="auto"/>
        <w:jc w:val="both"/>
        <w:rPr>
          <w:rFonts w:ascii="Arial" w:hAnsi="Arial" w:cs="Arial"/>
          <w:sz w:val="24"/>
          <w:szCs w:val="24"/>
        </w:rPr>
      </w:pPr>
      <w:r w:rsidRPr="0030029F">
        <w:rPr>
          <w:rFonts w:ascii="Arial" w:hAnsi="Arial" w:cs="Arial"/>
          <w:sz w:val="24"/>
          <w:szCs w:val="24"/>
        </w:rPr>
        <w:t>T</w:t>
      </w:r>
      <w:r w:rsidR="00172059" w:rsidRPr="0030029F">
        <w:rPr>
          <w:rFonts w:ascii="Arial" w:hAnsi="Arial" w:cs="Arial"/>
          <w:sz w:val="24"/>
          <w:szCs w:val="24"/>
        </w:rPr>
        <w:t xml:space="preserve">he first defendant </w:t>
      </w:r>
      <w:r w:rsidRPr="0030029F">
        <w:rPr>
          <w:rFonts w:ascii="Arial" w:hAnsi="Arial" w:cs="Arial"/>
          <w:sz w:val="24"/>
          <w:szCs w:val="24"/>
        </w:rPr>
        <w:t xml:space="preserve">must </w:t>
      </w:r>
      <w:r w:rsidR="00172059" w:rsidRPr="0030029F">
        <w:rPr>
          <w:rFonts w:ascii="Arial" w:hAnsi="Arial" w:cs="Arial"/>
          <w:sz w:val="24"/>
          <w:szCs w:val="24"/>
        </w:rPr>
        <w:t xml:space="preserve">vacate the </w:t>
      </w:r>
      <w:r w:rsidR="00272924" w:rsidRPr="0030029F">
        <w:rPr>
          <w:rFonts w:ascii="Arial" w:hAnsi="Arial" w:cs="Arial"/>
          <w:sz w:val="24"/>
          <w:szCs w:val="24"/>
        </w:rPr>
        <w:t>Erf</w:t>
      </w:r>
      <w:r w:rsidR="00172059" w:rsidRPr="0030029F">
        <w:rPr>
          <w:rFonts w:ascii="Arial" w:hAnsi="Arial" w:cs="Arial"/>
          <w:sz w:val="24"/>
          <w:szCs w:val="24"/>
        </w:rPr>
        <w:t xml:space="preserve"> forthwith.</w:t>
      </w:r>
      <w:r w:rsidR="0030029F" w:rsidRPr="0030029F">
        <w:rPr>
          <w:rFonts w:ascii="Arial" w:hAnsi="Arial" w:cs="Arial"/>
          <w:sz w:val="24"/>
          <w:szCs w:val="24"/>
        </w:rPr>
        <w:t xml:space="preserve"> </w:t>
      </w:r>
    </w:p>
    <w:p w:rsidR="0030029F" w:rsidRDefault="0030029F" w:rsidP="0030029F">
      <w:pPr>
        <w:pStyle w:val="ListParagraph"/>
        <w:spacing w:after="0" w:line="360" w:lineRule="auto"/>
        <w:jc w:val="both"/>
        <w:rPr>
          <w:rFonts w:ascii="Arial" w:hAnsi="Arial" w:cs="Arial"/>
          <w:sz w:val="24"/>
          <w:szCs w:val="24"/>
        </w:rPr>
      </w:pPr>
    </w:p>
    <w:p w:rsidR="00172059" w:rsidRPr="0030029F" w:rsidRDefault="00CB796C" w:rsidP="00FF69BF">
      <w:pPr>
        <w:pStyle w:val="ListParagraph"/>
        <w:numPr>
          <w:ilvl w:val="0"/>
          <w:numId w:val="17"/>
        </w:numPr>
        <w:spacing w:after="0" w:line="360" w:lineRule="auto"/>
        <w:jc w:val="both"/>
        <w:rPr>
          <w:rFonts w:ascii="Arial" w:hAnsi="Arial" w:cs="Arial"/>
          <w:sz w:val="24"/>
          <w:szCs w:val="24"/>
        </w:rPr>
      </w:pPr>
      <w:r w:rsidRPr="0030029F">
        <w:rPr>
          <w:rFonts w:ascii="Arial" w:hAnsi="Arial" w:cs="Arial"/>
          <w:sz w:val="24"/>
          <w:szCs w:val="24"/>
        </w:rPr>
        <w:t>T</w:t>
      </w:r>
      <w:r w:rsidR="00172059" w:rsidRPr="0030029F">
        <w:rPr>
          <w:rFonts w:ascii="Arial" w:hAnsi="Arial" w:cs="Arial"/>
          <w:sz w:val="24"/>
          <w:szCs w:val="24"/>
        </w:rPr>
        <w:t>he first defendant</w:t>
      </w:r>
      <w:r w:rsidRPr="0030029F">
        <w:rPr>
          <w:rFonts w:ascii="Arial" w:hAnsi="Arial" w:cs="Arial"/>
          <w:sz w:val="24"/>
          <w:szCs w:val="24"/>
        </w:rPr>
        <w:t xml:space="preserve"> must pay the plaintiff’s cost, which includes one instructing and one instructed counsel.</w:t>
      </w:r>
    </w:p>
    <w:p w:rsidR="004D660B" w:rsidRPr="0030029F" w:rsidRDefault="004D660B" w:rsidP="004D660B">
      <w:pPr>
        <w:pStyle w:val="ListParagraph"/>
        <w:rPr>
          <w:rFonts w:ascii="Arial" w:hAnsi="Arial" w:cs="Arial"/>
          <w:sz w:val="24"/>
          <w:szCs w:val="24"/>
        </w:rPr>
      </w:pPr>
    </w:p>
    <w:p w:rsidR="004D660B" w:rsidRDefault="004D660B" w:rsidP="004D660B">
      <w:pPr>
        <w:pStyle w:val="ListParagraph"/>
        <w:numPr>
          <w:ilvl w:val="0"/>
          <w:numId w:val="17"/>
        </w:numPr>
        <w:spacing w:line="360" w:lineRule="auto"/>
        <w:jc w:val="both"/>
        <w:rPr>
          <w:rFonts w:ascii="Arial" w:hAnsi="Arial" w:cs="Arial"/>
          <w:sz w:val="24"/>
          <w:szCs w:val="24"/>
        </w:rPr>
      </w:pPr>
      <w:r w:rsidRPr="0030029F">
        <w:rPr>
          <w:rFonts w:ascii="Arial" w:hAnsi="Arial" w:cs="Arial"/>
          <w:sz w:val="24"/>
          <w:szCs w:val="24"/>
        </w:rPr>
        <w:t>The first defendant’s counterclaim is dismissed with costs limited to the taking of instructions and drawing up of pleadings.</w:t>
      </w:r>
    </w:p>
    <w:p w:rsidR="006764FC" w:rsidRPr="006764FC" w:rsidRDefault="006764FC" w:rsidP="006764FC">
      <w:pPr>
        <w:pStyle w:val="ListParagraph"/>
        <w:rPr>
          <w:rFonts w:ascii="Arial" w:hAnsi="Arial" w:cs="Arial"/>
          <w:sz w:val="24"/>
          <w:szCs w:val="24"/>
        </w:rPr>
      </w:pPr>
    </w:p>
    <w:p w:rsidR="006764FC" w:rsidRPr="006764FC" w:rsidRDefault="006764FC" w:rsidP="006764FC">
      <w:pPr>
        <w:pStyle w:val="ListParagraph"/>
        <w:numPr>
          <w:ilvl w:val="0"/>
          <w:numId w:val="17"/>
        </w:numPr>
        <w:rPr>
          <w:rFonts w:ascii="Arial" w:hAnsi="Arial" w:cs="Arial"/>
          <w:sz w:val="24"/>
          <w:szCs w:val="24"/>
        </w:rPr>
      </w:pPr>
      <w:r w:rsidRPr="006764FC">
        <w:rPr>
          <w:rFonts w:ascii="Arial" w:hAnsi="Arial" w:cs="Arial"/>
          <w:sz w:val="24"/>
          <w:szCs w:val="24"/>
        </w:rPr>
        <w:t>The matter is regarded as finalised and is removed from the roll.</w:t>
      </w:r>
    </w:p>
    <w:p w:rsidR="004D660B" w:rsidRPr="0030029F" w:rsidRDefault="004D660B" w:rsidP="004D660B">
      <w:pPr>
        <w:pStyle w:val="ListParagraph"/>
        <w:spacing w:after="0" w:line="360" w:lineRule="auto"/>
        <w:jc w:val="both"/>
        <w:rPr>
          <w:rFonts w:ascii="Arial" w:hAnsi="Arial" w:cs="Arial"/>
          <w:sz w:val="24"/>
          <w:szCs w:val="24"/>
        </w:rPr>
      </w:pPr>
    </w:p>
    <w:p w:rsidR="00172059" w:rsidRPr="0030029F" w:rsidRDefault="00172059" w:rsidP="00751854">
      <w:pPr>
        <w:spacing w:after="0" w:line="360" w:lineRule="auto"/>
        <w:jc w:val="both"/>
        <w:rPr>
          <w:rFonts w:ascii="Arial" w:hAnsi="Arial" w:cs="Arial"/>
          <w:sz w:val="24"/>
          <w:szCs w:val="24"/>
        </w:rPr>
      </w:pPr>
    </w:p>
    <w:p w:rsidR="00D6173F" w:rsidRPr="0030029F" w:rsidRDefault="00D6173F" w:rsidP="00D6173F">
      <w:pPr>
        <w:spacing w:after="0" w:line="360" w:lineRule="auto"/>
        <w:jc w:val="right"/>
        <w:rPr>
          <w:rFonts w:ascii="Arial" w:hAnsi="Arial" w:cs="Arial"/>
          <w:sz w:val="24"/>
          <w:szCs w:val="24"/>
        </w:rPr>
      </w:pPr>
      <w:r w:rsidRPr="0030029F">
        <w:rPr>
          <w:rFonts w:ascii="Arial" w:hAnsi="Arial" w:cs="Arial"/>
          <w:sz w:val="24"/>
          <w:szCs w:val="24"/>
        </w:rPr>
        <w:t>__________________</w:t>
      </w:r>
    </w:p>
    <w:p w:rsidR="00D6173F" w:rsidRPr="0030029F" w:rsidRDefault="001864C6" w:rsidP="00D6173F">
      <w:pPr>
        <w:spacing w:after="0" w:line="360" w:lineRule="auto"/>
        <w:jc w:val="right"/>
        <w:rPr>
          <w:rFonts w:ascii="Arial" w:hAnsi="Arial" w:cs="Arial"/>
          <w:sz w:val="24"/>
          <w:szCs w:val="24"/>
        </w:rPr>
      </w:pPr>
      <w:r w:rsidRPr="0030029F">
        <w:rPr>
          <w:rFonts w:ascii="Arial" w:hAnsi="Arial" w:cs="Arial"/>
          <w:sz w:val="24"/>
          <w:szCs w:val="24"/>
        </w:rPr>
        <w:t xml:space="preserve">C </w:t>
      </w:r>
      <w:r w:rsidR="00D6173F" w:rsidRPr="0030029F">
        <w:rPr>
          <w:rFonts w:ascii="Arial" w:hAnsi="Arial" w:cs="Arial"/>
          <w:sz w:val="24"/>
          <w:szCs w:val="24"/>
        </w:rPr>
        <w:t>Claasen</w:t>
      </w:r>
    </w:p>
    <w:p w:rsidR="00D6173F" w:rsidRPr="0030029F" w:rsidRDefault="00D6173F" w:rsidP="00D6173F">
      <w:pPr>
        <w:spacing w:after="0" w:line="360" w:lineRule="auto"/>
        <w:jc w:val="right"/>
        <w:rPr>
          <w:rFonts w:ascii="Arial" w:hAnsi="Arial" w:cs="Arial"/>
          <w:sz w:val="24"/>
          <w:szCs w:val="24"/>
        </w:rPr>
      </w:pPr>
      <w:r w:rsidRPr="0030029F">
        <w:rPr>
          <w:rFonts w:ascii="Arial" w:hAnsi="Arial" w:cs="Arial"/>
          <w:sz w:val="24"/>
          <w:szCs w:val="24"/>
        </w:rPr>
        <w:t xml:space="preserve">Judge </w:t>
      </w:r>
    </w:p>
    <w:p w:rsidR="0058515C" w:rsidRPr="0030029F" w:rsidRDefault="0035642A" w:rsidP="00AA22F5">
      <w:pPr>
        <w:tabs>
          <w:tab w:val="left" w:pos="1905"/>
        </w:tabs>
        <w:spacing w:after="0" w:line="360" w:lineRule="auto"/>
        <w:jc w:val="both"/>
        <w:rPr>
          <w:rFonts w:ascii="Arial" w:hAnsi="Arial" w:cs="Arial"/>
          <w:sz w:val="24"/>
          <w:szCs w:val="24"/>
        </w:rPr>
      </w:pPr>
      <w:r w:rsidRPr="0030029F">
        <w:rPr>
          <w:rFonts w:ascii="Arial" w:hAnsi="Arial" w:cs="Arial"/>
          <w:sz w:val="24"/>
          <w:szCs w:val="24"/>
        </w:rPr>
        <w:tab/>
      </w:r>
    </w:p>
    <w:p w:rsidR="00B166C8" w:rsidRPr="0030029F" w:rsidRDefault="00B166C8" w:rsidP="009811F1">
      <w:pPr>
        <w:spacing w:after="0" w:line="360" w:lineRule="auto"/>
        <w:jc w:val="both"/>
        <w:rPr>
          <w:rFonts w:ascii="Arial" w:hAnsi="Arial" w:cs="Arial"/>
          <w:sz w:val="24"/>
          <w:szCs w:val="24"/>
        </w:rPr>
      </w:pPr>
    </w:p>
    <w:p w:rsidR="00B166C8" w:rsidRPr="0030029F" w:rsidRDefault="00B166C8" w:rsidP="009811F1">
      <w:pPr>
        <w:spacing w:after="0" w:line="360" w:lineRule="auto"/>
        <w:jc w:val="both"/>
        <w:rPr>
          <w:rFonts w:ascii="Arial" w:hAnsi="Arial" w:cs="Arial"/>
          <w:sz w:val="24"/>
          <w:szCs w:val="24"/>
        </w:rPr>
      </w:pPr>
    </w:p>
    <w:p w:rsidR="00B166C8" w:rsidRPr="0030029F" w:rsidRDefault="00B166C8" w:rsidP="009811F1">
      <w:pPr>
        <w:spacing w:after="0" w:line="360" w:lineRule="auto"/>
        <w:jc w:val="both"/>
        <w:rPr>
          <w:rFonts w:ascii="Arial" w:hAnsi="Arial" w:cs="Arial"/>
          <w:sz w:val="24"/>
          <w:szCs w:val="24"/>
        </w:rPr>
      </w:pPr>
    </w:p>
    <w:p w:rsidR="00B166C8" w:rsidRPr="0030029F" w:rsidRDefault="00B166C8" w:rsidP="009811F1">
      <w:pPr>
        <w:spacing w:after="0" w:line="360" w:lineRule="auto"/>
        <w:jc w:val="both"/>
        <w:rPr>
          <w:rFonts w:ascii="Arial" w:hAnsi="Arial" w:cs="Arial"/>
          <w:sz w:val="24"/>
          <w:szCs w:val="24"/>
        </w:rPr>
      </w:pPr>
    </w:p>
    <w:p w:rsidR="00B166C8" w:rsidRPr="0030029F" w:rsidRDefault="00B166C8" w:rsidP="009811F1">
      <w:pPr>
        <w:spacing w:after="0" w:line="360" w:lineRule="auto"/>
        <w:jc w:val="both"/>
        <w:rPr>
          <w:rFonts w:ascii="Arial" w:hAnsi="Arial" w:cs="Arial"/>
          <w:sz w:val="24"/>
          <w:szCs w:val="24"/>
        </w:rPr>
      </w:pPr>
    </w:p>
    <w:p w:rsidR="00B166C8" w:rsidRPr="0030029F" w:rsidRDefault="00B166C8" w:rsidP="009811F1">
      <w:pPr>
        <w:spacing w:after="0" w:line="360" w:lineRule="auto"/>
        <w:jc w:val="both"/>
        <w:rPr>
          <w:rFonts w:ascii="Arial" w:hAnsi="Arial" w:cs="Arial"/>
          <w:sz w:val="24"/>
          <w:szCs w:val="24"/>
        </w:rPr>
      </w:pPr>
    </w:p>
    <w:p w:rsidR="00B166C8" w:rsidRPr="0030029F" w:rsidRDefault="00B166C8" w:rsidP="009811F1">
      <w:pPr>
        <w:spacing w:after="0" w:line="360" w:lineRule="auto"/>
        <w:jc w:val="both"/>
        <w:rPr>
          <w:rFonts w:ascii="Arial" w:hAnsi="Arial" w:cs="Arial"/>
          <w:sz w:val="24"/>
          <w:szCs w:val="24"/>
        </w:rPr>
      </w:pPr>
    </w:p>
    <w:p w:rsidR="00B166C8" w:rsidRPr="0030029F" w:rsidRDefault="00B166C8" w:rsidP="009811F1">
      <w:pPr>
        <w:spacing w:after="0" w:line="360" w:lineRule="auto"/>
        <w:jc w:val="both"/>
        <w:rPr>
          <w:rFonts w:ascii="Arial" w:hAnsi="Arial" w:cs="Arial"/>
          <w:sz w:val="24"/>
          <w:szCs w:val="24"/>
        </w:rPr>
      </w:pPr>
    </w:p>
    <w:p w:rsidR="00B166C8" w:rsidRPr="0030029F" w:rsidRDefault="00B166C8" w:rsidP="009811F1">
      <w:pPr>
        <w:spacing w:after="0" w:line="360" w:lineRule="auto"/>
        <w:jc w:val="both"/>
        <w:rPr>
          <w:rFonts w:ascii="Arial" w:hAnsi="Arial" w:cs="Arial"/>
          <w:sz w:val="24"/>
          <w:szCs w:val="24"/>
        </w:rPr>
      </w:pPr>
    </w:p>
    <w:p w:rsidR="002F170E" w:rsidRPr="0030029F" w:rsidRDefault="002F170E" w:rsidP="009811F1">
      <w:pPr>
        <w:spacing w:after="0" w:line="360" w:lineRule="auto"/>
        <w:jc w:val="both"/>
        <w:rPr>
          <w:rFonts w:ascii="Arial" w:hAnsi="Arial" w:cs="Arial"/>
          <w:sz w:val="24"/>
          <w:szCs w:val="24"/>
        </w:rPr>
      </w:pPr>
    </w:p>
    <w:p w:rsidR="00B166C8" w:rsidRPr="0030029F" w:rsidRDefault="00B166C8" w:rsidP="009811F1">
      <w:pPr>
        <w:spacing w:after="0" w:line="360" w:lineRule="auto"/>
        <w:jc w:val="both"/>
        <w:rPr>
          <w:rFonts w:ascii="Arial" w:hAnsi="Arial" w:cs="Arial"/>
          <w:sz w:val="24"/>
          <w:szCs w:val="24"/>
        </w:rPr>
      </w:pPr>
    </w:p>
    <w:p w:rsidR="009811F1" w:rsidRPr="0030029F" w:rsidRDefault="00D17422" w:rsidP="009811F1">
      <w:pPr>
        <w:spacing w:after="0" w:line="360" w:lineRule="auto"/>
        <w:jc w:val="both"/>
        <w:rPr>
          <w:rFonts w:ascii="Arial" w:hAnsi="Arial" w:cs="Arial"/>
          <w:sz w:val="24"/>
          <w:szCs w:val="24"/>
        </w:rPr>
      </w:pPr>
      <w:r w:rsidRPr="0030029F">
        <w:rPr>
          <w:rFonts w:ascii="Arial" w:hAnsi="Arial" w:cs="Arial"/>
          <w:sz w:val="24"/>
          <w:szCs w:val="24"/>
        </w:rPr>
        <w:lastRenderedPageBreak/>
        <w:t>APPEARANCES:</w:t>
      </w:r>
    </w:p>
    <w:p w:rsidR="009811F1" w:rsidRPr="0030029F" w:rsidRDefault="009811F1" w:rsidP="009811F1">
      <w:pPr>
        <w:spacing w:after="0" w:line="360" w:lineRule="auto"/>
        <w:jc w:val="both"/>
        <w:rPr>
          <w:rFonts w:ascii="Arial" w:hAnsi="Arial" w:cs="Arial"/>
          <w:sz w:val="24"/>
          <w:szCs w:val="24"/>
        </w:rPr>
      </w:pPr>
    </w:p>
    <w:p w:rsidR="004D75AB" w:rsidRPr="0030029F" w:rsidRDefault="004D75AB" w:rsidP="009811F1">
      <w:pPr>
        <w:spacing w:after="0" w:line="360" w:lineRule="auto"/>
        <w:jc w:val="both"/>
        <w:rPr>
          <w:rFonts w:ascii="Arial" w:hAnsi="Arial" w:cs="Arial"/>
          <w:sz w:val="24"/>
          <w:szCs w:val="24"/>
        </w:rPr>
      </w:pPr>
    </w:p>
    <w:p w:rsidR="009811F1" w:rsidRPr="0030029F" w:rsidRDefault="00354763" w:rsidP="00C2562E">
      <w:pPr>
        <w:tabs>
          <w:tab w:val="left" w:pos="720"/>
          <w:tab w:val="left" w:pos="1440"/>
          <w:tab w:val="left" w:pos="2160"/>
          <w:tab w:val="left" w:pos="2880"/>
          <w:tab w:val="left" w:pos="3600"/>
          <w:tab w:val="left" w:pos="4320"/>
          <w:tab w:val="left" w:pos="5040"/>
          <w:tab w:val="left" w:pos="5760"/>
          <w:tab w:val="left" w:pos="6480"/>
          <w:tab w:val="left" w:pos="7200"/>
          <w:tab w:val="left" w:pos="8610"/>
        </w:tabs>
        <w:spacing w:after="0" w:line="240" w:lineRule="auto"/>
        <w:jc w:val="right"/>
        <w:rPr>
          <w:rFonts w:ascii="Arial" w:hAnsi="Arial" w:cs="Arial"/>
          <w:sz w:val="24"/>
          <w:szCs w:val="24"/>
        </w:rPr>
      </w:pPr>
      <w:r w:rsidRPr="0030029F">
        <w:rPr>
          <w:rFonts w:ascii="Arial" w:hAnsi="Arial" w:cs="Arial"/>
          <w:sz w:val="24"/>
          <w:szCs w:val="24"/>
        </w:rPr>
        <w:t>FOR THE PLAINTIFF</w:t>
      </w:r>
      <w:r w:rsidR="009811F1" w:rsidRPr="0030029F">
        <w:rPr>
          <w:rFonts w:ascii="Arial" w:hAnsi="Arial" w:cs="Arial"/>
          <w:sz w:val="24"/>
          <w:szCs w:val="24"/>
        </w:rPr>
        <w:t>:</w:t>
      </w:r>
      <w:r w:rsidR="009811F1" w:rsidRPr="0030029F">
        <w:rPr>
          <w:rFonts w:ascii="Arial" w:hAnsi="Arial" w:cs="Arial"/>
          <w:sz w:val="24"/>
          <w:szCs w:val="24"/>
        </w:rPr>
        <w:tab/>
      </w:r>
      <w:r w:rsidR="001864C6" w:rsidRPr="0030029F">
        <w:rPr>
          <w:rFonts w:ascii="Arial" w:hAnsi="Arial" w:cs="Arial"/>
          <w:sz w:val="24"/>
          <w:szCs w:val="24"/>
        </w:rPr>
        <w:tab/>
      </w:r>
      <w:r w:rsidR="001864C6" w:rsidRPr="0030029F">
        <w:rPr>
          <w:rFonts w:ascii="Arial" w:hAnsi="Arial" w:cs="Arial"/>
          <w:sz w:val="24"/>
          <w:szCs w:val="24"/>
        </w:rPr>
        <w:tab/>
      </w:r>
      <w:r w:rsidR="001864C6" w:rsidRPr="0030029F">
        <w:rPr>
          <w:rFonts w:ascii="Arial" w:hAnsi="Arial" w:cs="Arial"/>
          <w:sz w:val="24"/>
          <w:szCs w:val="24"/>
        </w:rPr>
        <w:tab/>
      </w:r>
      <w:r w:rsidR="001864C6" w:rsidRPr="0030029F">
        <w:rPr>
          <w:rFonts w:ascii="Arial" w:hAnsi="Arial" w:cs="Arial"/>
          <w:sz w:val="24"/>
          <w:szCs w:val="24"/>
        </w:rPr>
        <w:tab/>
      </w:r>
      <w:r w:rsidR="001864C6" w:rsidRPr="0030029F">
        <w:rPr>
          <w:rFonts w:ascii="Arial" w:hAnsi="Arial" w:cs="Arial"/>
          <w:sz w:val="24"/>
          <w:szCs w:val="24"/>
        </w:rPr>
        <w:tab/>
      </w:r>
      <w:r w:rsidR="004D75AB" w:rsidRPr="0030029F">
        <w:rPr>
          <w:rFonts w:ascii="Arial" w:hAnsi="Arial" w:cs="Arial"/>
          <w:sz w:val="24"/>
          <w:szCs w:val="24"/>
        </w:rPr>
        <w:tab/>
        <w:t xml:space="preserve">              P BARNARD</w:t>
      </w:r>
    </w:p>
    <w:p w:rsidR="009811F1" w:rsidRPr="0030029F" w:rsidRDefault="004D75AB" w:rsidP="00C2562E">
      <w:pPr>
        <w:spacing w:after="0" w:line="240" w:lineRule="auto"/>
        <w:jc w:val="right"/>
        <w:rPr>
          <w:rFonts w:ascii="Arial" w:hAnsi="Arial" w:cs="Arial"/>
          <w:sz w:val="24"/>
          <w:szCs w:val="24"/>
        </w:rPr>
      </w:pP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t xml:space="preserve">        Instructed by: Palyeenime Inc.</w:t>
      </w:r>
    </w:p>
    <w:p w:rsidR="00C2562E" w:rsidRPr="0030029F" w:rsidRDefault="00C2562E" w:rsidP="00C2562E">
      <w:pPr>
        <w:spacing w:after="0" w:line="240" w:lineRule="auto"/>
        <w:jc w:val="right"/>
        <w:rPr>
          <w:rFonts w:ascii="Arial" w:hAnsi="Arial" w:cs="Arial"/>
          <w:sz w:val="24"/>
          <w:szCs w:val="24"/>
        </w:rPr>
      </w:pPr>
      <w:r w:rsidRPr="0030029F">
        <w:rPr>
          <w:rFonts w:ascii="Arial" w:hAnsi="Arial" w:cs="Arial"/>
          <w:sz w:val="24"/>
          <w:szCs w:val="24"/>
        </w:rPr>
        <w:t>Windhoek</w:t>
      </w:r>
    </w:p>
    <w:p w:rsidR="009811F1" w:rsidRPr="0030029F" w:rsidRDefault="00FF6C1B" w:rsidP="00FF6C1B">
      <w:pPr>
        <w:spacing w:after="0" w:line="240" w:lineRule="auto"/>
        <w:jc w:val="both"/>
        <w:rPr>
          <w:rFonts w:ascii="Arial" w:hAnsi="Arial" w:cs="Arial"/>
          <w:sz w:val="24"/>
          <w:szCs w:val="24"/>
        </w:rPr>
      </w:pP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p>
    <w:p w:rsidR="009811F1" w:rsidRPr="0030029F" w:rsidRDefault="009811F1" w:rsidP="00C2562E">
      <w:pPr>
        <w:spacing w:after="0" w:line="240" w:lineRule="auto"/>
        <w:jc w:val="right"/>
        <w:rPr>
          <w:rFonts w:ascii="Arial" w:hAnsi="Arial" w:cs="Arial"/>
          <w:sz w:val="24"/>
          <w:szCs w:val="24"/>
        </w:rPr>
      </w:pPr>
      <w:r w:rsidRPr="0030029F">
        <w:rPr>
          <w:rFonts w:ascii="Arial" w:hAnsi="Arial" w:cs="Arial"/>
          <w:sz w:val="24"/>
          <w:szCs w:val="24"/>
        </w:rPr>
        <w:t xml:space="preserve">FOR THE FIRST </w:t>
      </w:r>
      <w:r w:rsidR="00354763" w:rsidRPr="0030029F">
        <w:rPr>
          <w:rFonts w:ascii="Arial" w:hAnsi="Arial" w:cs="Arial"/>
          <w:sz w:val="24"/>
          <w:szCs w:val="24"/>
        </w:rPr>
        <w:t>DEFENDANT</w:t>
      </w:r>
      <w:r w:rsidRPr="0030029F">
        <w:rPr>
          <w:rFonts w:ascii="Arial" w:hAnsi="Arial" w:cs="Arial"/>
          <w:sz w:val="24"/>
          <w:szCs w:val="24"/>
        </w:rPr>
        <w:t xml:space="preserve">: </w:t>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004D75AB" w:rsidRPr="0030029F">
        <w:rPr>
          <w:rFonts w:ascii="Arial" w:hAnsi="Arial" w:cs="Arial"/>
          <w:sz w:val="24"/>
          <w:szCs w:val="24"/>
        </w:rPr>
        <w:tab/>
      </w:r>
      <w:r w:rsidR="004D75AB" w:rsidRPr="0030029F">
        <w:rPr>
          <w:rFonts w:ascii="Arial" w:hAnsi="Arial" w:cs="Arial"/>
          <w:sz w:val="24"/>
          <w:szCs w:val="24"/>
        </w:rPr>
        <w:tab/>
      </w:r>
      <w:r w:rsidR="00C2562E" w:rsidRPr="0030029F">
        <w:rPr>
          <w:rFonts w:ascii="Arial" w:hAnsi="Arial" w:cs="Arial"/>
          <w:sz w:val="24"/>
          <w:szCs w:val="24"/>
        </w:rPr>
        <w:t xml:space="preserve">   </w:t>
      </w:r>
      <w:r w:rsidR="004D75AB" w:rsidRPr="0030029F">
        <w:rPr>
          <w:rFonts w:ascii="Arial" w:hAnsi="Arial" w:cs="Arial"/>
          <w:sz w:val="24"/>
          <w:szCs w:val="24"/>
        </w:rPr>
        <w:t xml:space="preserve">  </w:t>
      </w:r>
      <w:r w:rsidR="002867CC" w:rsidRPr="0030029F">
        <w:rPr>
          <w:rFonts w:ascii="Arial" w:hAnsi="Arial" w:cs="Arial"/>
          <w:sz w:val="24"/>
          <w:szCs w:val="24"/>
        </w:rPr>
        <w:tab/>
      </w:r>
      <w:r w:rsidR="00B04982" w:rsidRPr="0030029F">
        <w:rPr>
          <w:rFonts w:ascii="Arial" w:hAnsi="Arial" w:cs="Arial"/>
          <w:sz w:val="24"/>
          <w:szCs w:val="24"/>
        </w:rPr>
        <w:t>M</w:t>
      </w:r>
      <w:r w:rsidR="002867CC" w:rsidRPr="0030029F">
        <w:rPr>
          <w:rFonts w:ascii="Arial" w:hAnsi="Arial" w:cs="Arial"/>
          <w:sz w:val="24"/>
          <w:szCs w:val="24"/>
        </w:rPr>
        <w:t xml:space="preserve"> </w:t>
      </w:r>
      <w:r w:rsidR="00B04982" w:rsidRPr="0030029F">
        <w:rPr>
          <w:rFonts w:ascii="Arial" w:hAnsi="Arial" w:cs="Arial"/>
          <w:sz w:val="24"/>
          <w:szCs w:val="24"/>
        </w:rPr>
        <w:t>TJITEERE</w:t>
      </w:r>
      <w:r w:rsidR="004D75AB" w:rsidRPr="0030029F">
        <w:rPr>
          <w:rFonts w:ascii="Arial" w:hAnsi="Arial" w:cs="Arial"/>
          <w:sz w:val="24"/>
          <w:szCs w:val="24"/>
        </w:rPr>
        <w:t xml:space="preserve"> </w:t>
      </w:r>
    </w:p>
    <w:p w:rsidR="004D75AB" w:rsidRPr="0030029F" w:rsidRDefault="00FF6C1B" w:rsidP="00C2562E">
      <w:pPr>
        <w:spacing w:after="0" w:line="240" w:lineRule="auto"/>
        <w:jc w:val="right"/>
        <w:rPr>
          <w:rFonts w:ascii="Arial" w:hAnsi="Arial" w:cs="Arial"/>
          <w:sz w:val="24"/>
          <w:szCs w:val="24"/>
        </w:rPr>
      </w:pP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t xml:space="preserve">       </w:t>
      </w:r>
      <w:r w:rsidR="004D75AB" w:rsidRPr="0030029F">
        <w:rPr>
          <w:rFonts w:ascii="Arial" w:hAnsi="Arial" w:cs="Arial"/>
          <w:sz w:val="24"/>
          <w:szCs w:val="24"/>
        </w:rPr>
        <w:t>Of Dr Weder, Kauta &amp; Hoveka</w:t>
      </w:r>
      <w:r w:rsidRPr="0030029F">
        <w:rPr>
          <w:rFonts w:ascii="Arial" w:hAnsi="Arial" w:cs="Arial"/>
          <w:sz w:val="24"/>
          <w:szCs w:val="24"/>
        </w:rPr>
        <w:t>,</w:t>
      </w:r>
    </w:p>
    <w:p w:rsidR="00C2562E" w:rsidRPr="0030029F" w:rsidRDefault="00C2562E" w:rsidP="00C2562E">
      <w:pPr>
        <w:spacing w:after="0" w:line="240" w:lineRule="auto"/>
        <w:jc w:val="right"/>
        <w:rPr>
          <w:rFonts w:ascii="Arial" w:hAnsi="Arial" w:cs="Arial"/>
          <w:sz w:val="24"/>
          <w:szCs w:val="24"/>
        </w:rPr>
      </w:pPr>
      <w:r w:rsidRPr="0030029F">
        <w:rPr>
          <w:rFonts w:ascii="Arial" w:hAnsi="Arial" w:cs="Arial"/>
          <w:sz w:val="24"/>
          <w:szCs w:val="24"/>
        </w:rPr>
        <w:t>Windhoek</w:t>
      </w:r>
    </w:p>
    <w:p w:rsidR="00FF6C1B" w:rsidRPr="0030029F" w:rsidRDefault="00FF6C1B" w:rsidP="00FF6C1B">
      <w:pPr>
        <w:spacing w:after="0" w:line="240" w:lineRule="auto"/>
        <w:ind w:left="1440"/>
        <w:jc w:val="both"/>
        <w:rPr>
          <w:rFonts w:ascii="Arial" w:hAnsi="Arial" w:cs="Arial"/>
          <w:sz w:val="24"/>
          <w:szCs w:val="24"/>
        </w:rPr>
      </w:pP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r w:rsidRPr="0030029F">
        <w:rPr>
          <w:rFonts w:ascii="Arial" w:hAnsi="Arial" w:cs="Arial"/>
          <w:sz w:val="24"/>
          <w:szCs w:val="24"/>
        </w:rPr>
        <w:tab/>
      </w:r>
    </w:p>
    <w:sectPr w:rsidR="00FF6C1B" w:rsidRPr="0030029F" w:rsidSect="004F5D9C">
      <w:headerReference w:type="default" r:id="rId12"/>
      <w:footerReference w:type="default" r:id="rId13"/>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64" w:rsidRDefault="00AC0464" w:rsidP="009114A3">
      <w:pPr>
        <w:spacing w:after="0" w:line="240" w:lineRule="auto"/>
      </w:pPr>
      <w:r>
        <w:separator/>
      </w:r>
    </w:p>
  </w:endnote>
  <w:endnote w:type="continuationSeparator" w:id="0">
    <w:p w:rsidR="00AC0464" w:rsidRDefault="00AC0464" w:rsidP="0091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A78" w:rsidRDefault="00586A78">
    <w:pPr>
      <w:pStyle w:val="Footer"/>
      <w:jc w:val="right"/>
    </w:pPr>
  </w:p>
  <w:p w:rsidR="00586A78" w:rsidRDefault="00586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64" w:rsidRDefault="00AC0464" w:rsidP="009114A3">
      <w:pPr>
        <w:spacing w:after="0" w:line="240" w:lineRule="auto"/>
      </w:pPr>
      <w:r>
        <w:separator/>
      </w:r>
    </w:p>
  </w:footnote>
  <w:footnote w:type="continuationSeparator" w:id="0">
    <w:p w:rsidR="00AC0464" w:rsidRDefault="00AC0464" w:rsidP="009114A3">
      <w:pPr>
        <w:spacing w:after="0" w:line="240" w:lineRule="auto"/>
      </w:pPr>
      <w:r>
        <w:continuationSeparator/>
      </w:r>
    </w:p>
  </w:footnote>
  <w:footnote w:id="1">
    <w:p w:rsidR="00586A78" w:rsidRPr="00E15498" w:rsidRDefault="00586A78">
      <w:pPr>
        <w:pStyle w:val="FootnoteText"/>
        <w:rPr>
          <w:rFonts w:ascii="Arial" w:hAnsi="Arial" w:cs="Arial"/>
        </w:rPr>
      </w:pPr>
      <w:r w:rsidRPr="00E15498">
        <w:rPr>
          <w:rStyle w:val="FootnoteReference"/>
          <w:rFonts w:ascii="Arial" w:hAnsi="Arial" w:cs="Arial"/>
        </w:rPr>
        <w:footnoteRef/>
      </w:r>
      <w:r w:rsidRPr="00E15498">
        <w:rPr>
          <w:rFonts w:ascii="Arial" w:hAnsi="Arial" w:cs="Arial"/>
        </w:rPr>
        <w:t xml:space="preserve"> Exhibit ‘B’.</w:t>
      </w:r>
    </w:p>
  </w:footnote>
  <w:footnote w:id="2">
    <w:p w:rsidR="00586A78" w:rsidRDefault="00586A78">
      <w:pPr>
        <w:pStyle w:val="FootnoteText"/>
      </w:pPr>
      <w:r w:rsidRPr="00E15498">
        <w:rPr>
          <w:rStyle w:val="FootnoteReference"/>
          <w:rFonts w:ascii="Arial" w:hAnsi="Arial" w:cs="Arial"/>
        </w:rPr>
        <w:footnoteRef/>
      </w:r>
      <w:r w:rsidRPr="00E15498">
        <w:rPr>
          <w:rFonts w:ascii="Arial" w:hAnsi="Arial" w:cs="Arial"/>
        </w:rPr>
        <w:t xml:space="preserve"> Exhibit ‘E.’</w:t>
      </w:r>
    </w:p>
  </w:footnote>
  <w:footnote w:id="3">
    <w:p w:rsidR="00586A78" w:rsidRPr="00D75264" w:rsidRDefault="00586A78">
      <w:pPr>
        <w:pStyle w:val="FootnoteText"/>
        <w:rPr>
          <w:color w:val="262626" w:themeColor="text1" w:themeTint="D9"/>
        </w:rPr>
      </w:pPr>
      <w:r w:rsidRPr="00E15498">
        <w:rPr>
          <w:rStyle w:val="FootnoteReference"/>
          <w:rFonts w:ascii="Arial" w:hAnsi="Arial" w:cs="Arial"/>
        </w:rPr>
        <w:footnoteRef/>
      </w:r>
      <w:r w:rsidRPr="00E15498">
        <w:rPr>
          <w:rFonts w:ascii="Arial" w:hAnsi="Arial" w:cs="Arial"/>
        </w:rPr>
        <w:t xml:space="preserve"> </w:t>
      </w:r>
      <w:r w:rsidRPr="00D75264">
        <w:rPr>
          <w:rFonts w:ascii="Arial" w:hAnsi="Arial" w:cs="Arial"/>
          <w:i/>
          <w:color w:val="262626" w:themeColor="text1" w:themeTint="D9"/>
        </w:rPr>
        <w:t>The DTA of Namibia v River View Estate CC</w:t>
      </w:r>
      <w:r w:rsidRPr="00D75264">
        <w:rPr>
          <w:rFonts w:ascii="Arial" w:hAnsi="Arial" w:cs="Arial"/>
          <w:color w:val="262626" w:themeColor="text1" w:themeTint="D9"/>
        </w:rPr>
        <w:t xml:space="preserve"> (2003/2015) [2019] NAHCMD 491(15 November 2019) para 41</w:t>
      </w:r>
      <w:r w:rsidRPr="00D75264">
        <w:rPr>
          <w:color w:val="262626" w:themeColor="text1" w:themeTint="D9"/>
        </w:rPr>
        <w:t>.</w:t>
      </w:r>
    </w:p>
  </w:footnote>
  <w:footnote w:id="4">
    <w:p w:rsidR="006B37A4" w:rsidRPr="00D75264" w:rsidRDefault="006B37A4">
      <w:pPr>
        <w:pStyle w:val="FootnoteText"/>
        <w:rPr>
          <w:color w:val="262626" w:themeColor="text1" w:themeTint="D9"/>
        </w:rPr>
      </w:pPr>
      <w:r w:rsidRPr="00D75264">
        <w:rPr>
          <w:rStyle w:val="FootnoteReference"/>
          <w:color w:val="262626" w:themeColor="text1" w:themeTint="D9"/>
        </w:rPr>
        <w:footnoteRef/>
      </w:r>
      <w:r w:rsidRPr="00D75264">
        <w:rPr>
          <w:color w:val="262626" w:themeColor="text1" w:themeTint="D9"/>
        </w:rPr>
        <w:t xml:space="preserve"> </w:t>
      </w:r>
      <w:r w:rsidRPr="00D75264">
        <w:rPr>
          <w:rFonts w:ascii="Arial" w:eastAsiaTheme="minorEastAsia" w:hAnsi="Arial" w:cs="Arial"/>
          <w:color w:val="262626" w:themeColor="text1" w:themeTint="D9"/>
        </w:rPr>
        <w:t xml:space="preserve">See </w:t>
      </w:r>
      <w:r w:rsidRPr="00D75264">
        <w:rPr>
          <w:rFonts w:ascii="Arial" w:eastAsiaTheme="minorEastAsia" w:hAnsi="Arial" w:cs="Arial"/>
          <w:i/>
          <w:color w:val="262626" w:themeColor="text1" w:themeTint="D9"/>
        </w:rPr>
        <w:t xml:space="preserve">Cape Explosive Works Ltd &amp; another v Denel (Pty) Ltd &amp; others </w:t>
      </w:r>
      <w:r w:rsidRPr="00D75264">
        <w:rPr>
          <w:rFonts w:ascii="Arial" w:eastAsiaTheme="minorEastAsia" w:hAnsi="Arial" w:cs="Arial"/>
          <w:color w:val="262626" w:themeColor="text1" w:themeTint="D9"/>
        </w:rPr>
        <w:t xml:space="preserve">2001 (3) SA 560 (SCA) para 10; </w:t>
      </w:r>
      <w:r w:rsidRPr="00D75264">
        <w:rPr>
          <w:rFonts w:ascii="Arial" w:eastAsiaTheme="minorEastAsia" w:hAnsi="Arial" w:cs="Arial"/>
          <w:i/>
          <w:color w:val="262626" w:themeColor="text1" w:themeTint="D9"/>
        </w:rPr>
        <w:t xml:space="preserve">Legator Mckenna Inc &amp; another v Shea &amp; others </w:t>
      </w:r>
      <w:r w:rsidRPr="00D75264">
        <w:rPr>
          <w:rFonts w:ascii="Arial" w:eastAsiaTheme="minorEastAsia" w:hAnsi="Arial" w:cs="Arial"/>
          <w:color w:val="262626" w:themeColor="text1" w:themeTint="D9"/>
        </w:rPr>
        <w:t>[2008] ZASCA 144;</w:t>
      </w:r>
      <w:r w:rsidRPr="00D75264">
        <w:rPr>
          <w:rFonts w:ascii="Arial" w:eastAsiaTheme="minorEastAsia" w:hAnsi="Arial" w:cs="Arial"/>
          <w:i/>
          <w:color w:val="262626" w:themeColor="text1" w:themeTint="D9"/>
        </w:rPr>
        <w:t xml:space="preserve"> </w:t>
      </w:r>
      <w:r w:rsidRPr="00D75264">
        <w:rPr>
          <w:rFonts w:ascii="Arial" w:eastAsiaTheme="minorEastAsia" w:hAnsi="Arial" w:cs="Arial"/>
          <w:color w:val="262626" w:themeColor="text1" w:themeTint="D9"/>
        </w:rPr>
        <w:t xml:space="preserve">2010 (1) SA 35 (SCA) paras 20-22; </w:t>
      </w:r>
      <w:r w:rsidRPr="00D75264">
        <w:rPr>
          <w:rFonts w:ascii="Arial" w:eastAsiaTheme="minorEastAsia" w:hAnsi="Arial" w:cs="Arial"/>
          <w:i/>
          <w:color w:val="262626" w:themeColor="text1" w:themeTint="D9"/>
        </w:rPr>
        <w:t xml:space="preserve">Absa Ltd v Moore &amp; another </w:t>
      </w:r>
      <w:r w:rsidRPr="00D75264">
        <w:rPr>
          <w:rFonts w:ascii="Arial" w:eastAsiaTheme="minorEastAsia" w:hAnsi="Arial" w:cs="Arial"/>
          <w:color w:val="262626" w:themeColor="text1" w:themeTint="D9"/>
        </w:rPr>
        <w:t>[2015] ZASCA 171; 2016 (3) SA 97 (SCA) paras 36-37 and P J Badenhorst et al</w:t>
      </w:r>
      <w:r w:rsidRPr="00D75264">
        <w:rPr>
          <w:rFonts w:ascii="Arial" w:eastAsiaTheme="minorEastAsia" w:hAnsi="Arial" w:cs="Arial"/>
          <w:i/>
          <w:color w:val="262626" w:themeColor="text1" w:themeTint="D9"/>
        </w:rPr>
        <w:t xml:space="preserve"> Silberberg and Schoeman’s The Law of Property </w:t>
      </w:r>
      <w:r w:rsidRPr="00D75264">
        <w:rPr>
          <w:rFonts w:ascii="Arial" w:eastAsiaTheme="minorEastAsia" w:hAnsi="Arial" w:cs="Arial"/>
          <w:color w:val="262626" w:themeColor="text1" w:themeTint="D9"/>
        </w:rPr>
        <w:t>5 ed at 79-80.</w:t>
      </w:r>
    </w:p>
  </w:footnote>
  <w:footnote w:id="5">
    <w:p w:rsidR="00586A78" w:rsidRPr="00E15498" w:rsidRDefault="00586A78">
      <w:pPr>
        <w:pStyle w:val="FootnoteText"/>
        <w:rPr>
          <w:rFonts w:ascii="Arial" w:hAnsi="Arial" w:cs="Arial"/>
        </w:rPr>
      </w:pPr>
      <w:r w:rsidRPr="00D75264">
        <w:rPr>
          <w:rStyle w:val="FootnoteReference"/>
          <w:rFonts w:ascii="Arial" w:hAnsi="Arial" w:cs="Arial"/>
          <w:color w:val="262626" w:themeColor="text1" w:themeTint="D9"/>
        </w:rPr>
        <w:footnoteRef/>
      </w:r>
      <w:r w:rsidRPr="00D75264">
        <w:rPr>
          <w:rFonts w:ascii="Arial" w:hAnsi="Arial" w:cs="Arial"/>
          <w:color w:val="262626" w:themeColor="text1" w:themeTint="D9"/>
        </w:rPr>
        <w:t xml:space="preserve"> Deeds Registries Act 47 of 1937.</w:t>
      </w:r>
    </w:p>
  </w:footnote>
  <w:footnote w:id="6">
    <w:p w:rsidR="00586A78" w:rsidRDefault="00586A78" w:rsidP="00F52C3C">
      <w:pPr>
        <w:pStyle w:val="FootnoteText"/>
      </w:pPr>
      <w:r w:rsidRPr="00E15498">
        <w:rPr>
          <w:rStyle w:val="FootnoteReference"/>
          <w:rFonts w:ascii="Arial" w:hAnsi="Arial" w:cs="Arial"/>
        </w:rPr>
        <w:footnoteRef/>
      </w:r>
      <w:r w:rsidRPr="00E15498">
        <w:rPr>
          <w:rFonts w:ascii="Arial" w:hAnsi="Arial" w:cs="Arial"/>
        </w:rPr>
        <w:t xml:space="preserve"> </w:t>
      </w:r>
      <w:r w:rsidRPr="00E15498">
        <w:rPr>
          <w:rFonts w:ascii="Arial" w:hAnsi="Arial" w:cs="Arial"/>
          <w:i/>
        </w:rPr>
        <w:t>Weinerlein v Goch Buildings</w:t>
      </w:r>
      <w:r w:rsidRPr="00E15498">
        <w:rPr>
          <w:rFonts w:ascii="Arial" w:hAnsi="Arial" w:cs="Arial"/>
        </w:rPr>
        <w:t xml:space="preserve"> 1925 AD 828 at p 293.</w:t>
      </w:r>
    </w:p>
  </w:footnote>
  <w:footnote w:id="7">
    <w:p w:rsidR="00041AA0" w:rsidRDefault="00041AA0">
      <w:pPr>
        <w:pStyle w:val="FootnoteText"/>
      </w:pPr>
      <w:r>
        <w:rPr>
          <w:rStyle w:val="FootnoteReference"/>
        </w:rPr>
        <w:footnoteRef/>
      </w:r>
      <w:r>
        <w:t xml:space="preserve"> </w:t>
      </w:r>
      <w:r w:rsidRPr="00041AA0">
        <w:rPr>
          <w:rFonts w:ascii="Arial" w:hAnsi="Arial" w:cs="Arial"/>
          <w:i/>
        </w:rPr>
        <w:t>Bester NNO v Schmidt Bou Ontwikkelings CC</w:t>
      </w:r>
      <w:r w:rsidRPr="00041AA0">
        <w:rPr>
          <w:rFonts w:ascii="Arial" w:hAnsi="Arial" w:cs="Arial"/>
        </w:rPr>
        <w:t xml:space="preserve"> (2013) (1) SA 125</w:t>
      </w:r>
      <w:r>
        <w:rPr>
          <w:rFonts w:ascii="Arial" w:hAnsi="Arial" w:cs="Arial"/>
        </w:rPr>
        <w:t xml:space="preserve"> (SCA)</w:t>
      </w:r>
      <w:r w:rsidRPr="00041AA0">
        <w:rPr>
          <w:rFonts w:ascii="Arial" w:hAnsi="Arial" w:cs="Arial"/>
        </w:rPr>
        <w:t>.</w:t>
      </w:r>
      <w:r>
        <w:t xml:space="preserve">  </w:t>
      </w:r>
    </w:p>
  </w:footnote>
  <w:footnote w:id="8">
    <w:p w:rsidR="00586A78" w:rsidRPr="00E15498" w:rsidRDefault="00586A78">
      <w:pPr>
        <w:pStyle w:val="FootnoteText"/>
        <w:rPr>
          <w:rFonts w:ascii="Arial" w:hAnsi="Arial" w:cs="Arial"/>
        </w:rPr>
      </w:pPr>
      <w:r w:rsidRPr="00E15498">
        <w:rPr>
          <w:rStyle w:val="FootnoteReference"/>
          <w:rFonts w:ascii="Arial" w:hAnsi="Arial" w:cs="Arial"/>
        </w:rPr>
        <w:footnoteRef/>
      </w:r>
      <w:r w:rsidRPr="00E15498">
        <w:rPr>
          <w:rFonts w:ascii="Arial" w:hAnsi="Arial" w:cs="Arial"/>
        </w:rPr>
        <w:t xml:space="preserve"> Exhibit F.</w:t>
      </w:r>
    </w:p>
  </w:footnote>
  <w:footnote w:id="9">
    <w:p w:rsidR="00586A78" w:rsidRDefault="00586A78">
      <w:pPr>
        <w:pStyle w:val="FootnoteText"/>
      </w:pPr>
      <w:r w:rsidRPr="00E15498">
        <w:rPr>
          <w:rStyle w:val="FootnoteReference"/>
          <w:rFonts w:ascii="Arial" w:hAnsi="Arial" w:cs="Arial"/>
        </w:rPr>
        <w:footnoteRef/>
      </w:r>
      <w:r w:rsidRPr="00E15498">
        <w:rPr>
          <w:rFonts w:ascii="Arial" w:hAnsi="Arial" w:cs="Arial"/>
        </w:rPr>
        <w:t xml:space="preserve"> Exhibit E</w:t>
      </w:r>
    </w:p>
  </w:footnote>
  <w:footnote w:id="10">
    <w:p w:rsidR="00586A78" w:rsidRPr="00E15498" w:rsidRDefault="00586A78">
      <w:pPr>
        <w:pStyle w:val="FootnoteText"/>
        <w:rPr>
          <w:rFonts w:ascii="Arial" w:hAnsi="Arial" w:cs="Arial"/>
        </w:rPr>
      </w:pPr>
      <w:r w:rsidRPr="00E15498">
        <w:rPr>
          <w:rStyle w:val="FootnoteReference"/>
          <w:rFonts w:ascii="Arial" w:hAnsi="Arial" w:cs="Arial"/>
        </w:rPr>
        <w:footnoteRef/>
      </w:r>
      <w:r w:rsidRPr="00E15498">
        <w:rPr>
          <w:rFonts w:ascii="Arial" w:hAnsi="Arial" w:cs="Arial"/>
        </w:rPr>
        <w:t xml:space="preserve"> Exhibit G.</w:t>
      </w:r>
    </w:p>
  </w:footnote>
  <w:footnote w:id="11">
    <w:p w:rsidR="00586A78" w:rsidRPr="00E15498" w:rsidRDefault="00586A78">
      <w:pPr>
        <w:pStyle w:val="FootnoteText"/>
        <w:rPr>
          <w:rFonts w:ascii="Arial" w:hAnsi="Arial" w:cs="Arial"/>
        </w:rPr>
      </w:pPr>
      <w:r w:rsidRPr="00E15498">
        <w:rPr>
          <w:rStyle w:val="FootnoteReference"/>
          <w:rFonts w:ascii="Arial" w:hAnsi="Arial" w:cs="Arial"/>
        </w:rPr>
        <w:footnoteRef/>
      </w:r>
      <w:r w:rsidRPr="00E15498">
        <w:rPr>
          <w:rFonts w:ascii="Arial" w:hAnsi="Arial" w:cs="Arial"/>
        </w:rPr>
        <w:t xml:space="preserve"> Exhibit H.</w:t>
      </w:r>
    </w:p>
  </w:footnote>
  <w:footnote w:id="12">
    <w:p w:rsidR="00586A78" w:rsidRPr="00E15498" w:rsidRDefault="00586A78">
      <w:pPr>
        <w:pStyle w:val="FootnoteText"/>
        <w:rPr>
          <w:rFonts w:ascii="Arial" w:hAnsi="Arial" w:cs="Arial"/>
        </w:rPr>
      </w:pPr>
      <w:r w:rsidRPr="00E15498">
        <w:rPr>
          <w:rStyle w:val="FootnoteReference"/>
          <w:rFonts w:ascii="Arial" w:hAnsi="Arial" w:cs="Arial"/>
        </w:rPr>
        <w:footnoteRef/>
      </w:r>
      <w:r w:rsidRPr="00E15498">
        <w:rPr>
          <w:rFonts w:ascii="Arial" w:hAnsi="Arial" w:cs="Arial"/>
        </w:rPr>
        <w:t xml:space="preserve"> Exhibit I.</w:t>
      </w:r>
    </w:p>
  </w:footnote>
  <w:footnote w:id="13">
    <w:p w:rsidR="00586A78" w:rsidRPr="00EF7D98" w:rsidRDefault="00586A78">
      <w:pPr>
        <w:pStyle w:val="FootnoteText"/>
        <w:rPr>
          <w:rFonts w:ascii="Arial" w:hAnsi="Arial" w:cs="Arial"/>
          <w:color w:val="404040" w:themeColor="text1" w:themeTint="BF"/>
        </w:rPr>
      </w:pPr>
      <w:r w:rsidRPr="00EF7D98">
        <w:rPr>
          <w:rStyle w:val="FootnoteReference"/>
          <w:rFonts w:ascii="Arial" w:hAnsi="Arial" w:cs="Arial"/>
          <w:color w:val="404040" w:themeColor="text1" w:themeTint="BF"/>
        </w:rPr>
        <w:footnoteRef/>
      </w:r>
      <w:r w:rsidRPr="00EF7D98">
        <w:rPr>
          <w:rFonts w:ascii="Arial" w:hAnsi="Arial" w:cs="Arial"/>
          <w:color w:val="404040" w:themeColor="text1" w:themeTint="BF"/>
        </w:rPr>
        <w:t xml:space="preserve"> </w:t>
      </w:r>
      <w:r w:rsidRPr="00EF7D98">
        <w:rPr>
          <w:rFonts w:ascii="Arial" w:hAnsi="Arial" w:cs="Arial"/>
          <w:i/>
          <w:color w:val="404040" w:themeColor="text1" w:themeTint="BF"/>
        </w:rPr>
        <w:t>Offit Enterprises (Pty) Ltd v Knysna Development Co (Pty) Ltd</w:t>
      </w:r>
      <w:r w:rsidRPr="00EF7D98">
        <w:rPr>
          <w:rFonts w:ascii="Arial" w:hAnsi="Arial" w:cs="Arial"/>
          <w:color w:val="404040" w:themeColor="text1" w:themeTint="BF"/>
        </w:rPr>
        <w:t xml:space="preserve"> 1987 ( 4) SA 24 (C ).</w:t>
      </w:r>
    </w:p>
  </w:footnote>
  <w:footnote w:id="14">
    <w:p w:rsidR="00230962" w:rsidRPr="00EF7D98" w:rsidRDefault="00230962">
      <w:pPr>
        <w:pStyle w:val="FootnoteText"/>
        <w:rPr>
          <w:color w:val="404040" w:themeColor="text1" w:themeTint="BF"/>
        </w:rPr>
      </w:pPr>
      <w:r w:rsidRPr="00EF7D98">
        <w:rPr>
          <w:rStyle w:val="FootnoteReference"/>
          <w:color w:val="404040" w:themeColor="text1" w:themeTint="BF"/>
        </w:rPr>
        <w:footnoteRef/>
      </w:r>
      <w:r w:rsidRPr="00EF7D98">
        <w:rPr>
          <w:color w:val="404040" w:themeColor="text1" w:themeTint="BF"/>
        </w:rPr>
        <w:t xml:space="preserve"> </w:t>
      </w:r>
      <w:r w:rsidRPr="00EF7D98">
        <w:rPr>
          <w:rFonts w:ascii="Arial" w:hAnsi="Arial" w:cs="Arial"/>
          <w:color w:val="404040" w:themeColor="text1" w:themeTint="BF"/>
        </w:rPr>
        <w:t xml:space="preserve">Amlers Precedents of Pleadings </w:t>
      </w:r>
      <w:r w:rsidR="002073F5" w:rsidRPr="00EF7D98">
        <w:rPr>
          <w:rFonts w:ascii="Arial" w:hAnsi="Arial" w:cs="Arial"/>
          <w:color w:val="404040" w:themeColor="text1" w:themeTint="BF"/>
        </w:rPr>
        <w:t>3</w:t>
      </w:r>
      <w:r w:rsidR="002073F5" w:rsidRPr="00EF7D98">
        <w:rPr>
          <w:rFonts w:ascii="Arial" w:hAnsi="Arial" w:cs="Arial"/>
          <w:color w:val="404040" w:themeColor="text1" w:themeTint="BF"/>
          <w:vertAlign w:val="superscript"/>
        </w:rPr>
        <w:t>rd</w:t>
      </w:r>
      <w:r w:rsidR="002073F5" w:rsidRPr="00EF7D98">
        <w:rPr>
          <w:rFonts w:ascii="Arial" w:hAnsi="Arial" w:cs="Arial"/>
          <w:color w:val="404040" w:themeColor="text1" w:themeTint="BF"/>
        </w:rPr>
        <w:t xml:space="preserve"> edition at page 277.</w:t>
      </w:r>
    </w:p>
  </w:footnote>
  <w:footnote w:id="15">
    <w:p w:rsidR="002356CF" w:rsidRPr="00EF7D98" w:rsidRDefault="002356CF">
      <w:pPr>
        <w:pStyle w:val="FootnoteText"/>
        <w:rPr>
          <w:rFonts w:ascii="Arial" w:hAnsi="Arial" w:cs="Arial"/>
          <w:color w:val="404040" w:themeColor="text1" w:themeTint="BF"/>
        </w:rPr>
      </w:pPr>
      <w:r w:rsidRPr="00EF7D98">
        <w:rPr>
          <w:rStyle w:val="FootnoteReference"/>
          <w:rFonts w:ascii="Arial" w:hAnsi="Arial" w:cs="Arial"/>
          <w:color w:val="404040" w:themeColor="text1" w:themeTint="BF"/>
        </w:rPr>
        <w:footnoteRef/>
      </w:r>
      <w:r w:rsidRPr="00EF7D98">
        <w:rPr>
          <w:rFonts w:ascii="Arial" w:hAnsi="Arial" w:cs="Arial"/>
          <w:color w:val="404040" w:themeColor="text1" w:themeTint="BF"/>
        </w:rPr>
        <w:t xml:space="preserve"> </w:t>
      </w:r>
      <w:r w:rsidRPr="00EF7D98">
        <w:rPr>
          <w:rFonts w:ascii="Arial" w:hAnsi="Arial" w:cs="Arial"/>
          <w:i/>
          <w:color w:val="404040" w:themeColor="text1" w:themeTint="BF"/>
        </w:rPr>
        <w:t>Akuake v Jansen van Rensburg</w:t>
      </w:r>
      <w:r w:rsidRPr="00EF7D98">
        <w:rPr>
          <w:rFonts w:ascii="Arial" w:hAnsi="Arial" w:cs="Arial"/>
          <w:color w:val="404040" w:themeColor="text1" w:themeTint="BF"/>
        </w:rPr>
        <w:t xml:space="preserve"> 2009 (1) NR 403 (HC).</w:t>
      </w:r>
    </w:p>
  </w:footnote>
  <w:footnote w:id="16">
    <w:p w:rsidR="00EF7D98" w:rsidRPr="00EF7D98" w:rsidRDefault="00EF7D98" w:rsidP="00EF7D98">
      <w:pPr>
        <w:spacing w:after="0" w:line="360" w:lineRule="auto"/>
        <w:ind w:hanging="90"/>
        <w:jc w:val="both"/>
        <w:rPr>
          <w:color w:val="404040" w:themeColor="text1" w:themeTint="BF"/>
        </w:rPr>
      </w:pPr>
      <w:r w:rsidRPr="00EF7D98">
        <w:rPr>
          <w:rFonts w:ascii="Arial" w:hAnsi="Arial" w:cs="Arial"/>
          <w:color w:val="404040" w:themeColor="text1" w:themeTint="BF"/>
          <w:sz w:val="20"/>
          <w:szCs w:val="20"/>
        </w:rPr>
        <w:t xml:space="preserve">  </w:t>
      </w:r>
      <w:r w:rsidRPr="00EF7D98">
        <w:rPr>
          <w:rStyle w:val="FootnoteReference"/>
          <w:rFonts w:ascii="Arial" w:hAnsi="Arial" w:cs="Arial"/>
          <w:color w:val="404040" w:themeColor="text1" w:themeTint="BF"/>
          <w:sz w:val="20"/>
          <w:szCs w:val="20"/>
        </w:rPr>
        <w:footnoteRef/>
      </w:r>
      <w:r w:rsidRPr="00EF7D98">
        <w:rPr>
          <w:rFonts w:ascii="Arial" w:hAnsi="Arial" w:cs="Arial"/>
          <w:color w:val="404040" w:themeColor="text1" w:themeTint="BF"/>
          <w:sz w:val="20"/>
          <w:szCs w:val="20"/>
        </w:rPr>
        <w:t xml:space="preserve"> </w:t>
      </w:r>
      <w:r w:rsidRPr="00EF7D98">
        <w:rPr>
          <w:rFonts w:ascii="Arial" w:hAnsi="Arial" w:cs="Arial"/>
          <w:i/>
          <w:color w:val="404040" w:themeColor="text1" w:themeTint="BF"/>
          <w:sz w:val="20"/>
          <w:szCs w:val="20"/>
        </w:rPr>
        <w:t>Satar v Clayton</w:t>
      </w:r>
      <w:r w:rsidRPr="00EF7D98">
        <w:rPr>
          <w:rFonts w:ascii="Arial" w:hAnsi="Arial" w:cs="Arial"/>
          <w:color w:val="404040" w:themeColor="text1" w:themeTint="BF"/>
          <w:sz w:val="20"/>
          <w:szCs w:val="20"/>
        </w:rPr>
        <w:t xml:space="preserve"> (HC-MD-CIV-ACT-DEL-2018/03453) [2023] NAHCMD 263 (12 May 2023) </w:t>
      </w:r>
    </w:p>
  </w:footnote>
  <w:footnote w:id="17">
    <w:p w:rsidR="00EF7D98" w:rsidRPr="00EF7D98" w:rsidRDefault="00EF7D98" w:rsidP="00EF7D98">
      <w:pPr>
        <w:pStyle w:val="FootnoteText"/>
        <w:tabs>
          <w:tab w:val="left" w:pos="284"/>
        </w:tabs>
        <w:jc w:val="both"/>
        <w:rPr>
          <w:rFonts w:ascii="Arial" w:hAnsi="Arial" w:cs="Arial"/>
          <w:color w:val="404040" w:themeColor="text1" w:themeTint="BF"/>
        </w:rPr>
      </w:pPr>
      <w:r w:rsidRPr="00EF7D98">
        <w:rPr>
          <w:rStyle w:val="FootnoteReference"/>
          <w:rFonts w:ascii="Arial" w:hAnsi="Arial" w:cs="Arial"/>
          <w:color w:val="404040" w:themeColor="text1" w:themeTint="BF"/>
        </w:rPr>
        <w:footnoteRef/>
      </w:r>
      <w:r w:rsidRPr="00EF7D98">
        <w:rPr>
          <w:rFonts w:ascii="Arial" w:hAnsi="Arial" w:cs="Arial"/>
          <w:color w:val="404040" w:themeColor="text1" w:themeTint="BF"/>
        </w:rPr>
        <w:t xml:space="preserve"> </w:t>
      </w:r>
      <w:r w:rsidRPr="00EF7D98">
        <w:rPr>
          <w:rFonts w:ascii="Arial" w:hAnsi="Arial" w:cs="Arial"/>
          <w:color w:val="404040" w:themeColor="text1" w:themeTint="BF"/>
        </w:rPr>
        <w:tab/>
        <w:t>Supra para 365 at 300.</w:t>
      </w:r>
    </w:p>
  </w:footnote>
  <w:footnote w:id="18">
    <w:p w:rsidR="00BB08A0" w:rsidRPr="00CB796C" w:rsidRDefault="00BB08A0" w:rsidP="00BB08A0">
      <w:pPr>
        <w:pStyle w:val="FootnoteText"/>
        <w:rPr>
          <w:rFonts w:ascii="Arial" w:hAnsi="Arial" w:cs="Arial"/>
        </w:rPr>
      </w:pPr>
      <w:r w:rsidRPr="00CB796C">
        <w:rPr>
          <w:rStyle w:val="FootnoteReference"/>
          <w:rFonts w:ascii="Arial" w:hAnsi="Arial" w:cs="Arial"/>
        </w:rPr>
        <w:footnoteRef/>
      </w:r>
      <w:r w:rsidRPr="00CB796C">
        <w:rPr>
          <w:rFonts w:ascii="Arial" w:hAnsi="Arial" w:cs="Arial"/>
        </w:rPr>
        <w:t xml:space="preserve"> Sharrock R </w:t>
      </w:r>
      <w:r w:rsidRPr="00CB796C">
        <w:rPr>
          <w:rFonts w:ascii="Arial" w:hAnsi="Arial" w:cs="Arial"/>
          <w:i/>
        </w:rPr>
        <w:t>Business Transactions Law</w:t>
      </w:r>
      <w:r w:rsidRPr="00CB796C">
        <w:rPr>
          <w:rFonts w:ascii="Arial" w:hAnsi="Arial" w:cs="Arial"/>
        </w:rPr>
        <w:t xml:space="preserve"> 2007 7</w:t>
      </w:r>
      <w:r w:rsidRPr="00CB796C">
        <w:rPr>
          <w:rFonts w:ascii="Arial" w:hAnsi="Arial" w:cs="Arial"/>
          <w:vertAlign w:val="superscript"/>
        </w:rPr>
        <w:t>th</w:t>
      </w:r>
      <w:r w:rsidRPr="00CB796C">
        <w:rPr>
          <w:rFonts w:ascii="Arial" w:hAnsi="Arial" w:cs="Arial"/>
        </w:rPr>
        <w:t xml:space="preserve"> ed JUTA and Company Ltd p 232.</w:t>
      </w:r>
    </w:p>
  </w:footnote>
  <w:footnote w:id="19">
    <w:p w:rsidR="0015026D" w:rsidRDefault="0015026D">
      <w:pPr>
        <w:pStyle w:val="FootnoteText"/>
      </w:pPr>
      <w:r w:rsidRPr="00CB796C">
        <w:rPr>
          <w:rStyle w:val="FootnoteReference"/>
          <w:rFonts w:ascii="Arial" w:hAnsi="Arial" w:cs="Arial"/>
        </w:rPr>
        <w:footnoteRef/>
      </w:r>
      <w:r w:rsidRPr="00CB796C">
        <w:rPr>
          <w:rFonts w:ascii="Arial" w:hAnsi="Arial" w:cs="Arial"/>
        </w:rPr>
        <w:t xml:space="preserve"> </w:t>
      </w:r>
      <w:r w:rsidRPr="00CB796C">
        <w:rPr>
          <w:rFonts w:ascii="Arial" w:hAnsi="Arial" w:cs="Arial"/>
          <w:i/>
        </w:rPr>
        <w:t>Bester NNO v Schmidt Bou Ontwikkelings CC</w:t>
      </w:r>
      <w:r w:rsidRPr="00CB796C">
        <w:rPr>
          <w:rFonts w:ascii="Arial" w:hAnsi="Arial" w:cs="Arial"/>
        </w:rPr>
        <w:t xml:space="preserve"> (2013) (1) SA 125 (SCA).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14580"/>
      <w:docPartObj>
        <w:docPartGallery w:val="Page Numbers (Top of Page)"/>
        <w:docPartUnique/>
      </w:docPartObj>
    </w:sdtPr>
    <w:sdtEndPr>
      <w:rPr>
        <w:rFonts w:ascii="Arial" w:hAnsi="Arial" w:cs="Arial"/>
        <w:noProof/>
        <w:sz w:val="24"/>
        <w:szCs w:val="24"/>
      </w:rPr>
    </w:sdtEndPr>
    <w:sdtContent>
      <w:p w:rsidR="00586A78" w:rsidRPr="004F5D9C" w:rsidRDefault="00586A78">
        <w:pPr>
          <w:pStyle w:val="Header"/>
          <w:jc w:val="right"/>
          <w:rPr>
            <w:rFonts w:ascii="Arial" w:hAnsi="Arial" w:cs="Arial"/>
            <w:sz w:val="24"/>
            <w:szCs w:val="24"/>
          </w:rPr>
        </w:pPr>
        <w:r w:rsidRPr="004F5D9C">
          <w:rPr>
            <w:rFonts w:ascii="Arial" w:hAnsi="Arial" w:cs="Arial"/>
            <w:sz w:val="24"/>
            <w:szCs w:val="24"/>
          </w:rPr>
          <w:fldChar w:fldCharType="begin"/>
        </w:r>
        <w:r w:rsidRPr="004F5D9C">
          <w:rPr>
            <w:rFonts w:ascii="Arial" w:hAnsi="Arial" w:cs="Arial"/>
            <w:sz w:val="24"/>
            <w:szCs w:val="24"/>
          </w:rPr>
          <w:instrText xml:space="preserve"> PAGE   \* MERGEFORMAT </w:instrText>
        </w:r>
        <w:r w:rsidRPr="004F5D9C">
          <w:rPr>
            <w:rFonts w:ascii="Arial" w:hAnsi="Arial" w:cs="Arial"/>
            <w:sz w:val="24"/>
            <w:szCs w:val="24"/>
          </w:rPr>
          <w:fldChar w:fldCharType="separate"/>
        </w:r>
        <w:r w:rsidR="00764EB1">
          <w:rPr>
            <w:rFonts w:ascii="Arial" w:hAnsi="Arial" w:cs="Arial"/>
            <w:noProof/>
            <w:sz w:val="24"/>
            <w:szCs w:val="24"/>
          </w:rPr>
          <w:t>14</w:t>
        </w:r>
        <w:r w:rsidRPr="004F5D9C">
          <w:rPr>
            <w:rFonts w:ascii="Arial" w:hAnsi="Arial" w:cs="Arial"/>
            <w:noProof/>
            <w:sz w:val="24"/>
            <w:szCs w:val="24"/>
          </w:rPr>
          <w:fldChar w:fldCharType="end"/>
        </w:r>
      </w:p>
    </w:sdtContent>
  </w:sdt>
  <w:p w:rsidR="00586A78" w:rsidRDefault="00586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26F4"/>
    <w:multiLevelType w:val="hybridMultilevel"/>
    <w:tmpl w:val="5B78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762D6"/>
    <w:multiLevelType w:val="hybridMultilevel"/>
    <w:tmpl w:val="B7A489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71045"/>
    <w:multiLevelType w:val="hybridMultilevel"/>
    <w:tmpl w:val="F4783B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8F3C1B"/>
    <w:multiLevelType w:val="hybridMultilevel"/>
    <w:tmpl w:val="E39C7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35AFC"/>
    <w:multiLevelType w:val="hybridMultilevel"/>
    <w:tmpl w:val="186AE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976E6"/>
    <w:multiLevelType w:val="multilevel"/>
    <w:tmpl w:val="3612A6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3A15C24"/>
    <w:multiLevelType w:val="hybridMultilevel"/>
    <w:tmpl w:val="47A6027E"/>
    <w:lvl w:ilvl="0" w:tplc="2BBA0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CD33F4"/>
    <w:multiLevelType w:val="hybridMultilevel"/>
    <w:tmpl w:val="347C07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7D339ED"/>
    <w:multiLevelType w:val="hybridMultilevel"/>
    <w:tmpl w:val="DC1A586E"/>
    <w:lvl w:ilvl="0" w:tplc="47448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193B52"/>
    <w:multiLevelType w:val="hybridMultilevel"/>
    <w:tmpl w:val="D10AEA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27DDA"/>
    <w:multiLevelType w:val="hybridMultilevel"/>
    <w:tmpl w:val="91C007D0"/>
    <w:lvl w:ilvl="0" w:tplc="A09C09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D021F"/>
    <w:multiLevelType w:val="hybridMultilevel"/>
    <w:tmpl w:val="5D2C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A4033"/>
    <w:multiLevelType w:val="hybridMultilevel"/>
    <w:tmpl w:val="014CF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7122B9"/>
    <w:multiLevelType w:val="hybridMultilevel"/>
    <w:tmpl w:val="C1905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55466"/>
    <w:multiLevelType w:val="hybridMultilevel"/>
    <w:tmpl w:val="886E7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85225"/>
    <w:multiLevelType w:val="hybridMultilevel"/>
    <w:tmpl w:val="DB2CAAEE"/>
    <w:lvl w:ilvl="0" w:tplc="3800B61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40AA0"/>
    <w:multiLevelType w:val="hybridMultilevel"/>
    <w:tmpl w:val="D7847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0"/>
  </w:num>
  <w:num w:numId="4">
    <w:abstractNumId w:val="1"/>
  </w:num>
  <w:num w:numId="5">
    <w:abstractNumId w:val="13"/>
  </w:num>
  <w:num w:numId="6">
    <w:abstractNumId w:val="4"/>
  </w:num>
  <w:num w:numId="7">
    <w:abstractNumId w:val="3"/>
  </w:num>
  <w:num w:numId="8">
    <w:abstractNumId w:val="12"/>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5"/>
  </w:num>
  <w:num w:numId="14">
    <w:abstractNumId w:val="9"/>
  </w:num>
  <w:num w:numId="15">
    <w:abstractNumId w:val="7"/>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BB"/>
    <w:rsid w:val="000017C8"/>
    <w:rsid w:val="00006F4F"/>
    <w:rsid w:val="00010C13"/>
    <w:rsid w:val="00013742"/>
    <w:rsid w:val="000162BF"/>
    <w:rsid w:val="00017093"/>
    <w:rsid w:val="000251C0"/>
    <w:rsid w:val="0003088A"/>
    <w:rsid w:val="000312B1"/>
    <w:rsid w:val="000313A5"/>
    <w:rsid w:val="000318D3"/>
    <w:rsid w:val="0003234A"/>
    <w:rsid w:val="00034077"/>
    <w:rsid w:val="00034A74"/>
    <w:rsid w:val="00036F89"/>
    <w:rsid w:val="00037C16"/>
    <w:rsid w:val="00041AA0"/>
    <w:rsid w:val="000457F4"/>
    <w:rsid w:val="000555B2"/>
    <w:rsid w:val="00056149"/>
    <w:rsid w:val="000565F8"/>
    <w:rsid w:val="00057E1F"/>
    <w:rsid w:val="00065B3A"/>
    <w:rsid w:val="00071C89"/>
    <w:rsid w:val="00071EF8"/>
    <w:rsid w:val="00074F83"/>
    <w:rsid w:val="000800D7"/>
    <w:rsid w:val="00080897"/>
    <w:rsid w:val="00082B45"/>
    <w:rsid w:val="0008591D"/>
    <w:rsid w:val="00086111"/>
    <w:rsid w:val="00093D2E"/>
    <w:rsid w:val="00094D98"/>
    <w:rsid w:val="00096EBB"/>
    <w:rsid w:val="000A59E3"/>
    <w:rsid w:val="000B008F"/>
    <w:rsid w:val="000B230C"/>
    <w:rsid w:val="000C0FC1"/>
    <w:rsid w:val="000C170B"/>
    <w:rsid w:val="000C7626"/>
    <w:rsid w:val="000D5070"/>
    <w:rsid w:val="000D58D6"/>
    <w:rsid w:val="000E0D11"/>
    <w:rsid w:val="000E38C3"/>
    <w:rsid w:val="000E419C"/>
    <w:rsid w:val="000E48EB"/>
    <w:rsid w:val="000E7E85"/>
    <w:rsid w:val="000F4B31"/>
    <w:rsid w:val="001139F9"/>
    <w:rsid w:val="001146B3"/>
    <w:rsid w:val="0011578A"/>
    <w:rsid w:val="0011744C"/>
    <w:rsid w:val="001218EF"/>
    <w:rsid w:val="00122BD0"/>
    <w:rsid w:val="00123E08"/>
    <w:rsid w:val="001245D3"/>
    <w:rsid w:val="00131F38"/>
    <w:rsid w:val="00134D9C"/>
    <w:rsid w:val="00137B04"/>
    <w:rsid w:val="00142711"/>
    <w:rsid w:val="00146591"/>
    <w:rsid w:val="0015026D"/>
    <w:rsid w:val="00150D0A"/>
    <w:rsid w:val="00152F2C"/>
    <w:rsid w:val="001553C0"/>
    <w:rsid w:val="00157AFC"/>
    <w:rsid w:val="0016073D"/>
    <w:rsid w:val="001676E6"/>
    <w:rsid w:val="0016788D"/>
    <w:rsid w:val="00167A0E"/>
    <w:rsid w:val="00172059"/>
    <w:rsid w:val="001864C6"/>
    <w:rsid w:val="00190837"/>
    <w:rsid w:val="00192F45"/>
    <w:rsid w:val="00195D75"/>
    <w:rsid w:val="001B1983"/>
    <w:rsid w:val="001B63DA"/>
    <w:rsid w:val="001B71F9"/>
    <w:rsid w:val="001C1361"/>
    <w:rsid w:val="001C38A5"/>
    <w:rsid w:val="001C3A2E"/>
    <w:rsid w:val="001C6369"/>
    <w:rsid w:val="001D3846"/>
    <w:rsid w:val="001D5A66"/>
    <w:rsid w:val="001D5C1D"/>
    <w:rsid w:val="001D647C"/>
    <w:rsid w:val="001E46C2"/>
    <w:rsid w:val="001E7DF5"/>
    <w:rsid w:val="001F18EB"/>
    <w:rsid w:val="001F21EE"/>
    <w:rsid w:val="001F3881"/>
    <w:rsid w:val="001F60AD"/>
    <w:rsid w:val="00200C5A"/>
    <w:rsid w:val="00206D6B"/>
    <w:rsid w:val="002073F5"/>
    <w:rsid w:val="00213531"/>
    <w:rsid w:val="002138E8"/>
    <w:rsid w:val="0021466C"/>
    <w:rsid w:val="002153DA"/>
    <w:rsid w:val="00217608"/>
    <w:rsid w:val="00220189"/>
    <w:rsid w:val="00222162"/>
    <w:rsid w:val="00222465"/>
    <w:rsid w:val="00226F4B"/>
    <w:rsid w:val="00227D54"/>
    <w:rsid w:val="00230962"/>
    <w:rsid w:val="00232F69"/>
    <w:rsid w:val="0023412D"/>
    <w:rsid w:val="002346FE"/>
    <w:rsid w:val="002356CF"/>
    <w:rsid w:val="00236061"/>
    <w:rsid w:val="0023632A"/>
    <w:rsid w:val="00243EED"/>
    <w:rsid w:val="00244912"/>
    <w:rsid w:val="00247D57"/>
    <w:rsid w:val="0025104E"/>
    <w:rsid w:val="00251DEA"/>
    <w:rsid w:val="00255AAD"/>
    <w:rsid w:val="00263187"/>
    <w:rsid w:val="00264B97"/>
    <w:rsid w:val="00266FE4"/>
    <w:rsid w:val="002706E1"/>
    <w:rsid w:val="00272924"/>
    <w:rsid w:val="002759B1"/>
    <w:rsid w:val="00275F8E"/>
    <w:rsid w:val="00281D88"/>
    <w:rsid w:val="002867CC"/>
    <w:rsid w:val="00294CD6"/>
    <w:rsid w:val="002965FF"/>
    <w:rsid w:val="002A2DE2"/>
    <w:rsid w:val="002A565F"/>
    <w:rsid w:val="002A6319"/>
    <w:rsid w:val="002A6B4D"/>
    <w:rsid w:val="002B220E"/>
    <w:rsid w:val="002B673D"/>
    <w:rsid w:val="002C3655"/>
    <w:rsid w:val="002C5B1C"/>
    <w:rsid w:val="002D1738"/>
    <w:rsid w:val="002D476B"/>
    <w:rsid w:val="002D5079"/>
    <w:rsid w:val="002E3A92"/>
    <w:rsid w:val="002E40D3"/>
    <w:rsid w:val="002E5D6B"/>
    <w:rsid w:val="002F170E"/>
    <w:rsid w:val="002F1FE9"/>
    <w:rsid w:val="002F415F"/>
    <w:rsid w:val="002F4BC2"/>
    <w:rsid w:val="002F4CB1"/>
    <w:rsid w:val="0030029F"/>
    <w:rsid w:val="0030081B"/>
    <w:rsid w:val="00300ED0"/>
    <w:rsid w:val="003025BD"/>
    <w:rsid w:val="00307C98"/>
    <w:rsid w:val="0031027A"/>
    <w:rsid w:val="00310D14"/>
    <w:rsid w:val="00312969"/>
    <w:rsid w:val="00313ED7"/>
    <w:rsid w:val="00320E26"/>
    <w:rsid w:val="0032379B"/>
    <w:rsid w:val="0032624F"/>
    <w:rsid w:val="003309FC"/>
    <w:rsid w:val="00331B89"/>
    <w:rsid w:val="00333C24"/>
    <w:rsid w:val="00336DA1"/>
    <w:rsid w:val="00342E4B"/>
    <w:rsid w:val="0035082F"/>
    <w:rsid w:val="00350CAA"/>
    <w:rsid w:val="00353647"/>
    <w:rsid w:val="00354763"/>
    <w:rsid w:val="0035642A"/>
    <w:rsid w:val="00357B62"/>
    <w:rsid w:val="00360E83"/>
    <w:rsid w:val="00375132"/>
    <w:rsid w:val="00376EE9"/>
    <w:rsid w:val="003770EF"/>
    <w:rsid w:val="003809BD"/>
    <w:rsid w:val="003824DE"/>
    <w:rsid w:val="0038404A"/>
    <w:rsid w:val="00386AA5"/>
    <w:rsid w:val="00392B8C"/>
    <w:rsid w:val="00392D69"/>
    <w:rsid w:val="0039384F"/>
    <w:rsid w:val="00393999"/>
    <w:rsid w:val="003A4D30"/>
    <w:rsid w:val="003B0104"/>
    <w:rsid w:val="003B0715"/>
    <w:rsid w:val="003B1576"/>
    <w:rsid w:val="003B5E93"/>
    <w:rsid w:val="003B64AA"/>
    <w:rsid w:val="003B71DE"/>
    <w:rsid w:val="003C2AC9"/>
    <w:rsid w:val="003C6C33"/>
    <w:rsid w:val="003D3BB6"/>
    <w:rsid w:val="003D5E21"/>
    <w:rsid w:val="003D5E3B"/>
    <w:rsid w:val="003E2E23"/>
    <w:rsid w:val="003E4ED8"/>
    <w:rsid w:val="003E76E9"/>
    <w:rsid w:val="003F1204"/>
    <w:rsid w:val="003F22D3"/>
    <w:rsid w:val="003F58E7"/>
    <w:rsid w:val="00405478"/>
    <w:rsid w:val="004060BE"/>
    <w:rsid w:val="004110BA"/>
    <w:rsid w:val="0041189E"/>
    <w:rsid w:val="00412263"/>
    <w:rsid w:val="00412ECB"/>
    <w:rsid w:val="0041350C"/>
    <w:rsid w:val="00413C8B"/>
    <w:rsid w:val="00416B50"/>
    <w:rsid w:val="00427815"/>
    <w:rsid w:val="00432A1A"/>
    <w:rsid w:val="00433DD9"/>
    <w:rsid w:val="00434FA3"/>
    <w:rsid w:val="0043641D"/>
    <w:rsid w:val="00440AB3"/>
    <w:rsid w:val="00441574"/>
    <w:rsid w:val="0044410E"/>
    <w:rsid w:val="004525AF"/>
    <w:rsid w:val="00457CD0"/>
    <w:rsid w:val="004623EB"/>
    <w:rsid w:val="00462523"/>
    <w:rsid w:val="00464500"/>
    <w:rsid w:val="004674A8"/>
    <w:rsid w:val="0047432C"/>
    <w:rsid w:val="00483236"/>
    <w:rsid w:val="00484ADD"/>
    <w:rsid w:val="004923E7"/>
    <w:rsid w:val="0049321D"/>
    <w:rsid w:val="00493E5D"/>
    <w:rsid w:val="0049626B"/>
    <w:rsid w:val="004965EC"/>
    <w:rsid w:val="004A11EA"/>
    <w:rsid w:val="004A1804"/>
    <w:rsid w:val="004A3C0A"/>
    <w:rsid w:val="004A4B34"/>
    <w:rsid w:val="004B5F3C"/>
    <w:rsid w:val="004C2B77"/>
    <w:rsid w:val="004C6F39"/>
    <w:rsid w:val="004D4456"/>
    <w:rsid w:val="004D660B"/>
    <w:rsid w:val="004D6EE5"/>
    <w:rsid w:val="004D75AB"/>
    <w:rsid w:val="004E574C"/>
    <w:rsid w:val="004E6629"/>
    <w:rsid w:val="004F24CF"/>
    <w:rsid w:val="004F3491"/>
    <w:rsid w:val="004F508C"/>
    <w:rsid w:val="004F5337"/>
    <w:rsid w:val="004F549D"/>
    <w:rsid w:val="004F5D9C"/>
    <w:rsid w:val="004F63DD"/>
    <w:rsid w:val="004F701C"/>
    <w:rsid w:val="00502210"/>
    <w:rsid w:val="0050283D"/>
    <w:rsid w:val="005030C0"/>
    <w:rsid w:val="00505732"/>
    <w:rsid w:val="00506D6A"/>
    <w:rsid w:val="005105E3"/>
    <w:rsid w:val="00510F00"/>
    <w:rsid w:val="00511246"/>
    <w:rsid w:val="005152DC"/>
    <w:rsid w:val="00517644"/>
    <w:rsid w:val="005207BE"/>
    <w:rsid w:val="00522B0F"/>
    <w:rsid w:val="00532AC7"/>
    <w:rsid w:val="00535EE7"/>
    <w:rsid w:val="00536728"/>
    <w:rsid w:val="00536C01"/>
    <w:rsid w:val="00537642"/>
    <w:rsid w:val="0054246A"/>
    <w:rsid w:val="00542806"/>
    <w:rsid w:val="00551A95"/>
    <w:rsid w:val="00553F5F"/>
    <w:rsid w:val="00560046"/>
    <w:rsid w:val="00567D35"/>
    <w:rsid w:val="0058074D"/>
    <w:rsid w:val="0058515C"/>
    <w:rsid w:val="005868A3"/>
    <w:rsid w:val="00586A78"/>
    <w:rsid w:val="00586BE4"/>
    <w:rsid w:val="00587873"/>
    <w:rsid w:val="00592EA8"/>
    <w:rsid w:val="00593866"/>
    <w:rsid w:val="00594F48"/>
    <w:rsid w:val="0059547F"/>
    <w:rsid w:val="0059596E"/>
    <w:rsid w:val="00596845"/>
    <w:rsid w:val="005B21FF"/>
    <w:rsid w:val="005B2BDC"/>
    <w:rsid w:val="005C0BDF"/>
    <w:rsid w:val="005C25B7"/>
    <w:rsid w:val="005C2CE8"/>
    <w:rsid w:val="005C54E3"/>
    <w:rsid w:val="005C7C53"/>
    <w:rsid w:val="005C7DA4"/>
    <w:rsid w:val="005D6641"/>
    <w:rsid w:val="005D6F48"/>
    <w:rsid w:val="005D7CB5"/>
    <w:rsid w:val="005E0373"/>
    <w:rsid w:val="005E0D8E"/>
    <w:rsid w:val="005E4165"/>
    <w:rsid w:val="005E4547"/>
    <w:rsid w:val="005E4791"/>
    <w:rsid w:val="005E5B0F"/>
    <w:rsid w:val="005E6AB7"/>
    <w:rsid w:val="005E73CF"/>
    <w:rsid w:val="005E73E5"/>
    <w:rsid w:val="005E769E"/>
    <w:rsid w:val="005E7E0D"/>
    <w:rsid w:val="005E7F11"/>
    <w:rsid w:val="005F11D4"/>
    <w:rsid w:val="005F1C13"/>
    <w:rsid w:val="005F29DC"/>
    <w:rsid w:val="005F5BD5"/>
    <w:rsid w:val="005F63C5"/>
    <w:rsid w:val="00602282"/>
    <w:rsid w:val="006023B9"/>
    <w:rsid w:val="00604B4B"/>
    <w:rsid w:val="0060614F"/>
    <w:rsid w:val="006130DE"/>
    <w:rsid w:val="00614297"/>
    <w:rsid w:val="0061659B"/>
    <w:rsid w:val="00630749"/>
    <w:rsid w:val="006353F6"/>
    <w:rsid w:val="0064175F"/>
    <w:rsid w:val="00643959"/>
    <w:rsid w:val="006456B0"/>
    <w:rsid w:val="00651E3C"/>
    <w:rsid w:val="006525F1"/>
    <w:rsid w:val="00654D3B"/>
    <w:rsid w:val="00654F12"/>
    <w:rsid w:val="00654F44"/>
    <w:rsid w:val="00657E1A"/>
    <w:rsid w:val="00667413"/>
    <w:rsid w:val="00670C26"/>
    <w:rsid w:val="00673464"/>
    <w:rsid w:val="00674E90"/>
    <w:rsid w:val="006764FC"/>
    <w:rsid w:val="00676DC6"/>
    <w:rsid w:val="00687299"/>
    <w:rsid w:val="00690484"/>
    <w:rsid w:val="00691D38"/>
    <w:rsid w:val="00692928"/>
    <w:rsid w:val="006949FC"/>
    <w:rsid w:val="00695ABA"/>
    <w:rsid w:val="00697262"/>
    <w:rsid w:val="006A2736"/>
    <w:rsid w:val="006A3FE5"/>
    <w:rsid w:val="006A5B19"/>
    <w:rsid w:val="006A5CE1"/>
    <w:rsid w:val="006A61FE"/>
    <w:rsid w:val="006A6C1C"/>
    <w:rsid w:val="006A796A"/>
    <w:rsid w:val="006B0235"/>
    <w:rsid w:val="006B3266"/>
    <w:rsid w:val="006B37A4"/>
    <w:rsid w:val="006C180B"/>
    <w:rsid w:val="006C1EBB"/>
    <w:rsid w:val="006C27D6"/>
    <w:rsid w:val="006C3FE7"/>
    <w:rsid w:val="006D5B81"/>
    <w:rsid w:val="006D6473"/>
    <w:rsid w:val="006D73F8"/>
    <w:rsid w:val="006E26DE"/>
    <w:rsid w:val="006E582D"/>
    <w:rsid w:val="006E778E"/>
    <w:rsid w:val="006F3E4A"/>
    <w:rsid w:val="006F73E2"/>
    <w:rsid w:val="007003D9"/>
    <w:rsid w:val="00705E74"/>
    <w:rsid w:val="007148B2"/>
    <w:rsid w:val="00714CB5"/>
    <w:rsid w:val="00720122"/>
    <w:rsid w:val="007202E8"/>
    <w:rsid w:val="00724553"/>
    <w:rsid w:val="00727BA4"/>
    <w:rsid w:val="0074302F"/>
    <w:rsid w:val="007470DD"/>
    <w:rsid w:val="00751854"/>
    <w:rsid w:val="00752CAC"/>
    <w:rsid w:val="007556C6"/>
    <w:rsid w:val="0075608D"/>
    <w:rsid w:val="0076033D"/>
    <w:rsid w:val="007615C9"/>
    <w:rsid w:val="007638BD"/>
    <w:rsid w:val="00764EB1"/>
    <w:rsid w:val="00766D7E"/>
    <w:rsid w:val="0077632F"/>
    <w:rsid w:val="00777C56"/>
    <w:rsid w:val="0078138E"/>
    <w:rsid w:val="00782D21"/>
    <w:rsid w:val="00784F67"/>
    <w:rsid w:val="0079138B"/>
    <w:rsid w:val="00794F1B"/>
    <w:rsid w:val="00795EF2"/>
    <w:rsid w:val="007A55D5"/>
    <w:rsid w:val="007A6363"/>
    <w:rsid w:val="007B15F9"/>
    <w:rsid w:val="007B6DEF"/>
    <w:rsid w:val="007C0D7D"/>
    <w:rsid w:val="007C3D89"/>
    <w:rsid w:val="007C4CF8"/>
    <w:rsid w:val="007D0FE5"/>
    <w:rsid w:val="007D30C8"/>
    <w:rsid w:val="007D563D"/>
    <w:rsid w:val="007D742F"/>
    <w:rsid w:val="007D7DF6"/>
    <w:rsid w:val="007E3157"/>
    <w:rsid w:val="007E75F6"/>
    <w:rsid w:val="007F17AA"/>
    <w:rsid w:val="007F1EDF"/>
    <w:rsid w:val="007F490F"/>
    <w:rsid w:val="007F733F"/>
    <w:rsid w:val="008007DE"/>
    <w:rsid w:val="008026EB"/>
    <w:rsid w:val="00803F1D"/>
    <w:rsid w:val="00811157"/>
    <w:rsid w:val="008131CE"/>
    <w:rsid w:val="00815810"/>
    <w:rsid w:val="00815A6E"/>
    <w:rsid w:val="00817563"/>
    <w:rsid w:val="00817C84"/>
    <w:rsid w:val="00817E41"/>
    <w:rsid w:val="0082265C"/>
    <w:rsid w:val="00824CA0"/>
    <w:rsid w:val="00825D24"/>
    <w:rsid w:val="008274C7"/>
    <w:rsid w:val="00833D26"/>
    <w:rsid w:val="00841252"/>
    <w:rsid w:val="00851B87"/>
    <w:rsid w:val="00855874"/>
    <w:rsid w:val="0085740B"/>
    <w:rsid w:val="00873B9C"/>
    <w:rsid w:val="0087442F"/>
    <w:rsid w:val="008771C0"/>
    <w:rsid w:val="00882021"/>
    <w:rsid w:val="00882084"/>
    <w:rsid w:val="008931C6"/>
    <w:rsid w:val="00893477"/>
    <w:rsid w:val="008B0CFC"/>
    <w:rsid w:val="008B1879"/>
    <w:rsid w:val="008B657E"/>
    <w:rsid w:val="008B7386"/>
    <w:rsid w:val="008C04BA"/>
    <w:rsid w:val="008C2084"/>
    <w:rsid w:val="008D324B"/>
    <w:rsid w:val="008D3997"/>
    <w:rsid w:val="008E20AD"/>
    <w:rsid w:val="008E26D2"/>
    <w:rsid w:val="008E4019"/>
    <w:rsid w:val="008E55A1"/>
    <w:rsid w:val="008F05E7"/>
    <w:rsid w:val="008F1F27"/>
    <w:rsid w:val="008F3802"/>
    <w:rsid w:val="008F4655"/>
    <w:rsid w:val="008F629E"/>
    <w:rsid w:val="0090368B"/>
    <w:rsid w:val="0090488B"/>
    <w:rsid w:val="009114A3"/>
    <w:rsid w:val="0091320C"/>
    <w:rsid w:val="00915622"/>
    <w:rsid w:val="00916C79"/>
    <w:rsid w:val="00917563"/>
    <w:rsid w:val="00925C97"/>
    <w:rsid w:val="00925F49"/>
    <w:rsid w:val="0092618A"/>
    <w:rsid w:val="00930220"/>
    <w:rsid w:val="00930373"/>
    <w:rsid w:val="009402D0"/>
    <w:rsid w:val="00943502"/>
    <w:rsid w:val="00944556"/>
    <w:rsid w:val="00953BBC"/>
    <w:rsid w:val="00957BF4"/>
    <w:rsid w:val="00957D47"/>
    <w:rsid w:val="009609B2"/>
    <w:rsid w:val="00964093"/>
    <w:rsid w:val="00964189"/>
    <w:rsid w:val="009679E6"/>
    <w:rsid w:val="009731EF"/>
    <w:rsid w:val="0097431F"/>
    <w:rsid w:val="0097712B"/>
    <w:rsid w:val="00980E0A"/>
    <w:rsid w:val="009811F1"/>
    <w:rsid w:val="009828F9"/>
    <w:rsid w:val="0098616D"/>
    <w:rsid w:val="00990007"/>
    <w:rsid w:val="00994474"/>
    <w:rsid w:val="00997371"/>
    <w:rsid w:val="009A179D"/>
    <w:rsid w:val="009A3696"/>
    <w:rsid w:val="009A5E95"/>
    <w:rsid w:val="009B75A1"/>
    <w:rsid w:val="009C1A9E"/>
    <w:rsid w:val="009C2067"/>
    <w:rsid w:val="009C41C1"/>
    <w:rsid w:val="009C4783"/>
    <w:rsid w:val="009C730F"/>
    <w:rsid w:val="009C7476"/>
    <w:rsid w:val="009D12A0"/>
    <w:rsid w:val="009D4C0E"/>
    <w:rsid w:val="009D6E3B"/>
    <w:rsid w:val="009E1BF1"/>
    <w:rsid w:val="009E1ECF"/>
    <w:rsid w:val="009F7D3E"/>
    <w:rsid w:val="00A0042E"/>
    <w:rsid w:val="00A008DA"/>
    <w:rsid w:val="00A05499"/>
    <w:rsid w:val="00A0726C"/>
    <w:rsid w:val="00A1185E"/>
    <w:rsid w:val="00A1524B"/>
    <w:rsid w:val="00A152C7"/>
    <w:rsid w:val="00A204FB"/>
    <w:rsid w:val="00A21BDC"/>
    <w:rsid w:val="00A27D7E"/>
    <w:rsid w:val="00A33D7B"/>
    <w:rsid w:val="00A36602"/>
    <w:rsid w:val="00A4297D"/>
    <w:rsid w:val="00A45374"/>
    <w:rsid w:val="00A512CC"/>
    <w:rsid w:val="00A56301"/>
    <w:rsid w:val="00A57EAD"/>
    <w:rsid w:val="00A6005F"/>
    <w:rsid w:val="00A62620"/>
    <w:rsid w:val="00A63443"/>
    <w:rsid w:val="00A63BB6"/>
    <w:rsid w:val="00A67A62"/>
    <w:rsid w:val="00A71DF9"/>
    <w:rsid w:val="00A72B2A"/>
    <w:rsid w:val="00A819DE"/>
    <w:rsid w:val="00A81A85"/>
    <w:rsid w:val="00A82AD6"/>
    <w:rsid w:val="00A951BF"/>
    <w:rsid w:val="00A96D4B"/>
    <w:rsid w:val="00A97539"/>
    <w:rsid w:val="00AA22F5"/>
    <w:rsid w:val="00AA2C41"/>
    <w:rsid w:val="00AA6CC1"/>
    <w:rsid w:val="00AB3A2E"/>
    <w:rsid w:val="00AC0464"/>
    <w:rsid w:val="00AC0E4F"/>
    <w:rsid w:val="00AC3203"/>
    <w:rsid w:val="00AD472B"/>
    <w:rsid w:val="00AE02E7"/>
    <w:rsid w:val="00AE0D74"/>
    <w:rsid w:val="00AE2F62"/>
    <w:rsid w:val="00AE455C"/>
    <w:rsid w:val="00AF19FF"/>
    <w:rsid w:val="00AF4E28"/>
    <w:rsid w:val="00B01BB6"/>
    <w:rsid w:val="00B04982"/>
    <w:rsid w:val="00B05B74"/>
    <w:rsid w:val="00B065D3"/>
    <w:rsid w:val="00B14619"/>
    <w:rsid w:val="00B15BC2"/>
    <w:rsid w:val="00B166C8"/>
    <w:rsid w:val="00B22700"/>
    <w:rsid w:val="00B23893"/>
    <w:rsid w:val="00B303B0"/>
    <w:rsid w:val="00B33322"/>
    <w:rsid w:val="00B40F88"/>
    <w:rsid w:val="00B429CE"/>
    <w:rsid w:val="00B439DE"/>
    <w:rsid w:val="00B45E64"/>
    <w:rsid w:val="00B64B21"/>
    <w:rsid w:val="00B65925"/>
    <w:rsid w:val="00B6679D"/>
    <w:rsid w:val="00B72CB4"/>
    <w:rsid w:val="00B929CE"/>
    <w:rsid w:val="00B96014"/>
    <w:rsid w:val="00BA3F97"/>
    <w:rsid w:val="00BA5ED4"/>
    <w:rsid w:val="00BA6BAE"/>
    <w:rsid w:val="00BB08A0"/>
    <w:rsid w:val="00BB106A"/>
    <w:rsid w:val="00BB3A31"/>
    <w:rsid w:val="00BC293E"/>
    <w:rsid w:val="00BC79E4"/>
    <w:rsid w:val="00BD20CF"/>
    <w:rsid w:val="00BE063E"/>
    <w:rsid w:val="00BE0EA9"/>
    <w:rsid w:val="00BE137E"/>
    <w:rsid w:val="00BE708A"/>
    <w:rsid w:val="00BF21F4"/>
    <w:rsid w:val="00BF6023"/>
    <w:rsid w:val="00BF72B1"/>
    <w:rsid w:val="00BF74B5"/>
    <w:rsid w:val="00C00749"/>
    <w:rsid w:val="00C00A56"/>
    <w:rsid w:val="00C03DEE"/>
    <w:rsid w:val="00C10F0C"/>
    <w:rsid w:val="00C11F2D"/>
    <w:rsid w:val="00C164F2"/>
    <w:rsid w:val="00C16F5D"/>
    <w:rsid w:val="00C21FFB"/>
    <w:rsid w:val="00C2562E"/>
    <w:rsid w:val="00C25B06"/>
    <w:rsid w:val="00C2661B"/>
    <w:rsid w:val="00C26B79"/>
    <w:rsid w:val="00C27AD3"/>
    <w:rsid w:val="00C360B4"/>
    <w:rsid w:val="00C403B6"/>
    <w:rsid w:val="00C43E68"/>
    <w:rsid w:val="00C508AB"/>
    <w:rsid w:val="00C51480"/>
    <w:rsid w:val="00C549A2"/>
    <w:rsid w:val="00C568B7"/>
    <w:rsid w:val="00C608D3"/>
    <w:rsid w:val="00C61F7F"/>
    <w:rsid w:val="00C64542"/>
    <w:rsid w:val="00C651E4"/>
    <w:rsid w:val="00C652A2"/>
    <w:rsid w:val="00C67445"/>
    <w:rsid w:val="00C725F4"/>
    <w:rsid w:val="00C729F0"/>
    <w:rsid w:val="00C74A7A"/>
    <w:rsid w:val="00C77A3B"/>
    <w:rsid w:val="00C829D7"/>
    <w:rsid w:val="00C879D7"/>
    <w:rsid w:val="00C905B7"/>
    <w:rsid w:val="00C95110"/>
    <w:rsid w:val="00CA1C66"/>
    <w:rsid w:val="00CA48F2"/>
    <w:rsid w:val="00CA5489"/>
    <w:rsid w:val="00CA5BB9"/>
    <w:rsid w:val="00CA63B6"/>
    <w:rsid w:val="00CA6577"/>
    <w:rsid w:val="00CB0B5B"/>
    <w:rsid w:val="00CB486D"/>
    <w:rsid w:val="00CB48FF"/>
    <w:rsid w:val="00CB796C"/>
    <w:rsid w:val="00CC0297"/>
    <w:rsid w:val="00CC1447"/>
    <w:rsid w:val="00CC2648"/>
    <w:rsid w:val="00CD688E"/>
    <w:rsid w:val="00CE24EE"/>
    <w:rsid w:val="00CE28C8"/>
    <w:rsid w:val="00CE3FE3"/>
    <w:rsid w:val="00CE58CE"/>
    <w:rsid w:val="00CE792E"/>
    <w:rsid w:val="00CF2B75"/>
    <w:rsid w:val="00CF6190"/>
    <w:rsid w:val="00CF6F0D"/>
    <w:rsid w:val="00CF7BBB"/>
    <w:rsid w:val="00D01685"/>
    <w:rsid w:val="00D02FD9"/>
    <w:rsid w:val="00D10286"/>
    <w:rsid w:val="00D121B9"/>
    <w:rsid w:val="00D16C08"/>
    <w:rsid w:val="00D17422"/>
    <w:rsid w:val="00D20294"/>
    <w:rsid w:val="00D2054D"/>
    <w:rsid w:val="00D25DA2"/>
    <w:rsid w:val="00D27EED"/>
    <w:rsid w:val="00D3385C"/>
    <w:rsid w:val="00D368F8"/>
    <w:rsid w:val="00D42A81"/>
    <w:rsid w:val="00D536E9"/>
    <w:rsid w:val="00D54249"/>
    <w:rsid w:val="00D5424F"/>
    <w:rsid w:val="00D55B3C"/>
    <w:rsid w:val="00D56952"/>
    <w:rsid w:val="00D6173F"/>
    <w:rsid w:val="00D62AAD"/>
    <w:rsid w:val="00D632C2"/>
    <w:rsid w:val="00D65763"/>
    <w:rsid w:val="00D678B1"/>
    <w:rsid w:val="00D75264"/>
    <w:rsid w:val="00D76A9B"/>
    <w:rsid w:val="00D82B40"/>
    <w:rsid w:val="00D85F6B"/>
    <w:rsid w:val="00D91A82"/>
    <w:rsid w:val="00D94913"/>
    <w:rsid w:val="00D96885"/>
    <w:rsid w:val="00D970E3"/>
    <w:rsid w:val="00DA2157"/>
    <w:rsid w:val="00DA518A"/>
    <w:rsid w:val="00DA5826"/>
    <w:rsid w:val="00DA7344"/>
    <w:rsid w:val="00DA7D60"/>
    <w:rsid w:val="00DB0185"/>
    <w:rsid w:val="00DB01D1"/>
    <w:rsid w:val="00DB0C70"/>
    <w:rsid w:val="00DB49C6"/>
    <w:rsid w:val="00DB4A5F"/>
    <w:rsid w:val="00DB5F25"/>
    <w:rsid w:val="00DC057D"/>
    <w:rsid w:val="00DC24CC"/>
    <w:rsid w:val="00DC35BE"/>
    <w:rsid w:val="00DC3CB4"/>
    <w:rsid w:val="00DC4803"/>
    <w:rsid w:val="00DC5E80"/>
    <w:rsid w:val="00DC68E5"/>
    <w:rsid w:val="00DD0857"/>
    <w:rsid w:val="00DD1581"/>
    <w:rsid w:val="00DD36B9"/>
    <w:rsid w:val="00DE2256"/>
    <w:rsid w:val="00DE246D"/>
    <w:rsid w:val="00DE52E3"/>
    <w:rsid w:val="00DE5EA1"/>
    <w:rsid w:val="00DE7D0F"/>
    <w:rsid w:val="00DF22ED"/>
    <w:rsid w:val="00E037A1"/>
    <w:rsid w:val="00E07CB9"/>
    <w:rsid w:val="00E1504E"/>
    <w:rsid w:val="00E15498"/>
    <w:rsid w:val="00E2084B"/>
    <w:rsid w:val="00E212C2"/>
    <w:rsid w:val="00E22D0F"/>
    <w:rsid w:val="00E2488A"/>
    <w:rsid w:val="00E24D60"/>
    <w:rsid w:val="00E267F7"/>
    <w:rsid w:val="00E336C4"/>
    <w:rsid w:val="00E35D04"/>
    <w:rsid w:val="00E4425D"/>
    <w:rsid w:val="00E445D5"/>
    <w:rsid w:val="00E44971"/>
    <w:rsid w:val="00E468EB"/>
    <w:rsid w:val="00E5059C"/>
    <w:rsid w:val="00E5320A"/>
    <w:rsid w:val="00E53F7D"/>
    <w:rsid w:val="00E543DE"/>
    <w:rsid w:val="00E54B1D"/>
    <w:rsid w:val="00E554B8"/>
    <w:rsid w:val="00E578CB"/>
    <w:rsid w:val="00E601FE"/>
    <w:rsid w:val="00E63ADA"/>
    <w:rsid w:val="00E64197"/>
    <w:rsid w:val="00E748B3"/>
    <w:rsid w:val="00E865E1"/>
    <w:rsid w:val="00E9566C"/>
    <w:rsid w:val="00EA27D2"/>
    <w:rsid w:val="00EA3DE4"/>
    <w:rsid w:val="00EA6946"/>
    <w:rsid w:val="00EB0E3F"/>
    <w:rsid w:val="00EC0657"/>
    <w:rsid w:val="00EC1C99"/>
    <w:rsid w:val="00EC22D7"/>
    <w:rsid w:val="00ED49BD"/>
    <w:rsid w:val="00ED4C40"/>
    <w:rsid w:val="00ED6438"/>
    <w:rsid w:val="00EE2A44"/>
    <w:rsid w:val="00EE71B7"/>
    <w:rsid w:val="00EF2841"/>
    <w:rsid w:val="00EF2CFC"/>
    <w:rsid w:val="00EF378C"/>
    <w:rsid w:val="00EF4012"/>
    <w:rsid w:val="00EF4973"/>
    <w:rsid w:val="00EF7D98"/>
    <w:rsid w:val="00EF7F08"/>
    <w:rsid w:val="00F02360"/>
    <w:rsid w:val="00F052FB"/>
    <w:rsid w:val="00F126E2"/>
    <w:rsid w:val="00F16CF3"/>
    <w:rsid w:val="00F222BB"/>
    <w:rsid w:val="00F24986"/>
    <w:rsid w:val="00F30284"/>
    <w:rsid w:val="00F323B9"/>
    <w:rsid w:val="00F407D9"/>
    <w:rsid w:val="00F42868"/>
    <w:rsid w:val="00F42F88"/>
    <w:rsid w:val="00F433E5"/>
    <w:rsid w:val="00F4496C"/>
    <w:rsid w:val="00F52C3C"/>
    <w:rsid w:val="00F57A3E"/>
    <w:rsid w:val="00F65A36"/>
    <w:rsid w:val="00F75C37"/>
    <w:rsid w:val="00F76A3A"/>
    <w:rsid w:val="00F8022C"/>
    <w:rsid w:val="00F828B0"/>
    <w:rsid w:val="00F83E3F"/>
    <w:rsid w:val="00F8451D"/>
    <w:rsid w:val="00F85884"/>
    <w:rsid w:val="00F85ACC"/>
    <w:rsid w:val="00F93FAA"/>
    <w:rsid w:val="00F96488"/>
    <w:rsid w:val="00F96E2A"/>
    <w:rsid w:val="00F97517"/>
    <w:rsid w:val="00F97E37"/>
    <w:rsid w:val="00FA2FF1"/>
    <w:rsid w:val="00FA3C5D"/>
    <w:rsid w:val="00FA6C17"/>
    <w:rsid w:val="00FB16FE"/>
    <w:rsid w:val="00FB4520"/>
    <w:rsid w:val="00FB7490"/>
    <w:rsid w:val="00FC3312"/>
    <w:rsid w:val="00FC6CE7"/>
    <w:rsid w:val="00FC721B"/>
    <w:rsid w:val="00FC7DE0"/>
    <w:rsid w:val="00FD4F0C"/>
    <w:rsid w:val="00FD68BD"/>
    <w:rsid w:val="00FE0925"/>
    <w:rsid w:val="00FE0E40"/>
    <w:rsid w:val="00FE1863"/>
    <w:rsid w:val="00FE2CD7"/>
    <w:rsid w:val="00FE325C"/>
    <w:rsid w:val="00FE35BD"/>
    <w:rsid w:val="00FE66F3"/>
    <w:rsid w:val="00FF2E95"/>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89F824-C8B4-49D9-A47C-107DD11B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2BB"/>
    <w:pPr>
      <w:ind w:left="720"/>
      <w:contextualSpacing/>
    </w:pPr>
  </w:style>
  <w:style w:type="paragraph" w:styleId="BalloonText">
    <w:name w:val="Balloon Text"/>
    <w:basedOn w:val="Normal"/>
    <w:link w:val="BalloonTextChar"/>
    <w:uiPriority w:val="99"/>
    <w:semiHidden/>
    <w:unhideWhenUsed/>
    <w:rsid w:val="003D3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BB6"/>
    <w:rPr>
      <w:rFonts w:ascii="Segoe UI" w:hAnsi="Segoe UI" w:cs="Segoe UI"/>
      <w:sz w:val="18"/>
      <w:szCs w:val="18"/>
    </w:rPr>
  </w:style>
  <w:style w:type="paragraph" w:styleId="Header">
    <w:name w:val="header"/>
    <w:basedOn w:val="Normal"/>
    <w:link w:val="HeaderChar"/>
    <w:uiPriority w:val="99"/>
    <w:unhideWhenUsed/>
    <w:rsid w:val="00911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A3"/>
  </w:style>
  <w:style w:type="paragraph" w:styleId="Footer">
    <w:name w:val="footer"/>
    <w:basedOn w:val="Normal"/>
    <w:link w:val="FooterChar"/>
    <w:uiPriority w:val="99"/>
    <w:unhideWhenUsed/>
    <w:rsid w:val="00911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A3"/>
  </w:style>
  <w:style w:type="paragraph" w:styleId="FootnoteText">
    <w:name w:val="footnote text"/>
    <w:basedOn w:val="Normal"/>
    <w:link w:val="FootnoteTextChar"/>
    <w:uiPriority w:val="99"/>
    <w:semiHidden/>
    <w:unhideWhenUsed/>
    <w:rsid w:val="00302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5BD"/>
    <w:rPr>
      <w:sz w:val="20"/>
      <w:szCs w:val="20"/>
    </w:rPr>
  </w:style>
  <w:style w:type="character" w:styleId="FootnoteReference">
    <w:name w:val="footnote reference"/>
    <w:basedOn w:val="DefaultParagraphFont"/>
    <w:uiPriority w:val="99"/>
    <w:semiHidden/>
    <w:unhideWhenUsed/>
    <w:rsid w:val="003025BD"/>
    <w:rPr>
      <w:vertAlign w:val="superscript"/>
    </w:rPr>
  </w:style>
  <w:style w:type="character" w:styleId="CommentReference">
    <w:name w:val="annotation reference"/>
    <w:basedOn w:val="DefaultParagraphFont"/>
    <w:uiPriority w:val="99"/>
    <w:semiHidden/>
    <w:unhideWhenUsed/>
    <w:rsid w:val="00DA7D60"/>
    <w:rPr>
      <w:sz w:val="16"/>
      <w:szCs w:val="16"/>
    </w:rPr>
  </w:style>
  <w:style w:type="paragraph" w:styleId="CommentText">
    <w:name w:val="annotation text"/>
    <w:basedOn w:val="Normal"/>
    <w:link w:val="CommentTextChar"/>
    <w:uiPriority w:val="99"/>
    <w:semiHidden/>
    <w:unhideWhenUsed/>
    <w:rsid w:val="00DA7D60"/>
    <w:pPr>
      <w:spacing w:line="240" w:lineRule="auto"/>
    </w:pPr>
    <w:rPr>
      <w:sz w:val="20"/>
      <w:szCs w:val="20"/>
    </w:rPr>
  </w:style>
  <w:style w:type="character" w:customStyle="1" w:styleId="CommentTextChar">
    <w:name w:val="Comment Text Char"/>
    <w:basedOn w:val="DefaultParagraphFont"/>
    <w:link w:val="CommentText"/>
    <w:uiPriority w:val="99"/>
    <w:semiHidden/>
    <w:rsid w:val="00DA7D60"/>
    <w:rPr>
      <w:sz w:val="20"/>
      <w:szCs w:val="20"/>
    </w:rPr>
  </w:style>
  <w:style w:type="paragraph" w:styleId="CommentSubject">
    <w:name w:val="annotation subject"/>
    <w:basedOn w:val="CommentText"/>
    <w:next w:val="CommentText"/>
    <w:link w:val="CommentSubjectChar"/>
    <w:uiPriority w:val="99"/>
    <w:semiHidden/>
    <w:unhideWhenUsed/>
    <w:rsid w:val="00DA7D60"/>
    <w:rPr>
      <w:b/>
      <w:bCs/>
    </w:rPr>
  </w:style>
  <w:style w:type="character" w:customStyle="1" w:styleId="CommentSubjectChar">
    <w:name w:val="Comment Subject Char"/>
    <w:basedOn w:val="CommentTextChar"/>
    <w:link w:val="CommentSubject"/>
    <w:uiPriority w:val="99"/>
    <w:semiHidden/>
    <w:rsid w:val="00DA7D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5128">
      <w:bodyDiv w:val="1"/>
      <w:marLeft w:val="0"/>
      <w:marRight w:val="0"/>
      <w:marTop w:val="0"/>
      <w:marBottom w:val="0"/>
      <w:divBdr>
        <w:top w:val="none" w:sz="0" w:space="0" w:color="auto"/>
        <w:left w:val="none" w:sz="0" w:space="0" w:color="auto"/>
        <w:bottom w:val="none" w:sz="0" w:space="0" w:color="auto"/>
        <w:right w:val="none" w:sz="0" w:space="0" w:color="auto"/>
      </w:divBdr>
    </w:div>
    <w:div w:id="729034202">
      <w:bodyDiv w:val="1"/>
      <w:marLeft w:val="0"/>
      <w:marRight w:val="0"/>
      <w:marTop w:val="0"/>
      <w:marBottom w:val="0"/>
      <w:divBdr>
        <w:top w:val="none" w:sz="0" w:space="0" w:color="auto"/>
        <w:left w:val="none" w:sz="0" w:space="0" w:color="auto"/>
        <w:bottom w:val="none" w:sz="0" w:space="0" w:color="auto"/>
        <w:right w:val="none" w:sz="0" w:space="0" w:color="auto"/>
      </w:divBdr>
    </w:div>
    <w:div w:id="13948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2023-10-23T18:30:00+00:00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EB79A-8D27-4D9F-864F-A1692CFB30C0}"/>
</file>

<file path=customXml/itemProps2.xml><?xml version="1.0" encoding="utf-8"?>
<ds:datastoreItem xmlns:ds="http://schemas.openxmlformats.org/officeDocument/2006/customXml" ds:itemID="{CFA6ECA6-5754-443A-8576-3D4DCF48C32F}"/>
</file>

<file path=customXml/itemProps3.xml><?xml version="1.0" encoding="utf-8"?>
<ds:datastoreItem xmlns:ds="http://schemas.openxmlformats.org/officeDocument/2006/customXml" ds:itemID="{F9902917-C8B5-4F24-B0F5-88F057636F7F}"/>
</file>

<file path=customXml/itemProps4.xml><?xml version="1.0" encoding="utf-8"?>
<ds:datastoreItem xmlns:ds="http://schemas.openxmlformats.org/officeDocument/2006/customXml" ds:itemID="{CB9C1A71-2288-4B8E-AE51-4436074FCC2F}"/>
</file>

<file path=docProps/app.xml><?xml version="1.0" encoding="utf-8"?>
<Properties xmlns="http://schemas.openxmlformats.org/officeDocument/2006/extended-properties" xmlns:vt="http://schemas.openxmlformats.org/officeDocument/2006/docPropsVTypes">
  <Template>Normal</Template>
  <TotalTime>20</TotalTime>
  <Pages>1</Pages>
  <Words>3359</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Herero Royal Red Flag Ass v Herero Red Flag Ass(HC-MD-CIV-ACT-OTH-2018-00081) [2020] NAHCMD 674 (24 October 2023)</dc:title>
  <dc:subject/>
  <dc:creator>Claudia Claasen</dc:creator>
  <cp:keywords/>
  <dc:description/>
  <cp:lastModifiedBy>Bregitha Coetzee</cp:lastModifiedBy>
  <cp:revision>8</cp:revision>
  <cp:lastPrinted>2023-10-24T11:35:00Z</cp:lastPrinted>
  <dcterms:created xsi:type="dcterms:W3CDTF">2023-10-24T11:20:00Z</dcterms:created>
  <dcterms:modified xsi:type="dcterms:W3CDTF">2023-10-25T06:55:00Z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