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586CA" w14:textId="77777777" w:rsidR="00B40844" w:rsidRPr="004A5618" w:rsidRDefault="00B40844" w:rsidP="004358E2">
      <w:pPr>
        <w:spacing w:after="0" w:line="360" w:lineRule="auto"/>
        <w:jc w:val="center"/>
        <w:rPr>
          <w:rFonts w:ascii="Arial" w:hAnsi="Arial" w:cs="Arial"/>
          <w:b/>
          <w:sz w:val="24"/>
          <w:szCs w:val="24"/>
        </w:rPr>
      </w:pPr>
      <w:r w:rsidRPr="004A5618">
        <w:rPr>
          <w:rFonts w:ascii="Arial" w:hAnsi="Arial" w:cs="Arial"/>
          <w:b/>
          <w:sz w:val="24"/>
          <w:szCs w:val="24"/>
        </w:rPr>
        <w:t>REPUBLIC OF NAMIBIA</w:t>
      </w:r>
    </w:p>
    <w:p w14:paraId="77E0E4BF" w14:textId="77777777" w:rsidR="00B40844" w:rsidRPr="004A5618" w:rsidRDefault="00B40844" w:rsidP="00B40844">
      <w:pPr>
        <w:spacing w:after="0" w:line="360" w:lineRule="auto"/>
        <w:jc w:val="both"/>
        <w:rPr>
          <w:rFonts w:ascii="Arial Narrow" w:hAnsi="Arial Narrow"/>
          <w:sz w:val="10"/>
          <w:szCs w:val="10"/>
        </w:rPr>
      </w:pPr>
      <w:r w:rsidRPr="004A5618">
        <w:rPr>
          <w:noProof/>
          <w:lang w:val="en-ZA" w:eastAsia="en-ZA"/>
        </w:rPr>
        <w:drawing>
          <wp:anchor distT="0" distB="0" distL="114300" distR="114300" simplePos="0" relativeHeight="251659264" behindDoc="0" locked="0" layoutInCell="1" allowOverlap="1" wp14:anchorId="7662C4DF" wp14:editId="06EAD38D">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18">
        <w:rPr>
          <w:rFonts w:ascii="Arial Narrow" w:hAnsi="Arial Narrow"/>
          <w:b/>
          <w:sz w:val="32"/>
          <w:szCs w:val="32"/>
        </w:rPr>
        <w:br w:type="textWrapping" w:clear="all"/>
      </w:r>
    </w:p>
    <w:p w14:paraId="09B46CD9" w14:textId="77777777" w:rsidR="00B40844" w:rsidRPr="004A5618" w:rsidRDefault="00B40844" w:rsidP="00B40844">
      <w:pPr>
        <w:spacing w:after="0" w:line="360" w:lineRule="auto"/>
        <w:jc w:val="center"/>
        <w:rPr>
          <w:rFonts w:ascii="Arial" w:hAnsi="Arial" w:cs="Arial"/>
          <w:bCs/>
          <w:sz w:val="24"/>
          <w:szCs w:val="24"/>
        </w:rPr>
      </w:pPr>
      <w:r w:rsidRPr="004A5618">
        <w:rPr>
          <w:rFonts w:ascii="Arial" w:hAnsi="Arial" w:cs="Arial"/>
          <w:b/>
          <w:sz w:val="24"/>
          <w:szCs w:val="24"/>
        </w:rPr>
        <w:t>HIGH COURT OF NAMIBIA MAIN DIVISION, WINDHOEK</w:t>
      </w:r>
    </w:p>
    <w:p w14:paraId="69C0853D" w14:textId="77777777" w:rsidR="00B40844" w:rsidRPr="004A5618" w:rsidRDefault="00B40844" w:rsidP="00B40844">
      <w:pPr>
        <w:spacing w:after="0" w:line="360" w:lineRule="auto"/>
        <w:jc w:val="center"/>
        <w:rPr>
          <w:rFonts w:ascii="Arial" w:hAnsi="Arial" w:cs="Arial"/>
          <w:b/>
          <w:sz w:val="14"/>
          <w:szCs w:val="14"/>
        </w:rPr>
      </w:pPr>
    </w:p>
    <w:p w14:paraId="19C46F25" w14:textId="254ECD38" w:rsidR="00B40844" w:rsidRDefault="004F738D" w:rsidP="00B40844">
      <w:pPr>
        <w:spacing w:after="0" w:line="360" w:lineRule="auto"/>
        <w:jc w:val="center"/>
        <w:rPr>
          <w:rFonts w:ascii="Arial" w:hAnsi="Arial" w:cs="Arial"/>
          <w:b/>
          <w:sz w:val="24"/>
          <w:szCs w:val="24"/>
        </w:rPr>
      </w:pPr>
      <w:r>
        <w:rPr>
          <w:rFonts w:ascii="Arial" w:hAnsi="Arial" w:cs="Arial"/>
          <w:b/>
          <w:sz w:val="24"/>
          <w:szCs w:val="24"/>
        </w:rPr>
        <w:t>JUDGMENT</w:t>
      </w:r>
    </w:p>
    <w:p w14:paraId="321BC1AB" w14:textId="77777777" w:rsidR="00222067" w:rsidRPr="004A5618" w:rsidRDefault="00222067" w:rsidP="00B40844">
      <w:pPr>
        <w:spacing w:after="0" w:line="360" w:lineRule="auto"/>
        <w:jc w:val="center"/>
        <w:rPr>
          <w:rFonts w:ascii="Arial" w:hAnsi="Arial" w:cs="Arial"/>
          <w:b/>
          <w:sz w:val="24"/>
          <w:szCs w:val="24"/>
        </w:rPr>
      </w:pPr>
    </w:p>
    <w:p w14:paraId="1FE8AD31" w14:textId="0160B8F1" w:rsidR="00D965B8" w:rsidRPr="004A5618" w:rsidRDefault="00D965B8" w:rsidP="00B40844">
      <w:pPr>
        <w:spacing w:after="0" w:line="360" w:lineRule="auto"/>
        <w:jc w:val="center"/>
        <w:rPr>
          <w:rFonts w:ascii="Arial" w:hAnsi="Arial" w:cs="Arial"/>
          <w:b/>
          <w:sz w:val="24"/>
          <w:szCs w:val="24"/>
        </w:rPr>
      </w:pPr>
      <w:r w:rsidRPr="004A5618">
        <w:rPr>
          <w:rFonts w:ascii="Arial" w:hAnsi="Arial" w:cs="Arial"/>
          <w:b/>
          <w:sz w:val="24"/>
          <w:szCs w:val="24"/>
        </w:rPr>
        <w:t>PRACTICE DIRECTI</w:t>
      </w:r>
      <w:r w:rsidR="00222067">
        <w:rPr>
          <w:rFonts w:ascii="Arial" w:hAnsi="Arial" w:cs="Arial"/>
          <w:b/>
          <w:sz w:val="24"/>
          <w:szCs w:val="24"/>
        </w:rPr>
        <w:t>ON</w:t>
      </w:r>
      <w:r w:rsidRPr="004A5618">
        <w:rPr>
          <w:rFonts w:ascii="Arial" w:hAnsi="Arial" w:cs="Arial"/>
          <w:b/>
          <w:sz w:val="24"/>
          <w:szCs w:val="24"/>
        </w:rPr>
        <w:t xml:space="preserve"> 61</w:t>
      </w:r>
    </w:p>
    <w:p w14:paraId="3C4906F8" w14:textId="77777777" w:rsidR="00B40844" w:rsidRPr="004A561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4A5618" w14:paraId="54B0706B" w14:textId="77777777" w:rsidTr="00136505">
        <w:trPr>
          <w:trHeight w:val="997"/>
        </w:trPr>
        <w:tc>
          <w:tcPr>
            <w:tcW w:w="5232" w:type="dxa"/>
            <w:gridSpan w:val="2"/>
            <w:vMerge w:val="restart"/>
          </w:tcPr>
          <w:p w14:paraId="589D2D96"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Case Title:</w:t>
            </w:r>
          </w:p>
          <w:p w14:paraId="20EAB700" w14:textId="500CB0FC" w:rsidR="00B40844" w:rsidRPr="00C7517F" w:rsidRDefault="00DC6B2A" w:rsidP="00DC6B2A">
            <w:pPr>
              <w:jc w:val="both"/>
              <w:rPr>
                <w:rFonts w:ascii="Arial" w:hAnsi="Arial" w:cs="Arial"/>
                <w:sz w:val="24"/>
                <w:szCs w:val="24"/>
              </w:rPr>
            </w:pPr>
            <w:r w:rsidRPr="00DC6B2A">
              <w:rPr>
                <w:rFonts w:ascii="Arial" w:hAnsi="Arial" w:cs="Arial"/>
                <w:sz w:val="24"/>
                <w:szCs w:val="24"/>
              </w:rPr>
              <w:t>ARCETYPE PROJECT CONSULTANTS CLOSE CORPORATION</w:t>
            </w:r>
            <w:r w:rsidR="00602C25" w:rsidRPr="00C7517F">
              <w:rPr>
                <w:rFonts w:ascii="Arial" w:hAnsi="Arial" w:cs="Arial"/>
                <w:sz w:val="24"/>
                <w:szCs w:val="24"/>
              </w:rPr>
              <w:t xml:space="preserve"> </w:t>
            </w:r>
            <w:r w:rsidR="00136505" w:rsidRPr="00C7517F">
              <w:rPr>
                <w:rFonts w:ascii="Arial" w:hAnsi="Arial" w:cs="Arial"/>
                <w:sz w:val="24"/>
                <w:szCs w:val="24"/>
                <w:shd w:val="clear" w:color="auto" w:fill="FFFFFF"/>
              </w:rPr>
              <w:t xml:space="preserve">// </w:t>
            </w:r>
            <w:r w:rsidRPr="00DC6B2A">
              <w:rPr>
                <w:rFonts w:ascii="Arial" w:hAnsi="Arial" w:cs="Arial"/>
                <w:sz w:val="24"/>
                <w:szCs w:val="24"/>
              </w:rPr>
              <w:t>PONDOLA WOMEN TRADING CC</w:t>
            </w:r>
            <w:r w:rsidR="00FE0A83" w:rsidRPr="00DC6B2A">
              <w:rPr>
                <w:rFonts w:ascii="Arial" w:hAnsi="Arial" w:cs="Arial"/>
                <w:sz w:val="24"/>
                <w:szCs w:val="24"/>
              </w:rPr>
              <w:t xml:space="preserve"> </w:t>
            </w:r>
            <w:r w:rsidR="00FE0A83" w:rsidRPr="00C7517F">
              <w:rPr>
                <w:rFonts w:ascii="Arial" w:hAnsi="Arial" w:cs="Arial"/>
                <w:sz w:val="24"/>
                <w:szCs w:val="24"/>
              </w:rPr>
              <w:t xml:space="preserve">&amp; </w:t>
            </w:r>
            <w:r>
              <w:rPr>
                <w:rFonts w:ascii="Arial" w:hAnsi="Arial" w:cs="Arial"/>
                <w:sz w:val="24"/>
                <w:szCs w:val="24"/>
              </w:rPr>
              <w:t>4</w:t>
            </w:r>
            <w:r w:rsidR="00FE0A83" w:rsidRPr="00C7517F">
              <w:rPr>
                <w:rFonts w:ascii="Arial" w:hAnsi="Arial" w:cs="Arial"/>
                <w:sz w:val="24"/>
                <w:szCs w:val="24"/>
              </w:rPr>
              <w:t xml:space="preserve"> OTHERS</w:t>
            </w:r>
          </w:p>
        </w:tc>
        <w:tc>
          <w:tcPr>
            <w:tcW w:w="4974" w:type="dxa"/>
          </w:tcPr>
          <w:p w14:paraId="677B36DE"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Case No:</w:t>
            </w:r>
          </w:p>
          <w:p w14:paraId="7CF4C181" w14:textId="226D25C0" w:rsidR="00865F37" w:rsidRPr="00DC6B2A" w:rsidRDefault="00DC6B2A" w:rsidP="00937C89">
            <w:pPr>
              <w:spacing w:line="360" w:lineRule="auto"/>
              <w:jc w:val="both"/>
              <w:rPr>
                <w:rFonts w:ascii="Arial" w:hAnsi="Arial" w:cs="Arial"/>
                <w:sz w:val="24"/>
                <w:szCs w:val="24"/>
              </w:rPr>
            </w:pPr>
            <w:r w:rsidRPr="00DC6B2A">
              <w:rPr>
                <w:rFonts w:ascii="Arial" w:hAnsi="Arial" w:cs="Arial"/>
                <w:sz w:val="24"/>
                <w:szCs w:val="24"/>
              </w:rPr>
              <w:t>HC-MD-CIV-ACT-CON-2022/01972</w:t>
            </w:r>
          </w:p>
        </w:tc>
      </w:tr>
      <w:tr w:rsidR="00CA7995" w:rsidRPr="004A5618" w14:paraId="166013AA" w14:textId="77777777" w:rsidTr="00136505">
        <w:trPr>
          <w:trHeight w:val="968"/>
        </w:trPr>
        <w:tc>
          <w:tcPr>
            <w:tcW w:w="5232" w:type="dxa"/>
            <w:gridSpan w:val="2"/>
            <w:vMerge/>
          </w:tcPr>
          <w:p w14:paraId="0FD58AC5" w14:textId="77777777" w:rsidR="00B40844" w:rsidRPr="004A5618" w:rsidRDefault="00B40844" w:rsidP="00937C89">
            <w:pPr>
              <w:spacing w:line="360" w:lineRule="auto"/>
              <w:jc w:val="both"/>
              <w:rPr>
                <w:rFonts w:ascii="Arial" w:hAnsi="Arial" w:cs="Arial"/>
                <w:sz w:val="24"/>
                <w:szCs w:val="24"/>
              </w:rPr>
            </w:pPr>
          </w:p>
        </w:tc>
        <w:tc>
          <w:tcPr>
            <w:tcW w:w="4974" w:type="dxa"/>
          </w:tcPr>
          <w:p w14:paraId="0E396F8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b/>
                <w:sz w:val="24"/>
                <w:szCs w:val="24"/>
              </w:rPr>
              <w:t>Division of Court:</w:t>
            </w:r>
          </w:p>
          <w:p w14:paraId="4C77435D"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HIGH COURT (MAIN DIVISION)</w:t>
            </w:r>
          </w:p>
        </w:tc>
      </w:tr>
      <w:tr w:rsidR="00CA7995" w:rsidRPr="004A5618" w14:paraId="0BF47252" w14:textId="77777777" w:rsidTr="00136505">
        <w:trPr>
          <w:trHeight w:val="965"/>
        </w:trPr>
        <w:tc>
          <w:tcPr>
            <w:tcW w:w="5232" w:type="dxa"/>
            <w:gridSpan w:val="2"/>
            <w:vMerge w:val="restart"/>
          </w:tcPr>
          <w:p w14:paraId="7EDF222B"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Heard before:</w:t>
            </w:r>
          </w:p>
          <w:p w14:paraId="512EBB6A" w14:textId="2FC2E2B8" w:rsidR="00B40844" w:rsidRPr="004A5618" w:rsidRDefault="00136505" w:rsidP="00E60E31">
            <w:pPr>
              <w:spacing w:line="360" w:lineRule="auto"/>
              <w:jc w:val="both"/>
              <w:rPr>
                <w:rFonts w:ascii="Arial" w:hAnsi="Arial" w:cs="Arial"/>
                <w:sz w:val="24"/>
                <w:szCs w:val="24"/>
              </w:rPr>
            </w:pPr>
            <w:r w:rsidRPr="004A5618">
              <w:rPr>
                <w:rFonts w:ascii="Arial" w:hAnsi="Arial" w:cs="Arial"/>
                <w:sz w:val="24"/>
                <w:szCs w:val="24"/>
              </w:rPr>
              <w:t>PARKER</w:t>
            </w:r>
            <w:r w:rsidR="00B40844" w:rsidRPr="004A5618">
              <w:rPr>
                <w:rFonts w:ascii="Arial" w:hAnsi="Arial" w:cs="Arial"/>
                <w:sz w:val="24"/>
                <w:szCs w:val="24"/>
              </w:rPr>
              <w:t xml:space="preserve">, </w:t>
            </w:r>
            <w:r w:rsidRPr="004A5618">
              <w:rPr>
                <w:rFonts w:ascii="Arial" w:hAnsi="Arial" w:cs="Arial"/>
                <w:sz w:val="24"/>
                <w:szCs w:val="24"/>
              </w:rPr>
              <w:t>A</w:t>
            </w:r>
            <w:r w:rsidR="00E60E31">
              <w:rPr>
                <w:rFonts w:ascii="Arial" w:hAnsi="Arial" w:cs="Arial"/>
                <w:sz w:val="24"/>
                <w:szCs w:val="24"/>
              </w:rPr>
              <w:t>J</w:t>
            </w:r>
          </w:p>
        </w:tc>
        <w:tc>
          <w:tcPr>
            <w:tcW w:w="4974" w:type="dxa"/>
          </w:tcPr>
          <w:p w14:paraId="08D8ABA6" w14:textId="1457129D" w:rsidR="00B40844" w:rsidRPr="004A5618" w:rsidRDefault="0080318F" w:rsidP="00937C89">
            <w:pPr>
              <w:spacing w:line="360" w:lineRule="auto"/>
              <w:jc w:val="both"/>
              <w:rPr>
                <w:rFonts w:ascii="Arial" w:hAnsi="Arial" w:cs="Arial"/>
                <w:b/>
                <w:sz w:val="24"/>
                <w:szCs w:val="24"/>
              </w:rPr>
            </w:pPr>
            <w:r>
              <w:rPr>
                <w:rFonts w:ascii="Arial" w:hAnsi="Arial" w:cs="Arial"/>
                <w:b/>
                <w:sz w:val="24"/>
                <w:szCs w:val="24"/>
              </w:rPr>
              <w:t>H</w:t>
            </w:r>
            <w:r w:rsidR="00DE1990">
              <w:rPr>
                <w:rFonts w:ascii="Arial" w:hAnsi="Arial" w:cs="Arial"/>
                <w:b/>
                <w:sz w:val="24"/>
                <w:szCs w:val="24"/>
              </w:rPr>
              <w:t>eard</w:t>
            </w:r>
            <w:r>
              <w:rPr>
                <w:rFonts w:ascii="Arial" w:hAnsi="Arial" w:cs="Arial"/>
                <w:b/>
                <w:sz w:val="24"/>
                <w:szCs w:val="24"/>
              </w:rPr>
              <w:t xml:space="preserve"> on</w:t>
            </w:r>
            <w:r w:rsidR="00B40844" w:rsidRPr="004A5618">
              <w:rPr>
                <w:rFonts w:ascii="Arial" w:hAnsi="Arial" w:cs="Arial"/>
                <w:b/>
                <w:sz w:val="24"/>
                <w:szCs w:val="24"/>
              </w:rPr>
              <w:t>:</w:t>
            </w:r>
          </w:p>
          <w:p w14:paraId="7B3DC67C" w14:textId="3AB91DDF" w:rsidR="00B40844" w:rsidRPr="004A5618" w:rsidRDefault="00DC6B2A" w:rsidP="00DC6B2A">
            <w:pPr>
              <w:spacing w:line="360" w:lineRule="auto"/>
              <w:jc w:val="both"/>
              <w:rPr>
                <w:rFonts w:ascii="Arial" w:hAnsi="Arial" w:cs="Arial"/>
                <w:sz w:val="24"/>
                <w:szCs w:val="24"/>
              </w:rPr>
            </w:pPr>
            <w:r>
              <w:rPr>
                <w:rFonts w:ascii="Arial" w:hAnsi="Arial" w:cs="Arial"/>
                <w:sz w:val="24"/>
                <w:szCs w:val="24"/>
              </w:rPr>
              <w:t>19</w:t>
            </w:r>
            <w:r w:rsidR="00C2633E" w:rsidRPr="004A5618">
              <w:rPr>
                <w:rFonts w:ascii="Arial" w:hAnsi="Arial" w:cs="Arial"/>
                <w:sz w:val="24"/>
                <w:szCs w:val="24"/>
              </w:rPr>
              <w:t xml:space="preserve"> </w:t>
            </w:r>
            <w:r>
              <w:rPr>
                <w:rFonts w:ascii="Arial" w:hAnsi="Arial" w:cs="Arial"/>
                <w:sz w:val="24"/>
                <w:szCs w:val="24"/>
              </w:rPr>
              <w:t>SEPTEMBER</w:t>
            </w:r>
            <w:r w:rsidR="00B40844" w:rsidRPr="004A5618">
              <w:rPr>
                <w:rFonts w:ascii="Arial" w:hAnsi="Arial" w:cs="Arial"/>
                <w:sz w:val="24"/>
                <w:szCs w:val="24"/>
              </w:rPr>
              <w:t xml:space="preserve"> 202</w:t>
            </w:r>
            <w:r w:rsidR="00C2633E" w:rsidRPr="004A5618">
              <w:rPr>
                <w:rFonts w:ascii="Arial" w:hAnsi="Arial" w:cs="Arial"/>
                <w:sz w:val="24"/>
                <w:szCs w:val="24"/>
              </w:rPr>
              <w:t>3</w:t>
            </w:r>
          </w:p>
        </w:tc>
      </w:tr>
      <w:tr w:rsidR="00CA7995" w:rsidRPr="004A5618" w14:paraId="751064C1" w14:textId="77777777" w:rsidTr="00136505">
        <w:trPr>
          <w:trHeight w:val="991"/>
        </w:trPr>
        <w:tc>
          <w:tcPr>
            <w:tcW w:w="5232" w:type="dxa"/>
            <w:gridSpan w:val="2"/>
            <w:vMerge/>
          </w:tcPr>
          <w:p w14:paraId="3BD25D3A" w14:textId="77777777" w:rsidR="00B40844" w:rsidRPr="004A5618" w:rsidRDefault="00B40844" w:rsidP="00937C89">
            <w:pPr>
              <w:spacing w:line="360" w:lineRule="auto"/>
              <w:jc w:val="both"/>
              <w:rPr>
                <w:rFonts w:ascii="Arial" w:hAnsi="Arial" w:cs="Arial"/>
                <w:b/>
                <w:sz w:val="24"/>
                <w:szCs w:val="24"/>
              </w:rPr>
            </w:pPr>
          </w:p>
        </w:tc>
        <w:tc>
          <w:tcPr>
            <w:tcW w:w="4974" w:type="dxa"/>
          </w:tcPr>
          <w:p w14:paraId="104F3EB5" w14:textId="77777777" w:rsidR="00B40844" w:rsidRPr="004A5618" w:rsidRDefault="00B40844" w:rsidP="00937C89">
            <w:pPr>
              <w:spacing w:line="360" w:lineRule="auto"/>
              <w:jc w:val="both"/>
              <w:rPr>
                <w:rFonts w:ascii="Arial" w:hAnsi="Arial" w:cs="Arial"/>
                <w:b/>
                <w:sz w:val="24"/>
                <w:szCs w:val="24"/>
              </w:rPr>
            </w:pPr>
            <w:r w:rsidRPr="004A5618">
              <w:rPr>
                <w:rFonts w:ascii="Arial" w:hAnsi="Arial" w:cs="Arial"/>
                <w:b/>
                <w:sz w:val="24"/>
                <w:szCs w:val="24"/>
              </w:rPr>
              <w:t>Delivered on:</w:t>
            </w:r>
          </w:p>
          <w:p w14:paraId="4B2567EA" w14:textId="05566381" w:rsidR="00B40844" w:rsidRPr="004A5618" w:rsidRDefault="009B4A62" w:rsidP="009B4A62">
            <w:pPr>
              <w:spacing w:line="360" w:lineRule="auto"/>
              <w:jc w:val="both"/>
              <w:rPr>
                <w:rFonts w:ascii="Arial" w:hAnsi="Arial" w:cs="Arial"/>
                <w:b/>
                <w:sz w:val="24"/>
                <w:szCs w:val="24"/>
              </w:rPr>
            </w:pPr>
            <w:r>
              <w:rPr>
                <w:rFonts w:ascii="Arial" w:hAnsi="Arial" w:cs="Arial"/>
                <w:sz w:val="24"/>
                <w:szCs w:val="24"/>
              </w:rPr>
              <w:t>1</w:t>
            </w:r>
            <w:r w:rsidR="00136505" w:rsidRPr="004A5618">
              <w:rPr>
                <w:rFonts w:ascii="Arial" w:hAnsi="Arial" w:cs="Arial"/>
                <w:sz w:val="24"/>
                <w:szCs w:val="24"/>
              </w:rPr>
              <w:t xml:space="preserve"> </w:t>
            </w:r>
            <w:r>
              <w:rPr>
                <w:rFonts w:ascii="Arial" w:hAnsi="Arial" w:cs="Arial"/>
                <w:sz w:val="24"/>
                <w:szCs w:val="24"/>
              </w:rPr>
              <w:t>NOVEMBER</w:t>
            </w:r>
            <w:r w:rsidR="00B40844" w:rsidRPr="004A5618">
              <w:rPr>
                <w:rFonts w:ascii="Arial" w:hAnsi="Arial" w:cs="Arial"/>
                <w:sz w:val="24"/>
                <w:szCs w:val="24"/>
              </w:rPr>
              <w:t xml:space="preserve"> 202</w:t>
            </w:r>
            <w:r w:rsidR="00C2633E" w:rsidRPr="004A5618">
              <w:rPr>
                <w:rFonts w:ascii="Arial" w:hAnsi="Arial" w:cs="Arial"/>
                <w:sz w:val="24"/>
                <w:szCs w:val="24"/>
              </w:rPr>
              <w:t>3</w:t>
            </w:r>
            <w:bookmarkStart w:id="0" w:name="_GoBack"/>
            <w:bookmarkEnd w:id="0"/>
          </w:p>
        </w:tc>
      </w:tr>
      <w:tr w:rsidR="00CA7995" w:rsidRPr="004A5618" w14:paraId="51AC7992" w14:textId="77777777" w:rsidTr="00222067">
        <w:trPr>
          <w:trHeight w:val="998"/>
        </w:trPr>
        <w:tc>
          <w:tcPr>
            <w:tcW w:w="10206" w:type="dxa"/>
            <w:gridSpan w:val="3"/>
          </w:tcPr>
          <w:p w14:paraId="10F63DC5" w14:textId="38DB2B50" w:rsidR="00B40844" w:rsidRPr="004A5618" w:rsidRDefault="00B40844" w:rsidP="00663C80">
            <w:pPr>
              <w:spacing w:line="360" w:lineRule="auto"/>
              <w:ind w:left="2019" w:hanging="2019"/>
              <w:jc w:val="both"/>
              <w:rPr>
                <w:rFonts w:ascii="Arial" w:hAnsi="Arial" w:cs="Arial"/>
                <w:sz w:val="24"/>
                <w:szCs w:val="24"/>
              </w:rPr>
            </w:pPr>
            <w:r w:rsidRPr="004A5618">
              <w:rPr>
                <w:rFonts w:ascii="Arial" w:hAnsi="Arial" w:cs="Arial"/>
                <w:b/>
                <w:sz w:val="24"/>
                <w:szCs w:val="24"/>
              </w:rPr>
              <w:t>Neutral citation</w:t>
            </w:r>
            <w:r w:rsidR="009B4A62" w:rsidRPr="004A5618">
              <w:rPr>
                <w:rFonts w:ascii="Arial" w:hAnsi="Arial" w:cs="Arial"/>
                <w:sz w:val="24"/>
                <w:szCs w:val="24"/>
              </w:rPr>
              <w:tab/>
            </w:r>
            <w:proofErr w:type="spellStart"/>
            <w:r w:rsidR="00DC6B2A" w:rsidRPr="000B6579">
              <w:rPr>
                <w:rFonts w:ascii="Arial" w:hAnsi="Arial" w:cs="Arial"/>
                <w:i/>
                <w:sz w:val="24"/>
                <w:szCs w:val="24"/>
              </w:rPr>
              <w:t>Arcetype</w:t>
            </w:r>
            <w:proofErr w:type="spellEnd"/>
            <w:r w:rsidR="00DC6B2A" w:rsidRPr="000B6579">
              <w:rPr>
                <w:rFonts w:ascii="Arial" w:hAnsi="Arial" w:cs="Arial"/>
                <w:i/>
                <w:sz w:val="24"/>
                <w:szCs w:val="24"/>
              </w:rPr>
              <w:t xml:space="preserve"> Project Consultants Close Corporation</w:t>
            </w:r>
            <w:r w:rsidR="00C7517F" w:rsidRPr="000B6579">
              <w:rPr>
                <w:rFonts w:ascii="Arial" w:hAnsi="Arial" w:cs="Arial"/>
                <w:i/>
                <w:sz w:val="24"/>
                <w:szCs w:val="24"/>
              </w:rPr>
              <w:t xml:space="preserve"> </w:t>
            </w:r>
            <w:r w:rsidR="00C7517F" w:rsidRPr="000B6579">
              <w:rPr>
                <w:rFonts w:ascii="Arial" w:hAnsi="Arial" w:cs="Arial"/>
                <w:i/>
                <w:sz w:val="24"/>
                <w:szCs w:val="24"/>
                <w:shd w:val="clear" w:color="auto" w:fill="FFFFFF"/>
              </w:rPr>
              <w:t xml:space="preserve">// </w:t>
            </w:r>
            <w:proofErr w:type="spellStart"/>
            <w:r w:rsidR="00DC6B2A" w:rsidRPr="000B6579">
              <w:rPr>
                <w:rFonts w:ascii="Arial" w:hAnsi="Arial" w:cs="Arial"/>
                <w:i/>
                <w:sz w:val="24"/>
                <w:szCs w:val="24"/>
              </w:rPr>
              <w:t>Pondola</w:t>
            </w:r>
            <w:proofErr w:type="spellEnd"/>
            <w:r w:rsidR="00DC6B2A" w:rsidRPr="000B6579">
              <w:rPr>
                <w:rFonts w:ascii="Arial" w:hAnsi="Arial" w:cs="Arial"/>
                <w:i/>
                <w:sz w:val="24"/>
                <w:szCs w:val="24"/>
              </w:rPr>
              <w:t xml:space="preserve"> Women Trading CC</w:t>
            </w:r>
            <w:r w:rsidRPr="004A5618">
              <w:rPr>
                <w:rFonts w:ascii="Arial" w:hAnsi="Arial" w:cs="Arial"/>
                <w:sz w:val="24"/>
                <w:szCs w:val="24"/>
              </w:rPr>
              <w:t xml:space="preserve"> (</w:t>
            </w:r>
            <w:r w:rsidR="00DC6B2A" w:rsidRPr="00DC6B2A">
              <w:rPr>
                <w:rFonts w:ascii="Arial" w:hAnsi="Arial" w:cs="Arial"/>
                <w:sz w:val="24"/>
                <w:szCs w:val="24"/>
              </w:rPr>
              <w:t>HC-MD-CIV-ACT-CON-2022/01972</w:t>
            </w:r>
            <w:r w:rsidRPr="004A5618">
              <w:rPr>
                <w:rFonts w:ascii="Arial" w:hAnsi="Arial" w:cs="Arial"/>
                <w:sz w:val="24"/>
                <w:szCs w:val="24"/>
              </w:rPr>
              <w:t>)</w:t>
            </w:r>
            <w:r w:rsidRPr="004A5618">
              <w:rPr>
                <w:rFonts w:ascii="Arial" w:hAnsi="Arial" w:cs="Arial"/>
                <w:b/>
                <w:sz w:val="24"/>
                <w:szCs w:val="24"/>
              </w:rPr>
              <w:t xml:space="preserve"> </w:t>
            </w:r>
            <w:r w:rsidRPr="004A5618">
              <w:rPr>
                <w:rFonts w:ascii="Arial" w:hAnsi="Arial" w:cs="Arial"/>
                <w:sz w:val="24"/>
                <w:szCs w:val="24"/>
              </w:rPr>
              <w:t>[202</w:t>
            </w:r>
            <w:r w:rsidR="00B47800" w:rsidRPr="004A5618">
              <w:rPr>
                <w:rFonts w:ascii="Arial" w:hAnsi="Arial" w:cs="Arial"/>
                <w:sz w:val="24"/>
                <w:szCs w:val="24"/>
              </w:rPr>
              <w:t>3</w:t>
            </w:r>
            <w:r w:rsidRPr="004A5618">
              <w:rPr>
                <w:rFonts w:ascii="Arial" w:hAnsi="Arial" w:cs="Arial"/>
                <w:sz w:val="24"/>
                <w:szCs w:val="24"/>
              </w:rPr>
              <w:t xml:space="preserve">] NAHCMD </w:t>
            </w:r>
            <w:r w:rsidR="00663C80">
              <w:rPr>
                <w:rFonts w:ascii="Arial" w:hAnsi="Arial" w:cs="Arial"/>
                <w:sz w:val="24"/>
                <w:szCs w:val="24"/>
              </w:rPr>
              <w:t>690</w:t>
            </w:r>
            <w:r w:rsidRPr="004A5618">
              <w:rPr>
                <w:rFonts w:ascii="Arial" w:hAnsi="Arial" w:cs="Arial"/>
                <w:sz w:val="24"/>
                <w:szCs w:val="24"/>
              </w:rPr>
              <w:t xml:space="preserve"> (</w:t>
            </w:r>
            <w:r w:rsidR="009B4A62">
              <w:rPr>
                <w:rFonts w:ascii="Arial" w:hAnsi="Arial" w:cs="Arial"/>
                <w:sz w:val="24"/>
                <w:szCs w:val="24"/>
              </w:rPr>
              <w:t>1</w:t>
            </w:r>
            <w:r w:rsidR="00136505" w:rsidRPr="004A5618">
              <w:rPr>
                <w:rFonts w:ascii="Arial" w:hAnsi="Arial" w:cs="Arial"/>
                <w:sz w:val="24"/>
                <w:szCs w:val="24"/>
              </w:rPr>
              <w:t xml:space="preserve"> </w:t>
            </w:r>
            <w:r w:rsidR="009B4A62">
              <w:rPr>
                <w:rFonts w:ascii="Arial" w:hAnsi="Arial" w:cs="Arial"/>
                <w:sz w:val="24"/>
                <w:szCs w:val="24"/>
              </w:rPr>
              <w:t>November</w:t>
            </w:r>
            <w:r w:rsidR="00B47800" w:rsidRPr="004A5618">
              <w:rPr>
                <w:rFonts w:ascii="Arial" w:hAnsi="Arial" w:cs="Arial"/>
                <w:sz w:val="24"/>
                <w:szCs w:val="24"/>
              </w:rPr>
              <w:t xml:space="preserve"> 2023</w:t>
            </w:r>
            <w:r w:rsidRPr="004A5618">
              <w:rPr>
                <w:rFonts w:ascii="Arial" w:hAnsi="Arial" w:cs="Arial"/>
                <w:sz w:val="24"/>
                <w:szCs w:val="24"/>
              </w:rPr>
              <w:t>)</w:t>
            </w:r>
          </w:p>
        </w:tc>
      </w:tr>
      <w:tr w:rsidR="00222067" w:rsidRPr="004A5618" w14:paraId="11188504" w14:textId="77777777" w:rsidTr="00222067">
        <w:trPr>
          <w:trHeight w:val="542"/>
        </w:trPr>
        <w:tc>
          <w:tcPr>
            <w:tcW w:w="10206" w:type="dxa"/>
            <w:gridSpan w:val="3"/>
          </w:tcPr>
          <w:p w14:paraId="6CE7BBB2" w14:textId="6BCCA21D" w:rsidR="00222067" w:rsidRPr="004A5618" w:rsidRDefault="00222067" w:rsidP="00222067">
            <w:pPr>
              <w:spacing w:line="360" w:lineRule="auto"/>
              <w:jc w:val="both"/>
              <w:rPr>
                <w:rFonts w:ascii="Arial" w:hAnsi="Arial" w:cs="Arial"/>
                <w:b/>
                <w:sz w:val="24"/>
                <w:szCs w:val="24"/>
              </w:rPr>
            </w:pPr>
            <w:r w:rsidRPr="004A5618">
              <w:rPr>
                <w:rFonts w:ascii="Arial" w:hAnsi="Arial" w:cs="Arial"/>
                <w:b/>
                <w:sz w:val="24"/>
                <w:szCs w:val="24"/>
              </w:rPr>
              <w:t>Order:</w:t>
            </w:r>
          </w:p>
        </w:tc>
      </w:tr>
      <w:tr w:rsidR="00CA7995" w:rsidRPr="004A5618" w14:paraId="6E51612E" w14:textId="77777777" w:rsidTr="00136505">
        <w:tc>
          <w:tcPr>
            <w:tcW w:w="10206" w:type="dxa"/>
            <w:gridSpan w:val="3"/>
          </w:tcPr>
          <w:p w14:paraId="79CF1D7B" w14:textId="77777777" w:rsidR="004E3BFB" w:rsidRPr="004A5618" w:rsidRDefault="004E3BFB" w:rsidP="00937C89">
            <w:pPr>
              <w:spacing w:line="360" w:lineRule="auto"/>
              <w:jc w:val="both"/>
              <w:rPr>
                <w:rFonts w:ascii="Arial" w:hAnsi="Arial" w:cs="Arial"/>
                <w:b/>
                <w:sz w:val="24"/>
                <w:szCs w:val="24"/>
              </w:rPr>
            </w:pPr>
          </w:p>
          <w:p w14:paraId="25F13C6E" w14:textId="6E7D4BAA" w:rsidR="009119B5" w:rsidRPr="00220768" w:rsidRDefault="009119B5" w:rsidP="009119B5">
            <w:pPr>
              <w:spacing w:line="360" w:lineRule="auto"/>
              <w:jc w:val="both"/>
              <w:rPr>
                <w:rFonts w:ascii="Arial" w:hAnsi="Arial" w:cs="Arial"/>
                <w:sz w:val="24"/>
                <w:szCs w:val="24"/>
              </w:rPr>
            </w:pPr>
            <w:r>
              <w:rPr>
                <w:rFonts w:ascii="Arial" w:hAnsi="Arial" w:cs="Arial"/>
                <w:sz w:val="24"/>
                <w:szCs w:val="24"/>
              </w:rPr>
              <w:t>1.</w:t>
            </w:r>
            <w:r w:rsidRPr="00220768">
              <w:rPr>
                <w:rFonts w:ascii="Arial" w:hAnsi="Arial" w:cs="Arial"/>
                <w:sz w:val="24"/>
                <w:szCs w:val="24"/>
              </w:rPr>
              <w:t xml:space="preserve"> </w:t>
            </w:r>
            <w:r w:rsidRPr="00220768">
              <w:rPr>
                <w:rFonts w:ascii="Arial" w:hAnsi="Arial" w:cs="Arial"/>
                <w:sz w:val="24"/>
                <w:szCs w:val="24"/>
              </w:rPr>
              <w:tab/>
            </w:r>
            <w:r>
              <w:rPr>
                <w:rFonts w:ascii="Arial" w:hAnsi="Arial" w:cs="Arial"/>
                <w:sz w:val="24"/>
                <w:szCs w:val="24"/>
              </w:rPr>
              <w:t>Absolution from the instance is granted with costs.</w:t>
            </w:r>
          </w:p>
          <w:p w14:paraId="32A7FF09" w14:textId="77777777" w:rsidR="009119B5" w:rsidRPr="00220768" w:rsidRDefault="009119B5" w:rsidP="009119B5">
            <w:pPr>
              <w:spacing w:line="360" w:lineRule="auto"/>
              <w:jc w:val="both"/>
              <w:rPr>
                <w:rFonts w:ascii="Arial" w:hAnsi="Arial" w:cs="Arial"/>
                <w:sz w:val="24"/>
                <w:szCs w:val="24"/>
              </w:rPr>
            </w:pPr>
          </w:p>
          <w:p w14:paraId="71EFC326" w14:textId="77777777" w:rsidR="009119B5" w:rsidRPr="00220768" w:rsidRDefault="009119B5" w:rsidP="009119B5">
            <w:pPr>
              <w:spacing w:line="360" w:lineRule="auto"/>
              <w:ind w:left="743" w:hanging="743"/>
              <w:jc w:val="both"/>
              <w:rPr>
                <w:rFonts w:ascii="Arial" w:hAnsi="Arial" w:cs="Arial"/>
                <w:sz w:val="24"/>
                <w:szCs w:val="24"/>
              </w:rPr>
            </w:pPr>
            <w:r w:rsidRPr="00220768">
              <w:rPr>
                <w:rFonts w:ascii="Arial" w:hAnsi="Arial" w:cs="Arial"/>
                <w:sz w:val="24"/>
                <w:szCs w:val="24"/>
              </w:rPr>
              <w:t>2.</w:t>
            </w:r>
            <w:r w:rsidRPr="00220768">
              <w:rPr>
                <w:rFonts w:ascii="Arial" w:hAnsi="Arial" w:cs="Arial"/>
                <w:sz w:val="24"/>
                <w:szCs w:val="24"/>
              </w:rPr>
              <w:tab/>
            </w:r>
            <w:r>
              <w:rPr>
                <w:rFonts w:ascii="Arial" w:hAnsi="Arial" w:cs="Arial"/>
                <w:sz w:val="24"/>
                <w:szCs w:val="24"/>
              </w:rPr>
              <w:t>The matter is finalised and removed from the roll.</w:t>
            </w:r>
          </w:p>
          <w:p w14:paraId="1D7360B2" w14:textId="77777777" w:rsidR="008C2200" w:rsidRPr="004A5618" w:rsidRDefault="008C2200" w:rsidP="00B32493">
            <w:pPr>
              <w:pStyle w:val="ListParagraph"/>
              <w:spacing w:line="360" w:lineRule="auto"/>
              <w:ind w:left="1110"/>
              <w:jc w:val="both"/>
              <w:rPr>
                <w:rFonts w:ascii="Arial" w:hAnsi="Arial" w:cs="Arial"/>
              </w:rPr>
            </w:pPr>
          </w:p>
        </w:tc>
      </w:tr>
      <w:tr w:rsidR="00CA7995" w:rsidRPr="004A5618" w14:paraId="7622E6FE" w14:textId="77777777" w:rsidTr="00136505">
        <w:trPr>
          <w:trHeight w:val="548"/>
        </w:trPr>
        <w:tc>
          <w:tcPr>
            <w:tcW w:w="10206" w:type="dxa"/>
            <w:gridSpan w:val="3"/>
          </w:tcPr>
          <w:p w14:paraId="430A1DB8" w14:textId="04C64B81" w:rsidR="00B40844" w:rsidRPr="004A5618" w:rsidRDefault="003B03B0" w:rsidP="00937C89">
            <w:pPr>
              <w:tabs>
                <w:tab w:val="right" w:pos="9693"/>
              </w:tabs>
              <w:spacing w:line="360" w:lineRule="auto"/>
              <w:jc w:val="both"/>
              <w:rPr>
                <w:rFonts w:ascii="Arial" w:hAnsi="Arial" w:cs="Arial"/>
                <w:b/>
                <w:sz w:val="24"/>
                <w:szCs w:val="24"/>
              </w:rPr>
            </w:pPr>
            <w:r w:rsidRPr="004A5618">
              <w:rPr>
                <w:rFonts w:ascii="Arial" w:hAnsi="Arial" w:cs="Arial"/>
                <w:b/>
                <w:sz w:val="24"/>
                <w:szCs w:val="24"/>
              </w:rPr>
              <w:t>R</w:t>
            </w:r>
            <w:r w:rsidR="00222067">
              <w:rPr>
                <w:rFonts w:ascii="Arial" w:hAnsi="Arial" w:cs="Arial"/>
                <w:b/>
                <w:sz w:val="24"/>
                <w:szCs w:val="24"/>
              </w:rPr>
              <w:t>easons</w:t>
            </w:r>
            <w:r w:rsidR="00B40844" w:rsidRPr="004A5618">
              <w:rPr>
                <w:rFonts w:ascii="Arial" w:hAnsi="Arial" w:cs="Arial"/>
                <w:b/>
                <w:sz w:val="24"/>
                <w:szCs w:val="24"/>
              </w:rPr>
              <w:t>:</w:t>
            </w:r>
          </w:p>
        </w:tc>
      </w:tr>
      <w:tr w:rsidR="00CA7995" w:rsidRPr="004A5618" w14:paraId="5E5C7ACE" w14:textId="77777777" w:rsidTr="00136505">
        <w:tc>
          <w:tcPr>
            <w:tcW w:w="10206" w:type="dxa"/>
            <w:gridSpan w:val="3"/>
          </w:tcPr>
          <w:p w14:paraId="5FFBDC64" w14:textId="2F05538D" w:rsidR="0080318F" w:rsidRDefault="0080318F" w:rsidP="00ED76B2">
            <w:pPr>
              <w:spacing w:line="360" w:lineRule="auto"/>
              <w:jc w:val="both"/>
              <w:rPr>
                <w:rFonts w:ascii="Arial" w:hAnsi="Arial" w:cs="Arial"/>
                <w:sz w:val="24"/>
                <w:szCs w:val="24"/>
              </w:rPr>
            </w:pPr>
          </w:p>
          <w:p w14:paraId="3404A598" w14:textId="77777777" w:rsidR="00B40844" w:rsidRPr="004A5618" w:rsidRDefault="003B03B0" w:rsidP="00ED76B2">
            <w:pPr>
              <w:spacing w:line="360" w:lineRule="auto"/>
              <w:jc w:val="both"/>
              <w:rPr>
                <w:rFonts w:ascii="Arial" w:hAnsi="Arial" w:cs="Arial"/>
                <w:sz w:val="24"/>
                <w:szCs w:val="24"/>
              </w:rPr>
            </w:pPr>
            <w:r w:rsidRPr="004A5618">
              <w:rPr>
                <w:rFonts w:ascii="Arial" w:hAnsi="Arial" w:cs="Arial"/>
                <w:sz w:val="24"/>
                <w:szCs w:val="24"/>
              </w:rPr>
              <w:t>PARKER AJ:</w:t>
            </w:r>
          </w:p>
          <w:p w14:paraId="3BB76114" w14:textId="77777777" w:rsidR="005B62C7" w:rsidRPr="004A5618" w:rsidRDefault="005B62C7" w:rsidP="00ED76B2">
            <w:pPr>
              <w:spacing w:line="360" w:lineRule="auto"/>
              <w:jc w:val="both"/>
              <w:rPr>
                <w:rFonts w:ascii="Arial" w:hAnsi="Arial" w:cs="Arial"/>
                <w:sz w:val="24"/>
                <w:szCs w:val="24"/>
              </w:rPr>
            </w:pPr>
          </w:p>
          <w:p w14:paraId="73935C08" w14:textId="74973D47" w:rsidR="00B45E7F" w:rsidRPr="004A2855" w:rsidRDefault="00B32493" w:rsidP="00DA6C57">
            <w:pPr>
              <w:spacing w:line="360" w:lineRule="auto"/>
              <w:jc w:val="both"/>
              <w:rPr>
                <w:rFonts w:ascii="Arial" w:hAnsi="Arial" w:cs="Arial"/>
              </w:rPr>
            </w:pPr>
            <w:r w:rsidRPr="004A5618">
              <w:rPr>
                <w:rFonts w:ascii="Arial" w:hAnsi="Arial" w:cs="Arial"/>
                <w:sz w:val="24"/>
                <w:szCs w:val="24"/>
              </w:rPr>
              <w:lastRenderedPageBreak/>
              <w:t>[1]</w:t>
            </w:r>
            <w:r w:rsidRPr="004A5618">
              <w:rPr>
                <w:rFonts w:ascii="Arial" w:hAnsi="Arial" w:cs="Arial"/>
                <w:sz w:val="24"/>
                <w:szCs w:val="24"/>
              </w:rPr>
              <w:tab/>
            </w:r>
            <w:r w:rsidR="00824F3D">
              <w:rPr>
                <w:rFonts w:ascii="Arial" w:hAnsi="Arial" w:cs="Arial"/>
                <w:sz w:val="24"/>
                <w:szCs w:val="24"/>
              </w:rPr>
              <w:t>After the close of the plaintiff’s case, the defendant</w:t>
            </w:r>
            <w:r w:rsidR="000B6579">
              <w:rPr>
                <w:rFonts w:ascii="Arial" w:hAnsi="Arial" w:cs="Arial"/>
                <w:sz w:val="24"/>
                <w:szCs w:val="24"/>
              </w:rPr>
              <w:t>s</w:t>
            </w:r>
            <w:r w:rsidR="00824F3D">
              <w:rPr>
                <w:rFonts w:ascii="Arial" w:hAnsi="Arial" w:cs="Arial"/>
                <w:sz w:val="24"/>
                <w:szCs w:val="24"/>
              </w:rPr>
              <w:t xml:space="preserve"> launched an application for absolution from the instance. </w:t>
            </w:r>
            <w:r w:rsidR="000B6579">
              <w:rPr>
                <w:rFonts w:ascii="Arial" w:hAnsi="Arial" w:cs="Arial"/>
                <w:sz w:val="24"/>
                <w:szCs w:val="24"/>
              </w:rPr>
              <w:t xml:space="preserve"> </w:t>
            </w:r>
            <w:r w:rsidR="00824F3D">
              <w:rPr>
                <w:rFonts w:ascii="Arial" w:hAnsi="Arial" w:cs="Arial"/>
                <w:sz w:val="24"/>
                <w:szCs w:val="24"/>
              </w:rPr>
              <w:t xml:space="preserve">Mr </w:t>
            </w:r>
            <w:proofErr w:type="spellStart"/>
            <w:r w:rsidR="00824F3D">
              <w:rPr>
                <w:rFonts w:ascii="Arial" w:hAnsi="Arial" w:cs="Arial"/>
                <w:sz w:val="24"/>
                <w:szCs w:val="24"/>
              </w:rPr>
              <w:t>Lochner</w:t>
            </w:r>
            <w:proofErr w:type="spellEnd"/>
            <w:r w:rsidR="00824F3D">
              <w:rPr>
                <w:rFonts w:ascii="Arial" w:hAnsi="Arial" w:cs="Arial"/>
                <w:sz w:val="24"/>
                <w:szCs w:val="24"/>
              </w:rPr>
              <w:t xml:space="preserve"> represents the plaintiff, and Mr </w:t>
            </w:r>
            <w:proofErr w:type="spellStart"/>
            <w:r w:rsidR="00824F3D">
              <w:rPr>
                <w:rFonts w:ascii="Arial" w:hAnsi="Arial" w:cs="Arial"/>
                <w:sz w:val="24"/>
                <w:szCs w:val="24"/>
              </w:rPr>
              <w:t>Tjombe</w:t>
            </w:r>
            <w:proofErr w:type="spellEnd"/>
            <w:r w:rsidR="00824F3D">
              <w:rPr>
                <w:rFonts w:ascii="Arial" w:hAnsi="Arial" w:cs="Arial"/>
                <w:sz w:val="24"/>
                <w:szCs w:val="24"/>
              </w:rPr>
              <w:t xml:space="preserve"> represents the defendants.</w:t>
            </w:r>
          </w:p>
          <w:p w14:paraId="03FEB3BA" w14:textId="77777777" w:rsidR="00B45E7F" w:rsidRPr="004A2855" w:rsidRDefault="00B45E7F" w:rsidP="00B32493">
            <w:pPr>
              <w:spacing w:line="360" w:lineRule="auto"/>
              <w:jc w:val="both"/>
              <w:rPr>
                <w:rFonts w:ascii="Arial" w:hAnsi="Arial" w:cs="Arial"/>
              </w:rPr>
            </w:pPr>
          </w:p>
          <w:p w14:paraId="25D5D2ED" w14:textId="3A612E04" w:rsidR="00824F3D" w:rsidRPr="00190F2F" w:rsidRDefault="00B32493" w:rsidP="00824F3D">
            <w:pPr>
              <w:spacing w:line="360" w:lineRule="auto"/>
              <w:jc w:val="both"/>
              <w:rPr>
                <w:rFonts w:ascii="Arial" w:eastAsia="Calibri" w:hAnsi="Arial" w:cs="Arial"/>
                <w:sz w:val="24"/>
                <w:szCs w:val="24"/>
              </w:rPr>
            </w:pPr>
            <w:r w:rsidRPr="004A5618">
              <w:rPr>
                <w:rFonts w:ascii="Arial" w:hAnsi="Arial" w:cs="Arial"/>
                <w:sz w:val="24"/>
                <w:szCs w:val="24"/>
              </w:rPr>
              <w:t>[2]</w:t>
            </w:r>
            <w:r w:rsidRPr="004A5618">
              <w:rPr>
                <w:rFonts w:ascii="Arial" w:hAnsi="Arial" w:cs="Arial"/>
                <w:sz w:val="24"/>
                <w:szCs w:val="24"/>
              </w:rPr>
              <w:tab/>
            </w:r>
            <w:r w:rsidR="00824F3D" w:rsidRPr="00190F2F">
              <w:rPr>
                <w:rFonts w:ascii="Arial" w:hAnsi="Arial" w:cs="Arial"/>
                <w:sz w:val="24"/>
                <w:szCs w:val="24"/>
              </w:rPr>
              <w:t xml:space="preserve">The test for absolution from the instance has been settled by the authorities. The principles and approaches have been followed in several cases. They were approved by the Supreme Court in </w:t>
            </w:r>
            <w:bookmarkStart w:id="1" w:name="_Hlk143634360"/>
            <w:proofErr w:type="spellStart"/>
            <w:r w:rsidR="00824F3D" w:rsidRPr="00190F2F">
              <w:rPr>
                <w:rFonts w:ascii="Arial" w:hAnsi="Arial" w:cs="Arial"/>
                <w:i/>
                <w:sz w:val="24"/>
                <w:szCs w:val="24"/>
              </w:rPr>
              <w:t>Stier</w:t>
            </w:r>
            <w:proofErr w:type="spellEnd"/>
            <w:r w:rsidR="00824F3D" w:rsidRPr="00190F2F">
              <w:rPr>
                <w:rFonts w:ascii="Arial" w:hAnsi="Arial" w:cs="Arial"/>
                <w:i/>
                <w:sz w:val="24"/>
                <w:szCs w:val="24"/>
              </w:rPr>
              <w:t xml:space="preserve"> and Another v Henke</w:t>
            </w:r>
            <w:bookmarkEnd w:id="1"/>
            <w:r w:rsidR="004F738D">
              <w:rPr>
                <w:rFonts w:ascii="Arial" w:hAnsi="Arial" w:cs="Arial"/>
                <w:i/>
                <w:sz w:val="24"/>
                <w:szCs w:val="24"/>
              </w:rPr>
              <w:t xml:space="preserve"> </w:t>
            </w:r>
            <w:r w:rsidR="004F738D">
              <w:rPr>
                <w:rFonts w:ascii="Arial" w:hAnsi="Arial" w:cs="Arial"/>
                <w:sz w:val="24"/>
                <w:szCs w:val="24"/>
              </w:rPr>
              <w:t>w</w:t>
            </w:r>
            <w:r w:rsidR="00824F3D" w:rsidRPr="00190F2F">
              <w:rPr>
                <w:rFonts w:ascii="Arial" w:hAnsi="Arial" w:cs="Arial"/>
                <w:sz w:val="24"/>
                <w:szCs w:val="24"/>
              </w:rPr>
              <w:t>here the Supreme Court stated:</w:t>
            </w:r>
          </w:p>
          <w:p w14:paraId="17098EFD" w14:textId="77777777" w:rsidR="00824F3D" w:rsidRPr="00190F2F" w:rsidRDefault="00824F3D" w:rsidP="00824F3D">
            <w:pPr>
              <w:spacing w:line="360" w:lineRule="auto"/>
              <w:jc w:val="both"/>
              <w:rPr>
                <w:rFonts w:ascii="Arial" w:hAnsi="Arial" w:cs="Arial"/>
                <w:sz w:val="24"/>
                <w:szCs w:val="24"/>
                <w:lang w:val="en-US"/>
              </w:rPr>
            </w:pPr>
          </w:p>
          <w:p w14:paraId="64BF3EEC" w14:textId="77777777" w:rsidR="00824F3D" w:rsidRPr="000A3558" w:rsidRDefault="00824F3D" w:rsidP="00824F3D">
            <w:pPr>
              <w:spacing w:line="360" w:lineRule="auto"/>
              <w:ind w:left="33" w:firstLine="676"/>
              <w:jc w:val="both"/>
              <w:rPr>
                <w:rFonts w:ascii="Arial" w:hAnsi="Arial" w:cs="Arial"/>
              </w:rPr>
            </w:pPr>
            <w:r w:rsidRPr="000A3558">
              <w:rPr>
                <w:rFonts w:ascii="Arial" w:hAnsi="Arial" w:cs="Arial"/>
              </w:rPr>
              <w:t>‘[4]</w:t>
            </w:r>
            <w:r w:rsidRPr="000A3558">
              <w:rPr>
                <w:rFonts w:ascii="Arial" w:hAnsi="Arial" w:cs="Arial"/>
              </w:rPr>
              <w:tab/>
              <w:t xml:space="preserve">At 92F-G, Harms JA in </w:t>
            </w:r>
            <w:r w:rsidRPr="000A3558">
              <w:rPr>
                <w:rFonts w:ascii="Arial" w:hAnsi="Arial" w:cs="Arial"/>
                <w:i/>
              </w:rPr>
              <w:t>Gordon Lloyd Page &amp; Associates v Rivera and Another</w:t>
            </w:r>
            <w:r w:rsidRPr="000A3558">
              <w:rPr>
                <w:rFonts w:ascii="Arial" w:hAnsi="Arial" w:cs="Arial"/>
              </w:rPr>
              <w:t xml:space="preserve"> 2001 (1) SA 88 (SCA) referred to the formulation of the test to be applied by a trial court when absolution is applied at the end of an appellant's (a plaintiff’s) case as appears in </w:t>
            </w:r>
            <w:r w:rsidRPr="000A3558">
              <w:rPr>
                <w:rFonts w:ascii="Arial" w:hAnsi="Arial" w:cs="Arial"/>
                <w:i/>
              </w:rPr>
              <w:t xml:space="preserve">Claude Neon Lights (SA) Ltd v Daniel </w:t>
            </w:r>
            <w:r w:rsidRPr="000A3558">
              <w:rPr>
                <w:rFonts w:ascii="Arial" w:hAnsi="Arial" w:cs="Arial"/>
              </w:rPr>
              <w:t>1976 (4) SA 403 (A) at 409 G-H:</w:t>
            </w:r>
          </w:p>
          <w:p w14:paraId="17DDDAB9" w14:textId="77777777" w:rsidR="00824F3D" w:rsidRPr="000A3558" w:rsidRDefault="00824F3D" w:rsidP="00824F3D">
            <w:pPr>
              <w:spacing w:line="360" w:lineRule="auto"/>
              <w:ind w:left="709"/>
              <w:jc w:val="both"/>
              <w:rPr>
                <w:rFonts w:ascii="Arial" w:hAnsi="Arial" w:cs="Arial"/>
              </w:rPr>
            </w:pPr>
          </w:p>
          <w:p w14:paraId="351CAFC4" w14:textId="77777777" w:rsidR="00824F3D" w:rsidRPr="000A3558" w:rsidRDefault="00824F3D" w:rsidP="00824F3D">
            <w:pPr>
              <w:spacing w:line="360" w:lineRule="auto"/>
              <w:ind w:left="743" w:right="237"/>
              <w:jc w:val="both"/>
              <w:rPr>
                <w:rFonts w:ascii="Arial" w:hAnsi="Arial" w:cs="Arial"/>
              </w:rPr>
            </w:pPr>
            <w:r w:rsidRPr="000A3558">
              <w:rPr>
                <w:rFonts w:ascii="Arial" w:hAnsi="Arial" w:cs="Arial"/>
              </w:rPr>
              <w:t>“. . . when absolution from the instance is sought at the close of plaintiff's case, the test to be applied is not whether the evidence led by the plaintiff establishes what would finally be required to be established, but whether there is evidence upon which a Court, applying its mind reasonably to such evidence, could or might (not should, or ought to) find for the plaintiff. (</w:t>
            </w:r>
            <w:r w:rsidRPr="000A3558">
              <w:rPr>
                <w:rFonts w:ascii="Arial" w:hAnsi="Arial" w:cs="Arial"/>
                <w:i/>
              </w:rPr>
              <w:t>Gascoyne v Paul and Hunter</w:t>
            </w:r>
            <w:r w:rsidRPr="000A3558">
              <w:rPr>
                <w:rFonts w:ascii="Arial" w:hAnsi="Arial" w:cs="Arial"/>
              </w:rPr>
              <w:t xml:space="preserve"> 1917 TPD 170 at 173; </w:t>
            </w:r>
            <w:proofErr w:type="spellStart"/>
            <w:r w:rsidRPr="000A3558">
              <w:rPr>
                <w:rFonts w:ascii="Arial" w:hAnsi="Arial" w:cs="Arial"/>
                <w:i/>
              </w:rPr>
              <w:t>Ruto</w:t>
            </w:r>
            <w:proofErr w:type="spellEnd"/>
            <w:r w:rsidRPr="000A3558">
              <w:rPr>
                <w:rFonts w:ascii="Arial" w:hAnsi="Arial" w:cs="Arial"/>
                <w:i/>
              </w:rPr>
              <w:t xml:space="preserve"> Flour Mills (Pty) Ltd v Adelson</w:t>
            </w:r>
            <w:r>
              <w:rPr>
                <w:rFonts w:ascii="Arial" w:hAnsi="Arial" w:cs="Arial"/>
              </w:rPr>
              <w:t xml:space="preserve"> (2) 1958 (4) SA 307 (T).)”</w:t>
            </w:r>
          </w:p>
          <w:p w14:paraId="288FD3C3" w14:textId="77777777" w:rsidR="00824F3D" w:rsidRPr="000A3558" w:rsidRDefault="00824F3D" w:rsidP="00824F3D">
            <w:pPr>
              <w:spacing w:line="360" w:lineRule="auto"/>
              <w:ind w:left="743" w:right="237"/>
              <w:jc w:val="both"/>
              <w:rPr>
                <w:rFonts w:ascii="Arial" w:hAnsi="Arial" w:cs="Arial"/>
                <w:lang w:val="en-ZA"/>
              </w:rPr>
            </w:pPr>
          </w:p>
          <w:p w14:paraId="30BBA659" w14:textId="77777777" w:rsidR="00824F3D" w:rsidRPr="000A3558" w:rsidRDefault="00824F3D" w:rsidP="00824F3D">
            <w:pPr>
              <w:spacing w:line="360" w:lineRule="auto"/>
              <w:ind w:left="709" w:hanging="589"/>
              <w:jc w:val="both"/>
              <w:rPr>
                <w:rFonts w:ascii="Arial" w:hAnsi="Arial" w:cs="Arial"/>
              </w:rPr>
            </w:pPr>
            <w:r w:rsidRPr="000A3558">
              <w:rPr>
                <w:rFonts w:ascii="Arial" w:hAnsi="Arial" w:cs="Arial"/>
              </w:rPr>
              <w:tab/>
              <w:t xml:space="preserve">“Harms JA went on to explain at 92H - 93A:  </w:t>
            </w:r>
          </w:p>
          <w:p w14:paraId="29E97B40" w14:textId="77777777" w:rsidR="00824F3D" w:rsidRPr="000A3558" w:rsidRDefault="00824F3D" w:rsidP="00824F3D">
            <w:pPr>
              <w:spacing w:line="360" w:lineRule="auto"/>
              <w:ind w:left="709" w:hanging="589"/>
              <w:jc w:val="both"/>
              <w:rPr>
                <w:rFonts w:ascii="Arial" w:hAnsi="Arial" w:cs="Arial"/>
              </w:rPr>
            </w:pPr>
          </w:p>
          <w:p w14:paraId="7D2A14B2" w14:textId="7A64CC8C" w:rsidR="00824F3D" w:rsidRPr="00190F2F" w:rsidRDefault="00824F3D" w:rsidP="00824F3D">
            <w:pPr>
              <w:spacing w:line="360" w:lineRule="auto"/>
              <w:ind w:left="743" w:right="237"/>
              <w:jc w:val="both"/>
              <w:rPr>
                <w:rFonts w:ascii="Arial" w:hAnsi="Arial" w:cs="Arial"/>
                <w:sz w:val="24"/>
                <w:szCs w:val="24"/>
              </w:rPr>
            </w:pPr>
            <w:r w:rsidRPr="000A3558">
              <w:rPr>
                <w:rFonts w:ascii="Arial" w:hAnsi="Arial" w:cs="Arial"/>
              </w:rPr>
              <w:t>This implies that a plaintiff has to make out a prima facie case — in the sense that there is evidence relating to all the elements of the claim — to survive absolution because without such evidence no court could find for the plaintiff (</w:t>
            </w:r>
            <w:r w:rsidRPr="000A3558">
              <w:rPr>
                <w:rFonts w:ascii="Arial" w:hAnsi="Arial" w:cs="Arial"/>
                <w:i/>
              </w:rPr>
              <w:t xml:space="preserve">Marine &amp; Trade Insurance Co Ltd v Van der </w:t>
            </w:r>
            <w:proofErr w:type="spellStart"/>
            <w:r w:rsidRPr="000A3558">
              <w:rPr>
                <w:rFonts w:ascii="Arial" w:hAnsi="Arial" w:cs="Arial"/>
                <w:i/>
              </w:rPr>
              <w:t>Schyff</w:t>
            </w:r>
            <w:proofErr w:type="spellEnd"/>
            <w:r w:rsidRPr="000A3558">
              <w:rPr>
                <w:rFonts w:ascii="Arial" w:hAnsi="Arial" w:cs="Arial"/>
              </w:rPr>
              <w:t xml:space="preserve"> 1972 (1) SA 26 (A) at 37G-38A; </w:t>
            </w:r>
            <w:r w:rsidRPr="000A3558">
              <w:rPr>
                <w:rFonts w:ascii="Arial" w:hAnsi="Arial" w:cs="Arial"/>
                <w:i/>
              </w:rPr>
              <w:t xml:space="preserve">Schmidt </w:t>
            </w:r>
            <w:proofErr w:type="spellStart"/>
            <w:r w:rsidRPr="000A3558">
              <w:rPr>
                <w:rFonts w:ascii="Arial" w:hAnsi="Arial" w:cs="Arial"/>
                <w:i/>
              </w:rPr>
              <w:t>Bewysreg</w:t>
            </w:r>
            <w:proofErr w:type="spellEnd"/>
            <w:r w:rsidRPr="000A3558">
              <w:rPr>
                <w:rFonts w:ascii="Arial" w:hAnsi="Arial" w:cs="Arial"/>
              </w:rPr>
              <w:t xml:space="preserve"> 4 </w:t>
            </w:r>
            <w:proofErr w:type="spellStart"/>
            <w:r w:rsidRPr="000A3558">
              <w:rPr>
                <w:rFonts w:ascii="Arial" w:hAnsi="Arial" w:cs="Arial"/>
              </w:rPr>
              <w:t>ed</w:t>
            </w:r>
            <w:proofErr w:type="spellEnd"/>
            <w:r w:rsidRPr="000A3558">
              <w:rPr>
                <w:rFonts w:ascii="Arial" w:hAnsi="Arial" w:cs="Arial"/>
              </w:rPr>
              <w:t xml:space="preserve"> at 91-2). As far as inferences from the evidence are concerned, the inference relied upon by the plaintiff must be a reasonable one, not the only reasonable one (Schmidt at 93). The test has from time to time been formulated in different terms, especially it has been said that the court must consider whether there is ''evidence upon which a reasonable man might find for the plaintiff'' (Gascoyne (</w:t>
            </w:r>
            <w:proofErr w:type="spellStart"/>
            <w:r w:rsidRPr="000A3558">
              <w:rPr>
                <w:rFonts w:ascii="Arial" w:hAnsi="Arial" w:cs="Arial"/>
              </w:rPr>
              <w:t>loc</w:t>
            </w:r>
            <w:proofErr w:type="spellEnd"/>
            <w:r w:rsidRPr="000A3558">
              <w:rPr>
                <w:rFonts w:ascii="Arial" w:hAnsi="Arial" w:cs="Arial"/>
              </w:rPr>
              <w:t xml:space="preserve"> </w:t>
            </w:r>
            <w:proofErr w:type="spellStart"/>
            <w:r w:rsidRPr="000A3558">
              <w:rPr>
                <w:rFonts w:ascii="Arial" w:hAnsi="Arial" w:cs="Arial"/>
              </w:rPr>
              <w:t>cit</w:t>
            </w:r>
            <w:proofErr w:type="spellEnd"/>
            <w:r w:rsidRPr="000A3558">
              <w:rPr>
                <w:rFonts w:ascii="Arial" w:hAnsi="Arial" w:cs="Arial"/>
              </w:rPr>
              <w:t>)) — a test which had its origin in jury trials when the ''reasonable man'' was a reasonable member of the jury (</w:t>
            </w:r>
            <w:proofErr w:type="spellStart"/>
            <w:r w:rsidRPr="000A3558">
              <w:rPr>
                <w:rFonts w:ascii="Arial" w:hAnsi="Arial" w:cs="Arial"/>
                <w:i/>
              </w:rPr>
              <w:t>Ruto</w:t>
            </w:r>
            <w:proofErr w:type="spellEnd"/>
            <w:r w:rsidRPr="000A3558">
              <w:rPr>
                <w:rFonts w:ascii="Arial" w:hAnsi="Arial" w:cs="Arial"/>
                <w:i/>
              </w:rPr>
              <w:t xml:space="preserve"> Flour Mills</w:t>
            </w:r>
            <w:r w:rsidRPr="000A3558">
              <w:rPr>
                <w:rFonts w:ascii="Arial" w:hAnsi="Arial" w:cs="Arial"/>
              </w:rPr>
              <w:t xml:space="preserve">). Such a formulation tends to cloud the issue. The court ought not to be concerned with what someone else might think; it should rather be concerned with its own judgment and not that of another ''reasonable'' person or court. Having said this, absolution at the end of a plaintiff's case, in the ordinary course of </w:t>
            </w:r>
            <w:r w:rsidRPr="000A3558">
              <w:rPr>
                <w:rFonts w:ascii="Arial" w:hAnsi="Arial" w:cs="Arial"/>
              </w:rPr>
              <w:lastRenderedPageBreak/>
              <w:t>events, will nevertheless be granted sparingly but when the occasion arises, a court should order it in the interest of justice....”</w:t>
            </w:r>
            <w:r>
              <w:rPr>
                <w:rFonts w:ascii="Arial" w:hAnsi="Arial" w:cs="Arial"/>
              </w:rPr>
              <w:t>’</w:t>
            </w:r>
            <w:r w:rsidR="004F738D" w:rsidRPr="00190F2F">
              <w:rPr>
                <w:rStyle w:val="FootnoteReference"/>
                <w:rFonts w:ascii="Arial" w:hAnsi="Arial" w:cs="Arial"/>
                <w:i/>
                <w:sz w:val="24"/>
                <w:szCs w:val="24"/>
              </w:rPr>
              <w:t xml:space="preserve"> </w:t>
            </w:r>
            <w:r w:rsidR="004F738D" w:rsidRPr="004F738D">
              <w:rPr>
                <w:rStyle w:val="FootnoteReference"/>
                <w:rFonts w:ascii="Arial" w:hAnsi="Arial" w:cs="Arial"/>
                <w:sz w:val="24"/>
                <w:szCs w:val="24"/>
              </w:rPr>
              <w:footnoteReference w:id="1"/>
            </w:r>
            <w:r w:rsidRPr="004F738D">
              <w:rPr>
                <w:rFonts w:ascii="Arial" w:hAnsi="Arial" w:cs="Arial"/>
              </w:rPr>
              <w:t xml:space="preserve"> </w:t>
            </w:r>
            <w:r w:rsidRPr="00190F2F">
              <w:rPr>
                <w:rFonts w:ascii="Arial" w:hAnsi="Arial" w:cs="Arial"/>
                <w:sz w:val="24"/>
                <w:szCs w:val="24"/>
              </w:rPr>
              <w:t xml:space="preserve"> </w:t>
            </w:r>
          </w:p>
          <w:p w14:paraId="18DB7461" w14:textId="77777777" w:rsidR="001011B6" w:rsidRDefault="001011B6" w:rsidP="00B32493">
            <w:pPr>
              <w:spacing w:line="360" w:lineRule="auto"/>
              <w:jc w:val="both"/>
              <w:rPr>
                <w:rFonts w:ascii="Arial" w:hAnsi="Arial" w:cs="Arial"/>
                <w:sz w:val="24"/>
                <w:szCs w:val="24"/>
              </w:rPr>
            </w:pPr>
          </w:p>
          <w:p w14:paraId="2B8F78AD" w14:textId="57B9F1BE" w:rsidR="00824F3D" w:rsidRPr="00190F2F" w:rsidRDefault="001011B6" w:rsidP="00824F3D">
            <w:pPr>
              <w:spacing w:line="360" w:lineRule="auto"/>
              <w:jc w:val="both"/>
              <w:rPr>
                <w:rFonts w:ascii="Arial" w:hAnsi="Arial" w:cs="Arial"/>
                <w:sz w:val="24"/>
                <w:szCs w:val="24"/>
              </w:rPr>
            </w:pPr>
            <w:r>
              <w:rPr>
                <w:rFonts w:ascii="Arial" w:hAnsi="Arial" w:cs="Arial"/>
                <w:sz w:val="24"/>
                <w:szCs w:val="24"/>
              </w:rPr>
              <w:t>[3]</w:t>
            </w:r>
            <w:r w:rsidRPr="004A5618">
              <w:rPr>
                <w:rFonts w:ascii="Arial" w:hAnsi="Arial" w:cs="Arial"/>
                <w:sz w:val="24"/>
                <w:szCs w:val="24"/>
              </w:rPr>
              <w:tab/>
            </w:r>
            <w:r w:rsidR="00824F3D" w:rsidRPr="00190F2F">
              <w:rPr>
                <w:rFonts w:ascii="Arial" w:hAnsi="Arial" w:cs="Arial"/>
                <w:sz w:val="24"/>
                <w:szCs w:val="24"/>
              </w:rPr>
              <w:t xml:space="preserve">Additionally, in </w:t>
            </w:r>
            <w:proofErr w:type="spellStart"/>
            <w:r w:rsidR="00824F3D" w:rsidRPr="00190F2F">
              <w:rPr>
                <w:rFonts w:ascii="Arial" w:hAnsi="Arial" w:cs="Arial"/>
                <w:i/>
                <w:sz w:val="24"/>
                <w:szCs w:val="24"/>
              </w:rPr>
              <w:t>Dannecker</w:t>
            </w:r>
            <w:proofErr w:type="spellEnd"/>
            <w:r w:rsidR="00824F3D" w:rsidRPr="00190F2F">
              <w:rPr>
                <w:rFonts w:ascii="Arial" w:hAnsi="Arial" w:cs="Arial"/>
                <w:i/>
                <w:sz w:val="24"/>
                <w:szCs w:val="24"/>
              </w:rPr>
              <w:t xml:space="preserve"> v Leopard Tours Car &amp; Camping Hire CC</w:t>
            </w:r>
            <w:r w:rsidR="00824F3D">
              <w:rPr>
                <w:rFonts w:ascii="Arial" w:hAnsi="Arial" w:cs="Arial"/>
                <w:sz w:val="24"/>
                <w:szCs w:val="24"/>
              </w:rPr>
              <w:t xml:space="preserve"> </w:t>
            </w:r>
            <w:proofErr w:type="spellStart"/>
            <w:r w:rsidR="00824F3D" w:rsidRPr="00190F2F">
              <w:rPr>
                <w:rFonts w:ascii="Arial" w:hAnsi="Arial" w:cs="Arial"/>
                <w:sz w:val="24"/>
                <w:szCs w:val="24"/>
              </w:rPr>
              <w:t>Damaseb</w:t>
            </w:r>
            <w:proofErr w:type="spellEnd"/>
            <w:r w:rsidR="00824F3D" w:rsidRPr="00190F2F">
              <w:rPr>
                <w:rFonts w:ascii="Arial" w:hAnsi="Arial" w:cs="Arial"/>
                <w:sz w:val="24"/>
                <w:szCs w:val="24"/>
              </w:rPr>
              <w:t xml:space="preserve"> JP stated as follows on the test of absolution from the instance at the close of plaintiff’s case:</w:t>
            </w:r>
          </w:p>
          <w:p w14:paraId="3A15583E" w14:textId="77777777" w:rsidR="00824F3D" w:rsidRPr="00190F2F" w:rsidRDefault="00824F3D" w:rsidP="00824F3D">
            <w:pPr>
              <w:spacing w:line="360" w:lineRule="auto"/>
              <w:jc w:val="both"/>
              <w:rPr>
                <w:rFonts w:ascii="Arial" w:hAnsi="Arial" w:cs="Arial"/>
                <w:sz w:val="24"/>
                <w:szCs w:val="24"/>
              </w:rPr>
            </w:pPr>
          </w:p>
          <w:p w14:paraId="5FE722BB" w14:textId="77777777" w:rsidR="00824F3D" w:rsidRPr="000A3558" w:rsidRDefault="00824F3D" w:rsidP="00824F3D">
            <w:pPr>
              <w:spacing w:line="360" w:lineRule="auto"/>
              <w:ind w:left="720"/>
              <w:jc w:val="both"/>
              <w:rPr>
                <w:rFonts w:ascii="Arial" w:hAnsi="Arial" w:cs="Arial"/>
                <w:u w:val="single"/>
              </w:rPr>
            </w:pPr>
            <w:r w:rsidRPr="000A3558">
              <w:rPr>
                <w:rFonts w:ascii="Arial" w:hAnsi="Arial" w:cs="Arial"/>
              </w:rPr>
              <w:t>‘</w:t>
            </w:r>
            <w:r w:rsidRPr="000A3558">
              <w:rPr>
                <w:rFonts w:ascii="Arial" w:hAnsi="Arial" w:cs="Arial"/>
                <w:u w:val="single"/>
              </w:rPr>
              <w:t>The test for absolution at the end of plaintiff’s case</w:t>
            </w:r>
          </w:p>
          <w:p w14:paraId="412C4277" w14:textId="77777777" w:rsidR="00824F3D" w:rsidRPr="000A3558" w:rsidRDefault="00824F3D" w:rsidP="00824F3D">
            <w:pPr>
              <w:spacing w:line="360" w:lineRule="auto"/>
              <w:ind w:left="720"/>
              <w:jc w:val="both"/>
              <w:rPr>
                <w:rFonts w:ascii="Arial" w:hAnsi="Arial" w:cs="Arial"/>
              </w:rPr>
            </w:pPr>
          </w:p>
          <w:p w14:paraId="59FEA399" w14:textId="77777777" w:rsidR="00824F3D" w:rsidRPr="000A3558" w:rsidRDefault="00824F3D" w:rsidP="00824F3D">
            <w:pPr>
              <w:spacing w:line="360" w:lineRule="auto"/>
              <w:ind w:left="33"/>
              <w:jc w:val="both"/>
              <w:rPr>
                <w:rFonts w:ascii="Arial" w:hAnsi="Arial" w:cs="Arial"/>
              </w:rPr>
            </w:pPr>
            <w:r w:rsidRPr="000A3558">
              <w:rPr>
                <w:rFonts w:ascii="Arial" w:hAnsi="Arial" w:cs="Arial"/>
              </w:rPr>
              <w:t>[25]</w:t>
            </w:r>
            <w:r w:rsidRPr="000A3558">
              <w:rPr>
                <w:rFonts w:ascii="Arial" w:hAnsi="Arial" w:cs="Arial"/>
              </w:rPr>
              <w:tab/>
              <w:t>The relevant test is not whether the evidence led by the plaintiff established what would finally be required to be established, but whether there is evidence upon which a court, applying its mind reasonably to such evidence, could or might (not should or ought to) find for the plaintiff. The reasoning at this stage is to be distinguished from the reasoning which the court applies at the end of the trial; which is: ‘is there evidence upon which a Court ought to give judgment in favour of the plaintiff?’</w:t>
            </w:r>
          </w:p>
          <w:p w14:paraId="18D712A8" w14:textId="77777777" w:rsidR="00824F3D" w:rsidRPr="000A3558" w:rsidRDefault="00824F3D" w:rsidP="00824F3D">
            <w:pPr>
              <w:spacing w:line="360" w:lineRule="auto"/>
              <w:ind w:left="720"/>
              <w:jc w:val="both"/>
              <w:rPr>
                <w:rFonts w:ascii="Arial" w:hAnsi="Arial" w:cs="Arial"/>
              </w:rPr>
            </w:pPr>
          </w:p>
          <w:p w14:paraId="0DF363FE" w14:textId="77777777" w:rsidR="00824F3D" w:rsidRPr="000A3558" w:rsidRDefault="00824F3D" w:rsidP="00824F3D">
            <w:pPr>
              <w:spacing w:line="360" w:lineRule="auto"/>
              <w:ind w:left="33"/>
              <w:jc w:val="both"/>
              <w:rPr>
                <w:rFonts w:ascii="Arial" w:hAnsi="Arial" w:cs="Arial"/>
              </w:rPr>
            </w:pPr>
            <w:r w:rsidRPr="000A3558">
              <w:rPr>
                <w:rFonts w:ascii="Arial" w:hAnsi="Arial" w:cs="Arial"/>
              </w:rPr>
              <w:t>[26]</w:t>
            </w:r>
            <w:r w:rsidRPr="000A3558">
              <w:rPr>
                <w:rFonts w:ascii="Arial" w:hAnsi="Arial" w:cs="Arial"/>
              </w:rPr>
              <w:tab/>
              <w:t xml:space="preserve">The following considerations (which I shall call ‘the </w:t>
            </w:r>
            <w:proofErr w:type="spellStart"/>
            <w:r w:rsidRPr="000A3558">
              <w:rPr>
                <w:rFonts w:ascii="Arial" w:hAnsi="Arial" w:cs="Arial"/>
              </w:rPr>
              <w:t>Damaseb</w:t>
            </w:r>
            <w:proofErr w:type="spellEnd"/>
            <w:r w:rsidRPr="000A3558">
              <w:rPr>
                <w:rFonts w:ascii="Arial" w:hAnsi="Arial" w:cs="Arial"/>
              </w:rPr>
              <w:t xml:space="preserve"> considerations’) are in my view relevant and find application in the case before me:</w:t>
            </w:r>
          </w:p>
          <w:p w14:paraId="4D4FBA26" w14:textId="77777777" w:rsidR="00824F3D" w:rsidRPr="000A3558" w:rsidRDefault="00824F3D" w:rsidP="00824F3D">
            <w:pPr>
              <w:spacing w:line="360" w:lineRule="auto"/>
              <w:ind w:left="720"/>
              <w:jc w:val="both"/>
              <w:rPr>
                <w:rFonts w:ascii="Arial" w:hAnsi="Arial" w:cs="Arial"/>
              </w:rPr>
            </w:pPr>
          </w:p>
          <w:p w14:paraId="06A52A76" w14:textId="77777777" w:rsidR="00824F3D" w:rsidRDefault="00824F3D" w:rsidP="00824F3D">
            <w:pPr>
              <w:pStyle w:val="ListParagraph"/>
              <w:numPr>
                <w:ilvl w:val="0"/>
                <w:numId w:val="25"/>
              </w:numPr>
              <w:spacing w:line="360" w:lineRule="auto"/>
              <w:ind w:left="33" w:firstLine="0"/>
              <w:jc w:val="both"/>
              <w:rPr>
                <w:rFonts w:ascii="Arial" w:hAnsi="Arial" w:cs="Arial"/>
              </w:rPr>
            </w:pPr>
            <w:r w:rsidRPr="000A3558">
              <w:rPr>
                <w:rFonts w:ascii="Arial" w:hAnsi="Arial" w:cs="Arial"/>
              </w:rPr>
              <w:t>Absolution at the end of plaintiff’s case ought only to be granted in a very clear case where the plaintiff has not made out a</w:t>
            </w:r>
            <w:r>
              <w:rPr>
                <w:rFonts w:ascii="Arial" w:hAnsi="Arial" w:cs="Arial"/>
              </w:rPr>
              <w:t>ny case at all, in fact and law.</w:t>
            </w:r>
          </w:p>
          <w:p w14:paraId="095A9E81" w14:textId="77777777" w:rsidR="00824F3D" w:rsidRPr="000A3558" w:rsidRDefault="00824F3D" w:rsidP="00824F3D">
            <w:pPr>
              <w:pStyle w:val="ListParagraph"/>
              <w:spacing w:line="360" w:lineRule="auto"/>
              <w:ind w:left="33"/>
              <w:jc w:val="both"/>
              <w:rPr>
                <w:rFonts w:ascii="Arial" w:hAnsi="Arial" w:cs="Arial"/>
              </w:rPr>
            </w:pPr>
          </w:p>
          <w:p w14:paraId="747F5FBA" w14:textId="77777777" w:rsidR="00824F3D" w:rsidRDefault="00824F3D" w:rsidP="00824F3D">
            <w:pPr>
              <w:pStyle w:val="ListParagraph"/>
              <w:numPr>
                <w:ilvl w:val="0"/>
                <w:numId w:val="25"/>
              </w:numPr>
              <w:spacing w:line="360" w:lineRule="auto"/>
              <w:ind w:left="33" w:firstLine="0"/>
              <w:jc w:val="both"/>
              <w:rPr>
                <w:rFonts w:ascii="Arial" w:hAnsi="Arial" w:cs="Arial"/>
              </w:rPr>
            </w:pPr>
            <w:r w:rsidRPr="000A3558">
              <w:rPr>
                <w:rFonts w:ascii="Arial" w:hAnsi="Arial" w:cs="Arial"/>
              </w:rPr>
              <w:t>The plaintiff is not to be lightly shut out where the defence relied on by the defendant is peculiarly within the latter’s knowledge while the plaintiff had made out a case calling for an answer (or rebuttal) on oath.</w:t>
            </w:r>
          </w:p>
          <w:p w14:paraId="55884A7F" w14:textId="77777777" w:rsidR="00824F3D" w:rsidRPr="000A3558" w:rsidRDefault="00824F3D" w:rsidP="00824F3D">
            <w:pPr>
              <w:pStyle w:val="ListParagraph"/>
              <w:spacing w:line="360" w:lineRule="auto"/>
              <w:ind w:left="33"/>
              <w:jc w:val="both"/>
              <w:rPr>
                <w:rFonts w:ascii="Arial" w:hAnsi="Arial" w:cs="Arial"/>
              </w:rPr>
            </w:pPr>
          </w:p>
          <w:p w14:paraId="689EC193" w14:textId="77777777" w:rsidR="00824F3D" w:rsidRDefault="00824F3D" w:rsidP="00824F3D">
            <w:pPr>
              <w:pStyle w:val="ListParagraph"/>
              <w:numPr>
                <w:ilvl w:val="0"/>
                <w:numId w:val="25"/>
              </w:numPr>
              <w:spacing w:line="360" w:lineRule="auto"/>
              <w:ind w:left="33" w:firstLine="0"/>
              <w:jc w:val="both"/>
              <w:rPr>
                <w:rFonts w:ascii="Arial" w:hAnsi="Arial" w:cs="Arial"/>
              </w:rPr>
            </w:pPr>
            <w:r w:rsidRPr="000A3558">
              <w:rPr>
                <w:rFonts w:ascii="Arial" w:hAnsi="Arial" w:cs="Arial"/>
              </w:rPr>
              <w:t>The trier of fact should be on the guard for a defendant who attempts to invoke the absolution procedure to avoid coming into the witness box to answer uncomfortable facts having a bearing on both credibility and the weight of probabilities in the case.</w:t>
            </w:r>
          </w:p>
          <w:p w14:paraId="2D7523A2" w14:textId="77777777" w:rsidR="00824F3D" w:rsidRPr="000A3558" w:rsidRDefault="00824F3D" w:rsidP="00824F3D">
            <w:pPr>
              <w:pStyle w:val="ListParagraph"/>
              <w:spacing w:line="360" w:lineRule="auto"/>
              <w:ind w:left="33"/>
              <w:jc w:val="both"/>
              <w:rPr>
                <w:rFonts w:ascii="Arial" w:hAnsi="Arial" w:cs="Arial"/>
              </w:rPr>
            </w:pPr>
          </w:p>
          <w:p w14:paraId="01E4C1AA" w14:textId="77777777" w:rsidR="00824F3D" w:rsidRDefault="00824F3D" w:rsidP="00824F3D">
            <w:pPr>
              <w:pStyle w:val="ListParagraph"/>
              <w:numPr>
                <w:ilvl w:val="0"/>
                <w:numId w:val="25"/>
              </w:numPr>
              <w:spacing w:line="360" w:lineRule="auto"/>
              <w:ind w:left="33" w:firstLine="0"/>
              <w:jc w:val="both"/>
              <w:rPr>
                <w:rFonts w:ascii="Arial" w:hAnsi="Arial" w:cs="Arial"/>
              </w:rPr>
            </w:pPr>
            <w:r w:rsidRPr="000A3558">
              <w:rPr>
                <w:rFonts w:ascii="Arial" w:hAnsi="Arial" w:cs="Arial"/>
              </w:rPr>
              <w:t>Where the plaintiff’s evidence gives rise to more than one plausible inference, anyone of which is in his or her favour in the sense of supporting his or cause of action and destructive of the version of the defence, absolution is an inappropriate remedy.</w:t>
            </w:r>
          </w:p>
          <w:p w14:paraId="3FE658FF" w14:textId="77777777" w:rsidR="00824F3D" w:rsidRPr="000A3558" w:rsidRDefault="00824F3D" w:rsidP="00824F3D">
            <w:pPr>
              <w:pStyle w:val="ListParagraph"/>
              <w:spacing w:line="360" w:lineRule="auto"/>
              <w:ind w:left="33"/>
              <w:jc w:val="both"/>
              <w:rPr>
                <w:rFonts w:ascii="Arial" w:hAnsi="Arial" w:cs="Arial"/>
              </w:rPr>
            </w:pPr>
          </w:p>
          <w:p w14:paraId="6C463DEA" w14:textId="445BC88D" w:rsidR="001011B6" w:rsidRPr="00220768" w:rsidRDefault="00824F3D" w:rsidP="00824F3D">
            <w:pPr>
              <w:spacing w:line="360" w:lineRule="auto"/>
              <w:jc w:val="both"/>
              <w:rPr>
                <w:rFonts w:ascii="Arial" w:hAnsi="Arial" w:cs="Arial"/>
                <w:sz w:val="24"/>
                <w:szCs w:val="24"/>
              </w:rPr>
            </w:pPr>
            <w:r w:rsidRPr="000A3558">
              <w:rPr>
                <w:rFonts w:ascii="Arial" w:hAnsi="Arial" w:cs="Arial"/>
              </w:rPr>
              <w:t>Perhaps most importantly, in adjudicating an application of absolution at the end of plaintiff’s case, the trier of fact is bound to accept as true the evidence led by and on behalf of the plaintiff, unless the plaintiff’s evidence is incurably and inherently so improbable and unsatisfactory as to be rejected out of hand.’</w:t>
            </w:r>
            <w:r w:rsidR="004F738D" w:rsidRPr="00190F2F">
              <w:rPr>
                <w:rStyle w:val="FootnoteReference"/>
                <w:rFonts w:ascii="Arial" w:hAnsi="Arial" w:cs="Arial"/>
                <w:i/>
                <w:sz w:val="24"/>
                <w:szCs w:val="24"/>
              </w:rPr>
              <w:t xml:space="preserve"> </w:t>
            </w:r>
            <w:r w:rsidR="004F738D" w:rsidRPr="00190F2F">
              <w:rPr>
                <w:rStyle w:val="FootnoteReference"/>
                <w:rFonts w:ascii="Arial" w:hAnsi="Arial" w:cs="Arial"/>
                <w:i/>
                <w:sz w:val="24"/>
                <w:szCs w:val="24"/>
              </w:rPr>
              <w:footnoteReference w:id="2"/>
            </w:r>
          </w:p>
          <w:p w14:paraId="360C6150" w14:textId="746BF9BF" w:rsidR="001011B6" w:rsidRDefault="001011B6" w:rsidP="00B32493">
            <w:pPr>
              <w:spacing w:line="360" w:lineRule="auto"/>
              <w:jc w:val="both"/>
              <w:rPr>
                <w:rFonts w:ascii="Arial" w:hAnsi="Arial" w:cs="Arial"/>
                <w:sz w:val="24"/>
                <w:szCs w:val="24"/>
              </w:rPr>
            </w:pPr>
          </w:p>
          <w:p w14:paraId="57EE7A7F" w14:textId="34AE4480" w:rsidR="002850A3" w:rsidRDefault="001D619B" w:rsidP="002850A3">
            <w:pPr>
              <w:spacing w:line="360" w:lineRule="auto"/>
              <w:jc w:val="both"/>
              <w:rPr>
                <w:rFonts w:ascii="Arial" w:hAnsi="Arial" w:cs="Arial"/>
                <w:sz w:val="24"/>
                <w:szCs w:val="24"/>
              </w:rPr>
            </w:pPr>
            <w:r>
              <w:rPr>
                <w:rFonts w:ascii="Arial" w:hAnsi="Arial" w:cs="Arial"/>
                <w:sz w:val="24"/>
                <w:szCs w:val="24"/>
              </w:rPr>
              <w:t>[4]</w:t>
            </w:r>
            <w:r w:rsidR="002850A3" w:rsidRPr="004A5618">
              <w:rPr>
                <w:rFonts w:ascii="Arial" w:hAnsi="Arial" w:cs="Arial"/>
                <w:sz w:val="24"/>
                <w:szCs w:val="24"/>
              </w:rPr>
              <w:t xml:space="preserve"> </w:t>
            </w:r>
            <w:r w:rsidR="002850A3" w:rsidRPr="004A5618">
              <w:rPr>
                <w:rFonts w:ascii="Arial" w:hAnsi="Arial" w:cs="Arial"/>
                <w:sz w:val="24"/>
                <w:szCs w:val="24"/>
              </w:rPr>
              <w:tab/>
            </w:r>
            <w:r w:rsidR="00824F3D" w:rsidRPr="00190F2F">
              <w:rPr>
                <w:rFonts w:ascii="Arial" w:hAnsi="Arial" w:cs="Arial"/>
                <w:sz w:val="24"/>
                <w:szCs w:val="24"/>
              </w:rPr>
              <w:t>Another important principle which the court determining an absolution application should consider is this. The clause ‘applying its mind reasonably’, used by Harms JA in</w:t>
            </w:r>
            <w:r w:rsidR="00824F3D" w:rsidRPr="00190F2F">
              <w:rPr>
                <w:rFonts w:ascii="Arial" w:hAnsi="Arial" w:cs="Arial"/>
                <w:i/>
                <w:sz w:val="24"/>
                <w:szCs w:val="24"/>
              </w:rPr>
              <w:t xml:space="preserve"> Neon Lights (SA) Ltd</w:t>
            </w:r>
            <w:r w:rsidR="00824F3D" w:rsidRPr="00190F2F">
              <w:rPr>
                <w:rStyle w:val="FootnoteReference"/>
                <w:rFonts w:ascii="Arial" w:hAnsi="Arial" w:cs="Arial"/>
                <w:i/>
                <w:sz w:val="24"/>
                <w:szCs w:val="24"/>
              </w:rPr>
              <w:footnoteReference w:id="3"/>
            </w:r>
            <w:r w:rsidR="00824F3D" w:rsidRPr="00190F2F">
              <w:rPr>
                <w:rFonts w:ascii="Arial" w:hAnsi="Arial" w:cs="Arial"/>
                <w:sz w:val="24"/>
                <w:szCs w:val="24"/>
              </w:rPr>
              <w:t xml:space="preserve">  requires the court not to consider the evidence </w:t>
            </w:r>
            <w:r w:rsidR="00824F3D" w:rsidRPr="00190F2F">
              <w:rPr>
                <w:rFonts w:ascii="Arial" w:hAnsi="Arial" w:cs="Arial"/>
                <w:i/>
                <w:sz w:val="24"/>
                <w:szCs w:val="24"/>
              </w:rPr>
              <w:t xml:space="preserve">in </w:t>
            </w:r>
            <w:proofErr w:type="spellStart"/>
            <w:r w:rsidR="00824F3D" w:rsidRPr="00190F2F">
              <w:rPr>
                <w:rFonts w:ascii="Arial" w:hAnsi="Arial" w:cs="Arial"/>
                <w:i/>
                <w:sz w:val="24"/>
                <w:szCs w:val="24"/>
              </w:rPr>
              <w:t>vacuo</w:t>
            </w:r>
            <w:proofErr w:type="spellEnd"/>
            <w:r w:rsidR="00824F3D" w:rsidRPr="00190F2F">
              <w:rPr>
                <w:rFonts w:ascii="Arial" w:hAnsi="Arial" w:cs="Arial"/>
                <w:sz w:val="24"/>
                <w:szCs w:val="24"/>
              </w:rPr>
              <w:t xml:space="preserve"> but to consider the evidence in relation to the pleadings and in relation to the requirements of the law applicable to the case.</w:t>
            </w:r>
            <w:r w:rsidR="00824F3D" w:rsidRPr="00190F2F">
              <w:rPr>
                <w:rStyle w:val="FootnoteReference"/>
                <w:rFonts w:ascii="Arial" w:hAnsi="Arial" w:cs="Arial"/>
                <w:sz w:val="24"/>
                <w:szCs w:val="24"/>
              </w:rPr>
              <w:footnoteReference w:id="4"/>
            </w:r>
          </w:p>
          <w:p w14:paraId="40BBB4AA" w14:textId="77777777" w:rsidR="008E74B0" w:rsidRDefault="008E74B0" w:rsidP="002850A3">
            <w:pPr>
              <w:spacing w:line="360" w:lineRule="auto"/>
              <w:jc w:val="both"/>
              <w:rPr>
                <w:rFonts w:ascii="Arial" w:hAnsi="Arial" w:cs="Arial"/>
                <w:sz w:val="24"/>
                <w:szCs w:val="24"/>
              </w:rPr>
            </w:pPr>
          </w:p>
          <w:p w14:paraId="6D65038C" w14:textId="4DE90F1D" w:rsidR="00BE4F57" w:rsidRPr="00663770" w:rsidRDefault="00B32493" w:rsidP="00DC6B2A">
            <w:pPr>
              <w:spacing w:line="360" w:lineRule="auto"/>
              <w:jc w:val="both"/>
              <w:rPr>
                <w:rFonts w:ascii="Arial" w:hAnsi="Arial" w:cs="Arial"/>
              </w:rPr>
            </w:pPr>
            <w:r w:rsidRPr="004A5618">
              <w:rPr>
                <w:rFonts w:ascii="Arial" w:hAnsi="Arial" w:cs="Arial"/>
                <w:sz w:val="24"/>
                <w:szCs w:val="24"/>
              </w:rPr>
              <w:t>[</w:t>
            </w:r>
            <w:r w:rsidR="008E74B0">
              <w:rPr>
                <w:rFonts w:ascii="Arial" w:hAnsi="Arial" w:cs="Arial"/>
                <w:sz w:val="24"/>
                <w:szCs w:val="24"/>
              </w:rPr>
              <w:t>5</w:t>
            </w:r>
            <w:r w:rsidRPr="004A5618">
              <w:rPr>
                <w:rFonts w:ascii="Arial" w:hAnsi="Arial" w:cs="Arial"/>
                <w:sz w:val="24"/>
                <w:szCs w:val="24"/>
              </w:rPr>
              <w:t>]</w:t>
            </w:r>
            <w:r w:rsidRPr="004A5618">
              <w:rPr>
                <w:rFonts w:ascii="Arial" w:hAnsi="Arial" w:cs="Arial"/>
                <w:sz w:val="24"/>
                <w:szCs w:val="24"/>
              </w:rPr>
              <w:tab/>
            </w:r>
            <w:r w:rsidR="00E2006F">
              <w:rPr>
                <w:rFonts w:ascii="Arial" w:hAnsi="Arial" w:cs="Arial"/>
                <w:sz w:val="24"/>
                <w:szCs w:val="24"/>
              </w:rPr>
              <w:t xml:space="preserve">It is important to note that the first defendant is a close corporation, and the second to the fifth defendants are its members. I shall refer to them as the member defendants. The </w:t>
            </w:r>
            <w:r w:rsidR="003D442D">
              <w:rPr>
                <w:rFonts w:ascii="Arial" w:hAnsi="Arial" w:cs="Arial"/>
                <w:sz w:val="24"/>
                <w:szCs w:val="24"/>
              </w:rPr>
              <w:t xml:space="preserve">plaintiff’s claim is based on the interpretation and application of s 64, alternatively s 65, of the </w:t>
            </w:r>
            <w:r w:rsidR="004D4C39">
              <w:rPr>
                <w:rFonts w:ascii="Arial" w:hAnsi="Arial" w:cs="Arial"/>
                <w:sz w:val="24"/>
                <w:szCs w:val="24"/>
              </w:rPr>
              <w:t>C</w:t>
            </w:r>
            <w:r w:rsidR="003D442D">
              <w:rPr>
                <w:rFonts w:ascii="Arial" w:hAnsi="Arial" w:cs="Arial"/>
                <w:sz w:val="24"/>
                <w:szCs w:val="24"/>
              </w:rPr>
              <w:t>lose Corporation Act 26 of 1988 (‘the CCA’), that is, the law applicable in these proceedings.</w:t>
            </w:r>
            <w:r w:rsidR="003D442D">
              <w:rPr>
                <w:rStyle w:val="FootnoteReference"/>
                <w:rFonts w:ascii="Arial" w:hAnsi="Arial" w:cs="Arial"/>
                <w:sz w:val="24"/>
                <w:szCs w:val="24"/>
              </w:rPr>
              <w:footnoteReference w:id="5"/>
            </w:r>
            <w:r w:rsidR="00E2006F">
              <w:rPr>
                <w:rFonts w:ascii="Arial" w:hAnsi="Arial" w:cs="Arial"/>
                <w:sz w:val="24"/>
                <w:szCs w:val="24"/>
              </w:rPr>
              <w:t xml:space="preserve"> </w:t>
            </w:r>
            <w:r w:rsidR="003D442D">
              <w:rPr>
                <w:rFonts w:ascii="Arial" w:hAnsi="Arial" w:cs="Arial"/>
                <w:sz w:val="24"/>
                <w:szCs w:val="24"/>
              </w:rPr>
              <w:t xml:space="preserve"> The interpretation and application of those provisions is therefore called for.</w:t>
            </w:r>
            <w:r w:rsidR="00E2006F">
              <w:rPr>
                <w:rFonts w:ascii="Arial" w:hAnsi="Arial" w:cs="Arial"/>
                <w:sz w:val="24"/>
                <w:szCs w:val="24"/>
              </w:rPr>
              <w:t xml:space="preserve"> </w:t>
            </w:r>
          </w:p>
          <w:p w14:paraId="23365F4A" w14:textId="77777777" w:rsidR="00B32493" w:rsidRPr="004A5618" w:rsidRDefault="00B32493" w:rsidP="00B32493">
            <w:pPr>
              <w:spacing w:line="360" w:lineRule="auto"/>
              <w:jc w:val="both"/>
              <w:rPr>
                <w:rFonts w:ascii="Arial" w:hAnsi="Arial" w:cs="Arial"/>
                <w:sz w:val="24"/>
                <w:szCs w:val="24"/>
              </w:rPr>
            </w:pPr>
          </w:p>
          <w:p w14:paraId="77F269AE" w14:textId="754F259F" w:rsidR="00B32493" w:rsidRPr="004A5618" w:rsidRDefault="00B32493" w:rsidP="00B32493">
            <w:pPr>
              <w:spacing w:line="360" w:lineRule="auto"/>
              <w:jc w:val="both"/>
              <w:rPr>
                <w:rFonts w:ascii="Arial" w:hAnsi="Arial" w:cs="Arial"/>
                <w:sz w:val="24"/>
                <w:szCs w:val="24"/>
              </w:rPr>
            </w:pPr>
            <w:r w:rsidRPr="004A5618">
              <w:rPr>
                <w:rFonts w:ascii="Arial" w:hAnsi="Arial" w:cs="Arial"/>
                <w:sz w:val="24"/>
                <w:szCs w:val="24"/>
              </w:rPr>
              <w:t>[</w:t>
            </w:r>
            <w:r w:rsidR="008E74B0">
              <w:rPr>
                <w:rFonts w:ascii="Arial" w:hAnsi="Arial" w:cs="Arial"/>
                <w:sz w:val="24"/>
                <w:szCs w:val="24"/>
              </w:rPr>
              <w:t>6</w:t>
            </w:r>
            <w:r w:rsidRPr="004A5618">
              <w:rPr>
                <w:rFonts w:ascii="Arial" w:hAnsi="Arial" w:cs="Arial"/>
                <w:sz w:val="24"/>
                <w:szCs w:val="24"/>
              </w:rPr>
              <w:t>]</w:t>
            </w:r>
            <w:r w:rsidRPr="004A5618">
              <w:rPr>
                <w:rFonts w:ascii="Arial" w:hAnsi="Arial" w:cs="Arial"/>
                <w:sz w:val="24"/>
                <w:szCs w:val="24"/>
              </w:rPr>
              <w:tab/>
            </w:r>
            <w:r w:rsidR="003D442D">
              <w:rPr>
                <w:rFonts w:ascii="Arial" w:hAnsi="Arial" w:cs="Arial"/>
                <w:sz w:val="24"/>
                <w:szCs w:val="24"/>
              </w:rPr>
              <w:t xml:space="preserve">The charge is that the member defendants ‘carried on the business of the first defendant and in a manner that was grossly negligent and/or reckless’.  Therefore, the plaintiff claims, those defendants should be declared jointly and severally liable for a (the) judgment obtained against </w:t>
            </w:r>
            <w:r w:rsidR="0094588F">
              <w:rPr>
                <w:rFonts w:ascii="Arial" w:hAnsi="Arial" w:cs="Arial"/>
                <w:sz w:val="24"/>
                <w:szCs w:val="24"/>
              </w:rPr>
              <w:t>the first defendant’.</w:t>
            </w:r>
          </w:p>
          <w:p w14:paraId="1682A39E" w14:textId="77777777" w:rsidR="00E53C47" w:rsidRDefault="00E53C47" w:rsidP="008E5E3D">
            <w:pPr>
              <w:spacing w:line="360" w:lineRule="auto"/>
              <w:jc w:val="both"/>
              <w:rPr>
                <w:rFonts w:ascii="Arial" w:hAnsi="Arial" w:cs="Arial"/>
                <w:sz w:val="24"/>
                <w:szCs w:val="24"/>
              </w:rPr>
            </w:pPr>
          </w:p>
          <w:p w14:paraId="4D437C49" w14:textId="6DDE42A0" w:rsidR="00B32493" w:rsidRPr="004A5618" w:rsidRDefault="00B32493" w:rsidP="008E5E3D">
            <w:pPr>
              <w:spacing w:line="360" w:lineRule="auto"/>
              <w:jc w:val="both"/>
              <w:rPr>
                <w:rFonts w:ascii="Arial" w:hAnsi="Arial" w:cs="Arial"/>
              </w:rPr>
            </w:pPr>
            <w:r w:rsidRPr="004A5618">
              <w:rPr>
                <w:rFonts w:ascii="Arial" w:hAnsi="Arial" w:cs="Arial"/>
                <w:sz w:val="24"/>
                <w:szCs w:val="24"/>
              </w:rPr>
              <w:t>[</w:t>
            </w:r>
            <w:r w:rsidR="008E74B0">
              <w:rPr>
                <w:rFonts w:ascii="Arial" w:hAnsi="Arial" w:cs="Arial"/>
                <w:sz w:val="24"/>
                <w:szCs w:val="24"/>
              </w:rPr>
              <w:t>7</w:t>
            </w:r>
            <w:r w:rsidRPr="004A5618">
              <w:rPr>
                <w:rFonts w:ascii="Arial" w:hAnsi="Arial" w:cs="Arial"/>
                <w:sz w:val="24"/>
                <w:szCs w:val="24"/>
              </w:rPr>
              <w:t>]</w:t>
            </w:r>
            <w:r w:rsidRPr="004A5618">
              <w:rPr>
                <w:rFonts w:ascii="Arial" w:hAnsi="Arial" w:cs="Arial"/>
                <w:sz w:val="24"/>
                <w:szCs w:val="24"/>
              </w:rPr>
              <w:tab/>
            </w:r>
            <w:r w:rsidR="00822BEF">
              <w:rPr>
                <w:rFonts w:ascii="Arial" w:hAnsi="Arial" w:cs="Arial"/>
                <w:sz w:val="24"/>
                <w:szCs w:val="24"/>
              </w:rPr>
              <w:t>It need hardly saying that the plaintiff bears the burden of proving that which they have alleged,</w:t>
            </w:r>
            <w:r w:rsidR="00822BEF">
              <w:rPr>
                <w:rStyle w:val="FootnoteReference"/>
                <w:rFonts w:ascii="Arial" w:hAnsi="Arial" w:cs="Arial"/>
                <w:sz w:val="24"/>
                <w:szCs w:val="24"/>
              </w:rPr>
              <w:footnoteReference w:id="6"/>
            </w:r>
            <w:r w:rsidR="00822BEF">
              <w:rPr>
                <w:rFonts w:ascii="Arial" w:hAnsi="Arial" w:cs="Arial"/>
                <w:sz w:val="24"/>
                <w:szCs w:val="24"/>
              </w:rPr>
              <w:t xml:space="preserve"> that is, that the member defendants carried out the business of the first defendant grossly negligently and recklessly or grossly negligently or recklessly.  Thus, the plaintiff can succeed only if it discharged the onus cast on it. The question that arises for determination is therefore this:  What proof has the plaintiff placed before the court in its attempt to prove the aforementioned allegation?  Before I consider that question, I shall examine the interpretation and application of s 64(1) and s 65 of the CC</w:t>
            </w:r>
            <w:r w:rsidR="00B40E58">
              <w:rPr>
                <w:rFonts w:ascii="Arial" w:hAnsi="Arial" w:cs="Arial"/>
                <w:sz w:val="24"/>
                <w:szCs w:val="24"/>
              </w:rPr>
              <w:t>A</w:t>
            </w:r>
            <w:r w:rsidR="00822BEF">
              <w:rPr>
                <w:rFonts w:ascii="Arial" w:hAnsi="Arial" w:cs="Arial"/>
                <w:sz w:val="24"/>
                <w:szCs w:val="24"/>
              </w:rPr>
              <w:t xml:space="preserve">. </w:t>
            </w:r>
          </w:p>
          <w:p w14:paraId="3103EDE3" w14:textId="77777777" w:rsidR="00B32493" w:rsidRPr="004A5618" w:rsidRDefault="00B32493" w:rsidP="00B32493">
            <w:pPr>
              <w:spacing w:line="360" w:lineRule="auto"/>
              <w:jc w:val="both"/>
              <w:rPr>
                <w:rFonts w:ascii="Arial" w:hAnsi="Arial" w:cs="Arial"/>
                <w:sz w:val="24"/>
                <w:szCs w:val="24"/>
              </w:rPr>
            </w:pPr>
          </w:p>
          <w:p w14:paraId="4E2FC4CA" w14:textId="579296F1" w:rsidR="00DC5666" w:rsidRDefault="00B32493" w:rsidP="008E5E3D">
            <w:pPr>
              <w:spacing w:line="360" w:lineRule="auto"/>
              <w:jc w:val="both"/>
              <w:rPr>
                <w:rFonts w:ascii="Arial" w:hAnsi="Arial" w:cs="Arial"/>
                <w:sz w:val="24"/>
                <w:szCs w:val="24"/>
              </w:rPr>
            </w:pPr>
            <w:r w:rsidRPr="004A5618">
              <w:rPr>
                <w:rFonts w:ascii="Arial" w:hAnsi="Arial" w:cs="Arial"/>
                <w:sz w:val="24"/>
                <w:szCs w:val="24"/>
              </w:rPr>
              <w:t>[</w:t>
            </w:r>
            <w:r w:rsidR="008E74B0">
              <w:rPr>
                <w:rFonts w:ascii="Arial" w:hAnsi="Arial" w:cs="Arial"/>
                <w:sz w:val="24"/>
                <w:szCs w:val="24"/>
              </w:rPr>
              <w:t>8</w:t>
            </w:r>
            <w:r w:rsidRPr="004A5618">
              <w:rPr>
                <w:rFonts w:ascii="Arial" w:hAnsi="Arial" w:cs="Arial"/>
                <w:sz w:val="24"/>
                <w:szCs w:val="24"/>
              </w:rPr>
              <w:t>]</w:t>
            </w:r>
            <w:r w:rsidR="00DC5666" w:rsidRPr="004A5618">
              <w:rPr>
                <w:rFonts w:ascii="Arial" w:hAnsi="Arial" w:cs="Arial"/>
                <w:sz w:val="24"/>
                <w:szCs w:val="24"/>
              </w:rPr>
              <w:t xml:space="preserve"> </w:t>
            </w:r>
            <w:r w:rsidR="00DC5666" w:rsidRPr="004A5618">
              <w:rPr>
                <w:rFonts w:ascii="Arial" w:hAnsi="Arial" w:cs="Arial"/>
                <w:sz w:val="24"/>
                <w:szCs w:val="24"/>
              </w:rPr>
              <w:tab/>
            </w:r>
            <w:r w:rsidR="00DC5666">
              <w:rPr>
                <w:rFonts w:ascii="Arial" w:hAnsi="Arial" w:cs="Arial"/>
                <w:sz w:val="24"/>
                <w:szCs w:val="24"/>
              </w:rPr>
              <w:t xml:space="preserve">Mr </w:t>
            </w:r>
            <w:proofErr w:type="spellStart"/>
            <w:r w:rsidR="00DC5666">
              <w:rPr>
                <w:rFonts w:ascii="Arial" w:hAnsi="Arial" w:cs="Arial"/>
                <w:sz w:val="24"/>
                <w:szCs w:val="24"/>
              </w:rPr>
              <w:t>Lochner</w:t>
            </w:r>
            <w:proofErr w:type="spellEnd"/>
            <w:r w:rsidR="00DC5666">
              <w:rPr>
                <w:rFonts w:ascii="Arial" w:hAnsi="Arial" w:cs="Arial"/>
                <w:sz w:val="24"/>
                <w:szCs w:val="24"/>
              </w:rPr>
              <w:t xml:space="preserve"> submitted that s 64(1) of CCA ‘is based on s 424 of the Companies Act 61 of 1973’.  This Act does not exist on our statute books.  The Act was repealed by the Companies Act 28 of 2004 (‘the CA’).  It is therefore safer to compare the provisions of the CCA with the provisions of the CA.</w:t>
            </w:r>
            <w:r w:rsidRPr="004A5618">
              <w:rPr>
                <w:rFonts w:ascii="Arial" w:hAnsi="Arial" w:cs="Arial"/>
                <w:sz w:val="24"/>
                <w:szCs w:val="24"/>
              </w:rPr>
              <w:tab/>
            </w:r>
          </w:p>
          <w:p w14:paraId="469F4013" w14:textId="77777777" w:rsidR="00DC5666" w:rsidRDefault="00DC5666" w:rsidP="008E5E3D">
            <w:pPr>
              <w:spacing w:line="360" w:lineRule="auto"/>
              <w:jc w:val="both"/>
              <w:rPr>
                <w:rFonts w:ascii="Arial" w:hAnsi="Arial" w:cs="Arial"/>
                <w:sz w:val="24"/>
                <w:szCs w:val="24"/>
              </w:rPr>
            </w:pPr>
          </w:p>
          <w:p w14:paraId="6A805D8A" w14:textId="3D2F179C" w:rsidR="00B32493" w:rsidRDefault="00DC5666" w:rsidP="008E5E3D">
            <w:pPr>
              <w:spacing w:line="360" w:lineRule="auto"/>
              <w:jc w:val="both"/>
              <w:rPr>
                <w:rFonts w:ascii="Arial" w:hAnsi="Arial" w:cs="Arial"/>
                <w:sz w:val="24"/>
                <w:szCs w:val="24"/>
              </w:rPr>
            </w:pPr>
            <w:r>
              <w:rPr>
                <w:rFonts w:ascii="Arial" w:hAnsi="Arial" w:cs="Arial"/>
                <w:sz w:val="24"/>
                <w:szCs w:val="24"/>
              </w:rPr>
              <w:lastRenderedPageBreak/>
              <w:t>[9]</w:t>
            </w:r>
            <w:r w:rsidRPr="004A5618">
              <w:rPr>
                <w:rFonts w:ascii="Arial" w:hAnsi="Arial" w:cs="Arial"/>
                <w:sz w:val="24"/>
                <w:szCs w:val="24"/>
              </w:rPr>
              <w:t xml:space="preserve"> </w:t>
            </w:r>
            <w:r w:rsidRPr="004A5618">
              <w:rPr>
                <w:rFonts w:ascii="Arial" w:hAnsi="Arial" w:cs="Arial"/>
                <w:sz w:val="24"/>
                <w:szCs w:val="24"/>
              </w:rPr>
              <w:tab/>
            </w:r>
            <w:r w:rsidR="00B94288">
              <w:rPr>
                <w:rFonts w:ascii="Arial" w:hAnsi="Arial" w:cs="Arial"/>
                <w:sz w:val="24"/>
                <w:szCs w:val="24"/>
              </w:rPr>
              <w:t>Section 64(1) of the CCA compares substantially with s 430(1)</w:t>
            </w:r>
            <w:r w:rsidR="00B30526">
              <w:rPr>
                <w:rFonts w:ascii="Arial" w:hAnsi="Arial" w:cs="Arial"/>
                <w:sz w:val="24"/>
                <w:szCs w:val="24"/>
              </w:rPr>
              <w:t xml:space="preserve"> of </w:t>
            </w:r>
            <w:r w:rsidR="004D4C39">
              <w:rPr>
                <w:rFonts w:ascii="Arial" w:hAnsi="Arial" w:cs="Arial"/>
                <w:sz w:val="24"/>
                <w:szCs w:val="24"/>
              </w:rPr>
              <w:t xml:space="preserve">the </w:t>
            </w:r>
            <w:r w:rsidR="00B30526">
              <w:rPr>
                <w:rFonts w:ascii="Arial" w:hAnsi="Arial" w:cs="Arial"/>
                <w:sz w:val="24"/>
                <w:szCs w:val="24"/>
              </w:rPr>
              <w:t>CA</w:t>
            </w:r>
            <w:r w:rsidR="00B94288">
              <w:rPr>
                <w:rFonts w:ascii="Arial" w:hAnsi="Arial" w:cs="Arial"/>
                <w:sz w:val="24"/>
                <w:szCs w:val="24"/>
              </w:rPr>
              <w:t xml:space="preserve">; except that the charge of ‘gross negligence’ is absent from s 430(1) of </w:t>
            </w:r>
            <w:r w:rsidR="004D4C39">
              <w:rPr>
                <w:rFonts w:ascii="Arial" w:hAnsi="Arial" w:cs="Arial"/>
                <w:sz w:val="24"/>
                <w:szCs w:val="24"/>
              </w:rPr>
              <w:t xml:space="preserve">the </w:t>
            </w:r>
            <w:r w:rsidR="00B94288">
              <w:rPr>
                <w:rFonts w:ascii="Arial" w:hAnsi="Arial" w:cs="Arial"/>
                <w:sz w:val="24"/>
                <w:szCs w:val="24"/>
              </w:rPr>
              <w:t>CA.  Both Acts provide the charge of recklessness.</w:t>
            </w:r>
          </w:p>
          <w:p w14:paraId="5938B5F1" w14:textId="77777777" w:rsidR="00047BBE" w:rsidRDefault="00047BBE" w:rsidP="008E5E3D">
            <w:pPr>
              <w:spacing w:line="360" w:lineRule="auto"/>
              <w:jc w:val="both"/>
              <w:rPr>
                <w:rFonts w:ascii="Arial" w:hAnsi="Arial" w:cs="Arial"/>
                <w:sz w:val="24"/>
                <w:szCs w:val="24"/>
              </w:rPr>
            </w:pPr>
          </w:p>
          <w:p w14:paraId="4C02B21E" w14:textId="08348F9E" w:rsidR="00047BBE" w:rsidRDefault="002B44E0" w:rsidP="002B44E0">
            <w:pPr>
              <w:spacing w:line="360" w:lineRule="auto"/>
              <w:jc w:val="both"/>
              <w:rPr>
                <w:rFonts w:ascii="Arial" w:hAnsi="Arial" w:cs="Arial"/>
                <w:sz w:val="24"/>
                <w:szCs w:val="24"/>
              </w:rPr>
            </w:pPr>
            <w:r>
              <w:rPr>
                <w:rFonts w:ascii="Arial" w:hAnsi="Arial" w:cs="Arial"/>
                <w:sz w:val="24"/>
                <w:szCs w:val="24"/>
              </w:rPr>
              <w:t>[</w:t>
            </w:r>
            <w:r w:rsidR="00B30526">
              <w:rPr>
                <w:rFonts w:ascii="Arial" w:hAnsi="Arial" w:cs="Arial"/>
                <w:sz w:val="24"/>
                <w:szCs w:val="24"/>
              </w:rPr>
              <w:t>10</w:t>
            </w:r>
            <w:r>
              <w:rPr>
                <w:rFonts w:ascii="Arial" w:hAnsi="Arial" w:cs="Arial"/>
                <w:sz w:val="24"/>
                <w:szCs w:val="24"/>
              </w:rPr>
              <w:t>]</w:t>
            </w:r>
            <w:r w:rsidRPr="004A5618">
              <w:rPr>
                <w:rFonts w:ascii="Arial" w:hAnsi="Arial" w:cs="Arial"/>
                <w:sz w:val="24"/>
                <w:szCs w:val="24"/>
              </w:rPr>
              <w:tab/>
            </w:r>
            <w:r w:rsidR="00B94288">
              <w:rPr>
                <w:rFonts w:ascii="Arial" w:hAnsi="Arial" w:cs="Arial"/>
                <w:sz w:val="24"/>
                <w:szCs w:val="24"/>
              </w:rPr>
              <w:t>The three key elements under s 64(1) of the CCA relevant to the instant proceeding are:</w:t>
            </w:r>
          </w:p>
          <w:p w14:paraId="19825977" w14:textId="77777777" w:rsidR="00B94288" w:rsidRDefault="00B94288" w:rsidP="002B44E0">
            <w:pPr>
              <w:spacing w:line="360" w:lineRule="auto"/>
              <w:jc w:val="both"/>
              <w:rPr>
                <w:rFonts w:ascii="Arial" w:hAnsi="Arial" w:cs="Arial"/>
                <w:sz w:val="24"/>
                <w:szCs w:val="24"/>
              </w:rPr>
            </w:pPr>
          </w:p>
          <w:p w14:paraId="27487CC1" w14:textId="637658E4" w:rsidR="00B94288" w:rsidRPr="00B94288" w:rsidRDefault="00B94288" w:rsidP="00B94288">
            <w:pPr>
              <w:pStyle w:val="ListParagraph"/>
              <w:numPr>
                <w:ilvl w:val="0"/>
                <w:numId w:val="26"/>
              </w:numPr>
              <w:spacing w:line="360" w:lineRule="auto"/>
              <w:ind w:left="743" w:hanging="710"/>
              <w:jc w:val="both"/>
              <w:rPr>
                <w:rFonts w:ascii="Arial" w:hAnsi="Arial" w:cs="Arial"/>
                <w:sz w:val="24"/>
                <w:szCs w:val="24"/>
              </w:rPr>
            </w:pPr>
            <w:r w:rsidRPr="00B94288">
              <w:rPr>
                <w:rFonts w:ascii="Arial" w:hAnsi="Arial" w:cs="Arial"/>
                <w:sz w:val="24"/>
                <w:szCs w:val="24"/>
              </w:rPr>
              <w:t xml:space="preserve">knowingly a party to the carrying on </w:t>
            </w:r>
            <w:r w:rsidR="00B30526">
              <w:rPr>
                <w:rFonts w:ascii="Arial" w:hAnsi="Arial" w:cs="Arial"/>
                <w:sz w:val="24"/>
                <w:szCs w:val="24"/>
              </w:rPr>
              <w:t xml:space="preserve">of </w:t>
            </w:r>
            <w:r w:rsidRPr="00B94288">
              <w:rPr>
                <w:rFonts w:ascii="Arial" w:hAnsi="Arial" w:cs="Arial"/>
                <w:sz w:val="24"/>
                <w:szCs w:val="24"/>
              </w:rPr>
              <w:t>the business in the manner prohibited by s 64(1);</w:t>
            </w:r>
          </w:p>
          <w:p w14:paraId="07190FA4" w14:textId="77777777" w:rsidR="00B94288" w:rsidRDefault="00B94288" w:rsidP="00B94288">
            <w:pPr>
              <w:pStyle w:val="ListParagraph"/>
              <w:numPr>
                <w:ilvl w:val="0"/>
                <w:numId w:val="26"/>
              </w:numPr>
              <w:spacing w:line="360" w:lineRule="auto"/>
              <w:ind w:left="743" w:hanging="710"/>
              <w:jc w:val="both"/>
              <w:rPr>
                <w:rFonts w:ascii="Arial" w:hAnsi="Arial" w:cs="Arial"/>
                <w:sz w:val="24"/>
                <w:szCs w:val="24"/>
              </w:rPr>
            </w:pPr>
            <w:r>
              <w:rPr>
                <w:rFonts w:ascii="Arial" w:hAnsi="Arial" w:cs="Arial"/>
                <w:sz w:val="24"/>
                <w:szCs w:val="24"/>
              </w:rPr>
              <w:t xml:space="preserve">any business of the corporation being carried on recklessly; </w:t>
            </w:r>
          </w:p>
          <w:p w14:paraId="2043B9EB" w14:textId="75C785D8" w:rsidR="00B94288" w:rsidRPr="00B94288" w:rsidRDefault="00B94288" w:rsidP="00B94288">
            <w:pPr>
              <w:pStyle w:val="ListParagraph"/>
              <w:numPr>
                <w:ilvl w:val="0"/>
                <w:numId w:val="26"/>
              </w:numPr>
              <w:spacing w:line="360" w:lineRule="auto"/>
              <w:ind w:left="743" w:hanging="710"/>
              <w:jc w:val="both"/>
              <w:rPr>
                <w:rFonts w:ascii="Arial" w:hAnsi="Arial" w:cs="Arial"/>
                <w:sz w:val="24"/>
                <w:szCs w:val="24"/>
              </w:rPr>
            </w:pPr>
            <w:proofErr w:type="gramStart"/>
            <w:r>
              <w:rPr>
                <w:rFonts w:ascii="Arial" w:hAnsi="Arial" w:cs="Arial"/>
                <w:sz w:val="24"/>
                <w:szCs w:val="24"/>
              </w:rPr>
              <w:t>with</w:t>
            </w:r>
            <w:proofErr w:type="gramEnd"/>
            <w:r>
              <w:rPr>
                <w:rFonts w:ascii="Arial" w:hAnsi="Arial" w:cs="Arial"/>
                <w:sz w:val="24"/>
                <w:szCs w:val="24"/>
              </w:rPr>
              <w:t xml:space="preserve"> gross negligence.</w:t>
            </w:r>
          </w:p>
          <w:p w14:paraId="599172B0" w14:textId="25801079" w:rsidR="00B32493" w:rsidRPr="004A5618" w:rsidRDefault="00B32493" w:rsidP="00B32493">
            <w:pPr>
              <w:spacing w:line="360" w:lineRule="auto"/>
              <w:jc w:val="both"/>
              <w:rPr>
                <w:rFonts w:ascii="Arial" w:hAnsi="Arial" w:cs="Arial"/>
                <w:sz w:val="24"/>
                <w:szCs w:val="24"/>
              </w:rPr>
            </w:pPr>
          </w:p>
          <w:p w14:paraId="24ED82C7" w14:textId="4F96EA63" w:rsidR="008E74B0" w:rsidRPr="00220768" w:rsidRDefault="00B32493" w:rsidP="008E74B0">
            <w:pPr>
              <w:spacing w:line="360" w:lineRule="auto"/>
              <w:jc w:val="both"/>
              <w:rPr>
                <w:rFonts w:ascii="Arial" w:hAnsi="Arial" w:cs="Arial"/>
                <w:sz w:val="24"/>
                <w:szCs w:val="24"/>
              </w:rPr>
            </w:pPr>
            <w:r w:rsidRPr="008E74B0">
              <w:rPr>
                <w:rFonts w:ascii="Arial" w:hAnsi="Arial" w:cs="Arial"/>
                <w:sz w:val="24"/>
                <w:szCs w:val="24"/>
              </w:rPr>
              <w:t>[</w:t>
            </w:r>
            <w:r w:rsidR="008E74B0">
              <w:rPr>
                <w:rFonts w:ascii="Arial" w:hAnsi="Arial" w:cs="Arial"/>
                <w:sz w:val="24"/>
                <w:szCs w:val="24"/>
              </w:rPr>
              <w:t>1</w:t>
            </w:r>
            <w:r w:rsidR="00B30526">
              <w:rPr>
                <w:rFonts w:ascii="Arial" w:hAnsi="Arial" w:cs="Arial"/>
                <w:sz w:val="24"/>
                <w:szCs w:val="24"/>
              </w:rPr>
              <w:t>1</w:t>
            </w:r>
            <w:r w:rsidRPr="008E74B0">
              <w:rPr>
                <w:rFonts w:ascii="Arial" w:hAnsi="Arial" w:cs="Arial"/>
                <w:sz w:val="24"/>
                <w:szCs w:val="24"/>
              </w:rPr>
              <w:t>]</w:t>
            </w:r>
            <w:r w:rsidRPr="004A5618">
              <w:rPr>
                <w:rFonts w:ascii="Arial" w:hAnsi="Arial" w:cs="Arial"/>
                <w:sz w:val="24"/>
                <w:szCs w:val="24"/>
              </w:rPr>
              <w:tab/>
            </w:r>
            <w:r w:rsidR="00B94288">
              <w:rPr>
                <w:rFonts w:ascii="Arial" w:hAnsi="Arial" w:cs="Arial"/>
                <w:sz w:val="24"/>
                <w:szCs w:val="24"/>
              </w:rPr>
              <w:t>The onus is upon the party alleging recklessness or gross negligence to so prove, and being civil proceedings, to establish the necessary facts on a balance of probabilities.</w:t>
            </w:r>
            <w:r w:rsidR="00772D17">
              <w:rPr>
                <w:rFonts w:ascii="Arial" w:hAnsi="Arial" w:cs="Arial"/>
                <w:sz w:val="24"/>
                <w:szCs w:val="24"/>
              </w:rPr>
              <w:t xml:space="preserve"> The</w:t>
            </w:r>
            <w:r w:rsidR="004D4C39">
              <w:rPr>
                <w:rFonts w:ascii="Arial" w:hAnsi="Arial" w:cs="Arial"/>
                <w:sz w:val="24"/>
                <w:szCs w:val="24"/>
              </w:rPr>
              <w:t xml:space="preserve"> crucial</w:t>
            </w:r>
            <w:r w:rsidR="00772D17">
              <w:rPr>
                <w:rFonts w:ascii="Arial" w:hAnsi="Arial" w:cs="Arial"/>
                <w:sz w:val="24"/>
                <w:szCs w:val="24"/>
              </w:rPr>
              <w:t xml:space="preserve"> phrase i</w:t>
            </w:r>
            <w:r w:rsidR="004D4C39">
              <w:rPr>
                <w:rFonts w:ascii="Arial" w:hAnsi="Arial" w:cs="Arial"/>
                <w:sz w:val="24"/>
                <w:szCs w:val="24"/>
              </w:rPr>
              <w:t>n</w:t>
            </w:r>
            <w:r w:rsidR="00772D17">
              <w:rPr>
                <w:rFonts w:ascii="Arial" w:hAnsi="Arial" w:cs="Arial"/>
                <w:sz w:val="24"/>
                <w:szCs w:val="24"/>
              </w:rPr>
              <w:t xml:space="preserve"> s 64(1) is: a person </w:t>
            </w:r>
            <w:r w:rsidR="004D4C39">
              <w:rPr>
                <w:rFonts w:ascii="Arial" w:hAnsi="Arial" w:cs="Arial"/>
                <w:sz w:val="24"/>
                <w:szCs w:val="24"/>
              </w:rPr>
              <w:t xml:space="preserve">is </w:t>
            </w:r>
            <w:r w:rsidR="00772D17">
              <w:rPr>
                <w:rFonts w:ascii="Arial" w:hAnsi="Arial" w:cs="Arial"/>
                <w:sz w:val="24"/>
                <w:szCs w:val="24"/>
              </w:rPr>
              <w:t xml:space="preserve">knowingly a party to the carrying on of the business in </w:t>
            </w:r>
            <w:r w:rsidR="00940E2D">
              <w:rPr>
                <w:rFonts w:ascii="Arial" w:hAnsi="Arial" w:cs="Arial"/>
                <w:sz w:val="24"/>
                <w:szCs w:val="24"/>
              </w:rPr>
              <w:t>the prohibited manner. The adverb ‘knowingly’ means having knowledge of the facts from which the conclusion is properly to be drawn that the business of the corporation was or has been carried on recklessly; it does not entail knowledge of the legal consequences of those facts</w:t>
            </w:r>
            <w:r w:rsidR="004D4C39">
              <w:rPr>
                <w:rFonts w:ascii="Arial" w:hAnsi="Arial" w:cs="Arial"/>
                <w:sz w:val="24"/>
                <w:szCs w:val="24"/>
              </w:rPr>
              <w:t>.</w:t>
            </w:r>
            <w:r w:rsidR="00940E2D">
              <w:rPr>
                <w:rFonts w:ascii="Arial" w:hAnsi="Arial" w:cs="Arial"/>
                <w:sz w:val="24"/>
                <w:szCs w:val="24"/>
              </w:rPr>
              <w:t xml:space="preserve"> </w:t>
            </w:r>
            <w:r w:rsidR="004D4C39">
              <w:rPr>
                <w:rFonts w:ascii="Arial" w:hAnsi="Arial" w:cs="Arial"/>
                <w:sz w:val="24"/>
                <w:szCs w:val="24"/>
              </w:rPr>
              <w:t xml:space="preserve"> </w:t>
            </w:r>
            <w:r w:rsidR="00940E2D">
              <w:rPr>
                <w:rFonts w:ascii="Arial" w:hAnsi="Arial" w:cs="Arial"/>
                <w:sz w:val="24"/>
                <w:szCs w:val="24"/>
              </w:rPr>
              <w:t>It follows that ‘knowingly’ does not</w:t>
            </w:r>
            <w:r w:rsidR="00344B76">
              <w:rPr>
                <w:rFonts w:ascii="Arial" w:hAnsi="Arial" w:cs="Arial"/>
                <w:sz w:val="24"/>
                <w:szCs w:val="24"/>
              </w:rPr>
              <w:t xml:space="preserve"> necessarily mean consciousness.  T</w:t>
            </w:r>
            <w:r w:rsidR="00940E2D">
              <w:rPr>
                <w:rFonts w:ascii="Arial" w:hAnsi="Arial" w:cs="Arial"/>
                <w:sz w:val="24"/>
                <w:szCs w:val="24"/>
              </w:rPr>
              <w:t xml:space="preserve">hus, being a party to the conduct of the corporation’s business does not have to involve the taking of positive steps in the carrying on of the business; it may be enough to support or concur in the conduct of the business.  Therefore, Mr </w:t>
            </w:r>
            <w:proofErr w:type="spellStart"/>
            <w:r w:rsidR="00E41369">
              <w:rPr>
                <w:rFonts w:ascii="Arial" w:hAnsi="Arial" w:cs="Arial"/>
                <w:sz w:val="24"/>
                <w:szCs w:val="24"/>
              </w:rPr>
              <w:t>Tjombe’s</w:t>
            </w:r>
            <w:proofErr w:type="spellEnd"/>
            <w:r w:rsidR="00E41369">
              <w:rPr>
                <w:rFonts w:ascii="Arial" w:hAnsi="Arial" w:cs="Arial"/>
                <w:sz w:val="24"/>
                <w:szCs w:val="24"/>
              </w:rPr>
              <w:t xml:space="preserve"> submission that the ‘plaintiff advanced no further evidence regarding the individual member</w:t>
            </w:r>
            <w:r w:rsidR="004D4C39">
              <w:rPr>
                <w:rFonts w:ascii="Arial" w:hAnsi="Arial" w:cs="Arial"/>
                <w:sz w:val="24"/>
                <w:szCs w:val="24"/>
              </w:rPr>
              <w:t>’</w:t>
            </w:r>
            <w:r w:rsidR="00E41369">
              <w:rPr>
                <w:rFonts w:ascii="Arial" w:hAnsi="Arial" w:cs="Arial"/>
                <w:sz w:val="24"/>
                <w:szCs w:val="24"/>
              </w:rPr>
              <w:t xml:space="preserve"> cannot be sustained.</w:t>
            </w:r>
          </w:p>
          <w:p w14:paraId="7F9DBA0B" w14:textId="77777777" w:rsidR="00B32493" w:rsidRPr="004A5618" w:rsidRDefault="00B32493" w:rsidP="00B32493">
            <w:pPr>
              <w:spacing w:line="360" w:lineRule="auto"/>
              <w:jc w:val="both"/>
              <w:rPr>
                <w:rFonts w:ascii="Arial" w:hAnsi="Arial" w:cs="Arial"/>
                <w:sz w:val="24"/>
                <w:szCs w:val="24"/>
              </w:rPr>
            </w:pPr>
          </w:p>
          <w:p w14:paraId="6B9C0942" w14:textId="62807B38" w:rsidR="008E74B0" w:rsidRDefault="00B32493" w:rsidP="008E74B0">
            <w:pPr>
              <w:spacing w:line="360" w:lineRule="auto"/>
              <w:jc w:val="both"/>
              <w:rPr>
                <w:rFonts w:ascii="Arial" w:hAnsi="Arial" w:cs="Arial"/>
                <w:sz w:val="24"/>
                <w:szCs w:val="24"/>
              </w:rPr>
            </w:pPr>
            <w:r w:rsidRPr="004A5618">
              <w:rPr>
                <w:rFonts w:ascii="Arial" w:hAnsi="Arial" w:cs="Arial"/>
                <w:sz w:val="24"/>
                <w:szCs w:val="24"/>
              </w:rPr>
              <w:t>[</w:t>
            </w:r>
            <w:r w:rsidR="008E74B0">
              <w:rPr>
                <w:rFonts w:ascii="Arial" w:hAnsi="Arial" w:cs="Arial"/>
                <w:sz w:val="24"/>
                <w:szCs w:val="24"/>
              </w:rPr>
              <w:t>1</w:t>
            </w:r>
            <w:r w:rsidR="00210CE5">
              <w:rPr>
                <w:rFonts w:ascii="Arial" w:hAnsi="Arial" w:cs="Arial"/>
                <w:sz w:val="24"/>
                <w:szCs w:val="24"/>
              </w:rPr>
              <w:t>2</w:t>
            </w:r>
            <w:r w:rsidRPr="004A5618">
              <w:rPr>
                <w:rFonts w:ascii="Arial" w:hAnsi="Arial" w:cs="Arial"/>
                <w:sz w:val="24"/>
                <w:szCs w:val="24"/>
              </w:rPr>
              <w:t>]</w:t>
            </w:r>
            <w:r w:rsidRPr="004A5618">
              <w:rPr>
                <w:rFonts w:ascii="Arial" w:hAnsi="Arial" w:cs="Arial"/>
                <w:sz w:val="24"/>
                <w:szCs w:val="24"/>
              </w:rPr>
              <w:tab/>
            </w:r>
            <w:r w:rsidR="00E41369">
              <w:rPr>
                <w:rFonts w:ascii="Arial" w:hAnsi="Arial" w:cs="Arial"/>
                <w:sz w:val="24"/>
                <w:szCs w:val="24"/>
              </w:rPr>
              <w:t xml:space="preserve">Be that as it may, it is important to signalize the crucial point that recklessness is not lightly to be found; but where facts are within the exclusive knowledge of one party, his or her failure to give </w:t>
            </w:r>
            <w:r w:rsidR="00E60E31">
              <w:rPr>
                <w:rFonts w:ascii="Arial" w:hAnsi="Arial" w:cs="Arial"/>
                <w:sz w:val="24"/>
                <w:szCs w:val="24"/>
              </w:rPr>
              <w:t xml:space="preserve">an </w:t>
            </w:r>
            <w:r w:rsidR="00E41369">
              <w:rPr>
                <w:rFonts w:ascii="Arial" w:hAnsi="Arial" w:cs="Arial"/>
                <w:sz w:val="24"/>
                <w:szCs w:val="24"/>
              </w:rPr>
              <w:t>explanation for his or her conduct may weigh very heavily against him or her.</w:t>
            </w:r>
            <w:r w:rsidR="00E41369">
              <w:rPr>
                <w:rStyle w:val="FootnoteReference"/>
                <w:rFonts w:ascii="Arial" w:hAnsi="Arial" w:cs="Arial"/>
                <w:sz w:val="24"/>
                <w:szCs w:val="24"/>
              </w:rPr>
              <w:footnoteReference w:id="7"/>
            </w:r>
          </w:p>
          <w:p w14:paraId="7EBDBCF0" w14:textId="77777777" w:rsidR="00BC055D" w:rsidRDefault="00BC055D" w:rsidP="008E74B0">
            <w:pPr>
              <w:spacing w:line="360" w:lineRule="auto"/>
              <w:jc w:val="both"/>
              <w:rPr>
                <w:rFonts w:ascii="Arial" w:hAnsi="Arial" w:cs="Arial"/>
                <w:sz w:val="24"/>
                <w:szCs w:val="24"/>
              </w:rPr>
            </w:pPr>
          </w:p>
          <w:p w14:paraId="715FB445" w14:textId="586769E2" w:rsidR="00BC055D" w:rsidRDefault="00BC055D" w:rsidP="008E74B0">
            <w:pPr>
              <w:spacing w:line="360" w:lineRule="auto"/>
              <w:jc w:val="both"/>
              <w:rPr>
                <w:rFonts w:ascii="Arial" w:hAnsi="Arial" w:cs="Arial"/>
                <w:sz w:val="24"/>
                <w:szCs w:val="24"/>
              </w:rPr>
            </w:pPr>
            <w:r>
              <w:rPr>
                <w:rFonts w:ascii="Arial" w:hAnsi="Arial" w:cs="Arial"/>
                <w:sz w:val="24"/>
                <w:szCs w:val="24"/>
              </w:rPr>
              <w:t>[</w:t>
            </w:r>
            <w:r w:rsidR="00CD5AE8">
              <w:rPr>
                <w:rFonts w:ascii="Arial" w:hAnsi="Arial" w:cs="Arial"/>
                <w:sz w:val="24"/>
                <w:szCs w:val="24"/>
              </w:rPr>
              <w:t>13</w:t>
            </w:r>
            <w:r>
              <w:rPr>
                <w:rFonts w:ascii="Arial" w:hAnsi="Arial" w:cs="Arial"/>
                <w:sz w:val="24"/>
                <w:szCs w:val="24"/>
              </w:rPr>
              <w:t>]</w:t>
            </w:r>
            <w:r w:rsidRPr="004A5618">
              <w:rPr>
                <w:rFonts w:ascii="Arial" w:hAnsi="Arial" w:cs="Arial"/>
                <w:sz w:val="24"/>
                <w:szCs w:val="24"/>
              </w:rPr>
              <w:tab/>
            </w:r>
            <w:r>
              <w:rPr>
                <w:rFonts w:ascii="Arial" w:hAnsi="Arial" w:cs="Arial"/>
                <w:sz w:val="24"/>
                <w:szCs w:val="24"/>
              </w:rPr>
              <w:t>It has been said that –</w:t>
            </w:r>
          </w:p>
          <w:p w14:paraId="4B77185F" w14:textId="77777777" w:rsidR="00BC055D" w:rsidRDefault="00BC055D" w:rsidP="008E74B0">
            <w:pPr>
              <w:spacing w:line="360" w:lineRule="auto"/>
              <w:jc w:val="both"/>
              <w:rPr>
                <w:rFonts w:ascii="Arial" w:hAnsi="Arial" w:cs="Arial"/>
                <w:sz w:val="24"/>
                <w:szCs w:val="24"/>
              </w:rPr>
            </w:pPr>
          </w:p>
          <w:p w14:paraId="16423099" w14:textId="6BAAB7DF" w:rsidR="00BC055D" w:rsidRDefault="00BC055D" w:rsidP="008E74B0">
            <w:pPr>
              <w:spacing w:line="360" w:lineRule="auto"/>
              <w:jc w:val="both"/>
              <w:rPr>
                <w:rFonts w:ascii="Arial" w:hAnsi="Arial" w:cs="Arial"/>
                <w:sz w:val="24"/>
                <w:szCs w:val="24"/>
              </w:rPr>
            </w:pPr>
            <w:r w:rsidRPr="004A5618">
              <w:rPr>
                <w:rFonts w:ascii="Arial" w:hAnsi="Arial" w:cs="Arial"/>
                <w:sz w:val="24"/>
                <w:szCs w:val="24"/>
              </w:rPr>
              <w:tab/>
            </w:r>
            <w:r>
              <w:rPr>
                <w:rFonts w:ascii="Arial" w:hAnsi="Arial" w:cs="Arial"/>
                <w:sz w:val="24"/>
                <w:szCs w:val="24"/>
              </w:rPr>
              <w:t>‘</w:t>
            </w:r>
            <w:r w:rsidRPr="00CD5AE8">
              <w:rPr>
                <w:rFonts w:ascii="Arial" w:hAnsi="Arial" w:cs="Arial"/>
              </w:rPr>
              <w:t xml:space="preserve">Ordinarily, if a company while carrying on its business incurs debts at a time when </w:t>
            </w:r>
            <w:r w:rsidR="00CD5AE8" w:rsidRPr="00CD5AE8">
              <w:rPr>
                <w:rFonts w:ascii="Arial" w:hAnsi="Arial" w:cs="Arial"/>
              </w:rPr>
              <w:t xml:space="preserve">to the knowledge of its directors there is no reasonable prospect of the creditors’ ever receiving </w:t>
            </w:r>
            <w:r w:rsidRPr="00CD5AE8">
              <w:rPr>
                <w:rFonts w:ascii="Arial" w:hAnsi="Arial" w:cs="Arial"/>
              </w:rPr>
              <w:t>payment, there is a carrying on of its business with intent to defraud those creditors</w:t>
            </w:r>
            <w:r>
              <w:rPr>
                <w:rFonts w:ascii="Arial" w:hAnsi="Arial" w:cs="Arial"/>
                <w:sz w:val="24"/>
                <w:szCs w:val="24"/>
              </w:rPr>
              <w:t>.’</w:t>
            </w:r>
            <w:r w:rsidR="004D4C39">
              <w:rPr>
                <w:rStyle w:val="FootnoteReference"/>
                <w:rFonts w:ascii="Arial" w:hAnsi="Arial" w:cs="Arial"/>
                <w:sz w:val="24"/>
                <w:szCs w:val="24"/>
              </w:rPr>
              <w:footnoteReference w:id="8"/>
            </w:r>
          </w:p>
          <w:p w14:paraId="0E3381D3" w14:textId="77777777" w:rsidR="00BC055D" w:rsidRDefault="00BC055D" w:rsidP="008E74B0">
            <w:pPr>
              <w:spacing w:line="360" w:lineRule="auto"/>
              <w:jc w:val="both"/>
              <w:rPr>
                <w:rFonts w:ascii="Arial" w:hAnsi="Arial" w:cs="Arial"/>
                <w:sz w:val="24"/>
                <w:szCs w:val="24"/>
              </w:rPr>
            </w:pPr>
          </w:p>
          <w:p w14:paraId="6908296E" w14:textId="6989A5FE" w:rsidR="00BC055D" w:rsidRDefault="00BC055D" w:rsidP="008E74B0">
            <w:pPr>
              <w:spacing w:line="360" w:lineRule="auto"/>
              <w:jc w:val="both"/>
              <w:rPr>
                <w:rFonts w:ascii="Arial" w:hAnsi="Arial" w:cs="Arial"/>
                <w:sz w:val="24"/>
                <w:szCs w:val="24"/>
              </w:rPr>
            </w:pPr>
            <w:r>
              <w:rPr>
                <w:rFonts w:ascii="Arial" w:hAnsi="Arial" w:cs="Arial"/>
                <w:sz w:val="24"/>
                <w:szCs w:val="24"/>
              </w:rPr>
              <w:lastRenderedPageBreak/>
              <w:t>[</w:t>
            </w:r>
            <w:r w:rsidR="00E97B9E">
              <w:rPr>
                <w:rFonts w:ascii="Arial" w:hAnsi="Arial" w:cs="Arial"/>
                <w:sz w:val="24"/>
                <w:szCs w:val="24"/>
              </w:rPr>
              <w:t>14</w:t>
            </w:r>
            <w:r>
              <w:rPr>
                <w:rFonts w:ascii="Arial" w:hAnsi="Arial" w:cs="Arial"/>
                <w:sz w:val="24"/>
                <w:szCs w:val="24"/>
              </w:rPr>
              <w:t>]</w:t>
            </w:r>
            <w:r w:rsidRPr="004A5618">
              <w:rPr>
                <w:rFonts w:ascii="Arial" w:hAnsi="Arial" w:cs="Arial"/>
                <w:sz w:val="24"/>
                <w:szCs w:val="24"/>
              </w:rPr>
              <w:tab/>
            </w:r>
            <w:r>
              <w:rPr>
                <w:rFonts w:ascii="Arial" w:hAnsi="Arial" w:cs="Arial"/>
                <w:sz w:val="24"/>
                <w:szCs w:val="24"/>
              </w:rPr>
              <w:t xml:space="preserve">This principle does not apply in the instant matter because the plaintiff does not base its case on the charge of carrying on the business of the first defendant ‘with intent to defraud any person or for any fraudulent purpose’.  That being the case, Mr </w:t>
            </w:r>
            <w:proofErr w:type="spellStart"/>
            <w:r>
              <w:rPr>
                <w:rFonts w:ascii="Arial" w:hAnsi="Arial" w:cs="Arial"/>
                <w:sz w:val="24"/>
                <w:szCs w:val="24"/>
              </w:rPr>
              <w:t>Lochner’s</w:t>
            </w:r>
            <w:proofErr w:type="spellEnd"/>
            <w:r>
              <w:rPr>
                <w:rFonts w:ascii="Arial" w:hAnsi="Arial" w:cs="Arial"/>
                <w:sz w:val="24"/>
                <w:szCs w:val="24"/>
              </w:rPr>
              <w:t xml:space="preserve"> submission that the member defendants ‘knew that</w:t>
            </w:r>
            <w:r w:rsidR="00E60E31">
              <w:rPr>
                <w:rFonts w:ascii="Arial" w:hAnsi="Arial" w:cs="Arial"/>
                <w:sz w:val="24"/>
                <w:szCs w:val="24"/>
              </w:rPr>
              <w:t xml:space="preserve"> they could not pay any invoice</w:t>
            </w:r>
            <w:r>
              <w:rPr>
                <w:rFonts w:ascii="Arial" w:hAnsi="Arial" w:cs="Arial"/>
                <w:sz w:val="24"/>
                <w:szCs w:val="24"/>
              </w:rPr>
              <w:t xml:space="preserve"> that would be presented to them in </w:t>
            </w:r>
            <w:r w:rsidR="00E97B9E">
              <w:rPr>
                <w:rFonts w:ascii="Arial" w:hAnsi="Arial" w:cs="Arial"/>
                <w:sz w:val="24"/>
                <w:szCs w:val="24"/>
              </w:rPr>
              <w:t>respect of the preparatory work</w:t>
            </w:r>
            <w:r>
              <w:rPr>
                <w:rFonts w:ascii="Arial" w:hAnsi="Arial" w:cs="Arial"/>
                <w:sz w:val="24"/>
                <w:szCs w:val="24"/>
              </w:rPr>
              <w:t xml:space="preserve"> was done’ turns on nothing.  That </w:t>
            </w:r>
            <w:r w:rsidRPr="00E97B9E">
              <w:rPr>
                <w:rFonts w:ascii="Arial" w:hAnsi="Arial" w:cs="Arial"/>
                <w:i/>
                <w:sz w:val="24"/>
                <w:szCs w:val="24"/>
              </w:rPr>
              <w:t>may</w:t>
            </w:r>
            <w:r>
              <w:rPr>
                <w:rFonts w:ascii="Arial" w:hAnsi="Arial" w:cs="Arial"/>
                <w:sz w:val="24"/>
                <w:szCs w:val="24"/>
              </w:rPr>
              <w:t xml:space="preserve"> – I emphasise ‘may’ – prove fraudulent conduct</w:t>
            </w:r>
            <w:r w:rsidR="00E60E31">
              <w:rPr>
                <w:rFonts w:ascii="Arial" w:hAnsi="Arial" w:cs="Arial"/>
                <w:sz w:val="24"/>
                <w:szCs w:val="24"/>
              </w:rPr>
              <w:t>,</w:t>
            </w:r>
            <w:r>
              <w:rPr>
                <w:rFonts w:ascii="Arial" w:hAnsi="Arial" w:cs="Arial"/>
                <w:sz w:val="24"/>
                <w:szCs w:val="24"/>
              </w:rPr>
              <w:t xml:space="preserve"> but not reckless or grossly negligent conduct without more, within the meaning of s 64(1) of the CCA.</w:t>
            </w:r>
          </w:p>
          <w:p w14:paraId="3FDBFF77" w14:textId="77777777" w:rsidR="00BC055D" w:rsidRDefault="00BC055D" w:rsidP="008E74B0">
            <w:pPr>
              <w:spacing w:line="360" w:lineRule="auto"/>
              <w:jc w:val="both"/>
              <w:rPr>
                <w:rFonts w:ascii="Arial" w:hAnsi="Arial" w:cs="Arial"/>
                <w:sz w:val="24"/>
                <w:szCs w:val="24"/>
              </w:rPr>
            </w:pPr>
          </w:p>
          <w:p w14:paraId="75E45F8E" w14:textId="60B1F51C" w:rsidR="00BC055D" w:rsidRDefault="00BC055D" w:rsidP="008E74B0">
            <w:pPr>
              <w:spacing w:line="360" w:lineRule="auto"/>
              <w:jc w:val="both"/>
              <w:rPr>
                <w:rFonts w:ascii="Arial" w:hAnsi="Arial" w:cs="Arial"/>
                <w:sz w:val="24"/>
                <w:szCs w:val="24"/>
              </w:rPr>
            </w:pPr>
            <w:r>
              <w:rPr>
                <w:rFonts w:ascii="Arial" w:hAnsi="Arial" w:cs="Arial"/>
                <w:sz w:val="24"/>
                <w:szCs w:val="24"/>
              </w:rPr>
              <w:t>[</w:t>
            </w:r>
            <w:r w:rsidR="00E97B9E">
              <w:rPr>
                <w:rFonts w:ascii="Arial" w:hAnsi="Arial" w:cs="Arial"/>
                <w:sz w:val="24"/>
                <w:szCs w:val="24"/>
              </w:rPr>
              <w:t>15</w:t>
            </w:r>
            <w:r>
              <w:rPr>
                <w:rFonts w:ascii="Arial" w:hAnsi="Arial" w:cs="Arial"/>
                <w:sz w:val="24"/>
                <w:szCs w:val="24"/>
              </w:rPr>
              <w:t>]</w:t>
            </w:r>
            <w:r w:rsidRPr="004A5618">
              <w:rPr>
                <w:rFonts w:ascii="Arial" w:hAnsi="Arial" w:cs="Arial"/>
                <w:sz w:val="24"/>
                <w:szCs w:val="24"/>
              </w:rPr>
              <w:tab/>
            </w:r>
            <w:r w:rsidR="003759B3">
              <w:rPr>
                <w:rFonts w:ascii="Arial" w:hAnsi="Arial" w:cs="Arial"/>
                <w:sz w:val="24"/>
                <w:szCs w:val="24"/>
              </w:rPr>
              <w:t xml:space="preserve">It should be said in </w:t>
            </w:r>
            <w:proofErr w:type="spellStart"/>
            <w:r w:rsidR="003759B3">
              <w:rPr>
                <w:rFonts w:ascii="Arial" w:hAnsi="Arial" w:cs="Arial"/>
                <w:sz w:val="24"/>
                <w:szCs w:val="24"/>
              </w:rPr>
              <w:t>capitalities</w:t>
            </w:r>
            <w:proofErr w:type="spellEnd"/>
            <w:r w:rsidR="003759B3">
              <w:rPr>
                <w:rFonts w:ascii="Arial" w:hAnsi="Arial" w:cs="Arial"/>
                <w:sz w:val="24"/>
                <w:szCs w:val="24"/>
              </w:rPr>
              <w:t xml:space="preserve"> and emphasised that the piercing of the veil of incorporation under s 65 of the CCA, as the plaintiff seeks in the alternative, ought to be resorted</w:t>
            </w:r>
            <w:r w:rsidR="00E67680">
              <w:rPr>
                <w:rFonts w:ascii="Arial" w:hAnsi="Arial" w:cs="Arial"/>
                <w:sz w:val="24"/>
                <w:szCs w:val="24"/>
              </w:rPr>
              <w:t xml:space="preserve"> to</w:t>
            </w:r>
            <w:r w:rsidR="005327E0">
              <w:rPr>
                <w:rFonts w:ascii="Arial" w:hAnsi="Arial" w:cs="Arial"/>
                <w:sz w:val="24"/>
                <w:szCs w:val="24"/>
              </w:rPr>
              <w:t xml:space="preserve"> with caution. It may</w:t>
            </w:r>
            <w:r w:rsidR="00E60E31">
              <w:rPr>
                <w:rFonts w:ascii="Arial" w:hAnsi="Arial" w:cs="Arial"/>
                <w:sz w:val="24"/>
                <w:szCs w:val="24"/>
              </w:rPr>
              <w:t xml:space="preserve"> </w:t>
            </w:r>
            <w:r w:rsidR="005327E0">
              <w:rPr>
                <w:rFonts w:ascii="Arial" w:hAnsi="Arial" w:cs="Arial"/>
                <w:sz w:val="24"/>
                <w:szCs w:val="24"/>
              </w:rPr>
              <w:t>be resorted</w:t>
            </w:r>
            <w:r w:rsidR="003759B3">
              <w:rPr>
                <w:rFonts w:ascii="Arial" w:hAnsi="Arial" w:cs="Arial"/>
                <w:sz w:val="24"/>
                <w:szCs w:val="24"/>
              </w:rPr>
              <w:t xml:space="preserve"> to where special circumstances existed. Thus, s 65 prescribes only one ground, namely, that the incorporation, or any use</w:t>
            </w:r>
            <w:r w:rsidR="00E67680">
              <w:rPr>
                <w:rFonts w:ascii="Arial" w:hAnsi="Arial" w:cs="Arial"/>
                <w:sz w:val="24"/>
                <w:szCs w:val="24"/>
              </w:rPr>
              <w:t>,</w:t>
            </w:r>
            <w:r w:rsidR="003759B3">
              <w:rPr>
                <w:rFonts w:ascii="Arial" w:hAnsi="Arial" w:cs="Arial"/>
                <w:sz w:val="24"/>
                <w:szCs w:val="24"/>
              </w:rPr>
              <w:t xml:space="preserve"> of that corporation constitutes a gross abuse of the juristic personality of the corporation as a separate entity.  The reason for the caution is this:  To say that a company or other corporation sustains a separate persona and yet in the same breath to argue that in substance the person who carries out its business is the company or other corporation is an attempt to have it both ways, which cannot be allowed.</w:t>
            </w:r>
            <w:r w:rsidR="003759B3">
              <w:rPr>
                <w:rStyle w:val="FootnoteReference"/>
                <w:rFonts w:ascii="Arial" w:hAnsi="Arial" w:cs="Arial"/>
                <w:sz w:val="24"/>
                <w:szCs w:val="24"/>
              </w:rPr>
              <w:footnoteReference w:id="9"/>
            </w:r>
            <w:r w:rsidRPr="004A5618">
              <w:rPr>
                <w:rFonts w:ascii="Arial" w:hAnsi="Arial" w:cs="Arial"/>
                <w:sz w:val="24"/>
                <w:szCs w:val="24"/>
              </w:rPr>
              <w:t xml:space="preserve"> </w:t>
            </w:r>
            <w:r w:rsidRPr="004A5618">
              <w:rPr>
                <w:rFonts w:ascii="Arial" w:hAnsi="Arial" w:cs="Arial"/>
                <w:sz w:val="24"/>
                <w:szCs w:val="24"/>
              </w:rPr>
              <w:tab/>
            </w:r>
          </w:p>
          <w:p w14:paraId="3DA4CF98" w14:textId="77777777" w:rsidR="00BC055D" w:rsidRDefault="00BC055D" w:rsidP="008E74B0">
            <w:pPr>
              <w:spacing w:line="360" w:lineRule="auto"/>
              <w:jc w:val="both"/>
              <w:rPr>
                <w:rFonts w:ascii="Arial" w:hAnsi="Arial" w:cs="Arial"/>
                <w:sz w:val="24"/>
                <w:szCs w:val="24"/>
              </w:rPr>
            </w:pPr>
          </w:p>
          <w:p w14:paraId="208CA0C7" w14:textId="38D14301" w:rsidR="00BC055D" w:rsidRDefault="00BC055D" w:rsidP="008E74B0">
            <w:pPr>
              <w:spacing w:line="360" w:lineRule="auto"/>
              <w:jc w:val="both"/>
              <w:rPr>
                <w:rFonts w:ascii="Arial" w:hAnsi="Arial" w:cs="Arial"/>
                <w:sz w:val="24"/>
                <w:szCs w:val="24"/>
              </w:rPr>
            </w:pPr>
            <w:r>
              <w:rPr>
                <w:rFonts w:ascii="Arial" w:hAnsi="Arial" w:cs="Arial"/>
                <w:sz w:val="24"/>
                <w:szCs w:val="24"/>
              </w:rPr>
              <w:t>[</w:t>
            </w:r>
            <w:r w:rsidR="002873A9">
              <w:rPr>
                <w:rFonts w:ascii="Arial" w:hAnsi="Arial" w:cs="Arial"/>
                <w:sz w:val="24"/>
                <w:szCs w:val="24"/>
              </w:rPr>
              <w:t>16</w:t>
            </w:r>
            <w:r>
              <w:rPr>
                <w:rFonts w:ascii="Arial" w:hAnsi="Arial" w:cs="Arial"/>
                <w:sz w:val="24"/>
                <w:szCs w:val="24"/>
              </w:rPr>
              <w:t>]</w:t>
            </w:r>
            <w:r w:rsidRPr="004A5618">
              <w:rPr>
                <w:rFonts w:ascii="Arial" w:hAnsi="Arial" w:cs="Arial"/>
                <w:sz w:val="24"/>
                <w:szCs w:val="24"/>
              </w:rPr>
              <w:tab/>
            </w:r>
            <w:r w:rsidR="002E769F">
              <w:rPr>
                <w:rFonts w:ascii="Arial" w:hAnsi="Arial" w:cs="Arial"/>
                <w:sz w:val="24"/>
                <w:szCs w:val="24"/>
              </w:rPr>
              <w:t>There should therefore be sufficient and satisfactory evidence, tending to establish that the conduct of the members of the corporation amounted to a gross abuse of the juristic personality of the corporation as a separate entity, within the meaning of s 65 of the CCA.</w:t>
            </w:r>
            <w:r w:rsidRPr="004A5618">
              <w:rPr>
                <w:rFonts w:ascii="Arial" w:hAnsi="Arial" w:cs="Arial"/>
                <w:sz w:val="24"/>
                <w:szCs w:val="24"/>
              </w:rPr>
              <w:t xml:space="preserve"> </w:t>
            </w:r>
            <w:r w:rsidRPr="004A5618">
              <w:rPr>
                <w:rFonts w:ascii="Arial" w:hAnsi="Arial" w:cs="Arial"/>
                <w:sz w:val="24"/>
                <w:szCs w:val="24"/>
              </w:rPr>
              <w:tab/>
            </w:r>
          </w:p>
          <w:p w14:paraId="4E00BB1F" w14:textId="6BDF70B1" w:rsidR="00BC055D" w:rsidRDefault="00BC055D" w:rsidP="008E74B0">
            <w:pPr>
              <w:spacing w:line="360" w:lineRule="auto"/>
              <w:jc w:val="both"/>
              <w:rPr>
                <w:rFonts w:ascii="Arial" w:hAnsi="Arial" w:cs="Arial"/>
                <w:sz w:val="24"/>
                <w:szCs w:val="24"/>
              </w:rPr>
            </w:pPr>
            <w:r>
              <w:rPr>
                <w:rFonts w:ascii="Arial" w:hAnsi="Arial" w:cs="Arial"/>
                <w:sz w:val="24"/>
                <w:szCs w:val="24"/>
              </w:rPr>
              <w:t>[</w:t>
            </w:r>
            <w:r w:rsidR="002873A9">
              <w:rPr>
                <w:rFonts w:ascii="Arial" w:hAnsi="Arial" w:cs="Arial"/>
                <w:sz w:val="24"/>
                <w:szCs w:val="24"/>
              </w:rPr>
              <w:t>17</w:t>
            </w:r>
            <w:r>
              <w:rPr>
                <w:rFonts w:ascii="Arial" w:hAnsi="Arial" w:cs="Arial"/>
                <w:sz w:val="24"/>
                <w:szCs w:val="24"/>
              </w:rPr>
              <w:t>]</w:t>
            </w:r>
            <w:r w:rsidRPr="004A5618">
              <w:rPr>
                <w:rFonts w:ascii="Arial" w:hAnsi="Arial" w:cs="Arial"/>
                <w:sz w:val="24"/>
                <w:szCs w:val="24"/>
              </w:rPr>
              <w:tab/>
            </w:r>
            <w:r w:rsidR="001A2A21">
              <w:rPr>
                <w:rFonts w:ascii="Arial" w:hAnsi="Arial" w:cs="Arial"/>
                <w:sz w:val="24"/>
                <w:szCs w:val="24"/>
              </w:rPr>
              <w:t xml:space="preserve">If the truth be told, from the written submission of Mr </w:t>
            </w:r>
            <w:proofErr w:type="spellStart"/>
            <w:r w:rsidR="001A2A21">
              <w:rPr>
                <w:rFonts w:ascii="Arial" w:hAnsi="Arial" w:cs="Arial"/>
                <w:sz w:val="24"/>
                <w:szCs w:val="24"/>
              </w:rPr>
              <w:t>Lochner</w:t>
            </w:r>
            <w:proofErr w:type="spellEnd"/>
            <w:r w:rsidR="001A2A21">
              <w:rPr>
                <w:rFonts w:ascii="Arial" w:hAnsi="Arial" w:cs="Arial"/>
                <w:sz w:val="24"/>
                <w:szCs w:val="24"/>
              </w:rPr>
              <w:t>, I see that the talisman on which counsel hangs the plaintiff’s attempt to prove reckless conduct or grossly negligent conduct under s 64(1) of the CCA</w:t>
            </w:r>
            <w:r w:rsidR="002873A9">
              <w:rPr>
                <w:rFonts w:ascii="Arial" w:hAnsi="Arial" w:cs="Arial"/>
                <w:sz w:val="24"/>
                <w:szCs w:val="24"/>
              </w:rPr>
              <w:t xml:space="preserve"> or gross abuse of the juristic</w:t>
            </w:r>
            <w:r w:rsidR="001A2A21">
              <w:rPr>
                <w:rFonts w:ascii="Arial" w:hAnsi="Arial" w:cs="Arial"/>
                <w:sz w:val="24"/>
                <w:szCs w:val="24"/>
              </w:rPr>
              <w:t xml:space="preserve"> personality of the first defendant as a separate entity under s 65 is the following catchy statement:</w:t>
            </w:r>
          </w:p>
          <w:p w14:paraId="7A8E2D6F" w14:textId="77777777" w:rsidR="001A2A21" w:rsidRDefault="001A2A21" w:rsidP="008E74B0">
            <w:pPr>
              <w:spacing w:line="360" w:lineRule="auto"/>
              <w:jc w:val="both"/>
              <w:rPr>
                <w:rFonts w:ascii="Arial" w:hAnsi="Arial" w:cs="Arial"/>
                <w:sz w:val="24"/>
                <w:szCs w:val="24"/>
              </w:rPr>
            </w:pPr>
          </w:p>
          <w:p w14:paraId="1FD68FB1" w14:textId="27F77253" w:rsidR="001A2A21" w:rsidRPr="002873A9" w:rsidRDefault="001A2A21" w:rsidP="008E74B0">
            <w:pPr>
              <w:spacing w:line="360" w:lineRule="auto"/>
              <w:jc w:val="both"/>
              <w:rPr>
                <w:rFonts w:ascii="Arial" w:hAnsi="Arial" w:cs="Arial"/>
              </w:rPr>
            </w:pPr>
            <w:r w:rsidRPr="004A5618">
              <w:rPr>
                <w:rFonts w:ascii="Arial" w:hAnsi="Arial" w:cs="Arial"/>
                <w:sz w:val="24"/>
                <w:szCs w:val="24"/>
              </w:rPr>
              <w:tab/>
            </w:r>
            <w:r w:rsidR="002873A9" w:rsidRPr="002873A9">
              <w:rPr>
                <w:rFonts w:ascii="Arial" w:hAnsi="Arial" w:cs="Arial"/>
              </w:rPr>
              <w:t>‘</w:t>
            </w:r>
            <w:r w:rsidRPr="002873A9">
              <w:rPr>
                <w:rFonts w:ascii="Arial" w:hAnsi="Arial" w:cs="Arial"/>
              </w:rPr>
              <w:t>2</w:t>
            </w:r>
            <w:r w:rsidR="002873A9" w:rsidRPr="002873A9">
              <w:rPr>
                <w:rFonts w:ascii="Arial" w:hAnsi="Arial" w:cs="Arial"/>
              </w:rPr>
              <w:t>3.</w:t>
            </w:r>
            <w:r w:rsidRPr="002873A9">
              <w:rPr>
                <w:rFonts w:ascii="Arial" w:hAnsi="Arial" w:cs="Arial"/>
              </w:rPr>
              <w:tab/>
              <w:t xml:space="preserve">I submit, that any reasonable businessman in the shoes </w:t>
            </w:r>
            <w:r w:rsidR="0096420A" w:rsidRPr="002873A9">
              <w:rPr>
                <w:rFonts w:ascii="Arial" w:hAnsi="Arial" w:cs="Arial"/>
              </w:rPr>
              <w:t>of the members of the first defendants, would have ensured, after the conclusion of the agreement between the first defendant and the plaintiff, that the plaintiff does not commence his work, and the first defendant not incurring any liability, until such time as the members were certain that any such debts would be payable, alternatively until such time as they have ensured that finance would be granted to the first defendant.’</w:t>
            </w:r>
          </w:p>
          <w:p w14:paraId="05BDABB3" w14:textId="77777777" w:rsidR="00BC055D" w:rsidRDefault="00BC055D" w:rsidP="008E74B0">
            <w:pPr>
              <w:spacing w:line="360" w:lineRule="auto"/>
              <w:jc w:val="both"/>
              <w:rPr>
                <w:rFonts w:ascii="Arial" w:hAnsi="Arial" w:cs="Arial"/>
                <w:sz w:val="24"/>
                <w:szCs w:val="24"/>
              </w:rPr>
            </w:pPr>
          </w:p>
          <w:p w14:paraId="587094B8" w14:textId="0E676674" w:rsidR="00BC055D" w:rsidRDefault="00BC055D" w:rsidP="008E74B0">
            <w:pPr>
              <w:spacing w:line="360" w:lineRule="auto"/>
              <w:jc w:val="both"/>
              <w:rPr>
                <w:rFonts w:ascii="Arial" w:hAnsi="Arial" w:cs="Arial"/>
                <w:sz w:val="24"/>
                <w:szCs w:val="24"/>
              </w:rPr>
            </w:pPr>
            <w:r>
              <w:rPr>
                <w:rFonts w:ascii="Arial" w:hAnsi="Arial" w:cs="Arial"/>
                <w:sz w:val="24"/>
                <w:szCs w:val="24"/>
              </w:rPr>
              <w:lastRenderedPageBreak/>
              <w:t>[</w:t>
            </w:r>
            <w:r w:rsidR="00992A2F">
              <w:rPr>
                <w:rFonts w:ascii="Arial" w:hAnsi="Arial" w:cs="Arial"/>
                <w:sz w:val="24"/>
                <w:szCs w:val="24"/>
              </w:rPr>
              <w:t>18</w:t>
            </w:r>
            <w:r>
              <w:rPr>
                <w:rFonts w:ascii="Arial" w:hAnsi="Arial" w:cs="Arial"/>
                <w:sz w:val="24"/>
                <w:szCs w:val="24"/>
              </w:rPr>
              <w:t>]</w:t>
            </w:r>
            <w:r w:rsidRPr="004A5618">
              <w:rPr>
                <w:rFonts w:ascii="Arial" w:hAnsi="Arial" w:cs="Arial"/>
                <w:sz w:val="24"/>
                <w:szCs w:val="24"/>
              </w:rPr>
              <w:tab/>
            </w:r>
            <w:r w:rsidR="00A80BFC">
              <w:rPr>
                <w:rFonts w:ascii="Arial" w:hAnsi="Arial" w:cs="Arial"/>
                <w:sz w:val="24"/>
                <w:szCs w:val="24"/>
              </w:rPr>
              <w:t>Like all talismans, this talisman, too, is illusive, as I demonstrate.  The evidence does not account for any charge under s 64(1) or s 65 of the CCA.  The following facts, which I accept and having probative value, debunk any attempt to prove any prohibited conduct under s 64(1) or s 65 of the CCA and to resist absolution.</w:t>
            </w:r>
          </w:p>
          <w:p w14:paraId="62C8C14E" w14:textId="77777777" w:rsidR="00BC055D" w:rsidRDefault="00BC055D" w:rsidP="008E74B0">
            <w:pPr>
              <w:spacing w:line="360" w:lineRule="auto"/>
              <w:jc w:val="both"/>
              <w:rPr>
                <w:rFonts w:ascii="Arial" w:hAnsi="Arial" w:cs="Arial"/>
                <w:sz w:val="24"/>
                <w:szCs w:val="24"/>
              </w:rPr>
            </w:pPr>
          </w:p>
          <w:p w14:paraId="4AACA826" w14:textId="29C10F66" w:rsidR="00BC055D" w:rsidRDefault="00BC055D" w:rsidP="008E74B0">
            <w:pPr>
              <w:spacing w:line="360" w:lineRule="auto"/>
              <w:jc w:val="both"/>
              <w:rPr>
                <w:rFonts w:ascii="Arial" w:hAnsi="Arial" w:cs="Arial"/>
                <w:sz w:val="24"/>
                <w:szCs w:val="24"/>
              </w:rPr>
            </w:pPr>
            <w:r>
              <w:rPr>
                <w:rFonts w:ascii="Arial" w:hAnsi="Arial" w:cs="Arial"/>
                <w:sz w:val="24"/>
                <w:szCs w:val="24"/>
              </w:rPr>
              <w:t>[</w:t>
            </w:r>
            <w:r w:rsidR="00F17E2E">
              <w:rPr>
                <w:rFonts w:ascii="Arial" w:hAnsi="Arial" w:cs="Arial"/>
                <w:sz w:val="24"/>
                <w:szCs w:val="24"/>
              </w:rPr>
              <w:t>19</w:t>
            </w:r>
            <w:r>
              <w:rPr>
                <w:rFonts w:ascii="Arial" w:hAnsi="Arial" w:cs="Arial"/>
                <w:sz w:val="24"/>
                <w:szCs w:val="24"/>
              </w:rPr>
              <w:t>]</w:t>
            </w:r>
            <w:r w:rsidRPr="004A5618">
              <w:rPr>
                <w:rFonts w:ascii="Arial" w:hAnsi="Arial" w:cs="Arial"/>
                <w:sz w:val="24"/>
                <w:szCs w:val="24"/>
              </w:rPr>
              <w:tab/>
            </w:r>
            <w:r w:rsidR="00840C06">
              <w:rPr>
                <w:rFonts w:ascii="Arial" w:hAnsi="Arial" w:cs="Arial"/>
                <w:sz w:val="24"/>
                <w:szCs w:val="24"/>
              </w:rPr>
              <w:t xml:space="preserve">When the first </w:t>
            </w:r>
            <w:r w:rsidR="00F17E2E">
              <w:rPr>
                <w:rFonts w:ascii="Arial" w:hAnsi="Arial" w:cs="Arial"/>
                <w:sz w:val="24"/>
                <w:szCs w:val="24"/>
              </w:rPr>
              <w:t>defendant</w:t>
            </w:r>
            <w:r w:rsidR="00840C06">
              <w:rPr>
                <w:rFonts w:ascii="Arial" w:hAnsi="Arial" w:cs="Arial"/>
                <w:sz w:val="24"/>
                <w:szCs w:val="24"/>
              </w:rPr>
              <w:t xml:space="preserve"> entered into the service agreement with the plaintiff, the first defendant had honest and justifiable belief that the project involved would be financed by the Small and Medium Enterprises Bank (‘the SME Bank’).  </w:t>
            </w:r>
          </w:p>
          <w:p w14:paraId="18D6D53C" w14:textId="77777777" w:rsidR="00BC055D" w:rsidRDefault="00BC055D" w:rsidP="008E74B0">
            <w:pPr>
              <w:spacing w:line="360" w:lineRule="auto"/>
              <w:jc w:val="both"/>
              <w:rPr>
                <w:rFonts w:ascii="Arial" w:hAnsi="Arial" w:cs="Arial"/>
                <w:sz w:val="24"/>
                <w:szCs w:val="24"/>
              </w:rPr>
            </w:pPr>
          </w:p>
          <w:p w14:paraId="04BF2B74" w14:textId="712EAB90" w:rsidR="00BC055D" w:rsidRDefault="00BC055D" w:rsidP="008E74B0">
            <w:pPr>
              <w:spacing w:line="360" w:lineRule="auto"/>
              <w:jc w:val="both"/>
              <w:rPr>
                <w:rFonts w:ascii="Arial" w:hAnsi="Arial" w:cs="Arial"/>
                <w:sz w:val="24"/>
                <w:szCs w:val="24"/>
              </w:rPr>
            </w:pPr>
            <w:r>
              <w:rPr>
                <w:rFonts w:ascii="Arial" w:hAnsi="Arial" w:cs="Arial"/>
                <w:sz w:val="24"/>
                <w:szCs w:val="24"/>
              </w:rPr>
              <w:t>[</w:t>
            </w:r>
            <w:r w:rsidR="00F17E2E">
              <w:rPr>
                <w:rFonts w:ascii="Arial" w:hAnsi="Arial" w:cs="Arial"/>
                <w:sz w:val="24"/>
                <w:szCs w:val="24"/>
              </w:rPr>
              <w:t>20</w:t>
            </w:r>
            <w:r>
              <w:rPr>
                <w:rFonts w:ascii="Arial" w:hAnsi="Arial" w:cs="Arial"/>
                <w:sz w:val="24"/>
                <w:szCs w:val="24"/>
              </w:rPr>
              <w:t>]</w:t>
            </w:r>
            <w:r w:rsidR="00A52F09" w:rsidRPr="004A5618">
              <w:rPr>
                <w:rFonts w:ascii="Arial" w:hAnsi="Arial" w:cs="Arial"/>
                <w:sz w:val="24"/>
                <w:szCs w:val="24"/>
              </w:rPr>
              <w:tab/>
            </w:r>
            <w:r w:rsidR="00125676">
              <w:rPr>
                <w:rFonts w:ascii="Arial" w:hAnsi="Arial" w:cs="Arial"/>
                <w:sz w:val="24"/>
                <w:szCs w:val="24"/>
              </w:rPr>
              <w:t xml:space="preserve">To argue that the faith the first defendant had in the SME Bank was misplaced is, with respect, fallacious and </w:t>
            </w:r>
            <w:proofErr w:type="spellStart"/>
            <w:r w:rsidR="00125676">
              <w:rPr>
                <w:rFonts w:ascii="Arial" w:hAnsi="Arial" w:cs="Arial"/>
                <w:sz w:val="24"/>
                <w:szCs w:val="24"/>
              </w:rPr>
              <w:t>self</w:t>
            </w:r>
            <w:r w:rsidR="00B912B2">
              <w:rPr>
                <w:rFonts w:ascii="Arial" w:hAnsi="Arial" w:cs="Arial"/>
                <w:sz w:val="24"/>
                <w:szCs w:val="24"/>
              </w:rPr>
              <w:t xml:space="preserve"> </w:t>
            </w:r>
            <w:r w:rsidR="00125676">
              <w:rPr>
                <w:rFonts w:ascii="Arial" w:hAnsi="Arial" w:cs="Arial"/>
                <w:sz w:val="24"/>
                <w:szCs w:val="24"/>
              </w:rPr>
              <w:t>serving</w:t>
            </w:r>
            <w:proofErr w:type="spellEnd"/>
            <w:r w:rsidR="00125676">
              <w:rPr>
                <w:rFonts w:ascii="Arial" w:hAnsi="Arial" w:cs="Arial"/>
                <w:sz w:val="24"/>
                <w:szCs w:val="24"/>
              </w:rPr>
              <w:t>.  The SME Bank was established to give financial assistance to entities such as the first defendant.</w:t>
            </w:r>
            <w:r w:rsidR="00125676">
              <w:rPr>
                <w:rStyle w:val="FootnoteReference"/>
                <w:rFonts w:ascii="Arial" w:hAnsi="Arial" w:cs="Arial"/>
                <w:sz w:val="24"/>
                <w:szCs w:val="24"/>
              </w:rPr>
              <w:footnoteReference w:id="10"/>
            </w:r>
            <w:r w:rsidR="00125676">
              <w:rPr>
                <w:rFonts w:ascii="Arial" w:hAnsi="Arial" w:cs="Arial"/>
                <w:sz w:val="24"/>
                <w:szCs w:val="24"/>
              </w:rPr>
              <w:t xml:space="preserve">  The faith the first defendant had in the SME Bank was their attitude and state of mind, and that cannot be disregarded.</w:t>
            </w:r>
            <w:r w:rsidR="00125676">
              <w:rPr>
                <w:rStyle w:val="FootnoteReference"/>
                <w:rFonts w:ascii="Arial" w:hAnsi="Arial" w:cs="Arial"/>
                <w:sz w:val="24"/>
                <w:szCs w:val="24"/>
              </w:rPr>
              <w:footnoteReference w:id="11"/>
            </w:r>
            <w:r w:rsidR="00DF0F46">
              <w:rPr>
                <w:rFonts w:ascii="Arial" w:hAnsi="Arial" w:cs="Arial"/>
                <w:sz w:val="24"/>
                <w:szCs w:val="24"/>
              </w:rPr>
              <w:t xml:space="preserve"> Their faith was justified and beyond reproach.</w:t>
            </w:r>
          </w:p>
          <w:p w14:paraId="09FCDE20" w14:textId="77777777" w:rsidR="00A52F09" w:rsidRDefault="00A52F09" w:rsidP="008E74B0">
            <w:pPr>
              <w:spacing w:line="360" w:lineRule="auto"/>
              <w:jc w:val="both"/>
              <w:rPr>
                <w:rFonts w:ascii="Arial" w:hAnsi="Arial" w:cs="Arial"/>
                <w:sz w:val="24"/>
                <w:szCs w:val="24"/>
              </w:rPr>
            </w:pPr>
          </w:p>
          <w:p w14:paraId="44E22C25" w14:textId="2678ABB9" w:rsidR="00A52F09" w:rsidRDefault="00A52F09" w:rsidP="008E74B0">
            <w:pPr>
              <w:spacing w:line="360" w:lineRule="auto"/>
              <w:jc w:val="both"/>
              <w:rPr>
                <w:rFonts w:ascii="Arial" w:hAnsi="Arial" w:cs="Arial"/>
                <w:sz w:val="24"/>
                <w:szCs w:val="24"/>
              </w:rPr>
            </w:pPr>
            <w:r>
              <w:rPr>
                <w:rFonts w:ascii="Arial" w:hAnsi="Arial" w:cs="Arial"/>
                <w:sz w:val="24"/>
                <w:szCs w:val="24"/>
              </w:rPr>
              <w:t>[</w:t>
            </w:r>
            <w:r w:rsidR="001E47FA">
              <w:rPr>
                <w:rFonts w:ascii="Arial" w:hAnsi="Arial" w:cs="Arial"/>
                <w:sz w:val="24"/>
                <w:szCs w:val="24"/>
              </w:rPr>
              <w:t>21</w:t>
            </w:r>
            <w:r>
              <w:rPr>
                <w:rFonts w:ascii="Arial" w:hAnsi="Arial" w:cs="Arial"/>
                <w:sz w:val="24"/>
                <w:szCs w:val="24"/>
              </w:rPr>
              <w:t>]</w:t>
            </w:r>
            <w:r w:rsidR="00DF0F46" w:rsidRPr="004A5618">
              <w:rPr>
                <w:rFonts w:ascii="Arial" w:hAnsi="Arial" w:cs="Arial"/>
                <w:sz w:val="24"/>
                <w:szCs w:val="24"/>
              </w:rPr>
              <w:tab/>
            </w:r>
            <w:r w:rsidR="00DF0F46">
              <w:rPr>
                <w:rFonts w:ascii="Arial" w:hAnsi="Arial" w:cs="Arial"/>
                <w:sz w:val="24"/>
                <w:szCs w:val="24"/>
              </w:rPr>
              <w:t>After the SME Bank went into liquidation and assumed the appellatio</w:t>
            </w:r>
            <w:r w:rsidR="00903F86">
              <w:rPr>
                <w:rFonts w:ascii="Arial" w:hAnsi="Arial" w:cs="Arial"/>
                <w:sz w:val="24"/>
                <w:szCs w:val="24"/>
              </w:rPr>
              <w:t xml:space="preserve">n the SME Bank (in liquidation), the first defendant made unsuccessful attempts to secure funding from alternative sources, </w:t>
            </w:r>
            <w:proofErr w:type="spellStart"/>
            <w:r w:rsidR="00903F86">
              <w:rPr>
                <w:rFonts w:ascii="Arial" w:hAnsi="Arial" w:cs="Arial"/>
                <w:sz w:val="24"/>
                <w:szCs w:val="24"/>
              </w:rPr>
              <w:t>eg</w:t>
            </w:r>
            <w:proofErr w:type="spellEnd"/>
            <w:r w:rsidR="00903F86">
              <w:rPr>
                <w:rFonts w:ascii="Arial" w:hAnsi="Arial" w:cs="Arial"/>
                <w:sz w:val="24"/>
                <w:szCs w:val="24"/>
              </w:rPr>
              <w:t xml:space="preserve"> Bank Windhoek and the Government Institutions Pensions Fund (GIPF).</w:t>
            </w:r>
          </w:p>
          <w:p w14:paraId="33C45BF6" w14:textId="77777777" w:rsidR="00A52F09" w:rsidRDefault="00A52F09" w:rsidP="008E74B0">
            <w:pPr>
              <w:spacing w:line="360" w:lineRule="auto"/>
              <w:jc w:val="both"/>
              <w:rPr>
                <w:rFonts w:ascii="Arial" w:hAnsi="Arial" w:cs="Arial"/>
                <w:sz w:val="24"/>
                <w:szCs w:val="24"/>
              </w:rPr>
            </w:pPr>
          </w:p>
          <w:p w14:paraId="5E07B82B" w14:textId="1FD9B222" w:rsidR="00A52F09" w:rsidRDefault="00A52F09" w:rsidP="008E74B0">
            <w:pPr>
              <w:spacing w:line="360" w:lineRule="auto"/>
              <w:jc w:val="both"/>
              <w:rPr>
                <w:rFonts w:ascii="Arial" w:hAnsi="Arial" w:cs="Arial"/>
                <w:sz w:val="24"/>
                <w:szCs w:val="24"/>
              </w:rPr>
            </w:pPr>
            <w:r>
              <w:rPr>
                <w:rFonts w:ascii="Arial" w:hAnsi="Arial" w:cs="Arial"/>
                <w:sz w:val="24"/>
                <w:szCs w:val="24"/>
              </w:rPr>
              <w:t>[</w:t>
            </w:r>
            <w:r w:rsidR="001E47FA">
              <w:rPr>
                <w:rFonts w:ascii="Arial" w:hAnsi="Arial" w:cs="Arial"/>
                <w:sz w:val="24"/>
                <w:szCs w:val="24"/>
              </w:rPr>
              <w:t>22</w:t>
            </w:r>
            <w:r>
              <w:rPr>
                <w:rFonts w:ascii="Arial" w:hAnsi="Arial" w:cs="Arial"/>
                <w:sz w:val="24"/>
                <w:szCs w:val="24"/>
              </w:rPr>
              <w:t>]</w:t>
            </w:r>
            <w:r w:rsidR="0079505A" w:rsidRPr="004A5618">
              <w:rPr>
                <w:rFonts w:ascii="Arial" w:hAnsi="Arial" w:cs="Arial"/>
                <w:sz w:val="24"/>
                <w:szCs w:val="24"/>
              </w:rPr>
              <w:tab/>
            </w:r>
            <w:r w:rsidR="0079505A">
              <w:rPr>
                <w:rFonts w:ascii="Arial" w:hAnsi="Arial" w:cs="Arial"/>
                <w:sz w:val="24"/>
                <w:szCs w:val="24"/>
              </w:rPr>
              <w:t xml:space="preserve">Furthermore, when the first defendant sold its only immovable property in a market overt, it used the proceeds thereof prudently and lawfully.  It paid off its </w:t>
            </w:r>
            <w:proofErr w:type="spellStart"/>
            <w:r w:rsidR="0079505A">
              <w:rPr>
                <w:rFonts w:ascii="Arial" w:hAnsi="Arial" w:cs="Arial"/>
                <w:sz w:val="24"/>
                <w:szCs w:val="24"/>
              </w:rPr>
              <w:t>preferent</w:t>
            </w:r>
            <w:proofErr w:type="spellEnd"/>
            <w:r w:rsidR="0079505A">
              <w:rPr>
                <w:rFonts w:ascii="Arial" w:hAnsi="Arial" w:cs="Arial"/>
                <w:sz w:val="24"/>
                <w:szCs w:val="24"/>
              </w:rPr>
              <w:t xml:space="preserve"> debtors, </w:t>
            </w:r>
            <w:proofErr w:type="spellStart"/>
            <w:r w:rsidR="0079505A">
              <w:rPr>
                <w:rFonts w:ascii="Arial" w:hAnsi="Arial" w:cs="Arial"/>
                <w:sz w:val="24"/>
                <w:szCs w:val="24"/>
              </w:rPr>
              <w:t>ie</w:t>
            </w:r>
            <w:proofErr w:type="spellEnd"/>
            <w:r w:rsidR="0079505A">
              <w:rPr>
                <w:rFonts w:ascii="Arial" w:hAnsi="Arial" w:cs="Arial"/>
                <w:sz w:val="24"/>
                <w:szCs w:val="24"/>
              </w:rPr>
              <w:t xml:space="preserve"> Bank Windhoek, the mortgagee of the bond that was held over the property, and the </w:t>
            </w:r>
            <w:proofErr w:type="spellStart"/>
            <w:r w:rsidR="0079505A">
              <w:rPr>
                <w:rFonts w:ascii="Arial" w:hAnsi="Arial" w:cs="Arial"/>
                <w:sz w:val="24"/>
                <w:szCs w:val="24"/>
              </w:rPr>
              <w:t>Okahao</w:t>
            </w:r>
            <w:proofErr w:type="spellEnd"/>
            <w:r w:rsidR="0079505A">
              <w:rPr>
                <w:rFonts w:ascii="Arial" w:hAnsi="Arial" w:cs="Arial"/>
                <w:sz w:val="24"/>
                <w:szCs w:val="24"/>
              </w:rPr>
              <w:t xml:space="preserve"> local authority council in respect of municipality fees and charges. Part of the remaining amount went to the payment of lawyers’ fees respecting the matter with Bank Windhoek. A tiny amount of N$64.30 remained.  It should be remembered, in a mixed economy as ours, referred to in article 98(1) of the Namibian Constitution, where market forces</w:t>
            </w:r>
            <w:r w:rsidR="001E47FA">
              <w:rPr>
                <w:rFonts w:ascii="Arial" w:hAnsi="Arial" w:cs="Arial"/>
                <w:sz w:val="24"/>
                <w:szCs w:val="24"/>
              </w:rPr>
              <w:t xml:space="preserve"> </w:t>
            </w:r>
            <w:r w:rsidR="0079505A">
              <w:rPr>
                <w:rFonts w:ascii="Arial" w:hAnsi="Arial" w:cs="Arial"/>
                <w:sz w:val="24"/>
                <w:szCs w:val="24"/>
              </w:rPr>
              <w:t>determine and control the price of goo</w:t>
            </w:r>
            <w:r w:rsidR="006D6828">
              <w:rPr>
                <w:rFonts w:ascii="Arial" w:hAnsi="Arial" w:cs="Arial"/>
                <w:sz w:val="24"/>
                <w:szCs w:val="24"/>
              </w:rPr>
              <w:t>ds and services, the m</w:t>
            </w:r>
            <w:r w:rsidR="001E47FA">
              <w:rPr>
                <w:rFonts w:ascii="Arial" w:hAnsi="Arial" w:cs="Arial"/>
                <w:sz w:val="24"/>
                <w:szCs w:val="24"/>
              </w:rPr>
              <w:t>ember defendants cannot be faulte</w:t>
            </w:r>
            <w:r w:rsidR="006D6828">
              <w:rPr>
                <w:rFonts w:ascii="Arial" w:hAnsi="Arial" w:cs="Arial"/>
                <w:sz w:val="24"/>
                <w:szCs w:val="24"/>
              </w:rPr>
              <w:t xml:space="preserve">d for the price they sold the property for in a market overt, as </w:t>
            </w:r>
            <w:r w:rsidR="001E47FA">
              <w:rPr>
                <w:rFonts w:ascii="Arial" w:hAnsi="Arial" w:cs="Arial"/>
                <w:sz w:val="24"/>
                <w:szCs w:val="24"/>
              </w:rPr>
              <w:t xml:space="preserve">Mr </w:t>
            </w:r>
            <w:proofErr w:type="spellStart"/>
            <w:r w:rsidR="006D6828">
              <w:rPr>
                <w:rFonts w:ascii="Arial" w:hAnsi="Arial" w:cs="Arial"/>
                <w:sz w:val="24"/>
                <w:szCs w:val="24"/>
              </w:rPr>
              <w:t>Tjombe</w:t>
            </w:r>
            <w:proofErr w:type="spellEnd"/>
            <w:r w:rsidR="006D6828">
              <w:rPr>
                <w:rFonts w:ascii="Arial" w:hAnsi="Arial" w:cs="Arial"/>
                <w:sz w:val="24"/>
                <w:szCs w:val="24"/>
              </w:rPr>
              <w:t xml:space="preserve"> submitted.</w:t>
            </w:r>
          </w:p>
          <w:p w14:paraId="6931239C" w14:textId="77777777" w:rsidR="00A52F09" w:rsidRDefault="00A52F09" w:rsidP="008E74B0">
            <w:pPr>
              <w:spacing w:line="360" w:lineRule="auto"/>
              <w:jc w:val="both"/>
              <w:rPr>
                <w:rFonts w:ascii="Arial" w:hAnsi="Arial" w:cs="Arial"/>
                <w:sz w:val="24"/>
                <w:szCs w:val="24"/>
              </w:rPr>
            </w:pPr>
          </w:p>
          <w:p w14:paraId="542E564D" w14:textId="0A9EA7EA" w:rsidR="00A52F09" w:rsidRDefault="00A52F09" w:rsidP="008E74B0">
            <w:pPr>
              <w:spacing w:line="360" w:lineRule="auto"/>
              <w:jc w:val="both"/>
              <w:rPr>
                <w:rFonts w:ascii="Arial" w:hAnsi="Arial" w:cs="Arial"/>
                <w:sz w:val="24"/>
                <w:szCs w:val="24"/>
              </w:rPr>
            </w:pPr>
            <w:r>
              <w:rPr>
                <w:rFonts w:ascii="Arial" w:hAnsi="Arial" w:cs="Arial"/>
                <w:sz w:val="24"/>
                <w:szCs w:val="24"/>
              </w:rPr>
              <w:t>[</w:t>
            </w:r>
            <w:r w:rsidR="001E47FA">
              <w:rPr>
                <w:rFonts w:ascii="Arial" w:hAnsi="Arial" w:cs="Arial"/>
                <w:sz w:val="24"/>
                <w:szCs w:val="24"/>
              </w:rPr>
              <w:t>23</w:t>
            </w:r>
            <w:r>
              <w:rPr>
                <w:rFonts w:ascii="Arial" w:hAnsi="Arial" w:cs="Arial"/>
                <w:sz w:val="24"/>
                <w:szCs w:val="24"/>
              </w:rPr>
              <w:t>]</w:t>
            </w:r>
            <w:r w:rsidR="00247485" w:rsidRPr="004A5618">
              <w:rPr>
                <w:rFonts w:ascii="Arial" w:hAnsi="Arial" w:cs="Arial"/>
                <w:sz w:val="24"/>
                <w:szCs w:val="24"/>
              </w:rPr>
              <w:tab/>
            </w:r>
            <w:r w:rsidR="00B912B2">
              <w:rPr>
                <w:rFonts w:ascii="Arial" w:hAnsi="Arial" w:cs="Arial"/>
                <w:sz w:val="24"/>
                <w:szCs w:val="24"/>
              </w:rPr>
              <w:t xml:space="preserve">Furthermore, </w:t>
            </w:r>
            <w:r w:rsidR="00315F4E">
              <w:rPr>
                <w:rFonts w:ascii="Arial" w:hAnsi="Arial" w:cs="Arial"/>
                <w:sz w:val="24"/>
                <w:szCs w:val="24"/>
              </w:rPr>
              <w:t>t</w:t>
            </w:r>
            <w:r w:rsidR="00247485">
              <w:rPr>
                <w:rFonts w:ascii="Arial" w:hAnsi="Arial" w:cs="Arial"/>
                <w:sz w:val="24"/>
                <w:szCs w:val="24"/>
              </w:rPr>
              <w:t>here was not a solitary shred of evidence, tending to establish that the member defendants appropriated a part of the proceeds from the sale</w:t>
            </w:r>
            <w:r w:rsidR="00106AE7">
              <w:rPr>
                <w:rFonts w:ascii="Arial" w:hAnsi="Arial" w:cs="Arial"/>
                <w:sz w:val="24"/>
                <w:szCs w:val="24"/>
              </w:rPr>
              <w:t xml:space="preserve"> of the immovable property for their personal benefit.  Indeed, in his cross-examination-evidence, Mr </w:t>
            </w:r>
            <w:proofErr w:type="spellStart"/>
            <w:r w:rsidR="00106AE7">
              <w:rPr>
                <w:rFonts w:ascii="Arial" w:hAnsi="Arial" w:cs="Arial"/>
                <w:sz w:val="24"/>
                <w:szCs w:val="24"/>
              </w:rPr>
              <w:t>Nashidengo</w:t>
            </w:r>
            <w:proofErr w:type="spellEnd"/>
            <w:r w:rsidR="00106AE7">
              <w:rPr>
                <w:rFonts w:ascii="Arial" w:hAnsi="Arial" w:cs="Arial"/>
                <w:sz w:val="24"/>
                <w:szCs w:val="24"/>
              </w:rPr>
              <w:t xml:space="preserve">, a plaintiff witness, conceded that the sale of the property did not amount to reckless or grossly </w:t>
            </w:r>
            <w:r w:rsidR="00106AE7">
              <w:rPr>
                <w:rFonts w:ascii="Arial" w:hAnsi="Arial" w:cs="Arial"/>
                <w:sz w:val="24"/>
                <w:szCs w:val="24"/>
              </w:rPr>
              <w:lastRenderedPageBreak/>
              <w:t xml:space="preserve">negligent conduct.  Accordingly, I </w:t>
            </w:r>
            <w:r w:rsidR="00B912B2">
              <w:rPr>
                <w:rFonts w:ascii="Arial" w:hAnsi="Arial" w:cs="Arial"/>
                <w:sz w:val="24"/>
                <w:szCs w:val="24"/>
              </w:rPr>
              <w:t xml:space="preserve">also </w:t>
            </w:r>
            <w:r w:rsidR="00106AE7">
              <w:rPr>
                <w:rFonts w:ascii="Arial" w:hAnsi="Arial" w:cs="Arial"/>
                <w:sz w:val="24"/>
                <w:szCs w:val="24"/>
              </w:rPr>
              <w:t>find that the acts of the member defendants cannot constitute a gross abuse of the juristic personality of the first defendant as a separate entity from the members.</w:t>
            </w:r>
          </w:p>
          <w:p w14:paraId="10B1BD50" w14:textId="77777777" w:rsidR="00A52F09" w:rsidRDefault="00A52F09" w:rsidP="008E74B0">
            <w:pPr>
              <w:spacing w:line="360" w:lineRule="auto"/>
              <w:jc w:val="both"/>
              <w:rPr>
                <w:rFonts w:ascii="Arial" w:hAnsi="Arial" w:cs="Arial"/>
                <w:sz w:val="24"/>
                <w:szCs w:val="24"/>
              </w:rPr>
            </w:pPr>
          </w:p>
          <w:p w14:paraId="76E4F70F" w14:textId="753EE99F" w:rsidR="00A52F09" w:rsidRDefault="00A52F09" w:rsidP="008E74B0">
            <w:pPr>
              <w:spacing w:line="360" w:lineRule="auto"/>
              <w:jc w:val="both"/>
              <w:rPr>
                <w:rFonts w:ascii="Arial" w:hAnsi="Arial" w:cs="Arial"/>
                <w:sz w:val="24"/>
                <w:szCs w:val="24"/>
              </w:rPr>
            </w:pPr>
            <w:r>
              <w:rPr>
                <w:rFonts w:ascii="Arial" w:hAnsi="Arial" w:cs="Arial"/>
                <w:sz w:val="24"/>
                <w:szCs w:val="24"/>
              </w:rPr>
              <w:t>[</w:t>
            </w:r>
            <w:r w:rsidR="009327F0">
              <w:rPr>
                <w:rFonts w:ascii="Arial" w:hAnsi="Arial" w:cs="Arial"/>
                <w:sz w:val="24"/>
                <w:szCs w:val="24"/>
              </w:rPr>
              <w:t>24</w:t>
            </w:r>
            <w:r>
              <w:rPr>
                <w:rFonts w:ascii="Arial" w:hAnsi="Arial" w:cs="Arial"/>
                <w:sz w:val="24"/>
                <w:szCs w:val="24"/>
              </w:rPr>
              <w:t>]</w:t>
            </w:r>
            <w:r w:rsidR="0090480D" w:rsidRPr="004A5618">
              <w:rPr>
                <w:rFonts w:ascii="Arial" w:hAnsi="Arial" w:cs="Arial"/>
                <w:sz w:val="24"/>
                <w:szCs w:val="24"/>
              </w:rPr>
              <w:tab/>
            </w:r>
            <w:r w:rsidR="0090480D">
              <w:rPr>
                <w:rFonts w:ascii="Arial" w:hAnsi="Arial" w:cs="Arial"/>
                <w:sz w:val="24"/>
                <w:szCs w:val="24"/>
              </w:rPr>
              <w:t xml:space="preserve">Consequently, I come to the ineluctable conclusion that the plaintiff has failed to persuade the court to a prima facie extent that the member defendants conducted themselves in a manner prohibited by s 64(1) of the CCA.  The plaintiff has failed to establish a right, within the meaning of s 16 of the High Court Act 16 of 1990, which the court ought to protect by a declaratory order, as sought in para 1 of the </w:t>
            </w:r>
            <w:r w:rsidR="00B912B2">
              <w:rPr>
                <w:rFonts w:ascii="Arial" w:hAnsi="Arial" w:cs="Arial"/>
                <w:sz w:val="24"/>
                <w:szCs w:val="24"/>
              </w:rPr>
              <w:t>notice of motion</w:t>
            </w:r>
            <w:r w:rsidR="0090480D">
              <w:rPr>
                <w:rFonts w:ascii="Arial" w:hAnsi="Arial" w:cs="Arial"/>
                <w:sz w:val="24"/>
                <w:szCs w:val="24"/>
              </w:rPr>
              <w:t>.  That being the case</w:t>
            </w:r>
            <w:r w:rsidR="00384F39">
              <w:rPr>
                <w:rFonts w:ascii="Arial" w:hAnsi="Arial" w:cs="Arial"/>
                <w:sz w:val="24"/>
                <w:szCs w:val="24"/>
              </w:rPr>
              <w:t>,</w:t>
            </w:r>
            <w:r w:rsidR="0090480D">
              <w:rPr>
                <w:rFonts w:ascii="Arial" w:hAnsi="Arial" w:cs="Arial"/>
                <w:sz w:val="24"/>
                <w:szCs w:val="24"/>
              </w:rPr>
              <w:t xml:space="preserve"> no order can follow on para 1 consequentially.</w:t>
            </w:r>
          </w:p>
          <w:p w14:paraId="48E6DF14" w14:textId="77777777" w:rsidR="00A52F09" w:rsidRDefault="00A52F09" w:rsidP="008E74B0">
            <w:pPr>
              <w:spacing w:line="360" w:lineRule="auto"/>
              <w:jc w:val="both"/>
              <w:rPr>
                <w:rFonts w:ascii="Arial" w:hAnsi="Arial" w:cs="Arial"/>
                <w:sz w:val="24"/>
                <w:szCs w:val="24"/>
              </w:rPr>
            </w:pPr>
          </w:p>
          <w:p w14:paraId="5AA04D1A" w14:textId="7C1C64FD" w:rsidR="00A52F09" w:rsidRDefault="00A52F09" w:rsidP="008E74B0">
            <w:pPr>
              <w:spacing w:line="360" w:lineRule="auto"/>
              <w:jc w:val="both"/>
              <w:rPr>
                <w:rFonts w:ascii="Arial" w:hAnsi="Arial" w:cs="Arial"/>
                <w:sz w:val="24"/>
                <w:szCs w:val="24"/>
              </w:rPr>
            </w:pPr>
            <w:r>
              <w:rPr>
                <w:rFonts w:ascii="Arial" w:hAnsi="Arial" w:cs="Arial"/>
                <w:sz w:val="24"/>
                <w:szCs w:val="24"/>
              </w:rPr>
              <w:t>[</w:t>
            </w:r>
            <w:r w:rsidR="009327F0">
              <w:rPr>
                <w:rFonts w:ascii="Arial" w:hAnsi="Arial" w:cs="Arial"/>
                <w:sz w:val="24"/>
                <w:szCs w:val="24"/>
              </w:rPr>
              <w:t>25</w:t>
            </w:r>
            <w:r>
              <w:rPr>
                <w:rFonts w:ascii="Arial" w:hAnsi="Arial" w:cs="Arial"/>
                <w:sz w:val="24"/>
                <w:szCs w:val="24"/>
              </w:rPr>
              <w:t>]</w:t>
            </w:r>
            <w:r w:rsidR="0090480D" w:rsidRPr="004A5618">
              <w:rPr>
                <w:rFonts w:ascii="Arial" w:hAnsi="Arial" w:cs="Arial"/>
                <w:sz w:val="24"/>
                <w:szCs w:val="24"/>
              </w:rPr>
              <w:tab/>
            </w:r>
            <w:r w:rsidR="0090480D">
              <w:rPr>
                <w:rFonts w:ascii="Arial" w:hAnsi="Arial" w:cs="Arial"/>
                <w:sz w:val="24"/>
                <w:szCs w:val="24"/>
              </w:rPr>
              <w:t>I am satisfied that the member defendants have given sufficient and satisfactory explanation concerning their failure to raise funds from the SME Bank and the sale of the immovable property and the disbursement of the proceeds from the sale, as required by law.</w:t>
            </w:r>
            <w:r w:rsidR="0090480D">
              <w:rPr>
                <w:rStyle w:val="FootnoteReference"/>
                <w:rFonts w:ascii="Arial" w:hAnsi="Arial" w:cs="Arial"/>
                <w:sz w:val="24"/>
                <w:szCs w:val="24"/>
              </w:rPr>
              <w:footnoteReference w:id="12"/>
            </w:r>
          </w:p>
          <w:p w14:paraId="5C9ACFA5" w14:textId="77777777" w:rsidR="006E13E5" w:rsidRDefault="006E13E5" w:rsidP="008E74B0">
            <w:pPr>
              <w:spacing w:line="360" w:lineRule="auto"/>
              <w:jc w:val="both"/>
              <w:rPr>
                <w:rFonts w:ascii="Arial" w:hAnsi="Arial" w:cs="Arial"/>
                <w:sz w:val="24"/>
                <w:szCs w:val="24"/>
              </w:rPr>
            </w:pPr>
          </w:p>
          <w:p w14:paraId="3A1CDA6A" w14:textId="685B28C1" w:rsidR="006E13E5" w:rsidRDefault="006E13E5" w:rsidP="008E74B0">
            <w:pPr>
              <w:spacing w:line="360" w:lineRule="auto"/>
              <w:jc w:val="both"/>
              <w:rPr>
                <w:rFonts w:ascii="Arial" w:hAnsi="Arial" w:cs="Arial"/>
                <w:sz w:val="24"/>
                <w:szCs w:val="24"/>
              </w:rPr>
            </w:pPr>
            <w:r>
              <w:rPr>
                <w:rFonts w:ascii="Arial" w:hAnsi="Arial" w:cs="Arial"/>
                <w:sz w:val="24"/>
                <w:szCs w:val="24"/>
              </w:rPr>
              <w:t>[</w:t>
            </w:r>
            <w:r w:rsidR="00394797">
              <w:rPr>
                <w:rFonts w:ascii="Arial" w:hAnsi="Arial" w:cs="Arial"/>
                <w:sz w:val="24"/>
                <w:szCs w:val="24"/>
              </w:rPr>
              <w:t>26</w:t>
            </w:r>
            <w:r>
              <w:rPr>
                <w:rFonts w:ascii="Arial" w:hAnsi="Arial" w:cs="Arial"/>
                <w:sz w:val="24"/>
                <w:szCs w:val="24"/>
              </w:rPr>
              <w:t>]</w:t>
            </w:r>
            <w:r w:rsidRPr="004A5618">
              <w:rPr>
                <w:rFonts w:ascii="Arial" w:hAnsi="Arial" w:cs="Arial"/>
                <w:sz w:val="24"/>
                <w:szCs w:val="24"/>
              </w:rPr>
              <w:tab/>
            </w:r>
            <w:r w:rsidR="0057484E">
              <w:rPr>
                <w:rFonts w:ascii="Arial" w:hAnsi="Arial" w:cs="Arial"/>
                <w:sz w:val="24"/>
                <w:szCs w:val="24"/>
              </w:rPr>
              <w:t xml:space="preserve">Based on these reasons, I find that the plaintiff has failed to surmount the bar set by the Supreme Court in </w:t>
            </w:r>
            <w:proofErr w:type="spellStart"/>
            <w:r w:rsidR="0057484E" w:rsidRPr="00394797">
              <w:rPr>
                <w:rFonts w:ascii="Arial" w:hAnsi="Arial" w:cs="Arial"/>
                <w:i/>
                <w:sz w:val="24"/>
                <w:szCs w:val="24"/>
              </w:rPr>
              <w:t>Stier</w:t>
            </w:r>
            <w:proofErr w:type="spellEnd"/>
            <w:r w:rsidR="0057484E" w:rsidRPr="00394797">
              <w:rPr>
                <w:rFonts w:ascii="Arial" w:hAnsi="Arial" w:cs="Arial"/>
                <w:i/>
                <w:sz w:val="24"/>
                <w:szCs w:val="24"/>
              </w:rPr>
              <w:t xml:space="preserve"> and Another v Henke</w:t>
            </w:r>
            <w:r w:rsidR="0057484E">
              <w:rPr>
                <w:rFonts w:ascii="Arial" w:hAnsi="Arial" w:cs="Arial"/>
                <w:sz w:val="24"/>
                <w:szCs w:val="24"/>
              </w:rPr>
              <w:t xml:space="preserve"> which is that for the plaintiff to survive absolution, the plaintiff must make out a prima facie case upon which a court could or might find for the plaintiff.</w:t>
            </w:r>
            <w:r w:rsidR="00394797">
              <w:rPr>
                <w:rFonts w:ascii="Arial" w:hAnsi="Arial" w:cs="Arial"/>
                <w:sz w:val="24"/>
                <w:szCs w:val="24"/>
              </w:rPr>
              <w:t xml:space="preserve">  </w:t>
            </w:r>
            <w:r w:rsidR="00DD614B">
              <w:rPr>
                <w:rFonts w:ascii="Arial" w:hAnsi="Arial" w:cs="Arial"/>
                <w:sz w:val="24"/>
                <w:szCs w:val="24"/>
              </w:rPr>
              <w:t>The result is that the plaintiff has not made out a prima facie case, requiring the member defendants to answer.</w:t>
            </w:r>
            <w:r w:rsidR="00DD614B">
              <w:rPr>
                <w:rStyle w:val="FootnoteReference"/>
                <w:rFonts w:ascii="Arial" w:hAnsi="Arial" w:cs="Arial"/>
                <w:sz w:val="24"/>
                <w:szCs w:val="24"/>
              </w:rPr>
              <w:footnoteReference w:id="13"/>
            </w:r>
            <w:r w:rsidR="00DD614B">
              <w:rPr>
                <w:rFonts w:ascii="Arial" w:hAnsi="Arial" w:cs="Arial"/>
                <w:sz w:val="24"/>
                <w:szCs w:val="24"/>
              </w:rPr>
              <w:t xml:space="preserve">  The occasion has accordingly arisen to grant absolution in the interest of justice.</w:t>
            </w:r>
            <w:r w:rsidR="00DD614B">
              <w:rPr>
                <w:rStyle w:val="FootnoteReference"/>
                <w:rFonts w:ascii="Arial" w:hAnsi="Arial" w:cs="Arial"/>
                <w:sz w:val="24"/>
                <w:szCs w:val="24"/>
              </w:rPr>
              <w:footnoteReference w:id="14"/>
            </w:r>
            <w:r w:rsidR="00DD614B">
              <w:rPr>
                <w:rFonts w:ascii="Arial" w:hAnsi="Arial" w:cs="Arial"/>
                <w:sz w:val="24"/>
                <w:szCs w:val="24"/>
              </w:rPr>
              <w:t xml:space="preserve"> The interpretation and application of the law applicable referred to in para 5 above favour the granting of absolution</w:t>
            </w:r>
            <w:r w:rsidR="00B912B2">
              <w:rPr>
                <w:rFonts w:ascii="Arial" w:hAnsi="Arial" w:cs="Arial"/>
                <w:sz w:val="24"/>
                <w:szCs w:val="24"/>
              </w:rPr>
              <w:t xml:space="preserve"> from the instance</w:t>
            </w:r>
            <w:r w:rsidR="00DD614B">
              <w:rPr>
                <w:rFonts w:ascii="Arial" w:hAnsi="Arial" w:cs="Arial"/>
                <w:sz w:val="24"/>
                <w:szCs w:val="24"/>
              </w:rPr>
              <w:t>.</w:t>
            </w:r>
          </w:p>
          <w:p w14:paraId="6A753F2B" w14:textId="77777777" w:rsidR="00DD614B" w:rsidRDefault="00DD614B" w:rsidP="008E74B0">
            <w:pPr>
              <w:spacing w:line="360" w:lineRule="auto"/>
              <w:jc w:val="both"/>
              <w:rPr>
                <w:rFonts w:ascii="Arial" w:hAnsi="Arial" w:cs="Arial"/>
                <w:sz w:val="24"/>
                <w:szCs w:val="24"/>
              </w:rPr>
            </w:pPr>
          </w:p>
          <w:p w14:paraId="7A631685" w14:textId="2DA31FA5" w:rsidR="00DD614B" w:rsidRDefault="00DD614B" w:rsidP="008E74B0">
            <w:pPr>
              <w:spacing w:line="360" w:lineRule="auto"/>
              <w:jc w:val="both"/>
              <w:rPr>
                <w:rFonts w:ascii="Arial" w:hAnsi="Arial" w:cs="Arial"/>
                <w:sz w:val="24"/>
                <w:szCs w:val="24"/>
              </w:rPr>
            </w:pPr>
            <w:r>
              <w:rPr>
                <w:rFonts w:ascii="Arial" w:hAnsi="Arial" w:cs="Arial"/>
                <w:sz w:val="24"/>
                <w:szCs w:val="24"/>
              </w:rPr>
              <w:t>[</w:t>
            </w:r>
            <w:r w:rsidR="009119B5">
              <w:rPr>
                <w:rFonts w:ascii="Arial" w:hAnsi="Arial" w:cs="Arial"/>
                <w:sz w:val="24"/>
                <w:szCs w:val="24"/>
              </w:rPr>
              <w:t>27</w:t>
            </w:r>
            <w:r>
              <w:rPr>
                <w:rFonts w:ascii="Arial" w:hAnsi="Arial" w:cs="Arial"/>
                <w:sz w:val="24"/>
                <w:szCs w:val="24"/>
              </w:rPr>
              <w:t>]</w:t>
            </w:r>
            <w:r w:rsidRPr="004A5618">
              <w:rPr>
                <w:rFonts w:ascii="Arial" w:hAnsi="Arial" w:cs="Arial"/>
                <w:sz w:val="24"/>
                <w:szCs w:val="24"/>
              </w:rPr>
              <w:tab/>
            </w:r>
            <w:r>
              <w:rPr>
                <w:rFonts w:ascii="Arial" w:hAnsi="Arial" w:cs="Arial"/>
                <w:sz w:val="24"/>
                <w:szCs w:val="24"/>
              </w:rPr>
              <w:t>In the result, I order as follows:</w:t>
            </w:r>
          </w:p>
          <w:p w14:paraId="52BAB822" w14:textId="77777777" w:rsidR="00A52F09" w:rsidRPr="00220768" w:rsidRDefault="00A52F09" w:rsidP="008E74B0">
            <w:pPr>
              <w:spacing w:line="360" w:lineRule="auto"/>
              <w:jc w:val="both"/>
              <w:rPr>
                <w:rFonts w:ascii="Arial" w:hAnsi="Arial" w:cs="Arial"/>
                <w:sz w:val="24"/>
                <w:szCs w:val="24"/>
              </w:rPr>
            </w:pPr>
          </w:p>
          <w:p w14:paraId="3B3DA98C" w14:textId="1F456405" w:rsidR="008E74B0" w:rsidRPr="00220768" w:rsidRDefault="008E74B0" w:rsidP="00DC6B2A">
            <w:pPr>
              <w:spacing w:line="360" w:lineRule="auto"/>
              <w:jc w:val="both"/>
              <w:rPr>
                <w:rFonts w:ascii="Arial" w:hAnsi="Arial" w:cs="Arial"/>
                <w:sz w:val="24"/>
                <w:szCs w:val="24"/>
              </w:rPr>
            </w:pPr>
            <w:r w:rsidRPr="00220768">
              <w:rPr>
                <w:rFonts w:ascii="Arial" w:hAnsi="Arial" w:cs="Arial"/>
                <w:sz w:val="24"/>
                <w:szCs w:val="24"/>
              </w:rPr>
              <w:t>1.</w:t>
            </w:r>
            <w:r w:rsidRPr="00220768">
              <w:rPr>
                <w:rFonts w:ascii="Arial" w:hAnsi="Arial" w:cs="Arial"/>
                <w:sz w:val="24"/>
                <w:szCs w:val="24"/>
              </w:rPr>
              <w:tab/>
            </w:r>
            <w:r w:rsidR="00DD614B">
              <w:rPr>
                <w:rFonts w:ascii="Arial" w:hAnsi="Arial" w:cs="Arial"/>
                <w:sz w:val="24"/>
                <w:szCs w:val="24"/>
              </w:rPr>
              <w:t>Absolution from the instance is granted with costs.</w:t>
            </w:r>
          </w:p>
          <w:p w14:paraId="479E2EFC" w14:textId="77777777" w:rsidR="008E74B0" w:rsidRPr="00220768" w:rsidRDefault="008E74B0" w:rsidP="008E74B0">
            <w:pPr>
              <w:spacing w:line="360" w:lineRule="auto"/>
              <w:jc w:val="both"/>
              <w:rPr>
                <w:rFonts w:ascii="Arial" w:hAnsi="Arial" w:cs="Arial"/>
                <w:sz w:val="24"/>
                <w:szCs w:val="24"/>
              </w:rPr>
            </w:pPr>
          </w:p>
          <w:p w14:paraId="1A7D4C32" w14:textId="56EB6569" w:rsidR="008E74B0" w:rsidRPr="00220768" w:rsidRDefault="008E74B0" w:rsidP="00083F88">
            <w:pPr>
              <w:spacing w:line="360" w:lineRule="auto"/>
              <w:ind w:left="743" w:hanging="743"/>
              <w:jc w:val="both"/>
              <w:rPr>
                <w:rFonts w:ascii="Arial" w:hAnsi="Arial" w:cs="Arial"/>
                <w:sz w:val="24"/>
                <w:szCs w:val="24"/>
              </w:rPr>
            </w:pPr>
            <w:r w:rsidRPr="00220768">
              <w:rPr>
                <w:rFonts w:ascii="Arial" w:hAnsi="Arial" w:cs="Arial"/>
                <w:sz w:val="24"/>
                <w:szCs w:val="24"/>
              </w:rPr>
              <w:t>2.</w:t>
            </w:r>
            <w:r w:rsidRPr="00220768">
              <w:rPr>
                <w:rFonts w:ascii="Arial" w:hAnsi="Arial" w:cs="Arial"/>
                <w:sz w:val="24"/>
                <w:szCs w:val="24"/>
              </w:rPr>
              <w:tab/>
            </w:r>
            <w:r w:rsidR="00DD614B">
              <w:rPr>
                <w:rFonts w:ascii="Arial" w:hAnsi="Arial" w:cs="Arial"/>
                <w:sz w:val="24"/>
                <w:szCs w:val="24"/>
              </w:rPr>
              <w:t>The matter is finalised and removed from the roll.</w:t>
            </w:r>
          </w:p>
          <w:p w14:paraId="53E0DB0D" w14:textId="77777777" w:rsidR="008E74B0" w:rsidRPr="00220768" w:rsidRDefault="008E74B0" w:rsidP="008E74B0">
            <w:pPr>
              <w:spacing w:line="360" w:lineRule="auto"/>
              <w:jc w:val="both"/>
              <w:rPr>
                <w:rFonts w:ascii="Arial" w:hAnsi="Arial" w:cs="Arial"/>
                <w:sz w:val="24"/>
                <w:szCs w:val="24"/>
              </w:rPr>
            </w:pPr>
          </w:p>
          <w:p w14:paraId="74406719" w14:textId="183DEA64" w:rsidR="008E74B0" w:rsidRDefault="008E74B0" w:rsidP="008E74B0">
            <w:pPr>
              <w:spacing w:line="360" w:lineRule="auto"/>
              <w:jc w:val="both"/>
              <w:rPr>
                <w:rFonts w:ascii="Arial" w:hAnsi="Arial" w:cs="Arial"/>
                <w:sz w:val="24"/>
                <w:szCs w:val="24"/>
              </w:rPr>
            </w:pPr>
          </w:p>
          <w:p w14:paraId="57CC9B70" w14:textId="77777777" w:rsidR="009119B5" w:rsidRPr="00220768" w:rsidRDefault="009119B5" w:rsidP="008E74B0">
            <w:pPr>
              <w:spacing w:line="360" w:lineRule="auto"/>
              <w:jc w:val="both"/>
              <w:rPr>
                <w:rFonts w:ascii="Arial" w:hAnsi="Arial" w:cs="Arial"/>
                <w:sz w:val="24"/>
                <w:szCs w:val="24"/>
              </w:rPr>
            </w:pPr>
          </w:p>
          <w:p w14:paraId="71D39DDF" w14:textId="3B69F9AC" w:rsidR="007008BE" w:rsidRPr="004A5618" w:rsidRDefault="007008BE" w:rsidP="00CC128D">
            <w:pPr>
              <w:pStyle w:val="ListParagraph"/>
              <w:tabs>
                <w:tab w:val="left" w:pos="729"/>
              </w:tabs>
              <w:spacing w:line="360" w:lineRule="auto"/>
              <w:ind w:left="743"/>
              <w:jc w:val="both"/>
              <w:rPr>
                <w:rFonts w:ascii="Arial" w:hAnsi="Arial" w:cs="Arial"/>
                <w:sz w:val="24"/>
                <w:szCs w:val="24"/>
              </w:rPr>
            </w:pPr>
          </w:p>
        </w:tc>
      </w:tr>
      <w:tr w:rsidR="00CA7995" w:rsidRPr="004A5618" w14:paraId="569D7468" w14:textId="77777777" w:rsidTr="00136505">
        <w:tc>
          <w:tcPr>
            <w:tcW w:w="4770" w:type="dxa"/>
          </w:tcPr>
          <w:p w14:paraId="1CE02859" w14:textId="0EDC8D90" w:rsidR="00B40844" w:rsidRPr="004A5618" w:rsidRDefault="00DC6B2A" w:rsidP="00ED76B2">
            <w:pPr>
              <w:spacing w:line="360" w:lineRule="auto"/>
              <w:jc w:val="center"/>
              <w:rPr>
                <w:rFonts w:ascii="Arial" w:hAnsi="Arial" w:cs="Arial"/>
                <w:b/>
                <w:sz w:val="24"/>
                <w:szCs w:val="24"/>
              </w:rPr>
            </w:pPr>
            <w:r w:rsidRPr="004A5618">
              <w:rPr>
                <w:rFonts w:ascii="Arial" w:hAnsi="Arial" w:cs="Arial"/>
                <w:b/>
                <w:sz w:val="24"/>
                <w:szCs w:val="24"/>
              </w:rPr>
              <w:lastRenderedPageBreak/>
              <w:t>Judge’s signature:</w:t>
            </w:r>
          </w:p>
        </w:tc>
        <w:tc>
          <w:tcPr>
            <w:tcW w:w="5436" w:type="dxa"/>
            <w:gridSpan w:val="2"/>
          </w:tcPr>
          <w:p w14:paraId="5E78AD4E"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Note to the parties:</w:t>
            </w:r>
          </w:p>
        </w:tc>
      </w:tr>
      <w:tr w:rsidR="00CA7995" w:rsidRPr="004A5618" w14:paraId="71A537E8" w14:textId="77777777" w:rsidTr="00136505">
        <w:trPr>
          <w:trHeight w:val="1114"/>
        </w:trPr>
        <w:tc>
          <w:tcPr>
            <w:tcW w:w="4770" w:type="dxa"/>
          </w:tcPr>
          <w:p w14:paraId="7187A946" w14:textId="77777777" w:rsidR="00B40844" w:rsidRPr="004A5618" w:rsidRDefault="00B40844" w:rsidP="00937C89">
            <w:pPr>
              <w:spacing w:line="360" w:lineRule="auto"/>
              <w:jc w:val="both"/>
              <w:rPr>
                <w:rFonts w:ascii="Arial" w:hAnsi="Arial" w:cs="Arial"/>
                <w:sz w:val="24"/>
                <w:szCs w:val="24"/>
              </w:rPr>
            </w:pPr>
          </w:p>
          <w:p w14:paraId="24E6200B" w14:textId="77777777" w:rsidR="005233E6" w:rsidRDefault="005233E6" w:rsidP="00937C89">
            <w:pPr>
              <w:spacing w:line="360" w:lineRule="auto"/>
              <w:jc w:val="both"/>
              <w:rPr>
                <w:rFonts w:ascii="Arial" w:hAnsi="Arial" w:cs="Arial"/>
                <w:sz w:val="24"/>
                <w:szCs w:val="24"/>
              </w:rPr>
            </w:pPr>
          </w:p>
          <w:p w14:paraId="4B5CC39A" w14:textId="77777777" w:rsidR="00B772F4" w:rsidRDefault="00B772F4" w:rsidP="00937C89">
            <w:pPr>
              <w:spacing w:line="360" w:lineRule="auto"/>
              <w:jc w:val="both"/>
              <w:rPr>
                <w:rFonts w:ascii="Arial" w:hAnsi="Arial" w:cs="Arial"/>
                <w:sz w:val="24"/>
                <w:szCs w:val="24"/>
              </w:rPr>
            </w:pPr>
          </w:p>
          <w:p w14:paraId="4D626231" w14:textId="77777777" w:rsidR="007008BE" w:rsidRPr="004A5618" w:rsidRDefault="007008BE" w:rsidP="00937C89">
            <w:pPr>
              <w:spacing w:line="360" w:lineRule="auto"/>
              <w:jc w:val="both"/>
              <w:rPr>
                <w:rFonts w:ascii="Arial" w:hAnsi="Arial" w:cs="Arial"/>
                <w:sz w:val="24"/>
                <w:szCs w:val="24"/>
              </w:rPr>
            </w:pPr>
          </w:p>
        </w:tc>
        <w:tc>
          <w:tcPr>
            <w:tcW w:w="5436" w:type="dxa"/>
            <w:gridSpan w:val="2"/>
          </w:tcPr>
          <w:p w14:paraId="525DC040" w14:textId="77777777" w:rsidR="00B40844" w:rsidRPr="004A5618" w:rsidRDefault="00B40844" w:rsidP="00937C89">
            <w:pPr>
              <w:spacing w:line="360" w:lineRule="auto"/>
              <w:jc w:val="both"/>
              <w:rPr>
                <w:rFonts w:ascii="Arial" w:hAnsi="Arial" w:cs="Arial"/>
                <w:sz w:val="24"/>
                <w:szCs w:val="24"/>
              </w:rPr>
            </w:pPr>
            <w:r w:rsidRPr="004A5618">
              <w:rPr>
                <w:rFonts w:ascii="Arial" w:hAnsi="Arial" w:cs="Arial"/>
                <w:sz w:val="24"/>
                <w:szCs w:val="24"/>
              </w:rPr>
              <w:t>Not applicable.</w:t>
            </w:r>
          </w:p>
        </w:tc>
      </w:tr>
      <w:tr w:rsidR="00CA7995" w:rsidRPr="004A5618" w14:paraId="4BF6B70F" w14:textId="77777777" w:rsidTr="00136505">
        <w:tc>
          <w:tcPr>
            <w:tcW w:w="10206" w:type="dxa"/>
            <w:gridSpan w:val="3"/>
          </w:tcPr>
          <w:p w14:paraId="6A5EA542" w14:textId="77777777" w:rsidR="00B40844" w:rsidRPr="004A5618" w:rsidRDefault="00B40844" w:rsidP="00937C89">
            <w:pPr>
              <w:spacing w:line="360" w:lineRule="auto"/>
              <w:jc w:val="center"/>
              <w:rPr>
                <w:rFonts w:ascii="Arial" w:hAnsi="Arial" w:cs="Arial"/>
                <w:b/>
                <w:sz w:val="24"/>
                <w:szCs w:val="24"/>
              </w:rPr>
            </w:pPr>
            <w:r w:rsidRPr="004A5618">
              <w:rPr>
                <w:rFonts w:ascii="Arial" w:hAnsi="Arial" w:cs="Arial"/>
                <w:b/>
                <w:sz w:val="24"/>
                <w:szCs w:val="24"/>
              </w:rPr>
              <w:t>Counsel:</w:t>
            </w:r>
          </w:p>
        </w:tc>
      </w:tr>
      <w:tr w:rsidR="00CA7995" w:rsidRPr="004A5618" w14:paraId="579F63FC" w14:textId="77777777" w:rsidTr="00136505">
        <w:tc>
          <w:tcPr>
            <w:tcW w:w="4770" w:type="dxa"/>
          </w:tcPr>
          <w:p w14:paraId="52D98B5F" w14:textId="35948D7B" w:rsidR="00B40844" w:rsidRPr="004A5618" w:rsidRDefault="00DC6B2A" w:rsidP="00937C89">
            <w:pPr>
              <w:spacing w:line="360" w:lineRule="auto"/>
              <w:jc w:val="center"/>
              <w:rPr>
                <w:rFonts w:ascii="Arial" w:hAnsi="Arial" w:cs="Arial"/>
                <w:b/>
                <w:sz w:val="24"/>
                <w:szCs w:val="24"/>
              </w:rPr>
            </w:pPr>
            <w:r>
              <w:rPr>
                <w:rFonts w:ascii="Arial" w:hAnsi="Arial" w:cs="Arial"/>
                <w:b/>
                <w:sz w:val="24"/>
                <w:szCs w:val="24"/>
              </w:rPr>
              <w:t>Plaintiff</w:t>
            </w:r>
          </w:p>
        </w:tc>
        <w:tc>
          <w:tcPr>
            <w:tcW w:w="5436" w:type="dxa"/>
            <w:gridSpan w:val="2"/>
          </w:tcPr>
          <w:p w14:paraId="7EC49BF1" w14:textId="08A23D9C" w:rsidR="00B40844" w:rsidRPr="004A5618" w:rsidRDefault="00DC6B2A" w:rsidP="00CC128D">
            <w:pPr>
              <w:spacing w:line="360" w:lineRule="auto"/>
              <w:jc w:val="center"/>
              <w:rPr>
                <w:rFonts w:ascii="Arial" w:hAnsi="Arial" w:cs="Arial"/>
                <w:b/>
                <w:sz w:val="24"/>
                <w:szCs w:val="24"/>
              </w:rPr>
            </w:pPr>
            <w:r>
              <w:rPr>
                <w:rFonts w:ascii="Arial" w:hAnsi="Arial" w:cs="Arial"/>
                <w:b/>
                <w:sz w:val="24"/>
                <w:szCs w:val="24"/>
              </w:rPr>
              <w:t>Defendants</w:t>
            </w:r>
          </w:p>
        </w:tc>
      </w:tr>
      <w:tr w:rsidR="00CA7995" w:rsidRPr="004A5618" w14:paraId="7F6632AA" w14:textId="77777777" w:rsidTr="00136505">
        <w:tc>
          <w:tcPr>
            <w:tcW w:w="4770" w:type="dxa"/>
          </w:tcPr>
          <w:p w14:paraId="18BF780E" w14:textId="00507BAD" w:rsidR="00E97512" w:rsidRPr="00602C25" w:rsidRDefault="00DC6B2A" w:rsidP="00937C89">
            <w:pPr>
              <w:spacing w:line="360" w:lineRule="auto"/>
              <w:jc w:val="center"/>
              <w:rPr>
                <w:rFonts w:ascii="Arial" w:hAnsi="Arial" w:cs="Arial"/>
                <w:sz w:val="24"/>
                <w:szCs w:val="24"/>
              </w:rPr>
            </w:pPr>
            <w:r>
              <w:rPr>
                <w:rFonts w:ascii="Arial" w:hAnsi="Arial" w:cs="Arial"/>
                <w:sz w:val="24"/>
                <w:szCs w:val="24"/>
              </w:rPr>
              <w:t>L</w:t>
            </w:r>
            <w:r w:rsidR="00602C25">
              <w:rPr>
                <w:rFonts w:ascii="Arial" w:hAnsi="Arial" w:cs="Arial"/>
                <w:sz w:val="24"/>
                <w:szCs w:val="24"/>
              </w:rPr>
              <w:t xml:space="preserve"> </w:t>
            </w:r>
            <w:proofErr w:type="spellStart"/>
            <w:r>
              <w:rPr>
                <w:rFonts w:ascii="Arial" w:hAnsi="Arial" w:cs="Arial"/>
                <w:sz w:val="24"/>
                <w:szCs w:val="24"/>
              </w:rPr>
              <w:t>L</w:t>
            </w:r>
            <w:r w:rsidRPr="00DC6B2A">
              <w:rPr>
                <w:rFonts w:ascii="Arial" w:hAnsi="Arial" w:cs="Arial"/>
                <w:sz w:val="24"/>
                <w:szCs w:val="24"/>
              </w:rPr>
              <w:t>ochner</w:t>
            </w:r>
            <w:proofErr w:type="spellEnd"/>
          </w:p>
          <w:p w14:paraId="5821C7F1" w14:textId="28FE256A" w:rsidR="00B40844" w:rsidRPr="00134E9F" w:rsidRDefault="00663C80" w:rsidP="00937C89">
            <w:pPr>
              <w:spacing w:line="360" w:lineRule="auto"/>
              <w:jc w:val="center"/>
              <w:rPr>
                <w:rFonts w:ascii="Arial" w:hAnsi="Arial" w:cs="Arial"/>
                <w:sz w:val="24"/>
                <w:szCs w:val="24"/>
              </w:rPr>
            </w:pPr>
            <w:r>
              <w:rPr>
                <w:rFonts w:ascii="Arial" w:hAnsi="Arial" w:cs="Arial"/>
                <w:sz w:val="24"/>
                <w:szCs w:val="24"/>
              </w:rPr>
              <w:t>Instructed by</w:t>
            </w:r>
          </w:p>
          <w:p w14:paraId="5DF3F17F" w14:textId="294C3025" w:rsidR="00B40844" w:rsidRPr="004A5618" w:rsidRDefault="00DC6B2A" w:rsidP="00E97512">
            <w:pPr>
              <w:spacing w:line="360" w:lineRule="auto"/>
              <w:jc w:val="center"/>
              <w:rPr>
                <w:rFonts w:ascii="Arial" w:hAnsi="Arial" w:cs="Arial"/>
                <w:sz w:val="24"/>
                <w:szCs w:val="24"/>
              </w:rPr>
            </w:pPr>
            <w:proofErr w:type="spellStart"/>
            <w:r w:rsidRPr="00DC6B2A">
              <w:rPr>
                <w:rFonts w:ascii="Arial" w:hAnsi="Arial" w:cs="Arial"/>
                <w:sz w:val="24"/>
                <w:szCs w:val="24"/>
              </w:rPr>
              <w:t>Etzold-Duvenhage</w:t>
            </w:r>
            <w:proofErr w:type="spellEnd"/>
            <w:r w:rsidR="00136505" w:rsidRPr="004A5618">
              <w:rPr>
                <w:rFonts w:ascii="Arial" w:hAnsi="Arial" w:cs="Arial"/>
                <w:sz w:val="24"/>
                <w:szCs w:val="24"/>
              </w:rPr>
              <w:t>, Windhoek</w:t>
            </w:r>
          </w:p>
        </w:tc>
        <w:tc>
          <w:tcPr>
            <w:tcW w:w="5436" w:type="dxa"/>
            <w:gridSpan w:val="2"/>
          </w:tcPr>
          <w:p w14:paraId="7A6778D0" w14:textId="31B7C6F1" w:rsidR="005145D9" w:rsidRPr="00602C25" w:rsidRDefault="005145D9" w:rsidP="005145D9">
            <w:pPr>
              <w:spacing w:line="360" w:lineRule="auto"/>
              <w:jc w:val="center"/>
              <w:rPr>
                <w:rFonts w:ascii="Arial" w:hAnsi="Arial" w:cs="Arial"/>
                <w:sz w:val="24"/>
                <w:szCs w:val="24"/>
              </w:rPr>
            </w:pPr>
            <w:r>
              <w:rPr>
                <w:rFonts w:ascii="Arial" w:hAnsi="Arial" w:cs="Arial"/>
                <w:sz w:val="24"/>
                <w:szCs w:val="24"/>
              </w:rPr>
              <w:t xml:space="preserve">N </w:t>
            </w:r>
            <w:proofErr w:type="spellStart"/>
            <w:r>
              <w:rPr>
                <w:rFonts w:ascii="Arial" w:hAnsi="Arial" w:cs="Arial"/>
                <w:sz w:val="24"/>
                <w:szCs w:val="24"/>
              </w:rPr>
              <w:t>Tjombe</w:t>
            </w:r>
            <w:proofErr w:type="spellEnd"/>
          </w:p>
          <w:p w14:paraId="6E92AF4F" w14:textId="77777777" w:rsidR="005145D9" w:rsidRPr="00134E9F" w:rsidRDefault="005145D9" w:rsidP="005145D9">
            <w:pPr>
              <w:spacing w:line="360" w:lineRule="auto"/>
              <w:jc w:val="center"/>
              <w:rPr>
                <w:rFonts w:ascii="Arial" w:hAnsi="Arial" w:cs="Arial"/>
                <w:sz w:val="24"/>
                <w:szCs w:val="24"/>
              </w:rPr>
            </w:pPr>
            <w:r>
              <w:rPr>
                <w:rFonts w:ascii="Arial" w:hAnsi="Arial" w:cs="Arial"/>
                <w:sz w:val="24"/>
                <w:szCs w:val="24"/>
              </w:rPr>
              <w:t>Of</w:t>
            </w:r>
          </w:p>
          <w:p w14:paraId="2EDA150C" w14:textId="2636B69E" w:rsidR="00B62F2B" w:rsidRPr="004A5618" w:rsidRDefault="005145D9" w:rsidP="005145D9">
            <w:pPr>
              <w:spacing w:line="360" w:lineRule="auto"/>
              <w:jc w:val="center"/>
              <w:rPr>
                <w:rFonts w:ascii="Arial" w:hAnsi="Arial" w:cs="Arial"/>
                <w:sz w:val="24"/>
                <w:szCs w:val="24"/>
              </w:rPr>
            </w:pPr>
            <w:proofErr w:type="spellStart"/>
            <w:r w:rsidRPr="005145D9">
              <w:rPr>
                <w:rFonts w:ascii="Arial" w:hAnsi="Arial" w:cs="Arial"/>
                <w:sz w:val="24"/>
                <w:szCs w:val="24"/>
              </w:rPr>
              <w:t>Tjombe</w:t>
            </w:r>
            <w:proofErr w:type="spellEnd"/>
            <w:r w:rsidRPr="005145D9">
              <w:rPr>
                <w:rFonts w:ascii="Arial" w:hAnsi="Arial" w:cs="Arial"/>
                <w:sz w:val="24"/>
                <w:szCs w:val="24"/>
              </w:rPr>
              <w:t>–</w:t>
            </w:r>
            <w:proofErr w:type="spellStart"/>
            <w:r w:rsidRPr="005145D9">
              <w:rPr>
                <w:rFonts w:ascii="Arial" w:hAnsi="Arial" w:cs="Arial"/>
                <w:sz w:val="24"/>
                <w:szCs w:val="24"/>
              </w:rPr>
              <w:t>Elago</w:t>
            </w:r>
            <w:proofErr w:type="spellEnd"/>
            <w:r w:rsidRPr="005145D9">
              <w:rPr>
                <w:rFonts w:ascii="Arial" w:hAnsi="Arial" w:cs="Arial"/>
                <w:sz w:val="24"/>
                <w:szCs w:val="24"/>
              </w:rPr>
              <w:t xml:space="preserve"> Inc.,</w:t>
            </w:r>
            <w:r w:rsidRPr="004A5618">
              <w:rPr>
                <w:rFonts w:ascii="Arial" w:hAnsi="Arial" w:cs="Arial"/>
                <w:sz w:val="24"/>
                <w:szCs w:val="24"/>
              </w:rPr>
              <w:t xml:space="preserve"> Windhoek</w:t>
            </w:r>
          </w:p>
        </w:tc>
      </w:tr>
    </w:tbl>
    <w:p w14:paraId="0EB2A4A3" w14:textId="390096CC" w:rsidR="00B845CF" w:rsidRDefault="00B845CF" w:rsidP="005145D9"/>
    <w:p w14:paraId="50B5640E" w14:textId="77777777" w:rsidR="0094041F" w:rsidRDefault="0094041F" w:rsidP="005145D9"/>
    <w:sectPr w:rsidR="0094041F"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3FB46" w14:textId="77777777" w:rsidR="00B93677" w:rsidRPr="004A5618" w:rsidRDefault="00B93677" w:rsidP="00B40844">
      <w:pPr>
        <w:spacing w:after="0" w:line="240" w:lineRule="auto"/>
      </w:pPr>
      <w:r w:rsidRPr="004A5618">
        <w:separator/>
      </w:r>
    </w:p>
  </w:endnote>
  <w:endnote w:type="continuationSeparator" w:id="0">
    <w:p w14:paraId="13975F89" w14:textId="77777777" w:rsidR="00B93677" w:rsidRPr="004A5618" w:rsidRDefault="00B93677" w:rsidP="00B40844">
      <w:pPr>
        <w:spacing w:after="0" w:line="240" w:lineRule="auto"/>
      </w:pPr>
      <w:r w:rsidRPr="004A56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715E" w14:textId="77777777" w:rsidR="00937C89" w:rsidRPr="004A5618"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ECD31" w14:textId="77777777" w:rsidR="00B93677" w:rsidRPr="004A5618" w:rsidRDefault="00B93677" w:rsidP="00B40844">
      <w:pPr>
        <w:spacing w:after="0" w:line="240" w:lineRule="auto"/>
      </w:pPr>
      <w:r w:rsidRPr="004A5618">
        <w:separator/>
      </w:r>
    </w:p>
  </w:footnote>
  <w:footnote w:type="continuationSeparator" w:id="0">
    <w:p w14:paraId="4BD24964" w14:textId="77777777" w:rsidR="00B93677" w:rsidRPr="004A5618" w:rsidRDefault="00B93677" w:rsidP="00B40844">
      <w:pPr>
        <w:spacing w:after="0" w:line="240" w:lineRule="auto"/>
      </w:pPr>
      <w:r w:rsidRPr="004A5618">
        <w:continuationSeparator/>
      </w:r>
    </w:p>
  </w:footnote>
  <w:footnote w:id="1">
    <w:p w14:paraId="190F48B3" w14:textId="77777777" w:rsidR="004F738D" w:rsidRPr="0069311C" w:rsidRDefault="004F738D" w:rsidP="004F738D">
      <w:pPr>
        <w:pStyle w:val="FootnoteText"/>
        <w:jc w:val="both"/>
        <w:rPr>
          <w:rFonts w:ascii="Arial" w:hAnsi="Arial" w:cs="Arial"/>
          <w:lang w:val="en-US"/>
        </w:rPr>
      </w:pPr>
      <w:r w:rsidRPr="0069311C">
        <w:rPr>
          <w:rStyle w:val="FootnoteReference"/>
          <w:rFonts w:ascii="Arial" w:hAnsi="Arial" w:cs="Arial"/>
        </w:rPr>
        <w:footnoteRef/>
      </w:r>
      <w:r w:rsidRPr="0069311C">
        <w:rPr>
          <w:rFonts w:ascii="Arial" w:hAnsi="Arial" w:cs="Arial"/>
        </w:rPr>
        <w:t xml:space="preserve"> </w:t>
      </w:r>
      <w:proofErr w:type="spellStart"/>
      <w:r w:rsidRPr="0069311C">
        <w:rPr>
          <w:rFonts w:ascii="Arial" w:hAnsi="Arial" w:cs="Arial"/>
          <w:i/>
        </w:rPr>
        <w:t>Stier</w:t>
      </w:r>
      <w:proofErr w:type="spellEnd"/>
      <w:r w:rsidRPr="0069311C">
        <w:rPr>
          <w:rFonts w:ascii="Arial" w:hAnsi="Arial" w:cs="Arial"/>
          <w:i/>
        </w:rPr>
        <w:t xml:space="preserve"> and Another v Henke</w:t>
      </w:r>
      <w:r w:rsidRPr="0069311C">
        <w:rPr>
          <w:rFonts w:ascii="Arial" w:hAnsi="Arial" w:cs="Arial"/>
        </w:rPr>
        <w:t xml:space="preserve"> 2012 (1) NR 370 (SC).</w:t>
      </w:r>
    </w:p>
  </w:footnote>
  <w:footnote w:id="2">
    <w:p w14:paraId="26B33743" w14:textId="77777777" w:rsidR="004F738D" w:rsidRPr="00073060" w:rsidRDefault="004F738D" w:rsidP="004F738D">
      <w:pPr>
        <w:pStyle w:val="FootnoteText"/>
        <w:jc w:val="both"/>
        <w:rPr>
          <w:rFonts w:ascii="Arial" w:hAnsi="Arial" w:cs="Arial"/>
          <w:lang w:val="en-US"/>
        </w:rPr>
      </w:pPr>
      <w:r w:rsidRPr="00073060">
        <w:rPr>
          <w:rStyle w:val="FootnoteReference"/>
          <w:rFonts w:ascii="Arial" w:hAnsi="Arial" w:cs="Arial"/>
        </w:rPr>
        <w:footnoteRef/>
      </w:r>
      <w:r w:rsidRPr="00073060">
        <w:rPr>
          <w:rFonts w:ascii="Arial" w:hAnsi="Arial" w:cs="Arial"/>
        </w:rPr>
        <w:t xml:space="preserve"> </w:t>
      </w:r>
      <w:proofErr w:type="spellStart"/>
      <w:r w:rsidRPr="00073060">
        <w:rPr>
          <w:rFonts w:ascii="Arial" w:hAnsi="Arial" w:cs="Arial"/>
          <w:i/>
        </w:rPr>
        <w:t>Dannecker</w:t>
      </w:r>
      <w:proofErr w:type="spellEnd"/>
      <w:r w:rsidRPr="00073060">
        <w:rPr>
          <w:rFonts w:ascii="Arial" w:hAnsi="Arial" w:cs="Arial"/>
          <w:i/>
        </w:rPr>
        <w:t xml:space="preserve"> v Leopard Tours Car &amp; Camping Hire CC</w:t>
      </w:r>
      <w:r w:rsidRPr="00073060">
        <w:rPr>
          <w:rFonts w:ascii="Arial" w:hAnsi="Arial" w:cs="Arial"/>
        </w:rPr>
        <w:t xml:space="preserve"> [2015] NAHCMD 30 (20 February 2015).</w:t>
      </w:r>
    </w:p>
  </w:footnote>
  <w:footnote w:id="3">
    <w:p w14:paraId="1C86B838" w14:textId="77777777" w:rsidR="00824F3D" w:rsidRPr="000B6579" w:rsidRDefault="00824F3D" w:rsidP="000B6579">
      <w:pPr>
        <w:pStyle w:val="FootnoteText"/>
        <w:jc w:val="both"/>
        <w:rPr>
          <w:rFonts w:ascii="Arial" w:hAnsi="Arial" w:cs="Arial"/>
          <w:iCs/>
          <w:lang w:val="en-US"/>
        </w:rPr>
      </w:pPr>
      <w:r w:rsidRPr="000B6579">
        <w:rPr>
          <w:rStyle w:val="FootnoteReference"/>
          <w:rFonts w:ascii="Arial" w:hAnsi="Arial" w:cs="Arial"/>
        </w:rPr>
        <w:footnoteRef/>
      </w:r>
      <w:r w:rsidRPr="000B6579">
        <w:rPr>
          <w:rFonts w:ascii="Arial" w:hAnsi="Arial" w:cs="Arial"/>
        </w:rPr>
        <w:t xml:space="preserve"> </w:t>
      </w:r>
      <w:r w:rsidRPr="000B6579">
        <w:rPr>
          <w:rFonts w:ascii="Arial" w:hAnsi="Arial" w:cs="Arial"/>
          <w:i/>
        </w:rPr>
        <w:t>Neon Lights (SA) Ltd</w:t>
      </w:r>
      <w:r w:rsidRPr="000B6579">
        <w:rPr>
          <w:rFonts w:ascii="Arial" w:hAnsi="Arial" w:cs="Arial"/>
          <w:iCs/>
        </w:rPr>
        <w:t>, see para 2 above.</w:t>
      </w:r>
    </w:p>
  </w:footnote>
  <w:footnote w:id="4">
    <w:p w14:paraId="77560E63" w14:textId="77777777" w:rsidR="00824F3D" w:rsidRPr="000B6579" w:rsidRDefault="00824F3D" w:rsidP="000B6579">
      <w:pPr>
        <w:pStyle w:val="FootnoteText"/>
        <w:jc w:val="both"/>
        <w:rPr>
          <w:rFonts w:ascii="Arial" w:hAnsi="Arial" w:cs="Arial"/>
          <w:lang w:val="en-US"/>
        </w:rPr>
      </w:pPr>
      <w:r w:rsidRPr="000B6579">
        <w:rPr>
          <w:rStyle w:val="FootnoteReference"/>
          <w:rFonts w:ascii="Arial" w:hAnsi="Arial" w:cs="Arial"/>
        </w:rPr>
        <w:footnoteRef/>
      </w:r>
      <w:proofErr w:type="spellStart"/>
      <w:r w:rsidRPr="000B6579">
        <w:rPr>
          <w:rFonts w:ascii="Arial" w:hAnsi="Arial" w:cs="Arial"/>
          <w:i/>
        </w:rPr>
        <w:t>Bidoli</w:t>
      </w:r>
      <w:proofErr w:type="spellEnd"/>
      <w:r w:rsidRPr="000B6579">
        <w:rPr>
          <w:rFonts w:ascii="Arial" w:hAnsi="Arial" w:cs="Arial"/>
          <w:i/>
        </w:rPr>
        <w:t xml:space="preserve"> v </w:t>
      </w:r>
      <w:proofErr w:type="spellStart"/>
      <w:r w:rsidRPr="000B6579">
        <w:rPr>
          <w:rFonts w:ascii="Arial" w:hAnsi="Arial" w:cs="Arial"/>
          <w:i/>
        </w:rPr>
        <w:t>Ellistron</w:t>
      </w:r>
      <w:proofErr w:type="spellEnd"/>
      <w:r w:rsidRPr="000B6579">
        <w:rPr>
          <w:rFonts w:ascii="Arial" w:hAnsi="Arial" w:cs="Arial"/>
          <w:i/>
        </w:rPr>
        <w:t xml:space="preserve"> t/</w:t>
      </w:r>
      <w:proofErr w:type="gramStart"/>
      <w:r w:rsidRPr="000B6579">
        <w:rPr>
          <w:rFonts w:ascii="Arial" w:hAnsi="Arial" w:cs="Arial"/>
          <w:i/>
        </w:rPr>
        <w:t>a</w:t>
      </w:r>
      <w:proofErr w:type="gramEnd"/>
      <w:r w:rsidRPr="000B6579">
        <w:rPr>
          <w:rFonts w:ascii="Arial" w:hAnsi="Arial" w:cs="Arial"/>
          <w:i/>
        </w:rPr>
        <w:t xml:space="preserve"> </w:t>
      </w:r>
      <w:proofErr w:type="spellStart"/>
      <w:r w:rsidRPr="000B6579">
        <w:rPr>
          <w:rFonts w:ascii="Arial" w:hAnsi="Arial" w:cs="Arial"/>
          <w:i/>
        </w:rPr>
        <w:t>Ellistron</w:t>
      </w:r>
      <w:proofErr w:type="spellEnd"/>
      <w:r w:rsidRPr="000B6579">
        <w:rPr>
          <w:rFonts w:ascii="Arial" w:hAnsi="Arial" w:cs="Arial"/>
          <w:i/>
        </w:rPr>
        <w:t xml:space="preserve"> Truck &amp; Plaint</w:t>
      </w:r>
      <w:r w:rsidRPr="000B6579">
        <w:rPr>
          <w:rFonts w:ascii="Arial" w:hAnsi="Arial" w:cs="Arial"/>
        </w:rPr>
        <w:t xml:space="preserve"> 2002 NR 451 at 453G.</w:t>
      </w:r>
    </w:p>
  </w:footnote>
  <w:footnote w:id="5">
    <w:p w14:paraId="3F1C1BA7" w14:textId="6172A311" w:rsidR="003D442D" w:rsidRPr="000B6579" w:rsidRDefault="003D442D" w:rsidP="000B6579">
      <w:pPr>
        <w:pStyle w:val="FootnoteText"/>
        <w:jc w:val="both"/>
        <w:rPr>
          <w:rFonts w:ascii="Arial" w:hAnsi="Arial" w:cs="Arial"/>
          <w:lang w:val="en-ZA"/>
        </w:rPr>
      </w:pPr>
      <w:r w:rsidRPr="000B6579">
        <w:rPr>
          <w:rStyle w:val="FootnoteReference"/>
          <w:rFonts w:ascii="Arial" w:hAnsi="Arial" w:cs="Arial"/>
        </w:rPr>
        <w:footnoteRef/>
      </w:r>
      <w:r w:rsidRPr="000B6579">
        <w:rPr>
          <w:rFonts w:ascii="Arial" w:hAnsi="Arial" w:cs="Arial"/>
        </w:rPr>
        <w:t xml:space="preserve"> </w:t>
      </w:r>
      <w:proofErr w:type="spellStart"/>
      <w:r w:rsidRPr="000B6579">
        <w:rPr>
          <w:rFonts w:ascii="Arial" w:hAnsi="Arial" w:cs="Arial"/>
          <w:i/>
        </w:rPr>
        <w:t>Bidoli</w:t>
      </w:r>
      <w:proofErr w:type="spellEnd"/>
      <w:r w:rsidRPr="000B6579">
        <w:rPr>
          <w:rFonts w:ascii="Arial" w:hAnsi="Arial" w:cs="Arial"/>
          <w:i/>
        </w:rPr>
        <w:t xml:space="preserve"> v </w:t>
      </w:r>
      <w:proofErr w:type="spellStart"/>
      <w:r w:rsidRPr="000B6579">
        <w:rPr>
          <w:rFonts w:ascii="Arial" w:hAnsi="Arial" w:cs="Arial"/>
          <w:i/>
        </w:rPr>
        <w:t>Ellistron</w:t>
      </w:r>
      <w:proofErr w:type="spellEnd"/>
      <w:r w:rsidRPr="000B6579">
        <w:rPr>
          <w:rFonts w:ascii="Arial" w:hAnsi="Arial" w:cs="Arial"/>
          <w:i/>
        </w:rPr>
        <w:t xml:space="preserve"> t/</w:t>
      </w:r>
      <w:proofErr w:type="gramStart"/>
      <w:r w:rsidRPr="000B6579">
        <w:rPr>
          <w:rFonts w:ascii="Arial" w:hAnsi="Arial" w:cs="Arial"/>
          <w:i/>
        </w:rPr>
        <w:t>a</w:t>
      </w:r>
      <w:proofErr w:type="gramEnd"/>
      <w:r w:rsidRPr="000B6579">
        <w:rPr>
          <w:rFonts w:ascii="Arial" w:hAnsi="Arial" w:cs="Arial"/>
          <w:i/>
        </w:rPr>
        <w:t xml:space="preserve"> </w:t>
      </w:r>
      <w:proofErr w:type="spellStart"/>
      <w:r w:rsidRPr="000B6579">
        <w:rPr>
          <w:rFonts w:ascii="Arial" w:hAnsi="Arial" w:cs="Arial"/>
          <w:i/>
        </w:rPr>
        <w:t>Ellistron</w:t>
      </w:r>
      <w:proofErr w:type="spellEnd"/>
      <w:r w:rsidRPr="000B6579">
        <w:rPr>
          <w:rFonts w:ascii="Arial" w:hAnsi="Arial" w:cs="Arial"/>
          <w:i/>
        </w:rPr>
        <w:t xml:space="preserve"> Truck &amp; Plaint</w:t>
      </w:r>
      <w:r w:rsidRPr="000B6579">
        <w:rPr>
          <w:rFonts w:ascii="Arial" w:hAnsi="Arial" w:cs="Arial"/>
        </w:rPr>
        <w:t xml:space="preserve"> footnote 4 </w:t>
      </w:r>
      <w:proofErr w:type="spellStart"/>
      <w:r w:rsidRPr="000B6579">
        <w:rPr>
          <w:rFonts w:ascii="Arial" w:hAnsi="Arial" w:cs="Arial"/>
        </w:rPr>
        <w:t>loc</w:t>
      </w:r>
      <w:proofErr w:type="spellEnd"/>
      <w:r w:rsidRPr="000B6579">
        <w:rPr>
          <w:rFonts w:ascii="Arial" w:hAnsi="Arial" w:cs="Arial"/>
        </w:rPr>
        <w:t xml:space="preserve"> cit.</w:t>
      </w:r>
    </w:p>
  </w:footnote>
  <w:footnote w:id="6">
    <w:p w14:paraId="4944E890" w14:textId="78B63D1E" w:rsidR="00822BEF" w:rsidRPr="000B6579" w:rsidRDefault="00822BEF" w:rsidP="000B6579">
      <w:pPr>
        <w:pStyle w:val="FootnoteText"/>
        <w:jc w:val="both"/>
        <w:rPr>
          <w:rFonts w:ascii="Arial" w:hAnsi="Arial" w:cs="Arial"/>
          <w:lang w:val="en-ZA"/>
        </w:rPr>
      </w:pPr>
      <w:r w:rsidRPr="000B6579">
        <w:rPr>
          <w:rStyle w:val="FootnoteReference"/>
          <w:rFonts w:ascii="Arial" w:hAnsi="Arial" w:cs="Arial"/>
        </w:rPr>
        <w:footnoteRef/>
      </w:r>
      <w:r w:rsidRPr="000B6579">
        <w:rPr>
          <w:rFonts w:ascii="Arial" w:hAnsi="Arial" w:cs="Arial"/>
        </w:rPr>
        <w:t xml:space="preserve"> </w:t>
      </w:r>
      <w:r w:rsidRPr="00B40E58">
        <w:rPr>
          <w:rFonts w:ascii="Arial" w:hAnsi="Arial" w:cs="Arial"/>
          <w:i/>
          <w:lang w:val="en-ZA"/>
        </w:rPr>
        <w:t>Pillay v Krishna</w:t>
      </w:r>
      <w:r w:rsidRPr="000B6579">
        <w:rPr>
          <w:rFonts w:ascii="Arial" w:hAnsi="Arial" w:cs="Arial"/>
          <w:lang w:val="en-ZA"/>
        </w:rPr>
        <w:t xml:space="preserve"> 1946 AD 946.</w:t>
      </w:r>
    </w:p>
  </w:footnote>
  <w:footnote w:id="7">
    <w:p w14:paraId="05DAAC73" w14:textId="4DC2BDA2" w:rsidR="00E41369" w:rsidRPr="005D1FA8" w:rsidRDefault="00E41369" w:rsidP="005D1FA8">
      <w:pPr>
        <w:pStyle w:val="FootnoteText"/>
        <w:jc w:val="both"/>
        <w:rPr>
          <w:rFonts w:ascii="Arial" w:hAnsi="Arial" w:cs="Arial"/>
          <w:lang w:val="en-ZA"/>
        </w:rPr>
      </w:pPr>
      <w:r w:rsidRPr="005D1FA8">
        <w:rPr>
          <w:rStyle w:val="FootnoteReference"/>
          <w:rFonts w:ascii="Arial" w:hAnsi="Arial" w:cs="Arial"/>
        </w:rPr>
        <w:footnoteRef/>
      </w:r>
      <w:r w:rsidRPr="005D1FA8">
        <w:rPr>
          <w:rFonts w:ascii="Arial" w:hAnsi="Arial" w:cs="Arial"/>
        </w:rPr>
        <w:t xml:space="preserve"> </w:t>
      </w:r>
      <w:proofErr w:type="spellStart"/>
      <w:r w:rsidR="00BC055D" w:rsidRPr="005D1FA8">
        <w:rPr>
          <w:rFonts w:ascii="Arial" w:hAnsi="Arial" w:cs="Arial"/>
          <w:i/>
          <w:lang w:val="en-ZA"/>
        </w:rPr>
        <w:t>Kamushinda</w:t>
      </w:r>
      <w:proofErr w:type="spellEnd"/>
      <w:r w:rsidR="00BC055D" w:rsidRPr="005D1FA8">
        <w:rPr>
          <w:rFonts w:ascii="Arial" w:hAnsi="Arial" w:cs="Arial"/>
          <w:i/>
          <w:lang w:val="en-ZA"/>
        </w:rPr>
        <w:t xml:space="preserve"> and </w:t>
      </w:r>
      <w:proofErr w:type="gramStart"/>
      <w:r w:rsidR="00BC055D" w:rsidRPr="005D1FA8">
        <w:rPr>
          <w:rFonts w:ascii="Arial" w:hAnsi="Arial" w:cs="Arial"/>
          <w:i/>
          <w:lang w:val="en-ZA"/>
        </w:rPr>
        <w:t>Others</w:t>
      </w:r>
      <w:proofErr w:type="gramEnd"/>
      <w:r w:rsidR="00BC055D" w:rsidRPr="005D1FA8">
        <w:rPr>
          <w:rFonts w:ascii="Arial" w:hAnsi="Arial" w:cs="Arial"/>
          <w:i/>
          <w:lang w:val="en-ZA"/>
        </w:rPr>
        <w:t xml:space="preserve"> v President of the Republic of Namibia and Others</w:t>
      </w:r>
      <w:r w:rsidR="005D1FA8">
        <w:rPr>
          <w:rFonts w:ascii="Arial" w:hAnsi="Arial" w:cs="Arial"/>
          <w:lang w:val="en-ZA"/>
        </w:rPr>
        <w:t xml:space="preserve"> 2020 (4) NR 1058 (HC) para 8</w:t>
      </w:r>
      <w:r w:rsidR="00FA2F85">
        <w:rPr>
          <w:rFonts w:ascii="Arial" w:hAnsi="Arial" w:cs="Arial"/>
          <w:lang w:val="en-ZA"/>
        </w:rPr>
        <w:t>2</w:t>
      </w:r>
      <w:r w:rsidR="005D1FA8">
        <w:rPr>
          <w:rFonts w:ascii="Arial" w:hAnsi="Arial" w:cs="Arial"/>
          <w:lang w:val="en-ZA"/>
        </w:rPr>
        <w:t>.</w:t>
      </w:r>
    </w:p>
  </w:footnote>
  <w:footnote w:id="8">
    <w:p w14:paraId="0F5CDE80" w14:textId="36796DF1" w:rsidR="004D4C39" w:rsidRPr="004D4C39" w:rsidRDefault="004D4C39">
      <w:pPr>
        <w:pStyle w:val="FootnoteText"/>
        <w:rPr>
          <w:rFonts w:ascii="Arial" w:hAnsi="Arial" w:cs="Arial"/>
          <w:lang w:val="en-ZA"/>
        </w:rPr>
      </w:pPr>
      <w:r w:rsidRPr="004D4C39">
        <w:rPr>
          <w:rStyle w:val="FootnoteReference"/>
          <w:rFonts w:ascii="Arial" w:hAnsi="Arial" w:cs="Arial"/>
        </w:rPr>
        <w:footnoteRef/>
      </w:r>
      <w:r w:rsidRPr="004D4C39">
        <w:rPr>
          <w:rFonts w:ascii="Arial" w:hAnsi="Arial" w:cs="Arial"/>
        </w:rPr>
        <w:t xml:space="preserve"> </w:t>
      </w:r>
      <w:r w:rsidRPr="004D4C39">
        <w:rPr>
          <w:rFonts w:ascii="Arial" w:hAnsi="Arial" w:cs="Arial"/>
          <w:lang w:val="en-ZA"/>
        </w:rPr>
        <w:t>Ibid para 83.</w:t>
      </w:r>
    </w:p>
  </w:footnote>
  <w:footnote w:id="9">
    <w:p w14:paraId="27581FF7" w14:textId="0348EEB5" w:rsidR="003759B3" w:rsidRPr="00703917" w:rsidRDefault="003759B3" w:rsidP="00703917">
      <w:pPr>
        <w:pStyle w:val="FootnoteText"/>
        <w:jc w:val="both"/>
        <w:rPr>
          <w:rFonts w:ascii="Arial" w:hAnsi="Arial" w:cs="Arial"/>
          <w:lang w:val="en-ZA"/>
        </w:rPr>
      </w:pPr>
      <w:r w:rsidRPr="00703917">
        <w:rPr>
          <w:rStyle w:val="FootnoteReference"/>
          <w:rFonts w:ascii="Arial" w:hAnsi="Arial" w:cs="Arial"/>
        </w:rPr>
        <w:footnoteRef/>
      </w:r>
      <w:r w:rsidRPr="00703917">
        <w:rPr>
          <w:rFonts w:ascii="Arial" w:hAnsi="Arial" w:cs="Arial"/>
        </w:rPr>
        <w:t xml:space="preserve"> </w:t>
      </w:r>
      <w:proofErr w:type="spellStart"/>
      <w:r w:rsidR="00EE5473" w:rsidRPr="00703917">
        <w:rPr>
          <w:rFonts w:ascii="Arial" w:hAnsi="Arial" w:cs="Arial"/>
          <w:i/>
          <w:lang w:val="en-ZA"/>
        </w:rPr>
        <w:t>Ochberg</w:t>
      </w:r>
      <w:proofErr w:type="spellEnd"/>
      <w:r w:rsidR="00EE5473" w:rsidRPr="00703917">
        <w:rPr>
          <w:rFonts w:ascii="Arial" w:hAnsi="Arial" w:cs="Arial"/>
          <w:i/>
          <w:lang w:val="en-ZA"/>
        </w:rPr>
        <w:t xml:space="preserve"> v C.I.R.</w:t>
      </w:r>
      <w:r w:rsidR="00EE5473" w:rsidRPr="00703917">
        <w:rPr>
          <w:rFonts w:ascii="Arial" w:hAnsi="Arial" w:cs="Arial"/>
          <w:lang w:val="en-ZA"/>
        </w:rPr>
        <w:t xml:space="preserve"> [1931] AD 215 at 232, per </w:t>
      </w:r>
      <w:r w:rsidR="00703917">
        <w:rPr>
          <w:rFonts w:ascii="Arial" w:hAnsi="Arial" w:cs="Arial"/>
          <w:lang w:val="en-ZA"/>
        </w:rPr>
        <w:t xml:space="preserve">Villiers CJ, approved in </w:t>
      </w:r>
      <w:r w:rsidR="00EE5473" w:rsidRPr="00703917">
        <w:rPr>
          <w:rFonts w:ascii="Arial" w:hAnsi="Arial" w:cs="Arial"/>
          <w:lang w:val="en-ZA"/>
        </w:rPr>
        <w:t>2006 (1) NR 389 (HC).</w:t>
      </w:r>
    </w:p>
  </w:footnote>
  <w:footnote w:id="10">
    <w:p w14:paraId="25D1299A" w14:textId="5FAD87B1" w:rsidR="00125676" w:rsidRPr="00F17E2E" w:rsidRDefault="00125676" w:rsidP="00F17E2E">
      <w:pPr>
        <w:pStyle w:val="FootnoteText"/>
        <w:jc w:val="both"/>
        <w:rPr>
          <w:rFonts w:ascii="Arial" w:hAnsi="Arial" w:cs="Arial"/>
          <w:lang w:val="en-ZA"/>
        </w:rPr>
      </w:pPr>
      <w:r w:rsidRPr="00F17E2E">
        <w:rPr>
          <w:rStyle w:val="FootnoteReference"/>
          <w:rFonts w:ascii="Arial" w:hAnsi="Arial" w:cs="Arial"/>
        </w:rPr>
        <w:footnoteRef/>
      </w:r>
      <w:r w:rsidRPr="00F17E2E">
        <w:rPr>
          <w:rFonts w:ascii="Arial" w:hAnsi="Arial" w:cs="Arial"/>
        </w:rPr>
        <w:t xml:space="preserve"> </w:t>
      </w:r>
      <w:r w:rsidRPr="00F17E2E">
        <w:rPr>
          <w:rFonts w:ascii="Arial" w:hAnsi="Arial" w:cs="Arial"/>
          <w:lang w:val="en-ZA"/>
        </w:rPr>
        <w:t xml:space="preserve">See </w:t>
      </w:r>
      <w:proofErr w:type="spellStart"/>
      <w:r w:rsidRPr="00F17E2E">
        <w:rPr>
          <w:rFonts w:ascii="Arial" w:hAnsi="Arial" w:cs="Arial"/>
          <w:i/>
          <w:lang w:val="en-ZA"/>
        </w:rPr>
        <w:t>Kamushinda</w:t>
      </w:r>
      <w:proofErr w:type="spellEnd"/>
      <w:r w:rsidRPr="00F17E2E">
        <w:rPr>
          <w:rFonts w:ascii="Arial" w:hAnsi="Arial" w:cs="Arial"/>
          <w:i/>
          <w:lang w:val="en-ZA"/>
        </w:rPr>
        <w:t xml:space="preserve"> and Others v President of the Republic of Namibia</w:t>
      </w:r>
      <w:r w:rsidRPr="00F17E2E">
        <w:rPr>
          <w:rFonts w:ascii="Arial" w:hAnsi="Arial" w:cs="Arial"/>
          <w:lang w:val="en-ZA"/>
        </w:rPr>
        <w:t xml:space="preserve"> footnote </w:t>
      </w:r>
      <w:r w:rsidR="00B912B2">
        <w:rPr>
          <w:rFonts w:ascii="Arial" w:hAnsi="Arial" w:cs="Arial"/>
          <w:lang w:val="en-ZA"/>
        </w:rPr>
        <w:t>7</w:t>
      </w:r>
      <w:r w:rsidRPr="00F17E2E">
        <w:rPr>
          <w:rFonts w:ascii="Arial" w:hAnsi="Arial" w:cs="Arial"/>
          <w:lang w:val="en-ZA"/>
        </w:rPr>
        <w:t xml:space="preserve"> para 5.</w:t>
      </w:r>
    </w:p>
  </w:footnote>
  <w:footnote w:id="11">
    <w:p w14:paraId="7B201E16" w14:textId="503581F3" w:rsidR="00125676" w:rsidRPr="00F17E2E" w:rsidRDefault="00125676" w:rsidP="00F17E2E">
      <w:pPr>
        <w:pStyle w:val="FootnoteText"/>
        <w:jc w:val="both"/>
        <w:rPr>
          <w:rFonts w:ascii="Arial" w:hAnsi="Arial" w:cs="Arial"/>
          <w:lang w:val="en-ZA"/>
        </w:rPr>
      </w:pPr>
      <w:r w:rsidRPr="00F17E2E">
        <w:rPr>
          <w:rStyle w:val="FootnoteReference"/>
          <w:rFonts w:ascii="Arial" w:hAnsi="Arial" w:cs="Arial"/>
        </w:rPr>
        <w:footnoteRef/>
      </w:r>
      <w:r w:rsidRPr="00F17E2E">
        <w:rPr>
          <w:rFonts w:ascii="Arial" w:hAnsi="Arial" w:cs="Arial"/>
        </w:rPr>
        <w:t xml:space="preserve"> </w:t>
      </w:r>
      <w:r w:rsidRPr="00F17E2E">
        <w:rPr>
          <w:rFonts w:ascii="Arial" w:hAnsi="Arial" w:cs="Arial"/>
          <w:i/>
          <w:lang w:val="en-ZA"/>
        </w:rPr>
        <w:t xml:space="preserve">De Villiers v </w:t>
      </w:r>
      <w:proofErr w:type="spellStart"/>
      <w:r w:rsidRPr="00F17E2E">
        <w:rPr>
          <w:rFonts w:ascii="Arial" w:hAnsi="Arial" w:cs="Arial"/>
          <w:i/>
          <w:lang w:val="en-ZA"/>
        </w:rPr>
        <w:t>Axiz</w:t>
      </w:r>
      <w:proofErr w:type="spellEnd"/>
      <w:r w:rsidRPr="00F17E2E">
        <w:rPr>
          <w:rFonts w:ascii="Arial" w:hAnsi="Arial" w:cs="Arial"/>
          <w:i/>
          <w:lang w:val="en-ZA"/>
        </w:rPr>
        <w:t xml:space="preserve"> (Pty) Ltd</w:t>
      </w:r>
      <w:r w:rsidRPr="00F17E2E">
        <w:rPr>
          <w:rFonts w:ascii="Arial" w:hAnsi="Arial" w:cs="Arial"/>
          <w:lang w:val="en-ZA"/>
        </w:rPr>
        <w:t xml:space="preserve"> 2012 (1) NR 48 (SC) para 48.</w:t>
      </w:r>
    </w:p>
  </w:footnote>
  <w:footnote w:id="12">
    <w:p w14:paraId="321E15D6" w14:textId="4B754B34" w:rsidR="0090480D" w:rsidRPr="0069311C" w:rsidRDefault="0090480D" w:rsidP="0069311C">
      <w:pPr>
        <w:pStyle w:val="FootnoteText"/>
        <w:jc w:val="both"/>
        <w:rPr>
          <w:rFonts w:ascii="Arial" w:hAnsi="Arial" w:cs="Arial"/>
          <w:lang w:val="en-ZA"/>
        </w:rPr>
      </w:pPr>
      <w:r w:rsidRPr="0069311C">
        <w:rPr>
          <w:rStyle w:val="FootnoteReference"/>
          <w:rFonts w:ascii="Arial" w:hAnsi="Arial" w:cs="Arial"/>
        </w:rPr>
        <w:footnoteRef/>
      </w:r>
      <w:r w:rsidRPr="0069311C">
        <w:rPr>
          <w:rFonts w:ascii="Arial" w:hAnsi="Arial" w:cs="Arial"/>
        </w:rPr>
        <w:t xml:space="preserve"> </w:t>
      </w:r>
      <w:proofErr w:type="spellStart"/>
      <w:r w:rsidRPr="0069311C">
        <w:rPr>
          <w:rFonts w:ascii="Arial" w:hAnsi="Arial" w:cs="Arial"/>
          <w:i/>
          <w:lang w:val="en-ZA"/>
        </w:rPr>
        <w:t>Kamushinda</w:t>
      </w:r>
      <w:proofErr w:type="spellEnd"/>
      <w:r w:rsidRPr="0069311C">
        <w:rPr>
          <w:rFonts w:ascii="Arial" w:hAnsi="Arial" w:cs="Arial"/>
          <w:i/>
          <w:lang w:val="en-ZA"/>
        </w:rPr>
        <w:t xml:space="preserve"> and </w:t>
      </w:r>
      <w:proofErr w:type="gramStart"/>
      <w:r w:rsidRPr="0069311C">
        <w:rPr>
          <w:rFonts w:ascii="Arial" w:hAnsi="Arial" w:cs="Arial"/>
          <w:i/>
          <w:lang w:val="en-ZA"/>
        </w:rPr>
        <w:t>Others</w:t>
      </w:r>
      <w:proofErr w:type="gramEnd"/>
      <w:r w:rsidRPr="0069311C">
        <w:rPr>
          <w:rFonts w:ascii="Arial" w:hAnsi="Arial" w:cs="Arial"/>
          <w:i/>
          <w:lang w:val="en-ZA"/>
        </w:rPr>
        <w:t xml:space="preserve"> v President of the Republic of Namibia</w:t>
      </w:r>
      <w:r w:rsidRPr="0069311C">
        <w:rPr>
          <w:rFonts w:ascii="Arial" w:hAnsi="Arial" w:cs="Arial"/>
          <w:lang w:val="en-ZA"/>
        </w:rPr>
        <w:t xml:space="preserve"> footnote </w:t>
      </w:r>
      <w:r w:rsidR="0069311C">
        <w:rPr>
          <w:rFonts w:ascii="Arial" w:hAnsi="Arial" w:cs="Arial"/>
          <w:lang w:val="en-ZA"/>
        </w:rPr>
        <w:t>7</w:t>
      </w:r>
      <w:r w:rsidRPr="0069311C">
        <w:rPr>
          <w:rFonts w:ascii="Arial" w:hAnsi="Arial" w:cs="Arial"/>
          <w:lang w:val="en-ZA"/>
        </w:rPr>
        <w:t xml:space="preserve"> </w:t>
      </w:r>
      <w:proofErr w:type="spellStart"/>
      <w:r w:rsidRPr="0069311C">
        <w:rPr>
          <w:rFonts w:ascii="Arial" w:hAnsi="Arial" w:cs="Arial"/>
          <w:lang w:val="en-ZA"/>
        </w:rPr>
        <w:t>loc</w:t>
      </w:r>
      <w:proofErr w:type="spellEnd"/>
      <w:r w:rsidRPr="0069311C">
        <w:rPr>
          <w:rFonts w:ascii="Arial" w:hAnsi="Arial" w:cs="Arial"/>
          <w:lang w:val="en-ZA"/>
        </w:rPr>
        <w:t xml:space="preserve"> cit.</w:t>
      </w:r>
    </w:p>
  </w:footnote>
  <w:footnote w:id="13">
    <w:p w14:paraId="5AFEF98D" w14:textId="01648B76" w:rsidR="00DD614B" w:rsidRPr="0069311C" w:rsidRDefault="00DD614B" w:rsidP="0069311C">
      <w:pPr>
        <w:pStyle w:val="FootnoteText"/>
        <w:jc w:val="both"/>
        <w:rPr>
          <w:rFonts w:ascii="Arial" w:hAnsi="Arial" w:cs="Arial"/>
          <w:lang w:val="en-ZA"/>
        </w:rPr>
      </w:pPr>
      <w:r w:rsidRPr="0069311C">
        <w:rPr>
          <w:rStyle w:val="FootnoteReference"/>
          <w:rFonts w:ascii="Arial" w:hAnsi="Arial" w:cs="Arial"/>
        </w:rPr>
        <w:footnoteRef/>
      </w:r>
      <w:r w:rsidRPr="0069311C">
        <w:rPr>
          <w:rFonts w:ascii="Arial" w:hAnsi="Arial" w:cs="Arial"/>
        </w:rPr>
        <w:t xml:space="preserve"> </w:t>
      </w:r>
      <w:proofErr w:type="spellStart"/>
      <w:r w:rsidRPr="00394797">
        <w:rPr>
          <w:rFonts w:ascii="Arial" w:hAnsi="Arial" w:cs="Arial"/>
          <w:i/>
          <w:lang w:val="en-ZA"/>
        </w:rPr>
        <w:t>Stier</w:t>
      </w:r>
      <w:proofErr w:type="spellEnd"/>
      <w:r w:rsidRPr="00394797">
        <w:rPr>
          <w:rFonts w:ascii="Arial" w:hAnsi="Arial" w:cs="Arial"/>
          <w:i/>
          <w:lang w:val="en-ZA"/>
        </w:rPr>
        <w:t xml:space="preserve"> and Another v Henke</w:t>
      </w:r>
      <w:r w:rsidRPr="0069311C">
        <w:rPr>
          <w:rFonts w:ascii="Arial" w:hAnsi="Arial" w:cs="Arial"/>
          <w:lang w:val="en-ZA"/>
        </w:rPr>
        <w:t xml:space="preserve"> footnote 1.</w:t>
      </w:r>
    </w:p>
  </w:footnote>
  <w:footnote w:id="14">
    <w:p w14:paraId="5D10BBB3" w14:textId="3EEEC705" w:rsidR="00DD614B" w:rsidRPr="0069311C" w:rsidRDefault="00DD614B" w:rsidP="0069311C">
      <w:pPr>
        <w:pStyle w:val="FootnoteText"/>
        <w:jc w:val="both"/>
        <w:rPr>
          <w:rFonts w:ascii="Arial" w:hAnsi="Arial" w:cs="Arial"/>
          <w:lang w:val="en-ZA"/>
        </w:rPr>
      </w:pPr>
      <w:r w:rsidRPr="0069311C">
        <w:rPr>
          <w:rStyle w:val="FootnoteReference"/>
          <w:rFonts w:ascii="Arial" w:hAnsi="Arial" w:cs="Arial"/>
        </w:rPr>
        <w:footnoteRef/>
      </w:r>
      <w:r w:rsidRPr="0069311C">
        <w:rPr>
          <w:rFonts w:ascii="Arial" w:hAnsi="Arial" w:cs="Arial"/>
        </w:rPr>
        <w:t xml:space="preserve"> </w:t>
      </w:r>
      <w:r w:rsidRPr="00394797">
        <w:rPr>
          <w:rFonts w:ascii="Arial" w:hAnsi="Arial" w:cs="Arial"/>
          <w:i/>
          <w:lang w:val="en-ZA"/>
        </w:rPr>
        <w:t xml:space="preserve">Erasmus v Gary Erhard </w:t>
      </w:r>
      <w:proofErr w:type="spellStart"/>
      <w:r w:rsidRPr="00394797">
        <w:rPr>
          <w:rFonts w:ascii="Arial" w:hAnsi="Arial" w:cs="Arial"/>
          <w:i/>
          <w:lang w:val="en-ZA"/>
        </w:rPr>
        <w:t>Wiechmann</w:t>
      </w:r>
      <w:proofErr w:type="spellEnd"/>
      <w:r w:rsidRPr="00394797">
        <w:rPr>
          <w:rFonts w:ascii="Arial" w:hAnsi="Arial" w:cs="Arial"/>
          <w:i/>
          <w:lang w:val="en-ZA"/>
        </w:rPr>
        <w:t xml:space="preserve"> and Fuel Injection Repairs &amp; Spares</w:t>
      </w:r>
      <w:r w:rsidRPr="0069311C">
        <w:rPr>
          <w:rFonts w:ascii="Arial" w:hAnsi="Arial" w:cs="Arial"/>
          <w:lang w:val="en-ZA"/>
        </w:rPr>
        <w:t xml:space="preserve"> [20</w:t>
      </w:r>
      <w:r w:rsidR="00394797">
        <w:rPr>
          <w:rFonts w:ascii="Arial" w:hAnsi="Arial" w:cs="Arial"/>
          <w:lang w:val="en-ZA"/>
        </w:rPr>
        <w:t>1</w:t>
      </w:r>
      <w:r w:rsidRPr="0069311C">
        <w:rPr>
          <w:rFonts w:ascii="Arial" w:hAnsi="Arial" w:cs="Arial"/>
          <w:lang w:val="en-ZA"/>
        </w:rPr>
        <w:t>3] NAHCMD 214 (24 July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sdtContent>
      <w:p w14:paraId="34337E68" w14:textId="77777777" w:rsidR="00157447" w:rsidRPr="004A5618" w:rsidRDefault="00157447">
        <w:pPr>
          <w:pStyle w:val="Header"/>
          <w:jc w:val="right"/>
        </w:pPr>
        <w:r w:rsidRPr="004A5618">
          <w:rPr>
            <w:rFonts w:ascii="Arial" w:hAnsi="Arial" w:cs="Arial"/>
            <w:sz w:val="24"/>
            <w:szCs w:val="24"/>
          </w:rPr>
          <w:fldChar w:fldCharType="begin"/>
        </w:r>
        <w:r w:rsidRPr="004A5618">
          <w:rPr>
            <w:rFonts w:ascii="Arial" w:hAnsi="Arial" w:cs="Arial"/>
            <w:sz w:val="24"/>
            <w:szCs w:val="24"/>
          </w:rPr>
          <w:instrText xml:space="preserve"> PAGE   \* MERGEFORMAT </w:instrText>
        </w:r>
        <w:r w:rsidRPr="004A5618">
          <w:rPr>
            <w:rFonts w:ascii="Arial" w:hAnsi="Arial" w:cs="Arial"/>
            <w:sz w:val="24"/>
            <w:szCs w:val="24"/>
          </w:rPr>
          <w:fldChar w:fldCharType="separate"/>
        </w:r>
        <w:r w:rsidR="00ED5E52">
          <w:rPr>
            <w:rFonts w:ascii="Arial" w:hAnsi="Arial" w:cs="Arial"/>
            <w:noProof/>
            <w:sz w:val="24"/>
            <w:szCs w:val="24"/>
          </w:rPr>
          <w:t>2</w:t>
        </w:r>
        <w:r w:rsidRPr="004A5618">
          <w:rPr>
            <w:rFonts w:ascii="Arial" w:hAnsi="Arial" w:cs="Arial"/>
            <w:sz w:val="24"/>
            <w:szCs w:val="24"/>
          </w:rPr>
          <w:fldChar w:fldCharType="end"/>
        </w:r>
      </w:p>
    </w:sdtContent>
  </w:sdt>
  <w:p w14:paraId="36851913" w14:textId="77777777" w:rsidR="00157447" w:rsidRPr="004A5618"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0646573E"/>
    <w:multiLevelType w:val="hybridMultilevel"/>
    <w:tmpl w:val="99A4C3D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2D2169"/>
    <w:multiLevelType w:val="hybridMultilevel"/>
    <w:tmpl w:val="92DEF4C6"/>
    <w:lvl w:ilvl="0" w:tplc="B24A722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5" w15:restartNumberingAfterBreak="0">
    <w:nsid w:val="14AD5361"/>
    <w:multiLevelType w:val="hybridMultilevel"/>
    <w:tmpl w:val="D944A550"/>
    <w:lvl w:ilvl="0" w:tplc="63FAEF5A">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6" w15:restartNumberingAfterBreak="0">
    <w:nsid w:val="19034F07"/>
    <w:multiLevelType w:val="hybridMultilevel"/>
    <w:tmpl w:val="4318823E"/>
    <w:lvl w:ilvl="0" w:tplc="492A46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BCA31AD"/>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2D02432"/>
    <w:multiLevelType w:val="hybridMultilevel"/>
    <w:tmpl w:val="823802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947409"/>
    <w:multiLevelType w:val="hybridMultilevel"/>
    <w:tmpl w:val="9E5827D0"/>
    <w:lvl w:ilvl="0" w:tplc="075CC504">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0"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3" w15:restartNumberingAfterBreak="0">
    <w:nsid w:val="51271D44"/>
    <w:multiLevelType w:val="hybridMultilevel"/>
    <w:tmpl w:val="C9820F42"/>
    <w:lvl w:ilvl="0" w:tplc="C92658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13C34B2"/>
    <w:multiLevelType w:val="hybridMultilevel"/>
    <w:tmpl w:val="EFF8908E"/>
    <w:lvl w:ilvl="0" w:tplc="9382741C">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5" w15:restartNumberingAfterBreak="0">
    <w:nsid w:val="534255FC"/>
    <w:multiLevelType w:val="hybridMultilevel"/>
    <w:tmpl w:val="9F12DE0E"/>
    <w:lvl w:ilvl="0" w:tplc="5A2A978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6" w15:restartNumberingAfterBreak="0">
    <w:nsid w:val="57046B77"/>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A7B9E"/>
    <w:multiLevelType w:val="hybridMultilevel"/>
    <w:tmpl w:val="AB206022"/>
    <w:lvl w:ilvl="0" w:tplc="757467A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60B056F"/>
    <w:multiLevelType w:val="hybridMultilevel"/>
    <w:tmpl w:val="6A0005DE"/>
    <w:lvl w:ilvl="0" w:tplc="EB5019F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0024C75"/>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A1302A3"/>
    <w:multiLevelType w:val="hybridMultilevel"/>
    <w:tmpl w:val="6EB2FC96"/>
    <w:lvl w:ilvl="0" w:tplc="A394D874">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22" w15:restartNumberingAfterBreak="0">
    <w:nsid w:val="7D0E6647"/>
    <w:multiLevelType w:val="hybridMultilevel"/>
    <w:tmpl w:val="401CDFC6"/>
    <w:lvl w:ilvl="0" w:tplc="5CF6D17C">
      <w:start w:val="1"/>
      <w:numFmt w:val="lowerLetter"/>
      <w:lvlText w:val="(%1)"/>
      <w:lvlJc w:val="left"/>
      <w:pPr>
        <w:ind w:left="720" w:hanging="360"/>
      </w:pPr>
      <w:rPr>
        <w:rFonts w:ascii="Arial" w:eastAsia="Times New Roman" w:hAnsi="Arial" w:cs="Arial"/>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4" w15:restartNumberingAfterBreak="0">
    <w:nsid w:val="7DB30925"/>
    <w:multiLevelType w:val="hybridMultilevel"/>
    <w:tmpl w:val="4B80FB1A"/>
    <w:lvl w:ilvl="0" w:tplc="D0E688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
  </w:num>
  <w:num w:numId="6">
    <w:abstractNumId w:val="11"/>
  </w:num>
  <w:num w:numId="7">
    <w:abstractNumId w:val="10"/>
  </w:num>
  <w:num w:numId="8">
    <w:abstractNumId w:val="23"/>
  </w:num>
  <w:num w:numId="9">
    <w:abstractNumId w:val="7"/>
  </w:num>
  <w:num w:numId="10">
    <w:abstractNumId w:val="4"/>
  </w:num>
  <w:num w:numId="11">
    <w:abstractNumId w:val="1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9"/>
  </w:num>
  <w:num w:numId="16">
    <w:abstractNumId w:val="21"/>
  </w:num>
  <w:num w:numId="17">
    <w:abstractNumId w:val="5"/>
  </w:num>
  <w:num w:numId="18">
    <w:abstractNumId w:val="20"/>
  </w:num>
  <w:num w:numId="19">
    <w:abstractNumId w:val="24"/>
  </w:num>
  <w:num w:numId="20">
    <w:abstractNumId w:val="14"/>
  </w:num>
  <w:num w:numId="21">
    <w:abstractNumId w:val="13"/>
  </w:num>
  <w:num w:numId="22">
    <w:abstractNumId w:val="15"/>
  </w:num>
  <w:num w:numId="23">
    <w:abstractNumId w:val="3"/>
  </w:num>
  <w:num w:numId="24">
    <w:abstractNumId w:val="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02760"/>
    <w:rsid w:val="00007F1F"/>
    <w:rsid w:val="000142CE"/>
    <w:rsid w:val="00015808"/>
    <w:rsid w:val="000200BD"/>
    <w:rsid w:val="00022A4B"/>
    <w:rsid w:val="00030A66"/>
    <w:rsid w:val="00031642"/>
    <w:rsid w:val="00042EFE"/>
    <w:rsid w:val="00043914"/>
    <w:rsid w:val="00047BBE"/>
    <w:rsid w:val="0005029C"/>
    <w:rsid w:val="00052806"/>
    <w:rsid w:val="00053646"/>
    <w:rsid w:val="0006006E"/>
    <w:rsid w:val="000650A0"/>
    <w:rsid w:val="00070995"/>
    <w:rsid w:val="00071E6A"/>
    <w:rsid w:val="00076184"/>
    <w:rsid w:val="00083F88"/>
    <w:rsid w:val="0009263E"/>
    <w:rsid w:val="000929C5"/>
    <w:rsid w:val="000A6E7F"/>
    <w:rsid w:val="000B297E"/>
    <w:rsid w:val="000B6579"/>
    <w:rsid w:val="000D1E23"/>
    <w:rsid w:val="000E7C99"/>
    <w:rsid w:val="000F2FD9"/>
    <w:rsid w:val="000F39A3"/>
    <w:rsid w:val="000F681E"/>
    <w:rsid w:val="00100870"/>
    <w:rsid w:val="001011B6"/>
    <w:rsid w:val="001032AE"/>
    <w:rsid w:val="00106AE7"/>
    <w:rsid w:val="00111C0D"/>
    <w:rsid w:val="00116AFB"/>
    <w:rsid w:val="00117280"/>
    <w:rsid w:val="001223B7"/>
    <w:rsid w:val="00124C63"/>
    <w:rsid w:val="00125676"/>
    <w:rsid w:val="00130339"/>
    <w:rsid w:val="0013117E"/>
    <w:rsid w:val="00134E9F"/>
    <w:rsid w:val="00136505"/>
    <w:rsid w:val="00144967"/>
    <w:rsid w:val="001470CE"/>
    <w:rsid w:val="00150B08"/>
    <w:rsid w:val="00152FEA"/>
    <w:rsid w:val="00153ED0"/>
    <w:rsid w:val="00157447"/>
    <w:rsid w:val="00163FB4"/>
    <w:rsid w:val="001721EB"/>
    <w:rsid w:val="0017433C"/>
    <w:rsid w:val="001822C1"/>
    <w:rsid w:val="0018718C"/>
    <w:rsid w:val="001A13C3"/>
    <w:rsid w:val="001A2A21"/>
    <w:rsid w:val="001B2CA3"/>
    <w:rsid w:val="001B3825"/>
    <w:rsid w:val="001C1570"/>
    <w:rsid w:val="001C33C5"/>
    <w:rsid w:val="001D619B"/>
    <w:rsid w:val="001E097B"/>
    <w:rsid w:val="001E113F"/>
    <w:rsid w:val="001E192B"/>
    <w:rsid w:val="001E2A2D"/>
    <w:rsid w:val="001E47FA"/>
    <w:rsid w:val="002000BA"/>
    <w:rsid w:val="00204A1F"/>
    <w:rsid w:val="00210CE5"/>
    <w:rsid w:val="00217744"/>
    <w:rsid w:val="00222067"/>
    <w:rsid w:val="00224808"/>
    <w:rsid w:val="00225792"/>
    <w:rsid w:val="002317B0"/>
    <w:rsid w:val="0023549A"/>
    <w:rsid w:val="00241D98"/>
    <w:rsid w:val="00244BAC"/>
    <w:rsid w:val="00244C17"/>
    <w:rsid w:val="00244F7C"/>
    <w:rsid w:val="00247485"/>
    <w:rsid w:val="0025219B"/>
    <w:rsid w:val="002536EA"/>
    <w:rsid w:val="00276736"/>
    <w:rsid w:val="0028119C"/>
    <w:rsid w:val="002850A3"/>
    <w:rsid w:val="002863C2"/>
    <w:rsid w:val="00287097"/>
    <w:rsid w:val="002873A9"/>
    <w:rsid w:val="002974FD"/>
    <w:rsid w:val="002A3C64"/>
    <w:rsid w:val="002A4AA3"/>
    <w:rsid w:val="002B38E0"/>
    <w:rsid w:val="002B44E0"/>
    <w:rsid w:val="002C1EF6"/>
    <w:rsid w:val="002C7DA2"/>
    <w:rsid w:val="002D20C5"/>
    <w:rsid w:val="002D407B"/>
    <w:rsid w:val="002D633E"/>
    <w:rsid w:val="002E738E"/>
    <w:rsid w:val="002E769F"/>
    <w:rsid w:val="002F06E3"/>
    <w:rsid w:val="00301CC7"/>
    <w:rsid w:val="00302F62"/>
    <w:rsid w:val="0030757C"/>
    <w:rsid w:val="00311DE0"/>
    <w:rsid w:val="0031523D"/>
    <w:rsid w:val="00315F4E"/>
    <w:rsid w:val="003206F3"/>
    <w:rsid w:val="00322F39"/>
    <w:rsid w:val="00323AAF"/>
    <w:rsid w:val="00323E22"/>
    <w:rsid w:val="00337423"/>
    <w:rsid w:val="00340EA6"/>
    <w:rsid w:val="003414A7"/>
    <w:rsid w:val="00344B76"/>
    <w:rsid w:val="0036327E"/>
    <w:rsid w:val="00371A8B"/>
    <w:rsid w:val="00371B8F"/>
    <w:rsid w:val="003759B3"/>
    <w:rsid w:val="0038382D"/>
    <w:rsid w:val="00384F39"/>
    <w:rsid w:val="00394797"/>
    <w:rsid w:val="003A1463"/>
    <w:rsid w:val="003A18AD"/>
    <w:rsid w:val="003A3390"/>
    <w:rsid w:val="003A43B2"/>
    <w:rsid w:val="003B03B0"/>
    <w:rsid w:val="003C0EA4"/>
    <w:rsid w:val="003C2574"/>
    <w:rsid w:val="003D165C"/>
    <w:rsid w:val="003D3059"/>
    <w:rsid w:val="003D442D"/>
    <w:rsid w:val="003E6398"/>
    <w:rsid w:val="003E6669"/>
    <w:rsid w:val="00404B70"/>
    <w:rsid w:val="00412278"/>
    <w:rsid w:val="00414B69"/>
    <w:rsid w:val="00415F4F"/>
    <w:rsid w:val="00426C60"/>
    <w:rsid w:val="00431A65"/>
    <w:rsid w:val="004352E5"/>
    <w:rsid w:val="004358E2"/>
    <w:rsid w:val="00436B1E"/>
    <w:rsid w:val="00436C2B"/>
    <w:rsid w:val="00437666"/>
    <w:rsid w:val="004416D0"/>
    <w:rsid w:val="00443B14"/>
    <w:rsid w:val="00450650"/>
    <w:rsid w:val="00461F35"/>
    <w:rsid w:val="00463486"/>
    <w:rsid w:val="004665B1"/>
    <w:rsid w:val="00466B36"/>
    <w:rsid w:val="00472769"/>
    <w:rsid w:val="00474C2A"/>
    <w:rsid w:val="00475B7A"/>
    <w:rsid w:val="00475D2C"/>
    <w:rsid w:val="0048485D"/>
    <w:rsid w:val="00490505"/>
    <w:rsid w:val="004907E4"/>
    <w:rsid w:val="004936A7"/>
    <w:rsid w:val="004A2855"/>
    <w:rsid w:val="004A2D48"/>
    <w:rsid w:val="004A325C"/>
    <w:rsid w:val="004A5618"/>
    <w:rsid w:val="004B337B"/>
    <w:rsid w:val="004B6FA1"/>
    <w:rsid w:val="004C5788"/>
    <w:rsid w:val="004C646F"/>
    <w:rsid w:val="004D4C39"/>
    <w:rsid w:val="004D7D3B"/>
    <w:rsid w:val="004E02A0"/>
    <w:rsid w:val="004E3BFB"/>
    <w:rsid w:val="004E6D2F"/>
    <w:rsid w:val="004F5C19"/>
    <w:rsid w:val="004F738D"/>
    <w:rsid w:val="00503F36"/>
    <w:rsid w:val="005111BA"/>
    <w:rsid w:val="00512AB9"/>
    <w:rsid w:val="005145D9"/>
    <w:rsid w:val="00522621"/>
    <w:rsid w:val="005233E6"/>
    <w:rsid w:val="00523D75"/>
    <w:rsid w:val="005327E0"/>
    <w:rsid w:val="005334B7"/>
    <w:rsid w:val="00535F29"/>
    <w:rsid w:val="00536EFF"/>
    <w:rsid w:val="005629DA"/>
    <w:rsid w:val="0057484E"/>
    <w:rsid w:val="00580728"/>
    <w:rsid w:val="00586B27"/>
    <w:rsid w:val="00594F6C"/>
    <w:rsid w:val="005A0EBD"/>
    <w:rsid w:val="005A4D90"/>
    <w:rsid w:val="005B62A0"/>
    <w:rsid w:val="005B62C7"/>
    <w:rsid w:val="005B7449"/>
    <w:rsid w:val="005C0E24"/>
    <w:rsid w:val="005C21D7"/>
    <w:rsid w:val="005C3354"/>
    <w:rsid w:val="005C4157"/>
    <w:rsid w:val="005C715D"/>
    <w:rsid w:val="005C7D31"/>
    <w:rsid w:val="005D0D19"/>
    <w:rsid w:val="005D1FA8"/>
    <w:rsid w:val="005D6452"/>
    <w:rsid w:val="005E2DC4"/>
    <w:rsid w:val="005F325C"/>
    <w:rsid w:val="005F32EB"/>
    <w:rsid w:val="005F39EA"/>
    <w:rsid w:val="00602C25"/>
    <w:rsid w:val="00605348"/>
    <w:rsid w:val="00610BF1"/>
    <w:rsid w:val="006115E2"/>
    <w:rsid w:val="006144A8"/>
    <w:rsid w:val="0061537D"/>
    <w:rsid w:val="0062003A"/>
    <w:rsid w:val="00625A57"/>
    <w:rsid w:val="00663770"/>
    <w:rsid w:val="00663C80"/>
    <w:rsid w:val="00672C76"/>
    <w:rsid w:val="006734C7"/>
    <w:rsid w:val="0069311C"/>
    <w:rsid w:val="00695745"/>
    <w:rsid w:val="006976D9"/>
    <w:rsid w:val="006A0BA4"/>
    <w:rsid w:val="006A1E08"/>
    <w:rsid w:val="006B5854"/>
    <w:rsid w:val="006B7521"/>
    <w:rsid w:val="006C2FB6"/>
    <w:rsid w:val="006D0991"/>
    <w:rsid w:val="006D0E84"/>
    <w:rsid w:val="006D3438"/>
    <w:rsid w:val="006D6828"/>
    <w:rsid w:val="006D69E7"/>
    <w:rsid w:val="006D7450"/>
    <w:rsid w:val="006E014E"/>
    <w:rsid w:val="006E0FD4"/>
    <w:rsid w:val="006E13E5"/>
    <w:rsid w:val="006F07B3"/>
    <w:rsid w:val="006F1CCC"/>
    <w:rsid w:val="006F6DE3"/>
    <w:rsid w:val="007008BE"/>
    <w:rsid w:val="00700B1F"/>
    <w:rsid w:val="00702C62"/>
    <w:rsid w:val="00703171"/>
    <w:rsid w:val="00703917"/>
    <w:rsid w:val="00706F94"/>
    <w:rsid w:val="00734802"/>
    <w:rsid w:val="00735C39"/>
    <w:rsid w:val="00736DA4"/>
    <w:rsid w:val="007448FE"/>
    <w:rsid w:val="00746C0C"/>
    <w:rsid w:val="0075019C"/>
    <w:rsid w:val="00750F55"/>
    <w:rsid w:val="00752FAA"/>
    <w:rsid w:val="007600DB"/>
    <w:rsid w:val="00765AE4"/>
    <w:rsid w:val="00766C68"/>
    <w:rsid w:val="00772D17"/>
    <w:rsid w:val="00776163"/>
    <w:rsid w:val="0078274D"/>
    <w:rsid w:val="007853D8"/>
    <w:rsid w:val="00787EE4"/>
    <w:rsid w:val="0079505A"/>
    <w:rsid w:val="007950C8"/>
    <w:rsid w:val="007979CA"/>
    <w:rsid w:val="007B131C"/>
    <w:rsid w:val="007B2BC4"/>
    <w:rsid w:val="007C2B88"/>
    <w:rsid w:val="007D0792"/>
    <w:rsid w:val="007D6C74"/>
    <w:rsid w:val="007E19C1"/>
    <w:rsid w:val="007E43B6"/>
    <w:rsid w:val="007E594A"/>
    <w:rsid w:val="007F4E11"/>
    <w:rsid w:val="007F564C"/>
    <w:rsid w:val="007F68C4"/>
    <w:rsid w:val="008006A3"/>
    <w:rsid w:val="00802096"/>
    <w:rsid w:val="0080318F"/>
    <w:rsid w:val="00812409"/>
    <w:rsid w:val="00812E19"/>
    <w:rsid w:val="00816D5D"/>
    <w:rsid w:val="00821A0C"/>
    <w:rsid w:val="00822BEF"/>
    <w:rsid w:val="00824F3D"/>
    <w:rsid w:val="008275AC"/>
    <w:rsid w:val="00827F39"/>
    <w:rsid w:val="00835300"/>
    <w:rsid w:val="00840C06"/>
    <w:rsid w:val="00843040"/>
    <w:rsid w:val="00847C4B"/>
    <w:rsid w:val="00853833"/>
    <w:rsid w:val="008653EA"/>
    <w:rsid w:val="00865F37"/>
    <w:rsid w:val="0087368D"/>
    <w:rsid w:val="00882F73"/>
    <w:rsid w:val="00883D7C"/>
    <w:rsid w:val="00886625"/>
    <w:rsid w:val="00890A20"/>
    <w:rsid w:val="00892219"/>
    <w:rsid w:val="00892D9A"/>
    <w:rsid w:val="008A1447"/>
    <w:rsid w:val="008A5AC1"/>
    <w:rsid w:val="008B5D68"/>
    <w:rsid w:val="008B6223"/>
    <w:rsid w:val="008C2200"/>
    <w:rsid w:val="008C39E9"/>
    <w:rsid w:val="008D54B2"/>
    <w:rsid w:val="008E0730"/>
    <w:rsid w:val="008E5E3D"/>
    <w:rsid w:val="008E74B0"/>
    <w:rsid w:val="008F59A0"/>
    <w:rsid w:val="00903F86"/>
    <w:rsid w:val="0090480D"/>
    <w:rsid w:val="00906AF6"/>
    <w:rsid w:val="009119B5"/>
    <w:rsid w:val="00912F74"/>
    <w:rsid w:val="00923430"/>
    <w:rsid w:val="009279BE"/>
    <w:rsid w:val="009327F0"/>
    <w:rsid w:val="00937C89"/>
    <w:rsid w:val="0094041F"/>
    <w:rsid w:val="00940E2D"/>
    <w:rsid w:val="00944CCD"/>
    <w:rsid w:val="0094588F"/>
    <w:rsid w:val="00946D90"/>
    <w:rsid w:val="0095505F"/>
    <w:rsid w:val="0096420A"/>
    <w:rsid w:val="0096585C"/>
    <w:rsid w:val="009661E4"/>
    <w:rsid w:val="009733A9"/>
    <w:rsid w:val="009856AB"/>
    <w:rsid w:val="009919F6"/>
    <w:rsid w:val="00992A2F"/>
    <w:rsid w:val="00996760"/>
    <w:rsid w:val="00997C11"/>
    <w:rsid w:val="009A5AD1"/>
    <w:rsid w:val="009A7A59"/>
    <w:rsid w:val="009A7F13"/>
    <w:rsid w:val="009B41E2"/>
    <w:rsid w:val="009B4A62"/>
    <w:rsid w:val="009B600F"/>
    <w:rsid w:val="009C3275"/>
    <w:rsid w:val="009C35C9"/>
    <w:rsid w:val="009C62AE"/>
    <w:rsid w:val="009C6F3F"/>
    <w:rsid w:val="009D24DC"/>
    <w:rsid w:val="009D27E8"/>
    <w:rsid w:val="009E730A"/>
    <w:rsid w:val="009F1FA2"/>
    <w:rsid w:val="009F2ADD"/>
    <w:rsid w:val="00A05FE8"/>
    <w:rsid w:val="00A10E40"/>
    <w:rsid w:val="00A13C7B"/>
    <w:rsid w:val="00A15CD1"/>
    <w:rsid w:val="00A22E0F"/>
    <w:rsid w:val="00A2391E"/>
    <w:rsid w:val="00A26B7B"/>
    <w:rsid w:val="00A31424"/>
    <w:rsid w:val="00A3327E"/>
    <w:rsid w:val="00A42469"/>
    <w:rsid w:val="00A45560"/>
    <w:rsid w:val="00A50F13"/>
    <w:rsid w:val="00A52F09"/>
    <w:rsid w:val="00A60965"/>
    <w:rsid w:val="00A66511"/>
    <w:rsid w:val="00A75ED6"/>
    <w:rsid w:val="00A80BFC"/>
    <w:rsid w:val="00A85792"/>
    <w:rsid w:val="00A90F3E"/>
    <w:rsid w:val="00A91240"/>
    <w:rsid w:val="00A9498C"/>
    <w:rsid w:val="00AA2EFA"/>
    <w:rsid w:val="00AA3ECB"/>
    <w:rsid w:val="00AC4E79"/>
    <w:rsid w:val="00AD72DD"/>
    <w:rsid w:val="00AE0185"/>
    <w:rsid w:val="00AE08F0"/>
    <w:rsid w:val="00AE16BF"/>
    <w:rsid w:val="00AE2293"/>
    <w:rsid w:val="00AF4EDE"/>
    <w:rsid w:val="00B01B6C"/>
    <w:rsid w:val="00B050E7"/>
    <w:rsid w:val="00B119D6"/>
    <w:rsid w:val="00B121EA"/>
    <w:rsid w:val="00B30526"/>
    <w:rsid w:val="00B32493"/>
    <w:rsid w:val="00B40844"/>
    <w:rsid w:val="00B40E58"/>
    <w:rsid w:val="00B421C1"/>
    <w:rsid w:val="00B42F3B"/>
    <w:rsid w:val="00B45E7F"/>
    <w:rsid w:val="00B45F83"/>
    <w:rsid w:val="00B47800"/>
    <w:rsid w:val="00B50C99"/>
    <w:rsid w:val="00B56E34"/>
    <w:rsid w:val="00B5737E"/>
    <w:rsid w:val="00B573A6"/>
    <w:rsid w:val="00B60287"/>
    <w:rsid w:val="00B61AC7"/>
    <w:rsid w:val="00B62F2B"/>
    <w:rsid w:val="00B72DF0"/>
    <w:rsid w:val="00B772F4"/>
    <w:rsid w:val="00B77777"/>
    <w:rsid w:val="00B808CB"/>
    <w:rsid w:val="00B845CF"/>
    <w:rsid w:val="00B912B2"/>
    <w:rsid w:val="00B92DE7"/>
    <w:rsid w:val="00B93677"/>
    <w:rsid w:val="00B9407E"/>
    <w:rsid w:val="00B94288"/>
    <w:rsid w:val="00BA2C89"/>
    <w:rsid w:val="00BA4C8B"/>
    <w:rsid w:val="00BB13F4"/>
    <w:rsid w:val="00BB3273"/>
    <w:rsid w:val="00BB3C0C"/>
    <w:rsid w:val="00BC055D"/>
    <w:rsid w:val="00BC2C75"/>
    <w:rsid w:val="00BC5931"/>
    <w:rsid w:val="00BD61A4"/>
    <w:rsid w:val="00BD7103"/>
    <w:rsid w:val="00BE31AD"/>
    <w:rsid w:val="00BE3978"/>
    <w:rsid w:val="00BE4F57"/>
    <w:rsid w:val="00BF44EC"/>
    <w:rsid w:val="00C04F28"/>
    <w:rsid w:val="00C06EB4"/>
    <w:rsid w:val="00C14AB5"/>
    <w:rsid w:val="00C2633E"/>
    <w:rsid w:val="00C3225B"/>
    <w:rsid w:val="00C360E9"/>
    <w:rsid w:val="00C47E3A"/>
    <w:rsid w:val="00C5200F"/>
    <w:rsid w:val="00C617C6"/>
    <w:rsid w:val="00C72463"/>
    <w:rsid w:val="00C73D5D"/>
    <w:rsid w:val="00C7517F"/>
    <w:rsid w:val="00CA7995"/>
    <w:rsid w:val="00CB1183"/>
    <w:rsid w:val="00CB5862"/>
    <w:rsid w:val="00CC128D"/>
    <w:rsid w:val="00CC7431"/>
    <w:rsid w:val="00CD5AE8"/>
    <w:rsid w:val="00CD62C0"/>
    <w:rsid w:val="00CE4631"/>
    <w:rsid w:val="00D03B96"/>
    <w:rsid w:val="00D04B6F"/>
    <w:rsid w:val="00D113DD"/>
    <w:rsid w:val="00D1307C"/>
    <w:rsid w:val="00D24453"/>
    <w:rsid w:val="00D25285"/>
    <w:rsid w:val="00D30D4D"/>
    <w:rsid w:val="00D32F8E"/>
    <w:rsid w:val="00D37DAA"/>
    <w:rsid w:val="00D5070E"/>
    <w:rsid w:val="00D547B6"/>
    <w:rsid w:val="00D61648"/>
    <w:rsid w:val="00D6224D"/>
    <w:rsid w:val="00D6655A"/>
    <w:rsid w:val="00D74C69"/>
    <w:rsid w:val="00D752D7"/>
    <w:rsid w:val="00D80947"/>
    <w:rsid w:val="00D86F11"/>
    <w:rsid w:val="00D87914"/>
    <w:rsid w:val="00D9282E"/>
    <w:rsid w:val="00D960EA"/>
    <w:rsid w:val="00D965B8"/>
    <w:rsid w:val="00DA1708"/>
    <w:rsid w:val="00DA2283"/>
    <w:rsid w:val="00DA5689"/>
    <w:rsid w:val="00DA58B4"/>
    <w:rsid w:val="00DA6C57"/>
    <w:rsid w:val="00DB5AA2"/>
    <w:rsid w:val="00DC5666"/>
    <w:rsid w:val="00DC6B2A"/>
    <w:rsid w:val="00DD614B"/>
    <w:rsid w:val="00DD76E7"/>
    <w:rsid w:val="00DE1990"/>
    <w:rsid w:val="00DE220E"/>
    <w:rsid w:val="00DF0F46"/>
    <w:rsid w:val="00DF5C98"/>
    <w:rsid w:val="00E0573A"/>
    <w:rsid w:val="00E07A3E"/>
    <w:rsid w:val="00E20030"/>
    <w:rsid w:val="00E2006F"/>
    <w:rsid w:val="00E221FD"/>
    <w:rsid w:val="00E2743C"/>
    <w:rsid w:val="00E41369"/>
    <w:rsid w:val="00E41BE5"/>
    <w:rsid w:val="00E4469F"/>
    <w:rsid w:val="00E452F4"/>
    <w:rsid w:val="00E533BE"/>
    <w:rsid w:val="00E5361F"/>
    <w:rsid w:val="00E53C47"/>
    <w:rsid w:val="00E55FBE"/>
    <w:rsid w:val="00E60E31"/>
    <w:rsid w:val="00E62DB3"/>
    <w:rsid w:val="00E67680"/>
    <w:rsid w:val="00E73C41"/>
    <w:rsid w:val="00E778B9"/>
    <w:rsid w:val="00E911FB"/>
    <w:rsid w:val="00E96F9E"/>
    <w:rsid w:val="00E97512"/>
    <w:rsid w:val="00E97B9E"/>
    <w:rsid w:val="00EA2DE2"/>
    <w:rsid w:val="00EB1AE0"/>
    <w:rsid w:val="00EC1776"/>
    <w:rsid w:val="00EC7E83"/>
    <w:rsid w:val="00ED27EE"/>
    <w:rsid w:val="00ED2C7B"/>
    <w:rsid w:val="00ED5B76"/>
    <w:rsid w:val="00ED5E52"/>
    <w:rsid w:val="00ED7008"/>
    <w:rsid w:val="00ED76B2"/>
    <w:rsid w:val="00EE122C"/>
    <w:rsid w:val="00EE4268"/>
    <w:rsid w:val="00EE5473"/>
    <w:rsid w:val="00EF184A"/>
    <w:rsid w:val="00EF249A"/>
    <w:rsid w:val="00EF2FFD"/>
    <w:rsid w:val="00F01B97"/>
    <w:rsid w:val="00F0235A"/>
    <w:rsid w:val="00F05B1C"/>
    <w:rsid w:val="00F05CAB"/>
    <w:rsid w:val="00F0783D"/>
    <w:rsid w:val="00F13D78"/>
    <w:rsid w:val="00F146F6"/>
    <w:rsid w:val="00F17E2E"/>
    <w:rsid w:val="00F21EDB"/>
    <w:rsid w:val="00F3779B"/>
    <w:rsid w:val="00F4176A"/>
    <w:rsid w:val="00F4726A"/>
    <w:rsid w:val="00F47A1E"/>
    <w:rsid w:val="00F57D85"/>
    <w:rsid w:val="00F62189"/>
    <w:rsid w:val="00F65529"/>
    <w:rsid w:val="00F65903"/>
    <w:rsid w:val="00F66F79"/>
    <w:rsid w:val="00F72231"/>
    <w:rsid w:val="00F7691A"/>
    <w:rsid w:val="00F82EDF"/>
    <w:rsid w:val="00F84868"/>
    <w:rsid w:val="00F92D04"/>
    <w:rsid w:val="00F9481A"/>
    <w:rsid w:val="00F9509A"/>
    <w:rsid w:val="00FA2F85"/>
    <w:rsid w:val="00FB27BC"/>
    <w:rsid w:val="00FB2E9E"/>
    <w:rsid w:val="00FB5F14"/>
    <w:rsid w:val="00FC2237"/>
    <w:rsid w:val="00FC6F2E"/>
    <w:rsid w:val="00FD68B7"/>
    <w:rsid w:val="00FE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5425"/>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 w:type="character" w:customStyle="1" w:styleId="ListParagraphChar">
    <w:name w:val="List Paragraph Char"/>
    <w:link w:val="ListParagraph"/>
    <w:uiPriority w:val="34"/>
    <w:locked/>
    <w:rsid w:val="00824F3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2023-10-31T18:30:00+00:00</Judgment_x0020_Date>
    <Year xmlns="c1afb1bd-f2fb-40fd-9abb-aea55b4d7662">2023</Year>
  </documentManagement>
</p:properties>
</file>

<file path=customXml/itemProps1.xml><?xml version="1.0" encoding="utf-8"?>
<ds:datastoreItem xmlns:ds="http://schemas.openxmlformats.org/officeDocument/2006/customXml" ds:itemID="{8F0EACD6-B354-45ED-AE0D-FDF7716B6715}"/>
</file>

<file path=customXml/itemProps2.xml><?xml version="1.0" encoding="utf-8"?>
<ds:datastoreItem xmlns:ds="http://schemas.openxmlformats.org/officeDocument/2006/customXml" ds:itemID="{B7A6D2B7-2AD8-4BA8-935B-F8C562177128}"/>
</file>

<file path=customXml/itemProps3.xml><?xml version="1.0" encoding="utf-8"?>
<ds:datastoreItem xmlns:ds="http://schemas.openxmlformats.org/officeDocument/2006/customXml" ds:itemID="{E876BB8B-9BFE-491D-BFE7-A8DBA0CACAA2}"/>
</file>

<file path=customXml/itemProps4.xml><?xml version="1.0" encoding="utf-8"?>
<ds:datastoreItem xmlns:ds="http://schemas.openxmlformats.org/officeDocument/2006/customXml" ds:itemID="{0BB46314-6E8D-41F9-8AC9-3962579BD7CA}"/>
</file>

<file path=docProps/app.xml><?xml version="1.0" encoding="utf-8"?>
<Properties xmlns="http://schemas.openxmlformats.org/officeDocument/2006/extended-properties" xmlns:vt="http://schemas.openxmlformats.org/officeDocument/2006/docPropsVTypes">
  <Template>Normal</Template>
  <TotalTime>529</TotalTime>
  <Pages>9</Pages>
  <Words>2463</Words>
  <Characters>14044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Arcetype Project Consultants CC v Pondola Women Trading CC (HC-MD-CIV-ACT-CON-2022-01972) [2023] NAHCMD 690 (1 Nov 2023)</dc:title>
  <dc:subject/>
  <dc:creator>shomany keister</dc:creator>
  <cp:keywords/>
  <dc:description/>
  <cp:lastModifiedBy>Lusia Simon</cp:lastModifiedBy>
  <cp:revision>65</cp:revision>
  <cp:lastPrinted>2023-10-03T13:12:00Z</cp:lastPrinted>
  <dcterms:created xsi:type="dcterms:W3CDTF">2023-10-23T14:20:00Z</dcterms:created>
  <dcterms:modified xsi:type="dcterms:W3CDTF">2023-11-01T14:05:00Z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