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10215541" w:rsidR="00B40844" w:rsidRPr="00D3397A" w:rsidRDefault="00D3397A" w:rsidP="00D3397A">
            <w:pPr>
              <w:jc w:val="both"/>
              <w:rPr>
                <w:rFonts w:ascii="Arial" w:hAnsi="Arial" w:cs="Arial"/>
                <w:sz w:val="24"/>
                <w:szCs w:val="24"/>
              </w:rPr>
            </w:pPr>
            <w:r w:rsidRPr="00D3397A">
              <w:rPr>
                <w:rFonts w:ascii="Arial" w:hAnsi="Arial" w:cs="Arial"/>
                <w:sz w:val="24"/>
                <w:szCs w:val="24"/>
              </w:rPr>
              <w:t>NEDBANK NAMIBIA LIMITED</w:t>
            </w:r>
            <w:r w:rsidR="00602C25" w:rsidRPr="00D3397A">
              <w:rPr>
                <w:rFonts w:ascii="Arial" w:hAnsi="Arial" w:cs="Arial"/>
                <w:sz w:val="24"/>
                <w:szCs w:val="24"/>
              </w:rPr>
              <w:t xml:space="preserve"> </w:t>
            </w:r>
            <w:r w:rsidR="00136505" w:rsidRPr="00D3397A">
              <w:rPr>
                <w:rFonts w:ascii="Arial" w:hAnsi="Arial" w:cs="Arial"/>
                <w:sz w:val="24"/>
                <w:szCs w:val="24"/>
                <w:shd w:val="clear" w:color="auto" w:fill="FFFFFF"/>
              </w:rPr>
              <w:t xml:space="preserve">// </w:t>
            </w:r>
            <w:r w:rsidRPr="00D3397A">
              <w:rPr>
                <w:rFonts w:ascii="Arial" w:hAnsi="Arial" w:cs="Arial"/>
                <w:sz w:val="24"/>
                <w:szCs w:val="24"/>
              </w:rPr>
              <w:t>ERF EIGHTY TWO ROSSMUND CC</w:t>
            </w:r>
            <w:r w:rsidR="00FE0A83" w:rsidRPr="00D3397A">
              <w:rPr>
                <w:rFonts w:ascii="Arial" w:hAnsi="Arial" w:cs="Arial"/>
                <w:sz w:val="24"/>
                <w:szCs w:val="24"/>
              </w:rPr>
              <w:t xml:space="preserve"> &amp; </w:t>
            </w:r>
            <w:r w:rsidR="00250ED7">
              <w:rPr>
                <w:rFonts w:ascii="Arial" w:hAnsi="Arial" w:cs="Arial"/>
                <w:sz w:val="24"/>
                <w:szCs w:val="24"/>
              </w:rPr>
              <w:t>AN</w:t>
            </w:r>
            <w:r w:rsidRPr="00D3397A">
              <w:rPr>
                <w:rFonts w:ascii="Arial" w:hAnsi="Arial" w:cs="Arial"/>
                <w:sz w:val="24"/>
                <w:szCs w:val="24"/>
              </w:rPr>
              <w:t>OTHER</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5CAA8C17" w:rsidR="00865F37" w:rsidRPr="00D3397A" w:rsidRDefault="00D3397A" w:rsidP="00937C89">
            <w:pPr>
              <w:spacing w:line="360" w:lineRule="auto"/>
              <w:jc w:val="both"/>
              <w:rPr>
                <w:rFonts w:ascii="Arial" w:hAnsi="Arial" w:cs="Arial"/>
                <w:sz w:val="24"/>
                <w:szCs w:val="24"/>
              </w:rPr>
            </w:pPr>
            <w:r w:rsidRPr="00D3397A">
              <w:rPr>
                <w:rFonts w:ascii="Arial" w:hAnsi="Arial" w:cs="Arial"/>
                <w:sz w:val="24"/>
                <w:szCs w:val="24"/>
              </w:rPr>
              <w:t>HC-MD-CIV-ACT-CON-2017/03250</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06D47F5A" w:rsidR="00B40844" w:rsidRPr="004A5618" w:rsidRDefault="00136505" w:rsidP="00136505">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00250ED7">
              <w:rPr>
                <w:rFonts w:ascii="Arial" w:hAnsi="Arial" w:cs="Arial"/>
                <w:sz w:val="24"/>
                <w:szCs w:val="24"/>
              </w:rPr>
              <w:t>AJ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3C634B7B" w:rsidR="00B40844" w:rsidRPr="004A5618" w:rsidRDefault="00D3397A" w:rsidP="00602C25">
            <w:pPr>
              <w:spacing w:line="360" w:lineRule="auto"/>
              <w:jc w:val="both"/>
              <w:rPr>
                <w:rFonts w:ascii="Arial" w:hAnsi="Arial" w:cs="Arial"/>
                <w:sz w:val="24"/>
                <w:szCs w:val="24"/>
              </w:rPr>
            </w:pPr>
            <w:r>
              <w:rPr>
                <w:rFonts w:ascii="Arial" w:hAnsi="Arial" w:cs="Arial"/>
                <w:sz w:val="24"/>
                <w:szCs w:val="24"/>
              </w:rPr>
              <w:t>6</w:t>
            </w:r>
            <w:r w:rsidR="00C2633E" w:rsidRPr="004A5618">
              <w:rPr>
                <w:rFonts w:ascii="Arial" w:hAnsi="Arial" w:cs="Arial"/>
                <w:sz w:val="24"/>
                <w:szCs w:val="24"/>
              </w:rPr>
              <w:t xml:space="preserve"> </w:t>
            </w:r>
            <w:r w:rsidR="00602C25">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5A162671" w:rsidR="00B40844" w:rsidRPr="004A5618" w:rsidRDefault="00B51737" w:rsidP="00B51737">
            <w:pPr>
              <w:spacing w:line="360" w:lineRule="auto"/>
              <w:jc w:val="both"/>
              <w:rPr>
                <w:rFonts w:ascii="Arial" w:hAnsi="Arial" w:cs="Arial"/>
                <w:b/>
                <w:sz w:val="24"/>
                <w:szCs w:val="24"/>
              </w:rPr>
            </w:pPr>
            <w:r>
              <w:rPr>
                <w:rFonts w:ascii="Arial" w:hAnsi="Arial" w:cs="Arial"/>
                <w:sz w:val="24"/>
                <w:szCs w:val="24"/>
              </w:rPr>
              <w:t>1</w:t>
            </w:r>
            <w:r w:rsidR="00136505" w:rsidRPr="004A5618">
              <w:rPr>
                <w:rFonts w:ascii="Arial" w:hAnsi="Arial" w:cs="Arial"/>
                <w:sz w:val="24"/>
                <w:szCs w:val="24"/>
              </w:rPr>
              <w:t xml:space="preserve"> </w:t>
            </w:r>
            <w:r>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6A4ECE8" w:rsidR="00B40844" w:rsidRPr="004A5618" w:rsidRDefault="00B40844" w:rsidP="00250ED7">
            <w:pPr>
              <w:spacing w:line="360" w:lineRule="auto"/>
              <w:ind w:left="2019" w:hanging="1986"/>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bookmarkStart w:id="0" w:name="_GoBack"/>
            <w:r w:rsidR="00D3397A">
              <w:rPr>
                <w:rFonts w:ascii="Arial" w:hAnsi="Arial" w:cs="Arial"/>
                <w:i/>
                <w:sz w:val="24"/>
                <w:szCs w:val="24"/>
              </w:rPr>
              <w:t>N</w:t>
            </w:r>
            <w:r w:rsidR="00D3397A" w:rsidRPr="00D3397A">
              <w:rPr>
                <w:rFonts w:ascii="Arial" w:hAnsi="Arial" w:cs="Arial"/>
                <w:i/>
                <w:sz w:val="24"/>
                <w:szCs w:val="24"/>
              </w:rPr>
              <w:t xml:space="preserve">edbank </w:t>
            </w:r>
            <w:r w:rsidR="00D3397A">
              <w:rPr>
                <w:rFonts w:ascii="Arial" w:hAnsi="Arial" w:cs="Arial"/>
                <w:i/>
                <w:sz w:val="24"/>
                <w:szCs w:val="24"/>
              </w:rPr>
              <w:t>N</w:t>
            </w:r>
            <w:r w:rsidR="00D3397A" w:rsidRPr="00D3397A">
              <w:rPr>
                <w:rFonts w:ascii="Arial" w:hAnsi="Arial" w:cs="Arial"/>
                <w:i/>
                <w:sz w:val="24"/>
                <w:szCs w:val="24"/>
              </w:rPr>
              <w:t xml:space="preserve">amibia </w:t>
            </w:r>
            <w:r w:rsidR="00D3397A">
              <w:rPr>
                <w:rFonts w:ascii="Arial" w:hAnsi="Arial" w:cs="Arial"/>
                <w:i/>
                <w:sz w:val="24"/>
                <w:szCs w:val="24"/>
              </w:rPr>
              <w:t>L</w:t>
            </w:r>
            <w:r w:rsidR="00D3397A" w:rsidRPr="00D3397A">
              <w:rPr>
                <w:rFonts w:ascii="Arial" w:hAnsi="Arial" w:cs="Arial"/>
                <w:i/>
                <w:sz w:val="24"/>
                <w:szCs w:val="24"/>
              </w:rPr>
              <w:t>imited</w:t>
            </w:r>
            <w:r w:rsidR="00D3397A" w:rsidRPr="00D3397A">
              <w:rPr>
                <w:rFonts w:ascii="Arial" w:hAnsi="Arial" w:cs="Arial"/>
                <w:i/>
                <w:sz w:val="24"/>
                <w:szCs w:val="24"/>
                <w:shd w:val="clear" w:color="auto" w:fill="FFFFFF"/>
              </w:rPr>
              <w:t xml:space="preserve"> v </w:t>
            </w:r>
            <w:r w:rsidR="00D3397A">
              <w:rPr>
                <w:rFonts w:ascii="Arial" w:hAnsi="Arial" w:cs="Arial"/>
                <w:i/>
                <w:sz w:val="24"/>
                <w:szCs w:val="24"/>
              </w:rPr>
              <w:t>E</w:t>
            </w:r>
            <w:r w:rsidR="00D3397A" w:rsidRPr="00D3397A">
              <w:rPr>
                <w:rFonts w:ascii="Arial" w:hAnsi="Arial" w:cs="Arial"/>
                <w:i/>
                <w:sz w:val="24"/>
                <w:szCs w:val="24"/>
              </w:rPr>
              <w:t xml:space="preserve">rf </w:t>
            </w:r>
            <w:r w:rsidR="00D3397A">
              <w:rPr>
                <w:rFonts w:ascii="Arial" w:hAnsi="Arial" w:cs="Arial"/>
                <w:i/>
                <w:sz w:val="24"/>
                <w:szCs w:val="24"/>
              </w:rPr>
              <w:t>E</w:t>
            </w:r>
            <w:r w:rsidR="00D3397A" w:rsidRPr="00D3397A">
              <w:rPr>
                <w:rFonts w:ascii="Arial" w:hAnsi="Arial" w:cs="Arial"/>
                <w:i/>
                <w:sz w:val="24"/>
                <w:szCs w:val="24"/>
              </w:rPr>
              <w:t xml:space="preserve">ighty </w:t>
            </w:r>
            <w:r w:rsidR="00D3397A">
              <w:rPr>
                <w:rFonts w:ascii="Arial" w:hAnsi="Arial" w:cs="Arial"/>
                <w:i/>
                <w:sz w:val="24"/>
                <w:szCs w:val="24"/>
              </w:rPr>
              <w:t>T</w:t>
            </w:r>
            <w:r w:rsidR="00D3397A" w:rsidRPr="00D3397A">
              <w:rPr>
                <w:rFonts w:ascii="Arial" w:hAnsi="Arial" w:cs="Arial"/>
                <w:i/>
                <w:sz w:val="24"/>
                <w:szCs w:val="24"/>
              </w:rPr>
              <w:t xml:space="preserve">wo </w:t>
            </w:r>
            <w:proofErr w:type="spellStart"/>
            <w:r w:rsidR="00D3397A">
              <w:rPr>
                <w:rFonts w:ascii="Arial" w:hAnsi="Arial" w:cs="Arial"/>
                <w:i/>
                <w:sz w:val="24"/>
                <w:szCs w:val="24"/>
              </w:rPr>
              <w:t>R</w:t>
            </w:r>
            <w:r w:rsidR="00D3397A" w:rsidRPr="00D3397A">
              <w:rPr>
                <w:rFonts w:ascii="Arial" w:hAnsi="Arial" w:cs="Arial"/>
                <w:i/>
                <w:sz w:val="24"/>
                <w:szCs w:val="24"/>
              </w:rPr>
              <w:t>ossmund</w:t>
            </w:r>
            <w:proofErr w:type="spellEnd"/>
            <w:r w:rsidR="00D3397A" w:rsidRPr="00D3397A">
              <w:rPr>
                <w:rFonts w:ascii="Arial" w:hAnsi="Arial" w:cs="Arial"/>
                <w:i/>
                <w:sz w:val="24"/>
                <w:szCs w:val="24"/>
              </w:rPr>
              <w:t xml:space="preserve"> CC</w:t>
            </w:r>
            <w:r w:rsidRPr="004A5618">
              <w:rPr>
                <w:rFonts w:ascii="Arial" w:hAnsi="Arial" w:cs="Arial"/>
                <w:sz w:val="24"/>
                <w:szCs w:val="24"/>
              </w:rPr>
              <w:t xml:space="preserve"> (</w:t>
            </w:r>
            <w:r w:rsidR="00D3397A" w:rsidRPr="00D3397A">
              <w:rPr>
                <w:rFonts w:ascii="Arial" w:hAnsi="Arial" w:cs="Arial"/>
                <w:sz w:val="24"/>
                <w:szCs w:val="24"/>
              </w:rPr>
              <w:t>HC-MD-CIV-ACT-CON-2017/03250</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250ED7">
              <w:rPr>
                <w:rFonts w:ascii="Arial" w:hAnsi="Arial" w:cs="Arial"/>
                <w:sz w:val="24"/>
                <w:szCs w:val="24"/>
              </w:rPr>
              <w:t>691</w:t>
            </w:r>
            <w:r w:rsidRPr="004A5618">
              <w:rPr>
                <w:rFonts w:ascii="Arial" w:hAnsi="Arial" w:cs="Arial"/>
                <w:sz w:val="24"/>
                <w:szCs w:val="24"/>
              </w:rPr>
              <w:t xml:space="preserve"> (</w:t>
            </w:r>
            <w:r w:rsidR="007B7330">
              <w:rPr>
                <w:rFonts w:ascii="Arial" w:hAnsi="Arial" w:cs="Arial"/>
                <w:sz w:val="24"/>
                <w:szCs w:val="24"/>
              </w:rPr>
              <w:t>1</w:t>
            </w:r>
            <w:r w:rsidR="00136505" w:rsidRPr="004A5618">
              <w:rPr>
                <w:rFonts w:ascii="Arial" w:hAnsi="Arial" w:cs="Arial"/>
                <w:sz w:val="24"/>
                <w:szCs w:val="24"/>
              </w:rPr>
              <w:t xml:space="preserve"> </w:t>
            </w:r>
            <w:r w:rsidR="007B7330">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bookmarkEnd w:id="0"/>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1E111E5A" w14:textId="52939C54" w:rsidR="00FD0062" w:rsidRDefault="00FD0062" w:rsidP="000D6EF2">
            <w:pPr>
              <w:pStyle w:val="ListParagraph"/>
              <w:numPr>
                <w:ilvl w:val="0"/>
                <w:numId w:val="25"/>
              </w:numPr>
              <w:spacing w:line="360" w:lineRule="auto"/>
              <w:ind w:left="743" w:hanging="710"/>
              <w:jc w:val="both"/>
              <w:rPr>
                <w:rFonts w:ascii="Arial" w:hAnsi="Arial" w:cs="Arial"/>
                <w:sz w:val="24"/>
                <w:szCs w:val="24"/>
              </w:rPr>
            </w:pPr>
            <w:r>
              <w:rPr>
                <w:rFonts w:ascii="Arial" w:hAnsi="Arial" w:cs="Arial"/>
                <w:sz w:val="24"/>
                <w:szCs w:val="24"/>
              </w:rPr>
              <w:t>The following immovable property is hereby declared specially executable:</w:t>
            </w:r>
          </w:p>
          <w:p w14:paraId="11C614E7" w14:textId="77777777" w:rsidR="00FD0062" w:rsidRDefault="00FD0062" w:rsidP="00FD0062">
            <w:pPr>
              <w:pStyle w:val="ListParagraph"/>
              <w:spacing w:line="360" w:lineRule="auto"/>
              <w:ind w:left="743"/>
              <w:jc w:val="both"/>
              <w:rPr>
                <w:rFonts w:ascii="Arial" w:hAnsi="Arial" w:cs="Arial"/>
                <w:sz w:val="24"/>
                <w:szCs w:val="24"/>
              </w:rPr>
            </w:pPr>
          </w:p>
          <w:p w14:paraId="771C89DA" w14:textId="77777777"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CERTAIN:</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 xml:space="preserve">Erf 82, </w:t>
            </w:r>
            <w:proofErr w:type="spellStart"/>
            <w:r>
              <w:rPr>
                <w:rFonts w:ascii="Arial" w:hAnsi="Arial" w:cs="Arial"/>
                <w:sz w:val="24"/>
                <w:szCs w:val="24"/>
              </w:rPr>
              <w:t>Rossmund</w:t>
            </w:r>
            <w:proofErr w:type="spellEnd"/>
            <w:r>
              <w:rPr>
                <w:rFonts w:ascii="Arial" w:hAnsi="Arial" w:cs="Arial"/>
                <w:sz w:val="24"/>
                <w:szCs w:val="24"/>
              </w:rPr>
              <w:t xml:space="preserve"> Golf Course</w:t>
            </w:r>
          </w:p>
          <w:p w14:paraId="1CE16948" w14:textId="77777777"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p>
          <w:p w14:paraId="0E90B704" w14:textId="77777777"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SITUATE:</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 xml:space="preserve">In the Municipality of </w:t>
            </w:r>
            <w:proofErr w:type="spellStart"/>
            <w:r>
              <w:rPr>
                <w:rFonts w:ascii="Arial" w:hAnsi="Arial" w:cs="Arial"/>
                <w:sz w:val="24"/>
                <w:szCs w:val="24"/>
              </w:rPr>
              <w:t>Swakopmund</w:t>
            </w:r>
            <w:proofErr w:type="spellEnd"/>
          </w:p>
          <w:p w14:paraId="60C9CF58" w14:textId="77777777"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Registration Division “G”</w:t>
            </w:r>
          </w:p>
          <w:p w14:paraId="39245A55" w14:textId="77777777"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proofErr w:type="spellStart"/>
            <w:r>
              <w:rPr>
                <w:rFonts w:ascii="Arial" w:hAnsi="Arial" w:cs="Arial"/>
                <w:sz w:val="24"/>
                <w:szCs w:val="24"/>
              </w:rPr>
              <w:t>Erongo</w:t>
            </w:r>
            <w:proofErr w:type="spellEnd"/>
            <w:r>
              <w:rPr>
                <w:rFonts w:ascii="Arial" w:hAnsi="Arial" w:cs="Arial"/>
                <w:sz w:val="24"/>
                <w:szCs w:val="24"/>
              </w:rPr>
              <w:t xml:space="preserve"> Region</w:t>
            </w:r>
          </w:p>
          <w:p w14:paraId="42AA2FEB" w14:textId="77777777" w:rsidR="00FD0062" w:rsidRDefault="00FD0062" w:rsidP="00FD0062">
            <w:pPr>
              <w:pStyle w:val="ListParagraph"/>
              <w:spacing w:line="360" w:lineRule="auto"/>
              <w:ind w:left="743"/>
              <w:jc w:val="both"/>
              <w:rPr>
                <w:rFonts w:ascii="Arial" w:hAnsi="Arial" w:cs="Arial"/>
                <w:sz w:val="24"/>
                <w:szCs w:val="24"/>
              </w:rPr>
            </w:pPr>
          </w:p>
          <w:p w14:paraId="15FD1753" w14:textId="77777777"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MEASURING:</w:t>
            </w:r>
            <w:r w:rsidRPr="004A5618">
              <w:rPr>
                <w:rFonts w:ascii="Arial" w:hAnsi="Arial" w:cs="Arial"/>
                <w:sz w:val="24"/>
                <w:szCs w:val="24"/>
              </w:rPr>
              <w:t xml:space="preserve"> </w:t>
            </w:r>
            <w:r w:rsidRPr="004A5618">
              <w:rPr>
                <w:rFonts w:ascii="Arial" w:hAnsi="Arial" w:cs="Arial"/>
                <w:sz w:val="24"/>
                <w:szCs w:val="24"/>
              </w:rPr>
              <w:tab/>
            </w:r>
            <w:r>
              <w:rPr>
                <w:rFonts w:ascii="Arial" w:hAnsi="Arial" w:cs="Arial"/>
                <w:sz w:val="24"/>
                <w:szCs w:val="24"/>
              </w:rPr>
              <w:t xml:space="preserve">1227 (One Thousand Two Hundred  And </w:t>
            </w:r>
          </w:p>
          <w:p w14:paraId="29749389" w14:textId="77777777"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lastRenderedPageBreak/>
              <w:tab/>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Twenty Seven) Square Meters</w:t>
            </w:r>
          </w:p>
          <w:p w14:paraId="784CB413" w14:textId="77777777" w:rsidR="00FD0062" w:rsidRDefault="00FD0062" w:rsidP="00FD0062">
            <w:pPr>
              <w:pStyle w:val="ListParagraph"/>
              <w:spacing w:line="360" w:lineRule="auto"/>
              <w:ind w:left="743"/>
              <w:jc w:val="both"/>
              <w:rPr>
                <w:rFonts w:ascii="Arial" w:hAnsi="Arial" w:cs="Arial"/>
                <w:sz w:val="24"/>
                <w:szCs w:val="24"/>
              </w:rPr>
            </w:pPr>
          </w:p>
          <w:p w14:paraId="31A53DC8" w14:textId="77777777"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HELD:</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Deed of Transfer No. T 1360/2010</w:t>
            </w:r>
          </w:p>
          <w:p w14:paraId="2B3FE551" w14:textId="77777777" w:rsidR="00FD0062" w:rsidRDefault="00FD0062" w:rsidP="00FD0062">
            <w:pPr>
              <w:pStyle w:val="ListParagraph"/>
              <w:spacing w:line="360" w:lineRule="auto"/>
              <w:ind w:left="743"/>
              <w:jc w:val="both"/>
              <w:rPr>
                <w:rFonts w:ascii="Arial" w:hAnsi="Arial" w:cs="Arial"/>
                <w:sz w:val="24"/>
                <w:szCs w:val="24"/>
              </w:rPr>
            </w:pPr>
          </w:p>
          <w:p w14:paraId="4D4D2F17" w14:textId="77777777" w:rsidR="00FD0062" w:rsidRPr="004A5618"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SUBJECT:</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to all the terms and conditions as contained therein</w:t>
            </w:r>
          </w:p>
          <w:p w14:paraId="251456F4" w14:textId="77777777" w:rsidR="00FD0062" w:rsidRPr="004A5618" w:rsidRDefault="00FD0062" w:rsidP="00FD0062">
            <w:pPr>
              <w:pStyle w:val="ListParagraph"/>
              <w:spacing w:line="360" w:lineRule="auto"/>
              <w:ind w:left="743" w:hanging="710"/>
              <w:jc w:val="both"/>
              <w:rPr>
                <w:rFonts w:ascii="Arial" w:hAnsi="Arial" w:cs="Arial"/>
                <w:sz w:val="24"/>
                <w:szCs w:val="24"/>
              </w:rPr>
            </w:pPr>
          </w:p>
          <w:p w14:paraId="1858A111" w14:textId="69D05156" w:rsidR="00FD0062" w:rsidRPr="004A5618" w:rsidRDefault="00FD0062" w:rsidP="00FD0062">
            <w:pPr>
              <w:pStyle w:val="ListParagraph"/>
              <w:numPr>
                <w:ilvl w:val="0"/>
                <w:numId w:val="23"/>
              </w:numPr>
              <w:spacing w:line="360" w:lineRule="auto"/>
              <w:ind w:hanging="720"/>
              <w:jc w:val="both"/>
              <w:rPr>
                <w:rFonts w:ascii="Arial" w:hAnsi="Arial" w:cs="Arial"/>
                <w:sz w:val="24"/>
                <w:szCs w:val="24"/>
              </w:rPr>
            </w:pPr>
            <w:r>
              <w:rPr>
                <w:rFonts w:ascii="Arial" w:hAnsi="Arial" w:cs="Arial"/>
                <w:sz w:val="24"/>
                <w:szCs w:val="24"/>
              </w:rPr>
              <w:t>Costs of suit on a scale as between attorney (Legal practitioner) and own client</w:t>
            </w:r>
            <w:r w:rsidR="00250ED7">
              <w:rPr>
                <w:rFonts w:ascii="Arial" w:hAnsi="Arial" w:cs="Arial"/>
                <w:sz w:val="24"/>
                <w:szCs w:val="24"/>
              </w:rPr>
              <w:t>, the one paying the other to be absolved</w:t>
            </w:r>
            <w:r>
              <w:rPr>
                <w:rFonts w:ascii="Arial" w:hAnsi="Arial" w:cs="Arial"/>
                <w:sz w:val="24"/>
                <w:szCs w:val="24"/>
              </w:rPr>
              <w:t>.</w:t>
            </w:r>
          </w:p>
          <w:p w14:paraId="1B27B529" w14:textId="77777777" w:rsidR="00FD0062" w:rsidRPr="004A5618" w:rsidRDefault="00FD0062" w:rsidP="00FD0062">
            <w:pPr>
              <w:pStyle w:val="ListParagraph"/>
              <w:spacing w:line="360" w:lineRule="auto"/>
              <w:ind w:left="743" w:hanging="710"/>
              <w:rPr>
                <w:rFonts w:ascii="Arial" w:hAnsi="Arial" w:cs="Arial"/>
                <w:sz w:val="24"/>
                <w:szCs w:val="24"/>
              </w:rPr>
            </w:pPr>
          </w:p>
          <w:p w14:paraId="5D5DB145" w14:textId="77777777" w:rsidR="00FD0062" w:rsidRDefault="00FD0062" w:rsidP="0020505F">
            <w:pPr>
              <w:pStyle w:val="ListParagraph"/>
              <w:numPr>
                <w:ilvl w:val="0"/>
                <w:numId w:val="23"/>
              </w:numPr>
              <w:spacing w:line="360" w:lineRule="auto"/>
              <w:ind w:hanging="720"/>
              <w:jc w:val="both"/>
              <w:rPr>
                <w:rFonts w:ascii="Arial" w:hAnsi="Arial" w:cs="Arial"/>
                <w:sz w:val="24"/>
                <w:szCs w:val="24"/>
              </w:rPr>
            </w:pPr>
            <w:r>
              <w:rPr>
                <w:rFonts w:ascii="Arial" w:hAnsi="Arial" w:cs="Arial"/>
                <w:sz w:val="24"/>
                <w:szCs w:val="24"/>
              </w:rPr>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75DCFED5"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248EE522" w14:textId="33B27DD6" w:rsidR="00B45E7F" w:rsidRPr="004A2855" w:rsidRDefault="00B32493" w:rsidP="001B346B">
            <w:pPr>
              <w:spacing w:line="360" w:lineRule="auto"/>
              <w:jc w:val="both"/>
              <w:rPr>
                <w:rFonts w:ascii="Arial" w:hAnsi="Arial" w:cs="Arial"/>
              </w:rPr>
            </w:pPr>
            <w:r w:rsidRPr="004A5618">
              <w:rPr>
                <w:rFonts w:ascii="Arial" w:hAnsi="Arial" w:cs="Arial"/>
                <w:sz w:val="24"/>
                <w:szCs w:val="24"/>
              </w:rPr>
              <w:t>[1]</w:t>
            </w:r>
            <w:r w:rsidRPr="004A5618">
              <w:rPr>
                <w:rFonts w:ascii="Arial" w:hAnsi="Arial" w:cs="Arial"/>
                <w:sz w:val="24"/>
                <w:szCs w:val="24"/>
              </w:rPr>
              <w:tab/>
            </w:r>
            <w:r w:rsidR="00B51737">
              <w:rPr>
                <w:rFonts w:ascii="Arial" w:hAnsi="Arial" w:cs="Arial"/>
                <w:sz w:val="24"/>
                <w:szCs w:val="24"/>
              </w:rPr>
              <w:t>This is an application brought in terms of r</w:t>
            </w:r>
            <w:r w:rsidR="00C975D3">
              <w:rPr>
                <w:rFonts w:ascii="Arial" w:hAnsi="Arial" w:cs="Arial"/>
                <w:sz w:val="24"/>
                <w:szCs w:val="24"/>
              </w:rPr>
              <w:t xml:space="preserve">ule 108 of the rules of court. </w:t>
            </w:r>
            <w:r w:rsidR="00B51737">
              <w:rPr>
                <w:rFonts w:ascii="Arial" w:hAnsi="Arial" w:cs="Arial"/>
                <w:sz w:val="24"/>
                <w:szCs w:val="24"/>
              </w:rPr>
              <w:t xml:space="preserve">Ms </w:t>
            </w:r>
            <w:proofErr w:type="spellStart"/>
            <w:r w:rsidR="00B51737" w:rsidRPr="001B346B">
              <w:rPr>
                <w:rFonts w:ascii="Arial" w:hAnsi="Arial" w:cs="Arial"/>
                <w:color w:val="333333"/>
                <w:sz w:val="24"/>
                <w:szCs w:val="24"/>
                <w:shd w:val="clear" w:color="auto" w:fill="FFFFFF"/>
              </w:rPr>
              <w:t>Kuzeeko</w:t>
            </w:r>
            <w:proofErr w:type="spellEnd"/>
            <w:r w:rsidR="00C975D3">
              <w:rPr>
                <w:rFonts w:ascii="Arial" w:hAnsi="Arial" w:cs="Arial"/>
                <w:color w:val="333333"/>
                <w:sz w:val="24"/>
                <w:szCs w:val="24"/>
                <w:shd w:val="clear" w:color="auto" w:fill="FFFFFF"/>
              </w:rPr>
              <w:t xml:space="preserve"> represents the plaintiff (applicant)</w:t>
            </w:r>
            <w:r w:rsidR="00E16739">
              <w:rPr>
                <w:rFonts w:ascii="Arial" w:hAnsi="Arial" w:cs="Arial"/>
                <w:color w:val="333333"/>
                <w:sz w:val="24"/>
                <w:szCs w:val="24"/>
                <w:shd w:val="clear" w:color="auto" w:fill="FFFFFF"/>
              </w:rPr>
              <w:t xml:space="preserve"> and Mr </w:t>
            </w:r>
            <w:proofErr w:type="spellStart"/>
            <w:r w:rsidR="00E16739">
              <w:rPr>
                <w:rFonts w:ascii="Arial" w:hAnsi="Arial" w:cs="Arial"/>
                <w:color w:val="333333"/>
                <w:sz w:val="24"/>
                <w:szCs w:val="24"/>
                <w:shd w:val="clear" w:color="auto" w:fill="FFFFFF"/>
              </w:rPr>
              <w:t>Juuso</w:t>
            </w:r>
            <w:proofErr w:type="spellEnd"/>
            <w:r w:rsidR="00E16739">
              <w:rPr>
                <w:rFonts w:ascii="Arial" w:hAnsi="Arial" w:cs="Arial"/>
                <w:color w:val="333333"/>
                <w:sz w:val="24"/>
                <w:szCs w:val="24"/>
                <w:shd w:val="clear" w:color="auto" w:fill="FFFFFF"/>
              </w:rPr>
              <w:t xml:space="preserve"> </w:t>
            </w:r>
            <w:proofErr w:type="spellStart"/>
            <w:r w:rsidR="00E16739">
              <w:rPr>
                <w:rFonts w:ascii="Arial" w:hAnsi="Arial" w:cs="Arial"/>
                <w:sz w:val="24"/>
                <w:szCs w:val="24"/>
              </w:rPr>
              <w:t>K</w:t>
            </w:r>
            <w:r w:rsidR="00E16739" w:rsidRPr="00661376">
              <w:rPr>
                <w:rFonts w:ascii="Arial" w:hAnsi="Arial" w:cs="Arial"/>
                <w:sz w:val="24"/>
                <w:szCs w:val="24"/>
              </w:rPr>
              <w:t>ambueshe</w:t>
            </w:r>
            <w:proofErr w:type="spellEnd"/>
            <w:r w:rsidR="00E16739">
              <w:rPr>
                <w:rFonts w:ascii="Arial" w:hAnsi="Arial" w:cs="Arial"/>
                <w:sz w:val="24"/>
                <w:szCs w:val="24"/>
              </w:rPr>
              <w:t xml:space="preserve"> (also known as Mr Frank </w:t>
            </w:r>
            <w:proofErr w:type="spellStart"/>
            <w:r w:rsidR="00E16739">
              <w:rPr>
                <w:rFonts w:ascii="Arial" w:hAnsi="Arial" w:cs="Arial"/>
                <w:sz w:val="24"/>
                <w:szCs w:val="24"/>
              </w:rPr>
              <w:t>K</w:t>
            </w:r>
            <w:r w:rsidR="00E16739" w:rsidRPr="00661376">
              <w:rPr>
                <w:rFonts w:ascii="Arial" w:hAnsi="Arial" w:cs="Arial"/>
                <w:sz w:val="24"/>
                <w:szCs w:val="24"/>
              </w:rPr>
              <w:t>ambueshe</w:t>
            </w:r>
            <w:proofErr w:type="spellEnd"/>
            <w:r w:rsidR="00E16739">
              <w:rPr>
                <w:rFonts w:ascii="Arial" w:hAnsi="Arial" w:cs="Arial"/>
                <w:sz w:val="24"/>
                <w:szCs w:val="24"/>
              </w:rPr>
              <w:t xml:space="preserve">, as appears on the papers), in person, represents the defendants (respondents).  It is worth noting, as Ms </w:t>
            </w:r>
            <w:proofErr w:type="spellStart"/>
            <w:r w:rsidR="00E16739" w:rsidRPr="001B346B">
              <w:rPr>
                <w:rFonts w:ascii="Arial" w:hAnsi="Arial" w:cs="Arial"/>
                <w:color w:val="333333"/>
                <w:sz w:val="24"/>
                <w:szCs w:val="24"/>
                <w:shd w:val="clear" w:color="auto" w:fill="FFFFFF"/>
              </w:rPr>
              <w:t>Kuzeeko</w:t>
            </w:r>
            <w:proofErr w:type="spellEnd"/>
            <w:r w:rsidR="00E16739">
              <w:rPr>
                <w:rFonts w:ascii="Arial" w:hAnsi="Arial" w:cs="Arial"/>
                <w:color w:val="333333"/>
                <w:sz w:val="24"/>
                <w:szCs w:val="24"/>
                <w:shd w:val="clear" w:color="auto" w:fill="FFFFFF"/>
              </w:rPr>
              <w:t xml:space="preserve"> submitted, that the execution debtor (</w:t>
            </w:r>
            <w:proofErr w:type="spellStart"/>
            <w:r w:rsidR="00E16739">
              <w:rPr>
                <w:rFonts w:ascii="Arial" w:hAnsi="Arial" w:cs="Arial"/>
                <w:color w:val="333333"/>
                <w:sz w:val="24"/>
                <w:szCs w:val="24"/>
                <w:shd w:val="clear" w:color="auto" w:fill="FFFFFF"/>
              </w:rPr>
              <w:t>ie</w:t>
            </w:r>
            <w:proofErr w:type="spellEnd"/>
            <w:r w:rsidR="00E16739">
              <w:rPr>
                <w:rFonts w:ascii="Arial" w:hAnsi="Arial" w:cs="Arial"/>
                <w:color w:val="333333"/>
                <w:sz w:val="24"/>
                <w:szCs w:val="24"/>
                <w:shd w:val="clear" w:color="auto" w:fill="FFFFFF"/>
              </w:rPr>
              <w:t xml:space="preserve"> the first respondent) is a close corporation, a juristic entity and is the owner of the immovable property sought to be specially executed.  I shall return to those legal realities in due course.</w:t>
            </w:r>
          </w:p>
          <w:p w14:paraId="62803B06" w14:textId="77777777" w:rsidR="00B32493" w:rsidRPr="004A5618" w:rsidRDefault="00B32493" w:rsidP="00B32493">
            <w:pPr>
              <w:spacing w:line="360" w:lineRule="auto"/>
              <w:jc w:val="both"/>
              <w:rPr>
                <w:rFonts w:ascii="Arial" w:hAnsi="Arial" w:cs="Arial"/>
                <w:sz w:val="24"/>
                <w:szCs w:val="24"/>
              </w:rPr>
            </w:pPr>
          </w:p>
          <w:p w14:paraId="6C6552C2" w14:textId="0EAAC0F5"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E16739">
              <w:rPr>
                <w:rFonts w:ascii="Arial" w:hAnsi="Arial" w:cs="Arial"/>
                <w:sz w:val="24"/>
                <w:szCs w:val="24"/>
              </w:rPr>
              <w:t xml:space="preserve">Ms </w:t>
            </w:r>
            <w:proofErr w:type="spellStart"/>
            <w:r w:rsidR="00E16739" w:rsidRPr="001B346B">
              <w:rPr>
                <w:rFonts w:ascii="Arial" w:hAnsi="Arial" w:cs="Arial"/>
                <w:color w:val="333333"/>
                <w:sz w:val="24"/>
                <w:szCs w:val="24"/>
                <w:shd w:val="clear" w:color="auto" w:fill="FFFFFF"/>
              </w:rPr>
              <w:t>Kuzeeko</w:t>
            </w:r>
            <w:proofErr w:type="spellEnd"/>
            <w:r w:rsidR="00E16739">
              <w:rPr>
                <w:rFonts w:ascii="Arial" w:hAnsi="Arial" w:cs="Arial"/>
                <w:color w:val="333333"/>
                <w:sz w:val="24"/>
                <w:szCs w:val="24"/>
                <w:shd w:val="clear" w:color="auto" w:fill="FFFFFF"/>
              </w:rPr>
              <w:t xml:space="preserve"> filed heads of argument.  Mr </w:t>
            </w:r>
            <w:proofErr w:type="spellStart"/>
            <w:r w:rsidR="00E16739">
              <w:rPr>
                <w:rFonts w:ascii="Arial" w:hAnsi="Arial" w:cs="Arial"/>
                <w:color w:val="333333"/>
                <w:sz w:val="24"/>
                <w:szCs w:val="24"/>
                <w:shd w:val="clear" w:color="auto" w:fill="FFFFFF"/>
              </w:rPr>
              <w:t>Juuso</w:t>
            </w:r>
            <w:proofErr w:type="spellEnd"/>
            <w:r w:rsidR="00E16739">
              <w:rPr>
                <w:rFonts w:ascii="Arial" w:hAnsi="Arial" w:cs="Arial"/>
                <w:color w:val="333333"/>
                <w:sz w:val="24"/>
                <w:szCs w:val="24"/>
                <w:shd w:val="clear" w:color="auto" w:fill="FFFFFF"/>
              </w:rPr>
              <w:t xml:space="preserve"> </w:t>
            </w:r>
            <w:proofErr w:type="spellStart"/>
            <w:r w:rsidR="00E16739">
              <w:rPr>
                <w:rFonts w:ascii="Arial" w:hAnsi="Arial" w:cs="Arial"/>
                <w:sz w:val="24"/>
                <w:szCs w:val="24"/>
              </w:rPr>
              <w:t>K</w:t>
            </w:r>
            <w:r w:rsidR="00E16739" w:rsidRPr="00661376">
              <w:rPr>
                <w:rFonts w:ascii="Arial" w:hAnsi="Arial" w:cs="Arial"/>
                <w:sz w:val="24"/>
                <w:szCs w:val="24"/>
              </w:rPr>
              <w:t>ambueshe</w:t>
            </w:r>
            <w:proofErr w:type="spellEnd"/>
            <w:r w:rsidR="00E16739">
              <w:rPr>
                <w:rFonts w:ascii="Arial" w:hAnsi="Arial" w:cs="Arial"/>
                <w:sz w:val="24"/>
                <w:szCs w:val="24"/>
              </w:rPr>
              <w:t xml:space="preserve"> also filed the respondents’ heads of argument. In the heads of argument, </w:t>
            </w:r>
            <w:proofErr w:type="spellStart"/>
            <w:r w:rsidR="00644855">
              <w:rPr>
                <w:rFonts w:ascii="Arial" w:hAnsi="Arial" w:cs="Arial"/>
                <w:color w:val="333333"/>
                <w:sz w:val="24"/>
                <w:szCs w:val="24"/>
                <w:shd w:val="clear" w:color="auto" w:fill="FFFFFF"/>
              </w:rPr>
              <w:t>Juuso</w:t>
            </w:r>
            <w:proofErr w:type="spellEnd"/>
            <w:r w:rsidR="00E16739">
              <w:rPr>
                <w:rFonts w:ascii="Arial" w:hAnsi="Arial" w:cs="Arial"/>
                <w:sz w:val="24"/>
                <w:szCs w:val="24"/>
              </w:rPr>
              <w:t xml:space="preserve"> </w:t>
            </w:r>
            <w:proofErr w:type="spellStart"/>
            <w:r w:rsidR="00E16739">
              <w:rPr>
                <w:rFonts w:ascii="Arial" w:hAnsi="Arial" w:cs="Arial"/>
                <w:sz w:val="24"/>
                <w:szCs w:val="24"/>
              </w:rPr>
              <w:t>K</w:t>
            </w:r>
            <w:r w:rsidR="00E16739" w:rsidRPr="00661376">
              <w:rPr>
                <w:rFonts w:ascii="Arial" w:hAnsi="Arial" w:cs="Arial"/>
                <w:sz w:val="24"/>
                <w:szCs w:val="24"/>
              </w:rPr>
              <w:t>ambueshe</w:t>
            </w:r>
            <w:proofErr w:type="spellEnd"/>
            <w:r w:rsidR="00E16739">
              <w:rPr>
                <w:rFonts w:ascii="Arial" w:hAnsi="Arial" w:cs="Arial"/>
                <w:sz w:val="24"/>
                <w:szCs w:val="24"/>
              </w:rPr>
              <w:t xml:space="preserve"> confirmed that the said immovable property is owned by the first respondent, who is the execution debtor, and a juristic entity, as aforesaid.</w:t>
            </w:r>
          </w:p>
          <w:p w14:paraId="0624C6CE" w14:textId="77777777" w:rsidR="00B32493" w:rsidRPr="004A5618" w:rsidRDefault="00B32493" w:rsidP="00B32493">
            <w:pPr>
              <w:spacing w:line="360" w:lineRule="auto"/>
              <w:jc w:val="both"/>
              <w:rPr>
                <w:rFonts w:ascii="Arial" w:hAnsi="Arial" w:cs="Arial"/>
                <w:sz w:val="24"/>
                <w:szCs w:val="24"/>
              </w:rPr>
            </w:pPr>
          </w:p>
          <w:p w14:paraId="1D20E176" w14:textId="47B92B6B" w:rsidR="00A23EB6" w:rsidRDefault="00A23EB6" w:rsidP="00A23EB6">
            <w:pPr>
              <w:spacing w:line="360" w:lineRule="auto"/>
              <w:jc w:val="both"/>
              <w:rPr>
                <w:rFonts w:ascii="Arial" w:hAnsi="Arial" w:cs="Arial"/>
                <w:sz w:val="24"/>
                <w:szCs w:val="24"/>
              </w:rPr>
            </w:pPr>
            <w:r w:rsidRPr="004A5618">
              <w:rPr>
                <w:rFonts w:ascii="Arial" w:hAnsi="Arial" w:cs="Arial"/>
                <w:sz w:val="24"/>
                <w:szCs w:val="24"/>
              </w:rPr>
              <w:t>[3]</w:t>
            </w:r>
            <w:r w:rsidRPr="004A5618">
              <w:rPr>
                <w:rFonts w:ascii="Arial" w:hAnsi="Arial" w:cs="Arial"/>
                <w:sz w:val="24"/>
                <w:szCs w:val="24"/>
              </w:rPr>
              <w:tab/>
            </w:r>
            <w:r>
              <w:rPr>
                <w:rFonts w:ascii="Arial" w:hAnsi="Arial" w:cs="Arial"/>
                <w:sz w:val="24"/>
                <w:szCs w:val="24"/>
              </w:rPr>
              <w:t xml:space="preserve">The first crucial point to make at the threshold is this. It must be noted by legal practitioners and litigants that the age-long and time-tested principle of </w:t>
            </w:r>
            <w:proofErr w:type="spellStart"/>
            <w:r w:rsidRPr="00F01B97">
              <w:rPr>
                <w:rFonts w:ascii="Arial" w:hAnsi="Arial" w:cs="Arial"/>
                <w:i/>
                <w:sz w:val="24"/>
                <w:szCs w:val="24"/>
              </w:rPr>
              <w:t>pacta</w:t>
            </w:r>
            <w:proofErr w:type="spellEnd"/>
            <w:r w:rsidRPr="00F01B97">
              <w:rPr>
                <w:rFonts w:ascii="Arial" w:hAnsi="Arial" w:cs="Arial"/>
                <w:i/>
                <w:sz w:val="24"/>
                <w:szCs w:val="24"/>
              </w:rPr>
              <w:t xml:space="preserve"> </w:t>
            </w:r>
            <w:proofErr w:type="spellStart"/>
            <w:r w:rsidRPr="00F01B97">
              <w:rPr>
                <w:rFonts w:ascii="Arial" w:hAnsi="Arial" w:cs="Arial"/>
                <w:i/>
                <w:sz w:val="24"/>
                <w:szCs w:val="24"/>
              </w:rPr>
              <w:t>sunt</w:t>
            </w:r>
            <w:proofErr w:type="spellEnd"/>
            <w:r w:rsidRPr="00F01B97">
              <w:rPr>
                <w:rFonts w:ascii="Arial" w:hAnsi="Arial" w:cs="Arial"/>
                <w:i/>
                <w:sz w:val="24"/>
                <w:szCs w:val="24"/>
              </w:rPr>
              <w:t xml:space="preserve"> </w:t>
            </w:r>
            <w:proofErr w:type="spellStart"/>
            <w:r w:rsidRPr="00F01B97">
              <w:rPr>
                <w:rFonts w:ascii="Arial" w:hAnsi="Arial" w:cs="Arial"/>
                <w:i/>
                <w:sz w:val="24"/>
                <w:szCs w:val="24"/>
              </w:rPr>
              <w:t>servanda</w:t>
            </w:r>
            <w:proofErr w:type="spellEnd"/>
            <w:r>
              <w:rPr>
                <w:rFonts w:ascii="Arial" w:hAnsi="Arial" w:cs="Arial"/>
                <w:sz w:val="24"/>
                <w:szCs w:val="24"/>
              </w:rPr>
              <w:t xml:space="preserve"> is still part of our law.</w:t>
            </w:r>
            <w:r>
              <w:rPr>
                <w:rStyle w:val="FootnoteReference"/>
                <w:rFonts w:ascii="Arial" w:hAnsi="Arial" w:cs="Arial"/>
                <w:sz w:val="24"/>
                <w:szCs w:val="24"/>
              </w:rPr>
              <w:footnoteReference w:id="1"/>
            </w:r>
            <w:r>
              <w:rPr>
                <w:rFonts w:ascii="Arial" w:hAnsi="Arial" w:cs="Arial"/>
                <w:sz w:val="24"/>
                <w:szCs w:val="24"/>
              </w:rPr>
              <w:t xml:space="preserve">  Rule 108 of the rules of court has not set at nought and vaporized the principle.  As I understand it, the object of rule 108 is, based on equitable considerations, to blunt the sharp point of executing specially claims against hypothecated immovable property in order to satisfy the claim.  I do not read </w:t>
            </w:r>
            <w:proofErr w:type="spellStart"/>
            <w:r w:rsidRPr="006144A8">
              <w:rPr>
                <w:rFonts w:ascii="Arial" w:hAnsi="Arial" w:cs="Arial"/>
                <w:i/>
                <w:sz w:val="24"/>
                <w:szCs w:val="24"/>
              </w:rPr>
              <w:t>Kisilip</w:t>
            </w:r>
            <w:r w:rsidR="00644855">
              <w:rPr>
                <w:rFonts w:ascii="Arial" w:hAnsi="Arial" w:cs="Arial"/>
                <w:i/>
                <w:sz w:val="24"/>
                <w:szCs w:val="24"/>
              </w:rPr>
              <w:t>il</w:t>
            </w:r>
            <w:r w:rsidRPr="006144A8">
              <w:rPr>
                <w:rFonts w:ascii="Arial" w:hAnsi="Arial" w:cs="Arial"/>
                <w:i/>
                <w:sz w:val="24"/>
                <w:szCs w:val="24"/>
              </w:rPr>
              <w:t>e</w:t>
            </w:r>
            <w:proofErr w:type="spellEnd"/>
            <w:r w:rsidRPr="006144A8">
              <w:rPr>
                <w:rFonts w:ascii="Arial" w:hAnsi="Arial" w:cs="Arial"/>
                <w:i/>
                <w:sz w:val="24"/>
                <w:szCs w:val="24"/>
              </w:rPr>
              <w:t xml:space="preserve"> </w:t>
            </w:r>
            <w:proofErr w:type="spellStart"/>
            <w:r w:rsidRPr="006144A8">
              <w:rPr>
                <w:rFonts w:ascii="Arial" w:hAnsi="Arial" w:cs="Arial"/>
                <w:i/>
                <w:sz w:val="24"/>
                <w:szCs w:val="24"/>
              </w:rPr>
              <w:t>Niklaas</w:t>
            </w:r>
            <w:proofErr w:type="spellEnd"/>
            <w:r w:rsidRPr="006144A8">
              <w:rPr>
                <w:rFonts w:ascii="Arial" w:hAnsi="Arial" w:cs="Arial"/>
                <w:i/>
                <w:sz w:val="24"/>
                <w:szCs w:val="24"/>
              </w:rPr>
              <w:t xml:space="preserve"> and Lydia </w:t>
            </w:r>
            <w:proofErr w:type="spellStart"/>
            <w:r w:rsidRPr="006144A8">
              <w:rPr>
                <w:rFonts w:ascii="Arial" w:hAnsi="Arial" w:cs="Arial"/>
                <w:i/>
                <w:sz w:val="24"/>
                <w:szCs w:val="24"/>
              </w:rPr>
              <w:t>Vaanda</w:t>
            </w:r>
            <w:proofErr w:type="spellEnd"/>
            <w:r w:rsidRPr="006144A8">
              <w:rPr>
                <w:rFonts w:ascii="Arial" w:hAnsi="Arial" w:cs="Arial"/>
                <w:i/>
                <w:sz w:val="24"/>
                <w:szCs w:val="24"/>
              </w:rPr>
              <w:t xml:space="preserve"> </w:t>
            </w:r>
            <w:proofErr w:type="spellStart"/>
            <w:r w:rsidRPr="006144A8">
              <w:rPr>
                <w:rFonts w:ascii="Arial" w:hAnsi="Arial" w:cs="Arial"/>
                <w:i/>
                <w:sz w:val="24"/>
                <w:szCs w:val="24"/>
              </w:rPr>
              <w:t>Katjiuongua</w:t>
            </w:r>
            <w:proofErr w:type="spellEnd"/>
            <w:r w:rsidRPr="006144A8">
              <w:rPr>
                <w:rFonts w:ascii="Arial" w:hAnsi="Arial" w:cs="Arial"/>
                <w:i/>
                <w:sz w:val="24"/>
                <w:szCs w:val="24"/>
              </w:rPr>
              <w:t xml:space="preserve"> v First </w:t>
            </w:r>
            <w:r w:rsidRPr="006144A8">
              <w:rPr>
                <w:rFonts w:ascii="Arial" w:hAnsi="Arial" w:cs="Arial"/>
                <w:i/>
                <w:sz w:val="24"/>
                <w:szCs w:val="24"/>
              </w:rPr>
              <w:lastRenderedPageBreak/>
              <w:t>National Bank of Namibia Limited</w:t>
            </w:r>
            <w:r>
              <w:rPr>
                <w:rStyle w:val="FootnoteReference"/>
                <w:rFonts w:ascii="Arial" w:hAnsi="Arial" w:cs="Arial"/>
                <w:sz w:val="24"/>
                <w:szCs w:val="24"/>
              </w:rPr>
              <w:footnoteReference w:id="2"/>
            </w:r>
            <w:r>
              <w:rPr>
                <w:rFonts w:ascii="Arial" w:hAnsi="Arial" w:cs="Arial"/>
                <w:sz w:val="24"/>
                <w:szCs w:val="24"/>
              </w:rPr>
              <w:t xml:space="preserve"> as having set at naught the aforementioned principle. Indeed, in that case, </w:t>
            </w:r>
            <w:proofErr w:type="spellStart"/>
            <w:r>
              <w:rPr>
                <w:rFonts w:ascii="Arial" w:hAnsi="Arial" w:cs="Arial"/>
                <w:sz w:val="24"/>
                <w:szCs w:val="24"/>
              </w:rPr>
              <w:t>Damaseb</w:t>
            </w:r>
            <w:proofErr w:type="spellEnd"/>
            <w:r>
              <w:rPr>
                <w:rFonts w:ascii="Arial" w:hAnsi="Arial" w:cs="Arial"/>
                <w:sz w:val="24"/>
                <w:szCs w:val="24"/>
              </w:rPr>
              <w:t xml:space="preserve"> DCJ (writing the unanimous judgment of the court) stated:</w:t>
            </w:r>
          </w:p>
          <w:p w14:paraId="11762664" w14:textId="77777777" w:rsidR="00A23EB6" w:rsidRDefault="00A23EB6" w:rsidP="00A23EB6">
            <w:pPr>
              <w:spacing w:line="360" w:lineRule="auto"/>
              <w:jc w:val="both"/>
              <w:rPr>
                <w:rFonts w:ascii="Arial" w:hAnsi="Arial" w:cs="Arial"/>
                <w:sz w:val="24"/>
                <w:szCs w:val="24"/>
              </w:rPr>
            </w:pPr>
          </w:p>
          <w:p w14:paraId="7CAB787B" w14:textId="77777777" w:rsidR="00A23EB6" w:rsidRPr="00663770" w:rsidRDefault="00A23EB6" w:rsidP="00A23EB6">
            <w:pPr>
              <w:spacing w:line="360" w:lineRule="auto"/>
              <w:jc w:val="both"/>
              <w:rPr>
                <w:rFonts w:ascii="Arial" w:hAnsi="Arial" w:cs="Arial"/>
              </w:rPr>
            </w:pPr>
            <w:r w:rsidRPr="004A5618">
              <w:rPr>
                <w:rFonts w:ascii="Arial" w:hAnsi="Arial" w:cs="Arial"/>
                <w:sz w:val="24"/>
                <w:szCs w:val="24"/>
              </w:rPr>
              <w:tab/>
            </w:r>
            <w:r w:rsidRPr="00663770">
              <w:rPr>
                <w:rFonts w:ascii="Arial" w:hAnsi="Arial" w:cs="Arial"/>
              </w:rPr>
              <w:t>‘[19]</w:t>
            </w:r>
            <w:r w:rsidRPr="00663770">
              <w:rPr>
                <w:rFonts w:ascii="Arial" w:hAnsi="Arial" w:cs="Arial"/>
              </w:rPr>
              <w:tab/>
              <w:t>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or postpone to a date suitable to itself and the parties to conduct the inquiry. A failure to conduct the inquiry is reversible misdirection. If the debtor is legally unrepresented at the summary judgment proceedings, it behoves counsel for the creditor to draw the court’s attention to the need for the inquiry in terms of rule 108.’</w:t>
            </w:r>
          </w:p>
          <w:p w14:paraId="593A02B0" w14:textId="77777777" w:rsidR="00A23EB6" w:rsidRPr="004A5618" w:rsidRDefault="00A23EB6" w:rsidP="00A23EB6">
            <w:pPr>
              <w:spacing w:line="360" w:lineRule="auto"/>
              <w:jc w:val="both"/>
              <w:rPr>
                <w:rFonts w:ascii="Arial" w:hAnsi="Arial" w:cs="Arial"/>
                <w:sz w:val="24"/>
                <w:szCs w:val="24"/>
              </w:rPr>
            </w:pPr>
          </w:p>
          <w:p w14:paraId="21860B75" w14:textId="6FECA9B4" w:rsidR="00A23EB6" w:rsidRPr="004A5618" w:rsidRDefault="00A23EB6" w:rsidP="00A23EB6">
            <w:pPr>
              <w:spacing w:line="360" w:lineRule="auto"/>
              <w:jc w:val="both"/>
              <w:rPr>
                <w:rFonts w:ascii="Arial" w:hAnsi="Arial" w:cs="Arial"/>
                <w:sz w:val="24"/>
                <w:szCs w:val="24"/>
              </w:rPr>
            </w:pPr>
            <w:r w:rsidRPr="004A5618">
              <w:rPr>
                <w:rFonts w:ascii="Arial" w:hAnsi="Arial" w:cs="Arial"/>
                <w:sz w:val="24"/>
                <w:szCs w:val="24"/>
              </w:rPr>
              <w:t>[4]</w:t>
            </w:r>
            <w:r w:rsidRPr="004A5618">
              <w:rPr>
                <w:rFonts w:ascii="Arial" w:hAnsi="Arial" w:cs="Arial"/>
                <w:sz w:val="24"/>
                <w:szCs w:val="24"/>
              </w:rPr>
              <w:tab/>
            </w:r>
            <w:r>
              <w:rPr>
                <w:rFonts w:ascii="Arial" w:hAnsi="Arial" w:cs="Arial"/>
                <w:sz w:val="24"/>
                <w:szCs w:val="24"/>
              </w:rPr>
              <w:t xml:space="preserve">I shall call the aforesaid requirements in </w:t>
            </w:r>
            <w:proofErr w:type="spellStart"/>
            <w:r w:rsidR="009A49BF" w:rsidRPr="006144A8">
              <w:rPr>
                <w:rFonts w:ascii="Arial" w:hAnsi="Arial" w:cs="Arial"/>
                <w:i/>
                <w:sz w:val="24"/>
                <w:szCs w:val="24"/>
              </w:rPr>
              <w:t>Kisilip</w:t>
            </w:r>
            <w:r w:rsidR="009A49BF">
              <w:rPr>
                <w:rFonts w:ascii="Arial" w:hAnsi="Arial" w:cs="Arial"/>
                <w:i/>
                <w:sz w:val="24"/>
                <w:szCs w:val="24"/>
              </w:rPr>
              <w:t>il</w:t>
            </w:r>
            <w:r w:rsidR="009A49BF" w:rsidRPr="006144A8">
              <w:rPr>
                <w:rFonts w:ascii="Arial" w:hAnsi="Arial" w:cs="Arial"/>
                <w:i/>
                <w:sz w:val="24"/>
                <w:szCs w:val="24"/>
              </w:rPr>
              <w:t>e</w:t>
            </w:r>
            <w:proofErr w:type="spellEnd"/>
            <w:r w:rsidRPr="00AE2293">
              <w:rPr>
                <w:rFonts w:ascii="Arial" w:hAnsi="Arial" w:cs="Arial"/>
                <w:i/>
                <w:sz w:val="24"/>
                <w:szCs w:val="24"/>
              </w:rPr>
              <w:t xml:space="preserve"> </w:t>
            </w:r>
            <w:proofErr w:type="spellStart"/>
            <w:r w:rsidRPr="00AE2293">
              <w:rPr>
                <w:rFonts w:ascii="Arial" w:hAnsi="Arial" w:cs="Arial"/>
                <w:i/>
                <w:sz w:val="24"/>
                <w:szCs w:val="24"/>
              </w:rPr>
              <w:t>Niklaas</w:t>
            </w:r>
            <w:proofErr w:type="spellEnd"/>
            <w:r w:rsidRPr="00AE2293">
              <w:rPr>
                <w:rFonts w:ascii="Arial" w:hAnsi="Arial" w:cs="Arial"/>
                <w:i/>
                <w:sz w:val="24"/>
                <w:szCs w:val="24"/>
              </w:rPr>
              <w:t xml:space="preserve"> and Lydia </w:t>
            </w:r>
            <w:proofErr w:type="spellStart"/>
            <w:r w:rsidRPr="00AE2293">
              <w:rPr>
                <w:rFonts w:ascii="Arial" w:hAnsi="Arial" w:cs="Arial"/>
                <w:i/>
                <w:sz w:val="24"/>
                <w:szCs w:val="24"/>
              </w:rPr>
              <w:t>Vaanda</w:t>
            </w:r>
            <w:proofErr w:type="spellEnd"/>
            <w:r w:rsidRPr="00AE2293">
              <w:rPr>
                <w:rFonts w:ascii="Arial" w:hAnsi="Arial" w:cs="Arial"/>
                <w:i/>
                <w:sz w:val="24"/>
                <w:szCs w:val="24"/>
              </w:rPr>
              <w:t xml:space="preserve"> </w:t>
            </w:r>
            <w:proofErr w:type="spellStart"/>
            <w:r w:rsidRPr="00AE2293">
              <w:rPr>
                <w:rFonts w:ascii="Arial" w:hAnsi="Arial" w:cs="Arial"/>
                <w:i/>
                <w:sz w:val="24"/>
                <w:szCs w:val="24"/>
              </w:rPr>
              <w:t>Katjiuongua</w:t>
            </w:r>
            <w:proofErr w:type="spellEnd"/>
            <w:r>
              <w:rPr>
                <w:rFonts w:ascii="Arial" w:hAnsi="Arial" w:cs="Arial"/>
                <w:sz w:val="24"/>
                <w:szCs w:val="24"/>
              </w:rPr>
              <w:t xml:space="preserve"> the </w:t>
            </w:r>
            <w:proofErr w:type="spellStart"/>
            <w:r w:rsidR="009A49BF" w:rsidRPr="006144A8">
              <w:rPr>
                <w:rFonts w:ascii="Arial" w:hAnsi="Arial" w:cs="Arial"/>
                <w:i/>
                <w:sz w:val="24"/>
                <w:szCs w:val="24"/>
              </w:rPr>
              <w:t>Kisilip</w:t>
            </w:r>
            <w:r w:rsidR="009A49BF">
              <w:rPr>
                <w:rFonts w:ascii="Arial" w:hAnsi="Arial" w:cs="Arial"/>
                <w:i/>
                <w:sz w:val="24"/>
                <w:szCs w:val="24"/>
              </w:rPr>
              <w:t>il</w:t>
            </w:r>
            <w:r w:rsidR="009A49BF" w:rsidRPr="006144A8">
              <w:rPr>
                <w:rFonts w:ascii="Arial" w:hAnsi="Arial" w:cs="Arial"/>
                <w:i/>
                <w:sz w:val="24"/>
                <w:szCs w:val="24"/>
              </w:rPr>
              <w:t>e</w:t>
            </w:r>
            <w:proofErr w:type="spellEnd"/>
            <w:r>
              <w:rPr>
                <w:rFonts w:ascii="Arial" w:hAnsi="Arial" w:cs="Arial"/>
                <w:sz w:val="24"/>
                <w:szCs w:val="24"/>
              </w:rPr>
              <w:t xml:space="preserve"> requirements.</w:t>
            </w:r>
          </w:p>
          <w:p w14:paraId="2E724219" w14:textId="77777777" w:rsidR="00A23EB6" w:rsidRDefault="00A23EB6" w:rsidP="00A23EB6">
            <w:pPr>
              <w:spacing w:line="360" w:lineRule="auto"/>
              <w:jc w:val="both"/>
              <w:rPr>
                <w:rFonts w:ascii="Arial" w:hAnsi="Arial" w:cs="Arial"/>
                <w:sz w:val="24"/>
                <w:szCs w:val="24"/>
              </w:rPr>
            </w:pPr>
          </w:p>
          <w:p w14:paraId="705E9491" w14:textId="6054B1D9" w:rsidR="00A23EB6" w:rsidRPr="004A5618" w:rsidRDefault="00A23EB6" w:rsidP="00A23EB6">
            <w:pPr>
              <w:spacing w:line="360" w:lineRule="auto"/>
              <w:jc w:val="both"/>
              <w:rPr>
                <w:rFonts w:ascii="Arial" w:hAnsi="Arial" w:cs="Arial"/>
              </w:rPr>
            </w:pPr>
            <w:r w:rsidRPr="004A5618">
              <w:rPr>
                <w:rFonts w:ascii="Arial" w:hAnsi="Arial" w:cs="Arial"/>
                <w:sz w:val="24"/>
                <w:szCs w:val="24"/>
              </w:rPr>
              <w:t>[5]</w:t>
            </w:r>
            <w:r w:rsidRPr="004A5618">
              <w:rPr>
                <w:rFonts w:ascii="Arial" w:hAnsi="Arial" w:cs="Arial"/>
                <w:sz w:val="24"/>
                <w:szCs w:val="24"/>
              </w:rPr>
              <w:tab/>
            </w:r>
            <w:r>
              <w:rPr>
                <w:rFonts w:ascii="Arial" w:hAnsi="Arial" w:cs="Arial"/>
                <w:sz w:val="24"/>
                <w:szCs w:val="24"/>
              </w:rPr>
              <w:t xml:space="preserve">The centrepiece of the </w:t>
            </w:r>
            <w:proofErr w:type="spellStart"/>
            <w:r w:rsidR="009A49BF" w:rsidRPr="006144A8">
              <w:rPr>
                <w:rFonts w:ascii="Arial" w:hAnsi="Arial" w:cs="Arial"/>
                <w:i/>
                <w:sz w:val="24"/>
                <w:szCs w:val="24"/>
              </w:rPr>
              <w:t>Kisilip</w:t>
            </w:r>
            <w:r w:rsidR="009A49BF">
              <w:rPr>
                <w:rFonts w:ascii="Arial" w:hAnsi="Arial" w:cs="Arial"/>
                <w:i/>
                <w:sz w:val="24"/>
                <w:szCs w:val="24"/>
              </w:rPr>
              <w:t>il</w:t>
            </w:r>
            <w:r w:rsidR="009A49BF" w:rsidRPr="006144A8">
              <w:rPr>
                <w:rFonts w:ascii="Arial" w:hAnsi="Arial" w:cs="Arial"/>
                <w:i/>
                <w:sz w:val="24"/>
                <w:szCs w:val="24"/>
              </w:rPr>
              <w:t>e</w:t>
            </w:r>
            <w:proofErr w:type="spellEnd"/>
            <w:r>
              <w:rPr>
                <w:rFonts w:ascii="Arial" w:hAnsi="Arial" w:cs="Arial"/>
                <w:sz w:val="24"/>
                <w:szCs w:val="24"/>
              </w:rPr>
              <w:t xml:space="preserve"> requirements is that judicial oversight under rule 108 of the rules of court exists to ensure that debtors are not made homeless unnecessarily and that the sale in execution of a primary home should be the last resort. It follows that the court, in considering an application to declare a property </w:t>
            </w:r>
            <w:proofErr w:type="gramStart"/>
            <w:r>
              <w:rPr>
                <w:rFonts w:ascii="Arial" w:hAnsi="Arial" w:cs="Arial"/>
                <w:sz w:val="24"/>
                <w:szCs w:val="24"/>
              </w:rPr>
              <w:t>specially</w:t>
            </w:r>
            <w:proofErr w:type="gramEnd"/>
            <w:r>
              <w:rPr>
                <w:rFonts w:ascii="Arial" w:hAnsi="Arial" w:cs="Arial"/>
                <w:sz w:val="24"/>
                <w:szCs w:val="24"/>
              </w:rPr>
              <w:t xml:space="preserve"> executable, ought to look into whether, for instance, there exists good prospects of a debtor making arrangements to dispose of another asset within a reasonable time to liquidate the outstanding balance. Thus, the court should be seen to have enquired into whether there existed ‘available, viable and less drastic alternatives to declaring the property </w:t>
            </w:r>
            <w:proofErr w:type="gramStart"/>
            <w:r>
              <w:rPr>
                <w:rFonts w:ascii="Arial" w:hAnsi="Arial" w:cs="Arial"/>
                <w:sz w:val="24"/>
                <w:szCs w:val="24"/>
              </w:rPr>
              <w:t>specially</w:t>
            </w:r>
            <w:proofErr w:type="gramEnd"/>
            <w:r>
              <w:rPr>
                <w:rFonts w:ascii="Arial" w:hAnsi="Arial" w:cs="Arial"/>
                <w:sz w:val="24"/>
                <w:szCs w:val="24"/>
              </w:rPr>
              <w:t xml:space="preserve"> executable’.</w:t>
            </w:r>
            <w:r>
              <w:rPr>
                <w:rStyle w:val="FootnoteReference"/>
                <w:rFonts w:ascii="Arial" w:hAnsi="Arial" w:cs="Arial"/>
                <w:sz w:val="24"/>
                <w:szCs w:val="24"/>
              </w:rPr>
              <w:footnoteReference w:id="3"/>
            </w:r>
          </w:p>
          <w:p w14:paraId="7776768F" w14:textId="77777777" w:rsidR="00A23EB6" w:rsidRPr="004A5618" w:rsidRDefault="00A23EB6" w:rsidP="00A23EB6">
            <w:pPr>
              <w:spacing w:line="360" w:lineRule="auto"/>
              <w:jc w:val="both"/>
              <w:rPr>
                <w:rFonts w:ascii="Arial" w:hAnsi="Arial" w:cs="Arial"/>
                <w:sz w:val="24"/>
                <w:szCs w:val="24"/>
              </w:rPr>
            </w:pPr>
          </w:p>
          <w:p w14:paraId="16AF3DC5" w14:textId="17268B20" w:rsidR="00A23EB6" w:rsidRDefault="00A23EB6" w:rsidP="00A23EB6">
            <w:pPr>
              <w:spacing w:line="360" w:lineRule="auto"/>
              <w:jc w:val="both"/>
              <w:rPr>
                <w:rFonts w:ascii="Arial" w:hAnsi="Arial" w:cs="Arial"/>
                <w:sz w:val="24"/>
                <w:szCs w:val="24"/>
              </w:rPr>
            </w:pPr>
            <w:r w:rsidRPr="004A5618">
              <w:rPr>
                <w:rFonts w:ascii="Arial" w:hAnsi="Arial" w:cs="Arial"/>
                <w:sz w:val="24"/>
                <w:szCs w:val="24"/>
              </w:rPr>
              <w:t>[6]</w:t>
            </w:r>
            <w:r w:rsidRPr="004A5618">
              <w:rPr>
                <w:rFonts w:ascii="Arial" w:hAnsi="Arial" w:cs="Arial"/>
                <w:sz w:val="24"/>
                <w:szCs w:val="24"/>
              </w:rPr>
              <w:tab/>
            </w:r>
            <w:r>
              <w:rPr>
                <w:rFonts w:ascii="Arial" w:hAnsi="Arial" w:cs="Arial"/>
                <w:sz w:val="24"/>
                <w:szCs w:val="24"/>
              </w:rPr>
              <w:t xml:space="preserve">The following superlatively crucial point is stated in </w:t>
            </w:r>
            <w:proofErr w:type="spellStart"/>
            <w:r>
              <w:rPr>
                <w:rFonts w:ascii="Arial" w:hAnsi="Arial" w:cs="Arial"/>
                <w:sz w:val="24"/>
                <w:szCs w:val="24"/>
              </w:rPr>
              <w:t>capitalities</w:t>
            </w:r>
            <w:proofErr w:type="spellEnd"/>
            <w:r>
              <w:rPr>
                <w:rFonts w:ascii="Arial" w:hAnsi="Arial" w:cs="Arial"/>
                <w:sz w:val="24"/>
                <w:szCs w:val="24"/>
              </w:rPr>
              <w:t xml:space="preserve">: The </w:t>
            </w:r>
            <w:proofErr w:type="spellStart"/>
            <w:r w:rsidRPr="006144A8">
              <w:rPr>
                <w:rFonts w:ascii="Arial" w:hAnsi="Arial" w:cs="Arial"/>
                <w:i/>
                <w:sz w:val="24"/>
                <w:szCs w:val="24"/>
              </w:rPr>
              <w:t>Kisilipe</w:t>
            </w:r>
            <w:proofErr w:type="spellEnd"/>
            <w:r>
              <w:rPr>
                <w:rFonts w:ascii="Arial" w:hAnsi="Arial" w:cs="Arial"/>
                <w:sz w:val="24"/>
                <w:szCs w:val="24"/>
              </w:rPr>
              <w:t xml:space="preserve"> requirements apply only where ‘the immovable property sought to be attached is the primary home of the execution debtor or is leased to a third party as home’,</w:t>
            </w:r>
            <w:r w:rsidR="009A49BF">
              <w:rPr>
                <w:rFonts w:ascii="Arial" w:hAnsi="Arial" w:cs="Arial"/>
                <w:sz w:val="24"/>
                <w:szCs w:val="24"/>
              </w:rPr>
              <w:t xml:space="preserve"> within the meaning of rule 108</w:t>
            </w:r>
            <w:r>
              <w:rPr>
                <w:rFonts w:ascii="Arial" w:hAnsi="Arial" w:cs="Arial"/>
                <w:sz w:val="24"/>
                <w:szCs w:val="24"/>
              </w:rPr>
              <w:t>(2).</w:t>
            </w:r>
          </w:p>
          <w:p w14:paraId="5BE15EBE" w14:textId="77777777" w:rsidR="00A23EB6" w:rsidRDefault="00A23EB6" w:rsidP="00A23EB6">
            <w:pPr>
              <w:spacing w:line="360" w:lineRule="auto"/>
              <w:jc w:val="both"/>
              <w:rPr>
                <w:rFonts w:ascii="Arial" w:hAnsi="Arial" w:cs="Arial"/>
                <w:sz w:val="24"/>
                <w:szCs w:val="24"/>
              </w:rPr>
            </w:pPr>
          </w:p>
          <w:p w14:paraId="599172B0" w14:textId="274E9C71" w:rsidR="00B32493" w:rsidRDefault="00A23EB6" w:rsidP="00A23EB6">
            <w:pPr>
              <w:spacing w:line="360" w:lineRule="auto"/>
              <w:jc w:val="both"/>
              <w:rPr>
                <w:rFonts w:ascii="Arial" w:hAnsi="Arial" w:cs="Arial"/>
                <w:sz w:val="24"/>
                <w:szCs w:val="24"/>
              </w:rPr>
            </w:pPr>
            <w:r>
              <w:rPr>
                <w:rFonts w:ascii="Arial" w:hAnsi="Arial" w:cs="Arial"/>
                <w:sz w:val="24"/>
                <w:szCs w:val="24"/>
              </w:rPr>
              <w:t>[7]</w:t>
            </w:r>
            <w:r w:rsidRPr="004A5618">
              <w:rPr>
                <w:rFonts w:ascii="Arial" w:hAnsi="Arial" w:cs="Arial"/>
                <w:sz w:val="24"/>
                <w:szCs w:val="24"/>
              </w:rPr>
              <w:tab/>
            </w:r>
            <w:r>
              <w:rPr>
                <w:rFonts w:ascii="Arial" w:hAnsi="Arial" w:cs="Arial"/>
                <w:sz w:val="24"/>
                <w:szCs w:val="24"/>
              </w:rPr>
              <w:t>As a matter of language, law and common sense, and considering the object of rule 108, discussed previously, an immovable property cannot be the primary home of a juristic entity.</w:t>
            </w:r>
            <w:r>
              <w:rPr>
                <w:rStyle w:val="FootnoteReference"/>
                <w:rFonts w:ascii="Arial" w:hAnsi="Arial" w:cs="Arial"/>
                <w:sz w:val="24"/>
                <w:szCs w:val="24"/>
              </w:rPr>
              <w:footnoteReference w:id="4"/>
            </w:r>
            <w:r>
              <w:rPr>
                <w:rFonts w:ascii="Arial" w:hAnsi="Arial" w:cs="Arial"/>
                <w:sz w:val="24"/>
                <w:szCs w:val="24"/>
              </w:rPr>
              <w:t xml:space="preserve"> To argue that a juristic entity can have a primary home is to do violence to the English language and to render ludicrous the object of the protection offered by judicial oversight under rule 108.</w:t>
            </w:r>
            <w:r w:rsidR="0020505F">
              <w:rPr>
                <w:rFonts w:ascii="Arial" w:hAnsi="Arial" w:cs="Arial"/>
                <w:sz w:val="24"/>
                <w:szCs w:val="24"/>
              </w:rPr>
              <w:t xml:space="preserve">  </w:t>
            </w:r>
            <w:r w:rsidR="0020505F">
              <w:rPr>
                <w:rFonts w:ascii="Arial" w:hAnsi="Arial" w:cs="Arial"/>
                <w:sz w:val="24"/>
                <w:szCs w:val="24"/>
              </w:rPr>
              <w:lastRenderedPageBreak/>
              <w:t>Furthermore, there was nothing placed before the court to indicate that the property was leased to a le</w:t>
            </w:r>
            <w:r w:rsidR="006F6648">
              <w:rPr>
                <w:rFonts w:ascii="Arial" w:hAnsi="Arial" w:cs="Arial"/>
                <w:sz w:val="24"/>
                <w:szCs w:val="24"/>
              </w:rPr>
              <w:t>s</w:t>
            </w:r>
            <w:r w:rsidR="0020505F">
              <w:rPr>
                <w:rFonts w:ascii="Arial" w:hAnsi="Arial" w:cs="Arial"/>
                <w:sz w:val="24"/>
                <w:szCs w:val="24"/>
              </w:rPr>
              <w:t>see.</w:t>
            </w:r>
          </w:p>
          <w:p w14:paraId="53F0D4CD" w14:textId="77777777" w:rsidR="00A23EB6" w:rsidRPr="004A5618" w:rsidRDefault="00A23EB6" w:rsidP="00A23EB6">
            <w:pPr>
              <w:spacing w:line="360" w:lineRule="auto"/>
              <w:jc w:val="both"/>
              <w:rPr>
                <w:rFonts w:ascii="Arial" w:hAnsi="Arial" w:cs="Arial"/>
                <w:sz w:val="24"/>
                <w:szCs w:val="24"/>
              </w:rPr>
            </w:pPr>
          </w:p>
          <w:p w14:paraId="59E6A03A" w14:textId="7D17FCAE" w:rsidR="00B32493"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62003A">
              <w:rPr>
                <w:rFonts w:ascii="Arial" w:hAnsi="Arial" w:cs="Arial"/>
                <w:sz w:val="24"/>
                <w:szCs w:val="24"/>
              </w:rPr>
              <w:t>8</w:t>
            </w:r>
            <w:r w:rsidRPr="004A5618">
              <w:rPr>
                <w:rFonts w:ascii="Arial" w:hAnsi="Arial" w:cs="Arial"/>
                <w:sz w:val="24"/>
                <w:szCs w:val="24"/>
              </w:rPr>
              <w:t>]</w:t>
            </w:r>
            <w:r w:rsidRPr="004A5618">
              <w:rPr>
                <w:rFonts w:ascii="Arial" w:hAnsi="Arial" w:cs="Arial"/>
                <w:sz w:val="24"/>
                <w:szCs w:val="24"/>
              </w:rPr>
              <w:tab/>
            </w:r>
            <w:r w:rsidR="00FC7A25">
              <w:rPr>
                <w:rFonts w:ascii="Arial" w:hAnsi="Arial" w:cs="Arial"/>
                <w:sz w:val="24"/>
                <w:szCs w:val="24"/>
              </w:rPr>
              <w:t xml:space="preserve">The following statement by </w:t>
            </w:r>
            <w:proofErr w:type="spellStart"/>
            <w:r w:rsidR="00FC7A25">
              <w:rPr>
                <w:rFonts w:ascii="Arial" w:hAnsi="Arial" w:cs="Arial"/>
                <w:color w:val="333333"/>
                <w:sz w:val="24"/>
                <w:szCs w:val="24"/>
                <w:shd w:val="clear" w:color="auto" w:fill="FFFFFF"/>
              </w:rPr>
              <w:t>Juuso</w:t>
            </w:r>
            <w:proofErr w:type="spellEnd"/>
            <w:r w:rsidR="00FC7A25">
              <w:rPr>
                <w:rFonts w:ascii="Arial" w:hAnsi="Arial" w:cs="Arial"/>
                <w:color w:val="333333"/>
                <w:sz w:val="24"/>
                <w:szCs w:val="24"/>
                <w:shd w:val="clear" w:color="auto" w:fill="FFFFFF"/>
              </w:rPr>
              <w:t xml:space="preserve"> </w:t>
            </w:r>
            <w:proofErr w:type="spellStart"/>
            <w:r w:rsidR="00FC7A25">
              <w:rPr>
                <w:rFonts w:ascii="Arial" w:hAnsi="Arial" w:cs="Arial"/>
                <w:sz w:val="24"/>
                <w:szCs w:val="24"/>
              </w:rPr>
              <w:t>K</w:t>
            </w:r>
            <w:r w:rsidR="00FC7A25" w:rsidRPr="00661376">
              <w:rPr>
                <w:rFonts w:ascii="Arial" w:hAnsi="Arial" w:cs="Arial"/>
                <w:sz w:val="24"/>
                <w:szCs w:val="24"/>
              </w:rPr>
              <w:t>ambueshe</w:t>
            </w:r>
            <w:proofErr w:type="spellEnd"/>
            <w:r w:rsidR="00FC7A25">
              <w:rPr>
                <w:rFonts w:ascii="Arial" w:hAnsi="Arial" w:cs="Arial"/>
                <w:sz w:val="24"/>
                <w:szCs w:val="24"/>
              </w:rPr>
              <w:t xml:space="preserve"> is the bo</w:t>
            </w:r>
            <w:r w:rsidR="00565B43">
              <w:rPr>
                <w:rFonts w:ascii="Arial" w:hAnsi="Arial" w:cs="Arial"/>
                <w:sz w:val="24"/>
                <w:szCs w:val="24"/>
              </w:rPr>
              <w:t>ne and marrow of the respondent</w:t>
            </w:r>
            <w:r w:rsidR="00FC7A25">
              <w:rPr>
                <w:rFonts w:ascii="Arial" w:hAnsi="Arial" w:cs="Arial"/>
                <w:sz w:val="24"/>
                <w:szCs w:val="24"/>
              </w:rPr>
              <w:t>s</w:t>
            </w:r>
            <w:r w:rsidR="00565B43">
              <w:rPr>
                <w:rFonts w:ascii="Arial" w:hAnsi="Arial" w:cs="Arial"/>
                <w:sz w:val="24"/>
                <w:szCs w:val="24"/>
              </w:rPr>
              <w:t>’</w:t>
            </w:r>
            <w:r w:rsidR="00FC7A25">
              <w:rPr>
                <w:rFonts w:ascii="Arial" w:hAnsi="Arial" w:cs="Arial"/>
                <w:sz w:val="24"/>
                <w:szCs w:val="24"/>
              </w:rPr>
              <w:t xml:space="preserve"> response to the applicant’s application.</w:t>
            </w:r>
          </w:p>
          <w:p w14:paraId="263513DE" w14:textId="77777777" w:rsidR="00FC7A25" w:rsidRDefault="00FC7A25" w:rsidP="008E5E3D">
            <w:pPr>
              <w:spacing w:line="360" w:lineRule="auto"/>
              <w:jc w:val="both"/>
              <w:rPr>
                <w:rFonts w:ascii="Arial" w:hAnsi="Arial" w:cs="Arial"/>
                <w:sz w:val="24"/>
                <w:szCs w:val="24"/>
              </w:rPr>
            </w:pPr>
          </w:p>
          <w:p w14:paraId="5D47FC6B" w14:textId="1C458E7B" w:rsidR="00FC7A25" w:rsidRDefault="00FC7A25" w:rsidP="008E5E3D">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ab/>
            </w:r>
            <w:r w:rsidR="00E6569A">
              <w:rPr>
                <w:rFonts w:ascii="Arial" w:hAnsi="Arial" w:cs="Arial"/>
                <w:sz w:val="24"/>
                <w:szCs w:val="24"/>
              </w:rPr>
              <w:t>The respondent</w:t>
            </w:r>
            <w:r w:rsidR="00565B43">
              <w:rPr>
                <w:rFonts w:ascii="Arial" w:hAnsi="Arial" w:cs="Arial"/>
                <w:sz w:val="24"/>
                <w:szCs w:val="24"/>
              </w:rPr>
              <w:t>s</w:t>
            </w:r>
            <w:r w:rsidR="00E6569A">
              <w:rPr>
                <w:rFonts w:ascii="Arial" w:hAnsi="Arial" w:cs="Arial"/>
                <w:sz w:val="24"/>
                <w:szCs w:val="24"/>
              </w:rPr>
              <w:t xml:space="preserve"> took the view that the applicant bore the burden ‘to present alternatives that the court should consider to avoid a sale in execution,’ that is, ‘viable alternatives’</w:t>
            </w:r>
            <w:r w:rsidR="00F84DD1">
              <w:rPr>
                <w:rFonts w:ascii="Arial" w:hAnsi="Arial" w:cs="Arial"/>
                <w:sz w:val="24"/>
                <w:szCs w:val="24"/>
              </w:rPr>
              <w:t>.</w:t>
            </w:r>
            <w:r w:rsidR="00191974">
              <w:rPr>
                <w:rStyle w:val="FootnoteReference"/>
                <w:rFonts w:ascii="Arial" w:hAnsi="Arial" w:cs="Arial"/>
                <w:sz w:val="24"/>
                <w:szCs w:val="24"/>
              </w:rPr>
              <w:footnoteReference w:id="5"/>
            </w:r>
            <w:r w:rsidR="00B13529">
              <w:rPr>
                <w:rFonts w:ascii="Arial" w:hAnsi="Arial" w:cs="Arial"/>
                <w:sz w:val="24"/>
                <w:szCs w:val="24"/>
              </w:rPr>
              <w:t xml:space="preserve"> I hold that the applicant bears no such burden. The respondent’s view establishes undeniably that the respondent has failed to present alternatives, satisfactory to </w:t>
            </w:r>
            <w:r w:rsidR="00F84DD1">
              <w:rPr>
                <w:rFonts w:ascii="Arial" w:hAnsi="Arial" w:cs="Arial"/>
                <w:sz w:val="24"/>
                <w:szCs w:val="24"/>
              </w:rPr>
              <w:t xml:space="preserve">the </w:t>
            </w:r>
            <w:r w:rsidR="00B13529">
              <w:rPr>
                <w:rFonts w:ascii="Arial" w:hAnsi="Arial" w:cs="Arial"/>
                <w:sz w:val="24"/>
                <w:szCs w:val="24"/>
              </w:rPr>
              <w:t>court</w:t>
            </w:r>
            <w:r w:rsidR="00F84DD1">
              <w:rPr>
                <w:rFonts w:ascii="Arial" w:hAnsi="Arial" w:cs="Arial"/>
                <w:sz w:val="24"/>
                <w:szCs w:val="24"/>
              </w:rPr>
              <w:t>,</w:t>
            </w:r>
            <w:r w:rsidR="00B13529">
              <w:rPr>
                <w:rFonts w:ascii="Arial" w:hAnsi="Arial" w:cs="Arial"/>
                <w:sz w:val="24"/>
                <w:szCs w:val="24"/>
              </w:rPr>
              <w:t xml:space="preserve"> to avoid a sale in exec</w:t>
            </w:r>
            <w:r w:rsidR="00683F2D">
              <w:rPr>
                <w:rFonts w:ascii="Arial" w:hAnsi="Arial" w:cs="Arial"/>
                <w:sz w:val="24"/>
                <w:szCs w:val="24"/>
              </w:rPr>
              <w:t>u</w:t>
            </w:r>
            <w:r w:rsidR="00B13529">
              <w:rPr>
                <w:rFonts w:ascii="Arial" w:hAnsi="Arial" w:cs="Arial"/>
                <w:sz w:val="24"/>
                <w:szCs w:val="24"/>
              </w:rPr>
              <w:t>tion.  In any case, since the execution debtor, who is the owner of the said immovable property, is a juristic entity, the judicial oversight protection under rule 108 is not available to it, as held in paras 6 and 7 above.</w:t>
            </w:r>
          </w:p>
          <w:p w14:paraId="38858D05" w14:textId="77777777" w:rsidR="00B13529" w:rsidRDefault="00B13529" w:rsidP="008E5E3D">
            <w:pPr>
              <w:spacing w:line="360" w:lineRule="auto"/>
              <w:jc w:val="both"/>
              <w:rPr>
                <w:rFonts w:ascii="Arial" w:hAnsi="Arial" w:cs="Arial"/>
                <w:sz w:val="24"/>
                <w:szCs w:val="24"/>
              </w:rPr>
            </w:pPr>
          </w:p>
          <w:p w14:paraId="60F72431" w14:textId="1ABF4944" w:rsidR="00B32493" w:rsidRPr="004A5618" w:rsidRDefault="00B13529" w:rsidP="00B32493">
            <w:pPr>
              <w:spacing w:line="360" w:lineRule="auto"/>
              <w:jc w:val="both"/>
              <w:rPr>
                <w:rFonts w:ascii="Arial" w:hAnsi="Arial" w:cs="Arial"/>
                <w:sz w:val="24"/>
                <w:szCs w:val="24"/>
              </w:rPr>
            </w:pPr>
            <w:r>
              <w:rPr>
                <w:rFonts w:ascii="Arial" w:hAnsi="Arial" w:cs="Arial"/>
                <w:sz w:val="24"/>
                <w:szCs w:val="24"/>
              </w:rPr>
              <w:t>[10]</w:t>
            </w:r>
            <w:r w:rsidRPr="004A5618">
              <w:rPr>
                <w:rFonts w:ascii="Arial" w:hAnsi="Arial" w:cs="Arial"/>
                <w:sz w:val="24"/>
                <w:szCs w:val="24"/>
              </w:rPr>
              <w:t xml:space="preserve"> </w:t>
            </w:r>
            <w:r w:rsidRPr="004A5618">
              <w:rPr>
                <w:rFonts w:ascii="Arial" w:hAnsi="Arial" w:cs="Arial"/>
                <w:sz w:val="24"/>
                <w:szCs w:val="24"/>
              </w:rPr>
              <w:tab/>
            </w:r>
            <w:r w:rsidR="005672D2">
              <w:rPr>
                <w:rFonts w:ascii="Arial" w:hAnsi="Arial" w:cs="Arial"/>
                <w:sz w:val="24"/>
                <w:szCs w:val="24"/>
              </w:rPr>
              <w:t xml:space="preserve">Based on these reasons, I find that the respondent has failed to resist an order declaring the said property to be </w:t>
            </w:r>
            <w:proofErr w:type="gramStart"/>
            <w:r w:rsidR="005672D2">
              <w:rPr>
                <w:rFonts w:ascii="Arial" w:hAnsi="Arial" w:cs="Arial"/>
                <w:sz w:val="24"/>
                <w:szCs w:val="24"/>
              </w:rPr>
              <w:t>specially</w:t>
            </w:r>
            <w:proofErr w:type="gramEnd"/>
            <w:r w:rsidR="005672D2">
              <w:rPr>
                <w:rFonts w:ascii="Arial" w:hAnsi="Arial" w:cs="Arial"/>
                <w:sz w:val="24"/>
                <w:szCs w:val="24"/>
              </w:rPr>
              <w:t xml:space="preserve"> executable.  And I hold that the applicant has made out a case for the relief sought. </w:t>
            </w:r>
            <w:r w:rsidR="00CC128D">
              <w:rPr>
                <w:rFonts w:ascii="Arial" w:hAnsi="Arial" w:cs="Arial"/>
                <w:sz w:val="24"/>
                <w:szCs w:val="24"/>
              </w:rPr>
              <w:t>In the result, I order as follows:</w:t>
            </w:r>
          </w:p>
          <w:p w14:paraId="13B62C20" w14:textId="77777777" w:rsidR="00B32493" w:rsidRPr="004A5618" w:rsidRDefault="00B32493" w:rsidP="00B32493">
            <w:pPr>
              <w:spacing w:line="360" w:lineRule="auto"/>
              <w:jc w:val="both"/>
              <w:rPr>
                <w:rFonts w:ascii="Arial" w:hAnsi="Arial" w:cs="Arial"/>
                <w:sz w:val="24"/>
                <w:szCs w:val="24"/>
              </w:rPr>
            </w:pPr>
          </w:p>
          <w:p w14:paraId="6F3702DD" w14:textId="3292F80F" w:rsidR="00DA5689" w:rsidRDefault="005672D2" w:rsidP="00FD0062">
            <w:pPr>
              <w:pStyle w:val="ListParagraph"/>
              <w:numPr>
                <w:ilvl w:val="0"/>
                <w:numId w:val="24"/>
              </w:numPr>
              <w:spacing w:line="360" w:lineRule="auto"/>
              <w:ind w:hanging="687"/>
              <w:jc w:val="both"/>
              <w:rPr>
                <w:rFonts w:ascii="Arial" w:hAnsi="Arial" w:cs="Arial"/>
                <w:sz w:val="24"/>
                <w:szCs w:val="24"/>
              </w:rPr>
            </w:pPr>
            <w:r>
              <w:rPr>
                <w:rFonts w:ascii="Arial" w:hAnsi="Arial" w:cs="Arial"/>
                <w:sz w:val="24"/>
                <w:szCs w:val="24"/>
              </w:rPr>
              <w:t>T</w:t>
            </w:r>
            <w:r w:rsidR="00CC128D">
              <w:rPr>
                <w:rFonts w:ascii="Arial" w:hAnsi="Arial" w:cs="Arial"/>
                <w:sz w:val="24"/>
                <w:szCs w:val="24"/>
              </w:rPr>
              <w:t xml:space="preserve">he following immovable property is </w:t>
            </w:r>
            <w:r>
              <w:rPr>
                <w:rFonts w:ascii="Arial" w:hAnsi="Arial" w:cs="Arial"/>
                <w:sz w:val="24"/>
                <w:szCs w:val="24"/>
              </w:rPr>
              <w:t xml:space="preserve">hereby </w:t>
            </w:r>
            <w:r w:rsidR="00CC128D">
              <w:rPr>
                <w:rFonts w:ascii="Arial" w:hAnsi="Arial" w:cs="Arial"/>
                <w:sz w:val="24"/>
                <w:szCs w:val="24"/>
              </w:rPr>
              <w:t>declared specially executable:</w:t>
            </w:r>
          </w:p>
          <w:p w14:paraId="6C307E6F" w14:textId="77777777" w:rsidR="00CC128D" w:rsidRDefault="00CC128D" w:rsidP="00CC128D">
            <w:pPr>
              <w:pStyle w:val="ListParagraph"/>
              <w:spacing w:line="360" w:lineRule="auto"/>
              <w:ind w:left="743"/>
              <w:jc w:val="both"/>
              <w:rPr>
                <w:rFonts w:ascii="Arial" w:hAnsi="Arial" w:cs="Arial"/>
                <w:sz w:val="24"/>
                <w:szCs w:val="24"/>
              </w:rPr>
            </w:pPr>
          </w:p>
          <w:p w14:paraId="1C463200" w14:textId="41DFD9B8" w:rsidR="00CC128D" w:rsidRDefault="00CC128D" w:rsidP="00CC128D">
            <w:pPr>
              <w:pStyle w:val="ListParagraph"/>
              <w:spacing w:line="360" w:lineRule="auto"/>
              <w:ind w:left="743"/>
              <w:jc w:val="both"/>
              <w:rPr>
                <w:rFonts w:ascii="Arial" w:hAnsi="Arial" w:cs="Arial"/>
                <w:sz w:val="24"/>
                <w:szCs w:val="24"/>
              </w:rPr>
            </w:pPr>
            <w:r>
              <w:rPr>
                <w:rFonts w:ascii="Arial" w:hAnsi="Arial" w:cs="Arial"/>
                <w:sz w:val="24"/>
                <w:szCs w:val="24"/>
              </w:rPr>
              <w:t>CERTAIN:</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sidR="005672D2">
              <w:rPr>
                <w:rFonts w:ascii="Arial" w:hAnsi="Arial" w:cs="Arial"/>
                <w:sz w:val="24"/>
                <w:szCs w:val="24"/>
              </w:rPr>
              <w:t xml:space="preserve">Erf 82, </w:t>
            </w:r>
            <w:proofErr w:type="spellStart"/>
            <w:r w:rsidR="005672D2">
              <w:rPr>
                <w:rFonts w:ascii="Arial" w:hAnsi="Arial" w:cs="Arial"/>
                <w:sz w:val="24"/>
                <w:szCs w:val="24"/>
              </w:rPr>
              <w:t>Rossmund</w:t>
            </w:r>
            <w:proofErr w:type="spellEnd"/>
            <w:r w:rsidR="005672D2">
              <w:rPr>
                <w:rFonts w:ascii="Arial" w:hAnsi="Arial" w:cs="Arial"/>
                <w:sz w:val="24"/>
                <w:szCs w:val="24"/>
              </w:rPr>
              <w:t xml:space="preserve"> Golf Course</w:t>
            </w:r>
          </w:p>
          <w:p w14:paraId="2D28CCD1" w14:textId="597063CB" w:rsidR="00CC128D" w:rsidRDefault="00CC128D" w:rsidP="00CC128D">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p>
          <w:p w14:paraId="4E2B13AC" w14:textId="74AD80D3" w:rsidR="00CC128D" w:rsidRDefault="00CC128D" w:rsidP="00CC128D">
            <w:pPr>
              <w:pStyle w:val="ListParagraph"/>
              <w:spacing w:line="360" w:lineRule="auto"/>
              <w:ind w:left="743"/>
              <w:jc w:val="both"/>
              <w:rPr>
                <w:rFonts w:ascii="Arial" w:hAnsi="Arial" w:cs="Arial"/>
                <w:sz w:val="24"/>
                <w:szCs w:val="24"/>
              </w:rPr>
            </w:pPr>
            <w:r>
              <w:rPr>
                <w:rFonts w:ascii="Arial" w:hAnsi="Arial" w:cs="Arial"/>
                <w:sz w:val="24"/>
                <w:szCs w:val="24"/>
              </w:rPr>
              <w:t>SITUATE:</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 xml:space="preserve">In the Municipality of </w:t>
            </w:r>
            <w:proofErr w:type="spellStart"/>
            <w:r w:rsidR="005672D2">
              <w:rPr>
                <w:rFonts w:ascii="Arial" w:hAnsi="Arial" w:cs="Arial"/>
                <w:sz w:val="24"/>
                <w:szCs w:val="24"/>
              </w:rPr>
              <w:t>Swakopmund</w:t>
            </w:r>
            <w:proofErr w:type="spellEnd"/>
          </w:p>
          <w:p w14:paraId="135EB213" w14:textId="4EA19D18" w:rsidR="00CC128D" w:rsidRDefault="00CC128D" w:rsidP="00CC128D">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Registration Division “</w:t>
            </w:r>
            <w:r w:rsidR="005672D2">
              <w:rPr>
                <w:rFonts w:ascii="Arial" w:hAnsi="Arial" w:cs="Arial"/>
                <w:sz w:val="24"/>
                <w:szCs w:val="24"/>
              </w:rPr>
              <w:t>G</w:t>
            </w:r>
            <w:r>
              <w:rPr>
                <w:rFonts w:ascii="Arial" w:hAnsi="Arial" w:cs="Arial"/>
                <w:sz w:val="24"/>
                <w:szCs w:val="24"/>
              </w:rPr>
              <w:t>”</w:t>
            </w:r>
          </w:p>
          <w:p w14:paraId="2DB9E5CA" w14:textId="12AC84ED" w:rsidR="00CC128D" w:rsidRDefault="00CC128D" w:rsidP="00CC128D">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proofErr w:type="spellStart"/>
            <w:r w:rsidR="005672D2">
              <w:rPr>
                <w:rFonts w:ascii="Arial" w:hAnsi="Arial" w:cs="Arial"/>
                <w:sz w:val="24"/>
                <w:szCs w:val="24"/>
              </w:rPr>
              <w:t>Erongo</w:t>
            </w:r>
            <w:proofErr w:type="spellEnd"/>
            <w:r>
              <w:rPr>
                <w:rFonts w:ascii="Arial" w:hAnsi="Arial" w:cs="Arial"/>
                <w:sz w:val="24"/>
                <w:szCs w:val="24"/>
              </w:rPr>
              <w:t xml:space="preserve"> Region</w:t>
            </w:r>
          </w:p>
          <w:p w14:paraId="3D0F2DC8" w14:textId="77777777" w:rsidR="00CC128D" w:rsidRDefault="00CC128D" w:rsidP="00CC128D">
            <w:pPr>
              <w:pStyle w:val="ListParagraph"/>
              <w:spacing w:line="360" w:lineRule="auto"/>
              <w:ind w:left="743"/>
              <w:jc w:val="both"/>
              <w:rPr>
                <w:rFonts w:ascii="Arial" w:hAnsi="Arial" w:cs="Arial"/>
                <w:sz w:val="24"/>
                <w:szCs w:val="24"/>
              </w:rPr>
            </w:pPr>
          </w:p>
          <w:p w14:paraId="7039D63E" w14:textId="77777777" w:rsidR="005672D2" w:rsidRDefault="00CC128D" w:rsidP="00CC128D">
            <w:pPr>
              <w:pStyle w:val="ListParagraph"/>
              <w:spacing w:line="360" w:lineRule="auto"/>
              <w:ind w:left="743"/>
              <w:jc w:val="both"/>
              <w:rPr>
                <w:rFonts w:ascii="Arial" w:hAnsi="Arial" w:cs="Arial"/>
                <w:sz w:val="24"/>
                <w:szCs w:val="24"/>
              </w:rPr>
            </w:pPr>
            <w:r>
              <w:rPr>
                <w:rFonts w:ascii="Arial" w:hAnsi="Arial" w:cs="Arial"/>
                <w:sz w:val="24"/>
                <w:szCs w:val="24"/>
              </w:rPr>
              <w:t>MEASURING:</w:t>
            </w:r>
            <w:r w:rsidRPr="004A5618">
              <w:rPr>
                <w:rFonts w:ascii="Arial" w:hAnsi="Arial" w:cs="Arial"/>
                <w:sz w:val="24"/>
                <w:szCs w:val="24"/>
              </w:rPr>
              <w:t xml:space="preserve"> </w:t>
            </w:r>
            <w:r w:rsidRPr="004A5618">
              <w:rPr>
                <w:rFonts w:ascii="Arial" w:hAnsi="Arial" w:cs="Arial"/>
                <w:sz w:val="24"/>
                <w:szCs w:val="24"/>
              </w:rPr>
              <w:tab/>
            </w:r>
            <w:r w:rsidR="005672D2">
              <w:rPr>
                <w:rFonts w:ascii="Arial" w:hAnsi="Arial" w:cs="Arial"/>
                <w:sz w:val="24"/>
                <w:szCs w:val="24"/>
              </w:rPr>
              <w:t>1227</w:t>
            </w:r>
            <w:r>
              <w:rPr>
                <w:rFonts w:ascii="Arial" w:hAnsi="Arial" w:cs="Arial"/>
                <w:sz w:val="24"/>
                <w:szCs w:val="24"/>
              </w:rPr>
              <w:t xml:space="preserve"> (</w:t>
            </w:r>
            <w:r w:rsidR="005672D2">
              <w:rPr>
                <w:rFonts w:ascii="Arial" w:hAnsi="Arial" w:cs="Arial"/>
                <w:sz w:val="24"/>
                <w:szCs w:val="24"/>
              </w:rPr>
              <w:t xml:space="preserve">One Thousand Two Hundred  And </w:t>
            </w:r>
          </w:p>
          <w:p w14:paraId="0E78E7BE" w14:textId="5E78E82A" w:rsidR="00CC128D" w:rsidRDefault="005672D2" w:rsidP="00CC128D">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Twenty Seven</w:t>
            </w:r>
            <w:r w:rsidR="00CC128D">
              <w:rPr>
                <w:rFonts w:ascii="Arial" w:hAnsi="Arial" w:cs="Arial"/>
                <w:sz w:val="24"/>
                <w:szCs w:val="24"/>
              </w:rPr>
              <w:t>) Square Meters</w:t>
            </w:r>
          </w:p>
          <w:p w14:paraId="48ADFD3B" w14:textId="77777777" w:rsidR="00CC128D" w:rsidRDefault="00CC128D" w:rsidP="00CC128D">
            <w:pPr>
              <w:pStyle w:val="ListParagraph"/>
              <w:spacing w:line="360" w:lineRule="auto"/>
              <w:ind w:left="743"/>
              <w:jc w:val="both"/>
              <w:rPr>
                <w:rFonts w:ascii="Arial" w:hAnsi="Arial" w:cs="Arial"/>
                <w:sz w:val="24"/>
                <w:szCs w:val="24"/>
              </w:rPr>
            </w:pPr>
          </w:p>
          <w:p w14:paraId="6F8119AC" w14:textId="1D198889" w:rsidR="00CC128D" w:rsidRDefault="00CC128D" w:rsidP="00CC128D">
            <w:pPr>
              <w:pStyle w:val="ListParagraph"/>
              <w:spacing w:line="360" w:lineRule="auto"/>
              <w:ind w:left="743"/>
              <w:jc w:val="both"/>
              <w:rPr>
                <w:rFonts w:ascii="Arial" w:hAnsi="Arial" w:cs="Arial"/>
                <w:sz w:val="24"/>
                <w:szCs w:val="24"/>
              </w:rPr>
            </w:pPr>
            <w:r>
              <w:rPr>
                <w:rFonts w:ascii="Arial" w:hAnsi="Arial" w:cs="Arial"/>
                <w:sz w:val="24"/>
                <w:szCs w:val="24"/>
              </w:rPr>
              <w:t>HELD:</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 xml:space="preserve">Deed of Transfer </w:t>
            </w:r>
            <w:r w:rsidR="005672D2">
              <w:rPr>
                <w:rFonts w:ascii="Arial" w:hAnsi="Arial" w:cs="Arial"/>
                <w:sz w:val="24"/>
                <w:szCs w:val="24"/>
              </w:rPr>
              <w:t xml:space="preserve">No. </w:t>
            </w:r>
            <w:r>
              <w:rPr>
                <w:rFonts w:ascii="Arial" w:hAnsi="Arial" w:cs="Arial"/>
                <w:sz w:val="24"/>
                <w:szCs w:val="24"/>
              </w:rPr>
              <w:t xml:space="preserve">T </w:t>
            </w:r>
            <w:r w:rsidR="005672D2">
              <w:rPr>
                <w:rFonts w:ascii="Arial" w:hAnsi="Arial" w:cs="Arial"/>
                <w:sz w:val="24"/>
                <w:szCs w:val="24"/>
              </w:rPr>
              <w:t>1360</w:t>
            </w:r>
            <w:r>
              <w:rPr>
                <w:rFonts w:ascii="Arial" w:hAnsi="Arial" w:cs="Arial"/>
                <w:sz w:val="24"/>
                <w:szCs w:val="24"/>
              </w:rPr>
              <w:t>/20</w:t>
            </w:r>
            <w:r w:rsidR="005672D2">
              <w:rPr>
                <w:rFonts w:ascii="Arial" w:hAnsi="Arial" w:cs="Arial"/>
                <w:sz w:val="24"/>
                <w:szCs w:val="24"/>
              </w:rPr>
              <w:t>10</w:t>
            </w:r>
          </w:p>
          <w:p w14:paraId="2396AC04" w14:textId="77777777" w:rsidR="00CC128D" w:rsidRDefault="00CC128D" w:rsidP="00CC128D">
            <w:pPr>
              <w:pStyle w:val="ListParagraph"/>
              <w:spacing w:line="360" w:lineRule="auto"/>
              <w:ind w:left="743"/>
              <w:jc w:val="both"/>
              <w:rPr>
                <w:rFonts w:ascii="Arial" w:hAnsi="Arial" w:cs="Arial"/>
                <w:sz w:val="24"/>
                <w:szCs w:val="24"/>
              </w:rPr>
            </w:pPr>
          </w:p>
          <w:p w14:paraId="6B7EF9A8" w14:textId="0EB20152" w:rsidR="00CC128D" w:rsidRPr="004A5618" w:rsidRDefault="00CC128D" w:rsidP="00CC128D">
            <w:pPr>
              <w:pStyle w:val="ListParagraph"/>
              <w:spacing w:line="360" w:lineRule="auto"/>
              <w:ind w:left="743"/>
              <w:jc w:val="both"/>
              <w:rPr>
                <w:rFonts w:ascii="Arial" w:hAnsi="Arial" w:cs="Arial"/>
                <w:sz w:val="24"/>
                <w:szCs w:val="24"/>
              </w:rPr>
            </w:pPr>
            <w:r>
              <w:rPr>
                <w:rFonts w:ascii="Arial" w:hAnsi="Arial" w:cs="Arial"/>
                <w:sz w:val="24"/>
                <w:szCs w:val="24"/>
              </w:rPr>
              <w:t>SUBJECT:</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sidR="005672D2">
              <w:rPr>
                <w:rFonts w:ascii="Arial" w:hAnsi="Arial" w:cs="Arial"/>
                <w:sz w:val="24"/>
                <w:szCs w:val="24"/>
              </w:rPr>
              <w:t>to all the terms and conditions as contained therein</w:t>
            </w:r>
          </w:p>
          <w:p w14:paraId="2C75CA7A" w14:textId="77777777" w:rsidR="00DA5689" w:rsidRPr="004A5618" w:rsidRDefault="00DA5689" w:rsidP="00DA5689">
            <w:pPr>
              <w:pStyle w:val="ListParagraph"/>
              <w:spacing w:line="360" w:lineRule="auto"/>
              <w:ind w:left="743" w:hanging="710"/>
              <w:jc w:val="both"/>
              <w:rPr>
                <w:rFonts w:ascii="Arial" w:hAnsi="Arial" w:cs="Arial"/>
                <w:sz w:val="24"/>
                <w:szCs w:val="24"/>
              </w:rPr>
            </w:pPr>
          </w:p>
          <w:p w14:paraId="3DE57D44" w14:textId="0B4828A8" w:rsidR="00DA5689" w:rsidRPr="004A5618" w:rsidRDefault="005672D2" w:rsidP="00FD0062">
            <w:pPr>
              <w:pStyle w:val="ListParagraph"/>
              <w:numPr>
                <w:ilvl w:val="0"/>
                <w:numId w:val="24"/>
              </w:numPr>
              <w:spacing w:line="360" w:lineRule="auto"/>
              <w:ind w:hanging="720"/>
              <w:jc w:val="both"/>
              <w:rPr>
                <w:rFonts w:ascii="Arial" w:hAnsi="Arial" w:cs="Arial"/>
                <w:sz w:val="24"/>
                <w:szCs w:val="24"/>
              </w:rPr>
            </w:pPr>
            <w:r>
              <w:rPr>
                <w:rFonts w:ascii="Arial" w:hAnsi="Arial" w:cs="Arial"/>
                <w:sz w:val="24"/>
                <w:szCs w:val="24"/>
              </w:rPr>
              <w:lastRenderedPageBreak/>
              <w:t>C</w:t>
            </w:r>
            <w:r w:rsidR="00CC128D">
              <w:rPr>
                <w:rFonts w:ascii="Arial" w:hAnsi="Arial" w:cs="Arial"/>
                <w:sz w:val="24"/>
                <w:szCs w:val="24"/>
              </w:rPr>
              <w:t xml:space="preserve">osts of suit on </w:t>
            </w:r>
            <w:r w:rsidR="00683F2D">
              <w:rPr>
                <w:rFonts w:ascii="Arial" w:hAnsi="Arial" w:cs="Arial"/>
                <w:sz w:val="24"/>
                <w:szCs w:val="24"/>
              </w:rPr>
              <w:t xml:space="preserve">a </w:t>
            </w:r>
            <w:r w:rsidR="00CC128D">
              <w:rPr>
                <w:rFonts w:ascii="Arial" w:hAnsi="Arial" w:cs="Arial"/>
                <w:sz w:val="24"/>
                <w:szCs w:val="24"/>
              </w:rPr>
              <w:t>scale as between attorney (Legal practitioner) and own client</w:t>
            </w:r>
            <w:r w:rsidR="00565B43">
              <w:rPr>
                <w:rFonts w:ascii="Arial" w:hAnsi="Arial" w:cs="Arial"/>
                <w:sz w:val="24"/>
                <w:szCs w:val="24"/>
              </w:rPr>
              <w:t>, the one paying the other to be absolved.</w:t>
            </w:r>
          </w:p>
          <w:p w14:paraId="28037677" w14:textId="77777777" w:rsidR="00DA5689" w:rsidRPr="004A5618" w:rsidRDefault="00DA5689" w:rsidP="00DA5689">
            <w:pPr>
              <w:pStyle w:val="ListParagraph"/>
              <w:spacing w:line="360" w:lineRule="auto"/>
              <w:ind w:left="743" w:hanging="710"/>
              <w:rPr>
                <w:rFonts w:ascii="Arial" w:hAnsi="Arial" w:cs="Arial"/>
                <w:sz w:val="24"/>
                <w:szCs w:val="24"/>
              </w:rPr>
            </w:pPr>
          </w:p>
          <w:p w14:paraId="43F1CF3B" w14:textId="288810DD" w:rsidR="00C04F28" w:rsidRDefault="00CC128D" w:rsidP="00002551">
            <w:pPr>
              <w:pStyle w:val="ListParagraph"/>
              <w:numPr>
                <w:ilvl w:val="0"/>
                <w:numId w:val="24"/>
              </w:numPr>
              <w:spacing w:line="360" w:lineRule="auto"/>
              <w:ind w:hanging="720"/>
              <w:jc w:val="both"/>
              <w:rPr>
                <w:rFonts w:ascii="Arial" w:hAnsi="Arial" w:cs="Arial"/>
                <w:sz w:val="24"/>
                <w:szCs w:val="24"/>
              </w:rPr>
            </w:pPr>
            <w:r>
              <w:rPr>
                <w:rFonts w:ascii="Arial" w:hAnsi="Arial" w:cs="Arial"/>
                <w:sz w:val="24"/>
                <w:szCs w:val="24"/>
              </w:rPr>
              <w:t>The matter is finalised and removed from the roll.</w:t>
            </w:r>
          </w:p>
          <w:p w14:paraId="71D39DDF" w14:textId="77777777"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08D98E96" w:rsidR="00B40844" w:rsidRPr="004A5618" w:rsidRDefault="0053073E"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0A03E537" w14:textId="77777777" w:rsidR="00E97512" w:rsidRDefault="00E97512" w:rsidP="00937C89">
            <w:pPr>
              <w:spacing w:line="360" w:lineRule="auto"/>
              <w:jc w:val="both"/>
              <w:rPr>
                <w:rFonts w:ascii="Arial" w:hAnsi="Arial" w:cs="Arial"/>
                <w:sz w:val="24"/>
                <w:szCs w:val="24"/>
              </w:rPr>
            </w:pPr>
          </w:p>
          <w:p w14:paraId="2FD825CD" w14:textId="77777777" w:rsidR="00002551" w:rsidRDefault="00002551"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4FD38B6C" w:rsidR="00B40844" w:rsidRPr="004A5618" w:rsidRDefault="00CC128D"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5746A8EE" w:rsidR="00B40844" w:rsidRPr="004A5618" w:rsidRDefault="00337423" w:rsidP="00CC128D">
            <w:pPr>
              <w:spacing w:line="360" w:lineRule="auto"/>
              <w:jc w:val="center"/>
              <w:rPr>
                <w:rFonts w:ascii="Arial" w:hAnsi="Arial" w:cs="Arial"/>
                <w:b/>
                <w:sz w:val="24"/>
                <w:szCs w:val="24"/>
              </w:rPr>
            </w:pPr>
            <w:r>
              <w:rPr>
                <w:rFonts w:ascii="Arial" w:hAnsi="Arial" w:cs="Arial"/>
                <w:b/>
                <w:sz w:val="24"/>
                <w:szCs w:val="24"/>
              </w:rPr>
              <w:t xml:space="preserve">Second </w:t>
            </w:r>
            <w:r w:rsidR="00CC128D">
              <w:rPr>
                <w:rFonts w:ascii="Arial" w:hAnsi="Arial" w:cs="Arial"/>
                <w:b/>
                <w:sz w:val="24"/>
                <w:szCs w:val="24"/>
              </w:rPr>
              <w:t>Respondent</w:t>
            </w:r>
          </w:p>
        </w:tc>
      </w:tr>
      <w:tr w:rsidR="00CA7995" w:rsidRPr="004A5618" w14:paraId="7F6632AA" w14:textId="77777777" w:rsidTr="00136505">
        <w:tc>
          <w:tcPr>
            <w:tcW w:w="4770" w:type="dxa"/>
          </w:tcPr>
          <w:p w14:paraId="76F83BBD" w14:textId="5C9D6713" w:rsidR="001B346B" w:rsidRPr="001B346B" w:rsidRDefault="001B346B" w:rsidP="00937C89">
            <w:pPr>
              <w:spacing w:line="360" w:lineRule="auto"/>
              <w:jc w:val="center"/>
              <w:rPr>
                <w:rFonts w:ascii="Arial" w:hAnsi="Arial" w:cs="Arial"/>
                <w:color w:val="333333"/>
                <w:sz w:val="24"/>
                <w:szCs w:val="24"/>
                <w:shd w:val="clear" w:color="auto" w:fill="FFFFFF"/>
              </w:rPr>
            </w:pPr>
            <w:r w:rsidRPr="001B346B">
              <w:rPr>
                <w:rFonts w:ascii="Arial" w:hAnsi="Arial" w:cs="Arial"/>
                <w:color w:val="333333"/>
                <w:sz w:val="24"/>
                <w:szCs w:val="24"/>
                <w:shd w:val="clear" w:color="auto" w:fill="FFFFFF"/>
              </w:rPr>
              <w:t xml:space="preserve">M U </w:t>
            </w:r>
            <w:proofErr w:type="spellStart"/>
            <w:r w:rsidRPr="001B346B">
              <w:rPr>
                <w:rFonts w:ascii="Arial" w:hAnsi="Arial" w:cs="Arial"/>
                <w:color w:val="333333"/>
                <w:sz w:val="24"/>
                <w:szCs w:val="24"/>
                <w:shd w:val="clear" w:color="auto" w:fill="FFFFFF"/>
              </w:rPr>
              <w:t>Kuzeeko</w:t>
            </w:r>
            <w:proofErr w:type="spellEnd"/>
          </w:p>
          <w:p w14:paraId="5821C7F1" w14:textId="2C18AEAF" w:rsidR="00B40844" w:rsidRPr="00134E9F" w:rsidRDefault="00E97512" w:rsidP="00937C89">
            <w:pPr>
              <w:spacing w:line="360" w:lineRule="auto"/>
              <w:jc w:val="center"/>
              <w:rPr>
                <w:rFonts w:ascii="Arial" w:hAnsi="Arial" w:cs="Arial"/>
                <w:sz w:val="24"/>
                <w:szCs w:val="24"/>
              </w:rPr>
            </w:pPr>
            <w:r>
              <w:rPr>
                <w:rFonts w:ascii="Arial" w:hAnsi="Arial" w:cs="Arial"/>
                <w:sz w:val="24"/>
                <w:szCs w:val="24"/>
              </w:rPr>
              <w:t>Of</w:t>
            </w:r>
          </w:p>
          <w:p w14:paraId="5DF3F17F" w14:textId="2ACEE076" w:rsidR="00B40844" w:rsidRPr="004A5618" w:rsidRDefault="001B346B" w:rsidP="00E97512">
            <w:pPr>
              <w:spacing w:line="360" w:lineRule="auto"/>
              <w:jc w:val="center"/>
              <w:rPr>
                <w:rFonts w:ascii="Arial" w:hAnsi="Arial" w:cs="Arial"/>
                <w:sz w:val="24"/>
                <w:szCs w:val="24"/>
              </w:rPr>
            </w:pPr>
            <w:r w:rsidRPr="001B346B">
              <w:rPr>
                <w:rFonts w:ascii="Arial" w:hAnsi="Arial" w:cs="Arial"/>
                <w:sz w:val="24"/>
                <w:szCs w:val="24"/>
              </w:rPr>
              <w:t xml:space="preserve">Dr </w:t>
            </w:r>
            <w:proofErr w:type="spellStart"/>
            <w:r w:rsidRPr="001B346B">
              <w:rPr>
                <w:rFonts w:ascii="Arial" w:hAnsi="Arial" w:cs="Arial"/>
                <w:sz w:val="24"/>
                <w:szCs w:val="24"/>
              </w:rPr>
              <w:t>Weder</w:t>
            </w:r>
            <w:proofErr w:type="spellEnd"/>
            <w:r w:rsidRPr="001B346B">
              <w:rPr>
                <w:rFonts w:ascii="Arial" w:hAnsi="Arial" w:cs="Arial"/>
                <w:sz w:val="24"/>
                <w:szCs w:val="24"/>
              </w:rPr>
              <w:t xml:space="preserve">, </w:t>
            </w:r>
            <w:proofErr w:type="spellStart"/>
            <w:r w:rsidRPr="001B346B">
              <w:rPr>
                <w:rFonts w:ascii="Arial" w:hAnsi="Arial" w:cs="Arial"/>
                <w:sz w:val="24"/>
                <w:szCs w:val="24"/>
              </w:rPr>
              <w:t>Kauta</w:t>
            </w:r>
            <w:proofErr w:type="spellEnd"/>
            <w:r w:rsidRPr="001B346B">
              <w:rPr>
                <w:rFonts w:ascii="Arial" w:hAnsi="Arial" w:cs="Arial"/>
                <w:sz w:val="24"/>
                <w:szCs w:val="24"/>
              </w:rPr>
              <w:t xml:space="preserve"> &amp; </w:t>
            </w:r>
            <w:proofErr w:type="spellStart"/>
            <w:r w:rsidRPr="001B346B">
              <w:rPr>
                <w:rFonts w:ascii="Arial" w:hAnsi="Arial" w:cs="Arial"/>
                <w:sz w:val="24"/>
                <w:szCs w:val="24"/>
              </w:rPr>
              <w:t>Hoveka</w:t>
            </w:r>
            <w:proofErr w:type="spellEnd"/>
            <w:r w:rsidRPr="001B346B">
              <w:rPr>
                <w:rFonts w:ascii="Arial" w:hAnsi="Arial" w:cs="Arial"/>
                <w:sz w:val="24"/>
                <w:szCs w:val="24"/>
              </w:rPr>
              <w:t xml:space="preserve"> Inc.</w:t>
            </w:r>
            <w:r w:rsidR="00136505" w:rsidRPr="001B346B">
              <w:rPr>
                <w:rFonts w:ascii="Arial" w:hAnsi="Arial" w:cs="Arial"/>
                <w:sz w:val="24"/>
                <w:szCs w:val="24"/>
              </w:rPr>
              <w:t>,</w:t>
            </w:r>
            <w:r w:rsidR="00136505" w:rsidRPr="004A5618">
              <w:rPr>
                <w:rFonts w:ascii="Arial" w:hAnsi="Arial" w:cs="Arial"/>
                <w:sz w:val="24"/>
                <w:szCs w:val="24"/>
              </w:rPr>
              <w:t xml:space="preserve"> Windhoek</w:t>
            </w:r>
          </w:p>
        </w:tc>
        <w:tc>
          <w:tcPr>
            <w:tcW w:w="5436" w:type="dxa"/>
            <w:gridSpan w:val="2"/>
          </w:tcPr>
          <w:p w14:paraId="3B9A518D" w14:textId="141B4560" w:rsidR="00661376" w:rsidRPr="00661376" w:rsidRDefault="00661376" w:rsidP="00070995">
            <w:pPr>
              <w:spacing w:line="360" w:lineRule="auto"/>
              <w:jc w:val="center"/>
              <w:rPr>
                <w:rFonts w:ascii="Arial" w:hAnsi="Arial" w:cs="Arial"/>
                <w:sz w:val="24"/>
                <w:szCs w:val="24"/>
              </w:rPr>
            </w:pPr>
            <w:r>
              <w:rPr>
                <w:rFonts w:ascii="Arial" w:hAnsi="Arial" w:cs="Arial"/>
                <w:sz w:val="24"/>
                <w:szCs w:val="24"/>
              </w:rPr>
              <w:t>J</w:t>
            </w:r>
            <w:r w:rsidRPr="00661376">
              <w:rPr>
                <w:rFonts w:ascii="Arial" w:hAnsi="Arial" w:cs="Arial"/>
                <w:sz w:val="24"/>
                <w:szCs w:val="24"/>
              </w:rPr>
              <w:t xml:space="preserve"> </w:t>
            </w:r>
            <w:proofErr w:type="spellStart"/>
            <w:r>
              <w:rPr>
                <w:rFonts w:ascii="Arial" w:hAnsi="Arial" w:cs="Arial"/>
                <w:sz w:val="24"/>
                <w:szCs w:val="24"/>
              </w:rPr>
              <w:t>K</w:t>
            </w:r>
            <w:r w:rsidRPr="00661376">
              <w:rPr>
                <w:rFonts w:ascii="Arial" w:hAnsi="Arial" w:cs="Arial"/>
                <w:sz w:val="24"/>
                <w:szCs w:val="24"/>
              </w:rPr>
              <w:t>ambueshe</w:t>
            </w:r>
            <w:proofErr w:type="spellEnd"/>
          </w:p>
          <w:p w14:paraId="2EDA150C" w14:textId="4239C029" w:rsidR="00B62F2B" w:rsidRPr="004A5618" w:rsidRDefault="00070995" w:rsidP="00683F2D">
            <w:pPr>
              <w:spacing w:line="360" w:lineRule="auto"/>
              <w:jc w:val="center"/>
              <w:rPr>
                <w:rFonts w:ascii="Arial" w:hAnsi="Arial" w:cs="Arial"/>
                <w:sz w:val="24"/>
                <w:szCs w:val="24"/>
              </w:rPr>
            </w:pPr>
            <w:r>
              <w:rPr>
                <w:rFonts w:ascii="Arial" w:hAnsi="Arial" w:cs="Arial"/>
                <w:sz w:val="24"/>
                <w:szCs w:val="24"/>
              </w:rPr>
              <w:t>In Person</w:t>
            </w:r>
            <w:r w:rsidR="00683F2D">
              <w:rPr>
                <w:rFonts w:ascii="Arial" w:hAnsi="Arial" w:cs="Arial"/>
                <w:sz w:val="24"/>
                <w:szCs w:val="24"/>
              </w:rPr>
              <w:t xml:space="preserve"> (on behalf of the respondents)</w:t>
            </w: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E04B" w14:textId="77777777" w:rsidR="00895263" w:rsidRPr="004A5618" w:rsidRDefault="00895263" w:rsidP="00B40844">
      <w:pPr>
        <w:spacing w:after="0" w:line="240" w:lineRule="auto"/>
      </w:pPr>
      <w:r w:rsidRPr="004A5618">
        <w:separator/>
      </w:r>
    </w:p>
  </w:endnote>
  <w:endnote w:type="continuationSeparator" w:id="0">
    <w:p w14:paraId="0E020292" w14:textId="77777777" w:rsidR="00895263" w:rsidRPr="004A5618" w:rsidRDefault="00895263"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1CE7" w14:textId="77777777" w:rsidR="00895263" w:rsidRPr="004A5618" w:rsidRDefault="00895263" w:rsidP="00B40844">
      <w:pPr>
        <w:spacing w:after="0" w:line="240" w:lineRule="auto"/>
      </w:pPr>
      <w:r w:rsidRPr="004A5618">
        <w:separator/>
      </w:r>
    </w:p>
  </w:footnote>
  <w:footnote w:type="continuationSeparator" w:id="0">
    <w:p w14:paraId="38A39399" w14:textId="77777777" w:rsidR="00895263" w:rsidRPr="004A5618" w:rsidRDefault="00895263" w:rsidP="00B40844">
      <w:pPr>
        <w:spacing w:after="0" w:line="240" w:lineRule="auto"/>
      </w:pPr>
      <w:r w:rsidRPr="004A5618">
        <w:continuationSeparator/>
      </w:r>
    </w:p>
  </w:footnote>
  <w:footnote w:id="1">
    <w:p w14:paraId="48477352" w14:textId="77777777" w:rsidR="00A23EB6" w:rsidRPr="00F01B97" w:rsidRDefault="00A23EB6" w:rsidP="00A23EB6">
      <w:pPr>
        <w:pStyle w:val="FootnoteText"/>
        <w:jc w:val="both"/>
        <w:rPr>
          <w:rFonts w:ascii="Arial" w:hAnsi="Arial" w:cs="Arial"/>
          <w:lang w:val="en-ZA"/>
        </w:rPr>
      </w:pPr>
      <w:r w:rsidRPr="00F01B97">
        <w:rPr>
          <w:rStyle w:val="FootnoteReference"/>
          <w:rFonts w:ascii="Arial" w:hAnsi="Arial" w:cs="Arial"/>
        </w:rPr>
        <w:footnoteRef/>
      </w:r>
      <w:r w:rsidRPr="00F01B97">
        <w:rPr>
          <w:rFonts w:ascii="Arial" w:hAnsi="Arial" w:cs="Arial"/>
        </w:rPr>
        <w:t xml:space="preserve"> </w:t>
      </w:r>
      <w:proofErr w:type="spellStart"/>
      <w:r w:rsidRPr="00F01B97">
        <w:rPr>
          <w:rFonts w:ascii="Arial" w:hAnsi="Arial" w:cs="Arial"/>
          <w:i/>
          <w:lang w:val="en-ZA"/>
        </w:rPr>
        <w:t>Erongo</w:t>
      </w:r>
      <w:proofErr w:type="spellEnd"/>
      <w:r w:rsidRPr="00F01B97">
        <w:rPr>
          <w:rFonts w:ascii="Arial" w:hAnsi="Arial" w:cs="Arial"/>
          <w:i/>
          <w:lang w:val="en-ZA"/>
        </w:rPr>
        <w:t xml:space="preserve"> Regional Council and Others v </w:t>
      </w:r>
      <w:proofErr w:type="spellStart"/>
      <w:r w:rsidRPr="00F01B97">
        <w:rPr>
          <w:rFonts w:ascii="Arial" w:hAnsi="Arial" w:cs="Arial"/>
          <w:i/>
          <w:lang w:val="en-ZA"/>
        </w:rPr>
        <w:t>Wlotzkasbaken</w:t>
      </w:r>
      <w:proofErr w:type="spellEnd"/>
      <w:r w:rsidRPr="00F01B97">
        <w:rPr>
          <w:rFonts w:ascii="Arial" w:hAnsi="Arial" w:cs="Arial"/>
          <w:i/>
          <w:lang w:val="en-ZA"/>
        </w:rPr>
        <w:t xml:space="preserve"> Home Owners Association and Another</w:t>
      </w:r>
      <w:r w:rsidRPr="00F01B97">
        <w:rPr>
          <w:rFonts w:ascii="Arial" w:hAnsi="Arial" w:cs="Arial"/>
          <w:lang w:val="en-ZA"/>
        </w:rPr>
        <w:t xml:space="preserve"> 2009 (1) NR 252 (SC).</w:t>
      </w:r>
    </w:p>
  </w:footnote>
  <w:footnote w:id="2">
    <w:p w14:paraId="781FF4F7" w14:textId="61B1CB66" w:rsidR="00A23EB6" w:rsidRPr="00F01B97" w:rsidRDefault="00A23EB6" w:rsidP="00A23EB6">
      <w:pPr>
        <w:pStyle w:val="FootnoteText"/>
        <w:jc w:val="both"/>
        <w:rPr>
          <w:rFonts w:ascii="Arial" w:hAnsi="Arial" w:cs="Arial"/>
          <w:lang w:val="en-ZA"/>
        </w:rPr>
      </w:pPr>
      <w:r w:rsidRPr="00F01B97">
        <w:rPr>
          <w:rStyle w:val="FootnoteReference"/>
          <w:rFonts w:ascii="Arial" w:hAnsi="Arial" w:cs="Arial"/>
        </w:rPr>
        <w:footnoteRef/>
      </w:r>
      <w:r w:rsidRPr="00F01B97">
        <w:rPr>
          <w:rFonts w:ascii="Arial" w:hAnsi="Arial" w:cs="Arial"/>
        </w:rPr>
        <w:t xml:space="preserve"> </w:t>
      </w:r>
      <w:proofErr w:type="spellStart"/>
      <w:r w:rsidR="009A49BF" w:rsidRPr="009A49BF">
        <w:rPr>
          <w:rFonts w:ascii="Arial" w:hAnsi="Arial" w:cs="Arial"/>
          <w:i/>
        </w:rPr>
        <w:t>Kisilipile</w:t>
      </w:r>
      <w:proofErr w:type="spellEnd"/>
      <w:r w:rsidRPr="006144A8">
        <w:rPr>
          <w:rFonts w:ascii="Arial" w:hAnsi="Arial" w:cs="Arial"/>
          <w:i/>
          <w:lang w:val="en-ZA"/>
        </w:rPr>
        <w:t xml:space="preserve"> </w:t>
      </w:r>
      <w:proofErr w:type="spellStart"/>
      <w:r w:rsidRPr="006144A8">
        <w:rPr>
          <w:rFonts w:ascii="Arial" w:hAnsi="Arial" w:cs="Arial"/>
          <w:i/>
          <w:lang w:val="en-ZA"/>
        </w:rPr>
        <w:t>N</w:t>
      </w:r>
      <w:r>
        <w:rPr>
          <w:rFonts w:ascii="Arial" w:hAnsi="Arial" w:cs="Arial"/>
          <w:i/>
          <w:lang w:val="en-ZA"/>
        </w:rPr>
        <w:t>iklaas</w:t>
      </w:r>
      <w:proofErr w:type="spellEnd"/>
      <w:r>
        <w:rPr>
          <w:rFonts w:ascii="Arial" w:hAnsi="Arial" w:cs="Arial"/>
          <w:i/>
          <w:lang w:val="en-ZA"/>
        </w:rPr>
        <w:t xml:space="preserve"> and Lydia </w:t>
      </w:r>
      <w:proofErr w:type="spellStart"/>
      <w:r>
        <w:rPr>
          <w:rFonts w:ascii="Arial" w:hAnsi="Arial" w:cs="Arial"/>
          <w:i/>
          <w:lang w:val="en-ZA"/>
        </w:rPr>
        <w:t>Vaanda</w:t>
      </w:r>
      <w:proofErr w:type="spellEnd"/>
      <w:r>
        <w:rPr>
          <w:rFonts w:ascii="Arial" w:hAnsi="Arial" w:cs="Arial"/>
          <w:i/>
          <w:lang w:val="en-ZA"/>
        </w:rPr>
        <w:t xml:space="preserve"> </w:t>
      </w:r>
      <w:proofErr w:type="spellStart"/>
      <w:r>
        <w:rPr>
          <w:rFonts w:ascii="Arial" w:hAnsi="Arial" w:cs="Arial"/>
          <w:i/>
          <w:lang w:val="en-ZA"/>
        </w:rPr>
        <w:t>Katjiuo</w:t>
      </w:r>
      <w:r w:rsidRPr="006144A8">
        <w:rPr>
          <w:rFonts w:ascii="Arial" w:hAnsi="Arial" w:cs="Arial"/>
          <w:i/>
          <w:lang w:val="en-ZA"/>
        </w:rPr>
        <w:t>ngua</w:t>
      </w:r>
      <w:proofErr w:type="spellEnd"/>
      <w:r w:rsidRPr="006144A8">
        <w:rPr>
          <w:rFonts w:ascii="Arial" w:hAnsi="Arial" w:cs="Arial"/>
          <w:i/>
          <w:lang w:val="en-ZA"/>
        </w:rPr>
        <w:t xml:space="preserve"> v First National Bank of Namibia Limited</w:t>
      </w:r>
      <w:r w:rsidRPr="00F01B97">
        <w:rPr>
          <w:rFonts w:ascii="Arial" w:hAnsi="Arial" w:cs="Arial"/>
          <w:lang w:val="en-ZA"/>
        </w:rPr>
        <w:t xml:space="preserve"> Case No. SA 65/2019 (SC).</w:t>
      </w:r>
    </w:p>
  </w:footnote>
  <w:footnote w:id="3">
    <w:p w14:paraId="7D05A24F" w14:textId="692F4C92" w:rsidR="00A23EB6" w:rsidRPr="00E07A3E" w:rsidRDefault="00A23EB6" w:rsidP="00A23EB6">
      <w:pPr>
        <w:pStyle w:val="FootnoteText"/>
        <w:rPr>
          <w:lang w:val="en-ZA"/>
        </w:rPr>
      </w:pPr>
      <w:r>
        <w:rPr>
          <w:rStyle w:val="FootnoteReference"/>
        </w:rPr>
        <w:footnoteRef/>
      </w:r>
      <w:r>
        <w:t xml:space="preserve"> </w:t>
      </w:r>
      <w:proofErr w:type="spellStart"/>
      <w:r w:rsidR="009A49BF" w:rsidRPr="009A49BF">
        <w:rPr>
          <w:rFonts w:ascii="Arial" w:hAnsi="Arial" w:cs="Arial"/>
          <w:i/>
        </w:rPr>
        <w:t>Kisilipile</w:t>
      </w:r>
      <w:proofErr w:type="spellEnd"/>
      <w:r w:rsidRPr="006144A8">
        <w:rPr>
          <w:rFonts w:ascii="Arial" w:hAnsi="Arial" w:cs="Arial"/>
          <w:i/>
          <w:lang w:val="en-ZA"/>
        </w:rPr>
        <w:t xml:space="preserve"> </w:t>
      </w:r>
      <w:proofErr w:type="spellStart"/>
      <w:r w:rsidRPr="006144A8">
        <w:rPr>
          <w:rFonts w:ascii="Arial" w:hAnsi="Arial" w:cs="Arial"/>
          <w:i/>
          <w:lang w:val="en-ZA"/>
        </w:rPr>
        <w:t>N</w:t>
      </w:r>
      <w:r>
        <w:rPr>
          <w:rFonts w:ascii="Arial" w:hAnsi="Arial" w:cs="Arial"/>
          <w:i/>
          <w:lang w:val="en-ZA"/>
        </w:rPr>
        <w:t>iklaas</w:t>
      </w:r>
      <w:proofErr w:type="spellEnd"/>
      <w:r>
        <w:rPr>
          <w:rFonts w:ascii="Arial" w:hAnsi="Arial" w:cs="Arial"/>
          <w:i/>
          <w:lang w:val="en-ZA"/>
        </w:rPr>
        <w:t xml:space="preserve"> and Lydia </w:t>
      </w:r>
      <w:proofErr w:type="spellStart"/>
      <w:r>
        <w:rPr>
          <w:rFonts w:ascii="Arial" w:hAnsi="Arial" w:cs="Arial"/>
          <w:i/>
          <w:lang w:val="en-ZA"/>
        </w:rPr>
        <w:t>Vaanda</w:t>
      </w:r>
      <w:proofErr w:type="spellEnd"/>
      <w:r>
        <w:rPr>
          <w:rFonts w:ascii="Arial" w:hAnsi="Arial" w:cs="Arial"/>
          <w:i/>
          <w:lang w:val="en-ZA"/>
        </w:rPr>
        <w:t xml:space="preserve"> </w:t>
      </w:r>
      <w:proofErr w:type="spellStart"/>
      <w:r>
        <w:rPr>
          <w:rFonts w:ascii="Arial" w:hAnsi="Arial" w:cs="Arial"/>
          <w:i/>
          <w:lang w:val="en-ZA"/>
        </w:rPr>
        <w:t>Katjiuo</w:t>
      </w:r>
      <w:r w:rsidRPr="006144A8">
        <w:rPr>
          <w:rFonts w:ascii="Arial" w:hAnsi="Arial" w:cs="Arial"/>
          <w:i/>
          <w:lang w:val="en-ZA"/>
        </w:rPr>
        <w:t>ngua</w:t>
      </w:r>
      <w:proofErr w:type="spellEnd"/>
      <w:r>
        <w:rPr>
          <w:rFonts w:ascii="Arial" w:hAnsi="Arial" w:cs="Arial"/>
          <w:lang w:val="en-ZA"/>
        </w:rPr>
        <w:t xml:space="preserve"> footnote 2 para 24.</w:t>
      </w:r>
    </w:p>
  </w:footnote>
  <w:footnote w:id="4">
    <w:p w14:paraId="5C30B732" w14:textId="77777777" w:rsidR="00A23EB6" w:rsidRPr="008653EA" w:rsidRDefault="00A23EB6" w:rsidP="00A23EB6">
      <w:pPr>
        <w:pStyle w:val="FootnoteText"/>
        <w:jc w:val="both"/>
        <w:rPr>
          <w:rFonts w:ascii="Arial" w:hAnsi="Arial" w:cs="Arial"/>
          <w:lang w:val="en-ZA"/>
        </w:rPr>
      </w:pPr>
      <w:r w:rsidRPr="008653EA">
        <w:rPr>
          <w:rStyle w:val="FootnoteReference"/>
          <w:rFonts w:ascii="Arial" w:hAnsi="Arial" w:cs="Arial"/>
        </w:rPr>
        <w:footnoteRef/>
      </w:r>
      <w:r w:rsidRPr="008653EA">
        <w:rPr>
          <w:rFonts w:ascii="Arial" w:hAnsi="Arial" w:cs="Arial"/>
        </w:rPr>
        <w:t xml:space="preserve"> </w:t>
      </w:r>
      <w:proofErr w:type="spellStart"/>
      <w:r w:rsidRPr="003A1463">
        <w:rPr>
          <w:rFonts w:ascii="Arial" w:hAnsi="Arial" w:cs="Arial"/>
          <w:i/>
          <w:lang w:val="en-ZA"/>
        </w:rPr>
        <w:t>Futeni</w:t>
      </w:r>
      <w:proofErr w:type="spellEnd"/>
      <w:r w:rsidRPr="003A1463">
        <w:rPr>
          <w:rFonts w:ascii="Arial" w:hAnsi="Arial" w:cs="Arial"/>
          <w:i/>
          <w:lang w:val="en-ZA"/>
        </w:rPr>
        <w:t xml:space="preserve"> Collection (Pty) Ltd v De </w:t>
      </w:r>
      <w:proofErr w:type="spellStart"/>
      <w:r w:rsidRPr="003A1463">
        <w:rPr>
          <w:rFonts w:ascii="Arial" w:hAnsi="Arial" w:cs="Arial"/>
          <w:i/>
          <w:lang w:val="en-ZA"/>
        </w:rPr>
        <w:t>Duine</w:t>
      </w:r>
      <w:proofErr w:type="spellEnd"/>
      <w:r w:rsidRPr="003A1463">
        <w:rPr>
          <w:rFonts w:ascii="Arial" w:hAnsi="Arial" w:cs="Arial"/>
          <w:i/>
          <w:lang w:val="en-ZA"/>
        </w:rPr>
        <w:t xml:space="preserve"> (Pty) Ltd</w:t>
      </w:r>
      <w:r w:rsidRPr="008653EA">
        <w:rPr>
          <w:rFonts w:ascii="Arial" w:hAnsi="Arial" w:cs="Arial"/>
          <w:lang w:val="en-ZA"/>
        </w:rPr>
        <w:t xml:space="preserve"> 2015 (3) NR 829 (HC).</w:t>
      </w:r>
    </w:p>
  </w:footnote>
  <w:footnote w:id="5">
    <w:p w14:paraId="3FB34369" w14:textId="4970CDFE" w:rsidR="00191974" w:rsidRPr="00191974" w:rsidRDefault="00191974">
      <w:pPr>
        <w:pStyle w:val="FootnoteText"/>
        <w:rPr>
          <w:lang w:val="en-ZA"/>
        </w:rPr>
      </w:pPr>
      <w:r>
        <w:rPr>
          <w:rStyle w:val="FootnoteReference"/>
        </w:rPr>
        <w:footnoteRef/>
      </w:r>
      <w:r>
        <w:t xml:space="preserve"> </w:t>
      </w:r>
      <w:proofErr w:type="spellStart"/>
      <w:r w:rsidR="00565B43" w:rsidRPr="009A49BF">
        <w:rPr>
          <w:rFonts w:ascii="Arial" w:hAnsi="Arial" w:cs="Arial"/>
          <w:i/>
        </w:rPr>
        <w:t>Kisilipile</w:t>
      </w:r>
      <w:proofErr w:type="spellEnd"/>
      <w:r w:rsidRPr="006144A8">
        <w:rPr>
          <w:rFonts w:ascii="Arial" w:hAnsi="Arial" w:cs="Arial"/>
          <w:i/>
          <w:lang w:val="en-ZA"/>
        </w:rPr>
        <w:t xml:space="preserve"> </w:t>
      </w:r>
      <w:proofErr w:type="spellStart"/>
      <w:r w:rsidRPr="006144A8">
        <w:rPr>
          <w:rFonts w:ascii="Arial" w:hAnsi="Arial" w:cs="Arial"/>
          <w:i/>
          <w:lang w:val="en-ZA"/>
        </w:rPr>
        <w:t>N</w:t>
      </w:r>
      <w:r>
        <w:rPr>
          <w:rFonts w:ascii="Arial" w:hAnsi="Arial" w:cs="Arial"/>
          <w:i/>
          <w:lang w:val="en-ZA"/>
        </w:rPr>
        <w:t>iklaas</w:t>
      </w:r>
      <w:proofErr w:type="spellEnd"/>
      <w:r>
        <w:rPr>
          <w:rFonts w:ascii="Arial" w:hAnsi="Arial" w:cs="Arial"/>
          <w:i/>
          <w:lang w:val="en-ZA"/>
        </w:rPr>
        <w:t xml:space="preserve"> and Lydia </w:t>
      </w:r>
      <w:proofErr w:type="spellStart"/>
      <w:r>
        <w:rPr>
          <w:rFonts w:ascii="Arial" w:hAnsi="Arial" w:cs="Arial"/>
          <w:i/>
          <w:lang w:val="en-ZA"/>
        </w:rPr>
        <w:t>Vaanda</w:t>
      </w:r>
      <w:proofErr w:type="spellEnd"/>
      <w:r>
        <w:rPr>
          <w:rFonts w:ascii="Arial" w:hAnsi="Arial" w:cs="Arial"/>
          <w:i/>
          <w:lang w:val="en-ZA"/>
        </w:rPr>
        <w:t xml:space="preserve"> </w:t>
      </w:r>
      <w:proofErr w:type="spellStart"/>
      <w:r>
        <w:rPr>
          <w:rFonts w:ascii="Arial" w:hAnsi="Arial" w:cs="Arial"/>
          <w:i/>
          <w:lang w:val="en-ZA"/>
        </w:rPr>
        <w:t>Katjiuo</w:t>
      </w:r>
      <w:r w:rsidRPr="006144A8">
        <w:rPr>
          <w:rFonts w:ascii="Arial" w:hAnsi="Arial" w:cs="Arial"/>
          <w:i/>
          <w:lang w:val="en-ZA"/>
        </w:rPr>
        <w:t>ngua</w:t>
      </w:r>
      <w:proofErr w:type="spellEnd"/>
      <w:r>
        <w:rPr>
          <w:rFonts w:ascii="Arial" w:hAnsi="Arial" w:cs="Arial"/>
          <w:lang w:val="en-ZA"/>
        </w:rPr>
        <w:t xml:space="preserve"> footnote 2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0D6EF2">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3E16D00"/>
    <w:multiLevelType w:val="hybridMultilevel"/>
    <w:tmpl w:val="F5ECE14A"/>
    <w:lvl w:ilvl="0" w:tplc="79341FE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4B426C91"/>
    <w:multiLevelType w:val="hybridMultilevel"/>
    <w:tmpl w:val="5FBE82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2"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3"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3"/>
  </w:num>
  <w:num w:numId="5">
    <w:abstractNumId w:val="1"/>
  </w:num>
  <w:num w:numId="6">
    <w:abstractNumId w:val="11"/>
  </w:num>
  <w:num w:numId="7">
    <w:abstractNumId w:val="10"/>
  </w:num>
  <w:num w:numId="8">
    <w:abstractNumId w:val="22"/>
  </w:num>
  <w:num w:numId="9">
    <w:abstractNumId w:val="8"/>
  </w:num>
  <w:num w:numId="10">
    <w:abstractNumId w:val="5"/>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9"/>
  </w:num>
  <w:num w:numId="16">
    <w:abstractNumId w:val="21"/>
  </w:num>
  <w:num w:numId="17">
    <w:abstractNumId w:val="6"/>
  </w:num>
  <w:num w:numId="18">
    <w:abstractNumId w:val="20"/>
  </w:num>
  <w:num w:numId="19">
    <w:abstractNumId w:val="23"/>
  </w:num>
  <w:num w:numId="20">
    <w:abstractNumId w:val="15"/>
  </w:num>
  <w:num w:numId="21">
    <w:abstractNumId w:val="14"/>
  </w:num>
  <w:num w:numId="22">
    <w:abstractNumId w:val="16"/>
  </w:num>
  <w:num w:numId="23">
    <w:abstractNumId w:val="4"/>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551"/>
    <w:rsid w:val="00002760"/>
    <w:rsid w:val="000142CE"/>
    <w:rsid w:val="00015808"/>
    <w:rsid w:val="000200BD"/>
    <w:rsid w:val="00022A4B"/>
    <w:rsid w:val="00030A66"/>
    <w:rsid w:val="00031642"/>
    <w:rsid w:val="00042EFE"/>
    <w:rsid w:val="00043914"/>
    <w:rsid w:val="00047BBE"/>
    <w:rsid w:val="0005029C"/>
    <w:rsid w:val="00052806"/>
    <w:rsid w:val="00052A39"/>
    <w:rsid w:val="00053646"/>
    <w:rsid w:val="0006006E"/>
    <w:rsid w:val="000650A0"/>
    <w:rsid w:val="00070995"/>
    <w:rsid w:val="00071E6A"/>
    <w:rsid w:val="00076184"/>
    <w:rsid w:val="000929C5"/>
    <w:rsid w:val="000A6E7F"/>
    <w:rsid w:val="000B297E"/>
    <w:rsid w:val="000D1E23"/>
    <w:rsid w:val="000D6EF2"/>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721EB"/>
    <w:rsid w:val="0017433C"/>
    <w:rsid w:val="001822C1"/>
    <w:rsid w:val="0018718C"/>
    <w:rsid w:val="00191974"/>
    <w:rsid w:val="001A13C3"/>
    <w:rsid w:val="001B2CA3"/>
    <w:rsid w:val="001B346B"/>
    <w:rsid w:val="001B3825"/>
    <w:rsid w:val="001C1570"/>
    <w:rsid w:val="001C33C5"/>
    <w:rsid w:val="001E097B"/>
    <w:rsid w:val="001E113F"/>
    <w:rsid w:val="001E192B"/>
    <w:rsid w:val="001E2A2D"/>
    <w:rsid w:val="002000BA"/>
    <w:rsid w:val="00204A1F"/>
    <w:rsid w:val="0020505F"/>
    <w:rsid w:val="00217744"/>
    <w:rsid w:val="00222067"/>
    <w:rsid w:val="00224808"/>
    <w:rsid w:val="002317B0"/>
    <w:rsid w:val="0023549A"/>
    <w:rsid w:val="00241D98"/>
    <w:rsid w:val="00244BAC"/>
    <w:rsid w:val="00244F7C"/>
    <w:rsid w:val="00250ED7"/>
    <w:rsid w:val="0025219B"/>
    <w:rsid w:val="002536EA"/>
    <w:rsid w:val="00276736"/>
    <w:rsid w:val="0028119C"/>
    <w:rsid w:val="002863C2"/>
    <w:rsid w:val="00287097"/>
    <w:rsid w:val="002A3C64"/>
    <w:rsid w:val="002A4AA3"/>
    <w:rsid w:val="002B38E0"/>
    <w:rsid w:val="002B44E0"/>
    <w:rsid w:val="002C1EF6"/>
    <w:rsid w:val="002D20C5"/>
    <w:rsid w:val="002D407B"/>
    <w:rsid w:val="002D633E"/>
    <w:rsid w:val="002E738E"/>
    <w:rsid w:val="002F06E3"/>
    <w:rsid w:val="00301CC7"/>
    <w:rsid w:val="00302F62"/>
    <w:rsid w:val="0030757C"/>
    <w:rsid w:val="00311DE0"/>
    <w:rsid w:val="0031523D"/>
    <w:rsid w:val="003206F3"/>
    <w:rsid w:val="00322F39"/>
    <w:rsid w:val="00323AAF"/>
    <w:rsid w:val="00323E22"/>
    <w:rsid w:val="00337423"/>
    <w:rsid w:val="00340EA6"/>
    <w:rsid w:val="003414A7"/>
    <w:rsid w:val="0036327E"/>
    <w:rsid w:val="00371A8B"/>
    <w:rsid w:val="00371B8F"/>
    <w:rsid w:val="0038382D"/>
    <w:rsid w:val="003A1463"/>
    <w:rsid w:val="003A18AD"/>
    <w:rsid w:val="003A3390"/>
    <w:rsid w:val="003A43B2"/>
    <w:rsid w:val="003B03B0"/>
    <w:rsid w:val="003C0EA4"/>
    <w:rsid w:val="003C2574"/>
    <w:rsid w:val="003D165C"/>
    <w:rsid w:val="003D3059"/>
    <w:rsid w:val="003E6398"/>
    <w:rsid w:val="00401C11"/>
    <w:rsid w:val="00404B70"/>
    <w:rsid w:val="00412278"/>
    <w:rsid w:val="00414B69"/>
    <w:rsid w:val="00415F4F"/>
    <w:rsid w:val="00426C60"/>
    <w:rsid w:val="00431A65"/>
    <w:rsid w:val="004352E5"/>
    <w:rsid w:val="004358E2"/>
    <w:rsid w:val="00436B1E"/>
    <w:rsid w:val="00436C2B"/>
    <w:rsid w:val="00437666"/>
    <w:rsid w:val="004416D0"/>
    <w:rsid w:val="00443B14"/>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5788"/>
    <w:rsid w:val="004C646F"/>
    <w:rsid w:val="004D7D3B"/>
    <w:rsid w:val="004E02A0"/>
    <w:rsid w:val="004E3BFB"/>
    <w:rsid w:val="004E6D2F"/>
    <w:rsid w:val="00503F36"/>
    <w:rsid w:val="005111BA"/>
    <w:rsid w:val="00512AB9"/>
    <w:rsid w:val="00522621"/>
    <w:rsid w:val="00523D75"/>
    <w:rsid w:val="0053073E"/>
    <w:rsid w:val="005334B7"/>
    <w:rsid w:val="00535F29"/>
    <w:rsid w:val="00536EFF"/>
    <w:rsid w:val="005629DA"/>
    <w:rsid w:val="00565B43"/>
    <w:rsid w:val="005672D2"/>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602C25"/>
    <w:rsid w:val="00605348"/>
    <w:rsid w:val="00610BF1"/>
    <w:rsid w:val="006115E2"/>
    <w:rsid w:val="006144A8"/>
    <w:rsid w:val="0061537D"/>
    <w:rsid w:val="0062003A"/>
    <w:rsid w:val="00625A57"/>
    <w:rsid w:val="00644855"/>
    <w:rsid w:val="00661376"/>
    <w:rsid w:val="00663770"/>
    <w:rsid w:val="00672C76"/>
    <w:rsid w:val="006734C7"/>
    <w:rsid w:val="00683F2D"/>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648"/>
    <w:rsid w:val="006F6DE3"/>
    <w:rsid w:val="007008BE"/>
    <w:rsid w:val="00700B1F"/>
    <w:rsid w:val="00702C62"/>
    <w:rsid w:val="00703171"/>
    <w:rsid w:val="00734802"/>
    <w:rsid w:val="00735C39"/>
    <w:rsid w:val="00736DA4"/>
    <w:rsid w:val="007448FE"/>
    <w:rsid w:val="00746C0C"/>
    <w:rsid w:val="0075019C"/>
    <w:rsid w:val="00750F55"/>
    <w:rsid w:val="00752FAA"/>
    <w:rsid w:val="007600DB"/>
    <w:rsid w:val="00766C68"/>
    <w:rsid w:val="00776163"/>
    <w:rsid w:val="0078274D"/>
    <w:rsid w:val="007853D8"/>
    <w:rsid w:val="00787EE4"/>
    <w:rsid w:val="007950C8"/>
    <w:rsid w:val="007979CA"/>
    <w:rsid w:val="007B131C"/>
    <w:rsid w:val="007B2BC4"/>
    <w:rsid w:val="007B2C8F"/>
    <w:rsid w:val="007B7330"/>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75AC"/>
    <w:rsid w:val="00827F39"/>
    <w:rsid w:val="00835300"/>
    <w:rsid w:val="00843040"/>
    <w:rsid w:val="00853833"/>
    <w:rsid w:val="008653EA"/>
    <w:rsid w:val="00865F37"/>
    <w:rsid w:val="0087368D"/>
    <w:rsid w:val="00882F73"/>
    <w:rsid w:val="00883D7C"/>
    <w:rsid w:val="00886625"/>
    <w:rsid w:val="00890A20"/>
    <w:rsid w:val="00892D9A"/>
    <w:rsid w:val="00895263"/>
    <w:rsid w:val="008A1447"/>
    <w:rsid w:val="008A5AC1"/>
    <w:rsid w:val="008B5D68"/>
    <w:rsid w:val="008B6223"/>
    <w:rsid w:val="008C2200"/>
    <w:rsid w:val="008D54B2"/>
    <w:rsid w:val="008E0730"/>
    <w:rsid w:val="008E5E3D"/>
    <w:rsid w:val="008F59A0"/>
    <w:rsid w:val="00904ED1"/>
    <w:rsid w:val="00912F74"/>
    <w:rsid w:val="00923430"/>
    <w:rsid w:val="009279BE"/>
    <w:rsid w:val="00937C89"/>
    <w:rsid w:val="00944CCD"/>
    <w:rsid w:val="00946D90"/>
    <w:rsid w:val="0095505F"/>
    <w:rsid w:val="0096585C"/>
    <w:rsid w:val="009661E4"/>
    <w:rsid w:val="009733A9"/>
    <w:rsid w:val="009856AB"/>
    <w:rsid w:val="009919F6"/>
    <w:rsid w:val="00996760"/>
    <w:rsid w:val="00997C11"/>
    <w:rsid w:val="009A49BF"/>
    <w:rsid w:val="009A5AD1"/>
    <w:rsid w:val="009A7A59"/>
    <w:rsid w:val="009B41E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162A3"/>
    <w:rsid w:val="00A22E0F"/>
    <w:rsid w:val="00A2391E"/>
    <w:rsid w:val="00A23EB6"/>
    <w:rsid w:val="00A26B7B"/>
    <w:rsid w:val="00A31424"/>
    <w:rsid w:val="00A3327E"/>
    <w:rsid w:val="00A42469"/>
    <w:rsid w:val="00A45560"/>
    <w:rsid w:val="00A50F13"/>
    <w:rsid w:val="00A60965"/>
    <w:rsid w:val="00A66511"/>
    <w:rsid w:val="00A75ED6"/>
    <w:rsid w:val="00A85792"/>
    <w:rsid w:val="00A90F3E"/>
    <w:rsid w:val="00A91240"/>
    <w:rsid w:val="00A9498C"/>
    <w:rsid w:val="00AA2EFA"/>
    <w:rsid w:val="00AA3ECB"/>
    <w:rsid w:val="00AC4E79"/>
    <w:rsid w:val="00AD5C54"/>
    <w:rsid w:val="00AD72DD"/>
    <w:rsid w:val="00AE0185"/>
    <w:rsid w:val="00AE08F0"/>
    <w:rsid w:val="00AE16BF"/>
    <w:rsid w:val="00AE2293"/>
    <w:rsid w:val="00B01B6C"/>
    <w:rsid w:val="00B050E7"/>
    <w:rsid w:val="00B119D6"/>
    <w:rsid w:val="00B121EA"/>
    <w:rsid w:val="00B13529"/>
    <w:rsid w:val="00B32493"/>
    <w:rsid w:val="00B40844"/>
    <w:rsid w:val="00B42F3B"/>
    <w:rsid w:val="00B45E7F"/>
    <w:rsid w:val="00B47800"/>
    <w:rsid w:val="00B50C99"/>
    <w:rsid w:val="00B51737"/>
    <w:rsid w:val="00B56E34"/>
    <w:rsid w:val="00B5737E"/>
    <w:rsid w:val="00B573A6"/>
    <w:rsid w:val="00B60287"/>
    <w:rsid w:val="00B61AC7"/>
    <w:rsid w:val="00B62F2B"/>
    <w:rsid w:val="00B72DF0"/>
    <w:rsid w:val="00B77777"/>
    <w:rsid w:val="00B808CB"/>
    <w:rsid w:val="00B845CF"/>
    <w:rsid w:val="00B92DE7"/>
    <w:rsid w:val="00B9407E"/>
    <w:rsid w:val="00B96ECC"/>
    <w:rsid w:val="00BA2C89"/>
    <w:rsid w:val="00BA4C8B"/>
    <w:rsid w:val="00BA61B9"/>
    <w:rsid w:val="00BB13F4"/>
    <w:rsid w:val="00BB3273"/>
    <w:rsid w:val="00BB3C0C"/>
    <w:rsid w:val="00BC2C75"/>
    <w:rsid w:val="00BC5931"/>
    <w:rsid w:val="00BD61A4"/>
    <w:rsid w:val="00BD7103"/>
    <w:rsid w:val="00BE31AD"/>
    <w:rsid w:val="00BE3978"/>
    <w:rsid w:val="00BE4F57"/>
    <w:rsid w:val="00BF44EC"/>
    <w:rsid w:val="00C04F28"/>
    <w:rsid w:val="00C06EB4"/>
    <w:rsid w:val="00C14AB5"/>
    <w:rsid w:val="00C2633E"/>
    <w:rsid w:val="00C3225B"/>
    <w:rsid w:val="00C360E9"/>
    <w:rsid w:val="00C47E3A"/>
    <w:rsid w:val="00C5200F"/>
    <w:rsid w:val="00C617C6"/>
    <w:rsid w:val="00C72463"/>
    <w:rsid w:val="00C73D5D"/>
    <w:rsid w:val="00C975D3"/>
    <w:rsid w:val="00CA7995"/>
    <w:rsid w:val="00CB1183"/>
    <w:rsid w:val="00CC128D"/>
    <w:rsid w:val="00CC7431"/>
    <w:rsid w:val="00CD62C0"/>
    <w:rsid w:val="00CE4631"/>
    <w:rsid w:val="00D03B96"/>
    <w:rsid w:val="00D04B6F"/>
    <w:rsid w:val="00D113DD"/>
    <w:rsid w:val="00D24453"/>
    <w:rsid w:val="00D25285"/>
    <w:rsid w:val="00D30D4D"/>
    <w:rsid w:val="00D32F8E"/>
    <w:rsid w:val="00D3397A"/>
    <w:rsid w:val="00D37DAA"/>
    <w:rsid w:val="00D41928"/>
    <w:rsid w:val="00D5070E"/>
    <w:rsid w:val="00D547B6"/>
    <w:rsid w:val="00D61648"/>
    <w:rsid w:val="00D6224D"/>
    <w:rsid w:val="00D6655A"/>
    <w:rsid w:val="00D752D7"/>
    <w:rsid w:val="00D80947"/>
    <w:rsid w:val="00D86F11"/>
    <w:rsid w:val="00D87914"/>
    <w:rsid w:val="00D9282E"/>
    <w:rsid w:val="00D960EA"/>
    <w:rsid w:val="00D965B8"/>
    <w:rsid w:val="00DA1708"/>
    <w:rsid w:val="00DA2283"/>
    <w:rsid w:val="00DA5689"/>
    <w:rsid w:val="00DA58B4"/>
    <w:rsid w:val="00DB5AA2"/>
    <w:rsid w:val="00DD76E7"/>
    <w:rsid w:val="00DE1990"/>
    <w:rsid w:val="00DE220E"/>
    <w:rsid w:val="00E0573A"/>
    <w:rsid w:val="00E07A3E"/>
    <w:rsid w:val="00E16739"/>
    <w:rsid w:val="00E207A3"/>
    <w:rsid w:val="00E221FD"/>
    <w:rsid w:val="00E41BE5"/>
    <w:rsid w:val="00E4469F"/>
    <w:rsid w:val="00E452F4"/>
    <w:rsid w:val="00E533BE"/>
    <w:rsid w:val="00E5361F"/>
    <w:rsid w:val="00E53C47"/>
    <w:rsid w:val="00E55FBE"/>
    <w:rsid w:val="00E62DB3"/>
    <w:rsid w:val="00E6569A"/>
    <w:rsid w:val="00E73C41"/>
    <w:rsid w:val="00E778B9"/>
    <w:rsid w:val="00E911FB"/>
    <w:rsid w:val="00E96F9E"/>
    <w:rsid w:val="00E97512"/>
    <w:rsid w:val="00EA2DE2"/>
    <w:rsid w:val="00EB1AE0"/>
    <w:rsid w:val="00EC1776"/>
    <w:rsid w:val="00EC7E83"/>
    <w:rsid w:val="00ED27EE"/>
    <w:rsid w:val="00ED2C7B"/>
    <w:rsid w:val="00ED5B76"/>
    <w:rsid w:val="00ED7008"/>
    <w:rsid w:val="00ED76B2"/>
    <w:rsid w:val="00EE122C"/>
    <w:rsid w:val="00EE4268"/>
    <w:rsid w:val="00EF184A"/>
    <w:rsid w:val="00EF249A"/>
    <w:rsid w:val="00EF2FFD"/>
    <w:rsid w:val="00F01B97"/>
    <w:rsid w:val="00F0235A"/>
    <w:rsid w:val="00F05B1C"/>
    <w:rsid w:val="00F05CAB"/>
    <w:rsid w:val="00F0783D"/>
    <w:rsid w:val="00F13D78"/>
    <w:rsid w:val="00F146F6"/>
    <w:rsid w:val="00F21EDB"/>
    <w:rsid w:val="00F3779B"/>
    <w:rsid w:val="00F4176A"/>
    <w:rsid w:val="00F4726A"/>
    <w:rsid w:val="00F47A1E"/>
    <w:rsid w:val="00F57D85"/>
    <w:rsid w:val="00F62189"/>
    <w:rsid w:val="00F65529"/>
    <w:rsid w:val="00F65903"/>
    <w:rsid w:val="00F66F79"/>
    <w:rsid w:val="00F72231"/>
    <w:rsid w:val="00F7691A"/>
    <w:rsid w:val="00F82EDF"/>
    <w:rsid w:val="00F84868"/>
    <w:rsid w:val="00F84DD1"/>
    <w:rsid w:val="00F92D04"/>
    <w:rsid w:val="00F9481A"/>
    <w:rsid w:val="00F9509A"/>
    <w:rsid w:val="00FB27BC"/>
    <w:rsid w:val="00FB2E9E"/>
    <w:rsid w:val="00FB5F14"/>
    <w:rsid w:val="00FC2237"/>
    <w:rsid w:val="00FC6F2E"/>
    <w:rsid w:val="00FC73EF"/>
    <w:rsid w:val="00FC7A25"/>
    <w:rsid w:val="00FD0062"/>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2023-10-31T18:30:00+00:00</Judgment_x0020_Date>
    <Year xmlns="c1afb1bd-f2fb-40fd-9abb-aea55b4d7662">2023</Year>
  </documentManagement>
</p:properties>
</file>

<file path=customXml/itemProps1.xml><?xml version="1.0" encoding="utf-8"?>
<ds:datastoreItem xmlns:ds="http://schemas.openxmlformats.org/officeDocument/2006/customXml" ds:itemID="{7042FCC7-5BD7-4168-89FC-1E07410A2E7E}"/>
</file>

<file path=customXml/itemProps2.xml><?xml version="1.0" encoding="utf-8"?>
<ds:datastoreItem xmlns:ds="http://schemas.openxmlformats.org/officeDocument/2006/customXml" ds:itemID="{B975983E-1FC8-4D65-9A6A-4F4BCEBF94E8}"/>
</file>

<file path=customXml/itemProps3.xml><?xml version="1.0" encoding="utf-8"?>
<ds:datastoreItem xmlns:ds="http://schemas.openxmlformats.org/officeDocument/2006/customXml" ds:itemID="{A9775645-EA20-4B13-BD9B-65C64DD9A152}"/>
</file>

<file path=customXml/itemProps4.xml><?xml version="1.0" encoding="utf-8"?>
<ds:datastoreItem xmlns:ds="http://schemas.openxmlformats.org/officeDocument/2006/customXml" ds:itemID="{384F430A-3152-4E71-AEAB-BFA5226057C4}"/>
</file>

<file path=docProps/app.xml><?xml version="1.0" encoding="utf-8"?>
<Properties xmlns="http://schemas.openxmlformats.org/officeDocument/2006/extended-properties" xmlns:vt="http://schemas.openxmlformats.org/officeDocument/2006/docPropsVTypes">
  <Template>Normal</Template>
  <TotalTime>191</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Ltd v Erf Eighty Two Rossmund CC (HC-MD-CIV-ACT-CON-2017-03250) [2023] NAHCMD 691 (1 Nov 2023)</dc:title>
  <dc:subject/>
  <dc:creator>shomany keister</dc:creator>
  <cp:keywords/>
  <dc:description/>
  <cp:lastModifiedBy>Lusia Simon</cp:lastModifiedBy>
  <cp:revision>33</cp:revision>
  <cp:lastPrinted>2023-11-01T09:26:00Z</cp:lastPrinted>
  <dcterms:created xsi:type="dcterms:W3CDTF">2023-10-12T11:08:00Z</dcterms:created>
  <dcterms:modified xsi:type="dcterms:W3CDTF">2023-11-01T09:40:00Z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