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25" w:rsidRDefault="00C36425" w:rsidP="00C36425">
      <w:pPr>
        <w:spacing w:after="0" w:line="360" w:lineRule="auto"/>
        <w:ind w:left="2160" w:firstLine="720"/>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36425" w:rsidRDefault="00C36425" w:rsidP="00C36425">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C36425" w:rsidRDefault="00C36425" w:rsidP="00C36425">
                      <w:pPr>
                        <w:jc w:val="right"/>
                        <w:rPr>
                          <w:rFonts w:ascii="Arial" w:hAnsi="Arial" w:cs="Arial"/>
                          <w:b/>
                        </w:rPr>
                      </w:pPr>
                    </w:p>
                  </w:txbxContent>
                </v:textbox>
              </v:shape>
            </w:pict>
          </mc:Fallback>
        </mc:AlternateContent>
      </w:r>
      <w:r>
        <w:rPr>
          <w:rFonts w:ascii="Arial" w:hAnsi="Arial" w:cs="Arial"/>
          <w:b/>
          <w:sz w:val="24"/>
          <w:szCs w:val="24"/>
          <w:lang w:val="en-GB"/>
        </w:rPr>
        <w:t xml:space="preserve">   REPUBLIC OF NAMIBIA</w:t>
      </w:r>
    </w:p>
    <w:p w:rsidR="00C36425" w:rsidRDefault="00C36425" w:rsidP="00C36425">
      <w:pPr>
        <w:spacing w:after="0" w:line="360" w:lineRule="auto"/>
        <w:jc w:val="center"/>
        <w:rPr>
          <w:rFonts w:ascii="Arial" w:hAnsi="Arial" w:cs="Arial"/>
          <w:b/>
          <w:sz w:val="24"/>
          <w:szCs w:val="24"/>
          <w:lang w:val="en-GB"/>
        </w:rPr>
      </w:pPr>
      <w:r>
        <w:rPr>
          <w:noProof/>
          <w:lang w:val="en-ZA" w:eastAsia="en-ZA"/>
        </w:rPr>
        <w:drawing>
          <wp:anchor distT="0" distB="0" distL="114300" distR="114300" simplePos="0" relativeHeight="251660288" behindDoc="0" locked="0" layoutInCell="1" allowOverlap="1">
            <wp:simplePos x="0" y="0"/>
            <wp:positionH relativeFrom="column">
              <wp:posOffset>2001520</wp:posOffset>
            </wp:positionH>
            <wp:positionV relativeFrom="paragraph">
              <wp:posOffset>12700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a:ln>
                      <a:noFill/>
                    </a:ln>
                  </pic:spPr>
                </pic:pic>
              </a:graphicData>
            </a:graphic>
            <wp14:sizeRelH relativeFrom="margin">
              <wp14:pctWidth>0</wp14:pctWidth>
            </wp14:sizeRelH>
            <wp14:sizeRelV relativeFrom="page">
              <wp14:pctHeight>0</wp14:pctHeight>
            </wp14:sizeRelV>
          </wp:anchor>
        </w:drawing>
      </w:r>
      <w:r>
        <w:rPr>
          <w:b/>
          <w:sz w:val="32"/>
          <w:szCs w:val="32"/>
          <w:lang w:val="en-GB"/>
        </w:rPr>
        <w:br w:type="textWrapping" w:clear="all"/>
      </w:r>
      <w:r>
        <w:rPr>
          <w:rFonts w:ascii="Arial" w:hAnsi="Arial" w:cs="Arial"/>
          <w:b/>
          <w:sz w:val="24"/>
          <w:szCs w:val="24"/>
          <w:lang w:val="en-GB"/>
        </w:rPr>
        <w:t>HIGH COURT OF NAMIBIA MAIN DIVISION, WINDHOEK</w:t>
      </w:r>
    </w:p>
    <w:p w:rsidR="00C36425" w:rsidRDefault="00C36425" w:rsidP="00C36425">
      <w:pPr>
        <w:spacing w:after="0" w:line="360" w:lineRule="auto"/>
        <w:jc w:val="center"/>
        <w:rPr>
          <w:rFonts w:ascii="Arial" w:hAnsi="Arial" w:cs="Arial"/>
          <w:b/>
          <w:sz w:val="24"/>
          <w:szCs w:val="24"/>
          <w:lang w:val="en-GB"/>
        </w:rPr>
      </w:pPr>
      <w:r>
        <w:rPr>
          <w:rFonts w:ascii="Arial" w:hAnsi="Arial" w:cs="Arial"/>
          <w:b/>
          <w:sz w:val="24"/>
          <w:szCs w:val="24"/>
          <w:lang w:val="en-GB"/>
        </w:rPr>
        <w:t>REVIEW JUDGMENT</w:t>
      </w:r>
    </w:p>
    <w:p w:rsidR="000D2EB8" w:rsidRDefault="000D2EB8" w:rsidP="00C36425">
      <w:pPr>
        <w:spacing w:after="0" w:line="360" w:lineRule="auto"/>
        <w:jc w:val="center"/>
        <w:rPr>
          <w:rFonts w:ascii="Arial" w:hAnsi="Arial" w:cs="Arial"/>
          <w:b/>
          <w:sz w:val="24"/>
          <w:szCs w:val="24"/>
          <w:lang w:val="en-GB"/>
        </w:rPr>
      </w:pPr>
      <w:r>
        <w:rPr>
          <w:rFonts w:ascii="Arial" w:hAnsi="Arial" w:cs="Arial"/>
          <w:b/>
          <w:sz w:val="24"/>
          <w:szCs w:val="24"/>
          <w:lang w:val="en-GB"/>
        </w:rPr>
        <w:t>PRACTICE DIRECTIVE 61</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C36425" w:rsidRPr="00343B18" w:rsidTr="00831615">
        <w:trPr>
          <w:trHeight w:val="650"/>
        </w:trPr>
        <w:tc>
          <w:tcPr>
            <w:tcW w:w="5397" w:type="dxa"/>
            <w:gridSpan w:val="2"/>
            <w:vMerge w:val="restart"/>
            <w:tcBorders>
              <w:bottom w:val="nil"/>
            </w:tcBorders>
            <w:shd w:val="clear" w:color="auto" w:fill="auto"/>
          </w:tcPr>
          <w:p w:rsidR="00C36425" w:rsidRPr="00343B18" w:rsidRDefault="00C36425" w:rsidP="00831615">
            <w:pPr>
              <w:spacing w:line="240" w:lineRule="auto"/>
              <w:jc w:val="both"/>
              <w:rPr>
                <w:rFonts w:ascii="Arial" w:hAnsi="Arial" w:cs="Arial"/>
                <w:sz w:val="24"/>
                <w:szCs w:val="24"/>
              </w:rPr>
            </w:pPr>
            <w:r w:rsidRPr="00343B18">
              <w:rPr>
                <w:rFonts w:ascii="Arial" w:hAnsi="Arial" w:cs="Arial"/>
                <w:b/>
                <w:sz w:val="24"/>
                <w:szCs w:val="24"/>
              </w:rPr>
              <w:t>Case Title:</w:t>
            </w:r>
          </w:p>
          <w:p w:rsidR="00C36425" w:rsidRPr="00343B18" w:rsidRDefault="00C36425" w:rsidP="00831615">
            <w:pPr>
              <w:spacing w:line="240" w:lineRule="auto"/>
              <w:jc w:val="both"/>
              <w:rPr>
                <w:rFonts w:ascii="Arial" w:hAnsi="Arial" w:cs="Arial"/>
                <w:i/>
                <w:sz w:val="24"/>
                <w:szCs w:val="24"/>
              </w:rPr>
            </w:pPr>
            <w:r w:rsidRPr="00343B18">
              <w:rPr>
                <w:rFonts w:ascii="Arial" w:hAnsi="Arial" w:cs="Arial"/>
                <w:i/>
                <w:sz w:val="24"/>
                <w:szCs w:val="24"/>
              </w:rPr>
              <w:t>The State</w:t>
            </w:r>
          </w:p>
          <w:p w:rsidR="00C36425" w:rsidRPr="00343B18" w:rsidRDefault="00C36425" w:rsidP="00831615">
            <w:pPr>
              <w:spacing w:line="240" w:lineRule="auto"/>
              <w:jc w:val="both"/>
              <w:rPr>
                <w:rFonts w:ascii="Arial" w:hAnsi="Arial" w:cs="Arial"/>
                <w:i/>
                <w:sz w:val="24"/>
                <w:szCs w:val="24"/>
              </w:rPr>
            </w:pPr>
            <w:r w:rsidRPr="00343B18">
              <w:rPr>
                <w:rFonts w:ascii="Arial" w:hAnsi="Arial" w:cs="Arial"/>
                <w:i/>
                <w:sz w:val="24"/>
                <w:szCs w:val="24"/>
              </w:rPr>
              <w:t>v</w:t>
            </w:r>
          </w:p>
          <w:p w:rsidR="00C36425" w:rsidRPr="00343B18" w:rsidRDefault="00C36425" w:rsidP="00831615">
            <w:pPr>
              <w:spacing w:line="240" w:lineRule="auto"/>
              <w:jc w:val="both"/>
              <w:rPr>
                <w:rFonts w:ascii="Arial" w:hAnsi="Arial" w:cs="Arial"/>
                <w:i/>
                <w:sz w:val="24"/>
                <w:szCs w:val="24"/>
              </w:rPr>
            </w:pPr>
            <w:r>
              <w:rPr>
                <w:rFonts w:ascii="Arial" w:hAnsi="Arial" w:cs="Arial"/>
                <w:i/>
                <w:sz w:val="24"/>
                <w:szCs w:val="24"/>
              </w:rPr>
              <w:t xml:space="preserve">Salmon Sylvester </w:t>
            </w:r>
            <w:proofErr w:type="spellStart"/>
            <w:r>
              <w:rPr>
                <w:rFonts w:ascii="Arial" w:hAnsi="Arial" w:cs="Arial"/>
                <w:i/>
                <w:sz w:val="24"/>
                <w:szCs w:val="24"/>
              </w:rPr>
              <w:t>Saal</w:t>
            </w:r>
            <w:proofErr w:type="spellEnd"/>
          </w:p>
        </w:tc>
        <w:tc>
          <w:tcPr>
            <w:tcW w:w="4323" w:type="dxa"/>
            <w:tcBorders>
              <w:bottom w:val="single" w:sz="4" w:space="0" w:color="auto"/>
            </w:tcBorders>
            <w:shd w:val="clear" w:color="auto" w:fill="auto"/>
          </w:tcPr>
          <w:p w:rsidR="00C36425" w:rsidRPr="00AD75B9" w:rsidRDefault="00C36425" w:rsidP="00AD75B9">
            <w:pPr>
              <w:spacing w:line="360" w:lineRule="auto"/>
              <w:jc w:val="both"/>
              <w:rPr>
                <w:rFonts w:ascii="Arial" w:hAnsi="Arial" w:cs="Arial"/>
                <w:sz w:val="24"/>
                <w:szCs w:val="24"/>
              </w:rPr>
            </w:pPr>
            <w:r w:rsidRPr="00AD75B9">
              <w:rPr>
                <w:rFonts w:ascii="Arial" w:hAnsi="Arial" w:cs="Arial"/>
                <w:sz w:val="24"/>
                <w:szCs w:val="24"/>
              </w:rPr>
              <w:t xml:space="preserve">CR </w:t>
            </w:r>
            <w:r w:rsidR="00AD75B9">
              <w:rPr>
                <w:rFonts w:ascii="Arial" w:hAnsi="Arial" w:cs="Arial"/>
                <w:sz w:val="24"/>
                <w:szCs w:val="24"/>
              </w:rPr>
              <w:t>128</w:t>
            </w:r>
            <w:r w:rsidRPr="00AD75B9">
              <w:rPr>
                <w:rFonts w:ascii="Arial" w:hAnsi="Arial" w:cs="Arial"/>
                <w:sz w:val="24"/>
                <w:szCs w:val="24"/>
              </w:rPr>
              <w:t>/2023</w:t>
            </w:r>
          </w:p>
        </w:tc>
      </w:tr>
      <w:tr w:rsidR="00C36425" w:rsidRPr="00343B18" w:rsidTr="00831615">
        <w:trPr>
          <w:trHeight w:val="1365"/>
        </w:trPr>
        <w:tc>
          <w:tcPr>
            <w:tcW w:w="5397" w:type="dxa"/>
            <w:gridSpan w:val="2"/>
            <w:vMerge/>
            <w:tcBorders>
              <w:bottom w:val="single" w:sz="4" w:space="0" w:color="auto"/>
            </w:tcBorders>
            <w:shd w:val="clear" w:color="auto" w:fill="auto"/>
          </w:tcPr>
          <w:p w:rsidR="00C36425" w:rsidRPr="00343B18" w:rsidRDefault="00C36425" w:rsidP="00831615">
            <w:pPr>
              <w:spacing w:line="360" w:lineRule="auto"/>
              <w:jc w:val="both"/>
              <w:rPr>
                <w:rFonts w:ascii="Arial" w:hAnsi="Arial" w:cs="Arial"/>
                <w:b/>
                <w:sz w:val="24"/>
                <w:szCs w:val="24"/>
              </w:rPr>
            </w:pPr>
          </w:p>
        </w:tc>
        <w:tc>
          <w:tcPr>
            <w:tcW w:w="4323" w:type="dxa"/>
            <w:tcBorders>
              <w:bottom w:val="single" w:sz="4" w:space="0" w:color="auto"/>
            </w:tcBorders>
            <w:shd w:val="clear" w:color="auto" w:fill="auto"/>
          </w:tcPr>
          <w:p w:rsidR="00C36425" w:rsidRPr="00343B18" w:rsidRDefault="00C36425" w:rsidP="00831615">
            <w:pPr>
              <w:spacing w:line="360" w:lineRule="auto"/>
              <w:jc w:val="both"/>
              <w:rPr>
                <w:rFonts w:ascii="Arial" w:hAnsi="Arial" w:cs="Arial"/>
                <w:sz w:val="24"/>
                <w:szCs w:val="24"/>
              </w:rPr>
            </w:pPr>
            <w:r w:rsidRPr="00343B18">
              <w:rPr>
                <w:rFonts w:ascii="Arial" w:hAnsi="Arial" w:cs="Arial"/>
                <w:b/>
                <w:sz w:val="24"/>
                <w:szCs w:val="24"/>
              </w:rPr>
              <w:t>Division of Court:</w:t>
            </w:r>
          </w:p>
          <w:p w:rsidR="00C36425" w:rsidRPr="00343B18" w:rsidRDefault="00C36425" w:rsidP="00831615">
            <w:pPr>
              <w:spacing w:line="360" w:lineRule="auto"/>
              <w:jc w:val="both"/>
              <w:rPr>
                <w:rFonts w:ascii="Arial" w:hAnsi="Arial" w:cs="Arial"/>
                <w:sz w:val="24"/>
                <w:szCs w:val="24"/>
              </w:rPr>
            </w:pPr>
            <w:r w:rsidRPr="00343B18">
              <w:rPr>
                <w:rFonts w:ascii="Arial" w:hAnsi="Arial" w:cs="Arial"/>
                <w:sz w:val="24"/>
                <w:szCs w:val="24"/>
              </w:rPr>
              <w:t>Main Division</w:t>
            </w:r>
          </w:p>
        </w:tc>
      </w:tr>
      <w:tr w:rsidR="00C36425" w:rsidRPr="00343B18" w:rsidTr="00F86BE5">
        <w:trPr>
          <w:trHeight w:val="1547"/>
        </w:trPr>
        <w:tc>
          <w:tcPr>
            <w:tcW w:w="5397" w:type="dxa"/>
            <w:gridSpan w:val="2"/>
            <w:tcBorders>
              <w:bottom w:val="single" w:sz="4" w:space="0" w:color="auto"/>
            </w:tcBorders>
            <w:shd w:val="clear" w:color="auto" w:fill="auto"/>
          </w:tcPr>
          <w:p w:rsidR="00C36425" w:rsidRPr="00343B18" w:rsidRDefault="00C36425" w:rsidP="00831615">
            <w:pPr>
              <w:spacing w:line="360" w:lineRule="auto"/>
              <w:jc w:val="both"/>
              <w:rPr>
                <w:rFonts w:ascii="Arial" w:hAnsi="Arial" w:cs="Arial"/>
                <w:b/>
                <w:sz w:val="24"/>
                <w:szCs w:val="24"/>
              </w:rPr>
            </w:pPr>
            <w:r w:rsidRPr="00343B18">
              <w:rPr>
                <w:rFonts w:ascii="Arial" w:hAnsi="Arial" w:cs="Arial"/>
                <w:b/>
                <w:sz w:val="24"/>
                <w:szCs w:val="24"/>
              </w:rPr>
              <w:t>Heard before:</w:t>
            </w:r>
          </w:p>
          <w:p w:rsidR="003D09DC" w:rsidRDefault="008B662E" w:rsidP="00831615">
            <w:pPr>
              <w:spacing w:line="360" w:lineRule="auto"/>
              <w:jc w:val="both"/>
              <w:rPr>
                <w:rFonts w:ascii="Arial" w:hAnsi="Arial" w:cs="Arial"/>
                <w:sz w:val="24"/>
                <w:szCs w:val="24"/>
              </w:rPr>
            </w:pPr>
            <w:r>
              <w:rPr>
                <w:rFonts w:ascii="Arial" w:hAnsi="Arial" w:cs="Arial"/>
                <w:sz w:val="24"/>
                <w:szCs w:val="24"/>
              </w:rPr>
              <w:t>Liebenberg J</w:t>
            </w:r>
            <w:r w:rsidRPr="00343B18">
              <w:rPr>
                <w:rFonts w:ascii="Arial" w:hAnsi="Arial" w:cs="Arial"/>
                <w:i/>
                <w:sz w:val="24"/>
                <w:szCs w:val="24"/>
              </w:rPr>
              <w:t xml:space="preserve"> </w:t>
            </w:r>
            <w:r w:rsidR="00C36425" w:rsidRPr="00343B18">
              <w:rPr>
                <w:rFonts w:ascii="Arial" w:hAnsi="Arial" w:cs="Arial"/>
                <w:i/>
                <w:sz w:val="24"/>
                <w:szCs w:val="24"/>
              </w:rPr>
              <w:t>et</w:t>
            </w:r>
            <w:r w:rsidRPr="00343B18">
              <w:rPr>
                <w:rFonts w:ascii="Arial" w:hAnsi="Arial" w:cs="Arial"/>
                <w:sz w:val="24"/>
                <w:szCs w:val="24"/>
              </w:rPr>
              <w:t xml:space="preserve"> </w:t>
            </w:r>
          </w:p>
          <w:p w:rsidR="00C36425" w:rsidRPr="00343B18" w:rsidRDefault="008B662E" w:rsidP="00831615">
            <w:pPr>
              <w:spacing w:line="360" w:lineRule="auto"/>
              <w:jc w:val="both"/>
              <w:rPr>
                <w:rFonts w:ascii="Arial" w:hAnsi="Arial" w:cs="Arial"/>
                <w:i/>
                <w:sz w:val="24"/>
                <w:szCs w:val="24"/>
              </w:rPr>
            </w:pPr>
            <w:r>
              <w:rPr>
                <w:rFonts w:ascii="Arial" w:hAnsi="Arial" w:cs="Arial"/>
                <w:sz w:val="24"/>
                <w:szCs w:val="24"/>
              </w:rPr>
              <w:t>Christiaan A</w:t>
            </w:r>
            <w:r w:rsidRPr="00343B18">
              <w:rPr>
                <w:rFonts w:ascii="Arial" w:hAnsi="Arial" w:cs="Arial"/>
                <w:sz w:val="24"/>
                <w:szCs w:val="24"/>
              </w:rPr>
              <w:t xml:space="preserve">J  </w:t>
            </w:r>
          </w:p>
          <w:p w:rsidR="00C36425" w:rsidRPr="00343B18" w:rsidRDefault="00C36425" w:rsidP="00831615">
            <w:pPr>
              <w:spacing w:line="360" w:lineRule="auto"/>
              <w:jc w:val="both"/>
              <w:rPr>
                <w:rFonts w:ascii="Arial" w:hAnsi="Arial" w:cs="Arial"/>
                <w:b/>
                <w:sz w:val="24"/>
                <w:szCs w:val="24"/>
              </w:rPr>
            </w:pPr>
          </w:p>
        </w:tc>
        <w:tc>
          <w:tcPr>
            <w:tcW w:w="4323" w:type="dxa"/>
            <w:tcBorders>
              <w:bottom w:val="single" w:sz="4" w:space="0" w:color="auto"/>
            </w:tcBorders>
            <w:shd w:val="clear" w:color="auto" w:fill="auto"/>
          </w:tcPr>
          <w:p w:rsidR="00C36425" w:rsidRPr="00343B18" w:rsidRDefault="00C36425" w:rsidP="00831615">
            <w:pPr>
              <w:spacing w:line="360" w:lineRule="auto"/>
              <w:jc w:val="both"/>
              <w:rPr>
                <w:rFonts w:ascii="Arial" w:hAnsi="Arial" w:cs="Arial"/>
                <w:b/>
                <w:color w:val="000000"/>
                <w:sz w:val="24"/>
                <w:szCs w:val="24"/>
              </w:rPr>
            </w:pPr>
            <w:r w:rsidRPr="00343B18">
              <w:rPr>
                <w:rFonts w:ascii="Arial" w:hAnsi="Arial" w:cs="Arial"/>
                <w:b/>
                <w:color w:val="000000"/>
                <w:sz w:val="24"/>
                <w:szCs w:val="24"/>
              </w:rPr>
              <w:t>Delivered on:</w:t>
            </w:r>
            <w:r w:rsidRPr="003D09DC">
              <w:rPr>
                <w:rFonts w:ascii="Arial" w:hAnsi="Arial" w:cs="Arial"/>
                <w:color w:val="000000"/>
                <w:sz w:val="24"/>
                <w:szCs w:val="24"/>
              </w:rPr>
              <w:t xml:space="preserve"> </w:t>
            </w:r>
            <w:r w:rsidR="007B1CB1">
              <w:rPr>
                <w:rFonts w:ascii="Arial" w:hAnsi="Arial" w:cs="Arial"/>
                <w:color w:val="000000"/>
                <w:sz w:val="24"/>
                <w:szCs w:val="24"/>
              </w:rPr>
              <w:t>16</w:t>
            </w:r>
            <w:r w:rsidRPr="003D09DC">
              <w:rPr>
                <w:rFonts w:ascii="Arial" w:hAnsi="Arial" w:cs="Arial"/>
                <w:color w:val="000000"/>
                <w:sz w:val="24"/>
                <w:szCs w:val="24"/>
              </w:rPr>
              <w:t xml:space="preserve"> </w:t>
            </w:r>
            <w:r w:rsidR="003D09DC">
              <w:rPr>
                <w:rFonts w:ascii="Arial" w:hAnsi="Arial" w:cs="Arial"/>
                <w:color w:val="000000"/>
                <w:sz w:val="24"/>
                <w:szCs w:val="24"/>
              </w:rPr>
              <w:t xml:space="preserve">November </w:t>
            </w:r>
            <w:r w:rsidRPr="003D09DC">
              <w:rPr>
                <w:rFonts w:ascii="Arial" w:hAnsi="Arial" w:cs="Arial"/>
                <w:color w:val="000000"/>
                <w:sz w:val="24"/>
                <w:szCs w:val="24"/>
              </w:rPr>
              <w:t>2023</w:t>
            </w:r>
          </w:p>
          <w:p w:rsidR="00C36425" w:rsidRPr="00343B18" w:rsidRDefault="00C36425" w:rsidP="00831615">
            <w:pPr>
              <w:spacing w:line="360" w:lineRule="auto"/>
              <w:jc w:val="both"/>
              <w:rPr>
                <w:rFonts w:ascii="Arial" w:hAnsi="Arial" w:cs="Arial"/>
                <w:b/>
                <w:sz w:val="24"/>
                <w:szCs w:val="24"/>
              </w:rPr>
            </w:pPr>
          </w:p>
        </w:tc>
      </w:tr>
      <w:tr w:rsidR="00C36425" w:rsidRPr="00343B18" w:rsidTr="00831615">
        <w:tc>
          <w:tcPr>
            <w:tcW w:w="9720" w:type="dxa"/>
            <w:gridSpan w:val="3"/>
            <w:shd w:val="clear" w:color="auto" w:fill="auto"/>
          </w:tcPr>
          <w:p w:rsidR="00AD75B9" w:rsidRDefault="00AD75B9" w:rsidP="00AD75B9">
            <w:pPr>
              <w:spacing w:line="360" w:lineRule="auto"/>
              <w:jc w:val="both"/>
              <w:rPr>
                <w:rFonts w:ascii="Arial" w:hAnsi="Arial" w:cs="Arial"/>
                <w:b/>
                <w:sz w:val="24"/>
                <w:szCs w:val="24"/>
              </w:rPr>
            </w:pPr>
          </w:p>
          <w:p w:rsidR="00C36425" w:rsidRPr="00343B18" w:rsidRDefault="00C36425" w:rsidP="007B1CB1">
            <w:pPr>
              <w:spacing w:line="360" w:lineRule="auto"/>
              <w:jc w:val="both"/>
              <w:rPr>
                <w:rFonts w:ascii="Arial" w:hAnsi="Arial" w:cs="Arial"/>
                <w:b/>
                <w:sz w:val="24"/>
                <w:szCs w:val="24"/>
              </w:rPr>
            </w:pPr>
            <w:r w:rsidRPr="00343B18">
              <w:rPr>
                <w:rFonts w:ascii="Arial" w:hAnsi="Arial" w:cs="Arial"/>
                <w:b/>
                <w:sz w:val="24"/>
                <w:szCs w:val="24"/>
              </w:rPr>
              <w:t>Neutral citation:</w:t>
            </w:r>
            <w:r w:rsidRPr="00343B18">
              <w:rPr>
                <w:rFonts w:ascii="Arial" w:hAnsi="Arial" w:cs="Arial"/>
                <w:i/>
                <w:sz w:val="24"/>
                <w:szCs w:val="24"/>
              </w:rPr>
              <w:t xml:space="preserve"> S v </w:t>
            </w:r>
            <w:proofErr w:type="spellStart"/>
            <w:r>
              <w:rPr>
                <w:rFonts w:ascii="Arial" w:hAnsi="Arial" w:cs="Arial"/>
                <w:i/>
                <w:sz w:val="24"/>
                <w:szCs w:val="24"/>
              </w:rPr>
              <w:t>Saal</w:t>
            </w:r>
            <w:proofErr w:type="spellEnd"/>
            <w:r w:rsidRPr="00343B18">
              <w:rPr>
                <w:rFonts w:ascii="Arial" w:hAnsi="Arial" w:cs="Arial"/>
                <w:i/>
                <w:sz w:val="24"/>
                <w:szCs w:val="24"/>
              </w:rPr>
              <w:t xml:space="preserve"> </w:t>
            </w:r>
            <w:r w:rsidRPr="00343B18">
              <w:rPr>
                <w:rFonts w:ascii="Arial" w:hAnsi="Arial" w:cs="Arial"/>
                <w:sz w:val="24"/>
                <w:szCs w:val="24"/>
              </w:rPr>
              <w:t>(CR</w:t>
            </w:r>
            <w:r w:rsidR="00AD75B9">
              <w:rPr>
                <w:rFonts w:ascii="Arial" w:hAnsi="Arial" w:cs="Arial"/>
                <w:sz w:val="24"/>
                <w:szCs w:val="24"/>
              </w:rPr>
              <w:t>128</w:t>
            </w:r>
            <w:r w:rsidRPr="00343B18">
              <w:rPr>
                <w:rFonts w:ascii="Arial" w:hAnsi="Arial" w:cs="Arial"/>
                <w:sz w:val="24"/>
                <w:szCs w:val="24"/>
              </w:rPr>
              <w:t>/202</w:t>
            </w:r>
            <w:r>
              <w:rPr>
                <w:rFonts w:ascii="Arial" w:hAnsi="Arial" w:cs="Arial"/>
                <w:sz w:val="24"/>
                <w:szCs w:val="24"/>
              </w:rPr>
              <w:t>3</w:t>
            </w:r>
            <w:r w:rsidRPr="00343B18">
              <w:rPr>
                <w:rFonts w:ascii="Arial" w:hAnsi="Arial" w:cs="Arial"/>
                <w:sz w:val="24"/>
                <w:szCs w:val="24"/>
              </w:rPr>
              <w:t>) [202</w:t>
            </w:r>
            <w:r>
              <w:rPr>
                <w:rFonts w:ascii="Arial" w:hAnsi="Arial" w:cs="Arial"/>
                <w:sz w:val="24"/>
                <w:szCs w:val="24"/>
              </w:rPr>
              <w:t>3</w:t>
            </w:r>
            <w:r w:rsidRPr="00343B18">
              <w:rPr>
                <w:rFonts w:ascii="Arial" w:hAnsi="Arial" w:cs="Arial"/>
                <w:sz w:val="24"/>
                <w:szCs w:val="24"/>
              </w:rPr>
              <w:t xml:space="preserve">] NAHCMD </w:t>
            </w:r>
            <w:r w:rsidR="007B1CB1">
              <w:rPr>
                <w:rFonts w:ascii="Arial" w:hAnsi="Arial" w:cs="Arial"/>
                <w:sz w:val="24"/>
                <w:szCs w:val="24"/>
              </w:rPr>
              <w:t>745</w:t>
            </w:r>
            <w:r w:rsidRPr="00343B18">
              <w:rPr>
                <w:rFonts w:ascii="Arial" w:hAnsi="Arial" w:cs="Arial"/>
                <w:sz w:val="24"/>
                <w:szCs w:val="24"/>
              </w:rPr>
              <w:t xml:space="preserve"> (</w:t>
            </w:r>
            <w:r w:rsidR="007B1CB1">
              <w:rPr>
                <w:rFonts w:ascii="Arial" w:hAnsi="Arial" w:cs="Arial"/>
                <w:sz w:val="24"/>
                <w:szCs w:val="24"/>
              </w:rPr>
              <w:t xml:space="preserve">16 </w:t>
            </w:r>
            <w:r w:rsidR="003D09DC">
              <w:rPr>
                <w:rFonts w:ascii="Arial" w:hAnsi="Arial" w:cs="Arial"/>
                <w:sz w:val="24"/>
                <w:szCs w:val="24"/>
              </w:rPr>
              <w:t>November</w:t>
            </w:r>
            <w:r w:rsidRPr="00343B18">
              <w:rPr>
                <w:rFonts w:ascii="Arial" w:hAnsi="Arial" w:cs="Arial"/>
                <w:sz w:val="24"/>
                <w:szCs w:val="24"/>
              </w:rPr>
              <w:t xml:space="preserve"> 202</w:t>
            </w:r>
            <w:r>
              <w:rPr>
                <w:rFonts w:ascii="Arial" w:hAnsi="Arial" w:cs="Arial"/>
                <w:sz w:val="24"/>
                <w:szCs w:val="24"/>
              </w:rPr>
              <w:t>3</w:t>
            </w:r>
            <w:r w:rsidRPr="00343B18">
              <w:rPr>
                <w:rFonts w:ascii="Arial" w:hAnsi="Arial" w:cs="Arial"/>
                <w:sz w:val="24"/>
                <w:szCs w:val="24"/>
              </w:rPr>
              <w:t>)</w:t>
            </w:r>
          </w:p>
        </w:tc>
      </w:tr>
      <w:tr w:rsidR="00C36425" w:rsidRPr="00343B18" w:rsidTr="00831615">
        <w:tc>
          <w:tcPr>
            <w:tcW w:w="9720" w:type="dxa"/>
            <w:gridSpan w:val="3"/>
            <w:shd w:val="clear" w:color="auto" w:fill="auto"/>
          </w:tcPr>
          <w:p w:rsidR="00C36425" w:rsidRPr="00343B18" w:rsidRDefault="00C36425" w:rsidP="00831615">
            <w:pPr>
              <w:spacing w:line="360" w:lineRule="auto"/>
              <w:jc w:val="both"/>
              <w:rPr>
                <w:rFonts w:ascii="Arial" w:hAnsi="Arial" w:cs="Arial"/>
                <w:b/>
                <w:sz w:val="24"/>
                <w:szCs w:val="24"/>
              </w:rPr>
            </w:pPr>
            <w:r w:rsidRPr="00343B18">
              <w:rPr>
                <w:rFonts w:ascii="Arial" w:hAnsi="Arial" w:cs="Arial"/>
                <w:b/>
                <w:sz w:val="24"/>
                <w:szCs w:val="24"/>
              </w:rPr>
              <w:t>The order:</w:t>
            </w:r>
          </w:p>
          <w:p w:rsidR="00C36425" w:rsidRPr="00343B18" w:rsidRDefault="00C36425" w:rsidP="00F86BE5">
            <w:pPr>
              <w:spacing w:after="0" w:line="360" w:lineRule="auto"/>
              <w:contextualSpacing/>
              <w:jc w:val="both"/>
              <w:rPr>
                <w:rFonts w:ascii="Arial" w:hAnsi="Arial" w:cs="Arial"/>
                <w:sz w:val="24"/>
                <w:szCs w:val="24"/>
              </w:rPr>
            </w:pPr>
            <w:r w:rsidRPr="00435F0D">
              <w:rPr>
                <w:rFonts w:ascii="Arial" w:hAnsi="Arial" w:cs="Arial"/>
                <w:sz w:val="24"/>
                <w:szCs w:val="24"/>
              </w:rPr>
              <w:t>The conviction</w:t>
            </w:r>
            <w:r w:rsidR="008B662E">
              <w:rPr>
                <w:rFonts w:ascii="Arial" w:hAnsi="Arial" w:cs="Arial"/>
                <w:sz w:val="24"/>
                <w:szCs w:val="24"/>
              </w:rPr>
              <w:t xml:space="preserve"> and sentence</w:t>
            </w:r>
            <w:r w:rsidRPr="00435F0D">
              <w:rPr>
                <w:rFonts w:ascii="Arial" w:hAnsi="Arial" w:cs="Arial"/>
                <w:sz w:val="24"/>
                <w:szCs w:val="24"/>
              </w:rPr>
              <w:t xml:space="preserve"> </w:t>
            </w:r>
            <w:r w:rsidR="003D09DC">
              <w:rPr>
                <w:rFonts w:ascii="Arial" w:hAnsi="Arial" w:cs="Arial"/>
                <w:sz w:val="24"/>
                <w:szCs w:val="24"/>
              </w:rPr>
              <w:t xml:space="preserve">are </w:t>
            </w:r>
            <w:r w:rsidRPr="00435F0D">
              <w:rPr>
                <w:rFonts w:ascii="Arial" w:hAnsi="Arial" w:cs="Arial"/>
                <w:sz w:val="24"/>
                <w:szCs w:val="24"/>
              </w:rPr>
              <w:t>confirmed.</w:t>
            </w:r>
            <w:bookmarkStart w:id="0" w:name="_GoBack"/>
            <w:bookmarkEnd w:id="0"/>
          </w:p>
        </w:tc>
      </w:tr>
      <w:tr w:rsidR="00C36425" w:rsidRPr="00343B18" w:rsidTr="00831615">
        <w:tc>
          <w:tcPr>
            <w:tcW w:w="9720" w:type="dxa"/>
            <w:gridSpan w:val="3"/>
            <w:shd w:val="clear" w:color="auto" w:fill="auto"/>
          </w:tcPr>
          <w:p w:rsidR="00C36425" w:rsidRPr="00343B18" w:rsidRDefault="00C36425" w:rsidP="00831615">
            <w:pPr>
              <w:spacing w:line="360" w:lineRule="auto"/>
              <w:jc w:val="both"/>
              <w:rPr>
                <w:rFonts w:ascii="Arial" w:hAnsi="Arial" w:cs="Arial"/>
                <w:b/>
                <w:sz w:val="24"/>
                <w:szCs w:val="24"/>
              </w:rPr>
            </w:pPr>
            <w:r w:rsidRPr="00343B18">
              <w:rPr>
                <w:rFonts w:ascii="Arial" w:hAnsi="Arial" w:cs="Arial"/>
                <w:b/>
                <w:sz w:val="24"/>
                <w:szCs w:val="24"/>
              </w:rPr>
              <w:t>Reasons for order:</w:t>
            </w:r>
          </w:p>
        </w:tc>
      </w:tr>
      <w:tr w:rsidR="00C36425" w:rsidRPr="00343B18" w:rsidTr="00831615">
        <w:tc>
          <w:tcPr>
            <w:tcW w:w="9720" w:type="dxa"/>
            <w:gridSpan w:val="3"/>
            <w:shd w:val="clear" w:color="auto" w:fill="auto"/>
          </w:tcPr>
          <w:p w:rsidR="00364D4F" w:rsidRDefault="00364D4F" w:rsidP="00831615">
            <w:pPr>
              <w:tabs>
                <w:tab w:val="left" w:pos="3765"/>
              </w:tabs>
              <w:spacing w:after="0" w:line="360" w:lineRule="auto"/>
              <w:jc w:val="both"/>
              <w:rPr>
                <w:rFonts w:ascii="Arial" w:hAnsi="Arial" w:cs="Arial"/>
                <w:sz w:val="24"/>
                <w:szCs w:val="24"/>
              </w:rPr>
            </w:pPr>
          </w:p>
          <w:p w:rsidR="00C36425" w:rsidRDefault="00C36425" w:rsidP="00831615">
            <w:pPr>
              <w:tabs>
                <w:tab w:val="left" w:pos="3765"/>
              </w:tabs>
              <w:spacing w:after="0" w:line="360" w:lineRule="auto"/>
              <w:jc w:val="both"/>
              <w:rPr>
                <w:rFonts w:ascii="Arial" w:hAnsi="Arial" w:cs="Arial"/>
                <w:sz w:val="24"/>
                <w:szCs w:val="24"/>
              </w:rPr>
            </w:pPr>
            <w:r>
              <w:rPr>
                <w:rFonts w:ascii="Arial" w:hAnsi="Arial" w:cs="Arial"/>
                <w:sz w:val="24"/>
                <w:szCs w:val="24"/>
              </w:rPr>
              <w:t>CHRISTIAAN A</w:t>
            </w:r>
            <w:r w:rsidRPr="00343B18">
              <w:rPr>
                <w:rFonts w:ascii="Arial" w:hAnsi="Arial" w:cs="Arial"/>
                <w:sz w:val="24"/>
                <w:szCs w:val="24"/>
              </w:rPr>
              <w:t xml:space="preserve">J ( </w:t>
            </w:r>
            <w:r w:rsidR="008B662E">
              <w:rPr>
                <w:rFonts w:ascii="Arial" w:hAnsi="Arial" w:cs="Arial"/>
                <w:sz w:val="24"/>
                <w:szCs w:val="24"/>
              </w:rPr>
              <w:t>LIEBENBERG</w:t>
            </w:r>
            <w:r w:rsidRPr="00343B18">
              <w:rPr>
                <w:rFonts w:ascii="Arial" w:hAnsi="Arial" w:cs="Arial"/>
                <w:sz w:val="24"/>
                <w:szCs w:val="24"/>
              </w:rPr>
              <w:t xml:space="preserve"> J concurring):</w:t>
            </w:r>
          </w:p>
          <w:p w:rsidR="00040D65" w:rsidRPr="00343B18" w:rsidRDefault="00040D65" w:rsidP="00831615">
            <w:pPr>
              <w:tabs>
                <w:tab w:val="left" w:pos="3765"/>
              </w:tabs>
              <w:spacing w:after="0" w:line="360" w:lineRule="auto"/>
              <w:jc w:val="both"/>
              <w:rPr>
                <w:rFonts w:ascii="Arial" w:hAnsi="Arial" w:cs="Arial"/>
                <w:sz w:val="24"/>
                <w:szCs w:val="24"/>
              </w:rPr>
            </w:pPr>
          </w:p>
          <w:p w:rsidR="00C36425" w:rsidRPr="00343B18" w:rsidRDefault="00040D65" w:rsidP="00040D65">
            <w:pPr>
              <w:tabs>
                <w:tab w:val="left" w:pos="588"/>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36425" w:rsidRPr="00343B18">
              <w:rPr>
                <w:rFonts w:ascii="Arial" w:hAnsi="Arial" w:cs="Arial"/>
                <w:sz w:val="24"/>
                <w:szCs w:val="24"/>
              </w:rPr>
              <w:t xml:space="preserve">The accused appeared in the magistrate’s court in the district of </w:t>
            </w:r>
            <w:proofErr w:type="spellStart"/>
            <w:r w:rsidR="00C36425">
              <w:rPr>
                <w:rFonts w:ascii="Arial" w:hAnsi="Arial" w:cs="Arial"/>
                <w:sz w:val="24"/>
                <w:szCs w:val="24"/>
              </w:rPr>
              <w:t>Mariental</w:t>
            </w:r>
            <w:proofErr w:type="spellEnd"/>
            <w:r w:rsidR="00C36425">
              <w:rPr>
                <w:rFonts w:ascii="Arial" w:hAnsi="Arial" w:cs="Arial"/>
                <w:sz w:val="24"/>
                <w:szCs w:val="24"/>
              </w:rPr>
              <w:t xml:space="preserve"> </w:t>
            </w:r>
            <w:r w:rsidR="00C36425" w:rsidRPr="00343B18">
              <w:rPr>
                <w:rFonts w:ascii="Arial" w:hAnsi="Arial" w:cs="Arial"/>
                <w:sz w:val="24"/>
                <w:szCs w:val="24"/>
              </w:rPr>
              <w:t>on a charge of</w:t>
            </w:r>
            <w:r w:rsidR="003D09DC">
              <w:rPr>
                <w:rFonts w:ascii="Arial" w:hAnsi="Arial" w:cs="Arial"/>
                <w:sz w:val="24"/>
                <w:szCs w:val="24"/>
              </w:rPr>
              <w:t xml:space="preserve"> a</w:t>
            </w:r>
            <w:r w:rsidR="00C36425" w:rsidRPr="00343B18">
              <w:rPr>
                <w:rFonts w:ascii="Arial" w:hAnsi="Arial" w:cs="Arial"/>
                <w:sz w:val="24"/>
                <w:szCs w:val="24"/>
              </w:rPr>
              <w:t xml:space="preserve"> </w:t>
            </w:r>
            <w:r w:rsidR="00C36425">
              <w:rPr>
                <w:rFonts w:ascii="Arial" w:hAnsi="Arial" w:cs="Arial"/>
                <w:sz w:val="24"/>
                <w:szCs w:val="24"/>
              </w:rPr>
              <w:t>contraven</w:t>
            </w:r>
            <w:r w:rsidR="003D09DC">
              <w:rPr>
                <w:rFonts w:ascii="Arial" w:hAnsi="Arial" w:cs="Arial"/>
                <w:sz w:val="24"/>
                <w:szCs w:val="24"/>
              </w:rPr>
              <w:t>tion of s 82(5</w:t>
            </w:r>
            <w:proofErr w:type="gramStart"/>
            <w:r w:rsidR="003D09DC">
              <w:rPr>
                <w:rFonts w:ascii="Arial" w:hAnsi="Arial" w:cs="Arial"/>
                <w:sz w:val="24"/>
                <w:szCs w:val="24"/>
              </w:rPr>
              <w:t>)</w:t>
            </w:r>
            <w:r w:rsidR="00C36425" w:rsidRPr="003D09DC">
              <w:rPr>
                <w:rFonts w:ascii="Arial" w:hAnsi="Arial" w:cs="Arial"/>
                <w:i/>
                <w:sz w:val="24"/>
                <w:szCs w:val="24"/>
              </w:rPr>
              <w:t>(</w:t>
            </w:r>
            <w:proofErr w:type="gramEnd"/>
            <w:r w:rsidR="00C36425" w:rsidRPr="003D09DC">
              <w:rPr>
                <w:rFonts w:ascii="Arial" w:hAnsi="Arial" w:cs="Arial"/>
                <w:i/>
                <w:sz w:val="24"/>
                <w:szCs w:val="24"/>
              </w:rPr>
              <w:t xml:space="preserve">a) </w:t>
            </w:r>
            <w:r w:rsidR="00C36425">
              <w:rPr>
                <w:rFonts w:ascii="Arial" w:hAnsi="Arial" w:cs="Arial"/>
                <w:sz w:val="24"/>
                <w:szCs w:val="24"/>
              </w:rPr>
              <w:t>of the Road Traffic and Transportation Act 22 of 1999</w:t>
            </w:r>
            <w:r w:rsidR="008B662E">
              <w:rPr>
                <w:rFonts w:ascii="Arial" w:hAnsi="Arial" w:cs="Arial"/>
                <w:sz w:val="24"/>
                <w:szCs w:val="24"/>
              </w:rPr>
              <w:t>, driving</w:t>
            </w:r>
            <w:r w:rsidR="00C36425">
              <w:rPr>
                <w:rFonts w:ascii="Arial" w:hAnsi="Arial" w:cs="Arial"/>
                <w:sz w:val="24"/>
                <w:szCs w:val="24"/>
              </w:rPr>
              <w:t xml:space="preserve"> with an excessive breath alcohol level</w:t>
            </w:r>
            <w:r w:rsidR="00C36425" w:rsidRPr="00343B18">
              <w:rPr>
                <w:rFonts w:ascii="Arial" w:hAnsi="Arial" w:cs="Arial"/>
                <w:sz w:val="24"/>
                <w:szCs w:val="24"/>
              </w:rPr>
              <w:t>. The accused was convicted of the offence charged and sentenced as follows;</w:t>
            </w:r>
          </w:p>
          <w:p w:rsidR="00C36425" w:rsidRPr="00366E43" w:rsidRDefault="00C36425" w:rsidP="00831615">
            <w:pPr>
              <w:tabs>
                <w:tab w:val="left" w:pos="3765"/>
              </w:tabs>
              <w:spacing w:after="0" w:line="360" w:lineRule="auto"/>
              <w:jc w:val="both"/>
              <w:rPr>
                <w:rFonts w:ascii="Arial" w:hAnsi="Arial" w:cs="Arial"/>
                <w:sz w:val="20"/>
              </w:rPr>
            </w:pPr>
            <w:r w:rsidRPr="00343B18">
              <w:rPr>
                <w:rFonts w:ascii="Arial" w:hAnsi="Arial" w:cs="Arial"/>
                <w:sz w:val="24"/>
                <w:szCs w:val="24"/>
              </w:rPr>
              <w:lastRenderedPageBreak/>
              <w:t xml:space="preserve">         </w:t>
            </w:r>
            <w:r w:rsidRPr="00366E43">
              <w:rPr>
                <w:rFonts w:ascii="Arial" w:hAnsi="Arial" w:cs="Arial"/>
                <w:szCs w:val="24"/>
              </w:rPr>
              <w:t xml:space="preserve">‘A fine of N$2000 (Two thousand Namibian Dollars) in default to </w:t>
            </w:r>
            <w:r>
              <w:rPr>
                <w:rFonts w:ascii="Arial" w:hAnsi="Arial" w:cs="Arial"/>
                <w:szCs w:val="24"/>
              </w:rPr>
              <w:t>6</w:t>
            </w:r>
            <w:r w:rsidRPr="00366E43">
              <w:rPr>
                <w:rFonts w:ascii="Arial" w:hAnsi="Arial" w:cs="Arial"/>
                <w:szCs w:val="24"/>
              </w:rPr>
              <w:t xml:space="preserve"> (</w:t>
            </w:r>
            <w:r>
              <w:rPr>
                <w:rFonts w:ascii="Arial" w:hAnsi="Arial" w:cs="Arial"/>
                <w:szCs w:val="24"/>
              </w:rPr>
              <w:t>six</w:t>
            </w:r>
            <w:r w:rsidRPr="00366E43">
              <w:rPr>
                <w:rFonts w:ascii="Arial" w:hAnsi="Arial" w:cs="Arial"/>
                <w:szCs w:val="24"/>
              </w:rPr>
              <w:t>) months imprisonment.’</w:t>
            </w:r>
          </w:p>
          <w:p w:rsidR="00C36425" w:rsidRPr="00343B18" w:rsidRDefault="00C36425" w:rsidP="00831615">
            <w:pPr>
              <w:pStyle w:val="ListParagraph"/>
              <w:tabs>
                <w:tab w:val="left" w:pos="3765"/>
              </w:tabs>
              <w:spacing w:after="0" w:line="360" w:lineRule="auto"/>
              <w:ind w:left="1080"/>
              <w:jc w:val="both"/>
              <w:rPr>
                <w:rFonts w:ascii="Arial" w:hAnsi="Arial" w:cs="Arial"/>
              </w:rPr>
            </w:pPr>
          </w:p>
          <w:p w:rsidR="00C36425" w:rsidRDefault="00040D65" w:rsidP="00364D4F">
            <w:pPr>
              <w:tabs>
                <w:tab w:val="left" w:pos="588"/>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36425" w:rsidRPr="00343B18">
              <w:rPr>
                <w:rFonts w:ascii="Arial" w:hAnsi="Arial" w:cs="Arial"/>
                <w:sz w:val="24"/>
                <w:szCs w:val="24"/>
              </w:rPr>
              <w:t xml:space="preserve">The accused person was correctly convicted. The problem lies with the </w:t>
            </w:r>
            <w:r w:rsidR="00364D4F">
              <w:rPr>
                <w:rFonts w:ascii="Arial" w:hAnsi="Arial" w:cs="Arial"/>
                <w:sz w:val="24"/>
                <w:szCs w:val="24"/>
              </w:rPr>
              <w:t>order suspending the accused’s driver’s license for a period of three months.</w:t>
            </w:r>
          </w:p>
          <w:p w:rsidR="00364D4F" w:rsidRPr="00343B18" w:rsidRDefault="00364D4F" w:rsidP="00364D4F">
            <w:pPr>
              <w:tabs>
                <w:tab w:val="left" w:pos="588"/>
              </w:tabs>
              <w:spacing w:after="0" w:line="360" w:lineRule="auto"/>
              <w:jc w:val="both"/>
              <w:rPr>
                <w:rFonts w:ascii="Arial" w:hAnsi="Arial" w:cs="Arial"/>
                <w:sz w:val="24"/>
                <w:szCs w:val="24"/>
              </w:rPr>
            </w:pPr>
          </w:p>
          <w:p w:rsidR="00C36425" w:rsidRPr="00435F0D" w:rsidRDefault="00040D65" w:rsidP="00040D65">
            <w:pPr>
              <w:tabs>
                <w:tab w:val="left" w:pos="588"/>
              </w:tabs>
              <w:spacing w:after="0" w:line="360" w:lineRule="auto"/>
              <w:jc w:val="both"/>
              <w:rPr>
                <w:rFonts w:ascii="Arial" w:hAnsi="Arial" w:cs="Arial"/>
                <w:sz w:val="28"/>
                <w:szCs w:val="24"/>
              </w:rPr>
            </w:pPr>
            <w:r>
              <w:rPr>
                <w:rFonts w:ascii="Arial" w:hAnsi="Arial" w:cs="Arial"/>
                <w:sz w:val="24"/>
                <w:szCs w:val="24"/>
              </w:rPr>
              <w:t>[3]</w:t>
            </w:r>
            <w:r>
              <w:rPr>
                <w:rFonts w:ascii="Arial" w:hAnsi="Arial" w:cs="Arial"/>
                <w:sz w:val="24"/>
                <w:szCs w:val="24"/>
              </w:rPr>
              <w:tab/>
            </w:r>
            <w:r w:rsidR="00C36425" w:rsidRPr="00343B18">
              <w:rPr>
                <w:rFonts w:ascii="Arial" w:hAnsi="Arial" w:cs="Arial"/>
                <w:sz w:val="24"/>
                <w:szCs w:val="24"/>
              </w:rPr>
              <w:t xml:space="preserve">When this matter came before me on automatic review, a query was directed to the trial court requesting the magistrate to explain </w:t>
            </w:r>
            <w:r w:rsidR="00C36425">
              <w:rPr>
                <w:rFonts w:ascii="Arial" w:hAnsi="Arial" w:cs="Arial"/>
                <w:sz w:val="24"/>
                <w:szCs w:val="24"/>
              </w:rPr>
              <w:t xml:space="preserve">why the provisions of s 51 of the Road Traffic and Transportation Act </w:t>
            </w:r>
            <w:r w:rsidR="00211207">
              <w:rPr>
                <w:rFonts w:ascii="Arial" w:hAnsi="Arial" w:cs="Arial"/>
                <w:sz w:val="24"/>
                <w:szCs w:val="24"/>
              </w:rPr>
              <w:t>were</w:t>
            </w:r>
            <w:r w:rsidR="00C36425">
              <w:rPr>
                <w:rFonts w:ascii="Arial" w:hAnsi="Arial" w:cs="Arial"/>
                <w:sz w:val="24"/>
                <w:szCs w:val="24"/>
              </w:rPr>
              <w:t xml:space="preserve"> applied without the effect and import thereof being explained to the accused person with the consequence that the accused was not invited to make representations before the decision to suspend the </w:t>
            </w:r>
            <w:proofErr w:type="spellStart"/>
            <w:r w:rsidR="00C36425">
              <w:rPr>
                <w:rFonts w:ascii="Arial" w:hAnsi="Arial" w:cs="Arial"/>
                <w:sz w:val="24"/>
                <w:szCs w:val="24"/>
              </w:rPr>
              <w:t>drivers</w:t>
            </w:r>
            <w:proofErr w:type="spellEnd"/>
            <w:r w:rsidR="00C36425">
              <w:rPr>
                <w:rFonts w:ascii="Arial" w:hAnsi="Arial" w:cs="Arial"/>
                <w:sz w:val="24"/>
                <w:szCs w:val="24"/>
              </w:rPr>
              <w:t xml:space="preserve"> license was made</w:t>
            </w:r>
            <w:r w:rsidR="00C36425" w:rsidRPr="00435F0D">
              <w:rPr>
                <w:rFonts w:ascii="Arial" w:hAnsi="Arial" w:cs="Arial"/>
                <w:sz w:val="24"/>
              </w:rPr>
              <w:t>?</w:t>
            </w:r>
          </w:p>
          <w:p w:rsidR="00C36425" w:rsidRPr="00343B18" w:rsidRDefault="00C36425" w:rsidP="00831615">
            <w:pPr>
              <w:tabs>
                <w:tab w:val="left" w:pos="3765"/>
              </w:tabs>
              <w:spacing w:after="0" w:line="360" w:lineRule="auto"/>
              <w:jc w:val="both"/>
              <w:rPr>
                <w:rFonts w:ascii="Arial" w:hAnsi="Arial" w:cs="Arial"/>
                <w:sz w:val="24"/>
                <w:szCs w:val="24"/>
              </w:rPr>
            </w:pPr>
          </w:p>
          <w:p w:rsidR="00C36425" w:rsidRPr="00C36425" w:rsidRDefault="00040D65" w:rsidP="00040D65">
            <w:pPr>
              <w:tabs>
                <w:tab w:val="left" w:pos="588"/>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36425" w:rsidRPr="00343B18">
              <w:rPr>
                <w:rFonts w:ascii="Arial" w:hAnsi="Arial" w:cs="Arial"/>
                <w:sz w:val="24"/>
                <w:szCs w:val="24"/>
              </w:rPr>
              <w:t>The magistrate</w:t>
            </w:r>
            <w:r w:rsidR="00211207">
              <w:rPr>
                <w:rFonts w:ascii="Arial" w:hAnsi="Arial" w:cs="Arial"/>
                <w:sz w:val="24"/>
                <w:szCs w:val="24"/>
              </w:rPr>
              <w:t>’s response was</w:t>
            </w:r>
            <w:r w:rsidR="00C36425">
              <w:rPr>
                <w:rFonts w:ascii="Arial" w:hAnsi="Arial" w:cs="Arial"/>
                <w:sz w:val="24"/>
                <w:szCs w:val="24"/>
              </w:rPr>
              <w:t xml:space="preserve"> that she explained the provisions of s 51 to the accused before questi</w:t>
            </w:r>
            <w:r w:rsidR="00211207">
              <w:rPr>
                <w:rFonts w:ascii="Arial" w:hAnsi="Arial" w:cs="Arial"/>
                <w:sz w:val="24"/>
                <w:szCs w:val="24"/>
              </w:rPr>
              <w:t>oning him in terms of s 112(1</w:t>
            </w:r>
            <w:proofErr w:type="gramStart"/>
            <w:r w:rsidR="00211207">
              <w:rPr>
                <w:rFonts w:ascii="Arial" w:hAnsi="Arial" w:cs="Arial"/>
                <w:sz w:val="24"/>
                <w:szCs w:val="24"/>
              </w:rPr>
              <w:t>)</w:t>
            </w:r>
            <w:r w:rsidR="00C36425" w:rsidRPr="00211207">
              <w:rPr>
                <w:rFonts w:ascii="Arial" w:hAnsi="Arial" w:cs="Arial"/>
                <w:i/>
                <w:sz w:val="24"/>
                <w:szCs w:val="24"/>
              </w:rPr>
              <w:t>(</w:t>
            </w:r>
            <w:proofErr w:type="gramEnd"/>
            <w:r w:rsidR="00C36425" w:rsidRPr="00211207">
              <w:rPr>
                <w:rFonts w:ascii="Arial" w:hAnsi="Arial" w:cs="Arial"/>
                <w:i/>
                <w:sz w:val="24"/>
                <w:szCs w:val="24"/>
              </w:rPr>
              <w:t xml:space="preserve">b) </w:t>
            </w:r>
            <w:r w:rsidR="00C36425">
              <w:rPr>
                <w:rFonts w:ascii="Arial" w:hAnsi="Arial" w:cs="Arial"/>
                <w:sz w:val="24"/>
                <w:szCs w:val="24"/>
              </w:rPr>
              <w:t>of the Criminal Procedure Act 51 of 1977,</w:t>
            </w:r>
            <w:r w:rsidR="00211207">
              <w:rPr>
                <w:rFonts w:ascii="Arial" w:hAnsi="Arial" w:cs="Arial"/>
                <w:sz w:val="24"/>
                <w:szCs w:val="24"/>
              </w:rPr>
              <w:t xml:space="preserve"> </w:t>
            </w:r>
            <w:r w:rsidR="00C36425">
              <w:rPr>
                <w:rFonts w:ascii="Arial" w:hAnsi="Arial" w:cs="Arial"/>
                <w:sz w:val="24"/>
                <w:szCs w:val="24"/>
              </w:rPr>
              <w:t xml:space="preserve">but  </w:t>
            </w:r>
            <w:r w:rsidR="00C36425" w:rsidRPr="00343B18">
              <w:rPr>
                <w:rFonts w:ascii="Arial" w:hAnsi="Arial" w:cs="Arial"/>
                <w:sz w:val="24"/>
                <w:szCs w:val="24"/>
              </w:rPr>
              <w:t xml:space="preserve">conceded that </w:t>
            </w:r>
            <w:r w:rsidR="00C36425" w:rsidRPr="00C36425">
              <w:rPr>
                <w:rFonts w:ascii="Arial" w:hAnsi="Arial" w:cs="Arial"/>
                <w:sz w:val="24"/>
                <w:szCs w:val="24"/>
              </w:rPr>
              <w:t>she failed to keep record of the procedural rights’ explanation.</w:t>
            </w:r>
          </w:p>
          <w:p w:rsidR="00C36425" w:rsidRPr="00C36425" w:rsidRDefault="00C36425" w:rsidP="00831615">
            <w:pPr>
              <w:tabs>
                <w:tab w:val="left" w:pos="3765"/>
              </w:tabs>
              <w:spacing w:after="0" w:line="360" w:lineRule="auto"/>
              <w:jc w:val="both"/>
              <w:rPr>
                <w:rFonts w:ascii="Arial" w:hAnsi="Arial" w:cs="Arial"/>
                <w:sz w:val="24"/>
                <w:szCs w:val="24"/>
              </w:rPr>
            </w:pPr>
          </w:p>
          <w:p w:rsidR="00C36425" w:rsidRPr="00075B18" w:rsidRDefault="00C36425" w:rsidP="00C36425">
            <w:pPr>
              <w:spacing w:after="0" w:line="360" w:lineRule="auto"/>
              <w:ind w:left="34" w:hanging="34"/>
              <w:contextualSpacing/>
              <w:jc w:val="both"/>
              <w:rPr>
                <w:rFonts w:ascii="Arial" w:hAnsi="Arial" w:cs="Arial"/>
                <w:color w:val="0D0D0D"/>
                <w:sz w:val="24"/>
              </w:rPr>
            </w:pPr>
            <w:r w:rsidRPr="00C36425">
              <w:rPr>
                <w:rFonts w:ascii="Arial" w:hAnsi="Arial" w:cs="Arial"/>
                <w:sz w:val="24"/>
              </w:rPr>
              <w:t xml:space="preserve">[5] </w:t>
            </w:r>
            <w:r w:rsidRPr="00075B18">
              <w:rPr>
                <w:rFonts w:ascii="Arial" w:hAnsi="Arial" w:cs="Arial"/>
                <w:color w:val="0D0D0D"/>
                <w:sz w:val="24"/>
                <w:szCs w:val="24"/>
                <w:lang w:val="en-ZA"/>
              </w:rPr>
              <w:tab/>
              <w:t xml:space="preserve">As stated earlier, the magistrate did not record the explanations of the procedural rights in the record. The rights were merely recorded as: </w:t>
            </w:r>
            <w:r w:rsidRPr="00075B18">
              <w:rPr>
                <w:rFonts w:ascii="Arial" w:hAnsi="Arial" w:cs="Arial"/>
                <w:color w:val="0D0D0D"/>
                <w:sz w:val="24"/>
                <w:szCs w:val="24"/>
                <w:shd w:val="clear" w:color="auto" w:fill="FFFFFF"/>
              </w:rPr>
              <w:t>‘</w:t>
            </w:r>
            <w:r>
              <w:rPr>
                <w:rFonts w:ascii="Arial" w:hAnsi="Arial" w:cs="Arial"/>
                <w:color w:val="0D0D0D"/>
                <w:shd w:val="clear" w:color="auto" w:fill="FFFFFF"/>
              </w:rPr>
              <w:t>Section 51 of Act 22 of 1999 applied.</w:t>
            </w:r>
            <w:r w:rsidRPr="00075B18">
              <w:rPr>
                <w:rFonts w:ascii="Arial" w:hAnsi="Arial" w:cs="Arial"/>
                <w:color w:val="0D0D0D"/>
                <w:shd w:val="clear" w:color="auto" w:fill="FFFFFF"/>
              </w:rPr>
              <w:t>’</w:t>
            </w:r>
          </w:p>
          <w:p w:rsidR="00C36425" w:rsidRPr="00075B18" w:rsidRDefault="00C36425" w:rsidP="00831615">
            <w:pPr>
              <w:shd w:val="clear" w:color="auto" w:fill="FFFFFF"/>
              <w:spacing w:after="0" w:line="360" w:lineRule="auto"/>
              <w:jc w:val="both"/>
              <w:rPr>
                <w:rFonts w:ascii="Arial" w:hAnsi="Arial" w:cs="Arial"/>
                <w:color w:val="0D0D0D"/>
                <w:sz w:val="24"/>
                <w:szCs w:val="24"/>
                <w:shd w:val="clear" w:color="auto" w:fill="FFFFFF"/>
              </w:rPr>
            </w:pPr>
          </w:p>
          <w:p w:rsidR="00C36425" w:rsidRPr="00075B18" w:rsidRDefault="00C36425" w:rsidP="00831615">
            <w:pPr>
              <w:shd w:val="clear" w:color="auto" w:fill="FFFFFF"/>
              <w:spacing w:after="0" w:line="360" w:lineRule="auto"/>
              <w:jc w:val="both"/>
              <w:rPr>
                <w:rFonts w:ascii="Arial" w:hAnsi="Arial" w:cs="Arial"/>
                <w:color w:val="0D0D0D"/>
                <w:sz w:val="24"/>
                <w:szCs w:val="24"/>
                <w:shd w:val="clear" w:color="auto" w:fill="FFFFFF"/>
              </w:rPr>
            </w:pPr>
            <w:r w:rsidRPr="00075B18">
              <w:rPr>
                <w:rFonts w:ascii="Arial" w:hAnsi="Arial" w:cs="Arial"/>
                <w:color w:val="0D0D0D"/>
                <w:sz w:val="24"/>
                <w:szCs w:val="24"/>
                <w:shd w:val="clear" w:color="auto" w:fill="FFFFFF"/>
              </w:rPr>
              <w:t>[</w:t>
            </w:r>
            <w:r>
              <w:rPr>
                <w:rFonts w:ascii="Arial" w:hAnsi="Arial" w:cs="Arial"/>
                <w:color w:val="0D0D0D"/>
                <w:sz w:val="24"/>
                <w:szCs w:val="24"/>
                <w:shd w:val="clear" w:color="auto" w:fill="FFFFFF"/>
              </w:rPr>
              <w:t>6</w:t>
            </w:r>
            <w:r w:rsidRPr="00075B18">
              <w:rPr>
                <w:rFonts w:ascii="Arial" w:hAnsi="Arial" w:cs="Arial"/>
                <w:color w:val="0D0D0D"/>
                <w:sz w:val="24"/>
                <w:szCs w:val="24"/>
                <w:shd w:val="clear" w:color="auto" w:fill="FFFFFF"/>
              </w:rPr>
              <w:t>]</w:t>
            </w:r>
            <w:r w:rsidRPr="00075B18">
              <w:rPr>
                <w:rFonts w:ascii="Arial" w:hAnsi="Arial" w:cs="Arial"/>
                <w:color w:val="0D0D0D"/>
                <w:sz w:val="24"/>
                <w:szCs w:val="24"/>
                <w:shd w:val="clear" w:color="auto" w:fill="FFFFFF"/>
              </w:rPr>
              <w:tab/>
            </w:r>
            <w:r w:rsidRPr="00075B18">
              <w:rPr>
                <w:rFonts w:ascii="Arial" w:hAnsi="Arial" w:cs="Arial"/>
                <w:color w:val="0D0D0D"/>
                <w:sz w:val="24"/>
                <w:szCs w:val="24"/>
                <w:lang w:val="en-ZA"/>
              </w:rPr>
              <w:t>A magistrate has a duty to keep an unrepresented accused informed of procedural rights and to keep record thereof.</w:t>
            </w:r>
            <w:r w:rsidRPr="00075B18">
              <w:rPr>
                <w:rFonts w:ascii="Arial" w:hAnsi="Arial" w:cs="Arial"/>
                <w:color w:val="0D0D0D"/>
                <w:sz w:val="24"/>
                <w:szCs w:val="24"/>
                <w:vertAlign w:val="superscript"/>
                <w:lang w:val="en-ZA"/>
              </w:rPr>
              <w:footnoteReference w:id="1"/>
            </w:r>
            <w:r w:rsidRPr="00075B18">
              <w:rPr>
                <w:rFonts w:ascii="Arial" w:hAnsi="Arial" w:cs="Arial"/>
                <w:color w:val="0D0D0D"/>
                <w:sz w:val="24"/>
                <w:szCs w:val="24"/>
                <w:lang w:val="en-ZA"/>
              </w:rPr>
              <w:t xml:space="preserve"> T</w:t>
            </w:r>
            <w:r w:rsidRPr="00075B18">
              <w:rPr>
                <w:rFonts w:ascii="Arial" w:hAnsi="Arial" w:cs="Arial"/>
                <w:color w:val="0D0D0D"/>
                <w:sz w:val="24"/>
                <w:szCs w:val="24"/>
                <w:shd w:val="clear" w:color="auto" w:fill="FFFFFF"/>
              </w:rPr>
              <w:t xml:space="preserve">he Namibian Supreme Court endorsed the principle in </w:t>
            </w:r>
            <w:r w:rsidRPr="00075B18">
              <w:rPr>
                <w:rFonts w:ascii="Arial" w:hAnsi="Arial" w:cs="Arial"/>
                <w:i/>
                <w:color w:val="0D0D0D"/>
                <w:sz w:val="24"/>
                <w:szCs w:val="24"/>
                <w:shd w:val="clear" w:color="auto" w:fill="FFFFFF"/>
              </w:rPr>
              <w:t xml:space="preserve">S v </w:t>
            </w:r>
            <w:proofErr w:type="spellStart"/>
            <w:r w:rsidRPr="00075B18">
              <w:rPr>
                <w:rFonts w:ascii="Arial" w:hAnsi="Arial" w:cs="Arial"/>
                <w:i/>
                <w:color w:val="0D0D0D"/>
                <w:sz w:val="24"/>
                <w:szCs w:val="24"/>
                <w:shd w:val="clear" w:color="auto" w:fill="FFFFFF"/>
              </w:rPr>
              <w:t>Kau</w:t>
            </w:r>
            <w:proofErr w:type="spellEnd"/>
            <w:r w:rsidRPr="00075B18">
              <w:rPr>
                <w:rFonts w:ascii="Arial" w:hAnsi="Arial" w:cs="Arial"/>
                <w:color w:val="0D0D0D"/>
                <w:sz w:val="24"/>
                <w:szCs w:val="24"/>
                <w:shd w:val="clear" w:color="auto" w:fill="FFFFFF"/>
                <w:vertAlign w:val="superscript"/>
              </w:rPr>
              <w:footnoteReference w:id="2"/>
            </w:r>
            <w:r w:rsidRPr="00075B18">
              <w:rPr>
                <w:rFonts w:ascii="Arial" w:hAnsi="Arial" w:cs="Arial"/>
                <w:color w:val="0D0D0D"/>
                <w:sz w:val="24"/>
                <w:szCs w:val="24"/>
                <w:shd w:val="clear" w:color="auto" w:fill="FFFFFF"/>
              </w:rPr>
              <w:t xml:space="preserve"> and it was stated at 11H – 12A with reference to the explanations and the recording thereof by the magistrate that: </w:t>
            </w:r>
          </w:p>
          <w:p w:rsidR="00C36425" w:rsidRPr="00075B18" w:rsidRDefault="00C36425" w:rsidP="00831615">
            <w:pPr>
              <w:shd w:val="clear" w:color="auto" w:fill="FFFFFF"/>
              <w:spacing w:after="0" w:line="360" w:lineRule="auto"/>
              <w:jc w:val="both"/>
              <w:rPr>
                <w:rFonts w:ascii="Arial" w:hAnsi="Arial" w:cs="Arial"/>
                <w:color w:val="0D0D0D"/>
                <w:sz w:val="24"/>
                <w:szCs w:val="24"/>
                <w:shd w:val="clear" w:color="auto" w:fill="FFFFFF"/>
              </w:rPr>
            </w:pPr>
          </w:p>
          <w:p w:rsidR="00C36425" w:rsidRPr="00075B18" w:rsidRDefault="00C36425" w:rsidP="00831615">
            <w:pPr>
              <w:shd w:val="clear" w:color="auto" w:fill="FFFFFF"/>
              <w:spacing w:after="0" w:line="360" w:lineRule="auto"/>
              <w:ind w:firstLine="720"/>
              <w:jc w:val="both"/>
              <w:rPr>
                <w:rFonts w:ascii="Arial" w:hAnsi="Arial" w:cs="Arial"/>
                <w:color w:val="0D0D0D"/>
                <w:shd w:val="clear" w:color="auto" w:fill="FFFFFF"/>
              </w:rPr>
            </w:pPr>
            <w:r w:rsidRPr="00075B18">
              <w:rPr>
                <w:rFonts w:ascii="Arial" w:hAnsi="Arial" w:cs="Arial"/>
                <w:color w:val="0D0D0D"/>
                <w:sz w:val="24"/>
                <w:szCs w:val="24"/>
                <w:shd w:val="clear" w:color="auto" w:fill="FFFFFF"/>
              </w:rPr>
              <w:t xml:space="preserve"> ‘</w:t>
            </w:r>
            <w:r w:rsidRPr="00075B18">
              <w:rPr>
                <w:rFonts w:ascii="Arial" w:hAnsi="Arial" w:cs="Arial"/>
                <w:color w:val="0D0D0D"/>
                <w:shd w:val="clear" w:color="auto" w:fill="FFFFFF"/>
              </w:rPr>
              <w:t>He should have recorded the nature of the explanation given to the appellants. All that he told them about cross-examination should have been written down. It is difficult for an appellate court to accept that the magistrate explained fully to the appellants the import of cross-examination. The terse statements entered in the record do not suggest what it was that the magistrate told the appellant. In this case it is difficult to believe that the magistrate explained fully what cross-examination was all about, because the record reveals that appellants did not understand what they were expected to do during cross-examination.’</w:t>
            </w:r>
          </w:p>
          <w:p w:rsidR="00C36425" w:rsidRPr="00075B18" w:rsidRDefault="00C36425" w:rsidP="00831615">
            <w:pPr>
              <w:shd w:val="clear" w:color="auto" w:fill="FFFFFF"/>
              <w:spacing w:after="0" w:line="360" w:lineRule="auto"/>
              <w:jc w:val="both"/>
              <w:rPr>
                <w:rFonts w:ascii="Arial" w:hAnsi="Arial" w:cs="Arial"/>
                <w:color w:val="0D0D0D"/>
                <w:sz w:val="24"/>
                <w:szCs w:val="24"/>
                <w:lang w:val="en-ZA"/>
              </w:rPr>
            </w:pPr>
          </w:p>
          <w:p w:rsidR="00C36425" w:rsidRDefault="00C36425" w:rsidP="00831615">
            <w:pPr>
              <w:shd w:val="clear" w:color="auto" w:fill="FFFFFF"/>
              <w:spacing w:after="0" w:line="360" w:lineRule="auto"/>
              <w:jc w:val="both"/>
              <w:rPr>
                <w:rFonts w:ascii="Arial" w:hAnsi="Arial" w:cs="Arial"/>
                <w:color w:val="0D0D0D"/>
                <w:sz w:val="24"/>
                <w:szCs w:val="24"/>
                <w:lang w:val="en-ZA"/>
              </w:rPr>
            </w:pPr>
            <w:r w:rsidRPr="00075B18">
              <w:rPr>
                <w:rFonts w:ascii="Arial" w:hAnsi="Arial" w:cs="Arial"/>
                <w:color w:val="0D0D0D"/>
                <w:sz w:val="24"/>
                <w:szCs w:val="24"/>
                <w:lang w:val="en-ZA"/>
              </w:rPr>
              <w:lastRenderedPageBreak/>
              <w:t>[</w:t>
            </w:r>
            <w:r>
              <w:rPr>
                <w:rFonts w:ascii="Arial" w:hAnsi="Arial" w:cs="Arial"/>
                <w:color w:val="0D0D0D"/>
                <w:sz w:val="24"/>
                <w:szCs w:val="24"/>
                <w:lang w:val="en-ZA"/>
              </w:rPr>
              <w:t>7</w:t>
            </w:r>
            <w:r w:rsidRPr="00075B18">
              <w:rPr>
                <w:rFonts w:ascii="Arial" w:hAnsi="Arial" w:cs="Arial"/>
                <w:color w:val="0D0D0D"/>
                <w:sz w:val="24"/>
                <w:szCs w:val="24"/>
                <w:lang w:val="en-ZA"/>
              </w:rPr>
              <w:t>]</w:t>
            </w:r>
            <w:r w:rsidRPr="00075B18">
              <w:rPr>
                <w:rFonts w:ascii="Arial" w:hAnsi="Arial" w:cs="Arial"/>
                <w:color w:val="0D0D0D"/>
                <w:sz w:val="24"/>
                <w:szCs w:val="24"/>
                <w:lang w:val="en-ZA"/>
              </w:rPr>
              <w:tab/>
              <w:t xml:space="preserve">Simply put, the details of the explanations should appear </w:t>
            </w:r>
            <w:r w:rsidRPr="00075B18">
              <w:rPr>
                <w:rFonts w:ascii="Arial" w:hAnsi="Arial" w:cs="Arial"/>
                <w:i/>
                <w:color w:val="0D0D0D"/>
                <w:sz w:val="24"/>
                <w:szCs w:val="24"/>
                <w:lang w:val="en-ZA"/>
              </w:rPr>
              <w:t>ex facie</w:t>
            </w:r>
            <w:r w:rsidRPr="00075B18">
              <w:rPr>
                <w:rFonts w:ascii="Arial" w:hAnsi="Arial" w:cs="Arial"/>
                <w:color w:val="0D0D0D"/>
                <w:sz w:val="24"/>
                <w:szCs w:val="24"/>
                <w:lang w:val="en-ZA"/>
              </w:rPr>
              <w:t xml:space="preserve"> the record.</w:t>
            </w:r>
            <w:r w:rsidRPr="00075B18">
              <w:rPr>
                <w:rFonts w:ascii="Arial" w:hAnsi="Arial" w:cs="Arial"/>
                <w:color w:val="0D0D0D"/>
                <w:sz w:val="24"/>
                <w:szCs w:val="24"/>
                <w:vertAlign w:val="superscript"/>
                <w:lang w:val="en-ZA"/>
              </w:rPr>
              <w:footnoteReference w:id="3"/>
            </w:r>
            <w:r w:rsidRPr="00075B18">
              <w:rPr>
                <w:rFonts w:ascii="Arial" w:hAnsi="Arial" w:cs="Arial"/>
                <w:color w:val="0D0D0D"/>
                <w:sz w:val="24"/>
                <w:szCs w:val="24"/>
                <w:lang w:val="en-ZA"/>
              </w:rPr>
              <w:t xml:space="preserve"> In this matter it was not properly done, which amounts to a</w:t>
            </w:r>
            <w:r>
              <w:rPr>
                <w:rFonts w:ascii="Arial" w:hAnsi="Arial" w:cs="Arial"/>
                <w:color w:val="0D0D0D"/>
                <w:sz w:val="24"/>
                <w:szCs w:val="24"/>
                <w:lang w:val="en-ZA"/>
              </w:rPr>
              <w:t>n</w:t>
            </w:r>
            <w:r w:rsidRPr="00075B18">
              <w:rPr>
                <w:rFonts w:ascii="Arial" w:hAnsi="Arial" w:cs="Arial"/>
                <w:color w:val="0D0D0D"/>
                <w:sz w:val="24"/>
                <w:szCs w:val="24"/>
                <w:lang w:val="en-ZA"/>
              </w:rPr>
              <w:t xml:space="preserve"> irregularity.</w:t>
            </w:r>
            <w:r>
              <w:rPr>
                <w:rFonts w:ascii="Arial" w:hAnsi="Arial" w:cs="Arial"/>
                <w:color w:val="0D0D0D"/>
                <w:sz w:val="24"/>
                <w:szCs w:val="24"/>
                <w:lang w:val="en-ZA"/>
              </w:rPr>
              <w:t xml:space="preserve">  However, it is clear from the record of proceedings that the accused addressed the court and provided reasons why his driver’s license should not be suspended and it reads:</w:t>
            </w:r>
          </w:p>
          <w:p w:rsidR="00B47701" w:rsidRDefault="00B47701" w:rsidP="00831615">
            <w:pPr>
              <w:shd w:val="clear" w:color="auto" w:fill="FFFFFF"/>
              <w:spacing w:after="0" w:line="360" w:lineRule="auto"/>
              <w:jc w:val="both"/>
              <w:rPr>
                <w:rFonts w:ascii="Arial" w:hAnsi="Arial" w:cs="Arial"/>
                <w:color w:val="0D0D0D"/>
                <w:sz w:val="24"/>
                <w:szCs w:val="24"/>
                <w:lang w:val="en-ZA"/>
              </w:rPr>
            </w:pPr>
          </w:p>
          <w:p w:rsidR="00C36425" w:rsidRPr="00075B18" w:rsidRDefault="00B47701" w:rsidP="00831615">
            <w:pPr>
              <w:shd w:val="clear" w:color="auto" w:fill="FFFFFF"/>
              <w:spacing w:after="0" w:line="360" w:lineRule="auto"/>
              <w:jc w:val="both"/>
              <w:rPr>
                <w:rFonts w:ascii="Helvetica" w:hAnsi="Helvetica" w:cs="Helvetica"/>
                <w:color w:val="0D0D0D"/>
                <w:sz w:val="21"/>
                <w:szCs w:val="21"/>
                <w:shd w:val="clear" w:color="auto" w:fill="FFFFFF"/>
              </w:rPr>
            </w:pPr>
            <w:r>
              <w:rPr>
                <w:rFonts w:ascii="Arial" w:hAnsi="Arial" w:cs="Arial"/>
                <w:color w:val="0D0D0D"/>
                <w:sz w:val="24"/>
                <w:szCs w:val="24"/>
                <w:lang w:val="en-ZA"/>
              </w:rPr>
              <w:tab/>
            </w:r>
            <w:r w:rsidR="008B662E">
              <w:rPr>
                <w:rFonts w:ascii="Arial" w:hAnsi="Arial" w:cs="Arial"/>
                <w:color w:val="0D0D0D"/>
                <w:sz w:val="24"/>
                <w:szCs w:val="24"/>
                <w:lang w:val="en-ZA"/>
              </w:rPr>
              <w:t>‘</w:t>
            </w:r>
            <w:r w:rsidR="008B662E">
              <w:rPr>
                <w:rFonts w:ascii="Arial" w:hAnsi="Arial" w:cs="Arial"/>
                <w:color w:val="0D0D0D"/>
                <w:lang w:val="en-ZA"/>
              </w:rPr>
              <w:t>I</w:t>
            </w:r>
            <w:r w:rsidR="00C36425">
              <w:rPr>
                <w:rFonts w:ascii="Arial" w:hAnsi="Arial" w:cs="Arial"/>
                <w:color w:val="0D0D0D"/>
                <w:lang w:val="en-ZA"/>
              </w:rPr>
              <w:t xml:space="preserve"> will need the license as I am self- employed and have to travel, I am asking the court not to be suspended’</w:t>
            </w:r>
            <w:r w:rsidR="00C36425">
              <w:rPr>
                <w:rFonts w:ascii="Arial" w:hAnsi="Arial" w:cs="Arial"/>
                <w:color w:val="0D0D0D"/>
                <w:sz w:val="24"/>
                <w:szCs w:val="24"/>
                <w:lang w:val="en-ZA"/>
              </w:rPr>
              <w:t xml:space="preserve">. </w:t>
            </w:r>
          </w:p>
          <w:p w:rsidR="00C36425" w:rsidRDefault="00C36425" w:rsidP="00831615">
            <w:pPr>
              <w:pStyle w:val="western"/>
              <w:shd w:val="clear" w:color="auto" w:fill="FFFFFF"/>
              <w:spacing w:before="0" w:beforeAutospacing="0" w:after="0" w:afterAutospacing="0" w:line="360" w:lineRule="auto"/>
              <w:jc w:val="both"/>
              <w:rPr>
                <w:rFonts w:ascii="Arial" w:hAnsi="Arial" w:cs="Arial"/>
              </w:rPr>
            </w:pPr>
          </w:p>
          <w:p w:rsidR="008B662E" w:rsidRDefault="00C36425" w:rsidP="00040D65">
            <w:pPr>
              <w:tabs>
                <w:tab w:val="left" w:pos="588"/>
              </w:tabs>
              <w:spacing w:after="0" w:line="360" w:lineRule="auto"/>
              <w:jc w:val="both"/>
              <w:rPr>
                <w:rFonts w:ascii="Arial" w:eastAsia="Times New Roman" w:hAnsi="Arial" w:cs="Arial"/>
                <w:sz w:val="24"/>
                <w:szCs w:val="24"/>
                <w:lang w:val="en-GB" w:eastAsia="en-GB"/>
              </w:rPr>
            </w:pPr>
            <w:r w:rsidRPr="00343B18">
              <w:rPr>
                <w:rFonts w:ascii="Arial" w:eastAsia="Times New Roman" w:hAnsi="Arial" w:cs="Arial"/>
                <w:sz w:val="24"/>
                <w:szCs w:val="24"/>
                <w:lang w:val="en-GB" w:eastAsia="en-GB"/>
              </w:rPr>
              <w:t>[</w:t>
            </w:r>
            <w:r>
              <w:rPr>
                <w:rFonts w:ascii="Arial" w:eastAsia="Times New Roman" w:hAnsi="Arial" w:cs="Arial"/>
                <w:sz w:val="24"/>
                <w:szCs w:val="24"/>
                <w:lang w:val="en-GB" w:eastAsia="en-GB"/>
              </w:rPr>
              <w:t>8</w:t>
            </w:r>
            <w:r w:rsidR="00040D65">
              <w:rPr>
                <w:rFonts w:ascii="Arial" w:eastAsia="Times New Roman" w:hAnsi="Arial" w:cs="Arial"/>
                <w:sz w:val="24"/>
                <w:szCs w:val="24"/>
                <w:lang w:val="en-GB" w:eastAsia="en-GB"/>
              </w:rPr>
              <w:t>]</w:t>
            </w:r>
            <w:r w:rsidR="00040D65">
              <w:rPr>
                <w:rFonts w:ascii="Arial" w:eastAsia="Times New Roman" w:hAnsi="Arial" w:cs="Arial"/>
                <w:sz w:val="24"/>
                <w:szCs w:val="24"/>
                <w:lang w:val="en-GB" w:eastAsia="en-GB"/>
              </w:rPr>
              <w:tab/>
            </w:r>
            <w:r w:rsidR="008B662E" w:rsidRPr="008B662E">
              <w:rPr>
                <w:rFonts w:ascii="Arial" w:eastAsia="Times New Roman" w:hAnsi="Arial" w:cs="Arial"/>
                <w:sz w:val="24"/>
                <w:szCs w:val="24"/>
                <w:lang w:val="en-GB" w:eastAsia="en-GB"/>
              </w:rPr>
              <w:t xml:space="preserve">Clearly, the </w:t>
            </w:r>
            <w:r w:rsidR="008B662E">
              <w:rPr>
                <w:rFonts w:ascii="Arial" w:eastAsia="Times New Roman" w:hAnsi="Arial" w:cs="Arial"/>
                <w:sz w:val="24"/>
                <w:szCs w:val="24"/>
                <w:lang w:val="en-GB" w:eastAsia="en-GB"/>
              </w:rPr>
              <w:t>sentence</w:t>
            </w:r>
            <w:r w:rsidR="008B662E" w:rsidRPr="008B662E">
              <w:rPr>
                <w:rFonts w:ascii="Arial" w:eastAsia="Times New Roman" w:hAnsi="Arial" w:cs="Arial"/>
                <w:sz w:val="24"/>
                <w:szCs w:val="24"/>
                <w:lang w:val="en-GB" w:eastAsia="en-GB"/>
              </w:rPr>
              <w:t xml:space="preserve"> proceedings were tainted by </w:t>
            </w:r>
            <w:r w:rsidR="008B662E">
              <w:rPr>
                <w:rFonts w:ascii="Arial" w:eastAsia="Times New Roman" w:hAnsi="Arial" w:cs="Arial"/>
                <w:sz w:val="24"/>
                <w:szCs w:val="24"/>
                <w:lang w:val="en-GB" w:eastAsia="en-GB"/>
              </w:rPr>
              <w:t xml:space="preserve">an irregularity </w:t>
            </w:r>
            <w:r w:rsidR="008B662E" w:rsidRPr="008B662E">
              <w:rPr>
                <w:rFonts w:ascii="Arial" w:eastAsia="Times New Roman" w:hAnsi="Arial" w:cs="Arial"/>
                <w:sz w:val="24"/>
                <w:szCs w:val="24"/>
                <w:lang w:val="en-GB" w:eastAsia="en-GB"/>
              </w:rPr>
              <w:t xml:space="preserve">of a serious nature which vitiates the </w:t>
            </w:r>
            <w:r w:rsidR="008B662E">
              <w:rPr>
                <w:rFonts w:ascii="Arial" w:eastAsia="Times New Roman" w:hAnsi="Arial" w:cs="Arial"/>
                <w:sz w:val="24"/>
                <w:szCs w:val="24"/>
                <w:lang w:val="en-GB" w:eastAsia="en-GB"/>
              </w:rPr>
              <w:t>suspension order</w:t>
            </w:r>
            <w:r w:rsidR="00D03805">
              <w:rPr>
                <w:rFonts w:ascii="Arial" w:eastAsia="Times New Roman" w:hAnsi="Arial" w:cs="Arial"/>
                <w:sz w:val="24"/>
                <w:szCs w:val="24"/>
                <w:lang w:val="en-GB" w:eastAsia="en-GB"/>
              </w:rPr>
              <w:t xml:space="preserve"> of the accused’s driver’s license.</w:t>
            </w:r>
            <w:r w:rsidR="008B662E" w:rsidRPr="008B662E">
              <w:rPr>
                <w:rFonts w:ascii="Arial" w:eastAsia="Times New Roman" w:hAnsi="Arial" w:cs="Arial"/>
                <w:sz w:val="24"/>
                <w:szCs w:val="24"/>
                <w:lang w:val="en-GB" w:eastAsia="en-GB"/>
              </w:rPr>
              <w:t xml:space="preserve"> </w:t>
            </w:r>
          </w:p>
          <w:p w:rsidR="008B662E" w:rsidRPr="008B662E" w:rsidRDefault="008B662E" w:rsidP="008B662E">
            <w:pPr>
              <w:tabs>
                <w:tab w:val="left" w:pos="3765"/>
              </w:tabs>
              <w:spacing w:after="0" w:line="360" w:lineRule="auto"/>
              <w:jc w:val="both"/>
              <w:rPr>
                <w:rFonts w:ascii="Arial" w:eastAsia="Times New Roman" w:hAnsi="Arial" w:cs="Arial"/>
                <w:sz w:val="24"/>
                <w:szCs w:val="24"/>
                <w:lang w:val="en-GB" w:eastAsia="en-GB"/>
              </w:rPr>
            </w:pPr>
          </w:p>
          <w:p w:rsidR="008B662E" w:rsidRDefault="008B662E" w:rsidP="00040D65">
            <w:pPr>
              <w:tabs>
                <w:tab w:val="left" w:pos="588"/>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[9]</w:t>
            </w:r>
            <w:r w:rsidR="00040D65">
              <w:rPr>
                <w:rFonts w:ascii="Arial" w:eastAsia="Times New Roman" w:hAnsi="Arial" w:cs="Arial"/>
                <w:sz w:val="24"/>
                <w:szCs w:val="24"/>
                <w:lang w:val="en-GB" w:eastAsia="en-GB"/>
              </w:rPr>
              <w:tab/>
            </w:r>
            <w:r w:rsidRPr="008B662E">
              <w:rPr>
                <w:rFonts w:ascii="Arial" w:eastAsia="Times New Roman" w:hAnsi="Arial" w:cs="Arial"/>
                <w:sz w:val="24"/>
                <w:szCs w:val="24"/>
                <w:lang w:val="en-GB" w:eastAsia="en-GB"/>
              </w:rPr>
              <w:t xml:space="preserve">Regrettably, by the time the query was answered, the </w:t>
            </w:r>
            <w:r>
              <w:rPr>
                <w:rFonts w:ascii="Arial" w:eastAsia="Times New Roman" w:hAnsi="Arial" w:cs="Arial"/>
                <w:sz w:val="24"/>
                <w:szCs w:val="24"/>
                <w:lang w:val="en-GB" w:eastAsia="en-GB"/>
              </w:rPr>
              <w:t xml:space="preserve">three (3) month period the </w:t>
            </w:r>
            <w:r w:rsidRPr="008B662E">
              <w:rPr>
                <w:rFonts w:ascii="Arial" w:eastAsia="Times New Roman" w:hAnsi="Arial" w:cs="Arial"/>
                <w:sz w:val="24"/>
                <w:szCs w:val="24"/>
                <w:lang w:val="en-GB" w:eastAsia="en-GB"/>
              </w:rPr>
              <w:t>accused</w:t>
            </w:r>
            <w:r w:rsidR="00B47701">
              <w:rPr>
                <w:rFonts w:ascii="Arial" w:eastAsia="Times New Roman" w:hAnsi="Arial" w:cs="Arial"/>
                <w:sz w:val="24"/>
                <w:szCs w:val="24"/>
                <w:lang w:val="en-GB" w:eastAsia="en-GB"/>
              </w:rPr>
              <w:t>’s</w:t>
            </w:r>
            <w:r w:rsidRPr="008B662E">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license was </w:t>
            </w:r>
            <w:proofErr w:type="gramStart"/>
            <w:r>
              <w:rPr>
                <w:rFonts w:ascii="Arial" w:eastAsia="Times New Roman" w:hAnsi="Arial" w:cs="Arial"/>
                <w:sz w:val="24"/>
                <w:szCs w:val="24"/>
                <w:lang w:val="en-GB" w:eastAsia="en-GB"/>
              </w:rPr>
              <w:t xml:space="preserve">suspended </w:t>
            </w:r>
            <w:r w:rsidR="00B47701">
              <w:rPr>
                <w:rFonts w:ascii="Arial" w:eastAsia="Times New Roman" w:hAnsi="Arial" w:cs="Arial"/>
                <w:sz w:val="24"/>
                <w:szCs w:val="24"/>
                <w:lang w:val="en-GB" w:eastAsia="en-GB"/>
              </w:rPr>
              <w:t xml:space="preserve"> had</w:t>
            </w:r>
            <w:proofErr w:type="gramEnd"/>
            <w:r w:rsidR="00B47701">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lapsed</w:t>
            </w:r>
            <w:r w:rsidRPr="008B662E">
              <w:rPr>
                <w:rFonts w:ascii="Arial" w:eastAsia="Times New Roman" w:hAnsi="Arial" w:cs="Arial"/>
                <w:sz w:val="24"/>
                <w:szCs w:val="24"/>
                <w:lang w:val="en-GB" w:eastAsia="en-GB"/>
              </w:rPr>
              <w:t xml:space="preserve">, and it will not be fair to remit the matter.  Suffice it to say, the delay in answering the query directed to the magistrate </w:t>
            </w:r>
            <w:r w:rsidR="00D03805">
              <w:rPr>
                <w:rFonts w:ascii="Arial" w:eastAsia="Times New Roman" w:hAnsi="Arial" w:cs="Arial"/>
                <w:sz w:val="24"/>
                <w:szCs w:val="24"/>
                <w:lang w:val="en-GB" w:eastAsia="en-GB"/>
              </w:rPr>
              <w:t xml:space="preserve">of </w:t>
            </w:r>
            <w:r w:rsidRPr="008B662E">
              <w:rPr>
                <w:rFonts w:ascii="Arial" w:eastAsia="Times New Roman" w:hAnsi="Arial" w:cs="Arial"/>
                <w:sz w:val="24"/>
                <w:szCs w:val="24"/>
                <w:lang w:val="en-GB" w:eastAsia="en-GB"/>
              </w:rPr>
              <w:t xml:space="preserve">almost </w:t>
            </w:r>
            <w:r>
              <w:rPr>
                <w:rFonts w:ascii="Arial" w:eastAsia="Times New Roman" w:hAnsi="Arial" w:cs="Arial"/>
                <w:sz w:val="24"/>
                <w:szCs w:val="24"/>
                <w:lang w:val="en-GB" w:eastAsia="en-GB"/>
              </w:rPr>
              <w:t>four months</w:t>
            </w:r>
            <w:r w:rsidRPr="008B662E">
              <w:rPr>
                <w:rFonts w:ascii="Arial" w:eastAsia="Times New Roman" w:hAnsi="Arial" w:cs="Arial"/>
                <w:sz w:val="24"/>
                <w:szCs w:val="24"/>
                <w:lang w:val="en-GB" w:eastAsia="en-GB"/>
              </w:rPr>
              <w:t>, deprived the accused of the protection that the urgent review mechanism was designed for. Instead, the review of this matter has become a mere academic exercise. Therefore, measures should be put in place to ensure that magistrates treat the answering of review queries as urgent and that instances</w:t>
            </w:r>
            <w:r w:rsidR="00C431A2">
              <w:rPr>
                <w:rFonts w:ascii="Arial" w:eastAsia="Times New Roman" w:hAnsi="Arial" w:cs="Arial"/>
                <w:sz w:val="24"/>
                <w:szCs w:val="24"/>
                <w:lang w:val="en-GB" w:eastAsia="en-GB"/>
              </w:rPr>
              <w:t>,</w:t>
            </w:r>
            <w:r w:rsidRPr="008B662E">
              <w:rPr>
                <w:rFonts w:ascii="Arial" w:eastAsia="Times New Roman" w:hAnsi="Arial" w:cs="Arial"/>
                <w:sz w:val="24"/>
                <w:szCs w:val="24"/>
                <w:lang w:val="en-GB" w:eastAsia="en-GB"/>
              </w:rPr>
              <w:t xml:space="preserve"> such as the present</w:t>
            </w:r>
            <w:r w:rsidR="00C431A2">
              <w:rPr>
                <w:rFonts w:ascii="Arial" w:eastAsia="Times New Roman" w:hAnsi="Arial" w:cs="Arial"/>
                <w:sz w:val="24"/>
                <w:szCs w:val="24"/>
                <w:lang w:val="en-GB" w:eastAsia="en-GB"/>
              </w:rPr>
              <w:t>,</w:t>
            </w:r>
            <w:r w:rsidRPr="008B662E">
              <w:rPr>
                <w:rFonts w:ascii="Arial" w:eastAsia="Times New Roman" w:hAnsi="Arial" w:cs="Arial"/>
                <w:sz w:val="24"/>
                <w:szCs w:val="24"/>
                <w:lang w:val="en-GB" w:eastAsia="en-GB"/>
              </w:rPr>
              <w:t xml:space="preserve"> are not repeated.</w:t>
            </w:r>
          </w:p>
          <w:p w:rsidR="008B662E" w:rsidRDefault="008B662E" w:rsidP="00831615">
            <w:pPr>
              <w:tabs>
                <w:tab w:val="left" w:pos="3765"/>
              </w:tabs>
              <w:spacing w:after="0" w:line="360" w:lineRule="auto"/>
              <w:jc w:val="both"/>
              <w:rPr>
                <w:rFonts w:ascii="Arial" w:eastAsia="Times New Roman" w:hAnsi="Arial" w:cs="Arial"/>
                <w:sz w:val="24"/>
                <w:szCs w:val="24"/>
                <w:lang w:val="en-GB" w:eastAsia="en-GB"/>
              </w:rPr>
            </w:pPr>
          </w:p>
          <w:p w:rsidR="00C36425" w:rsidRDefault="008B662E" w:rsidP="00040D65">
            <w:pPr>
              <w:tabs>
                <w:tab w:val="left" w:pos="588"/>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[10]</w:t>
            </w:r>
            <w:r w:rsidR="00040D65">
              <w:rPr>
                <w:rFonts w:ascii="Arial" w:eastAsia="Times New Roman" w:hAnsi="Arial" w:cs="Arial"/>
                <w:sz w:val="24"/>
                <w:szCs w:val="24"/>
                <w:lang w:val="en-GB" w:eastAsia="en-GB"/>
              </w:rPr>
              <w:tab/>
            </w:r>
            <w:r w:rsidR="00C36425" w:rsidRPr="00343B18">
              <w:rPr>
                <w:rFonts w:ascii="Arial" w:eastAsia="Times New Roman" w:hAnsi="Arial" w:cs="Arial"/>
                <w:sz w:val="24"/>
                <w:szCs w:val="24"/>
                <w:lang w:val="en-GB" w:eastAsia="en-GB"/>
              </w:rPr>
              <w:t>In the result, the following order is made:</w:t>
            </w:r>
          </w:p>
          <w:p w:rsidR="008B662E" w:rsidRPr="00343B18" w:rsidRDefault="008B662E" w:rsidP="00831615">
            <w:pPr>
              <w:tabs>
                <w:tab w:val="left" w:pos="3765"/>
              </w:tabs>
              <w:spacing w:after="0" w:line="360" w:lineRule="auto"/>
              <w:jc w:val="both"/>
              <w:rPr>
                <w:rFonts w:ascii="Arial" w:eastAsia="Times New Roman" w:hAnsi="Arial" w:cs="Arial"/>
                <w:sz w:val="24"/>
                <w:szCs w:val="24"/>
                <w:lang w:val="en-GB" w:eastAsia="en-GB"/>
              </w:rPr>
            </w:pPr>
          </w:p>
          <w:p w:rsidR="00C36425" w:rsidRPr="00435F0D" w:rsidRDefault="00C36425" w:rsidP="008B662E">
            <w:pPr>
              <w:spacing w:after="0" w:line="360" w:lineRule="auto"/>
              <w:contextualSpacing/>
              <w:jc w:val="both"/>
              <w:rPr>
                <w:rFonts w:ascii="Arial" w:hAnsi="Arial" w:cs="Arial"/>
                <w:sz w:val="24"/>
                <w:szCs w:val="24"/>
              </w:rPr>
            </w:pPr>
            <w:r w:rsidRPr="00435F0D">
              <w:rPr>
                <w:rFonts w:ascii="Arial" w:hAnsi="Arial" w:cs="Arial"/>
                <w:sz w:val="24"/>
                <w:szCs w:val="24"/>
              </w:rPr>
              <w:t>The conviction</w:t>
            </w:r>
            <w:r w:rsidR="008B662E">
              <w:rPr>
                <w:rFonts w:ascii="Arial" w:hAnsi="Arial" w:cs="Arial"/>
                <w:sz w:val="24"/>
                <w:szCs w:val="24"/>
              </w:rPr>
              <w:t xml:space="preserve"> and sentence</w:t>
            </w:r>
            <w:r w:rsidRPr="00435F0D">
              <w:rPr>
                <w:rFonts w:ascii="Arial" w:hAnsi="Arial" w:cs="Arial"/>
                <w:sz w:val="24"/>
                <w:szCs w:val="24"/>
              </w:rPr>
              <w:t xml:space="preserve"> </w:t>
            </w:r>
            <w:r w:rsidR="00B47701">
              <w:rPr>
                <w:rFonts w:ascii="Arial" w:hAnsi="Arial" w:cs="Arial"/>
                <w:sz w:val="24"/>
                <w:szCs w:val="24"/>
              </w:rPr>
              <w:t>are</w:t>
            </w:r>
            <w:r w:rsidRPr="00435F0D">
              <w:rPr>
                <w:rFonts w:ascii="Arial" w:hAnsi="Arial" w:cs="Arial"/>
                <w:sz w:val="24"/>
                <w:szCs w:val="24"/>
              </w:rPr>
              <w:t xml:space="preserve"> confirmed.</w:t>
            </w:r>
          </w:p>
          <w:p w:rsidR="00C36425" w:rsidRPr="00343B18" w:rsidRDefault="00C36425" w:rsidP="008B662E">
            <w:pPr>
              <w:spacing w:after="0" w:line="360" w:lineRule="auto"/>
              <w:ind w:left="1004"/>
              <w:contextualSpacing/>
              <w:jc w:val="both"/>
              <w:rPr>
                <w:rFonts w:ascii="Arial" w:hAnsi="Arial" w:cs="Arial"/>
                <w:sz w:val="24"/>
                <w:szCs w:val="24"/>
              </w:rPr>
            </w:pPr>
          </w:p>
        </w:tc>
      </w:tr>
      <w:tr w:rsidR="00C36425" w:rsidRPr="00343B18" w:rsidTr="00831615">
        <w:tc>
          <w:tcPr>
            <w:tcW w:w="4770" w:type="dxa"/>
            <w:shd w:val="clear" w:color="auto" w:fill="auto"/>
          </w:tcPr>
          <w:p w:rsidR="00C36425" w:rsidRPr="00343B18" w:rsidRDefault="00C36425" w:rsidP="00831615">
            <w:pPr>
              <w:spacing w:line="360" w:lineRule="auto"/>
              <w:rPr>
                <w:rFonts w:ascii="Arial Narrow" w:hAnsi="Arial Narrow" w:cs="Arial"/>
                <w:b/>
                <w:sz w:val="24"/>
                <w:szCs w:val="24"/>
              </w:rPr>
            </w:pPr>
          </w:p>
        </w:tc>
        <w:tc>
          <w:tcPr>
            <w:tcW w:w="4950" w:type="dxa"/>
            <w:gridSpan w:val="2"/>
            <w:shd w:val="clear" w:color="auto" w:fill="auto"/>
          </w:tcPr>
          <w:p w:rsidR="00C36425" w:rsidRPr="00343B18" w:rsidRDefault="00C36425" w:rsidP="00831615">
            <w:pPr>
              <w:spacing w:line="360" w:lineRule="auto"/>
              <w:rPr>
                <w:rFonts w:ascii="Arial Narrow" w:hAnsi="Arial Narrow" w:cs="Arial"/>
                <w:b/>
                <w:sz w:val="24"/>
                <w:szCs w:val="24"/>
              </w:rPr>
            </w:pPr>
          </w:p>
          <w:p w:rsidR="00C36425" w:rsidRPr="00343B18" w:rsidRDefault="00C36425" w:rsidP="00831615">
            <w:pPr>
              <w:spacing w:line="360" w:lineRule="auto"/>
              <w:rPr>
                <w:rFonts w:ascii="Arial Narrow" w:hAnsi="Arial Narrow" w:cs="Arial"/>
                <w:b/>
                <w:sz w:val="24"/>
                <w:szCs w:val="24"/>
              </w:rPr>
            </w:pPr>
          </w:p>
        </w:tc>
      </w:tr>
      <w:tr w:rsidR="00C36425" w:rsidRPr="00343B18" w:rsidTr="00831615">
        <w:trPr>
          <w:trHeight w:val="854"/>
        </w:trPr>
        <w:tc>
          <w:tcPr>
            <w:tcW w:w="4770" w:type="dxa"/>
            <w:shd w:val="clear" w:color="auto" w:fill="auto"/>
          </w:tcPr>
          <w:p w:rsidR="00C36425" w:rsidRPr="008B662E" w:rsidRDefault="00C36425" w:rsidP="00831615">
            <w:pPr>
              <w:spacing w:line="360" w:lineRule="auto"/>
              <w:jc w:val="center"/>
              <w:rPr>
                <w:rFonts w:ascii="Arial" w:hAnsi="Arial" w:cs="Arial"/>
                <w:b/>
                <w:sz w:val="24"/>
              </w:rPr>
            </w:pPr>
            <w:r w:rsidRPr="008B662E">
              <w:rPr>
                <w:rFonts w:ascii="Arial" w:hAnsi="Arial" w:cs="Arial"/>
                <w:b/>
                <w:sz w:val="24"/>
              </w:rPr>
              <w:t>P CHRISTIAAN</w:t>
            </w:r>
          </w:p>
          <w:p w:rsidR="00C36425" w:rsidRPr="00343B18" w:rsidRDefault="00C36425" w:rsidP="00831615">
            <w:pPr>
              <w:spacing w:line="360" w:lineRule="auto"/>
              <w:jc w:val="center"/>
              <w:rPr>
                <w:rFonts w:ascii="Arial Narrow" w:hAnsi="Arial Narrow" w:cs="Arial"/>
                <w:b/>
                <w:sz w:val="24"/>
                <w:szCs w:val="24"/>
              </w:rPr>
            </w:pPr>
            <w:r w:rsidRPr="008B662E">
              <w:rPr>
                <w:rFonts w:ascii="Arial" w:hAnsi="Arial" w:cs="Arial"/>
                <w:b/>
                <w:sz w:val="24"/>
              </w:rPr>
              <w:t>Acting Judge</w:t>
            </w:r>
          </w:p>
        </w:tc>
        <w:tc>
          <w:tcPr>
            <w:tcW w:w="4950" w:type="dxa"/>
            <w:gridSpan w:val="2"/>
            <w:shd w:val="clear" w:color="auto" w:fill="auto"/>
          </w:tcPr>
          <w:p w:rsidR="00C36425" w:rsidRPr="00343B18" w:rsidRDefault="006B4392" w:rsidP="00831615">
            <w:pPr>
              <w:spacing w:line="360" w:lineRule="auto"/>
              <w:jc w:val="center"/>
              <w:rPr>
                <w:rFonts w:ascii="Arial" w:hAnsi="Arial" w:cs="Arial"/>
                <w:b/>
              </w:rPr>
            </w:pPr>
            <w:r>
              <w:rPr>
                <w:rFonts w:ascii="Arial" w:hAnsi="Arial" w:cs="Arial"/>
                <w:b/>
              </w:rPr>
              <w:t>JC</w:t>
            </w:r>
            <w:r w:rsidR="008B662E">
              <w:rPr>
                <w:rFonts w:ascii="Arial" w:hAnsi="Arial" w:cs="Arial"/>
                <w:b/>
              </w:rPr>
              <w:t xml:space="preserve"> LIEBENBERG</w:t>
            </w:r>
          </w:p>
          <w:p w:rsidR="00C36425" w:rsidRPr="00343B18" w:rsidRDefault="00C36425" w:rsidP="00831615">
            <w:pPr>
              <w:spacing w:line="360" w:lineRule="auto"/>
              <w:jc w:val="center"/>
              <w:rPr>
                <w:rFonts w:ascii="Arial Narrow" w:hAnsi="Arial Narrow" w:cs="Arial"/>
                <w:sz w:val="24"/>
                <w:szCs w:val="24"/>
              </w:rPr>
            </w:pPr>
            <w:r w:rsidRPr="008B662E">
              <w:rPr>
                <w:rFonts w:ascii="Arial" w:hAnsi="Arial" w:cs="Arial"/>
                <w:b/>
                <w:sz w:val="24"/>
              </w:rPr>
              <w:t>Judge</w:t>
            </w:r>
          </w:p>
        </w:tc>
      </w:tr>
    </w:tbl>
    <w:p w:rsidR="00C36425" w:rsidRDefault="00C36425" w:rsidP="00C36425"/>
    <w:p w:rsidR="00AD7582" w:rsidRDefault="003B4A82"/>
    <w:sectPr w:rsidR="00AD7582" w:rsidSect="001F0914">
      <w:head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82" w:rsidRDefault="003B4A82" w:rsidP="00C36425">
      <w:pPr>
        <w:spacing w:after="0" w:line="240" w:lineRule="auto"/>
      </w:pPr>
      <w:r>
        <w:separator/>
      </w:r>
    </w:p>
  </w:endnote>
  <w:endnote w:type="continuationSeparator" w:id="0">
    <w:p w:rsidR="003B4A82" w:rsidRDefault="003B4A82" w:rsidP="00C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82" w:rsidRDefault="003B4A82" w:rsidP="00C36425">
      <w:pPr>
        <w:spacing w:after="0" w:line="240" w:lineRule="auto"/>
      </w:pPr>
      <w:r>
        <w:separator/>
      </w:r>
    </w:p>
  </w:footnote>
  <w:footnote w:type="continuationSeparator" w:id="0">
    <w:p w:rsidR="003B4A82" w:rsidRDefault="003B4A82" w:rsidP="00C36425">
      <w:pPr>
        <w:spacing w:after="0" w:line="240" w:lineRule="auto"/>
      </w:pPr>
      <w:r>
        <w:continuationSeparator/>
      </w:r>
    </w:p>
  </w:footnote>
  <w:footnote w:id="1">
    <w:p w:rsidR="00C36425" w:rsidRPr="00001543" w:rsidRDefault="00C36425" w:rsidP="00C36425">
      <w:pPr>
        <w:pStyle w:val="FootnoteText"/>
        <w:rPr>
          <w:rFonts w:ascii="Arial" w:hAnsi="Arial" w:cs="Arial"/>
        </w:rPr>
      </w:pPr>
      <w:r w:rsidRPr="00001543">
        <w:rPr>
          <w:rStyle w:val="FootnoteReference"/>
          <w:rFonts w:ascii="Arial" w:hAnsi="Arial" w:cs="Arial"/>
        </w:rPr>
        <w:footnoteRef/>
      </w:r>
      <w:r w:rsidRPr="00001543">
        <w:rPr>
          <w:rFonts w:ascii="Arial" w:hAnsi="Arial" w:cs="Arial"/>
        </w:rPr>
        <w:t xml:space="preserve"> </w:t>
      </w:r>
      <w:r w:rsidRPr="00B80491">
        <w:rPr>
          <w:rFonts w:ascii="Arial" w:hAnsi="Arial" w:cs="Arial"/>
          <w:color w:val="262626"/>
        </w:rPr>
        <w:t>S</w:t>
      </w:r>
      <w:r>
        <w:rPr>
          <w:rFonts w:ascii="Arial" w:hAnsi="Arial" w:cs="Arial"/>
          <w:color w:val="262626"/>
        </w:rPr>
        <w:t>ection</w:t>
      </w:r>
      <w:r w:rsidRPr="00B80491">
        <w:rPr>
          <w:rFonts w:ascii="Arial" w:hAnsi="Arial" w:cs="Arial"/>
          <w:color w:val="262626"/>
        </w:rPr>
        <w:t xml:space="preserve"> 4</w:t>
      </w:r>
      <w:r>
        <w:rPr>
          <w:rFonts w:ascii="Arial" w:hAnsi="Arial" w:cs="Arial"/>
          <w:color w:val="262626"/>
        </w:rPr>
        <w:t xml:space="preserve">(1) </w:t>
      </w:r>
      <w:r w:rsidR="00211207">
        <w:rPr>
          <w:rFonts w:ascii="Arial" w:hAnsi="Arial" w:cs="Arial"/>
          <w:color w:val="262626"/>
        </w:rPr>
        <w:t>of Magistrates Court Act</w:t>
      </w:r>
      <w:r w:rsidRPr="00B80491">
        <w:rPr>
          <w:rFonts w:ascii="Arial" w:hAnsi="Arial" w:cs="Arial"/>
          <w:color w:val="262626"/>
        </w:rPr>
        <w:t xml:space="preserve"> 32 of 1944 as amended provides that e</w:t>
      </w:r>
      <w:r w:rsidRPr="00B80491">
        <w:rPr>
          <w:rFonts w:ascii="Arial" w:hAnsi="Arial" w:cs="Arial"/>
          <w:color w:val="262626"/>
          <w:lang w:val="en-ZA"/>
        </w:rPr>
        <w:t>very court is a court of record.</w:t>
      </w:r>
    </w:p>
  </w:footnote>
  <w:footnote w:id="2">
    <w:p w:rsidR="00C36425" w:rsidRPr="00001543" w:rsidRDefault="00C36425" w:rsidP="00C36425">
      <w:pPr>
        <w:pStyle w:val="FootnoteText"/>
        <w:rPr>
          <w:rFonts w:ascii="Arial" w:hAnsi="Arial" w:cs="Arial"/>
        </w:rPr>
      </w:pPr>
      <w:r w:rsidRPr="00001543">
        <w:rPr>
          <w:rStyle w:val="FootnoteReference"/>
          <w:rFonts w:ascii="Arial" w:hAnsi="Arial" w:cs="Arial"/>
        </w:rPr>
        <w:footnoteRef/>
      </w:r>
      <w:r w:rsidRPr="00001543">
        <w:rPr>
          <w:rFonts w:ascii="Arial" w:hAnsi="Arial" w:cs="Arial"/>
        </w:rPr>
        <w:t xml:space="preserve"> </w:t>
      </w:r>
      <w:r w:rsidRPr="00B80491">
        <w:rPr>
          <w:rFonts w:ascii="Arial" w:hAnsi="Arial" w:cs="Arial"/>
          <w:i/>
          <w:color w:val="0D0D0D"/>
          <w:shd w:val="clear" w:color="auto" w:fill="FFFFFF"/>
        </w:rPr>
        <w:t xml:space="preserve">S v </w:t>
      </w:r>
      <w:proofErr w:type="spellStart"/>
      <w:r w:rsidRPr="00B80491">
        <w:rPr>
          <w:rFonts w:ascii="Arial" w:hAnsi="Arial" w:cs="Arial"/>
          <w:i/>
          <w:color w:val="0D0D0D"/>
          <w:shd w:val="clear" w:color="auto" w:fill="FFFFFF"/>
        </w:rPr>
        <w:t>Kau</w:t>
      </w:r>
      <w:proofErr w:type="spellEnd"/>
      <w:r w:rsidRPr="00B80491">
        <w:rPr>
          <w:rFonts w:ascii="Arial" w:hAnsi="Arial" w:cs="Arial"/>
          <w:i/>
          <w:color w:val="0D0D0D"/>
          <w:shd w:val="clear" w:color="auto" w:fill="FFFFFF"/>
        </w:rPr>
        <w:t xml:space="preserve"> </w:t>
      </w:r>
      <w:r w:rsidRPr="00B80491">
        <w:rPr>
          <w:rFonts w:ascii="Arial" w:hAnsi="Arial" w:cs="Arial"/>
          <w:color w:val="0D0D0D"/>
          <w:shd w:val="clear" w:color="auto" w:fill="FFFFFF"/>
        </w:rPr>
        <w:t>1995 NR 1 SC</w:t>
      </w:r>
      <w:r>
        <w:rPr>
          <w:rFonts w:ascii="Arial" w:hAnsi="Arial" w:cs="Arial"/>
          <w:color w:val="0D0D0D"/>
          <w:shd w:val="clear" w:color="auto" w:fill="FFFFFF"/>
        </w:rPr>
        <w:t>.</w:t>
      </w:r>
    </w:p>
  </w:footnote>
  <w:footnote w:id="3">
    <w:p w:rsidR="00C36425" w:rsidRPr="00001543" w:rsidRDefault="00C36425" w:rsidP="00C36425">
      <w:pPr>
        <w:pStyle w:val="FootnoteText"/>
        <w:rPr>
          <w:rFonts w:ascii="Arial" w:hAnsi="Arial" w:cs="Arial"/>
        </w:rPr>
      </w:pPr>
      <w:r w:rsidRPr="00001543">
        <w:rPr>
          <w:rStyle w:val="FootnoteReference"/>
          <w:rFonts w:ascii="Arial" w:hAnsi="Arial" w:cs="Arial"/>
        </w:rPr>
        <w:footnoteRef/>
      </w:r>
      <w:r w:rsidRPr="00001543">
        <w:rPr>
          <w:rFonts w:ascii="Arial" w:hAnsi="Arial" w:cs="Arial"/>
        </w:rPr>
        <w:t xml:space="preserve"> </w:t>
      </w:r>
      <w:r w:rsidRPr="00001543">
        <w:rPr>
          <w:rFonts w:ascii="Arial" w:hAnsi="Arial" w:cs="Arial"/>
          <w:i/>
        </w:rPr>
        <w:t xml:space="preserve">S v Daniels </w:t>
      </w:r>
      <w:r w:rsidRPr="00001543">
        <w:rPr>
          <w:rFonts w:ascii="Arial" w:hAnsi="Arial" w:cs="Arial"/>
        </w:rPr>
        <w:t>1983 (3) SA 275 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14" w:rsidRDefault="008739B7">
    <w:pPr>
      <w:pStyle w:val="Header"/>
      <w:jc w:val="right"/>
    </w:pPr>
    <w:r>
      <w:fldChar w:fldCharType="begin"/>
    </w:r>
    <w:r>
      <w:instrText xml:space="preserve"> PAGE   \* MERGEFORMAT </w:instrText>
    </w:r>
    <w:r>
      <w:fldChar w:fldCharType="separate"/>
    </w:r>
    <w:r w:rsidR="00F86BE5">
      <w:rPr>
        <w:noProof/>
      </w:rPr>
      <w:t>3</w:t>
    </w:r>
    <w:r>
      <w:rPr>
        <w:noProof/>
      </w:rPr>
      <w:fldChar w:fldCharType="end"/>
    </w:r>
  </w:p>
  <w:p w:rsidR="00452656" w:rsidRDefault="003B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F45A2"/>
    <w:multiLevelType w:val="hybridMultilevel"/>
    <w:tmpl w:val="274E29E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25"/>
    <w:rsid w:val="00040D65"/>
    <w:rsid w:val="000D2EB8"/>
    <w:rsid w:val="00211207"/>
    <w:rsid w:val="00315BE6"/>
    <w:rsid w:val="00364D4F"/>
    <w:rsid w:val="003B480E"/>
    <w:rsid w:val="003B4A82"/>
    <w:rsid w:val="003D09DC"/>
    <w:rsid w:val="003F7F44"/>
    <w:rsid w:val="00486FF0"/>
    <w:rsid w:val="005106AB"/>
    <w:rsid w:val="00675B27"/>
    <w:rsid w:val="006B4392"/>
    <w:rsid w:val="007B1CB1"/>
    <w:rsid w:val="008739B7"/>
    <w:rsid w:val="008B662E"/>
    <w:rsid w:val="00922840"/>
    <w:rsid w:val="00A34C52"/>
    <w:rsid w:val="00A457F0"/>
    <w:rsid w:val="00AD75B9"/>
    <w:rsid w:val="00B47701"/>
    <w:rsid w:val="00BD49E8"/>
    <w:rsid w:val="00C36425"/>
    <w:rsid w:val="00C431A2"/>
    <w:rsid w:val="00D03805"/>
    <w:rsid w:val="00F86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B884F-40C2-4A63-82FF-23ED421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6425"/>
    <w:pPr>
      <w:spacing w:after="0" w:line="240" w:lineRule="auto"/>
    </w:pPr>
    <w:rPr>
      <w:sz w:val="20"/>
      <w:szCs w:val="20"/>
    </w:rPr>
  </w:style>
  <w:style w:type="character" w:customStyle="1" w:styleId="FootnoteTextChar">
    <w:name w:val="Footnote Text Char"/>
    <w:basedOn w:val="DefaultParagraphFont"/>
    <w:link w:val="FootnoteText"/>
    <w:uiPriority w:val="99"/>
    <w:rsid w:val="00C36425"/>
    <w:rPr>
      <w:rFonts w:ascii="Calibri" w:eastAsia="Calibri" w:hAnsi="Calibri" w:cs="Times New Roman"/>
      <w:sz w:val="20"/>
      <w:szCs w:val="20"/>
      <w:lang w:val="en-US"/>
    </w:rPr>
  </w:style>
  <w:style w:type="character" w:styleId="FootnoteReference">
    <w:name w:val="footnote reference"/>
    <w:uiPriority w:val="99"/>
    <w:unhideWhenUsed/>
    <w:rsid w:val="00C36425"/>
    <w:rPr>
      <w:vertAlign w:val="superscript"/>
    </w:rPr>
  </w:style>
  <w:style w:type="paragraph" w:styleId="ListParagraph">
    <w:name w:val="List Paragraph"/>
    <w:basedOn w:val="Normal"/>
    <w:uiPriority w:val="34"/>
    <w:qFormat/>
    <w:rsid w:val="00C36425"/>
    <w:pPr>
      <w:ind w:left="720"/>
      <w:contextualSpacing/>
    </w:pPr>
  </w:style>
  <w:style w:type="paragraph" w:styleId="Header">
    <w:name w:val="header"/>
    <w:basedOn w:val="Normal"/>
    <w:link w:val="HeaderChar"/>
    <w:uiPriority w:val="99"/>
    <w:unhideWhenUsed/>
    <w:rsid w:val="00C36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25"/>
    <w:rPr>
      <w:rFonts w:ascii="Calibri" w:eastAsia="Calibri" w:hAnsi="Calibri" w:cs="Times New Roman"/>
      <w:lang w:val="en-US"/>
    </w:rPr>
  </w:style>
  <w:style w:type="paragraph" w:customStyle="1" w:styleId="western">
    <w:name w:val="western"/>
    <w:basedOn w:val="Normal"/>
    <w:rsid w:val="00C36425"/>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0D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B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2023-11-15T18:30:00+00:00</Judgment_x0020_Date>
  </documentManagement>
</p:properties>
</file>

<file path=customXml/itemProps1.xml><?xml version="1.0" encoding="utf-8"?>
<ds:datastoreItem xmlns:ds="http://schemas.openxmlformats.org/officeDocument/2006/customXml" ds:itemID="{73AB0713-794D-4BD3-9D29-A9451C735C6F}"/>
</file>

<file path=customXml/itemProps2.xml><?xml version="1.0" encoding="utf-8"?>
<ds:datastoreItem xmlns:ds="http://schemas.openxmlformats.org/officeDocument/2006/customXml" ds:itemID="{69159F69-0B64-497C-8828-255133E3B058}"/>
</file>

<file path=customXml/itemProps3.xml><?xml version="1.0" encoding="utf-8"?>
<ds:datastoreItem xmlns:ds="http://schemas.openxmlformats.org/officeDocument/2006/customXml" ds:itemID="{EF612686-4744-4491-B1FB-5FDA15A340B2}"/>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Saal (CR 128-2023) [2023] NAHCMD 745 ( 16 November 2023)</dc:title>
  <dc:subject/>
  <dc:creator>Philanda Christiaan</dc:creator>
  <cp:keywords/>
  <dc:description/>
  <cp:lastModifiedBy>Loide Shilongo</cp:lastModifiedBy>
  <cp:revision>4</cp:revision>
  <cp:lastPrinted>2023-11-07T13:32:00Z</cp:lastPrinted>
  <dcterms:created xsi:type="dcterms:W3CDTF">2023-11-10T10:46:00Z</dcterms:created>
  <dcterms:modified xsi:type="dcterms:W3CDTF">2023-11-17T06:31:00Z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