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77" w:rsidRPr="00552B6F" w:rsidRDefault="00256D77" w:rsidP="00256D77">
      <w:pPr>
        <w:spacing w:after="0" w:line="360" w:lineRule="auto"/>
        <w:jc w:val="center"/>
        <w:rPr>
          <w:rFonts w:ascii="Arial" w:eastAsia="Calibri" w:hAnsi="Arial" w:cs="Arial"/>
          <w:b/>
          <w:sz w:val="24"/>
          <w:szCs w:val="24"/>
        </w:rPr>
      </w:pPr>
      <w:r w:rsidRPr="00552B6F">
        <w:rPr>
          <w:rFonts w:ascii="Arial" w:eastAsia="Calibri" w:hAnsi="Arial" w:cs="Arial"/>
          <w:b/>
          <w:sz w:val="24"/>
          <w:szCs w:val="24"/>
        </w:rPr>
        <w:t>REPUBLIC OF NAMIBIA</w:t>
      </w:r>
    </w:p>
    <w:p w:rsidR="00256D77" w:rsidRPr="00552B6F" w:rsidRDefault="00256D77" w:rsidP="00256D77">
      <w:pPr>
        <w:spacing w:after="0" w:line="360" w:lineRule="auto"/>
        <w:jc w:val="center"/>
        <w:rPr>
          <w:rFonts w:ascii="Arial" w:eastAsia="Calibri" w:hAnsi="Arial" w:cs="Arial"/>
          <w:b/>
          <w:sz w:val="24"/>
          <w:szCs w:val="24"/>
        </w:rPr>
      </w:pPr>
      <w:r w:rsidRPr="00552B6F">
        <w:rPr>
          <w:rFonts w:ascii="Arial" w:eastAsia="Calibri" w:hAnsi="Arial" w:cs="Arial"/>
          <w:b/>
          <w:noProof/>
          <w:sz w:val="24"/>
          <w:szCs w:val="24"/>
        </w:rPr>
        <w:drawing>
          <wp:inline distT="0" distB="0" distL="0" distR="0" wp14:anchorId="66CE90B3" wp14:editId="1D9214C5">
            <wp:extent cx="1123950" cy="1143000"/>
            <wp:effectExtent l="0" t="0" r="0" b="0"/>
            <wp:docPr id="1"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256D77" w:rsidRPr="00552B6F" w:rsidRDefault="00256D77" w:rsidP="00256D77">
      <w:pPr>
        <w:spacing w:after="0" w:line="360" w:lineRule="auto"/>
        <w:jc w:val="center"/>
        <w:rPr>
          <w:rFonts w:ascii="Arial" w:eastAsia="Calibri" w:hAnsi="Arial" w:cs="Arial"/>
          <w:b/>
          <w:sz w:val="24"/>
          <w:szCs w:val="24"/>
        </w:rPr>
      </w:pPr>
    </w:p>
    <w:p w:rsidR="00256D77" w:rsidRPr="00552B6F" w:rsidRDefault="00256D77" w:rsidP="00256D77">
      <w:pPr>
        <w:spacing w:after="0" w:line="360" w:lineRule="auto"/>
        <w:jc w:val="center"/>
        <w:rPr>
          <w:rFonts w:ascii="Arial" w:eastAsia="Calibri" w:hAnsi="Arial" w:cs="Arial"/>
          <w:b/>
          <w:sz w:val="24"/>
          <w:szCs w:val="24"/>
        </w:rPr>
      </w:pPr>
      <w:r w:rsidRPr="00552B6F">
        <w:rPr>
          <w:rFonts w:ascii="Arial" w:eastAsia="Calibri" w:hAnsi="Arial" w:cs="Arial"/>
          <w:b/>
          <w:sz w:val="24"/>
          <w:szCs w:val="24"/>
        </w:rPr>
        <w:t>IN THE HIGH COURT OF NAMIBIA, MAIN DIVISION, WINDHOEK</w:t>
      </w:r>
    </w:p>
    <w:p w:rsidR="00256D77" w:rsidRPr="00552B6F" w:rsidRDefault="00256D77" w:rsidP="00256D77">
      <w:pPr>
        <w:spacing w:after="0" w:line="360" w:lineRule="auto"/>
        <w:jc w:val="center"/>
        <w:rPr>
          <w:rFonts w:ascii="Arial" w:eastAsia="Calibri" w:hAnsi="Arial" w:cs="Arial"/>
          <w:b/>
          <w:sz w:val="24"/>
          <w:szCs w:val="24"/>
          <w:lang w:val="en-ZA"/>
        </w:rPr>
      </w:pPr>
      <w:r w:rsidRPr="00552B6F">
        <w:rPr>
          <w:rFonts w:ascii="Arial" w:eastAsia="Calibri" w:hAnsi="Arial" w:cs="Arial"/>
          <w:b/>
          <w:sz w:val="24"/>
          <w:szCs w:val="24"/>
          <w:lang w:val="en-ZA"/>
        </w:rPr>
        <w:t>RULING IN TERMS OF PRACTICE DIRECTION 61</w:t>
      </w:r>
    </w:p>
    <w:tbl>
      <w:tblPr>
        <w:tblStyle w:val="TableGrid"/>
        <w:tblW w:w="10485" w:type="dxa"/>
        <w:tblInd w:w="-714" w:type="dxa"/>
        <w:tblLayout w:type="fixed"/>
        <w:tblLook w:val="04A0" w:firstRow="1" w:lastRow="0" w:firstColumn="1" w:lastColumn="0" w:noHBand="0" w:noVBand="1"/>
      </w:tblPr>
      <w:tblGrid>
        <w:gridCol w:w="5243"/>
        <w:gridCol w:w="1275"/>
        <w:gridCol w:w="3967"/>
      </w:tblGrid>
      <w:tr w:rsidR="00256D77" w:rsidRPr="00552B6F" w:rsidTr="009F49B9">
        <w:trPr>
          <w:trHeight w:val="599"/>
        </w:trPr>
        <w:tc>
          <w:tcPr>
            <w:tcW w:w="6521" w:type="dxa"/>
            <w:gridSpan w:val="2"/>
            <w:vMerge w:val="restart"/>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jc w:val="both"/>
              <w:rPr>
                <w:rFonts w:ascii="Arial" w:hAnsi="Arial" w:cs="Arial"/>
                <w:b/>
                <w:sz w:val="24"/>
                <w:szCs w:val="24"/>
              </w:rPr>
            </w:pPr>
            <w:r w:rsidRPr="00552B6F">
              <w:rPr>
                <w:rFonts w:ascii="Arial" w:hAnsi="Arial" w:cs="Arial"/>
                <w:b/>
                <w:sz w:val="24"/>
                <w:szCs w:val="24"/>
              </w:rPr>
              <w:t>Case Title:</w:t>
            </w:r>
          </w:p>
          <w:p w:rsidR="00256D77" w:rsidRPr="00552B6F" w:rsidRDefault="00256D77" w:rsidP="009F49B9">
            <w:pPr>
              <w:spacing w:line="360" w:lineRule="auto"/>
              <w:rPr>
                <w:rFonts w:ascii="Arial" w:hAnsi="Arial" w:cs="Arial"/>
                <w:shd w:val="clear" w:color="auto" w:fill="FFFFFF"/>
              </w:rPr>
            </w:pPr>
            <w:r w:rsidRPr="00256D77">
              <w:rPr>
                <w:rFonts w:ascii="Arial" w:hAnsi="Arial" w:cs="Arial"/>
                <w:shd w:val="clear" w:color="auto" w:fill="FFFFFF"/>
                <w:lang w:val="en-US"/>
              </w:rPr>
              <w:t>ALWYN PETRUS VAN STRATEN N.O</w:t>
            </w:r>
            <w:r w:rsidRPr="00256D77">
              <w:rPr>
                <w:rFonts w:ascii="Arial" w:hAnsi="Arial" w:cs="Arial"/>
                <w:b/>
                <w:shd w:val="clear" w:color="auto" w:fill="FFFFFF"/>
                <w:lang w:val="en-US"/>
              </w:rPr>
              <w:tab/>
            </w:r>
            <w:r>
              <w:rPr>
                <w:rFonts w:ascii="Arial" w:hAnsi="Arial" w:cs="Arial"/>
                <w:b/>
                <w:shd w:val="clear" w:color="auto" w:fill="FFFFFF"/>
                <w:lang w:val="en-US"/>
              </w:rPr>
              <w:t xml:space="preserve">              </w:t>
            </w:r>
            <w:r>
              <w:rPr>
                <w:rFonts w:ascii="Arial" w:hAnsi="Arial" w:cs="Arial"/>
                <w:shd w:val="clear" w:color="auto" w:fill="FFFFFF"/>
              </w:rPr>
              <w:t>PLAINTIFF</w:t>
            </w:r>
            <w:r w:rsidRPr="00552B6F">
              <w:rPr>
                <w:rFonts w:ascii="Arial" w:hAnsi="Arial" w:cs="Arial"/>
                <w:shd w:val="clear" w:color="auto" w:fill="FFFFFF"/>
              </w:rPr>
              <w:t xml:space="preserve">   </w:t>
            </w:r>
          </w:p>
          <w:p w:rsidR="00256D77" w:rsidRDefault="00256D77" w:rsidP="009F49B9">
            <w:pPr>
              <w:spacing w:line="360" w:lineRule="auto"/>
              <w:rPr>
                <w:rFonts w:ascii="Arial" w:hAnsi="Arial" w:cs="Arial"/>
                <w:sz w:val="24"/>
                <w:szCs w:val="24"/>
                <w:shd w:val="clear" w:color="auto" w:fill="FFFFFF"/>
              </w:rPr>
            </w:pPr>
          </w:p>
          <w:p w:rsidR="00256D77" w:rsidRPr="00552B6F" w:rsidRDefault="00256D77" w:rsidP="009F49B9">
            <w:pPr>
              <w:spacing w:line="360" w:lineRule="auto"/>
              <w:rPr>
                <w:rFonts w:ascii="Arial" w:hAnsi="Arial" w:cs="Arial"/>
                <w:sz w:val="24"/>
                <w:szCs w:val="24"/>
                <w:shd w:val="clear" w:color="auto" w:fill="FFFFFF"/>
              </w:rPr>
            </w:pPr>
            <w:r w:rsidRPr="00552B6F">
              <w:rPr>
                <w:rFonts w:ascii="Arial" w:hAnsi="Arial" w:cs="Arial"/>
                <w:sz w:val="24"/>
                <w:szCs w:val="24"/>
                <w:shd w:val="clear" w:color="auto" w:fill="FFFFFF"/>
              </w:rPr>
              <w:t>and</w:t>
            </w:r>
          </w:p>
          <w:p w:rsidR="00256D77" w:rsidRPr="00552B6F" w:rsidRDefault="00256D77" w:rsidP="009F49B9">
            <w:pPr>
              <w:spacing w:line="360" w:lineRule="auto"/>
              <w:rPr>
                <w:rFonts w:ascii="Arial" w:hAnsi="Arial" w:cs="Arial"/>
                <w:sz w:val="24"/>
                <w:szCs w:val="24"/>
                <w:shd w:val="clear" w:color="auto" w:fill="FFFFFF"/>
              </w:rPr>
            </w:pPr>
          </w:p>
          <w:p w:rsidR="00256D77" w:rsidRPr="00552B6F" w:rsidRDefault="00256D77" w:rsidP="009F49B9">
            <w:pPr>
              <w:spacing w:line="360" w:lineRule="auto"/>
              <w:rPr>
                <w:rFonts w:ascii="Arial" w:hAnsi="Arial" w:cs="Arial"/>
                <w:color w:val="000000" w:themeColor="text1"/>
                <w:shd w:val="clear" w:color="auto" w:fill="FFFFFF"/>
              </w:rPr>
            </w:pPr>
            <w:r w:rsidRPr="00256D77">
              <w:rPr>
                <w:rFonts w:ascii="Arial" w:hAnsi="Arial" w:cs="Arial"/>
                <w:color w:val="000000" w:themeColor="text1"/>
                <w:shd w:val="clear" w:color="auto" w:fill="FFFFFF"/>
              </w:rPr>
              <w:t>CHRIS BOTHA</w:t>
            </w:r>
            <w:r>
              <w:rPr>
                <w:rFonts w:ascii="Arial" w:hAnsi="Arial" w:cs="Arial"/>
                <w:color w:val="000000" w:themeColor="text1"/>
                <w:shd w:val="clear" w:color="auto" w:fill="FFFFFF"/>
              </w:rPr>
              <w:t xml:space="preserve">                                                    </w:t>
            </w:r>
            <w:r w:rsidR="00CE5D9C">
              <w:rPr>
                <w:rFonts w:ascii="Arial" w:hAnsi="Arial" w:cs="Arial"/>
                <w:color w:val="000000" w:themeColor="text1"/>
                <w:shd w:val="clear" w:color="auto" w:fill="FFFFFF"/>
              </w:rPr>
              <w:t xml:space="preserve">    DEFENDANT</w:t>
            </w:r>
            <w:r w:rsidRPr="00552B6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w:t>
            </w:r>
          </w:p>
          <w:p w:rsidR="00256D77" w:rsidRPr="00552B6F" w:rsidRDefault="00256D77" w:rsidP="009F49B9">
            <w:pPr>
              <w:tabs>
                <w:tab w:val="left" w:pos="4635"/>
              </w:tabs>
              <w:spacing w:line="360" w:lineRule="auto"/>
              <w:rPr>
                <w:rFonts w:ascii="Arial" w:hAnsi="Arial" w:cs="Arial"/>
                <w:color w:val="000000" w:themeColor="text1"/>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256D77" w:rsidRDefault="00256D77" w:rsidP="009F49B9">
            <w:pPr>
              <w:spacing w:line="360" w:lineRule="auto"/>
              <w:ind w:left="1616" w:hanging="1559"/>
              <w:jc w:val="both"/>
              <w:rPr>
                <w:rFonts w:ascii="Arial" w:hAnsi="Arial" w:cs="Arial"/>
                <w:b/>
                <w:sz w:val="24"/>
                <w:szCs w:val="24"/>
              </w:rPr>
            </w:pPr>
            <w:r w:rsidRPr="00552B6F">
              <w:rPr>
                <w:rFonts w:ascii="Arial" w:hAnsi="Arial" w:cs="Arial"/>
                <w:b/>
                <w:sz w:val="24"/>
                <w:szCs w:val="24"/>
              </w:rPr>
              <w:t>Case No:</w:t>
            </w:r>
          </w:p>
          <w:p w:rsidR="00256D77" w:rsidRPr="00CE5D9C" w:rsidRDefault="00256D77" w:rsidP="009F49B9">
            <w:pPr>
              <w:spacing w:line="360" w:lineRule="auto"/>
              <w:ind w:left="1616" w:hanging="1559"/>
              <w:jc w:val="both"/>
              <w:rPr>
                <w:rFonts w:ascii="Arial" w:hAnsi="Arial" w:cs="Arial"/>
                <w:sz w:val="24"/>
                <w:szCs w:val="24"/>
              </w:rPr>
            </w:pPr>
            <w:r w:rsidRPr="00CE5D9C">
              <w:rPr>
                <w:rFonts w:ascii="Arial" w:hAnsi="Arial" w:cs="Arial"/>
                <w:sz w:val="24"/>
                <w:szCs w:val="24"/>
              </w:rPr>
              <w:t>I 3655/2015</w:t>
            </w:r>
          </w:p>
        </w:tc>
      </w:tr>
      <w:tr w:rsidR="00256D77" w:rsidRPr="00552B6F" w:rsidTr="009F49B9">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256D77" w:rsidRPr="00552B6F" w:rsidRDefault="00256D77" w:rsidP="009F49B9">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both"/>
              <w:rPr>
                <w:rFonts w:ascii="Arial" w:hAnsi="Arial" w:cs="Arial"/>
                <w:b/>
                <w:sz w:val="24"/>
                <w:szCs w:val="24"/>
              </w:rPr>
            </w:pPr>
            <w:r w:rsidRPr="00552B6F">
              <w:rPr>
                <w:rFonts w:ascii="Arial" w:hAnsi="Arial" w:cs="Arial"/>
                <w:b/>
                <w:sz w:val="24"/>
                <w:szCs w:val="24"/>
              </w:rPr>
              <w:t>Division of Court:</w:t>
            </w:r>
          </w:p>
          <w:p w:rsidR="00256D77" w:rsidRPr="00552B6F" w:rsidRDefault="00256D77" w:rsidP="009F49B9">
            <w:pPr>
              <w:spacing w:line="360" w:lineRule="auto"/>
              <w:jc w:val="both"/>
              <w:rPr>
                <w:rFonts w:ascii="Arial" w:hAnsi="Arial" w:cs="Arial"/>
                <w:sz w:val="24"/>
                <w:szCs w:val="24"/>
              </w:rPr>
            </w:pPr>
            <w:r w:rsidRPr="00552B6F">
              <w:rPr>
                <w:rFonts w:ascii="Arial" w:hAnsi="Arial" w:cs="Arial"/>
                <w:sz w:val="24"/>
                <w:szCs w:val="24"/>
              </w:rPr>
              <w:t>Main Division</w:t>
            </w:r>
          </w:p>
        </w:tc>
      </w:tr>
      <w:tr w:rsidR="00256D77" w:rsidRPr="00552B6F" w:rsidTr="009F49B9">
        <w:tc>
          <w:tcPr>
            <w:tcW w:w="15735" w:type="dxa"/>
            <w:gridSpan w:val="2"/>
            <w:vMerge/>
            <w:tcBorders>
              <w:top w:val="single" w:sz="4" w:space="0" w:color="auto"/>
              <w:left w:val="single" w:sz="4" w:space="0" w:color="auto"/>
              <w:bottom w:val="single" w:sz="4" w:space="0" w:color="auto"/>
              <w:right w:val="single" w:sz="4" w:space="0" w:color="auto"/>
            </w:tcBorders>
            <w:vAlign w:val="center"/>
            <w:hideMark/>
          </w:tcPr>
          <w:p w:rsidR="00256D77" w:rsidRPr="00552B6F" w:rsidRDefault="00256D77" w:rsidP="009F49B9">
            <w:pPr>
              <w:rPr>
                <w:rFonts w:ascii="Arial" w:hAnsi="Arial" w:cs="Arial"/>
                <w:sz w:val="24"/>
                <w:szCs w:val="24"/>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both"/>
              <w:rPr>
                <w:rFonts w:ascii="Arial" w:hAnsi="Arial" w:cs="Arial"/>
                <w:b/>
                <w:sz w:val="24"/>
                <w:szCs w:val="24"/>
              </w:rPr>
            </w:pPr>
            <w:r w:rsidRPr="00552B6F">
              <w:rPr>
                <w:rFonts w:ascii="Arial" w:hAnsi="Arial" w:cs="Arial"/>
                <w:b/>
                <w:sz w:val="24"/>
                <w:szCs w:val="24"/>
              </w:rPr>
              <w:t>Heard on:</w:t>
            </w:r>
          </w:p>
          <w:p w:rsidR="00256D77" w:rsidRPr="00552B6F" w:rsidRDefault="00CE5D9C" w:rsidP="009F49B9">
            <w:pPr>
              <w:spacing w:line="360" w:lineRule="auto"/>
              <w:jc w:val="both"/>
              <w:rPr>
                <w:rFonts w:ascii="Arial" w:hAnsi="Arial" w:cs="Arial"/>
                <w:sz w:val="24"/>
                <w:szCs w:val="24"/>
              </w:rPr>
            </w:pPr>
            <w:r>
              <w:rPr>
                <w:rFonts w:ascii="Arial" w:hAnsi="Arial" w:cs="Arial"/>
                <w:sz w:val="24"/>
                <w:szCs w:val="24"/>
              </w:rPr>
              <w:t>17</w:t>
            </w:r>
            <w:r w:rsidR="00256D77">
              <w:rPr>
                <w:rFonts w:ascii="Arial" w:hAnsi="Arial" w:cs="Arial"/>
                <w:sz w:val="24"/>
                <w:szCs w:val="24"/>
              </w:rPr>
              <w:t xml:space="preserve"> </w:t>
            </w:r>
            <w:r>
              <w:rPr>
                <w:rFonts w:ascii="Arial" w:hAnsi="Arial" w:cs="Arial"/>
                <w:sz w:val="24"/>
                <w:szCs w:val="24"/>
              </w:rPr>
              <w:t>August</w:t>
            </w:r>
            <w:r w:rsidR="00CA2091">
              <w:rPr>
                <w:rFonts w:ascii="Arial" w:hAnsi="Arial" w:cs="Arial"/>
                <w:sz w:val="24"/>
                <w:szCs w:val="24"/>
              </w:rPr>
              <w:t xml:space="preserve"> </w:t>
            </w:r>
            <w:r w:rsidR="00256D77">
              <w:rPr>
                <w:rFonts w:ascii="Arial" w:hAnsi="Arial" w:cs="Arial"/>
                <w:sz w:val="24"/>
                <w:szCs w:val="24"/>
              </w:rPr>
              <w:t>2023</w:t>
            </w:r>
          </w:p>
        </w:tc>
      </w:tr>
      <w:tr w:rsidR="00256D77" w:rsidRPr="00552B6F" w:rsidTr="009F49B9">
        <w:tc>
          <w:tcPr>
            <w:tcW w:w="6521" w:type="dxa"/>
            <w:gridSpan w:val="2"/>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jc w:val="both"/>
              <w:rPr>
                <w:rFonts w:ascii="Arial" w:hAnsi="Arial" w:cs="Arial"/>
                <w:b/>
                <w:sz w:val="24"/>
                <w:szCs w:val="24"/>
              </w:rPr>
            </w:pPr>
            <w:r w:rsidRPr="00552B6F">
              <w:rPr>
                <w:rFonts w:ascii="Arial" w:hAnsi="Arial" w:cs="Arial"/>
                <w:b/>
                <w:sz w:val="24"/>
                <w:szCs w:val="24"/>
              </w:rPr>
              <w:t>Heard before:</w:t>
            </w:r>
          </w:p>
          <w:p w:rsidR="00256D77" w:rsidRPr="00552B6F" w:rsidRDefault="00256D77" w:rsidP="009F49B9">
            <w:pPr>
              <w:spacing w:line="360" w:lineRule="auto"/>
              <w:jc w:val="both"/>
              <w:rPr>
                <w:rFonts w:ascii="Arial" w:hAnsi="Arial" w:cs="Arial"/>
                <w:sz w:val="24"/>
                <w:szCs w:val="24"/>
              </w:rPr>
            </w:pPr>
            <w:r w:rsidRPr="00552B6F">
              <w:rPr>
                <w:rFonts w:ascii="Arial" w:hAnsi="Arial" w:cs="Arial"/>
                <w:sz w:val="24"/>
                <w:szCs w:val="24"/>
              </w:rPr>
              <w:t>Honourable Lady Justice Rakow</w:t>
            </w:r>
          </w:p>
          <w:p w:rsidR="00256D77" w:rsidRPr="00552B6F" w:rsidRDefault="00256D77" w:rsidP="009F49B9">
            <w:pPr>
              <w:spacing w:line="360" w:lineRule="auto"/>
              <w:jc w:val="both"/>
              <w:rPr>
                <w:rFonts w:ascii="Arial" w:hAnsi="Arial" w:cs="Arial"/>
                <w:sz w:val="12"/>
                <w:szCs w:val="12"/>
              </w:rPr>
            </w:pPr>
          </w:p>
        </w:tc>
        <w:tc>
          <w:tcPr>
            <w:tcW w:w="3969" w:type="dxa"/>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both"/>
              <w:rPr>
                <w:rFonts w:ascii="Arial" w:hAnsi="Arial" w:cs="Arial"/>
                <w:b/>
                <w:sz w:val="24"/>
                <w:szCs w:val="24"/>
              </w:rPr>
            </w:pPr>
            <w:r>
              <w:rPr>
                <w:rFonts w:ascii="Arial" w:hAnsi="Arial" w:cs="Arial"/>
                <w:b/>
                <w:sz w:val="24"/>
                <w:szCs w:val="24"/>
              </w:rPr>
              <w:t>D</w:t>
            </w:r>
            <w:r w:rsidRPr="00552B6F">
              <w:rPr>
                <w:rFonts w:ascii="Arial" w:hAnsi="Arial" w:cs="Arial"/>
                <w:b/>
                <w:sz w:val="24"/>
                <w:szCs w:val="24"/>
              </w:rPr>
              <w:t>elivered on:</w:t>
            </w:r>
          </w:p>
          <w:p w:rsidR="00256D77" w:rsidRPr="00552B6F" w:rsidRDefault="00256D77" w:rsidP="009F49B9">
            <w:pPr>
              <w:spacing w:line="360" w:lineRule="auto"/>
              <w:jc w:val="both"/>
              <w:rPr>
                <w:rFonts w:ascii="Arial" w:hAnsi="Arial" w:cs="Arial"/>
                <w:sz w:val="24"/>
                <w:szCs w:val="24"/>
              </w:rPr>
            </w:pPr>
            <w:r>
              <w:rPr>
                <w:rFonts w:ascii="Arial" w:hAnsi="Arial" w:cs="Arial"/>
                <w:sz w:val="24"/>
                <w:szCs w:val="24"/>
              </w:rPr>
              <w:t>21 November 2023</w:t>
            </w:r>
          </w:p>
        </w:tc>
      </w:tr>
      <w:tr w:rsidR="00256D77" w:rsidRPr="00552B6F" w:rsidTr="009F49B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ind w:left="2160" w:hanging="2160"/>
              <w:jc w:val="both"/>
              <w:rPr>
                <w:rFonts w:ascii="Arial" w:hAnsi="Arial" w:cs="Arial"/>
                <w:b/>
                <w:sz w:val="10"/>
                <w:szCs w:val="10"/>
              </w:rPr>
            </w:pPr>
          </w:p>
          <w:p w:rsidR="00256D77" w:rsidRPr="00256D77" w:rsidRDefault="00256D77" w:rsidP="00256D77">
            <w:pPr>
              <w:spacing w:line="360" w:lineRule="auto"/>
              <w:ind w:left="2127" w:hanging="2127"/>
              <w:jc w:val="both"/>
              <w:rPr>
                <w:rFonts w:ascii="Arial" w:hAnsi="Arial" w:cs="Arial"/>
                <w:sz w:val="24"/>
                <w:szCs w:val="24"/>
              </w:rPr>
            </w:pPr>
            <w:r w:rsidRPr="00552B6F">
              <w:rPr>
                <w:rFonts w:ascii="Arial" w:hAnsi="Arial" w:cs="Arial"/>
                <w:b/>
                <w:sz w:val="24"/>
                <w:szCs w:val="24"/>
              </w:rPr>
              <w:t>Neutral citation</w:t>
            </w:r>
            <w:r w:rsidRPr="00552B6F">
              <w:rPr>
                <w:rFonts w:ascii="Arial" w:hAnsi="Arial" w:cs="Arial"/>
                <w:sz w:val="24"/>
                <w:szCs w:val="24"/>
              </w:rPr>
              <w:t>:</w:t>
            </w:r>
            <w:r w:rsidRPr="00552B6F">
              <w:rPr>
                <w:rFonts w:ascii="Arial" w:hAnsi="Arial" w:cs="Arial"/>
                <w:sz w:val="24"/>
                <w:szCs w:val="24"/>
              </w:rPr>
              <w:tab/>
            </w:r>
            <w:bookmarkStart w:id="0" w:name="_GoBack"/>
            <w:r w:rsidRPr="00256D77">
              <w:rPr>
                <w:rFonts w:ascii="Arial" w:hAnsi="Arial" w:cs="Arial"/>
                <w:i/>
                <w:sz w:val="24"/>
                <w:szCs w:val="24"/>
              </w:rPr>
              <w:t>Van Straten N.O</w:t>
            </w:r>
            <w:r w:rsidRPr="00256D77">
              <w:rPr>
                <w:rFonts w:ascii="Arial" w:eastAsia="Times New Roman" w:hAnsi="Arial" w:cs="Arial"/>
                <w:i/>
                <w:sz w:val="24"/>
                <w:szCs w:val="24"/>
                <w:lang w:eastAsia="en-GB"/>
              </w:rPr>
              <w:t xml:space="preserve"> v Botha </w:t>
            </w:r>
            <w:r w:rsidRPr="00256D77">
              <w:rPr>
                <w:rFonts w:ascii="Arial" w:eastAsia="Times New Roman" w:hAnsi="Arial" w:cs="Arial"/>
                <w:sz w:val="24"/>
                <w:szCs w:val="24"/>
                <w:lang w:eastAsia="en-GB"/>
              </w:rPr>
              <w:t xml:space="preserve">(I </w:t>
            </w:r>
            <w:r w:rsidR="00F70398">
              <w:rPr>
                <w:rFonts w:ascii="Arial" w:eastAsia="Times New Roman" w:hAnsi="Arial" w:cs="Arial"/>
                <w:sz w:val="24"/>
                <w:szCs w:val="24"/>
                <w:lang w:eastAsia="en-GB"/>
              </w:rPr>
              <w:t>3655/2015) [2023] NAHCMD 755</w:t>
            </w:r>
            <w:r w:rsidRPr="00256D77">
              <w:rPr>
                <w:rFonts w:ascii="Arial" w:eastAsia="Times New Roman" w:hAnsi="Arial" w:cs="Arial"/>
                <w:sz w:val="24"/>
                <w:szCs w:val="24"/>
                <w:lang w:eastAsia="en-GB"/>
              </w:rPr>
              <w:t xml:space="preserve"> (2</w:t>
            </w:r>
            <w:r>
              <w:rPr>
                <w:rFonts w:ascii="Arial" w:eastAsia="Times New Roman" w:hAnsi="Arial" w:cs="Arial"/>
                <w:sz w:val="24"/>
                <w:szCs w:val="24"/>
                <w:lang w:eastAsia="en-GB"/>
              </w:rPr>
              <w:t xml:space="preserve">1 November </w:t>
            </w:r>
            <w:r w:rsidRPr="00256D77">
              <w:rPr>
                <w:rFonts w:ascii="Arial" w:eastAsia="Times New Roman" w:hAnsi="Arial" w:cs="Arial"/>
                <w:sz w:val="24"/>
                <w:szCs w:val="24"/>
                <w:lang w:eastAsia="en-GB"/>
              </w:rPr>
              <w:t xml:space="preserve"> 2023)</w:t>
            </w:r>
          </w:p>
          <w:bookmarkEnd w:id="0"/>
          <w:p w:rsidR="00256D77" w:rsidRPr="00552B6F" w:rsidRDefault="00256D77" w:rsidP="00256D77">
            <w:pPr>
              <w:spacing w:line="360" w:lineRule="auto"/>
              <w:ind w:left="1616" w:hanging="1559"/>
              <w:jc w:val="both"/>
              <w:rPr>
                <w:rFonts w:ascii="Arial" w:hAnsi="Arial" w:cs="Arial"/>
                <w:sz w:val="10"/>
                <w:szCs w:val="10"/>
              </w:rPr>
            </w:pPr>
            <w:r w:rsidRPr="00A96E5B">
              <w:rPr>
                <w:rFonts w:ascii="Arial" w:hAnsi="Arial" w:cs="Arial"/>
                <w:sz w:val="24"/>
                <w:szCs w:val="24"/>
                <w:lang w:val="en-US"/>
              </w:rPr>
              <w:t xml:space="preserve">              </w:t>
            </w:r>
            <w:r>
              <w:rPr>
                <w:rFonts w:ascii="Arial" w:hAnsi="Arial" w:cs="Arial"/>
                <w:sz w:val="24"/>
                <w:szCs w:val="24"/>
                <w:lang w:val="en-US"/>
              </w:rPr>
              <w:t xml:space="preserve"> </w:t>
            </w:r>
          </w:p>
        </w:tc>
      </w:tr>
      <w:tr w:rsidR="00256D77" w:rsidRPr="00552B6F" w:rsidTr="009F49B9">
        <w:trPr>
          <w:trHeight w:val="412"/>
        </w:trPr>
        <w:tc>
          <w:tcPr>
            <w:tcW w:w="10490" w:type="dxa"/>
            <w:gridSpan w:val="3"/>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jc w:val="both"/>
              <w:rPr>
                <w:rFonts w:ascii="Arial" w:hAnsi="Arial" w:cs="Arial"/>
                <w:b/>
                <w:sz w:val="10"/>
                <w:szCs w:val="10"/>
              </w:rPr>
            </w:pPr>
          </w:p>
          <w:p w:rsidR="00256D77" w:rsidRPr="00552B6F" w:rsidRDefault="00256D77" w:rsidP="009F49B9">
            <w:pPr>
              <w:spacing w:line="360" w:lineRule="auto"/>
              <w:jc w:val="both"/>
              <w:rPr>
                <w:rFonts w:ascii="Arial" w:hAnsi="Arial" w:cs="Arial"/>
                <w:b/>
                <w:sz w:val="24"/>
                <w:szCs w:val="24"/>
              </w:rPr>
            </w:pPr>
            <w:r w:rsidRPr="00552B6F">
              <w:rPr>
                <w:rFonts w:ascii="Arial" w:hAnsi="Arial" w:cs="Arial"/>
                <w:b/>
                <w:sz w:val="24"/>
                <w:szCs w:val="24"/>
              </w:rPr>
              <w:t>Order:</w:t>
            </w:r>
          </w:p>
        </w:tc>
      </w:tr>
      <w:tr w:rsidR="00256D77" w:rsidRPr="00552B6F" w:rsidTr="009F49B9">
        <w:tc>
          <w:tcPr>
            <w:tcW w:w="10490" w:type="dxa"/>
            <w:gridSpan w:val="3"/>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ind w:left="360"/>
              <w:jc w:val="both"/>
              <w:rPr>
                <w:rFonts w:ascii="Arial" w:hAnsi="Arial" w:cs="Arial"/>
                <w:sz w:val="16"/>
                <w:szCs w:val="16"/>
              </w:rPr>
            </w:pPr>
          </w:p>
          <w:p w:rsidR="00CE5D9C" w:rsidRDefault="008458E7" w:rsidP="00CE5D9C">
            <w:pPr>
              <w:pStyle w:val="ListParagraph"/>
              <w:numPr>
                <w:ilvl w:val="0"/>
                <w:numId w:val="7"/>
              </w:numPr>
              <w:spacing w:after="0" w:line="360" w:lineRule="auto"/>
              <w:jc w:val="both"/>
              <w:rPr>
                <w:rFonts w:ascii="Arial" w:hAnsi="Arial" w:cs="Arial"/>
                <w:sz w:val="24"/>
                <w:lang w:val="en-US"/>
              </w:rPr>
            </w:pPr>
            <w:r w:rsidRPr="008458E7">
              <w:rPr>
                <w:rFonts w:ascii="Arial" w:hAnsi="Arial" w:cs="Arial"/>
                <w:sz w:val="24"/>
                <w:lang w:val="en-US"/>
              </w:rPr>
              <w:t xml:space="preserve">The application for absolution is dismissed. </w:t>
            </w:r>
          </w:p>
          <w:p w:rsidR="00CE5D9C" w:rsidRDefault="008458E7" w:rsidP="00CE5D9C">
            <w:pPr>
              <w:pStyle w:val="ListParagraph"/>
              <w:numPr>
                <w:ilvl w:val="0"/>
                <w:numId w:val="7"/>
              </w:numPr>
              <w:spacing w:after="0" w:line="360" w:lineRule="auto"/>
              <w:jc w:val="both"/>
              <w:rPr>
                <w:rFonts w:ascii="Arial" w:hAnsi="Arial" w:cs="Arial"/>
                <w:sz w:val="24"/>
                <w:lang w:val="en-US"/>
              </w:rPr>
            </w:pPr>
            <w:r w:rsidRPr="008458E7">
              <w:rPr>
                <w:rFonts w:ascii="Arial" w:hAnsi="Arial" w:cs="Arial"/>
                <w:sz w:val="24"/>
                <w:lang w:val="en-US"/>
              </w:rPr>
              <w:t>Costs to be costs in the cause.</w:t>
            </w:r>
          </w:p>
          <w:p w:rsidR="00256D77" w:rsidRPr="00CE5D9C" w:rsidRDefault="008458E7" w:rsidP="00CE5D9C">
            <w:pPr>
              <w:pStyle w:val="ListParagraph"/>
              <w:numPr>
                <w:ilvl w:val="0"/>
                <w:numId w:val="7"/>
              </w:numPr>
              <w:spacing w:after="0" w:line="360" w:lineRule="auto"/>
              <w:jc w:val="both"/>
              <w:rPr>
                <w:rFonts w:ascii="Arial" w:hAnsi="Arial" w:cs="Arial"/>
                <w:sz w:val="24"/>
                <w:lang w:val="en-US"/>
              </w:rPr>
            </w:pPr>
            <w:r w:rsidRPr="00CE5D9C">
              <w:rPr>
                <w:rFonts w:ascii="Arial" w:hAnsi="Arial" w:cs="Arial"/>
                <w:sz w:val="24"/>
                <w:lang w:val="en-US"/>
              </w:rPr>
              <w:t xml:space="preserve">The matter is postponed to 5 December 2023 at 15:30 for the fixing of trial dates for the continuation of the trial.  </w:t>
            </w:r>
          </w:p>
        </w:tc>
      </w:tr>
      <w:tr w:rsidR="00256D77" w:rsidRPr="00552B6F" w:rsidTr="009F49B9">
        <w:tc>
          <w:tcPr>
            <w:tcW w:w="10490" w:type="dxa"/>
            <w:gridSpan w:val="3"/>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jc w:val="both"/>
              <w:rPr>
                <w:rFonts w:ascii="Arial" w:hAnsi="Arial" w:cs="Arial"/>
                <w:b/>
                <w:sz w:val="10"/>
                <w:szCs w:val="10"/>
              </w:rPr>
            </w:pPr>
          </w:p>
          <w:p w:rsidR="00256D77" w:rsidRPr="00552B6F" w:rsidRDefault="00256D77" w:rsidP="009F49B9">
            <w:pPr>
              <w:spacing w:line="360" w:lineRule="auto"/>
              <w:ind w:left="743" w:hanging="743"/>
              <w:jc w:val="both"/>
              <w:rPr>
                <w:rFonts w:ascii="Arial" w:hAnsi="Arial" w:cs="Arial"/>
                <w:sz w:val="24"/>
                <w:szCs w:val="24"/>
              </w:rPr>
            </w:pPr>
            <w:r w:rsidRPr="00552B6F">
              <w:rPr>
                <w:rFonts w:ascii="Arial" w:hAnsi="Arial" w:cs="Arial"/>
                <w:b/>
                <w:sz w:val="24"/>
                <w:szCs w:val="24"/>
              </w:rPr>
              <w:t>Reasons for order:</w:t>
            </w:r>
          </w:p>
        </w:tc>
      </w:tr>
      <w:tr w:rsidR="00256D77" w:rsidRPr="00552B6F" w:rsidTr="009F49B9">
        <w:tc>
          <w:tcPr>
            <w:tcW w:w="10490" w:type="dxa"/>
            <w:gridSpan w:val="3"/>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jc w:val="both"/>
              <w:rPr>
                <w:rFonts w:ascii="Arial" w:hAnsi="Arial" w:cs="Arial"/>
                <w:sz w:val="24"/>
                <w:szCs w:val="24"/>
              </w:rPr>
            </w:pPr>
          </w:p>
          <w:p w:rsidR="00684164" w:rsidRDefault="00684164" w:rsidP="00684164">
            <w:pPr>
              <w:spacing w:line="360" w:lineRule="auto"/>
              <w:jc w:val="both"/>
              <w:rPr>
                <w:rFonts w:ascii="Arial" w:hAnsi="Arial" w:cs="Arial"/>
                <w:sz w:val="24"/>
                <w:szCs w:val="24"/>
              </w:rPr>
            </w:pPr>
            <w:r w:rsidRPr="00684164">
              <w:rPr>
                <w:rFonts w:ascii="Arial" w:hAnsi="Arial" w:cs="Arial"/>
                <w:sz w:val="24"/>
                <w:szCs w:val="24"/>
              </w:rPr>
              <w:t>RAKOW J</w:t>
            </w:r>
            <w:r>
              <w:rPr>
                <w:rFonts w:ascii="Arial" w:hAnsi="Arial" w:cs="Arial"/>
                <w:sz w:val="24"/>
                <w:szCs w:val="24"/>
              </w:rPr>
              <w:t>:</w:t>
            </w:r>
          </w:p>
          <w:p w:rsidR="00684164" w:rsidRPr="00684164" w:rsidRDefault="00684164" w:rsidP="00684164">
            <w:pPr>
              <w:spacing w:line="360" w:lineRule="auto"/>
              <w:jc w:val="both"/>
              <w:rPr>
                <w:rFonts w:ascii="Arial" w:hAnsi="Arial" w:cs="Arial"/>
                <w:sz w:val="24"/>
                <w:szCs w:val="24"/>
              </w:rPr>
            </w:pPr>
          </w:p>
          <w:p w:rsidR="00684164" w:rsidRDefault="00684164" w:rsidP="00F4341E">
            <w:pPr>
              <w:spacing w:line="360" w:lineRule="auto"/>
              <w:jc w:val="both"/>
              <w:rPr>
                <w:rFonts w:ascii="Arial" w:hAnsi="Arial" w:cs="Arial"/>
                <w:sz w:val="24"/>
                <w:szCs w:val="24"/>
                <w:u w:val="single"/>
              </w:rPr>
            </w:pPr>
            <w:r w:rsidRPr="00684164">
              <w:rPr>
                <w:rFonts w:ascii="Arial" w:hAnsi="Arial" w:cs="Arial"/>
                <w:sz w:val="24"/>
                <w:szCs w:val="24"/>
                <w:u w:val="single"/>
              </w:rPr>
              <w:t>Introduction</w:t>
            </w:r>
          </w:p>
          <w:p w:rsidR="00F4341E" w:rsidRPr="00684164" w:rsidRDefault="00F4341E" w:rsidP="00F4341E">
            <w:pPr>
              <w:spacing w:line="360" w:lineRule="auto"/>
              <w:jc w:val="both"/>
              <w:rPr>
                <w:rFonts w:ascii="Arial" w:hAnsi="Arial" w:cs="Arial"/>
                <w:sz w:val="24"/>
                <w:szCs w:val="24"/>
              </w:rPr>
            </w:pPr>
          </w:p>
          <w:p w:rsidR="00684164" w:rsidRDefault="00684164" w:rsidP="00684164">
            <w:pPr>
              <w:pStyle w:val="ListParagraph"/>
              <w:numPr>
                <w:ilvl w:val="0"/>
                <w:numId w:val="5"/>
              </w:numPr>
              <w:spacing w:after="0" w:line="360" w:lineRule="auto"/>
              <w:ind w:left="0" w:firstLine="0"/>
              <w:jc w:val="both"/>
              <w:rPr>
                <w:rFonts w:ascii="Arial" w:hAnsi="Arial" w:cs="Arial"/>
                <w:sz w:val="24"/>
                <w:szCs w:val="24"/>
              </w:rPr>
            </w:pPr>
            <w:r w:rsidRPr="00684164">
              <w:rPr>
                <w:rFonts w:ascii="Arial" w:hAnsi="Arial" w:cs="Arial"/>
                <w:sz w:val="24"/>
                <w:szCs w:val="24"/>
              </w:rPr>
              <w:t>This is an application for absolution from the instance</w:t>
            </w:r>
            <w:r>
              <w:rPr>
                <w:rFonts w:ascii="Arial" w:hAnsi="Arial" w:cs="Arial"/>
                <w:sz w:val="24"/>
                <w:szCs w:val="24"/>
              </w:rPr>
              <w:t xml:space="preserve"> in terms of rule 100(1) of the High Court Rules. </w:t>
            </w:r>
            <w:r w:rsidRPr="00684164">
              <w:rPr>
                <w:rFonts w:ascii="Arial" w:hAnsi="Arial" w:cs="Arial"/>
                <w:sz w:val="24"/>
                <w:szCs w:val="24"/>
              </w:rPr>
              <w:t>The plaintiff is Alwyn van Straten N.O., an adult male appointed as Trustee in the insolvent estate of one J.H. Labuschagne and who conducts business under the name Executrust.  The defendant is Chris Botha an adult male businessman.</w:t>
            </w:r>
          </w:p>
          <w:p w:rsidR="00684164" w:rsidRPr="00684164" w:rsidRDefault="00684164" w:rsidP="00684164">
            <w:pPr>
              <w:pStyle w:val="ListParagraph"/>
              <w:spacing w:after="0" w:line="360" w:lineRule="auto"/>
              <w:ind w:left="0"/>
              <w:jc w:val="both"/>
              <w:rPr>
                <w:rFonts w:ascii="Arial" w:hAnsi="Arial" w:cs="Arial"/>
                <w:sz w:val="24"/>
                <w:szCs w:val="24"/>
              </w:rPr>
            </w:pPr>
          </w:p>
          <w:p w:rsidR="00684164" w:rsidRDefault="00684164" w:rsidP="00684164">
            <w:pPr>
              <w:spacing w:line="360" w:lineRule="auto"/>
              <w:jc w:val="both"/>
              <w:rPr>
                <w:rFonts w:ascii="Arial" w:hAnsi="Arial" w:cs="Arial"/>
                <w:sz w:val="24"/>
                <w:szCs w:val="24"/>
                <w:u w:val="single"/>
              </w:rPr>
            </w:pPr>
            <w:r w:rsidRPr="00684164">
              <w:rPr>
                <w:rFonts w:ascii="Arial" w:hAnsi="Arial" w:cs="Arial"/>
                <w:sz w:val="24"/>
                <w:szCs w:val="24"/>
                <w:u w:val="single"/>
              </w:rPr>
              <w:t>Background</w:t>
            </w:r>
          </w:p>
          <w:p w:rsidR="00684164" w:rsidRPr="00684164" w:rsidRDefault="00684164" w:rsidP="00684164">
            <w:pPr>
              <w:spacing w:line="360" w:lineRule="auto"/>
              <w:jc w:val="both"/>
              <w:rPr>
                <w:rFonts w:ascii="Arial" w:hAnsi="Arial" w:cs="Arial"/>
                <w:sz w:val="24"/>
                <w:szCs w:val="24"/>
                <w:u w:val="single"/>
              </w:rPr>
            </w:pPr>
          </w:p>
          <w:p w:rsidR="00684164" w:rsidRDefault="00684164" w:rsidP="00684164">
            <w:pPr>
              <w:pStyle w:val="ListParagraph"/>
              <w:numPr>
                <w:ilvl w:val="0"/>
                <w:numId w:val="5"/>
              </w:numPr>
              <w:spacing w:after="0" w:line="360" w:lineRule="auto"/>
              <w:ind w:left="0" w:firstLine="0"/>
              <w:jc w:val="both"/>
              <w:rPr>
                <w:rFonts w:ascii="Arial" w:hAnsi="Arial" w:cs="Arial"/>
                <w:sz w:val="24"/>
                <w:szCs w:val="24"/>
              </w:rPr>
            </w:pPr>
            <w:r w:rsidRPr="00684164">
              <w:rPr>
                <w:rFonts w:ascii="Arial" w:hAnsi="Arial" w:cs="Arial"/>
                <w:sz w:val="24"/>
                <w:szCs w:val="24"/>
              </w:rPr>
              <w:t>By 1 October 2010</w:t>
            </w:r>
            <w:r>
              <w:rPr>
                <w:rFonts w:ascii="Arial" w:hAnsi="Arial" w:cs="Arial"/>
                <w:sz w:val="24"/>
                <w:szCs w:val="24"/>
              </w:rPr>
              <w:t>,</w:t>
            </w:r>
            <w:r w:rsidRPr="00684164">
              <w:rPr>
                <w:rFonts w:ascii="Arial" w:hAnsi="Arial" w:cs="Arial"/>
                <w:sz w:val="24"/>
                <w:szCs w:val="24"/>
              </w:rPr>
              <w:t xml:space="preserve"> Mr Labuschagne’s liabilities exceeded his assets.  On several instances after this date, Mr Labuschagne made payments to the defendant.  According to the joint expert report of Mr Mchardy and Ms Fourie</w:t>
            </w:r>
            <w:r w:rsidR="00CE5D9C">
              <w:rPr>
                <w:rFonts w:ascii="Arial" w:hAnsi="Arial" w:cs="Arial"/>
                <w:sz w:val="24"/>
                <w:szCs w:val="24"/>
              </w:rPr>
              <w:t>,</w:t>
            </w:r>
            <w:r w:rsidRPr="00684164">
              <w:rPr>
                <w:rFonts w:ascii="Arial" w:hAnsi="Arial" w:cs="Arial"/>
                <w:sz w:val="24"/>
                <w:szCs w:val="24"/>
              </w:rPr>
              <w:t xml:space="preserve"> as from 4 October 2010</w:t>
            </w:r>
            <w:r>
              <w:rPr>
                <w:rFonts w:ascii="Arial" w:hAnsi="Arial" w:cs="Arial"/>
                <w:sz w:val="24"/>
                <w:szCs w:val="24"/>
              </w:rPr>
              <w:t>,</w:t>
            </w:r>
            <w:r w:rsidRPr="00684164">
              <w:rPr>
                <w:rFonts w:ascii="Arial" w:hAnsi="Arial" w:cs="Arial"/>
                <w:sz w:val="24"/>
                <w:szCs w:val="24"/>
              </w:rPr>
              <w:t xml:space="preserve"> the defe</w:t>
            </w:r>
            <w:r>
              <w:rPr>
                <w:rFonts w:ascii="Arial" w:hAnsi="Arial" w:cs="Arial"/>
                <w:sz w:val="24"/>
                <w:szCs w:val="24"/>
              </w:rPr>
              <w:t xml:space="preserve">ndant received N$2 049 214.90. </w:t>
            </w:r>
            <w:r w:rsidRPr="00684164">
              <w:rPr>
                <w:rFonts w:ascii="Arial" w:hAnsi="Arial" w:cs="Arial"/>
                <w:sz w:val="24"/>
                <w:szCs w:val="24"/>
              </w:rPr>
              <w:t>The allegation is that these payments were made by Mr. Labuschagne preferring the defendant a</w:t>
            </w:r>
            <w:r w:rsidR="00CE5D9C">
              <w:rPr>
                <w:rFonts w:ascii="Arial" w:hAnsi="Arial" w:cs="Arial"/>
                <w:sz w:val="24"/>
                <w:szCs w:val="24"/>
              </w:rPr>
              <w:t>bove his other creditors.  A</w:t>
            </w:r>
            <w:r w:rsidRPr="00684164">
              <w:rPr>
                <w:rFonts w:ascii="Arial" w:hAnsi="Arial" w:cs="Arial"/>
                <w:sz w:val="24"/>
                <w:szCs w:val="24"/>
              </w:rPr>
              <w:t>s such</w:t>
            </w:r>
            <w:r w:rsidR="00CE5D9C">
              <w:rPr>
                <w:rFonts w:ascii="Arial" w:hAnsi="Arial" w:cs="Arial"/>
                <w:sz w:val="24"/>
                <w:szCs w:val="24"/>
              </w:rPr>
              <w:t>,</w:t>
            </w:r>
            <w:r w:rsidRPr="00684164">
              <w:rPr>
                <w:rFonts w:ascii="Arial" w:hAnsi="Arial" w:cs="Arial"/>
                <w:sz w:val="24"/>
                <w:szCs w:val="24"/>
              </w:rPr>
              <w:t xml:space="preserve"> these payments to the defendant are liable to be set </w:t>
            </w:r>
            <w:r>
              <w:rPr>
                <w:rFonts w:ascii="Arial" w:hAnsi="Arial" w:cs="Arial"/>
                <w:sz w:val="24"/>
                <w:szCs w:val="24"/>
              </w:rPr>
              <w:t>aside in terms of s</w:t>
            </w:r>
            <w:r w:rsidRPr="00684164">
              <w:rPr>
                <w:rFonts w:ascii="Arial" w:hAnsi="Arial" w:cs="Arial"/>
                <w:sz w:val="24"/>
                <w:szCs w:val="24"/>
              </w:rPr>
              <w:t xml:space="preserve"> 30 of the Insolvency Act 24 of 1936</w:t>
            </w:r>
            <w:r>
              <w:rPr>
                <w:rFonts w:ascii="Arial" w:hAnsi="Arial" w:cs="Arial"/>
                <w:sz w:val="24"/>
                <w:szCs w:val="24"/>
              </w:rPr>
              <w:t>.</w:t>
            </w:r>
          </w:p>
          <w:p w:rsidR="00684164" w:rsidRPr="00684164" w:rsidRDefault="00684164" w:rsidP="00684164">
            <w:pPr>
              <w:pStyle w:val="ListParagraph"/>
              <w:spacing w:after="0" w:line="360" w:lineRule="auto"/>
              <w:ind w:left="0"/>
              <w:jc w:val="both"/>
              <w:rPr>
                <w:rFonts w:ascii="Arial" w:hAnsi="Arial" w:cs="Arial"/>
                <w:sz w:val="24"/>
                <w:szCs w:val="24"/>
              </w:rPr>
            </w:pPr>
          </w:p>
          <w:p w:rsidR="00684164" w:rsidRDefault="00684164" w:rsidP="00CB2678">
            <w:pPr>
              <w:spacing w:line="360" w:lineRule="auto"/>
              <w:jc w:val="both"/>
              <w:rPr>
                <w:rFonts w:ascii="Arial" w:hAnsi="Arial" w:cs="Arial"/>
                <w:sz w:val="24"/>
                <w:szCs w:val="24"/>
                <w:u w:val="single"/>
              </w:rPr>
            </w:pPr>
            <w:r w:rsidRPr="00684164">
              <w:rPr>
                <w:rFonts w:ascii="Arial" w:hAnsi="Arial" w:cs="Arial"/>
                <w:sz w:val="24"/>
                <w:szCs w:val="24"/>
                <w:u w:val="single"/>
              </w:rPr>
              <w:t>S</w:t>
            </w:r>
            <w:r>
              <w:rPr>
                <w:rFonts w:ascii="Arial" w:hAnsi="Arial" w:cs="Arial"/>
                <w:sz w:val="24"/>
                <w:szCs w:val="24"/>
                <w:u w:val="single"/>
              </w:rPr>
              <w:t>ection 30 of the Insolvency Act</w:t>
            </w:r>
            <w:r w:rsidRPr="00684164">
              <w:rPr>
                <w:rFonts w:ascii="Arial" w:hAnsi="Arial" w:cs="Arial"/>
                <w:sz w:val="24"/>
                <w:szCs w:val="24"/>
                <w:u w:val="single"/>
              </w:rPr>
              <w:t xml:space="preserve"> 24 of 1936</w:t>
            </w:r>
          </w:p>
          <w:p w:rsidR="00CB2678" w:rsidRPr="00684164" w:rsidRDefault="00CB2678" w:rsidP="00CB2678">
            <w:pPr>
              <w:spacing w:line="360" w:lineRule="auto"/>
              <w:jc w:val="both"/>
              <w:rPr>
                <w:rFonts w:ascii="Arial" w:hAnsi="Arial" w:cs="Arial"/>
                <w:sz w:val="24"/>
                <w:szCs w:val="24"/>
                <w:u w:val="single"/>
              </w:rPr>
            </w:pPr>
          </w:p>
          <w:p w:rsidR="00684164" w:rsidRDefault="00684164" w:rsidP="00CB2678">
            <w:pPr>
              <w:pStyle w:val="ListParagraph"/>
              <w:numPr>
                <w:ilvl w:val="0"/>
                <w:numId w:val="5"/>
              </w:numPr>
              <w:spacing w:after="0" w:line="360" w:lineRule="auto"/>
              <w:ind w:left="0" w:firstLine="0"/>
              <w:jc w:val="both"/>
              <w:rPr>
                <w:rFonts w:ascii="Arial" w:hAnsi="Arial" w:cs="Arial"/>
                <w:sz w:val="24"/>
                <w:szCs w:val="24"/>
              </w:rPr>
            </w:pPr>
            <w:r w:rsidRPr="00684164">
              <w:rPr>
                <w:rFonts w:ascii="Arial" w:hAnsi="Arial" w:cs="Arial"/>
                <w:sz w:val="24"/>
                <w:szCs w:val="24"/>
              </w:rPr>
              <w:t>Section 30 reads as follows:</w:t>
            </w:r>
          </w:p>
          <w:p w:rsidR="00684164" w:rsidRPr="00684164" w:rsidRDefault="00684164" w:rsidP="00684164">
            <w:pPr>
              <w:pStyle w:val="ListParagraph"/>
              <w:spacing w:after="0" w:line="360" w:lineRule="auto"/>
              <w:ind w:left="0"/>
              <w:jc w:val="both"/>
              <w:rPr>
                <w:rFonts w:ascii="Arial" w:hAnsi="Arial" w:cs="Arial"/>
                <w:sz w:val="24"/>
                <w:szCs w:val="24"/>
              </w:rPr>
            </w:pPr>
          </w:p>
          <w:p w:rsidR="00684164" w:rsidRPr="00684164" w:rsidRDefault="00684164" w:rsidP="00684164">
            <w:pPr>
              <w:spacing w:after="200" w:line="360" w:lineRule="auto"/>
              <w:ind w:firstLine="720"/>
              <w:jc w:val="both"/>
              <w:rPr>
                <w:rFonts w:ascii="Arial" w:hAnsi="Arial" w:cs="Arial"/>
              </w:rPr>
            </w:pPr>
            <w:r w:rsidRPr="00684164">
              <w:rPr>
                <w:rFonts w:ascii="Arial" w:hAnsi="Arial" w:cs="Arial"/>
              </w:rPr>
              <w:t xml:space="preserve">‘Undue preference to creditors 30. </w:t>
            </w:r>
          </w:p>
          <w:p w:rsidR="00684164" w:rsidRPr="00684164" w:rsidRDefault="00684164" w:rsidP="00684164">
            <w:pPr>
              <w:numPr>
                <w:ilvl w:val="0"/>
                <w:numId w:val="4"/>
              </w:numPr>
              <w:spacing w:after="200" w:line="360" w:lineRule="auto"/>
              <w:contextualSpacing/>
              <w:jc w:val="both"/>
              <w:rPr>
                <w:rFonts w:ascii="Arial" w:hAnsi="Arial" w:cs="Arial"/>
              </w:rPr>
            </w:pPr>
            <w:r w:rsidRPr="00684164">
              <w:rPr>
                <w:rFonts w:ascii="Arial" w:hAnsi="Arial" w:cs="Arial"/>
              </w:rPr>
              <w:t xml:space="preserve">If a debtor made a disposition of his property at a time when his liabilities exceeded his assets, with the intention of preferring one of his creditors above another, and his estate is thereafter sequestrated, the Court may set aside the disposition.’ </w:t>
            </w:r>
          </w:p>
          <w:p w:rsidR="00684164" w:rsidRPr="00684164" w:rsidRDefault="00684164" w:rsidP="00684164">
            <w:pPr>
              <w:spacing w:after="200" w:line="360" w:lineRule="auto"/>
              <w:ind w:left="732"/>
              <w:contextualSpacing/>
              <w:jc w:val="both"/>
              <w:rPr>
                <w:rFonts w:ascii="Arial" w:hAnsi="Arial" w:cs="Arial"/>
                <w:sz w:val="24"/>
                <w:szCs w:val="24"/>
              </w:rPr>
            </w:pPr>
          </w:p>
          <w:p w:rsidR="00684164"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The result is that the trustee/liquidator bears the onus to establish the following:</w:t>
            </w:r>
            <w:r w:rsidRPr="00684164">
              <w:rPr>
                <w:vertAlign w:val="superscript"/>
              </w:rPr>
              <w:footnoteReference w:id="1"/>
            </w:r>
          </w:p>
          <w:p w:rsidR="00DC257F" w:rsidRPr="00DC257F" w:rsidRDefault="00DC257F" w:rsidP="00DC257F">
            <w:pPr>
              <w:pStyle w:val="ListParagraph"/>
              <w:spacing w:after="0" w:line="360" w:lineRule="auto"/>
              <w:ind w:left="0"/>
              <w:jc w:val="both"/>
              <w:rPr>
                <w:rFonts w:ascii="Arial" w:hAnsi="Arial" w:cs="Arial"/>
                <w:sz w:val="24"/>
                <w:szCs w:val="24"/>
              </w:rPr>
            </w:pPr>
          </w:p>
          <w:p w:rsidR="00684164" w:rsidRPr="00684164" w:rsidRDefault="00684164" w:rsidP="00684164">
            <w:pPr>
              <w:spacing w:after="200" w:line="360" w:lineRule="auto"/>
              <w:jc w:val="both"/>
              <w:rPr>
                <w:rFonts w:ascii="Arial" w:hAnsi="Arial" w:cs="Arial"/>
                <w:sz w:val="24"/>
                <w:szCs w:val="24"/>
              </w:rPr>
            </w:pPr>
            <w:r w:rsidRPr="00684164">
              <w:rPr>
                <w:rFonts w:ascii="Arial" w:hAnsi="Arial" w:cs="Arial"/>
                <w:sz w:val="24"/>
                <w:szCs w:val="24"/>
              </w:rPr>
              <w:lastRenderedPageBreak/>
              <w:t>(a)</w:t>
            </w:r>
            <w:r w:rsidRPr="00684164">
              <w:rPr>
                <w:rFonts w:ascii="Arial" w:hAnsi="Arial" w:cs="Arial"/>
                <w:sz w:val="24"/>
                <w:szCs w:val="24"/>
              </w:rPr>
              <w:tab/>
              <w:t>Disposition of the insolvent’s property to the creditor (the defendant)</w:t>
            </w:r>
          </w:p>
          <w:p w:rsidR="00684164" w:rsidRPr="00684164" w:rsidRDefault="00684164" w:rsidP="00684164">
            <w:pPr>
              <w:spacing w:after="200" w:line="360" w:lineRule="auto"/>
              <w:jc w:val="both"/>
              <w:rPr>
                <w:rFonts w:ascii="Arial" w:hAnsi="Arial" w:cs="Arial"/>
                <w:sz w:val="24"/>
                <w:szCs w:val="24"/>
              </w:rPr>
            </w:pPr>
            <w:r w:rsidRPr="00684164">
              <w:rPr>
                <w:rFonts w:ascii="Arial" w:hAnsi="Arial" w:cs="Arial"/>
                <w:sz w:val="24"/>
                <w:szCs w:val="24"/>
              </w:rPr>
              <w:t>(b)</w:t>
            </w:r>
            <w:r w:rsidRPr="00684164">
              <w:rPr>
                <w:rFonts w:ascii="Arial" w:hAnsi="Arial" w:cs="Arial"/>
                <w:sz w:val="24"/>
                <w:szCs w:val="24"/>
              </w:rPr>
              <w:tab/>
            </w:r>
            <w:r w:rsidR="00DC257F">
              <w:rPr>
                <w:rFonts w:ascii="Arial" w:hAnsi="Arial" w:cs="Arial"/>
                <w:sz w:val="24"/>
                <w:szCs w:val="24"/>
              </w:rPr>
              <w:t>A</w:t>
            </w:r>
            <w:r w:rsidRPr="00684164">
              <w:rPr>
                <w:rFonts w:ascii="Arial" w:hAnsi="Arial" w:cs="Arial"/>
                <w:sz w:val="24"/>
                <w:szCs w:val="24"/>
              </w:rPr>
              <w:t>t a time when the insolvent’s liabilities exceeded his assets</w:t>
            </w:r>
          </w:p>
          <w:p w:rsidR="00684164" w:rsidRPr="00684164" w:rsidRDefault="00684164" w:rsidP="00684164">
            <w:pPr>
              <w:spacing w:after="200" w:line="360" w:lineRule="auto"/>
              <w:jc w:val="both"/>
              <w:rPr>
                <w:rFonts w:ascii="Arial" w:hAnsi="Arial" w:cs="Arial"/>
                <w:sz w:val="24"/>
                <w:szCs w:val="24"/>
              </w:rPr>
            </w:pPr>
            <w:r w:rsidRPr="00684164">
              <w:rPr>
                <w:rFonts w:ascii="Arial" w:hAnsi="Arial" w:cs="Arial"/>
                <w:sz w:val="24"/>
                <w:szCs w:val="24"/>
              </w:rPr>
              <w:t>(c)</w:t>
            </w:r>
            <w:r w:rsidRPr="00684164">
              <w:rPr>
                <w:rFonts w:ascii="Arial" w:hAnsi="Arial" w:cs="Arial"/>
                <w:sz w:val="24"/>
                <w:szCs w:val="24"/>
              </w:rPr>
              <w:tab/>
              <w:t>with the intention of preferring the defendant above another creditor</w:t>
            </w:r>
          </w:p>
          <w:p w:rsidR="00684164" w:rsidRPr="00684164" w:rsidRDefault="00684164" w:rsidP="00684164">
            <w:pPr>
              <w:spacing w:after="200" w:line="360" w:lineRule="auto"/>
              <w:jc w:val="both"/>
              <w:rPr>
                <w:rFonts w:ascii="Arial" w:hAnsi="Arial" w:cs="Arial"/>
                <w:sz w:val="24"/>
                <w:szCs w:val="24"/>
              </w:rPr>
            </w:pPr>
            <w:r w:rsidRPr="00684164">
              <w:rPr>
                <w:rFonts w:ascii="Arial" w:hAnsi="Arial" w:cs="Arial"/>
                <w:sz w:val="24"/>
                <w:szCs w:val="24"/>
              </w:rPr>
              <w:t>(d)</w:t>
            </w:r>
            <w:r w:rsidRPr="00684164">
              <w:rPr>
                <w:rFonts w:ascii="Arial" w:hAnsi="Arial" w:cs="Arial"/>
                <w:sz w:val="24"/>
                <w:szCs w:val="24"/>
              </w:rPr>
              <w:tab/>
              <w:t>the defendant had indeed been preferred above the other creditor</w:t>
            </w:r>
          </w:p>
          <w:p w:rsidR="00684164" w:rsidRDefault="00684164" w:rsidP="00DC257F">
            <w:pPr>
              <w:spacing w:line="360" w:lineRule="auto"/>
              <w:jc w:val="both"/>
              <w:rPr>
                <w:rFonts w:ascii="Arial" w:hAnsi="Arial" w:cs="Arial"/>
                <w:sz w:val="24"/>
                <w:szCs w:val="24"/>
              </w:rPr>
            </w:pPr>
            <w:r w:rsidRPr="00684164">
              <w:rPr>
                <w:rFonts w:ascii="Arial" w:hAnsi="Arial" w:cs="Arial"/>
                <w:sz w:val="24"/>
                <w:szCs w:val="24"/>
              </w:rPr>
              <w:t>(e)</w:t>
            </w:r>
            <w:r w:rsidRPr="00684164">
              <w:rPr>
                <w:rFonts w:ascii="Arial" w:hAnsi="Arial" w:cs="Arial"/>
                <w:sz w:val="24"/>
                <w:szCs w:val="24"/>
              </w:rPr>
              <w:tab/>
              <w:t>the insolvent’s estate is thereafter</w:t>
            </w:r>
            <w:r w:rsidR="00CE5D9C">
              <w:rPr>
                <w:rFonts w:ascii="Arial" w:hAnsi="Arial" w:cs="Arial"/>
                <w:sz w:val="24"/>
                <w:szCs w:val="24"/>
              </w:rPr>
              <w:t>,</w:t>
            </w:r>
            <w:r w:rsidRPr="00684164">
              <w:rPr>
                <w:rFonts w:ascii="Arial" w:hAnsi="Arial" w:cs="Arial"/>
                <w:sz w:val="24"/>
                <w:szCs w:val="24"/>
              </w:rPr>
              <w:t xml:space="preserve"> sequestrated.</w:t>
            </w:r>
          </w:p>
          <w:p w:rsidR="00DC257F" w:rsidRPr="00684164" w:rsidRDefault="00DC257F" w:rsidP="00DC257F">
            <w:pPr>
              <w:spacing w:line="360" w:lineRule="auto"/>
              <w:jc w:val="both"/>
              <w:rPr>
                <w:rFonts w:ascii="Arial" w:hAnsi="Arial" w:cs="Arial"/>
                <w:sz w:val="24"/>
                <w:szCs w:val="24"/>
              </w:rPr>
            </w:pPr>
          </w:p>
          <w:p w:rsidR="00684164" w:rsidRDefault="00684164" w:rsidP="00DC257F">
            <w:pPr>
              <w:spacing w:line="360" w:lineRule="auto"/>
              <w:jc w:val="both"/>
              <w:rPr>
                <w:rFonts w:ascii="Arial" w:hAnsi="Arial" w:cs="Arial"/>
                <w:sz w:val="24"/>
                <w:szCs w:val="24"/>
                <w:u w:val="single"/>
              </w:rPr>
            </w:pPr>
            <w:r w:rsidRPr="00684164">
              <w:rPr>
                <w:rFonts w:ascii="Arial" w:hAnsi="Arial" w:cs="Arial"/>
                <w:sz w:val="24"/>
                <w:szCs w:val="24"/>
                <w:u w:val="single"/>
              </w:rPr>
              <w:t>Discharging the onus</w:t>
            </w:r>
          </w:p>
          <w:p w:rsidR="00DC257F" w:rsidRPr="00684164" w:rsidRDefault="00DC257F" w:rsidP="00DC257F">
            <w:pPr>
              <w:spacing w:line="360" w:lineRule="auto"/>
              <w:jc w:val="both"/>
              <w:rPr>
                <w:rFonts w:ascii="Arial" w:hAnsi="Arial" w:cs="Arial"/>
                <w:sz w:val="24"/>
                <w:szCs w:val="24"/>
                <w:u w:val="single"/>
              </w:rPr>
            </w:pPr>
          </w:p>
          <w:p w:rsidR="00DC257F"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The plaintiff</w:t>
            </w:r>
            <w:r w:rsidR="00CE5D9C">
              <w:rPr>
                <w:rFonts w:ascii="Arial" w:hAnsi="Arial" w:cs="Arial"/>
                <w:sz w:val="24"/>
                <w:szCs w:val="24"/>
              </w:rPr>
              <w:t>’s</w:t>
            </w:r>
            <w:r w:rsidRPr="00DC257F">
              <w:rPr>
                <w:rFonts w:ascii="Arial" w:hAnsi="Arial" w:cs="Arial"/>
                <w:sz w:val="24"/>
                <w:szCs w:val="24"/>
              </w:rPr>
              <w:t xml:space="preserve"> and defendant’s experts met during the trial with the specific instruction to come up with a joint expert report. This rep</w:t>
            </w:r>
            <w:r w:rsidR="00CE5D9C">
              <w:rPr>
                <w:rFonts w:ascii="Arial" w:hAnsi="Arial" w:cs="Arial"/>
                <w:sz w:val="24"/>
                <w:szCs w:val="24"/>
              </w:rPr>
              <w:t>ort was handed up as exhibit “J”</w:t>
            </w:r>
            <w:r w:rsidRPr="00DC257F">
              <w:rPr>
                <w:rFonts w:ascii="Arial" w:hAnsi="Arial" w:cs="Arial"/>
                <w:sz w:val="24"/>
                <w:szCs w:val="24"/>
              </w:rPr>
              <w:t xml:space="preserve">. They were specifically </w:t>
            </w:r>
            <w:r w:rsidR="00DC257F">
              <w:rPr>
                <w:rFonts w:ascii="Arial" w:hAnsi="Arial" w:cs="Arial"/>
                <w:sz w:val="24"/>
                <w:szCs w:val="24"/>
              </w:rPr>
              <w:t>tasked to determine whether Mr</w:t>
            </w:r>
            <w:r w:rsidRPr="00DC257F">
              <w:rPr>
                <w:rFonts w:ascii="Arial" w:hAnsi="Arial" w:cs="Arial"/>
                <w:sz w:val="24"/>
                <w:szCs w:val="24"/>
              </w:rPr>
              <w:t xml:space="preserve"> Labuschagne’s liabilities exceeded his assets on t 1 October 2010 and whether he made any disposition to the defendant after 1</w:t>
            </w:r>
            <w:r w:rsidR="00CE5D9C">
              <w:rPr>
                <w:rFonts w:ascii="Arial" w:hAnsi="Arial" w:cs="Arial"/>
                <w:sz w:val="24"/>
                <w:szCs w:val="24"/>
              </w:rPr>
              <w:t xml:space="preserve"> </w:t>
            </w:r>
            <w:r w:rsidRPr="00DC257F">
              <w:rPr>
                <w:rFonts w:ascii="Arial" w:hAnsi="Arial" w:cs="Arial"/>
                <w:sz w:val="24"/>
                <w:szCs w:val="24"/>
              </w:rPr>
              <w:t>October 2010.</w:t>
            </w:r>
          </w:p>
          <w:p w:rsidR="00DC257F" w:rsidRDefault="00684164" w:rsidP="00DC257F">
            <w:pPr>
              <w:pStyle w:val="ListParagraph"/>
              <w:spacing w:after="0" w:line="360" w:lineRule="auto"/>
              <w:ind w:left="0"/>
              <w:jc w:val="both"/>
              <w:rPr>
                <w:rFonts w:ascii="Arial" w:hAnsi="Arial" w:cs="Arial"/>
                <w:sz w:val="24"/>
                <w:szCs w:val="24"/>
              </w:rPr>
            </w:pPr>
            <w:r w:rsidRPr="00DC257F">
              <w:rPr>
                <w:rFonts w:ascii="Arial" w:hAnsi="Arial" w:cs="Arial"/>
                <w:sz w:val="24"/>
                <w:szCs w:val="24"/>
              </w:rPr>
              <w:t xml:space="preserve">  </w:t>
            </w:r>
          </w:p>
          <w:p w:rsidR="00DC257F"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The experts’ findings, although not with the same amounts, found that Mr Labuschagne’s liabilities exceeded his assets on 1 October 2010, the plaintiff’s expert found to the tune of N$7 403 899.67 and the defendant’s expert to</w:t>
            </w:r>
            <w:r w:rsidR="00DC257F">
              <w:rPr>
                <w:rFonts w:ascii="Arial" w:hAnsi="Arial" w:cs="Arial"/>
                <w:sz w:val="24"/>
                <w:szCs w:val="24"/>
              </w:rPr>
              <w:t xml:space="preserve"> the amount of N$2 588 712.25. </w:t>
            </w:r>
            <w:r w:rsidRPr="00DC257F">
              <w:rPr>
                <w:rFonts w:ascii="Arial" w:hAnsi="Arial" w:cs="Arial"/>
                <w:sz w:val="24"/>
                <w:szCs w:val="24"/>
              </w:rPr>
              <w:t>On the sec</w:t>
            </w:r>
            <w:r w:rsidR="00CB2678">
              <w:rPr>
                <w:rFonts w:ascii="Arial" w:hAnsi="Arial" w:cs="Arial"/>
                <w:sz w:val="24"/>
                <w:szCs w:val="24"/>
              </w:rPr>
              <w:t>ond question they found that Mr</w:t>
            </w:r>
            <w:r w:rsidRPr="00DC257F">
              <w:rPr>
                <w:rFonts w:ascii="Arial" w:hAnsi="Arial" w:cs="Arial"/>
                <w:sz w:val="24"/>
                <w:szCs w:val="24"/>
              </w:rPr>
              <w:t xml:space="preserve"> Labuschagne indeed made dispositions in favour of the defendant to the tune of N$2 588 712,25.</w:t>
            </w:r>
          </w:p>
          <w:p w:rsidR="00DC257F" w:rsidRPr="00DC257F" w:rsidRDefault="00DC257F" w:rsidP="00DC257F">
            <w:pPr>
              <w:pStyle w:val="ListParagraph"/>
              <w:rPr>
                <w:rFonts w:ascii="Arial" w:hAnsi="Arial" w:cs="Arial"/>
                <w:sz w:val="24"/>
                <w:szCs w:val="24"/>
              </w:rPr>
            </w:pPr>
          </w:p>
          <w:p w:rsidR="00DC257F"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There is no proof that Ag</w:t>
            </w:r>
            <w:r w:rsidR="00DC257F">
              <w:rPr>
                <w:rFonts w:ascii="Arial" w:hAnsi="Arial" w:cs="Arial"/>
                <w:sz w:val="24"/>
                <w:szCs w:val="24"/>
              </w:rPr>
              <w:t>ra received any payment from Mr</w:t>
            </w:r>
            <w:r w:rsidRPr="00DC257F">
              <w:rPr>
                <w:rFonts w:ascii="Arial" w:hAnsi="Arial" w:cs="Arial"/>
                <w:sz w:val="24"/>
                <w:szCs w:val="24"/>
              </w:rPr>
              <w:t xml:space="preserve"> Labuschagne after 1 October 2010</w:t>
            </w:r>
            <w:r w:rsidR="00DC257F">
              <w:rPr>
                <w:rFonts w:ascii="Arial" w:hAnsi="Arial" w:cs="Arial"/>
                <w:sz w:val="24"/>
                <w:szCs w:val="24"/>
              </w:rPr>
              <w:t>,</w:t>
            </w:r>
            <w:r w:rsidRPr="00DC257F">
              <w:rPr>
                <w:rFonts w:ascii="Arial" w:hAnsi="Arial" w:cs="Arial"/>
                <w:sz w:val="24"/>
                <w:szCs w:val="24"/>
              </w:rPr>
              <w:t xml:space="preserve"> but the defendant received various payments until February 2011. Therefore</w:t>
            </w:r>
            <w:r w:rsidR="00CE5D9C">
              <w:rPr>
                <w:rFonts w:ascii="Arial" w:hAnsi="Arial" w:cs="Arial"/>
                <w:sz w:val="24"/>
                <w:szCs w:val="24"/>
              </w:rPr>
              <w:t>,</w:t>
            </w:r>
            <w:r w:rsidRPr="00DC257F">
              <w:rPr>
                <w:rFonts w:ascii="Arial" w:hAnsi="Arial" w:cs="Arial"/>
                <w:sz w:val="24"/>
                <w:szCs w:val="24"/>
              </w:rPr>
              <w:t xml:space="preserve"> the defendant was indeed preferred above Agra.</w:t>
            </w:r>
          </w:p>
          <w:p w:rsidR="00DC257F" w:rsidRPr="00DC257F" w:rsidRDefault="00DC257F" w:rsidP="00DC257F">
            <w:pPr>
              <w:pStyle w:val="ListParagraph"/>
              <w:rPr>
                <w:rFonts w:ascii="Arial" w:hAnsi="Arial" w:cs="Arial"/>
                <w:sz w:val="24"/>
                <w:szCs w:val="24"/>
              </w:rPr>
            </w:pPr>
          </w:p>
          <w:p w:rsidR="00DC257F"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The onus is on the plaintiff to establish on a balance of probabil</w:t>
            </w:r>
            <w:r w:rsidR="00DC257F">
              <w:rPr>
                <w:rFonts w:ascii="Arial" w:hAnsi="Arial" w:cs="Arial"/>
                <w:sz w:val="24"/>
                <w:szCs w:val="24"/>
              </w:rPr>
              <w:t>ities that the disposition was made by Mr</w:t>
            </w:r>
            <w:r w:rsidRPr="00DC257F">
              <w:rPr>
                <w:rFonts w:ascii="Arial" w:hAnsi="Arial" w:cs="Arial"/>
                <w:sz w:val="24"/>
                <w:szCs w:val="24"/>
              </w:rPr>
              <w:t xml:space="preserve"> Labuschagne with the intentio</w:t>
            </w:r>
            <w:r w:rsidR="00DC257F">
              <w:rPr>
                <w:rFonts w:ascii="Arial" w:hAnsi="Arial" w:cs="Arial"/>
                <w:sz w:val="24"/>
                <w:szCs w:val="24"/>
              </w:rPr>
              <w:t xml:space="preserve">n of preferring the defendant. </w:t>
            </w:r>
            <w:r w:rsidRPr="00DC257F">
              <w:rPr>
                <w:rFonts w:ascii="Arial" w:hAnsi="Arial" w:cs="Arial"/>
                <w:sz w:val="24"/>
                <w:szCs w:val="24"/>
              </w:rPr>
              <w:t>What is i</w:t>
            </w:r>
            <w:r w:rsidR="00DC257F">
              <w:rPr>
                <w:rFonts w:ascii="Arial" w:hAnsi="Arial" w:cs="Arial"/>
                <w:sz w:val="24"/>
                <w:szCs w:val="24"/>
              </w:rPr>
              <w:t>n dispute however</w:t>
            </w:r>
            <w:r w:rsidR="00850C77">
              <w:rPr>
                <w:rFonts w:ascii="Arial" w:hAnsi="Arial" w:cs="Arial"/>
                <w:sz w:val="24"/>
                <w:szCs w:val="24"/>
              </w:rPr>
              <w:t>,</w:t>
            </w:r>
            <w:r w:rsidR="00DC257F">
              <w:rPr>
                <w:rFonts w:ascii="Arial" w:hAnsi="Arial" w:cs="Arial"/>
                <w:sz w:val="24"/>
                <w:szCs w:val="24"/>
              </w:rPr>
              <w:t xml:space="preserve"> is whether Mr</w:t>
            </w:r>
            <w:r w:rsidRPr="00DC257F">
              <w:rPr>
                <w:rFonts w:ascii="Arial" w:hAnsi="Arial" w:cs="Arial"/>
                <w:sz w:val="24"/>
                <w:szCs w:val="24"/>
              </w:rPr>
              <w:t xml:space="preserve"> Labuschagne made these payments out of his own free will with the intention of preferring the def</w:t>
            </w:r>
            <w:r w:rsidR="00DC257F">
              <w:rPr>
                <w:rFonts w:ascii="Arial" w:hAnsi="Arial" w:cs="Arial"/>
                <w:sz w:val="24"/>
                <w:szCs w:val="24"/>
              </w:rPr>
              <w:t xml:space="preserve">endant above another creditor. </w:t>
            </w:r>
            <w:r w:rsidRPr="00DC257F">
              <w:rPr>
                <w:rFonts w:ascii="Arial" w:hAnsi="Arial" w:cs="Arial"/>
                <w:sz w:val="24"/>
                <w:szCs w:val="24"/>
              </w:rPr>
              <w:t>It is argued by the defendant that these payments were made under duress</w:t>
            </w:r>
            <w:r w:rsidR="00DC257F">
              <w:rPr>
                <w:rFonts w:ascii="Arial" w:hAnsi="Arial" w:cs="Arial"/>
                <w:sz w:val="24"/>
                <w:szCs w:val="24"/>
              </w:rPr>
              <w:t>, as the defendant made Mr</w:t>
            </w:r>
            <w:r w:rsidRPr="00DC257F">
              <w:rPr>
                <w:rFonts w:ascii="Arial" w:hAnsi="Arial" w:cs="Arial"/>
                <w:sz w:val="24"/>
                <w:szCs w:val="24"/>
              </w:rPr>
              <w:t xml:space="preserve"> Labuschagne sign an </w:t>
            </w:r>
            <w:r w:rsidRPr="00DC257F">
              <w:rPr>
                <w:rFonts w:ascii="Arial" w:hAnsi="Arial" w:cs="Arial"/>
                <w:sz w:val="24"/>
                <w:szCs w:val="24"/>
              </w:rPr>
              <w:lastRenderedPageBreak/>
              <w:t>acknowledgement of debt and he was therefore</w:t>
            </w:r>
            <w:r w:rsidR="00850C77">
              <w:rPr>
                <w:rFonts w:ascii="Arial" w:hAnsi="Arial" w:cs="Arial"/>
                <w:sz w:val="24"/>
                <w:szCs w:val="24"/>
              </w:rPr>
              <w:t>,</w:t>
            </w:r>
            <w:r w:rsidRPr="00DC257F">
              <w:rPr>
                <w:rFonts w:ascii="Arial" w:hAnsi="Arial" w:cs="Arial"/>
                <w:sz w:val="24"/>
                <w:szCs w:val="24"/>
              </w:rPr>
              <w:t xml:space="preserve"> forced to make these payments to ensure legal ac</w:t>
            </w:r>
            <w:r w:rsidR="00DC257F">
              <w:rPr>
                <w:rFonts w:ascii="Arial" w:hAnsi="Arial" w:cs="Arial"/>
                <w:sz w:val="24"/>
                <w:szCs w:val="24"/>
              </w:rPr>
              <w:t>tion is not taken against him.</w:t>
            </w:r>
          </w:p>
          <w:p w:rsidR="00DC257F" w:rsidRPr="00DC257F" w:rsidRDefault="00DC257F" w:rsidP="00DC257F">
            <w:pPr>
              <w:pStyle w:val="ListParagraph"/>
              <w:rPr>
                <w:rFonts w:ascii="Arial" w:hAnsi="Arial" w:cs="Arial"/>
                <w:sz w:val="24"/>
                <w:szCs w:val="24"/>
              </w:rPr>
            </w:pPr>
          </w:p>
          <w:p w:rsidR="00684164" w:rsidRDefault="00DC257F" w:rsidP="00DC257F">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It is also accepted that Mr</w:t>
            </w:r>
            <w:r w:rsidR="00684164" w:rsidRPr="00DC257F">
              <w:rPr>
                <w:rFonts w:ascii="Arial" w:hAnsi="Arial" w:cs="Arial"/>
                <w:sz w:val="24"/>
                <w:szCs w:val="24"/>
              </w:rPr>
              <w:t xml:space="preserve"> Labuschagne, the insolvent’s estate</w:t>
            </w:r>
            <w:r>
              <w:rPr>
                <w:rFonts w:ascii="Arial" w:hAnsi="Arial" w:cs="Arial"/>
                <w:sz w:val="24"/>
                <w:szCs w:val="24"/>
              </w:rPr>
              <w:t>,</w:t>
            </w:r>
            <w:r w:rsidR="00684164" w:rsidRPr="00DC257F">
              <w:rPr>
                <w:rFonts w:ascii="Arial" w:hAnsi="Arial" w:cs="Arial"/>
                <w:sz w:val="24"/>
                <w:szCs w:val="24"/>
              </w:rPr>
              <w:t xml:space="preserve"> was </w:t>
            </w:r>
            <w:r>
              <w:rPr>
                <w:rFonts w:ascii="Arial" w:hAnsi="Arial" w:cs="Arial"/>
                <w:sz w:val="24"/>
                <w:szCs w:val="24"/>
              </w:rPr>
              <w:t xml:space="preserve">sequestrated </w:t>
            </w:r>
            <w:r w:rsidR="00684164" w:rsidRPr="00DC257F">
              <w:rPr>
                <w:rFonts w:ascii="Arial" w:hAnsi="Arial" w:cs="Arial"/>
                <w:sz w:val="24"/>
                <w:szCs w:val="24"/>
              </w:rPr>
              <w:t>after the disposition</w:t>
            </w:r>
            <w:r>
              <w:rPr>
                <w:rFonts w:ascii="Arial" w:hAnsi="Arial" w:cs="Arial"/>
                <w:sz w:val="24"/>
                <w:szCs w:val="24"/>
              </w:rPr>
              <w:t>.</w:t>
            </w:r>
          </w:p>
          <w:p w:rsidR="00DC257F" w:rsidRPr="00DC257F" w:rsidRDefault="00DC257F" w:rsidP="00DC257F">
            <w:pPr>
              <w:pStyle w:val="ListParagraph"/>
              <w:spacing w:after="0" w:line="360" w:lineRule="auto"/>
              <w:ind w:left="0"/>
              <w:jc w:val="both"/>
              <w:rPr>
                <w:rFonts w:ascii="Arial" w:hAnsi="Arial" w:cs="Arial"/>
                <w:sz w:val="24"/>
                <w:szCs w:val="24"/>
              </w:rPr>
            </w:pPr>
          </w:p>
          <w:p w:rsidR="00684164" w:rsidRDefault="00684164" w:rsidP="00CB2678">
            <w:pPr>
              <w:spacing w:line="360" w:lineRule="auto"/>
              <w:jc w:val="both"/>
              <w:rPr>
                <w:rFonts w:ascii="Arial" w:hAnsi="Arial" w:cs="Arial"/>
                <w:sz w:val="24"/>
                <w:szCs w:val="24"/>
                <w:u w:val="single"/>
              </w:rPr>
            </w:pPr>
            <w:r w:rsidRPr="00684164">
              <w:rPr>
                <w:rFonts w:ascii="Arial" w:hAnsi="Arial" w:cs="Arial"/>
                <w:sz w:val="24"/>
                <w:szCs w:val="24"/>
                <w:u w:val="single"/>
              </w:rPr>
              <w:t>Arguments</w:t>
            </w:r>
          </w:p>
          <w:p w:rsidR="00CB2678" w:rsidRPr="00684164" w:rsidRDefault="00CB2678" w:rsidP="00CB2678">
            <w:pPr>
              <w:spacing w:line="360" w:lineRule="auto"/>
              <w:jc w:val="both"/>
              <w:rPr>
                <w:rFonts w:ascii="Arial" w:hAnsi="Arial" w:cs="Arial"/>
                <w:sz w:val="24"/>
                <w:szCs w:val="24"/>
                <w:u w:val="single"/>
              </w:rPr>
            </w:pPr>
          </w:p>
          <w:p w:rsidR="00DC257F" w:rsidRDefault="00684164" w:rsidP="00CB2678">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 xml:space="preserve">On behalf of the defendant it is argued that the cheques were </w:t>
            </w:r>
            <w:r w:rsidR="00DC257F" w:rsidRPr="00DC257F">
              <w:rPr>
                <w:rFonts w:ascii="Arial" w:hAnsi="Arial" w:cs="Arial"/>
                <w:sz w:val="24"/>
                <w:szCs w:val="24"/>
              </w:rPr>
              <w:t>post-dated</w:t>
            </w:r>
            <w:r w:rsidRPr="00DC257F">
              <w:rPr>
                <w:rFonts w:ascii="Arial" w:hAnsi="Arial" w:cs="Arial"/>
                <w:sz w:val="24"/>
                <w:szCs w:val="24"/>
              </w:rPr>
              <w:t xml:space="preserve"> cheques</w:t>
            </w:r>
            <w:r w:rsidR="00DC257F">
              <w:rPr>
                <w:rFonts w:ascii="Arial" w:hAnsi="Arial" w:cs="Arial"/>
                <w:sz w:val="24"/>
                <w:szCs w:val="24"/>
              </w:rPr>
              <w:t>,</w:t>
            </w:r>
            <w:r w:rsidRPr="00DC257F">
              <w:rPr>
                <w:rFonts w:ascii="Arial" w:hAnsi="Arial" w:cs="Arial"/>
                <w:sz w:val="24"/>
                <w:szCs w:val="24"/>
              </w:rPr>
              <w:t xml:space="preserve"> handed to the defendant already i</w:t>
            </w:r>
            <w:r w:rsidR="00DC257F">
              <w:rPr>
                <w:rFonts w:ascii="Arial" w:hAnsi="Arial" w:cs="Arial"/>
                <w:sz w:val="24"/>
                <w:szCs w:val="24"/>
              </w:rPr>
              <w:t>n September 2010 and as such Mr</w:t>
            </w:r>
            <w:r w:rsidRPr="00DC257F">
              <w:rPr>
                <w:rFonts w:ascii="Arial" w:hAnsi="Arial" w:cs="Arial"/>
                <w:sz w:val="24"/>
                <w:szCs w:val="24"/>
              </w:rPr>
              <w:t xml:space="preserve"> Labuschagne had no control over these cheques any more</w:t>
            </w:r>
            <w:r w:rsidR="00DC257F">
              <w:rPr>
                <w:rFonts w:ascii="Arial" w:hAnsi="Arial" w:cs="Arial"/>
                <w:sz w:val="24"/>
                <w:szCs w:val="24"/>
              </w:rPr>
              <w:t>,</w:t>
            </w:r>
            <w:r w:rsidRPr="00DC257F">
              <w:rPr>
                <w:rFonts w:ascii="Arial" w:hAnsi="Arial" w:cs="Arial"/>
                <w:sz w:val="24"/>
                <w:szCs w:val="24"/>
              </w:rPr>
              <w:t xml:space="preserve"> as they were now in the defendant’s possession.</w:t>
            </w:r>
            <w:r w:rsidR="00DC257F">
              <w:rPr>
                <w:rFonts w:ascii="Arial" w:hAnsi="Arial" w:cs="Arial"/>
                <w:sz w:val="24"/>
                <w:szCs w:val="24"/>
              </w:rPr>
              <w:t xml:space="preserve">  He therefore were not ‘acting’</w:t>
            </w:r>
            <w:r w:rsidRPr="00DC257F">
              <w:rPr>
                <w:rFonts w:ascii="Arial" w:hAnsi="Arial" w:cs="Arial"/>
                <w:sz w:val="24"/>
                <w:szCs w:val="24"/>
              </w:rPr>
              <w:t xml:space="preserve"> when the cheques were eventually paid.  </w:t>
            </w:r>
          </w:p>
          <w:p w:rsidR="00DC257F" w:rsidRDefault="00DC257F" w:rsidP="00DC257F">
            <w:pPr>
              <w:pStyle w:val="ListParagraph"/>
              <w:spacing w:after="0" w:line="360" w:lineRule="auto"/>
              <w:ind w:left="0"/>
              <w:jc w:val="both"/>
              <w:rPr>
                <w:rFonts w:ascii="Arial" w:hAnsi="Arial" w:cs="Arial"/>
                <w:sz w:val="24"/>
                <w:szCs w:val="24"/>
              </w:rPr>
            </w:pPr>
          </w:p>
          <w:p w:rsidR="00DC257F"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It was further argued that the N$431 268.90 made from the profit sharing in the sale of cattle</w:t>
            </w:r>
            <w:r w:rsidR="003E5877">
              <w:rPr>
                <w:rFonts w:ascii="Arial" w:hAnsi="Arial" w:cs="Arial"/>
                <w:sz w:val="24"/>
                <w:szCs w:val="24"/>
              </w:rPr>
              <w:t>,</w:t>
            </w:r>
            <w:r w:rsidRPr="00DC257F">
              <w:rPr>
                <w:rFonts w:ascii="Arial" w:hAnsi="Arial" w:cs="Arial"/>
                <w:sz w:val="24"/>
                <w:szCs w:val="24"/>
              </w:rPr>
              <w:t xml:space="preserve"> that the defend</w:t>
            </w:r>
            <w:r w:rsidR="00DC257F">
              <w:rPr>
                <w:rFonts w:ascii="Arial" w:hAnsi="Arial" w:cs="Arial"/>
                <w:sz w:val="24"/>
                <w:szCs w:val="24"/>
              </w:rPr>
              <w:t>ant removed</w:t>
            </w:r>
            <w:r w:rsidR="00DC257F" w:rsidRPr="003E5877">
              <w:rPr>
                <w:rFonts w:ascii="Arial" w:hAnsi="Arial" w:cs="Arial"/>
                <w:color w:val="FF0000"/>
                <w:sz w:val="24"/>
                <w:szCs w:val="24"/>
              </w:rPr>
              <w:t xml:space="preserve"> </w:t>
            </w:r>
            <w:r w:rsidR="00DC257F">
              <w:rPr>
                <w:rFonts w:ascii="Arial" w:hAnsi="Arial" w:cs="Arial"/>
                <w:sz w:val="24"/>
                <w:szCs w:val="24"/>
              </w:rPr>
              <w:t>from the farm of Mr</w:t>
            </w:r>
            <w:r w:rsidRPr="00DC257F">
              <w:rPr>
                <w:rFonts w:ascii="Arial" w:hAnsi="Arial" w:cs="Arial"/>
                <w:sz w:val="24"/>
                <w:szCs w:val="24"/>
              </w:rPr>
              <w:t xml:space="preserve"> Labuschagne and which was subsequently sold</w:t>
            </w:r>
            <w:r w:rsidR="003E5877">
              <w:rPr>
                <w:rFonts w:ascii="Arial" w:hAnsi="Arial" w:cs="Arial"/>
                <w:sz w:val="24"/>
                <w:szCs w:val="24"/>
              </w:rPr>
              <w:t>. T</w:t>
            </w:r>
            <w:r w:rsidRPr="00DC257F">
              <w:rPr>
                <w:rFonts w:ascii="Arial" w:hAnsi="Arial" w:cs="Arial"/>
                <w:sz w:val="24"/>
                <w:szCs w:val="24"/>
              </w:rPr>
              <w:t xml:space="preserve">he </w:t>
            </w:r>
            <w:r w:rsidR="003E5877">
              <w:rPr>
                <w:rFonts w:ascii="Arial" w:hAnsi="Arial" w:cs="Arial"/>
                <w:sz w:val="24"/>
                <w:szCs w:val="24"/>
              </w:rPr>
              <w:t xml:space="preserve">money withheld by the defendant </w:t>
            </w:r>
            <w:r w:rsidRPr="00DC257F">
              <w:rPr>
                <w:rFonts w:ascii="Arial" w:hAnsi="Arial" w:cs="Arial"/>
                <w:sz w:val="24"/>
                <w:szCs w:val="24"/>
              </w:rPr>
              <w:t>can</w:t>
            </w:r>
            <w:r w:rsidR="003E5877">
              <w:rPr>
                <w:rFonts w:ascii="Arial" w:hAnsi="Arial" w:cs="Arial"/>
                <w:sz w:val="24"/>
                <w:szCs w:val="24"/>
              </w:rPr>
              <w:t xml:space="preserve"> also</w:t>
            </w:r>
            <w:r w:rsidRPr="00DC257F">
              <w:rPr>
                <w:rFonts w:ascii="Arial" w:hAnsi="Arial" w:cs="Arial"/>
                <w:sz w:val="24"/>
                <w:szCs w:val="24"/>
              </w:rPr>
              <w:t xml:space="preserve"> not be s</w:t>
            </w:r>
            <w:r w:rsidR="00DC257F">
              <w:rPr>
                <w:rFonts w:ascii="Arial" w:hAnsi="Arial" w:cs="Arial"/>
                <w:sz w:val="24"/>
                <w:szCs w:val="24"/>
              </w:rPr>
              <w:t>een as a disposition made by Mr</w:t>
            </w:r>
            <w:r w:rsidRPr="00DC257F">
              <w:rPr>
                <w:rFonts w:ascii="Arial" w:hAnsi="Arial" w:cs="Arial"/>
                <w:sz w:val="24"/>
                <w:szCs w:val="24"/>
              </w:rPr>
              <w:t xml:space="preserve"> Labuschagne</w:t>
            </w:r>
            <w:r w:rsidR="003E5877">
              <w:rPr>
                <w:rFonts w:ascii="Arial" w:hAnsi="Arial" w:cs="Arial"/>
                <w:sz w:val="24"/>
                <w:szCs w:val="24"/>
              </w:rPr>
              <w:t>,</w:t>
            </w:r>
            <w:r w:rsidRPr="00DC257F">
              <w:rPr>
                <w:rFonts w:ascii="Arial" w:hAnsi="Arial" w:cs="Arial"/>
                <w:sz w:val="24"/>
                <w:szCs w:val="24"/>
              </w:rPr>
              <w:t xml:space="preserve"> because he never handed over the amount to the defendant.  </w:t>
            </w:r>
          </w:p>
          <w:p w:rsidR="00DC257F" w:rsidRPr="00DC257F" w:rsidRDefault="00DC257F" w:rsidP="00DC257F">
            <w:pPr>
              <w:pStyle w:val="ListParagraph"/>
              <w:rPr>
                <w:rFonts w:ascii="Arial" w:hAnsi="Arial" w:cs="Arial"/>
                <w:sz w:val="24"/>
                <w:szCs w:val="24"/>
              </w:rPr>
            </w:pPr>
          </w:p>
          <w:p w:rsidR="00DC257F" w:rsidRDefault="00684164" w:rsidP="00DC257F">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It is further argued that the cheque payments, even the few blank ones, were all made during ordinary business transactions and as such</w:t>
            </w:r>
            <w:r w:rsidR="003E5877">
              <w:rPr>
                <w:rFonts w:ascii="Arial" w:hAnsi="Arial" w:cs="Arial"/>
                <w:sz w:val="24"/>
                <w:szCs w:val="24"/>
              </w:rPr>
              <w:t>,</w:t>
            </w:r>
            <w:r w:rsidRPr="00DC257F">
              <w:rPr>
                <w:rFonts w:ascii="Arial" w:hAnsi="Arial" w:cs="Arial"/>
                <w:sz w:val="24"/>
                <w:szCs w:val="24"/>
              </w:rPr>
              <w:t xml:space="preserve"> there was no intention to prefer the defendant above other creditors.  </w:t>
            </w:r>
          </w:p>
          <w:p w:rsidR="00DC257F" w:rsidRPr="00DC257F" w:rsidRDefault="00DC257F" w:rsidP="00DC257F">
            <w:pPr>
              <w:pStyle w:val="ListParagraph"/>
              <w:rPr>
                <w:rFonts w:ascii="Arial" w:hAnsi="Arial" w:cs="Arial"/>
                <w:sz w:val="24"/>
                <w:szCs w:val="24"/>
              </w:rPr>
            </w:pPr>
          </w:p>
          <w:p w:rsidR="003A1AF4" w:rsidRDefault="00684164" w:rsidP="003A1AF4">
            <w:pPr>
              <w:pStyle w:val="ListParagraph"/>
              <w:numPr>
                <w:ilvl w:val="0"/>
                <w:numId w:val="5"/>
              </w:numPr>
              <w:spacing w:after="0" w:line="360" w:lineRule="auto"/>
              <w:ind w:left="0" w:firstLine="0"/>
              <w:jc w:val="both"/>
              <w:rPr>
                <w:rFonts w:ascii="Arial" w:hAnsi="Arial" w:cs="Arial"/>
                <w:sz w:val="24"/>
                <w:szCs w:val="24"/>
              </w:rPr>
            </w:pPr>
            <w:r w:rsidRPr="00DC257F">
              <w:rPr>
                <w:rFonts w:ascii="Arial" w:hAnsi="Arial" w:cs="Arial"/>
                <w:sz w:val="24"/>
                <w:szCs w:val="24"/>
              </w:rPr>
              <w:t>The plaintiff a</w:t>
            </w:r>
            <w:r w:rsidR="00DC257F">
              <w:rPr>
                <w:rFonts w:ascii="Arial" w:hAnsi="Arial" w:cs="Arial"/>
                <w:sz w:val="24"/>
                <w:szCs w:val="24"/>
              </w:rPr>
              <w:t>rgued that it was clear that Mr</w:t>
            </w:r>
            <w:r w:rsidRPr="00DC257F">
              <w:rPr>
                <w:rFonts w:ascii="Arial" w:hAnsi="Arial" w:cs="Arial"/>
                <w:sz w:val="24"/>
                <w:szCs w:val="24"/>
              </w:rPr>
              <w:t xml:space="preserve"> Labuschagne preferred the defendant over Agra and this can be inferred from a number of things.  He gave a full disclosure of his financial situation to the defendant which was </w:t>
            </w:r>
            <w:r w:rsidR="00DC257F">
              <w:rPr>
                <w:rFonts w:ascii="Arial" w:hAnsi="Arial" w:cs="Arial"/>
                <w:sz w:val="24"/>
                <w:szCs w:val="24"/>
              </w:rPr>
              <w:t>not given to Agra.  He signed sixteen</w:t>
            </w:r>
            <w:r w:rsidRPr="00DC257F">
              <w:rPr>
                <w:rFonts w:ascii="Arial" w:hAnsi="Arial" w:cs="Arial"/>
                <w:sz w:val="24"/>
                <w:szCs w:val="24"/>
              </w:rPr>
              <w:t xml:space="preserve"> </w:t>
            </w:r>
            <w:r w:rsidR="00DC257F" w:rsidRPr="00DC257F">
              <w:rPr>
                <w:rFonts w:ascii="Arial" w:hAnsi="Arial" w:cs="Arial"/>
                <w:sz w:val="24"/>
                <w:szCs w:val="24"/>
              </w:rPr>
              <w:t>post-dated</w:t>
            </w:r>
            <w:r w:rsidRPr="00DC257F">
              <w:rPr>
                <w:rFonts w:ascii="Arial" w:hAnsi="Arial" w:cs="Arial"/>
                <w:sz w:val="24"/>
                <w:szCs w:val="24"/>
              </w:rPr>
              <w:t xml:space="preserve"> and blank cheques in October 2010 which was handed to the defendant but none was handed to Agra.  He signed at an early stage in October 2010 an acknowledgement of debt in favour of the defendant with the belief that it would safeguard him against possible legal steps to be taken by Agra. He further informed the defendant of a VAT refund and facilitated payment of</w:t>
            </w:r>
            <w:r w:rsidR="003A1AF4">
              <w:rPr>
                <w:rFonts w:ascii="Arial" w:hAnsi="Arial" w:cs="Arial"/>
                <w:sz w:val="24"/>
                <w:szCs w:val="24"/>
              </w:rPr>
              <w:t xml:space="preserve"> such refund to the defendant. </w:t>
            </w:r>
            <w:r w:rsidRPr="00DC257F">
              <w:rPr>
                <w:rFonts w:ascii="Arial" w:hAnsi="Arial" w:cs="Arial"/>
                <w:sz w:val="24"/>
                <w:szCs w:val="24"/>
              </w:rPr>
              <w:t>He further allowed the defendant to remove cattle from the farm Honigsberg</w:t>
            </w:r>
            <w:r w:rsidR="003A1AF4">
              <w:rPr>
                <w:rFonts w:ascii="Arial" w:hAnsi="Arial" w:cs="Arial"/>
                <w:sz w:val="24"/>
                <w:szCs w:val="24"/>
              </w:rPr>
              <w:t>,</w:t>
            </w:r>
            <w:r w:rsidRPr="00DC257F">
              <w:rPr>
                <w:rFonts w:ascii="Arial" w:hAnsi="Arial" w:cs="Arial"/>
                <w:sz w:val="24"/>
                <w:szCs w:val="24"/>
              </w:rPr>
              <w:t xml:space="preserve"> which profits were used to further pay down the debt he had with the defendant.  </w:t>
            </w:r>
          </w:p>
          <w:p w:rsidR="003A1AF4" w:rsidRPr="003A1AF4" w:rsidRDefault="003A1AF4" w:rsidP="003A1AF4">
            <w:pPr>
              <w:pStyle w:val="ListParagraph"/>
              <w:rPr>
                <w:rFonts w:ascii="Arial" w:hAnsi="Arial" w:cs="Arial"/>
                <w:sz w:val="24"/>
                <w:szCs w:val="24"/>
              </w:rPr>
            </w:pPr>
          </w:p>
          <w:p w:rsidR="00684164" w:rsidRDefault="00684164" w:rsidP="00CB2678">
            <w:pPr>
              <w:pStyle w:val="ListParagraph"/>
              <w:numPr>
                <w:ilvl w:val="0"/>
                <w:numId w:val="5"/>
              </w:numPr>
              <w:spacing w:after="0" w:line="360" w:lineRule="auto"/>
              <w:ind w:left="0" w:firstLine="0"/>
              <w:jc w:val="both"/>
              <w:rPr>
                <w:rFonts w:ascii="Arial" w:hAnsi="Arial" w:cs="Arial"/>
                <w:sz w:val="24"/>
                <w:szCs w:val="24"/>
              </w:rPr>
            </w:pPr>
            <w:r w:rsidRPr="003A1AF4">
              <w:rPr>
                <w:rFonts w:ascii="Arial" w:hAnsi="Arial" w:cs="Arial"/>
                <w:sz w:val="24"/>
                <w:szCs w:val="24"/>
              </w:rPr>
              <w:lastRenderedPageBreak/>
              <w:t>Th</w:t>
            </w:r>
            <w:r w:rsidR="003A1AF4">
              <w:rPr>
                <w:rFonts w:ascii="Arial" w:hAnsi="Arial" w:cs="Arial"/>
                <w:sz w:val="24"/>
                <w:szCs w:val="24"/>
              </w:rPr>
              <w:t>e plaintiff pointed out that Mr</w:t>
            </w:r>
            <w:r w:rsidRPr="003A1AF4">
              <w:rPr>
                <w:rFonts w:ascii="Arial" w:hAnsi="Arial" w:cs="Arial"/>
                <w:sz w:val="24"/>
                <w:szCs w:val="24"/>
              </w:rPr>
              <w:t xml:space="preserve"> Labuschagne in several respects clearly expressed the intention of preferring the defendant over Agra at a time when both he and the defendant knew that he was factually insolvent in that his liabilities by far exceeded his assets.</w:t>
            </w:r>
          </w:p>
          <w:p w:rsidR="00CB2678" w:rsidRPr="003A1AF4" w:rsidRDefault="00CB2678" w:rsidP="00CB2678">
            <w:pPr>
              <w:pStyle w:val="ListParagraph"/>
              <w:spacing w:after="0" w:line="360" w:lineRule="auto"/>
              <w:ind w:left="0"/>
              <w:jc w:val="both"/>
              <w:rPr>
                <w:rFonts w:ascii="Arial" w:hAnsi="Arial" w:cs="Arial"/>
                <w:sz w:val="24"/>
                <w:szCs w:val="24"/>
              </w:rPr>
            </w:pPr>
          </w:p>
          <w:p w:rsidR="00684164" w:rsidRDefault="00684164" w:rsidP="00CB2678">
            <w:pPr>
              <w:spacing w:line="360" w:lineRule="auto"/>
              <w:jc w:val="both"/>
              <w:rPr>
                <w:rFonts w:ascii="Arial" w:hAnsi="Arial" w:cs="Arial"/>
                <w:sz w:val="24"/>
                <w:szCs w:val="24"/>
                <w:u w:val="single"/>
              </w:rPr>
            </w:pPr>
            <w:r w:rsidRPr="00684164">
              <w:rPr>
                <w:rFonts w:ascii="Arial" w:hAnsi="Arial" w:cs="Arial"/>
                <w:sz w:val="24"/>
                <w:szCs w:val="24"/>
                <w:u w:val="single"/>
              </w:rPr>
              <w:t>Legal considerations</w:t>
            </w:r>
          </w:p>
          <w:p w:rsidR="00CB2678" w:rsidRPr="00684164" w:rsidRDefault="00CB2678" w:rsidP="00CB2678">
            <w:pPr>
              <w:spacing w:line="360" w:lineRule="auto"/>
              <w:jc w:val="both"/>
              <w:rPr>
                <w:rFonts w:ascii="Arial" w:hAnsi="Arial" w:cs="Arial"/>
                <w:sz w:val="24"/>
                <w:szCs w:val="24"/>
                <w:u w:val="single"/>
              </w:rPr>
            </w:pPr>
          </w:p>
          <w:p w:rsidR="003A1AF4" w:rsidRPr="003A1AF4" w:rsidRDefault="00684164" w:rsidP="00CB2678">
            <w:pPr>
              <w:pStyle w:val="ListParagraph"/>
              <w:numPr>
                <w:ilvl w:val="0"/>
                <w:numId w:val="5"/>
              </w:numPr>
              <w:spacing w:after="0" w:line="360" w:lineRule="auto"/>
              <w:ind w:left="0" w:firstLine="0"/>
              <w:jc w:val="both"/>
              <w:rPr>
                <w:rFonts w:ascii="Arial" w:hAnsi="Arial" w:cs="Arial"/>
                <w:sz w:val="24"/>
                <w:szCs w:val="24"/>
                <w:u w:val="single"/>
              </w:rPr>
            </w:pPr>
            <w:r w:rsidRPr="003A1AF4">
              <w:rPr>
                <w:rFonts w:ascii="Arial" w:hAnsi="Arial" w:cs="Arial"/>
                <w:sz w:val="24"/>
                <w:szCs w:val="24"/>
              </w:rPr>
              <w:t xml:space="preserve">The test to be applied by the court at this stage of the trial is: is there evidence </w:t>
            </w:r>
            <w:r w:rsidR="003A1AF4" w:rsidRPr="003A1AF4">
              <w:rPr>
                <w:rFonts w:ascii="Arial" w:hAnsi="Arial" w:cs="Arial"/>
                <w:sz w:val="24"/>
                <w:szCs w:val="24"/>
              </w:rPr>
              <w:t>upon which a c</w:t>
            </w:r>
            <w:r w:rsidRPr="003A1AF4">
              <w:rPr>
                <w:rFonts w:ascii="Arial" w:hAnsi="Arial" w:cs="Arial"/>
                <w:sz w:val="24"/>
                <w:szCs w:val="24"/>
              </w:rPr>
              <w:t>ourt, applying its mind reasonably to such evidence, could or might (not should or ought to) find for the plaintiff?</w:t>
            </w:r>
            <w:r w:rsidRPr="00684164">
              <w:rPr>
                <w:vertAlign w:val="superscript"/>
              </w:rPr>
              <w:footnoteReference w:id="2"/>
            </w:r>
            <w:r w:rsidRPr="003A1AF4">
              <w:rPr>
                <w:rFonts w:ascii="Arial" w:hAnsi="Arial" w:cs="Arial"/>
                <w:sz w:val="24"/>
                <w:szCs w:val="24"/>
              </w:rPr>
              <w:t xml:space="preserve"> Another approach</w:t>
            </w:r>
            <w:r w:rsidR="003E5877">
              <w:rPr>
                <w:rFonts w:ascii="Arial" w:hAnsi="Arial" w:cs="Arial"/>
                <w:sz w:val="24"/>
                <w:szCs w:val="24"/>
              </w:rPr>
              <w:t>,</w:t>
            </w:r>
            <w:r w:rsidRPr="003A1AF4">
              <w:rPr>
                <w:rFonts w:ascii="Arial" w:hAnsi="Arial" w:cs="Arial"/>
                <w:sz w:val="24"/>
                <w:szCs w:val="24"/>
              </w:rPr>
              <w:t xml:space="preserve"> is to enquire whether the plaintiff has made out a prima facie case.</w:t>
            </w:r>
          </w:p>
          <w:p w:rsidR="003A1AF4" w:rsidRPr="003A1AF4" w:rsidRDefault="003A1AF4" w:rsidP="003A1AF4">
            <w:pPr>
              <w:pStyle w:val="ListParagraph"/>
              <w:spacing w:after="0" w:line="360" w:lineRule="auto"/>
              <w:ind w:left="0"/>
              <w:jc w:val="both"/>
              <w:rPr>
                <w:rFonts w:ascii="Arial" w:hAnsi="Arial" w:cs="Arial"/>
                <w:sz w:val="24"/>
                <w:szCs w:val="24"/>
                <w:u w:val="single"/>
              </w:rPr>
            </w:pPr>
          </w:p>
          <w:p w:rsidR="00684164" w:rsidRPr="003A1AF4" w:rsidRDefault="00684164" w:rsidP="003A1AF4">
            <w:pPr>
              <w:pStyle w:val="ListParagraph"/>
              <w:numPr>
                <w:ilvl w:val="0"/>
                <w:numId w:val="5"/>
              </w:numPr>
              <w:spacing w:after="0" w:line="360" w:lineRule="auto"/>
              <w:ind w:left="0" w:firstLine="0"/>
              <w:jc w:val="both"/>
              <w:rPr>
                <w:rFonts w:ascii="Arial" w:hAnsi="Arial" w:cs="Arial"/>
                <w:sz w:val="24"/>
                <w:szCs w:val="24"/>
                <w:u w:val="single"/>
              </w:rPr>
            </w:pPr>
            <w:r w:rsidRPr="003A1AF4">
              <w:rPr>
                <w:rFonts w:ascii="Arial" w:hAnsi="Arial" w:cs="Arial"/>
                <w:sz w:val="24"/>
                <w:szCs w:val="24"/>
              </w:rPr>
              <w:t xml:space="preserve">In the case of </w:t>
            </w:r>
            <w:r w:rsidRPr="003A1AF4">
              <w:rPr>
                <w:rFonts w:ascii="Arial" w:hAnsi="Arial" w:cs="Arial"/>
                <w:i/>
                <w:sz w:val="24"/>
                <w:szCs w:val="24"/>
              </w:rPr>
              <w:t>Bidoli v Ellistron T/A Ellistron Truck &amp; Plant</w:t>
            </w:r>
            <w:r w:rsidRPr="00684164">
              <w:rPr>
                <w:vertAlign w:val="superscript"/>
              </w:rPr>
              <w:footnoteReference w:id="3"/>
            </w:r>
            <w:r w:rsidRPr="003A1AF4">
              <w:rPr>
                <w:rFonts w:ascii="Arial" w:hAnsi="Arial" w:cs="Arial"/>
                <w:sz w:val="24"/>
                <w:szCs w:val="24"/>
              </w:rPr>
              <w:t xml:space="preserve"> the High Court of Namibia stated and approved the following test for absolution from the instance, at 453D-F:</w:t>
            </w:r>
          </w:p>
          <w:p w:rsidR="003A1AF4" w:rsidRPr="003A1AF4" w:rsidRDefault="003A1AF4" w:rsidP="003A1AF4">
            <w:pPr>
              <w:pStyle w:val="ListParagraph"/>
              <w:spacing w:after="0" w:line="360" w:lineRule="auto"/>
              <w:ind w:left="0"/>
              <w:jc w:val="both"/>
              <w:rPr>
                <w:rFonts w:ascii="Arial" w:hAnsi="Arial" w:cs="Arial"/>
                <w:sz w:val="24"/>
                <w:szCs w:val="24"/>
                <w:u w:val="single"/>
              </w:rPr>
            </w:pPr>
          </w:p>
          <w:p w:rsidR="00684164" w:rsidRPr="00684164" w:rsidRDefault="003A1AF4" w:rsidP="00684164">
            <w:pPr>
              <w:spacing w:after="200" w:line="360" w:lineRule="auto"/>
              <w:jc w:val="both"/>
              <w:rPr>
                <w:rFonts w:ascii="Arial" w:hAnsi="Arial" w:cs="Arial"/>
              </w:rPr>
            </w:pPr>
            <w:r>
              <w:rPr>
                <w:rFonts w:ascii="Arial" w:hAnsi="Arial" w:cs="Arial"/>
                <w:sz w:val="24"/>
                <w:szCs w:val="24"/>
              </w:rPr>
              <w:t xml:space="preserve">       </w:t>
            </w:r>
            <w:r w:rsidR="00684164" w:rsidRPr="00684164">
              <w:rPr>
                <w:rFonts w:ascii="Arial" w:hAnsi="Arial" w:cs="Arial"/>
              </w:rPr>
              <w:t xml:space="preserve">‘In Claude Neon Lights (SA) Ltd v Daniel 1976 (4) SA 403 (A) the Court of Appeal held that when absolution from the instance is sought at the end of the plaintiff's case, the test to be applied is not whether the evidence led by the plaintiff established what would finally be required to be established, but whether there is evidence upon which a Court, applying its mind reasonably to such evidence, could or might (not should or ought to) find for the plaintiff. The phrase 'applying its mind reasonably' requires the Court not to consider the evidence </w:t>
            </w:r>
            <w:r w:rsidR="00684164" w:rsidRPr="00684164">
              <w:rPr>
                <w:rFonts w:ascii="Arial" w:hAnsi="Arial" w:cs="Arial"/>
                <w:i/>
              </w:rPr>
              <w:t>in vacuo</w:t>
            </w:r>
            <w:r w:rsidR="00684164" w:rsidRPr="00684164">
              <w:rPr>
                <w:rFonts w:ascii="Arial" w:hAnsi="Arial" w:cs="Arial"/>
              </w:rPr>
              <w:t xml:space="preserve"> but to consider the admissible evidence in relation to the pleadings and in relation to the requirements of the law applicable to the particular case.’</w:t>
            </w:r>
          </w:p>
          <w:p w:rsidR="00684164" w:rsidRDefault="00684164" w:rsidP="00BF781E">
            <w:pPr>
              <w:pStyle w:val="ListParagraph"/>
              <w:numPr>
                <w:ilvl w:val="0"/>
                <w:numId w:val="5"/>
              </w:numPr>
              <w:spacing w:after="0" w:line="360" w:lineRule="auto"/>
              <w:ind w:left="0" w:firstLine="0"/>
              <w:jc w:val="both"/>
              <w:rPr>
                <w:rFonts w:ascii="Arial" w:hAnsi="Arial" w:cs="Arial"/>
                <w:sz w:val="24"/>
                <w:szCs w:val="24"/>
              </w:rPr>
            </w:pPr>
            <w:r w:rsidRPr="003A1AF4">
              <w:rPr>
                <w:rFonts w:ascii="Arial" w:hAnsi="Arial" w:cs="Arial"/>
                <w:sz w:val="24"/>
                <w:szCs w:val="24"/>
              </w:rPr>
              <w:t xml:space="preserve">In </w:t>
            </w:r>
            <w:r w:rsidRPr="003A1AF4">
              <w:rPr>
                <w:rFonts w:ascii="Arial" w:hAnsi="Arial" w:cs="Arial"/>
                <w:i/>
                <w:sz w:val="24"/>
                <w:szCs w:val="24"/>
              </w:rPr>
              <w:t>Ramirez v Frans and Others</w:t>
            </w:r>
            <w:r w:rsidRPr="003A1AF4">
              <w:rPr>
                <w:rFonts w:ascii="Arial" w:hAnsi="Arial" w:cs="Arial"/>
                <w:sz w:val="24"/>
                <w:szCs w:val="24"/>
              </w:rPr>
              <w:t>,</w:t>
            </w:r>
            <w:r w:rsidRPr="00684164">
              <w:rPr>
                <w:vertAlign w:val="superscript"/>
              </w:rPr>
              <w:footnoteReference w:id="4"/>
            </w:r>
            <w:r w:rsidR="003A1AF4">
              <w:rPr>
                <w:rFonts w:ascii="Arial" w:hAnsi="Arial" w:cs="Arial"/>
                <w:sz w:val="24"/>
                <w:szCs w:val="24"/>
              </w:rPr>
              <w:t xml:space="preserve"> </w:t>
            </w:r>
            <w:r w:rsidRPr="003A1AF4">
              <w:rPr>
                <w:rFonts w:ascii="Arial" w:hAnsi="Arial" w:cs="Arial"/>
                <w:sz w:val="24"/>
                <w:szCs w:val="24"/>
              </w:rPr>
              <w:t xml:space="preserve">this court dealt with the application and the principles applicable. Concerning case law, the following principles were extracted:  </w:t>
            </w:r>
          </w:p>
          <w:p w:rsidR="00BF781E" w:rsidRPr="00BF781E" w:rsidRDefault="00BF781E" w:rsidP="00BF781E">
            <w:pPr>
              <w:pStyle w:val="ListParagraph"/>
              <w:spacing w:after="0" w:line="360" w:lineRule="auto"/>
              <w:ind w:left="0"/>
              <w:jc w:val="both"/>
              <w:rPr>
                <w:rFonts w:ascii="Arial" w:hAnsi="Arial" w:cs="Arial"/>
                <w:sz w:val="24"/>
                <w:szCs w:val="24"/>
              </w:rPr>
            </w:pPr>
          </w:p>
          <w:p w:rsidR="00684164" w:rsidRPr="00684164" w:rsidRDefault="00684164" w:rsidP="00684164">
            <w:pPr>
              <w:spacing w:after="200" w:line="360" w:lineRule="auto"/>
              <w:jc w:val="both"/>
              <w:rPr>
                <w:rFonts w:ascii="Arial" w:hAnsi="Arial" w:cs="Arial"/>
              </w:rPr>
            </w:pPr>
            <w:r w:rsidRPr="00684164">
              <w:rPr>
                <w:rFonts w:ascii="Arial" w:hAnsi="Arial" w:cs="Arial"/>
              </w:rPr>
              <w:lastRenderedPageBreak/>
              <w:tab/>
              <w:t xml:space="preserve">‘(a)   (T)his application is akin to an application for a discharge at the end of the case for the prosecution in criminal trials i.e. in terms of s 174 of the Criminal Procedure Act — </w:t>
            </w:r>
            <w:r w:rsidRPr="00684164">
              <w:rPr>
                <w:rFonts w:ascii="Arial" w:hAnsi="Arial" w:cs="Arial"/>
                <w:i/>
              </w:rPr>
              <w:t>General Francois Olenga v Spranger</w:t>
            </w:r>
            <w:r w:rsidRPr="00684164">
              <w:rPr>
                <w:rFonts w:ascii="Arial" w:hAnsi="Arial" w:cs="Arial"/>
                <w:vertAlign w:val="superscript"/>
              </w:rPr>
              <w:footnoteReference w:id="5"/>
            </w:r>
            <w:r w:rsidRPr="00684164">
              <w:rPr>
                <w:rFonts w:ascii="Arial" w:hAnsi="Arial" w:cs="Arial"/>
              </w:rPr>
              <w:t>;</w:t>
            </w:r>
          </w:p>
          <w:p w:rsidR="00684164" w:rsidRPr="00684164" w:rsidRDefault="00684164" w:rsidP="00684164">
            <w:pPr>
              <w:spacing w:after="200" w:line="360" w:lineRule="auto"/>
              <w:jc w:val="both"/>
              <w:rPr>
                <w:rFonts w:ascii="Arial" w:hAnsi="Arial" w:cs="Arial"/>
              </w:rPr>
            </w:pPr>
            <w:r w:rsidRPr="00684164">
              <w:rPr>
                <w:rFonts w:ascii="Arial" w:hAnsi="Arial" w:cs="Arial"/>
              </w:rPr>
              <w:t>(b)</w:t>
            </w:r>
            <w:r w:rsidRPr="00684164">
              <w:rPr>
                <w:rFonts w:ascii="Arial" w:hAnsi="Arial" w:cs="Arial"/>
              </w:rPr>
              <w:tab/>
              <w:t xml:space="preserve">the standard to be applied is whether the plaintiff, in the mind of the court, has tendered evidence upon which a court, properly directed and applying its mind reasonably to such evidence, could or might, not should, find for the plaintiff — </w:t>
            </w:r>
            <w:r w:rsidRPr="00684164">
              <w:rPr>
                <w:rFonts w:ascii="Arial" w:hAnsi="Arial" w:cs="Arial"/>
                <w:i/>
              </w:rPr>
              <w:t>Stier and Another v Henke</w:t>
            </w:r>
            <w:r w:rsidRPr="00684164">
              <w:rPr>
                <w:rFonts w:ascii="Arial" w:hAnsi="Arial" w:cs="Arial"/>
                <w:i/>
                <w:vertAlign w:val="superscript"/>
              </w:rPr>
              <w:footnoteReference w:id="6"/>
            </w:r>
            <w:r w:rsidRPr="00684164">
              <w:rPr>
                <w:rFonts w:ascii="Arial" w:hAnsi="Arial" w:cs="Arial"/>
              </w:rPr>
              <w:t xml:space="preserve"> </w:t>
            </w:r>
          </w:p>
          <w:p w:rsidR="00684164" w:rsidRPr="00684164" w:rsidRDefault="00684164" w:rsidP="00684164">
            <w:pPr>
              <w:spacing w:after="200" w:line="360" w:lineRule="auto"/>
              <w:jc w:val="both"/>
              <w:rPr>
                <w:rFonts w:ascii="Arial" w:hAnsi="Arial" w:cs="Arial"/>
              </w:rPr>
            </w:pPr>
            <w:r w:rsidRPr="00684164">
              <w:rPr>
                <w:rFonts w:ascii="Arial" w:hAnsi="Arial" w:cs="Arial"/>
              </w:rPr>
              <w:t>(c)</w:t>
            </w:r>
            <w:r w:rsidRPr="00684164">
              <w:rPr>
                <w:rFonts w:ascii="Arial" w:hAnsi="Arial" w:cs="Arial"/>
              </w:rPr>
              <w:tab/>
              <w:t xml:space="preserve">the evidence adduced by the plaintiff should relate to all the elements of the claim because, in the absence of such evidence, no court could find for the plaintiff — </w:t>
            </w:r>
            <w:r w:rsidRPr="00684164">
              <w:rPr>
                <w:rFonts w:ascii="Arial" w:hAnsi="Arial" w:cs="Arial"/>
                <w:i/>
              </w:rPr>
              <w:t>Factcrown Limited v Namibian  Broadcasting Corporation</w:t>
            </w:r>
            <w:r w:rsidRPr="00684164">
              <w:rPr>
                <w:rFonts w:ascii="Arial" w:hAnsi="Arial" w:cs="Arial"/>
              </w:rPr>
              <w:t>;</w:t>
            </w:r>
            <w:r w:rsidRPr="00684164">
              <w:rPr>
                <w:rFonts w:ascii="Arial" w:hAnsi="Arial" w:cs="Arial"/>
                <w:vertAlign w:val="superscript"/>
              </w:rPr>
              <w:footnoteReference w:id="7"/>
            </w:r>
            <w:r w:rsidRPr="00684164">
              <w:rPr>
                <w:rFonts w:ascii="Arial" w:hAnsi="Arial" w:cs="Arial"/>
              </w:rPr>
              <w:t xml:space="preserve"> .</w:t>
            </w:r>
          </w:p>
          <w:p w:rsidR="00684164" w:rsidRPr="00684164" w:rsidRDefault="00684164" w:rsidP="00684164">
            <w:pPr>
              <w:spacing w:after="200" w:line="360" w:lineRule="auto"/>
              <w:jc w:val="both"/>
              <w:rPr>
                <w:rFonts w:ascii="Arial" w:hAnsi="Arial" w:cs="Arial"/>
              </w:rPr>
            </w:pPr>
            <w:r w:rsidRPr="00684164">
              <w:rPr>
                <w:rFonts w:ascii="Arial" w:hAnsi="Arial" w:cs="Arial"/>
              </w:rPr>
              <w:t>(d)</w:t>
            </w:r>
            <w:r w:rsidRPr="00684164">
              <w:rPr>
                <w:rFonts w:ascii="Arial" w:hAnsi="Arial" w:cs="Arial"/>
              </w:rPr>
              <w:tab/>
              <w:t xml:space="preserve">in dealing with such applications, the court does not normally evaluate the evidence adduced on behalf of the plaintiff by making credibility findings at this stage. The court assumes that the evidence adduced by the plaintiff is true and deals with the matter on that basis. If the evidence adduced </w:t>
            </w:r>
            <w:r w:rsidR="003E5877">
              <w:rPr>
                <w:rFonts w:ascii="Arial" w:hAnsi="Arial" w:cs="Arial"/>
              </w:rPr>
              <w:t xml:space="preserve">by the plaintiff is, however,  </w:t>
            </w:r>
            <w:r w:rsidRPr="00684164">
              <w:rPr>
                <w:rFonts w:ascii="Arial" w:hAnsi="Arial" w:cs="Arial"/>
              </w:rPr>
              <w:t xml:space="preserve">hopelessly poor, vacillating, or of so romancing a character, the court may, in those circumstances, grant the application — </w:t>
            </w:r>
            <w:r w:rsidRPr="00684164">
              <w:rPr>
                <w:rFonts w:ascii="Arial" w:hAnsi="Arial" w:cs="Arial"/>
                <w:i/>
              </w:rPr>
              <w:t>General Francois Olenga v Erwin Spranger</w:t>
            </w:r>
            <w:r w:rsidRPr="00684164">
              <w:rPr>
                <w:rFonts w:ascii="Arial" w:hAnsi="Arial" w:cs="Arial"/>
              </w:rPr>
              <w:t xml:space="preserve">; </w:t>
            </w:r>
            <w:r w:rsidRPr="00684164">
              <w:rPr>
                <w:rFonts w:ascii="Arial" w:hAnsi="Arial" w:cs="Arial"/>
                <w:vertAlign w:val="superscript"/>
              </w:rPr>
              <w:footnoteReference w:id="8"/>
            </w:r>
          </w:p>
          <w:p w:rsidR="00684164" w:rsidRDefault="00684164" w:rsidP="00486CD4">
            <w:pPr>
              <w:spacing w:line="360" w:lineRule="auto"/>
              <w:jc w:val="both"/>
              <w:rPr>
                <w:rFonts w:ascii="Arial" w:hAnsi="Arial" w:cs="Arial"/>
              </w:rPr>
            </w:pPr>
            <w:r w:rsidRPr="00684164">
              <w:rPr>
                <w:rFonts w:ascii="Arial" w:hAnsi="Arial" w:cs="Arial"/>
              </w:rPr>
              <w:t>(e)</w:t>
            </w:r>
            <w:r w:rsidRPr="00684164">
              <w:rPr>
                <w:rFonts w:ascii="Arial" w:hAnsi="Arial" w:cs="Arial"/>
              </w:rPr>
              <w:tab/>
              <w:t xml:space="preserve">the application for absolution from the instance should be granted sparingly. The court must, generally speaking, be shy, frigid, or cautious in granting this application. But when the proper occasion arises, and in the interests of justice, the court should not hesitate to grant this application — </w:t>
            </w:r>
            <w:r w:rsidRPr="00684164">
              <w:rPr>
                <w:rFonts w:ascii="Arial" w:hAnsi="Arial" w:cs="Arial"/>
                <w:i/>
              </w:rPr>
              <w:t>Stier and General Francois Olenga v Spranger (supra)</w:t>
            </w:r>
            <w:r w:rsidRPr="00684164">
              <w:rPr>
                <w:rFonts w:ascii="Arial" w:hAnsi="Arial" w:cs="Arial"/>
              </w:rPr>
              <w:t>.’</w:t>
            </w:r>
          </w:p>
          <w:p w:rsidR="00486CD4" w:rsidRPr="00684164" w:rsidRDefault="00486CD4" w:rsidP="00486CD4">
            <w:pPr>
              <w:spacing w:line="360" w:lineRule="auto"/>
              <w:jc w:val="both"/>
              <w:rPr>
                <w:rFonts w:ascii="Arial" w:hAnsi="Arial" w:cs="Arial"/>
              </w:rPr>
            </w:pPr>
          </w:p>
          <w:p w:rsidR="00684164" w:rsidRDefault="00684164" w:rsidP="00486CD4">
            <w:pPr>
              <w:spacing w:line="360" w:lineRule="auto"/>
              <w:jc w:val="both"/>
              <w:rPr>
                <w:rFonts w:ascii="Arial" w:hAnsi="Arial" w:cs="Arial"/>
                <w:sz w:val="24"/>
                <w:szCs w:val="24"/>
                <w:u w:val="single"/>
              </w:rPr>
            </w:pPr>
            <w:r w:rsidRPr="00684164">
              <w:rPr>
                <w:rFonts w:ascii="Arial" w:hAnsi="Arial" w:cs="Arial"/>
                <w:sz w:val="24"/>
                <w:szCs w:val="24"/>
                <w:u w:val="single"/>
              </w:rPr>
              <w:t>Discussion</w:t>
            </w:r>
          </w:p>
          <w:p w:rsidR="00486CD4" w:rsidRPr="00684164" w:rsidRDefault="00486CD4" w:rsidP="00486CD4">
            <w:pPr>
              <w:spacing w:line="360" w:lineRule="auto"/>
              <w:jc w:val="both"/>
              <w:rPr>
                <w:rFonts w:ascii="Arial" w:hAnsi="Arial" w:cs="Arial"/>
                <w:sz w:val="24"/>
                <w:szCs w:val="24"/>
                <w:u w:val="single"/>
              </w:rPr>
            </w:pPr>
          </w:p>
          <w:p w:rsidR="00486CD4" w:rsidRDefault="00684164" w:rsidP="00486CD4">
            <w:pPr>
              <w:pStyle w:val="ListParagraph"/>
              <w:numPr>
                <w:ilvl w:val="0"/>
                <w:numId w:val="5"/>
              </w:numPr>
              <w:spacing w:after="0" w:line="360" w:lineRule="auto"/>
              <w:ind w:left="0" w:firstLine="0"/>
              <w:jc w:val="both"/>
              <w:rPr>
                <w:rFonts w:ascii="Arial" w:hAnsi="Arial" w:cs="Arial"/>
                <w:sz w:val="24"/>
                <w:szCs w:val="24"/>
              </w:rPr>
            </w:pPr>
            <w:r w:rsidRPr="00486CD4">
              <w:rPr>
                <w:rFonts w:ascii="Arial" w:hAnsi="Arial" w:cs="Arial"/>
                <w:sz w:val="24"/>
                <w:szCs w:val="24"/>
              </w:rPr>
              <w:t>It is clear f</w:t>
            </w:r>
            <w:r w:rsidR="00BF781E" w:rsidRPr="00486CD4">
              <w:rPr>
                <w:rFonts w:ascii="Arial" w:hAnsi="Arial" w:cs="Arial"/>
                <w:sz w:val="24"/>
                <w:szCs w:val="24"/>
              </w:rPr>
              <w:t>rom the requirements for s</w:t>
            </w:r>
            <w:r w:rsidR="003E5877">
              <w:rPr>
                <w:rFonts w:ascii="Arial" w:hAnsi="Arial" w:cs="Arial"/>
                <w:sz w:val="24"/>
                <w:szCs w:val="24"/>
              </w:rPr>
              <w:t xml:space="preserve"> 30 of the Act</w:t>
            </w:r>
            <w:r w:rsidRPr="00486CD4">
              <w:rPr>
                <w:rFonts w:ascii="Arial" w:hAnsi="Arial" w:cs="Arial"/>
                <w:sz w:val="24"/>
                <w:szCs w:val="24"/>
              </w:rPr>
              <w:t>, that indeed in this instance</w:t>
            </w:r>
            <w:r w:rsidR="003E5877">
              <w:rPr>
                <w:rFonts w:ascii="Arial" w:hAnsi="Arial" w:cs="Arial"/>
                <w:sz w:val="24"/>
                <w:szCs w:val="24"/>
              </w:rPr>
              <w:t>,</w:t>
            </w:r>
            <w:r w:rsidRPr="00486CD4">
              <w:rPr>
                <w:rFonts w:ascii="Arial" w:hAnsi="Arial" w:cs="Arial"/>
                <w:sz w:val="24"/>
                <w:szCs w:val="24"/>
              </w:rPr>
              <w:t xml:space="preserve"> a prima</w:t>
            </w:r>
            <w:r w:rsidR="003E5877">
              <w:rPr>
                <w:rFonts w:ascii="Arial" w:hAnsi="Arial" w:cs="Arial"/>
                <w:sz w:val="24"/>
                <w:szCs w:val="24"/>
              </w:rPr>
              <w:t xml:space="preserve"> facie case was made out. From</w:t>
            </w:r>
            <w:r w:rsidRPr="00486CD4">
              <w:rPr>
                <w:rFonts w:ascii="Arial" w:hAnsi="Arial" w:cs="Arial"/>
                <w:sz w:val="24"/>
                <w:szCs w:val="24"/>
              </w:rPr>
              <w:t xml:space="preserve"> the discussion above</w:t>
            </w:r>
            <w:r w:rsidR="003E5877">
              <w:rPr>
                <w:rFonts w:ascii="Arial" w:hAnsi="Arial" w:cs="Arial"/>
                <w:sz w:val="24"/>
                <w:szCs w:val="24"/>
              </w:rPr>
              <w:t>,</w:t>
            </w:r>
            <w:r w:rsidRPr="00486CD4">
              <w:rPr>
                <w:rFonts w:ascii="Arial" w:hAnsi="Arial" w:cs="Arial"/>
                <w:sz w:val="24"/>
                <w:szCs w:val="24"/>
              </w:rPr>
              <w:t xml:space="preserve"> it is agreed upon by the experts that at th</w:t>
            </w:r>
            <w:r w:rsidR="00BF781E" w:rsidRPr="00486CD4">
              <w:rPr>
                <w:rFonts w:ascii="Arial" w:hAnsi="Arial" w:cs="Arial"/>
                <w:sz w:val="24"/>
                <w:szCs w:val="24"/>
              </w:rPr>
              <w:t>e time of the disposition of Mr</w:t>
            </w:r>
            <w:r w:rsidRPr="00486CD4">
              <w:rPr>
                <w:rFonts w:ascii="Arial" w:hAnsi="Arial" w:cs="Arial"/>
                <w:sz w:val="24"/>
                <w:szCs w:val="24"/>
              </w:rPr>
              <w:t xml:space="preserve"> Labuschagne’s property to the defendant his li</w:t>
            </w:r>
            <w:r w:rsidR="00B37576" w:rsidRPr="00486CD4">
              <w:rPr>
                <w:rFonts w:ascii="Arial" w:hAnsi="Arial" w:cs="Arial"/>
                <w:sz w:val="24"/>
                <w:szCs w:val="24"/>
              </w:rPr>
              <w:t xml:space="preserve">abilities exceeded his assets. </w:t>
            </w:r>
            <w:r w:rsidRPr="00486CD4">
              <w:rPr>
                <w:rFonts w:ascii="Arial" w:hAnsi="Arial" w:cs="Arial"/>
                <w:sz w:val="24"/>
                <w:szCs w:val="24"/>
              </w:rPr>
              <w:t xml:space="preserve">There was also a case made out by the </w:t>
            </w:r>
            <w:r w:rsidR="00593240">
              <w:rPr>
                <w:rFonts w:ascii="Arial" w:hAnsi="Arial" w:cs="Arial"/>
                <w:sz w:val="24"/>
                <w:szCs w:val="24"/>
              </w:rPr>
              <w:t>plaintiff</w:t>
            </w:r>
            <w:r w:rsidRPr="00486CD4">
              <w:rPr>
                <w:rFonts w:ascii="Arial" w:hAnsi="Arial" w:cs="Arial"/>
                <w:sz w:val="24"/>
                <w:szCs w:val="24"/>
              </w:rPr>
              <w:t xml:space="preserve"> to illu</w:t>
            </w:r>
            <w:r w:rsidR="00BF781E" w:rsidRPr="00486CD4">
              <w:rPr>
                <w:rFonts w:ascii="Arial" w:hAnsi="Arial" w:cs="Arial"/>
                <w:sz w:val="24"/>
                <w:szCs w:val="24"/>
              </w:rPr>
              <w:t>strate that the intention of Mr</w:t>
            </w:r>
            <w:r w:rsidRPr="00486CD4">
              <w:rPr>
                <w:rFonts w:ascii="Arial" w:hAnsi="Arial" w:cs="Arial"/>
                <w:sz w:val="24"/>
                <w:szCs w:val="24"/>
              </w:rPr>
              <w:t xml:space="preserve"> Labuschagne most probably was to prefer the defendant and in fact did prefer the defendant over Agra. It is also not</w:t>
            </w:r>
            <w:r w:rsidR="00BF781E" w:rsidRPr="00486CD4">
              <w:rPr>
                <w:rFonts w:ascii="Arial" w:hAnsi="Arial" w:cs="Arial"/>
                <w:sz w:val="24"/>
                <w:szCs w:val="24"/>
              </w:rPr>
              <w:t xml:space="preserve"> disputed that the estate of Mr</w:t>
            </w:r>
            <w:r w:rsidRPr="00486CD4">
              <w:rPr>
                <w:rFonts w:ascii="Arial" w:hAnsi="Arial" w:cs="Arial"/>
                <w:sz w:val="24"/>
                <w:szCs w:val="24"/>
              </w:rPr>
              <w:t xml:space="preserve"> Labuschagne was in fact sequestrated afterwards.</w:t>
            </w:r>
          </w:p>
          <w:p w:rsidR="00486CD4" w:rsidRDefault="00486CD4" w:rsidP="00486CD4">
            <w:pPr>
              <w:pStyle w:val="ListParagraph"/>
              <w:spacing w:after="0" w:line="360" w:lineRule="auto"/>
              <w:ind w:left="0"/>
              <w:jc w:val="both"/>
              <w:rPr>
                <w:rFonts w:ascii="Arial" w:hAnsi="Arial" w:cs="Arial"/>
                <w:sz w:val="24"/>
                <w:szCs w:val="24"/>
              </w:rPr>
            </w:pPr>
          </w:p>
          <w:p w:rsidR="00486CD4" w:rsidRDefault="00684164" w:rsidP="00486CD4">
            <w:pPr>
              <w:pStyle w:val="ListParagraph"/>
              <w:numPr>
                <w:ilvl w:val="0"/>
                <w:numId w:val="5"/>
              </w:numPr>
              <w:spacing w:after="0" w:line="360" w:lineRule="auto"/>
              <w:ind w:left="0" w:firstLine="0"/>
              <w:jc w:val="both"/>
              <w:rPr>
                <w:rFonts w:ascii="Arial" w:hAnsi="Arial" w:cs="Arial"/>
                <w:sz w:val="24"/>
                <w:szCs w:val="24"/>
              </w:rPr>
            </w:pPr>
            <w:r w:rsidRPr="00486CD4">
              <w:rPr>
                <w:rFonts w:ascii="Arial" w:hAnsi="Arial" w:cs="Arial"/>
                <w:sz w:val="24"/>
                <w:szCs w:val="24"/>
              </w:rPr>
              <w:t>I am of the opinion that there is indeed a case made out which the defendant must answer and for that reason the court is dismissing the application for absolution.</w:t>
            </w:r>
          </w:p>
          <w:p w:rsidR="00486CD4" w:rsidRPr="00486CD4" w:rsidRDefault="00486CD4" w:rsidP="00486CD4">
            <w:pPr>
              <w:pStyle w:val="ListParagraph"/>
              <w:rPr>
                <w:rFonts w:ascii="Arial" w:hAnsi="Arial" w:cs="Arial"/>
                <w:sz w:val="24"/>
                <w:szCs w:val="24"/>
              </w:rPr>
            </w:pPr>
          </w:p>
          <w:p w:rsidR="00684164" w:rsidRDefault="00684164" w:rsidP="00486CD4">
            <w:pPr>
              <w:pStyle w:val="ListParagraph"/>
              <w:numPr>
                <w:ilvl w:val="0"/>
                <w:numId w:val="5"/>
              </w:numPr>
              <w:spacing w:after="0" w:line="360" w:lineRule="auto"/>
              <w:ind w:left="0" w:firstLine="0"/>
              <w:jc w:val="both"/>
              <w:rPr>
                <w:rFonts w:ascii="Arial" w:hAnsi="Arial" w:cs="Arial"/>
                <w:sz w:val="24"/>
                <w:szCs w:val="24"/>
              </w:rPr>
            </w:pPr>
            <w:r w:rsidRPr="00486CD4">
              <w:rPr>
                <w:rFonts w:ascii="Arial" w:hAnsi="Arial" w:cs="Arial"/>
                <w:sz w:val="24"/>
                <w:szCs w:val="24"/>
              </w:rPr>
              <w:t>In the result, I make the following order:</w:t>
            </w:r>
          </w:p>
          <w:p w:rsidR="00486CD4" w:rsidRDefault="00486CD4" w:rsidP="00486CD4">
            <w:pPr>
              <w:pStyle w:val="ListParagraph"/>
              <w:spacing w:after="0" w:line="360" w:lineRule="auto"/>
              <w:ind w:left="0"/>
              <w:jc w:val="both"/>
              <w:rPr>
                <w:rFonts w:ascii="Arial" w:hAnsi="Arial" w:cs="Arial"/>
                <w:sz w:val="24"/>
                <w:szCs w:val="24"/>
              </w:rPr>
            </w:pPr>
          </w:p>
          <w:p w:rsidR="003E5877" w:rsidRDefault="00684164" w:rsidP="00486CD4">
            <w:pPr>
              <w:pStyle w:val="ListParagraph"/>
              <w:numPr>
                <w:ilvl w:val="0"/>
                <w:numId w:val="6"/>
              </w:numPr>
              <w:spacing w:line="360" w:lineRule="auto"/>
              <w:jc w:val="both"/>
              <w:rPr>
                <w:rFonts w:ascii="Arial" w:hAnsi="Arial" w:cs="Arial"/>
                <w:sz w:val="24"/>
                <w:szCs w:val="24"/>
              </w:rPr>
            </w:pPr>
            <w:r w:rsidRPr="00486CD4">
              <w:rPr>
                <w:rFonts w:ascii="Arial" w:hAnsi="Arial" w:cs="Arial"/>
                <w:sz w:val="24"/>
                <w:szCs w:val="24"/>
              </w:rPr>
              <w:t xml:space="preserve">The application for absolution is dismissed. </w:t>
            </w:r>
          </w:p>
          <w:p w:rsidR="00486CD4" w:rsidRDefault="00684164" w:rsidP="00486CD4">
            <w:pPr>
              <w:pStyle w:val="ListParagraph"/>
              <w:numPr>
                <w:ilvl w:val="0"/>
                <w:numId w:val="6"/>
              </w:numPr>
              <w:spacing w:line="360" w:lineRule="auto"/>
              <w:jc w:val="both"/>
              <w:rPr>
                <w:rFonts w:ascii="Arial" w:hAnsi="Arial" w:cs="Arial"/>
                <w:sz w:val="24"/>
                <w:szCs w:val="24"/>
              </w:rPr>
            </w:pPr>
            <w:r w:rsidRPr="00486CD4">
              <w:rPr>
                <w:rFonts w:ascii="Arial" w:hAnsi="Arial" w:cs="Arial"/>
                <w:sz w:val="24"/>
                <w:szCs w:val="24"/>
              </w:rPr>
              <w:t>Costs to be costs in the cause.</w:t>
            </w:r>
          </w:p>
          <w:p w:rsidR="00256D77" w:rsidRPr="00486CD4" w:rsidRDefault="00684164" w:rsidP="00486CD4">
            <w:pPr>
              <w:pStyle w:val="ListParagraph"/>
              <w:numPr>
                <w:ilvl w:val="0"/>
                <w:numId w:val="6"/>
              </w:numPr>
              <w:spacing w:line="360" w:lineRule="auto"/>
              <w:jc w:val="both"/>
              <w:rPr>
                <w:rFonts w:ascii="Arial" w:hAnsi="Arial" w:cs="Arial"/>
                <w:sz w:val="24"/>
                <w:szCs w:val="24"/>
              </w:rPr>
            </w:pPr>
            <w:r w:rsidRPr="00486CD4">
              <w:rPr>
                <w:rFonts w:ascii="Arial" w:hAnsi="Arial" w:cs="Arial"/>
                <w:sz w:val="24"/>
                <w:szCs w:val="24"/>
                <w:lang w:val="en-US"/>
              </w:rPr>
              <w:t xml:space="preserve">The matter is postponed to 5 December 2023 </w:t>
            </w:r>
            <w:r w:rsidR="00486CD4">
              <w:rPr>
                <w:rFonts w:ascii="Arial" w:hAnsi="Arial" w:cs="Arial"/>
                <w:sz w:val="24"/>
                <w:szCs w:val="24"/>
                <w:lang w:val="en-US"/>
              </w:rPr>
              <w:t xml:space="preserve">at 15:30 </w:t>
            </w:r>
            <w:r w:rsidRPr="00486CD4">
              <w:rPr>
                <w:rFonts w:ascii="Arial" w:hAnsi="Arial" w:cs="Arial"/>
                <w:sz w:val="24"/>
                <w:szCs w:val="24"/>
                <w:lang w:val="en-US"/>
              </w:rPr>
              <w:t xml:space="preserve">for the fixing of trial dates for the continuation of the trial.  </w:t>
            </w:r>
          </w:p>
        </w:tc>
      </w:tr>
      <w:tr w:rsidR="00256D77" w:rsidRPr="00552B6F" w:rsidTr="009F49B9">
        <w:trPr>
          <w:trHeight w:val="421"/>
        </w:trPr>
        <w:tc>
          <w:tcPr>
            <w:tcW w:w="5245" w:type="dxa"/>
            <w:tcBorders>
              <w:top w:val="single" w:sz="4" w:space="0" w:color="auto"/>
              <w:left w:val="single" w:sz="4" w:space="0" w:color="auto"/>
              <w:bottom w:val="single" w:sz="4" w:space="0" w:color="auto"/>
              <w:right w:val="single" w:sz="4" w:space="0" w:color="auto"/>
            </w:tcBorders>
          </w:tcPr>
          <w:p w:rsidR="00256D77" w:rsidRPr="00552B6F" w:rsidRDefault="00256D77" w:rsidP="009F49B9">
            <w:pPr>
              <w:spacing w:line="360" w:lineRule="auto"/>
              <w:jc w:val="center"/>
              <w:rPr>
                <w:rFonts w:ascii="Arial" w:hAnsi="Arial" w:cs="Arial"/>
                <w:b/>
                <w:sz w:val="24"/>
                <w:szCs w:val="24"/>
              </w:rPr>
            </w:pPr>
            <w:r w:rsidRPr="00552B6F">
              <w:rPr>
                <w:rFonts w:ascii="Arial" w:hAnsi="Arial" w:cs="Arial"/>
                <w:b/>
                <w:sz w:val="24"/>
                <w:szCs w:val="24"/>
              </w:rPr>
              <w:lastRenderedPageBreak/>
              <w:t>Judge’s signature</w:t>
            </w:r>
          </w:p>
          <w:p w:rsidR="00256D77" w:rsidRPr="00552B6F" w:rsidRDefault="00256D77" w:rsidP="009F49B9">
            <w:pPr>
              <w:spacing w:line="360" w:lineRule="auto"/>
              <w:jc w:val="center"/>
              <w:rPr>
                <w:rFonts w:ascii="Arial" w:hAnsi="Arial" w:cs="Arial"/>
                <w:sz w:val="24"/>
                <w:szCs w:val="24"/>
              </w:rPr>
            </w:pPr>
          </w:p>
          <w:p w:rsidR="00256D77" w:rsidRPr="00552B6F" w:rsidRDefault="00256D77" w:rsidP="009F49B9">
            <w:pPr>
              <w:spacing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both"/>
              <w:rPr>
                <w:rFonts w:ascii="Arial" w:hAnsi="Arial" w:cs="Arial"/>
                <w:b/>
                <w:sz w:val="24"/>
                <w:szCs w:val="24"/>
              </w:rPr>
            </w:pPr>
            <w:r w:rsidRPr="00552B6F">
              <w:rPr>
                <w:rFonts w:ascii="Arial" w:hAnsi="Arial" w:cs="Arial"/>
                <w:b/>
                <w:sz w:val="24"/>
                <w:szCs w:val="24"/>
              </w:rPr>
              <w:t>Note to the parties:</w:t>
            </w:r>
          </w:p>
        </w:tc>
      </w:tr>
      <w:tr w:rsidR="00256D77" w:rsidRPr="00552B6F" w:rsidTr="009F49B9">
        <w:trPr>
          <w:trHeight w:val="614"/>
        </w:trPr>
        <w:tc>
          <w:tcPr>
            <w:tcW w:w="5245" w:type="dxa"/>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center"/>
              <w:rPr>
                <w:rFonts w:ascii="Arial" w:hAnsi="Arial" w:cs="Arial"/>
                <w:sz w:val="24"/>
                <w:szCs w:val="24"/>
              </w:rPr>
            </w:pPr>
            <w:r w:rsidRPr="00552B6F">
              <w:rPr>
                <w:rFonts w:ascii="Arial" w:hAnsi="Arial" w:cs="Arial"/>
                <w:sz w:val="24"/>
                <w:szCs w:val="24"/>
              </w:rPr>
              <w:t>RAKOW J</w:t>
            </w:r>
          </w:p>
          <w:p w:rsidR="00256D77" w:rsidRPr="00552B6F" w:rsidRDefault="00256D77" w:rsidP="009F49B9">
            <w:pPr>
              <w:spacing w:line="360" w:lineRule="auto"/>
              <w:jc w:val="center"/>
              <w:rPr>
                <w:rFonts w:ascii="Arial" w:hAnsi="Arial" w:cs="Arial"/>
                <w:sz w:val="24"/>
                <w:szCs w:val="24"/>
              </w:rPr>
            </w:pPr>
            <w:r w:rsidRPr="00552B6F">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center"/>
              <w:rPr>
                <w:rFonts w:ascii="Arial" w:hAnsi="Arial" w:cs="Arial"/>
                <w:sz w:val="24"/>
                <w:szCs w:val="24"/>
              </w:rPr>
            </w:pPr>
            <w:r w:rsidRPr="00552B6F">
              <w:rPr>
                <w:rFonts w:ascii="Arial" w:hAnsi="Arial" w:cs="Arial"/>
                <w:sz w:val="24"/>
                <w:szCs w:val="24"/>
              </w:rPr>
              <w:t>Not applicable</w:t>
            </w:r>
          </w:p>
        </w:tc>
      </w:tr>
      <w:tr w:rsidR="00256D77" w:rsidRPr="00552B6F" w:rsidTr="009F49B9">
        <w:trPr>
          <w:trHeight w:val="471"/>
        </w:trPr>
        <w:tc>
          <w:tcPr>
            <w:tcW w:w="10490" w:type="dxa"/>
            <w:gridSpan w:val="3"/>
            <w:tcBorders>
              <w:top w:val="single" w:sz="4" w:space="0" w:color="auto"/>
              <w:left w:val="single" w:sz="4" w:space="0" w:color="auto"/>
              <w:bottom w:val="single" w:sz="4" w:space="0" w:color="auto"/>
              <w:right w:val="single" w:sz="4" w:space="0" w:color="auto"/>
            </w:tcBorders>
            <w:hideMark/>
          </w:tcPr>
          <w:p w:rsidR="00256D77" w:rsidRPr="00552B6F" w:rsidRDefault="00256D77" w:rsidP="009F49B9">
            <w:pPr>
              <w:spacing w:line="360" w:lineRule="auto"/>
              <w:jc w:val="center"/>
              <w:rPr>
                <w:rFonts w:ascii="Arial" w:hAnsi="Arial" w:cs="Arial"/>
                <w:b/>
                <w:sz w:val="24"/>
                <w:szCs w:val="24"/>
              </w:rPr>
            </w:pPr>
            <w:r w:rsidRPr="00552B6F">
              <w:rPr>
                <w:rFonts w:ascii="Arial" w:hAnsi="Arial" w:cs="Arial"/>
                <w:b/>
                <w:sz w:val="24"/>
                <w:szCs w:val="24"/>
              </w:rPr>
              <w:t>Counsel:</w:t>
            </w:r>
          </w:p>
        </w:tc>
      </w:tr>
      <w:tr w:rsidR="00256D77" w:rsidRPr="00552B6F" w:rsidTr="009F49B9">
        <w:trPr>
          <w:trHeight w:val="329"/>
        </w:trPr>
        <w:tc>
          <w:tcPr>
            <w:tcW w:w="5245" w:type="dxa"/>
            <w:tcBorders>
              <w:top w:val="single" w:sz="4" w:space="0" w:color="auto"/>
              <w:left w:val="single" w:sz="4" w:space="0" w:color="auto"/>
              <w:bottom w:val="single" w:sz="4" w:space="0" w:color="auto"/>
              <w:right w:val="single" w:sz="4" w:space="0" w:color="auto"/>
            </w:tcBorders>
            <w:hideMark/>
          </w:tcPr>
          <w:p w:rsidR="00256D77" w:rsidRPr="00552B6F" w:rsidRDefault="00486CD4" w:rsidP="009F49B9">
            <w:pPr>
              <w:spacing w:line="360" w:lineRule="auto"/>
              <w:jc w:val="center"/>
              <w:rPr>
                <w:rFonts w:ascii="Arial" w:hAnsi="Arial" w:cs="Arial"/>
                <w:b/>
                <w:sz w:val="24"/>
                <w:szCs w:val="24"/>
              </w:rPr>
            </w:pPr>
            <w:r>
              <w:rPr>
                <w:rFonts w:ascii="Arial" w:hAnsi="Arial" w:cs="Arial"/>
                <w:b/>
                <w:sz w:val="24"/>
                <w:szCs w:val="24"/>
              </w:rPr>
              <w:t>PLAINTIFF</w:t>
            </w:r>
            <w:r w:rsidR="00256D77" w:rsidRPr="00552B6F">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256D77" w:rsidRPr="00552B6F" w:rsidRDefault="00486CD4" w:rsidP="009F49B9">
            <w:pPr>
              <w:spacing w:line="360" w:lineRule="auto"/>
              <w:jc w:val="center"/>
              <w:rPr>
                <w:rFonts w:ascii="Arial" w:hAnsi="Arial" w:cs="Arial"/>
                <w:b/>
                <w:sz w:val="24"/>
                <w:szCs w:val="24"/>
              </w:rPr>
            </w:pPr>
            <w:r>
              <w:rPr>
                <w:rFonts w:ascii="Arial" w:eastAsia="Times New Roman" w:hAnsi="Arial" w:cs="Arial"/>
                <w:b/>
                <w:sz w:val="24"/>
                <w:szCs w:val="24"/>
                <w:lang w:eastAsia="en-GB"/>
              </w:rPr>
              <w:t>DEFENDANT</w:t>
            </w:r>
            <w:r w:rsidR="00256D77" w:rsidRPr="00552B6F">
              <w:rPr>
                <w:rFonts w:ascii="Arial" w:eastAsia="Times New Roman" w:hAnsi="Arial" w:cs="Arial"/>
                <w:sz w:val="24"/>
                <w:szCs w:val="24"/>
                <w:lang w:eastAsia="en-GB"/>
              </w:rPr>
              <w:t>:</w:t>
            </w:r>
          </w:p>
        </w:tc>
      </w:tr>
      <w:tr w:rsidR="00256D77" w:rsidRPr="00552B6F" w:rsidTr="009F49B9">
        <w:trPr>
          <w:trHeight w:val="1483"/>
        </w:trPr>
        <w:tc>
          <w:tcPr>
            <w:tcW w:w="5245" w:type="dxa"/>
            <w:tcBorders>
              <w:top w:val="single" w:sz="4" w:space="0" w:color="auto"/>
              <w:left w:val="single" w:sz="4" w:space="0" w:color="auto"/>
              <w:bottom w:val="single" w:sz="4" w:space="0" w:color="auto"/>
              <w:right w:val="single" w:sz="4" w:space="0" w:color="auto"/>
            </w:tcBorders>
            <w:hideMark/>
          </w:tcPr>
          <w:p w:rsidR="00486CD4" w:rsidRPr="00486CD4" w:rsidRDefault="00486CD4" w:rsidP="00486CD4">
            <w:pPr>
              <w:autoSpaceDE w:val="0"/>
              <w:autoSpaceDN w:val="0"/>
              <w:adjustRightInd w:val="0"/>
              <w:spacing w:line="360" w:lineRule="auto"/>
              <w:ind w:hanging="11"/>
              <w:jc w:val="center"/>
              <w:rPr>
                <w:rFonts w:ascii="Arial" w:hAnsi="Arial" w:cs="Arial"/>
                <w:sz w:val="24"/>
                <w:szCs w:val="24"/>
              </w:rPr>
            </w:pPr>
            <w:r w:rsidRPr="00486CD4">
              <w:rPr>
                <w:rFonts w:ascii="Arial" w:hAnsi="Arial" w:cs="Arial"/>
                <w:sz w:val="24"/>
                <w:szCs w:val="24"/>
              </w:rPr>
              <w:t>R Heathcote (with him J Strydom)</w:t>
            </w:r>
          </w:p>
          <w:p w:rsidR="00486CD4" w:rsidRPr="00486CD4" w:rsidRDefault="00486CD4" w:rsidP="00486CD4">
            <w:pPr>
              <w:autoSpaceDE w:val="0"/>
              <w:autoSpaceDN w:val="0"/>
              <w:adjustRightInd w:val="0"/>
              <w:spacing w:line="360" w:lineRule="auto"/>
              <w:ind w:hanging="11"/>
              <w:jc w:val="center"/>
              <w:rPr>
                <w:rFonts w:ascii="Arial" w:hAnsi="Arial" w:cs="Arial"/>
                <w:sz w:val="24"/>
                <w:szCs w:val="24"/>
              </w:rPr>
            </w:pPr>
            <w:r>
              <w:rPr>
                <w:rFonts w:ascii="Arial" w:hAnsi="Arial" w:cs="Arial"/>
                <w:sz w:val="24"/>
                <w:szCs w:val="24"/>
              </w:rPr>
              <w:t xml:space="preserve">Instructed by </w:t>
            </w:r>
            <w:r w:rsidRPr="00486CD4">
              <w:rPr>
                <w:rFonts w:ascii="Arial" w:hAnsi="Arial" w:cs="Arial"/>
                <w:sz w:val="24"/>
                <w:szCs w:val="24"/>
              </w:rPr>
              <w:t>Theunissen, Louw &amp; Partners, Windhoek</w:t>
            </w:r>
            <w:r>
              <w:rPr>
                <w:rFonts w:ascii="Arial" w:hAnsi="Arial" w:cs="Arial"/>
                <w:sz w:val="24"/>
                <w:szCs w:val="24"/>
              </w:rPr>
              <w:t>.</w:t>
            </w:r>
          </w:p>
          <w:p w:rsidR="00256D77" w:rsidRPr="00552B6F" w:rsidRDefault="00256D77" w:rsidP="00486CD4">
            <w:pPr>
              <w:tabs>
                <w:tab w:val="left" w:pos="1860"/>
              </w:tabs>
              <w:spacing w:line="276" w:lineRule="auto"/>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486CD4" w:rsidRPr="00486CD4" w:rsidRDefault="00486CD4" w:rsidP="00486CD4">
            <w:pPr>
              <w:spacing w:line="360" w:lineRule="auto"/>
              <w:jc w:val="center"/>
              <w:rPr>
                <w:rFonts w:ascii="Arial" w:eastAsia="Times New Roman" w:hAnsi="Arial" w:cs="Arial"/>
                <w:color w:val="000000" w:themeColor="text1"/>
                <w:sz w:val="24"/>
                <w:szCs w:val="24"/>
                <w:lang w:eastAsia="en-GB"/>
              </w:rPr>
            </w:pPr>
            <w:r w:rsidRPr="00486CD4">
              <w:rPr>
                <w:rFonts w:ascii="Arial" w:eastAsia="Times New Roman" w:hAnsi="Arial" w:cs="Arial"/>
                <w:color w:val="000000" w:themeColor="text1"/>
                <w:sz w:val="24"/>
                <w:szCs w:val="24"/>
                <w:lang w:val="en-US" w:eastAsia="en-GB"/>
              </w:rPr>
              <w:t>P Van Amstel (with him H Stolze)</w:t>
            </w:r>
          </w:p>
          <w:p w:rsidR="00256D77" w:rsidRPr="00552B6F" w:rsidRDefault="00486CD4" w:rsidP="00486CD4">
            <w:pPr>
              <w:spacing w:line="360" w:lineRule="auto"/>
              <w:jc w:val="cente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val="en-US" w:eastAsia="en-GB"/>
              </w:rPr>
              <w:t xml:space="preserve">Instructed by </w:t>
            </w:r>
            <w:r w:rsidRPr="00486CD4">
              <w:rPr>
                <w:rFonts w:ascii="Arial" w:eastAsia="Times New Roman" w:hAnsi="Arial" w:cs="Arial"/>
                <w:color w:val="000000" w:themeColor="text1"/>
                <w:sz w:val="24"/>
                <w:szCs w:val="24"/>
                <w:lang w:val="en-US" w:eastAsia="en-GB"/>
              </w:rPr>
              <w:t>Masiza Law Chambers, Windhoek</w:t>
            </w:r>
            <w:r>
              <w:rPr>
                <w:rFonts w:ascii="Arial" w:eastAsia="Times New Roman" w:hAnsi="Arial" w:cs="Arial"/>
                <w:color w:val="000000" w:themeColor="text1"/>
                <w:sz w:val="24"/>
                <w:szCs w:val="24"/>
                <w:lang w:val="en-US" w:eastAsia="en-GB"/>
              </w:rPr>
              <w:t>.</w:t>
            </w:r>
          </w:p>
        </w:tc>
      </w:tr>
    </w:tbl>
    <w:p w:rsidR="00256D77" w:rsidRPr="00552B6F" w:rsidRDefault="00256D77" w:rsidP="00256D77">
      <w:pPr>
        <w:spacing w:after="0" w:line="360" w:lineRule="auto"/>
        <w:jc w:val="both"/>
        <w:rPr>
          <w:rFonts w:ascii="Arial" w:eastAsia="Calibri" w:hAnsi="Arial" w:cs="Arial"/>
          <w:sz w:val="24"/>
          <w:szCs w:val="24"/>
          <w:lang w:val="en-ZA"/>
        </w:rPr>
      </w:pPr>
    </w:p>
    <w:p w:rsidR="00256D77" w:rsidRPr="00552B6F" w:rsidRDefault="00256D77" w:rsidP="00256D77"/>
    <w:p w:rsidR="00256D77" w:rsidRDefault="00256D77" w:rsidP="00256D77"/>
    <w:p w:rsidR="00256D77" w:rsidRDefault="00256D77" w:rsidP="00256D77"/>
    <w:p w:rsidR="008C5F26" w:rsidRDefault="00A27D37"/>
    <w:sectPr w:rsidR="008C5F26" w:rsidSect="00521C4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D37" w:rsidRDefault="00A27D37" w:rsidP="00256D77">
      <w:pPr>
        <w:spacing w:after="0" w:line="240" w:lineRule="auto"/>
      </w:pPr>
      <w:r>
        <w:separator/>
      </w:r>
    </w:p>
  </w:endnote>
  <w:endnote w:type="continuationSeparator" w:id="0">
    <w:p w:rsidR="00A27D37" w:rsidRDefault="00A27D37" w:rsidP="0025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D37" w:rsidRDefault="00A27D37" w:rsidP="00256D77">
      <w:pPr>
        <w:spacing w:after="0" w:line="240" w:lineRule="auto"/>
      </w:pPr>
      <w:r>
        <w:separator/>
      </w:r>
    </w:p>
  </w:footnote>
  <w:footnote w:type="continuationSeparator" w:id="0">
    <w:p w:rsidR="00A27D37" w:rsidRDefault="00A27D37" w:rsidP="00256D77">
      <w:pPr>
        <w:spacing w:after="0" w:line="240" w:lineRule="auto"/>
      </w:pPr>
      <w:r>
        <w:continuationSeparator/>
      </w:r>
    </w:p>
  </w:footnote>
  <w:footnote w:id="1">
    <w:p w:rsidR="00684164" w:rsidRPr="00DC257F" w:rsidRDefault="00684164" w:rsidP="00DC257F">
      <w:pPr>
        <w:pStyle w:val="FootnoteText"/>
        <w:jc w:val="both"/>
        <w:rPr>
          <w:rFonts w:ascii="Arial" w:hAnsi="Arial" w:cs="Arial"/>
        </w:rPr>
      </w:pPr>
      <w:r>
        <w:rPr>
          <w:rStyle w:val="FootnoteReference"/>
        </w:rPr>
        <w:footnoteRef/>
      </w:r>
      <w:r>
        <w:t xml:space="preserve"> </w:t>
      </w:r>
      <w:r w:rsidRPr="00DC257F">
        <w:rPr>
          <w:rFonts w:ascii="Arial" w:hAnsi="Arial" w:cs="Arial"/>
        </w:rPr>
        <w:t xml:space="preserve">See </w:t>
      </w:r>
      <w:r w:rsidRPr="00DC257F">
        <w:rPr>
          <w:rFonts w:ascii="Arial" w:hAnsi="Arial" w:cs="Arial"/>
          <w:i/>
        </w:rPr>
        <w:t xml:space="preserve">Venter v Volkskas Ltd </w:t>
      </w:r>
      <w:r w:rsidRPr="00DC257F">
        <w:rPr>
          <w:rFonts w:ascii="Arial" w:hAnsi="Arial" w:cs="Arial"/>
        </w:rPr>
        <w:t xml:space="preserve">1973 (3) SA 175 (T) at 177 -180; </w:t>
      </w:r>
      <w:r w:rsidRPr="00DC257F">
        <w:rPr>
          <w:rFonts w:ascii="Arial" w:hAnsi="Arial" w:cs="Arial"/>
          <w:i/>
        </w:rPr>
        <w:t>Cooper and Another NNO v Merchant Trade Finance Ltd</w:t>
      </w:r>
      <w:r w:rsidRPr="00DC257F">
        <w:rPr>
          <w:rFonts w:ascii="Arial" w:hAnsi="Arial" w:cs="Arial"/>
        </w:rPr>
        <w:t xml:space="preserve"> 2000 (3) SA 1009 (SCA) p 1031 par [16] and Pretorius’ </w:t>
      </w:r>
      <w:r w:rsidRPr="00DC257F">
        <w:rPr>
          <w:rFonts w:ascii="Arial" w:hAnsi="Arial" w:cs="Arial"/>
          <w:i/>
        </w:rPr>
        <w:t>Trustees v Van Blommenstein</w:t>
      </w:r>
      <w:r w:rsidRPr="00DC257F">
        <w:rPr>
          <w:rFonts w:ascii="Arial" w:hAnsi="Arial" w:cs="Arial"/>
        </w:rPr>
        <w:t xml:space="preserve"> 1949 (1) SA 267 (O) at 278</w:t>
      </w:r>
      <w:r w:rsidR="00DC257F">
        <w:rPr>
          <w:rFonts w:ascii="Arial" w:hAnsi="Arial" w:cs="Arial"/>
        </w:rPr>
        <w:t>.</w:t>
      </w:r>
    </w:p>
  </w:footnote>
  <w:footnote w:id="2">
    <w:p w:rsidR="00684164" w:rsidRPr="008E4968" w:rsidRDefault="00684164" w:rsidP="00BF781E">
      <w:pPr>
        <w:pStyle w:val="FootnoteText"/>
        <w:jc w:val="both"/>
        <w:rPr>
          <w:rFonts w:ascii="Arial" w:hAnsi="Arial" w:cs="Arial"/>
        </w:rPr>
      </w:pPr>
      <w:r w:rsidRPr="00462D05">
        <w:rPr>
          <w:rStyle w:val="FootnoteReference"/>
          <w:i/>
        </w:rPr>
        <w:footnoteRef/>
      </w:r>
      <w:r w:rsidRPr="00462D05">
        <w:rPr>
          <w:i/>
        </w:rPr>
        <w:t xml:space="preserve"> </w:t>
      </w:r>
      <w:r w:rsidRPr="008E4968">
        <w:rPr>
          <w:rFonts w:ascii="Arial" w:hAnsi="Arial" w:cs="Arial"/>
          <w:i/>
        </w:rPr>
        <w:t>Gascoyne v Paul &amp; Hunter</w:t>
      </w:r>
      <w:r w:rsidRPr="008E4968">
        <w:rPr>
          <w:rFonts w:ascii="Arial" w:hAnsi="Arial" w:cs="Arial"/>
        </w:rPr>
        <w:t xml:space="preserve"> 1917 TPD 170. In </w:t>
      </w:r>
      <w:r w:rsidR="003E5877">
        <w:rPr>
          <w:rFonts w:ascii="Arial" w:hAnsi="Arial" w:cs="Arial"/>
          <w:i/>
        </w:rPr>
        <w:t>Gordon Lloyd Page &amp; Asso</w:t>
      </w:r>
      <w:r w:rsidRPr="008E4968">
        <w:rPr>
          <w:rFonts w:ascii="Arial" w:hAnsi="Arial" w:cs="Arial"/>
          <w:i/>
        </w:rPr>
        <w:t>ciates v Riviera</w:t>
      </w:r>
      <w:r w:rsidRPr="008E4968">
        <w:rPr>
          <w:rFonts w:ascii="Arial" w:hAnsi="Arial" w:cs="Arial"/>
        </w:rPr>
        <w:t xml:space="preserve"> 2001 1 SA 988 (SCA)</w:t>
      </w:r>
      <w:r>
        <w:rPr>
          <w:rFonts w:ascii="Arial" w:hAnsi="Arial" w:cs="Arial"/>
        </w:rPr>
        <w:t>.</w:t>
      </w:r>
    </w:p>
  </w:footnote>
  <w:footnote w:id="3">
    <w:p w:rsidR="00684164" w:rsidRPr="008E4968" w:rsidRDefault="00684164" w:rsidP="00BF781E">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Bidoli v Ellistron T/A Ellistron Truck &amp; Plan</w:t>
      </w:r>
      <w:r w:rsidRPr="008E4968">
        <w:rPr>
          <w:rFonts w:ascii="Arial" w:hAnsi="Arial" w:cs="Arial"/>
        </w:rPr>
        <w:t>t 2002 NR 451 HC</w:t>
      </w:r>
      <w:r>
        <w:rPr>
          <w:rFonts w:ascii="Arial" w:hAnsi="Arial" w:cs="Arial"/>
        </w:rPr>
        <w:t>.</w:t>
      </w:r>
    </w:p>
  </w:footnote>
  <w:footnote w:id="4">
    <w:p w:rsidR="00684164" w:rsidRPr="008E4968" w:rsidRDefault="00684164" w:rsidP="00BF781E">
      <w:pPr>
        <w:pStyle w:val="FootnoteText"/>
        <w:jc w:val="both"/>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Ramirez v Frans and Others</w:t>
      </w:r>
      <w:r w:rsidRPr="008E4968">
        <w:rPr>
          <w:rFonts w:ascii="Arial" w:hAnsi="Arial" w:cs="Arial"/>
        </w:rPr>
        <w:t xml:space="preserve"> [2016] NAHCMD 376 (I 933/2013; 25 November 2016) para 28. See also </w:t>
      </w:r>
      <w:r w:rsidRPr="008E4968">
        <w:rPr>
          <w:rFonts w:ascii="Arial" w:hAnsi="Arial" w:cs="Arial"/>
          <w:i/>
        </w:rPr>
        <w:t xml:space="preserve">Uvanga v Steenkamp and Others </w:t>
      </w:r>
      <w:r w:rsidRPr="008E4968">
        <w:rPr>
          <w:rFonts w:ascii="Arial" w:hAnsi="Arial" w:cs="Arial"/>
        </w:rPr>
        <w:t>[2017] NAHCMD 341 (I 1968/2014; 29 November 2017) para 41.</w:t>
      </w:r>
    </w:p>
  </w:footnote>
  <w:footnote w:id="5">
    <w:p w:rsidR="00684164" w:rsidRPr="008E4968" w:rsidRDefault="00684164" w:rsidP="00BF781E">
      <w:pPr>
        <w:pStyle w:val="FootnoteText"/>
        <w:jc w:val="both"/>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General Francois Olenga v Spranger</w:t>
      </w:r>
      <w:r w:rsidRPr="008E4968">
        <w:rPr>
          <w:rFonts w:ascii="Arial" w:hAnsi="Arial" w:cs="Arial"/>
        </w:rPr>
        <w:t xml:space="preserve"> (I 3826/2011) [2019] NAHCMD 192 (17 June 2019), infra at 13 para 35</w:t>
      </w:r>
      <w:r>
        <w:rPr>
          <w:rFonts w:ascii="Arial" w:hAnsi="Arial" w:cs="Arial"/>
        </w:rPr>
        <w:t>.</w:t>
      </w:r>
    </w:p>
  </w:footnote>
  <w:footnote w:id="6">
    <w:p w:rsidR="00684164" w:rsidRPr="008E4968" w:rsidRDefault="00684164" w:rsidP="00BF781E">
      <w:pPr>
        <w:pStyle w:val="FootnoteText"/>
        <w:rPr>
          <w:rFonts w:ascii="Arial" w:hAnsi="Arial" w:cs="Arial"/>
        </w:rPr>
      </w:pPr>
      <w:r w:rsidRPr="008E4968">
        <w:rPr>
          <w:rStyle w:val="FootnoteReference"/>
          <w:rFonts w:ascii="Arial" w:hAnsi="Arial" w:cs="Arial"/>
        </w:rPr>
        <w:footnoteRef/>
      </w:r>
      <w:r>
        <w:rPr>
          <w:rFonts w:ascii="Arial" w:hAnsi="Arial" w:cs="Arial"/>
        </w:rPr>
        <w:t xml:space="preserve"> </w:t>
      </w:r>
      <w:r w:rsidRPr="008E4968">
        <w:rPr>
          <w:rFonts w:ascii="Arial" w:hAnsi="Arial" w:cs="Arial"/>
          <w:i/>
        </w:rPr>
        <w:t>Stier and Another v Henke</w:t>
      </w:r>
      <w:r w:rsidRPr="008E4968">
        <w:rPr>
          <w:rFonts w:ascii="Arial" w:hAnsi="Arial" w:cs="Arial"/>
        </w:rPr>
        <w:t xml:space="preserve"> 2012 (1) NR 370 (SC) at 373</w:t>
      </w:r>
      <w:r>
        <w:rPr>
          <w:rFonts w:ascii="Arial" w:hAnsi="Arial" w:cs="Arial"/>
        </w:rPr>
        <w:t>.</w:t>
      </w:r>
    </w:p>
  </w:footnote>
  <w:footnote w:id="7">
    <w:p w:rsidR="00684164" w:rsidRPr="008E4968" w:rsidRDefault="00684164" w:rsidP="00684164">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w:t>
      </w:r>
      <w:r w:rsidRPr="008E4968">
        <w:rPr>
          <w:rFonts w:ascii="Arial" w:hAnsi="Arial" w:cs="Arial"/>
          <w:i/>
        </w:rPr>
        <w:t xml:space="preserve">Factcrown Limited v Namibian Broadcasting Corporation </w:t>
      </w:r>
      <w:r w:rsidRPr="008E4968">
        <w:rPr>
          <w:rFonts w:ascii="Arial" w:hAnsi="Arial" w:cs="Arial"/>
        </w:rPr>
        <w:t>2014 (2) NR 447 (SC).</w:t>
      </w:r>
    </w:p>
  </w:footnote>
  <w:footnote w:id="8">
    <w:p w:rsidR="00684164" w:rsidRPr="008E4968" w:rsidRDefault="00684164" w:rsidP="00684164">
      <w:pPr>
        <w:pStyle w:val="FootnoteText"/>
        <w:rPr>
          <w:rFonts w:ascii="Arial" w:hAnsi="Arial" w:cs="Arial"/>
        </w:rPr>
      </w:pPr>
      <w:r w:rsidRPr="008E4968">
        <w:rPr>
          <w:rStyle w:val="FootnoteReference"/>
          <w:rFonts w:ascii="Arial" w:hAnsi="Arial" w:cs="Arial"/>
        </w:rPr>
        <w:footnoteRef/>
      </w:r>
      <w:r w:rsidRPr="008E4968">
        <w:rPr>
          <w:rFonts w:ascii="Arial" w:hAnsi="Arial" w:cs="Arial"/>
        </w:rPr>
        <w:t xml:space="preserve"> Supra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06981"/>
      <w:docPartObj>
        <w:docPartGallery w:val="Page Numbers (Top of Page)"/>
        <w:docPartUnique/>
      </w:docPartObj>
    </w:sdtPr>
    <w:sdtEndPr>
      <w:rPr>
        <w:noProof/>
      </w:rPr>
    </w:sdtEndPr>
    <w:sdtContent>
      <w:p w:rsidR="0032762B" w:rsidRDefault="008456DA">
        <w:pPr>
          <w:pStyle w:val="Header"/>
          <w:jc w:val="right"/>
        </w:pPr>
        <w:r w:rsidRPr="0032762B">
          <w:rPr>
            <w:rFonts w:ascii="Arial" w:hAnsi="Arial" w:cs="Arial"/>
            <w:sz w:val="24"/>
            <w:szCs w:val="24"/>
          </w:rPr>
          <w:fldChar w:fldCharType="begin"/>
        </w:r>
        <w:r w:rsidRPr="0032762B">
          <w:rPr>
            <w:rFonts w:ascii="Arial" w:hAnsi="Arial" w:cs="Arial"/>
            <w:sz w:val="24"/>
            <w:szCs w:val="24"/>
          </w:rPr>
          <w:instrText xml:space="preserve"> PAGE   \* MERGEFORMAT </w:instrText>
        </w:r>
        <w:r w:rsidRPr="0032762B">
          <w:rPr>
            <w:rFonts w:ascii="Arial" w:hAnsi="Arial" w:cs="Arial"/>
            <w:sz w:val="24"/>
            <w:szCs w:val="24"/>
          </w:rPr>
          <w:fldChar w:fldCharType="separate"/>
        </w:r>
        <w:r w:rsidR="002B29CB">
          <w:rPr>
            <w:rFonts w:ascii="Arial" w:hAnsi="Arial" w:cs="Arial"/>
            <w:noProof/>
            <w:sz w:val="24"/>
            <w:szCs w:val="24"/>
          </w:rPr>
          <w:t>2</w:t>
        </w:r>
        <w:r w:rsidRPr="0032762B">
          <w:rPr>
            <w:rFonts w:ascii="Arial" w:hAnsi="Arial" w:cs="Arial"/>
            <w:noProof/>
            <w:sz w:val="24"/>
            <w:szCs w:val="24"/>
          </w:rPr>
          <w:fldChar w:fldCharType="end"/>
        </w:r>
      </w:p>
    </w:sdtContent>
  </w:sdt>
  <w:p w:rsidR="0032762B" w:rsidRDefault="00A27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780C"/>
    <w:multiLevelType w:val="hybridMultilevel"/>
    <w:tmpl w:val="65D2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F2F91"/>
    <w:multiLevelType w:val="hybridMultilevel"/>
    <w:tmpl w:val="FD601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217C9"/>
    <w:multiLevelType w:val="hybridMultilevel"/>
    <w:tmpl w:val="595C82EC"/>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B2E96"/>
    <w:multiLevelType w:val="hybridMultilevel"/>
    <w:tmpl w:val="B79E9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80F22"/>
    <w:multiLevelType w:val="hybridMultilevel"/>
    <w:tmpl w:val="BDEEFF46"/>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13B3B"/>
    <w:multiLevelType w:val="hybridMultilevel"/>
    <w:tmpl w:val="9E14CF02"/>
    <w:lvl w:ilvl="0" w:tplc="AAA88F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D06B6"/>
    <w:multiLevelType w:val="hybridMultilevel"/>
    <w:tmpl w:val="563EF76C"/>
    <w:lvl w:ilvl="0" w:tplc="2BCA2B44">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77"/>
    <w:rsid w:val="00196E8C"/>
    <w:rsid w:val="00256D77"/>
    <w:rsid w:val="002860CF"/>
    <w:rsid w:val="002B29CB"/>
    <w:rsid w:val="003A1AF4"/>
    <w:rsid w:val="003E5877"/>
    <w:rsid w:val="00412CCF"/>
    <w:rsid w:val="00486CD4"/>
    <w:rsid w:val="00593240"/>
    <w:rsid w:val="005D4630"/>
    <w:rsid w:val="00681EBD"/>
    <w:rsid w:val="00684164"/>
    <w:rsid w:val="008456DA"/>
    <w:rsid w:val="008458E7"/>
    <w:rsid w:val="00850C77"/>
    <w:rsid w:val="00A27D37"/>
    <w:rsid w:val="00B37576"/>
    <w:rsid w:val="00BF781E"/>
    <w:rsid w:val="00CA2091"/>
    <w:rsid w:val="00CB2678"/>
    <w:rsid w:val="00CE5D9C"/>
    <w:rsid w:val="00DC257F"/>
    <w:rsid w:val="00F173B6"/>
    <w:rsid w:val="00F4341E"/>
    <w:rsid w:val="00F7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7AA60-9F37-4359-B039-0B573CA7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D77"/>
    <w:pPr>
      <w:spacing w:after="0" w:line="240" w:lineRule="auto"/>
    </w:pPr>
    <w:rPr>
      <w:rFonts w:ascii="Calibri" w:eastAsia="Calibri" w:hAnsi="Calibri" w:cs="Times New Roman"/>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6D77"/>
    <w:pPr>
      <w:spacing w:after="200" w:line="276" w:lineRule="auto"/>
      <w:ind w:left="720"/>
      <w:contextualSpacing/>
    </w:pPr>
  </w:style>
  <w:style w:type="paragraph" w:styleId="FootnoteText">
    <w:name w:val="footnote text"/>
    <w:basedOn w:val="Normal"/>
    <w:link w:val="FootnoteTextChar"/>
    <w:uiPriority w:val="99"/>
    <w:semiHidden/>
    <w:unhideWhenUsed/>
    <w:rsid w:val="00256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D77"/>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256D77"/>
    <w:rPr>
      <w:vertAlign w:val="superscript"/>
    </w:rPr>
  </w:style>
  <w:style w:type="paragraph" w:styleId="Header">
    <w:name w:val="header"/>
    <w:basedOn w:val="Normal"/>
    <w:link w:val="HeaderChar"/>
    <w:uiPriority w:val="99"/>
    <w:unhideWhenUsed/>
    <w:rsid w:val="00256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D77"/>
  </w:style>
  <w:style w:type="paragraph" w:styleId="BalloonText">
    <w:name w:val="Balloon Text"/>
    <w:basedOn w:val="Normal"/>
    <w:link w:val="BalloonTextChar"/>
    <w:uiPriority w:val="99"/>
    <w:semiHidden/>
    <w:unhideWhenUsed/>
    <w:rsid w:val="00845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2023-11-20T18:30:00+00:00</Judgment_x0020_Date>
    <Year xmlns="c1afb1bd-f2fb-40fd-9abb-aea55b4d7662">2023</Year>
  </documentManagement>
</p:properties>
</file>

<file path=customXml/itemProps1.xml><?xml version="1.0" encoding="utf-8"?>
<ds:datastoreItem xmlns:ds="http://schemas.openxmlformats.org/officeDocument/2006/customXml" ds:itemID="{4DE39552-129A-4358-B8A6-9D508DB57C48}"/>
</file>

<file path=customXml/itemProps2.xml><?xml version="1.0" encoding="utf-8"?>
<ds:datastoreItem xmlns:ds="http://schemas.openxmlformats.org/officeDocument/2006/customXml" ds:itemID="{D10A633F-A2BB-4343-955C-40BED1AC242B}"/>
</file>

<file path=customXml/itemProps3.xml><?xml version="1.0" encoding="utf-8"?>
<ds:datastoreItem xmlns:ds="http://schemas.openxmlformats.org/officeDocument/2006/customXml" ds:itemID="{EA6BE207-B942-4841-B146-D817FD1D1BD2}"/>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Straten N.O v Botha (I 3655-2015) [2023] NAHCMD 755 (21 November  2023)</dc:title>
  <dc:subject/>
  <dc:creator>Hazel Davids</dc:creator>
  <cp:keywords/>
  <dc:description/>
  <cp:lastModifiedBy>Hazel Davids</cp:lastModifiedBy>
  <cp:revision>2</cp:revision>
  <cp:lastPrinted>2023-11-20T10:03:00Z</cp:lastPrinted>
  <dcterms:created xsi:type="dcterms:W3CDTF">2023-11-22T08:09:00Z</dcterms:created>
  <dcterms:modified xsi:type="dcterms:W3CDTF">2023-11-22T08:09:00Z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