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AC" w:rsidRPr="002140CF" w:rsidRDefault="008F3DAC" w:rsidP="008F3DAC">
      <w:pPr>
        <w:spacing w:after="0" w:line="360" w:lineRule="auto"/>
        <w:jc w:val="center"/>
        <w:rPr>
          <w:rFonts w:ascii="Arial" w:hAnsi="Arial" w:cs="Arial"/>
          <w:b/>
          <w:sz w:val="24"/>
          <w:szCs w:val="24"/>
          <w:lang w:val="en-US"/>
        </w:rPr>
      </w:pPr>
      <w:r w:rsidRPr="002140CF">
        <w:rPr>
          <w:rFonts w:ascii="Arial" w:hAnsi="Arial" w:cs="Arial"/>
          <w:b/>
          <w:sz w:val="24"/>
          <w:szCs w:val="24"/>
          <w:lang w:val="en-US"/>
        </w:rPr>
        <w:t>REPUBLIC OF NAMIBIA</w:t>
      </w:r>
    </w:p>
    <w:p w:rsidR="008F3DAC" w:rsidRPr="002140CF" w:rsidRDefault="008F3DAC" w:rsidP="008F3DAC">
      <w:pPr>
        <w:spacing w:after="0" w:line="360" w:lineRule="auto"/>
        <w:jc w:val="center"/>
        <w:rPr>
          <w:rFonts w:ascii="Arial" w:hAnsi="Arial" w:cs="Arial"/>
          <w:sz w:val="24"/>
          <w:szCs w:val="24"/>
        </w:rPr>
      </w:pPr>
      <w:r w:rsidRPr="002140CF">
        <w:rPr>
          <w:rFonts w:ascii="Arial" w:hAnsi="Arial" w:cs="Arial"/>
          <w:b/>
          <w:noProof/>
          <w:sz w:val="24"/>
          <w:szCs w:val="24"/>
          <w:lang w:eastAsia="en-ZA"/>
        </w:rPr>
        <w:drawing>
          <wp:inline distT="0" distB="0" distL="0" distR="0" wp14:anchorId="735E90C9" wp14:editId="0DE553CD">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F3DAC" w:rsidRPr="002140CF" w:rsidRDefault="008F3DAC" w:rsidP="008F3DAC">
      <w:pPr>
        <w:spacing w:after="0" w:line="360" w:lineRule="auto"/>
        <w:jc w:val="center"/>
        <w:rPr>
          <w:rFonts w:ascii="Arial" w:hAnsi="Arial" w:cs="Arial"/>
          <w:b/>
          <w:sz w:val="24"/>
          <w:szCs w:val="24"/>
        </w:rPr>
      </w:pPr>
      <w:r w:rsidRPr="002140CF">
        <w:rPr>
          <w:rFonts w:ascii="Arial" w:hAnsi="Arial" w:cs="Arial"/>
          <w:b/>
          <w:sz w:val="24"/>
          <w:szCs w:val="24"/>
        </w:rPr>
        <w:t>IN THE HIGH COURT OF NAMIBIA</w:t>
      </w:r>
    </w:p>
    <w:p w:rsidR="008F3DAC" w:rsidRPr="002140CF" w:rsidRDefault="008F3DAC" w:rsidP="00A3347A">
      <w:pPr>
        <w:spacing w:after="0" w:line="360" w:lineRule="auto"/>
        <w:jc w:val="center"/>
        <w:rPr>
          <w:rFonts w:ascii="Arial" w:hAnsi="Arial" w:cs="Arial"/>
          <w:sz w:val="24"/>
          <w:szCs w:val="24"/>
        </w:rPr>
      </w:pPr>
    </w:p>
    <w:p w:rsidR="00D26CB5" w:rsidRPr="002140CF" w:rsidRDefault="00D26CB5" w:rsidP="002140CF">
      <w:pPr>
        <w:spacing w:after="0" w:line="360" w:lineRule="auto"/>
        <w:jc w:val="center"/>
        <w:rPr>
          <w:rFonts w:ascii="Arial" w:hAnsi="Arial" w:cs="Arial"/>
          <w:sz w:val="24"/>
          <w:szCs w:val="24"/>
        </w:rPr>
      </w:pPr>
      <w:r w:rsidRPr="002140CF">
        <w:rPr>
          <w:rFonts w:ascii="Arial" w:hAnsi="Arial" w:cs="Arial"/>
          <w:sz w:val="24"/>
          <w:szCs w:val="24"/>
        </w:rPr>
        <w:t>Practice Directive 61</w:t>
      </w:r>
    </w:p>
    <w:tbl>
      <w:tblPr>
        <w:tblStyle w:val="TableGrid"/>
        <w:tblW w:w="9720" w:type="dxa"/>
        <w:tblInd w:w="-275" w:type="dxa"/>
        <w:tblLook w:val="04A0" w:firstRow="1" w:lastRow="0" w:firstColumn="1" w:lastColumn="0" w:noHBand="0" w:noVBand="1"/>
      </w:tblPr>
      <w:tblGrid>
        <w:gridCol w:w="4770"/>
        <w:gridCol w:w="627"/>
        <w:gridCol w:w="4323"/>
      </w:tblGrid>
      <w:tr w:rsidR="002140CF" w:rsidRPr="002140CF" w:rsidTr="0092129C">
        <w:trPr>
          <w:trHeight w:val="744"/>
        </w:trPr>
        <w:tc>
          <w:tcPr>
            <w:tcW w:w="5397" w:type="dxa"/>
            <w:gridSpan w:val="2"/>
            <w:vMerge w:val="restart"/>
          </w:tcPr>
          <w:p w:rsidR="00D26CB5" w:rsidRPr="002140CF" w:rsidRDefault="00D26CB5" w:rsidP="00A3347A">
            <w:pPr>
              <w:spacing w:line="360" w:lineRule="auto"/>
              <w:jc w:val="both"/>
              <w:rPr>
                <w:rFonts w:ascii="Arial" w:hAnsi="Arial" w:cs="Arial"/>
                <w:sz w:val="24"/>
                <w:szCs w:val="24"/>
              </w:rPr>
            </w:pPr>
            <w:r w:rsidRPr="002140CF">
              <w:rPr>
                <w:rFonts w:ascii="Arial" w:hAnsi="Arial" w:cs="Arial"/>
                <w:b/>
                <w:sz w:val="24"/>
                <w:szCs w:val="24"/>
              </w:rPr>
              <w:t>Case Title:</w:t>
            </w:r>
          </w:p>
          <w:p w:rsidR="00D26CB5" w:rsidRPr="002140CF" w:rsidRDefault="000F144F" w:rsidP="007223A3">
            <w:pPr>
              <w:spacing w:line="360" w:lineRule="auto"/>
              <w:jc w:val="both"/>
              <w:rPr>
                <w:rFonts w:ascii="Arial" w:hAnsi="Arial" w:cs="Arial"/>
                <w:sz w:val="24"/>
                <w:szCs w:val="24"/>
              </w:rPr>
            </w:pPr>
            <w:r w:rsidRPr="002140CF">
              <w:rPr>
                <w:rFonts w:ascii="Arial" w:hAnsi="Arial" w:cs="Arial"/>
                <w:sz w:val="24"/>
                <w:szCs w:val="24"/>
                <w:lang w:val="en-US"/>
              </w:rPr>
              <w:t>MONS VINUM LEISURE (PTY) LTD</w:t>
            </w:r>
            <w:r w:rsidR="00A3347A" w:rsidRPr="002140CF">
              <w:rPr>
                <w:rFonts w:ascii="Arial" w:hAnsi="Arial" w:cs="Arial"/>
                <w:sz w:val="24"/>
                <w:szCs w:val="24"/>
                <w:lang w:val="en-US"/>
              </w:rPr>
              <w:t xml:space="preserve"> v </w:t>
            </w:r>
            <w:r w:rsidRPr="002140CF">
              <w:rPr>
                <w:rFonts w:ascii="Arial" w:hAnsi="Arial" w:cs="Arial"/>
                <w:sz w:val="24"/>
                <w:szCs w:val="24"/>
                <w:lang w:val="en-US"/>
              </w:rPr>
              <w:t>TENBERGEN INVESTMENTS ONE PTY LTD</w:t>
            </w:r>
          </w:p>
        </w:tc>
        <w:tc>
          <w:tcPr>
            <w:tcW w:w="4323" w:type="dxa"/>
          </w:tcPr>
          <w:p w:rsidR="00D26CB5" w:rsidRPr="002140CF" w:rsidRDefault="00D26CB5" w:rsidP="00A3347A">
            <w:pPr>
              <w:spacing w:line="360" w:lineRule="auto"/>
              <w:jc w:val="both"/>
              <w:rPr>
                <w:rFonts w:ascii="Arial" w:hAnsi="Arial" w:cs="Arial"/>
                <w:sz w:val="24"/>
                <w:szCs w:val="24"/>
              </w:rPr>
            </w:pPr>
            <w:r w:rsidRPr="002140CF">
              <w:rPr>
                <w:rFonts w:ascii="Arial" w:hAnsi="Arial" w:cs="Arial"/>
                <w:b/>
                <w:sz w:val="24"/>
                <w:szCs w:val="24"/>
              </w:rPr>
              <w:t>Case No:</w:t>
            </w:r>
          </w:p>
          <w:p w:rsidR="00D26CB5" w:rsidRPr="002140CF" w:rsidRDefault="00A3347A" w:rsidP="000F144F">
            <w:pPr>
              <w:spacing w:line="360" w:lineRule="auto"/>
              <w:jc w:val="both"/>
              <w:rPr>
                <w:rFonts w:ascii="Arial" w:hAnsi="Arial" w:cs="Arial"/>
                <w:b/>
                <w:sz w:val="24"/>
                <w:szCs w:val="24"/>
              </w:rPr>
            </w:pPr>
            <w:r w:rsidRPr="002140CF">
              <w:rPr>
                <w:rFonts w:ascii="Arial" w:hAnsi="Arial" w:cs="Arial"/>
                <w:sz w:val="24"/>
                <w:szCs w:val="24"/>
              </w:rPr>
              <w:t>HC-MD-CIV-ACT-OTH-202</w:t>
            </w:r>
            <w:r w:rsidR="002140CF">
              <w:rPr>
                <w:rFonts w:ascii="Arial" w:hAnsi="Arial" w:cs="Arial"/>
                <w:sz w:val="24"/>
                <w:szCs w:val="24"/>
              </w:rPr>
              <w:t>3/02498</w:t>
            </w:r>
          </w:p>
        </w:tc>
      </w:tr>
      <w:tr w:rsidR="002140CF" w:rsidRPr="002140CF" w:rsidTr="0092129C">
        <w:trPr>
          <w:trHeight w:val="844"/>
        </w:trPr>
        <w:tc>
          <w:tcPr>
            <w:tcW w:w="5397" w:type="dxa"/>
            <w:gridSpan w:val="2"/>
            <w:vMerge/>
          </w:tcPr>
          <w:p w:rsidR="00D26CB5" w:rsidRPr="002140CF" w:rsidRDefault="00D26CB5" w:rsidP="00A3347A">
            <w:pPr>
              <w:spacing w:line="360" w:lineRule="auto"/>
              <w:jc w:val="both"/>
              <w:rPr>
                <w:rFonts w:ascii="Arial" w:hAnsi="Arial" w:cs="Arial"/>
                <w:sz w:val="24"/>
                <w:szCs w:val="24"/>
              </w:rPr>
            </w:pPr>
          </w:p>
        </w:tc>
        <w:tc>
          <w:tcPr>
            <w:tcW w:w="4323" w:type="dxa"/>
          </w:tcPr>
          <w:p w:rsidR="00D26CB5" w:rsidRPr="002140CF" w:rsidRDefault="00D26CB5" w:rsidP="00A3347A">
            <w:pPr>
              <w:spacing w:line="360" w:lineRule="auto"/>
              <w:jc w:val="both"/>
              <w:rPr>
                <w:rFonts w:ascii="Arial" w:hAnsi="Arial" w:cs="Arial"/>
                <w:sz w:val="24"/>
                <w:szCs w:val="24"/>
              </w:rPr>
            </w:pPr>
            <w:r w:rsidRPr="002140CF">
              <w:rPr>
                <w:rFonts w:ascii="Arial" w:hAnsi="Arial" w:cs="Arial"/>
                <w:b/>
                <w:sz w:val="24"/>
                <w:szCs w:val="24"/>
              </w:rPr>
              <w:t>Division of Court:</w:t>
            </w:r>
          </w:p>
          <w:p w:rsidR="00D26CB5" w:rsidRPr="002140CF" w:rsidRDefault="00C142A6" w:rsidP="00A3347A">
            <w:pPr>
              <w:spacing w:line="360" w:lineRule="auto"/>
              <w:jc w:val="both"/>
              <w:rPr>
                <w:rFonts w:ascii="Arial" w:hAnsi="Arial" w:cs="Arial"/>
                <w:sz w:val="24"/>
                <w:szCs w:val="24"/>
              </w:rPr>
            </w:pPr>
            <w:r w:rsidRPr="002140CF">
              <w:rPr>
                <w:rFonts w:ascii="Arial" w:hAnsi="Arial" w:cs="Arial"/>
                <w:sz w:val="24"/>
                <w:szCs w:val="24"/>
              </w:rPr>
              <w:t xml:space="preserve"> </w:t>
            </w:r>
            <w:r w:rsidR="00D26CB5" w:rsidRPr="002140CF">
              <w:rPr>
                <w:rFonts w:ascii="Arial" w:hAnsi="Arial" w:cs="Arial"/>
                <w:sz w:val="24"/>
                <w:szCs w:val="24"/>
              </w:rPr>
              <w:t>(MAIN DIVISION)</w:t>
            </w:r>
          </w:p>
        </w:tc>
      </w:tr>
      <w:tr w:rsidR="002140CF" w:rsidRPr="002140CF" w:rsidTr="0092129C">
        <w:trPr>
          <w:trHeight w:val="645"/>
        </w:trPr>
        <w:tc>
          <w:tcPr>
            <w:tcW w:w="5397" w:type="dxa"/>
            <w:gridSpan w:val="2"/>
            <w:vMerge w:val="restart"/>
          </w:tcPr>
          <w:p w:rsidR="00D26CB5" w:rsidRPr="002140CF" w:rsidRDefault="00D26CB5" w:rsidP="00A3347A">
            <w:pPr>
              <w:spacing w:line="360" w:lineRule="auto"/>
              <w:jc w:val="both"/>
              <w:rPr>
                <w:rFonts w:ascii="Arial" w:hAnsi="Arial" w:cs="Arial"/>
                <w:b/>
                <w:sz w:val="24"/>
                <w:szCs w:val="24"/>
              </w:rPr>
            </w:pPr>
            <w:r w:rsidRPr="002140CF">
              <w:rPr>
                <w:rFonts w:ascii="Arial" w:hAnsi="Arial" w:cs="Arial"/>
                <w:b/>
                <w:sz w:val="24"/>
                <w:szCs w:val="24"/>
              </w:rPr>
              <w:t>Heard before:</w:t>
            </w:r>
          </w:p>
          <w:p w:rsidR="00D26CB5" w:rsidRPr="002140CF" w:rsidRDefault="002235A5" w:rsidP="00A3347A">
            <w:pPr>
              <w:spacing w:line="360" w:lineRule="auto"/>
              <w:jc w:val="both"/>
              <w:rPr>
                <w:rFonts w:ascii="Arial" w:hAnsi="Arial" w:cs="Arial"/>
                <w:sz w:val="24"/>
                <w:szCs w:val="24"/>
              </w:rPr>
            </w:pPr>
            <w:r w:rsidRPr="002140CF">
              <w:rPr>
                <w:rFonts w:ascii="Arial" w:hAnsi="Arial" w:cs="Arial"/>
                <w:sz w:val="24"/>
                <w:szCs w:val="24"/>
              </w:rPr>
              <w:t>CLAASEN J</w:t>
            </w:r>
          </w:p>
        </w:tc>
        <w:tc>
          <w:tcPr>
            <w:tcW w:w="4323" w:type="dxa"/>
          </w:tcPr>
          <w:p w:rsidR="00D26CB5" w:rsidRPr="002140CF" w:rsidRDefault="00D26CB5" w:rsidP="00A3347A">
            <w:pPr>
              <w:spacing w:line="360" w:lineRule="auto"/>
              <w:jc w:val="both"/>
              <w:rPr>
                <w:rFonts w:ascii="Arial" w:hAnsi="Arial" w:cs="Arial"/>
                <w:b/>
                <w:sz w:val="24"/>
                <w:szCs w:val="24"/>
              </w:rPr>
            </w:pPr>
            <w:r w:rsidRPr="002140CF">
              <w:rPr>
                <w:rFonts w:ascii="Arial" w:hAnsi="Arial" w:cs="Arial"/>
                <w:b/>
                <w:sz w:val="24"/>
                <w:szCs w:val="24"/>
              </w:rPr>
              <w:t>Date of hearing:</w:t>
            </w:r>
          </w:p>
          <w:p w:rsidR="00D26CB5" w:rsidRPr="002140CF" w:rsidRDefault="00C01336" w:rsidP="000F144F">
            <w:pPr>
              <w:spacing w:line="360" w:lineRule="auto"/>
              <w:jc w:val="both"/>
              <w:rPr>
                <w:rFonts w:ascii="Arial" w:hAnsi="Arial" w:cs="Arial"/>
                <w:sz w:val="24"/>
                <w:szCs w:val="24"/>
              </w:rPr>
            </w:pPr>
            <w:r w:rsidRPr="002140CF">
              <w:rPr>
                <w:rFonts w:ascii="Arial" w:hAnsi="Arial" w:cs="Arial"/>
                <w:sz w:val="24"/>
                <w:szCs w:val="24"/>
              </w:rPr>
              <w:t xml:space="preserve"> </w:t>
            </w:r>
            <w:r w:rsidR="000F144F" w:rsidRPr="002140CF">
              <w:rPr>
                <w:rFonts w:ascii="Arial" w:hAnsi="Arial" w:cs="Arial"/>
                <w:sz w:val="24"/>
                <w:szCs w:val="24"/>
              </w:rPr>
              <w:t xml:space="preserve">14 NOVEMBER </w:t>
            </w:r>
            <w:r w:rsidR="00A3347A" w:rsidRPr="002140CF">
              <w:rPr>
                <w:rFonts w:ascii="Arial" w:hAnsi="Arial" w:cs="Arial"/>
                <w:sz w:val="24"/>
                <w:szCs w:val="24"/>
              </w:rPr>
              <w:t>2023</w:t>
            </w:r>
          </w:p>
        </w:tc>
      </w:tr>
      <w:tr w:rsidR="002140CF" w:rsidRPr="002140CF" w:rsidTr="0092129C">
        <w:trPr>
          <w:trHeight w:val="588"/>
        </w:trPr>
        <w:tc>
          <w:tcPr>
            <w:tcW w:w="5397" w:type="dxa"/>
            <w:gridSpan w:val="2"/>
            <w:vMerge/>
          </w:tcPr>
          <w:p w:rsidR="00D26CB5" w:rsidRPr="002140CF" w:rsidRDefault="00D26CB5" w:rsidP="00A3347A">
            <w:pPr>
              <w:spacing w:line="360" w:lineRule="auto"/>
              <w:jc w:val="both"/>
              <w:rPr>
                <w:rFonts w:ascii="Arial" w:hAnsi="Arial" w:cs="Arial"/>
                <w:b/>
                <w:sz w:val="24"/>
                <w:szCs w:val="24"/>
              </w:rPr>
            </w:pPr>
          </w:p>
        </w:tc>
        <w:tc>
          <w:tcPr>
            <w:tcW w:w="4323" w:type="dxa"/>
          </w:tcPr>
          <w:p w:rsidR="00D26CB5" w:rsidRPr="002140CF" w:rsidRDefault="0042554E" w:rsidP="00A3347A">
            <w:pPr>
              <w:spacing w:line="360" w:lineRule="auto"/>
              <w:jc w:val="both"/>
              <w:rPr>
                <w:rFonts w:ascii="Arial" w:hAnsi="Arial" w:cs="Arial"/>
                <w:b/>
                <w:sz w:val="24"/>
                <w:szCs w:val="24"/>
              </w:rPr>
            </w:pPr>
            <w:r w:rsidRPr="002140CF">
              <w:rPr>
                <w:rFonts w:ascii="Arial" w:hAnsi="Arial" w:cs="Arial"/>
                <w:b/>
                <w:sz w:val="24"/>
                <w:szCs w:val="24"/>
              </w:rPr>
              <w:t>Date of order</w:t>
            </w:r>
            <w:r w:rsidR="00D26CB5" w:rsidRPr="002140CF">
              <w:rPr>
                <w:rFonts w:ascii="Arial" w:hAnsi="Arial" w:cs="Arial"/>
                <w:b/>
                <w:sz w:val="24"/>
                <w:szCs w:val="24"/>
              </w:rPr>
              <w:t>:</w:t>
            </w:r>
          </w:p>
          <w:p w:rsidR="00890FD4" w:rsidRPr="002140CF" w:rsidRDefault="002140CF" w:rsidP="00A3347A">
            <w:pPr>
              <w:spacing w:line="360" w:lineRule="auto"/>
              <w:jc w:val="both"/>
              <w:rPr>
                <w:rFonts w:ascii="Arial" w:hAnsi="Arial" w:cs="Arial"/>
                <w:sz w:val="24"/>
                <w:szCs w:val="24"/>
              </w:rPr>
            </w:pPr>
            <w:r>
              <w:rPr>
                <w:rFonts w:ascii="Arial" w:hAnsi="Arial" w:cs="Arial"/>
                <w:sz w:val="24"/>
                <w:szCs w:val="24"/>
              </w:rPr>
              <w:t>28</w:t>
            </w:r>
            <w:r w:rsidR="00561948" w:rsidRPr="002140CF">
              <w:rPr>
                <w:rFonts w:ascii="Arial" w:hAnsi="Arial" w:cs="Arial"/>
                <w:sz w:val="24"/>
                <w:szCs w:val="24"/>
              </w:rPr>
              <w:t xml:space="preserve"> </w:t>
            </w:r>
            <w:r w:rsidR="00A3347A" w:rsidRPr="002140CF">
              <w:rPr>
                <w:rFonts w:ascii="Arial" w:hAnsi="Arial" w:cs="Arial"/>
                <w:sz w:val="24"/>
                <w:szCs w:val="24"/>
              </w:rPr>
              <w:t xml:space="preserve"> NOVEMBER 2023</w:t>
            </w:r>
          </w:p>
        </w:tc>
      </w:tr>
      <w:tr w:rsidR="002140CF" w:rsidRPr="002140CF" w:rsidTr="0092129C">
        <w:tc>
          <w:tcPr>
            <w:tcW w:w="9720" w:type="dxa"/>
            <w:gridSpan w:val="3"/>
          </w:tcPr>
          <w:p w:rsidR="00D26CB5" w:rsidRPr="002140CF" w:rsidRDefault="00D26CB5" w:rsidP="00853A83">
            <w:pPr>
              <w:pStyle w:val="form-control-static"/>
              <w:shd w:val="clear" w:color="auto" w:fill="FFFFFF"/>
              <w:spacing w:before="0" w:beforeAutospacing="0" w:after="0" w:afterAutospacing="0" w:line="360" w:lineRule="auto"/>
              <w:jc w:val="both"/>
              <w:rPr>
                <w:rFonts w:ascii="Arial" w:hAnsi="Arial" w:cs="Arial"/>
              </w:rPr>
            </w:pPr>
            <w:r w:rsidRPr="002140CF">
              <w:rPr>
                <w:rFonts w:ascii="Arial" w:hAnsi="Arial" w:cs="Arial"/>
                <w:b/>
              </w:rPr>
              <w:t xml:space="preserve">Neutral citation: </w:t>
            </w:r>
            <w:bookmarkStart w:id="0" w:name="_GoBack"/>
            <w:r w:rsidR="000F144F" w:rsidRPr="002140CF">
              <w:rPr>
                <w:rFonts w:ascii="Arial" w:hAnsi="Arial" w:cs="Arial"/>
                <w:i/>
              </w:rPr>
              <w:t xml:space="preserve">Mons Vinum Leisure (Pty) Ltd V Tenbergen Investments One Pty Ltd </w:t>
            </w:r>
            <w:r w:rsidR="009F29F0" w:rsidRPr="002140CF">
              <w:rPr>
                <w:rFonts w:ascii="Arial" w:hAnsi="Arial" w:cs="Arial"/>
              </w:rPr>
              <w:t>(</w:t>
            </w:r>
            <w:r w:rsidR="000F144F" w:rsidRPr="002140CF">
              <w:rPr>
                <w:rFonts w:ascii="Arial" w:hAnsi="Arial" w:cs="Arial"/>
                <w:lang w:val="en-ZA"/>
              </w:rPr>
              <w:t>HC-MD-CIV-ACT-OTH-2023/02498</w:t>
            </w:r>
            <w:r w:rsidR="00A3347A" w:rsidRPr="002140CF">
              <w:rPr>
                <w:rFonts w:ascii="Arial" w:hAnsi="Arial" w:cs="Arial"/>
              </w:rPr>
              <w:t>) [2023</w:t>
            </w:r>
            <w:r w:rsidR="002038BE" w:rsidRPr="002140CF">
              <w:rPr>
                <w:rFonts w:ascii="Arial" w:hAnsi="Arial" w:cs="Arial"/>
              </w:rPr>
              <w:t xml:space="preserve">] NAHCMD </w:t>
            </w:r>
            <w:r w:rsidR="00853A83">
              <w:rPr>
                <w:rFonts w:ascii="Arial" w:hAnsi="Arial" w:cs="Arial"/>
              </w:rPr>
              <w:t>769</w:t>
            </w:r>
            <w:r w:rsidR="00A3347A" w:rsidRPr="002140CF">
              <w:rPr>
                <w:rFonts w:ascii="Arial" w:hAnsi="Arial" w:cs="Arial"/>
              </w:rPr>
              <w:t xml:space="preserve"> </w:t>
            </w:r>
            <w:r w:rsidR="009F29F0" w:rsidRPr="002140CF">
              <w:rPr>
                <w:rFonts w:ascii="Arial" w:hAnsi="Arial" w:cs="Arial"/>
              </w:rPr>
              <w:t>(</w:t>
            </w:r>
            <w:r w:rsidR="007223A3" w:rsidRPr="002140CF">
              <w:rPr>
                <w:rFonts w:ascii="Arial" w:hAnsi="Arial" w:cs="Arial"/>
              </w:rPr>
              <w:t>28</w:t>
            </w:r>
            <w:r w:rsidR="00A3347A" w:rsidRPr="002140CF">
              <w:rPr>
                <w:rFonts w:ascii="Arial" w:hAnsi="Arial" w:cs="Arial"/>
              </w:rPr>
              <w:t xml:space="preserve"> November 2023</w:t>
            </w:r>
            <w:r w:rsidR="009F29F0" w:rsidRPr="002140CF">
              <w:rPr>
                <w:rFonts w:ascii="Arial" w:hAnsi="Arial" w:cs="Arial"/>
              </w:rPr>
              <w:t>)</w:t>
            </w:r>
            <w:bookmarkEnd w:id="0"/>
          </w:p>
        </w:tc>
      </w:tr>
      <w:tr w:rsidR="002140CF" w:rsidRPr="002140CF" w:rsidTr="0092129C">
        <w:tc>
          <w:tcPr>
            <w:tcW w:w="9720" w:type="dxa"/>
            <w:gridSpan w:val="3"/>
          </w:tcPr>
          <w:p w:rsidR="001D748C" w:rsidRPr="002140CF" w:rsidRDefault="001D748C" w:rsidP="00A3347A">
            <w:pPr>
              <w:pStyle w:val="form-control-static"/>
              <w:shd w:val="clear" w:color="auto" w:fill="FFFFFF"/>
              <w:spacing w:before="0" w:beforeAutospacing="0" w:after="0" w:afterAutospacing="0" w:line="360" w:lineRule="auto"/>
              <w:jc w:val="both"/>
              <w:rPr>
                <w:rFonts w:ascii="Arial" w:hAnsi="Arial" w:cs="Arial"/>
                <w:b/>
              </w:rPr>
            </w:pPr>
          </w:p>
          <w:p w:rsidR="00D26CB5" w:rsidRPr="002140CF" w:rsidRDefault="001D748C" w:rsidP="00C142A6">
            <w:pPr>
              <w:pStyle w:val="form-control-static"/>
              <w:shd w:val="clear" w:color="auto" w:fill="FFFFFF"/>
              <w:spacing w:before="0" w:beforeAutospacing="0" w:after="0" w:afterAutospacing="0" w:line="360" w:lineRule="auto"/>
              <w:rPr>
                <w:rFonts w:ascii="Arial" w:hAnsi="Arial" w:cs="Arial"/>
                <w:b/>
              </w:rPr>
            </w:pPr>
            <w:r w:rsidRPr="002140CF">
              <w:rPr>
                <w:rFonts w:ascii="Arial" w:hAnsi="Arial" w:cs="Arial"/>
                <w:b/>
              </w:rPr>
              <w:t>ORDER</w:t>
            </w:r>
          </w:p>
        </w:tc>
      </w:tr>
      <w:tr w:rsidR="002140CF" w:rsidRPr="002140CF" w:rsidTr="0092129C">
        <w:tc>
          <w:tcPr>
            <w:tcW w:w="9720" w:type="dxa"/>
            <w:gridSpan w:val="3"/>
          </w:tcPr>
          <w:p w:rsidR="00D26CB5" w:rsidRPr="002140CF" w:rsidRDefault="00BA6145" w:rsidP="00BA6145">
            <w:pPr>
              <w:tabs>
                <w:tab w:val="left" w:pos="780"/>
                <w:tab w:val="left" w:pos="1035"/>
              </w:tabs>
              <w:spacing w:line="360" w:lineRule="auto"/>
              <w:jc w:val="both"/>
              <w:rPr>
                <w:rFonts w:ascii="Arial" w:hAnsi="Arial" w:cs="Arial"/>
                <w:sz w:val="24"/>
                <w:szCs w:val="24"/>
              </w:rPr>
            </w:pPr>
            <w:r>
              <w:rPr>
                <w:rFonts w:ascii="Arial" w:hAnsi="Arial" w:cs="Arial"/>
                <w:sz w:val="24"/>
                <w:szCs w:val="24"/>
              </w:rPr>
              <w:tab/>
            </w:r>
          </w:p>
          <w:p w:rsidR="00561948" w:rsidRPr="002140CF" w:rsidRDefault="00561948" w:rsidP="00561948">
            <w:pPr>
              <w:pStyle w:val="NormalWeb"/>
              <w:numPr>
                <w:ilvl w:val="0"/>
                <w:numId w:val="10"/>
              </w:numPr>
              <w:spacing w:after="0" w:line="360" w:lineRule="auto"/>
              <w:jc w:val="both"/>
              <w:rPr>
                <w:rFonts w:ascii="Arial" w:hAnsi="Arial" w:cs="Arial"/>
                <w:lang w:val="en-ZA"/>
              </w:rPr>
            </w:pPr>
            <w:r w:rsidRPr="002140CF">
              <w:rPr>
                <w:rFonts w:ascii="Arial" w:hAnsi="Arial" w:cs="Arial"/>
                <w:lang w:val="en-ZA"/>
              </w:rPr>
              <w:t xml:space="preserve">The defendants’ exception brought against the plaintiff’s particulars of claim is dismissed. </w:t>
            </w:r>
          </w:p>
          <w:p w:rsidR="00561948" w:rsidRPr="002140CF" w:rsidRDefault="002140CF" w:rsidP="00561948">
            <w:pPr>
              <w:pStyle w:val="NormalWeb"/>
              <w:numPr>
                <w:ilvl w:val="0"/>
                <w:numId w:val="10"/>
              </w:numPr>
              <w:spacing w:after="0" w:line="360" w:lineRule="auto"/>
              <w:jc w:val="both"/>
              <w:rPr>
                <w:rFonts w:ascii="Arial" w:hAnsi="Arial" w:cs="Arial"/>
                <w:lang w:val="en-ZA"/>
              </w:rPr>
            </w:pPr>
            <w:r>
              <w:rPr>
                <w:rFonts w:ascii="Arial" w:hAnsi="Arial" w:cs="Arial"/>
                <w:lang w:val="en-ZA"/>
              </w:rPr>
              <w:t>The defendants</w:t>
            </w:r>
            <w:r w:rsidR="00561948" w:rsidRPr="002140CF">
              <w:rPr>
                <w:rFonts w:ascii="Arial" w:hAnsi="Arial" w:cs="Arial"/>
                <w:lang w:val="en-ZA"/>
              </w:rPr>
              <w:t xml:space="preserve"> must pay the plaintiff’s costs of opposing the exception, jointly and severally, the cost to </w:t>
            </w:r>
            <w:r w:rsidR="007223A3" w:rsidRPr="002140CF">
              <w:rPr>
                <w:rFonts w:ascii="Arial" w:hAnsi="Arial" w:cs="Arial"/>
                <w:lang w:val="en-ZA"/>
              </w:rPr>
              <w:t>be limited in terms of rule 32(11).</w:t>
            </w:r>
          </w:p>
          <w:p w:rsidR="00561948" w:rsidRPr="002140CF" w:rsidRDefault="00561948" w:rsidP="00561948">
            <w:pPr>
              <w:pStyle w:val="NormalWeb"/>
              <w:numPr>
                <w:ilvl w:val="0"/>
                <w:numId w:val="10"/>
              </w:numPr>
              <w:spacing w:before="0" w:beforeAutospacing="0" w:after="0" w:afterAutospacing="0" w:line="360" w:lineRule="auto"/>
              <w:jc w:val="both"/>
              <w:rPr>
                <w:rFonts w:ascii="Arial" w:hAnsi="Arial" w:cs="Arial"/>
              </w:rPr>
            </w:pPr>
            <w:r w:rsidRPr="002140CF">
              <w:rPr>
                <w:rFonts w:ascii="Arial" w:hAnsi="Arial" w:cs="Arial"/>
              </w:rPr>
              <w:t>The matter is post</w:t>
            </w:r>
            <w:r w:rsidR="00FA4ADB">
              <w:rPr>
                <w:rFonts w:ascii="Arial" w:hAnsi="Arial" w:cs="Arial"/>
              </w:rPr>
              <w:t xml:space="preserve">poned to </w:t>
            </w:r>
            <w:r w:rsidR="00FA4ADB" w:rsidRPr="00FA4ADB">
              <w:rPr>
                <w:rFonts w:ascii="Arial" w:hAnsi="Arial" w:cs="Arial"/>
                <w:b/>
              </w:rPr>
              <w:t>17 January 2024</w:t>
            </w:r>
            <w:r w:rsidR="00FA4ADB">
              <w:rPr>
                <w:rFonts w:ascii="Arial" w:hAnsi="Arial" w:cs="Arial"/>
              </w:rPr>
              <w:t xml:space="preserve"> at </w:t>
            </w:r>
            <w:r w:rsidR="00FA4ADB" w:rsidRPr="00FA4ADB">
              <w:rPr>
                <w:rFonts w:ascii="Arial" w:hAnsi="Arial" w:cs="Arial"/>
                <w:b/>
              </w:rPr>
              <w:t>08h</w:t>
            </w:r>
            <w:r w:rsidRPr="00FA4ADB">
              <w:rPr>
                <w:rFonts w:ascii="Arial" w:hAnsi="Arial" w:cs="Arial"/>
                <w:b/>
              </w:rPr>
              <w:t xml:space="preserve">30 </w:t>
            </w:r>
            <w:r w:rsidRPr="002140CF">
              <w:rPr>
                <w:rFonts w:ascii="Arial" w:hAnsi="Arial" w:cs="Arial"/>
              </w:rPr>
              <w:t>for case planning conference.</w:t>
            </w:r>
          </w:p>
          <w:p w:rsidR="005735F1" w:rsidRPr="00FA4ADB" w:rsidRDefault="00561948" w:rsidP="00FA4ADB">
            <w:pPr>
              <w:pStyle w:val="ListParagraph"/>
              <w:numPr>
                <w:ilvl w:val="0"/>
                <w:numId w:val="10"/>
              </w:numPr>
              <w:spacing w:line="360" w:lineRule="auto"/>
              <w:jc w:val="both"/>
              <w:rPr>
                <w:rFonts w:ascii="Arial" w:hAnsi="Arial" w:cs="Arial"/>
                <w:sz w:val="24"/>
                <w:szCs w:val="24"/>
                <w:lang w:val="en-US"/>
              </w:rPr>
            </w:pPr>
            <w:r w:rsidRPr="002140CF">
              <w:rPr>
                <w:rFonts w:ascii="Arial" w:hAnsi="Arial" w:cs="Arial"/>
                <w:sz w:val="24"/>
                <w:szCs w:val="24"/>
              </w:rPr>
              <w:t>The parties must file a joint case plan report on or before 15 January 2024.</w:t>
            </w:r>
          </w:p>
        </w:tc>
      </w:tr>
      <w:tr w:rsidR="002140CF" w:rsidRPr="002140CF" w:rsidTr="0092129C">
        <w:tc>
          <w:tcPr>
            <w:tcW w:w="9720" w:type="dxa"/>
            <w:gridSpan w:val="3"/>
          </w:tcPr>
          <w:p w:rsidR="002140CF" w:rsidRDefault="002140CF" w:rsidP="00C142A6">
            <w:pPr>
              <w:spacing w:line="360" w:lineRule="auto"/>
              <w:rPr>
                <w:rFonts w:ascii="Arial" w:hAnsi="Arial" w:cs="Arial"/>
                <w:b/>
                <w:sz w:val="24"/>
                <w:szCs w:val="24"/>
                <w:lang w:val="en-US"/>
              </w:rPr>
            </w:pPr>
          </w:p>
          <w:p w:rsidR="00D26CB5" w:rsidRPr="002140CF" w:rsidRDefault="002140CF" w:rsidP="00C142A6">
            <w:pPr>
              <w:spacing w:line="360" w:lineRule="auto"/>
              <w:rPr>
                <w:rFonts w:ascii="Arial" w:hAnsi="Arial" w:cs="Arial"/>
                <w:b/>
                <w:sz w:val="24"/>
                <w:szCs w:val="24"/>
                <w:lang w:val="en-US"/>
              </w:rPr>
            </w:pPr>
            <w:r>
              <w:rPr>
                <w:rFonts w:ascii="Arial" w:hAnsi="Arial" w:cs="Arial"/>
                <w:b/>
                <w:sz w:val="24"/>
                <w:szCs w:val="24"/>
                <w:lang w:val="en-US"/>
              </w:rPr>
              <w:t>REASONS</w:t>
            </w:r>
          </w:p>
        </w:tc>
      </w:tr>
      <w:tr w:rsidR="002140CF" w:rsidRPr="002140CF" w:rsidTr="00194111">
        <w:tc>
          <w:tcPr>
            <w:tcW w:w="9720" w:type="dxa"/>
            <w:gridSpan w:val="3"/>
            <w:shd w:val="clear" w:color="auto" w:fill="auto"/>
          </w:tcPr>
          <w:p w:rsidR="00C01336" w:rsidRPr="002140CF" w:rsidRDefault="00C142A6" w:rsidP="00A3347A">
            <w:pPr>
              <w:tabs>
                <w:tab w:val="left" w:pos="1275"/>
              </w:tabs>
              <w:spacing w:line="360" w:lineRule="auto"/>
              <w:jc w:val="both"/>
              <w:rPr>
                <w:rFonts w:ascii="Arial" w:hAnsi="Arial" w:cs="Arial"/>
                <w:sz w:val="24"/>
                <w:szCs w:val="24"/>
              </w:rPr>
            </w:pPr>
            <w:r w:rsidRPr="002140CF">
              <w:rPr>
                <w:rFonts w:ascii="Arial" w:hAnsi="Arial" w:cs="Arial"/>
                <w:sz w:val="24"/>
                <w:szCs w:val="24"/>
              </w:rPr>
              <w:t>Claasen J</w:t>
            </w:r>
          </w:p>
          <w:p w:rsidR="00C142A6" w:rsidRPr="002140CF" w:rsidRDefault="00C142A6" w:rsidP="00A3347A">
            <w:pPr>
              <w:tabs>
                <w:tab w:val="left" w:pos="1275"/>
              </w:tabs>
              <w:spacing w:line="360" w:lineRule="auto"/>
              <w:jc w:val="both"/>
              <w:rPr>
                <w:rFonts w:ascii="Arial" w:hAnsi="Arial" w:cs="Arial"/>
                <w:sz w:val="24"/>
                <w:szCs w:val="24"/>
              </w:rPr>
            </w:pPr>
          </w:p>
          <w:p w:rsidR="00A3347A" w:rsidRPr="002140CF" w:rsidRDefault="00A3347A" w:rsidP="00A3347A">
            <w:pPr>
              <w:spacing w:line="360" w:lineRule="auto"/>
              <w:jc w:val="both"/>
              <w:rPr>
                <w:rFonts w:ascii="Arial" w:hAnsi="Arial" w:cs="Arial"/>
                <w:sz w:val="24"/>
                <w:szCs w:val="24"/>
                <w:u w:val="single"/>
                <w:lang w:val="en-US"/>
              </w:rPr>
            </w:pPr>
            <w:r w:rsidRPr="002140CF">
              <w:rPr>
                <w:rFonts w:ascii="Arial" w:hAnsi="Arial" w:cs="Arial"/>
                <w:sz w:val="24"/>
                <w:szCs w:val="24"/>
                <w:u w:val="single"/>
                <w:lang w:val="en-US"/>
              </w:rPr>
              <w:lastRenderedPageBreak/>
              <w:t xml:space="preserve">Introduction </w:t>
            </w:r>
          </w:p>
          <w:p w:rsidR="00A3347A" w:rsidRPr="002140CF" w:rsidRDefault="00A3347A" w:rsidP="00A3347A">
            <w:pPr>
              <w:spacing w:line="360" w:lineRule="auto"/>
              <w:jc w:val="both"/>
              <w:rPr>
                <w:rFonts w:ascii="Arial" w:hAnsi="Arial" w:cs="Arial"/>
                <w:sz w:val="24"/>
                <w:szCs w:val="24"/>
                <w:u w:val="single"/>
                <w:lang w:val="en-US"/>
              </w:rPr>
            </w:pPr>
          </w:p>
          <w:p w:rsidR="00A3347A" w:rsidRPr="002140CF" w:rsidRDefault="00A3347A" w:rsidP="00B21034">
            <w:pPr>
              <w:tabs>
                <w:tab w:val="left" w:pos="702"/>
              </w:tabs>
              <w:spacing w:line="360" w:lineRule="auto"/>
              <w:jc w:val="both"/>
              <w:rPr>
                <w:rFonts w:ascii="Arial" w:hAnsi="Arial" w:cs="Arial"/>
                <w:sz w:val="24"/>
                <w:szCs w:val="24"/>
                <w:lang w:val="en-US"/>
              </w:rPr>
            </w:pPr>
            <w:r w:rsidRPr="002140CF">
              <w:rPr>
                <w:rFonts w:ascii="Arial" w:hAnsi="Arial" w:cs="Arial"/>
                <w:sz w:val="24"/>
                <w:szCs w:val="24"/>
                <w:lang w:val="en-US"/>
              </w:rPr>
              <w:t>[1]</w:t>
            </w:r>
            <w:r w:rsidRPr="002140CF">
              <w:rPr>
                <w:rFonts w:ascii="Arial" w:hAnsi="Arial" w:cs="Arial"/>
                <w:sz w:val="24"/>
                <w:szCs w:val="24"/>
                <w:lang w:val="en-US"/>
              </w:rPr>
              <w:tab/>
              <w:t xml:space="preserve">This is an </w:t>
            </w:r>
            <w:r w:rsidR="000F144F" w:rsidRPr="002140CF">
              <w:rPr>
                <w:rFonts w:ascii="Arial" w:hAnsi="Arial" w:cs="Arial"/>
                <w:sz w:val="24"/>
                <w:szCs w:val="24"/>
                <w:lang w:val="en-US"/>
              </w:rPr>
              <w:t xml:space="preserve">opposed interlocutory application by the defendants who raised an exception to the plaintiff’s particulars of claim on the </w:t>
            </w:r>
            <w:r w:rsidR="00073905" w:rsidRPr="002140CF">
              <w:rPr>
                <w:rFonts w:ascii="Arial" w:hAnsi="Arial" w:cs="Arial"/>
                <w:sz w:val="24"/>
                <w:szCs w:val="24"/>
                <w:lang w:val="en-US"/>
              </w:rPr>
              <w:t xml:space="preserve">ground </w:t>
            </w:r>
            <w:r w:rsidR="000F144F" w:rsidRPr="002140CF">
              <w:rPr>
                <w:rFonts w:ascii="Arial" w:hAnsi="Arial" w:cs="Arial"/>
                <w:sz w:val="24"/>
                <w:szCs w:val="24"/>
                <w:lang w:val="en-US"/>
              </w:rPr>
              <w:t xml:space="preserve">that it does not sustain a valid and enforceable cause of action. </w:t>
            </w:r>
          </w:p>
          <w:p w:rsidR="00A55296" w:rsidRPr="002140CF" w:rsidRDefault="00A55296" w:rsidP="00A3347A">
            <w:pPr>
              <w:tabs>
                <w:tab w:val="left" w:pos="927"/>
              </w:tabs>
              <w:spacing w:line="360" w:lineRule="auto"/>
              <w:jc w:val="both"/>
              <w:rPr>
                <w:rFonts w:ascii="Arial" w:hAnsi="Arial" w:cs="Arial"/>
                <w:sz w:val="24"/>
                <w:szCs w:val="24"/>
                <w:lang w:val="en-US"/>
              </w:rPr>
            </w:pPr>
          </w:p>
          <w:p w:rsidR="00A3347A" w:rsidRPr="002140CF" w:rsidRDefault="000F144F" w:rsidP="00A3347A">
            <w:pPr>
              <w:tabs>
                <w:tab w:val="left" w:pos="927"/>
              </w:tabs>
              <w:spacing w:line="360" w:lineRule="auto"/>
              <w:jc w:val="both"/>
              <w:rPr>
                <w:rFonts w:ascii="Arial" w:hAnsi="Arial" w:cs="Arial"/>
                <w:sz w:val="24"/>
                <w:szCs w:val="24"/>
                <w:u w:val="single"/>
                <w:lang w:val="en-US"/>
              </w:rPr>
            </w:pPr>
            <w:r w:rsidRPr="002140CF">
              <w:rPr>
                <w:rFonts w:ascii="Arial" w:hAnsi="Arial" w:cs="Arial"/>
                <w:sz w:val="24"/>
                <w:szCs w:val="24"/>
                <w:u w:val="single"/>
                <w:lang w:val="en-US"/>
              </w:rPr>
              <w:t>B</w:t>
            </w:r>
            <w:r w:rsidR="00A3347A" w:rsidRPr="002140CF">
              <w:rPr>
                <w:rFonts w:ascii="Arial" w:hAnsi="Arial" w:cs="Arial"/>
                <w:sz w:val="24"/>
                <w:szCs w:val="24"/>
                <w:u w:val="single"/>
                <w:lang w:val="en-US"/>
              </w:rPr>
              <w:t>ackground</w:t>
            </w:r>
          </w:p>
          <w:p w:rsidR="00A3347A" w:rsidRPr="002140CF" w:rsidRDefault="00A3347A" w:rsidP="00A3347A">
            <w:pPr>
              <w:tabs>
                <w:tab w:val="left" w:pos="927"/>
              </w:tabs>
              <w:spacing w:line="360" w:lineRule="auto"/>
              <w:jc w:val="both"/>
              <w:rPr>
                <w:rFonts w:ascii="Arial" w:hAnsi="Arial" w:cs="Arial"/>
                <w:sz w:val="24"/>
                <w:szCs w:val="24"/>
                <w:lang w:val="en-US"/>
              </w:rPr>
            </w:pPr>
          </w:p>
          <w:p w:rsidR="00073905" w:rsidRPr="002140CF" w:rsidRDefault="00A3347A" w:rsidP="00B21034">
            <w:pPr>
              <w:tabs>
                <w:tab w:val="left" w:pos="702"/>
              </w:tabs>
              <w:spacing w:line="360" w:lineRule="auto"/>
              <w:jc w:val="both"/>
              <w:rPr>
                <w:rFonts w:ascii="Arial" w:hAnsi="Arial" w:cs="Arial"/>
                <w:sz w:val="24"/>
                <w:szCs w:val="24"/>
                <w:lang w:val="en-US"/>
              </w:rPr>
            </w:pPr>
            <w:r w:rsidRPr="002140CF">
              <w:rPr>
                <w:rFonts w:ascii="Arial" w:hAnsi="Arial" w:cs="Arial"/>
                <w:sz w:val="24"/>
                <w:szCs w:val="24"/>
                <w:lang w:val="en-US"/>
              </w:rPr>
              <w:t>[</w:t>
            </w:r>
            <w:r w:rsidR="00073905" w:rsidRPr="002140CF">
              <w:rPr>
                <w:rFonts w:ascii="Arial" w:hAnsi="Arial" w:cs="Arial"/>
                <w:sz w:val="24"/>
                <w:szCs w:val="24"/>
                <w:lang w:val="en-US"/>
              </w:rPr>
              <w:t>2</w:t>
            </w:r>
            <w:r w:rsidR="00B21034" w:rsidRPr="002140CF">
              <w:rPr>
                <w:rFonts w:ascii="Arial" w:hAnsi="Arial" w:cs="Arial"/>
                <w:sz w:val="24"/>
                <w:szCs w:val="24"/>
                <w:lang w:val="en-US"/>
              </w:rPr>
              <w:t>]</w:t>
            </w:r>
            <w:r w:rsidRPr="002140CF">
              <w:rPr>
                <w:rFonts w:ascii="Arial" w:hAnsi="Arial" w:cs="Arial"/>
                <w:sz w:val="24"/>
                <w:szCs w:val="24"/>
                <w:lang w:val="en-US"/>
              </w:rPr>
              <w:tab/>
            </w:r>
            <w:r w:rsidR="00A55296" w:rsidRPr="002140CF">
              <w:rPr>
                <w:rFonts w:ascii="Arial" w:hAnsi="Arial" w:cs="Arial"/>
                <w:sz w:val="24"/>
                <w:szCs w:val="24"/>
                <w:lang w:val="en-US"/>
              </w:rPr>
              <w:t xml:space="preserve">The </w:t>
            </w:r>
            <w:r w:rsidRPr="002140CF">
              <w:rPr>
                <w:rFonts w:ascii="Arial" w:hAnsi="Arial" w:cs="Arial"/>
                <w:sz w:val="24"/>
                <w:szCs w:val="24"/>
                <w:lang w:val="en-US"/>
              </w:rPr>
              <w:t xml:space="preserve">plaintiff instituted an action against the </w:t>
            </w:r>
            <w:r w:rsidR="00073905" w:rsidRPr="002140CF">
              <w:rPr>
                <w:rFonts w:ascii="Arial" w:hAnsi="Arial" w:cs="Arial"/>
                <w:sz w:val="24"/>
                <w:szCs w:val="24"/>
                <w:lang w:val="en-US"/>
              </w:rPr>
              <w:t>defendants on</w:t>
            </w:r>
            <w:r w:rsidR="002140CF">
              <w:rPr>
                <w:rFonts w:ascii="Arial" w:hAnsi="Arial" w:cs="Arial"/>
                <w:sz w:val="24"/>
                <w:szCs w:val="24"/>
                <w:lang w:val="en-US"/>
              </w:rPr>
              <w:t xml:space="preserve"> the basis of a lease agreement</w:t>
            </w:r>
            <w:r w:rsidR="007223A3" w:rsidRPr="002140CF">
              <w:rPr>
                <w:rFonts w:ascii="Arial" w:hAnsi="Arial" w:cs="Arial"/>
                <w:sz w:val="24"/>
                <w:szCs w:val="24"/>
                <w:lang w:val="en-US"/>
              </w:rPr>
              <w:t xml:space="preserve"> for a certain property </w:t>
            </w:r>
            <w:r w:rsidR="00073905" w:rsidRPr="002140CF">
              <w:rPr>
                <w:rFonts w:ascii="Arial" w:hAnsi="Arial" w:cs="Arial"/>
                <w:sz w:val="24"/>
                <w:szCs w:val="24"/>
                <w:lang w:val="en-US"/>
              </w:rPr>
              <w:t>that was concluded between th</w:t>
            </w:r>
            <w:r w:rsidR="00DB4BB5" w:rsidRPr="002140CF">
              <w:rPr>
                <w:rFonts w:ascii="Arial" w:hAnsi="Arial" w:cs="Arial"/>
                <w:sz w:val="24"/>
                <w:szCs w:val="24"/>
                <w:lang w:val="en-US"/>
              </w:rPr>
              <w:t>e plaintiff and first defendant</w:t>
            </w:r>
            <w:r w:rsidR="007223A3" w:rsidRPr="002140CF">
              <w:rPr>
                <w:rFonts w:ascii="Arial" w:hAnsi="Arial" w:cs="Arial"/>
                <w:sz w:val="24"/>
                <w:szCs w:val="24"/>
                <w:lang w:val="en-US"/>
              </w:rPr>
              <w:t xml:space="preserve"> hereinafter called ‘Tenbergen’</w:t>
            </w:r>
            <w:r w:rsidR="00CC5434" w:rsidRPr="002140CF">
              <w:rPr>
                <w:rFonts w:ascii="Arial" w:hAnsi="Arial" w:cs="Arial"/>
                <w:sz w:val="24"/>
                <w:szCs w:val="24"/>
                <w:lang w:val="en-US"/>
              </w:rPr>
              <w:t xml:space="preserve">, who owns the property. </w:t>
            </w:r>
            <w:r w:rsidR="00073905" w:rsidRPr="002140CF">
              <w:rPr>
                <w:rFonts w:ascii="Arial" w:hAnsi="Arial" w:cs="Arial"/>
                <w:sz w:val="24"/>
                <w:szCs w:val="24"/>
                <w:lang w:val="en-US"/>
              </w:rPr>
              <w:t>The second defendant is Spearmint Investments (Pty) Ltd, a private company which is a subsidiary of Standard Bank Namibia L</w:t>
            </w:r>
            <w:r w:rsidR="00CC5434" w:rsidRPr="002140CF">
              <w:rPr>
                <w:rFonts w:ascii="Arial" w:hAnsi="Arial" w:cs="Arial"/>
                <w:sz w:val="24"/>
                <w:szCs w:val="24"/>
                <w:lang w:val="en-US"/>
              </w:rPr>
              <w:t>imited</w:t>
            </w:r>
            <w:r w:rsidR="00DB4BB5" w:rsidRPr="002140CF">
              <w:rPr>
                <w:rFonts w:ascii="Arial" w:hAnsi="Arial" w:cs="Arial"/>
                <w:sz w:val="24"/>
                <w:szCs w:val="24"/>
                <w:lang w:val="en-US"/>
              </w:rPr>
              <w:t xml:space="preserve"> (hereinafter called ‘Spearmint’).</w:t>
            </w:r>
            <w:r w:rsidR="002140CF">
              <w:rPr>
                <w:rFonts w:ascii="Arial" w:hAnsi="Arial" w:cs="Arial"/>
                <w:sz w:val="24"/>
                <w:szCs w:val="24"/>
                <w:lang w:val="en-US"/>
              </w:rPr>
              <w:t xml:space="preserve"> </w:t>
            </w:r>
            <w:r w:rsidR="00DB4BB5" w:rsidRPr="002140CF">
              <w:rPr>
                <w:rFonts w:ascii="Arial" w:hAnsi="Arial" w:cs="Arial"/>
                <w:sz w:val="24"/>
                <w:szCs w:val="24"/>
                <w:lang w:val="en-US"/>
              </w:rPr>
              <w:t xml:space="preserve">Spearmint is </w:t>
            </w:r>
            <w:r w:rsidR="00CC5434" w:rsidRPr="002140CF">
              <w:rPr>
                <w:rFonts w:ascii="Arial" w:hAnsi="Arial" w:cs="Arial"/>
                <w:sz w:val="24"/>
                <w:szCs w:val="24"/>
                <w:lang w:val="en-US"/>
              </w:rPr>
              <w:t xml:space="preserve">the sole shareholder of </w:t>
            </w:r>
            <w:r w:rsidR="00DB4BB5" w:rsidRPr="002140CF">
              <w:rPr>
                <w:rFonts w:ascii="Arial" w:hAnsi="Arial" w:cs="Arial"/>
                <w:sz w:val="24"/>
                <w:szCs w:val="24"/>
                <w:lang w:val="en-US"/>
              </w:rPr>
              <w:t>Tenbergen. T</w:t>
            </w:r>
            <w:r w:rsidR="00073905" w:rsidRPr="002140CF">
              <w:rPr>
                <w:rFonts w:ascii="Arial" w:hAnsi="Arial" w:cs="Arial"/>
                <w:sz w:val="24"/>
                <w:szCs w:val="24"/>
                <w:lang w:val="en-US"/>
              </w:rPr>
              <w:t xml:space="preserve">he third defendant is Standard Bank Namibia Limited. The fourth defendant is the Namibian Property Rental’s Trust. </w:t>
            </w:r>
          </w:p>
          <w:p w:rsidR="00073905" w:rsidRPr="002140CF" w:rsidRDefault="00073905" w:rsidP="00B21034">
            <w:pPr>
              <w:tabs>
                <w:tab w:val="left" w:pos="702"/>
              </w:tabs>
              <w:spacing w:line="360" w:lineRule="auto"/>
              <w:jc w:val="both"/>
              <w:rPr>
                <w:rFonts w:ascii="Arial" w:hAnsi="Arial" w:cs="Arial"/>
                <w:sz w:val="24"/>
                <w:szCs w:val="24"/>
                <w:lang w:val="en-US"/>
              </w:rPr>
            </w:pPr>
          </w:p>
          <w:p w:rsidR="00A55296" w:rsidRPr="002140CF" w:rsidRDefault="00762087" w:rsidP="00B21034">
            <w:pPr>
              <w:tabs>
                <w:tab w:val="left" w:pos="702"/>
              </w:tabs>
              <w:spacing w:line="360" w:lineRule="auto"/>
              <w:jc w:val="both"/>
              <w:rPr>
                <w:rFonts w:ascii="Arial" w:hAnsi="Arial" w:cs="Arial"/>
                <w:sz w:val="24"/>
                <w:szCs w:val="24"/>
                <w:lang w:val="en-US"/>
              </w:rPr>
            </w:pPr>
            <w:r w:rsidRPr="002140CF">
              <w:rPr>
                <w:rFonts w:ascii="Arial" w:hAnsi="Arial" w:cs="Arial"/>
                <w:sz w:val="24"/>
                <w:szCs w:val="24"/>
                <w:lang w:val="en-US"/>
              </w:rPr>
              <w:t>[3</w:t>
            </w:r>
            <w:r w:rsidR="00A3347A" w:rsidRPr="002140CF">
              <w:rPr>
                <w:rFonts w:ascii="Arial" w:hAnsi="Arial" w:cs="Arial"/>
                <w:sz w:val="24"/>
                <w:szCs w:val="24"/>
                <w:lang w:val="en-US"/>
              </w:rPr>
              <w:t>]</w:t>
            </w:r>
            <w:r w:rsidR="00A3347A" w:rsidRPr="002140CF">
              <w:rPr>
                <w:rFonts w:ascii="Arial" w:hAnsi="Arial" w:cs="Arial"/>
                <w:sz w:val="24"/>
                <w:szCs w:val="24"/>
                <w:lang w:val="en-US"/>
              </w:rPr>
              <w:tab/>
            </w:r>
            <w:r w:rsidR="005B70B0" w:rsidRPr="002140CF">
              <w:rPr>
                <w:rFonts w:ascii="Arial" w:hAnsi="Arial" w:cs="Arial"/>
                <w:sz w:val="24"/>
                <w:szCs w:val="24"/>
                <w:lang w:val="en-US"/>
              </w:rPr>
              <w:t>T</w:t>
            </w:r>
            <w:r w:rsidR="00C95C61" w:rsidRPr="002140CF">
              <w:rPr>
                <w:rFonts w:ascii="Arial" w:hAnsi="Arial" w:cs="Arial"/>
                <w:sz w:val="24"/>
                <w:szCs w:val="24"/>
                <w:lang w:val="en-US"/>
              </w:rPr>
              <w:t xml:space="preserve">his lease pertains to an immovable property, ‘Tenbergen Village’ and </w:t>
            </w:r>
            <w:r w:rsidR="007223A3" w:rsidRPr="002140CF">
              <w:rPr>
                <w:rFonts w:ascii="Arial" w:hAnsi="Arial" w:cs="Arial"/>
                <w:sz w:val="24"/>
                <w:szCs w:val="24"/>
                <w:lang w:val="en-US"/>
              </w:rPr>
              <w:t xml:space="preserve">the </w:t>
            </w:r>
            <w:r w:rsidR="00C95C61" w:rsidRPr="002140CF">
              <w:rPr>
                <w:rFonts w:ascii="Arial" w:hAnsi="Arial" w:cs="Arial"/>
                <w:sz w:val="24"/>
                <w:szCs w:val="24"/>
                <w:lang w:val="en-US"/>
              </w:rPr>
              <w:t>plaintiff occup</w:t>
            </w:r>
            <w:r w:rsidR="00333496" w:rsidRPr="002140CF">
              <w:rPr>
                <w:rFonts w:ascii="Arial" w:hAnsi="Arial" w:cs="Arial"/>
                <w:sz w:val="24"/>
                <w:szCs w:val="24"/>
                <w:lang w:val="en-US"/>
              </w:rPr>
              <w:t xml:space="preserve">ies </w:t>
            </w:r>
            <w:r w:rsidR="00C95C61" w:rsidRPr="002140CF">
              <w:rPr>
                <w:rFonts w:ascii="Arial" w:hAnsi="Arial" w:cs="Arial"/>
                <w:sz w:val="24"/>
                <w:szCs w:val="24"/>
                <w:lang w:val="en-US"/>
              </w:rPr>
              <w:t xml:space="preserve">the property in terms of the lease. The plaintiff claims rectification of the lease agreement and a declaratory order that the lease is valid. This is on account of having received a notice to vacate from Spearmint, to whom the first defendant had ceded its right, title and benefit to the lease agreement. The notice to vacate indicates two issues namely no consensus was reached on the determination of the turnover rental amount and that the bondholder, Standard Bank had not given any written consent for the lease agreement. On that basis Spearmint regards the lease as void ab initio. </w:t>
            </w:r>
          </w:p>
          <w:p w:rsidR="00A55296" w:rsidRPr="002140CF" w:rsidRDefault="00A55296" w:rsidP="00EB686B">
            <w:pPr>
              <w:tabs>
                <w:tab w:val="left" w:pos="3315"/>
              </w:tabs>
              <w:spacing w:line="360" w:lineRule="auto"/>
              <w:jc w:val="both"/>
              <w:rPr>
                <w:rFonts w:ascii="Arial" w:hAnsi="Arial" w:cs="Arial"/>
                <w:strike/>
                <w:sz w:val="24"/>
                <w:szCs w:val="24"/>
                <w:lang w:val="en-US"/>
              </w:rPr>
            </w:pPr>
          </w:p>
          <w:p w:rsidR="00F36EF0" w:rsidRPr="002140CF" w:rsidRDefault="00A55296" w:rsidP="00B21034">
            <w:pPr>
              <w:tabs>
                <w:tab w:val="left" w:pos="702"/>
              </w:tabs>
              <w:spacing w:line="360" w:lineRule="auto"/>
              <w:jc w:val="both"/>
              <w:rPr>
                <w:rFonts w:ascii="Arial" w:hAnsi="Arial" w:cs="Arial"/>
                <w:sz w:val="24"/>
                <w:szCs w:val="24"/>
                <w:u w:val="single"/>
                <w:lang w:val="en-US"/>
              </w:rPr>
            </w:pPr>
            <w:r w:rsidRPr="002140CF">
              <w:rPr>
                <w:rFonts w:ascii="Arial" w:hAnsi="Arial" w:cs="Arial"/>
                <w:sz w:val="24"/>
                <w:szCs w:val="24"/>
                <w:lang w:val="en-US"/>
              </w:rPr>
              <w:t>[</w:t>
            </w:r>
            <w:r w:rsidR="00762087" w:rsidRPr="002140CF">
              <w:rPr>
                <w:rFonts w:ascii="Arial" w:hAnsi="Arial" w:cs="Arial"/>
                <w:sz w:val="24"/>
                <w:szCs w:val="24"/>
                <w:lang w:val="en-US"/>
              </w:rPr>
              <w:t>4</w:t>
            </w:r>
            <w:r w:rsidRPr="002140CF">
              <w:rPr>
                <w:rFonts w:ascii="Arial" w:hAnsi="Arial" w:cs="Arial"/>
                <w:sz w:val="24"/>
                <w:szCs w:val="24"/>
                <w:lang w:val="en-US"/>
              </w:rPr>
              <w:t>]</w:t>
            </w:r>
            <w:r w:rsidR="00B21034" w:rsidRPr="002140CF">
              <w:rPr>
                <w:rFonts w:ascii="Arial" w:hAnsi="Arial" w:cs="Arial"/>
                <w:sz w:val="24"/>
                <w:szCs w:val="24"/>
                <w:lang w:val="en-US"/>
              </w:rPr>
              <w:tab/>
            </w:r>
            <w:r w:rsidR="00F36EF0" w:rsidRPr="002140CF">
              <w:rPr>
                <w:rFonts w:ascii="Arial" w:hAnsi="Arial" w:cs="Arial"/>
                <w:sz w:val="24"/>
                <w:szCs w:val="24"/>
                <w:lang w:val="en-US"/>
              </w:rPr>
              <w:tab/>
              <w:t xml:space="preserve">The exception </w:t>
            </w:r>
            <w:r w:rsidR="002140CF" w:rsidRPr="002140CF">
              <w:rPr>
                <w:rFonts w:ascii="Arial" w:hAnsi="Arial" w:cs="Arial"/>
                <w:sz w:val="24"/>
                <w:szCs w:val="24"/>
                <w:lang w:val="en-US"/>
              </w:rPr>
              <w:t>centers</w:t>
            </w:r>
            <w:r w:rsidR="00F7123F" w:rsidRPr="002140CF">
              <w:rPr>
                <w:rFonts w:ascii="Arial" w:hAnsi="Arial" w:cs="Arial"/>
                <w:sz w:val="24"/>
                <w:szCs w:val="24"/>
                <w:lang w:val="en-US"/>
              </w:rPr>
              <w:t xml:space="preserve"> around the </w:t>
            </w:r>
            <w:r w:rsidR="002140CF">
              <w:rPr>
                <w:rFonts w:ascii="Arial" w:hAnsi="Arial" w:cs="Arial"/>
                <w:sz w:val="24"/>
                <w:szCs w:val="24"/>
                <w:lang w:val="en-US"/>
              </w:rPr>
              <w:t>issue of there being a mortgage</w:t>
            </w:r>
            <w:r w:rsidR="00F7123F" w:rsidRPr="002140CF">
              <w:rPr>
                <w:rFonts w:ascii="Arial" w:hAnsi="Arial" w:cs="Arial"/>
                <w:sz w:val="24"/>
                <w:szCs w:val="24"/>
                <w:lang w:val="en-US"/>
              </w:rPr>
              <w:t xml:space="preserve"> bond </w:t>
            </w:r>
            <w:r w:rsidR="005B70B0" w:rsidRPr="002140CF">
              <w:rPr>
                <w:rFonts w:ascii="Arial" w:hAnsi="Arial" w:cs="Arial"/>
                <w:sz w:val="24"/>
                <w:szCs w:val="24"/>
                <w:lang w:val="en-US"/>
              </w:rPr>
              <w:t>over the property in favour of S</w:t>
            </w:r>
            <w:r w:rsidR="00F7123F" w:rsidRPr="002140CF">
              <w:rPr>
                <w:rFonts w:ascii="Arial" w:hAnsi="Arial" w:cs="Arial"/>
                <w:sz w:val="24"/>
                <w:szCs w:val="24"/>
                <w:lang w:val="en-US"/>
              </w:rPr>
              <w:t xml:space="preserve">tandard </w:t>
            </w:r>
            <w:r w:rsidR="005B70B0" w:rsidRPr="002140CF">
              <w:rPr>
                <w:rFonts w:ascii="Arial" w:hAnsi="Arial" w:cs="Arial"/>
                <w:sz w:val="24"/>
                <w:szCs w:val="24"/>
                <w:lang w:val="en-US"/>
              </w:rPr>
              <w:t>B</w:t>
            </w:r>
            <w:r w:rsidR="00F7123F" w:rsidRPr="002140CF">
              <w:rPr>
                <w:rFonts w:ascii="Arial" w:hAnsi="Arial" w:cs="Arial"/>
                <w:sz w:val="24"/>
                <w:szCs w:val="24"/>
                <w:lang w:val="en-US"/>
              </w:rPr>
              <w:t xml:space="preserve">ank. </w:t>
            </w:r>
            <w:r w:rsidR="005B70B0" w:rsidRPr="002140CF">
              <w:rPr>
                <w:rFonts w:ascii="Arial" w:hAnsi="Arial" w:cs="Arial"/>
                <w:sz w:val="24"/>
                <w:szCs w:val="24"/>
                <w:lang w:val="en-US"/>
              </w:rPr>
              <w:t xml:space="preserve">Counsel for the defendants </w:t>
            </w:r>
            <w:proofErr w:type="spellStart"/>
            <w:r w:rsidR="005B70B0" w:rsidRPr="002140CF">
              <w:rPr>
                <w:rFonts w:ascii="Arial" w:hAnsi="Arial" w:cs="Arial"/>
                <w:sz w:val="24"/>
                <w:szCs w:val="24"/>
                <w:lang w:val="en-US"/>
              </w:rPr>
              <w:t>Ms</w:t>
            </w:r>
            <w:proofErr w:type="spellEnd"/>
            <w:r w:rsidR="005B70B0" w:rsidRPr="002140CF">
              <w:rPr>
                <w:rFonts w:ascii="Arial" w:hAnsi="Arial" w:cs="Arial"/>
                <w:sz w:val="24"/>
                <w:szCs w:val="24"/>
                <w:lang w:val="en-US"/>
              </w:rPr>
              <w:t xml:space="preserve"> </w:t>
            </w:r>
            <w:proofErr w:type="spellStart"/>
            <w:r w:rsidR="005B70B0" w:rsidRPr="002140CF">
              <w:rPr>
                <w:rFonts w:ascii="Arial" w:hAnsi="Arial" w:cs="Arial"/>
                <w:sz w:val="24"/>
                <w:szCs w:val="24"/>
                <w:lang w:val="en-US"/>
              </w:rPr>
              <w:t>Kuzeeko</w:t>
            </w:r>
            <w:proofErr w:type="spellEnd"/>
            <w:r w:rsidR="005B70B0" w:rsidRPr="002140CF">
              <w:rPr>
                <w:rFonts w:ascii="Arial" w:hAnsi="Arial" w:cs="Arial"/>
                <w:sz w:val="24"/>
                <w:szCs w:val="24"/>
                <w:lang w:val="en-US"/>
              </w:rPr>
              <w:t xml:space="preserve">, </w:t>
            </w:r>
            <w:r w:rsidR="00F7123F" w:rsidRPr="002140CF">
              <w:rPr>
                <w:rFonts w:ascii="Arial" w:hAnsi="Arial" w:cs="Arial"/>
                <w:sz w:val="24"/>
                <w:szCs w:val="24"/>
                <w:lang w:val="en-US"/>
              </w:rPr>
              <w:t>pointed out that the plaintiff fails to plead that the</w:t>
            </w:r>
            <w:r w:rsidR="005B70B0" w:rsidRPr="002140CF">
              <w:rPr>
                <w:rFonts w:ascii="Arial" w:hAnsi="Arial" w:cs="Arial"/>
                <w:sz w:val="24"/>
                <w:szCs w:val="24"/>
                <w:lang w:val="en-US"/>
              </w:rPr>
              <w:t xml:space="preserve">re was compliance with </w:t>
            </w:r>
            <w:r w:rsidR="00F7123F" w:rsidRPr="002140CF">
              <w:rPr>
                <w:rFonts w:ascii="Arial" w:hAnsi="Arial" w:cs="Arial"/>
                <w:sz w:val="24"/>
                <w:szCs w:val="24"/>
                <w:lang w:val="en-US"/>
              </w:rPr>
              <w:t xml:space="preserve">the terms of the mortgage bond agreement, in particular that Tenbergen entities shall not let the mortgaged property without the written consent of </w:t>
            </w:r>
            <w:proofErr w:type="spellStart"/>
            <w:r w:rsidR="00F7123F" w:rsidRPr="002140CF">
              <w:rPr>
                <w:rFonts w:ascii="Arial" w:hAnsi="Arial" w:cs="Arial"/>
                <w:sz w:val="24"/>
                <w:szCs w:val="24"/>
                <w:lang w:val="en-US"/>
              </w:rPr>
              <w:t>Standand</w:t>
            </w:r>
            <w:proofErr w:type="spellEnd"/>
            <w:r w:rsidR="00F7123F" w:rsidRPr="002140CF">
              <w:rPr>
                <w:rFonts w:ascii="Arial" w:hAnsi="Arial" w:cs="Arial"/>
                <w:sz w:val="24"/>
                <w:szCs w:val="24"/>
                <w:lang w:val="en-US"/>
              </w:rPr>
              <w:t xml:space="preserve"> Bank.</w:t>
            </w:r>
            <w:r w:rsidR="005B70B0" w:rsidRPr="002140CF">
              <w:rPr>
                <w:rFonts w:ascii="Arial" w:hAnsi="Arial" w:cs="Arial"/>
                <w:sz w:val="24"/>
                <w:szCs w:val="24"/>
                <w:lang w:val="en-US"/>
              </w:rPr>
              <w:t xml:space="preserve">  Her argument was that the f</w:t>
            </w:r>
            <w:r w:rsidR="002140CF">
              <w:rPr>
                <w:rFonts w:ascii="Arial" w:hAnsi="Arial" w:cs="Arial"/>
                <w:sz w:val="24"/>
                <w:szCs w:val="24"/>
                <w:lang w:val="en-US"/>
              </w:rPr>
              <w:t>irst defendant required the</w:t>
            </w:r>
            <w:r w:rsidR="005B70B0" w:rsidRPr="002140CF">
              <w:rPr>
                <w:rFonts w:ascii="Arial" w:hAnsi="Arial" w:cs="Arial"/>
                <w:sz w:val="24"/>
                <w:szCs w:val="24"/>
                <w:lang w:val="en-US"/>
              </w:rPr>
              <w:t xml:space="preserve"> consent of the Bank upfront. She avers that the consent issue should have been pleaded, as it’s a material issue. </w:t>
            </w:r>
          </w:p>
          <w:p w:rsidR="005B70B0" w:rsidRPr="002140CF" w:rsidRDefault="005B70B0" w:rsidP="00B21034">
            <w:pPr>
              <w:tabs>
                <w:tab w:val="left" w:pos="702"/>
              </w:tabs>
              <w:spacing w:line="360" w:lineRule="auto"/>
              <w:jc w:val="both"/>
              <w:rPr>
                <w:rFonts w:ascii="Arial" w:hAnsi="Arial" w:cs="Arial"/>
                <w:sz w:val="24"/>
                <w:szCs w:val="24"/>
                <w:u w:val="single"/>
                <w:lang w:val="en-US"/>
              </w:rPr>
            </w:pPr>
          </w:p>
          <w:p w:rsidR="005B70B0" w:rsidRPr="002140CF" w:rsidRDefault="007748E1" w:rsidP="00B21034">
            <w:pPr>
              <w:tabs>
                <w:tab w:val="left" w:pos="702"/>
              </w:tabs>
              <w:spacing w:line="360" w:lineRule="auto"/>
              <w:jc w:val="both"/>
              <w:rPr>
                <w:rFonts w:ascii="Arial" w:hAnsi="Arial" w:cs="Arial"/>
                <w:sz w:val="24"/>
                <w:szCs w:val="24"/>
                <w:lang w:val="en-US"/>
              </w:rPr>
            </w:pPr>
            <w:r w:rsidRPr="002140CF">
              <w:rPr>
                <w:rFonts w:ascii="Arial" w:hAnsi="Arial" w:cs="Arial"/>
                <w:sz w:val="24"/>
                <w:szCs w:val="24"/>
                <w:u w:val="single"/>
                <w:lang w:val="en-US"/>
              </w:rPr>
              <w:lastRenderedPageBreak/>
              <w:t>[</w:t>
            </w:r>
            <w:r w:rsidRPr="002140CF">
              <w:rPr>
                <w:rFonts w:ascii="Arial" w:hAnsi="Arial" w:cs="Arial"/>
                <w:sz w:val="24"/>
                <w:szCs w:val="24"/>
                <w:lang w:val="en-US"/>
              </w:rPr>
              <w:t>5]</w:t>
            </w:r>
            <w:r w:rsidR="006F0129" w:rsidRPr="002140CF">
              <w:rPr>
                <w:rFonts w:ascii="Arial" w:hAnsi="Arial" w:cs="Arial"/>
                <w:sz w:val="24"/>
                <w:szCs w:val="24"/>
                <w:lang w:val="en-US"/>
              </w:rPr>
              <w:tab/>
              <w:t xml:space="preserve">Counsel for the plaintiff, </w:t>
            </w:r>
            <w:proofErr w:type="spellStart"/>
            <w:r w:rsidR="006F0129" w:rsidRPr="002140CF">
              <w:rPr>
                <w:rFonts w:ascii="Arial" w:hAnsi="Arial" w:cs="Arial"/>
                <w:sz w:val="24"/>
                <w:szCs w:val="24"/>
                <w:lang w:val="en-US"/>
              </w:rPr>
              <w:t>Adv</w:t>
            </w:r>
            <w:proofErr w:type="spellEnd"/>
            <w:r w:rsidR="006F0129" w:rsidRPr="002140CF">
              <w:rPr>
                <w:rFonts w:ascii="Arial" w:hAnsi="Arial" w:cs="Arial"/>
                <w:sz w:val="24"/>
                <w:szCs w:val="24"/>
                <w:lang w:val="en-US"/>
              </w:rPr>
              <w:t xml:space="preserve"> Barnard countered these contentions. He arg</w:t>
            </w:r>
            <w:r w:rsidR="002140CF">
              <w:rPr>
                <w:rFonts w:ascii="Arial" w:hAnsi="Arial" w:cs="Arial"/>
                <w:sz w:val="24"/>
                <w:szCs w:val="24"/>
                <w:lang w:val="en-US"/>
              </w:rPr>
              <w:t>ued that the plaintiff’s case is</w:t>
            </w:r>
            <w:r w:rsidR="006F0129" w:rsidRPr="002140CF">
              <w:rPr>
                <w:rFonts w:ascii="Arial" w:hAnsi="Arial" w:cs="Arial"/>
                <w:sz w:val="24"/>
                <w:szCs w:val="24"/>
                <w:lang w:val="en-US"/>
              </w:rPr>
              <w:t xml:space="preserve"> not premised on a contention that written consent had been given. Plaintiff’s case is that Standard Bank had waived the requirements of written consent to conclude the lease. He points out that the mortgage bond agreement does not prevent a waiver of rights. He submits that in an exception the allegations by the plaintiff on the waiver must be accepted and that evidence can be presented on that. </w:t>
            </w:r>
          </w:p>
          <w:p w:rsidR="00333496" w:rsidRPr="002140CF" w:rsidRDefault="00333496" w:rsidP="00B21034">
            <w:pPr>
              <w:tabs>
                <w:tab w:val="left" w:pos="702"/>
              </w:tabs>
              <w:spacing w:line="360" w:lineRule="auto"/>
              <w:jc w:val="both"/>
              <w:rPr>
                <w:rFonts w:ascii="Arial" w:hAnsi="Arial" w:cs="Arial"/>
                <w:sz w:val="24"/>
                <w:szCs w:val="24"/>
                <w:lang w:val="en-US"/>
              </w:rPr>
            </w:pPr>
          </w:p>
          <w:p w:rsidR="00CA2161" w:rsidRPr="002140CF" w:rsidRDefault="00333496" w:rsidP="00703979">
            <w:pPr>
              <w:pStyle w:val="FootnoteText"/>
              <w:spacing w:line="360" w:lineRule="auto"/>
              <w:jc w:val="both"/>
              <w:rPr>
                <w:rFonts w:ascii="Arial" w:hAnsi="Arial" w:cs="Arial"/>
                <w:sz w:val="24"/>
                <w:szCs w:val="24"/>
                <w:lang w:val="en-US"/>
              </w:rPr>
            </w:pPr>
            <w:r w:rsidRPr="002140CF">
              <w:rPr>
                <w:rFonts w:ascii="Arial" w:hAnsi="Arial" w:cs="Arial"/>
                <w:sz w:val="24"/>
                <w:szCs w:val="24"/>
                <w:lang w:val="en-US"/>
              </w:rPr>
              <w:t xml:space="preserve">[6]   </w:t>
            </w:r>
            <w:proofErr w:type="spellStart"/>
            <w:r w:rsidR="005341CC" w:rsidRPr="002140CF">
              <w:rPr>
                <w:rFonts w:ascii="Arial" w:hAnsi="Arial" w:cs="Arial"/>
                <w:sz w:val="24"/>
                <w:szCs w:val="24"/>
                <w:lang w:val="en-US"/>
              </w:rPr>
              <w:t>Adv</w:t>
            </w:r>
            <w:proofErr w:type="spellEnd"/>
            <w:r w:rsidR="005341CC" w:rsidRPr="002140CF">
              <w:rPr>
                <w:rFonts w:ascii="Arial" w:hAnsi="Arial" w:cs="Arial"/>
                <w:sz w:val="24"/>
                <w:szCs w:val="24"/>
                <w:lang w:val="en-US"/>
              </w:rPr>
              <w:t xml:space="preserve"> Barnard </w:t>
            </w:r>
            <w:r w:rsidR="00CA2161" w:rsidRPr="002140CF">
              <w:rPr>
                <w:rFonts w:ascii="Arial" w:hAnsi="Arial" w:cs="Arial"/>
                <w:sz w:val="24"/>
                <w:szCs w:val="24"/>
                <w:lang w:val="en-US"/>
              </w:rPr>
              <w:t xml:space="preserve">submitted that </w:t>
            </w:r>
            <w:r w:rsidRPr="002140CF">
              <w:rPr>
                <w:rFonts w:ascii="Arial" w:hAnsi="Arial" w:cs="Arial"/>
                <w:sz w:val="24"/>
                <w:szCs w:val="24"/>
                <w:lang w:val="en-US"/>
              </w:rPr>
              <w:t>Standard B</w:t>
            </w:r>
            <w:r w:rsidR="00CA2161" w:rsidRPr="002140CF">
              <w:rPr>
                <w:rFonts w:ascii="Arial" w:hAnsi="Arial" w:cs="Arial"/>
                <w:sz w:val="24"/>
                <w:szCs w:val="24"/>
                <w:lang w:val="en-US"/>
              </w:rPr>
              <w:t xml:space="preserve">ank, </w:t>
            </w:r>
            <w:r w:rsidRPr="002140CF">
              <w:rPr>
                <w:rFonts w:ascii="Arial" w:hAnsi="Arial" w:cs="Arial"/>
                <w:sz w:val="24"/>
                <w:szCs w:val="24"/>
                <w:lang w:val="en-US"/>
              </w:rPr>
              <w:t>at all material times</w:t>
            </w:r>
            <w:r w:rsidR="00CA2161" w:rsidRPr="002140CF">
              <w:rPr>
                <w:rFonts w:ascii="Arial" w:hAnsi="Arial" w:cs="Arial"/>
                <w:sz w:val="24"/>
                <w:szCs w:val="24"/>
                <w:lang w:val="en-US"/>
              </w:rPr>
              <w:t>,</w:t>
            </w:r>
            <w:r w:rsidRPr="002140CF">
              <w:rPr>
                <w:rFonts w:ascii="Arial" w:hAnsi="Arial" w:cs="Arial"/>
                <w:sz w:val="24"/>
                <w:szCs w:val="24"/>
                <w:lang w:val="en-US"/>
              </w:rPr>
              <w:t xml:space="preserve"> was aware of t</w:t>
            </w:r>
            <w:r w:rsidR="005341CC" w:rsidRPr="002140CF">
              <w:rPr>
                <w:rFonts w:ascii="Arial" w:hAnsi="Arial" w:cs="Arial"/>
                <w:sz w:val="24"/>
                <w:szCs w:val="24"/>
                <w:lang w:val="en-US"/>
              </w:rPr>
              <w:t>he lease and accepted pa</w:t>
            </w:r>
            <w:r w:rsidR="00CA2161" w:rsidRPr="002140CF">
              <w:rPr>
                <w:rFonts w:ascii="Arial" w:hAnsi="Arial" w:cs="Arial"/>
                <w:sz w:val="24"/>
                <w:szCs w:val="24"/>
                <w:lang w:val="en-US"/>
              </w:rPr>
              <w:t>yment, yet it now wants to call ‘foul play.’</w:t>
            </w:r>
            <w:r w:rsidR="005341CC" w:rsidRPr="002140CF">
              <w:rPr>
                <w:rFonts w:ascii="Arial" w:hAnsi="Arial" w:cs="Arial"/>
                <w:sz w:val="24"/>
                <w:szCs w:val="24"/>
                <w:lang w:val="en-US"/>
              </w:rPr>
              <w:t xml:space="preserve"> </w:t>
            </w:r>
            <w:r w:rsidR="00CA2161" w:rsidRPr="002140CF">
              <w:rPr>
                <w:rFonts w:ascii="Arial" w:hAnsi="Arial" w:cs="Arial"/>
                <w:sz w:val="24"/>
                <w:szCs w:val="24"/>
                <w:lang w:val="en-US"/>
              </w:rPr>
              <w:t>In this regard</w:t>
            </w:r>
            <w:r w:rsidR="00703979">
              <w:rPr>
                <w:rFonts w:ascii="Arial" w:hAnsi="Arial" w:cs="Arial"/>
                <w:sz w:val="24"/>
                <w:szCs w:val="24"/>
                <w:lang w:val="en-US"/>
              </w:rPr>
              <w:t xml:space="preserve"> he made</w:t>
            </w:r>
            <w:r w:rsidR="00CA2161" w:rsidRPr="002140CF">
              <w:rPr>
                <w:rFonts w:ascii="Arial" w:hAnsi="Arial" w:cs="Arial"/>
                <w:sz w:val="24"/>
                <w:szCs w:val="24"/>
                <w:lang w:val="en-US"/>
              </w:rPr>
              <w:t xml:space="preserve"> refere</w:t>
            </w:r>
            <w:r w:rsidR="007223A3" w:rsidRPr="002140CF">
              <w:rPr>
                <w:rFonts w:ascii="Arial" w:hAnsi="Arial" w:cs="Arial"/>
                <w:sz w:val="24"/>
                <w:szCs w:val="24"/>
                <w:lang w:val="en-US"/>
              </w:rPr>
              <w:t>nce to the relevant portions</w:t>
            </w:r>
            <w:r w:rsidR="00703979">
              <w:rPr>
                <w:rFonts w:ascii="Arial" w:hAnsi="Arial" w:cs="Arial"/>
                <w:sz w:val="24"/>
                <w:szCs w:val="24"/>
                <w:lang w:val="en-US"/>
              </w:rPr>
              <w:t xml:space="preserve"> in the particulars of claim.</w:t>
            </w:r>
          </w:p>
          <w:p w:rsidR="00CA2161" w:rsidRPr="002140CF" w:rsidRDefault="00CA2161" w:rsidP="00CA2161">
            <w:pPr>
              <w:pStyle w:val="FootnoteText"/>
              <w:rPr>
                <w:rFonts w:ascii="Arial" w:hAnsi="Arial" w:cs="Arial"/>
                <w:sz w:val="24"/>
                <w:szCs w:val="24"/>
                <w:lang w:val="en-US"/>
              </w:rPr>
            </w:pPr>
          </w:p>
          <w:p w:rsidR="00FE5FB4" w:rsidRPr="002140CF" w:rsidRDefault="00185DB9" w:rsidP="009E332F">
            <w:pPr>
              <w:spacing w:line="360" w:lineRule="auto"/>
              <w:jc w:val="both"/>
              <w:rPr>
                <w:rFonts w:ascii="Arial" w:hAnsi="Arial" w:cs="Arial"/>
                <w:strike/>
                <w:sz w:val="24"/>
                <w:szCs w:val="24"/>
                <w:lang w:val="en-US"/>
              </w:rPr>
            </w:pPr>
            <w:r w:rsidRPr="002140CF">
              <w:rPr>
                <w:rFonts w:ascii="Arial" w:hAnsi="Arial" w:cs="Arial"/>
                <w:sz w:val="24"/>
                <w:szCs w:val="24"/>
                <w:lang w:val="en-US"/>
              </w:rPr>
              <w:t>[</w:t>
            </w:r>
            <w:r w:rsidR="009E332F" w:rsidRPr="002140CF">
              <w:rPr>
                <w:rFonts w:ascii="Arial" w:hAnsi="Arial" w:cs="Arial"/>
                <w:sz w:val="24"/>
                <w:szCs w:val="24"/>
                <w:lang w:val="en-US"/>
              </w:rPr>
              <w:t>7</w:t>
            </w:r>
            <w:r w:rsidRPr="002140CF">
              <w:rPr>
                <w:rFonts w:ascii="Arial" w:hAnsi="Arial" w:cs="Arial"/>
                <w:sz w:val="24"/>
                <w:szCs w:val="24"/>
                <w:lang w:val="en-US"/>
              </w:rPr>
              <w:t>]</w:t>
            </w:r>
            <w:r w:rsidRPr="002140CF">
              <w:rPr>
                <w:rFonts w:ascii="Arial" w:hAnsi="Arial" w:cs="Arial"/>
                <w:sz w:val="24"/>
                <w:szCs w:val="24"/>
                <w:lang w:val="en-US"/>
              </w:rPr>
              <w:tab/>
            </w:r>
            <w:r w:rsidR="009E332F" w:rsidRPr="002140CF">
              <w:rPr>
                <w:rFonts w:ascii="Arial" w:hAnsi="Arial" w:cs="Arial"/>
                <w:sz w:val="24"/>
                <w:szCs w:val="24"/>
                <w:lang w:val="en-US"/>
              </w:rPr>
              <w:t xml:space="preserve">The principles for the adjudication of exceptions are well established, thus it is not necessary to repeat them at length. The Supreme Court set out principles in </w:t>
            </w:r>
            <w:r w:rsidR="00ED6414" w:rsidRPr="002140CF">
              <w:rPr>
                <w:rFonts w:ascii="Arial" w:hAnsi="Arial" w:cs="Arial"/>
                <w:i/>
                <w:sz w:val="24"/>
                <w:szCs w:val="24"/>
              </w:rPr>
              <w:t xml:space="preserve">Van </w:t>
            </w:r>
            <w:proofErr w:type="spellStart"/>
            <w:r w:rsidR="00ED6414" w:rsidRPr="002140CF">
              <w:rPr>
                <w:rFonts w:ascii="Arial" w:hAnsi="Arial" w:cs="Arial"/>
                <w:i/>
                <w:sz w:val="24"/>
                <w:szCs w:val="24"/>
              </w:rPr>
              <w:t>Straten</w:t>
            </w:r>
            <w:proofErr w:type="spellEnd"/>
            <w:r w:rsidR="00ED6414" w:rsidRPr="002140CF">
              <w:rPr>
                <w:rFonts w:ascii="Arial" w:hAnsi="Arial" w:cs="Arial"/>
                <w:i/>
                <w:sz w:val="24"/>
                <w:szCs w:val="24"/>
              </w:rPr>
              <w:t xml:space="preserve"> v Namibia Financial Institutions Supervisory Authority and Another</w:t>
            </w:r>
            <w:r w:rsidR="00AA538D" w:rsidRPr="002140CF">
              <w:rPr>
                <w:rStyle w:val="FootnoteReference"/>
                <w:rFonts w:ascii="Arial" w:hAnsi="Arial" w:cs="Arial"/>
                <w:sz w:val="24"/>
                <w:szCs w:val="24"/>
              </w:rPr>
              <w:footnoteReference w:id="1"/>
            </w:r>
            <w:r w:rsidR="009E332F" w:rsidRPr="002140CF">
              <w:rPr>
                <w:rFonts w:ascii="Arial" w:hAnsi="Arial" w:cs="Arial"/>
                <w:i/>
                <w:sz w:val="24"/>
                <w:szCs w:val="24"/>
              </w:rPr>
              <w:t xml:space="preserve"> </w:t>
            </w:r>
            <w:r w:rsidR="009E332F" w:rsidRPr="002140CF">
              <w:rPr>
                <w:rFonts w:ascii="Arial" w:hAnsi="Arial" w:cs="Arial"/>
                <w:sz w:val="24"/>
                <w:szCs w:val="24"/>
              </w:rPr>
              <w:t>and stated that</w:t>
            </w:r>
            <w:r w:rsidR="009E332F" w:rsidRPr="002140CF">
              <w:rPr>
                <w:rFonts w:ascii="Arial" w:hAnsi="Arial" w:cs="Arial"/>
                <w:i/>
                <w:sz w:val="24"/>
                <w:szCs w:val="24"/>
              </w:rPr>
              <w:t xml:space="preserve"> w</w:t>
            </w:r>
            <w:r w:rsidR="009E332F" w:rsidRPr="002140CF">
              <w:rPr>
                <w:rFonts w:ascii="Arial" w:hAnsi="Arial" w:cs="Arial"/>
                <w:sz w:val="24"/>
                <w:szCs w:val="24"/>
              </w:rPr>
              <w:t xml:space="preserve">hen determining an exception taken on the grounds that no cause of action is disclosed, two considerations ought to be considered.  First, for the purpose of deciding the exception, the facts as alleged in the plaintiff's pleadings are taken as correct. Second, to succeed, the excipient must satisfy the court that upon every interpretation which the pleading can reasonably bear, no cause of action is disclosed. In other words, only if no possible evidence led on the pleadings can disclose a cause of action, will the particulars of claim be found to be </w:t>
            </w:r>
            <w:proofErr w:type="spellStart"/>
            <w:r w:rsidR="009E332F" w:rsidRPr="002140CF">
              <w:rPr>
                <w:rFonts w:ascii="Arial" w:hAnsi="Arial" w:cs="Arial"/>
                <w:sz w:val="24"/>
                <w:szCs w:val="24"/>
              </w:rPr>
              <w:t>excipiable</w:t>
            </w:r>
            <w:proofErr w:type="spellEnd"/>
            <w:r w:rsidR="009E332F" w:rsidRPr="002140CF">
              <w:rPr>
                <w:rFonts w:ascii="Arial" w:hAnsi="Arial" w:cs="Arial"/>
                <w:sz w:val="24"/>
                <w:szCs w:val="24"/>
              </w:rPr>
              <w:t xml:space="preserve">. </w:t>
            </w:r>
          </w:p>
          <w:p w:rsidR="0049036E" w:rsidRPr="002140CF" w:rsidRDefault="0049036E" w:rsidP="00FE5FB4">
            <w:pPr>
              <w:spacing w:line="360" w:lineRule="auto"/>
              <w:jc w:val="both"/>
              <w:rPr>
                <w:rFonts w:ascii="Arial" w:hAnsi="Arial" w:cs="Arial"/>
                <w:strike/>
                <w:sz w:val="24"/>
                <w:szCs w:val="24"/>
                <w:lang w:val="en-US"/>
              </w:rPr>
            </w:pPr>
          </w:p>
          <w:p w:rsidR="00CA2161" w:rsidRPr="002140CF" w:rsidRDefault="00CA2161" w:rsidP="002140CF">
            <w:pPr>
              <w:pStyle w:val="FootnoteText"/>
              <w:spacing w:line="360" w:lineRule="auto"/>
              <w:jc w:val="both"/>
              <w:rPr>
                <w:rFonts w:ascii="Arial" w:hAnsi="Arial" w:cs="Arial"/>
                <w:sz w:val="24"/>
                <w:szCs w:val="24"/>
                <w:lang w:val="en-US"/>
              </w:rPr>
            </w:pPr>
            <w:r w:rsidRPr="002140CF">
              <w:rPr>
                <w:rFonts w:ascii="Arial" w:hAnsi="Arial" w:cs="Arial"/>
                <w:sz w:val="24"/>
                <w:szCs w:val="24"/>
                <w:lang w:val="en-US"/>
              </w:rPr>
              <w:t>[8</w:t>
            </w:r>
            <w:r w:rsidR="000F38D6" w:rsidRPr="002140CF">
              <w:rPr>
                <w:rFonts w:ascii="Arial" w:hAnsi="Arial" w:cs="Arial"/>
                <w:sz w:val="24"/>
                <w:szCs w:val="24"/>
                <w:lang w:val="en-US"/>
              </w:rPr>
              <w:t xml:space="preserve">] </w:t>
            </w:r>
            <w:r w:rsidRPr="002140CF">
              <w:rPr>
                <w:rFonts w:ascii="Arial" w:hAnsi="Arial" w:cs="Arial"/>
                <w:sz w:val="24"/>
                <w:szCs w:val="24"/>
                <w:lang w:val="en-US"/>
              </w:rPr>
              <w:t xml:space="preserve"> The relevant para in the particulars of claim is set out below:</w:t>
            </w:r>
          </w:p>
          <w:p w:rsidR="00CA2161" w:rsidRPr="002140CF" w:rsidRDefault="002140CF" w:rsidP="002140CF">
            <w:pPr>
              <w:pStyle w:val="FootnoteText"/>
              <w:spacing w:line="360" w:lineRule="auto"/>
              <w:jc w:val="both"/>
              <w:rPr>
                <w:rFonts w:ascii="Arial" w:hAnsi="Arial" w:cs="Arial"/>
                <w:sz w:val="22"/>
                <w:szCs w:val="22"/>
                <w:lang w:val="en-US"/>
              </w:rPr>
            </w:pPr>
            <w:r>
              <w:rPr>
                <w:rFonts w:ascii="Arial" w:hAnsi="Arial" w:cs="Arial"/>
                <w:sz w:val="22"/>
                <w:szCs w:val="22"/>
              </w:rPr>
              <w:tab/>
              <w:t>‘</w:t>
            </w:r>
            <w:r w:rsidR="00CA2161" w:rsidRPr="002140CF">
              <w:rPr>
                <w:rFonts w:ascii="Arial" w:hAnsi="Arial" w:cs="Arial"/>
                <w:sz w:val="22"/>
                <w:szCs w:val="22"/>
              </w:rPr>
              <w:t>2</w:t>
            </w:r>
            <w:r w:rsidR="00CA2161" w:rsidRPr="002140CF">
              <w:rPr>
                <w:rFonts w:ascii="Arial" w:hAnsi="Arial" w:cs="Arial"/>
                <w:sz w:val="22"/>
                <w:szCs w:val="22"/>
                <w:lang w:val="en-US"/>
              </w:rPr>
              <w:t>8: All rentals prior to the cession of the lease have been paid to Standard Bank due to a cession of rentals by Tenbergen in favour of Standard Bank.</w:t>
            </w:r>
          </w:p>
          <w:p w:rsidR="00CA2161" w:rsidRPr="002140CF" w:rsidRDefault="00CA2161" w:rsidP="002140CF">
            <w:pPr>
              <w:pStyle w:val="FootnoteText"/>
              <w:spacing w:line="360" w:lineRule="auto"/>
              <w:jc w:val="both"/>
              <w:rPr>
                <w:rFonts w:ascii="Arial" w:hAnsi="Arial" w:cs="Arial"/>
                <w:sz w:val="22"/>
                <w:szCs w:val="22"/>
                <w:lang w:val="en-US"/>
              </w:rPr>
            </w:pPr>
            <w:r w:rsidRPr="002140CF">
              <w:rPr>
                <w:rFonts w:ascii="Arial" w:hAnsi="Arial" w:cs="Arial"/>
                <w:sz w:val="22"/>
                <w:szCs w:val="22"/>
                <w:lang w:val="en-US"/>
              </w:rPr>
              <w:t>29. Standard Bank accepted payment of the rentals.</w:t>
            </w:r>
          </w:p>
          <w:p w:rsidR="00CA2161" w:rsidRPr="002140CF" w:rsidRDefault="00CA2161" w:rsidP="002140CF">
            <w:pPr>
              <w:pStyle w:val="FootnoteText"/>
              <w:spacing w:line="360" w:lineRule="auto"/>
              <w:jc w:val="both"/>
              <w:rPr>
                <w:rFonts w:ascii="Arial" w:hAnsi="Arial" w:cs="Arial"/>
                <w:sz w:val="22"/>
                <w:szCs w:val="22"/>
                <w:lang w:val="en-US"/>
              </w:rPr>
            </w:pPr>
            <w:r w:rsidRPr="002140CF">
              <w:rPr>
                <w:rFonts w:ascii="Arial" w:hAnsi="Arial" w:cs="Arial"/>
                <w:sz w:val="22"/>
                <w:szCs w:val="22"/>
                <w:lang w:val="en-US"/>
              </w:rPr>
              <w:t>30. In accepting payment of the rentals, Standard Bank tacitly, alternatively, by way of conduct, waived the requirement for it to have provided a written consent for the leased premises to be leased to Mons Vinum.</w:t>
            </w:r>
          </w:p>
          <w:p w:rsidR="00CA2161" w:rsidRPr="002140CF" w:rsidRDefault="00CA2161" w:rsidP="002140CF">
            <w:pPr>
              <w:pStyle w:val="FootnoteText"/>
              <w:spacing w:line="360" w:lineRule="auto"/>
              <w:jc w:val="both"/>
              <w:rPr>
                <w:rFonts w:ascii="Arial" w:hAnsi="Arial" w:cs="Arial"/>
                <w:sz w:val="22"/>
                <w:szCs w:val="22"/>
                <w:lang w:val="en-US"/>
              </w:rPr>
            </w:pPr>
            <w:r w:rsidRPr="002140CF">
              <w:rPr>
                <w:rFonts w:ascii="Arial" w:hAnsi="Arial" w:cs="Arial"/>
                <w:sz w:val="22"/>
                <w:szCs w:val="22"/>
                <w:lang w:val="en-US"/>
              </w:rPr>
              <w:t>31. To the knowledge of Standard bank, Spearmint accepted cession of the lease agreement.</w:t>
            </w:r>
          </w:p>
          <w:p w:rsidR="00CA2161" w:rsidRPr="002140CF" w:rsidRDefault="00CA2161" w:rsidP="002140CF">
            <w:pPr>
              <w:pStyle w:val="FootnoteText"/>
              <w:spacing w:line="360" w:lineRule="auto"/>
              <w:jc w:val="both"/>
              <w:rPr>
                <w:rFonts w:ascii="Arial" w:hAnsi="Arial" w:cs="Arial"/>
                <w:sz w:val="22"/>
                <w:szCs w:val="22"/>
                <w:lang w:val="en-US"/>
              </w:rPr>
            </w:pPr>
            <w:r w:rsidRPr="002140CF">
              <w:rPr>
                <w:rFonts w:ascii="Arial" w:hAnsi="Arial" w:cs="Arial"/>
                <w:sz w:val="22"/>
                <w:szCs w:val="22"/>
                <w:lang w:val="en-US"/>
              </w:rPr>
              <w:t xml:space="preserve">32. Standard Bank tacitly, alternatively, through its conduct, waived the requirement for it to have provided written consent for the leased premises to Mons Vinum. </w:t>
            </w:r>
          </w:p>
          <w:p w:rsidR="00CA2161" w:rsidRPr="002140CF" w:rsidRDefault="00CA2161" w:rsidP="00CA2161">
            <w:pPr>
              <w:pStyle w:val="FootnoteText"/>
              <w:spacing w:line="360" w:lineRule="auto"/>
              <w:rPr>
                <w:rFonts w:ascii="Arial" w:hAnsi="Arial" w:cs="Arial"/>
                <w:sz w:val="22"/>
                <w:szCs w:val="22"/>
                <w:lang w:val="en-US"/>
              </w:rPr>
            </w:pPr>
            <w:r w:rsidRPr="002140CF">
              <w:rPr>
                <w:rFonts w:ascii="Arial" w:hAnsi="Arial" w:cs="Arial"/>
                <w:sz w:val="22"/>
                <w:szCs w:val="22"/>
                <w:lang w:val="en-US"/>
              </w:rPr>
              <w:lastRenderedPageBreak/>
              <w:t>33. Standard Bank was at all material times aware of the lease agreement and willing to and accepted the benefits (rentals) in terms of the lease agreement.’</w:t>
            </w:r>
          </w:p>
          <w:p w:rsidR="00CA2161" w:rsidRPr="002140CF" w:rsidRDefault="00CA2161" w:rsidP="00CA2161">
            <w:pPr>
              <w:pStyle w:val="FootnoteText"/>
              <w:spacing w:line="360" w:lineRule="auto"/>
              <w:rPr>
                <w:rFonts w:ascii="Arial" w:hAnsi="Arial" w:cs="Arial"/>
                <w:sz w:val="22"/>
                <w:szCs w:val="22"/>
                <w:u w:val="single"/>
                <w:lang w:val="en-US"/>
              </w:rPr>
            </w:pPr>
          </w:p>
          <w:p w:rsidR="00AA538D" w:rsidRPr="002140CF" w:rsidRDefault="00CA2161" w:rsidP="00561948">
            <w:pPr>
              <w:spacing w:line="360" w:lineRule="auto"/>
              <w:jc w:val="both"/>
              <w:rPr>
                <w:rFonts w:ascii="Arial" w:hAnsi="Arial" w:cs="Arial"/>
                <w:strike/>
                <w:sz w:val="24"/>
                <w:szCs w:val="24"/>
                <w:lang w:val="en-US"/>
              </w:rPr>
            </w:pPr>
            <w:r w:rsidRPr="002140CF">
              <w:rPr>
                <w:rFonts w:ascii="Arial" w:hAnsi="Arial" w:cs="Arial"/>
                <w:sz w:val="24"/>
                <w:szCs w:val="24"/>
                <w:lang w:val="en-US"/>
              </w:rPr>
              <w:t>[9]</w:t>
            </w:r>
            <w:r w:rsidRPr="002140CF">
              <w:rPr>
                <w:rFonts w:ascii="Arial" w:hAnsi="Arial" w:cs="Arial"/>
                <w:sz w:val="24"/>
                <w:szCs w:val="24"/>
                <w:lang w:val="en-US"/>
              </w:rPr>
              <w:tab/>
              <w:t xml:space="preserve"> Having considered the </w:t>
            </w:r>
            <w:r w:rsidRPr="002140CF">
              <w:rPr>
                <w:rFonts w:ascii="Arial" w:hAnsi="Arial" w:cs="Arial"/>
                <w:i/>
                <w:sz w:val="24"/>
                <w:szCs w:val="24"/>
                <w:lang w:val="en-US"/>
              </w:rPr>
              <w:t xml:space="preserve">Van </w:t>
            </w:r>
            <w:proofErr w:type="spellStart"/>
            <w:r w:rsidRPr="002140CF">
              <w:rPr>
                <w:rFonts w:ascii="Arial" w:hAnsi="Arial" w:cs="Arial"/>
                <w:i/>
                <w:sz w:val="24"/>
                <w:szCs w:val="24"/>
                <w:lang w:val="en-US"/>
              </w:rPr>
              <w:t>Straten</w:t>
            </w:r>
            <w:proofErr w:type="spellEnd"/>
            <w:r w:rsidRPr="002140CF">
              <w:rPr>
                <w:rFonts w:ascii="Arial" w:hAnsi="Arial" w:cs="Arial"/>
                <w:sz w:val="24"/>
                <w:szCs w:val="24"/>
                <w:lang w:val="en-US"/>
              </w:rPr>
              <w:t xml:space="preserve"> principles to the facts herein</w:t>
            </w:r>
            <w:r w:rsidR="002140CF">
              <w:rPr>
                <w:rFonts w:ascii="Arial" w:hAnsi="Arial" w:cs="Arial"/>
                <w:sz w:val="24"/>
                <w:szCs w:val="24"/>
                <w:lang w:val="en-US"/>
              </w:rPr>
              <w:t>,</w:t>
            </w:r>
            <w:r w:rsidRPr="002140CF">
              <w:rPr>
                <w:rFonts w:ascii="Arial" w:hAnsi="Arial" w:cs="Arial"/>
                <w:sz w:val="24"/>
                <w:szCs w:val="24"/>
                <w:lang w:val="en-US"/>
              </w:rPr>
              <w:t xml:space="preserve"> I came to the conclusion that there is no merit in the </w:t>
            </w:r>
            <w:r w:rsidR="00561948" w:rsidRPr="002140CF">
              <w:rPr>
                <w:rFonts w:ascii="Arial" w:hAnsi="Arial" w:cs="Arial"/>
                <w:sz w:val="24"/>
                <w:szCs w:val="24"/>
                <w:lang w:val="en-US"/>
              </w:rPr>
              <w:t>cont</w:t>
            </w:r>
            <w:r w:rsidR="002140CF">
              <w:rPr>
                <w:rFonts w:ascii="Arial" w:hAnsi="Arial" w:cs="Arial"/>
                <w:sz w:val="24"/>
                <w:szCs w:val="24"/>
                <w:lang w:val="en-US"/>
              </w:rPr>
              <w:t xml:space="preserve">ention that the claim does not </w:t>
            </w:r>
            <w:r w:rsidR="00561948" w:rsidRPr="002140CF">
              <w:rPr>
                <w:rFonts w:ascii="Arial" w:hAnsi="Arial" w:cs="Arial"/>
                <w:sz w:val="24"/>
                <w:szCs w:val="24"/>
                <w:lang w:val="en-US"/>
              </w:rPr>
              <w:t xml:space="preserve">constitute a valid cause of action. </w:t>
            </w:r>
            <w:r w:rsidRPr="002140CF">
              <w:rPr>
                <w:rFonts w:ascii="Arial" w:hAnsi="Arial" w:cs="Arial"/>
                <w:sz w:val="24"/>
                <w:szCs w:val="24"/>
                <w:lang w:val="en-US"/>
              </w:rPr>
              <w:t xml:space="preserve"> T</w:t>
            </w:r>
            <w:r w:rsidR="00561948" w:rsidRPr="002140CF">
              <w:rPr>
                <w:rFonts w:ascii="Arial" w:hAnsi="Arial" w:cs="Arial"/>
                <w:sz w:val="24"/>
                <w:szCs w:val="24"/>
                <w:lang w:val="en-US"/>
              </w:rPr>
              <w:t>he defendants can plead to the claim</w:t>
            </w:r>
            <w:r w:rsidRPr="002140CF">
              <w:rPr>
                <w:rFonts w:ascii="Arial" w:hAnsi="Arial" w:cs="Arial"/>
                <w:sz w:val="24"/>
                <w:szCs w:val="24"/>
                <w:lang w:val="en-US"/>
              </w:rPr>
              <w:t xml:space="preserve"> and evidence </w:t>
            </w:r>
            <w:r w:rsidR="00561948" w:rsidRPr="002140CF">
              <w:rPr>
                <w:rFonts w:ascii="Arial" w:hAnsi="Arial" w:cs="Arial"/>
                <w:sz w:val="24"/>
                <w:szCs w:val="24"/>
                <w:lang w:val="en-US"/>
              </w:rPr>
              <w:t>can be led by the parties the averments that constitute the thorn in the flesh herein.</w:t>
            </w:r>
          </w:p>
          <w:p w:rsidR="00AA538D" w:rsidRPr="002140CF" w:rsidRDefault="00AA538D" w:rsidP="00AC22BC">
            <w:pPr>
              <w:spacing w:line="360" w:lineRule="auto"/>
              <w:jc w:val="both"/>
              <w:rPr>
                <w:rFonts w:ascii="Arial" w:hAnsi="Arial" w:cs="Arial"/>
                <w:strike/>
                <w:sz w:val="24"/>
                <w:szCs w:val="24"/>
                <w:lang w:val="en-US"/>
              </w:rPr>
            </w:pPr>
          </w:p>
          <w:p w:rsidR="00F756A1" w:rsidRPr="002140CF" w:rsidRDefault="00561948" w:rsidP="00EE2072">
            <w:pPr>
              <w:spacing w:line="360" w:lineRule="auto"/>
              <w:jc w:val="both"/>
              <w:rPr>
                <w:rFonts w:ascii="Arial" w:hAnsi="Arial" w:cs="Arial"/>
                <w:sz w:val="24"/>
                <w:szCs w:val="24"/>
                <w:lang w:val="en-US"/>
              </w:rPr>
            </w:pPr>
            <w:r w:rsidRPr="002140CF">
              <w:rPr>
                <w:rFonts w:ascii="Arial" w:hAnsi="Arial" w:cs="Arial"/>
                <w:sz w:val="24"/>
                <w:szCs w:val="24"/>
                <w:lang w:val="en-US"/>
              </w:rPr>
              <w:t>[</w:t>
            </w:r>
            <w:r w:rsidR="00EE2072" w:rsidRPr="002140CF">
              <w:rPr>
                <w:rFonts w:ascii="Arial" w:hAnsi="Arial" w:cs="Arial"/>
                <w:sz w:val="24"/>
                <w:szCs w:val="24"/>
                <w:lang w:val="en-US"/>
              </w:rPr>
              <w:t>1</w:t>
            </w:r>
            <w:r w:rsidRPr="002140CF">
              <w:rPr>
                <w:rFonts w:ascii="Arial" w:hAnsi="Arial" w:cs="Arial"/>
                <w:sz w:val="24"/>
                <w:szCs w:val="24"/>
                <w:lang w:val="en-US"/>
              </w:rPr>
              <w:t>0</w:t>
            </w:r>
            <w:r w:rsidR="00AA538D" w:rsidRPr="002140CF">
              <w:rPr>
                <w:rFonts w:ascii="Arial" w:hAnsi="Arial" w:cs="Arial"/>
                <w:sz w:val="24"/>
                <w:szCs w:val="24"/>
                <w:lang w:val="en-US"/>
              </w:rPr>
              <w:t xml:space="preserve">]      </w:t>
            </w:r>
            <w:r w:rsidR="00EE2072" w:rsidRPr="002140CF">
              <w:rPr>
                <w:rFonts w:ascii="Arial" w:hAnsi="Arial" w:cs="Arial"/>
                <w:sz w:val="24"/>
                <w:szCs w:val="24"/>
                <w:lang w:val="en-US"/>
              </w:rPr>
              <w:t>Accordingly, I make the following order:</w:t>
            </w:r>
          </w:p>
          <w:p w:rsidR="00EE2072" w:rsidRPr="002140CF" w:rsidRDefault="00F756A1" w:rsidP="00F756A1">
            <w:pPr>
              <w:pStyle w:val="NormalWeb"/>
              <w:numPr>
                <w:ilvl w:val="0"/>
                <w:numId w:val="14"/>
              </w:numPr>
              <w:spacing w:after="0" w:line="360" w:lineRule="auto"/>
              <w:jc w:val="both"/>
              <w:rPr>
                <w:rFonts w:ascii="Arial" w:hAnsi="Arial" w:cs="Arial"/>
                <w:lang w:val="en-ZA"/>
              </w:rPr>
            </w:pPr>
            <w:r w:rsidRPr="002140CF">
              <w:rPr>
                <w:rFonts w:ascii="Arial" w:hAnsi="Arial" w:cs="Arial"/>
                <w:lang w:val="en-ZA"/>
              </w:rPr>
              <w:t>The defendants</w:t>
            </w:r>
            <w:r w:rsidR="00EE2072" w:rsidRPr="002140CF">
              <w:rPr>
                <w:rFonts w:ascii="Arial" w:hAnsi="Arial" w:cs="Arial"/>
                <w:lang w:val="en-ZA"/>
              </w:rPr>
              <w:t xml:space="preserve">’ exception brought against the plaintiff’s particulars of claim is dismissed. </w:t>
            </w:r>
          </w:p>
          <w:p w:rsidR="00F756A1" w:rsidRPr="002140CF" w:rsidRDefault="00EE2072" w:rsidP="00F756A1">
            <w:pPr>
              <w:pStyle w:val="NormalWeb"/>
              <w:numPr>
                <w:ilvl w:val="0"/>
                <w:numId w:val="14"/>
              </w:numPr>
              <w:spacing w:after="0" w:line="360" w:lineRule="auto"/>
              <w:jc w:val="both"/>
              <w:rPr>
                <w:rFonts w:ascii="Arial" w:hAnsi="Arial" w:cs="Arial"/>
                <w:lang w:val="en-ZA"/>
              </w:rPr>
            </w:pPr>
            <w:r w:rsidRPr="002140CF">
              <w:rPr>
                <w:rFonts w:ascii="Arial" w:hAnsi="Arial" w:cs="Arial"/>
                <w:lang w:val="en-ZA"/>
              </w:rPr>
              <w:t xml:space="preserve">The defendants </w:t>
            </w:r>
            <w:r w:rsidR="00F756A1" w:rsidRPr="002140CF">
              <w:rPr>
                <w:rFonts w:ascii="Arial" w:hAnsi="Arial" w:cs="Arial"/>
                <w:lang w:val="en-ZA"/>
              </w:rPr>
              <w:t>must pay the plaintiff’s costs of opposing the exception jointly and severally</w:t>
            </w:r>
            <w:r w:rsidRPr="002140CF">
              <w:rPr>
                <w:rFonts w:ascii="Arial" w:hAnsi="Arial" w:cs="Arial"/>
                <w:lang w:val="en-ZA"/>
              </w:rPr>
              <w:t>,</w:t>
            </w:r>
            <w:r w:rsidR="00F756A1" w:rsidRPr="002140CF">
              <w:rPr>
                <w:rFonts w:ascii="Arial" w:hAnsi="Arial" w:cs="Arial"/>
                <w:lang w:val="en-ZA"/>
              </w:rPr>
              <w:t xml:space="preserve"> the </w:t>
            </w:r>
            <w:r w:rsidR="007223A3" w:rsidRPr="002140CF">
              <w:rPr>
                <w:rFonts w:ascii="Arial" w:hAnsi="Arial" w:cs="Arial"/>
                <w:lang w:val="en-ZA"/>
              </w:rPr>
              <w:t>cost</w:t>
            </w:r>
            <w:r w:rsidR="002140CF">
              <w:rPr>
                <w:rFonts w:ascii="Arial" w:hAnsi="Arial" w:cs="Arial"/>
                <w:lang w:val="en-ZA"/>
              </w:rPr>
              <w:t>s</w:t>
            </w:r>
            <w:r w:rsidR="007223A3" w:rsidRPr="002140CF">
              <w:rPr>
                <w:rFonts w:ascii="Arial" w:hAnsi="Arial" w:cs="Arial"/>
                <w:lang w:val="en-ZA"/>
              </w:rPr>
              <w:t xml:space="preserve"> t</w:t>
            </w:r>
            <w:r w:rsidR="00D021E5" w:rsidRPr="002140CF">
              <w:rPr>
                <w:rFonts w:ascii="Arial" w:hAnsi="Arial" w:cs="Arial"/>
                <w:lang w:val="en-ZA"/>
              </w:rPr>
              <w:t>o be limited in terms of rule 32</w:t>
            </w:r>
            <w:r w:rsidR="007223A3" w:rsidRPr="002140CF">
              <w:rPr>
                <w:rFonts w:ascii="Arial" w:hAnsi="Arial" w:cs="Arial"/>
                <w:lang w:val="en-ZA"/>
              </w:rPr>
              <w:t>(11).</w:t>
            </w:r>
            <w:r w:rsidR="00561948" w:rsidRPr="002140CF">
              <w:rPr>
                <w:rFonts w:ascii="Arial" w:hAnsi="Arial" w:cs="Arial"/>
                <w:lang w:val="en-ZA"/>
              </w:rPr>
              <w:t xml:space="preserve"> </w:t>
            </w:r>
          </w:p>
          <w:p w:rsidR="00F756A1" w:rsidRPr="002140CF" w:rsidRDefault="00F756A1" w:rsidP="00F756A1">
            <w:pPr>
              <w:pStyle w:val="NormalWeb"/>
              <w:numPr>
                <w:ilvl w:val="0"/>
                <w:numId w:val="14"/>
              </w:numPr>
              <w:spacing w:before="0" w:beforeAutospacing="0" w:after="0" w:afterAutospacing="0" w:line="360" w:lineRule="auto"/>
              <w:jc w:val="both"/>
              <w:rPr>
                <w:rFonts w:ascii="Arial" w:hAnsi="Arial" w:cs="Arial"/>
              </w:rPr>
            </w:pPr>
            <w:r w:rsidRPr="002140CF">
              <w:rPr>
                <w:rFonts w:ascii="Arial" w:hAnsi="Arial" w:cs="Arial"/>
              </w:rPr>
              <w:t xml:space="preserve">The matter is postponed to </w:t>
            </w:r>
            <w:r w:rsidR="00561948" w:rsidRPr="002140CF">
              <w:rPr>
                <w:rFonts w:ascii="Arial" w:hAnsi="Arial" w:cs="Arial"/>
              </w:rPr>
              <w:t xml:space="preserve">17 January 2024 </w:t>
            </w:r>
            <w:r w:rsidR="00FA4ADB">
              <w:rPr>
                <w:rFonts w:ascii="Arial" w:hAnsi="Arial" w:cs="Arial"/>
              </w:rPr>
              <w:t>at 08h</w:t>
            </w:r>
            <w:r w:rsidRPr="002140CF">
              <w:rPr>
                <w:rFonts w:ascii="Arial" w:hAnsi="Arial" w:cs="Arial"/>
              </w:rPr>
              <w:t>30 for case planning conference.</w:t>
            </w:r>
          </w:p>
          <w:p w:rsidR="00F756A1" w:rsidRPr="002140CF" w:rsidRDefault="00F756A1" w:rsidP="00F756A1">
            <w:pPr>
              <w:pStyle w:val="ListParagraph"/>
              <w:numPr>
                <w:ilvl w:val="0"/>
                <w:numId w:val="14"/>
              </w:numPr>
              <w:spacing w:line="360" w:lineRule="auto"/>
              <w:jc w:val="both"/>
              <w:rPr>
                <w:rFonts w:ascii="Arial" w:hAnsi="Arial" w:cs="Arial"/>
                <w:sz w:val="24"/>
                <w:szCs w:val="24"/>
                <w:lang w:val="en-US"/>
              </w:rPr>
            </w:pPr>
            <w:r w:rsidRPr="002140CF">
              <w:rPr>
                <w:rFonts w:ascii="Arial" w:hAnsi="Arial" w:cs="Arial"/>
                <w:sz w:val="24"/>
                <w:szCs w:val="24"/>
              </w:rPr>
              <w:t>The parties must file a joint case plan report on or before</w:t>
            </w:r>
            <w:r w:rsidR="00561948" w:rsidRPr="002140CF">
              <w:rPr>
                <w:rFonts w:ascii="Arial" w:hAnsi="Arial" w:cs="Arial"/>
                <w:sz w:val="24"/>
                <w:szCs w:val="24"/>
              </w:rPr>
              <w:t xml:space="preserve"> 15 January 2024</w:t>
            </w:r>
            <w:r w:rsidR="007259C9" w:rsidRPr="002140CF">
              <w:rPr>
                <w:rFonts w:ascii="Arial" w:hAnsi="Arial" w:cs="Arial"/>
                <w:sz w:val="24"/>
                <w:szCs w:val="24"/>
              </w:rPr>
              <w:t>.</w:t>
            </w:r>
          </w:p>
          <w:p w:rsidR="00F756A1" w:rsidRPr="002140CF" w:rsidRDefault="00F756A1" w:rsidP="00AC22BC">
            <w:pPr>
              <w:spacing w:line="360" w:lineRule="auto"/>
              <w:jc w:val="both"/>
              <w:rPr>
                <w:rFonts w:ascii="Arial" w:hAnsi="Arial" w:cs="Arial"/>
                <w:strike/>
                <w:sz w:val="24"/>
                <w:szCs w:val="24"/>
              </w:rPr>
            </w:pPr>
          </w:p>
        </w:tc>
      </w:tr>
      <w:tr w:rsidR="002140CF" w:rsidRPr="002140CF" w:rsidTr="0092129C">
        <w:tc>
          <w:tcPr>
            <w:tcW w:w="4770" w:type="dxa"/>
          </w:tcPr>
          <w:p w:rsidR="00D26CB5" w:rsidRPr="002140CF" w:rsidRDefault="00A8443D" w:rsidP="00A3347A">
            <w:pPr>
              <w:spacing w:line="360" w:lineRule="auto"/>
              <w:jc w:val="both"/>
              <w:rPr>
                <w:rFonts w:ascii="Arial" w:hAnsi="Arial" w:cs="Arial"/>
                <w:b/>
                <w:sz w:val="24"/>
                <w:szCs w:val="24"/>
              </w:rPr>
            </w:pPr>
            <w:r w:rsidRPr="002140CF">
              <w:rPr>
                <w:rFonts w:ascii="Arial" w:hAnsi="Arial" w:cs="Arial"/>
                <w:b/>
                <w:sz w:val="24"/>
                <w:szCs w:val="24"/>
              </w:rPr>
              <w:lastRenderedPageBreak/>
              <w:t xml:space="preserve"> </w:t>
            </w:r>
            <w:r w:rsidR="00D926C9" w:rsidRPr="002140CF">
              <w:rPr>
                <w:rFonts w:ascii="Arial" w:hAnsi="Arial" w:cs="Arial"/>
                <w:b/>
                <w:sz w:val="24"/>
                <w:szCs w:val="24"/>
              </w:rPr>
              <w:t>Judge’s signature</w:t>
            </w:r>
          </w:p>
        </w:tc>
        <w:tc>
          <w:tcPr>
            <w:tcW w:w="4950" w:type="dxa"/>
            <w:gridSpan w:val="2"/>
          </w:tcPr>
          <w:p w:rsidR="00D26CB5" w:rsidRPr="002140CF" w:rsidRDefault="00D26CB5" w:rsidP="00A3347A">
            <w:pPr>
              <w:spacing w:line="360" w:lineRule="auto"/>
              <w:jc w:val="both"/>
              <w:rPr>
                <w:rFonts w:ascii="Arial" w:hAnsi="Arial" w:cs="Arial"/>
                <w:b/>
                <w:sz w:val="24"/>
                <w:szCs w:val="24"/>
              </w:rPr>
            </w:pPr>
            <w:r w:rsidRPr="002140CF">
              <w:rPr>
                <w:rFonts w:ascii="Arial" w:hAnsi="Arial" w:cs="Arial"/>
                <w:b/>
                <w:sz w:val="24"/>
                <w:szCs w:val="24"/>
              </w:rPr>
              <w:t>Note to the parties:</w:t>
            </w:r>
          </w:p>
        </w:tc>
      </w:tr>
      <w:tr w:rsidR="002140CF" w:rsidRPr="002140CF" w:rsidTr="0092129C">
        <w:trPr>
          <w:trHeight w:val="1114"/>
        </w:trPr>
        <w:tc>
          <w:tcPr>
            <w:tcW w:w="4770" w:type="dxa"/>
          </w:tcPr>
          <w:p w:rsidR="00D26CB5" w:rsidRPr="002140CF" w:rsidRDefault="00D26CB5" w:rsidP="00A3347A">
            <w:pPr>
              <w:spacing w:line="360" w:lineRule="auto"/>
              <w:jc w:val="both"/>
              <w:rPr>
                <w:rFonts w:ascii="Arial" w:hAnsi="Arial" w:cs="Arial"/>
                <w:sz w:val="24"/>
                <w:szCs w:val="24"/>
              </w:rPr>
            </w:pPr>
          </w:p>
          <w:p w:rsidR="00D26CB5" w:rsidRPr="002140CF" w:rsidRDefault="00D26CB5" w:rsidP="00A3347A">
            <w:pPr>
              <w:spacing w:line="360" w:lineRule="auto"/>
              <w:jc w:val="both"/>
              <w:rPr>
                <w:rFonts w:ascii="Arial" w:hAnsi="Arial" w:cs="Arial"/>
                <w:sz w:val="24"/>
                <w:szCs w:val="24"/>
              </w:rPr>
            </w:pPr>
          </w:p>
          <w:p w:rsidR="002B4E8C" w:rsidRPr="002140CF" w:rsidRDefault="002B4E8C" w:rsidP="00A3347A">
            <w:pPr>
              <w:spacing w:line="360" w:lineRule="auto"/>
              <w:jc w:val="both"/>
              <w:rPr>
                <w:rFonts w:ascii="Arial" w:hAnsi="Arial" w:cs="Arial"/>
                <w:sz w:val="24"/>
                <w:szCs w:val="24"/>
              </w:rPr>
            </w:pPr>
          </w:p>
          <w:p w:rsidR="00D26CB5" w:rsidRPr="002140CF" w:rsidRDefault="00D26CB5" w:rsidP="00A3347A">
            <w:pPr>
              <w:spacing w:line="360" w:lineRule="auto"/>
              <w:jc w:val="both"/>
              <w:rPr>
                <w:rFonts w:ascii="Arial" w:hAnsi="Arial" w:cs="Arial"/>
                <w:sz w:val="24"/>
                <w:szCs w:val="24"/>
              </w:rPr>
            </w:pPr>
          </w:p>
        </w:tc>
        <w:tc>
          <w:tcPr>
            <w:tcW w:w="4950" w:type="dxa"/>
            <w:gridSpan w:val="2"/>
          </w:tcPr>
          <w:p w:rsidR="00D26CB5" w:rsidRPr="002140CF" w:rsidRDefault="00D26CB5" w:rsidP="00A3347A">
            <w:pPr>
              <w:spacing w:line="360" w:lineRule="auto"/>
              <w:jc w:val="both"/>
              <w:rPr>
                <w:rFonts w:ascii="Arial" w:hAnsi="Arial" w:cs="Arial"/>
                <w:sz w:val="24"/>
                <w:szCs w:val="24"/>
              </w:rPr>
            </w:pPr>
            <w:r w:rsidRPr="002140CF">
              <w:rPr>
                <w:rFonts w:ascii="Arial" w:hAnsi="Arial" w:cs="Arial"/>
                <w:sz w:val="24"/>
                <w:szCs w:val="24"/>
              </w:rPr>
              <w:t>Not applicable.</w:t>
            </w:r>
          </w:p>
        </w:tc>
      </w:tr>
      <w:tr w:rsidR="002140CF" w:rsidRPr="002140CF" w:rsidTr="0092129C">
        <w:tc>
          <w:tcPr>
            <w:tcW w:w="9720" w:type="dxa"/>
            <w:gridSpan w:val="3"/>
          </w:tcPr>
          <w:p w:rsidR="00D26CB5" w:rsidRPr="002140CF" w:rsidRDefault="00D26CB5" w:rsidP="00A3347A">
            <w:pPr>
              <w:spacing w:line="360" w:lineRule="auto"/>
              <w:jc w:val="both"/>
              <w:rPr>
                <w:rFonts w:ascii="Arial" w:hAnsi="Arial" w:cs="Arial"/>
                <w:b/>
                <w:sz w:val="24"/>
                <w:szCs w:val="24"/>
              </w:rPr>
            </w:pPr>
            <w:r w:rsidRPr="002140CF">
              <w:rPr>
                <w:rFonts w:ascii="Arial" w:hAnsi="Arial" w:cs="Arial"/>
                <w:b/>
                <w:sz w:val="24"/>
                <w:szCs w:val="24"/>
              </w:rPr>
              <w:t>Counsel:</w:t>
            </w:r>
          </w:p>
        </w:tc>
      </w:tr>
      <w:tr w:rsidR="002140CF" w:rsidRPr="002140CF" w:rsidTr="0092129C">
        <w:tc>
          <w:tcPr>
            <w:tcW w:w="4770" w:type="dxa"/>
          </w:tcPr>
          <w:p w:rsidR="00D26CB5" w:rsidRPr="002140CF" w:rsidRDefault="008B2C30" w:rsidP="00A3347A">
            <w:pPr>
              <w:spacing w:line="360" w:lineRule="auto"/>
              <w:jc w:val="both"/>
              <w:rPr>
                <w:rFonts w:ascii="Arial" w:hAnsi="Arial" w:cs="Arial"/>
                <w:b/>
                <w:sz w:val="24"/>
                <w:szCs w:val="24"/>
              </w:rPr>
            </w:pPr>
            <w:r w:rsidRPr="002140CF">
              <w:rPr>
                <w:rFonts w:ascii="Arial" w:hAnsi="Arial" w:cs="Arial"/>
                <w:b/>
                <w:sz w:val="24"/>
                <w:szCs w:val="24"/>
              </w:rPr>
              <w:t xml:space="preserve">Applicant </w:t>
            </w:r>
          </w:p>
        </w:tc>
        <w:tc>
          <w:tcPr>
            <w:tcW w:w="4950" w:type="dxa"/>
            <w:gridSpan w:val="2"/>
          </w:tcPr>
          <w:p w:rsidR="00D26CB5" w:rsidRPr="002140CF" w:rsidRDefault="00D26CB5" w:rsidP="00A3347A">
            <w:pPr>
              <w:spacing w:line="360" w:lineRule="auto"/>
              <w:jc w:val="both"/>
              <w:rPr>
                <w:rFonts w:ascii="Arial" w:hAnsi="Arial" w:cs="Arial"/>
                <w:b/>
                <w:sz w:val="24"/>
                <w:szCs w:val="24"/>
              </w:rPr>
            </w:pPr>
            <w:r w:rsidRPr="002140CF">
              <w:rPr>
                <w:rFonts w:ascii="Arial" w:hAnsi="Arial" w:cs="Arial"/>
                <w:b/>
                <w:sz w:val="24"/>
                <w:szCs w:val="24"/>
              </w:rPr>
              <w:t xml:space="preserve"> Respondent</w:t>
            </w:r>
            <w:r w:rsidR="00567A34" w:rsidRPr="002140CF">
              <w:rPr>
                <w:rFonts w:ascii="Arial" w:hAnsi="Arial" w:cs="Arial"/>
                <w:b/>
                <w:sz w:val="24"/>
                <w:szCs w:val="24"/>
              </w:rPr>
              <w:t xml:space="preserve"> </w:t>
            </w:r>
          </w:p>
        </w:tc>
      </w:tr>
      <w:tr w:rsidR="002140CF" w:rsidRPr="002140CF" w:rsidTr="0092129C">
        <w:tc>
          <w:tcPr>
            <w:tcW w:w="4770" w:type="dxa"/>
          </w:tcPr>
          <w:p w:rsidR="00D26CB5" w:rsidRPr="002140CF" w:rsidRDefault="00A10C22" w:rsidP="00A3347A">
            <w:pPr>
              <w:spacing w:line="360" w:lineRule="auto"/>
              <w:jc w:val="both"/>
              <w:rPr>
                <w:rFonts w:ascii="Arial" w:hAnsi="Arial" w:cs="Arial"/>
                <w:sz w:val="24"/>
                <w:szCs w:val="24"/>
              </w:rPr>
            </w:pPr>
            <w:r w:rsidRPr="002140CF">
              <w:rPr>
                <w:rFonts w:ascii="Arial" w:hAnsi="Arial" w:cs="Arial"/>
                <w:sz w:val="24"/>
                <w:szCs w:val="24"/>
              </w:rPr>
              <w:t xml:space="preserve">Ms </w:t>
            </w:r>
            <w:r w:rsidR="00CD6823" w:rsidRPr="002140CF">
              <w:rPr>
                <w:rFonts w:ascii="Arial" w:hAnsi="Arial" w:cs="Arial"/>
                <w:sz w:val="24"/>
                <w:szCs w:val="24"/>
              </w:rPr>
              <w:t xml:space="preserve">M </w:t>
            </w:r>
            <w:proofErr w:type="spellStart"/>
            <w:r w:rsidRPr="002140CF">
              <w:rPr>
                <w:rFonts w:ascii="Arial" w:hAnsi="Arial" w:cs="Arial"/>
                <w:sz w:val="24"/>
                <w:szCs w:val="24"/>
              </w:rPr>
              <w:t>Kuzeeko</w:t>
            </w:r>
            <w:proofErr w:type="spellEnd"/>
          </w:p>
          <w:p w:rsidR="008B2C30" w:rsidRPr="002140CF" w:rsidRDefault="006117D4" w:rsidP="00A3347A">
            <w:pPr>
              <w:spacing w:line="360" w:lineRule="auto"/>
              <w:jc w:val="both"/>
              <w:rPr>
                <w:rFonts w:ascii="Arial" w:hAnsi="Arial" w:cs="Arial"/>
                <w:sz w:val="24"/>
                <w:szCs w:val="24"/>
              </w:rPr>
            </w:pPr>
            <w:r w:rsidRPr="002140CF">
              <w:rPr>
                <w:rFonts w:ascii="Arial" w:hAnsi="Arial" w:cs="Arial"/>
                <w:sz w:val="24"/>
                <w:szCs w:val="24"/>
              </w:rPr>
              <w:t xml:space="preserve">Of </w:t>
            </w:r>
            <w:r w:rsidR="00D926C9" w:rsidRPr="002140CF">
              <w:rPr>
                <w:rFonts w:ascii="Arial" w:hAnsi="Arial" w:cs="Arial"/>
                <w:sz w:val="24"/>
                <w:szCs w:val="24"/>
              </w:rPr>
              <w:t xml:space="preserve"> </w:t>
            </w:r>
          </w:p>
          <w:p w:rsidR="00D926C9" w:rsidRPr="002140CF" w:rsidRDefault="00A10C22" w:rsidP="00A3347A">
            <w:pPr>
              <w:spacing w:line="360" w:lineRule="auto"/>
              <w:jc w:val="both"/>
              <w:rPr>
                <w:rFonts w:ascii="Arial" w:hAnsi="Arial" w:cs="Arial"/>
                <w:sz w:val="24"/>
                <w:szCs w:val="24"/>
              </w:rPr>
            </w:pPr>
            <w:r w:rsidRPr="002140CF">
              <w:rPr>
                <w:rFonts w:ascii="Arial" w:hAnsi="Arial" w:cs="Arial"/>
                <w:sz w:val="24"/>
                <w:szCs w:val="24"/>
              </w:rPr>
              <w:t xml:space="preserve">Dr </w:t>
            </w:r>
            <w:proofErr w:type="spellStart"/>
            <w:r w:rsidRPr="002140CF">
              <w:rPr>
                <w:rFonts w:ascii="Arial" w:hAnsi="Arial" w:cs="Arial"/>
                <w:sz w:val="24"/>
                <w:szCs w:val="24"/>
              </w:rPr>
              <w:t>Weder</w:t>
            </w:r>
            <w:proofErr w:type="spellEnd"/>
            <w:r w:rsidRPr="002140CF">
              <w:rPr>
                <w:rFonts w:ascii="Arial" w:hAnsi="Arial" w:cs="Arial"/>
                <w:sz w:val="24"/>
                <w:szCs w:val="24"/>
              </w:rPr>
              <w:t xml:space="preserve"> </w:t>
            </w:r>
            <w:proofErr w:type="spellStart"/>
            <w:r w:rsidRPr="002140CF">
              <w:rPr>
                <w:rFonts w:ascii="Arial" w:hAnsi="Arial" w:cs="Arial"/>
                <w:sz w:val="24"/>
                <w:szCs w:val="24"/>
              </w:rPr>
              <w:t>Kauta</w:t>
            </w:r>
            <w:proofErr w:type="spellEnd"/>
            <w:r w:rsidR="00CD6823" w:rsidRPr="002140CF">
              <w:rPr>
                <w:rFonts w:ascii="Arial" w:hAnsi="Arial" w:cs="Arial"/>
                <w:sz w:val="24"/>
                <w:szCs w:val="24"/>
              </w:rPr>
              <w:t xml:space="preserve"> &amp; </w:t>
            </w:r>
            <w:proofErr w:type="spellStart"/>
            <w:r w:rsidR="00CD6823" w:rsidRPr="002140CF">
              <w:rPr>
                <w:rFonts w:ascii="Arial" w:hAnsi="Arial" w:cs="Arial"/>
                <w:sz w:val="24"/>
                <w:szCs w:val="24"/>
              </w:rPr>
              <w:t>Hoveka</w:t>
            </w:r>
            <w:proofErr w:type="spellEnd"/>
            <w:r w:rsidR="00CD6823" w:rsidRPr="002140CF">
              <w:rPr>
                <w:rFonts w:ascii="Arial" w:hAnsi="Arial" w:cs="Arial"/>
                <w:sz w:val="24"/>
                <w:szCs w:val="24"/>
              </w:rPr>
              <w:t xml:space="preserve"> Inc. </w:t>
            </w:r>
          </w:p>
        </w:tc>
        <w:tc>
          <w:tcPr>
            <w:tcW w:w="4950" w:type="dxa"/>
            <w:gridSpan w:val="2"/>
          </w:tcPr>
          <w:p w:rsidR="00D26CB5" w:rsidRPr="002140CF" w:rsidRDefault="00CD6823" w:rsidP="00A3347A">
            <w:pPr>
              <w:spacing w:line="360" w:lineRule="auto"/>
              <w:jc w:val="both"/>
              <w:rPr>
                <w:rFonts w:ascii="Arial" w:hAnsi="Arial" w:cs="Arial"/>
                <w:sz w:val="24"/>
                <w:szCs w:val="24"/>
              </w:rPr>
            </w:pPr>
            <w:proofErr w:type="spellStart"/>
            <w:r w:rsidRPr="002140CF">
              <w:rPr>
                <w:rFonts w:ascii="Arial" w:hAnsi="Arial" w:cs="Arial"/>
                <w:sz w:val="24"/>
                <w:szCs w:val="24"/>
              </w:rPr>
              <w:t>Adv</w:t>
            </w:r>
            <w:proofErr w:type="spellEnd"/>
            <w:r w:rsidRPr="002140CF">
              <w:rPr>
                <w:rFonts w:ascii="Arial" w:hAnsi="Arial" w:cs="Arial"/>
                <w:sz w:val="24"/>
                <w:szCs w:val="24"/>
              </w:rPr>
              <w:t xml:space="preserve"> P Barnard </w:t>
            </w:r>
          </w:p>
          <w:p w:rsidR="00F8299A" w:rsidRPr="002140CF" w:rsidRDefault="00CD6823" w:rsidP="00A3347A">
            <w:pPr>
              <w:spacing w:line="360" w:lineRule="auto"/>
              <w:jc w:val="both"/>
              <w:rPr>
                <w:rFonts w:ascii="Arial" w:hAnsi="Arial" w:cs="Arial"/>
                <w:sz w:val="24"/>
                <w:szCs w:val="24"/>
              </w:rPr>
            </w:pPr>
            <w:r w:rsidRPr="002140CF">
              <w:rPr>
                <w:rFonts w:ascii="Arial" w:hAnsi="Arial" w:cs="Arial"/>
                <w:sz w:val="24"/>
                <w:szCs w:val="24"/>
              </w:rPr>
              <w:t xml:space="preserve">Instructed by </w:t>
            </w:r>
            <w:r w:rsidR="00F8299A" w:rsidRPr="002140CF">
              <w:rPr>
                <w:rFonts w:ascii="Arial" w:hAnsi="Arial" w:cs="Arial"/>
                <w:sz w:val="24"/>
                <w:szCs w:val="24"/>
              </w:rPr>
              <w:t xml:space="preserve"> </w:t>
            </w:r>
          </w:p>
          <w:p w:rsidR="006117D4" w:rsidRPr="002140CF" w:rsidRDefault="00CD6823" w:rsidP="00A3347A">
            <w:pPr>
              <w:spacing w:line="360" w:lineRule="auto"/>
              <w:jc w:val="both"/>
              <w:rPr>
                <w:rFonts w:ascii="Arial" w:hAnsi="Arial" w:cs="Arial"/>
                <w:sz w:val="24"/>
                <w:szCs w:val="24"/>
              </w:rPr>
            </w:pPr>
            <w:proofErr w:type="spellStart"/>
            <w:r w:rsidRPr="002140CF">
              <w:rPr>
                <w:rFonts w:ascii="Arial" w:hAnsi="Arial" w:cs="Arial"/>
                <w:sz w:val="24"/>
                <w:szCs w:val="24"/>
              </w:rPr>
              <w:t>Lubbe</w:t>
            </w:r>
            <w:proofErr w:type="spellEnd"/>
            <w:r w:rsidRPr="002140CF">
              <w:rPr>
                <w:rFonts w:ascii="Arial" w:hAnsi="Arial" w:cs="Arial"/>
                <w:sz w:val="24"/>
                <w:szCs w:val="24"/>
              </w:rPr>
              <w:t xml:space="preserve"> &amp; </w:t>
            </w:r>
            <w:proofErr w:type="spellStart"/>
            <w:r w:rsidRPr="002140CF">
              <w:rPr>
                <w:rFonts w:ascii="Arial" w:hAnsi="Arial" w:cs="Arial"/>
                <w:sz w:val="24"/>
                <w:szCs w:val="24"/>
              </w:rPr>
              <w:t>Saaiman</w:t>
            </w:r>
            <w:proofErr w:type="spellEnd"/>
            <w:r w:rsidRPr="002140CF">
              <w:rPr>
                <w:rFonts w:ascii="Arial" w:hAnsi="Arial" w:cs="Arial"/>
                <w:sz w:val="24"/>
                <w:szCs w:val="24"/>
              </w:rPr>
              <w:t xml:space="preserve"> Incorporated.</w:t>
            </w:r>
          </w:p>
        </w:tc>
      </w:tr>
    </w:tbl>
    <w:p w:rsidR="00D26CB5" w:rsidRPr="002140CF" w:rsidRDefault="00D26CB5" w:rsidP="00A3347A">
      <w:pPr>
        <w:spacing w:after="0" w:line="360" w:lineRule="auto"/>
        <w:jc w:val="both"/>
        <w:rPr>
          <w:rFonts w:ascii="Arial" w:hAnsi="Arial" w:cs="Arial"/>
          <w:sz w:val="24"/>
          <w:szCs w:val="24"/>
        </w:rPr>
      </w:pPr>
    </w:p>
    <w:p w:rsidR="002140CF" w:rsidRPr="002140CF" w:rsidRDefault="002140CF">
      <w:pPr>
        <w:spacing w:after="0" w:line="360" w:lineRule="auto"/>
        <w:jc w:val="both"/>
        <w:rPr>
          <w:rFonts w:ascii="Arial" w:hAnsi="Arial" w:cs="Arial"/>
          <w:sz w:val="24"/>
          <w:szCs w:val="24"/>
        </w:rPr>
      </w:pPr>
    </w:p>
    <w:sectPr w:rsidR="002140CF" w:rsidRPr="002140CF" w:rsidSect="009937E0">
      <w:headerReference w:type="default" r:id="rId12"/>
      <w:footerReference w:type="default" r:id="rId13"/>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F4" w:rsidRDefault="003A7EF4" w:rsidP="00D01890">
      <w:pPr>
        <w:spacing w:after="0" w:line="240" w:lineRule="auto"/>
      </w:pPr>
      <w:r>
        <w:separator/>
      </w:r>
    </w:p>
  </w:endnote>
  <w:endnote w:type="continuationSeparator" w:id="0">
    <w:p w:rsidR="003A7EF4" w:rsidRDefault="003A7EF4"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A" w:rsidRDefault="003B7CDA">
    <w:pPr>
      <w:pStyle w:val="Footer"/>
      <w:jc w:val="right"/>
    </w:pPr>
  </w:p>
  <w:p w:rsidR="003B7CDA" w:rsidRDefault="003B7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F4" w:rsidRDefault="003A7EF4" w:rsidP="00D01890">
      <w:pPr>
        <w:spacing w:after="0" w:line="240" w:lineRule="auto"/>
      </w:pPr>
      <w:r>
        <w:separator/>
      </w:r>
    </w:p>
  </w:footnote>
  <w:footnote w:type="continuationSeparator" w:id="0">
    <w:p w:rsidR="003A7EF4" w:rsidRDefault="003A7EF4" w:rsidP="00D01890">
      <w:pPr>
        <w:spacing w:after="0" w:line="240" w:lineRule="auto"/>
      </w:pPr>
      <w:r>
        <w:continuationSeparator/>
      </w:r>
    </w:p>
  </w:footnote>
  <w:footnote w:id="1">
    <w:p w:rsidR="00AA538D" w:rsidRPr="007223A3" w:rsidRDefault="00AA538D">
      <w:pPr>
        <w:pStyle w:val="FootnoteText"/>
        <w:rPr>
          <w:rFonts w:ascii="Arial" w:hAnsi="Arial" w:cs="Arial"/>
          <w:lang w:val="en-US"/>
        </w:rPr>
      </w:pPr>
      <w:r w:rsidRPr="007223A3">
        <w:rPr>
          <w:rStyle w:val="FootnoteReference"/>
          <w:rFonts w:ascii="Arial" w:hAnsi="Arial" w:cs="Arial"/>
          <w:color w:val="262626" w:themeColor="text1" w:themeTint="D9"/>
        </w:rPr>
        <w:footnoteRef/>
      </w:r>
      <w:r w:rsidRPr="007223A3">
        <w:rPr>
          <w:rFonts w:ascii="Arial" w:hAnsi="Arial" w:cs="Arial"/>
          <w:color w:val="262626" w:themeColor="text1" w:themeTint="D9"/>
        </w:rPr>
        <w:t xml:space="preserve"> </w:t>
      </w:r>
      <w:r w:rsidRPr="007223A3">
        <w:rPr>
          <w:rFonts w:ascii="Arial" w:hAnsi="Arial" w:cs="Arial"/>
          <w:i/>
          <w:color w:val="262626" w:themeColor="text1" w:themeTint="D9"/>
        </w:rPr>
        <w:t xml:space="preserve">Van </w:t>
      </w:r>
      <w:proofErr w:type="spellStart"/>
      <w:r w:rsidRPr="007223A3">
        <w:rPr>
          <w:rFonts w:ascii="Arial" w:hAnsi="Arial" w:cs="Arial"/>
          <w:i/>
          <w:color w:val="262626" w:themeColor="text1" w:themeTint="D9"/>
        </w:rPr>
        <w:t>Straten</w:t>
      </w:r>
      <w:proofErr w:type="spellEnd"/>
      <w:r w:rsidRPr="007223A3">
        <w:rPr>
          <w:rFonts w:ascii="Arial" w:hAnsi="Arial" w:cs="Arial"/>
          <w:i/>
          <w:color w:val="262626" w:themeColor="text1" w:themeTint="D9"/>
        </w:rPr>
        <w:t xml:space="preserve"> v Namibia Financial Institutions Supervisory Authority and Another</w:t>
      </w:r>
      <w:r w:rsidRPr="007223A3">
        <w:rPr>
          <w:rFonts w:ascii="Arial" w:hAnsi="Arial" w:cs="Arial"/>
          <w:color w:val="262626" w:themeColor="text1" w:themeTint="D9"/>
        </w:rPr>
        <w:t>, 2016</w:t>
      </w:r>
      <w:r w:rsidR="003B472F" w:rsidRPr="007223A3">
        <w:rPr>
          <w:rFonts w:ascii="Arial" w:hAnsi="Arial" w:cs="Arial"/>
          <w:color w:val="262626" w:themeColor="text1" w:themeTint="D9"/>
        </w:rPr>
        <w:t xml:space="preserve"> </w:t>
      </w:r>
      <w:r w:rsidRPr="007223A3">
        <w:rPr>
          <w:rFonts w:ascii="Arial" w:hAnsi="Arial" w:cs="Arial"/>
          <w:color w:val="262626" w:themeColor="text1" w:themeTint="D9"/>
        </w:rPr>
        <w:t>(3) NR 747 SC,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7CDA" w:rsidRDefault="003B7CDA">
        <w:pPr>
          <w:pStyle w:val="Header"/>
          <w:jc w:val="right"/>
        </w:pPr>
        <w:r>
          <w:fldChar w:fldCharType="begin"/>
        </w:r>
        <w:r>
          <w:instrText xml:space="preserve"> PAGE   \* MERGEFORMAT </w:instrText>
        </w:r>
        <w:r>
          <w:fldChar w:fldCharType="separate"/>
        </w:r>
        <w:r w:rsidR="00BF3A89">
          <w:rPr>
            <w:noProof/>
          </w:rPr>
          <w:t>4</w:t>
        </w:r>
        <w:r>
          <w:rPr>
            <w:noProof/>
          </w:rPr>
          <w:fldChar w:fldCharType="end"/>
        </w:r>
      </w:p>
    </w:sdtContent>
  </w:sdt>
  <w:p w:rsidR="003B7CDA" w:rsidRDefault="003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209070C4"/>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nsid w:val="33521133"/>
    <w:multiLevelType w:val="multilevel"/>
    <w:tmpl w:val="9D2075BC"/>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41D96"/>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12">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6"/>
  </w:num>
  <w:num w:numId="5">
    <w:abstractNumId w:val="7"/>
  </w:num>
  <w:num w:numId="6">
    <w:abstractNumId w:val="4"/>
  </w:num>
  <w:num w:numId="7">
    <w:abstractNumId w:val="8"/>
  </w:num>
  <w:num w:numId="8">
    <w:abstractNumId w:val="0"/>
  </w:num>
  <w:num w:numId="9">
    <w:abstractNumId w:val="2"/>
  </w:num>
  <w:num w:numId="10">
    <w:abstractNumId w:val="1"/>
  </w:num>
  <w:num w:numId="11">
    <w:abstractNumId w:val="9"/>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1B63"/>
    <w:rsid w:val="00010FE7"/>
    <w:rsid w:val="00012995"/>
    <w:rsid w:val="00013EC0"/>
    <w:rsid w:val="0002555E"/>
    <w:rsid w:val="000309E0"/>
    <w:rsid w:val="00035699"/>
    <w:rsid w:val="00040B97"/>
    <w:rsid w:val="000410CF"/>
    <w:rsid w:val="0004308D"/>
    <w:rsid w:val="0004327C"/>
    <w:rsid w:val="00046FFB"/>
    <w:rsid w:val="000501B3"/>
    <w:rsid w:val="000521B7"/>
    <w:rsid w:val="00053E28"/>
    <w:rsid w:val="000635BA"/>
    <w:rsid w:val="000674D1"/>
    <w:rsid w:val="00070701"/>
    <w:rsid w:val="00070929"/>
    <w:rsid w:val="00071486"/>
    <w:rsid w:val="00073905"/>
    <w:rsid w:val="00086A0E"/>
    <w:rsid w:val="00097643"/>
    <w:rsid w:val="000A2F65"/>
    <w:rsid w:val="000A684E"/>
    <w:rsid w:val="000A7A5F"/>
    <w:rsid w:val="000B291E"/>
    <w:rsid w:val="000B31F0"/>
    <w:rsid w:val="000B35CE"/>
    <w:rsid w:val="000B4FB2"/>
    <w:rsid w:val="000B6102"/>
    <w:rsid w:val="000B7507"/>
    <w:rsid w:val="000C2019"/>
    <w:rsid w:val="000C73FA"/>
    <w:rsid w:val="000D218C"/>
    <w:rsid w:val="000D3044"/>
    <w:rsid w:val="000D39AD"/>
    <w:rsid w:val="000D648A"/>
    <w:rsid w:val="000D70A9"/>
    <w:rsid w:val="000E043D"/>
    <w:rsid w:val="000E3103"/>
    <w:rsid w:val="000E6395"/>
    <w:rsid w:val="000F05FE"/>
    <w:rsid w:val="000F1321"/>
    <w:rsid w:val="000F144F"/>
    <w:rsid w:val="000F38D6"/>
    <w:rsid w:val="000F3A0D"/>
    <w:rsid w:val="000F4B68"/>
    <w:rsid w:val="000F6D8E"/>
    <w:rsid w:val="000F7C5C"/>
    <w:rsid w:val="001007FF"/>
    <w:rsid w:val="001068B9"/>
    <w:rsid w:val="001073FB"/>
    <w:rsid w:val="001108CF"/>
    <w:rsid w:val="001123FA"/>
    <w:rsid w:val="001136FC"/>
    <w:rsid w:val="00113AED"/>
    <w:rsid w:val="00114FF5"/>
    <w:rsid w:val="001205FA"/>
    <w:rsid w:val="0012786A"/>
    <w:rsid w:val="0013189F"/>
    <w:rsid w:val="00135C18"/>
    <w:rsid w:val="00141AE0"/>
    <w:rsid w:val="00142951"/>
    <w:rsid w:val="00142BD3"/>
    <w:rsid w:val="00145ADA"/>
    <w:rsid w:val="001479DB"/>
    <w:rsid w:val="0015050A"/>
    <w:rsid w:val="001508A6"/>
    <w:rsid w:val="001511B9"/>
    <w:rsid w:val="001529DF"/>
    <w:rsid w:val="001531E4"/>
    <w:rsid w:val="00153EFE"/>
    <w:rsid w:val="00163161"/>
    <w:rsid w:val="001648D8"/>
    <w:rsid w:val="00164DE0"/>
    <w:rsid w:val="00165A20"/>
    <w:rsid w:val="0017237D"/>
    <w:rsid w:val="0017517E"/>
    <w:rsid w:val="00185DB9"/>
    <w:rsid w:val="00192E55"/>
    <w:rsid w:val="00194111"/>
    <w:rsid w:val="001A3F99"/>
    <w:rsid w:val="001B330C"/>
    <w:rsid w:val="001B3BFA"/>
    <w:rsid w:val="001B7111"/>
    <w:rsid w:val="001B78A0"/>
    <w:rsid w:val="001C045C"/>
    <w:rsid w:val="001D0856"/>
    <w:rsid w:val="001D15D1"/>
    <w:rsid w:val="001D748C"/>
    <w:rsid w:val="001D76E5"/>
    <w:rsid w:val="001E4FF0"/>
    <w:rsid w:val="001E5460"/>
    <w:rsid w:val="001E5CCC"/>
    <w:rsid w:val="001F2E0C"/>
    <w:rsid w:val="001F4781"/>
    <w:rsid w:val="001F4DD5"/>
    <w:rsid w:val="0020080A"/>
    <w:rsid w:val="00201138"/>
    <w:rsid w:val="002038BE"/>
    <w:rsid w:val="00204929"/>
    <w:rsid w:val="00206E1F"/>
    <w:rsid w:val="002140CF"/>
    <w:rsid w:val="00214C81"/>
    <w:rsid w:val="00214E94"/>
    <w:rsid w:val="00216069"/>
    <w:rsid w:val="00217EC6"/>
    <w:rsid w:val="00222323"/>
    <w:rsid w:val="002235A5"/>
    <w:rsid w:val="0022393D"/>
    <w:rsid w:val="002246A3"/>
    <w:rsid w:val="00225388"/>
    <w:rsid w:val="00226E2F"/>
    <w:rsid w:val="00237DF6"/>
    <w:rsid w:val="00240526"/>
    <w:rsid w:val="00243C8D"/>
    <w:rsid w:val="00247BE3"/>
    <w:rsid w:val="002517B0"/>
    <w:rsid w:val="002524F8"/>
    <w:rsid w:val="002533E4"/>
    <w:rsid w:val="002540FE"/>
    <w:rsid w:val="00255A67"/>
    <w:rsid w:val="00260F2B"/>
    <w:rsid w:val="002627CF"/>
    <w:rsid w:val="002642F9"/>
    <w:rsid w:val="00266084"/>
    <w:rsid w:val="00267013"/>
    <w:rsid w:val="00270047"/>
    <w:rsid w:val="00270FD3"/>
    <w:rsid w:val="002730BF"/>
    <w:rsid w:val="00275ABD"/>
    <w:rsid w:val="00280ADC"/>
    <w:rsid w:val="0028510E"/>
    <w:rsid w:val="0029227C"/>
    <w:rsid w:val="00295333"/>
    <w:rsid w:val="00295D3B"/>
    <w:rsid w:val="00296593"/>
    <w:rsid w:val="002A2DF4"/>
    <w:rsid w:val="002A699C"/>
    <w:rsid w:val="002A7603"/>
    <w:rsid w:val="002B0C52"/>
    <w:rsid w:val="002B26C0"/>
    <w:rsid w:val="002B4E8C"/>
    <w:rsid w:val="002B7CA3"/>
    <w:rsid w:val="002C2969"/>
    <w:rsid w:val="002C4E37"/>
    <w:rsid w:val="002C63DD"/>
    <w:rsid w:val="002C6BF3"/>
    <w:rsid w:val="002D1957"/>
    <w:rsid w:val="002D4756"/>
    <w:rsid w:val="002D78B1"/>
    <w:rsid w:val="002E2FA9"/>
    <w:rsid w:val="002E616E"/>
    <w:rsid w:val="002F08FC"/>
    <w:rsid w:val="002F3704"/>
    <w:rsid w:val="002F4A0E"/>
    <w:rsid w:val="002F4A64"/>
    <w:rsid w:val="002F63D5"/>
    <w:rsid w:val="002F730A"/>
    <w:rsid w:val="00302578"/>
    <w:rsid w:val="0030395F"/>
    <w:rsid w:val="00304CD2"/>
    <w:rsid w:val="00304CFD"/>
    <w:rsid w:val="0030538D"/>
    <w:rsid w:val="00307FC9"/>
    <w:rsid w:val="0031370C"/>
    <w:rsid w:val="00313CD0"/>
    <w:rsid w:val="00321AA9"/>
    <w:rsid w:val="003221BD"/>
    <w:rsid w:val="003223A4"/>
    <w:rsid w:val="003246A7"/>
    <w:rsid w:val="0032634A"/>
    <w:rsid w:val="00333496"/>
    <w:rsid w:val="00336EA3"/>
    <w:rsid w:val="003452EF"/>
    <w:rsid w:val="00346EB8"/>
    <w:rsid w:val="00351519"/>
    <w:rsid w:val="00356C0C"/>
    <w:rsid w:val="00361EBC"/>
    <w:rsid w:val="003677C6"/>
    <w:rsid w:val="00375095"/>
    <w:rsid w:val="00375F61"/>
    <w:rsid w:val="00384BFF"/>
    <w:rsid w:val="003901FB"/>
    <w:rsid w:val="00390E41"/>
    <w:rsid w:val="00393C39"/>
    <w:rsid w:val="0039465F"/>
    <w:rsid w:val="00394B64"/>
    <w:rsid w:val="00397C7F"/>
    <w:rsid w:val="003A0AED"/>
    <w:rsid w:val="003A125B"/>
    <w:rsid w:val="003A2EC6"/>
    <w:rsid w:val="003A7EF4"/>
    <w:rsid w:val="003B0F1D"/>
    <w:rsid w:val="003B472F"/>
    <w:rsid w:val="003B4C2A"/>
    <w:rsid w:val="003B7CDA"/>
    <w:rsid w:val="003C0EBD"/>
    <w:rsid w:val="003C2051"/>
    <w:rsid w:val="003C2587"/>
    <w:rsid w:val="003C2FCB"/>
    <w:rsid w:val="003C3525"/>
    <w:rsid w:val="003C58B7"/>
    <w:rsid w:val="003C5C10"/>
    <w:rsid w:val="003C6ABD"/>
    <w:rsid w:val="003D6370"/>
    <w:rsid w:val="003D66E0"/>
    <w:rsid w:val="003D7A92"/>
    <w:rsid w:val="003E0400"/>
    <w:rsid w:val="003E1468"/>
    <w:rsid w:val="003E5C60"/>
    <w:rsid w:val="003E6198"/>
    <w:rsid w:val="003E72CC"/>
    <w:rsid w:val="003F23AF"/>
    <w:rsid w:val="003F40BD"/>
    <w:rsid w:val="003F526F"/>
    <w:rsid w:val="00401AE4"/>
    <w:rsid w:val="004036BB"/>
    <w:rsid w:val="004045B2"/>
    <w:rsid w:val="00404E2C"/>
    <w:rsid w:val="00404EDF"/>
    <w:rsid w:val="00405C09"/>
    <w:rsid w:val="00410EC4"/>
    <w:rsid w:val="00413B7B"/>
    <w:rsid w:val="00420266"/>
    <w:rsid w:val="00422236"/>
    <w:rsid w:val="00425233"/>
    <w:rsid w:val="0042554E"/>
    <w:rsid w:val="004262E2"/>
    <w:rsid w:val="00427466"/>
    <w:rsid w:val="0043000E"/>
    <w:rsid w:val="004318DE"/>
    <w:rsid w:val="00434521"/>
    <w:rsid w:val="004502D1"/>
    <w:rsid w:val="004518FF"/>
    <w:rsid w:val="00456EC7"/>
    <w:rsid w:val="00463102"/>
    <w:rsid w:val="00466461"/>
    <w:rsid w:val="004705C9"/>
    <w:rsid w:val="00473CF0"/>
    <w:rsid w:val="0047650B"/>
    <w:rsid w:val="0048245E"/>
    <w:rsid w:val="0048395C"/>
    <w:rsid w:val="00484737"/>
    <w:rsid w:val="00485FB2"/>
    <w:rsid w:val="00487D58"/>
    <w:rsid w:val="00490222"/>
    <w:rsid w:val="0049036E"/>
    <w:rsid w:val="0049404B"/>
    <w:rsid w:val="004A0173"/>
    <w:rsid w:val="004A2CFA"/>
    <w:rsid w:val="004A4E75"/>
    <w:rsid w:val="004A67D2"/>
    <w:rsid w:val="004B207A"/>
    <w:rsid w:val="004B6592"/>
    <w:rsid w:val="004C0404"/>
    <w:rsid w:val="004C2B3E"/>
    <w:rsid w:val="004D313F"/>
    <w:rsid w:val="004D718B"/>
    <w:rsid w:val="004E478D"/>
    <w:rsid w:val="004E6E67"/>
    <w:rsid w:val="004E74DF"/>
    <w:rsid w:val="004E7F24"/>
    <w:rsid w:val="004F2D2F"/>
    <w:rsid w:val="004F4445"/>
    <w:rsid w:val="0050727B"/>
    <w:rsid w:val="00510ACD"/>
    <w:rsid w:val="00513F10"/>
    <w:rsid w:val="00515C38"/>
    <w:rsid w:val="0051712F"/>
    <w:rsid w:val="00525292"/>
    <w:rsid w:val="005315E1"/>
    <w:rsid w:val="00531BE0"/>
    <w:rsid w:val="005341CC"/>
    <w:rsid w:val="00535679"/>
    <w:rsid w:val="00535ADC"/>
    <w:rsid w:val="00535BD9"/>
    <w:rsid w:val="00536426"/>
    <w:rsid w:val="00536735"/>
    <w:rsid w:val="00542EEC"/>
    <w:rsid w:val="00543009"/>
    <w:rsid w:val="00543F56"/>
    <w:rsid w:val="00545944"/>
    <w:rsid w:val="00546B8A"/>
    <w:rsid w:val="00550AD2"/>
    <w:rsid w:val="00550B2F"/>
    <w:rsid w:val="00552DA2"/>
    <w:rsid w:val="00552F8B"/>
    <w:rsid w:val="00553987"/>
    <w:rsid w:val="0055737E"/>
    <w:rsid w:val="005578CC"/>
    <w:rsid w:val="005616BE"/>
    <w:rsid w:val="00561948"/>
    <w:rsid w:val="00566A0E"/>
    <w:rsid w:val="00567A34"/>
    <w:rsid w:val="00570263"/>
    <w:rsid w:val="00571AC1"/>
    <w:rsid w:val="005732F3"/>
    <w:rsid w:val="005735F1"/>
    <w:rsid w:val="00573DD8"/>
    <w:rsid w:val="00575302"/>
    <w:rsid w:val="00576699"/>
    <w:rsid w:val="0057707B"/>
    <w:rsid w:val="00577933"/>
    <w:rsid w:val="005810F7"/>
    <w:rsid w:val="005852F7"/>
    <w:rsid w:val="00587CA5"/>
    <w:rsid w:val="00590488"/>
    <w:rsid w:val="00590640"/>
    <w:rsid w:val="005932AF"/>
    <w:rsid w:val="00593C67"/>
    <w:rsid w:val="00594D59"/>
    <w:rsid w:val="00595557"/>
    <w:rsid w:val="005A43DF"/>
    <w:rsid w:val="005A74A7"/>
    <w:rsid w:val="005A750D"/>
    <w:rsid w:val="005B0C75"/>
    <w:rsid w:val="005B1D5C"/>
    <w:rsid w:val="005B1E59"/>
    <w:rsid w:val="005B3909"/>
    <w:rsid w:val="005B70B0"/>
    <w:rsid w:val="005C0368"/>
    <w:rsid w:val="005C401D"/>
    <w:rsid w:val="005C749D"/>
    <w:rsid w:val="005D11AD"/>
    <w:rsid w:val="005D1985"/>
    <w:rsid w:val="005D6F2A"/>
    <w:rsid w:val="005D7C97"/>
    <w:rsid w:val="005D7EFF"/>
    <w:rsid w:val="005E41B3"/>
    <w:rsid w:val="005E5886"/>
    <w:rsid w:val="005E7CC8"/>
    <w:rsid w:val="005F0C2B"/>
    <w:rsid w:val="005F365C"/>
    <w:rsid w:val="005F42D9"/>
    <w:rsid w:val="005F7261"/>
    <w:rsid w:val="005F7D87"/>
    <w:rsid w:val="005F7F5E"/>
    <w:rsid w:val="006000CB"/>
    <w:rsid w:val="00601896"/>
    <w:rsid w:val="00603F97"/>
    <w:rsid w:val="00606780"/>
    <w:rsid w:val="00610647"/>
    <w:rsid w:val="00610EC4"/>
    <w:rsid w:val="006117C1"/>
    <w:rsid w:val="006117D4"/>
    <w:rsid w:val="00611D7A"/>
    <w:rsid w:val="0061346B"/>
    <w:rsid w:val="006136BB"/>
    <w:rsid w:val="0061500B"/>
    <w:rsid w:val="006172F9"/>
    <w:rsid w:val="006202C8"/>
    <w:rsid w:val="00620752"/>
    <w:rsid w:val="00622002"/>
    <w:rsid w:val="00623748"/>
    <w:rsid w:val="00623E88"/>
    <w:rsid w:val="006240AB"/>
    <w:rsid w:val="00625C52"/>
    <w:rsid w:val="00635E89"/>
    <w:rsid w:val="00637307"/>
    <w:rsid w:val="00641114"/>
    <w:rsid w:val="00642ED0"/>
    <w:rsid w:val="00644E63"/>
    <w:rsid w:val="006479E8"/>
    <w:rsid w:val="00650D03"/>
    <w:rsid w:val="00650F3A"/>
    <w:rsid w:val="00651AC7"/>
    <w:rsid w:val="00651FBF"/>
    <w:rsid w:val="00653F53"/>
    <w:rsid w:val="00653FB1"/>
    <w:rsid w:val="006544FA"/>
    <w:rsid w:val="006547BD"/>
    <w:rsid w:val="00654D5F"/>
    <w:rsid w:val="006647C2"/>
    <w:rsid w:val="006647DF"/>
    <w:rsid w:val="006708C6"/>
    <w:rsid w:val="0067282A"/>
    <w:rsid w:val="00685AE9"/>
    <w:rsid w:val="00691B65"/>
    <w:rsid w:val="0069254A"/>
    <w:rsid w:val="0069771F"/>
    <w:rsid w:val="006A06C9"/>
    <w:rsid w:val="006A1496"/>
    <w:rsid w:val="006A1EAC"/>
    <w:rsid w:val="006A2CA2"/>
    <w:rsid w:val="006A4D1C"/>
    <w:rsid w:val="006A6151"/>
    <w:rsid w:val="006A63B5"/>
    <w:rsid w:val="006A6F65"/>
    <w:rsid w:val="006A782A"/>
    <w:rsid w:val="006B3E7F"/>
    <w:rsid w:val="006B59C8"/>
    <w:rsid w:val="006B6ECB"/>
    <w:rsid w:val="006C7E6A"/>
    <w:rsid w:val="006D0EF4"/>
    <w:rsid w:val="006D187B"/>
    <w:rsid w:val="006D1C3B"/>
    <w:rsid w:val="006D2737"/>
    <w:rsid w:val="006D6045"/>
    <w:rsid w:val="006E7A06"/>
    <w:rsid w:val="006F0129"/>
    <w:rsid w:val="006F1344"/>
    <w:rsid w:val="006F6851"/>
    <w:rsid w:val="007035AE"/>
    <w:rsid w:val="00703979"/>
    <w:rsid w:val="00707D8A"/>
    <w:rsid w:val="00711F43"/>
    <w:rsid w:val="00713A59"/>
    <w:rsid w:val="00720794"/>
    <w:rsid w:val="007223A3"/>
    <w:rsid w:val="00723332"/>
    <w:rsid w:val="007259C9"/>
    <w:rsid w:val="007321B3"/>
    <w:rsid w:val="007326A8"/>
    <w:rsid w:val="00732C84"/>
    <w:rsid w:val="007332A6"/>
    <w:rsid w:val="00735C76"/>
    <w:rsid w:val="007401A8"/>
    <w:rsid w:val="0074354F"/>
    <w:rsid w:val="00743821"/>
    <w:rsid w:val="00746B8B"/>
    <w:rsid w:val="00747312"/>
    <w:rsid w:val="0075709E"/>
    <w:rsid w:val="00760961"/>
    <w:rsid w:val="007619D2"/>
    <w:rsid w:val="00762087"/>
    <w:rsid w:val="00762E9C"/>
    <w:rsid w:val="00765FCC"/>
    <w:rsid w:val="007668A9"/>
    <w:rsid w:val="007748E1"/>
    <w:rsid w:val="00775691"/>
    <w:rsid w:val="007777C3"/>
    <w:rsid w:val="0078452F"/>
    <w:rsid w:val="007847BA"/>
    <w:rsid w:val="007868F5"/>
    <w:rsid w:val="007878E1"/>
    <w:rsid w:val="00790373"/>
    <w:rsid w:val="00791C43"/>
    <w:rsid w:val="007920DD"/>
    <w:rsid w:val="00795299"/>
    <w:rsid w:val="007979ED"/>
    <w:rsid w:val="007A0B0E"/>
    <w:rsid w:val="007A537D"/>
    <w:rsid w:val="007A6F9E"/>
    <w:rsid w:val="007B2011"/>
    <w:rsid w:val="007B2183"/>
    <w:rsid w:val="007B701E"/>
    <w:rsid w:val="007C5F79"/>
    <w:rsid w:val="007C6151"/>
    <w:rsid w:val="007D4689"/>
    <w:rsid w:val="007D58A0"/>
    <w:rsid w:val="007D6576"/>
    <w:rsid w:val="007E1C88"/>
    <w:rsid w:val="007E4BA6"/>
    <w:rsid w:val="007F2F2D"/>
    <w:rsid w:val="007F488C"/>
    <w:rsid w:val="008056E0"/>
    <w:rsid w:val="008059CD"/>
    <w:rsid w:val="00810A49"/>
    <w:rsid w:val="00811209"/>
    <w:rsid w:val="008134FF"/>
    <w:rsid w:val="00815C3D"/>
    <w:rsid w:val="00815DBB"/>
    <w:rsid w:val="00820D94"/>
    <w:rsid w:val="00821EF2"/>
    <w:rsid w:val="00822DA7"/>
    <w:rsid w:val="00823198"/>
    <w:rsid w:val="00824AE7"/>
    <w:rsid w:val="008278F9"/>
    <w:rsid w:val="00827DCA"/>
    <w:rsid w:val="00833987"/>
    <w:rsid w:val="0083674E"/>
    <w:rsid w:val="00836EB8"/>
    <w:rsid w:val="008371D5"/>
    <w:rsid w:val="00846F57"/>
    <w:rsid w:val="00850262"/>
    <w:rsid w:val="00850CE1"/>
    <w:rsid w:val="00851479"/>
    <w:rsid w:val="00852089"/>
    <w:rsid w:val="00853A83"/>
    <w:rsid w:val="00862CC2"/>
    <w:rsid w:val="008632F0"/>
    <w:rsid w:val="00867419"/>
    <w:rsid w:val="00871FE0"/>
    <w:rsid w:val="00883A84"/>
    <w:rsid w:val="00884D37"/>
    <w:rsid w:val="008901AF"/>
    <w:rsid w:val="00890FD4"/>
    <w:rsid w:val="008913D9"/>
    <w:rsid w:val="00893C31"/>
    <w:rsid w:val="008945B4"/>
    <w:rsid w:val="008A107C"/>
    <w:rsid w:val="008A417A"/>
    <w:rsid w:val="008A4A52"/>
    <w:rsid w:val="008A6453"/>
    <w:rsid w:val="008B0775"/>
    <w:rsid w:val="008B1C07"/>
    <w:rsid w:val="008B2C30"/>
    <w:rsid w:val="008B478D"/>
    <w:rsid w:val="008B6695"/>
    <w:rsid w:val="008B69F0"/>
    <w:rsid w:val="008C6555"/>
    <w:rsid w:val="008D0F38"/>
    <w:rsid w:val="008D23B9"/>
    <w:rsid w:val="008D6833"/>
    <w:rsid w:val="008D728F"/>
    <w:rsid w:val="008D7566"/>
    <w:rsid w:val="008E0283"/>
    <w:rsid w:val="008E27BA"/>
    <w:rsid w:val="008E2E1F"/>
    <w:rsid w:val="008E4FC0"/>
    <w:rsid w:val="008E6CB8"/>
    <w:rsid w:val="008F3DAC"/>
    <w:rsid w:val="008F5A90"/>
    <w:rsid w:val="008F6C4B"/>
    <w:rsid w:val="0090000C"/>
    <w:rsid w:val="00900C9A"/>
    <w:rsid w:val="00900EAE"/>
    <w:rsid w:val="00901965"/>
    <w:rsid w:val="0090245F"/>
    <w:rsid w:val="00905D4B"/>
    <w:rsid w:val="00910FCE"/>
    <w:rsid w:val="009114FF"/>
    <w:rsid w:val="00911F3C"/>
    <w:rsid w:val="00913A93"/>
    <w:rsid w:val="0091472C"/>
    <w:rsid w:val="009168A7"/>
    <w:rsid w:val="00917569"/>
    <w:rsid w:val="0092129C"/>
    <w:rsid w:val="0092203C"/>
    <w:rsid w:val="00922148"/>
    <w:rsid w:val="00924D7D"/>
    <w:rsid w:val="009253D3"/>
    <w:rsid w:val="00931C56"/>
    <w:rsid w:val="00932983"/>
    <w:rsid w:val="00941D0F"/>
    <w:rsid w:val="0094348B"/>
    <w:rsid w:val="00943830"/>
    <w:rsid w:val="00943921"/>
    <w:rsid w:val="00944A7A"/>
    <w:rsid w:val="009500CB"/>
    <w:rsid w:val="00953351"/>
    <w:rsid w:val="00957A30"/>
    <w:rsid w:val="009626F4"/>
    <w:rsid w:val="0096285D"/>
    <w:rsid w:val="00964066"/>
    <w:rsid w:val="009640B8"/>
    <w:rsid w:val="009645D6"/>
    <w:rsid w:val="00965E3E"/>
    <w:rsid w:val="009677CC"/>
    <w:rsid w:val="009709AB"/>
    <w:rsid w:val="00970B3B"/>
    <w:rsid w:val="00975755"/>
    <w:rsid w:val="009758B7"/>
    <w:rsid w:val="00975C47"/>
    <w:rsid w:val="009776C2"/>
    <w:rsid w:val="00981DE5"/>
    <w:rsid w:val="00985685"/>
    <w:rsid w:val="00987EAD"/>
    <w:rsid w:val="00991780"/>
    <w:rsid w:val="009937E0"/>
    <w:rsid w:val="00994150"/>
    <w:rsid w:val="00996096"/>
    <w:rsid w:val="009A46E5"/>
    <w:rsid w:val="009A62DB"/>
    <w:rsid w:val="009B0019"/>
    <w:rsid w:val="009B22FD"/>
    <w:rsid w:val="009C108E"/>
    <w:rsid w:val="009C192A"/>
    <w:rsid w:val="009C3892"/>
    <w:rsid w:val="009C7087"/>
    <w:rsid w:val="009D09C6"/>
    <w:rsid w:val="009D3500"/>
    <w:rsid w:val="009D499A"/>
    <w:rsid w:val="009D5248"/>
    <w:rsid w:val="009D7EAD"/>
    <w:rsid w:val="009E08BC"/>
    <w:rsid w:val="009E332F"/>
    <w:rsid w:val="009E46FB"/>
    <w:rsid w:val="009E4890"/>
    <w:rsid w:val="009E52F8"/>
    <w:rsid w:val="009F1F38"/>
    <w:rsid w:val="009F29F0"/>
    <w:rsid w:val="009F42A4"/>
    <w:rsid w:val="009F5356"/>
    <w:rsid w:val="009F5D22"/>
    <w:rsid w:val="009F6B8B"/>
    <w:rsid w:val="009F78A6"/>
    <w:rsid w:val="00A00282"/>
    <w:rsid w:val="00A00DF2"/>
    <w:rsid w:val="00A05F61"/>
    <w:rsid w:val="00A10933"/>
    <w:rsid w:val="00A10C22"/>
    <w:rsid w:val="00A13765"/>
    <w:rsid w:val="00A13C75"/>
    <w:rsid w:val="00A14C04"/>
    <w:rsid w:val="00A16FA7"/>
    <w:rsid w:val="00A22F11"/>
    <w:rsid w:val="00A241EF"/>
    <w:rsid w:val="00A268AD"/>
    <w:rsid w:val="00A306D3"/>
    <w:rsid w:val="00A31608"/>
    <w:rsid w:val="00A31967"/>
    <w:rsid w:val="00A32333"/>
    <w:rsid w:val="00A3347A"/>
    <w:rsid w:val="00A334A4"/>
    <w:rsid w:val="00A41E82"/>
    <w:rsid w:val="00A442FB"/>
    <w:rsid w:val="00A462EB"/>
    <w:rsid w:val="00A52B94"/>
    <w:rsid w:val="00A55296"/>
    <w:rsid w:val="00A64956"/>
    <w:rsid w:val="00A64DBC"/>
    <w:rsid w:val="00A65679"/>
    <w:rsid w:val="00A6616E"/>
    <w:rsid w:val="00A66250"/>
    <w:rsid w:val="00A67C5B"/>
    <w:rsid w:val="00A70A19"/>
    <w:rsid w:val="00A70BA9"/>
    <w:rsid w:val="00A71F7B"/>
    <w:rsid w:val="00A81368"/>
    <w:rsid w:val="00A8296E"/>
    <w:rsid w:val="00A8443D"/>
    <w:rsid w:val="00A856BC"/>
    <w:rsid w:val="00A873AE"/>
    <w:rsid w:val="00A87A20"/>
    <w:rsid w:val="00A9121D"/>
    <w:rsid w:val="00A95537"/>
    <w:rsid w:val="00A9701C"/>
    <w:rsid w:val="00A97917"/>
    <w:rsid w:val="00AA0A45"/>
    <w:rsid w:val="00AA538D"/>
    <w:rsid w:val="00AA5DA4"/>
    <w:rsid w:val="00AB3DA0"/>
    <w:rsid w:val="00AB77A2"/>
    <w:rsid w:val="00AB7AF6"/>
    <w:rsid w:val="00AC22BC"/>
    <w:rsid w:val="00AC2515"/>
    <w:rsid w:val="00AC3CFB"/>
    <w:rsid w:val="00AC5934"/>
    <w:rsid w:val="00AC7BA6"/>
    <w:rsid w:val="00AD182C"/>
    <w:rsid w:val="00AD29E2"/>
    <w:rsid w:val="00AD33D9"/>
    <w:rsid w:val="00AD6F3A"/>
    <w:rsid w:val="00AD7ED1"/>
    <w:rsid w:val="00AE123D"/>
    <w:rsid w:val="00AE23C2"/>
    <w:rsid w:val="00AE3254"/>
    <w:rsid w:val="00AE5601"/>
    <w:rsid w:val="00AE5621"/>
    <w:rsid w:val="00AE679E"/>
    <w:rsid w:val="00AF1F05"/>
    <w:rsid w:val="00AF62AE"/>
    <w:rsid w:val="00B0075F"/>
    <w:rsid w:val="00B025BA"/>
    <w:rsid w:val="00B026E7"/>
    <w:rsid w:val="00B04C63"/>
    <w:rsid w:val="00B05256"/>
    <w:rsid w:val="00B0760A"/>
    <w:rsid w:val="00B154E7"/>
    <w:rsid w:val="00B1578D"/>
    <w:rsid w:val="00B15C01"/>
    <w:rsid w:val="00B17CC0"/>
    <w:rsid w:val="00B21034"/>
    <w:rsid w:val="00B2168A"/>
    <w:rsid w:val="00B21F20"/>
    <w:rsid w:val="00B25CC1"/>
    <w:rsid w:val="00B275D2"/>
    <w:rsid w:val="00B31F9E"/>
    <w:rsid w:val="00B362E7"/>
    <w:rsid w:val="00B412BB"/>
    <w:rsid w:val="00B44D38"/>
    <w:rsid w:val="00B50265"/>
    <w:rsid w:val="00B52A7F"/>
    <w:rsid w:val="00B52D39"/>
    <w:rsid w:val="00B539AE"/>
    <w:rsid w:val="00B56E05"/>
    <w:rsid w:val="00B637EA"/>
    <w:rsid w:val="00B64855"/>
    <w:rsid w:val="00B653A7"/>
    <w:rsid w:val="00B701B7"/>
    <w:rsid w:val="00B7170F"/>
    <w:rsid w:val="00B732A0"/>
    <w:rsid w:val="00B73A33"/>
    <w:rsid w:val="00B7506D"/>
    <w:rsid w:val="00B77636"/>
    <w:rsid w:val="00B77786"/>
    <w:rsid w:val="00B83727"/>
    <w:rsid w:val="00B839A5"/>
    <w:rsid w:val="00B850C2"/>
    <w:rsid w:val="00B863CD"/>
    <w:rsid w:val="00B8695C"/>
    <w:rsid w:val="00B91268"/>
    <w:rsid w:val="00B915BC"/>
    <w:rsid w:val="00B932B1"/>
    <w:rsid w:val="00B94B61"/>
    <w:rsid w:val="00BA6105"/>
    <w:rsid w:val="00BA6108"/>
    <w:rsid w:val="00BA6145"/>
    <w:rsid w:val="00BA66AA"/>
    <w:rsid w:val="00BB0CA8"/>
    <w:rsid w:val="00BB19DE"/>
    <w:rsid w:val="00BB1ED0"/>
    <w:rsid w:val="00BB67CE"/>
    <w:rsid w:val="00BC12F7"/>
    <w:rsid w:val="00BC77BD"/>
    <w:rsid w:val="00BD0A07"/>
    <w:rsid w:val="00BD1C0E"/>
    <w:rsid w:val="00BD41FC"/>
    <w:rsid w:val="00BD5161"/>
    <w:rsid w:val="00BD66A2"/>
    <w:rsid w:val="00BE23FC"/>
    <w:rsid w:val="00BE72D6"/>
    <w:rsid w:val="00BE7884"/>
    <w:rsid w:val="00BF3A89"/>
    <w:rsid w:val="00BF5422"/>
    <w:rsid w:val="00BF73E2"/>
    <w:rsid w:val="00C0102F"/>
    <w:rsid w:val="00C01336"/>
    <w:rsid w:val="00C0170E"/>
    <w:rsid w:val="00C02064"/>
    <w:rsid w:val="00C027CE"/>
    <w:rsid w:val="00C1032F"/>
    <w:rsid w:val="00C142A6"/>
    <w:rsid w:val="00C14459"/>
    <w:rsid w:val="00C15B98"/>
    <w:rsid w:val="00C16F39"/>
    <w:rsid w:val="00C17CA0"/>
    <w:rsid w:val="00C22CA3"/>
    <w:rsid w:val="00C23DA7"/>
    <w:rsid w:val="00C30CF5"/>
    <w:rsid w:val="00C31585"/>
    <w:rsid w:val="00C3313F"/>
    <w:rsid w:val="00C346DC"/>
    <w:rsid w:val="00C37376"/>
    <w:rsid w:val="00C43ABB"/>
    <w:rsid w:val="00C43BEB"/>
    <w:rsid w:val="00C463A1"/>
    <w:rsid w:val="00C50C3B"/>
    <w:rsid w:val="00C5418A"/>
    <w:rsid w:val="00C547A8"/>
    <w:rsid w:val="00C5755D"/>
    <w:rsid w:val="00C6130D"/>
    <w:rsid w:val="00C62D8A"/>
    <w:rsid w:val="00C65157"/>
    <w:rsid w:val="00C6744E"/>
    <w:rsid w:val="00C675C2"/>
    <w:rsid w:val="00C7323B"/>
    <w:rsid w:val="00C77FF2"/>
    <w:rsid w:val="00C807BE"/>
    <w:rsid w:val="00C84766"/>
    <w:rsid w:val="00C861E1"/>
    <w:rsid w:val="00C86863"/>
    <w:rsid w:val="00C87A3E"/>
    <w:rsid w:val="00C95C61"/>
    <w:rsid w:val="00C96AC7"/>
    <w:rsid w:val="00C97808"/>
    <w:rsid w:val="00CA207A"/>
    <w:rsid w:val="00CA2161"/>
    <w:rsid w:val="00CA6DDF"/>
    <w:rsid w:val="00CB7958"/>
    <w:rsid w:val="00CC5434"/>
    <w:rsid w:val="00CD0A5E"/>
    <w:rsid w:val="00CD4FFF"/>
    <w:rsid w:val="00CD595C"/>
    <w:rsid w:val="00CD5FD6"/>
    <w:rsid w:val="00CD6823"/>
    <w:rsid w:val="00CD6EBD"/>
    <w:rsid w:val="00CE0617"/>
    <w:rsid w:val="00CE1797"/>
    <w:rsid w:val="00CE30E4"/>
    <w:rsid w:val="00CE48FA"/>
    <w:rsid w:val="00CE7606"/>
    <w:rsid w:val="00CF1667"/>
    <w:rsid w:val="00CF199C"/>
    <w:rsid w:val="00CF1BDD"/>
    <w:rsid w:val="00CF3B2E"/>
    <w:rsid w:val="00CF6596"/>
    <w:rsid w:val="00D010A9"/>
    <w:rsid w:val="00D01890"/>
    <w:rsid w:val="00D021E5"/>
    <w:rsid w:val="00D044EC"/>
    <w:rsid w:val="00D05363"/>
    <w:rsid w:val="00D07DA9"/>
    <w:rsid w:val="00D1056B"/>
    <w:rsid w:val="00D125D5"/>
    <w:rsid w:val="00D2393D"/>
    <w:rsid w:val="00D25575"/>
    <w:rsid w:val="00D26CB5"/>
    <w:rsid w:val="00D273C2"/>
    <w:rsid w:val="00D307A5"/>
    <w:rsid w:val="00D32037"/>
    <w:rsid w:val="00D373D2"/>
    <w:rsid w:val="00D40FF2"/>
    <w:rsid w:val="00D415E5"/>
    <w:rsid w:val="00D446FE"/>
    <w:rsid w:val="00D46451"/>
    <w:rsid w:val="00D506E0"/>
    <w:rsid w:val="00D50D15"/>
    <w:rsid w:val="00D53C3D"/>
    <w:rsid w:val="00D55857"/>
    <w:rsid w:val="00D61E20"/>
    <w:rsid w:val="00D6290A"/>
    <w:rsid w:val="00D65215"/>
    <w:rsid w:val="00D72876"/>
    <w:rsid w:val="00D82F1D"/>
    <w:rsid w:val="00D85A3A"/>
    <w:rsid w:val="00D926C9"/>
    <w:rsid w:val="00D934BF"/>
    <w:rsid w:val="00D93DCF"/>
    <w:rsid w:val="00D94440"/>
    <w:rsid w:val="00D96AF6"/>
    <w:rsid w:val="00DA4EB2"/>
    <w:rsid w:val="00DA58A6"/>
    <w:rsid w:val="00DA5D99"/>
    <w:rsid w:val="00DA6472"/>
    <w:rsid w:val="00DA73EC"/>
    <w:rsid w:val="00DB1FFC"/>
    <w:rsid w:val="00DB4BB5"/>
    <w:rsid w:val="00DC03E6"/>
    <w:rsid w:val="00DC4B65"/>
    <w:rsid w:val="00DC538C"/>
    <w:rsid w:val="00DC6114"/>
    <w:rsid w:val="00DC68FE"/>
    <w:rsid w:val="00DD05DC"/>
    <w:rsid w:val="00DD1876"/>
    <w:rsid w:val="00DD3037"/>
    <w:rsid w:val="00DD3138"/>
    <w:rsid w:val="00DD64C9"/>
    <w:rsid w:val="00DE3F8D"/>
    <w:rsid w:val="00DE5F56"/>
    <w:rsid w:val="00DF0655"/>
    <w:rsid w:val="00E0138B"/>
    <w:rsid w:val="00E03273"/>
    <w:rsid w:val="00E036D1"/>
    <w:rsid w:val="00E06384"/>
    <w:rsid w:val="00E22C6E"/>
    <w:rsid w:val="00E255C5"/>
    <w:rsid w:val="00E26093"/>
    <w:rsid w:val="00E30CB9"/>
    <w:rsid w:val="00E44D0B"/>
    <w:rsid w:val="00E46BC0"/>
    <w:rsid w:val="00E53ED5"/>
    <w:rsid w:val="00E60457"/>
    <w:rsid w:val="00E614EE"/>
    <w:rsid w:val="00E65149"/>
    <w:rsid w:val="00E6609C"/>
    <w:rsid w:val="00E703F8"/>
    <w:rsid w:val="00E70606"/>
    <w:rsid w:val="00E715CB"/>
    <w:rsid w:val="00E7215D"/>
    <w:rsid w:val="00E7561F"/>
    <w:rsid w:val="00E757E9"/>
    <w:rsid w:val="00E7735F"/>
    <w:rsid w:val="00E80147"/>
    <w:rsid w:val="00E81D22"/>
    <w:rsid w:val="00E85763"/>
    <w:rsid w:val="00E857EB"/>
    <w:rsid w:val="00E871C3"/>
    <w:rsid w:val="00E87AB8"/>
    <w:rsid w:val="00E918C0"/>
    <w:rsid w:val="00EA4539"/>
    <w:rsid w:val="00EA6E2C"/>
    <w:rsid w:val="00EA6F69"/>
    <w:rsid w:val="00EB42A4"/>
    <w:rsid w:val="00EB45C7"/>
    <w:rsid w:val="00EB6763"/>
    <w:rsid w:val="00EB686B"/>
    <w:rsid w:val="00EB7280"/>
    <w:rsid w:val="00EB7938"/>
    <w:rsid w:val="00EB7DBE"/>
    <w:rsid w:val="00EC190A"/>
    <w:rsid w:val="00EC21D4"/>
    <w:rsid w:val="00EC6F90"/>
    <w:rsid w:val="00EC71A2"/>
    <w:rsid w:val="00ED0E67"/>
    <w:rsid w:val="00ED14F6"/>
    <w:rsid w:val="00ED4D51"/>
    <w:rsid w:val="00ED6414"/>
    <w:rsid w:val="00ED6456"/>
    <w:rsid w:val="00EE2072"/>
    <w:rsid w:val="00EE2453"/>
    <w:rsid w:val="00EE498C"/>
    <w:rsid w:val="00EE5019"/>
    <w:rsid w:val="00EF4172"/>
    <w:rsid w:val="00EF50AC"/>
    <w:rsid w:val="00EF644C"/>
    <w:rsid w:val="00EF65CE"/>
    <w:rsid w:val="00EF66CA"/>
    <w:rsid w:val="00F051B5"/>
    <w:rsid w:val="00F05A3F"/>
    <w:rsid w:val="00F10E57"/>
    <w:rsid w:val="00F14435"/>
    <w:rsid w:val="00F14916"/>
    <w:rsid w:val="00F17D82"/>
    <w:rsid w:val="00F200DA"/>
    <w:rsid w:val="00F24E5F"/>
    <w:rsid w:val="00F259BF"/>
    <w:rsid w:val="00F25D45"/>
    <w:rsid w:val="00F26DA6"/>
    <w:rsid w:val="00F33C40"/>
    <w:rsid w:val="00F35399"/>
    <w:rsid w:val="00F36EF0"/>
    <w:rsid w:val="00F40AC5"/>
    <w:rsid w:val="00F4328F"/>
    <w:rsid w:val="00F51FE0"/>
    <w:rsid w:val="00F520A5"/>
    <w:rsid w:val="00F54ED4"/>
    <w:rsid w:val="00F5511C"/>
    <w:rsid w:val="00F56E9F"/>
    <w:rsid w:val="00F57B67"/>
    <w:rsid w:val="00F63CE8"/>
    <w:rsid w:val="00F7123F"/>
    <w:rsid w:val="00F7459A"/>
    <w:rsid w:val="00F7462C"/>
    <w:rsid w:val="00F756A1"/>
    <w:rsid w:val="00F777B3"/>
    <w:rsid w:val="00F77E7C"/>
    <w:rsid w:val="00F80DF9"/>
    <w:rsid w:val="00F8299A"/>
    <w:rsid w:val="00F863A6"/>
    <w:rsid w:val="00F866E2"/>
    <w:rsid w:val="00F918ED"/>
    <w:rsid w:val="00FA286C"/>
    <w:rsid w:val="00FA4ADB"/>
    <w:rsid w:val="00FA5AA7"/>
    <w:rsid w:val="00FA6230"/>
    <w:rsid w:val="00FA7352"/>
    <w:rsid w:val="00FA7925"/>
    <w:rsid w:val="00FB48CF"/>
    <w:rsid w:val="00FC0D98"/>
    <w:rsid w:val="00FC1A32"/>
    <w:rsid w:val="00FC49E4"/>
    <w:rsid w:val="00FC5243"/>
    <w:rsid w:val="00FC6516"/>
    <w:rsid w:val="00FD2529"/>
    <w:rsid w:val="00FD328A"/>
    <w:rsid w:val="00FD4687"/>
    <w:rsid w:val="00FD78FF"/>
    <w:rsid w:val="00FE1D6F"/>
    <w:rsid w:val="00FE5FB4"/>
    <w:rsid w:val="00FF25F3"/>
    <w:rsid w:val="00FF302D"/>
    <w:rsid w:val="00FF32F4"/>
    <w:rsid w:val="00FF4187"/>
    <w:rsid w:val="00FF5DEE"/>
    <w:rsid w:val="00FF6577"/>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FB06-BE6F-45F6-B4CF-B49658A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 w:type="paragraph" w:styleId="Quote">
    <w:name w:val="Quote"/>
    <w:basedOn w:val="Normal"/>
    <w:next w:val="Normal"/>
    <w:link w:val="QuoteChar"/>
    <w:uiPriority w:val="29"/>
    <w:qFormat/>
    <w:rsid w:val="001318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189F"/>
    <w:rPr>
      <w:i/>
      <w:iCs/>
      <w:color w:val="404040" w:themeColor="text1" w:themeTint="B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06625291">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 w:id="21029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2023-11-27T18:30:00+00:00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C8AE-B5E8-4694-86AC-017E8B64AACD}"/>
</file>

<file path=customXml/itemProps2.xml><?xml version="1.0" encoding="utf-8"?>
<ds:datastoreItem xmlns:ds="http://schemas.openxmlformats.org/officeDocument/2006/customXml" ds:itemID="{D2F8C942-D90F-4DA9-93DD-A958D2E388BA}"/>
</file>

<file path=customXml/itemProps3.xml><?xml version="1.0" encoding="utf-8"?>
<ds:datastoreItem xmlns:ds="http://schemas.openxmlformats.org/officeDocument/2006/customXml" ds:itemID="{65DCE9B4-7995-4EE8-91AF-C4D46C9A4B44}"/>
</file>

<file path=customXml/itemProps4.xml><?xml version="1.0" encoding="utf-8"?>
<ds:datastoreItem xmlns:ds="http://schemas.openxmlformats.org/officeDocument/2006/customXml" ds:itemID="{67E3CEDA-F6BA-4A08-B869-DF0B84B2FB86}"/>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Smith v Trustco Insurance Limited (HC-MD-CIV-ACT-CON-2018-04079) [2020] NAHCMD 228 (15 June 2020)</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 Vinum Leisure (Pty) Ltd v Tenbergen Invest One Pty Ltd (HC-MD-CIV-ACT-OTH-2023-02498) [2023] NAHCMD 769 (28 Nov 2023)</dc:title>
  <dc:subject/>
  <dc:creator>Mbeurora Karamata</dc:creator>
  <cp:keywords/>
  <dc:description/>
  <cp:lastModifiedBy>Liana Cloete</cp:lastModifiedBy>
  <cp:revision>2</cp:revision>
  <cp:lastPrinted>2023-11-28T08:41:00Z</cp:lastPrinted>
  <dcterms:created xsi:type="dcterms:W3CDTF">2023-11-28T10:48:00Z</dcterms:created>
  <dcterms:modified xsi:type="dcterms:W3CDTF">2023-11-28T10:48:00Z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