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068E" w14:textId="77777777" w:rsidR="00A91522" w:rsidRPr="00C1037C" w:rsidRDefault="00ED4D18" w:rsidP="00A91522">
      <w:pPr>
        <w:spacing w:after="160" w:line="254" w:lineRule="auto"/>
        <w:jc w:val="center"/>
        <w:rPr>
          <w:rFonts w:ascii="Arial" w:hAnsi="Arial" w:cs="Arial"/>
          <w:b/>
          <w:sz w:val="24"/>
          <w:szCs w:val="24"/>
          <w:lang w:val="en-US"/>
        </w:rPr>
      </w:pPr>
      <w:r w:rsidRPr="00C1037C">
        <w:rPr>
          <w:rFonts w:ascii="Arial" w:hAnsi="Arial" w:cs="Arial"/>
          <w:b/>
          <w:sz w:val="24"/>
          <w:szCs w:val="24"/>
          <w:lang w:val="en-US"/>
        </w:rPr>
        <w:t>REPUBLIC OF NAMIBIA</w:t>
      </w:r>
    </w:p>
    <w:p w14:paraId="1E5C48E9" w14:textId="77777777" w:rsidR="00A91522" w:rsidRPr="00A91522" w:rsidRDefault="00ED4D18" w:rsidP="00A91522">
      <w:pPr>
        <w:spacing w:after="160" w:line="254" w:lineRule="auto"/>
        <w:jc w:val="center"/>
        <w:rPr>
          <w:rFonts w:ascii="Arial Narrow" w:hAnsi="Arial Narrow" w:cs="Arial"/>
          <w:b/>
          <w:sz w:val="24"/>
          <w:szCs w:val="24"/>
          <w:lang w:val="en-US"/>
        </w:rPr>
      </w:pPr>
      <w:r w:rsidRPr="00A91522">
        <w:rPr>
          <w:rFonts w:ascii="Arial Narrow" w:hAnsi="Arial Narrow" w:cs="Arial"/>
          <w:b/>
          <w:noProof/>
          <w:sz w:val="24"/>
          <w:szCs w:val="24"/>
          <w:lang w:val="en-US"/>
        </w:rPr>
        <w:drawing>
          <wp:inline distT="0" distB="0" distL="0" distR="0" wp14:anchorId="08688C17" wp14:editId="2DD2FF23">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NAM1"/>
                    <pic:cNvPicPr>
                      <a:picLocks noChangeAspect="1" noChangeArrowheads="1"/>
                    </pic:cNvPicPr>
                  </pic:nvPicPr>
                  <pic:blipFill>
                    <a:blip r:embed="rId11" cstate="print"/>
                    <a:stretch>
                      <a:fillRect/>
                    </a:stretch>
                  </pic:blipFill>
                  <pic:spPr bwMode="auto">
                    <a:xfrm>
                      <a:off x="0" y="0"/>
                      <a:ext cx="1129030" cy="1144905"/>
                    </a:xfrm>
                    <a:prstGeom prst="rect">
                      <a:avLst/>
                    </a:prstGeom>
                    <a:noFill/>
                    <a:ln w="9525">
                      <a:noFill/>
                      <a:miter lim="800000"/>
                      <a:headEnd/>
                      <a:tailEnd/>
                    </a:ln>
                  </pic:spPr>
                </pic:pic>
              </a:graphicData>
            </a:graphic>
          </wp:inline>
        </w:drawing>
      </w:r>
    </w:p>
    <w:p w14:paraId="5565C585" w14:textId="77777777" w:rsidR="00A91522" w:rsidRPr="00A91522" w:rsidRDefault="00A91522" w:rsidP="00A91522">
      <w:pPr>
        <w:spacing w:after="160" w:line="254" w:lineRule="auto"/>
        <w:jc w:val="center"/>
        <w:rPr>
          <w:rFonts w:ascii="Arial Narrow" w:hAnsi="Arial Narrow" w:cs="Arial"/>
          <w:b/>
          <w:sz w:val="24"/>
          <w:szCs w:val="24"/>
          <w:lang w:val="en-US"/>
        </w:rPr>
      </w:pPr>
    </w:p>
    <w:p w14:paraId="3C5765F8" w14:textId="77777777" w:rsidR="00A91522" w:rsidRPr="00E729A1" w:rsidRDefault="00ED4D18" w:rsidP="00A91522">
      <w:pPr>
        <w:spacing w:after="160" w:line="254" w:lineRule="auto"/>
        <w:jc w:val="center"/>
        <w:rPr>
          <w:rFonts w:ascii="Arial" w:hAnsi="Arial" w:cs="Arial"/>
          <w:b/>
          <w:sz w:val="24"/>
          <w:szCs w:val="24"/>
          <w:lang w:val="en-US"/>
        </w:rPr>
      </w:pPr>
      <w:r w:rsidRPr="00E729A1">
        <w:rPr>
          <w:rFonts w:ascii="Arial" w:hAnsi="Arial" w:cs="Arial"/>
          <w:b/>
          <w:sz w:val="24"/>
          <w:szCs w:val="24"/>
          <w:lang w:val="en-US"/>
        </w:rPr>
        <w:t>IN THE HIGH COURT OF NAMIBIA, MAIN DIVISION, WINDHOEK</w:t>
      </w:r>
    </w:p>
    <w:p w14:paraId="7FEFAF16" w14:textId="77777777" w:rsidR="00A91522" w:rsidRDefault="00ED4D18" w:rsidP="00A91522">
      <w:pPr>
        <w:spacing w:after="160" w:line="254" w:lineRule="auto"/>
        <w:jc w:val="center"/>
        <w:rPr>
          <w:rFonts w:ascii="Arial" w:hAnsi="Arial" w:cs="Arial"/>
          <w:b/>
          <w:sz w:val="24"/>
          <w:szCs w:val="24"/>
          <w:lang w:val="en-US"/>
        </w:rPr>
      </w:pPr>
      <w:r w:rsidRPr="00E013B2">
        <w:rPr>
          <w:rFonts w:ascii="Arial" w:hAnsi="Arial" w:cs="Arial"/>
          <w:b/>
          <w:sz w:val="24"/>
          <w:szCs w:val="24"/>
          <w:lang w:val="en-US"/>
        </w:rPr>
        <w:t>RULING</w:t>
      </w:r>
    </w:p>
    <w:p w14:paraId="291CD096" w14:textId="77777777" w:rsidR="00D3028C" w:rsidRPr="00E013B2" w:rsidRDefault="00D3028C" w:rsidP="00A91522">
      <w:pPr>
        <w:spacing w:after="160" w:line="254" w:lineRule="auto"/>
        <w:jc w:val="center"/>
        <w:rPr>
          <w:rFonts w:ascii="Arial" w:hAnsi="Arial" w:cs="Arial"/>
          <w:b/>
          <w:sz w:val="24"/>
          <w:szCs w:val="24"/>
          <w:lang w:val="en-US"/>
        </w:rPr>
      </w:pPr>
      <w:r>
        <w:rPr>
          <w:rFonts w:ascii="Arial" w:hAnsi="Arial" w:cs="Arial"/>
          <w:b/>
          <w:sz w:val="24"/>
          <w:szCs w:val="24"/>
          <w:lang w:val="en-US"/>
        </w:rPr>
        <w:t>PRACTICE DIRECTIVE 61</w:t>
      </w:r>
    </w:p>
    <w:tbl>
      <w:tblPr>
        <w:tblStyle w:val="TableGrid"/>
        <w:tblW w:w="10490" w:type="dxa"/>
        <w:tblInd w:w="-714" w:type="dxa"/>
        <w:tblLayout w:type="fixed"/>
        <w:tblLook w:val="04A0" w:firstRow="1" w:lastRow="0" w:firstColumn="1" w:lastColumn="0" w:noHBand="0" w:noVBand="1"/>
      </w:tblPr>
      <w:tblGrid>
        <w:gridCol w:w="5245"/>
        <w:gridCol w:w="1134"/>
        <w:gridCol w:w="4111"/>
      </w:tblGrid>
      <w:tr w:rsidR="00006168" w14:paraId="0649A9DF" w14:textId="77777777" w:rsidTr="0002731C">
        <w:trPr>
          <w:trHeight w:val="599"/>
        </w:trPr>
        <w:tc>
          <w:tcPr>
            <w:tcW w:w="6379" w:type="dxa"/>
            <w:gridSpan w:val="2"/>
            <w:vMerge w:val="restart"/>
            <w:tcBorders>
              <w:top w:val="single" w:sz="4" w:space="0" w:color="auto"/>
              <w:left w:val="single" w:sz="4" w:space="0" w:color="auto"/>
              <w:right w:val="single" w:sz="4" w:space="0" w:color="auto"/>
            </w:tcBorders>
            <w:hideMark/>
          </w:tcPr>
          <w:p w14:paraId="517ACC0E" w14:textId="77777777" w:rsidR="00F96C8E" w:rsidRDefault="00ED4D18" w:rsidP="00A91522">
            <w:pPr>
              <w:spacing w:after="0" w:line="360" w:lineRule="auto"/>
              <w:jc w:val="both"/>
              <w:rPr>
                <w:rFonts w:ascii="Arial" w:hAnsi="Arial" w:cs="Arial"/>
                <w:b/>
                <w:sz w:val="24"/>
                <w:szCs w:val="24"/>
              </w:rPr>
            </w:pPr>
            <w:r w:rsidRPr="00A91522">
              <w:rPr>
                <w:rFonts w:ascii="Arial" w:hAnsi="Arial" w:cs="Arial"/>
                <w:b/>
                <w:sz w:val="24"/>
                <w:szCs w:val="24"/>
              </w:rPr>
              <w:t>Case Title:</w:t>
            </w:r>
          </w:p>
          <w:p w14:paraId="6EF30C73" w14:textId="77777777" w:rsidR="00311914" w:rsidRPr="00054921" w:rsidRDefault="00311914" w:rsidP="00311914">
            <w:pPr>
              <w:spacing w:after="0" w:line="360" w:lineRule="auto"/>
              <w:jc w:val="both"/>
              <w:rPr>
                <w:rFonts w:ascii="Arial" w:hAnsi="Arial" w:cs="Arial"/>
                <w:sz w:val="24"/>
                <w:szCs w:val="24"/>
              </w:rPr>
            </w:pPr>
          </w:p>
          <w:p w14:paraId="7D319009" w14:textId="77777777" w:rsidR="00BD61F9" w:rsidRPr="00E729A1" w:rsidRDefault="00ED4D18" w:rsidP="00BD61F9">
            <w:pPr>
              <w:tabs>
                <w:tab w:val="right" w:pos="10542"/>
              </w:tabs>
              <w:spacing w:after="190" w:line="259" w:lineRule="auto"/>
              <w:rPr>
                <w:rFonts w:ascii="Arial" w:eastAsia="Arial Unicode MS" w:hAnsi="Arial" w:cs="Arial"/>
                <w:color w:val="000000"/>
                <w:sz w:val="24"/>
                <w:szCs w:val="24"/>
                <w:lang w:eastAsia="en-ZA"/>
              </w:rPr>
            </w:pPr>
            <w:proofErr w:type="spellStart"/>
            <w:r w:rsidRPr="00E729A1">
              <w:rPr>
                <w:rFonts w:ascii="Arial" w:eastAsia="Calibri" w:hAnsi="Arial" w:cs="Arial"/>
                <w:color w:val="000000"/>
                <w:sz w:val="24"/>
                <w:szCs w:val="24"/>
                <w:lang w:eastAsia="en-ZA"/>
              </w:rPr>
              <w:t>Kuiri</w:t>
            </w:r>
            <w:proofErr w:type="spellEnd"/>
            <w:r w:rsidRPr="00E729A1">
              <w:rPr>
                <w:rFonts w:ascii="Arial" w:eastAsia="Calibri" w:hAnsi="Arial" w:cs="Arial"/>
                <w:color w:val="000000"/>
                <w:sz w:val="24"/>
                <w:szCs w:val="24"/>
                <w:lang w:eastAsia="en-ZA"/>
              </w:rPr>
              <w:t xml:space="preserve"> </w:t>
            </w:r>
            <w:proofErr w:type="spellStart"/>
            <w:r w:rsidRPr="00E729A1">
              <w:rPr>
                <w:rFonts w:ascii="Arial" w:eastAsia="Calibri" w:hAnsi="Arial" w:cs="Arial"/>
                <w:color w:val="000000"/>
                <w:sz w:val="24"/>
                <w:szCs w:val="24"/>
                <w:lang w:eastAsia="en-ZA"/>
              </w:rPr>
              <w:t>Fanual</w:t>
            </w:r>
            <w:proofErr w:type="spellEnd"/>
            <w:r w:rsidRPr="00E729A1">
              <w:rPr>
                <w:rFonts w:ascii="Arial" w:eastAsia="Calibri" w:hAnsi="Arial" w:cs="Arial"/>
                <w:color w:val="000000"/>
                <w:sz w:val="24"/>
                <w:szCs w:val="24"/>
                <w:lang w:eastAsia="en-ZA"/>
              </w:rPr>
              <w:t xml:space="preserve"> </w:t>
            </w:r>
            <w:proofErr w:type="spellStart"/>
            <w:r w:rsidRPr="00E729A1">
              <w:rPr>
                <w:rFonts w:ascii="Arial" w:eastAsia="Calibri" w:hAnsi="Arial" w:cs="Arial"/>
                <w:color w:val="000000"/>
                <w:sz w:val="24"/>
                <w:szCs w:val="24"/>
                <w:lang w:eastAsia="en-ZA"/>
              </w:rPr>
              <w:t>Tjipangandjara</w:t>
            </w:r>
            <w:proofErr w:type="spellEnd"/>
            <w:r w:rsidR="00054921" w:rsidRPr="00E729A1">
              <w:rPr>
                <w:rFonts w:ascii="Arial" w:eastAsia="Arial Unicode MS" w:hAnsi="Arial" w:cs="Arial"/>
                <w:color w:val="000000"/>
                <w:sz w:val="24"/>
                <w:szCs w:val="24"/>
                <w:lang w:eastAsia="en-ZA"/>
              </w:rPr>
              <w:tab/>
              <w:t>Plaintiff</w:t>
            </w:r>
          </w:p>
          <w:p w14:paraId="716F97A3" w14:textId="77777777" w:rsidR="00054921" w:rsidRPr="00E729A1" w:rsidRDefault="00ED4D18" w:rsidP="00054921">
            <w:pPr>
              <w:spacing w:after="287" w:line="259" w:lineRule="auto"/>
              <w:ind w:left="48" w:hanging="10"/>
              <w:jc w:val="both"/>
              <w:rPr>
                <w:rFonts w:ascii="Arial" w:eastAsia="Calibri" w:hAnsi="Arial" w:cs="Arial"/>
                <w:color w:val="000000"/>
                <w:sz w:val="24"/>
                <w:szCs w:val="24"/>
                <w:lang w:eastAsia="en-ZA"/>
              </w:rPr>
            </w:pPr>
            <w:r w:rsidRPr="00E729A1">
              <w:rPr>
                <w:rFonts w:ascii="Arial" w:eastAsia="Arial Unicode MS" w:hAnsi="Arial" w:cs="Arial"/>
                <w:color w:val="000000"/>
                <w:sz w:val="24"/>
                <w:szCs w:val="24"/>
                <w:lang w:eastAsia="en-ZA"/>
              </w:rPr>
              <w:t>and</w:t>
            </w:r>
          </w:p>
          <w:p w14:paraId="6119377B" w14:textId="77777777" w:rsidR="00054921" w:rsidRPr="00E729A1" w:rsidRDefault="00ED4D18" w:rsidP="00054921">
            <w:pPr>
              <w:tabs>
                <w:tab w:val="right" w:pos="10542"/>
              </w:tabs>
              <w:spacing w:after="3" w:line="259" w:lineRule="auto"/>
              <w:rPr>
                <w:rFonts w:ascii="Arial" w:eastAsia="Calibri" w:hAnsi="Arial" w:cs="Arial"/>
                <w:color w:val="000000"/>
                <w:sz w:val="24"/>
                <w:szCs w:val="24"/>
                <w:lang w:eastAsia="en-ZA"/>
              </w:rPr>
            </w:pPr>
            <w:r w:rsidRPr="00E729A1">
              <w:rPr>
                <w:rFonts w:ascii="Arial" w:eastAsia="Calibri" w:hAnsi="Arial" w:cs="Arial"/>
                <w:color w:val="000000"/>
                <w:sz w:val="24"/>
                <w:szCs w:val="24"/>
                <w:lang w:eastAsia="en-ZA"/>
              </w:rPr>
              <w:t>Namibia Water Corporation Limited</w:t>
            </w:r>
            <w:r w:rsidRPr="00E729A1">
              <w:rPr>
                <w:rFonts w:ascii="Arial" w:eastAsia="Arial Unicode MS" w:hAnsi="Arial" w:cs="Arial"/>
                <w:color w:val="000000"/>
                <w:sz w:val="24"/>
                <w:szCs w:val="24"/>
                <w:lang w:eastAsia="en-ZA"/>
              </w:rPr>
              <w:tab/>
              <w:t>Defendant</w:t>
            </w:r>
          </w:p>
          <w:p w14:paraId="1F725FD9" w14:textId="77777777" w:rsidR="00244918" w:rsidRPr="000D0F54" w:rsidRDefault="00244918" w:rsidP="00BD61F9">
            <w:pPr>
              <w:tabs>
                <w:tab w:val="right" w:pos="10542"/>
              </w:tabs>
              <w:spacing w:after="98" w:line="259" w:lineRule="auto"/>
              <w:rPr>
                <w:rFonts w:ascii="Arial" w:hAnsi="Arial" w:cs="Arial"/>
                <w:sz w:val="24"/>
                <w:szCs w:val="24"/>
              </w:rPr>
            </w:pPr>
          </w:p>
        </w:tc>
        <w:tc>
          <w:tcPr>
            <w:tcW w:w="4111" w:type="dxa"/>
            <w:tcBorders>
              <w:top w:val="single" w:sz="4" w:space="0" w:color="auto"/>
              <w:left w:val="single" w:sz="4" w:space="0" w:color="auto"/>
              <w:bottom w:val="single" w:sz="4" w:space="0" w:color="auto"/>
              <w:right w:val="single" w:sz="4" w:space="0" w:color="auto"/>
            </w:tcBorders>
          </w:tcPr>
          <w:p w14:paraId="01D3CC78" w14:textId="77777777" w:rsidR="0090553E" w:rsidRDefault="00ED4D18" w:rsidP="008448D9">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14:paraId="3557D9C2" w14:textId="77777777" w:rsidR="00F96C8E" w:rsidRPr="00A91522" w:rsidRDefault="00ED4D18" w:rsidP="008448D9">
            <w:pPr>
              <w:spacing w:after="0" w:line="360" w:lineRule="auto"/>
              <w:ind w:left="1616" w:hanging="1559"/>
              <w:jc w:val="both"/>
              <w:rPr>
                <w:rFonts w:ascii="Arial" w:hAnsi="Arial" w:cs="Arial"/>
                <w:sz w:val="24"/>
                <w:szCs w:val="24"/>
              </w:rPr>
            </w:pPr>
            <w:r w:rsidRPr="00BD61F9">
              <w:rPr>
                <w:rFonts w:ascii="Arial" w:hAnsi="Arial" w:cs="Arial"/>
                <w:sz w:val="24"/>
                <w:szCs w:val="24"/>
              </w:rPr>
              <w:t>HC-MD-CIV-ACT-CON-2021/04068</w:t>
            </w:r>
          </w:p>
        </w:tc>
      </w:tr>
      <w:tr w:rsidR="00006168" w14:paraId="33CF9495" w14:textId="77777777" w:rsidTr="0002731C">
        <w:tc>
          <w:tcPr>
            <w:tcW w:w="6379" w:type="dxa"/>
            <w:gridSpan w:val="2"/>
            <w:vMerge/>
            <w:tcBorders>
              <w:left w:val="single" w:sz="4" w:space="0" w:color="auto"/>
              <w:right w:val="single" w:sz="4" w:space="0" w:color="auto"/>
            </w:tcBorders>
            <w:vAlign w:val="center"/>
            <w:hideMark/>
          </w:tcPr>
          <w:p w14:paraId="53067194" w14:textId="77777777" w:rsidR="00F96C8E" w:rsidRPr="00A91522" w:rsidRDefault="00F96C8E" w:rsidP="00A91522">
            <w:pPr>
              <w:spacing w:after="0" w:line="24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394022FE" w14:textId="77777777" w:rsidR="00F96C8E" w:rsidRPr="00A91522" w:rsidRDefault="00ED4D18" w:rsidP="00A91522">
            <w:pPr>
              <w:spacing w:after="0" w:line="360" w:lineRule="auto"/>
              <w:jc w:val="both"/>
              <w:rPr>
                <w:rFonts w:ascii="Arial" w:hAnsi="Arial" w:cs="Arial"/>
                <w:b/>
                <w:sz w:val="24"/>
                <w:szCs w:val="24"/>
              </w:rPr>
            </w:pPr>
            <w:r>
              <w:rPr>
                <w:rFonts w:ascii="Arial" w:hAnsi="Arial" w:cs="Arial"/>
                <w:b/>
                <w:sz w:val="24"/>
                <w:szCs w:val="24"/>
              </w:rPr>
              <w:t>Division of Court:</w:t>
            </w:r>
          </w:p>
          <w:p w14:paraId="6C8B3726" w14:textId="77777777" w:rsidR="00F96C8E" w:rsidRPr="00A91522" w:rsidRDefault="00ED4D18" w:rsidP="00A91522">
            <w:pPr>
              <w:spacing w:after="0" w:line="360" w:lineRule="auto"/>
              <w:jc w:val="both"/>
              <w:rPr>
                <w:rFonts w:ascii="Arial" w:hAnsi="Arial" w:cs="Arial"/>
                <w:sz w:val="24"/>
                <w:szCs w:val="24"/>
              </w:rPr>
            </w:pPr>
            <w:r w:rsidRPr="00A91522">
              <w:rPr>
                <w:rFonts w:ascii="Arial" w:hAnsi="Arial" w:cs="Arial"/>
                <w:sz w:val="24"/>
                <w:szCs w:val="24"/>
              </w:rPr>
              <w:t>Main Division</w:t>
            </w:r>
          </w:p>
        </w:tc>
      </w:tr>
      <w:tr w:rsidR="00006168" w14:paraId="5F36693D" w14:textId="77777777" w:rsidTr="0002731C">
        <w:tc>
          <w:tcPr>
            <w:tcW w:w="6379" w:type="dxa"/>
            <w:gridSpan w:val="2"/>
            <w:vMerge/>
            <w:tcBorders>
              <w:left w:val="single" w:sz="4" w:space="0" w:color="auto"/>
              <w:bottom w:val="single" w:sz="4" w:space="0" w:color="auto"/>
              <w:right w:val="single" w:sz="4" w:space="0" w:color="auto"/>
            </w:tcBorders>
            <w:vAlign w:val="center"/>
          </w:tcPr>
          <w:p w14:paraId="3D83E1A2" w14:textId="77777777" w:rsidR="00F96C8E" w:rsidRPr="00A91522" w:rsidRDefault="00F96C8E" w:rsidP="00A91522">
            <w:pPr>
              <w:spacing w:after="0" w:line="24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tcPr>
          <w:p w14:paraId="0773E4F6" w14:textId="77777777" w:rsidR="00F96C8E" w:rsidRPr="00A91522" w:rsidRDefault="00ED4D18" w:rsidP="00F96C8E">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14:paraId="0423746F" w14:textId="77777777" w:rsidR="00F96C8E" w:rsidRDefault="00ED4D18" w:rsidP="00BD61F9">
            <w:pPr>
              <w:spacing w:after="0" w:line="360" w:lineRule="auto"/>
              <w:jc w:val="both"/>
              <w:rPr>
                <w:rFonts w:ascii="Arial" w:hAnsi="Arial" w:cs="Arial"/>
                <w:b/>
                <w:sz w:val="24"/>
                <w:szCs w:val="24"/>
              </w:rPr>
            </w:pPr>
            <w:r>
              <w:rPr>
                <w:rFonts w:ascii="Arial" w:hAnsi="Arial" w:cs="Arial"/>
                <w:sz w:val="24"/>
                <w:szCs w:val="24"/>
              </w:rPr>
              <w:t>23 March</w:t>
            </w:r>
            <w:r w:rsidR="00C35416">
              <w:rPr>
                <w:rFonts w:ascii="Arial" w:hAnsi="Arial" w:cs="Arial"/>
                <w:sz w:val="24"/>
                <w:szCs w:val="24"/>
              </w:rPr>
              <w:t xml:space="preserve"> 202</w:t>
            </w:r>
            <w:r>
              <w:rPr>
                <w:rFonts w:ascii="Arial" w:hAnsi="Arial" w:cs="Arial"/>
                <w:sz w:val="24"/>
                <w:szCs w:val="24"/>
              </w:rPr>
              <w:t>3</w:t>
            </w:r>
          </w:p>
        </w:tc>
      </w:tr>
      <w:tr w:rsidR="00006168" w14:paraId="5A4E6156" w14:textId="77777777" w:rsidTr="0002731C">
        <w:tc>
          <w:tcPr>
            <w:tcW w:w="6379" w:type="dxa"/>
            <w:gridSpan w:val="2"/>
            <w:tcBorders>
              <w:top w:val="single" w:sz="4" w:space="0" w:color="auto"/>
              <w:left w:val="single" w:sz="4" w:space="0" w:color="auto"/>
              <w:bottom w:val="single" w:sz="4" w:space="0" w:color="auto"/>
              <w:right w:val="single" w:sz="4" w:space="0" w:color="auto"/>
            </w:tcBorders>
          </w:tcPr>
          <w:p w14:paraId="45703BBA" w14:textId="77777777" w:rsidR="00A91522" w:rsidRPr="00A81F7C" w:rsidRDefault="00ED4D18" w:rsidP="00A91522">
            <w:pPr>
              <w:spacing w:after="0" w:line="360" w:lineRule="auto"/>
              <w:jc w:val="both"/>
              <w:rPr>
                <w:rFonts w:ascii="Arial" w:hAnsi="Arial" w:cs="Arial"/>
                <w:b/>
                <w:sz w:val="24"/>
                <w:szCs w:val="24"/>
              </w:rPr>
            </w:pPr>
            <w:r w:rsidRPr="00A81F7C">
              <w:rPr>
                <w:rFonts w:ascii="Arial" w:hAnsi="Arial" w:cs="Arial"/>
                <w:b/>
                <w:sz w:val="24"/>
                <w:szCs w:val="24"/>
              </w:rPr>
              <w:t>Heard before:</w:t>
            </w:r>
          </w:p>
          <w:p w14:paraId="7DB01DFE" w14:textId="77777777" w:rsidR="00A91522" w:rsidRPr="00A81F7C" w:rsidRDefault="00ED4D18" w:rsidP="00054921">
            <w:pPr>
              <w:spacing w:after="0" w:line="360" w:lineRule="auto"/>
              <w:jc w:val="both"/>
              <w:rPr>
                <w:rFonts w:ascii="Arial" w:hAnsi="Arial" w:cs="Arial"/>
                <w:sz w:val="12"/>
                <w:szCs w:val="12"/>
              </w:rPr>
            </w:pPr>
            <w:proofErr w:type="spellStart"/>
            <w:r w:rsidRPr="00244918">
              <w:rPr>
                <w:rFonts w:ascii="Arial" w:hAnsi="Arial" w:cs="Arial"/>
                <w:sz w:val="24"/>
                <w:szCs w:val="24"/>
              </w:rPr>
              <w:t>Honourable</w:t>
            </w:r>
            <w:proofErr w:type="spellEnd"/>
            <w:r w:rsidRPr="00244918">
              <w:rPr>
                <w:rFonts w:ascii="Arial" w:hAnsi="Arial" w:cs="Arial"/>
                <w:sz w:val="24"/>
                <w:szCs w:val="24"/>
              </w:rPr>
              <w:t xml:space="preserve"> Lady Justice Rakow</w:t>
            </w:r>
          </w:p>
        </w:tc>
        <w:tc>
          <w:tcPr>
            <w:tcW w:w="4111" w:type="dxa"/>
            <w:tcBorders>
              <w:top w:val="single" w:sz="4" w:space="0" w:color="auto"/>
              <w:left w:val="single" w:sz="4" w:space="0" w:color="auto"/>
              <w:bottom w:val="single" w:sz="4" w:space="0" w:color="auto"/>
              <w:right w:val="single" w:sz="4" w:space="0" w:color="auto"/>
            </w:tcBorders>
          </w:tcPr>
          <w:p w14:paraId="687B87CA" w14:textId="77777777" w:rsidR="00A91522" w:rsidRPr="00A91522" w:rsidRDefault="00ED4D18" w:rsidP="00A91522">
            <w:pPr>
              <w:spacing w:after="0" w:line="360" w:lineRule="auto"/>
              <w:jc w:val="both"/>
              <w:rPr>
                <w:rFonts w:ascii="Arial" w:hAnsi="Arial" w:cs="Arial"/>
                <w:b/>
                <w:sz w:val="24"/>
                <w:szCs w:val="24"/>
              </w:rPr>
            </w:pPr>
            <w:r w:rsidRPr="00A91522">
              <w:rPr>
                <w:rFonts w:ascii="Arial" w:hAnsi="Arial" w:cs="Arial"/>
                <w:b/>
                <w:sz w:val="24"/>
                <w:szCs w:val="24"/>
              </w:rPr>
              <w:t>Delivered on:</w:t>
            </w:r>
          </w:p>
          <w:p w14:paraId="66154D96" w14:textId="77777777" w:rsidR="00A91522" w:rsidRPr="00A91522" w:rsidRDefault="00BF24D5" w:rsidP="00BD61F9">
            <w:pPr>
              <w:spacing w:after="0" w:line="360" w:lineRule="auto"/>
              <w:jc w:val="both"/>
              <w:rPr>
                <w:rFonts w:ascii="Arial" w:hAnsi="Arial" w:cs="Arial"/>
                <w:sz w:val="24"/>
                <w:szCs w:val="24"/>
              </w:rPr>
            </w:pPr>
            <w:r>
              <w:rPr>
                <w:rFonts w:ascii="Arial" w:hAnsi="Arial" w:cs="Arial"/>
                <w:sz w:val="24"/>
                <w:szCs w:val="24"/>
              </w:rPr>
              <w:t>5 December 2023</w:t>
            </w:r>
          </w:p>
        </w:tc>
      </w:tr>
      <w:tr w:rsidR="00006168" w14:paraId="123F43B1" w14:textId="77777777"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14:paraId="0BF90506" w14:textId="77777777" w:rsidR="005E3514" w:rsidRPr="00A81F7C" w:rsidRDefault="005E3514" w:rsidP="00F05F57">
            <w:pPr>
              <w:spacing w:after="0" w:line="360" w:lineRule="auto"/>
              <w:ind w:left="2160" w:hanging="2160"/>
              <w:jc w:val="both"/>
              <w:rPr>
                <w:rFonts w:ascii="Arial" w:hAnsi="Arial" w:cs="Arial"/>
                <w:b/>
                <w:sz w:val="10"/>
                <w:szCs w:val="10"/>
              </w:rPr>
            </w:pPr>
          </w:p>
          <w:p w14:paraId="6B42766B" w14:textId="77777777" w:rsidR="00A91522" w:rsidRPr="00A81F7C" w:rsidRDefault="00ED4D18" w:rsidP="008B2243">
            <w:pPr>
              <w:spacing w:after="0" w:line="360" w:lineRule="auto"/>
              <w:ind w:left="2019" w:right="175" w:hanging="2019"/>
              <w:jc w:val="both"/>
              <w:rPr>
                <w:rFonts w:ascii="Arial" w:hAnsi="Arial" w:cs="Arial"/>
                <w:sz w:val="24"/>
                <w:szCs w:val="24"/>
              </w:rPr>
            </w:pPr>
            <w:r w:rsidRPr="00A81F7C">
              <w:rPr>
                <w:rFonts w:ascii="Arial" w:hAnsi="Arial" w:cs="Arial"/>
                <w:b/>
                <w:sz w:val="24"/>
                <w:szCs w:val="24"/>
              </w:rPr>
              <w:t>Neutral citation</w:t>
            </w:r>
            <w:r w:rsidRPr="004347DC">
              <w:rPr>
                <w:rFonts w:ascii="Arial" w:hAnsi="Arial" w:cs="Arial"/>
                <w:sz w:val="24"/>
                <w:szCs w:val="24"/>
              </w:rPr>
              <w:t>:</w:t>
            </w:r>
            <w:r w:rsidR="00054921">
              <w:rPr>
                <w:rFonts w:ascii="Arial" w:hAnsi="Arial" w:cs="Arial"/>
                <w:sz w:val="24"/>
                <w:szCs w:val="24"/>
              </w:rPr>
              <w:tab/>
            </w:r>
            <w:proofErr w:type="spellStart"/>
            <w:r w:rsidR="00BD61F9" w:rsidRPr="004228AB">
              <w:rPr>
                <w:rFonts w:ascii="Arial" w:hAnsi="Arial" w:cs="Arial"/>
                <w:i/>
                <w:sz w:val="24"/>
                <w:szCs w:val="24"/>
              </w:rPr>
              <w:t>Tjipangandjara</w:t>
            </w:r>
            <w:proofErr w:type="spellEnd"/>
            <w:r w:rsidR="00054921" w:rsidRPr="004228AB">
              <w:rPr>
                <w:rFonts w:ascii="Arial" w:hAnsi="Arial" w:cs="Arial"/>
                <w:i/>
                <w:sz w:val="24"/>
                <w:szCs w:val="24"/>
              </w:rPr>
              <w:t xml:space="preserve"> </w:t>
            </w:r>
            <w:r w:rsidR="00311914" w:rsidRPr="004228AB">
              <w:rPr>
                <w:rFonts w:ascii="Arial" w:hAnsi="Arial" w:cs="Arial"/>
                <w:i/>
                <w:sz w:val="24"/>
                <w:szCs w:val="24"/>
              </w:rPr>
              <w:t xml:space="preserve">v </w:t>
            </w:r>
            <w:r w:rsidR="00BD61F9" w:rsidRPr="004228AB">
              <w:rPr>
                <w:rFonts w:ascii="Arial" w:eastAsia="Calibri" w:hAnsi="Arial" w:cs="Arial"/>
                <w:i/>
                <w:color w:val="000000"/>
                <w:sz w:val="24"/>
                <w:szCs w:val="24"/>
                <w:lang w:eastAsia="en-ZA"/>
              </w:rPr>
              <w:t>Namibia Water Corporation Limited</w:t>
            </w:r>
            <w:r w:rsidR="00054921" w:rsidRPr="00054921">
              <w:rPr>
                <w:rFonts w:ascii="Arial" w:hAnsi="Arial" w:cs="Arial"/>
                <w:i/>
                <w:sz w:val="24"/>
                <w:szCs w:val="24"/>
              </w:rPr>
              <w:t xml:space="preserve"> </w:t>
            </w:r>
            <w:r w:rsidRPr="00A81F7C">
              <w:rPr>
                <w:rFonts w:ascii="Arial" w:hAnsi="Arial" w:cs="Arial"/>
                <w:i/>
                <w:sz w:val="24"/>
                <w:szCs w:val="24"/>
              </w:rPr>
              <w:t>(</w:t>
            </w:r>
            <w:r w:rsidR="00BD61F9" w:rsidRPr="00BD61F9">
              <w:rPr>
                <w:rFonts w:ascii="Arial" w:hAnsi="Arial" w:cs="Arial"/>
                <w:sz w:val="24"/>
                <w:szCs w:val="24"/>
              </w:rPr>
              <w:t>HC-MD-CIV-ACT-CON-2021/04068</w:t>
            </w:r>
            <w:r w:rsidR="00054921">
              <w:rPr>
                <w:rFonts w:ascii="Arial" w:hAnsi="Arial" w:cs="Arial"/>
                <w:sz w:val="24"/>
                <w:szCs w:val="24"/>
              </w:rPr>
              <w:t>)</w:t>
            </w:r>
            <w:r w:rsidR="00054921" w:rsidRPr="00054921">
              <w:rPr>
                <w:rFonts w:ascii="Arial" w:hAnsi="Arial" w:cs="Arial"/>
                <w:sz w:val="24"/>
                <w:szCs w:val="24"/>
              </w:rPr>
              <w:t xml:space="preserve"> </w:t>
            </w:r>
            <w:r w:rsidRPr="00A81F7C">
              <w:rPr>
                <w:rFonts w:ascii="Arial" w:hAnsi="Arial" w:cs="Arial"/>
                <w:sz w:val="24"/>
                <w:szCs w:val="24"/>
              </w:rPr>
              <w:t>[202</w:t>
            </w:r>
            <w:r w:rsidR="00BD61F9">
              <w:rPr>
                <w:rFonts w:ascii="Arial" w:hAnsi="Arial" w:cs="Arial"/>
                <w:sz w:val="24"/>
                <w:szCs w:val="24"/>
              </w:rPr>
              <w:t>3</w:t>
            </w:r>
            <w:r w:rsidRPr="00A81F7C">
              <w:rPr>
                <w:rFonts w:ascii="Arial" w:hAnsi="Arial" w:cs="Arial"/>
                <w:sz w:val="24"/>
                <w:szCs w:val="24"/>
              </w:rPr>
              <w:t>] NAHC</w:t>
            </w:r>
            <w:r w:rsidR="009A00F9" w:rsidRPr="00A81F7C">
              <w:rPr>
                <w:rFonts w:ascii="Arial" w:hAnsi="Arial" w:cs="Arial"/>
                <w:sz w:val="24"/>
                <w:szCs w:val="24"/>
              </w:rPr>
              <w:t>MD</w:t>
            </w:r>
            <w:r w:rsidR="00CB78A0">
              <w:rPr>
                <w:rFonts w:ascii="Arial" w:hAnsi="Arial" w:cs="Arial"/>
                <w:sz w:val="24"/>
                <w:szCs w:val="24"/>
              </w:rPr>
              <w:t xml:space="preserve"> </w:t>
            </w:r>
            <w:proofErr w:type="gramStart"/>
            <w:r w:rsidR="002E6BEB">
              <w:rPr>
                <w:rFonts w:ascii="Arial" w:hAnsi="Arial" w:cs="Arial"/>
                <w:sz w:val="24"/>
                <w:szCs w:val="24"/>
              </w:rPr>
              <w:t>795</w:t>
            </w:r>
            <w:r w:rsidR="000D0F54">
              <w:rPr>
                <w:rFonts w:ascii="Arial" w:hAnsi="Arial" w:cs="Arial"/>
                <w:sz w:val="24"/>
                <w:szCs w:val="24"/>
              </w:rPr>
              <w:t xml:space="preserve"> </w:t>
            </w:r>
            <w:r w:rsidR="00BD4716">
              <w:rPr>
                <w:rFonts w:ascii="Arial" w:hAnsi="Arial" w:cs="Arial"/>
                <w:sz w:val="24"/>
                <w:szCs w:val="24"/>
              </w:rPr>
              <w:t xml:space="preserve"> </w:t>
            </w:r>
            <w:r w:rsidR="00E21A68" w:rsidRPr="00A81F7C">
              <w:rPr>
                <w:rFonts w:ascii="Arial" w:hAnsi="Arial" w:cs="Arial"/>
                <w:sz w:val="24"/>
                <w:szCs w:val="24"/>
              </w:rPr>
              <w:t>(</w:t>
            </w:r>
            <w:proofErr w:type="gramEnd"/>
            <w:r w:rsidR="00BF24D5">
              <w:rPr>
                <w:rFonts w:ascii="Arial" w:hAnsi="Arial" w:cs="Arial"/>
                <w:sz w:val="24"/>
                <w:szCs w:val="24"/>
              </w:rPr>
              <w:t>5 December 2023</w:t>
            </w:r>
            <w:r w:rsidRPr="00A81F7C">
              <w:rPr>
                <w:rFonts w:ascii="Arial" w:hAnsi="Arial" w:cs="Arial"/>
                <w:sz w:val="24"/>
                <w:szCs w:val="24"/>
              </w:rPr>
              <w:t>)</w:t>
            </w:r>
          </w:p>
          <w:p w14:paraId="6FC5CC65" w14:textId="77777777" w:rsidR="005E3514" w:rsidRPr="00A81F7C" w:rsidRDefault="005E3514" w:rsidP="00F05F57">
            <w:pPr>
              <w:spacing w:after="0" w:line="360" w:lineRule="auto"/>
              <w:ind w:left="2160" w:hanging="2160"/>
              <w:jc w:val="both"/>
              <w:rPr>
                <w:rFonts w:ascii="Arial" w:hAnsi="Arial" w:cs="Arial"/>
                <w:sz w:val="10"/>
                <w:szCs w:val="10"/>
              </w:rPr>
            </w:pPr>
          </w:p>
        </w:tc>
      </w:tr>
      <w:tr w:rsidR="00006168" w14:paraId="6EA5D4F0" w14:textId="77777777"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14:paraId="2014A0AA" w14:textId="77777777" w:rsidR="005F6192" w:rsidRPr="005F6192" w:rsidRDefault="005F6192" w:rsidP="00A21211">
            <w:pPr>
              <w:spacing w:after="0" w:line="360" w:lineRule="auto"/>
              <w:jc w:val="both"/>
              <w:rPr>
                <w:rFonts w:ascii="Arial" w:hAnsi="Arial" w:cs="Arial"/>
                <w:b/>
                <w:sz w:val="10"/>
                <w:szCs w:val="10"/>
              </w:rPr>
            </w:pPr>
          </w:p>
          <w:p w14:paraId="5264588C" w14:textId="77777777" w:rsidR="00734384" w:rsidRPr="00A21211" w:rsidRDefault="00ED4D18" w:rsidP="00DC4D07">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006168" w14:paraId="3C0BDC4C" w14:textId="77777777" w:rsidTr="008019A9">
        <w:tc>
          <w:tcPr>
            <w:tcW w:w="10490" w:type="dxa"/>
            <w:gridSpan w:val="3"/>
            <w:tcBorders>
              <w:top w:val="single" w:sz="4" w:space="0" w:color="auto"/>
              <w:left w:val="single" w:sz="4" w:space="0" w:color="auto"/>
              <w:bottom w:val="single" w:sz="4" w:space="0" w:color="auto"/>
              <w:right w:val="single" w:sz="4" w:space="0" w:color="auto"/>
            </w:tcBorders>
            <w:hideMark/>
          </w:tcPr>
          <w:p w14:paraId="6AE6F279" w14:textId="77777777" w:rsidR="00BD4716" w:rsidRDefault="00BD4716" w:rsidP="00BD4716">
            <w:pPr>
              <w:spacing w:after="0" w:line="360" w:lineRule="auto"/>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Pr="0082330F">
              <w:rPr>
                <w:rFonts w:ascii="Arial" w:hAnsi="Arial" w:cs="Arial"/>
                <w:sz w:val="24"/>
                <w:szCs w:val="24"/>
                <w:lang w:val="en-ZA"/>
              </w:rPr>
              <w:t>The applicant</w:t>
            </w:r>
            <w:r>
              <w:rPr>
                <w:rFonts w:ascii="Arial" w:hAnsi="Arial" w:cs="Arial"/>
                <w:sz w:val="24"/>
                <w:szCs w:val="24"/>
                <w:lang w:val="en-ZA"/>
              </w:rPr>
              <w:t xml:space="preserve"> is granted leave to appeal the</w:t>
            </w:r>
            <w:r w:rsidRPr="0082330F">
              <w:rPr>
                <w:rFonts w:ascii="Arial" w:hAnsi="Arial" w:cs="Arial"/>
                <w:sz w:val="24"/>
                <w:szCs w:val="24"/>
                <w:lang w:val="en-ZA"/>
              </w:rPr>
              <w:t xml:space="preserve"> Court’s ruling of 27 January 2023. </w:t>
            </w:r>
          </w:p>
          <w:p w14:paraId="38F0EC64" w14:textId="77777777" w:rsidR="00BD4716" w:rsidRDefault="00BD4716" w:rsidP="00BD4716">
            <w:pPr>
              <w:spacing w:after="0" w:line="360" w:lineRule="auto"/>
              <w:jc w:val="both"/>
              <w:rPr>
                <w:rFonts w:ascii="Arial" w:hAnsi="Arial" w:cs="Arial"/>
                <w:sz w:val="24"/>
                <w:szCs w:val="24"/>
                <w:lang w:val="en-ZA"/>
              </w:rPr>
            </w:pPr>
            <w:r w:rsidRPr="0082330F">
              <w:rPr>
                <w:rFonts w:ascii="Arial" w:hAnsi="Arial" w:cs="Arial"/>
                <w:sz w:val="24"/>
                <w:szCs w:val="24"/>
                <w:lang w:val="en-ZA"/>
              </w:rPr>
              <w:t xml:space="preserve">2. </w:t>
            </w:r>
            <w:r>
              <w:rPr>
                <w:rFonts w:ascii="Arial" w:hAnsi="Arial" w:cs="Arial"/>
                <w:sz w:val="24"/>
                <w:szCs w:val="24"/>
                <w:lang w:val="en-ZA"/>
              </w:rPr>
              <w:tab/>
            </w:r>
            <w:r w:rsidRPr="0082330F">
              <w:rPr>
                <w:rFonts w:ascii="Arial" w:hAnsi="Arial" w:cs="Arial"/>
                <w:sz w:val="24"/>
                <w:szCs w:val="24"/>
                <w:lang w:val="en-ZA"/>
              </w:rPr>
              <w:t xml:space="preserve">The costs of this application shall be costs in the appeal. </w:t>
            </w:r>
          </w:p>
          <w:p w14:paraId="0DA9897B" w14:textId="77777777" w:rsidR="004463C7" w:rsidRPr="00360B26" w:rsidRDefault="00BD4716" w:rsidP="00BD4716">
            <w:pPr>
              <w:spacing w:after="0" w:line="360" w:lineRule="auto"/>
              <w:contextualSpacing/>
              <w:jc w:val="both"/>
              <w:rPr>
                <w:rFonts w:ascii="Arial" w:hAnsi="Arial" w:cs="Arial"/>
                <w:lang w:val="en-ZA"/>
              </w:rPr>
            </w:pPr>
            <w:r w:rsidRPr="0082330F">
              <w:rPr>
                <w:rFonts w:ascii="Arial" w:hAnsi="Arial" w:cs="Arial"/>
                <w:sz w:val="24"/>
                <w:szCs w:val="24"/>
                <w:lang w:val="en-ZA"/>
              </w:rPr>
              <w:t xml:space="preserve">3. </w:t>
            </w:r>
            <w:r>
              <w:rPr>
                <w:rFonts w:ascii="Arial" w:hAnsi="Arial" w:cs="Arial"/>
                <w:sz w:val="24"/>
                <w:szCs w:val="24"/>
                <w:lang w:val="en-ZA"/>
              </w:rPr>
              <w:tab/>
            </w:r>
            <w:r w:rsidRPr="0082330F">
              <w:rPr>
                <w:rFonts w:ascii="Arial" w:hAnsi="Arial" w:cs="Arial"/>
                <w:sz w:val="24"/>
                <w:szCs w:val="24"/>
                <w:lang w:val="en-ZA"/>
              </w:rPr>
              <w:t xml:space="preserve">The matter is postponed to </w:t>
            </w:r>
            <w:r>
              <w:rPr>
                <w:rFonts w:ascii="Arial" w:hAnsi="Arial" w:cs="Arial"/>
                <w:sz w:val="24"/>
                <w:szCs w:val="24"/>
                <w:lang w:val="en-ZA"/>
              </w:rPr>
              <w:t>19 March 2024 at 15h30</w:t>
            </w:r>
            <w:r w:rsidRPr="0082330F">
              <w:rPr>
                <w:rFonts w:ascii="Arial" w:hAnsi="Arial" w:cs="Arial"/>
                <w:sz w:val="24"/>
                <w:szCs w:val="24"/>
                <w:lang w:val="en-ZA"/>
              </w:rPr>
              <w:t xml:space="preserve"> for a status hearing</w:t>
            </w:r>
            <w:r>
              <w:rPr>
                <w:rFonts w:ascii="Arial" w:hAnsi="Arial" w:cs="Arial"/>
                <w:lang w:val="en-ZA"/>
              </w:rPr>
              <w:t>.</w:t>
            </w:r>
          </w:p>
        </w:tc>
      </w:tr>
      <w:tr w:rsidR="00006168" w14:paraId="639259FF" w14:textId="77777777" w:rsidTr="008019A9">
        <w:tc>
          <w:tcPr>
            <w:tcW w:w="10490" w:type="dxa"/>
            <w:gridSpan w:val="3"/>
            <w:tcBorders>
              <w:top w:val="single" w:sz="4" w:space="0" w:color="auto"/>
              <w:left w:val="single" w:sz="4" w:space="0" w:color="auto"/>
              <w:bottom w:val="single" w:sz="4" w:space="0" w:color="auto"/>
              <w:right w:val="single" w:sz="4" w:space="0" w:color="auto"/>
            </w:tcBorders>
          </w:tcPr>
          <w:p w14:paraId="2E0F1452" w14:textId="77777777" w:rsidR="00DC4D07" w:rsidRPr="005F6192" w:rsidRDefault="00DC4D07" w:rsidP="00DC4D07">
            <w:pPr>
              <w:spacing w:after="0" w:line="360" w:lineRule="auto"/>
              <w:jc w:val="both"/>
              <w:rPr>
                <w:rFonts w:ascii="Arial" w:hAnsi="Arial" w:cs="Arial"/>
                <w:b/>
                <w:sz w:val="10"/>
                <w:szCs w:val="10"/>
              </w:rPr>
            </w:pPr>
          </w:p>
          <w:p w14:paraId="138B56EC" w14:textId="77777777" w:rsidR="00DC4D07" w:rsidRDefault="00ED4D18" w:rsidP="00DC4D07">
            <w:pPr>
              <w:spacing w:after="16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006168" w14:paraId="37F14A10" w14:textId="77777777" w:rsidTr="008019A9">
        <w:tc>
          <w:tcPr>
            <w:tcW w:w="10490" w:type="dxa"/>
            <w:gridSpan w:val="3"/>
            <w:tcBorders>
              <w:top w:val="single" w:sz="4" w:space="0" w:color="auto"/>
              <w:left w:val="single" w:sz="4" w:space="0" w:color="auto"/>
              <w:bottom w:val="single" w:sz="4" w:space="0" w:color="auto"/>
              <w:right w:val="single" w:sz="4" w:space="0" w:color="auto"/>
            </w:tcBorders>
          </w:tcPr>
          <w:p w14:paraId="009389AC" w14:textId="77777777" w:rsidR="00BF24D5" w:rsidRDefault="00BF24D5" w:rsidP="004228AB">
            <w:pPr>
              <w:spacing w:after="0" w:line="480" w:lineRule="auto"/>
              <w:jc w:val="both"/>
              <w:rPr>
                <w:rFonts w:ascii="Arial" w:hAnsi="Arial" w:cs="Arial"/>
                <w:sz w:val="24"/>
                <w:szCs w:val="24"/>
                <w:lang w:val="en-ZA"/>
              </w:rPr>
            </w:pPr>
          </w:p>
          <w:p w14:paraId="37152C87" w14:textId="77777777" w:rsidR="004228AB" w:rsidRDefault="00D3028C" w:rsidP="00BF24D5">
            <w:pPr>
              <w:spacing w:after="0" w:line="360" w:lineRule="auto"/>
              <w:jc w:val="both"/>
              <w:rPr>
                <w:rFonts w:ascii="Arial" w:hAnsi="Arial" w:cs="Arial"/>
                <w:sz w:val="24"/>
                <w:szCs w:val="24"/>
                <w:lang w:val="en-ZA"/>
              </w:rPr>
            </w:pPr>
            <w:r>
              <w:rPr>
                <w:rFonts w:ascii="Arial" w:hAnsi="Arial" w:cs="Arial"/>
                <w:sz w:val="24"/>
                <w:szCs w:val="24"/>
                <w:lang w:val="en-ZA"/>
              </w:rPr>
              <w:t xml:space="preserve">RAKOW </w:t>
            </w:r>
            <w:r w:rsidR="004228AB" w:rsidRPr="004228AB">
              <w:rPr>
                <w:rFonts w:ascii="Arial" w:hAnsi="Arial" w:cs="Arial"/>
                <w:sz w:val="24"/>
                <w:szCs w:val="24"/>
                <w:lang w:val="en-ZA"/>
              </w:rPr>
              <w:t>J:</w:t>
            </w:r>
          </w:p>
          <w:p w14:paraId="425A14DB" w14:textId="77777777" w:rsidR="00BF24D5" w:rsidRPr="004228AB" w:rsidRDefault="00BF24D5" w:rsidP="00BF24D5">
            <w:pPr>
              <w:spacing w:after="0" w:line="360" w:lineRule="auto"/>
              <w:jc w:val="both"/>
              <w:rPr>
                <w:rFonts w:ascii="Arial" w:hAnsi="Arial" w:cs="Arial"/>
                <w:sz w:val="24"/>
                <w:szCs w:val="24"/>
                <w:lang w:val="en-ZA"/>
              </w:rPr>
            </w:pPr>
          </w:p>
          <w:p w14:paraId="14DEE463" w14:textId="77777777" w:rsidR="004228AB" w:rsidRPr="004228AB" w:rsidRDefault="004228AB" w:rsidP="00BF24D5">
            <w:pPr>
              <w:spacing w:after="0" w:line="360" w:lineRule="auto"/>
              <w:jc w:val="both"/>
              <w:rPr>
                <w:rFonts w:ascii="Arial" w:hAnsi="Arial" w:cs="Arial"/>
                <w:sz w:val="24"/>
                <w:szCs w:val="24"/>
                <w:u w:val="single"/>
                <w:lang w:val="en-ZA"/>
              </w:rPr>
            </w:pPr>
            <w:r w:rsidRPr="004228AB">
              <w:rPr>
                <w:rFonts w:ascii="Arial" w:hAnsi="Arial" w:cs="Arial"/>
                <w:sz w:val="24"/>
                <w:szCs w:val="24"/>
                <w:u w:val="single"/>
                <w:lang w:val="en-ZA"/>
              </w:rPr>
              <w:t>Introduction</w:t>
            </w:r>
          </w:p>
          <w:p w14:paraId="45EC60BD" w14:textId="77777777" w:rsidR="004228AB" w:rsidRPr="004228AB" w:rsidRDefault="004228AB" w:rsidP="00BF24D5">
            <w:pPr>
              <w:spacing w:after="0" w:line="360" w:lineRule="auto"/>
              <w:jc w:val="both"/>
              <w:rPr>
                <w:rFonts w:ascii="Arial" w:hAnsi="Arial" w:cs="Arial"/>
                <w:sz w:val="24"/>
                <w:szCs w:val="24"/>
                <w:lang w:val="en-ZA"/>
              </w:rPr>
            </w:pPr>
          </w:p>
          <w:p w14:paraId="18480409" w14:textId="32F1654F" w:rsidR="004228AB" w:rsidRPr="004228AB" w:rsidRDefault="001B2B93" w:rsidP="001B2B93">
            <w:pPr>
              <w:spacing w:after="0" w:line="360" w:lineRule="auto"/>
              <w:contextualSpacing/>
              <w:jc w:val="both"/>
              <w:rPr>
                <w:rFonts w:ascii="Arial" w:hAnsi="Arial" w:cs="Arial"/>
                <w:sz w:val="24"/>
                <w:szCs w:val="24"/>
                <w:lang w:val="en-ZA"/>
              </w:rPr>
            </w:pPr>
            <w:r w:rsidRPr="004228AB">
              <w:rPr>
                <w:rFonts w:ascii="Arial" w:hAnsi="Arial" w:cs="Arial"/>
                <w:sz w:val="24"/>
                <w:szCs w:val="24"/>
                <w:lang w:val="en-ZA"/>
              </w:rPr>
              <w:t>[1]</w:t>
            </w:r>
            <w:r w:rsidRPr="004228AB">
              <w:rPr>
                <w:rFonts w:ascii="Arial" w:hAnsi="Arial" w:cs="Arial"/>
                <w:sz w:val="24"/>
                <w:szCs w:val="24"/>
                <w:lang w:val="en-ZA"/>
              </w:rPr>
              <w:tab/>
            </w:r>
            <w:r w:rsidR="004228AB" w:rsidRPr="004228AB">
              <w:rPr>
                <w:rFonts w:ascii="Arial" w:hAnsi="Arial" w:cs="Arial"/>
                <w:sz w:val="24"/>
                <w:szCs w:val="24"/>
                <w:lang w:val="en-ZA"/>
              </w:rPr>
              <w:t xml:space="preserve">This is </w:t>
            </w:r>
            <w:r w:rsidR="004228AB" w:rsidRPr="008169B2">
              <w:rPr>
                <w:rFonts w:ascii="Arial" w:hAnsi="Arial" w:cs="Arial"/>
                <w:color w:val="000000" w:themeColor="text1"/>
                <w:sz w:val="24"/>
                <w:szCs w:val="24"/>
                <w:lang w:val="en-ZA"/>
              </w:rPr>
              <w:t xml:space="preserve">an application for leave </w:t>
            </w:r>
            <w:r w:rsidR="00D3028C">
              <w:rPr>
                <w:rFonts w:ascii="Arial" w:hAnsi="Arial" w:cs="Arial"/>
                <w:color w:val="000000" w:themeColor="text1"/>
                <w:sz w:val="24"/>
                <w:szCs w:val="24"/>
                <w:lang w:val="en-ZA"/>
              </w:rPr>
              <w:t xml:space="preserve">to appeal to the Supreme Court </w:t>
            </w:r>
            <w:r w:rsidR="004228AB" w:rsidRPr="008169B2">
              <w:rPr>
                <w:rFonts w:ascii="Arial" w:hAnsi="Arial" w:cs="Arial"/>
                <w:color w:val="000000" w:themeColor="text1"/>
                <w:sz w:val="24"/>
                <w:szCs w:val="24"/>
                <w:lang w:val="en-ZA"/>
              </w:rPr>
              <w:t xml:space="preserve">launched in terms of rule 115 of the Rules of this Court. On 26 October 2021, the </w:t>
            </w:r>
            <w:r w:rsidR="00A92704" w:rsidRPr="008169B2">
              <w:rPr>
                <w:rFonts w:ascii="Arial" w:hAnsi="Arial" w:cs="Arial"/>
                <w:color w:val="000000" w:themeColor="text1"/>
                <w:sz w:val="24"/>
                <w:szCs w:val="24"/>
                <w:lang w:val="en-ZA"/>
              </w:rPr>
              <w:t>plaintiff</w:t>
            </w:r>
            <w:r w:rsidR="009A73BE">
              <w:rPr>
                <w:rFonts w:ascii="Arial" w:hAnsi="Arial" w:cs="Arial"/>
                <w:color w:val="000000" w:themeColor="text1"/>
                <w:sz w:val="24"/>
                <w:szCs w:val="24"/>
                <w:lang w:val="en-ZA"/>
              </w:rPr>
              <w:t xml:space="preserve"> instituted an action in this c</w:t>
            </w:r>
            <w:r w:rsidR="004228AB" w:rsidRPr="008169B2">
              <w:rPr>
                <w:rFonts w:ascii="Arial" w:hAnsi="Arial" w:cs="Arial"/>
                <w:color w:val="000000" w:themeColor="text1"/>
                <w:sz w:val="24"/>
                <w:szCs w:val="24"/>
                <w:lang w:val="en-ZA"/>
              </w:rPr>
              <w:t xml:space="preserve">ourt against the </w:t>
            </w:r>
            <w:r w:rsidR="00675BEE" w:rsidRPr="008169B2">
              <w:rPr>
                <w:rFonts w:ascii="Arial" w:hAnsi="Arial" w:cs="Arial"/>
                <w:color w:val="000000" w:themeColor="text1"/>
                <w:sz w:val="24"/>
                <w:szCs w:val="24"/>
                <w:lang w:val="en-ZA"/>
              </w:rPr>
              <w:t xml:space="preserve">defendant </w:t>
            </w:r>
            <w:r w:rsidR="004228AB" w:rsidRPr="008169B2">
              <w:rPr>
                <w:rFonts w:ascii="Arial" w:hAnsi="Arial" w:cs="Arial"/>
                <w:color w:val="000000" w:themeColor="text1"/>
                <w:sz w:val="24"/>
                <w:szCs w:val="24"/>
                <w:lang w:val="en-ZA"/>
              </w:rPr>
              <w:t>for:</w:t>
            </w:r>
          </w:p>
          <w:p w14:paraId="1DCF8ACA" w14:textId="77777777" w:rsidR="004228AB" w:rsidRPr="004228AB" w:rsidRDefault="004228AB" w:rsidP="004228AB">
            <w:pPr>
              <w:spacing w:after="0" w:line="360" w:lineRule="auto"/>
              <w:contextualSpacing/>
              <w:jc w:val="both"/>
              <w:rPr>
                <w:rFonts w:ascii="Arial" w:hAnsi="Arial" w:cs="Arial"/>
                <w:sz w:val="24"/>
                <w:szCs w:val="24"/>
                <w:lang w:val="en-ZA"/>
              </w:rPr>
            </w:pPr>
          </w:p>
          <w:p w14:paraId="3E0C1FBB" w14:textId="2AA910AC" w:rsidR="004228AB" w:rsidRPr="004228AB" w:rsidRDefault="001B2B93" w:rsidP="001B2B93">
            <w:pPr>
              <w:spacing w:after="0" w:line="360" w:lineRule="auto"/>
              <w:ind w:left="720" w:hanging="360"/>
              <w:contextualSpacing/>
              <w:jc w:val="both"/>
              <w:rPr>
                <w:rFonts w:ascii="Arial" w:hAnsi="Arial" w:cs="Arial"/>
                <w:sz w:val="24"/>
                <w:szCs w:val="24"/>
                <w:lang w:val="en-ZA"/>
              </w:rPr>
            </w:pPr>
            <w:r w:rsidRPr="004228AB">
              <w:rPr>
                <w:rFonts w:ascii="Arial" w:hAnsi="Arial" w:cs="Arial"/>
                <w:sz w:val="24"/>
                <w:szCs w:val="24"/>
                <w:lang w:val="en-ZA"/>
              </w:rPr>
              <w:t>a)</w:t>
            </w:r>
            <w:r w:rsidRPr="004228AB">
              <w:rPr>
                <w:rFonts w:ascii="Arial" w:hAnsi="Arial" w:cs="Arial"/>
                <w:sz w:val="24"/>
                <w:szCs w:val="24"/>
                <w:lang w:val="en-ZA"/>
              </w:rPr>
              <w:tab/>
            </w:r>
            <w:r w:rsidR="004228AB" w:rsidRPr="004228AB">
              <w:rPr>
                <w:rFonts w:ascii="Arial" w:hAnsi="Arial" w:cs="Arial"/>
                <w:sz w:val="24"/>
                <w:szCs w:val="24"/>
                <w:lang w:val="en-ZA"/>
              </w:rPr>
              <w:t xml:space="preserve">Claim 1 - a claim for </w:t>
            </w:r>
            <w:r w:rsidR="00791973">
              <w:rPr>
                <w:rFonts w:ascii="Arial" w:hAnsi="Arial" w:cs="Arial"/>
                <w:sz w:val="24"/>
                <w:szCs w:val="24"/>
                <w:lang w:val="en-ZA"/>
              </w:rPr>
              <w:t>loss of "income lost" for N$</w:t>
            </w:r>
            <w:r w:rsidR="00BF24D5">
              <w:rPr>
                <w:rFonts w:ascii="Arial" w:hAnsi="Arial" w:cs="Arial"/>
                <w:sz w:val="24"/>
                <w:szCs w:val="24"/>
                <w:lang w:val="en-ZA"/>
              </w:rPr>
              <w:t>2 630 809,</w:t>
            </w:r>
            <w:r w:rsidR="004228AB" w:rsidRPr="004228AB">
              <w:rPr>
                <w:rFonts w:ascii="Arial" w:hAnsi="Arial" w:cs="Arial"/>
                <w:sz w:val="24"/>
                <w:szCs w:val="24"/>
                <w:lang w:val="en-ZA"/>
              </w:rPr>
              <w:t>47, arising out of the defendant's violation of the plaintiff's right in terms of the provisions of section 34 of the Act; and</w:t>
            </w:r>
          </w:p>
          <w:p w14:paraId="722A132F" w14:textId="53D19760" w:rsidR="004228AB" w:rsidRPr="004228AB" w:rsidRDefault="001B2B93" w:rsidP="001B2B93">
            <w:pPr>
              <w:spacing w:after="0" w:line="360" w:lineRule="auto"/>
              <w:ind w:left="720" w:hanging="360"/>
              <w:contextualSpacing/>
              <w:jc w:val="both"/>
              <w:rPr>
                <w:rFonts w:ascii="Arial" w:hAnsi="Arial" w:cs="Arial"/>
                <w:sz w:val="24"/>
                <w:szCs w:val="24"/>
                <w:lang w:val="en-ZA"/>
              </w:rPr>
            </w:pPr>
            <w:r w:rsidRPr="004228AB">
              <w:rPr>
                <w:rFonts w:ascii="Arial" w:hAnsi="Arial" w:cs="Arial"/>
                <w:sz w:val="24"/>
                <w:szCs w:val="24"/>
                <w:lang w:val="en-ZA"/>
              </w:rPr>
              <w:t>b)</w:t>
            </w:r>
            <w:r w:rsidRPr="004228AB">
              <w:rPr>
                <w:rFonts w:ascii="Arial" w:hAnsi="Arial" w:cs="Arial"/>
                <w:sz w:val="24"/>
                <w:szCs w:val="24"/>
                <w:lang w:val="en-ZA"/>
              </w:rPr>
              <w:tab/>
            </w:r>
            <w:r w:rsidR="004228AB" w:rsidRPr="004228AB">
              <w:rPr>
                <w:rFonts w:ascii="Arial" w:hAnsi="Arial" w:cs="Arial"/>
                <w:sz w:val="24"/>
                <w:szCs w:val="24"/>
                <w:lang w:val="en-ZA"/>
              </w:rPr>
              <w:t xml:space="preserve">Claim 2 - a claim for “damages” in the amount of </w:t>
            </w:r>
            <w:r w:rsidR="00791973">
              <w:rPr>
                <w:rFonts w:ascii="Arial" w:hAnsi="Arial" w:cs="Arial"/>
                <w:sz w:val="24"/>
                <w:szCs w:val="24"/>
                <w:lang w:val="en-ZA"/>
              </w:rPr>
              <w:t>N$</w:t>
            </w:r>
            <w:r w:rsidR="00BF24D5">
              <w:rPr>
                <w:rFonts w:ascii="Arial" w:hAnsi="Arial" w:cs="Arial"/>
                <w:sz w:val="24"/>
                <w:szCs w:val="24"/>
                <w:lang w:val="en-ZA"/>
              </w:rPr>
              <w:t>3 119 239,</w:t>
            </w:r>
            <w:r w:rsidR="00BF24D5" w:rsidRPr="004228AB">
              <w:rPr>
                <w:rFonts w:ascii="Arial" w:hAnsi="Arial" w:cs="Arial"/>
                <w:sz w:val="24"/>
                <w:szCs w:val="24"/>
                <w:lang w:val="en-ZA"/>
              </w:rPr>
              <w:t>10</w:t>
            </w:r>
            <w:r w:rsidR="004228AB" w:rsidRPr="004228AB">
              <w:rPr>
                <w:rFonts w:ascii="Arial" w:hAnsi="Arial" w:cs="Arial"/>
                <w:sz w:val="24"/>
                <w:szCs w:val="24"/>
                <w:lang w:val="en-ZA"/>
              </w:rPr>
              <w:t>, arising out of the plaintiff’s alleged unlawful repudiation of the plaintiff’s employment contract.</w:t>
            </w:r>
          </w:p>
          <w:p w14:paraId="532EF280" w14:textId="77777777" w:rsidR="004228AB" w:rsidRPr="004228AB" w:rsidRDefault="004228AB" w:rsidP="004228AB">
            <w:pPr>
              <w:spacing w:after="0" w:line="360" w:lineRule="auto"/>
              <w:ind w:left="720"/>
              <w:contextualSpacing/>
              <w:jc w:val="both"/>
              <w:rPr>
                <w:rFonts w:ascii="Arial" w:hAnsi="Arial" w:cs="Arial"/>
                <w:sz w:val="24"/>
                <w:szCs w:val="24"/>
                <w:lang w:val="en-ZA"/>
              </w:rPr>
            </w:pPr>
          </w:p>
          <w:p w14:paraId="4B19FF3A" w14:textId="77777777" w:rsidR="004228AB" w:rsidRPr="004228AB" w:rsidRDefault="004228AB" w:rsidP="004228AB">
            <w:pPr>
              <w:spacing w:after="0" w:line="360" w:lineRule="auto"/>
              <w:jc w:val="both"/>
              <w:rPr>
                <w:rFonts w:ascii="Arial" w:hAnsi="Arial" w:cs="Arial"/>
                <w:sz w:val="24"/>
                <w:szCs w:val="24"/>
                <w:u w:val="single"/>
                <w:lang w:val="en-ZA"/>
              </w:rPr>
            </w:pPr>
            <w:r w:rsidRPr="004228AB">
              <w:rPr>
                <w:rFonts w:ascii="Arial" w:hAnsi="Arial" w:cs="Arial"/>
                <w:sz w:val="24"/>
                <w:szCs w:val="24"/>
                <w:u w:val="single"/>
                <w:lang w:val="en-ZA"/>
              </w:rPr>
              <w:t>Background</w:t>
            </w:r>
          </w:p>
          <w:p w14:paraId="3F612F09" w14:textId="77777777" w:rsidR="004228AB" w:rsidRPr="004228AB" w:rsidRDefault="004228AB" w:rsidP="004228AB">
            <w:pPr>
              <w:spacing w:after="0" w:line="360" w:lineRule="auto"/>
              <w:jc w:val="both"/>
              <w:rPr>
                <w:rFonts w:ascii="Arial" w:hAnsi="Arial" w:cs="Arial"/>
                <w:sz w:val="24"/>
                <w:szCs w:val="24"/>
                <w:lang w:val="en-ZA"/>
              </w:rPr>
            </w:pPr>
          </w:p>
          <w:p w14:paraId="0E563361" w14:textId="3BC6C71E" w:rsidR="004228AB" w:rsidRPr="004228AB" w:rsidRDefault="001B2B93" w:rsidP="001B2B93">
            <w:pPr>
              <w:spacing w:after="0" w:line="360" w:lineRule="auto"/>
              <w:contextualSpacing/>
              <w:jc w:val="both"/>
              <w:rPr>
                <w:rFonts w:ascii="Arial" w:hAnsi="Arial" w:cs="Arial"/>
                <w:sz w:val="24"/>
                <w:szCs w:val="24"/>
                <w:lang w:val="en-ZA"/>
              </w:rPr>
            </w:pPr>
            <w:r w:rsidRPr="004228AB">
              <w:rPr>
                <w:rFonts w:ascii="Arial" w:hAnsi="Arial" w:cs="Arial"/>
                <w:sz w:val="24"/>
                <w:szCs w:val="24"/>
                <w:lang w:val="en-ZA"/>
              </w:rPr>
              <w:t>[2]</w:t>
            </w:r>
            <w:r w:rsidRPr="004228AB">
              <w:rPr>
                <w:rFonts w:ascii="Arial" w:hAnsi="Arial" w:cs="Arial"/>
                <w:sz w:val="24"/>
                <w:szCs w:val="24"/>
                <w:lang w:val="en-ZA"/>
              </w:rPr>
              <w:tab/>
            </w:r>
            <w:r w:rsidR="004228AB" w:rsidRPr="004228AB">
              <w:rPr>
                <w:rFonts w:ascii="Arial" w:hAnsi="Arial" w:cs="Arial"/>
                <w:sz w:val="24"/>
                <w:szCs w:val="24"/>
                <w:lang w:val="en-ZA"/>
              </w:rPr>
              <w:t xml:space="preserve">The plaintiff was </w:t>
            </w:r>
            <w:r w:rsidR="00D3028C">
              <w:rPr>
                <w:rFonts w:ascii="Arial" w:hAnsi="Arial" w:cs="Arial"/>
                <w:color w:val="000000" w:themeColor="text1"/>
                <w:sz w:val="24"/>
                <w:szCs w:val="24"/>
                <w:lang w:val="en-ZA"/>
              </w:rPr>
              <w:t>employed by the defendant</w:t>
            </w:r>
            <w:r w:rsidR="004228AB" w:rsidRPr="008169B2">
              <w:rPr>
                <w:rFonts w:ascii="Arial" w:hAnsi="Arial" w:cs="Arial"/>
                <w:color w:val="000000" w:themeColor="text1"/>
                <w:sz w:val="24"/>
                <w:szCs w:val="24"/>
                <w:lang w:val="en-ZA"/>
              </w:rPr>
              <w:t xml:space="preserve"> in the position of Ge</w:t>
            </w:r>
            <w:r w:rsidR="00BF24D5">
              <w:rPr>
                <w:rFonts w:ascii="Arial" w:hAnsi="Arial" w:cs="Arial"/>
                <w:color w:val="000000" w:themeColor="text1"/>
                <w:sz w:val="24"/>
                <w:szCs w:val="24"/>
                <w:lang w:val="en-ZA"/>
              </w:rPr>
              <w:t xml:space="preserve">neral Manager: Operations. </w:t>
            </w:r>
            <w:r w:rsidR="00D3028C">
              <w:rPr>
                <w:rFonts w:ascii="Arial" w:hAnsi="Arial" w:cs="Arial"/>
                <w:color w:val="000000" w:themeColor="text1"/>
                <w:sz w:val="24"/>
                <w:szCs w:val="24"/>
                <w:lang w:val="en-ZA"/>
              </w:rPr>
              <w:t xml:space="preserve">A </w:t>
            </w:r>
            <w:r w:rsidR="004228AB" w:rsidRPr="008169B2">
              <w:rPr>
                <w:rFonts w:ascii="Arial" w:hAnsi="Arial" w:cs="Arial"/>
                <w:color w:val="000000" w:themeColor="text1"/>
                <w:sz w:val="24"/>
                <w:szCs w:val="24"/>
                <w:lang w:val="en-ZA"/>
              </w:rPr>
              <w:t xml:space="preserve">written contract was duly </w:t>
            </w:r>
            <w:r w:rsidR="00BF24D5">
              <w:rPr>
                <w:rFonts w:ascii="Arial" w:hAnsi="Arial" w:cs="Arial"/>
                <w:color w:val="000000" w:themeColor="text1"/>
                <w:sz w:val="24"/>
                <w:szCs w:val="24"/>
                <w:lang w:val="en-ZA"/>
              </w:rPr>
              <w:t xml:space="preserve">concluded between the parties. </w:t>
            </w:r>
            <w:r w:rsidR="004228AB" w:rsidRPr="008169B2">
              <w:rPr>
                <w:rFonts w:ascii="Arial" w:hAnsi="Arial" w:cs="Arial"/>
                <w:color w:val="000000" w:themeColor="text1"/>
                <w:sz w:val="24"/>
                <w:szCs w:val="24"/>
                <w:lang w:val="en-ZA"/>
              </w:rPr>
              <w:t>This contract of employment was subject to and regulated by the provisions of the Labour Act 11 of 2007</w:t>
            </w:r>
            <w:r w:rsidR="001C38BF">
              <w:rPr>
                <w:rFonts w:ascii="Arial" w:hAnsi="Arial" w:cs="Arial"/>
                <w:color w:val="000000" w:themeColor="text1"/>
                <w:sz w:val="24"/>
                <w:szCs w:val="24"/>
                <w:lang w:val="en-ZA"/>
              </w:rPr>
              <w:t xml:space="preserve"> (the Labour Act)</w:t>
            </w:r>
            <w:r w:rsidR="004228AB" w:rsidRPr="004228AB">
              <w:rPr>
                <w:rFonts w:ascii="Arial" w:hAnsi="Arial" w:cs="Arial"/>
                <w:sz w:val="24"/>
                <w:szCs w:val="24"/>
                <w:lang w:val="en-ZA"/>
              </w:rPr>
              <w:t>.  In July 2005, the plaintiff, entered into a written agreement with the defendant in terms of which the plaintiff was laterally transferred to the position of General Manager: Engineering and Scientific Services, a position he held up to 7 July 2014</w:t>
            </w:r>
            <w:r w:rsidR="00BF24D5">
              <w:rPr>
                <w:rFonts w:ascii="Arial" w:hAnsi="Arial" w:cs="Arial"/>
                <w:sz w:val="24"/>
                <w:szCs w:val="24"/>
                <w:lang w:val="en-ZA"/>
              </w:rPr>
              <w:t>,</w:t>
            </w:r>
            <w:r w:rsidR="004228AB" w:rsidRPr="004228AB">
              <w:rPr>
                <w:rFonts w:ascii="Arial" w:hAnsi="Arial" w:cs="Arial"/>
                <w:sz w:val="24"/>
                <w:szCs w:val="24"/>
                <w:lang w:val="en-ZA"/>
              </w:rPr>
              <w:t xml:space="preserve"> when the Chief Executive Officer of the defendant at the time, implemented a revised structure and unilaterally abolished the plaintiff’s position by handing him </w:t>
            </w:r>
            <w:r w:rsidR="00791973">
              <w:rPr>
                <w:rFonts w:ascii="Arial" w:hAnsi="Arial" w:cs="Arial"/>
                <w:sz w:val="24"/>
                <w:szCs w:val="24"/>
                <w:lang w:val="en-ZA"/>
              </w:rPr>
              <w:t>an appointment letter to a new</w:t>
            </w:r>
            <w:r w:rsidR="004228AB" w:rsidRPr="004228AB">
              <w:rPr>
                <w:rFonts w:ascii="Arial" w:hAnsi="Arial" w:cs="Arial"/>
                <w:sz w:val="24"/>
                <w:szCs w:val="24"/>
                <w:lang w:val="en-ZA"/>
              </w:rPr>
              <w:t xml:space="preserve"> position of Chief: Water Supply – Central. The </w:t>
            </w:r>
            <w:r w:rsidR="00ED405E">
              <w:rPr>
                <w:rFonts w:ascii="Arial" w:hAnsi="Arial" w:cs="Arial"/>
                <w:sz w:val="24"/>
                <w:szCs w:val="24"/>
                <w:lang w:val="en-ZA"/>
              </w:rPr>
              <w:t xml:space="preserve">previous position the plaintiff held was abolished by the </w:t>
            </w:r>
            <w:r w:rsidR="004228AB" w:rsidRPr="004228AB">
              <w:rPr>
                <w:rFonts w:ascii="Arial" w:hAnsi="Arial" w:cs="Arial"/>
                <w:sz w:val="24"/>
                <w:szCs w:val="24"/>
                <w:lang w:val="en-ZA"/>
              </w:rPr>
              <w:t>Chief Executi</w:t>
            </w:r>
            <w:r w:rsidR="00ED405E">
              <w:rPr>
                <w:rFonts w:ascii="Arial" w:hAnsi="Arial" w:cs="Arial"/>
                <w:sz w:val="24"/>
                <w:szCs w:val="24"/>
                <w:lang w:val="en-ZA"/>
              </w:rPr>
              <w:t>ve Officer</w:t>
            </w:r>
            <w:r w:rsidR="004228AB" w:rsidRPr="004228AB">
              <w:rPr>
                <w:rFonts w:ascii="Arial" w:hAnsi="Arial" w:cs="Arial"/>
                <w:sz w:val="24"/>
                <w:szCs w:val="24"/>
                <w:lang w:val="en-ZA"/>
              </w:rPr>
              <w:t xml:space="preserve">. </w:t>
            </w:r>
          </w:p>
          <w:p w14:paraId="1BFDD22D" w14:textId="77777777" w:rsidR="004228AB" w:rsidRPr="004228AB" w:rsidRDefault="004228AB" w:rsidP="004228AB">
            <w:pPr>
              <w:spacing w:after="0" w:line="360" w:lineRule="auto"/>
              <w:jc w:val="both"/>
              <w:rPr>
                <w:rFonts w:ascii="Arial" w:hAnsi="Arial" w:cs="Arial"/>
                <w:sz w:val="24"/>
                <w:szCs w:val="24"/>
                <w:lang w:val="en-ZA"/>
              </w:rPr>
            </w:pPr>
          </w:p>
          <w:p w14:paraId="7374DC31" w14:textId="3300ABAC" w:rsidR="004228AB" w:rsidRPr="004228AB" w:rsidRDefault="001B2B93" w:rsidP="001B2B93">
            <w:pPr>
              <w:spacing w:after="0" w:line="360" w:lineRule="auto"/>
              <w:contextualSpacing/>
              <w:jc w:val="both"/>
              <w:rPr>
                <w:rFonts w:ascii="Arial" w:hAnsi="Arial" w:cs="Arial"/>
                <w:sz w:val="24"/>
                <w:szCs w:val="24"/>
                <w:lang w:val="en-ZA"/>
              </w:rPr>
            </w:pPr>
            <w:r w:rsidRPr="004228AB">
              <w:rPr>
                <w:rFonts w:ascii="Arial" w:hAnsi="Arial" w:cs="Arial"/>
                <w:sz w:val="24"/>
                <w:szCs w:val="24"/>
                <w:lang w:val="en-ZA"/>
              </w:rPr>
              <w:t>[3]</w:t>
            </w:r>
            <w:r w:rsidRPr="004228AB">
              <w:rPr>
                <w:rFonts w:ascii="Arial" w:hAnsi="Arial" w:cs="Arial"/>
                <w:sz w:val="24"/>
                <w:szCs w:val="24"/>
                <w:lang w:val="en-ZA"/>
              </w:rPr>
              <w:tab/>
            </w:r>
            <w:r w:rsidR="004228AB" w:rsidRPr="004228AB">
              <w:rPr>
                <w:rFonts w:ascii="Arial" w:hAnsi="Arial" w:cs="Arial"/>
                <w:sz w:val="24"/>
                <w:szCs w:val="24"/>
                <w:lang w:val="en-ZA"/>
              </w:rPr>
              <w:t xml:space="preserve">The defendant allegedly repudiated the agreement with the plaintiff by unilaterally changing </w:t>
            </w:r>
            <w:r w:rsidR="00BF24D5">
              <w:rPr>
                <w:rFonts w:ascii="Arial" w:hAnsi="Arial" w:cs="Arial"/>
                <w:sz w:val="24"/>
                <w:szCs w:val="24"/>
                <w:lang w:val="en-ZA"/>
              </w:rPr>
              <w:t xml:space="preserve">the </w:t>
            </w:r>
            <w:r w:rsidR="004228AB" w:rsidRPr="004228AB">
              <w:rPr>
                <w:rFonts w:ascii="Arial" w:hAnsi="Arial" w:cs="Arial"/>
                <w:sz w:val="24"/>
                <w:szCs w:val="24"/>
                <w:lang w:val="en-ZA"/>
              </w:rPr>
              <w:t xml:space="preserve">plaintiff's employment conditions and unlawfully locking out the plaintiff from the workplace. The plaintiff refused to accept such repudiation. On 25 February 2015, defendant and plaintiff reached a voluntary agreement in </w:t>
            </w:r>
            <w:r w:rsidR="00791973">
              <w:rPr>
                <w:rFonts w:ascii="Arial" w:hAnsi="Arial" w:cs="Arial"/>
                <w:sz w:val="24"/>
                <w:szCs w:val="24"/>
                <w:lang w:val="en-ZA"/>
              </w:rPr>
              <w:t xml:space="preserve">terms of </w:t>
            </w:r>
            <w:r w:rsidR="004228AB" w:rsidRPr="004228AB">
              <w:rPr>
                <w:rFonts w:ascii="Arial" w:hAnsi="Arial" w:cs="Arial"/>
                <w:sz w:val="24"/>
                <w:szCs w:val="24"/>
                <w:lang w:val="en-ZA"/>
              </w:rPr>
              <w:t>which the parties agreed that the defendant was to end the lock-out of the plaintiff and allow plaintiff to return to work to facilitate proper co</w:t>
            </w:r>
            <w:r w:rsidR="00772FBA">
              <w:rPr>
                <w:rFonts w:ascii="Arial" w:hAnsi="Arial" w:cs="Arial"/>
                <w:sz w:val="24"/>
                <w:szCs w:val="24"/>
                <w:lang w:val="en-ZA"/>
              </w:rPr>
              <w:t xml:space="preserve">nsultations without any delay. </w:t>
            </w:r>
            <w:r w:rsidR="004228AB" w:rsidRPr="004228AB">
              <w:rPr>
                <w:rFonts w:ascii="Arial" w:hAnsi="Arial" w:cs="Arial"/>
                <w:sz w:val="24"/>
                <w:szCs w:val="24"/>
                <w:lang w:val="en-ZA"/>
              </w:rPr>
              <w:t xml:space="preserve">As a result, the defendant's decision was suspended until the terms of the settlement agreement were complied with, meaning that the plaintiff was still employed on the same terms and conditions as before the purported restructuring.   </w:t>
            </w:r>
          </w:p>
          <w:p w14:paraId="65302774" w14:textId="77777777" w:rsidR="004228AB" w:rsidRPr="004228AB" w:rsidRDefault="004228AB" w:rsidP="004228AB">
            <w:pPr>
              <w:spacing w:after="0" w:line="360" w:lineRule="auto"/>
              <w:jc w:val="both"/>
              <w:rPr>
                <w:rFonts w:ascii="Arial" w:hAnsi="Arial" w:cs="Arial"/>
                <w:sz w:val="24"/>
                <w:szCs w:val="24"/>
                <w:lang w:val="en-ZA"/>
              </w:rPr>
            </w:pPr>
          </w:p>
          <w:p w14:paraId="03667D76" w14:textId="259728B0" w:rsidR="004228AB" w:rsidRPr="004228AB" w:rsidRDefault="001B2B93" w:rsidP="001B2B93">
            <w:pPr>
              <w:spacing w:after="0" w:line="360" w:lineRule="auto"/>
              <w:contextualSpacing/>
              <w:jc w:val="both"/>
              <w:rPr>
                <w:rFonts w:ascii="Arial" w:hAnsi="Arial" w:cs="Arial"/>
                <w:sz w:val="24"/>
                <w:szCs w:val="24"/>
                <w:lang w:val="en-ZA"/>
              </w:rPr>
            </w:pPr>
            <w:r w:rsidRPr="004228AB">
              <w:rPr>
                <w:rFonts w:ascii="Arial" w:hAnsi="Arial" w:cs="Arial"/>
                <w:sz w:val="24"/>
                <w:szCs w:val="24"/>
                <w:lang w:val="en-ZA"/>
              </w:rPr>
              <w:t>[4]</w:t>
            </w:r>
            <w:r w:rsidRPr="004228AB">
              <w:rPr>
                <w:rFonts w:ascii="Arial" w:hAnsi="Arial" w:cs="Arial"/>
                <w:sz w:val="24"/>
                <w:szCs w:val="24"/>
                <w:lang w:val="en-ZA"/>
              </w:rPr>
              <w:tab/>
            </w:r>
            <w:r w:rsidR="004228AB" w:rsidRPr="004228AB">
              <w:rPr>
                <w:rFonts w:ascii="Arial" w:hAnsi="Arial" w:cs="Arial"/>
                <w:sz w:val="24"/>
                <w:szCs w:val="24"/>
                <w:lang w:val="en-ZA"/>
              </w:rPr>
              <w:t xml:space="preserve">It seems that nothing came from the agreement and the plaintiff approached the Labour </w:t>
            </w:r>
            <w:r w:rsidR="00D3028C">
              <w:rPr>
                <w:rFonts w:ascii="Arial" w:hAnsi="Arial" w:cs="Arial"/>
                <w:sz w:val="24"/>
                <w:szCs w:val="24"/>
                <w:lang w:val="en-ZA"/>
              </w:rPr>
              <w:t>Court with his complaint. On 9</w:t>
            </w:r>
            <w:r w:rsidR="004228AB" w:rsidRPr="004228AB">
              <w:rPr>
                <w:rFonts w:ascii="Arial" w:hAnsi="Arial" w:cs="Arial"/>
                <w:sz w:val="24"/>
                <w:szCs w:val="24"/>
                <w:lang w:val="en-ZA"/>
              </w:rPr>
              <w:t xml:space="preserve"> November 2018, the Labour Court (in the case of </w:t>
            </w:r>
            <w:proofErr w:type="spellStart"/>
            <w:r w:rsidR="004228AB" w:rsidRPr="004228AB">
              <w:rPr>
                <w:rFonts w:ascii="Arial" w:hAnsi="Arial" w:cs="Arial"/>
                <w:i/>
                <w:sz w:val="24"/>
                <w:szCs w:val="24"/>
                <w:lang w:val="en-ZA"/>
              </w:rPr>
              <w:t>Tjpangandjara</w:t>
            </w:r>
            <w:proofErr w:type="spellEnd"/>
            <w:r w:rsidR="004228AB" w:rsidRPr="004228AB">
              <w:rPr>
                <w:rFonts w:ascii="Arial" w:hAnsi="Arial" w:cs="Arial"/>
                <w:i/>
                <w:sz w:val="24"/>
                <w:szCs w:val="24"/>
                <w:lang w:val="en-ZA"/>
              </w:rPr>
              <w:t xml:space="preserve"> v Namibia Water Corporation Limited &amp; Others</w:t>
            </w:r>
            <w:r w:rsidR="004228AB" w:rsidRPr="004228AB">
              <w:rPr>
                <w:rFonts w:ascii="Arial" w:hAnsi="Arial" w:cs="Arial"/>
                <w:sz w:val="24"/>
                <w:szCs w:val="24"/>
                <w:lang w:val="en-ZA"/>
              </w:rPr>
              <w:t xml:space="preserve"> (LCA 16 &amp; 19/2017) [2018] NAHCMD 30 (9 November 2018))</w:t>
            </w:r>
            <w:r w:rsidR="00791973">
              <w:rPr>
                <w:rFonts w:ascii="Arial" w:hAnsi="Arial" w:cs="Arial"/>
                <w:sz w:val="24"/>
                <w:szCs w:val="24"/>
                <w:lang w:val="en-ZA"/>
              </w:rPr>
              <w:t>,</w:t>
            </w:r>
            <w:r w:rsidR="004228AB" w:rsidRPr="004228AB">
              <w:rPr>
                <w:rFonts w:ascii="Arial" w:hAnsi="Arial" w:cs="Arial"/>
                <w:sz w:val="24"/>
                <w:szCs w:val="24"/>
                <w:lang w:val="en-ZA"/>
              </w:rPr>
              <w:t xml:space="preserve"> made a finding that the unilateral change of employment terms and conditions by an employer violated the provisio</w:t>
            </w:r>
            <w:r w:rsidR="00791973">
              <w:rPr>
                <w:rFonts w:ascii="Arial" w:hAnsi="Arial" w:cs="Arial"/>
                <w:sz w:val="24"/>
                <w:szCs w:val="24"/>
                <w:lang w:val="en-ZA"/>
              </w:rPr>
              <w:t>ns of s 34 of the Labour Act</w:t>
            </w:r>
            <w:r w:rsidR="004228AB" w:rsidRPr="004228AB">
              <w:rPr>
                <w:rFonts w:ascii="Arial" w:hAnsi="Arial" w:cs="Arial"/>
                <w:sz w:val="24"/>
                <w:szCs w:val="24"/>
                <w:lang w:val="en-ZA"/>
              </w:rPr>
              <w:t xml:space="preserve"> hence</w:t>
            </w:r>
            <w:r w:rsidR="00791973">
              <w:rPr>
                <w:rFonts w:ascii="Arial" w:hAnsi="Arial" w:cs="Arial"/>
                <w:sz w:val="24"/>
                <w:szCs w:val="24"/>
                <w:lang w:val="en-ZA"/>
              </w:rPr>
              <w:t>,</w:t>
            </w:r>
            <w:r w:rsidR="004228AB" w:rsidRPr="004228AB">
              <w:rPr>
                <w:rFonts w:ascii="Arial" w:hAnsi="Arial" w:cs="Arial"/>
                <w:sz w:val="24"/>
                <w:szCs w:val="24"/>
                <w:lang w:val="en-ZA"/>
              </w:rPr>
              <w:t xml:space="preserve"> the conduct of the second defendant in continuing with the lock-out was wrongful and unlawful.  In the current matter, the </w:t>
            </w:r>
            <w:r w:rsidR="004228AB" w:rsidRPr="004228AB">
              <w:rPr>
                <w:rFonts w:ascii="Arial" w:hAnsi="Arial" w:cs="Arial"/>
                <w:sz w:val="24"/>
                <w:szCs w:val="24"/>
                <w:lang w:val="en-ZA"/>
              </w:rPr>
              <w:lastRenderedPageBreak/>
              <w:t>plaintiff is now claiming for the inco</w:t>
            </w:r>
            <w:r w:rsidR="00772FBA">
              <w:rPr>
                <w:rFonts w:ascii="Arial" w:hAnsi="Arial" w:cs="Arial"/>
                <w:sz w:val="24"/>
                <w:szCs w:val="24"/>
                <w:lang w:val="en-ZA"/>
              </w:rPr>
              <w:t xml:space="preserve">me he lost during the period 1 April 2015 to </w:t>
            </w:r>
            <w:r w:rsidR="004228AB" w:rsidRPr="004228AB">
              <w:rPr>
                <w:rFonts w:ascii="Arial" w:hAnsi="Arial" w:cs="Arial"/>
                <w:sz w:val="24"/>
                <w:szCs w:val="24"/>
                <w:lang w:val="en-ZA"/>
              </w:rPr>
              <w:t>1 April 2017 (24 months) and further damages he suffered.</w:t>
            </w:r>
          </w:p>
          <w:p w14:paraId="0DE7D610" w14:textId="77777777" w:rsidR="004228AB" w:rsidRPr="004228AB" w:rsidRDefault="004228AB" w:rsidP="004228AB">
            <w:pPr>
              <w:spacing w:after="0" w:line="360" w:lineRule="auto"/>
              <w:contextualSpacing/>
              <w:jc w:val="both"/>
              <w:rPr>
                <w:rFonts w:ascii="Arial" w:hAnsi="Arial" w:cs="Arial"/>
                <w:sz w:val="24"/>
                <w:szCs w:val="24"/>
                <w:lang w:val="en-ZA"/>
              </w:rPr>
            </w:pPr>
          </w:p>
          <w:p w14:paraId="120BCE26" w14:textId="17AEBD0C" w:rsidR="004228AB" w:rsidRDefault="001B2B93" w:rsidP="001B2B93">
            <w:pPr>
              <w:spacing w:after="0" w:line="360" w:lineRule="auto"/>
              <w:contextualSpacing/>
              <w:jc w:val="both"/>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r>
            <w:r w:rsidR="004228AB" w:rsidRPr="004228AB">
              <w:rPr>
                <w:rFonts w:ascii="Arial" w:hAnsi="Arial" w:cs="Arial"/>
                <w:sz w:val="24"/>
                <w:szCs w:val="24"/>
                <w:lang w:val="en-ZA"/>
              </w:rPr>
              <w:t>When the</w:t>
            </w:r>
            <w:r w:rsidR="00772FBA">
              <w:rPr>
                <w:rFonts w:ascii="Arial" w:hAnsi="Arial" w:cs="Arial"/>
                <w:sz w:val="24"/>
                <w:szCs w:val="24"/>
                <w:lang w:val="en-ZA"/>
              </w:rPr>
              <w:t xml:space="preserve"> matter came before me, I</w:t>
            </w:r>
            <w:r w:rsidR="004228AB" w:rsidRPr="004228AB">
              <w:rPr>
                <w:rFonts w:ascii="Arial" w:hAnsi="Arial" w:cs="Arial"/>
                <w:sz w:val="24"/>
                <w:szCs w:val="24"/>
                <w:lang w:val="en-ZA"/>
              </w:rPr>
              <w:t xml:space="preserve"> found that the civil court has jurisdiction over the matter and dismissed the speci</w:t>
            </w:r>
            <w:r w:rsidR="00675BEE">
              <w:rPr>
                <w:rFonts w:ascii="Arial" w:hAnsi="Arial" w:cs="Arial"/>
                <w:sz w:val="24"/>
                <w:szCs w:val="24"/>
                <w:lang w:val="en-ZA"/>
              </w:rPr>
              <w:t>al plea raised by the defendant</w:t>
            </w:r>
            <w:r w:rsidR="004228AB" w:rsidRPr="004228AB">
              <w:rPr>
                <w:rFonts w:ascii="Arial" w:hAnsi="Arial" w:cs="Arial"/>
                <w:sz w:val="24"/>
                <w:szCs w:val="24"/>
                <w:lang w:val="en-ZA"/>
              </w:rPr>
              <w:t>.  It is agai</w:t>
            </w:r>
            <w:r w:rsidR="00287A2F">
              <w:rPr>
                <w:rFonts w:ascii="Arial" w:hAnsi="Arial" w:cs="Arial"/>
                <w:sz w:val="24"/>
                <w:szCs w:val="24"/>
                <w:lang w:val="en-ZA"/>
              </w:rPr>
              <w:t xml:space="preserve">nst this decision that they </w:t>
            </w:r>
            <w:r w:rsidR="00772FBA">
              <w:rPr>
                <w:rFonts w:ascii="Arial" w:hAnsi="Arial" w:cs="Arial"/>
                <w:sz w:val="24"/>
                <w:szCs w:val="24"/>
                <w:lang w:val="en-ZA"/>
              </w:rPr>
              <w:t>sought</w:t>
            </w:r>
            <w:r w:rsidR="00287A2F">
              <w:rPr>
                <w:rFonts w:ascii="Arial" w:hAnsi="Arial" w:cs="Arial"/>
                <w:sz w:val="24"/>
                <w:szCs w:val="24"/>
                <w:lang w:val="en-ZA"/>
              </w:rPr>
              <w:t xml:space="preserve"> leave to appeal, which application was struck from the roll for failure to comply with the requirements for applications</w:t>
            </w:r>
            <w:r w:rsidR="00772FBA">
              <w:rPr>
                <w:rFonts w:ascii="Arial" w:hAnsi="Arial" w:cs="Arial"/>
                <w:sz w:val="24"/>
                <w:szCs w:val="24"/>
                <w:lang w:val="en-ZA"/>
              </w:rPr>
              <w:t>,</w:t>
            </w:r>
            <w:r w:rsidR="00287A2F">
              <w:rPr>
                <w:rFonts w:ascii="Arial" w:hAnsi="Arial" w:cs="Arial"/>
                <w:sz w:val="24"/>
                <w:szCs w:val="24"/>
                <w:lang w:val="en-ZA"/>
              </w:rPr>
              <w:t xml:space="preserve"> i</w:t>
            </w:r>
            <w:r w:rsidR="00772FBA">
              <w:rPr>
                <w:rFonts w:ascii="Arial" w:hAnsi="Arial" w:cs="Arial"/>
                <w:sz w:val="24"/>
                <w:szCs w:val="24"/>
                <w:lang w:val="en-ZA"/>
              </w:rPr>
              <w:t xml:space="preserve">n that no affidavit was filed. </w:t>
            </w:r>
            <w:r w:rsidR="00287A2F">
              <w:rPr>
                <w:rFonts w:ascii="Arial" w:hAnsi="Arial" w:cs="Arial"/>
                <w:sz w:val="24"/>
                <w:szCs w:val="24"/>
                <w:lang w:val="en-ZA"/>
              </w:rPr>
              <w:t xml:space="preserve">This decision was taken on special review and set </w:t>
            </w:r>
            <w:proofErr w:type="gramStart"/>
            <w:r w:rsidR="00287A2F">
              <w:rPr>
                <w:rFonts w:ascii="Arial" w:hAnsi="Arial" w:cs="Arial"/>
                <w:sz w:val="24"/>
                <w:szCs w:val="24"/>
                <w:lang w:val="en-ZA"/>
              </w:rPr>
              <w:t>aside</w:t>
            </w:r>
            <w:proofErr w:type="gramEnd"/>
            <w:r w:rsidR="00287A2F">
              <w:rPr>
                <w:rFonts w:ascii="Arial" w:hAnsi="Arial" w:cs="Arial"/>
                <w:sz w:val="24"/>
                <w:szCs w:val="24"/>
                <w:lang w:val="en-ZA"/>
              </w:rPr>
              <w:t xml:space="preserve"> and the matter referred back to this court to consider the application for leave to appeal afresh.  </w:t>
            </w:r>
            <w:r w:rsidR="004228AB" w:rsidRPr="004228AB">
              <w:rPr>
                <w:rFonts w:ascii="Arial" w:hAnsi="Arial" w:cs="Arial"/>
                <w:sz w:val="24"/>
                <w:szCs w:val="24"/>
                <w:lang w:val="en-ZA"/>
              </w:rPr>
              <w:tab/>
            </w:r>
          </w:p>
          <w:p w14:paraId="69F05355" w14:textId="77777777" w:rsidR="00626D05" w:rsidRDefault="00626D05" w:rsidP="00A92704">
            <w:pPr>
              <w:spacing w:after="0" w:line="360" w:lineRule="auto"/>
              <w:contextualSpacing/>
              <w:jc w:val="both"/>
              <w:rPr>
                <w:rFonts w:ascii="Arial" w:hAnsi="Arial" w:cs="Arial"/>
                <w:sz w:val="24"/>
                <w:szCs w:val="24"/>
                <w:lang w:val="en-ZA"/>
              </w:rPr>
            </w:pPr>
          </w:p>
          <w:p w14:paraId="43B9C151" w14:textId="77777777" w:rsidR="00A92704" w:rsidRDefault="00A92704" w:rsidP="00A92704">
            <w:pPr>
              <w:spacing w:after="0" w:line="360" w:lineRule="auto"/>
              <w:contextualSpacing/>
              <w:jc w:val="both"/>
              <w:rPr>
                <w:rFonts w:ascii="Arial" w:hAnsi="Arial" w:cs="Arial"/>
                <w:sz w:val="24"/>
                <w:szCs w:val="24"/>
                <w:u w:val="single"/>
                <w:lang w:val="en-ZA"/>
              </w:rPr>
            </w:pPr>
            <w:r w:rsidRPr="00A92704">
              <w:rPr>
                <w:rFonts w:ascii="Arial" w:hAnsi="Arial" w:cs="Arial"/>
                <w:sz w:val="24"/>
                <w:szCs w:val="24"/>
                <w:u w:val="single"/>
                <w:lang w:val="en-ZA"/>
              </w:rPr>
              <w:t>Grounds for appeal</w:t>
            </w:r>
          </w:p>
          <w:p w14:paraId="483A074F" w14:textId="77777777" w:rsidR="00772FBA" w:rsidRPr="00A92704" w:rsidRDefault="00772FBA" w:rsidP="00A92704">
            <w:pPr>
              <w:spacing w:after="0" w:line="360" w:lineRule="auto"/>
              <w:contextualSpacing/>
              <w:jc w:val="both"/>
              <w:rPr>
                <w:rFonts w:ascii="Arial" w:hAnsi="Arial" w:cs="Arial"/>
                <w:sz w:val="24"/>
                <w:szCs w:val="24"/>
                <w:u w:val="single"/>
                <w:lang w:val="en-ZA"/>
              </w:rPr>
            </w:pPr>
          </w:p>
          <w:p w14:paraId="75373517" w14:textId="474E08A7" w:rsidR="00717982" w:rsidRPr="001B2B93" w:rsidRDefault="001B2B93" w:rsidP="001B2B93">
            <w:pPr>
              <w:spacing w:after="0" w:line="360" w:lineRule="auto"/>
              <w:jc w:val="both"/>
              <w:rPr>
                <w:rFonts w:ascii="Arial" w:hAnsi="Arial" w:cs="Arial"/>
                <w:lang w:val="en-ZA"/>
              </w:rPr>
            </w:pPr>
            <w:r w:rsidRPr="00717982">
              <w:rPr>
                <w:rFonts w:ascii="Arial" w:hAnsi="Arial" w:cs="Arial"/>
                <w:sz w:val="24"/>
                <w:szCs w:val="24"/>
                <w:lang w:val="en-ZA"/>
              </w:rPr>
              <w:t>[6]</w:t>
            </w:r>
            <w:r w:rsidRPr="00717982">
              <w:rPr>
                <w:rFonts w:ascii="Arial" w:hAnsi="Arial" w:cs="Arial"/>
                <w:sz w:val="24"/>
                <w:szCs w:val="24"/>
                <w:lang w:val="en-ZA"/>
              </w:rPr>
              <w:tab/>
            </w:r>
            <w:r w:rsidR="00A92704" w:rsidRPr="001B2B93">
              <w:rPr>
                <w:rFonts w:ascii="Arial" w:hAnsi="Arial" w:cs="Arial"/>
                <w:sz w:val="24"/>
                <w:szCs w:val="24"/>
                <w:lang w:val="en-ZA"/>
              </w:rPr>
              <w:t>The applicant’s application for leave to appeal was formulate</w:t>
            </w:r>
            <w:r w:rsidR="00EA3BD1" w:rsidRPr="001B2B93">
              <w:rPr>
                <w:rFonts w:ascii="Arial" w:hAnsi="Arial" w:cs="Arial"/>
                <w:sz w:val="24"/>
                <w:szCs w:val="24"/>
                <w:lang w:val="en-ZA"/>
              </w:rPr>
              <w:t>d and articulated as follows:</w:t>
            </w:r>
          </w:p>
          <w:p w14:paraId="61FCB9ED" w14:textId="77777777" w:rsidR="00717982" w:rsidRDefault="00717982" w:rsidP="00717982">
            <w:pPr>
              <w:pStyle w:val="ListParagraph"/>
              <w:spacing w:after="0" w:line="360" w:lineRule="auto"/>
              <w:ind w:left="0"/>
              <w:jc w:val="both"/>
              <w:rPr>
                <w:rFonts w:ascii="Arial" w:hAnsi="Arial" w:cs="Arial"/>
                <w:sz w:val="24"/>
                <w:szCs w:val="24"/>
                <w:lang w:val="en-ZA"/>
              </w:rPr>
            </w:pPr>
          </w:p>
          <w:p w14:paraId="37759BA1" w14:textId="77777777" w:rsidR="00EA3BD1" w:rsidRPr="00717982" w:rsidRDefault="00EA3BD1" w:rsidP="00717982">
            <w:pPr>
              <w:pStyle w:val="ListParagraph"/>
              <w:spacing w:after="0" w:line="360" w:lineRule="auto"/>
              <w:ind w:left="0"/>
              <w:jc w:val="both"/>
              <w:rPr>
                <w:rFonts w:ascii="Arial" w:hAnsi="Arial" w:cs="Arial"/>
                <w:lang w:val="en-ZA"/>
              </w:rPr>
            </w:pPr>
            <w:r w:rsidRPr="00772FBA">
              <w:rPr>
                <w:rFonts w:ascii="Arial" w:hAnsi="Arial" w:cs="Arial"/>
                <w:sz w:val="24"/>
                <w:szCs w:val="24"/>
                <w:lang w:val="en-ZA"/>
              </w:rPr>
              <w:t xml:space="preserve"> </w:t>
            </w:r>
            <w:r w:rsidRPr="00772FBA">
              <w:rPr>
                <w:rFonts w:ascii="Arial" w:hAnsi="Arial" w:cs="Arial"/>
                <w:lang w:val="en-ZA"/>
              </w:rPr>
              <w:tab/>
            </w:r>
            <w:r w:rsidRPr="00717982">
              <w:rPr>
                <w:rFonts w:ascii="Arial" w:hAnsi="Arial" w:cs="Arial"/>
                <w:lang w:val="en-ZA"/>
              </w:rPr>
              <w:t>‘</w:t>
            </w:r>
            <w:r w:rsidR="00A92704" w:rsidRPr="00717982">
              <w:rPr>
                <w:rFonts w:ascii="Arial" w:hAnsi="Arial" w:cs="Arial"/>
                <w:lang w:val="en-ZA"/>
              </w:rPr>
              <w:t xml:space="preserve">The learned Judge, with respect, erred in law and or materially misdirected herself in law in one or more of the respects detailed below. </w:t>
            </w:r>
          </w:p>
          <w:p w14:paraId="35E043DC" w14:textId="77777777" w:rsidR="00EA3BD1" w:rsidRPr="001E5195" w:rsidRDefault="00EA3BD1" w:rsidP="00A92704">
            <w:pPr>
              <w:spacing w:after="0" w:line="360" w:lineRule="auto"/>
              <w:contextualSpacing/>
              <w:jc w:val="both"/>
              <w:rPr>
                <w:rFonts w:ascii="Arial" w:hAnsi="Arial" w:cs="Arial"/>
                <w:lang w:val="en-ZA"/>
              </w:rPr>
            </w:pPr>
          </w:p>
          <w:p w14:paraId="779816A0" w14:textId="7EFEE8EC" w:rsidR="00EA3BD1" w:rsidRPr="001B2B93" w:rsidRDefault="001B2B93" w:rsidP="001B2B93">
            <w:pPr>
              <w:spacing w:after="0" w:line="360" w:lineRule="auto"/>
              <w:ind w:left="720" w:hanging="360"/>
              <w:jc w:val="both"/>
              <w:rPr>
                <w:rFonts w:ascii="Arial" w:hAnsi="Arial" w:cs="Arial"/>
                <w:lang w:val="en-ZA"/>
              </w:rPr>
            </w:pPr>
            <w:r w:rsidRPr="001E5195">
              <w:rPr>
                <w:rFonts w:ascii="Arial" w:hAnsi="Arial" w:cs="Arial"/>
                <w:lang w:val="en-ZA"/>
              </w:rPr>
              <w:t>1.</w:t>
            </w:r>
            <w:r w:rsidRPr="001E5195">
              <w:rPr>
                <w:rFonts w:ascii="Arial" w:hAnsi="Arial" w:cs="Arial"/>
                <w:lang w:val="en-ZA"/>
              </w:rPr>
              <w:tab/>
            </w:r>
            <w:r w:rsidR="00A92704" w:rsidRPr="001B2B93">
              <w:rPr>
                <w:rFonts w:ascii="Arial" w:hAnsi="Arial" w:cs="Arial"/>
                <w:lang w:val="en-ZA"/>
              </w:rPr>
              <w:t xml:space="preserve">In arriving at the order set out above, underpinned by the - erroneously and legally untenable - finding in paragraph 15 of the ruling, the learned Judge, when regard is had to: </w:t>
            </w:r>
          </w:p>
          <w:p w14:paraId="20A8F1D0" w14:textId="77777777" w:rsidR="00EA3BD1" w:rsidRPr="001E5195" w:rsidRDefault="00EA3BD1" w:rsidP="001E5195">
            <w:pPr>
              <w:pStyle w:val="ListParagraph"/>
              <w:spacing w:after="0" w:line="360" w:lineRule="auto"/>
              <w:ind w:left="0"/>
              <w:jc w:val="both"/>
              <w:rPr>
                <w:rFonts w:ascii="Arial" w:hAnsi="Arial" w:cs="Arial"/>
                <w:lang w:val="en-ZA"/>
              </w:rPr>
            </w:pPr>
          </w:p>
          <w:p w14:paraId="0C516B71" w14:textId="77777777" w:rsidR="00EA3BD1" w:rsidRPr="001E5195" w:rsidRDefault="00A92704" w:rsidP="001E5195">
            <w:pPr>
              <w:pStyle w:val="ListParagraph"/>
              <w:spacing w:after="0" w:line="360" w:lineRule="auto"/>
              <w:ind w:left="0"/>
              <w:jc w:val="both"/>
              <w:rPr>
                <w:rFonts w:ascii="Arial" w:hAnsi="Arial" w:cs="Arial"/>
                <w:lang w:val="en-ZA"/>
              </w:rPr>
            </w:pPr>
            <w:r w:rsidRPr="001E5195">
              <w:rPr>
                <w:rFonts w:ascii="Arial" w:hAnsi="Arial" w:cs="Arial"/>
                <w:lang w:val="en-ZA"/>
              </w:rPr>
              <w:t xml:space="preserve">1.1. the respondent’s pleaded cause of </w:t>
            </w:r>
            <w:proofErr w:type="gramStart"/>
            <w:r w:rsidRPr="001E5195">
              <w:rPr>
                <w:rFonts w:ascii="Arial" w:hAnsi="Arial" w:cs="Arial"/>
                <w:lang w:val="en-ZA"/>
              </w:rPr>
              <w:t>action;</w:t>
            </w:r>
            <w:proofErr w:type="gramEnd"/>
            <w:r w:rsidRPr="001E5195">
              <w:rPr>
                <w:rFonts w:ascii="Arial" w:hAnsi="Arial" w:cs="Arial"/>
                <w:lang w:val="en-ZA"/>
              </w:rPr>
              <w:t xml:space="preserve"> </w:t>
            </w:r>
          </w:p>
          <w:p w14:paraId="2A938E57" w14:textId="77777777" w:rsidR="00EA3BD1" w:rsidRPr="001E5195" w:rsidRDefault="00A92704" w:rsidP="001E5195">
            <w:pPr>
              <w:pStyle w:val="ListParagraph"/>
              <w:spacing w:after="0" w:line="360" w:lineRule="auto"/>
              <w:ind w:left="0"/>
              <w:jc w:val="both"/>
              <w:rPr>
                <w:rFonts w:ascii="Arial" w:hAnsi="Arial" w:cs="Arial"/>
                <w:lang w:val="en-ZA"/>
              </w:rPr>
            </w:pPr>
            <w:r w:rsidRPr="001E5195">
              <w:rPr>
                <w:rFonts w:ascii="Arial" w:hAnsi="Arial" w:cs="Arial"/>
                <w:lang w:val="en-ZA"/>
              </w:rPr>
              <w:t xml:space="preserve">1.2. the relief sought therein; and </w:t>
            </w:r>
          </w:p>
          <w:p w14:paraId="79C87399" w14:textId="77777777" w:rsidR="00EA3BD1" w:rsidRDefault="00A92704" w:rsidP="001E5195">
            <w:pPr>
              <w:pStyle w:val="ListParagraph"/>
              <w:spacing w:after="0" w:line="360" w:lineRule="auto"/>
              <w:ind w:left="0"/>
              <w:jc w:val="both"/>
              <w:rPr>
                <w:rFonts w:ascii="Arial" w:hAnsi="Arial" w:cs="Arial"/>
                <w:lang w:val="en-ZA"/>
              </w:rPr>
            </w:pPr>
            <w:r w:rsidRPr="001E5195">
              <w:rPr>
                <w:rFonts w:ascii="Arial" w:hAnsi="Arial" w:cs="Arial"/>
                <w:lang w:val="en-ZA"/>
              </w:rPr>
              <w:t xml:space="preserve">1.3. the applicable provisions (namely, sections 34, 38, 84 and 86) of the Labour Act, Act No. 11 of 2007 (in relation to the respondent’s claim), misapplied the ratio in </w:t>
            </w:r>
            <w:proofErr w:type="spellStart"/>
            <w:r w:rsidRPr="00717982">
              <w:rPr>
                <w:rFonts w:ascii="Arial" w:hAnsi="Arial" w:cs="Arial"/>
                <w:i/>
                <w:lang w:val="en-ZA"/>
              </w:rPr>
              <w:t>Swakop</w:t>
            </w:r>
            <w:proofErr w:type="spellEnd"/>
            <w:r w:rsidRPr="00717982">
              <w:rPr>
                <w:rFonts w:ascii="Arial" w:hAnsi="Arial" w:cs="Arial"/>
                <w:i/>
                <w:lang w:val="en-ZA"/>
              </w:rPr>
              <w:t xml:space="preserve"> Uranium v Employees of </w:t>
            </w:r>
            <w:proofErr w:type="spellStart"/>
            <w:r w:rsidRPr="00717982">
              <w:rPr>
                <w:rFonts w:ascii="Arial" w:hAnsi="Arial" w:cs="Arial"/>
                <w:i/>
                <w:lang w:val="en-ZA"/>
              </w:rPr>
              <w:t>Swakop</w:t>
            </w:r>
            <w:proofErr w:type="spellEnd"/>
            <w:r w:rsidRPr="00717982">
              <w:rPr>
                <w:rFonts w:ascii="Arial" w:hAnsi="Arial" w:cs="Arial"/>
                <w:i/>
                <w:lang w:val="en-ZA"/>
              </w:rPr>
              <w:t xml:space="preserve"> Uranium</w:t>
            </w:r>
            <w:r w:rsidRPr="001E5195">
              <w:rPr>
                <w:rFonts w:ascii="Arial" w:hAnsi="Arial" w:cs="Arial"/>
                <w:lang w:val="en-ZA"/>
              </w:rPr>
              <w:t xml:space="preserve"> as Per Schedule Annexure POC1 (SA70-2022) [2022] NASC (14 November 2022), which th</w:t>
            </w:r>
            <w:r w:rsidR="00EA3BD1" w:rsidRPr="001E5195">
              <w:rPr>
                <w:rFonts w:ascii="Arial" w:hAnsi="Arial" w:cs="Arial"/>
                <w:lang w:val="en-ZA"/>
              </w:rPr>
              <w:t>e learned Judge quoted un</w:t>
            </w:r>
            <w:r w:rsidRPr="001E5195">
              <w:rPr>
                <w:rFonts w:ascii="Arial" w:hAnsi="Arial" w:cs="Arial"/>
                <w:lang w:val="en-ZA"/>
              </w:rPr>
              <w:t xml:space="preserve">der paragraph 12 of the ruling: </w:t>
            </w:r>
          </w:p>
          <w:p w14:paraId="1A07A62D" w14:textId="77777777" w:rsidR="00717982" w:rsidRPr="001E5195" w:rsidRDefault="00717982" w:rsidP="001E5195">
            <w:pPr>
              <w:pStyle w:val="ListParagraph"/>
              <w:spacing w:after="0" w:line="360" w:lineRule="auto"/>
              <w:ind w:left="0"/>
              <w:jc w:val="both"/>
              <w:rPr>
                <w:rFonts w:ascii="Arial" w:hAnsi="Arial" w:cs="Arial"/>
                <w:lang w:val="en-ZA"/>
              </w:rPr>
            </w:pPr>
          </w:p>
          <w:p w14:paraId="327ECDE9" w14:textId="77777777" w:rsidR="00EA3BD1" w:rsidRPr="001E5195" w:rsidRDefault="00A92704" w:rsidP="001E5195">
            <w:pPr>
              <w:pStyle w:val="ListParagraph"/>
              <w:spacing w:after="0" w:line="360" w:lineRule="auto"/>
              <w:ind w:left="0"/>
              <w:jc w:val="both"/>
              <w:rPr>
                <w:rFonts w:ascii="Arial" w:hAnsi="Arial" w:cs="Arial"/>
                <w:lang w:val="en-ZA"/>
              </w:rPr>
            </w:pPr>
            <w:r w:rsidRPr="001E5195">
              <w:rPr>
                <w:rFonts w:ascii="Arial" w:hAnsi="Arial" w:cs="Arial"/>
                <w:lang w:val="en-ZA"/>
              </w:rPr>
              <w:t xml:space="preserve">“43. … an examination of the nature of the cause of action and right(s) being asserted in support of the claims </w:t>
            </w:r>
            <w:proofErr w:type="gramStart"/>
            <w:r w:rsidRPr="001E5195">
              <w:rPr>
                <w:rFonts w:ascii="Arial" w:hAnsi="Arial" w:cs="Arial"/>
                <w:lang w:val="en-ZA"/>
              </w:rPr>
              <w:t>in order to</w:t>
            </w:r>
            <w:proofErr w:type="gramEnd"/>
            <w:r w:rsidRPr="001E5195">
              <w:rPr>
                <w:rFonts w:ascii="Arial" w:hAnsi="Arial" w:cs="Arial"/>
                <w:lang w:val="en-ZA"/>
              </w:rPr>
              <w:t xml:space="preserve"> determine whether the High Court has jurisdiction or not. If the right asserted solely arises from the Act and the Act provides a remedy for the breach of that statutory right in the form of arbitration, then it would follow that the employee or employer would be limited to asserting that right (breach of the statutory right) and seek the remedy for its breach within the structures provided for by the Act.” </w:t>
            </w:r>
          </w:p>
          <w:p w14:paraId="45AE3B03" w14:textId="77777777" w:rsidR="00EA3BD1" w:rsidRPr="001E5195" w:rsidRDefault="00EA3BD1" w:rsidP="00EA3BD1">
            <w:pPr>
              <w:pStyle w:val="ListParagraph"/>
              <w:spacing w:after="0" w:line="360" w:lineRule="auto"/>
              <w:jc w:val="both"/>
              <w:rPr>
                <w:rFonts w:ascii="Arial" w:hAnsi="Arial" w:cs="Arial"/>
                <w:lang w:val="en-ZA"/>
              </w:rPr>
            </w:pPr>
          </w:p>
          <w:p w14:paraId="481AB3FC" w14:textId="28EC1F15" w:rsidR="00EA3BD1" w:rsidRPr="001B2B93" w:rsidRDefault="001B2B93" w:rsidP="001B2B93">
            <w:pPr>
              <w:spacing w:after="0" w:line="360" w:lineRule="auto"/>
              <w:ind w:left="720" w:hanging="360"/>
              <w:jc w:val="both"/>
              <w:rPr>
                <w:rFonts w:ascii="Arial" w:hAnsi="Arial" w:cs="Arial"/>
                <w:lang w:val="en-ZA"/>
              </w:rPr>
            </w:pPr>
            <w:r w:rsidRPr="001E5195">
              <w:rPr>
                <w:rFonts w:ascii="Arial" w:hAnsi="Arial" w:cs="Arial"/>
                <w:lang w:val="en-ZA"/>
              </w:rPr>
              <w:t>2.</w:t>
            </w:r>
            <w:r w:rsidRPr="001E5195">
              <w:rPr>
                <w:rFonts w:ascii="Arial" w:hAnsi="Arial" w:cs="Arial"/>
                <w:lang w:val="en-ZA"/>
              </w:rPr>
              <w:tab/>
            </w:r>
            <w:r w:rsidR="00A92704" w:rsidRPr="001B2B93">
              <w:rPr>
                <w:rFonts w:ascii="Arial" w:hAnsi="Arial" w:cs="Arial"/>
                <w:lang w:val="en-ZA"/>
              </w:rPr>
              <w:t xml:space="preserve">In paragraph 8 of the ruling, the learned Judge, correctly recorded that: </w:t>
            </w:r>
          </w:p>
          <w:p w14:paraId="4377B8D7" w14:textId="77777777" w:rsidR="00EA3BD1" w:rsidRPr="001E5195" w:rsidRDefault="00A92704" w:rsidP="001E5195">
            <w:pPr>
              <w:pStyle w:val="ListParagraph"/>
              <w:spacing w:after="0" w:line="360" w:lineRule="auto"/>
              <w:ind w:left="34"/>
              <w:jc w:val="both"/>
              <w:rPr>
                <w:rFonts w:ascii="Arial" w:hAnsi="Arial" w:cs="Arial"/>
                <w:lang w:val="en-ZA"/>
              </w:rPr>
            </w:pPr>
            <w:r w:rsidRPr="001E5195">
              <w:rPr>
                <w:rFonts w:ascii="Arial" w:hAnsi="Arial" w:cs="Arial"/>
                <w:lang w:val="en-ZA"/>
              </w:rPr>
              <w:t xml:space="preserve">“The [applicant] agrees that at the [respondent’s] pleaded cause of action is premised on the Labour Court’s finding in </w:t>
            </w:r>
            <w:proofErr w:type="spellStart"/>
            <w:r w:rsidRPr="00717982">
              <w:rPr>
                <w:rFonts w:ascii="Arial" w:hAnsi="Arial" w:cs="Arial"/>
                <w:i/>
                <w:lang w:val="en-ZA"/>
              </w:rPr>
              <w:t>Tjipangandjara</w:t>
            </w:r>
            <w:proofErr w:type="spellEnd"/>
            <w:r w:rsidRPr="00717982">
              <w:rPr>
                <w:rFonts w:ascii="Arial" w:hAnsi="Arial" w:cs="Arial"/>
                <w:i/>
                <w:lang w:val="en-ZA"/>
              </w:rPr>
              <w:t xml:space="preserve"> v Namibia Water Corporation Limited and Others</w:t>
            </w:r>
            <w:r w:rsidRPr="001E5195">
              <w:rPr>
                <w:rFonts w:ascii="Arial" w:hAnsi="Arial" w:cs="Arial"/>
                <w:lang w:val="en-ZA"/>
              </w:rPr>
              <w:t xml:space="preserve"> (LCA 19 of 2017) [2018] NALCMD 30 (09 November 2018). In this case it was found that the [applicant] violated the [respondent’s] </w:t>
            </w:r>
            <w:r w:rsidRPr="001E5195">
              <w:rPr>
                <w:rFonts w:ascii="Arial" w:hAnsi="Arial" w:cs="Arial"/>
                <w:lang w:val="en-ZA"/>
              </w:rPr>
              <w:lastRenderedPageBreak/>
              <w:t>procedural and substantive rights in terms of the provisions of s 34 of the Labour Act, in that the [respondent] undertook a sham restructuring which thereafter saw or resulted in the [respondent’s] “constructive” dismissal from the Defendant. It is furt</w:t>
            </w:r>
            <w:r w:rsidR="00791973">
              <w:rPr>
                <w:rFonts w:ascii="Arial" w:hAnsi="Arial" w:cs="Arial"/>
                <w:lang w:val="en-ZA"/>
              </w:rPr>
              <w:t>her true that the [respondent]</w:t>
            </w:r>
            <w:r w:rsidRPr="001E5195">
              <w:rPr>
                <w:rFonts w:ascii="Arial" w:hAnsi="Arial" w:cs="Arial"/>
                <w:lang w:val="en-ZA"/>
              </w:rPr>
              <w:t xml:space="preserve"> instituted action in this Court seeking loss of income and damages</w:t>
            </w:r>
            <w:r w:rsidR="00EA3BD1" w:rsidRPr="001E5195">
              <w:rPr>
                <w:rFonts w:ascii="Arial" w:hAnsi="Arial" w:cs="Arial"/>
                <w:lang w:val="en-ZA"/>
              </w:rPr>
              <w:t xml:space="preserve"> </w:t>
            </w:r>
            <w:proofErr w:type="gramStart"/>
            <w:r w:rsidR="00EA3BD1" w:rsidRPr="001E5195">
              <w:rPr>
                <w:rFonts w:ascii="Arial" w:hAnsi="Arial" w:cs="Arial"/>
                <w:lang w:val="en-ZA"/>
              </w:rPr>
              <w:t>as a result of</w:t>
            </w:r>
            <w:proofErr w:type="gramEnd"/>
            <w:r w:rsidR="00EA3BD1" w:rsidRPr="001E5195">
              <w:rPr>
                <w:rFonts w:ascii="Arial" w:hAnsi="Arial" w:cs="Arial"/>
                <w:lang w:val="en-ZA"/>
              </w:rPr>
              <w:t xml:space="preserve"> this finding”. </w:t>
            </w:r>
          </w:p>
          <w:p w14:paraId="62FAF854" w14:textId="77777777" w:rsidR="00EA3BD1" w:rsidRPr="001E5195" w:rsidRDefault="00EA3BD1" w:rsidP="00EA3BD1">
            <w:pPr>
              <w:pStyle w:val="ListParagraph"/>
              <w:spacing w:after="0" w:line="360" w:lineRule="auto"/>
              <w:jc w:val="both"/>
              <w:rPr>
                <w:rFonts w:ascii="Arial" w:hAnsi="Arial" w:cs="Arial"/>
                <w:lang w:val="en-ZA"/>
              </w:rPr>
            </w:pPr>
          </w:p>
          <w:p w14:paraId="5115A1C1" w14:textId="23213637" w:rsidR="00EA3BD1" w:rsidRPr="001B2B93" w:rsidRDefault="001B2B93" w:rsidP="001B2B93">
            <w:pPr>
              <w:spacing w:after="0" w:line="360" w:lineRule="auto"/>
              <w:ind w:left="34" w:hanging="34"/>
              <w:jc w:val="both"/>
              <w:rPr>
                <w:rFonts w:ascii="Arial" w:hAnsi="Arial" w:cs="Arial"/>
                <w:lang w:val="en-ZA"/>
              </w:rPr>
            </w:pPr>
            <w:r>
              <w:rPr>
                <w:rFonts w:ascii="Arial" w:hAnsi="Arial" w:cs="Arial"/>
                <w:lang w:val="en-ZA"/>
              </w:rPr>
              <w:t>3.</w:t>
            </w:r>
            <w:r>
              <w:rPr>
                <w:rFonts w:ascii="Arial" w:hAnsi="Arial" w:cs="Arial"/>
                <w:lang w:val="en-ZA"/>
              </w:rPr>
              <w:tab/>
            </w:r>
            <w:r w:rsidR="00A92704" w:rsidRPr="001B2B93">
              <w:rPr>
                <w:rFonts w:ascii="Arial" w:hAnsi="Arial" w:cs="Arial"/>
                <w:lang w:val="en-ZA"/>
              </w:rPr>
              <w:t>Consequent to paragraph 8 of the ruling, the learned</w:t>
            </w:r>
            <w:r w:rsidR="00EA3BD1" w:rsidRPr="001B2B93">
              <w:rPr>
                <w:rFonts w:ascii="Arial" w:hAnsi="Arial" w:cs="Arial"/>
                <w:lang w:val="en-ZA"/>
              </w:rPr>
              <w:t xml:space="preserve"> Judge, erred in law and or mis</w:t>
            </w:r>
            <w:r w:rsidR="001E5195" w:rsidRPr="001B2B93">
              <w:rPr>
                <w:rFonts w:ascii="Arial" w:hAnsi="Arial" w:cs="Arial"/>
                <w:lang w:val="en-ZA"/>
              </w:rPr>
              <w:t xml:space="preserve">directed </w:t>
            </w:r>
            <w:r w:rsidR="00A92704" w:rsidRPr="001B2B93">
              <w:rPr>
                <w:rFonts w:ascii="Arial" w:hAnsi="Arial" w:cs="Arial"/>
                <w:lang w:val="en-ZA"/>
              </w:rPr>
              <w:t xml:space="preserve">herself in failing to uphold the applicant’s submission, contained in paragraph 9 of the ruling, which submissions are congruent with the ratio in </w:t>
            </w:r>
            <w:proofErr w:type="spellStart"/>
            <w:r w:rsidR="00A92704" w:rsidRPr="001B2B93">
              <w:rPr>
                <w:rFonts w:ascii="Arial" w:hAnsi="Arial" w:cs="Arial"/>
                <w:lang w:val="en-ZA"/>
              </w:rPr>
              <w:t>Swakop</w:t>
            </w:r>
            <w:proofErr w:type="spellEnd"/>
            <w:r w:rsidR="00A92704" w:rsidRPr="001B2B93">
              <w:rPr>
                <w:rFonts w:ascii="Arial" w:hAnsi="Arial" w:cs="Arial"/>
                <w:lang w:val="en-ZA"/>
              </w:rPr>
              <w:t xml:space="preserve"> Uranium v Employees of Swakopmund Uranium as Per Schedule Annexure POC1 (SA70-2022) [2022] NASC (14 November 2022) that: </w:t>
            </w:r>
          </w:p>
          <w:p w14:paraId="45EB50E4" w14:textId="77777777" w:rsidR="00717982" w:rsidRPr="001E5195" w:rsidRDefault="00717982" w:rsidP="00717982">
            <w:pPr>
              <w:pStyle w:val="ListParagraph"/>
              <w:spacing w:after="0" w:line="360" w:lineRule="auto"/>
              <w:ind w:left="34"/>
              <w:jc w:val="both"/>
              <w:rPr>
                <w:rFonts w:ascii="Arial" w:hAnsi="Arial" w:cs="Arial"/>
                <w:lang w:val="en-ZA"/>
              </w:rPr>
            </w:pPr>
          </w:p>
          <w:p w14:paraId="6F8B0441" w14:textId="77777777" w:rsidR="00EA3BD1" w:rsidRPr="001E5195" w:rsidRDefault="00A92704" w:rsidP="001E5195">
            <w:pPr>
              <w:pStyle w:val="ListParagraph"/>
              <w:spacing w:after="0" w:line="360" w:lineRule="auto"/>
              <w:ind w:left="34" w:hanging="34"/>
              <w:jc w:val="both"/>
              <w:rPr>
                <w:rFonts w:ascii="Arial" w:hAnsi="Arial" w:cs="Arial"/>
                <w:lang w:val="en-ZA"/>
              </w:rPr>
            </w:pPr>
            <w:r w:rsidRPr="001E5195">
              <w:rPr>
                <w:rFonts w:ascii="Arial" w:hAnsi="Arial" w:cs="Arial"/>
                <w:lang w:val="en-ZA"/>
              </w:rPr>
              <w:t>“… the [respondent’s] cause of action is based on the Labour Act, 11 of 2007, in that s 34, amongst others, prescribe the procedure of dismissals arising from redundancy, s 38, amongst others, prescribe the manner in whic</w:t>
            </w:r>
            <w:r w:rsidR="00EA3BD1" w:rsidRPr="001E5195">
              <w:rPr>
                <w:rFonts w:ascii="Arial" w:hAnsi="Arial" w:cs="Arial"/>
                <w:lang w:val="en-ZA"/>
              </w:rPr>
              <w:t>h disputes arising from the non</w:t>
            </w:r>
            <w:r w:rsidRPr="001E5195">
              <w:rPr>
                <w:rFonts w:ascii="Arial" w:hAnsi="Arial" w:cs="Arial"/>
                <w:lang w:val="en-ZA"/>
              </w:rPr>
              <w:t xml:space="preserve">compliance with the provisions of s 34 of the Act are to be resolved, s 84, amongst others, define non-compliance with the provisions s 34 of the Act as a dispute under the Act, and s 86, amongst others, makes provision for the arbitration of disputes pertaining to non-compliance with s 34 of the Act and appropriate remedies.” </w:t>
            </w:r>
          </w:p>
          <w:p w14:paraId="432F321E" w14:textId="77777777" w:rsidR="001E5195" w:rsidRPr="001E5195" w:rsidRDefault="001E5195" w:rsidP="001E5195">
            <w:pPr>
              <w:spacing w:after="0" w:line="360" w:lineRule="auto"/>
              <w:jc w:val="both"/>
              <w:rPr>
                <w:rFonts w:ascii="Arial" w:hAnsi="Arial" w:cs="Arial"/>
                <w:lang w:val="en-ZA"/>
              </w:rPr>
            </w:pPr>
          </w:p>
          <w:p w14:paraId="04A27029" w14:textId="77777777" w:rsidR="00EA3BD1" w:rsidRPr="001E5195" w:rsidRDefault="00EA3BD1" w:rsidP="001E5195">
            <w:pPr>
              <w:spacing w:after="0" w:line="360" w:lineRule="auto"/>
              <w:jc w:val="both"/>
              <w:rPr>
                <w:rFonts w:ascii="Arial" w:hAnsi="Arial" w:cs="Arial"/>
                <w:lang w:val="en-ZA"/>
              </w:rPr>
            </w:pPr>
            <w:r w:rsidRPr="001E5195">
              <w:rPr>
                <w:rFonts w:ascii="Arial" w:hAnsi="Arial" w:cs="Arial"/>
                <w:lang w:val="en-ZA"/>
              </w:rPr>
              <w:t>4</w:t>
            </w:r>
            <w:r w:rsidR="00A92704" w:rsidRPr="001E5195">
              <w:rPr>
                <w:rFonts w:ascii="Arial" w:hAnsi="Arial" w:cs="Arial"/>
                <w:lang w:val="en-ZA"/>
              </w:rPr>
              <w:t xml:space="preserve">. </w:t>
            </w:r>
            <w:r w:rsidR="001E5195" w:rsidRPr="001E5195">
              <w:rPr>
                <w:rFonts w:ascii="Arial" w:hAnsi="Arial" w:cs="Arial"/>
                <w:lang w:val="en-ZA"/>
              </w:rPr>
              <w:tab/>
            </w:r>
            <w:r w:rsidR="00A92704" w:rsidRPr="001E5195">
              <w:rPr>
                <w:rFonts w:ascii="Arial" w:hAnsi="Arial" w:cs="Arial"/>
                <w:lang w:val="en-ZA"/>
              </w:rPr>
              <w:t xml:space="preserve">That the cause of action and the rights asserted by the respondent in support of </w:t>
            </w:r>
            <w:proofErr w:type="gramStart"/>
            <w:r w:rsidR="00A92704" w:rsidRPr="001E5195">
              <w:rPr>
                <w:rFonts w:ascii="Arial" w:hAnsi="Arial" w:cs="Arial"/>
                <w:lang w:val="en-ZA"/>
              </w:rPr>
              <w:t>the his</w:t>
            </w:r>
            <w:proofErr w:type="gramEnd"/>
            <w:r w:rsidR="00A92704" w:rsidRPr="001E5195">
              <w:rPr>
                <w:rFonts w:ascii="Arial" w:hAnsi="Arial" w:cs="Arial"/>
                <w:lang w:val="en-ZA"/>
              </w:rPr>
              <w:t xml:space="preserve"> claim arise solely from the Labour Act, Act No. 11 of 2007, and further that the Labour Act, Act No. 11 of 2007, provides a remedy for the breach of that statutory right in a form of arbitration is without a doubt. The respondent is limited to asserting that right and seek the remedy for the alleged breach within the structures provided by the Labour Act, Act No. 11 of 2007. </w:t>
            </w:r>
          </w:p>
          <w:p w14:paraId="66B57E67" w14:textId="77777777" w:rsidR="001E5195" w:rsidRPr="001E5195" w:rsidRDefault="001E5195" w:rsidP="001E5195">
            <w:pPr>
              <w:spacing w:after="0" w:line="360" w:lineRule="auto"/>
              <w:jc w:val="both"/>
              <w:rPr>
                <w:rFonts w:ascii="Arial" w:hAnsi="Arial" w:cs="Arial"/>
                <w:lang w:val="en-ZA"/>
              </w:rPr>
            </w:pPr>
          </w:p>
          <w:p w14:paraId="5BBF2762" w14:textId="665C9B0A" w:rsidR="00A92704" w:rsidRPr="001B2B93" w:rsidRDefault="001B2B93" w:rsidP="001B2B93">
            <w:pPr>
              <w:spacing w:after="0" w:line="360" w:lineRule="auto"/>
              <w:ind w:hanging="108"/>
              <w:jc w:val="both"/>
              <w:rPr>
                <w:rFonts w:ascii="Arial" w:hAnsi="Arial" w:cs="Arial"/>
                <w:sz w:val="24"/>
                <w:szCs w:val="24"/>
              </w:rPr>
            </w:pPr>
            <w:r w:rsidRPr="001E5195">
              <w:rPr>
                <w:rFonts w:ascii="Arial" w:hAnsi="Arial" w:cs="Arial"/>
                <w:sz w:val="24"/>
                <w:szCs w:val="24"/>
              </w:rPr>
              <w:t>5.</w:t>
            </w:r>
            <w:r w:rsidRPr="001E5195">
              <w:rPr>
                <w:rFonts w:ascii="Arial" w:hAnsi="Arial" w:cs="Arial"/>
                <w:sz w:val="24"/>
                <w:szCs w:val="24"/>
              </w:rPr>
              <w:tab/>
            </w:r>
            <w:r w:rsidR="00A92704" w:rsidRPr="001B2B93">
              <w:rPr>
                <w:rFonts w:ascii="Arial" w:hAnsi="Arial" w:cs="Arial"/>
                <w:lang w:val="en-ZA"/>
              </w:rPr>
              <w:t>That the respondent’s claim against the applicant is (and as erroneously accepted by the learned Judge) articulated as one of an “action… seeking loss of income and damages”, as erroneously contended by the respondent and erroneously found and upheld by the learned Judge, is of no moment and or consequence. The provisions of section 86 of the 10 Labour Act, Act No. 11 of 2007, provide for appropriate structures and remedies in respect of the respondent’s claim</w:t>
            </w:r>
            <w:r w:rsidR="001E5195" w:rsidRPr="001B2B93">
              <w:rPr>
                <w:rFonts w:ascii="Arial" w:hAnsi="Arial" w:cs="Arial"/>
                <w:lang w:val="en-ZA"/>
              </w:rPr>
              <w:t>.’</w:t>
            </w:r>
          </w:p>
          <w:p w14:paraId="4F56BF01" w14:textId="77777777" w:rsidR="001E5195" w:rsidRDefault="001E5195" w:rsidP="00717982">
            <w:pPr>
              <w:spacing w:after="0" w:line="360" w:lineRule="auto"/>
              <w:jc w:val="both"/>
              <w:rPr>
                <w:rFonts w:ascii="Arial" w:hAnsi="Arial" w:cs="Arial"/>
                <w:sz w:val="24"/>
                <w:szCs w:val="24"/>
              </w:rPr>
            </w:pPr>
          </w:p>
          <w:p w14:paraId="4DEA727D" w14:textId="77777777" w:rsidR="00287A2F" w:rsidRDefault="00287A2F" w:rsidP="00717982">
            <w:pPr>
              <w:spacing w:after="0" w:line="360" w:lineRule="auto"/>
              <w:jc w:val="both"/>
              <w:rPr>
                <w:rFonts w:ascii="Arial" w:hAnsi="Arial" w:cs="Arial"/>
                <w:sz w:val="24"/>
                <w:szCs w:val="24"/>
                <w:u w:val="single"/>
              </w:rPr>
            </w:pPr>
            <w:r>
              <w:rPr>
                <w:rFonts w:ascii="Arial" w:hAnsi="Arial" w:cs="Arial"/>
                <w:sz w:val="24"/>
                <w:szCs w:val="24"/>
                <w:u w:val="single"/>
              </w:rPr>
              <w:t>Arguments by the parties</w:t>
            </w:r>
          </w:p>
          <w:p w14:paraId="3636F92E" w14:textId="77777777" w:rsidR="00717982" w:rsidRDefault="00717982" w:rsidP="00717982">
            <w:pPr>
              <w:spacing w:after="0" w:line="360" w:lineRule="auto"/>
              <w:jc w:val="both"/>
              <w:rPr>
                <w:rFonts w:ascii="Arial" w:hAnsi="Arial" w:cs="Arial"/>
                <w:sz w:val="24"/>
                <w:szCs w:val="24"/>
                <w:u w:val="single"/>
              </w:rPr>
            </w:pPr>
          </w:p>
          <w:p w14:paraId="76023665" w14:textId="6F1B5A45" w:rsidR="00717982" w:rsidRPr="001B2B93" w:rsidRDefault="001B2B93" w:rsidP="001B2B93">
            <w:pPr>
              <w:spacing w:after="0" w:line="360" w:lineRule="auto"/>
              <w:jc w:val="both"/>
              <w:rPr>
                <w:rFonts w:ascii="Arial" w:hAnsi="Arial" w:cs="Arial"/>
                <w:sz w:val="24"/>
                <w:szCs w:val="24"/>
              </w:rPr>
            </w:pPr>
            <w:r w:rsidRPr="00717982">
              <w:rPr>
                <w:rFonts w:ascii="Arial" w:hAnsi="Arial" w:cs="Arial"/>
                <w:sz w:val="24"/>
                <w:szCs w:val="24"/>
              </w:rPr>
              <w:t>[7]</w:t>
            </w:r>
            <w:r w:rsidRPr="00717982">
              <w:rPr>
                <w:rFonts w:ascii="Arial" w:hAnsi="Arial" w:cs="Arial"/>
                <w:sz w:val="24"/>
                <w:szCs w:val="24"/>
              </w:rPr>
              <w:tab/>
            </w:r>
            <w:r w:rsidR="0082330F" w:rsidRPr="001B2B93">
              <w:rPr>
                <w:rFonts w:ascii="Arial" w:hAnsi="Arial" w:cs="Arial"/>
                <w:sz w:val="24"/>
                <w:szCs w:val="24"/>
              </w:rPr>
              <w:t xml:space="preserve">It was argued by the defendant </w:t>
            </w:r>
            <w:r w:rsidR="0082330F" w:rsidRPr="001B2B93">
              <w:rPr>
                <w:rFonts w:ascii="Arial" w:hAnsi="Arial" w:cs="Arial"/>
                <w:sz w:val="24"/>
                <w:szCs w:val="24"/>
                <w:lang w:val="en-ZA"/>
              </w:rPr>
              <w:t xml:space="preserve">that the cause of action and the rights asserted by the </w:t>
            </w:r>
            <w:r w:rsidR="00791973" w:rsidRPr="001B2B93">
              <w:rPr>
                <w:rFonts w:ascii="Arial" w:hAnsi="Arial" w:cs="Arial"/>
                <w:sz w:val="24"/>
                <w:szCs w:val="24"/>
                <w:lang w:val="en-ZA"/>
              </w:rPr>
              <w:t>plaintiff in support of</w:t>
            </w:r>
            <w:r w:rsidR="0082330F" w:rsidRPr="001B2B93">
              <w:rPr>
                <w:rFonts w:ascii="Arial" w:hAnsi="Arial" w:cs="Arial"/>
                <w:sz w:val="24"/>
                <w:szCs w:val="24"/>
                <w:lang w:val="en-ZA"/>
              </w:rPr>
              <w:t xml:space="preserve"> his claim arise sole</w:t>
            </w:r>
            <w:r w:rsidR="001C38BF" w:rsidRPr="001B2B93">
              <w:rPr>
                <w:rFonts w:ascii="Arial" w:hAnsi="Arial" w:cs="Arial"/>
                <w:sz w:val="24"/>
                <w:szCs w:val="24"/>
                <w:lang w:val="en-ZA"/>
              </w:rPr>
              <w:t>ly from the Labour Act</w:t>
            </w:r>
            <w:r w:rsidR="0082330F" w:rsidRPr="001B2B93">
              <w:rPr>
                <w:rFonts w:ascii="Arial" w:hAnsi="Arial" w:cs="Arial"/>
                <w:sz w:val="24"/>
                <w:szCs w:val="24"/>
                <w:lang w:val="en-ZA"/>
              </w:rPr>
              <w:t xml:space="preserve"> and furth</w:t>
            </w:r>
            <w:r w:rsidR="001C38BF" w:rsidRPr="001B2B93">
              <w:rPr>
                <w:rFonts w:ascii="Arial" w:hAnsi="Arial" w:cs="Arial"/>
                <w:sz w:val="24"/>
                <w:szCs w:val="24"/>
                <w:lang w:val="en-ZA"/>
              </w:rPr>
              <w:t>er that the Labour Act</w:t>
            </w:r>
            <w:r w:rsidR="0082330F" w:rsidRPr="001B2B93">
              <w:rPr>
                <w:rFonts w:ascii="Arial" w:hAnsi="Arial" w:cs="Arial"/>
                <w:sz w:val="24"/>
                <w:szCs w:val="24"/>
                <w:lang w:val="en-ZA"/>
              </w:rPr>
              <w:t xml:space="preserve"> provides a remedy for the breach of that statutory right in a form of arbitration. The plaintiff is limited to asserting that right and seek</w:t>
            </w:r>
            <w:r w:rsidR="00717982" w:rsidRPr="001B2B93">
              <w:rPr>
                <w:rFonts w:ascii="Arial" w:hAnsi="Arial" w:cs="Arial"/>
                <w:sz w:val="24"/>
                <w:szCs w:val="24"/>
                <w:lang w:val="en-ZA"/>
              </w:rPr>
              <w:t>s</w:t>
            </w:r>
            <w:r w:rsidR="0082330F" w:rsidRPr="001B2B93">
              <w:rPr>
                <w:rFonts w:ascii="Arial" w:hAnsi="Arial" w:cs="Arial"/>
                <w:sz w:val="24"/>
                <w:szCs w:val="24"/>
                <w:lang w:val="en-ZA"/>
              </w:rPr>
              <w:t xml:space="preserve"> the remedy for the alleged breach within the structures pro</w:t>
            </w:r>
            <w:r w:rsidR="001C38BF" w:rsidRPr="001B2B93">
              <w:rPr>
                <w:rFonts w:ascii="Arial" w:hAnsi="Arial" w:cs="Arial"/>
                <w:sz w:val="24"/>
                <w:szCs w:val="24"/>
                <w:lang w:val="en-ZA"/>
              </w:rPr>
              <w:t xml:space="preserve">vided </w:t>
            </w:r>
            <w:r w:rsidR="00791973" w:rsidRPr="001B2B93">
              <w:rPr>
                <w:rFonts w:ascii="Arial" w:hAnsi="Arial" w:cs="Arial"/>
                <w:sz w:val="24"/>
                <w:szCs w:val="24"/>
                <w:lang w:val="en-ZA"/>
              </w:rPr>
              <w:t xml:space="preserve">for </w:t>
            </w:r>
            <w:r w:rsidR="001C38BF" w:rsidRPr="001B2B93">
              <w:rPr>
                <w:rFonts w:ascii="Arial" w:hAnsi="Arial" w:cs="Arial"/>
                <w:sz w:val="24"/>
                <w:szCs w:val="24"/>
                <w:lang w:val="en-ZA"/>
              </w:rPr>
              <w:t>by the Labour Act</w:t>
            </w:r>
            <w:r w:rsidR="00717982" w:rsidRPr="001B2B93">
              <w:rPr>
                <w:rFonts w:ascii="Arial" w:hAnsi="Arial" w:cs="Arial"/>
                <w:sz w:val="24"/>
                <w:szCs w:val="24"/>
                <w:lang w:val="en-ZA"/>
              </w:rPr>
              <w:t>.</w:t>
            </w:r>
          </w:p>
          <w:p w14:paraId="4DEDB4FB" w14:textId="77777777" w:rsidR="00717982" w:rsidRPr="00717982" w:rsidRDefault="00717982" w:rsidP="00717982">
            <w:pPr>
              <w:pStyle w:val="ListParagraph"/>
              <w:spacing w:after="0" w:line="360" w:lineRule="auto"/>
              <w:ind w:left="0"/>
              <w:jc w:val="both"/>
              <w:rPr>
                <w:rFonts w:ascii="Arial" w:hAnsi="Arial" w:cs="Arial"/>
                <w:sz w:val="24"/>
                <w:szCs w:val="24"/>
              </w:rPr>
            </w:pPr>
          </w:p>
          <w:p w14:paraId="3344D76D" w14:textId="15C26126" w:rsidR="00717982" w:rsidRPr="001B2B93" w:rsidRDefault="001B2B93" w:rsidP="001B2B93">
            <w:pPr>
              <w:spacing w:after="0" w:line="360" w:lineRule="auto"/>
              <w:jc w:val="both"/>
              <w:rPr>
                <w:rFonts w:ascii="Arial" w:hAnsi="Arial" w:cs="Arial"/>
                <w:sz w:val="24"/>
                <w:szCs w:val="24"/>
              </w:rPr>
            </w:pPr>
            <w:r w:rsidRPr="00717982">
              <w:rPr>
                <w:rFonts w:ascii="Arial" w:hAnsi="Arial" w:cs="Arial"/>
                <w:sz w:val="24"/>
                <w:szCs w:val="24"/>
              </w:rPr>
              <w:lastRenderedPageBreak/>
              <w:t>[8]</w:t>
            </w:r>
            <w:r w:rsidRPr="00717982">
              <w:rPr>
                <w:rFonts w:ascii="Arial" w:hAnsi="Arial" w:cs="Arial"/>
                <w:sz w:val="24"/>
                <w:szCs w:val="24"/>
              </w:rPr>
              <w:tab/>
            </w:r>
            <w:r w:rsidR="00F15D15" w:rsidRPr="001B2B93">
              <w:rPr>
                <w:rFonts w:ascii="Arial" w:hAnsi="Arial" w:cs="Arial"/>
                <w:sz w:val="24"/>
                <w:szCs w:val="24"/>
              </w:rPr>
              <w:t>It was further argued that t</w:t>
            </w:r>
            <w:r w:rsidR="00F15D15" w:rsidRPr="001B2B93">
              <w:rPr>
                <w:rFonts w:ascii="Arial" w:hAnsi="Arial" w:cs="Arial"/>
                <w:sz w:val="24"/>
                <w:szCs w:val="24"/>
                <w:lang w:val="en-ZA"/>
              </w:rPr>
              <w:t xml:space="preserve">he </w:t>
            </w:r>
            <w:r w:rsidR="0082330F" w:rsidRPr="001B2B93">
              <w:rPr>
                <w:rFonts w:ascii="Arial" w:hAnsi="Arial" w:cs="Arial"/>
                <w:sz w:val="24"/>
                <w:szCs w:val="24"/>
                <w:lang w:val="en-ZA"/>
              </w:rPr>
              <w:t>plaintiff</w:t>
            </w:r>
            <w:r w:rsidR="00F15D15" w:rsidRPr="001B2B93">
              <w:rPr>
                <w:rFonts w:ascii="Arial" w:hAnsi="Arial" w:cs="Arial"/>
                <w:sz w:val="24"/>
                <w:szCs w:val="24"/>
                <w:lang w:val="en-ZA"/>
              </w:rPr>
              <w:t xml:space="preserve"> articulates its claim against the </w:t>
            </w:r>
            <w:r w:rsidR="0082330F" w:rsidRPr="001B2B93">
              <w:rPr>
                <w:rFonts w:ascii="Arial" w:hAnsi="Arial" w:cs="Arial"/>
                <w:sz w:val="24"/>
                <w:szCs w:val="24"/>
                <w:lang w:val="en-ZA"/>
              </w:rPr>
              <w:t>defendant</w:t>
            </w:r>
            <w:r w:rsidR="00F15D15" w:rsidRPr="001B2B93">
              <w:rPr>
                <w:rFonts w:ascii="Arial" w:hAnsi="Arial" w:cs="Arial"/>
                <w:sz w:val="24"/>
                <w:szCs w:val="24"/>
                <w:lang w:val="en-ZA"/>
              </w:rPr>
              <w:t xml:space="preserve"> as one for “damages” is unavailing and of no conseq</w:t>
            </w:r>
            <w:r w:rsidR="00717982" w:rsidRPr="001B2B93">
              <w:rPr>
                <w:rFonts w:ascii="Arial" w:hAnsi="Arial" w:cs="Arial"/>
                <w:sz w:val="24"/>
                <w:szCs w:val="24"/>
                <w:lang w:val="en-ZA"/>
              </w:rPr>
              <w:t>uence; the provisions of s</w:t>
            </w:r>
            <w:r w:rsidR="00F15D15" w:rsidRPr="001B2B93">
              <w:rPr>
                <w:rFonts w:ascii="Arial" w:hAnsi="Arial" w:cs="Arial"/>
                <w:sz w:val="24"/>
                <w:szCs w:val="24"/>
                <w:lang w:val="en-ZA"/>
              </w:rPr>
              <w:t xml:space="preserve"> 86 of the </w:t>
            </w:r>
            <w:r w:rsidR="00717982" w:rsidRPr="001B2B93">
              <w:rPr>
                <w:rFonts w:ascii="Arial" w:hAnsi="Arial" w:cs="Arial"/>
                <w:sz w:val="24"/>
                <w:szCs w:val="24"/>
                <w:lang w:val="en-ZA"/>
              </w:rPr>
              <w:t xml:space="preserve">Labour </w:t>
            </w:r>
            <w:r w:rsidR="00F15D15" w:rsidRPr="001B2B93">
              <w:rPr>
                <w:rFonts w:ascii="Arial" w:hAnsi="Arial" w:cs="Arial"/>
                <w:sz w:val="24"/>
                <w:szCs w:val="24"/>
                <w:lang w:val="en-ZA"/>
              </w:rPr>
              <w:t>Act provide</w:t>
            </w:r>
            <w:r w:rsidR="00717982" w:rsidRPr="001B2B93">
              <w:rPr>
                <w:rFonts w:ascii="Arial" w:hAnsi="Arial" w:cs="Arial"/>
                <w:sz w:val="24"/>
                <w:szCs w:val="24"/>
                <w:lang w:val="en-ZA"/>
              </w:rPr>
              <w:t>s</w:t>
            </w:r>
            <w:r w:rsidR="00F15D15" w:rsidRPr="001B2B93">
              <w:rPr>
                <w:rFonts w:ascii="Arial" w:hAnsi="Arial" w:cs="Arial"/>
                <w:sz w:val="24"/>
                <w:szCs w:val="24"/>
                <w:lang w:val="en-ZA"/>
              </w:rPr>
              <w:t xml:space="preserve"> for compensation. </w:t>
            </w:r>
          </w:p>
          <w:p w14:paraId="73094D0E" w14:textId="77777777" w:rsidR="00717982" w:rsidRPr="00717982" w:rsidRDefault="00717982" w:rsidP="00756B61">
            <w:pPr>
              <w:pStyle w:val="ListParagraph"/>
              <w:spacing w:line="360" w:lineRule="auto"/>
              <w:rPr>
                <w:rFonts w:ascii="Arial" w:hAnsi="Arial" w:cs="Arial"/>
                <w:sz w:val="24"/>
                <w:szCs w:val="24"/>
                <w:lang w:val="en-ZA"/>
              </w:rPr>
            </w:pPr>
          </w:p>
          <w:p w14:paraId="46DE17D5" w14:textId="58C9761F" w:rsidR="00756B61" w:rsidRPr="001B2B93" w:rsidRDefault="001B2B93" w:rsidP="001B2B93">
            <w:pPr>
              <w:spacing w:after="0" w:line="360" w:lineRule="auto"/>
              <w:jc w:val="both"/>
              <w:rPr>
                <w:rFonts w:ascii="Arial" w:hAnsi="Arial" w:cs="Arial"/>
                <w:sz w:val="24"/>
                <w:szCs w:val="24"/>
              </w:rPr>
            </w:pPr>
            <w:r w:rsidRPr="00756B61">
              <w:rPr>
                <w:rFonts w:ascii="Arial" w:hAnsi="Arial" w:cs="Arial"/>
                <w:sz w:val="24"/>
                <w:szCs w:val="24"/>
              </w:rPr>
              <w:t>[9]</w:t>
            </w:r>
            <w:r w:rsidRPr="00756B61">
              <w:rPr>
                <w:rFonts w:ascii="Arial" w:hAnsi="Arial" w:cs="Arial"/>
                <w:sz w:val="24"/>
                <w:szCs w:val="24"/>
              </w:rPr>
              <w:tab/>
            </w:r>
            <w:r w:rsidR="007F3DBB" w:rsidRPr="001B2B93">
              <w:rPr>
                <w:rFonts w:ascii="Arial" w:hAnsi="Arial" w:cs="Arial"/>
                <w:sz w:val="24"/>
                <w:szCs w:val="24"/>
                <w:lang w:val="en-ZA"/>
              </w:rPr>
              <w:t>For the reasons set out in the defendant’s applications for leav</w:t>
            </w:r>
            <w:r w:rsidR="00F15D15" w:rsidRPr="001B2B93">
              <w:rPr>
                <w:rFonts w:ascii="Arial" w:hAnsi="Arial" w:cs="Arial"/>
                <w:sz w:val="24"/>
                <w:szCs w:val="24"/>
                <w:lang w:val="en-ZA"/>
              </w:rPr>
              <w:t>e to appeal</w:t>
            </w:r>
            <w:r w:rsidR="007F3DBB" w:rsidRPr="001B2B93">
              <w:rPr>
                <w:rFonts w:ascii="Arial" w:hAnsi="Arial" w:cs="Arial"/>
                <w:sz w:val="24"/>
                <w:szCs w:val="24"/>
                <w:lang w:val="en-ZA"/>
              </w:rPr>
              <w:t>, it is submitted that the defendant</w:t>
            </w:r>
            <w:r w:rsidR="00756B61" w:rsidRPr="001B2B93">
              <w:rPr>
                <w:rFonts w:ascii="Arial" w:hAnsi="Arial" w:cs="Arial"/>
                <w:sz w:val="24"/>
                <w:szCs w:val="24"/>
                <w:lang w:val="en-ZA"/>
              </w:rPr>
              <w:t xml:space="preserve"> has prospects of </w:t>
            </w:r>
            <w:r w:rsidR="007F3DBB" w:rsidRPr="001B2B93">
              <w:rPr>
                <w:rFonts w:ascii="Arial" w:hAnsi="Arial" w:cs="Arial"/>
                <w:sz w:val="24"/>
                <w:szCs w:val="24"/>
                <w:lang w:val="en-ZA"/>
              </w:rPr>
              <w:t xml:space="preserve">success </w:t>
            </w:r>
            <w:r w:rsidR="00E466AE" w:rsidRPr="001B2B93">
              <w:rPr>
                <w:rFonts w:ascii="Arial" w:hAnsi="Arial" w:cs="Arial"/>
                <w:sz w:val="24"/>
                <w:szCs w:val="24"/>
                <w:lang w:val="en-ZA"/>
              </w:rPr>
              <w:t xml:space="preserve">and </w:t>
            </w:r>
            <w:r w:rsidR="007F3DBB" w:rsidRPr="001B2B93">
              <w:rPr>
                <w:rFonts w:ascii="Arial" w:hAnsi="Arial" w:cs="Arial"/>
                <w:sz w:val="24"/>
                <w:szCs w:val="24"/>
                <w:lang w:val="en-ZA"/>
              </w:rPr>
              <w:t>that the Supreme Court shall come to a different conclusion on</w:t>
            </w:r>
            <w:r w:rsidR="00756B61" w:rsidRPr="001B2B93">
              <w:rPr>
                <w:rFonts w:ascii="Arial" w:hAnsi="Arial" w:cs="Arial"/>
                <w:sz w:val="24"/>
                <w:szCs w:val="24"/>
                <w:lang w:val="en-ZA"/>
              </w:rPr>
              <w:t xml:space="preserve"> the applicant’s special plea of jurisdiction, i.e. that this c</w:t>
            </w:r>
            <w:r w:rsidR="007F3DBB" w:rsidRPr="001B2B93">
              <w:rPr>
                <w:rFonts w:ascii="Arial" w:hAnsi="Arial" w:cs="Arial"/>
                <w:sz w:val="24"/>
                <w:szCs w:val="24"/>
                <w:lang w:val="en-ZA"/>
              </w:rPr>
              <w:t>ourt does not have jurisdiction to adjudicate and determine the plaintiff’s action.</w:t>
            </w:r>
          </w:p>
          <w:p w14:paraId="5145290F" w14:textId="77777777" w:rsidR="00756B61" w:rsidRPr="00756B61" w:rsidRDefault="00756B61" w:rsidP="00756B61">
            <w:pPr>
              <w:pStyle w:val="ListParagraph"/>
              <w:spacing w:line="360" w:lineRule="auto"/>
              <w:rPr>
                <w:rFonts w:ascii="Arial" w:hAnsi="Arial" w:cs="Arial"/>
                <w:sz w:val="24"/>
                <w:szCs w:val="24"/>
              </w:rPr>
            </w:pPr>
          </w:p>
          <w:p w14:paraId="654506C1" w14:textId="2ED0E3FC" w:rsidR="00756B61" w:rsidRPr="001B2B93" w:rsidRDefault="001B2B93" w:rsidP="001B2B93">
            <w:pPr>
              <w:spacing w:after="0" w:line="360" w:lineRule="auto"/>
              <w:jc w:val="both"/>
              <w:rPr>
                <w:rFonts w:ascii="Arial" w:hAnsi="Arial" w:cs="Arial"/>
                <w:sz w:val="24"/>
                <w:szCs w:val="24"/>
              </w:rPr>
            </w:pPr>
            <w:r w:rsidRPr="00756B61">
              <w:rPr>
                <w:rFonts w:ascii="Arial" w:hAnsi="Arial" w:cs="Arial"/>
                <w:sz w:val="24"/>
                <w:szCs w:val="24"/>
              </w:rPr>
              <w:t>[10]</w:t>
            </w:r>
            <w:r w:rsidRPr="00756B61">
              <w:rPr>
                <w:rFonts w:ascii="Arial" w:hAnsi="Arial" w:cs="Arial"/>
                <w:sz w:val="24"/>
                <w:szCs w:val="24"/>
              </w:rPr>
              <w:tab/>
            </w:r>
            <w:r w:rsidR="00E10C40" w:rsidRPr="001B2B93">
              <w:rPr>
                <w:rFonts w:ascii="Arial" w:hAnsi="Arial" w:cs="Arial"/>
                <w:sz w:val="24"/>
                <w:szCs w:val="24"/>
              </w:rPr>
              <w:t xml:space="preserve">On behalf of the plaintiff it was argued that </w:t>
            </w:r>
            <w:r w:rsidR="00E10C40" w:rsidRPr="001B2B93">
              <w:rPr>
                <w:rFonts w:ascii="Arial" w:hAnsi="Arial" w:cs="Arial"/>
                <w:sz w:val="24"/>
                <w:szCs w:val="24"/>
                <w:lang w:val="en-ZA"/>
              </w:rPr>
              <w:t xml:space="preserve">it seems the </w:t>
            </w:r>
            <w:r w:rsidR="0082330F" w:rsidRPr="001B2B93">
              <w:rPr>
                <w:rFonts w:ascii="Arial" w:hAnsi="Arial" w:cs="Arial"/>
                <w:sz w:val="24"/>
                <w:szCs w:val="24"/>
                <w:lang w:val="en-ZA"/>
              </w:rPr>
              <w:t>defendant</w:t>
            </w:r>
            <w:r w:rsidR="00E10C40" w:rsidRPr="001B2B93">
              <w:rPr>
                <w:rFonts w:ascii="Arial" w:hAnsi="Arial" w:cs="Arial"/>
                <w:sz w:val="24"/>
                <w:szCs w:val="24"/>
                <w:lang w:val="en-ZA"/>
              </w:rPr>
              <w:t xml:space="preserve"> merely brought this application to delay the speedy resolution of this matter, tactics they have been employing since 2015. They have completely disregarded the overriding objectives of this honourable court and have used every opportunity at their disposal to use interlocutory applications and defective appeals to delay the determination of this matter (and all the other matters between the parties) for the last 8 years.</w:t>
            </w:r>
          </w:p>
          <w:p w14:paraId="2420FFF1" w14:textId="77777777" w:rsidR="00756B61" w:rsidRPr="00756B61" w:rsidRDefault="00756B61" w:rsidP="00756B61">
            <w:pPr>
              <w:pStyle w:val="ListParagraph"/>
              <w:rPr>
                <w:rFonts w:ascii="Arial" w:hAnsi="Arial" w:cs="Arial"/>
                <w:sz w:val="24"/>
                <w:szCs w:val="24"/>
                <w:lang w:val="en-ZA"/>
              </w:rPr>
            </w:pPr>
          </w:p>
          <w:p w14:paraId="2107949F" w14:textId="16645711" w:rsidR="00E10C40" w:rsidRPr="001B2B93" w:rsidRDefault="001B2B93" w:rsidP="001B2B93">
            <w:pPr>
              <w:spacing w:after="0" w:line="360" w:lineRule="auto"/>
              <w:jc w:val="both"/>
              <w:rPr>
                <w:rFonts w:ascii="Arial" w:hAnsi="Arial" w:cs="Arial"/>
                <w:sz w:val="24"/>
                <w:szCs w:val="24"/>
              </w:rPr>
            </w:pPr>
            <w:r w:rsidRPr="00756B61">
              <w:rPr>
                <w:rFonts w:ascii="Arial" w:hAnsi="Arial" w:cs="Arial"/>
                <w:sz w:val="24"/>
                <w:szCs w:val="24"/>
              </w:rPr>
              <w:t>[11]</w:t>
            </w:r>
            <w:r w:rsidRPr="00756B61">
              <w:rPr>
                <w:rFonts w:ascii="Arial" w:hAnsi="Arial" w:cs="Arial"/>
                <w:sz w:val="24"/>
                <w:szCs w:val="24"/>
              </w:rPr>
              <w:tab/>
            </w:r>
            <w:r w:rsidR="00E10C40" w:rsidRPr="001B2B93">
              <w:rPr>
                <w:rFonts w:ascii="Arial" w:hAnsi="Arial" w:cs="Arial"/>
                <w:sz w:val="24"/>
                <w:szCs w:val="24"/>
                <w:lang w:val="en-ZA"/>
              </w:rPr>
              <w:t xml:space="preserve">A consideration of the grounds illustrates that </w:t>
            </w:r>
            <w:r w:rsidR="006B7FBF" w:rsidRPr="001B2B93">
              <w:rPr>
                <w:rFonts w:ascii="Arial" w:hAnsi="Arial" w:cs="Arial"/>
                <w:sz w:val="24"/>
                <w:szCs w:val="24"/>
                <w:lang w:val="en-ZA"/>
              </w:rPr>
              <w:t>the defendant has</w:t>
            </w:r>
            <w:r w:rsidR="00E10C40" w:rsidRPr="001B2B93">
              <w:rPr>
                <w:rFonts w:ascii="Arial" w:hAnsi="Arial" w:cs="Arial"/>
                <w:sz w:val="24"/>
                <w:szCs w:val="24"/>
                <w:lang w:val="en-ZA"/>
              </w:rPr>
              <w:t xml:space="preserve"> no merits and </w:t>
            </w:r>
            <w:proofErr w:type="gramStart"/>
            <w:r w:rsidR="006B7FBF" w:rsidRPr="001B2B93">
              <w:rPr>
                <w:rFonts w:ascii="Arial" w:hAnsi="Arial" w:cs="Arial"/>
                <w:sz w:val="24"/>
                <w:szCs w:val="24"/>
                <w:lang w:val="en-ZA"/>
              </w:rPr>
              <w:t>is</w:t>
            </w:r>
            <w:r w:rsidR="00E10C40" w:rsidRPr="001B2B93">
              <w:rPr>
                <w:rFonts w:ascii="Arial" w:hAnsi="Arial" w:cs="Arial"/>
                <w:sz w:val="24"/>
                <w:szCs w:val="24"/>
                <w:lang w:val="en-ZA"/>
              </w:rPr>
              <w:t xml:space="preserve"> in conflict with</w:t>
            </w:r>
            <w:proofErr w:type="gramEnd"/>
            <w:r w:rsidR="00E10C40" w:rsidRPr="001B2B93">
              <w:rPr>
                <w:rFonts w:ascii="Arial" w:hAnsi="Arial" w:cs="Arial"/>
                <w:sz w:val="24"/>
                <w:szCs w:val="24"/>
                <w:lang w:val="en-ZA"/>
              </w:rPr>
              <w:t xml:space="preserve">, not only with what the </w:t>
            </w:r>
            <w:r w:rsidR="00756B61" w:rsidRPr="001B2B93">
              <w:rPr>
                <w:rFonts w:ascii="Arial" w:hAnsi="Arial" w:cs="Arial"/>
                <w:sz w:val="24"/>
                <w:szCs w:val="24"/>
                <w:lang w:val="en-ZA"/>
              </w:rPr>
              <w:t xml:space="preserve">plaintiff </w:t>
            </w:r>
            <w:r w:rsidR="00E10C40" w:rsidRPr="001B2B93">
              <w:rPr>
                <w:rFonts w:ascii="Arial" w:hAnsi="Arial" w:cs="Arial"/>
                <w:sz w:val="24"/>
                <w:szCs w:val="24"/>
                <w:lang w:val="en-ZA"/>
              </w:rPr>
              <w:t>pleaded, but are also in conflict with the authorities they are now relying on</w:t>
            </w:r>
            <w:r w:rsidR="006B7FBF" w:rsidRPr="001B2B93">
              <w:rPr>
                <w:rFonts w:ascii="Arial" w:hAnsi="Arial" w:cs="Arial"/>
                <w:sz w:val="24"/>
                <w:szCs w:val="24"/>
                <w:lang w:val="en-ZA"/>
              </w:rPr>
              <w:t xml:space="preserve">. This court </w:t>
            </w:r>
            <w:r w:rsidR="00756B61" w:rsidRPr="001B2B93">
              <w:rPr>
                <w:rFonts w:ascii="Arial" w:hAnsi="Arial" w:cs="Arial"/>
                <w:sz w:val="24"/>
                <w:szCs w:val="24"/>
                <w:lang w:val="en-ZA"/>
              </w:rPr>
              <w:t>rightly held that the defendant</w:t>
            </w:r>
            <w:r w:rsidR="006B7FBF" w:rsidRPr="001B2B93">
              <w:rPr>
                <w:rFonts w:ascii="Arial" w:hAnsi="Arial" w:cs="Arial"/>
                <w:sz w:val="24"/>
                <w:szCs w:val="24"/>
                <w:lang w:val="en-ZA"/>
              </w:rPr>
              <w:t>’s claims are claims for contractual damages and damages arising from the unlawful repudiation/ breach of an employment contract.  It followed, therefore, that the Labour Court which draws its powers from the Labour Act, does not have jurisdiction to adjudicate and determine a claim for damages. Tha</w:t>
            </w:r>
            <w:r w:rsidR="00756B61" w:rsidRPr="001B2B93">
              <w:rPr>
                <w:rFonts w:ascii="Arial" w:hAnsi="Arial" w:cs="Arial"/>
                <w:sz w:val="24"/>
                <w:szCs w:val="24"/>
                <w:lang w:val="en-ZA"/>
              </w:rPr>
              <w:t>t being the case, the defendant</w:t>
            </w:r>
            <w:r w:rsidR="006B7FBF" w:rsidRPr="001B2B93">
              <w:rPr>
                <w:rFonts w:ascii="Arial" w:hAnsi="Arial" w:cs="Arial"/>
                <w:sz w:val="24"/>
                <w:szCs w:val="24"/>
                <w:lang w:val="en-ZA"/>
              </w:rPr>
              <w:t xml:space="preserve"> had to utilize his commo</w:t>
            </w:r>
            <w:r w:rsidR="00756B61" w:rsidRPr="001B2B93">
              <w:rPr>
                <w:rFonts w:ascii="Arial" w:hAnsi="Arial" w:cs="Arial"/>
                <w:sz w:val="24"/>
                <w:szCs w:val="24"/>
                <w:lang w:val="en-ZA"/>
              </w:rPr>
              <w:t>n law right to sue the plaintiff</w:t>
            </w:r>
            <w:r w:rsidR="006B7FBF" w:rsidRPr="001B2B93">
              <w:rPr>
                <w:rFonts w:ascii="Arial" w:hAnsi="Arial" w:cs="Arial"/>
                <w:sz w:val="24"/>
                <w:szCs w:val="24"/>
                <w:lang w:val="en-ZA"/>
              </w:rPr>
              <w:t xml:space="preserve"> for damages in the High Court.</w:t>
            </w:r>
          </w:p>
          <w:p w14:paraId="3ADD69F5" w14:textId="77777777" w:rsidR="00287A2F" w:rsidRDefault="00287A2F" w:rsidP="001E5195">
            <w:pPr>
              <w:spacing w:after="0" w:line="360" w:lineRule="auto"/>
              <w:jc w:val="both"/>
              <w:rPr>
                <w:rFonts w:ascii="Arial" w:hAnsi="Arial" w:cs="Arial"/>
                <w:sz w:val="24"/>
                <w:szCs w:val="24"/>
                <w:u w:val="single"/>
              </w:rPr>
            </w:pPr>
          </w:p>
          <w:p w14:paraId="5B36BFCF" w14:textId="77777777" w:rsidR="001E5195" w:rsidRDefault="00287A2F" w:rsidP="001E5195">
            <w:pPr>
              <w:spacing w:after="0" w:line="360" w:lineRule="auto"/>
              <w:jc w:val="both"/>
              <w:rPr>
                <w:rFonts w:ascii="Arial" w:hAnsi="Arial" w:cs="Arial"/>
                <w:sz w:val="24"/>
                <w:szCs w:val="24"/>
                <w:u w:val="single"/>
              </w:rPr>
            </w:pPr>
            <w:r w:rsidRPr="00287A2F">
              <w:rPr>
                <w:rFonts w:ascii="Arial" w:hAnsi="Arial" w:cs="Arial"/>
                <w:sz w:val="24"/>
                <w:szCs w:val="24"/>
                <w:u w:val="single"/>
              </w:rPr>
              <w:t>Legal considerations</w:t>
            </w:r>
          </w:p>
          <w:p w14:paraId="5E693FF0" w14:textId="77777777" w:rsidR="00756B61" w:rsidRDefault="00756B61" w:rsidP="001E5195">
            <w:pPr>
              <w:spacing w:after="0" w:line="360" w:lineRule="auto"/>
              <w:jc w:val="both"/>
              <w:rPr>
                <w:rFonts w:ascii="Arial" w:hAnsi="Arial" w:cs="Arial"/>
                <w:sz w:val="24"/>
                <w:szCs w:val="24"/>
                <w:u w:val="single"/>
              </w:rPr>
            </w:pPr>
          </w:p>
          <w:p w14:paraId="06C6CEEE" w14:textId="343F0D46" w:rsidR="000A3982" w:rsidRPr="001B2B93" w:rsidRDefault="001B2B93" w:rsidP="001B2B93">
            <w:pPr>
              <w:spacing w:after="0" w:line="360" w:lineRule="auto"/>
              <w:jc w:val="both"/>
              <w:rPr>
                <w:rFonts w:ascii="Arial" w:hAnsi="Arial" w:cs="Arial"/>
                <w:sz w:val="24"/>
                <w:szCs w:val="24"/>
                <w:lang w:val="en-ZA"/>
              </w:rPr>
            </w:pPr>
            <w:r>
              <w:rPr>
                <w:rFonts w:ascii="Arial" w:hAnsi="Arial" w:cs="Arial"/>
                <w:sz w:val="24"/>
                <w:szCs w:val="24"/>
                <w:lang w:val="en-ZA"/>
              </w:rPr>
              <w:t>[12]</w:t>
            </w:r>
            <w:r>
              <w:rPr>
                <w:rFonts w:ascii="Arial" w:hAnsi="Arial" w:cs="Arial"/>
                <w:sz w:val="24"/>
                <w:szCs w:val="24"/>
                <w:lang w:val="en-ZA"/>
              </w:rPr>
              <w:tab/>
            </w:r>
            <w:r w:rsidR="000A3982" w:rsidRPr="001B2B93">
              <w:rPr>
                <w:rFonts w:ascii="Arial" w:hAnsi="Arial" w:cs="Arial"/>
                <w:sz w:val="24"/>
                <w:szCs w:val="24"/>
                <w:lang w:val="en-ZA"/>
              </w:rPr>
              <w:t xml:space="preserve">In </w:t>
            </w:r>
            <w:proofErr w:type="spellStart"/>
            <w:r w:rsidR="000A3982" w:rsidRPr="001B2B93">
              <w:rPr>
                <w:rFonts w:ascii="Arial" w:hAnsi="Arial" w:cs="Arial"/>
                <w:i/>
                <w:sz w:val="24"/>
                <w:szCs w:val="24"/>
                <w:lang w:val="en-ZA"/>
              </w:rPr>
              <w:t>Marmorwerke</w:t>
            </w:r>
            <w:proofErr w:type="spellEnd"/>
            <w:r w:rsidR="000A3982" w:rsidRPr="001B2B93">
              <w:rPr>
                <w:rFonts w:ascii="Arial" w:hAnsi="Arial" w:cs="Arial"/>
                <w:i/>
                <w:sz w:val="24"/>
                <w:szCs w:val="24"/>
                <w:lang w:val="en-ZA"/>
              </w:rPr>
              <w:t xml:space="preserve"> </w:t>
            </w:r>
            <w:proofErr w:type="spellStart"/>
            <w:r w:rsidR="000A3982" w:rsidRPr="001B2B93">
              <w:rPr>
                <w:rFonts w:ascii="Arial" w:hAnsi="Arial" w:cs="Arial"/>
                <w:i/>
                <w:sz w:val="24"/>
                <w:szCs w:val="24"/>
                <w:lang w:val="en-ZA"/>
              </w:rPr>
              <w:t>Karibib</w:t>
            </w:r>
            <w:proofErr w:type="spellEnd"/>
            <w:r w:rsidR="000A3982" w:rsidRPr="001B2B93">
              <w:rPr>
                <w:rFonts w:ascii="Arial" w:hAnsi="Arial" w:cs="Arial"/>
                <w:i/>
                <w:sz w:val="24"/>
                <w:szCs w:val="24"/>
                <w:lang w:val="en-ZA"/>
              </w:rPr>
              <w:t xml:space="preserve"> (Proprietary) Limited v </w:t>
            </w:r>
            <w:proofErr w:type="spellStart"/>
            <w:r w:rsidR="000A3982" w:rsidRPr="001B2B93">
              <w:rPr>
                <w:rFonts w:ascii="Arial" w:hAnsi="Arial" w:cs="Arial"/>
                <w:i/>
                <w:sz w:val="24"/>
                <w:szCs w:val="24"/>
                <w:lang w:val="en-ZA"/>
              </w:rPr>
              <w:t>Transnamib</w:t>
            </w:r>
            <w:proofErr w:type="spellEnd"/>
            <w:r w:rsidR="000A3982" w:rsidRPr="001B2B93">
              <w:rPr>
                <w:rFonts w:ascii="Arial" w:hAnsi="Arial" w:cs="Arial"/>
                <w:i/>
                <w:sz w:val="24"/>
                <w:szCs w:val="24"/>
                <w:lang w:val="en-ZA"/>
              </w:rPr>
              <w:t xml:space="preserve"> Holdings Limited</w:t>
            </w:r>
            <w:r w:rsidR="000A3982">
              <w:rPr>
                <w:rStyle w:val="FootnoteReference"/>
                <w:rFonts w:ascii="Arial" w:hAnsi="Arial" w:cs="Arial"/>
                <w:i/>
                <w:sz w:val="24"/>
                <w:szCs w:val="24"/>
                <w:lang w:val="en-ZA"/>
              </w:rPr>
              <w:footnoteReference w:id="1"/>
            </w:r>
            <w:r w:rsidR="000A3982" w:rsidRPr="001B2B93">
              <w:rPr>
                <w:rFonts w:ascii="Arial" w:hAnsi="Arial" w:cs="Arial"/>
                <w:sz w:val="24"/>
                <w:szCs w:val="24"/>
                <w:lang w:val="en-ZA"/>
              </w:rPr>
              <w:t xml:space="preserve">, the Supreme Court recounted that: </w:t>
            </w:r>
          </w:p>
          <w:p w14:paraId="13FD33CA" w14:textId="77777777" w:rsidR="00756B61" w:rsidRPr="00756B61" w:rsidRDefault="00756B61" w:rsidP="00756B61">
            <w:pPr>
              <w:pStyle w:val="ListParagraph"/>
              <w:spacing w:after="0" w:line="360" w:lineRule="auto"/>
              <w:ind w:left="0"/>
              <w:rPr>
                <w:rFonts w:ascii="Arial" w:hAnsi="Arial" w:cs="Arial"/>
                <w:sz w:val="24"/>
                <w:szCs w:val="24"/>
                <w:lang w:val="en-ZA"/>
              </w:rPr>
            </w:pPr>
          </w:p>
          <w:p w14:paraId="73B8901D" w14:textId="77777777" w:rsidR="000A3982" w:rsidRDefault="000A3982" w:rsidP="00756B61">
            <w:pPr>
              <w:spacing w:after="0" w:line="360" w:lineRule="auto"/>
              <w:jc w:val="both"/>
              <w:rPr>
                <w:rFonts w:ascii="Arial" w:hAnsi="Arial" w:cs="Arial"/>
                <w:lang w:val="en-ZA"/>
              </w:rPr>
            </w:pPr>
            <w:r>
              <w:rPr>
                <w:rFonts w:ascii="Arial" w:hAnsi="Arial" w:cs="Arial"/>
                <w:sz w:val="24"/>
                <w:szCs w:val="24"/>
                <w:lang w:val="en-ZA"/>
              </w:rPr>
              <w:tab/>
              <w:t>‘</w:t>
            </w:r>
            <w:r w:rsidRPr="000A3982">
              <w:rPr>
                <w:rFonts w:ascii="Arial" w:hAnsi="Arial" w:cs="Arial"/>
                <w:lang w:val="en-ZA"/>
              </w:rPr>
              <w:t xml:space="preserve">32. Section 18(3) of the High Court Act 16 of 1990 restricts appeals against interlocutory orders. The section provides that appeals against interlocutory orders are possible only with the leave of the court that had given the judgment or made the order or </w:t>
            </w:r>
            <w:proofErr w:type="gramStart"/>
            <w:r w:rsidRPr="000A3982">
              <w:rPr>
                <w:rFonts w:ascii="Arial" w:hAnsi="Arial" w:cs="Arial"/>
                <w:lang w:val="en-ZA"/>
              </w:rPr>
              <w:t>in the event that</w:t>
            </w:r>
            <w:proofErr w:type="gramEnd"/>
            <w:r w:rsidRPr="000A3982">
              <w:rPr>
                <w:rFonts w:ascii="Arial" w:hAnsi="Arial" w:cs="Arial"/>
                <w:lang w:val="en-ZA"/>
              </w:rPr>
              <w:t xml:space="preserve"> leave is refused by that court, the </w:t>
            </w:r>
            <w:r w:rsidRPr="000A3982">
              <w:rPr>
                <w:rFonts w:ascii="Arial" w:hAnsi="Arial" w:cs="Arial"/>
                <w:lang w:val="en-ZA"/>
              </w:rPr>
              <w:lastRenderedPageBreak/>
              <w:t xml:space="preserve">Supreme Court grants leave upon petition for leave to appeal. The policy consideration informing this requirement has been stated to be the avoidance of piecemeal appellate disposal of the issues in litigation with the unnecessary expense involved. As was held in </w:t>
            </w:r>
            <w:r w:rsidRPr="000A3982">
              <w:rPr>
                <w:rFonts w:ascii="Arial" w:hAnsi="Arial" w:cs="Arial"/>
                <w:i/>
                <w:lang w:val="en-ZA"/>
              </w:rPr>
              <w:t>Di Savino v Nedbank Namibia Ltd</w:t>
            </w:r>
            <w:r w:rsidRPr="000A3982">
              <w:rPr>
                <w:rFonts w:ascii="Arial" w:hAnsi="Arial" w:cs="Arial"/>
                <w:lang w:val="en-ZA"/>
              </w:rPr>
              <w:t>, the scheme of s 18(3) is that the judgment or order sought to be appealed against must have the characteristics of an appealable judgment or order and where the judgment or order is interlocutor</w:t>
            </w:r>
            <w:r>
              <w:rPr>
                <w:rFonts w:ascii="Arial" w:hAnsi="Arial" w:cs="Arial"/>
                <w:lang w:val="en-ZA"/>
              </w:rPr>
              <w:t>y, leave to appeal is required.</w:t>
            </w:r>
            <w:r w:rsidR="002A4404">
              <w:rPr>
                <w:rFonts w:ascii="Arial" w:hAnsi="Arial" w:cs="Arial"/>
                <w:lang w:val="en-ZA"/>
              </w:rPr>
              <w:t>’</w:t>
            </w:r>
          </w:p>
          <w:p w14:paraId="0A7DB089" w14:textId="77777777" w:rsidR="00756B61" w:rsidRPr="000A3982" w:rsidRDefault="00756B61" w:rsidP="00756B61">
            <w:pPr>
              <w:spacing w:after="0" w:line="360" w:lineRule="auto"/>
              <w:jc w:val="both"/>
              <w:rPr>
                <w:rFonts w:ascii="Arial" w:hAnsi="Arial" w:cs="Arial"/>
              </w:rPr>
            </w:pPr>
          </w:p>
          <w:p w14:paraId="12EA1EF6" w14:textId="61CB5CBD" w:rsidR="00287A2F" w:rsidRPr="001B2B93" w:rsidRDefault="001B2B93" w:rsidP="001B2B93">
            <w:pPr>
              <w:spacing w:after="0" w:line="360" w:lineRule="auto"/>
              <w:jc w:val="both"/>
              <w:rPr>
                <w:rFonts w:ascii="Arial" w:hAnsi="Arial" w:cs="Arial"/>
                <w:sz w:val="24"/>
                <w:szCs w:val="24"/>
                <w:lang w:val="af-ZA"/>
              </w:rPr>
            </w:pPr>
            <w:r>
              <w:rPr>
                <w:rFonts w:ascii="Arial" w:hAnsi="Arial" w:cs="Arial"/>
                <w:sz w:val="24"/>
                <w:szCs w:val="24"/>
                <w:lang w:val="af-ZA"/>
              </w:rPr>
              <w:t>[13]</w:t>
            </w:r>
            <w:r>
              <w:rPr>
                <w:rFonts w:ascii="Arial" w:hAnsi="Arial" w:cs="Arial"/>
                <w:sz w:val="24"/>
                <w:szCs w:val="24"/>
                <w:lang w:val="af-ZA"/>
              </w:rPr>
              <w:tab/>
            </w:r>
            <w:r w:rsidR="00287A2F" w:rsidRPr="001B2B93">
              <w:rPr>
                <w:rFonts w:ascii="Arial" w:hAnsi="Arial" w:cs="Arial"/>
                <w:sz w:val="24"/>
                <w:szCs w:val="24"/>
                <w:lang w:val="af-ZA"/>
              </w:rPr>
              <w:t>In deciding whether an order or</w:t>
            </w:r>
            <w:r w:rsidR="002A4404" w:rsidRPr="001B2B93">
              <w:rPr>
                <w:rFonts w:ascii="Arial" w:hAnsi="Arial" w:cs="Arial"/>
                <w:sz w:val="24"/>
                <w:szCs w:val="24"/>
                <w:lang w:val="af-ZA"/>
              </w:rPr>
              <w:t xml:space="preserve"> judg</w:t>
            </w:r>
            <w:r w:rsidR="00756B61" w:rsidRPr="001B2B93">
              <w:rPr>
                <w:rFonts w:ascii="Arial" w:hAnsi="Arial" w:cs="Arial"/>
                <w:sz w:val="24"/>
                <w:szCs w:val="24"/>
                <w:lang w:val="af-ZA"/>
              </w:rPr>
              <w:t>ment is appealable, in</w:t>
            </w:r>
            <w:r w:rsidR="00287A2F" w:rsidRPr="001B2B93">
              <w:rPr>
                <w:rFonts w:ascii="Arial" w:hAnsi="Arial" w:cs="Arial"/>
                <w:sz w:val="24"/>
                <w:szCs w:val="24"/>
                <w:lang w:val="af-ZA"/>
              </w:rPr>
              <w:t xml:space="preserve"> </w:t>
            </w:r>
            <w:r w:rsidR="00287A2F" w:rsidRPr="001B2B93">
              <w:rPr>
                <w:rFonts w:ascii="Arial" w:hAnsi="Arial" w:cs="Arial"/>
                <w:i/>
                <w:sz w:val="24"/>
                <w:szCs w:val="24"/>
                <w:lang w:val="af-ZA"/>
              </w:rPr>
              <w:t>Di Savino v Nedbank Namibia Ltd</w:t>
            </w:r>
            <w:r w:rsidR="00287A2F" w:rsidRPr="00287A2F">
              <w:rPr>
                <w:i/>
                <w:vertAlign w:val="superscript"/>
                <w:lang w:val="af-ZA"/>
              </w:rPr>
              <w:footnoteReference w:id="2"/>
            </w:r>
            <w:r w:rsidR="00287A2F" w:rsidRPr="001B2B93">
              <w:rPr>
                <w:rFonts w:ascii="Arial" w:hAnsi="Arial" w:cs="Arial"/>
                <w:sz w:val="24"/>
                <w:szCs w:val="24"/>
                <w:lang w:val="af-ZA"/>
              </w:rPr>
              <w:t>, Shivute CJ referred to the three attributes that must be present to identify an appealable judgement or order as follows:</w:t>
            </w:r>
          </w:p>
          <w:p w14:paraId="3AB276C5" w14:textId="77777777" w:rsidR="00756B61" w:rsidRPr="00756B61" w:rsidRDefault="00756B61" w:rsidP="00756B61">
            <w:pPr>
              <w:pStyle w:val="ListParagraph"/>
              <w:spacing w:after="0" w:line="360" w:lineRule="auto"/>
              <w:ind w:left="0"/>
              <w:rPr>
                <w:rFonts w:ascii="Arial" w:hAnsi="Arial" w:cs="Arial"/>
                <w:sz w:val="24"/>
                <w:szCs w:val="24"/>
                <w:lang w:val="af-ZA"/>
              </w:rPr>
            </w:pPr>
          </w:p>
          <w:p w14:paraId="6B832E45" w14:textId="77777777" w:rsidR="00287A2F" w:rsidRPr="00287A2F" w:rsidRDefault="00287A2F" w:rsidP="00287A2F">
            <w:pPr>
              <w:spacing w:after="0" w:line="360" w:lineRule="auto"/>
              <w:jc w:val="both"/>
              <w:rPr>
                <w:rFonts w:ascii="Arial" w:hAnsi="Arial" w:cs="Arial"/>
                <w:sz w:val="24"/>
                <w:szCs w:val="24"/>
                <w:lang w:val="af-ZA"/>
              </w:rPr>
            </w:pPr>
            <w:r w:rsidRPr="00287A2F">
              <w:rPr>
                <w:rFonts w:ascii="Arial" w:hAnsi="Arial" w:cs="Arial"/>
                <w:sz w:val="24"/>
                <w:szCs w:val="24"/>
                <w:lang w:val="af-ZA"/>
              </w:rPr>
              <w:t xml:space="preserve">         ‘</w:t>
            </w:r>
            <w:r w:rsidRPr="000A3982">
              <w:rPr>
                <w:rFonts w:ascii="Arial" w:hAnsi="Arial" w:cs="Arial"/>
                <w:lang w:val="af-ZA"/>
              </w:rPr>
              <w:t xml:space="preserve">The three attributes counsel for the appellant referred to are those set out in the decision of the South African Appellate Division in </w:t>
            </w:r>
            <w:r w:rsidRPr="000A3982">
              <w:rPr>
                <w:rFonts w:ascii="Arial" w:hAnsi="Arial" w:cs="Arial"/>
                <w:i/>
                <w:lang w:val="af-ZA"/>
              </w:rPr>
              <w:t>Zweni v Minister of Law and Order 1993 (1) SA 523 (AD)</w:t>
            </w:r>
            <w:r w:rsidRPr="000A3982">
              <w:rPr>
                <w:rFonts w:ascii="Arial" w:hAnsi="Arial" w:cs="Arial"/>
                <w:lang w:val="af-ZA"/>
              </w:rPr>
              <w:t xml:space="preserve"> and as endorsed in many judgments of this court, namely that (i) the decision must be final in effect and not susceptible to alteration by the Court of first instance; (ii) it must be definitive of the rights of the parties, ie. it must grant definite and distinct relief, and (iii) it must have the effect of disposing of at least a substantial portion of the relief claimed in the main proceedings</w:t>
            </w:r>
            <w:r w:rsidR="00670148">
              <w:rPr>
                <w:rFonts w:ascii="Arial" w:hAnsi="Arial" w:cs="Arial"/>
                <w:lang w:val="af-ZA"/>
              </w:rPr>
              <w:t>.</w:t>
            </w:r>
            <w:r w:rsidR="000A3982" w:rsidRPr="000A3982">
              <w:rPr>
                <w:rFonts w:ascii="Arial" w:hAnsi="Arial" w:cs="Arial"/>
                <w:lang w:val="af-ZA"/>
              </w:rPr>
              <w:t>’</w:t>
            </w:r>
          </w:p>
          <w:p w14:paraId="2292EA94" w14:textId="77777777" w:rsidR="00287A2F" w:rsidRPr="00287A2F" w:rsidRDefault="00287A2F" w:rsidP="00287A2F">
            <w:pPr>
              <w:spacing w:after="0" w:line="360" w:lineRule="auto"/>
              <w:jc w:val="both"/>
              <w:rPr>
                <w:rFonts w:ascii="Arial" w:hAnsi="Arial" w:cs="Arial"/>
                <w:sz w:val="24"/>
                <w:szCs w:val="24"/>
                <w:lang w:val="af-ZA"/>
              </w:rPr>
            </w:pPr>
          </w:p>
          <w:p w14:paraId="793DFD9D" w14:textId="534D11F9" w:rsidR="00BD4716" w:rsidRPr="001B2B93" w:rsidRDefault="001B2B93" w:rsidP="001B2B93">
            <w:pPr>
              <w:spacing w:after="0" w:line="360" w:lineRule="auto"/>
              <w:jc w:val="both"/>
              <w:rPr>
                <w:rFonts w:ascii="Arial" w:hAnsi="Arial" w:cs="Arial"/>
                <w:sz w:val="24"/>
                <w:szCs w:val="24"/>
                <w:lang w:val="af-ZA"/>
              </w:rPr>
            </w:pPr>
            <w:r>
              <w:rPr>
                <w:rFonts w:ascii="Arial" w:hAnsi="Arial" w:cs="Arial"/>
                <w:sz w:val="24"/>
                <w:szCs w:val="24"/>
                <w:lang w:val="af-ZA"/>
              </w:rPr>
              <w:t>[14]</w:t>
            </w:r>
            <w:r>
              <w:rPr>
                <w:rFonts w:ascii="Arial" w:hAnsi="Arial" w:cs="Arial"/>
                <w:sz w:val="24"/>
                <w:szCs w:val="24"/>
                <w:lang w:val="af-ZA"/>
              </w:rPr>
              <w:tab/>
            </w:r>
            <w:r w:rsidR="00287A2F" w:rsidRPr="001B2B93">
              <w:rPr>
                <w:rFonts w:ascii="Arial" w:hAnsi="Arial" w:cs="Arial"/>
                <w:sz w:val="24"/>
                <w:szCs w:val="24"/>
                <w:lang w:val="af-ZA"/>
              </w:rPr>
              <w:t>Applying the above to the cur</w:t>
            </w:r>
            <w:r w:rsidR="00BD4716" w:rsidRPr="001B2B93">
              <w:rPr>
                <w:rFonts w:ascii="Arial" w:hAnsi="Arial" w:cs="Arial"/>
                <w:sz w:val="24"/>
                <w:szCs w:val="24"/>
                <w:lang w:val="af-ZA"/>
              </w:rPr>
              <w:t xml:space="preserve">rent matter before </w:t>
            </w:r>
            <w:r w:rsidR="00287A2F" w:rsidRPr="001B2B93">
              <w:rPr>
                <w:rFonts w:ascii="Arial" w:hAnsi="Arial" w:cs="Arial"/>
                <w:sz w:val="24"/>
                <w:szCs w:val="24"/>
                <w:lang w:val="af-ZA"/>
              </w:rPr>
              <w:t>court, the court finds that the dismissing of the</w:t>
            </w:r>
            <w:r w:rsidR="00287A2F" w:rsidRPr="001B2B93">
              <w:rPr>
                <w:rFonts w:ascii="Arial" w:hAnsi="Arial" w:cs="Arial"/>
                <w:i/>
                <w:sz w:val="24"/>
                <w:szCs w:val="24"/>
                <w:lang w:val="af-ZA"/>
              </w:rPr>
              <w:t xml:space="preserve"> </w:t>
            </w:r>
            <w:r w:rsidR="00287A2F" w:rsidRPr="001B2B93">
              <w:rPr>
                <w:rFonts w:ascii="Arial" w:hAnsi="Arial" w:cs="Arial"/>
                <w:sz w:val="24"/>
                <w:szCs w:val="24"/>
                <w:lang w:val="af-ZA"/>
              </w:rPr>
              <w:t xml:space="preserve">special plea in this instance indeed meets the three attributes as set out in the </w:t>
            </w:r>
            <w:r w:rsidR="00287A2F" w:rsidRPr="001B2B93">
              <w:rPr>
                <w:rFonts w:ascii="Arial" w:hAnsi="Arial" w:cs="Arial"/>
                <w:i/>
                <w:sz w:val="24"/>
                <w:szCs w:val="24"/>
                <w:lang w:val="af-ZA"/>
              </w:rPr>
              <w:t>Zweni</w:t>
            </w:r>
            <w:r w:rsidR="00287A2F" w:rsidRPr="001B2B93">
              <w:rPr>
                <w:rFonts w:ascii="Arial" w:hAnsi="Arial" w:cs="Arial"/>
                <w:sz w:val="24"/>
                <w:szCs w:val="24"/>
                <w:lang w:val="af-ZA"/>
              </w:rPr>
              <w:t xml:space="preserve"> matter and is therefore an appealable order.</w:t>
            </w:r>
          </w:p>
          <w:p w14:paraId="5A3765AC" w14:textId="77777777" w:rsidR="00BD4716" w:rsidRDefault="00BD4716" w:rsidP="00BD4716">
            <w:pPr>
              <w:pStyle w:val="ListParagraph"/>
              <w:spacing w:after="0" w:line="360" w:lineRule="auto"/>
              <w:ind w:left="0"/>
              <w:jc w:val="both"/>
              <w:rPr>
                <w:rFonts w:ascii="Arial" w:hAnsi="Arial" w:cs="Arial"/>
                <w:sz w:val="24"/>
                <w:szCs w:val="24"/>
                <w:lang w:val="af-ZA"/>
              </w:rPr>
            </w:pPr>
          </w:p>
          <w:p w14:paraId="1A445838" w14:textId="1C609531" w:rsidR="00287A2F" w:rsidRPr="001B2B93" w:rsidRDefault="001B2B93" w:rsidP="001B2B93">
            <w:pPr>
              <w:spacing w:after="0" w:line="360" w:lineRule="auto"/>
              <w:jc w:val="both"/>
              <w:rPr>
                <w:rFonts w:ascii="Arial" w:hAnsi="Arial" w:cs="Arial"/>
                <w:sz w:val="24"/>
                <w:szCs w:val="24"/>
                <w:lang w:val="af-ZA"/>
              </w:rPr>
            </w:pPr>
            <w:r w:rsidRPr="00BD4716">
              <w:rPr>
                <w:rFonts w:ascii="Arial" w:hAnsi="Arial" w:cs="Arial"/>
                <w:sz w:val="24"/>
                <w:szCs w:val="24"/>
                <w:lang w:val="af-ZA"/>
              </w:rPr>
              <w:t>[15]</w:t>
            </w:r>
            <w:r w:rsidRPr="00BD4716">
              <w:rPr>
                <w:rFonts w:ascii="Arial" w:hAnsi="Arial" w:cs="Arial"/>
                <w:sz w:val="24"/>
                <w:szCs w:val="24"/>
                <w:lang w:val="af-ZA"/>
              </w:rPr>
              <w:tab/>
            </w:r>
            <w:r w:rsidR="00287A2F" w:rsidRPr="001B2B93">
              <w:rPr>
                <w:rFonts w:ascii="Arial" w:hAnsi="Arial" w:cs="Arial"/>
                <w:sz w:val="24"/>
                <w:szCs w:val="24"/>
                <w:lang w:val="en-ZA"/>
              </w:rPr>
              <w:t xml:space="preserve">The test to be applied on whether leave to appeal should be granted, the following was stated by this court in </w:t>
            </w:r>
            <w:r w:rsidR="00287A2F" w:rsidRPr="001B2B93">
              <w:rPr>
                <w:rFonts w:ascii="Arial" w:hAnsi="Arial" w:cs="Arial"/>
                <w:i/>
                <w:sz w:val="24"/>
                <w:szCs w:val="24"/>
                <w:lang w:val="en-ZA"/>
              </w:rPr>
              <w:t xml:space="preserve">African Selection Trust SA v </w:t>
            </w:r>
            <w:proofErr w:type="spellStart"/>
            <w:r w:rsidR="00287A2F" w:rsidRPr="001B2B93">
              <w:rPr>
                <w:rFonts w:ascii="Arial" w:hAnsi="Arial" w:cs="Arial"/>
                <w:i/>
                <w:sz w:val="24"/>
                <w:szCs w:val="24"/>
                <w:lang w:val="en-ZA"/>
              </w:rPr>
              <w:t>Namsov</w:t>
            </w:r>
            <w:proofErr w:type="spellEnd"/>
            <w:r w:rsidR="00287A2F" w:rsidRPr="001B2B93">
              <w:rPr>
                <w:rFonts w:ascii="Arial" w:hAnsi="Arial" w:cs="Arial"/>
                <w:i/>
                <w:sz w:val="24"/>
                <w:szCs w:val="24"/>
                <w:lang w:val="en-ZA"/>
              </w:rPr>
              <w:t xml:space="preserve"> Fishing Enterprises (Pty) Ltd</w:t>
            </w:r>
            <w:r w:rsidR="00287A2F" w:rsidRPr="001B2B93">
              <w:rPr>
                <w:rFonts w:ascii="Arial" w:hAnsi="Arial" w:cs="Arial"/>
                <w:sz w:val="24"/>
                <w:szCs w:val="24"/>
                <w:lang w:val="en-ZA"/>
              </w:rPr>
              <w:t xml:space="preserve">: </w:t>
            </w:r>
            <w:r w:rsidR="00287A2F" w:rsidRPr="00287A2F">
              <w:rPr>
                <w:vertAlign w:val="superscript"/>
                <w:lang w:val="en-ZA"/>
              </w:rPr>
              <w:footnoteReference w:id="3"/>
            </w:r>
          </w:p>
          <w:p w14:paraId="4AF922ED" w14:textId="77777777" w:rsidR="00287A2F" w:rsidRPr="00287A2F" w:rsidRDefault="00287A2F" w:rsidP="00287A2F">
            <w:pPr>
              <w:spacing w:after="0" w:line="360" w:lineRule="auto"/>
              <w:jc w:val="both"/>
              <w:rPr>
                <w:rFonts w:ascii="Arial" w:hAnsi="Arial" w:cs="Arial"/>
                <w:sz w:val="24"/>
                <w:szCs w:val="24"/>
                <w:lang w:val="en-ZA"/>
              </w:rPr>
            </w:pPr>
          </w:p>
          <w:p w14:paraId="52BDBBFB" w14:textId="77777777" w:rsidR="00287A2F" w:rsidRPr="000A3982" w:rsidRDefault="00287A2F" w:rsidP="00287A2F">
            <w:pPr>
              <w:spacing w:after="0" w:line="360" w:lineRule="auto"/>
              <w:jc w:val="both"/>
              <w:rPr>
                <w:rFonts w:ascii="Arial" w:hAnsi="Arial" w:cs="Arial"/>
                <w:lang w:val="en-ZA"/>
              </w:rPr>
            </w:pPr>
            <w:r w:rsidRPr="00287A2F">
              <w:rPr>
                <w:rFonts w:ascii="Arial" w:hAnsi="Arial" w:cs="Arial"/>
                <w:sz w:val="24"/>
                <w:szCs w:val="24"/>
                <w:lang w:val="en-ZA"/>
              </w:rPr>
              <w:tab/>
            </w:r>
            <w:r w:rsidRPr="000A3982">
              <w:rPr>
                <w:rFonts w:ascii="Arial" w:hAnsi="Arial" w:cs="Arial"/>
                <w:lang w:val="en-ZA"/>
              </w:rPr>
              <w:t xml:space="preserve">'In terms of the applicable test, the court will now have to determine whether or not there is a reasonable possibility that the Supreme Court may come to a different conclusion.' </w:t>
            </w:r>
          </w:p>
          <w:p w14:paraId="53E17CE0" w14:textId="77777777" w:rsidR="00287A2F" w:rsidRDefault="00287A2F" w:rsidP="00287A2F">
            <w:pPr>
              <w:spacing w:after="0" w:line="360" w:lineRule="auto"/>
              <w:jc w:val="both"/>
              <w:rPr>
                <w:rFonts w:ascii="Arial" w:hAnsi="Arial" w:cs="Arial"/>
                <w:sz w:val="24"/>
                <w:szCs w:val="24"/>
                <w:lang w:val="en-ZA"/>
              </w:rPr>
            </w:pPr>
          </w:p>
          <w:p w14:paraId="0C807E69" w14:textId="3150BE14" w:rsidR="00BD4716" w:rsidRPr="001B2B93" w:rsidRDefault="001B2B93" w:rsidP="001B2B93">
            <w:pPr>
              <w:spacing w:after="0" w:line="360" w:lineRule="auto"/>
              <w:jc w:val="both"/>
              <w:rPr>
                <w:rFonts w:ascii="Arial" w:hAnsi="Arial" w:cs="Arial"/>
                <w:sz w:val="24"/>
                <w:szCs w:val="24"/>
                <w:lang w:val="en-ZA"/>
              </w:rPr>
            </w:pPr>
            <w:r>
              <w:rPr>
                <w:rFonts w:ascii="Arial" w:hAnsi="Arial" w:cs="Arial"/>
                <w:sz w:val="24"/>
                <w:szCs w:val="24"/>
                <w:lang w:val="en-ZA"/>
              </w:rPr>
              <w:t>[16]</w:t>
            </w:r>
            <w:r>
              <w:rPr>
                <w:rFonts w:ascii="Arial" w:hAnsi="Arial" w:cs="Arial"/>
                <w:sz w:val="24"/>
                <w:szCs w:val="24"/>
                <w:lang w:val="en-ZA"/>
              </w:rPr>
              <w:tab/>
            </w:r>
            <w:r w:rsidR="00287A2F" w:rsidRPr="001B2B93">
              <w:rPr>
                <w:rFonts w:ascii="Arial" w:hAnsi="Arial" w:cs="Arial"/>
                <w:sz w:val="24"/>
                <w:szCs w:val="24"/>
                <w:lang w:val="en-ZA"/>
              </w:rPr>
              <w:t xml:space="preserve">After hearing and considering the arguments, this court is of the opinion that the Supreme Court may come to a different conclusion as to what </w:t>
            </w:r>
            <w:r w:rsidR="00BD4716" w:rsidRPr="001B2B93">
              <w:rPr>
                <w:rFonts w:ascii="Arial" w:hAnsi="Arial" w:cs="Arial"/>
                <w:sz w:val="24"/>
                <w:szCs w:val="24"/>
                <w:lang w:val="en-ZA"/>
              </w:rPr>
              <w:t>this court came to</w:t>
            </w:r>
            <w:r w:rsidR="00287A2F" w:rsidRPr="001B2B93">
              <w:rPr>
                <w:rFonts w:ascii="Arial" w:hAnsi="Arial" w:cs="Arial"/>
                <w:sz w:val="24"/>
                <w:szCs w:val="24"/>
                <w:lang w:val="en-ZA"/>
              </w:rPr>
              <w:t xml:space="preserve"> and for that reason, the applicat</w:t>
            </w:r>
            <w:r w:rsidR="002A4404" w:rsidRPr="001B2B93">
              <w:rPr>
                <w:rFonts w:ascii="Arial" w:hAnsi="Arial" w:cs="Arial"/>
                <w:sz w:val="24"/>
                <w:szCs w:val="24"/>
                <w:lang w:val="en-ZA"/>
              </w:rPr>
              <w:t>ion for leave to appeal must succeed.</w:t>
            </w:r>
          </w:p>
          <w:p w14:paraId="387E3E3D" w14:textId="77777777" w:rsidR="00BD4716" w:rsidRDefault="00BD4716" w:rsidP="00BD4716">
            <w:pPr>
              <w:pStyle w:val="ListParagraph"/>
              <w:spacing w:after="0" w:line="360" w:lineRule="auto"/>
              <w:ind w:left="0"/>
              <w:jc w:val="both"/>
              <w:rPr>
                <w:rFonts w:ascii="Arial" w:hAnsi="Arial" w:cs="Arial"/>
                <w:sz w:val="24"/>
                <w:szCs w:val="24"/>
                <w:lang w:val="en-ZA"/>
              </w:rPr>
            </w:pPr>
          </w:p>
          <w:p w14:paraId="5E26778F" w14:textId="4C81BC96" w:rsidR="0082330F" w:rsidRPr="001B2B93" w:rsidRDefault="001B2B93" w:rsidP="001B2B93">
            <w:pPr>
              <w:spacing w:after="0" w:line="360" w:lineRule="auto"/>
              <w:jc w:val="both"/>
              <w:rPr>
                <w:rFonts w:ascii="Arial" w:hAnsi="Arial" w:cs="Arial"/>
                <w:sz w:val="24"/>
                <w:szCs w:val="24"/>
                <w:lang w:val="en-ZA"/>
              </w:rPr>
            </w:pPr>
            <w:r>
              <w:rPr>
                <w:rFonts w:ascii="Arial" w:hAnsi="Arial" w:cs="Arial"/>
                <w:sz w:val="24"/>
                <w:szCs w:val="24"/>
                <w:lang w:val="en-ZA"/>
              </w:rPr>
              <w:t>[17]</w:t>
            </w:r>
            <w:r>
              <w:rPr>
                <w:rFonts w:ascii="Arial" w:hAnsi="Arial" w:cs="Arial"/>
                <w:sz w:val="24"/>
                <w:szCs w:val="24"/>
                <w:lang w:val="en-ZA"/>
              </w:rPr>
              <w:tab/>
            </w:r>
            <w:proofErr w:type="gramStart"/>
            <w:r w:rsidR="0082330F" w:rsidRPr="001B2B93">
              <w:rPr>
                <w:rFonts w:ascii="Arial" w:hAnsi="Arial" w:cs="Arial"/>
                <w:sz w:val="24"/>
                <w:szCs w:val="24"/>
                <w:lang w:val="en-ZA"/>
              </w:rPr>
              <w:t>I</w:t>
            </w:r>
            <w:proofErr w:type="gramEnd"/>
            <w:r w:rsidR="0082330F" w:rsidRPr="001B2B93">
              <w:rPr>
                <w:rFonts w:ascii="Arial" w:hAnsi="Arial" w:cs="Arial"/>
                <w:sz w:val="24"/>
                <w:szCs w:val="24"/>
                <w:lang w:val="en-ZA"/>
              </w:rPr>
              <w:t xml:space="preserve"> therefore</w:t>
            </w:r>
            <w:r w:rsidR="002A4404" w:rsidRPr="001B2B93">
              <w:rPr>
                <w:rFonts w:ascii="Arial" w:hAnsi="Arial" w:cs="Arial"/>
                <w:sz w:val="24"/>
                <w:szCs w:val="24"/>
                <w:lang w:val="en-ZA"/>
              </w:rPr>
              <w:t>,</w:t>
            </w:r>
            <w:r w:rsidR="0082330F" w:rsidRPr="001B2B93">
              <w:rPr>
                <w:rFonts w:ascii="Arial" w:hAnsi="Arial" w:cs="Arial"/>
                <w:sz w:val="24"/>
                <w:szCs w:val="24"/>
                <w:lang w:val="en-ZA"/>
              </w:rPr>
              <w:t xml:space="preserve"> make the following order:</w:t>
            </w:r>
          </w:p>
          <w:p w14:paraId="04C59B25" w14:textId="77777777" w:rsidR="00BD4716" w:rsidRPr="00BD4716" w:rsidRDefault="00BD4716" w:rsidP="00BD4716">
            <w:pPr>
              <w:pStyle w:val="ListParagraph"/>
              <w:spacing w:after="0" w:line="360" w:lineRule="auto"/>
              <w:ind w:left="0"/>
              <w:jc w:val="both"/>
              <w:rPr>
                <w:rFonts w:ascii="Arial" w:hAnsi="Arial" w:cs="Arial"/>
                <w:sz w:val="24"/>
                <w:szCs w:val="24"/>
                <w:lang w:val="en-ZA"/>
              </w:rPr>
            </w:pPr>
          </w:p>
          <w:p w14:paraId="2BDD8706" w14:textId="77777777" w:rsidR="0082330F" w:rsidRDefault="0082330F" w:rsidP="00287A2F">
            <w:pPr>
              <w:spacing w:after="0" w:line="360" w:lineRule="auto"/>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Pr="0082330F">
              <w:rPr>
                <w:rFonts w:ascii="Arial" w:hAnsi="Arial" w:cs="Arial"/>
                <w:sz w:val="24"/>
                <w:szCs w:val="24"/>
                <w:lang w:val="en-ZA"/>
              </w:rPr>
              <w:t>The applicant</w:t>
            </w:r>
            <w:r w:rsidR="00BD4716">
              <w:rPr>
                <w:rFonts w:ascii="Arial" w:hAnsi="Arial" w:cs="Arial"/>
                <w:sz w:val="24"/>
                <w:szCs w:val="24"/>
                <w:lang w:val="en-ZA"/>
              </w:rPr>
              <w:t xml:space="preserve"> is granted leave to appeal the</w:t>
            </w:r>
            <w:r w:rsidRPr="0082330F">
              <w:rPr>
                <w:rFonts w:ascii="Arial" w:hAnsi="Arial" w:cs="Arial"/>
                <w:sz w:val="24"/>
                <w:szCs w:val="24"/>
                <w:lang w:val="en-ZA"/>
              </w:rPr>
              <w:t xml:space="preserve"> Court’s ruling of 27 January 2023. </w:t>
            </w:r>
          </w:p>
          <w:p w14:paraId="6C91CDF0" w14:textId="77777777" w:rsidR="0082330F" w:rsidRDefault="0082330F" w:rsidP="00287A2F">
            <w:pPr>
              <w:spacing w:after="0" w:line="360" w:lineRule="auto"/>
              <w:jc w:val="both"/>
              <w:rPr>
                <w:rFonts w:ascii="Arial" w:hAnsi="Arial" w:cs="Arial"/>
                <w:sz w:val="24"/>
                <w:szCs w:val="24"/>
                <w:lang w:val="en-ZA"/>
              </w:rPr>
            </w:pPr>
            <w:r w:rsidRPr="0082330F">
              <w:rPr>
                <w:rFonts w:ascii="Arial" w:hAnsi="Arial" w:cs="Arial"/>
                <w:sz w:val="24"/>
                <w:szCs w:val="24"/>
                <w:lang w:val="en-ZA"/>
              </w:rPr>
              <w:lastRenderedPageBreak/>
              <w:t xml:space="preserve">2. </w:t>
            </w:r>
            <w:r>
              <w:rPr>
                <w:rFonts w:ascii="Arial" w:hAnsi="Arial" w:cs="Arial"/>
                <w:sz w:val="24"/>
                <w:szCs w:val="24"/>
                <w:lang w:val="en-ZA"/>
              </w:rPr>
              <w:tab/>
            </w:r>
            <w:r w:rsidRPr="0082330F">
              <w:rPr>
                <w:rFonts w:ascii="Arial" w:hAnsi="Arial" w:cs="Arial"/>
                <w:sz w:val="24"/>
                <w:szCs w:val="24"/>
                <w:lang w:val="en-ZA"/>
              </w:rPr>
              <w:t xml:space="preserve">The costs of this application shall be costs in the appeal. </w:t>
            </w:r>
          </w:p>
          <w:p w14:paraId="30966B72" w14:textId="77777777" w:rsidR="0082330F" w:rsidRPr="00287A2F" w:rsidRDefault="0082330F" w:rsidP="00287A2F">
            <w:pPr>
              <w:spacing w:after="0" w:line="360" w:lineRule="auto"/>
              <w:jc w:val="both"/>
              <w:rPr>
                <w:rFonts w:ascii="Arial" w:hAnsi="Arial" w:cs="Arial"/>
                <w:sz w:val="24"/>
                <w:szCs w:val="24"/>
                <w:lang w:val="en-ZA"/>
              </w:rPr>
            </w:pPr>
            <w:r w:rsidRPr="0082330F">
              <w:rPr>
                <w:rFonts w:ascii="Arial" w:hAnsi="Arial" w:cs="Arial"/>
                <w:sz w:val="24"/>
                <w:szCs w:val="24"/>
                <w:lang w:val="en-ZA"/>
              </w:rPr>
              <w:t xml:space="preserve">3. </w:t>
            </w:r>
            <w:r>
              <w:rPr>
                <w:rFonts w:ascii="Arial" w:hAnsi="Arial" w:cs="Arial"/>
                <w:sz w:val="24"/>
                <w:szCs w:val="24"/>
                <w:lang w:val="en-ZA"/>
              </w:rPr>
              <w:tab/>
            </w:r>
            <w:r w:rsidRPr="0082330F">
              <w:rPr>
                <w:rFonts w:ascii="Arial" w:hAnsi="Arial" w:cs="Arial"/>
                <w:sz w:val="24"/>
                <w:szCs w:val="24"/>
                <w:lang w:val="en-ZA"/>
              </w:rPr>
              <w:t xml:space="preserve">The matter is postponed to </w:t>
            </w:r>
            <w:r w:rsidR="00BD4716">
              <w:rPr>
                <w:rFonts w:ascii="Arial" w:hAnsi="Arial" w:cs="Arial"/>
                <w:sz w:val="24"/>
                <w:szCs w:val="24"/>
                <w:lang w:val="en-ZA"/>
              </w:rPr>
              <w:t xml:space="preserve">19 March </w:t>
            </w:r>
            <w:r>
              <w:rPr>
                <w:rFonts w:ascii="Arial" w:hAnsi="Arial" w:cs="Arial"/>
                <w:sz w:val="24"/>
                <w:szCs w:val="24"/>
                <w:lang w:val="en-ZA"/>
              </w:rPr>
              <w:t>2024 at 15h30</w:t>
            </w:r>
            <w:r w:rsidRPr="0082330F">
              <w:rPr>
                <w:rFonts w:ascii="Arial" w:hAnsi="Arial" w:cs="Arial"/>
                <w:sz w:val="24"/>
                <w:szCs w:val="24"/>
                <w:lang w:val="en-ZA"/>
              </w:rPr>
              <w:t xml:space="preserve"> for a status hearing</w:t>
            </w:r>
            <w:r w:rsidR="00BD4716">
              <w:rPr>
                <w:rFonts w:ascii="Arial" w:hAnsi="Arial" w:cs="Arial"/>
                <w:sz w:val="24"/>
                <w:szCs w:val="24"/>
                <w:lang w:val="en-ZA"/>
              </w:rPr>
              <w:t>.</w:t>
            </w:r>
          </w:p>
          <w:p w14:paraId="15A4C69D" w14:textId="77777777" w:rsidR="00287A2F" w:rsidRPr="00287A2F" w:rsidRDefault="00287A2F" w:rsidP="00287A2F">
            <w:pPr>
              <w:spacing w:after="0" w:line="360" w:lineRule="auto"/>
              <w:jc w:val="both"/>
              <w:rPr>
                <w:rFonts w:ascii="Arial" w:hAnsi="Arial" w:cs="Arial"/>
                <w:sz w:val="24"/>
                <w:szCs w:val="24"/>
                <w:lang w:val="en-ZA"/>
              </w:rPr>
            </w:pPr>
          </w:p>
          <w:p w14:paraId="6D643279" w14:textId="77777777" w:rsidR="00287A2F" w:rsidRPr="00287A2F" w:rsidRDefault="00287A2F" w:rsidP="001E5195">
            <w:pPr>
              <w:spacing w:after="0" w:line="360" w:lineRule="auto"/>
              <w:jc w:val="both"/>
              <w:rPr>
                <w:rFonts w:ascii="Arial" w:hAnsi="Arial" w:cs="Arial"/>
                <w:sz w:val="24"/>
                <w:szCs w:val="24"/>
              </w:rPr>
            </w:pPr>
          </w:p>
        </w:tc>
      </w:tr>
      <w:tr w:rsidR="00006168" w14:paraId="2DF970B9" w14:textId="77777777" w:rsidTr="00BD4716">
        <w:trPr>
          <w:trHeight w:val="2032"/>
        </w:trPr>
        <w:tc>
          <w:tcPr>
            <w:tcW w:w="5245" w:type="dxa"/>
            <w:tcBorders>
              <w:top w:val="single" w:sz="4" w:space="0" w:color="auto"/>
              <w:left w:val="single" w:sz="4" w:space="0" w:color="auto"/>
              <w:bottom w:val="single" w:sz="4" w:space="0" w:color="auto"/>
              <w:right w:val="single" w:sz="4" w:space="0" w:color="auto"/>
            </w:tcBorders>
            <w:hideMark/>
          </w:tcPr>
          <w:p w14:paraId="3EB31643" w14:textId="77777777" w:rsidR="00B37415" w:rsidRPr="000D0F54" w:rsidRDefault="00ED4D18" w:rsidP="00B37415">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14:paraId="7769E8FF" w14:textId="77777777" w:rsidR="002C66E4" w:rsidRPr="000D0F54" w:rsidRDefault="002C66E4" w:rsidP="002C66E4">
            <w:pPr>
              <w:spacing w:after="0" w:line="360" w:lineRule="auto"/>
              <w:jc w:val="center"/>
              <w:rPr>
                <w:rFonts w:ascii="Arial" w:hAnsi="Arial" w:cs="Arial"/>
                <w:sz w:val="24"/>
                <w:szCs w:val="24"/>
              </w:rPr>
            </w:pPr>
          </w:p>
          <w:p w14:paraId="351C649D" w14:textId="77777777" w:rsidR="002C66E4" w:rsidRPr="000D0F54" w:rsidRDefault="002C66E4" w:rsidP="002C66E4">
            <w:pPr>
              <w:spacing w:after="0" w:line="360" w:lineRule="auto"/>
              <w:jc w:val="center"/>
              <w:rPr>
                <w:rFonts w:ascii="Arial" w:hAnsi="Arial" w:cs="Arial"/>
                <w:sz w:val="24"/>
                <w:szCs w:val="24"/>
              </w:rPr>
            </w:pPr>
          </w:p>
          <w:p w14:paraId="1D4CBD1E" w14:textId="77777777" w:rsidR="002C66E4" w:rsidRPr="000D0F54" w:rsidRDefault="002C66E4" w:rsidP="002C66E4">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14:paraId="23FFF8D3" w14:textId="77777777" w:rsidR="00A91522" w:rsidRPr="000D0F54" w:rsidRDefault="00ED4D18" w:rsidP="00A91522">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006168" w14:paraId="3691431D" w14:textId="77777777" w:rsidTr="008019A9">
        <w:trPr>
          <w:trHeight w:val="1062"/>
        </w:trPr>
        <w:tc>
          <w:tcPr>
            <w:tcW w:w="5245" w:type="dxa"/>
            <w:tcBorders>
              <w:top w:val="single" w:sz="4" w:space="0" w:color="auto"/>
              <w:left w:val="single" w:sz="4" w:space="0" w:color="auto"/>
              <w:bottom w:val="single" w:sz="4" w:space="0" w:color="auto"/>
              <w:right w:val="single" w:sz="4" w:space="0" w:color="auto"/>
            </w:tcBorders>
          </w:tcPr>
          <w:p w14:paraId="55663A47" w14:textId="77777777" w:rsidR="002C66E4" w:rsidRPr="000D0F54" w:rsidRDefault="00ED4D18" w:rsidP="002C66E4">
            <w:pPr>
              <w:spacing w:after="0" w:line="360" w:lineRule="auto"/>
              <w:jc w:val="center"/>
              <w:rPr>
                <w:rFonts w:ascii="Arial" w:hAnsi="Arial" w:cs="Arial"/>
                <w:sz w:val="24"/>
                <w:szCs w:val="24"/>
              </w:rPr>
            </w:pPr>
            <w:proofErr w:type="gramStart"/>
            <w:r>
              <w:rPr>
                <w:rFonts w:ascii="Arial" w:hAnsi="Arial" w:cs="Arial"/>
                <w:sz w:val="24"/>
                <w:szCs w:val="24"/>
              </w:rPr>
              <w:t xml:space="preserve">E </w:t>
            </w:r>
            <w:r w:rsidR="000C34AC" w:rsidRPr="000D0F54">
              <w:rPr>
                <w:rFonts w:ascii="Arial" w:hAnsi="Arial" w:cs="Arial"/>
                <w:sz w:val="24"/>
                <w:szCs w:val="24"/>
              </w:rPr>
              <w:t xml:space="preserve"> </w:t>
            </w:r>
            <w:r>
              <w:rPr>
                <w:rFonts w:ascii="Arial" w:hAnsi="Arial" w:cs="Arial"/>
                <w:sz w:val="24"/>
                <w:szCs w:val="24"/>
              </w:rPr>
              <w:t>RAKOW</w:t>
            </w:r>
            <w:proofErr w:type="gramEnd"/>
          </w:p>
          <w:p w14:paraId="4DD6A429" w14:textId="77777777" w:rsidR="00B37415" w:rsidRPr="000D0F54" w:rsidRDefault="00ED4D18" w:rsidP="00BF7E1C">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14:paraId="3E64A817" w14:textId="77777777" w:rsidR="008019A9" w:rsidRPr="000D0F54" w:rsidRDefault="00ED4D18" w:rsidP="008019A9">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006168" w14:paraId="0DB04310" w14:textId="77777777"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14:paraId="7DC87152" w14:textId="77777777" w:rsidR="00496D60" w:rsidRPr="000D0F54" w:rsidRDefault="00ED4D18" w:rsidP="008019A9">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006168" w14:paraId="7AEA7283" w14:textId="77777777"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14:paraId="3E09826C" w14:textId="77777777" w:rsidR="008019A9" w:rsidRPr="000D0F54" w:rsidRDefault="00ED4D18" w:rsidP="005B7BF9">
            <w:pPr>
              <w:spacing w:after="0" w:line="360" w:lineRule="auto"/>
              <w:jc w:val="center"/>
              <w:rPr>
                <w:rFonts w:ascii="Arial" w:hAnsi="Arial" w:cs="Arial"/>
                <w:b/>
                <w:sz w:val="24"/>
                <w:szCs w:val="24"/>
              </w:rPr>
            </w:pPr>
            <w:r w:rsidRPr="000D0F54">
              <w:rPr>
                <w:rFonts w:ascii="Arial" w:hAnsi="Arial" w:cs="Arial"/>
                <w:b/>
                <w:sz w:val="24"/>
                <w:szCs w:val="24"/>
              </w:rPr>
              <w:t>Plaintiff:</w:t>
            </w:r>
          </w:p>
        </w:tc>
        <w:tc>
          <w:tcPr>
            <w:tcW w:w="5245" w:type="dxa"/>
            <w:gridSpan w:val="2"/>
            <w:tcBorders>
              <w:top w:val="single" w:sz="4" w:space="0" w:color="auto"/>
              <w:left w:val="single" w:sz="4" w:space="0" w:color="auto"/>
              <w:bottom w:val="single" w:sz="4" w:space="0" w:color="auto"/>
              <w:right w:val="single" w:sz="4" w:space="0" w:color="auto"/>
            </w:tcBorders>
            <w:hideMark/>
          </w:tcPr>
          <w:p w14:paraId="0DDD3943" w14:textId="77777777" w:rsidR="008019A9" w:rsidRPr="000D0F54" w:rsidRDefault="00ED4D18" w:rsidP="00C9470C">
            <w:pPr>
              <w:spacing w:after="0" w:line="360" w:lineRule="auto"/>
              <w:jc w:val="center"/>
              <w:rPr>
                <w:rFonts w:ascii="Arial" w:hAnsi="Arial" w:cs="Arial"/>
                <w:b/>
                <w:sz w:val="24"/>
                <w:szCs w:val="24"/>
              </w:rPr>
            </w:pPr>
            <w:r w:rsidRPr="000D0F54">
              <w:rPr>
                <w:rFonts w:ascii="Arial" w:eastAsia="Times New Roman" w:hAnsi="Arial" w:cs="Arial"/>
                <w:b/>
                <w:sz w:val="24"/>
                <w:szCs w:val="24"/>
                <w:lang w:eastAsia="en-GB"/>
              </w:rPr>
              <w:t>Defendant</w:t>
            </w:r>
            <w:r w:rsidRPr="000D0F54">
              <w:rPr>
                <w:rFonts w:ascii="Arial" w:eastAsia="Times New Roman" w:hAnsi="Arial" w:cs="Arial"/>
                <w:sz w:val="24"/>
                <w:szCs w:val="24"/>
                <w:lang w:eastAsia="en-GB"/>
              </w:rPr>
              <w:t>:</w:t>
            </w:r>
          </w:p>
        </w:tc>
      </w:tr>
      <w:tr w:rsidR="00006168" w14:paraId="12FC2A7D" w14:textId="77777777" w:rsidTr="00B131EA">
        <w:trPr>
          <w:trHeight w:val="590"/>
        </w:trPr>
        <w:tc>
          <w:tcPr>
            <w:tcW w:w="5245" w:type="dxa"/>
            <w:tcBorders>
              <w:top w:val="single" w:sz="4" w:space="0" w:color="auto"/>
              <w:left w:val="single" w:sz="4" w:space="0" w:color="auto"/>
              <w:bottom w:val="single" w:sz="4" w:space="0" w:color="auto"/>
              <w:right w:val="single" w:sz="4" w:space="0" w:color="auto"/>
            </w:tcBorders>
          </w:tcPr>
          <w:p w14:paraId="0F380E1E" w14:textId="77777777" w:rsidR="004A30FC" w:rsidRDefault="00ED4D18" w:rsidP="004A30FC">
            <w:pPr>
              <w:jc w:val="center"/>
              <w:rPr>
                <w:rFonts w:ascii="Arial" w:hAnsi="Arial" w:cs="Arial"/>
                <w:sz w:val="24"/>
                <w:szCs w:val="24"/>
              </w:rPr>
            </w:pPr>
            <w:r>
              <w:rPr>
                <w:rFonts w:ascii="Arial" w:hAnsi="Arial" w:cs="Arial"/>
                <w:color w:val="333333"/>
                <w:sz w:val="24"/>
                <w:szCs w:val="24"/>
                <w:shd w:val="clear" w:color="auto" w:fill="FFFFFF"/>
              </w:rPr>
              <w:t>K</w:t>
            </w:r>
            <w:r w:rsidRPr="009137B5">
              <w:rPr>
                <w:rFonts w:ascii="Arial" w:hAnsi="Arial" w:cs="Arial"/>
                <w:sz w:val="24"/>
                <w:szCs w:val="24"/>
              </w:rPr>
              <w:t xml:space="preserve"> </w:t>
            </w:r>
            <w:proofErr w:type="spellStart"/>
            <w:r w:rsidRPr="009137B5">
              <w:rPr>
                <w:rFonts w:ascii="Arial" w:hAnsi="Arial" w:cs="Arial"/>
                <w:sz w:val="24"/>
                <w:szCs w:val="24"/>
              </w:rPr>
              <w:t>Kamuhanga</w:t>
            </w:r>
            <w:proofErr w:type="spellEnd"/>
          </w:p>
          <w:p w14:paraId="7482588E" w14:textId="77777777" w:rsidR="004A30FC" w:rsidRPr="004A30FC" w:rsidRDefault="004A30FC" w:rsidP="004A30FC">
            <w:pPr>
              <w:jc w:val="center"/>
              <w:rPr>
                <w:rFonts w:ascii="Arial" w:hAnsi="Arial" w:cs="Arial"/>
                <w:sz w:val="24"/>
                <w:szCs w:val="24"/>
              </w:rPr>
            </w:pPr>
            <w:proofErr w:type="gramStart"/>
            <w:r>
              <w:rPr>
                <w:rFonts w:ascii="Arial" w:hAnsi="Arial" w:cs="Arial"/>
                <w:sz w:val="24"/>
                <w:szCs w:val="24"/>
              </w:rPr>
              <w:t xml:space="preserve">Of </w:t>
            </w:r>
            <w:r w:rsidR="00ED4D18" w:rsidRPr="004C301A">
              <w:rPr>
                <w:rFonts w:ascii="Arial" w:hAnsi="Arial" w:cs="Arial"/>
                <w:color w:val="000000" w:themeColor="text1"/>
                <w:sz w:val="24"/>
                <w:szCs w:val="24"/>
                <w:shd w:val="clear" w:color="auto" w:fill="FFFFFF"/>
              </w:rPr>
              <w:t xml:space="preserve"> </w:t>
            </w:r>
            <w:proofErr w:type="spellStart"/>
            <w:r w:rsidR="00257FEB" w:rsidRPr="004C301A">
              <w:rPr>
                <w:rFonts w:ascii="Arial" w:hAnsi="Arial" w:cs="Arial"/>
                <w:color w:val="000000" w:themeColor="text1"/>
                <w:sz w:val="24"/>
                <w:szCs w:val="24"/>
                <w:shd w:val="clear" w:color="auto" w:fill="FFFFFF"/>
              </w:rPr>
              <w:t>Kamuhanga</w:t>
            </w:r>
            <w:proofErr w:type="spellEnd"/>
            <w:proofErr w:type="gramEnd"/>
            <w:r w:rsidR="00257FEB" w:rsidRPr="004C301A">
              <w:rPr>
                <w:rFonts w:ascii="Arial" w:hAnsi="Arial" w:cs="Arial"/>
                <w:color w:val="000000" w:themeColor="text1"/>
                <w:sz w:val="24"/>
                <w:szCs w:val="24"/>
                <w:shd w:val="clear" w:color="auto" w:fill="FFFFFF"/>
              </w:rPr>
              <w:t xml:space="preserve"> </w:t>
            </w:r>
            <w:proofErr w:type="spellStart"/>
            <w:r w:rsidR="00257FEB" w:rsidRPr="004C301A">
              <w:rPr>
                <w:rFonts w:ascii="Arial" w:hAnsi="Arial" w:cs="Arial"/>
                <w:color w:val="000000" w:themeColor="text1"/>
                <w:sz w:val="24"/>
                <w:szCs w:val="24"/>
                <w:shd w:val="clear" w:color="auto" w:fill="FFFFFF"/>
              </w:rPr>
              <w:t>Hoveka</w:t>
            </w:r>
            <w:proofErr w:type="spellEnd"/>
            <w:r w:rsidR="00257FEB" w:rsidRPr="004C301A">
              <w:rPr>
                <w:rFonts w:ascii="Arial" w:hAnsi="Arial" w:cs="Arial"/>
                <w:color w:val="000000" w:themeColor="text1"/>
                <w:sz w:val="24"/>
                <w:szCs w:val="24"/>
                <w:shd w:val="clear" w:color="auto" w:fill="FFFFFF"/>
              </w:rPr>
              <w:t xml:space="preserve"> Samuel Inc.</w:t>
            </w:r>
            <w:r w:rsidR="00C9470C" w:rsidRPr="004C301A">
              <w:rPr>
                <w:rFonts w:ascii="Arial" w:hAnsi="Arial" w:cs="Arial"/>
                <w:color w:val="000000" w:themeColor="text1"/>
                <w:sz w:val="24"/>
                <w:szCs w:val="24"/>
                <w:shd w:val="clear" w:color="auto" w:fill="FFFFFF"/>
              </w:rPr>
              <w:t xml:space="preserve">, </w:t>
            </w:r>
          </w:p>
          <w:p w14:paraId="478C409D" w14:textId="77777777" w:rsidR="005B7BF9" w:rsidRPr="004A30FC" w:rsidRDefault="00C9470C" w:rsidP="004A30FC">
            <w:pPr>
              <w:jc w:val="center"/>
              <w:rPr>
                <w:rFonts w:ascii="Arial" w:hAnsi="Arial" w:cs="Arial"/>
                <w:sz w:val="24"/>
                <w:szCs w:val="24"/>
              </w:rPr>
            </w:pPr>
            <w:r w:rsidRPr="004C301A">
              <w:rPr>
                <w:rFonts w:ascii="Arial" w:hAnsi="Arial" w:cs="Arial"/>
                <w:color w:val="000000" w:themeColor="text1"/>
                <w:sz w:val="24"/>
                <w:szCs w:val="24"/>
                <w:shd w:val="clear" w:color="auto" w:fill="FFFFFF"/>
              </w:rPr>
              <w:t>Windhoek</w:t>
            </w:r>
            <w:r w:rsidR="00BD4716">
              <w:rPr>
                <w:rFonts w:ascii="Arial" w:hAnsi="Arial" w:cs="Arial"/>
                <w:color w:val="000000" w:themeColor="text1"/>
                <w:sz w:val="24"/>
                <w:szCs w:val="24"/>
                <w:shd w:val="clear" w:color="auto" w:fill="FFFFFF"/>
              </w:rPr>
              <w:t>.</w:t>
            </w:r>
          </w:p>
          <w:p w14:paraId="6A9798C8" w14:textId="77777777" w:rsidR="00257FEB" w:rsidRPr="00317404" w:rsidRDefault="00257FEB" w:rsidP="004A30FC">
            <w:pPr>
              <w:spacing w:after="0" w:line="360" w:lineRule="auto"/>
              <w:jc w:val="center"/>
              <w:rPr>
                <w:rFonts w:ascii="Arial" w:eastAsia="Times New Roman" w:hAnsi="Arial" w:cs="Arial"/>
                <w:sz w:val="24"/>
                <w:szCs w:val="24"/>
                <w:lang w:eastAsia="en-GB"/>
              </w:rPr>
            </w:pPr>
          </w:p>
        </w:tc>
        <w:tc>
          <w:tcPr>
            <w:tcW w:w="5245" w:type="dxa"/>
            <w:gridSpan w:val="2"/>
            <w:tcBorders>
              <w:top w:val="single" w:sz="4" w:space="0" w:color="auto"/>
              <w:left w:val="single" w:sz="4" w:space="0" w:color="auto"/>
              <w:bottom w:val="single" w:sz="4" w:space="0" w:color="auto"/>
              <w:right w:val="single" w:sz="4" w:space="0" w:color="auto"/>
            </w:tcBorders>
          </w:tcPr>
          <w:p w14:paraId="54CD1103" w14:textId="77777777" w:rsidR="004A30FC" w:rsidRDefault="00ED4D18" w:rsidP="004A30FC">
            <w:pPr>
              <w:spacing w:after="0" w:line="360" w:lineRule="auto"/>
              <w:jc w:val="center"/>
              <w:rPr>
                <w:rFonts w:ascii="Arial" w:hAnsi="Arial" w:cs="Arial"/>
                <w:color w:val="000000" w:themeColor="text1"/>
                <w:sz w:val="24"/>
                <w:szCs w:val="24"/>
                <w:shd w:val="clear" w:color="auto" w:fill="FFFFFF"/>
              </w:rPr>
            </w:pPr>
            <w:r w:rsidRPr="00975734">
              <w:rPr>
                <w:rFonts w:ascii="Arial" w:hAnsi="Arial" w:cs="Arial"/>
                <w:sz w:val="24"/>
                <w:szCs w:val="24"/>
                <w:shd w:val="clear" w:color="auto" w:fill="FFFFFF"/>
              </w:rPr>
              <w:t>T Muhong</w:t>
            </w:r>
            <w:r w:rsidR="002A4404">
              <w:rPr>
                <w:rFonts w:ascii="Arial" w:hAnsi="Arial" w:cs="Arial"/>
                <w:sz w:val="24"/>
                <w:szCs w:val="24"/>
                <w:shd w:val="clear" w:color="auto" w:fill="FFFFFF"/>
              </w:rPr>
              <w:t>o</w:t>
            </w:r>
            <w:r w:rsidRPr="00975734">
              <w:rPr>
                <w:rFonts w:ascii="Arial" w:hAnsi="Arial" w:cs="Arial"/>
                <w:sz w:val="24"/>
                <w:szCs w:val="24"/>
                <w:shd w:val="clear" w:color="auto" w:fill="FFFFFF"/>
              </w:rPr>
              <w:t xml:space="preserve"> (with him </w:t>
            </w:r>
            <w:proofErr w:type="spellStart"/>
            <w:proofErr w:type="gramStart"/>
            <w:r w:rsidRPr="00BC01AD">
              <w:rPr>
                <w:rFonts w:ascii="Arial" w:hAnsi="Arial" w:cs="Arial"/>
                <w:color w:val="000000" w:themeColor="text1"/>
                <w:sz w:val="24"/>
                <w:szCs w:val="24"/>
                <w:shd w:val="clear" w:color="auto" w:fill="FFFFFF"/>
              </w:rPr>
              <w:t>Ms</w:t>
            </w:r>
            <w:proofErr w:type="spellEnd"/>
            <w:r w:rsidR="004C301A" w:rsidRPr="00BC01AD">
              <w:rPr>
                <w:rFonts w:ascii="Arial" w:hAnsi="Arial" w:cs="Arial"/>
                <w:color w:val="000000" w:themeColor="text1"/>
                <w:sz w:val="24"/>
                <w:szCs w:val="24"/>
                <w:shd w:val="clear" w:color="auto" w:fill="FFFFFF"/>
              </w:rPr>
              <w:t xml:space="preserve"> </w:t>
            </w:r>
            <w:r w:rsidRPr="00BC01AD">
              <w:rPr>
                <w:rFonts w:ascii="Arial" w:hAnsi="Arial" w:cs="Arial"/>
                <w:color w:val="000000" w:themeColor="text1"/>
                <w:sz w:val="24"/>
                <w:szCs w:val="24"/>
                <w:shd w:val="clear" w:color="auto" w:fill="FFFFFF"/>
              </w:rPr>
              <w:t xml:space="preserve"> Brinkman</w:t>
            </w:r>
            <w:proofErr w:type="gramEnd"/>
            <w:r w:rsidRPr="00BC01AD">
              <w:rPr>
                <w:rFonts w:ascii="Arial" w:hAnsi="Arial" w:cs="Arial"/>
                <w:color w:val="000000" w:themeColor="text1"/>
                <w:sz w:val="24"/>
                <w:szCs w:val="24"/>
                <w:shd w:val="clear" w:color="auto" w:fill="FFFFFF"/>
              </w:rPr>
              <w:t>)</w:t>
            </w:r>
          </w:p>
          <w:p w14:paraId="5A12908E" w14:textId="77777777" w:rsidR="004A30FC" w:rsidRDefault="004A30FC" w:rsidP="004A30FC">
            <w:pPr>
              <w:spacing w:after="0" w:line="360" w:lineRule="auto"/>
              <w:jc w:val="center"/>
            </w:pPr>
            <w:r>
              <w:rPr>
                <w:rFonts w:ascii="Arial" w:hAnsi="Arial" w:cs="Arial"/>
                <w:color w:val="000000" w:themeColor="text1"/>
                <w:sz w:val="24"/>
                <w:szCs w:val="24"/>
                <w:shd w:val="clear" w:color="auto" w:fill="FFFFFF"/>
              </w:rPr>
              <w:t>Instructed by</w:t>
            </w:r>
            <w:r>
              <w:t xml:space="preserve"> </w:t>
            </w:r>
          </w:p>
          <w:p w14:paraId="15408A14" w14:textId="77777777" w:rsidR="004A30FC" w:rsidRDefault="004A30FC" w:rsidP="004A30FC">
            <w:pPr>
              <w:spacing w:after="0" w:line="360" w:lineRule="auto"/>
              <w:jc w:val="center"/>
              <w:rPr>
                <w:rFonts w:ascii="Arial" w:hAnsi="Arial" w:cs="Arial"/>
                <w:color w:val="000000" w:themeColor="text1"/>
                <w:sz w:val="24"/>
                <w:szCs w:val="24"/>
                <w:shd w:val="clear" w:color="auto" w:fill="FFFFFF"/>
              </w:rPr>
            </w:pPr>
            <w:proofErr w:type="spellStart"/>
            <w:r w:rsidRPr="004A30FC">
              <w:rPr>
                <w:rFonts w:ascii="Arial" w:hAnsi="Arial" w:cs="Arial"/>
                <w:color w:val="000000" w:themeColor="text1"/>
                <w:sz w:val="24"/>
                <w:szCs w:val="24"/>
                <w:shd w:val="clear" w:color="auto" w:fill="FFFFFF"/>
              </w:rPr>
              <w:t>LorentzAngula</w:t>
            </w:r>
            <w:proofErr w:type="spellEnd"/>
            <w:r w:rsidRPr="004A30FC">
              <w:rPr>
                <w:rFonts w:ascii="Arial" w:hAnsi="Arial" w:cs="Arial"/>
                <w:color w:val="000000" w:themeColor="text1"/>
                <w:sz w:val="24"/>
                <w:szCs w:val="24"/>
                <w:shd w:val="clear" w:color="auto" w:fill="FFFFFF"/>
              </w:rPr>
              <w:t xml:space="preserve"> Inc., Windhoek</w:t>
            </w:r>
            <w:r w:rsidR="00BD4716">
              <w:rPr>
                <w:rFonts w:ascii="Arial" w:hAnsi="Arial" w:cs="Arial"/>
                <w:color w:val="000000" w:themeColor="text1"/>
                <w:sz w:val="24"/>
                <w:szCs w:val="24"/>
                <w:shd w:val="clear" w:color="auto" w:fill="FFFFFF"/>
              </w:rPr>
              <w:t>.</w:t>
            </w:r>
          </w:p>
          <w:p w14:paraId="67FDE9B8" w14:textId="77777777" w:rsidR="005B7BF9" w:rsidRPr="00317404" w:rsidRDefault="005B7BF9" w:rsidP="004A30FC">
            <w:pPr>
              <w:spacing w:after="0" w:line="360" w:lineRule="auto"/>
              <w:jc w:val="center"/>
              <w:rPr>
                <w:rFonts w:ascii="Arial" w:eastAsia="Times New Roman" w:hAnsi="Arial" w:cs="Arial"/>
                <w:sz w:val="24"/>
                <w:szCs w:val="24"/>
                <w:lang w:eastAsia="en-GB"/>
              </w:rPr>
            </w:pPr>
          </w:p>
        </w:tc>
      </w:tr>
    </w:tbl>
    <w:p w14:paraId="6EF6AD70" w14:textId="77777777" w:rsidR="007D437D" w:rsidRDefault="007D437D" w:rsidP="00A91522">
      <w:pPr>
        <w:spacing w:line="360" w:lineRule="auto"/>
        <w:jc w:val="both"/>
        <w:rPr>
          <w:rFonts w:ascii="Arial" w:hAnsi="Arial" w:cs="Arial"/>
          <w:sz w:val="24"/>
          <w:szCs w:val="24"/>
        </w:rPr>
      </w:pPr>
    </w:p>
    <w:sectPr w:rsidR="007D437D" w:rsidSect="00AA3231">
      <w:headerReference w:type="default" r:id="rId12"/>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2EF1" w14:textId="77777777" w:rsidR="00B1332A" w:rsidRDefault="00B1332A">
      <w:pPr>
        <w:spacing w:after="0" w:line="240" w:lineRule="auto"/>
      </w:pPr>
      <w:r>
        <w:separator/>
      </w:r>
    </w:p>
  </w:endnote>
  <w:endnote w:type="continuationSeparator" w:id="0">
    <w:p w14:paraId="7516F4A7" w14:textId="77777777" w:rsidR="00B1332A" w:rsidRDefault="00B1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3176" w14:textId="77777777" w:rsidR="00B1332A" w:rsidRDefault="00B1332A" w:rsidP="001B7253">
      <w:pPr>
        <w:spacing w:after="0" w:line="240" w:lineRule="auto"/>
      </w:pPr>
      <w:r>
        <w:separator/>
      </w:r>
    </w:p>
  </w:footnote>
  <w:footnote w:type="continuationSeparator" w:id="0">
    <w:p w14:paraId="6C91FAB7" w14:textId="77777777" w:rsidR="00B1332A" w:rsidRDefault="00B1332A" w:rsidP="001B7253">
      <w:pPr>
        <w:spacing w:after="0" w:line="240" w:lineRule="auto"/>
      </w:pPr>
      <w:r>
        <w:continuationSeparator/>
      </w:r>
    </w:p>
  </w:footnote>
  <w:footnote w:id="1">
    <w:p w14:paraId="776B1F5B" w14:textId="77777777" w:rsidR="000A3982" w:rsidRPr="00756B61" w:rsidRDefault="000A3982" w:rsidP="00756B61">
      <w:pPr>
        <w:pStyle w:val="FootnoteText"/>
        <w:jc w:val="both"/>
        <w:rPr>
          <w:rFonts w:ascii="Arial" w:hAnsi="Arial" w:cs="Arial"/>
          <w:lang w:val="en-US"/>
        </w:rPr>
      </w:pPr>
      <w:r>
        <w:rPr>
          <w:rStyle w:val="FootnoteReference"/>
        </w:rPr>
        <w:footnoteRef/>
      </w:r>
      <w:r>
        <w:t xml:space="preserve"> </w:t>
      </w:r>
      <w:r w:rsidRPr="00756B61">
        <w:rPr>
          <w:rFonts w:ascii="Arial" w:hAnsi="Arial" w:cs="Arial"/>
          <w:i/>
        </w:rPr>
        <w:t>Marmorwerke Karibib (Proprietary) Limited v Transnamib Holdings Limited</w:t>
      </w:r>
      <w:r w:rsidRPr="00756B61">
        <w:rPr>
          <w:rFonts w:ascii="Arial" w:hAnsi="Arial" w:cs="Arial"/>
        </w:rPr>
        <w:t xml:space="preserve"> (SA 92-2020) [2022] NASC (27 May 2022)</w:t>
      </w:r>
      <w:r w:rsidR="00756B61">
        <w:rPr>
          <w:rFonts w:ascii="Arial" w:hAnsi="Arial" w:cs="Arial"/>
        </w:rPr>
        <w:t>.</w:t>
      </w:r>
    </w:p>
  </w:footnote>
  <w:footnote w:id="2">
    <w:p w14:paraId="639EDB2B" w14:textId="77777777" w:rsidR="00287A2F" w:rsidRPr="002A4404" w:rsidRDefault="00287A2F" w:rsidP="00287A2F">
      <w:pPr>
        <w:pStyle w:val="FootnoteText"/>
        <w:rPr>
          <w:rFonts w:ascii="Arial" w:hAnsi="Arial" w:cs="Arial"/>
        </w:rPr>
      </w:pPr>
      <w:r>
        <w:rPr>
          <w:rStyle w:val="FootnoteReference"/>
        </w:rPr>
        <w:footnoteRef/>
      </w:r>
      <w:r>
        <w:t xml:space="preserve"> </w:t>
      </w:r>
      <w:r w:rsidR="002A4404" w:rsidRPr="002A4404">
        <w:rPr>
          <w:rFonts w:ascii="Arial" w:hAnsi="Arial" w:cs="Arial"/>
          <w:i/>
          <w:shd w:val="clear" w:color="auto" w:fill="FFFFFF"/>
        </w:rPr>
        <w:t>Di Savino v Nedbank Namibia Limited</w:t>
      </w:r>
      <w:r w:rsidR="002A4404" w:rsidRPr="002A4404">
        <w:rPr>
          <w:rFonts w:ascii="Arial" w:hAnsi="Arial" w:cs="Arial"/>
          <w:shd w:val="clear" w:color="auto" w:fill="FFFFFF"/>
        </w:rPr>
        <w:t xml:space="preserve"> (82 of 2014) [2017] NASC 32 (7 August 2017).</w:t>
      </w:r>
    </w:p>
  </w:footnote>
  <w:footnote w:id="3">
    <w:p w14:paraId="604AFD3A" w14:textId="77777777" w:rsidR="00287A2F" w:rsidRPr="002A4404" w:rsidRDefault="00287A2F" w:rsidP="00BD4716">
      <w:pPr>
        <w:pStyle w:val="FootnoteText"/>
        <w:jc w:val="both"/>
        <w:rPr>
          <w:rFonts w:ascii="Arial" w:hAnsi="Arial" w:cs="Arial"/>
          <w:lang w:val="en-US"/>
        </w:rPr>
      </w:pPr>
      <w:r w:rsidRPr="002A4404">
        <w:rPr>
          <w:rStyle w:val="FootnoteReference"/>
          <w:rFonts w:ascii="Arial" w:hAnsi="Arial" w:cs="Arial"/>
        </w:rPr>
        <w:footnoteRef/>
      </w:r>
      <w:r w:rsidRPr="002A4404">
        <w:rPr>
          <w:rFonts w:ascii="Arial" w:hAnsi="Arial" w:cs="Arial"/>
        </w:rPr>
        <w:t xml:space="preserve"> </w:t>
      </w:r>
      <w:r w:rsidRPr="002A4404">
        <w:rPr>
          <w:rFonts w:ascii="Arial" w:hAnsi="Arial" w:cs="Arial"/>
          <w:i/>
        </w:rPr>
        <w:t>African Selection Trust SA v Namsov Fishing Enterprises (Pty) Ltd</w:t>
      </w:r>
      <w:r w:rsidRPr="002A4404">
        <w:rPr>
          <w:rFonts w:ascii="Arial" w:hAnsi="Arial" w:cs="Arial"/>
        </w:rPr>
        <w:t xml:space="preserve"> (HC-MD-CIV-ACT-CON-2016/03860) [2017] NAHCMD 363 (17 November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046637"/>
      <w:docPartObj>
        <w:docPartGallery w:val="Page Numbers (Top of Page)"/>
        <w:docPartUnique/>
      </w:docPartObj>
    </w:sdtPr>
    <w:sdtEndPr>
      <w:rPr>
        <w:noProof/>
      </w:rPr>
    </w:sdtEndPr>
    <w:sdtContent>
      <w:p w14:paraId="492BB5FA" w14:textId="77777777" w:rsidR="00186830" w:rsidRDefault="00186830">
        <w:pPr>
          <w:pStyle w:val="Header"/>
          <w:jc w:val="right"/>
        </w:pPr>
      </w:p>
      <w:p w14:paraId="2CF126B7" w14:textId="77777777" w:rsidR="00186830" w:rsidRDefault="00ED4D18">
        <w:pPr>
          <w:pStyle w:val="Header"/>
          <w:jc w:val="right"/>
        </w:pPr>
        <w:r>
          <w:fldChar w:fldCharType="begin"/>
        </w:r>
        <w:r>
          <w:instrText xml:space="preserve"> PAGE   \* MERGEFORMAT </w:instrText>
        </w:r>
        <w:r>
          <w:fldChar w:fldCharType="separate"/>
        </w:r>
        <w:r w:rsidR="00133CDF">
          <w:rPr>
            <w:noProof/>
          </w:rPr>
          <w:t>2</w:t>
        </w:r>
        <w:r>
          <w:rPr>
            <w:noProof/>
          </w:rPr>
          <w:fldChar w:fldCharType="end"/>
        </w:r>
      </w:p>
    </w:sdtContent>
  </w:sdt>
  <w:p w14:paraId="3A670DBA" w14:textId="77777777" w:rsidR="0018255E" w:rsidRDefault="00182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824"/>
    <w:multiLevelType w:val="hybridMultilevel"/>
    <w:tmpl w:val="C96AA31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91206"/>
    <w:multiLevelType w:val="hybridMultilevel"/>
    <w:tmpl w:val="EFAE7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75BCD"/>
    <w:multiLevelType w:val="hybridMultilevel"/>
    <w:tmpl w:val="59F6BD80"/>
    <w:lvl w:ilvl="0" w:tplc="04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8414FAB"/>
    <w:multiLevelType w:val="hybridMultilevel"/>
    <w:tmpl w:val="FEB88018"/>
    <w:lvl w:ilvl="0" w:tplc="BAFCC758">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BB37A71"/>
    <w:multiLevelType w:val="hybridMultilevel"/>
    <w:tmpl w:val="138C54B2"/>
    <w:lvl w:ilvl="0" w:tplc="030666F8">
      <w:start w:val="1"/>
      <w:numFmt w:val="lowerLetter"/>
      <w:lvlText w:val="%1."/>
      <w:lvlJc w:val="left"/>
      <w:pPr>
        <w:ind w:left="720" w:hanging="360"/>
      </w:pPr>
      <w:rPr>
        <w:rFonts w:hint="default"/>
      </w:rPr>
    </w:lvl>
    <w:lvl w:ilvl="1" w:tplc="C92C59D0" w:tentative="1">
      <w:start w:val="1"/>
      <w:numFmt w:val="lowerLetter"/>
      <w:lvlText w:val="%2."/>
      <w:lvlJc w:val="left"/>
      <w:pPr>
        <w:ind w:left="1440" w:hanging="360"/>
      </w:pPr>
    </w:lvl>
    <w:lvl w:ilvl="2" w:tplc="FC96BE16" w:tentative="1">
      <w:start w:val="1"/>
      <w:numFmt w:val="lowerRoman"/>
      <w:lvlText w:val="%3."/>
      <w:lvlJc w:val="right"/>
      <w:pPr>
        <w:ind w:left="2160" w:hanging="180"/>
      </w:pPr>
    </w:lvl>
    <w:lvl w:ilvl="3" w:tplc="CE6A6DDE" w:tentative="1">
      <w:start w:val="1"/>
      <w:numFmt w:val="decimal"/>
      <w:lvlText w:val="%4."/>
      <w:lvlJc w:val="left"/>
      <w:pPr>
        <w:ind w:left="2880" w:hanging="360"/>
      </w:pPr>
    </w:lvl>
    <w:lvl w:ilvl="4" w:tplc="3F309902" w:tentative="1">
      <w:start w:val="1"/>
      <w:numFmt w:val="lowerLetter"/>
      <w:lvlText w:val="%5."/>
      <w:lvlJc w:val="left"/>
      <w:pPr>
        <w:ind w:left="3600" w:hanging="360"/>
      </w:pPr>
    </w:lvl>
    <w:lvl w:ilvl="5" w:tplc="8FC86638" w:tentative="1">
      <w:start w:val="1"/>
      <w:numFmt w:val="lowerRoman"/>
      <w:lvlText w:val="%6."/>
      <w:lvlJc w:val="right"/>
      <w:pPr>
        <w:ind w:left="4320" w:hanging="180"/>
      </w:pPr>
    </w:lvl>
    <w:lvl w:ilvl="6" w:tplc="FFF2864E" w:tentative="1">
      <w:start w:val="1"/>
      <w:numFmt w:val="decimal"/>
      <w:lvlText w:val="%7."/>
      <w:lvlJc w:val="left"/>
      <w:pPr>
        <w:ind w:left="5040" w:hanging="360"/>
      </w:pPr>
    </w:lvl>
    <w:lvl w:ilvl="7" w:tplc="D564F638" w:tentative="1">
      <w:start w:val="1"/>
      <w:numFmt w:val="lowerLetter"/>
      <w:lvlText w:val="%8."/>
      <w:lvlJc w:val="left"/>
      <w:pPr>
        <w:ind w:left="5760" w:hanging="360"/>
      </w:pPr>
    </w:lvl>
    <w:lvl w:ilvl="8" w:tplc="4282ED60" w:tentative="1">
      <w:start w:val="1"/>
      <w:numFmt w:val="lowerRoman"/>
      <w:lvlText w:val="%9."/>
      <w:lvlJc w:val="right"/>
      <w:pPr>
        <w:ind w:left="6480" w:hanging="180"/>
      </w:pPr>
    </w:lvl>
  </w:abstractNum>
  <w:abstractNum w:abstractNumId="5" w15:restartNumberingAfterBreak="0">
    <w:nsid w:val="4D422AF6"/>
    <w:multiLevelType w:val="hybridMultilevel"/>
    <w:tmpl w:val="4A3E8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60B49"/>
    <w:multiLevelType w:val="hybridMultilevel"/>
    <w:tmpl w:val="89980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2669A"/>
    <w:multiLevelType w:val="hybridMultilevel"/>
    <w:tmpl w:val="035411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0634C1D"/>
    <w:multiLevelType w:val="hybridMultilevel"/>
    <w:tmpl w:val="19DE9B9A"/>
    <w:lvl w:ilvl="0" w:tplc="CDBE858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211D99"/>
    <w:multiLevelType w:val="hybridMultilevel"/>
    <w:tmpl w:val="A25E91D8"/>
    <w:lvl w:ilvl="0" w:tplc="A4A621D8">
      <w:start w:val="1"/>
      <w:numFmt w:val="decimal"/>
      <w:lvlText w:val="[%1]"/>
      <w:lvlJc w:val="left"/>
      <w:pPr>
        <w:ind w:left="720" w:hanging="360"/>
      </w:pPr>
      <w:rPr>
        <w:rFonts w:hint="default"/>
      </w:rPr>
    </w:lvl>
    <w:lvl w:ilvl="1" w:tplc="C04836D4" w:tentative="1">
      <w:start w:val="1"/>
      <w:numFmt w:val="lowerLetter"/>
      <w:lvlText w:val="%2."/>
      <w:lvlJc w:val="left"/>
      <w:pPr>
        <w:ind w:left="1440" w:hanging="360"/>
      </w:pPr>
    </w:lvl>
    <w:lvl w:ilvl="2" w:tplc="D9E6F3C6" w:tentative="1">
      <w:start w:val="1"/>
      <w:numFmt w:val="lowerRoman"/>
      <w:lvlText w:val="%3."/>
      <w:lvlJc w:val="right"/>
      <w:pPr>
        <w:ind w:left="2160" w:hanging="180"/>
      </w:pPr>
    </w:lvl>
    <w:lvl w:ilvl="3" w:tplc="9B56A9FA" w:tentative="1">
      <w:start w:val="1"/>
      <w:numFmt w:val="decimal"/>
      <w:lvlText w:val="%4."/>
      <w:lvlJc w:val="left"/>
      <w:pPr>
        <w:ind w:left="2880" w:hanging="360"/>
      </w:pPr>
    </w:lvl>
    <w:lvl w:ilvl="4" w:tplc="663EE542" w:tentative="1">
      <w:start w:val="1"/>
      <w:numFmt w:val="lowerLetter"/>
      <w:lvlText w:val="%5."/>
      <w:lvlJc w:val="left"/>
      <w:pPr>
        <w:ind w:left="3600" w:hanging="360"/>
      </w:pPr>
    </w:lvl>
    <w:lvl w:ilvl="5" w:tplc="A11C4E06" w:tentative="1">
      <w:start w:val="1"/>
      <w:numFmt w:val="lowerRoman"/>
      <w:lvlText w:val="%6."/>
      <w:lvlJc w:val="right"/>
      <w:pPr>
        <w:ind w:left="4320" w:hanging="180"/>
      </w:pPr>
    </w:lvl>
    <w:lvl w:ilvl="6" w:tplc="966AC8D6" w:tentative="1">
      <w:start w:val="1"/>
      <w:numFmt w:val="decimal"/>
      <w:lvlText w:val="%7."/>
      <w:lvlJc w:val="left"/>
      <w:pPr>
        <w:ind w:left="5040" w:hanging="360"/>
      </w:pPr>
    </w:lvl>
    <w:lvl w:ilvl="7" w:tplc="59AEC920" w:tentative="1">
      <w:start w:val="1"/>
      <w:numFmt w:val="lowerLetter"/>
      <w:lvlText w:val="%8."/>
      <w:lvlJc w:val="left"/>
      <w:pPr>
        <w:ind w:left="5760" w:hanging="360"/>
      </w:pPr>
    </w:lvl>
    <w:lvl w:ilvl="8" w:tplc="50D8F09A" w:tentative="1">
      <w:start w:val="1"/>
      <w:numFmt w:val="lowerRoman"/>
      <w:lvlText w:val="%9."/>
      <w:lvlJc w:val="right"/>
      <w:pPr>
        <w:ind w:left="6480" w:hanging="180"/>
      </w:pPr>
    </w:lvl>
  </w:abstractNum>
  <w:abstractNum w:abstractNumId="10" w15:restartNumberingAfterBreak="0">
    <w:nsid w:val="7E4F65A0"/>
    <w:multiLevelType w:val="hybridMultilevel"/>
    <w:tmpl w:val="035411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21198311">
    <w:abstractNumId w:val="4"/>
  </w:num>
  <w:num w:numId="2" w16cid:durableId="1139879865">
    <w:abstractNumId w:val="10"/>
  </w:num>
  <w:num w:numId="3" w16cid:durableId="544295051">
    <w:abstractNumId w:val="3"/>
  </w:num>
  <w:num w:numId="4" w16cid:durableId="1332558805">
    <w:abstractNumId w:val="2"/>
  </w:num>
  <w:num w:numId="5" w16cid:durableId="52316892">
    <w:abstractNumId w:val="7"/>
  </w:num>
  <w:num w:numId="6" w16cid:durableId="1755008767">
    <w:abstractNumId w:val="1"/>
  </w:num>
  <w:num w:numId="7" w16cid:durableId="344021074">
    <w:abstractNumId w:val="5"/>
  </w:num>
  <w:num w:numId="8" w16cid:durableId="1571883656">
    <w:abstractNumId w:val="6"/>
  </w:num>
  <w:num w:numId="9" w16cid:durableId="568072895">
    <w:abstractNumId w:val="0"/>
  </w:num>
  <w:num w:numId="10" w16cid:durableId="1634289650">
    <w:abstractNumId w:val="9"/>
  </w:num>
  <w:num w:numId="11" w16cid:durableId="151645783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D6"/>
    <w:rsid w:val="000047CE"/>
    <w:rsid w:val="00004DC5"/>
    <w:rsid w:val="00005CA4"/>
    <w:rsid w:val="00005E0B"/>
    <w:rsid w:val="00006113"/>
    <w:rsid w:val="00006168"/>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4200"/>
    <w:rsid w:val="00034731"/>
    <w:rsid w:val="00034D09"/>
    <w:rsid w:val="00034E0E"/>
    <w:rsid w:val="00035653"/>
    <w:rsid w:val="00037117"/>
    <w:rsid w:val="0004147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4921"/>
    <w:rsid w:val="000550BD"/>
    <w:rsid w:val="000552F2"/>
    <w:rsid w:val="0005545F"/>
    <w:rsid w:val="00056483"/>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6ECA"/>
    <w:rsid w:val="00077093"/>
    <w:rsid w:val="000800AC"/>
    <w:rsid w:val="00081F90"/>
    <w:rsid w:val="00082BF0"/>
    <w:rsid w:val="000843D6"/>
    <w:rsid w:val="00084943"/>
    <w:rsid w:val="00085ABE"/>
    <w:rsid w:val="00090801"/>
    <w:rsid w:val="00091502"/>
    <w:rsid w:val="00091BA7"/>
    <w:rsid w:val="00092610"/>
    <w:rsid w:val="00096C84"/>
    <w:rsid w:val="00097237"/>
    <w:rsid w:val="000A3982"/>
    <w:rsid w:val="000A3A1A"/>
    <w:rsid w:val="000A5BBF"/>
    <w:rsid w:val="000A745C"/>
    <w:rsid w:val="000B0270"/>
    <w:rsid w:val="000B1146"/>
    <w:rsid w:val="000B2FBA"/>
    <w:rsid w:val="000B3303"/>
    <w:rsid w:val="000B3A5A"/>
    <w:rsid w:val="000C0092"/>
    <w:rsid w:val="000C34AC"/>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2197C"/>
    <w:rsid w:val="001229C9"/>
    <w:rsid w:val="0012460A"/>
    <w:rsid w:val="001248D9"/>
    <w:rsid w:val="00124AFB"/>
    <w:rsid w:val="00125E9B"/>
    <w:rsid w:val="001269E8"/>
    <w:rsid w:val="00127D2C"/>
    <w:rsid w:val="0013113C"/>
    <w:rsid w:val="001315A5"/>
    <w:rsid w:val="001317F8"/>
    <w:rsid w:val="0013204A"/>
    <w:rsid w:val="00132F96"/>
    <w:rsid w:val="00133CDF"/>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45B5"/>
    <w:rsid w:val="00195D62"/>
    <w:rsid w:val="00197A53"/>
    <w:rsid w:val="001A115C"/>
    <w:rsid w:val="001A2BBC"/>
    <w:rsid w:val="001A422D"/>
    <w:rsid w:val="001A4916"/>
    <w:rsid w:val="001A638B"/>
    <w:rsid w:val="001A7126"/>
    <w:rsid w:val="001B0A52"/>
    <w:rsid w:val="001B0F0D"/>
    <w:rsid w:val="001B1852"/>
    <w:rsid w:val="001B29B7"/>
    <w:rsid w:val="001B2B93"/>
    <w:rsid w:val="001B3B89"/>
    <w:rsid w:val="001B53AD"/>
    <w:rsid w:val="001B70F9"/>
    <w:rsid w:val="001B7253"/>
    <w:rsid w:val="001B72A8"/>
    <w:rsid w:val="001C011E"/>
    <w:rsid w:val="001C2B31"/>
    <w:rsid w:val="001C38BF"/>
    <w:rsid w:val="001C41EF"/>
    <w:rsid w:val="001C4267"/>
    <w:rsid w:val="001D389D"/>
    <w:rsid w:val="001D3D37"/>
    <w:rsid w:val="001D4627"/>
    <w:rsid w:val="001D5D85"/>
    <w:rsid w:val="001E04AB"/>
    <w:rsid w:val="001E17C6"/>
    <w:rsid w:val="001E24DE"/>
    <w:rsid w:val="001E32E7"/>
    <w:rsid w:val="001E5195"/>
    <w:rsid w:val="001E5854"/>
    <w:rsid w:val="001E5894"/>
    <w:rsid w:val="001E787D"/>
    <w:rsid w:val="001F0622"/>
    <w:rsid w:val="001F0CF0"/>
    <w:rsid w:val="001F150A"/>
    <w:rsid w:val="001F1BAF"/>
    <w:rsid w:val="001F3ADD"/>
    <w:rsid w:val="001F42C6"/>
    <w:rsid w:val="001F4AC7"/>
    <w:rsid w:val="001F6973"/>
    <w:rsid w:val="001F7F7F"/>
    <w:rsid w:val="002003C3"/>
    <w:rsid w:val="00201AD1"/>
    <w:rsid w:val="00203318"/>
    <w:rsid w:val="00204C8F"/>
    <w:rsid w:val="00204DFC"/>
    <w:rsid w:val="00205F86"/>
    <w:rsid w:val="00210487"/>
    <w:rsid w:val="00211364"/>
    <w:rsid w:val="00214BC6"/>
    <w:rsid w:val="002162B5"/>
    <w:rsid w:val="00216B67"/>
    <w:rsid w:val="00216D8F"/>
    <w:rsid w:val="00216EF3"/>
    <w:rsid w:val="002176E3"/>
    <w:rsid w:val="002178B8"/>
    <w:rsid w:val="0022061C"/>
    <w:rsid w:val="002206B8"/>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4918"/>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57FEB"/>
    <w:rsid w:val="002603E6"/>
    <w:rsid w:val="002616D1"/>
    <w:rsid w:val="0026521E"/>
    <w:rsid w:val="00271FA3"/>
    <w:rsid w:val="002748ED"/>
    <w:rsid w:val="002805A9"/>
    <w:rsid w:val="002830C7"/>
    <w:rsid w:val="00284CCD"/>
    <w:rsid w:val="00285204"/>
    <w:rsid w:val="0028572E"/>
    <w:rsid w:val="002860B4"/>
    <w:rsid w:val="002874E1"/>
    <w:rsid w:val="00287A2F"/>
    <w:rsid w:val="002904E9"/>
    <w:rsid w:val="0029067F"/>
    <w:rsid w:val="00291FE1"/>
    <w:rsid w:val="00296B44"/>
    <w:rsid w:val="002A1CA5"/>
    <w:rsid w:val="002A371B"/>
    <w:rsid w:val="002A37FF"/>
    <w:rsid w:val="002A4404"/>
    <w:rsid w:val="002A4CAC"/>
    <w:rsid w:val="002A6ECF"/>
    <w:rsid w:val="002B2483"/>
    <w:rsid w:val="002B2C90"/>
    <w:rsid w:val="002B3711"/>
    <w:rsid w:val="002B5112"/>
    <w:rsid w:val="002B5480"/>
    <w:rsid w:val="002C438D"/>
    <w:rsid w:val="002C66E4"/>
    <w:rsid w:val="002D0B26"/>
    <w:rsid w:val="002D48B0"/>
    <w:rsid w:val="002D6E55"/>
    <w:rsid w:val="002D75FC"/>
    <w:rsid w:val="002E26EB"/>
    <w:rsid w:val="002E386B"/>
    <w:rsid w:val="002E3FF2"/>
    <w:rsid w:val="002E6BEB"/>
    <w:rsid w:val="002E75E4"/>
    <w:rsid w:val="002F1008"/>
    <w:rsid w:val="002F3497"/>
    <w:rsid w:val="002F5DB0"/>
    <w:rsid w:val="00302CA5"/>
    <w:rsid w:val="00306FA8"/>
    <w:rsid w:val="00307087"/>
    <w:rsid w:val="00311914"/>
    <w:rsid w:val="00312002"/>
    <w:rsid w:val="003123C9"/>
    <w:rsid w:val="00313C3F"/>
    <w:rsid w:val="0031435F"/>
    <w:rsid w:val="00315D1F"/>
    <w:rsid w:val="00315F23"/>
    <w:rsid w:val="00316EB9"/>
    <w:rsid w:val="003171C8"/>
    <w:rsid w:val="00317404"/>
    <w:rsid w:val="00317783"/>
    <w:rsid w:val="0032006F"/>
    <w:rsid w:val="00323881"/>
    <w:rsid w:val="00324950"/>
    <w:rsid w:val="003253E9"/>
    <w:rsid w:val="00325FEA"/>
    <w:rsid w:val="00327215"/>
    <w:rsid w:val="003323FC"/>
    <w:rsid w:val="0033780C"/>
    <w:rsid w:val="003412F2"/>
    <w:rsid w:val="00342263"/>
    <w:rsid w:val="00345E76"/>
    <w:rsid w:val="00351C8A"/>
    <w:rsid w:val="00353694"/>
    <w:rsid w:val="00357FF6"/>
    <w:rsid w:val="00360410"/>
    <w:rsid w:val="00360B26"/>
    <w:rsid w:val="00361E37"/>
    <w:rsid w:val="00362A4A"/>
    <w:rsid w:val="00363112"/>
    <w:rsid w:val="003639DC"/>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864"/>
    <w:rsid w:val="003952DB"/>
    <w:rsid w:val="00396184"/>
    <w:rsid w:val="00396EF0"/>
    <w:rsid w:val="003A0F0A"/>
    <w:rsid w:val="003A5ABF"/>
    <w:rsid w:val="003A5CEA"/>
    <w:rsid w:val="003A6C7E"/>
    <w:rsid w:val="003A6D95"/>
    <w:rsid w:val="003B1B87"/>
    <w:rsid w:val="003C2346"/>
    <w:rsid w:val="003C2BA4"/>
    <w:rsid w:val="003C3970"/>
    <w:rsid w:val="003C4330"/>
    <w:rsid w:val="003C6699"/>
    <w:rsid w:val="003C6BF4"/>
    <w:rsid w:val="003C6EF9"/>
    <w:rsid w:val="003D067E"/>
    <w:rsid w:val="003D0F40"/>
    <w:rsid w:val="003D10F3"/>
    <w:rsid w:val="003D1908"/>
    <w:rsid w:val="003D46DC"/>
    <w:rsid w:val="003E0C66"/>
    <w:rsid w:val="003E1A64"/>
    <w:rsid w:val="003E3DD0"/>
    <w:rsid w:val="003E407F"/>
    <w:rsid w:val="003E5CC9"/>
    <w:rsid w:val="003E5D2A"/>
    <w:rsid w:val="003E69C8"/>
    <w:rsid w:val="003E6B22"/>
    <w:rsid w:val="003F006C"/>
    <w:rsid w:val="003F0FDD"/>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8AB"/>
    <w:rsid w:val="00422B8D"/>
    <w:rsid w:val="00422F45"/>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53DA"/>
    <w:rsid w:val="004463C7"/>
    <w:rsid w:val="00446568"/>
    <w:rsid w:val="00451752"/>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30FC"/>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301A"/>
    <w:rsid w:val="004C62D9"/>
    <w:rsid w:val="004C7439"/>
    <w:rsid w:val="004D01F2"/>
    <w:rsid w:val="004D0241"/>
    <w:rsid w:val="004D0EC3"/>
    <w:rsid w:val="004D299A"/>
    <w:rsid w:val="004D3C02"/>
    <w:rsid w:val="004D4ABE"/>
    <w:rsid w:val="004D7610"/>
    <w:rsid w:val="004E0BFD"/>
    <w:rsid w:val="004E1878"/>
    <w:rsid w:val="004E38AF"/>
    <w:rsid w:val="004E39A5"/>
    <w:rsid w:val="004E46E2"/>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50F1"/>
    <w:rsid w:val="0051773B"/>
    <w:rsid w:val="00520B55"/>
    <w:rsid w:val="00522BF4"/>
    <w:rsid w:val="00522C3B"/>
    <w:rsid w:val="00525EBB"/>
    <w:rsid w:val="005272DF"/>
    <w:rsid w:val="005275D2"/>
    <w:rsid w:val="00527891"/>
    <w:rsid w:val="00532E68"/>
    <w:rsid w:val="0053304F"/>
    <w:rsid w:val="00533147"/>
    <w:rsid w:val="005332F8"/>
    <w:rsid w:val="00534B41"/>
    <w:rsid w:val="0053530A"/>
    <w:rsid w:val="0053625E"/>
    <w:rsid w:val="00537787"/>
    <w:rsid w:val="00542EED"/>
    <w:rsid w:val="005440D6"/>
    <w:rsid w:val="00547CA0"/>
    <w:rsid w:val="00551A56"/>
    <w:rsid w:val="005522FA"/>
    <w:rsid w:val="00552E1D"/>
    <w:rsid w:val="00552E9E"/>
    <w:rsid w:val="0055345F"/>
    <w:rsid w:val="00553AD2"/>
    <w:rsid w:val="00556581"/>
    <w:rsid w:val="00556B1D"/>
    <w:rsid w:val="00557568"/>
    <w:rsid w:val="00560775"/>
    <w:rsid w:val="00562186"/>
    <w:rsid w:val="00563C81"/>
    <w:rsid w:val="0056591F"/>
    <w:rsid w:val="00566925"/>
    <w:rsid w:val="00566B2A"/>
    <w:rsid w:val="00567246"/>
    <w:rsid w:val="00570388"/>
    <w:rsid w:val="005717BD"/>
    <w:rsid w:val="0057250A"/>
    <w:rsid w:val="00573027"/>
    <w:rsid w:val="00573C0B"/>
    <w:rsid w:val="00574D66"/>
    <w:rsid w:val="00575EB5"/>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5002"/>
    <w:rsid w:val="005C5755"/>
    <w:rsid w:val="005C5AC7"/>
    <w:rsid w:val="005C619F"/>
    <w:rsid w:val="005C788E"/>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7EFE"/>
    <w:rsid w:val="005F0307"/>
    <w:rsid w:val="005F208B"/>
    <w:rsid w:val="005F2890"/>
    <w:rsid w:val="005F5F07"/>
    <w:rsid w:val="005F6192"/>
    <w:rsid w:val="005F6B63"/>
    <w:rsid w:val="00601937"/>
    <w:rsid w:val="00601E8D"/>
    <w:rsid w:val="00602094"/>
    <w:rsid w:val="0060371F"/>
    <w:rsid w:val="00604244"/>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393"/>
    <w:rsid w:val="006462B3"/>
    <w:rsid w:val="0065195C"/>
    <w:rsid w:val="00652738"/>
    <w:rsid w:val="00653C4F"/>
    <w:rsid w:val="00655674"/>
    <w:rsid w:val="00655AF5"/>
    <w:rsid w:val="00656F9B"/>
    <w:rsid w:val="00662B23"/>
    <w:rsid w:val="00662F7E"/>
    <w:rsid w:val="006630B2"/>
    <w:rsid w:val="00663472"/>
    <w:rsid w:val="006646BA"/>
    <w:rsid w:val="00664D4A"/>
    <w:rsid w:val="00664FF0"/>
    <w:rsid w:val="00666E4E"/>
    <w:rsid w:val="00667BD0"/>
    <w:rsid w:val="00670148"/>
    <w:rsid w:val="00670306"/>
    <w:rsid w:val="00670657"/>
    <w:rsid w:val="006727C1"/>
    <w:rsid w:val="00675BEE"/>
    <w:rsid w:val="00675E7A"/>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4A1B"/>
    <w:rsid w:val="006B77AB"/>
    <w:rsid w:val="006B7FBF"/>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1CEA"/>
    <w:rsid w:val="006E3AD8"/>
    <w:rsid w:val="006E5055"/>
    <w:rsid w:val="006E77C8"/>
    <w:rsid w:val="006F0C0D"/>
    <w:rsid w:val="006F2D4F"/>
    <w:rsid w:val="006F301E"/>
    <w:rsid w:val="006F30ED"/>
    <w:rsid w:val="006F4BDB"/>
    <w:rsid w:val="006F538E"/>
    <w:rsid w:val="006F555A"/>
    <w:rsid w:val="006F67B4"/>
    <w:rsid w:val="00702A2B"/>
    <w:rsid w:val="007038E3"/>
    <w:rsid w:val="00712648"/>
    <w:rsid w:val="0071364B"/>
    <w:rsid w:val="0071522C"/>
    <w:rsid w:val="00715D73"/>
    <w:rsid w:val="007162D7"/>
    <w:rsid w:val="00717982"/>
    <w:rsid w:val="0072059C"/>
    <w:rsid w:val="0072066E"/>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C7"/>
    <w:rsid w:val="00756B61"/>
    <w:rsid w:val="007578AA"/>
    <w:rsid w:val="00760EB6"/>
    <w:rsid w:val="00760FE2"/>
    <w:rsid w:val="007619DB"/>
    <w:rsid w:val="007626C7"/>
    <w:rsid w:val="00764D26"/>
    <w:rsid w:val="00765135"/>
    <w:rsid w:val="00765347"/>
    <w:rsid w:val="00766E50"/>
    <w:rsid w:val="007674BC"/>
    <w:rsid w:val="00767ED7"/>
    <w:rsid w:val="00771F5D"/>
    <w:rsid w:val="00772FBA"/>
    <w:rsid w:val="00773225"/>
    <w:rsid w:val="007738CC"/>
    <w:rsid w:val="00773FC6"/>
    <w:rsid w:val="007755B4"/>
    <w:rsid w:val="00775AD9"/>
    <w:rsid w:val="00776073"/>
    <w:rsid w:val="00776662"/>
    <w:rsid w:val="0077795E"/>
    <w:rsid w:val="00777CF1"/>
    <w:rsid w:val="0078068F"/>
    <w:rsid w:val="00780E7F"/>
    <w:rsid w:val="0078259E"/>
    <w:rsid w:val="00784D01"/>
    <w:rsid w:val="007900F9"/>
    <w:rsid w:val="007904F0"/>
    <w:rsid w:val="0079174B"/>
    <w:rsid w:val="00791973"/>
    <w:rsid w:val="00791AAB"/>
    <w:rsid w:val="00794453"/>
    <w:rsid w:val="007950FB"/>
    <w:rsid w:val="0079521D"/>
    <w:rsid w:val="00795781"/>
    <w:rsid w:val="007A1489"/>
    <w:rsid w:val="007A2ED7"/>
    <w:rsid w:val="007A401F"/>
    <w:rsid w:val="007B261A"/>
    <w:rsid w:val="007B6067"/>
    <w:rsid w:val="007B63C6"/>
    <w:rsid w:val="007B63CA"/>
    <w:rsid w:val="007C1331"/>
    <w:rsid w:val="007C1F2D"/>
    <w:rsid w:val="007C2554"/>
    <w:rsid w:val="007C4161"/>
    <w:rsid w:val="007C491F"/>
    <w:rsid w:val="007C4B46"/>
    <w:rsid w:val="007C7FB5"/>
    <w:rsid w:val="007D1F4C"/>
    <w:rsid w:val="007D209C"/>
    <w:rsid w:val="007D33C9"/>
    <w:rsid w:val="007D37CA"/>
    <w:rsid w:val="007D4161"/>
    <w:rsid w:val="007D437D"/>
    <w:rsid w:val="007D4D53"/>
    <w:rsid w:val="007E3096"/>
    <w:rsid w:val="007E3315"/>
    <w:rsid w:val="007E4E7F"/>
    <w:rsid w:val="007F10F9"/>
    <w:rsid w:val="007F1449"/>
    <w:rsid w:val="007F3407"/>
    <w:rsid w:val="007F3564"/>
    <w:rsid w:val="007F3DBB"/>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69B2"/>
    <w:rsid w:val="0081703C"/>
    <w:rsid w:val="00817811"/>
    <w:rsid w:val="0082330F"/>
    <w:rsid w:val="0082534E"/>
    <w:rsid w:val="00825B9B"/>
    <w:rsid w:val="008264FF"/>
    <w:rsid w:val="0082787C"/>
    <w:rsid w:val="008318F6"/>
    <w:rsid w:val="0083224B"/>
    <w:rsid w:val="00832BE2"/>
    <w:rsid w:val="00833828"/>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2582"/>
    <w:rsid w:val="00865691"/>
    <w:rsid w:val="00865AF2"/>
    <w:rsid w:val="00866216"/>
    <w:rsid w:val="00867043"/>
    <w:rsid w:val="00870D3E"/>
    <w:rsid w:val="00871DEA"/>
    <w:rsid w:val="00873194"/>
    <w:rsid w:val="00873994"/>
    <w:rsid w:val="00873C31"/>
    <w:rsid w:val="00873D6B"/>
    <w:rsid w:val="0087693E"/>
    <w:rsid w:val="00876CC4"/>
    <w:rsid w:val="0087712D"/>
    <w:rsid w:val="008804DB"/>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036D"/>
    <w:rsid w:val="008B2243"/>
    <w:rsid w:val="008B372D"/>
    <w:rsid w:val="008B5768"/>
    <w:rsid w:val="008B696A"/>
    <w:rsid w:val="008C0ADB"/>
    <w:rsid w:val="008C134F"/>
    <w:rsid w:val="008C1729"/>
    <w:rsid w:val="008C5F5E"/>
    <w:rsid w:val="008D0A02"/>
    <w:rsid w:val="008D0CC5"/>
    <w:rsid w:val="008D5975"/>
    <w:rsid w:val="008D5DBD"/>
    <w:rsid w:val="008D7D69"/>
    <w:rsid w:val="008E087D"/>
    <w:rsid w:val="008E326D"/>
    <w:rsid w:val="008E38C1"/>
    <w:rsid w:val="008E452B"/>
    <w:rsid w:val="008E6389"/>
    <w:rsid w:val="008E66D3"/>
    <w:rsid w:val="008F27AF"/>
    <w:rsid w:val="008F32FC"/>
    <w:rsid w:val="008F40BE"/>
    <w:rsid w:val="008F495E"/>
    <w:rsid w:val="008F5418"/>
    <w:rsid w:val="008F6B36"/>
    <w:rsid w:val="008F7407"/>
    <w:rsid w:val="008F7F21"/>
    <w:rsid w:val="0090553E"/>
    <w:rsid w:val="009067E4"/>
    <w:rsid w:val="009079DD"/>
    <w:rsid w:val="00907A7F"/>
    <w:rsid w:val="0091154A"/>
    <w:rsid w:val="00911EB8"/>
    <w:rsid w:val="0091209C"/>
    <w:rsid w:val="0091224E"/>
    <w:rsid w:val="009128F7"/>
    <w:rsid w:val="00912AE2"/>
    <w:rsid w:val="009137B5"/>
    <w:rsid w:val="00914188"/>
    <w:rsid w:val="0092076A"/>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6BB5"/>
    <w:rsid w:val="00956D7E"/>
    <w:rsid w:val="00957166"/>
    <w:rsid w:val="00962282"/>
    <w:rsid w:val="00962A2B"/>
    <w:rsid w:val="00962A8B"/>
    <w:rsid w:val="00965204"/>
    <w:rsid w:val="00965B09"/>
    <w:rsid w:val="009660A2"/>
    <w:rsid w:val="00970574"/>
    <w:rsid w:val="009723E7"/>
    <w:rsid w:val="009732D5"/>
    <w:rsid w:val="00973ED9"/>
    <w:rsid w:val="009746A5"/>
    <w:rsid w:val="00975734"/>
    <w:rsid w:val="0097742F"/>
    <w:rsid w:val="00977732"/>
    <w:rsid w:val="0098048D"/>
    <w:rsid w:val="00980F67"/>
    <w:rsid w:val="00981792"/>
    <w:rsid w:val="00981F50"/>
    <w:rsid w:val="0098219E"/>
    <w:rsid w:val="00983502"/>
    <w:rsid w:val="00984183"/>
    <w:rsid w:val="00985940"/>
    <w:rsid w:val="009871D1"/>
    <w:rsid w:val="00990AF9"/>
    <w:rsid w:val="00991034"/>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3BE"/>
    <w:rsid w:val="009A7CEF"/>
    <w:rsid w:val="009B35CF"/>
    <w:rsid w:val="009B3DDA"/>
    <w:rsid w:val="009B43B5"/>
    <w:rsid w:val="009B4F2C"/>
    <w:rsid w:val="009B6C32"/>
    <w:rsid w:val="009B6EC3"/>
    <w:rsid w:val="009B764D"/>
    <w:rsid w:val="009C0094"/>
    <w:rsid w:val="009C0B01"/>
    <w:rsid w:val="009C2524"/>
    <w:rsid w:val="009C2DCF"/>
    <w:rsid w:val="009C38A6"/>
    <w:rsid w:val="009C5485"/>
    <w:rsid w:val="009C665C"/>
    <w:rsid w:val="009C6995"/>
    <w:rsid w:val="009C6DAE"/>
    <w:rsid w:val="009D0530"/>
    <w:rsid w:val="009D2B19"/>
    <w:rsid w:val="009D3BEA"/>
    <w:rsid w:val="009D4551"/>
    <w:rsid w:val="009D6B46"/>
    <w:rsid w:val="009E2F33"/>
    <w:rsid w:val="009E5273"/>
    <w:rsid w:val="009E5790"/>
    <w:rsid w:val="009E5AB7"/>
    <w:rsid w:val="009E64FD"/>
    <w:rsid w:val="009F28BF"/>
    <w:rsid w:val="009F55EE"/>
    <w:rsid w:val="009F5EA0"/>
    <w:rsid w:val="009F60AF"/>
    <w:rsid w:val="009F6C64"/>
    <w:rsid w:val="00A00E46"/>
    <w:rsid w:val="00A01CB2"/>
    <w:rsid w:val="00A043DE"/>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534E"/>
    <w:rsid w:val="00A36FE8"/>
    <w:rsid w:val="00A419C5"/>
    <w:rsid w:val="00A45638"/>
    <w:rsid w:val="00A45AD6"/>
    <w:rsid w:val="00A46430"/>
    <w:rsid w:val="00A52077"/>
    <w:rsid w:val="00A52BA9"/>
    <w:rsid w:val="00A53989"/>
    <w:rsid w:val="00A547E7"/>
    <w:rsid w:val="00A5644E"/>
    <w:rsid w:val="00A57B8A"/>
    <w:rsid w:val="00A57F9B"/>
    <w:rsid w:val="00A6011B"/>
    <w:rsid w:val="00A60EA3"/>
    <w:rsid w:val="00A613AB"/>
    <w:rsid w:val="00A62B93"/>
    <w:rsid w:val="00A63150"/>
    <w:rsid w:val="00A63D84"/>
    <w:rsid w:val="00A64160"/>
    <w:rsid w:val="00A64DD5"/>
    <w:rsid w:val="00A6691D"/>
    <w:rsid w:val="00A6723C"/>
    <w:rsid w:val="00A6724A"/>
    <w:rsid w:val="00A7001A"/>
    <w:rsid w:val="00A70437"/>
    <w:rsid w:val="00A7631F"/>
    <w:rsid w:val="00A772C4"/>
    <w:rsid w:val="00A81F7C"/>
    <w:rsid w:val="00A90FCE"/>
    <w:rsid w:val="00A91522"/>
    <w:rsid w:val="00A92057"/>
    <w:rsid w:val="00A92704"/>
    <w:rsid w:val="00A94B99"/>
    <w:rsid w:val="00A94C4C"/>
    <w:rsid w:val="00A94F25"/>
    <w:rsid w:val="00A97BC1"/>
    <w:rsid w:val="00AA1017"/>
    <w:rsid w:val="00AA2C2C"/>
    <w:rsid w:val="00AA3086"/>
    <w:rsid w:val="00AA3231"/>
    <w:rsid w:val="00AA71F8"/>
    <w:rsid w:val="00AB1805"/>
    <w:rsid w:val="00AB2081"/>
    <w:rsid w:val="00AB5E31"/>
    <w:rsid w:val="00AB5EE8"/>
    <w:rsid w:val="00AB6BD6"/>
    <w:rsid w:val="00AB7AEF"/>
    <w:rsid w:val="00AB7B84"/>
    <w:rsid w:val="00AC092B"/>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044"/>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103F"/>
    <w:rsid w:val="00B06F4B"/>
    <w:rsid w:val="00B07792"/>
    <w:rsid w:val="00B07951"/>
    <w:rsid w:val="00B10A25"/>
    <w:rsid w:val="00B11166"/>
    <w:rsid w:val="00B131EA"/>
    <w:rsid w:val="00B1332A"/>
    <w:rsid w:val="00B1458D"/>
    <w:rsid w:val="00B178F9"/>
    <w:rsid w:val="00B2147F"/>
    <w:rsid w:val="00B2154E"/>
    <w:rsid w:val="00B21881"/>
    <w:rsid w:val="00B22BD1"/>
    <w:rsid w:val="00B23BB0"/>
    <w:rsid w:val="00B23E77"/>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C01AD"/>
    <w:rsid w:val="00BC1AB7"/>
    <w:rsid w:val="00BC1DDF"/>
    <w:rsid w:val="00BC2F31"/>
    <w:rsid w:val="00BC4122"/>
    <w:rsid w:val="00BC5731"/>
    <w:rsid w:val="00BC6712"/>
    <w:rsid w:val="00BC6CAE"/>
    <w:rsid w:val="00BC6F62"/>
    <w:rsid w:val="00BC791F"/>
    <w:rsid w:val="00BD0913"/>
    <w:rsid w:val="00BD1BA9"/>
    <w:rsid w:val="00BD2513"/>
    <w:rsid w:val="00BD4716"/>
    <w:rsid w:val="00BD475A"/>
    <w:rsid w:val="00BD4B3E"/>
    <w:rsid w:val="00BD4C24"/>
    <w:rsid w:val="00BD61F9"/>
    <w:rsid w:val="00BD7425"/>
    <w:rsid w:val="00BE0F80"/>
    <w:rsid w:val="00BE1025"/>
    <w:rsid w:val="00BE160A"/>
    <w:rsid w:val="00BE2A68"/>
    <w:rsid w:val="00BE40BD"/>
    <w:rsid w:val="00BE5175"/>
    <w:rsid w:val="00BE544D"/>
    <w:rsid w:val="00BE7757"/>
    <w:rsid w:val="00BF057C"/>
    <w:rsid w:val="00BF24D5"/>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1037C"/>
    <w:rsid w:val="00C11367"/>
    <w:rsid w:val="00C1205A"/>
    <w:rsid w:val="00C1281B"/>
    <w:rsid w:val="00C13DB2"/>
    <w:rsid w:val="00C149CF"/>
    <w:rsid w:val="00C17ADA"/>
    <w:rsid w:val="00C2088D"/>
    <w:rsid w:val="00C20A0D"/>
    <w:rsid w:val="00C20D3C"/>
    <w:rsid w:val="00C21447"/>
    <w:rsid w:val="00C244A5"/>
    <w:rsid w:val="00C24C7A"/>
    <w:rsid w:val="00C2598A"/>
    <w:rsid w:val="00C30F55"/>
    <w:rsid w:val="00C32139"/>
    <w:rsid w:val="00C32255"/>
    <w:rsid w:val="00C33B32"/>
    <w:rsid w:val="00C342F6"/>
    <w:rsid w:val="00C34C76"/>
    <w:rsid w:val="00C35416"/>
    <w:rsid w:val="00C35FF0"/>
    <w:rsid w:val="00C42301"/>
    <w:rsid w:val="00C43A9D"/>
    <w:rsid w:val="00C43FCA"/>
    <w:rsid w:val="00C47BFE"/>
    <w:rsid w:val="00C5161B"/>
    <w:rsid w:val="00C53F03"/>
    <w:rsid w:val="00C54B4E"/>
    <w:rsid w:val="00C56385"/>
    <w:rsid w:val="00C56AE0"/>
    <w:rsid w:val="00C6000C"/>
    <w:rsid w:val="00C60191"/>
    <w:rsid w:val="00C62B39"/>
    <w:rsid w:val="00C63CB8"/>
    <w:rsid w:val="00C6650E"/>
    <w:rsid w:val="00C70976"/>
    <w:rsid w:val="00C72A72"/>
    <w:rsid w:val="00C735B1"/>
    <w:rsid w:val="00C740D0"/>
    <w:rsid w:val="00C74328"/>
    <w:rsid w:val="00C74AE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4371"/>
    <w:rsid w:val="00C9470C"/>
    <w:rsid w:val="00C96BA1"/>
    <w:rsid w:val="00C974DF"/>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449B"/>
    <w:rsid w:val="00CB5855"/>
    <w:rsid w:val="00CB5865"/>
    <w:rsid w:val="00CB690C"/>
    <w:rsid w:val="00CB784C"/>
    <w:rsid w:val="00CB78A0"/>
    <w:rsid w:val="00CB794E"/>
    <w:rsid w:val="00CC0224"/>
    <w:rsid w:val="00CC067B"/>
    <w:rsid w:val="00CC2072"/>
    <w:rsid w:val="00CC3252"/>
    <w:rsid w:val="00CC46B1"/>
    <w:rsid w:val="00CC4ACC"/>
    <w:rsid w:val="00CC56D9"/>
    <w:rsid w:val="00CC6231"/>
    <w:rsid w:val="00CC6FF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4B49"/>
    <w:rsid w:val="00D14D4C"/>
    <w:rsid w:val="00D1514F"/>
    <w:rsid w:val="00D15B02"/>
    <w:rsid w:val="00D17110"/>
    <w:rsid w:val="00D171F1"/>
    <w:rsid w:val="00D17AF0"/>
    <w:rsid w:val="00D21526"/>
    <w:rsid w:val="00D2209C"/>
    <w:rsid w:val="00D2249A"/>
    <w:rsid w:val="00D23B13"/>
    <w:rsid w:val="00D24A8B"/>
    <w:rsid w:val="00D26713"/>
    <w:rsid w:val="00D27507"/>
    <w:rsid w:val="00D27955"/>
    <w:rsid w:val="00D3028C"/>
    <w:rsid w:val="00D32712"/>
    <w:rsid w:val="00D35843"/>
    <w:rsid w:val="00D36AEB"/>
    <w:rsid w:val="00D37DD8"/>
    <w:rsid w:val="00D40AC7"/>
    <w:rsid w:val="00D417AD"/>
    <w:rsid w:val="00D422E5"/>
    <w:rsid w:val="00D43CC4"/>
    <w:rsid w:val="00D45881"/>
    <w:rsid w:val="00D465C5"/>
    <w:rsid w:val="00D46A1D"/>
    <w:rsid w:val="00D501C3"/>
    <w:rsid w:val="00D50A93"/>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35FE"/>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A6490"/>
    <w:rsid w:val="00DB2A74"/>
    <w:rsid w:val="00DB31A5"/>
    <w:rsid w:val="00DB4A56"/>
    <w:rsid w:val="00DB5DC1"/>
    <w:rsid w:val="00DC089E"/>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4E0B"/>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13B2"/>
    <w:rsid w:val="00E03152"/>
    <w:rsid w:val="00E03BB0"/>
    <w:rsid w:val="00E05503"/>
    <w:rsid w:val="00E05713"/>
    <w:rsid w:val="00E05C1F"/>
    <w:rsid w:val="00E10C40"/>
    <w:rsid w:val="00E14640"/>
    <w:rsid w:val="00E14ACC"/>
    <w:rsid w:val="00E15102"/>
    <w:rsid w:val="00E15C94"/>
    <w:rsid w:val="00E16615"/>
    <w:rsid w:val="00E166C8"/>
    <w:rsid w:val="00E21A68"/>
    <w:rsid w:val="00E244BF"/>
    <w:rsid w:val="00E2585A"/>
    <w:rsid w:val="00E32796"/>
    <w:rsid w:val="00E32B9D"/>
    <w:rsid w:val="00E32F2C"/>
    <w:rsid w:val="00E33119"/>
    <w:rsid w:val="00E34762"/>
    <w:rsid w:val="00E34EE8"/>
    <w:rsid w:val="00E354D1"/>
    <w:rsid w:val="00E36505"/>
    <w:rsid w:val="00E37AEB"/>
    <w:rsid w:val="00E42208"/>
    <w:rsid w:val="00E43550"/>
    <w:rsid w:val="00E44B3E"/>
    <w:rsid w:val="00E466AE"/>
    <w:rsid w:val="00E46B87"/>
    <w:rsid w:val="00E46DC3"/>
    <w:rsid w:val="00E54244"/>
    <w:rsid w:val="00E553BA"/>
    <w:rsid w:val="00E600DD"/>
    <w:rsid w:val="00E623B8"/>
    <w:rsid w:val="00E62D01"/>
    <w:rsid w:val="00E6382D"/>
    <w:rsid w:val="00E6443A"/>
    <w:rsid w:val="00E652B1"/>
    <w:rsid w:val="00E65441"/>
    <w:rsid w:val="00E65FD7"/>
    <w:rsid w:val="00E70B01"/>
    <w:rsid w:val="00E70E40"/>
    <w:rsid w:val="00E729A1"/>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BA"/>
    <w:rsid w:val="00EA1F7E"/>
    <w:rsid w:val="00EA2BDC"/>
    <w:rsid w:val="00EA3001"/>
    <w:rsid w:val="00EA314D"/>
    <w:rsid w:val="00EA3157"/>
    <w:rsid w:val="00EA3BD1"/>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ABB"/>
    <w:rsid w:val="00ED0B83"/>
    <w:rsid w:val="00ED0F1E"/>
    <w:rsid w:val="00ED1FB1"/>
    <w:rsid w:val="00ED3307"/>
    <w:rsid w:val="00ED3CA3"/>
    <w:rsid w:val="00ED3F5D"/>
    <w:rsid w:val="00ED405E"/>
    <w:rsid w:val="00ED4D18"/>
    <w:rsid w:val="00EE004D"/>
    <w:rsid w:val="00EE1BC3"/>
    <w:rsid w:val="00EE425C"/>
    <w:rsid w:val="00EE54D7"/>
    <w:rsid w:val="00EE5EAA"/>
    <w:rsid w:val="00EE6D47"/>
    <w:rsid w:val="00EE793F"/>
    <w:rsid w:val="00EF1201"/>
    <w:rsid w:val="00EF1414"/>
    <w:rsid w:val="00EF19B1"/>
    <w:rsid w:val="00EF200E"/>
    <w:rsid w:val="00EF2934"/>
    <w:rsid w:val="00EF2CEC"/>
    <w:rsid w:val="00EF2D87"/>
    <w:rsid w:val="00EF2EA5"/>
    <w:rsid w:val="00EF2FB8"/>
    <w:rsid w:val="00EF3B57"/>
    <w:rsid w:val="00EF43B4"/>
    <w:rsid w:val="00F00CD3"/>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29"/>
    <w:rsid w:val="00F15D15"/>
    <w:rsid w:val="00F16C1C"/>
    <w:rsid w:val="00F16C2B"/>
    <w:rsid w:val="00F1745A"/>
    <w:rsid w:val="00F1760A"/>
    <w:rsid w:val="00F237D6"/>
    <w:rsid w:val="00F23F37"/>
    <w:rsid w:val="00F24048"/>
    <w:rsid w:val="00F262B6"/>
    <w:rsid w:val="00F263F9"/>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56749"/>
    <w:rsid w:val="00F608F0"/>
    <w:rsid w:val="00F61722"/>
    <w:rsid w:val="00F6193C"/>
    <w:rsid w:val="00F6279F"/>
    <w:rsid w:val="00F62FF5"/>
    <w:rsid w:val="00F704FA"/>
    <w:rsid w:val="00F71B92"/>
    <w:rsid w:val="00F7245F"/>
    <w:rsid w:val="00F72B44"/>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2CE"/>
    <w:rsid w:val="00FC26F9"/>
    <w:rsid w:val="00FC2ADC"/>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5CB8"/>
    <w:rsid w:val="00FF0933"/>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0DFD"/>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2023-12-04T18:30:00+00:00</Judgment_x0020_Date>
    <Year xmlns="c1afb1bd-f2fb-40fd-9abb-aea55b4d7662">2023</Yea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94C03-72E2-4D99-A89A-DDA1A60231CF}">
  <ds:schemaRefs>
    <ds:schemaRef ds:uri="http://schemas.microsoft.com/sharepoint/v3/contenttype/forms"/>
  </ds:schemaRefs>
</ds:datastoreItem>
</file>

<file path=customXml/itemProps2.xml><?xml version="1.0" encoding="utf-8"?>
<ds:datastoreItem xmlns:ds="http://schemas.openxmlformats.org/officeDocument/2006/customXml" ds:itemID="{82D1DB97-9FE8-4956-8793-DC5D99C9B5D4}">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12D5EEDA-FD41-4C72-A442-7E2E84C92242}">
  <ds:schemaRefs>
    <ds:schemaRef ds:uri="http://schemas.openxmlformats.org/officeDocument/2006/bibliography"/>
  </ds:schemaRefs>
</ds:datastoreItem>
</file>

<file path=customXml/itemProps4.xml><?xml version="1.0" encoding="utf-8"?>
<ds:datastoreItem xmlns:ds="http://schemas.openxmlformats.org/officeDocument/2006/customXml" ds:itemID="{CC080A41-7016-433E-8C42-6494B2546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Tjipangandjara v Namibia Water Corporation Limited (HC-MD-CIV-ACT-CON-2021-04068) [2023] NAHCMD 795  (5 December 2023)</dc:title>
  <dc:creator>Selma Nambahu</dc:creator>
  <cp:lastModifiedBy>Mariana Anguelov</cp:lastModifiedBy>
  <cp:revision>3</cp:revision>
  <cp:lastPrinted>2023-12-06T07:14:00Z</cp:lastPrinted>
  <dcterms:created xsi:type="dcterms:W3CDTF">2023-12-06T13:08:00Z</dcterms:created>
  <dcterms:modified xsi:type="dcterms:W3CDTF">2023-12-08T19:41:00Z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