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16" w:rsidRPr="00552B6F" w:rsidRDefault="000A6C16" w:rsidP="000A6C16">
      <w:pPr>
        <w:spacing w:after="0" w:line="360" w:lineRule="auto"/>
        <w:jc w:val="center"/>
        <w:rPr>
          <w:rFonts w:ascii="Arial" w:eastAsia="Calibri" w:hAnsi="Arial" w:cs="Arial"/>
          <w:b/>
          <w:sz w:val="24"/>
          <w:szCs w:val="24"/>
        </w:rPr>
      </w:pPr>
      <w:r w:rsidRPr="00552B6F">
        <w:rPr>
          <w:rFonts w:ascii="Arial" w:eastAsia="Calibri" w:hAnsi="Arial" w:cs="Arial"/>
          <w:b/>
          <w:sz w:val="24"/>
          <w:szCs w:val="24"/>
        </w:rPr>
        <w:t>REPUBLIC OF NAMIBIA</w:t>
      </w:r>
    </w:p>
    <w:p w:rsidR="000A6C16" w:rsidRPr="00552B6F" w:rsidRDefault="000A6C16" w:rsidP="000A6C16">
      <w:pPr>
        <w:spacing w:after="0" w:line="360" w:lineRule="auto"/>
        <w:jc w:val="center"/>
        <w:rPr>
          <w:rFonts w:ascii="Arial" w:eastAsia="Calibri" w:hAnsi="Arial" w:cs="Arial"/>
          <w:b/>
          <w:sz w:val="24"/>
          <w:szCs w:val="24"/>
        </w:rPr>
      </w:pPr>
      <w:r w:rsidRPr="00552B6F">
        <w:rPr>
          <w:rFonts w:ascii="Arial" w:eastAsia="Calibri" w:hAnsi="Arial" w:cs="Arial"/>
          <w:b/>
          <w:noProof/>
          <w:sz w:val="24"/>
          <w:szCs w:val="24"/>
        </w:rPr>
        <w:drawing>
          <wp:inline distT="0" distB="0" distL="0" distR="0" wp14:anchorId="6DD50C7E" wp14:editId="214D215B">
            <wp:extent cx="1123950" cy="1143000"/>
            <wp:effectExtent l="0" t="0" r="0" b="0"/>
            <wp:docPr id="1"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0A6C16" w:rsidRPr="00552B6F" w:rsidRDefault="000A6C16" w:rsidP="000A6C16">
      <w:pPr>
        <w:spacing w:after="0" w:line="360" w:lineRule="auto"/>
        <w:jc w:val="center"/>
        <w:rPr>
          <w:rFonts w:ascii="Arial" w:eastAsia="Calibri" w:hAnsi="Arial" w:cs="Arial"/>
          <w:b/>
          <w:sz w:val="24"/>
          <w:szCs w:val="24"/>
        </w:rPr>
      </w:pPr>
    </w:p>
    <w:p w:rsidR="000A6C16" w:rsidRPr="00552B6F" w:rsidRDefault="000A6C16" w:rsidP="000A6C16">
      <w:pPr>
        <w:spacing w:after="0" w:line="360" w:lineRule="auto"/>
        <w:jc w:val="center"/>
        <w:rPr>
          <w:rFonts w:ascii="Arial" w:eastAsia="Calibri" w:hAnsi="Arial" w:cs="Arial"/>
          <w:b/>
          <w:sz w:val="24"/>
          <w:szCs w:val="24"/>
        </w:rPr>
      </w:pPr>
      <w:r w:rsidRPr="00552B6F">
        <w:rPr>
          <w:rFonts w:ascii="Arial" w:eastAsia="Calibri" w:hAnsi="Arial" w:cs="Arial"/>
          <w:b/>
          <w:sz w:val="24"/>
          <w:szCs w:val="24"/>
        </w:rPr>
        <w:t>IN THE HIGH COURT OF NAMIBIA, MAIN DIVISION, WINDHOEK</w:t>
      </w:r>
    </w:p>
    <w:p w:rsidR="000A6C16" w:rsidRPr="00552B6F" w:rsidRDefault="000A6C16" w:rsidP="000A6C16">
      <w:pPr>
        <w:spacing w:after="0" w:line="360" w:lineRule="auto"/>
        <w:jc w:val="center"/>
        <w:rPr>
          <w:rFonts w:ascii="Arial" w:eastAsia="Calibri" w:hAnsi="Arial" w:cs="Arial"/>
          <w:b/>
          <w:sz w:val="24"/>
          <w:szCs w:val="24"/>
          <w:lang w:val="en-ZA"/>
        </w:rPr>
      </w:pPr>
      <w:r w:rsidRPr="00552B6F">
        <w:rPr>
          <w:rFonts w:ascii="Arial" w:eastAsia="Calibri" w:hAnsi="Arial" w:cs="Arial"/>
          <w:b/>
          <w:sz w:val="24"/>
          <w:szCs w:val="24"/>
          <w:lang w:val="en-ZA"/>
        </w:rPr>
        <w:t>RULING IN TERMS OF PRACTICE DIRECTION 61</w:t>
      </w:r>
    </w:p>
    <w:tbl>
      <w:tblPr>
        <w:tblStyle w:val="TableGrid"/>
        <w:tblW w:w="10485" w:type="dxa"/>
        <w:tblInd w:w="-714" w:type="dxa"/>
        <w:tblLayout w:type="fixed"/>
        <w:tblLook w:val="04A0" w:firstRow="1" w:lastRow="0" w:firstColumn="1" w:lastColumn="0" w:noHBand="0" w:noVBand="1"/>
      </w:tblPr>
      <w:tblGrid>
        <w:gridCol w:w="5243"/>
        <w:gridCol w:w="995"/>
        <w:gridCol w:w="4247"/>
      </w:tblGrid>
      <w:tr w:rsidR="000A6C16" w:rsidRPr="00552B6F" w:rsidTr="000A6C16">
        <w:trPr>
          <w:trHeight w:val="599"/>
        </w:trPr>
        <w:tc>
          <w:tcPr>
            <w:tcW w:w="6238" w:type="dxa"/>
            <w:gridSpan w:val="2"/>
            <w:vMerge w:val="restart"/>
            <w:tcBorders>
              <w:top w:val="single" w:sz="4" w:space="0" w:color="auto"/>
              <w:left w:val="single" w:sz="4" w:space="0" w:color="auto"/>
              <w:bottom w:val="single" w:sz="4" w:space="0" w:color="auto"/>
              <w:right w:val="single" w:sz="4" w:space="0" w:color="auto"/>
            </w:tcBorders>
          </w:tcPr>
          <w:p w:rsidR="000A6C16" w:rsidRPr="00552B6F" w:rsidRDefault="000A6C16" w:rsidP="00406254">
            <w:pPr>
              <w:spacing w:line="360" w:lineRule="auto"/>
              <w:jc w:val="both"/>
              <w:rPr>
                <w:rFonts w:ascii="Arial" w:hAnsi="Arial" w:cs="Arial"/>
                <w:b/>
                <w:sz w:val="24"/>
                <w:szCs w:val="24"/>
              </w:rPr>
            </w:pPr>
            <w:r w:rsidRPr="00552B6F">
              <w:rPr>
                <w:rFonts w:ascii="Arial" w:hAnsi="Arial" w:cs="Arial"/>
                <w:b/>
                <w:sz w:val="24"/>
                <w:szCs w:val="24"/>
              </w:rPr>
              <w:t>Case Title:</w:t>
            </w:r>
          </w:p>
          <w:p w:rsidR="000A6C16" w:rsidRDefault="000A6C16" w:rsidP="000A6C16">
            <w:pPr>
              <w:spacing w:line="276" w:lineRule="auto"/>
              <w:rPr>
                <w:rFonts w:ascii="Arial" w:hAnsi="Arial" w:cs="Arial"/>
                <w:shd w:val="clear" w:color="auto" w:fill="FFFFFF"/>
              </w:rPr>
            </w:pPr>
            <w:r w:rsidRPr="000A6C16">
              <w:rPr>
                <w:rFonts w:ascii="Arial" w:hAnsi="Arial" w:cs="Arial"/>
                <w:shd w:val="clear" w:color="auto" w:fill="FFFFFF"/>
              </w:rPr>
              <w:t>PRAELEX PROPE</w:t>
            </w:r>
            <w:r>
              <w:rPr>
                <w:rFonts w:ascii="Arial" w:hAnsi="Arial" w:cs="Arial"/>
                <w:shd w:val="clear" w:color="auto" w:fill="FFFFFF"/>
              </w:rPr>
              <w:t xml:space="preserve">RTY &amp; INVESTMENT </w:t>
            </w:r>
          </w:p>
          <w:p w:rsidR="000A6C16" w:rsidRDefault="000A6C16" w:rsidP="000A6C16">
            <w:pPr>
              <w:spacing w:line="276" w:lineRule="auto"/>
              <w:rPr>
                <w:rFonts w:ascii="Arial" w:hAnsi="Arial" w:cs="Arial"/>
                <w:shd w:val="clear" w:color="auto" w:fill="FFFFFF"/>
              </w:rPr>
            </w:pPr>
            <w:r>
              <w:rPr>
                <w:rFonts w:ascii="Arial" w:hAnsi="Arial" w:cs="Arial"/>
                <w:shd w:val="clear" w:color="auto" w:fill="FFFFFF"/>
              </w:rPr>
              <w:t xml:space="preserve">CONSULTANTS CC  </w:t>
            </w:r>
            <w:r w:rsidRPr="000A6C16">
              <w:rPr>
                <w:rFonts w:ascii="Arial" w:hAnsi="Arial" w:cs="Arial"/>
                <w:shd w:val="clear" w:color="auto" w:fill="FFFFFF"/>
              </w:rPr>
              <w:t xml:space="preserve">T/A BRIDGE PRO </w:t>
            </w:r>
          </w:p>
          <w:p w:rsidR="000A6C16" w:rsidRDefault="000A6C16" w:rsidP="000A6C16">
            <w:pPr>
              <w:spacing w:line="276" w:lineRule="auto"/>
              <w:rPr>
                <w:rFonts w:ascii="Arial" w:hAnsi="Arial" w:cs="Arial"/>
                <w:shd w:val="clear" w:color="auto" w:fill="FFFFFF"/>
              </w:rPr>
            </w:pPr>
            <w:r w:rsidRPr="000A6C16">
              <w:rPr>
                <w:rFonts w:ascii="Arial" w:hAnsi="Arial" w:cs="Arial"/>
                <w:shd w:val="clear" w:color="auto" w:fill="FFFFFF"/>
              </w:rPr>
              <w:t>FINANCIAL SOLUTIONS</w:t>
            </w:r>
            <w:r w:rsidRPr="00552B6F">
              <w:rPr>
                <w:rFonts w:ascii="Arial" w:hAnsi="Arial" w:cs="Arial"/>
                <w:shd w:val="clear" w:color="auto" w:fill="FFFFFF"/>
              </w:rPr>
              <w:t xml:space="preserve"> </w:t>
            </w:r>
            <w:r>
              <w:rPr>
                <w:rFonts w:ascii="Arial" w:hAnsi="Arial" w:cs="Arial"/>
                <w:shd w:val="clear" w:color="auto" w:fill="FFFFFF"/>
              </w:rPr>
              <w:t xml:space="preserve">                                    APPLICANT</w:t>
            </w:r>
          </w:p>
          <w:p w:rsidR="000A6C16" w:rsidRPr="000A6C16" w:rsidRDefault="000A6C16" w:rsidP="000A6C16">
            <w:pPr>
              <w:spacing w:line="276" w:lineRule="auto"/>
              <w:rPr>
                <w:rFonts w:ascii="Arial" w:hAnsi="Arial" w:cs="Arial"/>
                <w:shd w:val="clear" w:color="auto" w:fill="FFFFFF"/>
              </w:rPr>
            </w:pPr>
          </w:p>
          <w:p w:rsidR="000A6C16" w:rsidRDefault="00D01FE2" w:rsidP="00406254">
            <w:pPr>
              <w:spacing w:line="360" w:lineRule="auto"/>
              <w:rPr>
                <w:rFonts w:ascii="Arial" w:hAnsi="Arial" w:cs="Arial"/>
                <w:sz w:val="24"/>
                <w:szCs w:val="24"/>
                <w:shd w:val="clear" w:color="auto" w:fill="FFFFFF"/>
              </w:rPr>
            </w:pPr>
            <w:r>
              <w:rPr>
                <w:rFonts w:ascii="Arial" w:hAnsi="Arial" w:cs="Arial"/>
                <w:sz w:val="24"/>
                <w:szCs w:val="24"/>
                <w:shd w:val="clear" w:color="auto" w:fill="FFFFFF"/>
              </w:rPr>
              <w:t>a</w:t>
            </w:r>
            <w:r w:rsidR="000A6C16" w:rsidRPr="00552B6F">
              <w:rPr>
                <w:rFonts w:ascii="Arial" w:hAnsi="Arial" w:cs="Arial"/>
                <w:sz w:val="24"/>
                <w:szCs w:val="24"/>
                <w:shd w:val="clear" w:color="auto" w:fill="FFFFFF"/>
              </w:rPr>
              <w:t>nd</w:t>
            </w:r>
          </w:p>
          <w:p w:rsidR="000A6C16" w:rsidRPr="00552B6F" w:rsidRDefault="000A6C16" w:rsidP="00406254">
            <w:pPr>
              <w:spacing w:line="360" w:lineRule="auto"/>
              <w:rPr>
                <w:rFonts w:ascii="Arial" w:hAnsi="Arial" w:cs="Arial"/>
                <w:sz w:val="24"/>
                <w:szCs w:val="24"/>
                <w:shd w:val="clear" w:color="auto" w:fill="FFFFFF"/>
              </w:rPr>
            </w:pPr>
          </w:p>
          <w:p w:rsidR="000A6C16" w:rsidRPr="000A6C16" w:rsidRDefault="000A6C16" w:rsidP="00406254">
            <w:pPr>
              <w:tabs>
                <w:tab w:val="left" w:pos="4635"/>
              </w:tabs>
              <w:spacing w:line="360" w:lineRule="auto"/>
              <w:rPr>
                <w:rFonts w:ascii="Arial" w:hAnsi="Arial" w:cs="Arial"/>
                <w:color w:val="000000" w:themeColor="text1"/>
                <w:shd w:val="clear" w:color="auto" w:fill="FFFFFF"/>
              </w:rPr>
            </w:pPr>
            <w:r w:rsidRPr="000A6C16">
              <w:rPr>
                <w:rFonts w:ascii="Arial" w:hAnsi="Arial" w:cs="Arial"/>
                <w:shd w:val="clear" w:color="auto" w:fill="FFFFFF"/>
              </w:rPr>
              <w:t xml:space="preserve">URBAN FARMING CC </w:t>
            </w:r>
            <w:r>
              <w:rPr>
                <w:rFonts w:ascii="Arial" w:hAnsi="Arial" w:cs="Arial"/>
                <w:shd w:val="clear" w:color="auto" w:fill="FFFFFF"/>
              </w:rPr>
              <w:t xml:space="preserve">                                    RESPONDENT</w:t>
            </w:r>
          </w:p>
        </w:tc>
        <w:tc>
          <w:tcPr>
            <w:tcW w:w="4247" w:type="dxa"/>
            <w:tcBorders>
              <w:top w:val="single" w:sz="4" w:space="0" w:color="auto"/>
              <w:left w:val="single" w:sz="4" w:space="0" w:color="auto"/>
              <w:bottom w:val="single" w:sz="4" w:space="0" w:color="auto"/>
              <w:right w:val="single" w:sz="4" w:space="0" w:color="auto"/>
            </w:tcBorders>
            <w:hideMark/>
          </w:tcPr>
          <w:p w:rsidR="000A6C16" w:rsidRDefault="000A6C16" w:rsidP="00406254">
            <w:pPr>
              <w:spacing w:line="360" w:lineRule="auto"/>
              <w:ind w:left="1616" w:hanging="1559"/>
              <w:jc w:val="both"/>
              <w:rPr>
                <w:rFonts w:ascii="Arial" w:hAnsi="Arial" w:cs="Arial"/>
                <w:b/>
                <w:sz w:val="24"/>
                <w:szCs w:val="24"/>
              </w:rPr>
            </w:pPr>
            <w:r w:rsidRPr="00552B6F">
              <w:rPr>
                <w:rFonts w:ascii="Arial" w:hAnsi="Arial" w:cs="Arial"/>
                <w:b/>
                <w:sz w:val="24"/>
                <w:szCs w:val="24"/>
              </w:rPr>
              <w:t>Case No:</w:t>
            </w:r>
          </w:p>
          <w:p w:rsidR="000A6C16" w:rsidRPr="004A4478" w:rsidRDefault="000A6C16" w:rsidP="00406254">
            <w:pPr>
              <w:spacing w:line="360" w:lineRule="auto"/>
              <w:ind w:left="1616" w:hanging="1559"/>
              <w:jc w:val="both"/>
              <w:rPr>
                <w:rFonts w:ascii="Arial" w:hAnsi="Arial" w:cs="Arial"/>
                <w:b/>
                <w:sz w:val="24"/>
                <w:szCs w:val="24"/>
              </w:rPr>
            </w:pPr>
            <w:r w:rsidRPr="009D307F">
              <w:rPr>
                <w:rFonts w:ascii="Arial" w:hAnsi="Arial" w:cs="Arial"/>
                <w:sz w:val="24"/>
                <w:szCs w:val="24"/>
              </w:rPr>
              <w:t>HC-MD-CIV-MOT-GEN-2021/00351</w:t>
            </w:r>
          </w:p>
        </w:tc>
      </w:tr>
      <w:tr w:rsidR="000A6C16" w:rsidRPr="00552B6F" w:rsidTr="000A6C16">
        <w:tc>
          <w:tcPr>
            <w:tcW w:w="6238" w:type="dxa"/>
            <w:gridSpan w:val="2"/>
            <w:vMerge/>
            <w:tcBorders>
              <w:top w:val="single" w:sz="4" w:space="0" w:color="auto"/>
              <w:left w:val="single" w:sz="4" w:space="0" w:color="auto"/>
              <w:bottom w:val="single" w:sz="4" w:space="0" w:color="auto"/>
              <w:right w:val="single" w:sz="4" w:space="0" w:color="auto"/>
            </w:tcBorders>
            <w:vAlign w:val="center"/>
            <w:hideMark/>
          </w:tcPr>
          <w:p w:rsidR="000A6C16" w:rsidRPr="00552B6F" w:rsidRDefault="000A6C16" w:rsidP="00406254">
            <w:pPr>
              <w:rPr>
                <w:rFonts w:ascii="Arial" w:hAnsi="Arial" w:cs="Arial"/>
                <w:sz w:val="24"/>
                <w:szCs w:val="24"/>
                <w:shd w:val="clear" w:color="auto" w:fill="FFFFFF"/>
              </w:rPr>
            </w:pPr>
          </w:p>
        </w:tc>
        <w:tc>
          <w:tcPr>
            <w:tcW w:w="4247" w:type="dxa"/>
            <w:tcBorders>
              <w:top w:val="single" w:sz="4" w:space="0" w:color="auto"/>
              <w:left w:val="single" w:sz="4" w:space="0" w:color="auto"/>
              <w:bottom w:val="single" w:sz="4" w:space="0" w:color="auto"/>
              <w:right w:val="single" w:sz="4" w:space="0" w:color="auto"/>
            </w:tcBorders>
            <w:hideMark/>
          </w:tcPr>
          <w:p w:rsidR="000A6C16" w:rsidRPr="00552B6F" w:rsidRDefault="000A6C16" w:rsidP="00406254">
            <w:pPr>
              <w:spacing w:line="360" w:lineRule="auto"/>
              <w:jc w:val="both"/>
              <w:rPr>
                <w:rFonts w:ascii="Arial" w:hAnsi="Arial" w:cs="Arial"/>
                <w:b/>
                <w:sz w:val="24"/>
                <w:szCs w:val="24"/>
              </w:rPr>
            </w:pPr>
            <w:r w:rsidRPr="00552B6F">
              <w:rPr>
                <w:rFonts w:ascii="Arial" w:hAnsi="Arial" w:cs="Arial"/>
                <w:b/>
                <w:sz w:val="24"/>
                <w:szCs w:val="24"/>
              </w:rPr>
              <w:t>Division of Court:</w:t>
            </w:r>
          </w:p>
          <w:p w:rsidR="000A6C16" w:rsidRPr="00552B6F" w:rsidRDefault="000A6C16" w:rsidP="00406254">
            <w:pPr>
              <w:spacing w:line="360" w:lineRule="auto"/>
              <w:jc w:val="both"/>
              <w:rPr>
                <w:rFonts w:ascii="Arial" w:hAnsi="Arial" w:cs="Arial"/>
                <w:sz w:val="24"/>
                <w:szCs w:val="24"/>
              </w:rPr>
            </w:pPr>
            <w:r w:rsidRPr="00552B6F">
              <w:rPr>
                <w:rFonts w:ascii="Arial" w:hAnsi="Arial" w:cs="Arial"/>
                <w:sz w:val="24"/>
                <w:szCs w:val="24"/>
              </w:rPr>
              <w:t>Main Division</w:t>
            </w:r>
          </w:p>
        </w:tc>
      </w:tr>
      <w:tr w:rsidR="000A6C16" w:rsidRPr="00552B6F" w:rsidTr="000A6C16">
        <w:tc>
          <w:tcPr>
            <w:tcW w:w="6238" w:type="dxa"/>
            <w:gridSpan w:val="2"/>
            <w:vMerge/>
            <w:tcBorders>
              <w:top w:val="single" w:sz="4" w:space="0" w:color="auto"/>
              <w:left w:val="single" w:sz="4" w:space="0" w:color="auto"/>
              <w:bottom w:val="single" w:sz="4" w:space="0" w:color="auto"/>
              <w:right w:val="single" w:sz="4" w:space="0" w:color="auto"/>
            </w:tcBorders>
            <w:vAlign w:val="center"/>
            <w:hideMark/>
          </w:tcPr>
          <w:p w:rsidR="000A6C16" w:rsidRPr="00552B6F" w:rsidRDefault="000A6C16" w:rsidP="00406254">
            <w:pPr>
              <w:rPr>
                <w:rFonts w:ascii="Arial" w:hAnsi="Arial" w:cs="Arial"/>
                <w:sz w:val="24"/>
                <w:szCs w:val="24"/>
                <w:shd w:val="clear" w:color="auto" w:fill="FFFFFF"/>
              </w:rPr>
            </w:pPr>
          </w:p>
        </w:tc>
        <w:tc>
          <w:tcPr>
            <w:tcW w:w="4247" w:type="dxa"/>
            <w:tcBorders>
              <w:top w:val="single" w:sz="4" w:space="0" w:color="auto"/>
              <w:left w:val="single" w:sz="4" w:space="0" w:color="auto"/>
              <w:bottom w:val="single" w:sz="4" w:space="0" w:color="auto"/>
              <w:right w:val="single" w:sz="4" w:space="0" w:color="auto"/>
            </w:tcBorders>
            <w:hideMark/>
          </w:tcPr>
          <w:p w:rsidR="000A6C16" w:rsidRPr="00552B6F" w:rsidRDefault="000A6C16" w:rsidP="00406254">
            <w:pPr>
              <w:spacing w:line="360" w:lineRule="auto"/>
              <w:jc w:val="both"/>
              <w:rPr>
                <w:rFonts w:ascii="Arial" w:hAnsi="Arial" w:cs="Arial"/>
                <w:b/>
                <w:sz w:val="24"/>
                <w:szCs w:val="24"/>
              </w:rPr>
            </w:pPr>
            <w:r w:rsidRPr="00552B6F">
              <w:rPr>
                <w:rFonts w:ascii="Arial" w:hAnsi="Arial" w:cs="Arial"/>
                <w:b/>
                <w:sz w:val="24"/>
                <w:szCs w:val="24"/>
              </w:rPr>
              <w:t>Heard on:</w:t>
            </w:r>
          </w:p>
          <w:p w:rsidR="000A6C16" w:rsidRPr="00552B6F" w:rsidRDefault="000A6C16" w:rsidP="00406254">
            <w:pPr>
              <w:spacing w:line="360" w:lineRule="auto"/>
              <w:jc w:val="both"/>
              <w:rPr>
                <w:rFonts w:ascii="Arial" w:hAnsi="Arial" w:cs="Arial"/>
                <w:sz w:val="24"/>
                <w:szCs w:val="24"/>
              </w:rPr>
            </w:pPr>
            <w:r>
              <w:rPr>
                <w:rFonts w:ascii="Arial" w:hAnsi="Arial" w:cs="Arial"/>
                <w:sz w:val="24"/>
                <w:szCs w:val="24"/>
              </w:rPr>
              <w:t>15 August 2023</w:t>
            </w:r>
          </w:p>
        </w:tc>
      </w:tr>
      <w:tr w:rsidR="000A6C16" w:rsidRPr="00552B6F" w:rsidTr="000A6C16">
        <w:tc>
          <w:tcPr>
            <w:tcW w:w="6238" w:type="dxa"/>
            <w:gridSpan w:val="2"/>
            <w:tcBorders>
              <w:top w:val="single" w:sz="4" w:space="0" w:color="auto"/>
              <w:left w:val="single" w:sz="4" w:space="0" w:color="auto"/>
              <w:bottom w:val="single" w:sz="4" w:space="0" w:color="auto"/>
              <w:right w:val="single" w:sz="4" w:space="0" w:color="auto"/>
            </w:tcBorders>
          </w:tcPr>
          <w:p w:rsidR="000A6C16" w:rsidRPr="00552B6F" w:rsidRDefault="000A6C16" w:rsidP="00406254">
            <w:pPr>
              <w:spacing w:line="360" w:lineRule="auto"/>
              <w:jc w:val="both"/>
              <w:rPr>
                <w:rFonts w:ascii="Arial" w:hAnsi="Arial" w:cs="Arial"/>
                <w:b/>
                <w:sz w:val="24"/>
                <w:szCs w:val="24"/>
              </w:rPr>
            </w:pPr>
            <w:r w:rsidRPr="00552B6F">
              <w:rPr>
                <w:rFonts w:ascii="Arial" w:hAnsi="Arial" w:cs="Arial"/>
                <w:b/>
                <w:sz w:val="24"/>
                <w:szCs w:val="24"/>
              </w:rPr>
              <w:t>Heard before:</w:t>
            </w:r>
          </w:p>
          <w:p w:rsidR="000A6C16" w:rsidRPr="00552B6F" w:rsidRDefault="000A6C16" w:rsidP="00406254">
            <w:pPr>
              <w:spacing w:line="360" w:lineRule="auto"/>
              <w:jc w:val="both"/>
              <w:rPr>
                <w:rFonts w:ascii="Arial" w:hAnsi="Arial" w:cs="Arial"/>
                <w:sz w:val="24"/>
                <w:szCs w:val="24"/>
              </w:rPr>
            </w:pPr>
            <w:r w:rsidRPr="00552B6F">
              <w:rPr>
                <w:rFonts w:ascii="Arial" w:hAnsi="Arial" w:cs="Arial"/>
                <w:sz w:val="24"/>
                <w:szCs w:val="24"/>
              </w:rPr>
              <w:t>Honourable Lady Justice Rakow</w:t>
            </w:r>
          </w:p>
          <w:p w:rsidR="000A6C16" w:rsidRPr="00552B6F" w:rsidRDefault="000A6C16" w:rsidP="00406254">
            <w:pPr>
              <w:spacing w:line="360" w:lineRule="auto"/>
              <w:jc w:val="both"/>
              <w:rPr>
                <w:rFonts w:ascii="Arial" w:hAnsi="Arial" w:cs="Arial"/>
                <w:sz w:val="12"/>
                <w:szCs w:val="12"/>
              </w:rPr>
            </w:pPr>
          </w:p>
        </w:tc>
        <w:tc>
          <w:tcPr>
            <w:tcW w:w="4247" w:type="dxa"/>
            <w:tcBorders>
              <w:top w:val="single" w:sz="4" w:space="0" w:color="auto"/>
              <w:left w:val="single" w:sz="4" w:space="0" w:color="auto"/>
              <w:bottom w:val="single" w:sz="4" w:space="0" w:color="auto"/>
              <w:right w:val="single" w:sz="4" w:space="0" w:color="auto"/>
            </w:tcBorders>
            <w:hideMark/>
          </w:tcPr>
          <w:p w:rsidR="000A6C16" w:rsidRPr="00552B6F" w:rsidRDefault="000A6C16" w:rsidP="00406254">
            <w:pPr>
              <w:spacing w:line="360" w:lineRule="auto"/>
              <w:jc w:val="both"/>
              <w:rPr>
                <w:rFonts w:ascii="Arial" w:hAnsi="Arial" w:cs="Arial"/>
                <w:b/>
                <w:sz w:val="24"/>
                <w:szCs w:val="24"/>
              </w:rPr>
            </w:pPr>
            <w:r w:rsidRPr="00552B6F">
              <w:rPr>
                <w:rFonts w:ascii="Arial" w:hAnsi="Arial" w:cs="Arial"/>
                <w:b/>
                <w:sz w:val="24"/>
                <w:szCs w:val="24"/>
              </w:rPr>
              <w:t>Reasons delivered on:</w:t>
            </w:r>
          </w:p>
          <w:p w:rsidR="000A6C16" w:rsidRPr="00552B6F" w:rsidRDefault="000A6C16" w:rsidP="00406254">
            <w:pPr>
              <w:spacing w:line="360" w:lineRule="auto"/>
              <w:jc w:val="both"/>
              <w:rPr>
                <w:rFonts w:ascii="Arial" w:hAnsi="Arial" w:cs="Arial"/>
                <w:sz w:val="24"/>
                <w:szCs w:val="24"/>
              </w:rPr>
            </w:pPr>
            <w:r>
              <w:rPr>
                <w:rFonts w:ascii="Arial" w:hAnsi="Arial" w:cs="Arial"/>
                <w:sz w:val="24"/>
                <w:szCs w:val="24"/>
              </w:rPr>
              <w:t>8 December 2023</w:t>
            </w:r>
          </w:p>
        </w:tc>
      </w:tr>
      <w:tr w:rsidR="000A6C16" w:rsidRPr="00552B6F" w:rsidTr="000A6C16">
        <w:trPr>
          <w:trHeight w:val="607"/>
        </w:trPr>
        <w:tc>
          <w:tcPr>
            <w:tcW w:w="10485" w:type="dxa"/>
            <w:gridSpan w:val="3"/>
            <w:tcBorders>
              <w:top w:val="single" w:sz="4" w:space="0" w:color="auto"/>
              <w:left w:val="single" w:sz="4" w:space="0" w:color="auto"/>
              <w:bottom w:val="single" w:sz="4" w:space="0" w:color="auto"/>
              <w:right w:val="single" w:sz="4" w:space="0" w:color="auto"/>
            </w:tcBorders>
          </w:tcPr>
          <w:p w:rsidR="000A6C16" w:rsidRPr="00552B6F" w:rsidRDefault="000A6C16" w:rsidP="00406254">
            <w:pPr>
              <w:spacing w:line="360" w:lineRule="auto"/>
              <w:ind w:left="2160" w:hanging="2160"/>
              <w:jc w:val="both"/>
              <w:rPr>
                <w:rFonts w:ascii="Arial" w:hAnsi="Arial" w:cs="Arial"/>
                <w:b/>
                <w:sz w:val="10"/>
                <w:szCs w:val="10"/>
              </w:rPr>
            </w:pPr>
          </w:p>
          <w:p w:rsidR="000A6C16" w:rsidRPr="00D01FE2" w:rsidRDefault="000A6C16" w:rsidP="000A6C16">
            <w:pPr>
              <w:spacing w:line="276" w:lineRule="auto"/>
              <w:rPr>
                <w:rFonts w:ascii="Arial" w:hAnsi="Arial" w:cs="Arial"/>
                <w:i/>
                <w:sz w:val="24"/>
                <w:szCs w:val="24"/>
                <w:shd w:val="clear" w:color="auto" w:fill="FFFFFF"/>
              </w:rPr>
            </w:pPr>
            <w:r w:rsidRPr="00552B6F">
              <w:rPr>
                <w:rFonts w:ascii="Arial" w:hAnsi="Arial" w:cs="Arial"/>
                <w:b/>
                <w:sz w:val="24"/>
                <w:szCs w:val="24"/>
              </w:rPr>
              <w:t>Neutral citation</w:t>
            </w:r>
            <w:r w:rsidRPr="00552B6F">
              <w:rPr>
                <w:rFonts w:ascii="Arial" w:hAnsi="Arial" w:cs="Arial"/>
                <w:sz w:val="24"/>
                <w:szCs w:val="24"/>
              </w:rPr>
              <w:t>:</w:t>
            </w:r>
            <w:r w:rsidRPr="00552B6F">
              <w:rPr>
                <w:rFonts w:ascii="Arial" w:hAnsi="Arial" w:cs="Arial"/>
                <w:sz w:val="24"/>
                <w:szCs w:val="24"/>
              </w:rPr>
              <w:tab/>
            </w:r>
            <w:r w:rsidRPr="00D01FE2">
              <w:rPr>
                <w:rFonts w:ascii="Arial" w:hAnsi="Arial" w:cs="Arial"/>
                <w:i/>
                <w:sz w:val="24"/>
                <w:szCs w:val="24"/>
                <w:lang w:val="en-US"/>
              </w:rPr>
              <w:t xml:space="preserve"> </w:t>
            </w:r>
            <w:bookmarkStart w:id="0" w:name="_GoBack"/>
            <w:r w:rsidRPr="00D01FE2">
              <w:rPr>
                <w:rFonts w:ascii="Arial" w:hAnsi="Arial" w:cs="Arial"/>
                <w:i/>
                <w:sz w:val="24"/>
                <w:szCs w:val="24"/>
                <w:shd w:val="clear" w:color="auto" w:fill="FFFFFF"/>
              </w:rPr>
              <w:t xml:space="preserve">Praelex Property &amp; Investment Consultants CC  </w:t>
            </w:r>
            <w:r w:rsidR="002D635D">
              <w:rPr>
                <w:rFonts w:ascii="Arial" w:hAnsi="Arial" w:cs="Arial"/>
                <w:i/>
                <w:sz w:val="24"/>
                <w:szCs w:val="24"/>
                <w:shd w:val="clear" w:color="auto" w:fill="FFFFFF"/>
              </w:rPr>
              <w:t>t/a</w:t>
            </w:r>
            <w:r w:rsidRPr="00D01FE2">
              <w:rPr>
                <w:rFonts w:ascii="Arial" w:hAnsi="Arial" w:cs="Arial"/>
                <w:i/>
                <w:sz w:val="24"/>
                <w:szCs w:val="24"/>
                <w:shd w:val="clear" w:color="auto" w:fill="FFFFFF"/>
              </w:rPr>
              <w:t xml:space="preserve"> Bridge Pro Financial     </w:t>
            </w:r>
          </w:p>
          <w:p w:rsidR="00D01FE2" w:rsidRDefault="000A6C16" w:rsidP="00D01FE2">
            <w:pPr>
              <w:spacing w:line="276" w:lineRule="auto"/>
              <w:rPr>
                <w:rFonts w:ascii="Arial" w:hAnsi="Arial" w:cs="Arial"/>
                <w:sz w:val="24"/>
                <w:szCs w:val="24"/>
                <w:lang w:val="en-US"/>
              </w:rPr>
            </w:pPr>
            <w:r w:rsidRPr="00D01FE2">
              <w:rPr>
                <w:rFonts w:ascii="Arial" w:hAnsi="Arial" w:cs="Arial"/>
                <w:i/>
                <w:sz w:val="24"/>
                <w:szCs w:val="24"/>
                <w:shd w:val="clear" w:color="auto" w:fill="FFFFFF"/>
              </w:rPr>
              <w:t xml:space="preserve">                                 Solutions </w:t>
            </w:r>
            <w:r w:rsidR="00D01FE2" w:rsidRPr="00D01FE2">
              <w:rPr>
                <w:rFonts w:ascii="Arial" w:hAnsi="Arial" w:cs="Arial"/>
                <w:i/>
                <w:sz w:val="24"/>
                <w:szCs w:val="24"/>
                <w:shd w:val="clear" w:color="auto" w:fill="FFFFFF"/>
              </w:rPr>
              <w:t>v Urban Farming CC</w:t>
            </w:r>
            <w:r w:rsidR="00D01FE2" w:rsidRPr="00E17454">
              <w:rPr>
                <w:rFonts w:ascii="Arial" w:hAnsi="Arial" w:cs="Arial"/>
                <w:sz w:val="24"/>
                <w:szCs w:val="24"/>
                <w:lang w:val="en-US"/>
              </w:rPr>
              <w:t xml:space="preserve"> </w:t>
            </w:r>
            <w:r w:rsidRPr="00E17454">
              <w:rPr>
                <w:rFonts w:ascii="Arial" w:hAnsi="Arial" w:cs="Arial"/>
                <w:sz w:val="24"/>
                <w:szCs w:val="24"/>
                <w:lang w:val="en-US"/>
              </w:rPr>
              <w:t>(</w:t>
            </w:r>
            <w:r w:rsidR="00D01FE2" w:rsidRPr="009D307F">
              <w:rPr>
                <w:rFonts w:ascii="Arial" w:hAnsi="Arial" w:cs="Arial"/>
                <w:sz w:val="24"/>
                <w:szCs w:val="24"/>
              </w:rPr>
              <w:t>HC-MD-CIV-MOT-GEN-2021/00351</w:t>
            </w:r>
            <w:r w:rsidR="00D01FE2">
              <w:rPr>
                <w:rFonts w:ascii="Arial" w:hAnsi="Arial" w:cs="Arial"/>
                <w:sz w:val="24"/>
                <w:szCs w:val="24"/>
                <w:lang w:val="en-US"/>
              </w:rPr>
              <w:t xml:space="preserve">) </w:t>
            </w:r>
          </w:p>
          <w:p w:rsidR="00D01FE2" w:rsidRPr="00E17454" w:rsidRDefault="00D01FE2" w:rsidP="00D01FE2">
            <w:pPr>
              <w:spacing w:line="276" w:lineRule="auto"/>
              <w:rPr>
                <w:rFonts w:ascii="Arial" w:hAnsi="Arial" w:cs="Arial"/>
                <w:sz w:val="24"/>
                <w:szCs w:val="24"/>
                <w:lang w:val="en-US"/>
              </w:rPr>
            </w:pPr>
            <w:r>
              <w:rPr>
                <w:rFonts w:ascii="Arial" w:hAnsi="Arial" w:cs="Arial"/>
                <w:sz w:val="24"/>
                <w:szCs w:val="24"/>
                <w:lang w:val="en-US"/>
              </w:rPr>
              <w:t xml:space="preserve">                                 [</w:t>
            </w:r>
            <w:r w:rsidRPr="00E17454">
              <w:rPr>
                <w:rFonts w:ascii="Arial" w:hAnsi="Arial" w:cs="Arial"/>
                <w:sz w:val="24"/>
                <w:szCs w:val="24"/>
                <w:lang w:val="en-US"/>
              </w:rPr>
              <w:t xml:space="preserve">2023]  </w:t>
            </w:r>
            <w:r w:rsidRPr="00E17454">
              <w:rPr>
                <w:rFonts w:ascii="Arial" w:hAnsi="Arial" w:cs="Arial"/>
                <w:sz w:val="24"/>
                <w:szCs w:val="24"/>
              </w:rPr>
              <w:t>NAHCMD</w:t>
            </w:r>
            <w:r w:rsidR="00EE42C6">
              <w:rPr>
                <w:rFonts w:ascii="Arial" w:hAnsi="Arial" w:cs="Arial"/>
                <w:sz w:val="24"/>
                <w:szCs w:val="24"/>
                <w:lang w:val="en-US"/>
              </w:rPr>
              <w:t xml:space="preserve"> 811</w:t>
            </w:r>
            <w:r w:rsidRPr="00E17454">
              <w:rPr>
                <w:rFonts w:ascii="Arial" w:hAnsi="Arial" w:cs="Arial"/>
                <w:sz w:val="24"/>
                <w:szCs w:val="24"/>
                <w:lang w:val="en-US"/>
              </w:rPr>
              <w:t xml:space="preserve"> (8 December 2023)</w:t>
            </w:r>
          </w:p>
          <w:bookmarkEnd w:id="0"/>
          <w:p w:rsidR="00D01FE2" w:rsidRDefault="00D01FE2" w:rsidP="00D01FE2">
            <w:pPr>
              <w:spacing w:line="276" w:lineRule="auto"/>
              <w:rPr>
                <w:rFonts w:ascii="Arial" w:hAnsi="Arial" w:cs="Arial"/>
                <w:sz w:val="24"/>
                <w:szCs w:val="24"/>
                <w:lang w:val="en-US"/>
              </w:rPr>
            </w:pPr>
          </w:p>
          <w:p w:rsidR="000A6C16" w:rsidRPr="00552B6F" w:rsidRDefault="000A6C16" w:rsidP="00D01FE2">
            <w:pPr>
              <w:spacing w:line="276" w:lineRule="auto"/>
              <w:rPr>
                <w:rFonts w:ascii="Arial" w:hAnsi="Arial" w:cs="Arial"/>
                <w:sz w:val="10"/>
                <w:szCs w:val="10"/>
              </w:rPr>
            </w:pPr>
            <w:r w:rsidRPr="00A96E5B">
              <w:rPr>
                <w:rFonts w:ascii="Arial" w:hAnsi="Arial" w:cs="Arial"/>
                <w:sz w:val="24"/>
                <w:szCs w:val="24"/>
                <w:lang w:val="en-US"/>
              </w:rPr>
              <w:t xml:space="preserve">               </w:t>
            </w:r>
            <w:r>
              <w:rPr>
                <w:rFonts w:ascii="Arial" w:hAnsi="Arial" w:cs="Arial"/>
                <w:sz w:val="24"/>
                <w:szCs w:val="24"/>
                <w:lang w:val="en-US"/>
              </w:rPr>
              <w:t xml:space="preserve"> </w:t>
            </w:r>
          </w:p>
        </w:tc>
      </w:tr>
      <w:tr w:rsidR="000A6C16" w:rsidRPr="00552B6F" w:rsidTr="000A6C16">
        <w:trPr>
          <w:trHeight w:val="412"/>
        </w:trPr>
        <w:tc>
          <w:tcPr>
            <w:tcW w:w="10485" w:type="dxa"/>
            <w:gridSpan w:val="3"/>
            <w:tcBorders>
              <w:top w:val="single" w:sz="4" w:space="0" w:color="auto"/>
              <w:left w:val="single" w:sz="4" w:space="0" w:color="auto"/>
              <w:bottom w:val="single" w:sz="4" w:space="0" w:color="auto"/>
              <w:right w:val="single" w:sz="4" w:space="0" w:color="auto"/>
            </w:tcBorders>
          </w:tcPr>
          <w:p w:rsidR="000A6C16" w:rsidRPr="00552B6F" w:rsidRDefault="000A6C16" w:rsidP="00406254">
            <w:pPr>
              <w:spacing w:line="360" w:lineRule="auto"/>
              <w:jc w:val="both"/>
              <w:rPr>
                <w:rFonts w:ascii="Arial" w:hAnsi="Arial" w:cs="Arial"/>
                <w:b/>
                <w:sz w:val="10"/>
                <w:szCs w:val="10"/>
              </w:rPr>
            </w:pPr>
          </w:p>
          <w:p w:rsidR="000A6C16" w:rsidRPr="00552B6F" w:rsidRDefault="000A6C16" w:rsidP="00406254">
            <w:pPr>
              <w:spacing w:line="360" w:lineRule="auto"/>
              <w:jc w:val="both"/>
              <w:rPr>
                <w:rFonts w:ascii="Arial" w:hAnsi="Arial" w:cs="Arial"/>
                <w:b/>
                <w:sz w:val="24"/>
                <w:szCs w:val="24"/>
              </w:rPr>
            </w:pPr>
            <w:r w:rsidRPr="00552B6F">
              <w:rPr>
                <w:rFonts w:ascii="Arial" w:hAnsi="Arial" w:cs="Arial"/>
                <w:b/>
                <w:sz w:val="24"/>
                <w:szCs w:val="24"/>
              </w:rPr>
              <w:t>Order:</w:t>
            </w:r>
          </w:p>
        </w:tc>
      </w:tr>
      <w:tr w:rsidR="000A6C16" w:rsidRPr="00552B6F" w:rsidTr="00D01FE2">
        <w:trPr>
          <w:trHeight w:val="1998"/>
        </w:trPr>
        <w:tc>
          <w:tcPr>
            <w:tcW w:w="10485" w:type="dxa"/>
            <w:gridSpan w:val="3"/>
            <w:tcBorders>
              <w:top w:val="single" w:sz="4" w:space="0" w:color="auto"/>
              <w:left w:val="single" w:sz="4" w:space="0" w:color="auto"/>
              <w:bottom w:val="single" w:sz="4" w:space="0" w:color="auto"/>
              <w:right w:val="single" w:sz="4" w:space="0" w:color="auto"/>
            </w:tcBorders>
          </w:tcPr>
          <w:p w:rsidR="00D01FE2" w:rsidRDefault="00D01FE2" w:rsidP="00D01FE2">
            <w:pPr>
              <w:spacing w:after="200" w:line="360" w:lineRule="auto"/>
              <w:jc w:val="both"/>
              <w:rPr>
                <w:rFonts w:ascii="Arial" w:hAnsi="Arial" w:cs="Arial"/>
                <w:sz w:val="24"/>
                <w:szCs w:val="24"/>
              </w:rPr>
            </w:pPr>
          </w:p>
          <w:p w:rsidR="00D01FE2" w:rsidRDefault="002C211F" w:rsidP="00D01FE2">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rule nisi is confirmed and</w:t>
            </w:r>
            <w:r w:rsidR="00D01FE2" w:rsidRPr="00D01FE2">
              <w:rPr>
                <w:rFonts w:ascii="Arial" w:hAnsi="Arial" w:cs="Arial"/>
                <w:sz w:val="24"/>
                <w:szCs w:val="24"/>
              </w:rPr>
              <w:t xml:space="preserve"> the respondent </w:t>
            </w:r>
            <w:r>
              <w:rPr>
                <w:rFonts w:ascii="Arial" w:hAnsi="Arial" w:cs="Arial"/>
                <w:sz w:val="24"/>
                <w:szCs w:val="24"/>
              </w:rPr>
              <w:t xml:space="preserve">to </w:t>
            </w:r>
            <w:r w:rsidR="00D01FE2" w:rsidRPr="00D01FE2">
              <w:rPr>
                <w:rFonts w:ascii="Arial" w:hAnsi="Arial" w:cs="Arial"/>
                <w:sz w:val="24"/>
                <w:szCs w:val="24"/>
              </w:rPr>
              <w:t>be finally wound up.</w:t>
            </w:r>
          </w:p>
          <w:p w:rsidR="000A6C16" w:rsidRDefault="00D01FE2" w:rsidP="00D01FE2">
            <w:pPr>
              <w:pStyle w:val="ListParagraph"/>
              <w:numPr>
                <w:ilvl w:val="0"/>
                <w:numId w:val="5"/>
              </w:numPr>
              <w:spacing w:line="360" w:lineRule="auto"/>
              <w:jc w:val="both"/>
              <w:rPr>
                <w:rFonts w:ascii="Arial" w:hAnsi="Arial" w:cs="Arial"/>
                <w:sz w:val="24"/>
                <w:szCs w:val="24"/>
              </w:rPr>
            </w:pPr>
            <w:r w:rsidRPr="00D01FE2">
              <w:rPr>
                <w:rFonts w:ascii="Arial" w:hAnsi="Arial" w:cs="Arial"/>
                <w:sz w:val="24"/>
                <w:szCs w:val="24"/>
              </w:rPr>
              <w:t>The cost of opposition to a successful winding up application be i</w:t>
            </w:r>
            <w:r>
              <w:rPr>
                <w:rFonts w:ascii="Arial" w:hAnsi="Arial" w:cs="Arial"/>
                <w:sz w:val="24"/>
                <w:szCs w:val="24"/>
              </w:rPr>
              <w:t>ncluded in the liquidation costs.</w:t>
            </w:r>
          </w:p>
          <w:p w:rsidR="002C211F" w:rsidRPr="00D01FE2" w:rsidRDefault="002C211F" w:rsidP="00D01FE2">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matter is finalised and removed from the roll.</w:t>
            </w:r>
          </w:p>
        </w:tc>
      </w:tr>
      <w:tr w:rsidR="000A6C16" w:rsidRPr="00552B6F" w:rsidTr="000A6C16">
        <w:tc>
          <w:tcPr>
            <w:tcW w:w="10485" w:type="dxa"/>
            <w:gridSpan w:val="3"/>
            <w:tcBorders>
              <w:top w:val="single" w:sz="4" w:space="0" w:color="auto"/>
              <w:left w:val="single" w:sz="4" w:space="0" w:color="auto"/>
              <w:bottom w:val="single" w:sz="4" w:space="0" w:color="auto"/>
              <w:right w:val="single" w:sz="4" w:space="0" w:color="auto"/>
            </w:tcBorders>
          </w:tcPr>
          <w:p w:rsidR="000A6C16" w:rsidRPr="00552B6F" w:rsidRDefault="000A6C16" w:rsidP="00406254">
            <w:pPr>
              <w:spacing w:line="360" w:lineRule="auto"/>
              <w:jc w:val="both"/>
              <w:rPr>
                <w:rFonts w:ascii="Arial" w:hAnsi="Arial" w:cs="Arial"/>
                <w:b/>
                <w:sz w:val="10"/>
                <w:szCs w:val="10"/>
              </w:rPr>
            </w:pPr>
          </w:p>
          <w:p w:rsidR="000A6C16" w:rsidRPr="00552B6F" w:rsidRDefault="000A6C16" w:rsidP="00406254">
            <w:pPr>
              <w:spacing w:line="360" w:lineRule="auto"/>
              <w:ind w:left="743" w:hanging="743"/>
              <w:jc w:val="both"/>
              <w:rPr>
                <w:rFonts w:ascii="Arial" w:hAnsi="Arial" w:cs="Arial"/>
                <w:sz w:val="24"/>
                <w:szCs w:val="24"/>
              </w:rPr>
            </w:pPr>
            <w:r w:rsidRPr="00552B6F">
              <w:rPr>
                <w:rFonts w:ascii="Arial" w:hAnsi="Arial" w:cs="Arial"/>
                <w:b/>
                <w:sz w:val="24"/>
                <w:szCs w:val="24"/>
              </w:rPr>
              <w:t>Reasons for order:</w:t>
            </w:r>
          </w:p>
        </w:tc>
      </w:tr>
      <w:tr w:rsidR="000A6C16" w:rsidRPr="00552B6F" w:rsidTr="000A6C16">
        <w:tc>
          <w:tcPr>
            <w:tcW w:w="10485" w:type="dxa"/>
            <w:gridSpan w:val="3"/>
            <w:tcBorders>
              <w:top w:val="single" w:sz="4" w:space="0" w:color="auto"/>
              <w:left w:val="single" w:sz="4" w:space="0" w:color="auto"/>
              <w:bottom w:val="single" w:sz="4" w:space="0" w:color="auto"/>
              <w:right w:val="single" w:sz="4" w:space="0" w:color="auto"/>
            </w:tcBorders>
          </w:tcPr>
          <w:p w:rsidR="000A6C16" w:rsidRDefault="000A6C16" w:rsidP="00406254">
            <w:pPr>
              <w:spacing w:line="360" w:lineRule="auto"/>
              <w:jc w:val="both"/>
              <w:rPr>
                <w:rFonts w:ascii="Arial" w:hAnsi="Arial" w:cs="Arial"/>
                <w:sz w:val="24"/>
                <w:szCs w:val="24"/>
              </w:rPr>
            </w:pPr>
          </w:p>
          <w:p w:rsidR="000A6C16" w:rsidRDefault="000A6C16" w:rsidP="00406254">
            <w:pPr>
              <w:spacing w:line="360" w:lineRule="auto"/>
              <w:jc w:val="both"/>
              <w:rPr>
                <w:rFonts w:ascii="Arial" w:hAnsi="Arial" w:cs="Arial"/>
                <w:sz w:val="24"/>
                <w:szCs w:val="24"/>
              </w:rPr>
            </w:pPr>
            <w:r w:rsidRPr="00552B6F">
              <w:rPr>
                <w:rFonts w:ascii="Arial" w:hAnsi="Arial" w:cs="Arial"/>
                <w:sz w:val="24"/>
                <w:szCs w:val="24"/>
              </w:rPr>
              <w:t>RAKOW J :</w:t>
            </w:r>
          </w:p>
          <w:p w:rsidR="002D635D" w:rsidRPr="00552B6F" w:rsidRDefault="002D635D" w:rsidP="00406254">
            <w:pPr>
              <w:spacing w:line="360" w:lineRule="auto"/>
              <w:jc w:val="both"/>
              <w:rPr>
                <w:rFonts w:ascii="Arial" w:hAnsi="Arial" w:cs="Arial"/>
                <w:sz w:val="24"/>
                <w:szCs w:val="24"/>
              </w:rPr>
            </w:pPr>
          </w:p>
          <w:p w:rsidR="00A2025B" w:rsidRDefault="00A2025B" w:rsidP="00A2025B">
            <w:pPr>
              <w:spacing w:line="360" w:lineRule="auto"/>
              <w:jc w:val="both"/>
              <w:rPr>
                <w:rFonts w:ascii="Arial" w:hAnsi="Arial" w:cs="Arial"/>
                <w:sz w:val="24"/>
                <w:szCs w:val="24"/>
                <w:u w:val="single"/>
              </w:rPr>
            </w:pPr>
            <w:r w:rsidRPr="00564515">
              <w:rPr>
                <w:rFonts w:ascii="Arial" w:hAnsi="Arial" w:cs="Arial"/>
                <w:sz w:val="24"/>
                <w:szCs w:val="24"/>
                <w:u w:val="single"/>
              </w:rPr>
              <w:t>Introduction</w:t>
            </w:r>
          </w:p>
          <w:p w:rsidR="002D635D" w:rsidRDefault="002D635D" w:rsidP="00A2025B">
            <w:pPr>
              <w:spacing w:line="360" w:lineRule="auto"/>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 xml:space="preserve">The applicant is Praelex Property &amp; Investment Consultants CC t/a </w:t>
            </w:r>
            <w:r>
              <w:rPr>
                <w:rFonts w:ascii="Arial" w:hAnsi="Arial" w:cs="Arial"/>
                <w:sz w:val="24"/>
                <w:szCs w:val="24"/>
              </w:rPr>
              <w:t xml:space="preserve">Bridge Pro Financial Solutions, </w:t>
            </w:r>
            <w:r w:rsidRPr="00AD67FF">
              <w:rPr>
                <w:rFonts w:ascii="Arial" w:hAnsi="Arial" w:cs="Arial"/>
                <w:sz w:val="24"/>
                <w:szCs w:val="24"/>
              </w:rPr>
              <w:t>a closed corporation duly registered and incorporated in accordance with the Close Corporations Act 69 of 1984 of the Republic of South Africa.  The applicant conducts business as a bridging financing corporation. The respondent is Urban Farming CC a closed corporation formed on conversion of Urban Farming (Pty) Ltd, duly registered in</w:t>
            </w:r>
            <w:r>
              <w:rPr>
                <w:rFonts w:ascii="Arial" w:hAnsi="Arial" w:cs="Arial"/>
                <w:sz w:val="24"/>
                <w:szCs w:val="24"/>
              </w:rPr>
              <w:t xml:space="preserve"> terms of the laws of Namibia. </w:t>
            </w:r>
            <w:r w:rsidRPr="00AD67FF">
              <w:rPr>
                <w:rFonts w:ascii="Arial" w:hAnsi="Arial" w:cs="Arial"/>
                <w:sz w:val="24"/>
                <w:szCs w:val="24"/>
              </w:rPr>
              <w:t>The respondent’s primary business involves speculation in renewable energy solutions, manufacturing of pellets, farming, guest farming operations, trophy hunting and property investments.</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The applicant seeks an order that the respondent be finally liquidated and that the costs of the application, on a scale as between attorney and client, be costs in the respondent’s liquidation. The respondent was provisionally wound up on 11 February 2022 on which date the Court also issued the rule nisi, calling on the respondent, inter alia, to give reasons, or show cause, if any, on 22 April 2022 why the respondent should not be finally liquidated.  Pursuant to the 11 February 2022 court order, and for purposes of the return date, the respondent delivered its answering affidavit on 21 April 2022. The applicant’s replying affidavit for the return date was delivered on 6 May 2022.</w:t>
            </w:r>
          </w:p>
          <w:p w:rsidR="00A2025B" w:rsidRPr="00AD67FF" w:rsidRDefault="00A2025B" w:rsidP="002D635D">
            <w:pPr>
              <w:pStyle w:val="ListParagraph"/>
              <w:spacing w:line="360" w:lineRule="auto"/>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The rule nisi was extended and the matter was postponed to 15 August 2023 for hearing after the rule nisi was reinstated on 3 March 2023</w:t>
            </w:r>
            <w:r w:rsidR="00C40E16">
              <w:rPr>
                <w:rFonts w:ascii="Arial" w:hAnsi="Arial" w:cs="Arial"/>
                <w:sz w:val="24"/>
                <w:szCs w:val="24"/>
              </w:rPr>
              <w:t>,</w:t>
            </w:r>
            <w:r w:rsidRPr="00AD67FF">
              <w:rPr>
                <w:rFonts w:ascii="Arial" w:hAnsi="Arial" w:cs="Arial"/>
                <w:sz w:val="24"/>
                <w:szCs w:val="24"/>
              </w:rPr>
              <w:t xml:space="preserve"> after the matter was previously struck from the motion court roll on 22 April 2022. </w:t>
            </w:r>
            <w:r w:rsidR="00C40E16">
              <w:rPr>
                <w:rFonts w:ascii="Arial" w:hAnsi="Arial" w:cs="Arial"/>
                <w:sz w:val="24"/>
                <w:szCs w:val="24"/>
              </w:rPr>
              <w:t>On t</w:t>
            </w:r>
            <w:r w:rsidRPr="00AD67FF">
              <w:rPr>
                <w:rFonts w:ascii="Arial" w:hAnsi="Arial" w:cs="Arial"/>
                <w:sz w:val="24"/>
                <w:szCs w:val="24"/>
              </w:rPr>
              <w:t>he 3</w:t>
            </w:r>
            <w:r w:rsidR="00C40E16" w:rsidRPr="00C40E16">
              <w:rPr>
                <w:rFonts w:ascii="Arial" w:hAnsi="Arial" w:cs="Arial"/>
                <w:sz w:val="24"/>
                <w:szCs w:val="24"/>
                <w:vertAlign w:val="superscript"/>
              </w:rPr>
              <w:t>rd</w:t>
            </w:r>
            <w:r w:rsidR="00C40E16">
              <w:rPr>
                <w:rFonts w:ascii="Arial" w:hAnsi="Arial" w:cs="Arial"/>
                <w:sz w:val="24"/>
                <w:szCs w:val="24"/>
              </w:rPr>
              <w:t xml:space="preserve"> of</w:t>
            </w:r>
            <w:r w:rsidRPr="00AD67FF">
              <w:rPr>
                <w:rFonts w:ascii="Arial" w:hAnsi="Arial" w:cs="Arial"/>
                <w:sz w:val="24"/>
                <w:szCs w:val="24"/>
              </w:rPr>
              <w:t xml:space="preserve"> March 2023</w:t>
            </w:r>
            <w:r w:rsidR="00C40E16">
              <w:rPr>
                <w:rFonts w:ascii="Arial" w:hAnsi="Arial" w:cs="Arial"/>
                <w:sz w:val="24"/>
                <w:szCs w:val="24"/>
              </w:rPr>
              <w:t>, the</w:t>
            </w:r>
            <w:r w:rsidRPr="00AD67FF">
              <w:rPr>
                <w:rFonts w:ascii="Arial" w:hAnsi="Arial" w:cs="Arial"/>
                <w:sz w:val="24"/>
                <w:szCs w:val="24"/>
              </w:rPr>
              <w:t xml:space="preserve"> court order was duly served by the deputy sheriff on the respondent and the Master and it was f</w:t>
            </w:r>
            <w:r w:rsidR="00C40E16">
              <w:rPr>
                <w:rFonts w:ascii="Arial" w:hAnsi="Arial" w:cs="Arial"/>
                <w:sz w:val="24"/>
                <w:szCs w:val="24"/>
              </w:rPr>
              <w:t>urther duly published in both</w:t>
            </w:r>
            <w:r w:rsidRPr="00AD67FF">
              <w:rPr>
                <w:rFonts w:ascii="Arial" w:hAnsi="Arial" w:cs="Arial"/>
                <w:sz w:val="24"/>
                <w:szCs w:val="24"/>
              </w:rPr>
              <w:t xml:space="preserve"> the Namibian and Republikein newspapers on 10 March 2023 and </w:t>
            </w:r>
            <w:r w:rsidR="00C40E16">
              <w:rPr>
                <w:rFonts w:ascii="Arial" w:hAnsi="Arial" w:cs="Arial"/>
                <w:sz w:val="24"/>
                <w:szCs w:val="24"/>
              </w:rPr>
              <w:t xml:space="preserve">in </w:t>
            </w:r>
            <w:r w:rsidRPr="00AD67FF">
              <w:rPr>
                <w:rFonts w:ascii="Arial" w:hAnsi="Arial" w:cs="Arial"/>
                <w:sz w:val="24"/>
                <w:szCs w:val="24"/>
              </w:rPr>
              <w:t>the Gover</w:t>
            </w:r>
            <w:r>
              <w:rPr>
                <w:rFonts w:ascii="Arial" w:hAnsi="Arial" w:cs="Arial"/>
                <w:sz w:val="24"/>
                <w:szCs w:val="24"/>
              </w:rPr>
              <w:t>nment Gazette on 17 March 2023.</w:t>
            </w:r>
          </w:p>
          <w:p w:rsidR="00A2025B" w:rsidRDefault="00A2025B" w:rsidP="00A2025B">
            <w:pPr>
              <w:pStyle w:val="ListParagraph"/>
              <w:spacing w:after="0" w:line="360" w:lineRule="auto"/>
              <w:ind w:left="0"/>
              <w:jc w:val="both"/>
              <w:rPr>
                <w:rFonts w:ascii="Arial" w:hAnsi="Arial" w:cs="Arial"/>
                <w:sz w:val="24"/>
                <w:szCs w:val="24"/>
              </w:rPr>
            </w:pPr>
          </w:p>
          <w:p w:rsidR="00C40E16" w:rsidRPr="00AD67FF" w:rsidRDefault="00C40E16" w:rsidP="00A2025B">
            <w:pPr>
              <w:pStyle w:val="ListParagraph"/>
              <w:spacing w:after="0" w:line="360" w:lineRule="auto"/>
              <w:ind w:left="0"/>
              <w:jc w:val="both"/>
              <w:rPr>
                <w:rFonts w:ascii="Arial" w:hAnsi="Arial" w:cs="Arial"/>
                <w:sz w:val="24"/>
                <w:szCs w:val="24"/>
              </w:rPr>
            </w:pPr>
          </w:p>
          <w:p w:rsidR="00A2025B" w:rsidRDefault="00A2025B" w:rsidP="00A2025B">
            <w:pPr>
              <w:spacing w:line="360" w:lineRule="auto"/>
              <w:jc w:val="both"/>
              <w:rPr>
                <w:rFonts w:ascii="Arial" w:hAnsi="Arial" w:cs="Arial"/>
                <w:sz w:val="24"/>
                <w:szCs w:val="24"/>
                <w:u w:val="single"/>
              </w:rPr>
            </w:pPr>
            <w:r w:rsidRPr="0033235D">
              <w:rPr>
                <w:rFonts w:ascii="Arial" w:hAnsi="Arial" w:cs="Arial"/>
                <w:sz w:val="24"/>
                <w:szCs w:val="24"/>
                <w:u w:val="single"/>
              </w:rPr>
              <w:lastRenderedPageBreak/>
              <w:t>The purpose of the application</w:t>
            </w:r>
          </w:p>
          <w:p w:rsidR="00A2025B" w:rsidRPr="0033235D" w:rsidRDefault="00A2025B" w:rsidP="00A2025B">
            <w:pPr>
              <w:spacing w:line="360" w:lineRule="auto"/>
              <w:jc w:val="both"/>
              <w:rPr>
                <w:rFonts w:ascii="Arial" w:hAnsi="Arial" w:cs="Arial"/>
                <w:sz w:val="24"/>
                <w:szCs w:val="24"/>
                <w:u w:val="single"/>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 xml:space="preserve">This is a winding-up application of the respondents on the basis that it is unable to </w:t>
            </w:r>
            <w:r w:rsidR="00C40E16">
              <w:rPr>
                <w:rFonts w:ascii="Arial" w:hAnsi="Arial" w:cs="Arial"/>
                <w:sz w:val="24"/>
                <w:szCs w:val="24"/>
              </w:rPr>
              <w:t xml:space="preserve">pay </w:t>
            </w:r>
            <w:r w:rsidRPr="00AD67FF">
              <w:rPr>
                <w:rFonts w:ascii="Arial" w:hAnsi="Arial" w:cs="Arial"/>
                <w:sz w:val="24"/>
                <w:szCs w:val="24"/>
              </w:rPr>
              <w:t>its debts as contemplated in terms of section 350(1)(</w:t>
            </w:r>
            <w:r w:rsidRPr="00AD67FF">
              <w:rPr>
                <w:rFonts w:ascii="Arial" w:hAnsi="Arial" w:cs="Arial"/>
                <w:i/>
                <w:sz w:val="24"/>
                <w:szCs w:val="24"/>
              </w:rPr>
              <w:t>c</w:t>
            </w:r>
            <w:r w:rsidRPr="00AD67FF">
              <w:rPr>
                <w:rFonts w:ascii="Arial" w:hAnsi="Arial" w:cs="Arial"/>
                <w:sz w:val="24"/>
                <w:szCs w:val="24"/>
              </w:rPr>
              <w:t xml:space="preserve">) of the Companies Act 28 of 2004 (the Act).  The applicant is a creditor of the respondent and thus has the required </w:t>
            </w:r>
            <w:r w:rsidRPr="00C40E16">
              <w:rPr>
                <w:rFonts w:ascii="Arial" w:hAnsi="Arial" w:cs="Arial"/>
                <w:sz w:val="24"/>
                <w:szCs w:val="24"/>
              </w:rPr>
              <w:t>locus standi</w:t>
            </w:r>
            <w:r w:rsidRPr="00AD67FF">
              <w:rPr>
                <w:rFonts w:ascii="Arial" w:hAnsi="Arial" w:cs="Arial"/>
                <w:sz w:val="24"/>
                <w:szCs w:val="24"/>
              </w:rPr>
              <w:t xml:space="preserve"> to institute these proceedings in terms of section 351(1)(</w:t>
            </w:r>
            <w:r w:rsidRPr="00AD67FF">
              <w:rPr>
                <w:rFonts w:ascii="Arial" w:hAnsi="Arial" w:cs="Arial"/>
                <w:i/>
                <w:sz w:val="24"/>
                <w:szCs w:val="24"/>
              </w:rPr>
              <w:t>b</w:t>
            </w:r>
            <w:r w:rsidRPr="00AD67FF">
              <w:rPr>
                <w:rFonts w:ascii="Arial" w:hAnsi="Arial" w:cs="Arial"/>
                <w:sz w:val="24"/>
                <w:szCs w:val="24"/>
              </w:rPr>
              <w:t>) the Act.</w:t>
            </w:r>
          </w:p>
          <w:p w:rsidR="00A2025B" w:rsidRPr="00AD67FF" w:rsidRDefault="00A2025B" w:rsidP="00A2025B">
            <w:pPr>
              <w:pStyle w:val="ListParagraph"/>
              <w:spacing w:after="0" w:line="360" w:lineRule="auto"/>
              <w:ind w:left="0"/>
              <w:jc w:val="both"/>
              <w:rPr>
                <w:rFonts w:ascii="Arial" w:hAnsi="Arial" w:cs="Arial"/>
                <w:sz w:val="24"/>
                <w:szCs w:val="24"/>
              </w:rPr>
            </w:pPr>
          </w:p>
          <w:p w:rsidR="00A2025B" w:rsidRDefault="00A2025B" w:rsidP="00A2025B">
            <w:pPr>
              <w:spacing w:line="360" w:lineRule="auto"/>
              <w:jc w:val="both"/>
              <w:rPr>
                <w:rFonts w:ascii="Arial" w:hAnsi="Arial" w:cs="Arial"/>
                <w:sz w:val="24"/>
                <w:szCs w:val="24"/>
                <w:u w:val="single"/>
              </w:rPr>
            </w:pPr>
            <w:r w:rsidRPr="0033235D">
              <w:rPr>
                <w:rFonts w:ascii="Arial" w:hAnsi="Arial" w:cs="Arial"/>
                <w:sz w:val="24"/>
                <w:szCs w:val="24"/>
                <w:u w:val="single"/>
              </w:rPr>
              <w:t>Background</w:t>
            </w:r>
          </w:p>
          <w:p w:rsidR="002D635D" w:rsidRPr="0033235D" w:rsidRDefault="002D635D" w:rsidP="00A2025B">
            <w:pPr>
              <w:spacing w:line="360" w:lineRule="auto"/>
              <w:jc w:val="both"/>
              <w:rPr>
                <w:rFonts w:ascii="Arial" w:hAnsi="Arial" w:cs="Arial"/>
                <w:sz w:val="24"/>
                <w:szCs w:val="24"/>
                <w:u w:val="single"/>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During 2016 at Welgemoed (Belville) in the Republic of South Africa and Windhoek respectively the applicant and the respondent duly represented, entered into a bridging loan agreement of a capital amount of R6 000 000.00 against the passing of a covering mortgage bond in favour of the applicant over Farm Ehuiro no 120 and farm Ohere no 106.</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The amount of R6 000 000.00 was paid by the applicant to the respondent</w:t>
            </w:r>
            <w:r w:rsidR="00C40E16">
              <w:rPr>
                <w:rFonts w:ascii="Arial" w:hAnsi="Arial" w:cs="Arial"/>
                <w:sz w:val="24"/>
                <w:szCs w:val="24"/>
              </w:rPr>
              <w:t xml:space="preserve"> as follows</w:t>
            </w:r>
            <w:r w:rsidRPr="00AD67FF">
              <w:rPr>
                <w:rFonts w:ascii="Arial" w:hAnsi="Arial" w:cs="Arial"/>
                <w:sz w:val="24"/>
                <w:szCs w:val="24"/>
              </w:rPr>
              <w:t>:</w:t>
            </w:r>
          </w:p>
          <w:p w:rsidR="00A2025B" w:rsidRPr="00AD67FF"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7"/>
              </w:numPr>
              <w:spacing w:line="360" w:lineRule="auto"/>
              <w:jc w:val="both"/>
              <w:rPr>
                <w:rFonts w:ascii="Arial" w:hAnsi="Arial" w:cs="Arial"/>
                <w:sz w:val="24"/>
                <w:szCs w:val="24"/>
              </w:rPr>
            </w:pPr>
            <w:r w:rsidRPr="00AD67FF">
              <w:rPr>
                <w:rFonts w:ascii="Arial" w:hAnsi="Arial" w:cs="Arial"/>
                <w:sz w:val="24"/>
                <w:szCs w:val="24"/>
              </w:rPr>
              <w:t>R300 000.00 was paid on or about 14 September 2016 (clause 4.2.1 of the agreement)</w:t>
            </w:r>
            <w:r w:rsidR="002D635D">
              <w:rPr>
                <w:rFonts w:ascii="Arial" w:hAnsi="Arial" w:cs="Arial"/>
                <w:sz w:val="24"/>
                <w:szCs w:val="24"/>
              </w:rPr>
              <w:t>.</w:t>
            </w:r>
          </w:p>
          <w:p w:rsidR="00A2025B" w:rsidRDefault="00A2025B" w:rsidP="00A2025B">
            <w:pPr>
              <w:pStyle w:val="ListParagraph"/>
              <w:numPr>
                <w:ilvl w:val="0"/>
                <w:numId w:val="7"/>
              </w:numPr>
              <w:spacing w:line="360" w:lineRule="auto"/>
              <w:jc w:val="both"/>
              <w:rPr>
                <w:rFonts w:ascii="Arial" w:hAnsi="Arial" w:cs="Arial"/>
                <w:sz w:val="24"/>
                <w:szCs w:val="24"/>
              </w:rPr>
            </w:pPr>
            <w:r w:rsidRPr="00AD67FF">
              <w:rPr>
                <w:rFonts w:ascii="Arial" w:hAnsi="Arial" w:cs="Arial"/>
                <w:sz w:val="24"/>
                <w:szCs w:val="24"/>
              </w:rPr>
              <w:t>R250 000.00 upon signature d</w:t>
            </w:r>
            <w:r w:rsidR="00C40E16">
              <w:rPr>
                <w:rFonts w:ascii="Arial" w:hAnsi="Arial" w:cs="Arial"/>
                <w:sz w:val="24"/>
                <w:szCs w:val="24"/>
              </w:rPr>
              <w:t>ate of the loan</w:t>
            </w:r>
            <w:r w:rsidRPr="00AD67FF">
              <w:rPr>
                <w:rFonts w:ascii="Arial" w:hAnsi="Arial" w:cs="Arial"/>
                <w:sz w:val="24"/>
                <w:szCs w:val="24"/>
              </w:rPr>
              <w:t xml:space="preserve"> agreement (clause 4.2.2 of the agreement)</w:t>
            </w:r>
            <w:r w:rsidR="002D635D">
              <w:rPr>
                <w:rFonts w:ascii="Arial" w:hAnsi="Arial" w:cs="Arial"/>
                <w:sz w:val="24"/>
                <w:szCs w:val="24"/>
              </w:rPr>
              <w:t>.</w:t>
            </w:r>
          </w:p>
          <w:p w:rsidR="00A2025B" w:rsidRDefault="00A2025B" w:rsidP="00A2025B">
            <w:pPr>
              <w:pStyle w:val="ListParagraph"/>
              <w:numPr>
                <w:ilvl w:val="0"/>
                <w:numId w:val="7"/>
              </w:numPr>
              <w:spacing w:line="360" w:lineRule="auto"/>
              <w:jc w:val="both"/>
              <w:rPr>
                <w:rFonts w:ascii="Arial" w:hAnsi="Arial" w:cs="Arial"/>
                <w:sz w:val="24"/>
                <w:szCs w:val="24"/>
              </w:rPr>
            </w:pPr>
            <w:r w:rsidRPr="00AD67FF">
              <w:rPr>
                <w:rFonts w:ascii="Arial" w:hAnsi="Arial" w:cs="Arial"/>
                <w:sz w:val="24"/>
                <w:szCs w:val="24"/>
              </w:rPr>
              <w:t>R300 000.00 in respect of 50% raising fee, plus R15 000.00 in respect of legal costs which was paid on or before 31 October 2016 (clause 4.2.3 of the agreement)</w:t>
            </w:r>
            <w:r w:rsidR="002D635D">
              <w:rPr>
                <w:rFonts w:ascii="Arial" w:hAnsi="Arial" w:cs="Arial"/>
                <w:sz w:val="24"/>
                <w:szCs w:val="24"/>
              </w:rPr>
              <w:t>.</w:t>
            </w:r>
          </w:p>
          <w:p w:rsidR="00A2025B" w:rsidRDefault="00A2025B" w:rsidP="00A2025B">
            <w:pPr>
              <w:pStyle w:val="ListParagraph"/>
              <w:numPr>
                <w:ilvl w:val="0"/>
                <w:numId w:val="7"/>
              </w:numPr>
              <w:spacing w:line="360" w:lineRule="auto"/>
              <w:jc w:val="both"/>
              <w:rPr>
                <w:rFonts w:ascii="Arial" w:hAnsi="Arial" w:cs="Arial"/>
                <w:sz w:val="24"/>
                <w:szCs w:val="24"/>
              </w:rPr>
            </w:pPr>
            <w:r w:rsidRPr="00AD67FF">
              <w:rPr>
                <w:rFonts w:ascii="Arial" w:hAnsi="Arial" w:cs="Arial"/>
                <w:sz w:val="24"/>
                <w:szCs w:val="24"/>
              </w:rPr>
              <w:t>R4 200 000.00 which was paid to the conveyancing attorneys for the respondent on or before 31 October 2016 which funds would be earmarked for payment due to First National Bank of Namibia (clause 4.2.4 of the agreement)</w:t>
            </w:r>
            <w:r w:rsidR="002D635D">
              <w:rPr>
                <w:rFonts w:ascii="Arial" w:hAnsi="Arial" w:cs="Arial"/>
                <w:sz w:val="24"/>
                <w:szCs w:val="24"/>
              </w:rPr>
              <w:t>.</w:t>
            </w:r>
          </w:p>
          <w:p w:rsidR="00A2025B" w:rsidRDefault="00A2025B" w:rsidP="00A2025B">
            <w:pPr>
              <w:pStyle w:val="ListParagraph"/>
              <w:numPr>
                <w:ilvl w:val="0"/>
                <w:numId w:val="7"/>
              </w:numPr>
              <w:spacing w:line="360" w:lineRule="auto"/>
              <w:jc w:val="both"/>
              <w:rPr>
                <w:rFonts w:ascii="Arial" w:hAnsi="Arial" w:cs="Arial"/>
                <w:sz w:val="24"/>
                <w:szCs w:val="24"/>
              </w:rPr>
            </w:pPr>
            <w:r w:rsidRPr="00AD67FF">
              <w:rPr>
                <w:rFonts w:ascii="Arial" w:hAnsi="Arial" w:cs="Arial"/>
                <w:sz w:val="24"/>
                <w:szCs w:val="24"/>
              </w:rPr>
              <w:t>The legal fees and conveyancing costs pertaining to the registration of the mortgage bond for the properties was paid within 5 days of being called upon to do so by the conveyancing attorneys (clause 4.2.5 of the agreement)</w:t>
            </w:r>
            <w:r w:rsidR="002D635D">
              <w:rPr>
                <w:rFonts w:ascii="Arial" w:hAnsi="Arial" w:cs="Arial"/>
                <w:sz w:val="24"/>
                <w:szCs w:val="24"/>
              </w:rPr>
              <w:t>.</w:t>
            </w:r>
          </w:p>
          <w:p w:rsidR="00A2025B" w:rsidRDefault="00A2025B" w:rsidP="00A2025B">
            <w:pPr>
              <w:pStyle w:val="ListParagraph"/>
              <w:numPr>
                <w:ilvl w:val="0"/>
                <w:numId w:val="7"/>
              </w:numPr>
              <w:spacing w:line="360" w:lineRule="auto"/>
              <w:jc w:val="both"/>
              <w:rPr>
                <w:rFonts w:ascii="Arial" w:hAnsi="Arial" w:cs="Arial"/>
                <w:sz w:val="24"/>
                <w:szCs w:val="24"/>
              </w:rPr>
            </w:pPr>
            <w:r w:rsidRPr="00AD67FF">
              <w:rPr>
                <w:rFonts w:ascii="Arial" w:hAnsi="Arial" w:cs="Arial"/>
                <w:sz w:val="24"/>
                <w:szCs w:val="24"/>
              </w:rPr>
              <w:t>The balance of the capital amount on the date of registration of the mortgage bond (clause 4.2.6 of the agreement)</w:t>
            </w:r>
            <w:r>
              <w:rPr>
                <w:rFonts w:ascii="Arial" w:hAnsi="Arial" w:cs="Arial"/>
                <w:sz w:val="24"/>
                <w:szCs w:val="24"/>
              </w:rPr>
              <w:t>.</w:t>
            </w:r>
          </w:p>
          <w:p w:rsidR="00A2025B" w:rsidRPr="00AD67FF" w:rsidRDefault="00A2025B" w:rsidP="00A2025B">
            <w:pPr>
              <w:pStyle w:val="ListParagraph"/>
              <w:spacing w:line="360" w:lineRule="auto"/>
              <w:jc w:val="both"/>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 xml:space="preserve">The respondent agreed to repay the capital amount plus interest no later than 15 January 2017 </w:t>
            </w:r>
            <w:r w:rsidR="002D635D">
              <w:rPr>
                <w:rFonts w:ascii="Arial" w:hAnsi="Arial" w:cs="Arial"/>
                <w:sz w:val="24"/>
                <w:szCs w:val="24"/>
              </w:rPr>
              <w:t xml:space="preserve">(clause 5.1 of the agreement). </w:t>
            </w:r>
            <w:r w:rsidRPr="00AD67FF">
              <w:rPr>
                <w:rFonts w:ascii="Arial" w:hAnsi="Arial" w:cs="Arial"/>
                <w:sz w:val="24"/>
                <w:szCs w:val="24"/>
              </w:rPr>
              <w:t xml:space="preserve">The respondent also agreed to pay interest on the capital </w:t>
            </w:r>
            <w:r w:rsidRPr="00AD67FF">
              <w:rPr>
                <w:rFonts w:ascii="Arial" w:hAnsi="Arial" w:cs="Arial"/>
                <w:sz w:val="24"/>
                <w:szCs w:val="24"/>
              </w:rPr>
              <w:lastRenderedPageBreak/>
              <w:t>amount at a rate of 20% per annum</w:t>
            </w:r>
            <w:r w:rsidR="00C40E16">
              <w:rPr>
                <w:rFonts w:ascii="Arial" w:hAnsi="Arial" w:cs="Arial"/>
                <w:sz w:val="24"/>
                <w:szCs w:val="24"/>
              </w:rPr>
              <w:t>,</w:t>
            </w:r>
            <w:r w:rsidRPr="00AD67FF">
              <w:rPr>
                <w:rFonts w:ascii="Arial" w:hAnsi="Arial" w:cs="Arial"/>
                <w:sz w:val="24"/>
                <w:szCs w:val="24"/>
              </w:rPr>
              <w:t xml:space="preserve"> which would be calculated and capitalized monthly in advance (clause 5.2 of the agreement).</w:t>
            </w:r>
          </w:p>
          <w:p w:rsidR="00A2025B" w:rsidRDefault="00A2025B" w:rsidP="002D635D">
            <w:pPr>
              <w:pStyle w:val="ListParagraph"/>
              <w:spacing w:after="0" w:line="360" w:lineRule="auto"/>
              <w:ind w:left="0"/>
              <w:jc w:val="both"/>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AD67FF">
              <w:rPr>
                <w:rFonts w:ascii="Arial" w:hAnsi="Arial" w:cs="Arial"/>
                <w:sz w:val="24"/>
                <w:szCs w:val="24"/>
              </w:rPr>
              <w:t>In the event that the respondent failed to pay the capital amount and interest to the applicant on or before 15 January 2017, the respondent agreed to pay a penalty raising fe</w:t>
            </w:r>
            <w:r w:rsidR="002D635D">
              <w:rPr>
                <w:rFonts w:ascii="Arial" w:hAnsi="Arial" w:cs="Arial"/>
                <w:sz w:val="24"/>
                <w:szCs w:val="24"/>
              </w:rPr>
              <w:t>e equal to R4 512.</w:t>
            </w:r>
            <w:r w:rsidRPr="00AD67FF">
              <w:rPr>
                <w:rFonts w:ascii="Arial" w:hAnsi="Arial" w:cs="Arial"/>
                <w:sz w:val="24"/>
                <w:szCs w:val="24"/>
              </w:rPr>
              <w:t>33 per day until the date of repayment of the capital amount plus interest (clause 7.2 of the agreement)</w:t>
            </w:r>
            <w:r>
              <w:rPr>
                <w:rFonts w:ascii="Arial" w:hAnsi="Arial" w:cs="Arial"/>
                <w:sz w:val="24"/>
                <w:szCs w:val="24"/>
              </w:rPr>
              <w:t>.</w:t>
            </w:r>
          </w:p>
          <w:p w:rsidR="00A2025B" w:rsidRPr="00DC03EB" w:rsidRDefault="00A2025B" w:rsidP="002D635D">
            <w:pPr>
              <w:pStyle w:val="ListParagraph"/>
              <w:spacing w:line="360" w:lineRule="auto"/>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 xml:space="preserve">It was further agreed that the respondent would pass a mortgage bond in favour of the applicant over the properties of the respondent </w:t>
            </w:r>
            <w:r w:rsidR="00C40E16">
              <w:rPr>
                <w:rFonts w:ascii="Arial" w:hAnsi="Arial" w:cs="Arial"/>
                <w:sz w:val="24"/>
                <w:szCs w:val="24"/>
              </w:rPr>
              <w:t>in the amount of N$10 000 000</w:t>
            </w:r>
            <w:r w:rsidRPr="00DC03EB">
              <w:rPr>
                <w:rFonts w:ascii="Arial" w:hAnsi="Arial" w:cs="Arial"/>
                <w:sz w:val="24"/>
                <w:szCs w:val="24"/>
              </w:rPr>
              <w:t xml:space="preserve"> to cover its obligations in terms of the loan agreement (clause 6.1 of the agreement).</w:t>
            </w:r>
          </w:p>
          <w:p w:rsidR="00A2025B" w:rsidRPr="00DC03EB" w:rsidRDefault="00A2025B" w:rsidP="002D635D">
            <w:pPr>
              <w:pStyle w:val="ListParagraph"/>
              <w:spacing w:line="360" w:lineRule="auto"/>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In breach of the express terms of the agreement</w:t>
            </w:r>
            <w:r w:rsidR="00C40E16">
              <w:rPr>
                <w:rFonts w:ascii="Arial" w:hAnsi="Arial" w:cs="Arial"/>
                <w:sz w:val="24"/>
                <w:szCs w:val="24"/>
              </w:rPr>
              <w:t>,</w:t>
            </w:r>
            <w:r w:rsidRPr="00DC03EB">
              <w:rPr>
                <w:rFonts w:ascii="Arial" w:hAnsi="Arial" w:cs="Arial"/>
                <w:sz w:val="24"/>
                <w:szCs w:val="24"/>
              </w:rPr>
              <w:t xml:space="preserve"> the respondent ha</w:t>
            </w:r>
            <w:r>
              <w:rPr>
                <w:rFonts w:ascii="Arial" w:hAnsi="Arial" w:cs="Arial"/>
                <w:sz w:val="24"/>
                <w:szCs w:val="24"/>
              </w:rPr>
              <w:t xml:space="preserve">s failed to make any payments. </w:t>
            </w:r>
            <w:r w:rsidRPr="00DC03EB">
              <w:rPr>
                <w:rFonts w:ascii="Arial" w:hAnsi="Arial" w:cs="Arial"/>
                <w:sz w:val="24"/>
                <w:szCs w:val="24"/>
              </w:rPr>
              <w:t>The applicant claims that the respondent is indebted to it in the amount of R22 769 313.77 which amount comprises out of arrear capital payments, interest on the arrears and the pen</w:t>
            </w:r>
            <w:r>
              <w:rPr>
                <w:rFonts w:ascii="Arial" w:hAnsi="Arial" w:cs="Arial"/>
                <w:sz w:val="24"/>
                <w:szCs w:val="24"/>
              </w:rPr>
              <w:t>alty raising fee.  A certain Mr</w:t>
            </w:r>
            <w:r w:rsidRPr="00DC03EB">
              <w:rPr>
                <w:rFonts w:ascii="Arial" w:hAnsi="Arial" w:cs="Arial"/>
                <w:sz w:val="24"/>
                <w:szCs w:val="24"/>
              </w:rPr>
              <w:t xml:space="preserve"> Ben-Tovim who used to be a member of the respondent but apparently resigned during this time as member, made various promises of payment of the outstanding debt but nothing materialized and it is the case of the applicant that the respondent is unable to pay its debts and is commercially insolvent.</w:t>
            </w:r>
          </w:p>
          <w:p w:rsidR="00A2025B" w:rsidRPr="00DC03EB" w:rsidRDefault="00A2025B" w:rsidP="002D635D">
            <w:pPr>
              <w:pStyle w:val="ListParagraph"/>
              <w:spacing w:line="360" w:lineRule="auto"/>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It is further the case of the applicant that the Namibia Procurement Fu</w:t>
            </w:r>
            <w:r>
              <w:rPr>
                <w:rFonts w:ascii="Arial" w:hAnsi="Arial" w:cs="Arial"/>
                <w:sz w:val="24"/>
                <w:szCs w:val="24"/>
              </w:rPr>
              <w:t>nd also obtained a default judg</w:t>
            </w:r>
            <w:r w:rsidRPr="00DC03EB">
              <w:rPr>
                <w:rFonts w:ascii="Arial" w:hAnsi="Arial" w:cs="Arial"/>
                <w:sz w:val="24"/>
                <w:szCs w:val="24"/>
              </w:rPr>
              <w:t>ment against the defendant for outstanding lo</w:t>
            </w:r>
            <w:r>
              <w:rPr>
                <w:rFonts w:ascii="Arial" w:hAnsi="Arial" w:cs="Arial"/>
                <w:sz w:val="24"/>
                <w:szCs w:val="24"/>
              </w:rPr>
              <w:t xml:space="preserve">ans secured to the respondent. </w:t>
            </w:r>
            <w:r w:rsidRPr="00DC03EB">
              <w:rPr>
                <w:rFonts w:ascii="Arial" w:hAnsi="Arial" w:cs="Arial"/>
                <w:sz w:val="24"/>
                <w:szCs w:val="24"/>
              </w:rPr>
              <w:t>The Namibia Procurement Fund holds a second covering mort</w:t>
            </w:r>
            <w:r>
              <w:rPr>
                <w:rFonts w:ascii="Arial" w:hAnsi="Arial" w:cs="Arial"/>
                <w:sz w:val="24"/>
                <w:szCs w:val="24"/>
              </w:rPr>
              <w:t>g</w:t>
            </w:r>
            <w:r w:rsidRPr="00DC03EB">
              <w:rPr>
                <w:rFonts w:ascii="Arial" w:hAnsi="Arial" w:cs="Arial"/>
                <w:sz w:val="24"/>
                <w:szCs w:val="24"/>
              </w:rPr>
              <w:t>age bond over the properties for the amoun</w:t>
            </w:r>
            <w:r w:rsidR="00C40E16">
              <w:rPr>
                <w:rFonts w:ascii="Arial" w:hAnsi="Arial" w:cs="Arial"/>
                <w:sz w:val="24"/>
                <w:szCs w:val="24"/>
              </w:rPr>
              <w:t>t of N$3 510 000.</w:t>
            </w:r>
          </w:p>
          <w:p w:rsidR="00A2025B" w:rsidRPr="00DC03EB" w:rsidRDefault="00A2025B" w:rsidP="002D635D">
            <w:pPr>
              <w:pStyle w:val="ListParagraph"/>
              <w:spacing w:line="360" w:lineRule="auto"/>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The matter then proceeded to court and became opposed.  The answering affidavit of the respondent was</w:t>
            </w:r>
            <w:r w:rsidR="00C40E16">
              <w:rPr>
                <w:rFonts w:ascii="Arial" w:hAnsi="Arial" w:cs="Arial"/>
                <w:sz w:val="24"/>
                <w:szCs w:val="24"/>
              </w:rPr>
              <w:t>,</w:t>
            </w:r>
            <w:r w:rsidRPr="00DC03EB">
              <w:rPr>
                <w:rFonts w:ascii="Arial" w:hAnsi="Arial" w:cs="Arial"/>
                <w:sz w:val="24"/>
                <w:szCs w:val="24"/>
              </w:rPr>
              <w:t xml:space="preserve"> however</w:t>
            </w:r>
            <w:r w:rsidR="00C40E16">
              <w:rPr>
                <w:rFonts w:ascii="Arial" w:hAnsi="Arial" w:cs="Arial"/>
                <w:sz w:val="24"/>
                <w:szCs w:val="24"/>
              </w:rPr>
              <w:t>,</w:t>
            </w:r>
            <w:r w:rsidRPr="00DC03EB">
              <w:rPr>
                <w:rFonts w:ascii="Arial" w:hAnsi="Arial" w:cs="Arial"/>
                <w:sz w:val="24"/>
                <w:szCs w:val="24"/>
              </w:rPr>
              <w:t xml:space="preserve"> filed out of time which necessitated the bringing of a condonation application.  This application was</w:t>
            </w:r>
            <w:r w:rsidR="00C40E16">
              <w:rPr>
                <w:rFonts w:ascii="Arial" w:hAnsi="Arial" w:cs="Arial"/>
                <w:sz w:val="24"/>
                <w:szCs w:val="24"/>
              </w:rPr>
              <w:t>,</w:t>
            </w:r>
            <w:r w:rsidRPr="00DC03EB">
              <w:rPr>
                <w:rFonts w:ascii="Arial" w:hAnsi="Arial" w:cs="Arial"/>
                <w:sz w:val="24"/>
                <w:szCs w:val="24"/>
              </w:rPr>
              <w:t xml:space="preserve"> however not successful and my brother Masuku J refused the application for condonation of the late filing of the answering affidavit.</w:t>
            </w:r>
          </w:p>
          <w:p w:rsidR="00A2025B" w:rsidRPr="00DC03EB" w:rsidRDefault="00A2025B" w:rsidP="002D635D">
            <w:pPr>
              <w:pStyle w:val="ListParagraph"/>
              <w:spacing w:line="360" w:lineRule="auto"/>
              <w:rPr>
                <w:rFonts w:ascii="Arial" w:hAnsi="Arial" w:cs="Arial"/>
                <w:sz w:val="24"/>
                <w:szCs w:val="24"/>
              </w:rPr>
            </w:pPr>
          </w:p>
          <w:p w:rsidR="00A2025B" w:rsidRDefault="00A2025B" w:rsidP="002D635D">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On 11 February 2022</w:t>
            </w:r>
            <w:r>
              <w:rPr>
                <w:rFonts w:ascii="Arial" w:hAnsi="Arial" w:cs="Arial"/>
                <w:sz w:val="24"/>
                <w:szCs w:val="24"/>
              </w:rPr>
              <w:t>,</w:t>
            </w:r>
            <w:r w:rsidRPr="00DC03EB">
              <w:rPr>
                <w:rFonts w:ascii="Arial" w:hAnsi="Arial" w:cs="Arial"/>
                <w:sz w:val="24"/>
                <w:szCs w:val="24"/>
              </w:rPr>
              <w:t xml:space="preserve"> the court made the following order:</w:t>
            </w:r>
          </w:p>
          <w:p w:rsidR="00A2025B" w:rsidRPr="00DC03EB" w:rsidRDefault="00A2025B" w:rsidP="00A2025B">
            <w:pPr>
              <w:pStyle w:val="ListParagraph"/>
              <w:spacing w:after="0" w:line="360" w:lineRule="auto"/>
              <w:ind w:left="0"/>
              <w:jc w:val="both"/>
              <w:rPr>
                <w:rFonts w:ascii="Arial" w:hAnsi="Arial" w:cs="Arial"/>
                <w:sz w:val="24"/>
                <w:szCs w:val="24"/>
              </w:rPr>
            </w:pPr>
          </w:p>
          <w:p w:rsidR="00A2025B" w:rsidRPr="00A638E4" w:rsidRDefault="00A2025B" w:rsidP="00A2025B">
            <w:pPr>
              <w:spacing w:line="360" w:lineRule="auto"/>
              <w:ind w:firstLine="720"/>
              <w:jc w:val="both"/>
              <w:rPr>
                <w:rFonts w:ascii="Arial" w:hAnsi="Arial" w:cs="Arial"/>
              </w:rPr>
            </w:pPr>
            <w:r w:rsidRPr="00A638E4">
              <w:rPr>
                <w:rFonts w:ascii="Arial" w:hAnsi="Arial" w:cs="Arial"/>
              </w:rPr>
              <w:t>‘1.</w:t>
            </w:r>
            <w:r w:rsidRPr="00A638E4">
              <w:rPr>
                <w:rFonts w:ascii="Arial" w:hAnsi="Arial" w:cs="Arial"/>
              </w:rPr>
              <w:tab/>
              <w:t xml:space="preserve">The Respondent be provisionally wound up in the hands of the Master of the High Court Namibia. </w:t>
            </w:r>
          </w:p>
          <w:p w:rsidR="00A2025B" w:rsidRPr="00A638E4" w:rsidRDefault="00A2025B" w:rsidP="00A2025B">
            <w:pPr>
              <w:spacing w:line="360" w:lineRule="auto"/>
              <w:jc w:val="both"/>
              <w:rPr>
                <w:rFonts w:ascii="Arial" w:hAnsi="Arial" w:cs="Arial"/>
              </w:rPr>
            </w:pPr>
            <w:r w:rsidRPr="00A638E4">
              <w:rPr>
                <w:rFonts w:ascii="Arial" w:hAnsi="Arial" w:cs="Arial"/>
              </w:rPr>
              <w:t xml:space="preserve">2. That a rule nisi is issued, calling upon Respondent and all interested parties to give reasons, or show cause, if any, on 22 April 2022 at 10h00 as to why: </w:t>
            </w:r>
          </w:p>
          <w:p w:rsidR="00A2025B" w:rsidRPr="00A638E4" w:rsidRDefault="00A2025B" w:rsidP="00A2025B">
            <w:pPr>
              <w:spacing w:line="360" w:lineRule="auto"/>
              <w:ind w:firstLine="720"/>
              <w:jc w:val="both"/>
              <w:rPr>
                <w:rFonts w:ascii="Arial" w:hAnsi="Arial" w:cs="Arial"/>
              </w:rPr>
            </w:pPr>
            <w:r w:rsidRPr="00A638E4">
              <w:rPr>
                <w:rFonts w:ascii="Arial" w:hAnsi="Arial" w:cs="Arial"/>
              </w:rPr>
              <w:t xml:space="preserve">2.1. The Respondent should not be finally liquidated; and </w:t>
            </w:r>
          </w:p>
          <w:p w:rsidR="00A2025B" w:rsidRPr="00A638E4" w:rsidRDefault="00A2025B" w:rsidP="00A2025B">
            <w:pPr>
              <w:spacing w:line="360" w:lineRule="auto"/>
              <w:ind w:left="720"/>
              <w:jc w:val="both"/>
              <w:rPr>
                <w:rFonts w:ascii="Arial" w:hAnsi="Arial" w:cs="Arial"/>
              </w:rPr>
            </w:pPr>
            <w:r w:rsidRPr="00A638E4">
              <w:rPr>
                <w:rFonts w:ascii="Arial" w:hAnsi="Arial" w:cs="Arial"/>
              </w:rPr>
              <w:t>2.2. The costs of this application on a scale as between attorney and client, should not be costs in the liquidation of the Respondent.</w:t>
            </w:r>
          </w:p>
          <w:p w:rsidR="00A2025B" w:rsidRPr="00A638E4" w:rsidRDefault="00A2025B" w:rsidP="00A2025B">
            <w:pPr>
              <w:spacing w:line="360" w:lineRule="auto"/>
              <w:jc w:val="both"/>
              <w:rPr>
                <w:rFonts w:ascii="Arial" w:hAnsi="Arial" w:cs="Arial"/>
              </w:rPr>
            </w:pPr>
            <w:r w:rsidRPr="00A638E4">
              <w:rPr>
                <w:rFonts w:ascii="Arial" w:hAnsi="Arial" w:cs="Arial"/>
              </w:rPr>
              <w:t xml:space="preserve">3. Service of the provisional winding-up order shall be effected as follows: </w:t>
            </w:r>
          </w:p>
          <w:p w:rsidR="00A2025B" w:rsidRPr="00A638E4" w:rsidRDefault="00A2025B" w:rsidP="00A2025B">
            <w:pPr>
              <w:spacing w:line="360" w:lineRule="auto"/>
              <w:ind w:firstLine="720"/>
              <w:jc w:val="both"/>
              <w:rPr>
                <w:rFonts w:ascii="Arial" w:hAnsi="Arial" w:cs="Arial"/>
              </w:rPr>
            </w:pPr>
            <w:r w:rsidRPr="00A638E4">
              <w:rPr>
                <w:rFonts w:ascii="Arial" w:hAnsi="Arial" w:cs="Arial"/>
              </w:rPr>
              <w:t xml:space="preserve">3.1. By service by the Deputy Sheriff on: </w:t>
            </w:r>
          </w:p>
          <w:p w:rsidR="00A2025B" w:rsidRPr="00A638E4" w:rsidRDefault="00A2025B" w:rsidP="00A2025B">
            <w:pPr>
              <w:spacing w:line="360" w:lineRule="auto"/>
              <w:ind w:left="720" w:firstLine="720"/>
              <w:jc w:val="both"/>
              <w:rPr>
                <w:rFonts w:ascii="Arial" w:hAnsi="Arial" w:cs="Arial"/>
              </w:rPr>
            </w:pPr>
            <w:r w:rsidRPr="00A638E4">
              <w:rPr>
                <w:rFonts w:ascii="Arial" w:hAnsi="Arial" w:cs="Arial"/>
              </w:rPr>
              <w:t xml:space="preserve">3.1.1 the registered office and principal place of business of the Respondent at 12th Floor, Sanlam Centre, 145-157, Independence Avenue, Windhoek, Nambia; and </w:t>
            </w:r>
          </w:p>
          <w:p w:rsidR="00A2025B" w:rsidRPr="00A638E4" w:rsidRDefault="00A2025B" w:rsidP="00A2025B">
            <w:pPr>
              <w:spacing w:line="360" w:lineRule="auto"/>
              <w:ind w:left="720" w:firstLine="720"/>
              <w:jc w:val="both"/>
              <w:rPr>
                <w:rFonts w:ascii="Arial" w:hAnsi="Arial" w:cs="Arial"/>
              </w:rPr>
            </w:pPr>
            <w:r w:rsidRPr="00A638E4">
              <w:rPr>
                <w:rFonts w:ascii="Arial" w:hAnsi="Arial" w:cs="Arial"/>
              </w:rPr>
              <w:t>3.1.2. the Master of the High Court of Namibia at the High Court Building, Lüderitz Street,</w:t>
            </w:r>
          </w:p>
          <w:p w:rsidR="00A2025B" w:rsidRPr="00A638E4" w:rsidRDefault="00A2025B" w:rsidP="00A2025B">
            <w:pPr>
              <w:spacing w:line="360" w:lineRule="auto"/>
              <w:ind w:left="720"/>
              <w:jc w:val="both"/>
              <w:rPr>
                <w:rFonts w:ascii="Arial" w:hAnsi="Arial" w:cs="Arial"/>
              </w:rPr>
            </w:pPr>
            <w:r w:rsidRPr="00A638E4">
              <w:rPr>
                <w:rFonts w:ascii="Arial" w:hAnsi="Arial" w:cs="Arial"/>
              </w:rPr>
              <w:t xml:space="preserve">3.2. By 1 (one) publication in each of The Namibian and Republikein newspapers, and </w:t>
            </w:r>
          </w:p>
          <w:p w:rsidR="00A2025B" w:rsidRDefault="00A2025B" w:rsidP="00A2025B">
            <w:pPr>
              <w:spacing w:line="360" w:lineRule="auto"/>
              <w:ind w:left="720"/>
              <w:jc w:val="both"/>
              <w:rPr>
                <w:rFonts w:ascii="Arial" w:hAnsi="Arial" w:cs="Arial"/>
              </w:rPr>
            </w:pPr>
            <w:r w:rsidRPr="00A638E4">
              <w:rPr>
                <w:rFonts w:ascii="Arial" w:hAnsi="Arial" w:cs="Arial"/>
              </w:rPr>
              <w:t>3.3. By 1 (one) publication in the Government Gazette.</w:t>
            </w:r>
            <w:r>
              <w:rPr>
                <w:rFonts w:ascii="Arial" w:hAnsi="Arial" w:cs="Arial"/>
              </w:rPr>
              <w:t>’</w:t>
            </w:r>
          </w:p>
          <w:p w:rsidR="002D635D" w:rsidRPr="00A638E4" w:rsidRDefault="002D635D" w:rsidP="00A2025B">
            <w:pPr>
              <w:spacing w:line="360" w:lineRule="auto"/>
              <w:ind w:left="720"/>
              <w:jc w:val="both"/>
              <w:rPr>
                <w:rFonts w:ascii="Arial" w:hAnsi="Arial" w:cs="Arial"/>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It is the version of the respondent that there was an agreement between Mr Ben-Tovim and the applicant that</w:t>
            </w:r>
            <w:r w:rsidR="00C40E16">
              <w:rPr>
                <w:rFonts w:ascii="Arial" w:hAnsi="Arial" w:cs="Arial"/>
                <w:sz w:val="24"/>
                <w:szCs w:val="24"/>
              </w:rPr>
              <w:t>,</w:t>
            </w:r>
            <w:r w:rsidRPr="00DC03EB">
              <w:rPr>
                <w:rFonts w:ascii="Arial" w:hAnsi="Arial" w:cs="Arial"/>
                <w:sz w:val="24"/>
                <w:szCs w:val="24"/>
              </w:rPr>
              <w:t xml:space="preserve"> repayment of the loan will only be done when the respondent has secured project financing and that the matter should have been referred for arbitration</w:t>
            </w:r>
            <w:r>
              <w:rPr>
                <w:rFonts w:ascii="Arial" w:hAnsi="Arial" w:cs="Arial"/>
                <w:sz w:val="24"/>
                <w:szCs w:val="24"/>
              </w:rPr>
              <w:t xml:space="preserve">. </w:t>
            </w:r>
            <w:r w:rsidRPr="00DC03EB">
              <w:rPr>
                <w:rFonts w:ascii="Arial" w:hAnsi="Arial" w:cs="Arial"/>
                <w:sz w:val="24"/>
                <w:szCs w:val="24"/>
              </w:rPr>
              <w:t>This version however</w:t>
            </w:r>
            <w:r w:rsidR="00C40E16">
              <w:rPr>
                <w:rFonts w:ascii="Arial" w:hAnsi="Arial" w:cs="Arial"/>
                <w:sz w:val="24"/>
                <w:szCs w:val="24"/>
              </w:rPr>
              <w:t>,</w:t>
            </w:r>
            <w:r w:rsidRPr="00DC03EB">
              <w:rPr>
                <w:rFonts w:ascii="Arial" w:hAnsi="Arial" w:cs="Arial"/>
                <w:sz w:val="24"/>
                <w:szCs w:val="24"/>
              </w:rPr>
              <w:t xml:space="preserve"> was put forward in a second answering affidavit after the first answering affidavit was filed out of time and such late filing was not condoned by the court.</w:t>
            </w:r>
          </w:p>
          <w:p w:rsidR="00A2025B" w:rsidRPr="00DC03EB" w:rsidRDefault="00A2025B" w:rsidP="00A2025B">
            <w:pPr>
              <w:pStyle w:val="ListParagraph"/>
              <w:spacing w:after="0" w:line="360" w:lineRule="auto"/>
              <w:ind w:left="0"/>
              <w:jc w:val="both"/>
              <w:rPr>
                <w:rFonts w:ascii="Arial" w:hAnsi="Arial" w:cs="Arial"/>
                <w:sz w:val="24"/>
                <w:szCs w:val="24"/>
              </w:rPr>
            </w:pPr>
            <w:r w:rsidRPr="00DC03EB">
              <w:rPr>
                <w:rFonts w:ascii="Arial" w:hAnsi="Arial" w:cs="Arial"/>
                <w:sz w:val="24"/>
                <w:szCs w:val="24"/>
              </w:rPr>
              <w:t xml:space="preserve">  </w:t>
            </w:r>
          </w:p>
          <w:p w:rsidR="00A2025B" w:rsidRDefault="00A2025B" w:rsidP="00A2025B">
            <w:pPr>
              <w:spacing w:line="360" w:lineRule="auto"/>
              <w:jc w:val="both"/>
              <w:rPr>
                <w:rFonts w:ascii="Arial" w:hAnsi="Arial" w:cs="Arial"/>
                <w:sz w:val="24"/>
                <w:szCs w:val="24"/>
                <w:u w:val="single"/>
              </w:rPr>
            </w:pPr>
            <w:r>
              <w:rPr>
                <w:rFonts w:ascii="Arial" w:hAnsi="Arial" w:cs="Arial"/>
                <w:sz w:val="24"/>
                <w:szCs w:val="24"/>
                <w:u w:val="single"/>
              </w:rPr>
              <w:t>Various points raised by the respondent</w:t>
            </w:r>
          </w:p>
          <w:p w:rsidR="002D635D" w:rsidRDefault="002D635D" w:rsidP="00A2025B">
            <w:pPr>
              <w:spacing w:line="360" w:lineRule="auto"/>
              <w:jc w:val="both"/>
              <w:rPr>
                <w:rFonts w:ascii="Arial" w:hAnsi="Arial" w:cs="Arial"/>
                <w:sz w:val="24"/>
                <w:szCs w:val="24"/>
                <w:u w:val="single"/>
              </w:rPr>
            </w:pPr>
          </w:p>
          <w:p w:rsidR="00A2025B" w:rsidRDefault="00A2025B" w:rsidP="00A2025B">
            <w:pPr>
              <w:spacing w:line="360" w:lineRule="auto"/>
              <w:jc w:val="both"/>
              <w:rPr>
                <w:rFonts w:ascii="Arial" w:hAnsi="Arial" w:cs="Arial"/>
                <w:sz w:val="24"/>
                <w:szCs w:val="24"/>
              </w:rPr>
            </w:pPr>
            <w:r w:rsidRPr="009E5B12">
              <w:rPr>
                <w:rFonts w:ascii="Arial" w:hAnsi="Arial" w:cs="Arial"/>
                <w:i/>
                <w:sz w:val="24"/>
                <w:szCs w:val="24"/>
              </w:rPr>
              <w:t xml:space="preserve">Failure to allege </w:t>
            </w:r>
            <w:r>
              <w:rPr>
                <w:rFonts w:ascii="Arial" w:hAnsi="Arial" w:cs="Arial"/>
                <w:i/>
                <w:sz w:val="24"/>
                <w:szCs w:val="24"/>
              </w:rPr>
              <w:t>authority</w:t>
            </w:r>
            <w:r w:rsidRPr="009E5B12">
              <w:rPr>
                <w:rFonts w:ascii="Arial" w:hAnsi="Arial" w:cs="Arial"/>
                <w:sz w:val="24"/>
                <w:szCs w:val="24"/>
              </w:rPr>
              <w:t xml:space="preserve"> </w:t>
            </w:r>
          </w:p>
          <w:p w:rsidR="002D635D" w:rsidRDefault="002D635D" w:rsidP="00A2025B">
            <w:pPr>
              <w:spacing w:line="360" w:lineRule="auto"/>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The deponent to the application does not allege, as a minimum, that he is authorized by the applicant to institute the application on its behalf. Alleging authority to depose to an affidavit is meaningless. It is the institution of proceedings which must be</w:t>
            </w:r>
            <w:r w:rsidR="00C40E16">
              <w:rPr>
                <w:rFonts w:ascii="Arial" w:hAnsi="Arial" w:cs="Arial"/>
                <w:sz w:val="24"/>
                <w:szCs w:val="24"/>
              </w:rPr>
              <w:t xml:space="preserve"> authoris</w:t>
            </w:r>
            <w:r w:rsidRPr="00DC03EB">
              <w:rPr>
                <w:rFonts w:ascii="Arial" w:hAnsi="Arial" w:cs="Arial"/>
                <w:sz w:val="24"/>
                <w:szCs w:val="24"/>
              </w:rPr>
              <w:t xml:space="preserve">ed.  </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Annexure “PP2” to the founding papers contemplate an urgent application aga</w:t>
            </w:r>
            <w:r w:rsidR="00C40E16">
              <w:rPr>
                <w:rFonts w:ascii="Arial" w:hAnsi="Arial" w:cs="Arial"/>
                <w:sz w:val="24"/>
                <w:szCs w:val="24"/>
              </w:rPr>
              <w:t>inst the respondent. It authoris</w:t>
            </w:r>
            <w:r w:rsidRPr="00DC03EB">
              <w:rPr>
                <w:rFonts w:ascii="Arial" w:hAnsi="Arial" w:cs="Arial"/>
                <w:sz w:val="24"/>
                <w:szCs w:val="24"/>
              </w:rPr>
              <w:t xml:space="preserve">es the deponent to sign documents and affidavits required for the winding </w:t>
            </w:r>
            <w:r w:rsidRPr="00DC03EB">
              <w:rPr>
                <w:rFonts w:ascii="Arial" w:hAnsi="Arial" w:cs="Arial"/>
                <w:sz w:val="24"/>
                <w:szCs w:val="24"/>
              </w:rPr>
              <w:lastRenderedPageBreak/>
              <w:t>up application.</w:t>
            </w:r>
            <w:r w:rsidR="00C40E16">
              <w:rPr>
                <w:rFonts w:ascii="Arial" w:hAnsi="Arial" w:cs="Arial"/>
                <w:sz w:val="24"/>
                <w:szCs w:val="24"/>
              </w:rPr>
              <w:t xml:space="preserve"> It does not resolve to authoris</w:t>
            </w:r>
            <w:r w:rsidRPr="00DC03EB">
              <w:rPr>
                <w:rFonts w:ascii="Arial" w:hAnsi="Arial" w:cs="Arial"/>
                <w:sz w:val="24"/>
                <w:szCs w:val="24"/>
              </w:rPr>
              <w:t xml:space="preserve">e the institution of proceedings. Authority is not assumed; it must be stated as a bare minimum. </w:t>
            </w:r>
          </w:p>
          <w:p w:rsidR="00A2025B" w:rsidRPr="00DC03EB" w:rsidRDefault="00A2025B" w:rsidP="00A2025B">
            <w:pPr>
              <w:pStyle w:val="ListParagraph"/>
              <w:spacing w:after="0" w:line="360" w:lineRule="auto"/>
              <w:ind w:left="0"/>
              <w:jc w:val="both"/>
              <w:rPr>
                <w:rFonts w:ascii="Arial" w:hAnsi="Arial" w:cs="Arial"/>
                <w:sz w:val="24"/>
                <w:szCs w:val="24"/>
              </w:rPr>
            </w:pPr>
          </w:p>
          <w:p w:rsidR="00A2025B" w:rsidRDefault="00A2025B" w:rsidP="00A2025B">
            <w:pPr>
              <w:spacing w:line="360" w:lineRule="auto"/>
              <w:jc w:val="both"/>
              <w:rPr>
                <w:rFonts w:ascii="Arial" w:hAnsi="Arial" w:cs="Arial"/>
                <w:i/>
                <w:sz w:val="24"/>
                <w:szCs w:val="24"/>
              </w:rPr>
            </w:pPr>
            <w:r w:rsidRPr="00956FBB">
              <w:rPr>
                <w:rFonts w:ascii="Arial" w:hAnsi="Arial" w:cs="Arial"/>
                <w:i/>
                <w:sz w:val="24"/>
                <w:szCs w:val="24"/>
              </w:rPr>
              <w:t xml:space="preserve">Jurisdiction of the court </w:t>
            </w:r>
          </w:p>
          <w:p w:rsidR="002D635D" w:rsidRPr="00956FBB" w:rsidRDefault="002D635D" w:rsidP="00A2025B">
            <w:pPr>
              <w:spacing w:line="360" w:lineRule="auto"/>
              <w:jc w:val="both"/>
              <w:rPr>
                <w:rFonts w:ascii="Arial" w:hAnsi="Arial" w:cs="Arial"/>
                <w:i/>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The applicant can only seek the liquidation of the respondent on the basis of section 350(1)</w:t>
            </w:r>
            <w:r w:rsidRPr="00DC03EB">
              <w:rPr>
                <w:rFonts w:ascii="Arial" w:hAnsi="Arial" w:cs="Arial"/>
                <w:i/>
                <w:sz w:val="24"/>
                <w:szCs w:val="24"/>
              </w:rPr>
              <w:t>(c</w:t>
            </w:r>
            <w:r>
              <w:rPr>
                <w:rFonts w:ascii="Arial" w:hAnsi="Arial" w:cs="Arial"/>
                <w:sz w:val="24"/>
                <w:szCs w:val="24"/>
              </w:rPr>
              <w:t xml:space="preserve">) of the Companies Act 28 of </w:t>
            </w:r>
            <w:r w:rsidRPr="00DC03EB">
              <w:rPr>
                <w:rFonts w:ascii="Arial" w:hAnsi="Arial" w:cs="Arial"/>
                <w:sz w:val="24"/>
                <w:szCs w:val="24"/>
              </w:rPr>
              <w:t>2004 in circumstances wh</w:t>
            </w:r>
            <w:r>
              <w:rPr>
                <w:rFonts w:ascii="Arial" w:hAnsi="Arial" w:cs="Arial"/>
                <w:sz w:val="24"/>
                <w:szCs w:val="24"/>
              </w:rPr>
              <w:t xml:space="preserve">ere the Close Corporations Act 26 of </w:t>
            </w:r>
            <w:r w:rsidRPr="00DC03EB">
              <w:rPr>
                <w:rFonts w:ascii="Arial" w:hAnsi="Arial" w:cs="Arial"/>
                <w:sz w:val="24"/>
                <w:szCs w:val="24"/>
              </w:rPr>
              <w:t>1988 itself does not provide such basis (section 66(1) of the Close Corporations Act</w:t>
            </w:r>
            <w:r>
              <w:rPr>
                <w:rFonts w:ascii="Arial" w:hAnsi="Arial" w:cs="Arial"/>
                <w:sz w:val="24"/>
                <w:szCs w:val="24"/>
              </w:rPr>
              <w:t xml:space="preserve"> 26 of</w:t>
            </w:r>
            <w:r w:rsidR="00C40E16">
              <w:rPr>
                <w:rFonts w:ascii="Arial" w:hAnsi="Arial" w:cs="Arial"/>
                <w:sz w:val="24"/>
                <w:szCs w:val="24"/>
              </w:rPr>
              <w:t xml:space="preserve"> </w:t>
            </w:r>
            <w:r w:rsidRPr="00DC03EB">
              <w:rPr>
                <w:rFonts w:ascii="Arial" w:hAnsi="Arial" w:cs="Arial"/>
                <w:sz w:val="24"/>
                <w:szCs w:val="24"/>
              </w:rPr>
              <w:t xml:space="preserve">1988). </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 xml:space="preserve">Accordingly, the court may not permissibly grant a final order of liquidation against the respondent on the basis of inapplicable legislation. </w:t>
            </w:r>
          </w:p>
          <w:p w:rsidR="00A2025B" w:rsidRPr="00DC03EB" w:rsidRDefault="00A2025B" w:rsidP="00A2025B">
            <w:pPr>
              <w:pStyle w:val="ListParagraph"/>
              <w:spacing w:after="0" w:line="360" w:lineRule="auto"/>
              <w:ind w:left="0"/>
              <w:jc w:val="both"/>
              <w:rPr>
                <w:rFonts w:ascii="Arial" w:hAnsi="Arial" w:cs="Arial"/>
                <w:sz w:val="24"/>
                <w:szCs w:val="24"/>
              </w:rPr>
            </w:pPr>
          </w:p>
          <w:p w:rsidR="00A2025B" w:rsidRDefault="00A2025B" w:rsidP="00A2025B">
            <w:pPr>
              <w:spacing w:line="360" w:lineRule="auto"/>
              <w:jc w:val="both"/>
              <w:rPr>
                <w:rFonts w:ascii="Arial" w:hAnsi="Arial" w:cs="Arial"/>
                <w:i/>
                <w:sz w:val="24"/>
                <w:szCs w:val="24"/>
              </w:rPr>
            </w:pPr>
            <w:r w:rsidRPr="00956FBB">
              <w:rPr>
                <w:rFonts w:ascii="Arial" w:hAnsi="Arial" w:cs="Arial"/>
                <w:i/>
                <w:sz w:val="24"/>
                <w:szCs w:val="24"/>
              </w:rPr>
              <w:t>Absence of jurisdictional facts</w:t>
            </w:r>
          </w:p>
          <w:p w:rsidR="002D635D" w:rsidRPr="00956FBB" w:rsidRDefault="002D635D" w:rsidP="00A2025B">
            <w:pPr>
              <w:spacing w:line="360" w:lineRule="auto"/>
              <w:jc w:val="both"/>
              <w:rPr>
                <w:rFonts w:ascii="Arial" w:hAnsi="Arial" w:cs="Arial"/>
                <w:i/>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The applicant must prove the existence of the indebtedness, and the respondent’s corresponding inability to pay as contemplated in section 68(1)(</w:t>
            </w:r>
            <w:r w:rsidRPr="00DC03EB">
              <w:rPr>
                <w:rFonts w:ascii="Arial" w:hAnsi="Arial" w:cs="Arial"/>
                <w:i/>
                <w:sz w:val="24"/>
                <w:szCs w:val="24"/>
              </w:rPr>
              <w:t>c</w:t>
            </w:r>
            <w:r w:rsidRPr="00DC03EB">
              <w:rPr>
                <w:rFonts w:ascii="Arial" w:hAnsi="Arial" w:cs="Arial"/>
                <w:sz w:val="24"/>
                <w:szCs w:val="24"/>
              </w:rPr>
              <w:t>), read with section 69(1)(</w:t>
            </w:r>
            <w:r w:rsidRPr="00C40E16">
              <w:rPr>
                <w:rFonts w:ascii="Arial" w:hAnsi="Arial" w:cs="Arial"/>
                <w:i/>
                <w:sz w:val="24"/>
                <w:szCs w:val="24"/>
              </w:rPr>
              <w:t>c</w:t>
            </w:r>
            <w:r>
              <w:rPr>
                <w:rFonts w:ascii="Arial" w:hAnsi="Arial" w:cs="Arial"/>
                <w:sz w:val="24"/>
                <w:szCs w:val="24"/>
              </w:rPr>
              <w:t>) of the Close Corporations Act 26 of</w:t>
            </w:r>
            <w:r w:rsidRPr="00DC03EB">
              <w:rPr>
                <w:rFonts w:ascii="Arial" w:hAnsi="Arial" w:cs="Arial"/>
                <w:sz w:val="24"/>
                <w:szCs w:val="24"/>
              </w:rPr>
              <w:t xml:space="preserve"> </w:t>
            </w:r>
            <w:r>
              <w:rPr>
                <w:rFonts w:ascii="Arial" w:hAnsi="Arial" w:cs="Arial"/>
                <w:sz w:val="24"/>
                <w:szCs w:val="24"/>
              </w:rPr>
              <w:t>1988.</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On the applicant’s version (Annexure PP5) the amount of indebtedness alleged comprise invalid penalties, impermissible interest, and a combination of monies due to the deponent of the applicant and the applicant itself. On these facts</w:t>
            </w:r>
            <w:r w:rsidR="00C40E16">
              <w:rPr>
                <w:rFonts w:ascii="Arial" w:hAnsi="Arial" w:cs="Arial"/>
                <w:sz w:val="24"/>
                <w:szCs w:val="24"/>
              </w:rPr>
              <w:t>,</w:t>
            </w:r>
            <w:r w:rsidRPr="00DC03EB">
              <w:rPr>
                <w:rFonts w:ascii="Arial" w:hAnsi="Arial" w:cs="Arial"/>
                <w:sz w:val="24"/>
                <w:szCs w:val="24"/>
              </w:rPr>
              <w:t xml:space="preserve"> the indebtedness is not clearly established. </w:t>
            </w:r>
          </w:p>
          <w:p w:rsidR="00A2025B" w:rsidRPr="00DC03EB" w:rsidRDefault="00A2025B" w:rsidP="00A2025B">
            <w:pPr>
              <w:pStyle w:val="ListParagraph"/>
              <w:spacing w:after="0" w:line="360" w:lineRule="auto"/>
              <w:ind w:left="0"/>
              <w:jc w:val="both"/>
              <w:rPr>
                <w:rFonts w:ascii="Arial" w:hAnsi="Arial" w:cs="Arial"/>
                <w:sz w:val="24"/>
                <w:szCs w:val="24"/>
              </w:rPr>
            </w:pPr>
          </w:p>
          <w:p w:rsidR="00A2025B" w:rsidRDefault="00A2025B" w:rsidP="00A2025B">
            <w:pPr>
              <w:spacing w:line="360" w:lineRule="auto"/>
              <w:jc w:val="both"/>
              <w:rPr>
                <w:rFonts w:ascii="Arial" w:hAnsi="Arial" w:cs="Arial"/>
                <w:i/>
                <w:sz w:val="24"/>
                <w:szCs w:val="24"/>
              </w:rPr>
            </w:pPr>
            <w:r w:rsidRPr="00956FBB">
              <w:rPr>
                <w:rFonts w:ascii="Arial" w:hAnsi="Arial" w:cs="Arial"/>
                <w:i/>
                <w:sz w:val="24"/>
                <w:szCs w:val="24"/>
              </w:rPr>
              <w:t>Arbitration</w:t>
            </w:r>
          </w:p>
          <w:p w:rsidR="002D635D" w:rsidRPr="00956FBB" w:rsidRDefault="002D635D" w:rsidP="00A2025B">
            <w:pPr>
              <w:spacing w:line="360" w:lineRule="auto"/>
              <w:jc w:val="both"/>
              <w:rPr>
                <w:rFonts w:ascii="Arial" w:hAnsi="Arial" w:cs="Arial"/>
                <w:i/>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 xml:space="preserve">The parties agreed that, on whatever legal basis, any claim arising out of the agreement shall be settled by way of arbitration (clause 10.1). The respondent specifically pleaded this fact. </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The applicant seeks enforcement of a disputed claim by circumventing the agreed</w:t>
            </w:r>
            <w:r>
              <w:rPr>
                <w:rFonts w:ascii="Arial" w:hAnsi="Arial" w:cs="Arial"/>
                <w:sz w:val="24"/>
                <w:szCs w:val="24"/>
              </w:rPr>
              <w:t xml:space="preserve"> dispute resolution provisions. </w:t>
            </w:r>
            <w:r w:rsidRPr="00DC03EB">
              <w:rPr>
                <w:rFonts w:ascii="Arial" w:hAnsi="Arial" w:cs="Arial"/>
                <w:sz w:val="24"/>
                <w:szCs w:val="24"/>
              </w:rPr>
              <w:t xml:space="preserve">This explains why no statutory demand for payment was made. The issue is not that an arbitrator cannot grant liquidation relief. The applicant seeks enforcement of the loan obligations by employing liquidation proceedings as a debt collection mechanism in circumstances </w:t>
            </w:r>
            <w:r w:rsidRPr="00DC03EB">
              <w:rPr>
                <w:rFonts w:ascii="Arial" w:hAnsi="Arial" w:cs="Arial"/>
                <w:sz w:val="24"/>
                <w:szCs w:val="24"/>
              </w:rPr>
              <w:lastRenderedPageBreak/>
              <w:t>where they agreed that disputes arising out of the agreement shall be referred to arbitration. The Honourable Court should decline to exercise its jurisdiction and hold the parties to their agreement</w:t>
            </w:r>
            <w:r>
              <w:rPr>
                <w:rFonts w:ascii="Arial" w:hAnsi="Arial" w:cs="Arial"/>
                <w:sz w:val="24"/>
                <w:szCs w:val="24"/>
              </w:rPr>
              <w:t>.</w:t>
            </w:r>
          </w:p>
          <w:p w:rsidR="00A2025B" w:rsidRPr="00DC03EB" w:rsidRDefault="00A2025B" w:rsidP="00A2025B">
            <w:pPr>
              <w:pStyle w:val="ListParagraph"/>
              <w:spacing w:after="0" w:line="360" w:lineRule="auto"/>
              <w:ind w:left="0"/>
              <w:jc w:val="both"/>
              <w:rPr>
                <w:rFonts w:ascii="Arial" w:hAnsi="Arial" w:cs="Arial"/>
                <w:sz w:val="24"/>
                <w:szCs w:val="24"/>
              </w:rPr>
            </w:pPr>
            <w:r w:rsidRPr="00DC03EB">
              <w:rPr>
                <w:rFonts w:ascii="Arial" w:hAnsi="Arial" w:cs="Arial"/>
                <w:sz w:val="24"/>
                <w:szCs w:val="24"/>
              </w:rPr>
              <w:t xml:space="preserve">  </w:t>
            </w:r>
          </w:p>
          <w:p w:rsidR="00A2025B" w:rsidRDefault="00A2025B" w:rsidP="00A2025B">
            <w:pPr>
              <w:spacing w:line="360" w:lineRule="auto"/>
              <w:jc w:val="both"/>
              <w:rPr>
                <w:rFonts w:ascii="Arial" w:hAnsi="Arial" w:cs="Arial"/>
                <w:i/>
                <w:sz w:val="24"/>
                <w:szCs w:val="24"/>
              </w:rPr>
            </w:pPr>
            <w:r w:rsidRPr="00956FBB">
              <w:rPr>
                <w:rFonts w:ascii="Arial" w:hAnsi="Arial" w:cs="Arial"/>
                <w:i/>
                <w:sz w:val="24"/>
                <w:szCs w:val="24"/>
              </w:rPr>
              <w:t>Penalty raising fee impermissible</w:t>
            </w:r>
          </w:p>
          <w:p w:rsidR="002D635D" w:rsidRPr="00956FBB" w:rsidRDefault="002D635D" w:rsidP="00A2025B">
            <w:pPr>
              <w:spacing w:line="360" w:lineRule="auto"/>
              <w:jc w:val="both"/>
              <w:rPr>
                <w:rFonts w:ascii="Arial" w:hAnsi="Arial" w:cs="Arial"/>
                <w:i/>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 xml:space="preserve">The applicant’s deponent produced extracts of email correspondence intending to demonstrate the respondent’s false promises. Conveniently, it omitted its own replies thereto. Same were produced by the respondent in answer. </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 xml:space="preserve">The respondent, with reference to these very same emails, demonstrate applicant’s acceptance of delayed performance for numerous years. The applicant is disentitled to </w:t>
            </w:r>
            <w:r>
              <w:rPr>
                <w:rFonts w:ascii="Arial" w:hAnsi="Arial" w:cs="Arial"/>
                <w:sz w:val="24"/>
                <w:szCs w:val="24"/>
              </w:rPr>
              <w:t xml:space="preserve">the penalty in the amount of N$7 621 </w:t>
            </w:r>
            <w:r w:rsidRPr="00DC03EB">
              <w:rPr>
                <w:rFonts w:ascii="Arial" w:hAnsi="Arial" w:cs="Arial"/>
                <w:sz w:val="24"/>
                <w:szCs w:val="24"/>
              </w:rPr>
              <w:t xml:space="preserve">325.37 by virtue of section 2(2) of </w:t>
            </w:r>
            <w:r>
              <w:rPr>
                <w:rFonts w:ascii="Arial" w:hAnsi="Arial" w:cs="Arial"/>
                <w:sz w:val="24"/>
                <w:szCs w:val="24"/>
              </w:rPr>
              <w:t>the Conventional Penalties Act 15 of 1962.</w:t>
            </w:r>
          </w:p>
          <w:p w:rsidR="00A2025B" w:rsidRPr="00DC03EB" w:rsidRDefault="00A2025B" w:rsidP="00A2025B">
            <w:pPr>
              <w:pStyle w:val="ListParagraph"/>
              <w:spacing w:after="0" w:line="360" w:lineRule="auto"/>
              <w:ind w:left="0"/>
              <w:jc w:val="both"/>
              <w:rPr>
                <w:rFonts w:ascii="Arial" w:hAnsi="Arial" w:cs="Arial"/>
                <w:sz w:val="24"/>
                <w:szCs w:val="24"/>
              </w:rPr>
            </w:pPr>
          </w:p>
          <w:p w:rsidR="00A2025B" w:rsidRDefault="00A2025B" w:rsidP="00A2025B">
            <w:pPr>
              <w:spacing w:line="360" w:lineRule="auto"/>
              <w:jc w:val="both"/>
              <w:rPr>
                <w:rFonts w:ascii="Arial" w:hAnsi="Arial" w:cs="Arial"/>
                <w:sz w:val="24"/>
                <w:szCs w:val="24"/>
              </w:rPr>
            </w:pPr>
            <w:r w:rsidRPr="00956FBB">
              <w:rPr>
                <w:rFonts w:ascii="Arial" w:hAnsi="Arial" w:cs="Arial"/>
                <w:i/>
                <w:sz w:val="24"/>
                <w:szCs w:val="24"/>
              </w:rPr>
              <w:t>Common law in duplum rule</w:t>
            </w:r>
            <w:r>
              <w:rPr>
                <w:rFonts w:ascii="Arial" w:hAnsi="Arial" w:cs="Arial"/>
                <w:sz w:val="24"/>
                <w:szCs w:val="24"/>
              </w:rPr>
              <w:t xml:space="preserve"> </w:t>
            </w:r>
          </w:p>
          <w:p w:rsidR="002D635D" w:rsidRDefault="002D635D" w:rsidP="00A2025B">
            <w:pPr>
              <w:spacing w:line="360" w:lineRule="auto"/>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 xml:space="preserve">Annexure </w:t>
            </w:r>
            <w:r>
              <w:rPr>
                <w:rFonts w:ascii="Arial" w:hAnsi="Arial" w:cs="Arial"/>
                <w:sz w:val="24"/>
                <w:szCs w:val="24"/>
              </w:rPr>
              <w:t>“</w:t>
            </w:r>
            <w:r w:rsidRPr="00DC03EB">
              <w:rPr>
                <w:rFonts w:ascii="Arial" w:hAnsi="Arial" w:cs="Arial"/>
                <w:sz w:val="24"/>
                <w:szCs w:val="24"/>
              </w:rPr>
              <w:t>PP5</w:t>
            </w:r>
            <w:r>
              <w:rPr>
                <w:rFonts w:ascii="Arial" w:hAnsi="Arial" w:cs="Arial"/>
                <w:sz w:val="24"/>
                <w:szCs w:val="24"/>
              </w:rPr>
              <w:t>”</w:t>
            </w:r>
            <w:r w:rsidRPr="00DC03EB">
              <w:rPr>
                <w:rFonts w:ascii="Arial" w:hAnsi="Arial" w:cs="Arial"/>
                <w:sz w:val="24"/>
                <w:szCs w:val="24"/>
              </w:rPr>
              <w:t xml:space="preserve"> demonstrates</w:t>
            </w:r>
            <w:r>
              <w:rPr>
                <w:rFonts w:ascii="Arial" w:hAnsi="Arial" w:cs="Arial"/>
                <w:sz w:val="24"/>
                <w:szCs w:val="24"/>
              </w:rPr>
              <w:t xml:space="preserve"> that the capital loan amount (e</w:t>
            </w:r>
            <w:r w:rsidRPr="00DC03EB">
              <w:rPr>
                <w:rFonts w:ascii="Arial" w:hAnsi="Arial" w:cs="Arial"/>
                <w:sz w:val="24"/>
                <w:szCs w:val="24"/>
              </w:rPr>
              <w:t>xcluding the deponen</w:t>
            </w:r>
            <w:r>
              <w:rPr>
                <w:rFonts w:ascii="Arial" w:hAnsi="Arial" w:cs="Arial"/>
                <w:sz w:val="24"/>
                <w:szCs w:val="24"/>
              </w:rPr>
              <w:t xml:space="preserve">t’s commission payments) was N$5 700 </w:t>
            </w:r>
            <w:r w:rsidR="00C40E16">
              <w:rPr>
                <w:rFonts w:ascii="Arial" w:hAnsi="Arial" w:cs="Arial"/>
                <w:sz w:val="24"/>
                <w:szCs w:val="24"/>
              </w:rPr>
              <w:t>000</w:t>
            </w:r>
            <w:r>
              <w:rPr>
                <w:rFonts w:ascii="Arial" w:hAnsi="Arial" w:cs="Arial"/>
                <w:sz w:val="24"/>
                <w:szCs w:val="24"/>
              </w:rPr>
              <w:t xml:space="preserve">. The commission is N$300 </w:t>
            </w:r>
            <w:r w:rsidR="00C40E16">
              <w:rPr>
                <w:rFonts w:ascii="Arial" w:hAnsi="Arial" w:cs="Arial"/>
                <w:sz w:val="24"/>
                <w:szCs w:val="24"/>
              </w:rPr>
              <w:t>000</w:t>
            </w:r>
            <w:r w:rsidRPr="00DC03EB">
              <w:rPr>
                <w:rFonts w:ascii="Arial" w:hAnsi="Arial" w:cs="Arial"/>
                <w:sz w:val="24"/>
                <w:szCs w:val="24"/>
              </w:rPr>
              <w:t>. Together with intere</w:t>
            </w:r>
            <w:r w:rsidR="00C40E16">
              <w:rPr>
                <w:rFonts w:ascii="Arial" w:hAnsi="Arial" w:cs="Arial"/>
                <w:sz w:val="24"/>
                <w:szCs w:val="24"/>
              </w:rPr>
              <w:t>sts thereon it amounts to N$</w:t>
            </w:r>
            <w:r>
              <w:rPr>
                <w:rFonts w:ascii="Arial" w:hAnsi="Arial" w:cs="Arial"/>
                <w:sz w:val="24"/>
                <w:szCs w:val="24"/>
              </w:rPr>
              <w:t xml:space="preserve">15 147 </w:t>
            </w:r>
            <w:r w:rsidR="00EC566C">
              <w:rPr>
                <w:rFonts w:ascii="Arial" w:hAnsi="Arial" w:cs="Arial"/>
                <w:sz w:val="24"/>
                <w:szCs w:val="24"/>
              </w:rPr>
              <w:t>988.40. Thus the interest is</w:t>
            </w:r>
            <w:r w:rsidRPr="00DC03EB">
              <w:rPr>
                <w:rFonts w:ascii="Arial" w:hAnsi="Arial" w:cs="Arial"/>
                <w:sz w:val="24"/>
                <w:szCs w:val="24"/>
              </w:rPr>
              <w:t xml:space="preserve"> an amount </w:t>
            </w:r>
            <w:r>
              <w:rPr>
                <w:rFonts w:ascii="Arial" w:hAnsi="Arial" w:cs="Arial"/>
                <w:sz w:val="24"/>
                <w:szCs w:val="24"/>
              </w:rPr>
              <w:t xml:space="preserve">of almost N$10 000 </w:t>
            </w:r>
            <w:r w:rsidR="00C40E16">
              <w:rPr>
                <w:rFonts w:ascii="Arial" w:hAnsi="Arial" w:cs="Arial"/>
                <w:sz w:val="24"/>
                <w:szCs w:val="24"/>
              </w:rPr>
              <w:t>000</w:t>
            </w:r>
            <w:r>
              <w:rPr>
                <w:rFonts w:ascii="Arial" w:hAnsi="Arial" w:cs="Arial"/>
                <w:sz w:val="24"/>
                <w:szCs w:val="24"/>
              </w:rPr>
              <w:t xml:space="preserve">. </w:t>
            </w:r>
            <w:r w:rsidRPr="00DC03EB">
              <w:rPr>
                <w:rFonts w:ascii="Arial" w:hAnsi="Arial" w:cs="Arial"/>
                <w:sz w:val="24"/>
                <w:szCs w:val="24"/>
              </w:rPr>
              <w:t>The total amount of arrear and unpaid interest by far exceeds th</w:t>
            </w:r>
            <w:r>
              <w:rPr>
                <w:rFonts w:ascii="Arial" w:hAnsi="Arial" w:cs="Arial"/>
                <w:sz w:val="24"/>
                <w:szCs w:val="24"/>
              </w:rPr>
              <w:t xml:space="preserve">e outstanding capital sum of N$5 700 </w:t>
            </w:r>
            <w:r w:rsidR="00C40E16">
              <w:rPr>
                <w:rFonts w:ascii="Arial" w:hAnsi="Arial" w:cs="Arial"/>
                <w:sz w:val="24"/>
                <w:szCs w:val="24"/>
              </w:rPr>
              <w:t>000</w:t>
            </w:r>
            <w:r w:rsidRPr="00DC03EB">
              <w:rPr>
                <w:rFonts w:ascii="Arial" w:hAnsi="Arial" w:cs="Arial"/>
                <w:sz w:val="24"/>
                <w:szCs w:val="24"/>
              </w:rPr>
              <w:t>. Plainly the respondent is not indebted to the applicant for amounts offensive to the rule. In any event, the interest amount is levied even on amounts due to the applicant’s deponent</w:t>
            </w:r>
            <w:r w:rsidR="00EC566C">
              <w:rPr>
                <w:rFonts w:ascii="Arial" w:hAnsi="Arial" w:cs="Arial"/>
                <w:sz w:val="24"/>
                <w:szCs w:val="24"/>
              </w:rPr>
              <w:t>,</w:t>
            </w:r>
            <w:r w:rsidRPr="00DC03EB">
              <w:rPr>
                <w:rFonts w:ascii="Arial" w:hAnsi="Arial" w:cs="Arial"/>
                <w:sz w:val="24"/>
                <w:szCs w:val="24"/>
              </w:rPr>
              <w:t xml:space="preserve"> personally.</w:t>
            </w:r>
          </w:p>
          <w:p w:rsidR="00A2025B" w:rsidRPr="00DC03EB" w:rsidRDefault="00A2025B" w:rsidP="00A2025B">
            <w:pPr>
              <w:pStyle w:val="ListParagraph"/>
              <w:spacing w:after="0" w:line="360" w:lineRule="auto"/>
              <w:ind w:left="0"/>
              <w:jc w:val="both"/>
              <w:rPr>
                <w:rFonts w:ascii="Arial" w:hAnsi="Arial" w:cs="Arial"/>
                <w:sz w:val="24"/>
                <w:szCs w:val="24"/>
              </w:rPr>
            </w:pPr>
          </w:p>
          <w:p w:rsidR="00A2025B" w:rsidRDefault="00A2025B" w:rsidP="00A2025B">
            <w:pPr>
              <w:spacing w:line="360" w:lineRule="auto"/>
              <w:jc w:val="both"/>
              <w:rPr>
                <w:rFonts w:ascii="Arial" w:hAnsi="Arial" w:cs="Arial"/>
                <w:sz w:val="24"/>
                <w:szCs w:val="24"/>
                <w:u w:val="single"/>
              </w:rPr>
            </w:pPr>
            <w:r w:rsidRPr="002A450A">
              <w:rPr>
                <w:rFonts w:ascii="Arial" w:hAnsi="Arial" w:cs="Arial"/>
                <w:sz w:val="24"/>
                <w:szCs w:val="24"/>
                <w:u w:val="single"/>
              </w:rPr>
              <w:t>The application</w:t>
            </w:r>
          </w:p>
          <w:p w:rsidR="002D635D" w:rsidRPr="002A450A" w:rsidRDefault="002D635D" w:rsidP="00A2025B">
            <w:pPr>
              <w:spacing w:line="360" w:lineRule="auto"/>
              <w:jc w:val="both"/>
              <w:rPr>
                <w:rFonts w:ascii="Arial" w:hAnsi="Arial" w:cs="Arial"/>
                <w:sz w:val="24"/>
                <w:szCs w:val="24"/>
                <w:u w:val="single"/>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DC03EB">
              <w:rPr>
                <w:rFonts w:ascii="Arial" w:hAnsi="Arial" w:cs="Arial"/>
                <w:sz w:val="24"/>
                <w:szCs w:val="24"/>
              </w:rPr>
              <w:t xml:space="preserve">The applicant, conducting business as a bridging finance corporation, is a creditor of the respondent and has </w:t>
            </w:r>
            <w:r w:rsidRPr="00EC566C">
              <w:rPr>
                <w:rFonts w:ascii="Arial" w:hAnsi="Arial" w:cs="Arial"/>
                <w:sz w:val="24"/>
                <w:szCs w:val="24"/>
              </w:rPr>
              <w:t>locus standi</w:t>
            </w:r>
            <w:r w:rsidRPr="00DC03EB">
              <w:rPr>
                <w:rFonts w:ascii="Arial" w:hAnsi="Arial" w:cs="Arial"/>
                <w:sz w:val="24"/>
                <w:szCs w:val="24"/>
              </w:rPr>
              <w:t xml:space="preserve"> in terms of section 351(1)(</w:t>
            </w:r>
            <w:r w:rsidRPr="00DC03EB">
              <w:rPr>
                <w:rFonts w:ascii="Arial" w:hAnsi="Arial" w:cs="Arial"/>
                <w:i/>
                <w:sz w:val="24"/>
                <w:szCs w:val="24"/>
              </w:rPr>
              <w:t>b</w:t>
            </w:r>
            <w:r w:rsidRPr="00DC03EB">
              <w:rPr>
                <w:rFonts w:ascii="Arial" w:hAnsi="Arial" w:cs="Arial"/>
                <w:sz w:val="24"/>
                <w:szCs w:val="24"/>
              </w:rPr>
              <w:t xml:space="preserve">) of the Companies Act 28 of 2004 (“the Act”), which section provides that an application to the Court for the winding up of a company may be made by one of its creditors. The applicant’s </w:t>
            </w:r>
            <w:r w:rsidRPr="00EC566C">
              <w:rPr>
                <w:rFonts w:ascii="Arial" w:hAnsi="Arial" w:cs="Arial"/>
                <w:sz w:val="24"/>
                <w:szCs w:val="24"/>
              </w:rPr>
              <w:t>locus standi</w:t>
            </w:r>
            <w:r w:rsidRPr="00DC03EB">
              <w:rPr>
                <w:rFonts w:ascii="Arial" w:hAnsi="Arial" w:cs="Arial"/>
                <w:sz w:val="24"/>
                <w:szCs w:val="24"/>
              </w:rPr>
              <w:t xml:space="preserve"> is not in dispute.  It is further not </w:t>
            </w:r>
            <w:r w:rsidRPr="00DC03EB">
              <w:rPr>
                <w:rFonts w:ascii="Arial" w:hAnsi="Arial" w:cs="Arial"/>
                <w:sz w:val="24"/>
                <w:szCs w:val="24"/>
              </w:rPr>
              <w:lastRenderedPageBreak/>
              <w:t>in dispute that the Court has jurisdiction as the respondent’s registered address is situated within its area of jurisdiction.</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B6261B">
              <w:rPr>
                <w:rFonts w:ascii="Arial" w:hAnsi="Arial" w:cs="Arial"/>
                <w:sz w:val="24"/>
                <w:szCs w:val="24"/>
              </w:rPr>
              <w:t>The basis of the winding up application is that the respondent is unable to pay its debts as contemplated in terms o</w:t>
            </w:r>
            <w:r>
              <w:rPr>
                <w:rFonts w:ascii="Arial" w:hAnsi="Arial" w:cs="Arial"/>
                <w:sz w:val="24"/>
                <w:szCs w:val="24"/>
              </w:rPr>
              <w:t>f section 350(1)(</w:t>
            </w:r>
            <w:r w:rsidRPr="00B6261B">
              <w:rPr>
                <w:rFonts w:ascii="Arial" w:hAnsi="Arial" w:cs="Arial"/>
                <w:i/>
                <w:sz w:val="24"/>
                <w:szCs w:val="24"/>
              </w:rPr>
              <w:t>c</w:t>
            </w:r>
            <w:r w:rsidR="00EC566C">
              <w:rPr>
                <w:rFonts w:ascii="Arial" w:hAnsi="Arial" w:cs="Arial"/>
                <w:sz w:val="24"/>
                <w:szCs w:val="24"/>
              </w:rPr>
              <w:t xml:space="preserve">) </w:t>
            </w:r>
            <w:r>
              <w:rPr>
                <w:rFonts w:ascii="Arial" w:hAnsi="Arial" w:cs="Arial"/>
                <w:sz w:val="24"/>
                <w:szCs w:val="24"/>
              </w:rPr>
              <w:t>of the Act</w:t>
            </w:r>
            <w:r w:rsidRPr="00B6261B">
              <w:rPr>
                <w:rFonts w:ascii="Arial" w:hAnsi="Arial" w:cs="Arial"/>
                <w:sz w:val="24"/>
                <w:szCs w:val="24"/>
              </w:rPr>
              <w:t xml:space="preserve"> and that the respondent is commercially insolvent. Section 350(1)(</w:t>
            </w:r>
            <w:r w:rsidRPr="00B6261B">
              <w:rPr>
                <w:rFonts w:ascii="Arial" w:hAnsi="Arial" w:cs="Arial"/>
                <w:i/>
                <w:sz w:val="24"/>
                <w:szCs w:val="24"/>
              </w:rPr>
              <w:t>c</w:t>
            </w:r>
            <w:r w:rsidRPr="00B6261B">
              <w:rPr>
                <w:rFonts w:ascii="Arial" w:hAnsi="Arial" w:cs="Arial"/>
                <w:sz w:val="24"/>
                <w:szCs w:val="24"/>
              </w:rPr>
              <w:t>)</w:t>
            </w:r>
            <w:r w:rsidR="00EC566C">
              <w:rPr>
                <w:rFonts w:ascii="Arial" w:hAnsi="Arial" w:cs="Arial"/>
                <w:sz w:val="24"/>
                <w:szCs w:val="24"/>
              </w:rPr>
              <w:t xml:space="preserve"> of the Act</w:t>
            </w:r>
            <w:r w:rsidRPr="00B6261B">
              <w:rPr>
                <w:rFonts w:ascii="Arial" w:hAnsi="Arial" w:cs="Arial"/>
                <w:sz w:val="24"/>
                <w:szCs w:val="24"/>
              </w:rPr>
              <w:t xml:space="preserve"> provides that a company or body corporate is deemed to be unable to pay its debts if it is </w:t>
            </w:r>
            <w:r w:rsidR="00EC566C">
              <w:rPr>
                <w:rFonts w:ascii="Arial" w:hAnsi="Arial" w:cs="Arial"/>
                <w:sz w:val="24"/>
                <w:szCs w:val="24"/>
              </w:rPr>
              <w:t xml:space="preserve">so </w:t>
            </w:r>
            <w:r w:rsidRPr="00B6261B">
              <w:rPr>
                <w:rFonts w:ascii="Arial" w:hAnsi="Arial" w:cs="Arial"/>
                <w:sz w:val="24"/>
                <w:szCs w:val="24"/>
              </w:rPr>
              <w:t>proved to the satisfaction of the Court. In terms of section 350(2)</w:t>
            </w:r>
            <w:r w:rsidR="00EC566C">
              <w:rPr>
                <w:rFonts w:ascii="Arial" w:hAnsi="Arial" w:cs="Arial"/>
                <w:sz w:val="24"/>
                <w:szCs w:val="24"/>
              </w:rPr>
              <w:t xml:space="preserve"> of the Act</w:t>
            </w:r>
            <w:r w:rsidRPr="00B6261B">
              <w:rPr>
                <w:rFonts w:ascii="Arial" w:hAnsi="Arial" w:cs="Arial"/>
                <w:sz w:val="24"/>
                <w:szCs w:val="24"/>
              </w:rPr>
              <w:t>, contingent and prospective liabilities of the company must also be taken into account for purposes of section 350(1).</w:t>
            </w:r>
          </w:p>
          <w:p w:rsidR="00A2025B" w:rsidRPr="00B6261B" w:rsidRDefault="00A2025B" w:rsidP="00A2025B">
            <w:pPr>
              <w:pStyle w:val="ListParagrap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B6261B">
              <w:rPr>
                <w:rFonts w:ascii="Arial" w:hAnsi="Arial" w:cs="Arial"/>
                <w:sz w:val="24"/>
                <w:szCs w:val="24"/>
              </w:rPr>
              <w:t>T</w:t>
            </w:r>
            <w:r w:rsidR="00EC566C">
              <w:rPr>
                <w:rFonts w:ascii="Arial" w:hAnsi="Arial" w:cs="Arial"/>
                <w:sz w:val="24"/>
                <w:szCs w:val="24"/>
              </w:rPr>
              <w:t xml:space="preserve">he above </w:t>
            </w:r>
            <w:r w:rsidRPr="00B6261B">
              <w:rPr>
                <w:rFonts w:ascii="Arial" w:hAnsi="Arial" w:cs="Arial"/>
                <w:sz w:val="24"/>
                <w:szCs w:val="24"/>
              </w:rPr>
              <w:t>is the only hurdle that must</w:t>
            </w:r>
            <w:r w:rsidR="00EC566C">
              <w:rPr>
                <w:rFonts w:ascii="Arial" w:hAnsi="Arial" w:cs="Arial"/>
                <w:sz w:val="24"/>
                <w:szCs w:val="24"/>
              </w:rPr>
              <w:t xml:space="preserve"> be overcome by the applicant t</w:t>
            </w:r>
            <w:r w:rsidRPr="00B6261B">
              <w:rPr>
                <w:rFonts w:ascii="Arial" w:hAnsi="Arial" w:cs="Arial"/>
                <w:sz w:val="24"/>
                <w:szCs w:val="24"/>
              </w:rPr>
              <w:t>o show to this court that the respondent is unable to pay</w:t>
            </w:r>
            <w:r>
              <w:rPr>
                <w:rFonts w:ascii="Arial" w:hAnsi="Arial" w:cs="Arial"/>
                <w:sz w:val="24"/>
                <w:szCs w:val="24"/>
              </w:rPr>
              <w:t xml:space="preserve"> its debts. </w:t>
            </w:r>
            <w:r w:rsidRPr="00B6261B">
              <w:rPr>
                <w:rFonts w:ascii="Arial" w:hAnsi="Arial" w:cs="Arial"/>
                <w:sz w:val="24"/>
                <w:szCs w:val="24"/>
              </w:rPr>
              <w:t>In this instance</w:t>
            </w:r>
            <w:r w:rsidR="00EC566C">
              <w:rPr>
                <w:rFonts w:ascii="Arial" w:hAnsi="Arial" w:cs="Arial"/>
                <w:sz w:val="24"/>
                <w:szCs w:val="24"/>
              </w:rPr>
              <w:t>,</w:t>
            </w:r>
            <w:r w:rsidRPr="00B6261B">
              <w:rPr>
                <w:rFonts w:ascii="Arial" w:hAnsi="Arial" w:cs="Arial"/>
                <w:sz w:val="24"/>
                <w:szCs w:val="24"/>
              </w:rPr>
              <w:t xml:space="preserve"> the respondent has never indicated ho</w:t>
            </w:r>
            <w:r>
              <w:rPr>
                <w:rFonts w:ascii="Arial" w:hAnsi="Arial" w:cs="Arial"/>
                <w:sz w:val="24"/>
                <w:szCs w:val="24"/>
              </w:rPr>
              <w:t xml:space="preserve">w it intends to pay its debts. </w:t>
            </w:r>
            <w:r w:rsidRPr="00B6261B">
              <w:rPr>
                <w:rFonts w:ascii="Arial" w:hAnsi="Arial" w:cs="Arial"/>
                <w:sz w:val="24"/>
                <w:szCs w:val="24"/>
              </w:rPr>
              <w:t>It has an issue with the calculation of the debt but it must be accepted that the principle debt and the interest</w:t>
            </w:r>
            <w:r>
              <w:rPr>
                <w:rFonts w:ascii="Arial" w:hAnsi="Arial" w:cs="Arial"/>
                <w:sz w:val="24"/>
                <w:szCs w:val="24"/>
              </w:rPr>
              <w:t xml:space="preserve"> on the principle debt stands. </w:t>
            </w:r>
            <w:r w:rsidRPr="00B6261B">
              <w:rPr>
                <w:rFonts w:ascii="Arial" w:hAnsi="Arial" w:cs="Arial"/>
                <w:sz w:val="24"/>
                <w:szCs w:val="24"/>
              </w:rPr>
              <w:t>It is true t</w:t>
            </w:r>
            <w:r w:rsidR="00EC566C">
              <w:rPr>
                <w:rFonts w:ascii="Arial" w:hAnsi="Arial" w:cs="Arial"/>
                <w:sz w:val="24"/>
                <w:szCs w:val="24"/>
              </w:rPr>
              <w:t>hat the i</w:t>
            </w:r>
            <w:r w:rsidRPr="00B6261B">
              <w:rPr>
                <w:rFonts w:ascii="Arial" w:hAnsi="Arial" w:cs="Arial"/>
                <w:sz w:val="24"/>
                <w:szCs w:val="24"/>
              </w:rPr>
              <w:t>n duplem rule stands in our law but in this matter it will result in the interest being curbed at N$6</w:t>
            </w:r>
            <w:r w:rsidR="00EC566C">
              <w:rPr>
                <w:rFonts w:ascii="Arial" w:hAnsi="Arial" w:cs="Arial"/>
                <w:sz w:val="24"/>
                <w:szCs w:val="24"/>
              </w:rPr>
              <w:t xml:space="preserve"> 000 000</w:t>
            </w:r>
            <w:r w:rsidRPr="00B6261B">
              <w:rPr>
                <w:rFonts w:ascii="Arial" w:hAnsi="Arial" w:cs="Arial"/>
                <w:sz w:val="24"/>
                <w:szCs w:val="24"/>
              </w:rPr>
              <w:t xml:space="preserve"> which takes the outstanding amount to N$12 000 000.  It was further a term of the agreement that the penalty raising fee was to run as from 15 January 2017 in the amount of </w:t>
            </w:r>
            <w:r>
              <w:rPr>
                <w:rFonts w:ascii="Arial" w:hAnsi="Arial" w:cs="Arial"/>
                <w:sz w:val="24"/>
                <w:szCs w:val="24"/>
              </w:rPr>
              <w:t>R4 512.</w:t>
            </w:r>
            <w:r w:rsidRPr="00B6261B">
              <w:rPr>
                <w:rFonts w:ascii="Arial" w:hAnsi="Arial" w:cs="Arial"/>
                <w:sz w:val="24"/>
                <w:szCs w:val="24"/>
              </w:rPr>
              <w:t>33 per day until the date of repayment of the capital amount plus interest</w:t>
            </w:r>
            <w:r w:rsidR="00EC566C">
              <w:rPr>
                <w:rFonts w:ascii="Arial" w:hAnsi="Arial" w:cs="Arial"/>
                <w:sz w:val="24"/>
                <w:szCs w:val="24"/>
              </w:rPr>
              <w:t>.</w:t>
            </w:r>
          </w:p>
          <w:p w:rsidR="00A2025B" w:rsidRPr="00B6261B" w:rsidRDefault="00A2025B" w:rsidP="00A2025B">
            <w:pPr>
              <w:pStyle w:val="ListParagrap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B6261B">
              <w:rPr>
                <w:rFonts w:ascii="Arial" w:hAnsi="Arial" w:cs="Arial"/>
                <w:sz w:val="24"/>
                <w:szCs w:val="24"/>
              </w:rPr>
              <w:t>Clau</w:t>
            </w:r>
            <w:r w:rsidR="00EC566C">
              <w:rPr>
                <w:rFonts w:ascii="Arial" w:hAnsi="Arial" w:cs="Arial"/>
                <w:sz w:val="24"/>
                <w:szCs w:val="24"/>
              </w:rPr>
              <w:t>se 13 of the loan agreement, in</w:t>
            </w:r>
            <w:r w:rsidRPr="00B6261B">
              <w:rPr>
                <w:rFonts w:ascii="Arial" w:hAnsi="Arial" w:cs="Arial"/>
                <w:sz w:val="24"/>
                <w:szCs w:val="24"/>
              </w:rPr>
              <w:t xml:space="preserve"> express and unambiguous terms provides that:</w:t>
            </w:r>
          </w:p>
          <w:p w:rsidR="00A2025B" w:rsidRPr="00B6261B" w:rsidRDefault="00A2025B" w:rsidP="00A2025B">
            <w:pPr>
              <w:pStyle w:val="ListParagraph"/>
              <w:spacing w:after="0" w:line="360" w:lineRule="auto"/>
              <w:ind w:left="0"/>
              <w:jc w:val="both"/>
              <w:rPr>
                <w:rFonts w:ascii="Arial" w:hAnsi="Arial" w:cs="Arial"/>
                <w:sz w:val="24"/>
                <w:szCs w:val="24"/>
              </w:rPr>
            </w:pPr>
          </w:p>
          <w:p w:rsidR="00A2025B" w:rsidRPr="00B6261B" w:rsidRDefault="00A2025B" w:rsidP="00A2025B">
            <w:pPr>
              <w:spacing w:line="360" w:lineRule="auto"/>
              <w:jc w:val="both"/>
              <w:rPr>
                <w:rFonts w:ascii="Arial" w:hAnsi="Arial" w:cs="Arial"/>
              </w:rPr>
            </w:pPr>
            <w:r>
              <w:rPr>
                <w:rFonts w:ascii="Arial" w:hAnsi="Arial" w:cs="Arial"/>
                <w:sz w:val="24"/>
                <w:szCs w:val="24"/>
              </w:rPr>
              <w:t xml:space="preserve"> </w:t>
            </w:r>
            <w:r>
              <w:rPr>
                <w:rFonts w:ascii="Arial" w:hAnsi="Arial" w:cs="Arial"/>
                <w:sz w:val="24"/>
                <w:szCs w:val="24"/>
              </w:rPr>
              <w:tab/>
            </w:r>
            <w:r w:rsidRPr="00B6261B">
              <w:rPr>
                <w:rFonts w:ascii="Arial" w:hAnsi="Arial" w:cs="Arial"/>
              </w:rPr>
              <w:t xml:space="preserve">‘13.1 This Agreement constitutes the sole record of the agreement between the Parties with regard to the subject matter thereof. No Party shall be bound by any express or implied terms, representation, warranty, promise or the like not recorded herein. </w:t>
            </w:r>
          </w:p>
          <w:p w:rsidR="00A2025B" w:rsidRPr="00B6261B" w:rsidRDefault="00A2025B" w:rsidP="00A2025B">
            <w:pPr>
              <w:spacing w:line="360" w:lineRule="auto"/>
              <w:jc w:val="both"/>
              <w:rPr>
                <w:rFonts w:ascii="Arial" w:hAnsi="Arial" w:cs="Arial"/>
              </w:rPr>
            </w:pPr>
            <w:r w:rsidRPr="00B6261B">
              <w:rPr>
                <w:rFonts w:ascii="Arial" w:hAnsi="Arial" w:cs="Arial"/>
              </w:rPr>
              <w:t xml:space="preserve">13.2 No addition to, variation of, or agreed cancellation of this Agreement, including this clause 13.2, shall be of any force or effect unless in writing and signed by or on behalf of the Parties. </w:t>
            </w:r>
          </w:p>
          <w:p w:rsidR="00A2025B" w:rsidRDefault="00A2025B" w:rsidP="00A2025B">
            <w:pPr>
              <w:spacing w:line="360" w:lineRule="auto"/>
              <w:jc w:val="both"/>
              <w:rPr>
                <w:rFonts w:ascii="Arial" w:hAnsi="Arial" w:cs="Arial"/>
              </w:rPr>
            </w:pPr>
            <w:r w:rsidRPr="00B6261B">
              <w:rPr>
                <w:rFonts w:ascii="Arial" w:hAnsi="Arial" w:cs="Arial"/>
              </w:rPr>
              <w:t>13.3 No relaxation or indulgence which any Party may grant to any other shall constitute a waiver of the rights of that party and shall not preclude that party from exercising any rights which may have arisen in the past or which might arise in future.’</w:t>
            </w:r>
          </w:p>
          <w:p w:rsidR="00EC566C" w:rsidRPr="00B6261B" w:rsidRDefault="00EC566C" w:rsidP="00A2025B">
            <w:pPr>
              <w:spacing w:line="360" w:lineRule="auto"/>
              <w:jc w:val="both"/>
              <w:rPr>
                <w:rFonts w:ascii="Arial" w:hAnsi="Arial" w:cs="Arial"/>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B6261B">
              <w:rPr>
                <w:rFonts w:ascii="Arial" w:hAnsi="Arial" w:cs="Arial"/>
                <w:sz w:val="24"/>
                <w:szCs w:val="24"/>
              </w:rPr>
              <w:t xml:space="preserve">This court has held in </w:t>
            </w:r>
            <w:r w:rsidRPr="00B6261B">
              <w:rPr>
                <w:rFonts w:ascii="Arial" w:hAnsi="Arial" w:cs="Arial"/>
                <w:i/>
                <w:sz w:val="24"/>
                <w:szCs w:val="24"/>
              </w:rPr>
              <w:t>Von Weidts v Goussard and Another</w:t>
            </w:r>
            <w:r>
              <w:rPr>
                <w:rStyle w:val="FootnoteReference"/>
                <w:rFonts w:ascii="Arial" w:hAnsi="Arial" w:cs="Arial"/>
                <w:sz w:val="24"/>
                <w:szCs w:val="24"/>
              </w:rPr>
              <w:footnoteReference w:id="1"/>
            </w:r>
            <w:r>
              <w:rPr>
                <w:rFonts w:ascii="Arial" w:hAnsi="Arial" w:cs="Arial"/>
                <w:sz w:val="24"/>
                <w:szCs w:val="24"/>
              </w:rPr>
              <w:t>:</w:t>
            </w:r>
          </w:p>
          <w:p w:rsidR="00A2025B" w:rsidRPr="00B6261B" w:rsidRDefault="00A2025B" w:rsidP="00A2025B">
            <w:pPr>
              <w:pStyle w:val="ListParagraph"/>
              <w:spacing w:after="0" w:line="360" w:lineRule="auto"/>
              <w:ind w:left="0"/>
              <w:jc w:val="both"/>
              <w:rPr>
                <w:rFonts w:ascii="Arial" w:hAnsi="Arial" w:cs="Arial"/>
                <w:sz w:val="24"/>
                <w:szCs w:val="24"/>
              </w:rPr>
            </w:pPr>
          </w:p>
          <w:p w:rsidR="00A2025B" w:rsidRPr="00105A85" w:rsidRDefault="00A2025B" w:rsidP="00A2025B">
            <w:pPr>
              <w:spacing w:line="360" w:lineRule="auto"/>
              <w:ind w:firstLine="720"/>
              <w:jc w:val="both"/>
              <w:rPr>
                <w:rFonts w:ascii="Arial" w:hAnsi="Arial" w:cs="Arial"/>
              </w:rPr>
            </w:pPr>
            <w:r>
              <w:rPr>
                <w:rFonts w:ascii="Arial" w:hAnsi="Arial" w:cs="Arial"/>
              </w:rPr>
              <w:t>‘</w:t>
            </w:r>
            <w:r w:rsidRPr="00105A85">
              <w:rPr>
                <w:rFonts w:ascii="Arial" w:hAnsi="Arial" w:cs="Arial"/>
              </w:rPr>
              <w:t>The rule is that when a contract has once been reduced to writing no evidence may be given of its terms except the document itself, nor may the contents of such document be contradicted, altered, added to or var</w:t>
            </w:r>
            <w:r>
              <w:rPr>
                <w:rFonts w:ascii="Arial" w:hAnsi="Arial" w:cs="Arial"/>
              </w:rPr>
              <w:t>ied by oral evidence.’</w:t>
            </w:r>
          </w:p>
          <w:p w:rsidR="00A2025B" w:rsidRPr="00105A85" w:rsidRDefault="00A2025B" w:rsidP="00A2025B">
            <w:pPr>
              <w:spacing w:line="360" w:lineRule="auto"/>
              <w:jc w:val="both"/>
              <w:rPr>
                <w:rFonts w:ascii="Arial" w:hAnsi="Arial" w:cs="Arial"/>
              </w:rPr>
            </w:pPr>
            <w:r w:rsidRPr="00105A85">
              <w:rPr>
                <w:rFonts w:ascii="Arial" w:hAnsi="Arial" w:cs="Arial"/>
              </w:rPr>
              <w:t xml:space="preserve">and </w:t>
            </w:r>
          </w:p>
          <w:p w:rsidR="00A2025B" w:rsidRDefault="00A2025B" w:rsidP="00A2025B">
            <w:pPr>
              <w:spacing w:line="360" w:lineRule="auto"/>
              <w:jc w:val="both"/>
              <w:rPr>
                <w:rFonts w:ascii="Arial" w:hAnsi="Arial" w:cs="Arial"/>
              </w:rPr>
            </w:pPr>
            <w:r w:rsidRPr="00105A85">
              <w:rPr>
                <w:rFonts w:ascii="Arial" w:hAnsi="Arial" w:cs="Arial"/>
              </w:rPr>
              <w:t>When a jural act is embodied in a single memorial, all other utterances of the parties on that topic are legally immaterial for the purpose of determining w</w:t>
            </w:r>
            <w:r>
              <w:rPr>
                <w:rFonts w:ascii="Arial" w:hAnsi="Arial" w:cs="Arial"/>
              </w:rPr>
              <w:t>hat are the terms of their act.’</w:t>
            </w:r>
          </w:p>
          <w:p w:rsidR="00A2025B" w:rsidRPr="00105A85" w:rsidRDefault="00A2025B" w:rsidP="00A2025B">
            <w:pPr>
              <w:spacing w:line="360" w:lineRule="auto"/>
              <w:jc w:val="both"/>
              <w:rPr>
                <w:rFonts w:ascii="Arial" w:hAnsi="Arial" w:cs="Arial"/>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B6261B">
              <w:rPr>
                <w:rFonts w:ascii="Arial" w:hAnsi="Arial" w:cs="Arial"/>
                <w:sz w:val="24"/>
                <w:szCs w:val="24"/>
              </w:rPr>
              <w:t xml:space="preserve">The respondent’s reliance on the arbitration clause is of no moment as it does not amount to a defence.  An arbitration clause cannot oust the jurisdiction of this Court. In </w:t>
            </w:r>
            <w:r w:rsidRPr="00B6261B">
              <w:rPr>
                <w:rFonts w:ascii="Arial" w:hAnsi="Arial" w:cs="Arial"/>
                <w:i/>
                <w:sz w:val="24"/>
                <w:szCs w:val="24"/>
              </w:rPr>
              <w:t>International Underwater Sampling Ltd and Another v MEP Systems (Pty) Ltd</w:t>
            </w:r>
            <w:r>
              <w:rPr>
                <w:rStyle w:val="FootnoteReference"/>
                <w:rFonts w:ascii="Arial" w:hAnsi="Arial" w:cs="Arial"/>
                <w:i/>
                <w:sz w:val="24"/>
                <w:szCs w:val="24"/>
              </w:rPr>
              <w:footnoteReference w:id="2"/>
            </w:r>
            <w:r w:rsidRPr="00B6261B">
              <w:rPr>
                <w:rFonts w:ascii="Arial" w:hAnsi="Arial" w:cs="Arial"/>
                <w:sz w:val="24"/>
                <w:szCs w:val="24"/>
              </w:rPr>
              <w:t xml:space="preserve"> this Court stated that this propos</w:t>
            </w:r>
            <w:r w:rsidR="004305B9">
              <w:rPr>
                <w:rFonts w:ascii="Arial" w:hAnsi="Arial" w:cs="Arial"/>
                <w:sz w:val="24"/>
                <w:szCs w:val="24"/>
              </w:rPr>
              <w:t>ition is so elementary that</w:t>
            </w:r>
            <w:r w:rsidR="00B06728">
              <w:rPr>
                <w:rFonts w:ascii="Arial" w:hAnsi="Arial" w:cs="Arial"/>
                <w:sz w:val="24"/>
                <w:szCs w:val="24"/>
              </w:rPr>
              <w:t xml:space="preserve"> </w:t>
            </w:r>
            <w:r w:rsidRPr="00B6261B">
              <w:rPr>
                <w:rFonts w:ascii="Arial" w:hAnsi="Arial" w:cs="Arial"/>
                <w:sz w:val="24"/>
                <w:szCs w:val="24"/>
              </w:rPr>
              <w:t xml:space="preserve"> there is no need to cite any authority in support thereof. It was stated in </w:t>
            </w:r>
            <w:r w:rsidRPr="00B6261B">
              <w:rPr>
                <w:rFonts w:ascii="Arial" w:hAnsi="Arial" w:cs="Arial"/>
                <w:i/>
                <w:sz w:val="24"/>
                <w:szCs w:val="24"/>
              </w:rPr>
              <w:t>MEP Systems (Pty) Ltd</w:t>
            </w:r>
            <w:r w:rsidRPr="00B6261B">
              <w:rPr>
                <w:rFonts w:ascii="Arial" w:hAnsi="Arial" w:cs="Arial"/>
                <w:sz w:val="24"/>
                <w:szCs w:val="24"/>
              </w:rPr>
              <w:t xml:space="preserve"> that it will take something more than just an arbitration clause to oust this Court’s jurisdiction. In an appropriate case, the Court must be satisfied that, in the circumstances of the particular case, justice demands that the dispute be referred to arbitration first. The respondent did not point to any such circumstances.</w:t>
            </w:r>
            <w:r>
              <w:rPr>
                <w:rFonts w:ascii="Arial" w:hAnsi="Arial" w:cs="Arial"/>
                <w:sz w:val="24"/>
                <w:szCs w:val="24"/>
              </w:rPr>
              <w:t xml:space="preserve"> </w:t>
            </w:r>
            <w:r w:rsidRPr="00B6261B">
              <w:rPr>
                <w:rFonts w:ascii="Arial" w:hAnsi="Arial" w:cs="Arial"/>
                <w:sz w:val="24"/>
                <w:szCs w:val="24"/>
              </w:rPr>
              <w:t xml:space="preserve">The respondent must put up a </w:t>
            </w:r>
            <w:r w:rsidR="002D635D" w:rsidRPr="00B6261B">
              <w:rPr>
                <w:rFonts w:ascii="Arial" w:hAnsi="Arial" w:cs="Arial"/>
                <w:sz w:val="24"/>
                <w:szCs w:val="24"/>
              </w:rPr>
              <w:t>defence</w:t>
            </w:r>
            <w:r w:rsidRPr="00B6261B">
              <w:rPr>
                <w:rFonts w:ascii="Arial" w:hAnsi="Arial" w:cs="Arial"/>
                <w:sz w:val="24"/>
                <w:szCs w:val="24"/>
              </w:rPr>
              <w:t xml:space="preserve"> for the failure to service its debt, which was not done and no indication was given as to how arbitratio</w:t>
            </w:r>
            <w:r>
              <w:rPr>
                <w:rFonts w:ascii="Arial" w:hAnsi="Arial" w:cs="Arial"/>
                <w:sz w:val="24"/>
                <w:szCs w:val="24"/>
              </w:rPr>
              <w:t xml:space="preserve">n would assist such a </w:t>
            </w:r>
            <w:r w:rsidR="002D635D">
              <w:rPr>
                <w:rFonts w:ascii="Arial" w:hAnsi="Arial" w:cs="Arial"/>
                <w:sz w:val="24"/>
                <w:szCs w:val="24"/>
              </w:rPr>
              <w:t>defence</w:t>
            </w:r>
            <w:r>
              <w:rPr>
                <w:rFonts w:ascii="Arial" w:hAnsi="Arial" w:cs="Arial"/>
                <w:sz w:val="24"/>
                <w:szCs w:val="24"/>
              </w:rPr>
              <w:t xml:space="preserve">. </w:t>
            </w:r>
            <w:r w:rsidRPr="00B6261B">
              <w:rPr>
                <w:rFonts w:ascii="Arial" w:hAnsi="Arial" w:cs="Arial"/>
                <w:sz w:val="24"/>
                <w:szCs w:val="24"/>
              </w:rPr>
              <w:t xml:space="preserve">The relief sought by the plaintiff can in any case not be achieved through arbitration.  </w:t>
            </w:r>
          </w:p>
          <w:p w:rsidR="00A2025B" w:rsidRDefault="00A2025B" w:rsidP="00A2025B">
            <w:pPr>
              <w:pStyle w:val="ListParagraph"/>
              <w:spacing w:after="0" w:line="360" w:lineRule="auto"/>
              <w:ind w:left="0"/>
              <w:jc w:val="bot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B6261B">
              <w:rPr>
                <w:rFonts w:ascii="Arial" w:hAnsi="Arial" w:cs="Arial"/>
                <w:sz w:val="24"/>
                <w:szCs w:val="24"/>
              </w:rPr>
              <w:t xml:space="preserve">The </w:t>
            </w:r>
            <w:r w:rsidR="002D635D">
              <w:rPr>
                <w:rFonts w:ascii="Arial" w:hAnsi="Arial" w:cs="Arial"/>
                <w:sz w:val="24"/>
                <w:szCs w:val="24"/>
              </w:rPr>
              <w:t>court is also satisfied that Mr</w:t>
            </w:r>
            <w:r w:rsidRPr="00B6261B">
              <w:rPr>
                <w:rFonts w:ascii="Arial" w:hAnsi="Arial" w:cs="Arial"/>
                <w:sz w:val="24"/>
                <w:szCs w:val="24"/>
              </w:rPr>
              <w:t xml:space="preserve"> Loots indeed had the permission of the plaintiff t</w:t>
            </w:r>
            <w:r w:rsidR="002D635D">
              <w:rPr>
                <w:rFonts w:ascii="Arial" w:hAnsi="Arial" w:cs="Arial"/>
                <w:sz w:val="24"/>
                <w:szCs w:val="24"/>
              </w:rPr>
              <w:t xml:space="preserve">o institute the proceedings. </w:t>
            </w:r>
            <w:r w:rsidRPr="00B6261B">
              <w:rPr>
                <w:rFonts w:ascii="Arial" w:hAnsi="Arial" w:cs="Arial"/>
                <w:sz w:val="24"/>
                <w:szCs w:val="24"/>
              </w:rPr>
              <w:t xml:space="preserve">He had permission to draft the papers and sign the said </w:t>
            </w:r>
            <w:r w:rsidR="00B06728">
              <w:rPr>
                <w:rFonts w:ascii="Arial" w:hAnsi="Arial" w:cs="Arial"/>
                <w:sz w:val="24"/>
                <w:szCs w:val="24"/>
              </w:rPr>
              <w:t xml:space="preserve">papers </w:t>
            </w:r>
            <w:r w:rsidRPr="00B6261B">
              <w:rPr>
                <w:rFonts w:ascii="Arial" w:hAnsi="Arial" w:cs="Arial"/>
                <w:sz w:val="24"/>
                <w:szCs w:val="24"/>
              </w:rPr>
              <w:t xml:space="preserve">with the purpose to institute these proceedings.  </w:t>
            </w:r>
          </w:p>
          <w:p w:rsidR="00A2025B" w:rsidRPr="00B6261B" w:rsidRDefault="00A2025B" w:rsidP="00A2025B">
            <w:pPr>
              <w:pStyle w:val="ListParagraph"/>
              <w:rPr>
                <w:rFonts w:ascii="Arial" w:hAnsi="Arial" w:cs="Arial"/>
                <w:sz w:val="24"/>
                <w:szCs w:val="24"/>
              </w:rPr>
            </w:pPr>
          </w:p>
          <w:p w:rsidR="00A2025B" w:rsidRDefault="00A2025B" w:rsidP="00A2025B">
            <w:pPr>
              <w:pStyle w:val="ListParagraph"/>
              <w:numPr>
                <w:ilvl w:val="0"/>
                <w:numId w:val="6"/>
              </w:numPr>
              <w:spacing w:after="0" w:line="360" w:lineRule="auto"/>
              <w:ind w:left="0" w:firstLine="0"/>
              <w:jc w:val="both"/>
              <w:rPr>
                <w:rFonts w:ascii="Arial" w:hAnsi="Arial" w:cs="Arial"/>
                <w:sz w:val="24"/>
                <w:szCs w:val="24"/>
              </w:rPr>
            </w:pPr>
            <w:r w:rsidRPr="00B6261B">
              <w:rPr>
                <w:rFonts w:ascii="Arial" w:hAnsi="Arial" w:cs="Arial"/>
                <w:sz w:val="24"/>
                <w:szCs w:val="24"/>
              </w:rPr>
              <w:t>In the result, I make the following order:</w:t>
            </w:r>
          </w:p>
          <w:p w:rsidR="00A2025B" w:rsidRPr="00B6261B" w:rsidRDefault="00A2025B" w:rsidP="00A2025B">
            <w:pPr>
              <w:pStyle w:val="ListParagraph"/>
              <w:spacing w:after="0" w:line="360" w:lineRule="auto"/>
              <w:ind w:left="0"/>
              <w:jc w:val="both"/>
              <w:rPr>
                <w:rFonts w:ascii="Arial" w:hAnsi="Arial" w:cs="Arial"/>
                <w:sz w:val="24"/>
                <w:szCs w:val="24"/>
              </w:rPr>
            </w:pPr>
          </w:p>
          <w:p w:rsidR="00B06728" w:rsidRDefault="00B06728" w:rsidP="00B06728">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rule nisi is confirmed and</w:t>
            </w:r>
            <w:r w:rsidRPr="00D01FE2">
              <w:rPr>
                <w:rFonts w:ascii="Arial" w:hAnsi="Arial" w:cs="Arial"/>
                <w:sz w:val="24"/>
                <w:szCs w:val="24"/>
              </w:rPr>
              <w:t xml:space="preserve"> the respondent </w:t>
            </w:r>
            <w:r>
              <w:rPr>
                <w:rFonts w:ascii="Arial" w:hAnsi="Arial" w:cs="Arial"/>
                <w:sz w:val="24"/>
                <w:szCs w:val="24"/>
              </w:rPr>
              <w:t xml:space="preserve">to </w:t>
            </w:r>
            <w:r w:rsidRPr="00D01FE2">
              <w:rPr>
                <w:rFonts w:ascii="Arial" w:hAnsi="Arial" w:cs="Arial"/>
                <w:sz w:val="24"/>
                <w:szCs w:val="24"/>
              </w:rPr>
              <w:t>be finally wound up.</w:t>
            </w:r>
          </w:p>
          <w:p w:rsidR="00B85825" w:rsidRDefault="00B06728" w:rsidP="00B85825">
            <w:pPr>
              <w:pStyle w:val="ListParagraph"/>
              <w:numPr>
                <w:ilvl w:val="0"/>
                <w:numId w:val="10"/>
              </w:numPr>
              <w:spacing w:line="360" w:lineRule="auto"/>
              <w:jc w:val="both"/>
              <w:rPr>
                <w:rFonts w:ascii="Arial" w:hAnsi="Arial" w:cs="Arial"/>
                <w:sz w:val="24"/>
                <w:szCs w:val="24"/>
              </w:rPr>
            </w:pPr>
            <w:r w:rsidRPr="00D01FE2">
              <w:rPr>
                <w:rFonts w:ascii="Arial" w:hAnsi="Arial" w:cs="Arial"/>
                <w:sz w:val="24"/>
                <w:szCs w:val="24"/>
              </w:rPr>
              <w:t>The cost of opposition to a successful winding up application be i</w:t>
            </w:r>
            <w:r>
              <w:rPr>
                <w:rFonts w:ascii="Arial" w:hAnsi="Arial" w:cs="Arial"/>
                <w:sz w:val="24"/>
                <w:szCs w:val="24"/>
              </w:rPr>
              <w:t>ncluded in the liquidation costs.</w:t>
            </w:r>
          </w:p>
          <w:p w:rsidR="000A6C16" w:rsidRPr="00B85825" w:rsidRDefault="00B06728" w:rsidP="00B85825">
            <w:pPr>
              <w:pStyle w:val="ListParagraph"/>
              <w:numPr>
                <w:ilvl w:val="0"/>
                <w:numId w:val="10"/>
              </w:numPr>
              <w:spacing w:line="360" w:lineRule="auto"/>
              <w:jc w:val="both"/>
              <w:rPr>
                <w:rFonts w:ascii="Arial" w:hAnsi="Arial" w:cs="Arial"/>
                <w:sz w:val="24"/>
                <w:szCs w:val="24"/>
              </w:rPr>
            </w:pPr>
            <w:r w:rsidRPr="00B85825">
              <w:rPr>
                <w:rFonts w:ascii="Arial" w:hAnsi="Arial" w:cs="Arial"/>
                <w:sz w:val="24"/>
                <w:szCs w:val="24"/>
              </w:rPr>
              <w:lastRenderedPageBreak/>
              <w:t>The matter is finalised and removed from the roll.</w:t>
            </w:r>
          </w:p>
        </w:tc>
      </w:tr>
      <w:tr w:rsidR="000A6C16" w:rsidRPr="00552B6F" w:rsidTr="000A6C16">
        <w:trPr>
          <w:trHeight w:val="421"/>
        </w:trPr>
        <w:tc>
          <w:tcPr>
            <w:tcW w:w="5243" w:type="dxa"/>
            <w:tcBorders>
              <w:top w:val="single" w:sz="4" w:space="0" w:color="auto"/>
              <w:left w:val="single" w:sz="4" w:space="0" w:color="auto"/>
              <w:bottom w:val="single" w:sz="4" w:space="0" w:color="auto"/>
              <w:right w:val="single" w:sz="4" w:space="0" w:color="auto"/>
            </w:tcBorders>
          </w:tcPr>
          <w:p w:rsidR="000A6C16" w:rsidRPr="00552B6F" w:rsidRDefault="000A6C16" w:rsidP="00406254">
            <w:pPr>
              <w:spacing w:line="360" w:lineRule="auto"/>
              <w:jc w:val="center"/>
              <w:rPr>
                <w:rFonts w:ascii="Arial" w:hAnsi="Arial" w:cs="Arial"/>
                <w:b/>
                <w:sz w:val="24"/>
                <w:szCs w:val="24"/>
              </w:rPr>
            </w:pPr>
            <w:r w:rsidRPr="00552B6F">
              <w:rPr>
                <w:rFonts w:ascii="Arial" w:hAnsi="Arial" w:cs="Arial"/>
                <w:b/>
                <w:sz w:val="24"/>
                <w:szCs w:val="24"/>
              </w:rPr>
              <w:lastRenderedPageBreak/>
              <w:t>Judge’s signature</w:t>
            </w:r>
          </w:p>
          <w:p w:rsidR="000A6C16" w:rsidRPr="00552B6F" w:rsidRDefault="000A6C16" w:rsidP="00406254">
            <w:pPr>
              <w:spacing w:line="360" w:lineRule="auto"/>
              <w:jc w:val="center"/>
              <w:rPr>
                <w:rFonts w:ascii="Arial" w:hAnsi="Arial" w:cs="Arial"/>
                <w:sz w:val="24"/>
                <w:szCs w:val="24"/>
              </w:rPr>
            </w:pPr>
          </w:p>
          <w:p w:rsidR="000A6C16" w:rsidRPr="00552B6F" w:rsidRDefault="000A6C16" w:rsidP="00406254">
            <w:pPr>
              <w:spacing w:line="360" w:lineRule="auto"/>
              <w:jc w:val="center"/>
              <w:rPr>
                <w:rFonts w:ascii="Arial" w:hAnsi="Arial" w:cs="Arial"/>
                <w:sz w:val="24"/>
                <w:szCs w:val="24"/>
              </w:rPr>
            </w:pPr>
          </w:p>
        </w:tc>
        <w:tc>
          <w:tcPr>
            <w:tcW w:w="5242" w:type="dxa"/>
            <w:gridSpan w:val="2"/>
            <w:tcBorders>
              <w:top w:val="single" w:sz="4" w:space="0" w:color="auto"/>
              <w:left w:val="single" w:sz="4" w:space="0" w:color="auto"/>
              <w:bottom w:val="single" w:sz="4" w:space="0" w:color="auto"/>
              <w:right w:val="single" w:sz="4" w:space="0" w:color="auto"/>
            </w:tcBorders>
            <w:hideMark/>
          </w:tcPr>
          <w:p w:rsidR="000A6C16" w:rsidRPr="00552B6F" w:rsidRDefault="000A6C16" w:rsidP="00406254">
            <w:pPr>
              <w:spacing w:line="360" w:lineRule="auto"/>
              <w:jc w:val="both"/>
              <w:rPr>
                <w:rFonts w:ascii="Arial" w:hAnsi="Arial" w:cs="Arial"/>
                <w:b/>
                <w:sz w:val="24"/>
                <w:szCs w:val="24"/>
              </w:rPr>
            </w:pPr>
            <w:r w:rsidRPr="00552B6F">
              <w:rPr>
                <w:rFonts w:ascii="Arial" w:hAnsi="Arial" w:cs="Arial"/>
                <w:b/>
                <w:sz w:val="24"/>
                <w:szCs w:val="24"/>
              </w:rPr>
              <w:t>Note to the parties:</w:t>
            </w:r>
          </w:p>
        </w:tc>
      </w:tr>
      <w:tr w:rsidR="000A6C16" w:rsidRPr="00552B6F" w:rsidTr="000A6C16">
        <w:trPr>
          <w:trHeight w:val="614"/>
        </w:trPr>
        <w:tc>
          <w:tcPr>
            <w:tcW w:w="5243" w:type="dxa"/>
            <w:tcBorders>
              <w:top w:val="single" w:sz="4" w:space="0" w:color="auto"/>
              <w:left w:val="single" w:sz="4" w:space="0" w:color="auto"/>
              <w:bottom w:val="single" w:sz="4" w:space="0" w:color="auto"/>
              <w:right w:val="single" w:sz="4" w:space="0" w:color="auto"/>
            </w:tcBorders>
            <w:hideMark/>
          </w:tcPr>
          <w:p w:rsidR="000A6C16" w:rsidRPr="00552B6F" w:rsidRDefault="000A6C16" w:rsidP="00406254">
            <w:pPr>
              <w:spacing w:line="360" w:lineRule="auto"/>
              <w:jc w:val="center"/>
              <w:rPr>
                <w:rFonts w:ascii="Arial" w:hAnsi="Arial" w:cs="Arial"/>
                <w:sz w:val="24"/>
                <w:szCs w:val="24"/>
              </w:rPr>
            </w:pPr>
            <w:r w:rsidRPr="00552B6F">
              <w:rPr>
                <w:rFonts w:ascii="Arial" w:hAnsi="Arial" w:cs="Arial"/>
                <w:sz w:val="24"/>
                <w:szCs w:val="24"/>
              </w:rPr>
              <w:t>RAKOW J</w:t>
            </w:r>
          </w:p>
          <w:p w:rsidR="000A6C16" w:rsidRPr="00552B6F" w:rsidRDefault="000A6C16" w:rsidP="00406254">
            <w:pPr>
              <w:spacing w:line="360" w:lineRule="auto"/>
              <w:jc w:val="center"/>
              <w:rPr>
                <w:rFonts w:ascii="Arial" w:hAnsi="Arial" w:cs="Arial"/>
                <w:sz w:val="24"/>
                <w:szCs w:val="24"/>
              </w:rPr>
            </w:pPr>
            <w:r w:rsidRPr="00552B6F">
              <w:rPr>
                <w:rFonts w:ascii="Arial" w:hAnsi="Arial" w:cs="Arial"/>
                <w:sz w:val="24"/>
                <w:szCs w:val="24"/>
              </w:rPr>
              <w:t>Judge</w:t>
            </w:r>
          </w:p>
        </w:tc>
        <w:tc>
          <w:tcPr>
            <w:tcW w:w="5242" w:type="dxa"/>
            <w:gridSpan w:val="2"/>
            <w:tcBorders>
              <w:top w:val="single" w:sz="4" w:space="0" w:color="auto"/>
              <w:left w:val="single" w:sz="4" w:space="0" w:color="auto"/>
              <w:bottom w:val="single" w:sz="4" w:space="0" w:color="auto"/>
              <w:right w:val="single" w:sz="4" w:space="0" w:color="auto"/>
            </w:tcBorders>
            <w:hideMark/>
          </w:tcPr>
          <w:p w:rsidR="000A6C16" w:rsidRPr="00552B6F" w:rsidRDefault="000A6C16" w:rsidP="00406254">
            <w:pPr>
              <w:spacing w:line="360" w:lineRule="auto"/>
              <w:jc w:val="center"/>
              <w:rPr>
                <w:rFonts w:ascii="Arial" w:hAnsi="Arial" w:cs="Arial"/>
                <w:sz w:val="24"/>
                <w:szCs w:val="24"/>
              </w:rPr>
            </w:pPr>
            <w:r w:rsidRPr="00552B6F">
              <w:rPr>
                <w:rFonts w:ascii="Arial" w:hAnsi="Arial" w:cs="Arial"/>
                <w:sz w:val="24"/>
                <w:szCs w:val="24"/>
              </w:rPr>
              <w:t>Not applicable</w:t>
            </w:r>
          </w:p>
        </w:tc>
      </w:tr>
      <w:tr w:rsidR="000A6C16" w:rsidRPr="00552B6F" w:rsidTr="000A6C16">
        <w:trPr>
          <w:trHeight w:val="471"/>
        </w:trPr>
        <w:tc>
          <w:tcPr>
            <w:tcW w:w="10485" w:type="dxa"/>
            <w:gridSpan w:val="3"/>
            <w:tcBorders>
              <w:top w:val="single" w:sz="4" w:space="0" w:color="auto"/>
              <w:left w:val="single" w:sz="4" w:space="0" w:color="auto"/>
              <w:bottom w:val="single" w:sz="4" w:space="0" w:color="auto"/>
              <w:right w:val="single" w:sz="4" w:space="0" w:color="auto"/>
            </w:tcBorders>
            <w:hideMark/>
          </w:tcPr>
          <w:p w:rsidR="000A6C16" w:rsidRPr="00552B6F" w:rsidRDefault="000A6C16" w:rsidP="00406254">
            <w:pPr>
              <w:spacing w:line="360" w:lineRule="auto"/>
              <w:jc w:val="center"/>
              <w:rPr>
                <w:rFonts w:ascii="Arial" w:hAnsi="Arial" w:cs="Arial"/>
                <w:b/>
                <w:sz w:val="24"/>
                <w:szCs w:val="24"/>
              </w:rPr>
            </w:pPr>
            <w:r w:rsidRPr="00552B6F">
              <w:rPr>
                <w:rFonts w:ascii="Arial" w:hAnsi="Arial" w:cs="Arial"/>
                <w:b/>
                <w:sz w:val="24"/>
                <w:szCs w:val="24"/>
              </w:rPr>
              <w:t>Counsel:</w:t>
            </w:r>
          </w:p>
        </w:tc>
      </w:tr>
      <w:tr w:rsidR="000A6C16" w:rsidRPr="00552B6F" w:rsidTr="000A6C16">
        <w:trPr>
          <w:trHeight w:val="329"/>
        </w:trPr>
        <w:tc>
          <w:tcPr>
            <w:tcW w:w="5243" w:type="dxa"/>
            <w:tcBorders>
              <w:top w:val="single" w:sz="4" w:space="0" w:color="auto"/>
              <w:left w:val="single" w:sz="4" w:space="0" w:color="auto"/>
              <w:bottom w:val="single" w:sz="4" w:space="0" w:color="auto"/>
              <w:right w:val="single" w:sz="4" w:space="0" w:color="auto"/>
            </w:tcBorders>
            <w:hideMark/>
          </w:tcPr>
          <w:p w:rsidR="000A6C16" w:rsidRPr="00552B6F" w:rsidRDefault="00A2025B" w:rsidP="00406254">
            <w:pPr>
              <w:spacing w:line="360" w:lineRule="auto"/>
              <w:jc w:val="center"/>
              <w:rPr>
                <w:rFonts w:ascii="Arial" w:hAnsi="Arial" w:cs="Arial"/>
                <w:b/>
                <w:sz w:val="24"/>
                <w:szCs w:val="24"/>
              </w:rPr>
            </w:pPr>
            <w:r>
              <w:rPr>
                <w:rFonts w:ascii="Arial" w:hAnsi="Arial" w:cs="Arial"/>
                <w:b/>
                <w:sz w:val="24"/>
                <w:szCs w:val="24"/>
              </w:rPr>
              <w:t>APPLICANT</w:t>
            </w:r>
            <w:r w:rsidR="000A6C16" w:rsidRPr="00552B6F">
              <w:rPr>
                <w:rFonts w:ascii="Arial" w:hAnsi="Arial" w:cs="Arial"/>
                <w:b/>
                <w:sz w:val="24"/>
                <w:szCs w:val="24"/>
              </w:rPr>
              <w:t>:</w:t>
            </w:r>
          </w:p>
        </w:tc>
        <w:tc>
          <w:tcPr>
            <w:tcW w:w="5242" w:type="dxa"/>
            <w:gridSpan w:val="2"/>
            <w:tcBorders>
              <w:top w:val="single" w:sz="4" w:space="0" w:color="auto"/>
              <w:left w:val="single" w:sz="4" w:space="0" w:color="auto"/>
              <w:bottom w:val="single" w:sz="4" w:space="0" w:color="auto"/>
              <w:right w:val="single" w:sz="4" w:space="0" w:color="auto"/>
            </w:tcBorders>
            <w:hideMark/>
          </w:tcPr>
          <w:p w:rsidR="000A6C16" w:rsidRPr="00552B6F" w:rsidRDefault="00A2025B" w:rsidP="00406254">
            <w:pPr>
              <w:spacing w:line="360" w:lineRule="auto"/>
              <w:jc w:val="center"/>
              <w:rPr>
                <w:rFonts w:ascii="Arial" w:hAnsi="Arial" w:cs="Arial"/>
                <w:b/>
                <w:sz w:val="24"/>
                <w:szCs w:val="24"/>
              </w:rPr>
            </w:pPr>
            <w:r>
              <w:rPr>
                <w:rFonts w:ascii="Arial" w:eastAsia="Times New Roman" w:hAnsi="Arial" w:cs="Arial"/>
                <w:b/>
                <w:sz w:val="24"/>
                <w:szCs w:val="24"/>
                <w:lang w:eastAsia="en-GB"/>
              </w:rPr>
              <w:t>RESPOND</w:t>
            </w:r>
            <w:r w:rsidR="004448EA">
              <w:rPr>
                <w:rFonts w:ascii="Arial" w:eastAsia="Times New Roman" w:hAnsi="Arial" w:cs="Arial"/>
                <w:b/>
                <w:sz w:val="24"/>
                <w:szCs w:val="24"/>
                <w:lang w:eastAsia="en-GB"/>
              </w:rPr>
              <w:t>E</w:t>
            </w:r>
            <w:r>
              <w:rPr>
                <w:rFonts w:ascii="Arial" w:eastAsia="Times New Roman" w:hAnsi="Arial" w:cs="Arial"/>
                <w:b/>
                <w:sz w:val="24"/>
                <w:szCs w:val="24"/>
                <w:lang w:eastAsia="en-GB"/>
              </w:rPr>
              <w:t>NT</w:t>
            </w:r>
            <w:r w:rsidR="000A6C16">
              <w:rPr>
                <w:rFonts w:ascii="Arial" w:eastAsia="Times New Roman" w:hAnsi="Arial" w:cs="Arial"/>
                <w:b/>
                <w:sz w:val="24"/>
                <w:szCs w:val="24"/>
                <w:lang w:eastAsia="en-GB"/>
              </w:rPr>
              <w:t xml:space="preserve"> </w:t>
            </w:r>
            <w:r w:rsidR="000A6C16" w:rsidRPr="00552B6F">
              <w:rPr>
                <w:rFonts w:ascii="Arial" w:eastAsia="Times New Roman" w:hAnsi="Arial" w:cs="Arial"/>
                <w:sz w:val="24"/>
                <w:szCs w:val="24"/>
                <w:lang w:eastAsia="en-GB"/>
              </w:rPr>
              <w:t>:</w:t>
            </w:r>
          </w:p>
        </w:tc>
      </w:tr>
      <w:tr w:rsidR="000A6C16" w:rsidRPr="00552B6F" w:rsidTr="000A6C16">
        <w:trPr>
          <w:trHeight w:val="1483"/>
        </w:trPr>
        <w:tc>
          <w:tcPr>
            <w:tcW w:w="5243" w:type="dxa"/>
            <w:tcBorders>
              <w:top w:val="single" w:sz="4" w:space="0" w:color="auto"/>
              <w:left w:val="single" w:sz="4" w:space="0" w:color="auto"/>
              <w:bottom w:val="single" w:sz="4" w:space="0" w:color="auto"/>
              <w:right w:val="single" w:sz="4" w:space="0" w:color="auto"/>
            </w:tcBorders>
            <w:hideMark/>
          </w:tcPr>
          <w:p w:rsidR="00A2025B" w:rsidRPr="00A2025B" w:rsidRDefault="00A2025B" w:rsidP="00A2025B">
            <w:pPr>
              <w:tabs>
                <w:tab w:val="left" w:pos="1860"/>
              </w:tabs>
              <w:spacing w:line="360" w:lineRule="auto"/>
              <w:jc w:val="center"/>
              <w:rPr>
                <w:rFonts w:ascii="Arial" w:hAnsi="Arial" w:cs="Arial"/>
                <w:sz w:val="24"/>
                <w:szCs w:val="24"/>
              </w:rPr>
            </w:pPr>
            <w:r w:rsidRPr="00A2025B">
              <w:rPr>
                <w:rFonts w:ascii="Arial" w:hAnsi="Arial" w:cs="Arial"/>
                <w:sz w:val="24"/>
                <w:szCs w:val="24"/>
              </w:rPr>
              <w:t xml:space="preserve">B De Jager </w:t>
            </w:r>
          </w:p>
          <w:p w:rsidR="00A2025B" w:rsidRPr="00A2025B" w:rsidRDefault="00A2025B" w:rsidP="00A2025B">
            <w:pPr>
              <w:tabs>
                <w:tab w:val="left" w:pos="1860"/>
              </w:tabs>
              <w:spacing w:line="360" w:lineRule="auto"/>
              <w:jc w:val="center"/>
              <w:rPr>
                <w:rFonts w:ascii="Arial" w:hAnsi="Arial" w:cs="Arial"/>
                <w:sz w:val="24"/>
                <w:szCs w:val="24"/>
              </w:rPr>
            </w:pPr>
            <w:r w:rsidRPr="00A2025B">
              <w:rPr>
                <w:rFonts w:ascii="Arial" w:hAnsi="Arial" w:cs="Arial"/>
                <w:sz w:val="24"/>
                <w:szCs w:val="24"/>
              </w:rPr>
              <w:t>Of Francois Erasmus &amp; Partners, Windhoek</w:t>
            </w:r>
          </w:p>
          <w:p w:rsidR="000A6C16" w:rsidRPr="00552B6F" w:rsidRDefault="000A6C16" w:rsidP="00406254">
            <w:pPr>
              <w:tabs>
                <w:tab w:val="left" w:pos="1860"/>
              </w:tabs>
              <w:spacing w:line="276" w:lineRule="auto"/>
              <w:jc w:val="center"/>
              <w:rPr>
                <w:rFonts w:ascii="Arial" w:hAnsi="Arial" w:cs="Arial"/>
                <w:sz w:val="24"/>
                <w:szCs w:val="24"/>
              </w:rPr>
            </w:pPr>
          </w:p>
        </w:tc>
        <w:tc>
          <w:tcPr>
            <w:tcW w:w="5242" w:type="dxa"/>
            <w:gridSpan w:val="2"/>
            <w:tcBorders>
              <w:top w:val="single" w:sz="4" w:space="0" w:color="auto"/>
              <w:left w:val="single" w:sz="4" w:space="0" w:color="auto"/>
              <w:bottom w:val="single" w:sz="4" w:space="0" w:color="auto"/>
              <w:right w:val="single" w:sz="4" w:space="0" w:color="auto"/>
            </w:tcBorders>
            <w:hideMark/>
          </w:tcPr>
          <w:p w:rsidR="00A2025B" w:rsidRPr="00A2025B" w:rsidRDefault="00A2025B" w:rsidP="00A2025B">
            <w:pPr>
              <w:spacing w:line="360" w:lineRule="auto"/>
              <w:jc w:val="center"/>
              <w:rPr>
                <w:rFonts w:ascii="Arial" w:eastAsia="Times New Roman" w:hAnsi="Arial" w:cs="Arial"/>
                <w:color w:val="000000" w:themeColor="text1"/>
                <w:sz w:val="24"/>
                <w:szCs w:val="24"/>
                <w:lang w:val="en-US" w:eastAsia="en-GB"/>
              </w:rPr>
            </w:pPr>
            <w:r w:rsidRPr="00A2025B">
              <w:rPr>
                <w:rFonts w:ascii="Arial" w:eastAsia="Times New Roman" w:hAnsi="Arial" w:cs="Arial"/>
                <w:color w:val="000000" w:themeColor="text1"/>
                <w:sz w:val="24"/>
                <w:szCs w:val="24"/>
                <w:lang w:val="en-US" w:eastAsia="en-GB"/>
              </w:rPr>
              <w:t>J Diedricks</w:t>
            </w:r>
          </w:p>
          <w:p w:rsidR="00A2025B" w:rsidRPr="00A2025B" w:rsidRDefault="00A2025B" w:rsidP="00A2025B">
            <w:pPr>
              <w:spacing w:line="360" w:lineRule="auto"/>
              <w:jc w:val="center"/>
              <w:rPr>
                <w:rFonts w:ascii="Arial" w:eastAsia="Times New Roman" w:hAnsi="Arial" w:cs="Arial"/>
                <w:color w:val="000000" w:themeColor="text1"/>
                <w:sz w:val="24"/>
                <w:szCs w:val="24"/>
                <w:lang w:val="en-US" w:eastAsia="en-GB"/>
              </w:rPr>
            </w:pPr>
            <w:r w:rsidRPr="00A2025B">
              <w:rPr>
                <w:rFonts w:ascii="Arial" w:eastAsia="Times New Roman" w:hAnsi="Arial" w:cs="Arial"/>
                <w:color w:val="000000" w:themeColor="text1"/>
                <w:sz w:val="24"/>
                <w:szCs w:val="24"/>
                <w:lang w:val="en-US" w:eastAsia="en-GB"/>
              </w:rPr>
              <w:t>Instructed by Conradie &amp; Damaseb Legal Practitioners, Windhoek</w:t>
            </w:r>
          </w:p>
          <w:p w:rsidR="000A6C16" w:rsidRPr="00552B6F" w:rsidRDefault="000A6C16" w:rsidP="00406254">
            <w:pPr>
              <w:spacing w:line="360" w:lineRule="auto"/>
              <w:jc w:val="center"/>
              <w:rPr>
                <w:rFonts w:ascii="Arial" w:eastAsia="Times New Roman" w:hAnsi="Arial" w:cs="Arial"/>
                <w:color w:val="000000" w:themeColor="text1"/>
                <w:sz w:val="24"/>
                <w:szCs w:val="24"/>
                <w:lang w:eastAsia="en-GB"/>
              </w:rPr>
            </w:pPr>
          </w:p>
        </w:tc>
      </w:tr>
    </w:tbl>
    <w:p w:rsidR="000A6C16" w:rsidRPr="00552B6F" w:rsidRDefault="000A6C16" w:rsidP="000A6C16">
      <w:pPr>
        <w:spacing w:after="0" w:line="360" w:lineRule="auto"/>
        <w:jc w:val="both"/>
        <w:rPr>
          <w:rFonts w:ascii="Arial" w:eastAsia="Calibri" w:hAnsi="Arial" w:cs="Arial"/>
          <w:sz w:val="24"/>
          <w:szCs w:val="24"/>
          <w:lang w:val="en-ZA"/>
        </w:rPr>
      </w:pPr>
    </w:p>
    <w:p w:rsidR="000A6C16" w:rsidRPr="00552B6F" w:rsidRDefault="000A6C16" w:rsidP="000A6C16"/>
    <w:p w:rsidR="00B045A0" w:rsidRDefault="00B045A0"/>
    <w:sectPr w:rsidR="00B045A0" w:rsidSect="00521C44">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4D" w:rsidRDefault="00FE2D4D" w:rsidP="000A6C16">
      <w:pPr>
        <w:spacing w:after="0" w:line="240" w:lineRule="auto"/>
      </w:pPr>
      <w:r>
        <w:separator/>
      </w:r>
    </w:p>
  </w:endnote>
  <w:endnote w:type="continuationSeparator" w:id="0">
    <w:p w:rsidR="00FE2D4D" w:rsidRDefault="00FE2D4D" w:rsidP="000A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AD6" w:rsidRDefault="00051AD6" w:rsidP="00051AD6">
    <w:pPr>
      <w:pStyle w:val="Footer"/>
      <w:tabs>
        <w:tab w:val="clear" w:pos="4680"/>
        <w:tab w:val="clear" w:pos="9360"/>
        <w:tab w:val="left" w:pos="56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4D" w:rsidRDefault="00FE2D4D" w:rsidP="000A6C16">
      <w:pPr>
        <w:spacing w:after="0" w:line="240" w:lineRule="auto"/>
      </w:pPr>
      <w:r>
        <w:separator/>
      </w:r>
    </w:p>
  </w:footnote>
  <w:footnote w:type="continuationSeparator" w:id="0">
    <w:p w:rsidR="00FE2D4D" w:rsidRDefault="00FE2D4D" w:rsidP="000A6C16">
      <w:pPr>
        <w:spacing w:after="0" w:line="240" w:lineRule="auto"/>
      </w:pPr>
      <w:r>
        <w:continuationSeparator/>
      </w:r>
    </w:p>
  </w:footnote>
  <w:footnote w:id="1">
    <w:p w:rsidR="00A2025B" w:rsidRPr="00B6261B" w:rsidRDefault="00A2025B" w:rsidP="00A2025B">
      <w:pPr>
        <w:pStyle w:val="FootnoteText"/>
        <w:rPr>
          <w:rFonts w:ascii="Arial" w:hAnsi="Arial" w:cs="Arial"/>
        </w:rPr>
      </w:pPr>
      <w:r>
        <w:rPr>
          <w:rStyle w:val="FootnoteReference"/>
        </w:rPr>
        <w:footnoteRef/>
      </w:r>
      <w:r>
        <w:t xml:space="preserve">  </w:t>
      </w:r>
      <w:r w:rsidRPr="00B6261B">
        <w:rPr>
          <w:rFonts w:ascii="Arial" w:hAnsi="Arial" w:cs="Arial"/>
          <w:i/>
        </w:rPr>
        <w:t>Von Weidts v Goussard and Another</w:t>
      </w:r>
      <w:r w:rsidR="001677CB">
        <w:rPr>
          <w:rFonts w:ascii="Arial" w:hAnsi="Arial" w:cs="Arial"/>
        </w:rPr>
        <w:t xml:space="preserve"> 2016 (1) NR 169 (HC)</w:t>
      </w:r>
      <w:r w:rsidRPr="00B6261B">
        <w:rPr>
          <w:rFonts w:ascii="Arial" w:hAnsi="Arial" w:cs="Arial"/>
        </w:rPr>
        <w:t xml:space="preserve"> para 3.</w:t>
      </w:r>
    </w:p>
  </w:footnote>
  <w:footnote w:id="2">
    <w:p w:rsidR="00A2025B" w:rsidRPr="00B6261B" w:rsidRDefault="00A2025B" w:rsidP="002D635D">
      <w:pPr>
        <w:pStyle w:val="FootnoteText"/>
        <w:jc w:val="both"/>
        <w:rPr>
          <w:rFonts w:ascii="Arial" w:hAnsi="Arial" w:cs="Arial"/>
        </w:rPr>
      </w:pPr>
      <w:r w:rsidRPr="00B6261B">
        <w:rPr>
          <w:rStyle w:val="FootnoteReference"/>
          <w:rFonts w:ascii="Arial" w:hAnsi="Arial" w:cs="Arial"/>
        </w:rPr>
        <w:footnoteRef/>
      </w:r>
      <w:r w:rsidRPr="00B6261B">
        <w:rPr>
          <w:rFonts w:ascii="Arial" w:hAnsi="Arial" w:cs="Arial"/>
        </w:rPr>
        <w:t xml:space="preserve"> </w:t>
      </w:r>
      <w:r w:rsidRPr="00B6261B">
        <w:rPr>
          <w:rFonts w:ascii="Arial" w:hAnsi="Arial" w:cs="Arial"/>
          <w:i/>
        </w:rPr>
        <w:t>International Underwater Sampling Ltd and Another v MEP Systems (Pty) Ltd</w:t>
      </w:r>
      <w:r w:rsidR="00B85825">
        <w:rPr>
          <w:rFonts w:ascii="Arial" w:hAnsi="Arial" w:cs="Arial"/>
        </w:rPr>
        <w:t xml:space="preserve"> 2010 (2) NR 468 (HC) </w:t>
      </w:r>
      <w:r w:rsidRPr="00B6261B">
        <w:rPr>
          <w:rFonts w:ascii="Arial" w:hAnsi="Arial" w:cs="Arial"/>
        </w:rPr>
        <w:t>para 15</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06981"/>
      <w:docPartObj>
        <w:docPartGallery w:val="Page Numbers (Top of Page)"/>
        <w:docPartUnique/>
      </w:docPartObj>
    </w:sdtPr>
    <w:sdtEndPr>
      <w:rPr>
        <w:noProof/>
      </w:rPr>
    </w:sdtEndPr>
    <w:sdtContent>
      <w:p w:rsidR="0032762B" w:rsidRDefault="00627D19">
        <w:pPr>
          <w:pStyle w:val="Header"/>
          <w:jc w:val="right"/>
        </w:pPr>
        <w:r w:rsidRPr="0032762B">
          <w:rPr>
            <w:rFonts w:ascii="Arial" w:hAnsi="Arial" w:cs="Arial"/>
            <w:sz w:val="24"/>
            <w:szCs w:val="24"/>
          </w:rPr>
          <w:fldChar w:fldCharType="begin"/>
        </w:r>
        <w:r w:rsidRPr="0032762B">
          <w:rPr>
            <w:rFonts w:ascii="Arial" w:hAnsi="Arial" w:cs="Arial"/>
            <w:sz w:val="24"/>
            <w:szCs w:val="24"/>
          </w:rPr>
          <w:instrText xml:space="preserve"> PAGE   \* MERGEFORMAT </w:instrText>
        </w:r>
        <w:r w:rsidRPr="0032762B">
          <w:rPr>
            <w:rFonts w:ascii="Arial" w:hAnsi="Arial" w:cs="Arial"/>
            <w:sz w:val="24"/>
            <w:szCs w:val="24"/>
          </w:rPr>
          <w:fldChar w:fldCharType="separate"/>
        </w:r>
        <w:r w:rsidR="00E76DB9">
          <w:rPr>
            <w:rFonts w:ascii="Arial" w:hAnsi="Arial" w:cs="Arial"/>
            <w:noProof/>
            <w:sz w:val="24"/>
            <w:szCs w:val="24"/>
          </w:rPr>
          <w:t>10</w:t>
        </w:r>
        <w:r w:rsidRPr="0032762B">
          <w:rPr>
            <w:rFonts w:ascii="Arial" w:hAnsi="Arial" w:cs="Arial"/>
            <w:noProof/>
            <w:sz w:val="24"/>
            <w:szCs w:val="24"/>
          </w:rPr>
          <w:fldChar w:fldCharType="end"/>
        </w:r>
      </w:p>
    </w:sdtContent>
  </w:sdt>
  <w:p w:rsidR="0032762B" w:rsidRDefault="00FE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7C0C"/>
    <w:multiLevelType w:val="hybridMultilevel"/>
    <w:tmpl w:val="4F8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04E5F"/>
    <w:multiLevelType w:val="hybridMultilevel"/>
    <w:tmpl w:val="757A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F149F"/>
    <w:multiLevelType w:val="hybridMultilevel"/>
    <w:tmpl w:val="757A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A172F"/>
    <w:multiLevelType w:val="hybridMultilevel"/>
    <w:tmpl w:val="4F86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217C9"/>
    <w:multiLevelType w:val="hybridMultilevel"/>
    <w:tmpl w:val="64C8A580"/>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B3ECD"/>
    <w:multiLevelType w:val="hybridMultilevel"/>
    <w:tmpl w:val="757A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759D2"/>
    <w:multiLevelType w:val="hybridMultilevel"/>
    <w:tmpl w:val="0770C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1471D"/>
    <w:multiLevelType w:val="hybridMultilevel"/>
    <w:tmpl w:val="F2A8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B2E96"/>
    <w:multiLevelType w:val="hybridMultilevel"/>
    <w:tmpl w:val="B79E9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919B4"/>
    <w:multiLevelType w:val="hybridMultilevel"/>
    <w:tmpl w:val="AD0066AC"/>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2"/>
  </w:num>
  <w:num w:numId="6">
    <w:abstractNumId w:val="9"/>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16"/>
    <w:rsid w:val="00051AD6"/>
    <w:rsid w:val="000A6C16"/>
    <w:rsid w:val="001677CB"/>
    <w:rsid w:val="002B6F7B"/>
    <w:rsid w:val="002C211F"/>
    <w:rsid w:val="002D635D"/>
    <w:rsid w:val="004305B9"/>
    <w:rsid w:val="004448EA"/>
    <w:rsid w:val="00627D19"/>
    <w:rsid w:val="00902ABF"/>
    <w:rsid w:val="00A2025B"/>
    <w:rsid w:val="00B045A0"/>
    <w:rsid w:val="00B06728"/>
    <w:rsid w:val="00B85825"/>
    <w:rsid w:val="00C40E16"/>
    <w:rsid w:val="00D01FE2"/>
    <w:rsid w:val="00E54529"/>
    <w:rsid w:val="00E76DB9"/>
    <w:rsid w:val="00EC566C"/>
    <w:rsid w:val="00EE42C6"/>
    <w:rsid w:val="00F846EE"/>
    <w:rsid w:val="00FE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B311E-44FC-4CC4-8436-800833EB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C16"/>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C16"/>
    <w:pPr>
      <w:spacing w:after="200" w:line="276" w:lineRule="auto"/>
      <w:ind w:left="720"/>
      <w:contextualSpacing/>
    </w:pPr>
  </w:style>
  <w:style w:type="paragraph" w:styleId="FootnoteText">
    <w:name w:val="footnote text"/>
    <w:basedOn w:val="Normal"/>
    <w:link w:val="FootnoteTextChar"/>
    <w:uiPriority w:val="99"/>
    <w:semiHidden/>
    <w:unhideWhenUsed/>
    <w:rsid w:val="000A6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C16"/>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0A6C16"/>
    <w:rPr>
      <w:vertAlign w:val="superscript"/>
    </w:rPr>
  </w:style>
  <w:style w:type="paragraph" w:styleId="Header">
    <w:name w:val="header"/>
    <w:basedOn w:val="Normal"/>
    <w:link w:val="HeaderChar"/>
    <w:uiPriority w:val="99"/>
    <w:unhideWhenUsed/>
    <w:rsid w:val="000A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16"/>
  </w:style>
  <w:style w:type="paragraph" w:styleId="BalloonText">
    <w:name w:val="Balloon Text"/>
    <w:basedOn w:val="Normal"/>
    <w:link w:val="BalloonTextChar"/>
    <w:uiPriority w:val="99"/>
    <w:semiHidden/>
    <w:unhideWhenUsed/>
    <w:rsid w:val="00F8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EE"/>
    <w:rPr>
      <w:rFonts w:ascii="Segoe UI" w:hAnsi="Segoe UI" w:cs="Segoe UI"/>
      <w:sz w:val="18"/>
      <w:szCs w:val="18"/>
    </w:rPr>
  </w:style>
  <w:style w:type="paragraph" w:styleId="Footer">
    <w:name w:val="footer"/>
    <w:basedOn w:val="Normal"/>
    <w:link w:val="FooterChar"/>
    <w:uiPriority w:val="99"/>
    <w:unhideWhenUsed/>
    <w:rsid w:val="00051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2023-12-07T18:30:00+00:00</Judgment_x0020_Date>
    <Year xmlns="c1afb1bd-f2fb-40fd-9abb-aea55b4d7662">2023</Year>
  </documentManagement>
</p:properties>
</file>

<file path=customXml/itemProps1.xml><?xml version="1.0" encoding="utf-8"?>
<ds:datastoreItem xmlns:ds="http://schemas.openxmlformats.org/officeDocument/2006/customXml" ds:itemID="{DA6285D3-2FE3-448D-B819-2AC63F2716FD}"/>
</file>

<file path=customXml/itemProps2.xml><?xml version="1.0" encoding="utf-8"?>
<ds:datastoreItem xmlns:ds="http://schemas.openxmlformats.org/officeDocument/2006/customXml" ds:itemID="{6F84ACD8-FD61-4D29-B7FA-17596C904802}"/>
</file>

<file path=customXml/itemProps3.xml><?xml version="1.0" encoding="utf-8"?>
<ds:datastoreItem xmlns:ds="http://schemas.openxmlformats.org/officeDocument/2006/customXml" ds:itemID="{816AE481-D2D3-456A-B4F6-2A8C639ABAC2}"/>
</file>

<file path=customXml/itemProps4.xml><?xml version="1.0" encoding="utf-8"?>
<ds:datastoreItem xmlns:ds="http://schemas.openxmlformats.org/officeDocument/2006/customXml" ds:itemID="{54922401-2E3C-43C4-87C6-0F49EEA7E839}"/>
</file>

<file path=docProps/app.xml><?xml version="1.0" encoding="utf-8"?>
<Properties xmlns="http://schemas.openxmlformats.org/officeDocument/2006/extended-properties" xmlns:vt="http://schemas.openxmlformats.org/officeDocument/2006/docPropsVTypes">
  <Template>Normal</Template>
  <TotalTime>1</TotalTime>
  <Pages>10</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Praelex Property and Investments v Urban Farming CC (HC-MD-CIV-MOT-GEN-2021-00351) [2023]  NAHCMD 811 (8 Dec 2023)</dc:title>
  <dc:subject/>
  <dc:creator>Hazel Davids</dc:creator>
  <cp:keywords/>
  <dc:description/>
  <cp:lastModifiedBy>Hazel Davids</cp:lastModifiedBy>
  <cp:revision>2</cp:revision>
  <cp:lastPrinted>2023-12-08T06:52:00Z</cp:lastPrinted>
  <dcterms:created xsi:type="dcterms:W3CDTF">2023-12-12T09:58:00Z</dcterms:created>
  <dcterms:modified xsi:type="dcterms:W3CDTF">2023-12-12T09:58:00Z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