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US"/>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295E6C70" w:rsidR="00B40844" w:rsidRPr="004A5618" w:rsidRDefault="003431EF" w:rsidP="00B40844">
      <w:pPr>
        <w:spacing w:after="0" w:line="360" w:lineRule="auto"/>
        <w:jc w:val="center"/>
        <w:rPr>
          <w:rFonts w:ascii="Arial" w:hAnsi="Arial" w:cs="Arial"/>
          <w:bCs/>
          <w:sz w:val="24"/>
          <w:szCs w:val="24"/>
        </w:rPr>
      </w:pPr>
      <w:r>
        <w:rPr>
          <w:rFonts w:ascii="Arial" w:hAnsi="Arial" w:cs="Arial"/>
          <w:b/>
          <w:sz w:val="24"/>
          <w:szCs w:val="24"/>
        </w:rPr>
        <w:t>HIGH</w:t>
      </w:r>
      <w:r w:rsidR="00B40844" w:rsidRPr="004A5618">
        <w:rPr>
          <w:rFonts w:ascii="Arial" w:hAnsi="Arial" w:cs="Arial"/>
          <w:b/>
          <w:sz w:val="24"/>
          <w:szCs w:val="24"/>
        </w:rPr>
        <w:t xml:space="preserve">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0283C01" w:rsidR="00B40844" w:rsidRDefault="00DC3FD1"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34A86CF0" w:rsidR="00B40844" w:rsidRPr="00C7517F" w:rsidRDefault="003431EF" w:rsidP="00DD6A03">
            <w:pPr>
              <w:jc w:val="both"/>
              <w:rPr>
                <w:rFonts w:ascii="Arial" w:hAnsi="Arial" w:cs="Arial"/>
                <w:sz w:val="24"/>
                <w:szCs w:val="24"/>
              </w:rPr>
            </w:pPr>
            <w:r w:rsidRPr="003431EF">
              <w:rPr>
                <w:rFonts w:ascii="Arial" w:hAnsi="Arial" w:cs="Arial"/>
                <w:sz w:val="24"/>
                <w:szCs w:val="24"/>
              </w:rPr>
              <w:t>HAUFIKU KRISTOF</w:t>
            </w:r>
            <w:r w:rsidR="00602C25" w:rsidRPr="00333796">
              <w:rPr>
                <w:rFonts w:ascii="Arial" w:hAnsi="Arial" w:cs="Arial"/>
                <w:sz w:val="24"/>
                <w:szCs w:val="24"/>
                <w:shd w:val="clear" w:color="auto" w:fill="FFFFFF"/>
              </w:rPr>
              <w:t xml:space="preserve"> </w:t>
            </w:r>
            <w:r w:rsidR="00136505" w:rsidRPr="00C7517F">
              <w:rPr>
                <w:rFonts w:ascii="Arial" w:hAnsi="Arial" w:cs="Arial"/>
                <w:sz w:val="24"/>
                <w:szCs w:val="24"/>
                <w:shd w:val="clear" w:color="auto" w:fill="FFFFFF"/>
              </w:rPr>
              <w:t xml:space="preserve">// </w:t>
            </w:r>
            <w:r w:rsidRPr="003431EF">
              <w:rPr>
                <w:rFonts w:ascii="Arial" w:hAnsi="Arial" w:cs="Arial"/>
                <w:sz w:val="24"/>
                <w:szCs w:val="24"/>
              </w:rPr>
              <w:t>THE MINISTER OF HOME AFFAIRS, IMMIGRATION SAFETY AND SECURITY</w:t>
            </w:r>
            <w:r w:rsidR="00FE0A83" w:rsidRPr="0053496C">
              <w:rPr>
                <w:rFonts w:ascii="Arial" w:hAnsi="Arial" w:cs="Arial"/>
                <w:sz w:val="24"/>
                <w:szCs w:val="24"/>
              </w:rPr>
              <w:t xml:space="preserve"> </w:t>
            </w:r>
            <w:r w:rsidR="00FE0A83" w:rsidRPr="00C7517F">
              <w:rPr>
                <w:rFonts w:ascii="Arial" w:hAnsi="Arial" w:cs="Arial"/>
                <w:sz w:val="24"/>
                <w:szCs w:val="24"/>
              </w:rPr>
              <w:t xml:space="preserve">&amp; </w:t>
            </w:r>
            <w:r>
              <w:rPr>
                <w:rFonts w:ascii="Arial" w:hAnsi="Arial" w:cs="Arial"/>
                <w:sz w:val="24"/>
                <w:szCs w:val="24"/>
              </w:rPr>
              <w:t>4</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373E6A19" w:rsidR="00865F37" w:rsidRPr="003431EF" w:rsidRDefault="003431EF" w:rsidP="00937C89">
            <w:pPr>
              <w:spacing w:line="360" w:lineRule="auto"/>
              <w:jc w:val="both"/>
              <w:rPr>
                <w:rFonts w:ascii="Arial" w:hAnsi="Arial" w:cs="Arial"/>
                <w:sz w:val="24"/>
                <w:szCs w:val="24"/>
              </w:rPr>
            </w:pPr>
            <w:r w:rsidRPr="003431EF">
              <w:rPr>
                <w:rFonts w:ascii="Arial" w:hAnsi="Arial" w:cs="Arial"/>
                <w:sz w:val="24"/>
                <w:szCs w:val="24"/>
              </w:rPr>
              <w:t>HC-MD-CIV-ACT-OTH-2022/00181</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62E8DD1F" w14:textId="77777777" w:rsidR="00B40844"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p w14:paraId="4C77435D" w14:textId="77777777" w:rsidR="006138DB" w:rsidRPr="004A5618" w:rsidRDefault="006138DB" w:rsidP="00937C89">
            <w:pPr>
              <w:spacing w:line="360" w:lineRule="auto"/>
              <w:jc w:val="both"/>
              <w:rPr>
                <w:rFonts w:ascii="Arial" w:hAnsi="Arial" w:cs="Arial"/>
                <w:sz w:val="24"/>
                <w:szCs w:val="24"/>
              </w:rPr>
            </w:pP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58323A9B" w14:textId="77777777" w:rsidR="00B40844" w:rsidRDefault="00DD6A03" w:rsidP="00DD6A03">
            <w:pPr>
              <w:spacing w:line="360" w:lineRule="auto"/>
              <w:jc w:val="both"/>
              <w:rPr>
                <w:rFonts w:ascii="Arial" w:hAnsi="Arial" w:cs="Arial"/>
                <w:sz w:val="24"/>
                <w:szCs w:val="24"/>
              </w:rPr>
            </w:pPr>
            <w:r>
              <w:rPr>
                <w:rFonts w:ascii="Arial" w:hAnsi="Arial" w:cs="Arial"/>
                <w:sz w:val="24"/>
                <w:szCs w:val="24"/>
              </w:rPr>
              <w:t>25</w:t>
            </w:r>
            <w:r w:rsidR="00C2633E" w:rsidRPr="004A5618">
              <w:rPr>
                <w:rFonts w:ascii="Arial" w:hAnsi="Arial" w:cs="Arial"/>
                <w:sz w:val="24"/>
                <w:szCs w:val="24"/>
              </w:rPr>
              <w:t xml:space="preserve"> </w:t>
            </w:r>
            <w:r>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p w14:paraId="7B3DC67C" w14:textId="21F66530" w:rsidR="00082D69" w:rsidRPr="004A5618" w:rsidRDefault="00082D69" w:rsidP="00DD6A03">
            <w:pPr>
              <w:spacing w:line="360" w:lineRule="auto"/>
              <w:jc w:val="both"/>
              <w:rPr>
                <w:rFonts w:ascii="Arial" w:hAnsi="Arial" w:cs="Arial"/>
                <w:sz w:val="24"/>
                <w:szCs w:val="24"/>
              </w:rPr>
            </w:pP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6D8E9797" w:rsidR="00B40844" w:rsidRPr="004A5618" w:rsidRDefault="003431EF" w:rsidP="003431EF">
            <w:pPr>
              <w:spacing w:line="360" w:lineRule="auto"/>
              <w:jc w:val="both"/>
              <w:rPr>
                <w:rFonts w:ascii="Arial" w:hAnsi="Arial" w:cs="Arial"/>
                <w:b/>
                <w:sz w:val="24"/>
                <w:szCs w:val="24"/>
              </w:rPr>
            </w:pPr>
            <w:r>
              <w:rPr>
                <w:rFonts w:ascii="Arial" w:hAnsi="Arial" w:cs="Arial"/>
                <w:sz w:val="24"/>
                <w:szCs w:val="24"/>
              </w:rPr>
              <w:t>13</w:t>
            </w:r>
            <w:r w:rsidR="00136505" w:rsidRPr="004A5618">
              <w:rPr>
                <w:rFonts w:ascii="Arial" w:hAnsi="Arial" w:cs="Arial"/>
                <w:sz w:val="24"/>
                <w:szCs w:val="24"/>
              </w:rPr>
              <w:t xml:space="preserve"> </w:t>
            </w:r>
            <w:r>
              <w:rPr>
                <w:rFonts w:ascii="Arial" w:hAnsi="Arial" w:cs="Arial"/>
                <w:sz w:val="24"/>
                <w:szCs w:val="24"/>
              </w:rPr>
              <w:t>DECEMBER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C213944" w:rsidR="00B40844" w:rsidRPr="004A5618" w:rsidRDefault="00B40844" w:rsidP="00D546CF">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r w:rsidR="003431EF">
              <w:rPr>
                <w:rFonts w:ascii="Arial" w:hAnsi="Arial" w:cs="Arial"/>
                <w:i/>
                <w:sz w:val="24"/>
                <w:szCs w:val="24"/>
              </w:rPr>
              <w:t>K</w:t>
            </w:r>
            <w:r w:rsidR="003431EF" w:rsidRPr="003431EF">
              <w:rPr>
                <w:rFonts w:ascii="Arial" w:hAnsi="Arial" w:cs="Arial"/>
                <w:i/>
                <w:sz w:val="24"/>
                <w:szCs w:val="24"/>
              </w:rPr>
              <w:t>ristof</w:t>
            </w:r>
            <w:r w:rsidR="00C7517F" w:rsidRPr="000B6579">
              <w:rPr>
                <w:rFonts w:ascii="Arial" w:hAnsi="Arial" w:cs="Arial"/>
                <w:i/>
                <w:sz w:val="24"/>
                <w:szCs w:val="24"/>
              </w:rPr>
              <w:t xml:space="preserve"> </w:t>
            </w:r>
            <w:r w:rsidR="00523C9D">
              <w:rPr>
                <w:rFonts w:ascii="Arial" w:hAnsi="Arial" w:cs="Arial"/>
                <w:i/>
                <w:sz w:val="24"/>
                <w:szCs w:val="24"/>
                <w:shd w:val="clear" w:color="auto" w:fill="FFFFFF"/>
              </w:rPr>
              <w:t>v</w:t>
            </w:r>
            <w:bookmarkStart w:id="0" w:name="_GoBack"/>
            <w:bookmarkEnd w:id="0"/>
            <w:r w:rsidR="00C7517F" w:rsidRPr="000B6579">
              <w:rPr>
                <w:rFonts w:ascii="Arial" w:hAnsi="Arial" w:cs="Arial"/>
                <w:i/>
                <w:sz w:val="24"/>
                <w:szCs w:val="24"/>
                <w:shd w:val="clear" w:color="auto" w:fill="FFFFFF"/>
              </w:rPr>
              <w:t xml:space="preserve"> </w:t>
            </w:r>
            <w:r w:rsidR="003431EF">
              <w:rPr>
                <w:rFonts w:ascii="Arial" w:hAnsi="Arial" w:cs="Arial"/>
                <w:i/>
                <w:sz w:val="24"/>
                <w:szCs w:val="24"/>
              </w:rPr>
              <w:t>T</w:t>
            </w:r>
            <w:r w:rsidR="003431EF" w:rsidRPr="003431EF">
              <w:rPr>
                <w:rFonts w:ascii="Arial" w:hAnsi="Arial" w:cs="Arial"/>
                <w:i/>
                <w:sz w:val="24"/>
                <w:szCs w:val="24"/>
              </w:rPr>
              <w:t xml:space="preserve">he </w:t>
            </w:r>
            <w:r w:rsidR="003431EF">
              <w:rPr>
                <w:rFonts w:ascii="Arial" w:hAnsi="Arial" w:cs="Arial"/>
                <w:i/>
                <w:sz w:val="24"/>
                <w:szCs w:val="24"/>
              </w:rPr>
              <w:t>M</w:t>
            </w:r>
            <w:r w:rsidR="003431EF" w:rsidRPr="003431EF">
              <w:rPr>
                <w:rFonts w:ascii="Arial" w:hAnsi="Arial" w:cs="Arial"/>
                <w:i/>
                <w:sz w:val="24"/>
                <w:szCs w:val="24"/>
              </w:rPr>
              <w:t xml:space="preserve">inister of </w:t>
            </w:r>
            <w:r w:rsidR="003431EF">
              <w:rPr>
                <w:rFonts w:ascii="Arial" w:hAnsi="Arial" w:cs="Arial"/>
                <w:i/>
                <w:sz w:val="24"/>
                <w:szCs w:val="24"/>
              </w:rPr>
              <w:t>H</w:t>
            </w:r>
            <w:r w:rsidR="003431EF" w:rsidRPr="003431EF">
              <w:rPr>
                <w:rFonts w:ascii="Arial" w:hAnsi="Arial" w:cs="Arial"/>
                <w:i/>
                <w:sz w:val="24"/>
                <w:szCs w:val="24"/>
              </w:rPr>
              <w:t xml:space="preserve">ome </w:t>
            </w:r>
            <w:r w:rsidR="003431EF">
              <w:rPr>
                <w:rFonts w:ascii="Arial" w:hAnsi="Arial" w:cs="Arial"/>
                <w:i/>
                <w:sz w:val="24"/>
                <w:szCs w:val="24"/>
              </w:rPr>
              <w:t>A</w:t>
            </w:r>
            <w:r w:rsidR="003431EF" w:rsidRPr="003431EF">
              <w:rPr>
                <w:rFonts w:ascii="Arial" w:hAnsi="Arial" w:cs="Arial"/>
                <w:i/>
                <w:sz w:val="24"/>
                <w:szCs w:val="24"/>
              </w:rPr>
              <w:t xml:space="preserve">ffairs, </w:t>
            </w:r>
            <w:r w:rsidR="003431EF">
              <w:rPr>
                <w:rFonts w:ascii="Arial" w:hAnsi="Arial" w:cs="Arial"/>
                <w:i/>
                <w:sz w:val="24"/>
                <w:szCs w:val="24"/>
              </w:rPr>
              <w:t>I</w:t>
            </w:r>
            <w:r w:rsidR="003431EF" w:rsidRPr="003431EF">
              <w:rPr>
                <w:rFonts w:ascii="Arial" w:hAnsi="Arial" w:cs="Arial"/>
                <w:i/>
                <w:sz w:val="24"/>
                <w:szCs w:val="24"/>
              </w:rPr>
              <w:t xml:space="preserve">mmigration </w:t>
            </w:r>
            <w:r w:rsidR="003431EF">
              <w:rPr>
                <w:rFonts w:ascii="Arial" w:hAnsi="Arial" w:cs="Arial"/>
                <w:i/>
                <w:sz w:val="24"/>
                <w:szCs w:val="24"/>
              </w:rPr>
              <w:t>S</w:t>
            </w:r>
            <w:r w:rsidR="003431EF" w:rsidRPr="003431EF">
              <w:rPr>
                <w:rFonts w:ascii="Arial" w:hAnsi="Arial" w:cs="Arial"/>
                <w:i/>
                <w:sz w:val="24"/>
                <w:szCs w:val="24"/>
              </w:rPr>
              <w:t xml:space="preserve">afety and </w:t>
            </w:r>
            <w:r w:rsidR="003431EF">
              <w:rPr>
                <w:rFonts w:ascii="Arial" w:hAnsi="Arial" w:cs="Arial"/>
                <w:i/>
                <w:sz w:val="24"/>
                <w:szCs w:val="24"/>
              </w:rPr>
              <w:t>S</w:t>
            </w:r>
            <w:r w:rsidR="003431EF" w:rsidRPr="003431EF">
              <w:rPr>
                <w:rFonts w:ascii="Arial" w:hAnsi="Arial" w:cs="Arial"/>
                <w:i/>
                <w:sz w:val="24"/>
                <w:szCs w:val="24"/>
              </w:rPr>
              <w:t>ecurity</w:t>
            </w:r>
            <w:r w:rsidRPr="004A5618">
              <w:rPr>
                <w:rFonts w:ascii="Arial" w:hAnsi="Arial" w:cs="Arial"/>
                <w:sz w:val="24"/>
                <w:szCs w:val="24"/>
              </w:rPr>
              <w:t xml:space="preserve"> (</w:t>
            </w:r>
            <w:r w:rsidR="003431EF" w:rsidRPr="003431EF">
              <w:rPr>
                <w:rFonts w:ascii="Arial" w:hAnsi="Arial" w:cs="Arial"/>
                <w:sz w:val="24"/>
                <w:szCs w:val="24"/>
              </w:rPr>
              <w:t>HC-MD-CIV-ACT-OTH-2022/00181</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NA</w:t>
            </w:r>
            <w:r w:rsidR="003431EF">
              <w:rPr>
                <w:rFonts w:ascii="Arial" w:hAnsi="Arial" w:cs="Arial"/>
                <w:sz w:val="24"/>
                <w:szCs w:val="24"/>
              </w:rPr>
              <w:t>H</w:t>
            </w:r>
            <w:r w:rsidRPr="004A5618">
              <w:rPr>
                <w:rFonts w:ascii="Arial" w:hAnsi="Arial" w:cs="Arial"/>
                <w:sz w:val="24"/>
                <w:szCs w:val="24"/>
              </w:rPr>
              <w:t xml:space="preserve">CMD </w:t>
            </w:r>
            <w:r w:rsidR="00D546CF">
              <w:rPr>
                <w:rFonts w:ascii="Arial" w:hAnsi="Arial" w:cs="Arial"/>
                <w:sz w:val="24"/>
                <w:szCs w:val="24"/>
              </w:rPr>
              <w:t>821</w:t>
            </w:r>
            <w:r w:rsidRPr="004A5618">
              <w:rPr>
                <w:rFonts w:ascii="Arial" w:hAnsi="Arial" w:cs="Arial"/>
                <w:sz w:val="24"/>
                <w:szCs w:val="24"/>
              </w:rPr>
              <w:t xml:space="preserve"> (</w:t>
            </w:r>
            <w:r w:rsidR="003431EF">
              <w:rPr>
                <w:rFonts w:ascii="Arial" w:hAnsi="Arial" w:cs="Arial"/>
                <w:sz w:val="24"/>
                <w:szCs w:val="24"/>
              </w:rPr>
              <w:t>13</w:t>
            </w:r>
            <w:r w:rsidR="00136505" w:rsidRPr="004A5618">
              <w:rPr>
                <w:rFonts w:ascii="Arial" w:hAnsi="Arial" w:cs="Arial"/>
                <w:sz w:val="24"/>
                <w:szCs w:val="24"/>
              </w:rPr>
              <w:t xml:space="preserve"> </w:t>
            </w:r>
            <w:r w:rsidR="003431EF">
              <w:rPr>
                <w:rFonts w:ascii="Arial" w:hAnsi="Arial" w:cs="Arial"/>
                <w:sz w:val="24"/>
                <w:szCs w:val="24"/>
              </w:rPr>
              <w:t>December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16757ECE" w14:textId="77777777" w:rsidR="00704B13" w:rsidRPr="007211CD" w:rsidRDefault="00704B13" w:rsidP="00704B13">
            <w:pPr>
              <w:pStyle w:val="ListParagraph"/>
              <w:numPr>
                <w:ilvl w:val="0"/>
                <w:numId w:val="30"/>
              </w:numPr>
              <w:spacing w:line="360" w:lineRule="auto"/>
              <w:ind w:left="743" w:hanging="743"/>
              <w:jc w:val="both"/>
              <w:rPr>
                <w:rFonts w:ascii="Arial" w:hAnsi="Arial" w:cs="Arial"/>
                <w:sz w:val="24"/>
                <w:szCs w:val="24"/>
              </w:rPr>
            </w:pPr>
            <w:r w:rsidRPr="007211CD">
              <w:rPr>
                <w:rFonts w:ascii="Arial" w:hAnsi="Arial" w:cs="Arial"/>
                <w:sz w:val="24"/>
                <w:szCs w:val="24"/>
              </w:rPr>
              <w:t>Absolution from the instance is granted.</w:t>
            </w:r>
          </w:p>
          <w:p w14:paraId="348E704A" w14:textId="77777777" w:rsidR="00704B13" w:rsidRPr="007211CD" w:rsidRDefault="00704B13" w:rsidP="00704B13">
            <w:pPr>
              <w:pStyle w:val="ListParagraph"/>
              <w:spacing w:line="360" w:lineRule="auto"/>
              <w:ind w:left="1080"/>
              <w:jc w:val="both"/>
              <w:rPr>
                <w:rFonts w:ascii="Arial" w:hAnsi="Arial" w:cs="Arial"/>
                <w:sz w:val="24"/>
                <w:szCs w:val="24"/>
              </w:rPr>
            </w:pPr>
          </w:p>
          <w:p w14:paraId="57769D59" w14:textId="77777777" w:rsidR="00704B13" w:rsidRPr="007211CD" w:rsidRDefault="00704B13" w:rsidP="00704B13">
            <w:pPr>
              <w:pStyle w:val="ListParagraph"/>
              <w:numPr>
                <w:ilvl w:val="0"/>
                <w:numId w:val="30"/>
              </w:numPr>
              <w:spacing w:line="360" w:lineRule="auto"/>
              <w:ind w:left="743" w:hanging="743"/>
              <w:jc w:val="both"/>
              <w:rPr>
                <w:rFonts w:ascii="Arial" w:hAnsi="Arial" w:cs="Arial"/>
                <w:sz w:val="24"/>
                <w:szCs w:val="24"/>
              </w:rPr>
            </w:pPr>
            <w:r w:rsidRPr="007211CD">
              <w:rPr>
                <w:rFonts w:ascii="Arial" w:hAnsi="Arial" w:cs="Arial"/>
                <w:sz w:val="24"/>
                <w:szCs w:val="24"/>
              </w:rPr>
              <w:t>I make no order as to costs.</w:t>
            </w:r>
          </w:p>
          <w:p w14:paraId="7E2FBCF7" w14:textId="77777777" w:rsidR="001D7162" w:rsidRDefault="001D7162" w:rsidP="001D7162">
            <w:pPr>
              <w:pStyle w:val="ListParagraph"/>
              <w:spacing w:line="360" w:lineRule="auto"/>
              <w:ind w:left="743"/>
              <w:jc w:val="both"/>
              <w:rPr>
                <w:rFonts w:ascii="Arial" w:hAnsi="Arial" w:cs="Arial"/>
                <w:sz w:val="24"/>
                <w:szCs w:val="24"/>
              </w:rPr>
            </w:pPr>
          </w:p>
          <w:p w14:paraId="087145D2" w14:textId="4C67F836" w:rsidR="001D7162" w:rsidRPr="0022676A" w:rsidRDefault="001D7162" w:rsidP="00704B13">
            <w:pPr>
              <w:pStyle w:val="ListParagraph"/>
              <w:numPr>
                <w:ilvl w:val="0"/>
                <w:numId w:val="30"/>
              </w:numPr>
              <w:spacing w:line="360" w:lineRule="auto"/>
              <w:ind w:left="743" w:hanging="710"/>
              <w:jc w:val="both"/>
              <w:rPr>
                <w:rFonts w:ascii="Arial" w:hAnsi="Arial" w:cs="Arial"/>
                <w:sz w:val="24"/>
                <w:szCs w:val="24"/>
              </w:rPr>
            </w:pPr>
            <w:r w:rsidRPr="0022676A">
              <w:rPr>
                <w:rFonts w:ascii="Arial" w:hAnsi="Arial" w:cs="Arial"/>
                <w:sz w:val="24"/>
                <w:szCs w:val="24"/>
              </w:rPr>
              <w:t>The matter is finalised and removed from the roll.</w:t>
            </w:r>
          </w:p>
          <w:p w14:paraId="1D7360B2" w14:textId="0F7A94CB"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28BCF87C"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18F27CFF" w14:textId="49B0171F" w:rsidR="007F0F47" w:rsidRPr="00100AB5" w:rsidRDefault="007F0F47" w:rsidP="008B7248">
            <w:pPr>
              <w:spacing w:line="360" w:lineRule="auto"/>
              <w:ind w:right="33"/>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100AB5">
              <w:rPr>
                <w:rFonts w:ascii="Arial" w:hAnsi="Arial" w:cs="Arial"/>
                <w:sz w:val="24"/>
                <w:szCs w:val="24"/>
              </w:rPr>
              <w:t xml:space="preserve">In the instant action, the plaintiff alleges that while he was an inmate of the </w:t>
            </w:r>
            <w:proofErr w:type="spellStart"/>
            <w:r w:rsidRPr="00100AB5">
              <w:rPr>
                <w:rFonts w:ascii="Arial" w:hAnsi="Arial" w:cs="Arial"/>
                <w:sz w:val="24"/>
                <w:szCs w:val="24"/>
              </w:rPr>
              <w:t>Hardap</w:t>
            </w:r>
            <w:proofErr w:type="spellEnd"/>
            <w:r w:rsidRPr="00100AB5">
              <w:rPr>
                <w:rFonts w:ascii="Arial" w:hAnsi="Arial" w:cs="Arial"/>
                <w:sz w:val="24"/>
                <w:szCs w:val="24"/>
              </w:rPr>
              <w:t xml:space="preserve"> Correctional Facility (‛HCF’) on 13 July 2021, during a ‛gang fight’ he was injured. </w:t>
            </w:r>
            <w:r w:rsidR="008B7248">
              <w:rPr>
                <w:rFonts w:ascii="Arial" w:hAnsi="Arial" w:cs="Arial"/>
                <w:sz w:val="24"/>
                <w:szCs w:val="24"/>
              </w:rPr>
              <w:t xml:space="preserve"> </w:t>
            </w:r>
            <w:r w:rsidRPr="00100AB5">
              <w:rPr>
                <w:rFonts w:ascii="Arial" w:hAnsi="Arial" w:cs="Arial"/>
                <w:sz w:val="24"/>
                <w:szCs w:val="24"/>
              </w:rPr>
              <w:t>He holds the defendants liable in that they failed to keep him safe, and additionally, they denied him medical attention. The defendants have denied the allegations and rejected the plaintiff's claim for damages.</w:t>
            </w:r>
          </w:p>
          <w:p w14:paraId="03FEB3BA" w14:textId="42637263" w:rsidR="00B45E7F" w:rsidRPr="004A2855" w:rsidRDefault="007204DC" w:rsidP="00B32493">
            <w:pPr>
              <w:spacing w:line="360" w:lineRule="auto"/>
              <w:jc w:val="both"/>
              <w:rPr>
                <w:rFonts w:ascii="Arial" w:hAnsi="Arial" w:cs="Arial"/>
              </w:rPr>
            </w:pPr>
            <w:r w:rsidRPr="00EE4364">
              <w:rPr>
                <w:rFonts w:ascii="Arial" w:hAnsi="Arial" w:cs="Arial"/>
              </w:rPr>
              <w:tab/>
            </w:r>
          </w:p>
          <w:p w14:paraId="18DB7461" w14:textId="070A1FB3" w:rsidR="001011B6"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7F0F47" w:rsidRPr="0000796F">
              <w:rPr>
                <w:rFonts w:ascii="Arial" w:hAnsi="Arial" w:cs="Arial"/>
                <w:sz w:val="24"/>
                <w:szCs w:val="24"/>
              </w:rPr>
              <w:t>The plaintiff</w:t>
            </w:r>
            <w:r w:rsidR="00EF2FD0">
              <w:rPr>
                <w:rFonts w:ascii="Arial" w:hAnsi="Arial" w:cs="Arial"/>
                <w:sz w:val="24"/>
                <w:szCs w:val="24"/>
              </w:rPr>
              <w:t>,</w:t>
            </w:r>
            <w:r w:rsidR="007F0F47" w:rsidRPr="0000796F">
              <w:rPr>
                <w:rFonts w:ascii="Arial" w:hAnsi="Arial" w:cs="Arial"/>
                <w:sz w:val="24"/>
                <w:szCs w:val="24"/>
              </w:rPr>
              <w:t xml:space="preserve"> represented by Mr </w:t>
            </w:r>
            <w:proofErr w:type="spellStart"/>
            <w:r w:rsidR="007F0F47" w:rsidRPr="0000796F">
              <w:rPr>
                <w:rFonts w:ascii="Arial" w:hAnsi="Arial" w:cs="Arial"/>
                <w:sz w:val="24"/>
                <w:szCs w:val="24"/>
              </w:rPr>
              <w:t>Tjituri</w:t>
            </w:r>
            <w:proofErr w:type="spellEnd"/>
            <w:r w:rsidR="007F0F47" w:rsidRPr="0000796F">
              <w:rPr>
                <w:rFonts w:ascii="Arial" w:hAnsi="Arial" w:cs="Arial"/>
                <w:sz w:val="24"/>
                <w:szCs w:val="24"/>
              </w:rPr>
              <w:t>, testified in his cause, and called no witnesses. After the close of the plaintiff's case, the defendants, represented by Ms Meyer, brought an application for absolution from the instance (‛absolution application’).</w:t>
            </w:r>
            <w:r w:rsidR="007F0F47">
              <w:rPr>
                <w:rFonts w:ascii="Arial" w:hAnsi="Arial" w:cs="Arial"/>
                <w:sz w:val="24"/>
                <w:szCs w:val="24"/>
              </w:rPr>
              <w:t xml:space="preserve"> By agreement between the parties, the absolution application is determined on the papers, including written heads of argument, without the hearing of oral submissions. </w:t>
            </w:r>
          </w:p>
          <w:p w14:paraId="3330C676" w14:textId="77777777" w:rsidR="007F0F47" w:rsidRDefault="007F0F47" w:rsidP="00B32493">
            <w:pPr>
              <w:spacing w:line="360" w:lineRule="auto"/>
              <w:jc w:val="both"/>
              <w:rPr>
                <w:rFonts w:ascii="Arial" w:hAnsi="Arial" w:cs="Arial"/>
                <w:sz w:val="24"/>
                <w:szCs w:val="24"/>
              </w:rPr>
            </w:pPr>
          </w:p>
          <w:p w14:paraId="00154370" w14:textId="3C5E4BA3" w:rsidR="00354AF8" w:rsidRDefault="001011B6" w:rsidP="00C834FA">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7F0F47" w:rsidRPr="0000796F">
              <w:rPr>
                <w:rFonts w:ascii="Arial" w:hAnsi="Arial" w:cs="Arial"/>
                <w:sz w:val="24"/>
                <w:szCs w:val="24"/>
              </w:rPr>
              <w:t xml:space="preserve">The test for absolution from the instance has been settled by the authorities. The principles and approaches have been followed in several cases. They were approved by the Supreme Court in </w:t>
            </w:r>
            <w:bookmarkStart w:id="1" w:name="_Hlk143634360"/>
            <w:proofErr w:type="spellStart"/>
            <w:r w:rsidR="007F0F47" w:rsidRPr="0000796F">
              <w:rPr>
                <w:rFonts w:ascii="Arial" w:hAnsi="Arial" w:cs="Arial"/>
                <w:i/>
                <w:sz w:val="24"/>
                <w:szCs w:val="24"/>
              </w:rPr>
              <w:t>Stier</w:t>
            </w:r>
            <w:proofErr w:type="spellEnd"/>
            <w:r w:rsidR="007F0F47" w:rsidRPr="0000796F">
              <w:rPr>
                <w:rFonts w:ascii="Arial" w:hAnsi="Arial" w:cs="Arial"/>
                <w:i/>
                <w:sz w:val="24"/>
                <w:szCs w:val="24"/>
              </w:rPr>
              <w:t xml:space="preserve"> and Another v Henke</w:t>
            </w:r>
            <w:r w:rsidR="007F0F47">
              <w:rPr>
                <w:rFonts w:ascii="Arial" w:hAnsi="Arial" w:cs="Arial"/>
                <w:sz w:val="24"/>
                <w:szCs w:val="24"/>
              </w:rPr>
              <w:t>.</w:t>
            </w:r>
            <w:r w:rsidR="007F0F47" w:rsidRPr="00100AB5">
              <w:rPr>
                <w:i/>
                <w:vertAlign w:val="superscript"/>
              </w:rPr>
              <w:footnoteReference w:id="1"/>
            </w:r>
            <w:r w:rsidR="007F0F47" w:rsidRPr="0000796F">
              <w:rPr>
                <w:rFonts w:ascii="Arial" w:hAnsi="Arial" w:cs="Arial"/>
                <w:sz w:val="24"/>
                <w:szCs w:val="24"/>
              </w:rPr>
              <w:t xml:space="preserve"> </w:t>
            </w:r>
            <w:bookmarkEnd w:id="1"/>
            <w:r w:rsidR="007F0F47" w:rsidRPr="0000796F">
              <w:rPr>
                <w:rFonts w:ascii="Arial" w:hAnsi="Arial" w:cs="Arial"/>
                <w:sz w:val="24"/>
                <w:szCs w:val="24"/>
              </w:rPr>
              <w:t>There, the Supreme Court stated:</w:t>
            </w:r>
          </w:p>
          <w:p w14:paraId="117E7A39" w14:textId="77777777" w:rsidR="007F0F47" w:rsidRDefault="007F0F47" w:rsidP="00C834FA">
            <w:pPr>
              <w:spacing w:line="360" w:lineRule="auto"/>
              <w:jc w:val="both"/>
              <w:rPr>
                <w:rFonts w:ascii="Arial" w:hAnsi="Arial" w:cs="Arial"/>
                <w:sz w:val="24"/>
                <w:szCs w:val="24"/>
              </w:rPr>
            </w:pPr>
          </w:p>
          <w:p w14:paraId="3F6442E7" w14:textId="77777777" w:rsidR="007F0F47" w:rsidRPr="0000796F" w:rsidRDefault="007F0F47" w:rsidP="007F0F47">
            <w:pPr>
              <w:pStyle w:val="ListParagraph"/>
              <w:spacing w:line="360" w:lineRule="auto"/>
              <w:jc w:val="both"/>
              <w:rPr>
                <w:rFonts w:ascii="Arial" w:hAnsi="Arial" w:cs="Arial"/>
              </w:rPr>
            </w:pPr>
            <w:r w:rsidRPr="0000796F">
              <w:rPr>
                <w:rFonts w:ascii="Arial" w:hAnsi="Arial" w:cs="Arial"/>
              </w:rPr>
              <w:t>‘[4]</w:t>
            </w:r>
            <w:r w:rsidRPr="0000796F">
              <w:rPr>
                <w:rFonts w:ascii="Arial" w:hAnsi="Arial" w:cs="Arial"/>
              </w:rPr>
              <w:tab/>
              <w:t xml:space="preserve">At 92F-G, Harms JA in </w:t>
            </w:r>
            <w:r w:rsidRPr="0000796F">
              <w:rPr>
                <w:rFonts w:ascii="Arial" w:hAnsi="Arial" w:cs="Arial"/>
                <w:i/>
              </w:rPr>
              <w:t>Gordon Lloyd Page &amp; Associates v Rivera and Another</w:t>
            </w:r>
            <w:r w:rsidRPr="0000796F">
              <w:rPr>
                <w:rFonts w:ascii="Arial" w:hAnsi="Arial" w:cs="Arial"/>
              </w:rPr>
              <w:t xml:space="preserve"> 2001 (1) SA 88 (SCA) referred to the formulation of the test to be applied by a trial court when absolution is applied at the end of an appellant's (a plaintiff’s) case as appears in </w:t>
            </w:r>
            <w:r w:rsidRPr="0000796F">
              <w:rPr>
                <w:rFonts w:ascii="Arial" w:hAnsi="Arial" w:cs="Arial"/>
                <w:i/>
              </w:rPr>
              <w:t xml:space="preserve">Claude Neon Lights (SA) Ltd v Daniel </w:t>
            </w:r>
            <w:r w:rsidRPr="0000796F">
              <w:rPr>
                <w:rFonts w:ascii="Arial" w:hAnsi="Arial" w:cs="Arial"/>
              </w:rPr>
              <w:t>1976 (4) SA 403 (A) at 409 G-H:</w:t>
            </w:r>
          </w:p>
          <w:p w14:paraId="3C23852B" w14:textId="77777777" w:rsidR="007F0F47" w:rsidRDefault="007F0F47" w:rsidP="00C834FA">
            <w:pPr>
              <w:spacing w:line="360" w:lineRule="auto"/>
              <w:jc w:val="both"/>
              <w:rPr>
                <w:rFonts w:ascii="Arial" w:hAnsi="Arial" w:cs="Arial"/>
                <w:sz w:val="24"/>
                <w:szCs w:val="24"/>
              </w:rPr>
            </w:pPr>
          </w:p>
          <w:p w14:paraId="2D2D5404" w14:textId="77777777" w:rsidR="007F0F47" w:rsidRPr="0000796F" w:rsidRDefault="007F0F47" w:rsidP="007F0F47">
            <w:pPr>
              <w:pStyle w:val="ListParagraph"/>
              <w:spacing w:line="360" w:lineRule="auto"/>
              <w:ind w:left="1440" w:right="237"/>
              <w:jc w:val="both"/>
              <w:rPr>
                <w:rFonts w:ascii="Arial" w:hAnsi="Arial" w:cs="Arial"/>
              </w:rPr>
            </w:pPr>
            <w:r w:rsidRPr="0000796F">
              <w:rPr>
                <w:rFonts w:ascii="Arial" w:hAnsi="Arial" w:cs="Arial"/>
              </w:rPr>
              <w:t>“.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 (</w:t>
            </w:r>
            <w:r w:rsidRPr="0000796F">
              <w:rPr>
                <w:rFonts w:ascii="Arial" w:hAnsi="Arial" w:cs="Arial"/>
                <w:i/>
              </w:rPr>
              <w:t>Gascoyne v Paul and Hunter</w:t>
            </w:r>
            <w:r w:rsidRPr="0000796F">
              <w:rPr>
                <w:rFonts w:ascii="Arial" w:hAnsi="Arial" w:cs="Arial"/>
              </w:rPr>
              <w:t xml:space="preserve"> 1917 TPD 170 at 173; </w:t>
            </w:r>
            <w:proofErr w:type="spellStart"/>
            <w:r w:rsidRPr="0000796F">
              <w:rPr>
                <w:rFonts w:ascii="Arial" w:hAnsi="Arial" w:cs="Arial"/>
                <w:i/>
              </w:rPr>
              <w:t>Ruto</w:t>
            </w:r>
            <w:proofErr w:type="spellEnd"/>
            <w:r w:rsidRPr="0000796F">
              <w:rPr>
                <w:rFonts w:ascii="Arial" w:hAnsi="Arial" w:cs="Arial"/>
                <w:i/>
              </w:rPr>
              <w:t xml:space="preserve"> Flour Mills (Pty) Ltd v Adelson</w:t>
            </w:r>
            <w:r w:rsidRPr="0000796F">
              <w:rPr>
                <w:rFonts w:ascii="Arial" w:hAnsi="Arial" w:cs="Arial"/>
              </w:rPr>
              <w:t xml:space="preserve"> (2) 1958 (4) SA 307 (T).)”</w:t>
            </w:r>
          </w:p>
          <w:p w14:paraId="3EFCF246" w14:textId="77777777" w:rsidR="007F0F47" w:rsidRPr="00100AB5" w:rsidRDefault="007F0F47" w:rsidP="007F0F47">
            <w:pPr>
              <w:spacing w:line="360" w:lineRule="auto"/>
              <w:ind w:left="743" w:right="237"/>
              <w:jc w:val="both"/>
              <w:rPr>
                <w:rFonts w:ascii="Arial" w:hAnsi="Arial" w:cs="Arial"/>
              </w:rPr>
            </w:pPr>
          </w:p>
          <w:p w14:paraId="08E73296" w14:textId="77777777" w:rsidR="007F0F47" w:rsidRDefault="007F0F47" w:rsidP="008B7248">
            <w:pPr>
              <w:pStyle w:val="ListParagraph"/>
              <w:spacing w:line="360" w:lineRule="auto"/>
              <w:ind w:left="1452"/>
              <w:jc w:val="both"/>
              <w:rPr>
                <w:rFonts w:ascii="Arial" w:hAnsi="Arial" w:cs="Arial"/>
              </w:rPr>
            </w:pPr>
            <w:r w:rsidRPr="0000796F">
              <w:rPr>
                <w:rFonts w:ascii="Arial" w:hAnsi="Arial" w:cs="Arial"/>
              </w:rPr>
              <w:t xml:space="preserve">“Harms JA went on to explain at 92H - 93A:  </w:t>
            </w:r>
          </w:p>
          <w:p w14:paraId="0373DB87" w14:textId="77777777" w:rsidR="008B7248" w:rsidRPr="0000796F" w:rsidRDefault="008B7248" w:rsidP="007F0F47">
            <w:pPr>
              <w:pStyle w:val="ListParagraph"/>
              <w:spacing w:line="360" w:lineRule="auto"/>
              <w:jc w:val="both"/>
              <w:rPr>
                <w:rFonts w:ascii="Arial" w:hAnsi="Arial" w:cs="Arial"/>
              </w:rPr>
            </w:pPr>
          </w:p>
          <w:p w14:paraId="2C28AA7B" w14:textId="77777777" w:rsidR="007F0F47" w:rsidRPr="0000796F" w:rsidRDefault="007F0F47" w:rsidP="007F0F47">
            <w:pPr>
              <w:pStyle w:val="ListParagraph"/>
              <w:spacing w:line="360" w:lineRule="auto"/>
              <w:ind w:left="1440" w:right="237"/>
              <w:jc w:val="both"/>
              <w:rPr>
                <w:rFonts w:ascii="Arial" w:hAnsi="Arial" w:cs="Arial"/>
                <w:sz w:val="24"/>
                <w:szCs w:val="24"/>
              </w:rPr>
            </w:pPr>
            <w:r w:rsidRPr="0000796F">
              <w:rPr>
                <w:rFonts w:ascii="Arial" w:hAnsi="Arial" w:cs="Arial"/>
              </w:rPr>
              <w:t xml:space="preserve">This implies that a plaintiff has to make out a prima facie case — in the sense that there is evidence relating to all the elements of the claim — to survive absolution </w:t>
            </w:r>
            <w:r w:rsidRPr="0000796F">
              <w:rPr>
                <w:rFonts w:ascii="Arial" w:hAnsi="Arial" w:cs="Arial"/>
              </w:rPr>
              <w:lastRenderedPageBreak/>
              <w:t>because without such evidence no court could find for the plaintiff (</w:t>
            </w:r>
            <w:r w:rsidRPr="0000796F">
              <w:rPr>
                <w:rFonts w:ascii="Arial" w:hAnsi="Arial" w:cs="Arial"/>
                <w:i/>
              </w:rPr>
              <w:t xml:space="preserve">Marine &amp; Trade Insurance Co Ltd v Van der </w:t>
            </w:r>
            <w:proofErr w:type="spellStart"/>
            <w:r w:rsidRPr="0000796F">
              <w:rPr>
                <w:rFonts w:ascii="Arial" w:hAnsi="Arial" w:cs="Arial"/>
                <w:i/>
              </w:rPr>
              <w:t>Schyff</w:t>
            </w:r>
            <w:proofErr w:type="spellEnd"/>
            <w:r w:rsidRPr="0000796F">
              <w:rPr>
                <w:rFonts w:ascii="Arial" w:hAnsi="Arial" w:cs="Arial"/>
              </w:rPr>
              <w:t xml:space="preserve"> 1972 (1) SA 26 (A) at 37G-38A; </w:t>
            </w:r>
            <w:r w:rsidRPr="0000796F">
              <w:rPr>
                <w:rFonts w:ascii="Arial" w:hAnsi="Arial" w:cs="Arial"/>
                <w:i/>
              </w:rPr>
              <w:t xml:space="preserve">Schmidt </w:t>
            </w:r>
            <w:proofErr w:type="spellStart"/>
            <w:r w:rsidRPr="0000796F">
              <w:rPr>
                <w:rFonts w:ascii="Arial" w:hAnsi="Arial" w:cs="Arial"/>
                <w:i/>
              </w:rPr>
              <w:t>Bewysreg</w:t>
            </w:r>
            <w:proofErr w:type="spellEnd"/>
            <w:r w:rsidRPr="0000796F">
              <w:rPr>
                <w:rFonts w:ascii="Arial" w:hAnsi="Arial" w:cs="Arial"/>
              </w:rPr>
              <w:t xml:space="preserve"> 4 </w:t>
            </w:r>
            <w:proofErr w:type="spellStart"/>
            <w:r w:rsidRPr="0000796F">
              <w:rPr>
                <w:rFonts w:ascii="Arial" w:hAnsi="Arial" w:cs="Arial"/>
              </w:rPr>
              <w:t>ed</w:t>
            </w:r>
            <w:proofErr w:type="spellEnd"/>
            <w:r w:rsidRPr="0000796F">
              <w:rPr>
                <w:rFonts w:ascii="Arial" w:hAnsi="Arial" w:cs="Arial"/>
              </w:rPr>
              <w:t xml:space="preserve"> at 91-2).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w:t>
            </w:r>
            <w:proofErr w:type="spellStart"/>
            <w:r w:rsidRPr="0000796F">
              <w:rPr>
                <w:rFonts w:ascii="Arial" w:hAnsi="Arial" w:cs="Arial"/>
                <w:i/>
              </w:rPr>
              <w:t>Gascoyne</w:t>
            </w:r>
            <w:proofErr w:type="spellEnd"/>
            <w:r w:rsidRPr="0000796F">
              <w:rPr>
                <w:rFonts w:ascii="Arial" w:hAnsi="Arial" w:cs="Arial"/>
              </w:rPr>
              <w:t xml:space="preserve"> (</w:t>
            </w:r>
            <w:proofErr w:type="spellStart"/>
            <w:r w:rsidRPr="0000796F">
              <w:rPr>
                <w:rFonts w:ascii="Arial" w:hAnsi="Arial" w:cs="Arial"/>
              </w:rPr>
              <w:t>loc</w:t>
            </w:r>
            <w:proofErr w:type="spellEnd"/>
            <w:r w:rsidRPr="0000796F">
              <w:rPr>
                <w:rFonts w:ascii="Arial" w:hAnsi="Arial" w:cs="Arial"/>
              </w:rPr>
              <w:t xml:space="preserve"> </w:t>
            </w:r>
            <w:proofErr w:type="spellStart"/>
            <w:r w:rsidRPr="0000796F">
              <w:rPr>
                <w:rFonts w:ascii="Arial" w:hAnsi="Arial" w:cs="Arial"/>
              </w:rPr>
              <w:t>cit</w:t>
            </w:r>
            <w:proofErr w:type="spellEnd"/>
            <w:r w:rsidRPr="0000796F">
              <w:rPr>
                <w:rFonts w:ascii="Arial" w:hAnsi="Arial" w:cs="Arial"/>
              </w:rPr>
              <w:t>)) — a test which had its origin in jury trials when the ''reasonable man'' was a reasonable member of the jury (</w:t>
            </w:r>
            <w:proofErr w:type="spellStart"/>
            <w:r w:rsidRPr="0000796F">
              <w:rPr>
                <w:rFonts w:ascii="Arial" w:hAnsi="Arial" w:cs="Arial"/>
                <w:i/>
              </w:rPr>
              <w:t>Ruto</w:t>
            </w:r>
            <w:proofErr w:type="spellEnd"/>
            <w:r w:rsidRPr="0000796F">
              <w:rPr>
                <w:rFonts w:ascii="Arial" w:hAnsi="Arial" w:cs="Arial"/>
                <w:i/>
              </w:rPr>
              <w:t xml:space="preserve"> Flour Mills</w:t>
            </w:r>
            <w:r w:rsidRPr="0000796F">
              <w:rPr>
                <w:rFonts w:ascii="Arial" w:hAnsi="Arial" w:cs="Arial"/>
              </w:rPr>
              <w:t xml:space="preserve">).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 </w:t>
            </w:r>
            <w:r w:rsidRPr="0000796F">
              <w:rPr>
                <w:rFonts w:ascii="Arial" w:hAnsi="Arial" w:cs="Arial"/>
                <w:sz w:val="24"/>
                <w:szCs w:val="24"/>
              </w:rPr>
              <w:t xml:space="preserve"> </w:t>
            </w:r>
          </w:p>
          <w:p w14:paraId="360C6150" w14:textId="746BF9BF" w:rsidR="001011B6" w:rsidRDefault="001011B6" w:rsidP="00B32493">
            <w:pPr>
              <w:spacing w:line="360" w:lineRule="auto"/>
              <w:jc w:val="both"/>
              <w:rPr>
                <w:rFonts w:ascii="Arial" w:hAnsi="Arial" w:cs="Arial"/>
                <w:sz w:val="24"/>
                <w:szCs w:val="24"/>
              </w:rPr>
            </w:pPr>
          </w:p>
          <w:p w14:paraId="0C402A64" w14:textId="40BE9705" w:rsidR="00C43E50"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ab/>
            </w:r>
            <w:r w:rsidR="001E6B86">
              <w:rPr>
                <w:rFonts w:ascii="Arial" w:hAnsi="Arial" w:cs="Arial"/>
                <w:sz w:val="24"/>
                <w:szCs w:val="24"/>
              </w:rPr>
              <w:t>It follows that</w:t>
            </w:r>
            <w:r w:rsidR="001E6B86" w:rsidRPr="00905091">
              <w:rPr>
                <w:rFonts w:ascii="Arial" w:hAnsi="Arial" w:cs="Arial"/>
                <w:sz w:val="24"/>
                <w:szCs w:val="24"/>
              </w:rPr>
              <w:t xml:space="preserve"> in</w:t>
            </w:r>
            <w:r w:rsidR="001E6B86">
              <w:rPr>
                <w:rFonts w:ascii="Arial" w:hAnsi="Arial" w:cs="Arial"/>
                <w:sz w:val="24"/>
                <w:szCs w:val="24"/>
              </w:rPr>
              <w:t xml:space="preserve"> </w:t>
            </w:r>
            <w:r w:rsidR="001E6B86" w:rsidRPr="00905091">
              <w:rPr>
                <w:rFonts w:ascii="Arial" w:hAnsi="Arial" w:cs="Arial"/>
                <w:sz w:val="24"/>
                <w:szCs w:val="24"/>
              </w:rPr>
              <w:t xml:space="preserve">adjudicating an </w:t>
            </w:r>
            <w:r w:rsidR="00EF2FD0" w:rsidRPr="00905091">
              <w:rPr>
                <w:rFonts w:ascii="Arial" w:hAnsi="Arial" w:cs="Arial"/>
                <w:sz w:val="24"/>
                <w:szCs w:val="24"/>
              </w:rPr>
              <w:t xml:space="preserve">absolution </w:t>
            </w:r>
            <w:r w:rsidR="001E6B86" w:rsidRPr="00905091">
              <w:rPr>
                <w:rFonts w:ascii="Arial" w:hAnsi="Arial" w:cs="Arial"/>
                <w:sz w:val="24"/>
                <w:szCs w:val="24"/>
              </w:rPr>
              <w:t xml:space="preserve">application at the end of </w:t>
            </w:r>
            <w:r w:rsidR="001E6B86">
              <w:rPr>
                <w:rFonts w:ascii="Arial" w:hAnsi="Arial" w:cs="Arial"/>
                <w:sz w:val="24"/>
                <w:szCs w:val="24"/>
              </w:rPr>
              <w:t xml:space="preserve">the </w:t>
            </w:r>
            <w:r w:rsidR="001E6B86" w:rsidRPr="00905091">
              <w:rPr>
                <w:rFonts w:ascii="Arial" w:hAnsi="Arial" w:cs="Arial"/>
                <w:sz w:val="24"/>
                <w:szCs w:val="24"/>
              </w:rPr>
              <w:t xml:space="preserve">plaintiff’s case, </w:t>
            </w:r>
            <w:r w:rsidR="001E6B86">
              <w:rPr>
                <w:rFonts w:ascii="Arial" w:hAnsi="Arial" w:cs="Arial"/>
                <w:sz w:val="24"/>
                <w:szCs w:val="24"/>
              </w:rPr>
              <w:t>the court takes it that all the evidence of the plaintiff is in.</w:t>
            </w:r>
            <w:r w:rsidR="001E6B86" w:rsidRPr="0000796F">
              <w:rPr>
                <w:rFonts w:ascii="Arial" w:hAnsi="Arial" w:cs="Arial"/>
                <w:sz w:val="24"/>
                <w:szCs w:val="24"/>
              </w:rPr>
              <w:t xml:space="preserve"> </w:t>
            </w:r>
            <w:r w:rsidR="001E6B86">
              <w:rPr>
                <w:rFonts w:ascii="Arial" w:hAnsi="Arial" w:cs="Arial"/>
                <w:sz w:val="24"/>
                <w:szCs w:val="24"/>
              </w:rPr>
              <w:t>In that regard,  t</w:t>
            </w:r>
            <w:r w:rsidR="001E6B86" w:rsidRPr="0000796F">
              <w:rPr>
                <w:rFonts w:ascii="Arial" w:hAnsi="Arial" w:cs="Arial"/>
                <w:sz w:val="24"/>
                <w:szCs w:val="24"/>
              </w:rPr>
              <w:t>he clause ‘applying its mind reasonably’, used by Harms JA in</w:t>
            </w:r>
            <w:r w:rsidR="001E6B86" w:rsidRPr="0000796F">
              <w:rPr>
                <w:rFonts w:ascii="Arial" w:hAnsi="Arial" w:cs="Arial"/>
                <w:i/>
                <w:sz w:val="24"/>
                <w:szCs w:val="24"/>
              </w:rPr>
              <w:t xml:space="preserve"> Neon Lights (SA) Ltd</w:t>
            </w:r>
            <w:r w:rsidR="001E6B86">
              <w:rPr>
                <w:rFonts w:ascii="Arial" w:hAnsi="Arial" w:cs="Arial"/>
                <w:sz w:val="24"/>
                <w:szCs w:val="24"/>
              </w:rPr>
              <w:t>,</w:t>
            </w:r>
            <w:r w:rsidR="001E6B86" w:rsidRPr="00100AB5">
              <w:rPr>
                <w:i/>
                <w:vertAlign w:val="superscript"/>
              </w:rPr>
              <w:footnoteReference w:id="2"/>
            </w:r>
            <w:r w:rsidR="001E6B86" w:rsidRPr="0000796F">
              <w:rPr>
                <w:rFonts w:ascii="Arial" w:hAnsi="Arial" w:cs="Arial"/>
                <w:sz w:val="24"/>
                <w:szCs w:val="24"/>
              </w:rPr>
              <w:t xml:space="preserve">  requires the court not to consider the evidence </w:t>
            </w:r>
            <w:r w:rsidR="001E6B86" w:rsidRPr="0000796F">
              <w:rPr>
                <w:rFonts w:ascii="Arial" w:hAnsi="Arial" w:cs="Arial"/>
                <w:i/>
                <w:sz w:val="24"/>
                <w:szCs w:val="24"/>
              </w:rPr>
              <w:t xml:space="preserve">in </w:t>
            </w:r>
            <w:proofErr w:type="spellStart"/>
            <w:r w:rsidR="001E6B86" w:rsidRPr="0000796F">
              <w:rPr>
                <w:rFonts w:ascii="Arial" w:hAnsi="Arial" w:cs="Arial"/>
                <w:i/>
                <w:sz w:val="24"/>
                <w:szCs w:val="24"/>
              </w:rPr>
              <w:t>vacuo</w:t>
            </w:r>
            <w:proofErr w:type="spellEnd"/>
            <w:r w:rsidR="001E6B86" w:rsidRPr="0000796F">
              <w:rPr>
                <w:rFonts w:ascii="Arial" w:hAnsi="Arial" w:cs="Arial"/>
                <w:sz w:val="24"/>
                <w:szCs w:val="24"/>
              </w:rPr>
              <w:t xml:space="preserve"> but to consider the evidence in relation to the pleadings and the requirements of the law applicable to the case.</w:t>
            </w:r>
            <w:r w:rsidR="001E6B86" w:rsidRPr="00100AB5">
              <w:rPr>
                <w:vertAlign w:val="superscript"/>
              </w:rPr>
              <w:footnoteReference w:id="3"/>
            </w:r>
          </w:p>
          <w:p w14:paraId="06EB7C5C" w14:textId="77777777" w:rsidR="001E6B86" w:rsidRDefault="001E6B86" w:rsidP="002850A3">
            <w:pPr>
              <w:spacing w:line="360" w:lineRule="auto"/>
              <w:jc w:val="both"/>
              <w:rPr>
                <w:rFonts w:ascii="Arial" w:hAnsi="Arial" w:cs="Arial"/>
                <w:sz w:val="24"/>
                <w:szCs w:val="24"/>
              </w:rPr>
            </w:pPr>
          </w:p>
          <w:p w14:paraId="41C5794F" w14:textId="28B559A7" w:rsidR="001E6B86" w:rsidRPr="00100AB5" w:rsidRDefault="00B32493" w:rsidP="00281E02">
            <w:pPr>
              <w:spacing w:line="360" w:lineRule="auto"/>
              <w:ind w:left="33"/>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1E6B86" w:rsidRPr="00100AB5">
              <w:rPr>
                <w:rFonts w:ascii="Arial" w:hAnsi="Arial" w:cs="Arial"/>
                <w:sz w:val="24"/>
                <w:szCs w:val="24"/>
              </w:rPr>
              <w:t>According to the pleadings</w:t>
            </w:r>
            <w:r w:rsidR="001E6B86">
              <w:rPr>
                <w:rFonts w:ascii="Arial" w:hAnsi="Arial" w:cs="Arial"/>
                <w:sz w:val="24"/>
                <w:szCs w:val="24"/>
              </w:rPr>
              <w:t xml:space="preserve"> in the instant proceeding</w:t>
            </w:r>
            <w:r w:rsidR="001E6B86" w:rsidRPr="00100AB5">
              <w:rPr>
                <w:rFonts w:ascii="Arial" w:hAnsi="Arial" w:cs="Arial"/>
                <w:sz w:val="24"/>
                <w:szCs w:val="24"/>
              </w:rPr>
              <w:t xml:space="preserve">, the plaintiff alleges that on 13 July 2021 on the HCF premises, he was stabbed by a fellow inmate called </w:t>
            </w:r>
            <w:proofErr w:type="spellStart"/>
            <w:r w:rsidR="001E6B86" w:rsidRPr="00100AB5">
              <w:rPr>
                <w:rFonts w:ascii="Arial" w:hAnsi="Arial" w:cs="Arial"/>
                <w:sz w:val="24"/>
                <w:szCs w:val="24"/>
              </w:rPr>
              <w:t>Romario</w:t>
            </w:r>
            <w:proofErr w:type="spellEnd"/>
            <w:r w:rsidR="001E6B86" w:rsidRPr="00100AB5">
              <w:rPr>
                <w:rFonts w:ascii="Arial" w:hAnsi="Arial" w:cs="Arial"/>
                <w:sz w:val="24"/>
                <w:szCs w:val="24"/>
              </w:rPr>
              <w:t xml:space="preserve">. He alleges further that the stabbing was witnessed by three inmates and </w:t>
            </w:r>
            <w:r w:rsidR="001E6B86">
              <w:rPr>
                <w:rFonts w:ascii="Arial" w:hAnsi="Arial" w:cs="Arial"/>
                <w:sz w:val="24"/>
                <w:szCs w:val="24"/>
              </w:rPr>
              <w:t xml:space="preserve">two </w:t>
            </w:r>
            <w:r w:rsidR="001E6B86" w:rsidRPr="00100AB5">
              <w:rPr>
                <w:rFonts w:ascii="Arial" w:hAnsi="Arial" w:cs="Arial"/>
                <w:sz w:val="24"/>
                <w:szCs w:val="24"/>
              </w:rPr>
              <w:t xml:space="preserve">correctional </w:t>
            </w:r>
            <w:r w:rsidR="001E6B86">
              <w:rPr>
                <w:rFonts w:ascii="Arial" w:hAnsi="Arial" w:cs="Arial"/>
                <w:sz w:val="24"/>
                <w:szCs w:val="24"/>
              </w:rPr>
              <w:t xml:space="preserve">service </w:t>
            </w:r>
            <w:r w:rsidR="00EF2FD0">
              <w:rPr>
                <w:rFonts w:ascii="Arial" w:hAnsi="Arial" w:cs="Arial"/>
                <w:sz w:val="24"/>
                <w:szCs w:val="24"/>
              </w:rPr>
              <w:t>officials</w:t>
            </w:r>
            <w:r w:rsidR="001E6B86" w:rsidRPr="00100AB5">
              <w:rPr>
                <w:rFonts w:ascii="Arial" w:hAnsi="Arial" w:cs="Arial"/>
                <w:sz w:val="24"/>
                <w:szCs w:val="24"/>
              </w:rPr>
              <w:t xml:space="preserve"> of the second defendant.</w:t>
            </w:r>
          </w:p>
          <w:p w14:paraId="23365F4A" w14:textId="3E9052CE" w:rsidR="00B32493" w:rsidRPr="004A5618" w:rsidRDefault="00B32493" w:rsidP="00B32493">
            <w:pPr>
              <w:spacing w:line="360" w:lineRule="auto"/>
              <w:jc w:val="both"/>
              <w:rPr>
                <w:rFonts w:ascii="Arial" w:hAnsi="Arial" w:cs="Arial"/>
                <w:sz w:val="24"/>
                <w:szCs w:val="24"/>
              </w:rPr>
            </w:pPr>
          </w:p>
          <w:p w14:paraId="297A0B4A" w14:textId="755D93F0" w:rsidR="001E6B86" w:rsidRPr="00100AB5" w:rsidRDefault="00B32493" w:rsidP="001E6B86">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1E6B86" w:rsidRPr="00100AB5">
              <w:rPr>
                <w:rFonts w:ascii="Arial" w:hAnsi="Arial" w:cs="Arial"/>
                <w:sz w:val="24"/>
                <w:szCs w:val="24"/>
              </w:rPr>
              <w:t>It should be noted that the plaintiff alone bears the burden of proving what he alleged in his pleadings. The defendants bear no such burden. The requirement that he or she who alleges must prove what is alleged is basic to our law.</w:t>
            </w:r>
            <w:r w:rsidR="001E6B86">
              <w:rPr>
                <w:rStyle w:val="FootnoteReference"/>
                <w:rFonts w:ascii="Arial" w:hAnsi="Arial" w:cs="Arial"/>
                <w:sz w:val="24"/>
                <w:szCs w:val="24"/>
              </w:rPr>
              <w:footnoteReference w:id="4"/>
            </w:r>
            <w:r w:rsidR="001E6B86" w:rsidRPr="00100AB5">
              <w:rPr>
                <w:rFonts w:ascii="Arial" w:hAnsi="Arial" w:cs="Arial"/>
                <w:sz w:val="24"/>
                <w:szCs w:val="24"/>
              </w:rPr>
              <w:t xml:space="preserve"> Accordingly, the </w:t>
            </w:r>
            <w:r w:rsidR="00F33D96">
              <w:rPr>
                <w:rFonts w:ascii="Arial" w:hAnsi="Arial" w:cs="Arial"/>
                <w:sz w:val="24"/>
                <w:szCs w:val="24"/>
              </w:rPr>
              <w:t xml:space="preserve">next </w:t>
            </w:r>
            <w:r w:rsidR="001E6B86" w:rsidRPr="00100AB5">
              <w:rPr>
                <w:rFonts w:ascii="Arial" w:hAnsi="Arial" w:cs="Arial"/>
                <w:sz w:val="24"/>
                <w:szCs w:val="24"/>
              </w:rPr>
              <w:t xml:space="preserve">level of the enquiry is to consider the evidence led so far to establish to a </w:t>
            </w:r>
            <w:r w:rsidR="001E6B86" w:rsidRPr="00100AB5">
              <w:rPr>
                <w:rFonts w:ascii="Arial" w:hAnsi="Arial" w:cs="Arial"/>
                <w:i/>
                <w:sz w:val="24"/>
                <w:szCs w:val="24"/>
              </w:rPr>
              <w:t>prima facie</w:t>
            </w:r>
            <w:r w:rsidR="001E6B86" w:rsidRPr="00100AB5">
              <w:rPr>
                <w:rFonts w:ascii="Arial" w:hAnsi="Arial" w:cs="Arial"/>
                <w:sz w:val="24"/>
                <w:szCs w:val="24"/>
              </w:rPr>
              <w:t xml:space="preserve"> degree that </w:t>
            </w:r>
            <w:proofErr w:type="spellStart"/>
            <w:r w:rsidR="001E6B86" w:rsidRPr="00100AB5">
              <w:rPr>
                <w:rFonts w:ascii="Arial" w:hAnsi="Arial" w:cs="Arial"/>
                <w:sz w:val="24"/>
                <w:szCs w:val="24"/>
              </w:rPr>
              <w:t>Romario</w:t>
            </w:r>
            <w:proofErr w:type="spellEnd"/>
            <w:r w:rsidR="001E6B86" w:rsidRPr="00100AB5">
              <w:rPr>
                <w:rFonts w:ascii="Arial" w:hAnsi="Arial" w:cs="Arial"/>
                <w:sz w:val="24"/>
                <w:szCs w:val="24"/>
              </w:rPr>
              <w:t xml:space="preserve"> stabbed the plaintiff causing a serious bodily injury to the plaintiff's lower back, requiring answer from the defendants.</w:t>
            </w:r>
            <w:r w:rsidR="001E6B86">
              <w:rPr>
                <w:rStyle w:val="FootnoteReference"/>
                <w:rFonts w:ascii="Arial" w:hAnsi="Arial" w:cs="Arial"/>
                <w:sz w:val="24"/>
                <w:szCs w:val="24"/>
              </w:rPr>
              <w:footnoteReference w:id="5"/>
            </w:r>
          </w:p>
          <w:p w14:paraId="77F269AE" w14:textId="760E9BC0" w:rsidR="00B32493" w:rsidRPr="004A5618" w:rsidRDefault="00B32493" w:rsidP="00B32493">
            <w:pPr>
              <w:spacing w:line="360" w:lineRule="auto"/>
              <w:jc w:val="both"/>
              <w:rPr>
                <w:rFonts w:ascii="Arial" w:hAnsi="Arial" w:cs="Arial"/>
                <w:sz w:val="24"/>
                <w:szCs w:val="24"/>
              </w:rPr>
            </w:pPr>
          </w:p>
          <w:p w14:paraId="6CA8DC1C" w14:textId="77777777" w:rsidR="001E6B86" w:rsidRPr="00100AB5" w:rsidRDefault="00B32493" w:rsidP="001E6B86">
            <w:pPr>
              <w:spacing w:line="360" w:lineRule="auto"/>
              <w:jc w:val="both"/>
              <w:rPr>
                <w:rFonts w:ascii="Arial" w:hAnsi="Arial" w:cs="Arial"/>
                <w:sz w:val="24"/>
                <w:szCs w:val="24"/>
              </w:rPr>
            </w:pPr>
            <w:r w:rsidRPr="004A5618">
              <w:rPr>
                <w:rFonts w:ascii="Arial" w:hAnsi="Arial" w:cs="Arial"/>
                <w:sz w:val="24"/>
                <w:szCs w:val="24"/>
              </w:rPr>
              <w:lastRenderedPageBreak/>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1E6B86" w:rsidRPr="00100AB5">
              <w:rPr>
                <w:rFonts w:ascii="Arial" w:hAnsi="Arial" w:cs="Arial"/>
                <w:sz w:val="24"/>
                <w:szCs w:val="24"/>
              </w:rPr>
              <w:t>I now proceed to consider the evidence in relation to the pleadings and the requirements of the law applicable to the case.</w:t>
            </w:r>
            <w:r w:rsidR="001E6B86" w:rsidRPr="00100AB5">
              <w:rPr>
                <w:rStyle w:val="FootnoteReference"/>
                <w:rFonts w:ascii="Arial" w:hAnsi="Arial" w:cs="Arial"/>
                <w:sz w:val="24"/>
                <w:szCs w:val="24"/>
              </w:rPr>
              <w:t xml:space="preserve"> </w:t>
            </w:r>
            <w:r w:rsidR="001E6B86" w:rsidRPr="00100AB5">
              <w:rPr>
                <w:rStyle w:val="FootnoteReference"/>
                <w:rFonts w:ascii="Arial" w:hAnsi="Arial" w:cs="Arial"/>
                <w:sz w:val="24"/>
                <w:szCs w:val="24"/>
              </w:rPr>
              <w:footnoteReference w:id="6"/>
            </w:r>
          </w:p>
          <w:p w14:paraId="3103EDE3" w14:textId="77777777" w:rsidR="00B32493" w:rsidRPr="004A5618" w:rsidRDefault="00B32493" w:rsidP="00B32493">
            <w:pPr>
              <w:spacing w:line="360" w:lineRule="auto"/>
              <w:jc w:val="both"/>
              <w:rPr>
                <w:rFonts w:ascii="Arial" w:hAnsi="Arial" w:cs="Arial"/>
                <w:sz w:val="24"/>
                <w:szCs w:val="24"/>
              </w:rPr>
            </w:pPr>
          </w:p>
          <w:p w14:paraId="2EDA1EE8" w14:textId="0397EBB2" w:rsidR="002E20B1" w:rsidRPr="00100AB5" w:rsidRDefault="00B32493" w:rsidP="002E20B1">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ab/>
            </w:r>
            <w:r w:rsidR="002E20B1" w:rsidRPr="00100AB5">
              <w:rPr>
                <w:rFonts w:ascii="Arial" w:hAnsi="Arial" w:cs="Arial"/>
                <w:sz w:val="24"/>
                <w:szCs w:val="24"/>
              </w:rPr>
              <w:t xml:space="preserve">The plaintiff alleged in his pleadings that he was stabbed by a </w:t>
            </w:r>
            <w:proofErr w:type="spellStart"/>
            <w:r w:rsidR="002E20B1" w:rsidRPr="00100AB5">
              <w:rPr>
                <w:rFonts w:ascii="Arial" w:hAnsi="Arial" w:cs="Arial"/>
                <w:sz w:val="24"/>
                <w:szCs w:val="24"/>
              </w:rPr>
              <w:t>Romario</w:t>
            </w:r>
            <w:proofErr w:type="spellEnd"/>
            <w:r w:rsidR="002E20B1" w:rsidRPr="00100AB5">
              <w:rPr>
                <w:rFonts w:ascii="Arial" w:hAnsi="Arial" w:cs="Arial"/>
                <w:sz w:val="24"/>
                <w:szCs w:val="24"/>
              </w:rPr>
              <w:t xml:space="preserve">. On the facts, the court is unable to decide whether a person called </w:t>
            </w:r>
            <w:proofErr w:type="spellStart"/>
            <w:r w:rsidR="002E20B1" w:rsidRPr="00100AB5">
              <w:rPr>
                <w:rFonts w:ascii="Arial" w:hAnsi="Arial" w:cs="Arial"/>
                <w:sz w:val="24"/>
                <w:szCs w:val="24"/>
              </w:rPr>
              <w:t>Romario</w:t>
            </w:r>
            <w:proofErr w:type="spellEnd"/>
            <w:r w:rsidR="002E20B1" w:rsidRPr="00100AB5">
              <w:rPr>
                <w:rFonts w:ascii="Arial" w:hAnsi="Arial" w:cs="Arial"/>
                <w:sz w:val="24"/>
                <w:szCs w:val="24"/>
              </w:rPr>
              <w:t xml:space="preserve"> existed on 12 July 2022, and if he existed, if he stabbed the plaintiff. </w:t>
            </w:r>
            <w:r w:rsidR="00357D0F">
              <w:rPr>
                <w:rFonts w:ascii="Arial" w:hAnsi="Arial" w:cs="Arial"/>
                <w:sz w:val="24"/>
                <w:szCs w:val="24"/>
              </w:rPr>
              <w:t xml:space="preserve"> </w:t>
            </w:r>
            <w:r w:rsidR="002E20B1" w:rsidRPr="00100AB5">
              <w:rPr>
                <w:rFonts w:ascii="Arial" w:hAnsi="Arial" w:cs="Arial"/>
                <w:sz w:val="24"/>
                <w:szCs w:val="24"/>
              </w:rPr>
              <w:t>Furthermore, the plaintiff alleged in his pleadings that three inmates and two correctional service officials witnessed the alleged stabbing. These individuals were not called to testify in support of the plaintiff's allegation. I did not hear the plaintiff to testify as to the reasons why these individuals were not called as witnesses to support his version.</w:t>
            </w:r>
          </w:p>
          <w:p w14:paraId="469F4013" w14:textId="6A392F57" w:rsidR="00DC5666" w:rsidRDefault="00DC5666" w:rsidP="008E5E3D">
            <w:pPr>
              <w:spacing w:line="360" w:lineRule="auto"/>
              <w:jc w:val="both"/>
              <w:rPr>
                <w:rFonts w:ascii="Arial" w:hAnsi="Arial" w:cs="Arial"/>
                <w:sz w:val="24"/>
                <w:szCs w:val="24"/>
              </w:rPr>
            </w:pPr>
          </w:p>
          <w:p w14:paraId="35083F65" w14:textId="7639CC06" w:rsidR="002E20B1" w:rsidRPr="00100AB5" w:rsidRDefault="00DC5666" w:rsidP="002E20B1">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ab/>
            </w:r>
            <w:r w:rsidR="002E20B1" w:rsidRPr="00100AB5">
              <w:rPr>
                <w:rFonts w:ascii="Arial" w:hAnsi="Arial" w:cs="Arial"/>
                <w:sz w:val="24"/>
                <w:szCs w:val="24"/>
              </w:rPr>
              <w:t>Thus, what the plaintiff has alleged has not been proved to a prima facie degree. It remains a mere irrelevance.</w:t>
            </w:r>
            <w:r w:rsidR="002E20B1" w:rsidRPr="00100AB5">
              <w:rPr>
                <w:rStyle w:val="FootnoteReference"/>
                <w:rFonts w:ascii="Arial" w:hAnsi="Arial" w:cs="Arial"/>
                <w:sz w:val="24"/>
                <w:szCs w:val="24"/>
              </w:rPr>
              <w:footnoteReference w:id="7"/>
            </w:r>
            <w:r w:rsidR="002E20B1" w:rsidRPr="00100AB5">
              <w:rPr>
                <w:rFonts w:ascii="Arial" w:hAnsi="Arial" w:cs="Arial"/>
                <w:sz w:val="24"/>
                <w:szCs w:val="24"/>
              </w:rPr>
              <w:t xml:space="preserve"> </w:t>
            </w:r>
            <w:r w:rsidR="002E20B1">
              <w:rPr>
                <w:rFonts w:ascii="Arial" w:hAnsi="Arial" w:cs="Arial"/>
                <w:sz w:val="24"/>
                <w:szCs w:val="24"/>
              </w:rPr>
              <w:t>W</w:t>
            </w:r>
            <w:r w:rsidR="002E20B1" w:rsidRPr="00100AB5">
              <w:rPr>
                <w:rFonts w:ascii="Arial" w:hAnsi="Arial" w:cs="Arial"/>
                <w:sz w:val="24"/>
                <w:szCs w:val="24"/>
              </w:rPr>
              <w:t>hat also remains a mere irrelevance is the plaintiff's allegation that he suffered serious injur</w:t>
            </w:r>
            <w:r w:rsidR="002E20B1">
              <w:rPr>
                <w:rFonts w:ascii="Arial" w:hAnsi="Arial" w:cs="Arial"/>
                <w:sz w:val="24"/>
                <w:szCs w:val="24"/>
              </w:rPr>
              <w:t>y</w:t>
            </w:r>
            <w:r w:rsidR="002E20B1" w:rsidRPr="00100AB5">
              <w:rPr>
                <w:rFonts w:ascii="Arial" w:hAnsi="Arial" w:cs="Arial"/>
                <w:sz w:val="24"/>
                <w:szCs w:val="24"/>
              </w:rPr>
              <w:t xml:space="preserve"> to his back. The court has not received any probative material tending to prove the allegation of serious injury.</w:t>
            </w:r>
            <w:r w:rsidR="002E20B1" w:rsidRPr="00100AB5">
              <w:rPr>
                <w:rStyle w:val="FootnoteReference"/>
                <w:rFonts w:ascii="Arial" w:hAnsi="Arial" w:cs="Arial"/>
                <w:sz w:val="24"/>
                <w:szCs w:val="24"/>
              </w:rPr>
              <w:footnoteReference w:id="8"/>
            </w:r>
            <w:r w:rsidR="002E20B1" w:rsidRPr="00100AB5">
              <w:rPr>
                <w:rFonts w:ascii="Arial" w:hAnsi="Arial" w:cs="Arial"/>
                <w:sz w:val="24"/>
                <w:szCs w:val="24"/>
              </w:rPr>
              <w:t xml:space="preserve"> Indeed, in his cross-examination-evidence, the plaintiff conceded that there </w:t>
            </w:r>
            <w:r w:rsidR="002E20B1">
              <w:rPr>
                <w:rFonts w:ascii="Arial" w:hAnsi="Arial" w:cs="Arial"/>
                <w:sz w:val="24"/>
                <w:szCs w:val="24"/>
              </w:rPr>
              <w:t>has</w:t>
            </w:r>
            <w:r w:rsidR="002E20B1" w:rsidRPr="00100AB5">
              <w:rPr>
                <w:rFonts w:ascii="Arial" w:hAnsi="Arial" w:cs="Arial"/>
                <w:sz w:val="24"/>
                <w:szCs w:val="24"/>
              </w:rPr>
              <w:t xml:space="preserve"> no</w:t>
            </w:r>
            <w:r w:rsidR="002E20B1">
              <w:rPr>
                <w:rFonts w:ascii="Arial" w:hAnsi="Arial" w:cs="Arial"/>
                <w:sz w:val="24"/>
                <w:szCs w:val="24"/>
              </w:rPr>
              <w:t>t</w:t>
            </w:r>
            <w:r w:rsidR="002E20B1" w:rsidRPr="00100AB5">
              <w:rPr>
                <w:rFonts w:ascii="Arial" w:hAnsi="Arial" w:cs="Arial"/>
                <w:sz w:val="24"/>
                <w:szCs w:val="24"/>
              </w:rPr>
              <w:t xml:space="preserve"> </w:t>
            </w:r>
            <w:r w:rsidR="002E20B1">
              <w:rPr>
                <w:rFonts w:ascii="Arial" w:hAnsi="Arial" w:cs="Arial"/>
                <w:sz w:val="24"/>
                <w:szCs w:val="24"/>
              </w:rPr>
              <w:t xml:space="preserve">been </w:t>
            </w:r>
            <w:r w:rsidR="002E20B1" w:rsidRPr="00100AB5">
              <w:rPr>
                <w:rFonts w:ascii="Arial" w:hAnsi="Arial" w:cs="Arial"/>
                <w:sz w:val="24"/>
                <w:szCs w:val="24"/>
              </w:rPr>
              <w:t>such medical evidence.</w:t>
            </w:r>
          </w:p>
          <w:p w14:paraId="6A805D8A" w14:textId="51F81346" w:rsidR="00B32493" w:rsidRDefault="00B32493" w:rsidP="008E5E3D">
            <w:pPr>
              <w:spacing w:line="360" w:lineRule="auto"/>
              <w:jc w:val="both"/>
              <w:rPr>
                <w:rFonts w:ascii="Arial" w:hAnsi="Arial" w:cs="Arial"/>
                <w:sz w:val="24"/>
                <w:szCs w:val="24"/>
              </w:rPr>
            </w:pPr>
          </w:p>
          <w:p w14:paraId="199C327C" w14:textId="29B17286" w:rsidR="002E20B1" w:rsidRPr="00100AB5" w:rsidRDefault="002B44E0" w:rsidP="002E20B1">
            <w:pPr>
              <w:spacing w:line="360" w:lineRule="auto"/>
              <w:jc w:val="both"/>
              <w:rPr>
                <w:rFonts w:ascii="Arial" w:hAnsi="Arial" w:cs="Arial"/>
                <w:sz w:val="24"/>
                <w:szCs w:val="24"/>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2E20B1" w:rsidRPr="00100AB5">
              <w:rPr>
                <w:rFonts w:ascii="Arial" w:hAnsi="Arial" w:cs="Arial"/>
                <w:sz w:val="24"/>
                <w:szCs w:val="24"/>
              </w:rPr>
              <w:t xml:space="preserve">The plaintiff testified further that he underwent an examination, but no X-ray images were placed before the court. The plaintiff's explanation </w:t>
            </w:r>
            <w:r w:rsidR="00F33D96">
              <w:rPr>
                <w:rFonts w:ascii="Arial" w:hAnsi="Arial" w:cs="Arial"/>
                <w:sz w:val="24"/>
                <w:szCs w:val="24"/>
              </w:rPr>
              <w:t xml:space="preserve">therefore is </w:t>
            </w:r>
            <w:r w:rsidR="002E20B1" w:rsidRPr="00100AB5">
              <w:rPr>
                <w:rFonts w:ascii="Arial" w:hAnsi="Arial" w:cs="Arial"/>
                <w:sz w:val="24"/>
                <w:szCs w:val="24"/>
              </w:rPr>
              <w:t>that he could not afford the fee charged for the examination cannot possibly be true, because he attended a State hospital. In any case, no unpaid invoice to prove the unpaid fee was placed before the court.</w:t>
            </w:r>
          </w:p>
          <w:p w14:paraId="599172B0" w14:textId="03A98692" w:rsidR="00B32493" w:rsidRPr="004A5618" w:rsidRDefault="00B32493" w:rsidP="00B32493">
            <w:pPr>
              <w:spacing w:line="360" w:lineRule="auto"/>
              <w:jc w:val="both"/>
              <w:rPr>
                <w:rFonts w:ascii="Arial" w:hAnsi="Arial" w:cs="Arial"/>
                <w:sz w:val="24"/>
                <w:szCs w:val="24"/>
              </w:rPr>
            </w:pPr>
          </w:p>
          <w:p w14:paraId="2B329CCA" w14:textId="178353F3" w:rsidR="002E20B1" w:rsidRPr="00100AB5" w:rsidRDefault="00B32493" w:rsidP="002E20B1">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2E20B1" w:rsidRPr="00100AB5">
              <w:rPr>
                <w:rFonts w:ascii="Arial" w:hAnsi="Arial" w:cs="Arial"/>
                <w:sz w:val="24"/>
                <w:szCs w:val="24"/>
              </w:rPr>
              <w:t xml:space="preserve">Furthermore, no health passport or suchlike document was placed before the court tending to establish </w:t>
            </w:r>
            <w:r w:rsidR="00F33D96">
              <w:rPr>
                <w:rFonts w:ascii="Arial" w:hAnsi="Arial" w:cs="Arial"/>
                <w:sz w:val="24"/>
                <w:szCs w:val="24"/>
              </w:rPr>
              <w:t xml:space="preserve">the </w:t>
            </w:r>
            <w:r w:rsidR="002E20B1" w:rsidRPr="00100AB5">
              <w:rPr>
                <w:rFonts w:ascii="Arial" w:hAnsi="Arial" w:cs="Arial"/>
                <w:sz w:val="24"/>
                <w:szCs w:val="24"/>
              </w:rPr>
              <w:t>plaintiff's allegation that he sustained the said serious injury to his back.</w:t>
            </w:r>
          </w:p>
          <w:p w14:paraId="4A424627" w14:textId="543FB5E9" w:rsidR="0022676A" w:rsidRDefault="0022676A" w:rsidP="008E74B0">
            <w:pPr>
              <w:spacing w:line="360" w:lineRule="auto"/>
              <w:jc w:val="both"/>
              <w:rPr>
                <w:rFonts w:ascii="Arial" w:hAnsi="Arial" w:cs="Arial"/>
                <w:sz w:val="24"/>
                <w:szCs w:val="24"/>
              </w:rPr>
            </w:pPr>
          </w:p>
          <w:p w14:paraId="089B04D4" w14:textId="77777777" w:rsidR="002E20B1" w:rsidRPr="00100AB5" w:rsidRDefault="0022676A" w:rsidP="002E20B1">
            <w:pPr>
              <w:spacing w:line="360" w:lineRule="auto"/>
              <w:jc w:val="both"/>
              <w:rPr>
                <w:rFonts w:ascii="Arial" w:hAnsi="Arial" w:cs="Arial"/>
                <w:sz w:val="24"/>
                <w:szCs w:val="24"/>
              </w:rPr>
            </w:pPr>
            <w:r>
              <w:rPr>
                <w:rFonts w:ascii="Arial" w:hAnsi="Arial" w:cs="Arial"/>
                <w:sz w:val="24"/>
                <w:szCs w:val="24"/>
              </w:rPr>
              <w:t>[12]</w:t>
            </w:r>
            <w:r w:rsidRPr="004A5618">
              <w:rPr>
                <w:rFonts w:ascii="Arial" w:hAnsi="Arial" w:cs="Arial"/>
                <w:sz w:val="24"/>
                <w:szCs w:val="24"/>
              </w:rPr>
              <w:tab/>
            </w:r>
            <w:r w:rsidR="002E20B1" w:rsidRPr="00100AB5">
              <w:rPr>
                <w:rFonts w:ascii="Arial" w:hAnsi="Arial" w:cs="Arial"/>
                <w:sz w:val="24"/>
                <w:szCs w:val="24"/>
              </w:rPr>
              <w:t xml:space="preserve">It cannot be emphasised enough that in seeking to prove bodily injury, it is crucial to place before the court </w:t>
            </w:r>
            <w:r w:rsidR="002E20B1">
              <w:rPr>
                <w:rFonts w:ascii="Arial" w:hAnsi="Arial" w:cs="Arial"/>
                <w:sz w:val="24"/>
                <w:szCs w:val="24"/>
              </w:rPr>
              <w:t xml:space="preserve">a reliable medical report and </w:t>
            </w:r>
            <w:r w:rsidR="002E20B1" w:rsidRPr="00100AB5">
              <w:rPr>
                <w:rFonts w:ascii="Arial" w:hAnsi="Arial" w:cs="Arial"/>
                <w:sz w:val="24"/>
                <w:szCs w:val="24"/>
              </w:rPr>
              <w:t>medical evidence</w:t>
            </w:r>
            <w:r w:rsidR="002E20B1">
              <w:rPr>
                <w:rFonts w:ascii="Arial" w:hAnsi="Arial" w:cs="Arial"/>
                <w:sz w:val="24"/>
                <w:szCs w:val="24"/>
              </w:rPr>
              <w:t xml:space="preserve"> of the medical practitioner who completed the report </w:t>
            </w:r>
            <w:r w:rsidR="002E20B1" w:rsidRPr="00100AB5">
              <w:rPr>
                <w:rFonts w:ascii="Arial" w:hAnsi="Arial" w:cs="Arial"/>
                <w:sz w:val="24"/>
                <w:szCs w:val="24"/>
              </w:rPr>
              <w:t>to assist the court in assessing the facts placed before it. In the absence of a</w:t>
            </w:r>
            <w:r w:rsidR="002E20B1">
              <w:rPr>
                <w:rFonts w:ascii="Arial" w:hAnsi="Arial" w:cs="Arial"/>
                <w:sz w:val="24"/>
                <w:szCs w:val="24"/>
              </w:rPr>
              <w:t xml:space="preserve"> credible</w:t>
            </w:r>
            <w:r w:rsidR="002E20B1" w:rsidRPr="00100AB5">
              <w:rPr>
                <w:rFonts w:ascii="Arial" w:hAnsi="Arial" w:cs="Arial"/>
                <w:sz w:val="24"/>
                <w:szCs w:val="24"/>
              </w:rPr>
              <w:t xml:space="preserve"> medical report </w:t>
            </w:r>
            <w:r w:rsidR="002E20B1">
              <w:rPr>
                <w:rFonts w:ascii="Arial" w:hAnsi="Arial" w:cs="Arial"/>
                <w:sz w:val="24"/>
                <w:szCs w:val="24"/>
              </w:rPr>
              <w:t>and</w:t>
            </w:r>
            <w:r w:rsidR="002E20B1" w:rsidRPr="00100AB5">
              <w:rPr>
                <w:rFonts w:ascii="Arial" w:hAnsi="Arial" w:cs="Arial"/>
                <w:sz w:val="24"/>
                <w:szCs w:val="24"/>
              </w:rPr>
              <w:t xml:space="preserve"> medical evidence, the court is unable to determine</w:t>
            </w:r>
            <w:r w:rsidR="002E20B1">
              <w:rPr>
                <w:rFonts w:ascii="Arial" w:hAnsi="Arial" w:cs="Arial"/>
                <w:sz w:val="24"/>
                <w:szCs w:val="24"/>
              </w:rPr>
              <w:t xml:space="preserve"> judicially</w:t>
            </w:r>
            <w:r w:rsidR="002E20B1" w:rsidRPr="00100AB5">
              <w:rPr>
                <w:rFonts w:ascii="Arial" w:hAnsi="Arial" w:cs="Arial"/>
                <w:sz w:val="24"/>
                <w:szCs w:val="24"/>
              </w:rPr>
              <w:t xml:space="preserve"> a claim of bodily injury.</w:t>
            </w:r>
            <w:r w:rsidR="002E20B1" w:rsidRPr="00100AB5">
              <w:rPr>
                <w:rStyle w:val="FootnoteReference"/>
                <w:rFonts w:ascii="Arial" w:hAnsi="Arial" w:cs="Arial"/>
                <w:sz w:val="24"/>
                <w:szCs w:val="24"/>
              </w:rPr>
              <w:footnoteReference w:id="9"/>
            </w:r>
          </w:p>
          <w:p w14:paraId="52BAB822" w14:textId="5CF0452F" w:rsidR="00A52F09" w:rsidRDefault="00A52F09" w:rsidP="0022676A">
            <w:pPr>
              <w:spacing w:line="360" w:lineRule="auto"/>
              <w:jc w:val="both"/>
              <w:rPr>
                <w:rFonts w:ascii="Arial" w:hAnsi="Arial" w:cs="Arial"/>
                <w:sz w:val="24"/>
                <w:szCs w:val="24"/>
              </w:rPr>
            </w:pPr>
          </w:p>
          <w:p w14:paraId="26A44853" w14:textId="124B06F1" w:rsidR="002E20B1" w:rsidRPr="00100AB5" w:rsidRDefault="002E20B1" w:rsidP="002E20B1">
            <w:pPr>
              <w:spacing w:line="360" w:lineRule="auto"/>
              <w:jc w:val="both"/>
              <w:rPr>
                <w:rFonts w:ascii="Arial" w:hAnsi="Arial" w:cs="Arial"/>
                <w:sz w:val="24"/>
                <w:szCs w:val="24"/>
              </w:rPr>
            </w:pPr>
            <w:r>
              <w:rPr>
                <w:rFonts w:ascii="Arial" w:hAnsi="Arial" w:cs="Arial"/>
                <w:sz w:val="24"/>
                <w:szCs w:val="24"/>
              </w:rPr>
              <w:t>[</w:t>
            </w:r>
            <w:r w:rsidR="007211CD">
              <w:rPr>
                <w:rFonts w:ascii="Arial" w:hAnsi="Arial" w:cs="Arial"/>
                <w:sz w:val="24"/>
                <w:szCs w:val="24"/>
              </w:rPr>
              <w:t>13</w:t>
            </w:r>
            <w:r>
              <w:rPr>
                <w:rFonts w:ascii="Arial" w:hAnsi="Arial" w:cs="Arial"/>
                <w:sz w:val="24"/>
                <w:szCs w:val="24"/>
              </w:rPr>
              <w:t>]</w:t>
            </w:r>
            <w:r w:rsidRPr="004A5618">
              <w:rPr>
                <w:rFonts w:ascii="Arial" w:hAnsi="Arial" w:cs="Arial"/>
                <w:sz w:val="24"/>
                <w:szCs w:val="24"/>
              </w:rPr>
              <w:tab/>
            </w:r>
            <w:r w:rsidRPr="00100AB5">
              <w:rPr>
                <w:rFonts w:ascii="Arial" w:hAnsi="Arial" w:cs="Arial"/>
                <w:sz w:val="24"/>
                <w:szCs w:val="24"/>
              </w:rPr>
              <w:t>Based on the evidence and the application of</w:t>
            </w:r>
            <w:r>
              <w:rPr>
                <w:rFonts w:ascii="Arial" w:hAnsi="Arial" w:cs="Arial"/>
                <w:sz w:val="24"/>
                <w:szCs w:val="24"/>
              </w:rPr>
              <w:t xml:space="preserve"> the</w:t>
            </w:r>
            <w:r w:rsidRPr="00100AB5">
              <w:rPr>
                <w:rFonts w:ascii="Arial" w:hAnsi="Arial" w:cs="Arial"/>
                <w:sz w:val="24"/>
                <w:szCs w:val="24"/>
              </w:rPr>
              <w:t xml:space="preserve"> authorities</w:t>
            </w:r>
            <w:r>
              <w:rPr>
                <w:rFonts w:ascii="Arial" w:hAnsi="Arial" w:cs="Arial"/>
                <w:sz w:val="24"/>
                <w:szCs w:val="24"/>
              </w:rPr>
              <w:t>,</w:t>
            </w:r>
            <w:r w:rsidRPr="00100AB5">
              <w:rPr>
                <w:rFonts w:ascii="Arial" w:hAnsi="Arial" w:cs="Arial"/>
                <w:sz w:val="24"/>
                <w:szCs w:val="24"/>
              </w:rPr>
              <w:t xml:space="preserve"> I find that the plaintiff has failed to surmount the bar set by the Supreme Court in </w:t>
            </w:r>
            <w:proofErr w:type="spellStart"/>
            <w:r w:rsidRPr="00100AB5">
              <w:rPr>
                <w:rFonts w:ascii="Arial" w:hAnsi="Arial" w:cs="Arial"/>
                <w:i/>
                <w:sz w:val="24"/>
                <w:szCs w:val="24"/>
              </w:rPr>
              <w:t>Stier</w:t>
            </w:r>
            <w:proofErr w:type="spellEnd"/>
            <w:r w:rsidRPr="00100AB5">
              <w:rPr>
                <w:rFonts w:ascii="Arial" w:hAnsi="Arial" w:cs="Arial"/>
                <w:i/>
                <w:sz w:val="24"/>
                <w:szCs w:val="24"/>
              </w:rPr>
              <w:t xml:space="preserve"> and Another v Henke</w:t>
            </w:r>
            <w:r w:rsidRPr="00100AB5">
              <w:rPr>
                <w:rStyle w:val="FootnoteReference"/>
                <w:rFonts w:ascii="Arial" w:hAnsi="Arial" w:cs="Arial"/>
                <w:i/>
                <w:sz w:val="24"/>
                <w:szCs w:val="24"/>
              </w:rPr>
              <w:footnoteReference w:id="10"/>
            </w:r>
            <w:r w:rsidRPr="00100AB5">
              <w:rPr>
                <w:rFonts w:ascii="Arial" w:hAnsi="Arial" w:cs="Arial"/>
                <w:sz w:val="24"/>
                <w:szCs w:val="24"/>
              </w:rPr>
              <w:t xml:space="preserve"> which is </w:t>
            </w:r>
            <w:r w:rsidRPr="00100AB5">
              <w:rPr>
                <w:rFonts w:ascii="Arial" w:hAnsi="Arial" w:cs="Arial"/>
                <w:sz w:val="24"/>
                <w:szCs w:val="24"/>
              </w:rPr>
              <w:lastRenderedPageBreak/>
              <w:t xml:space="preserve">that for the plaintiff to survive absolution, the plaintiff must make out a </w:t>
            </w:r>
            <w:r w:rsidRPr="00100AB5">
              <w:rPr>
                <w:rFonts w:ascii="Arial" w:hAnsi="Arial" w:cs="Arial"/>
                <w:i/>
                <w:sz w:val="24"/>
                <w:szCs w:val="24"/>
              </w:rPr>
              <w:t>prima facie</w:t>
            </w:r>
            <w:r w:rsidRPr="00100AB5">
              <w:rPr>
                <w:rFonts w:ascii="Arial" w:hAnsi="Arial" w:cs="Arial"/>
                <w:sz w:val="24"/>
                <w:szCs w:val="24"/>
              </w:rPr>
              <w:t xml:space="preserve"> case upon which a court could or might find for the plaintiff. In the instant matter, the plaintiff has not made out a prima facie case, requiring the defendants to answer. Accordingly, I find that the occasion has arisen for the court to grant absolution from the instance in the interest of justice.</w:t>
            </w:r>
            <w:r w:rsidRPr="00100AB5">
              <w:rPr>
                <w:rStyle w:val="FootnoteReference"/>
                <w:rFonts w:ascii="Arial" w:hAnsi="Arial" w:cs="Arial"/>
                <w:sz w:val="24"/>
                <w:szCs w:val="24"/>
              </w:rPr>
              <w:footnoteReference w:id="11"/>
            </w:r>
          </w:p>
          <w:p w14:paraId="435FB3D8" w14:textId="52768AD5" w:rsidR="002E20B1" w:rsidRPr="00220768" w:rsidRDefault="002E20B1" w:rsidP="0022676A">
            <w:pPr>
              <w:spacing w:line="360" w:lineRule="auto"/>
              <w:jc w:val="both"/>
              <w:rPr>
                <w:rFonts w:ascii="Arial" w:hAnsi="Arial" w:cs="Arial"/>
                <w:sz w:val="24"/>
                <w:szCs w:val="24"/>
              </w:rPr>
            </w:pPr>
          </w:p>
          <w:p w14:paraId="0E8D8509" w14:textId="12FD3700" w:rsidR="002E20B1" w:rsidRDefault="007211CD" w:rsidP="002E20B1">
            <w:pPr>
              <w:spacing w:line="360" w:lineRule="auto"/>
              <w:jc w:val="both"/>
              <w:rPr>
                <w:rFonts w:ascii="Arial" w:hAnsi="Arial" w:cs="Arial"/>
                <w:sz w:val="24"/>
                <w:szCs w:val="24"/>
              </w:rPr>
            </w:pPr>
            <w:r>
              <w:rPr>
                <w:rFonts w:ascii="Arial" w:hAnsi="Arial" w:cs="Arial"/>
                <w:sz w:val="24"/>
                <w:szCs w:val="24"/>
              </w:rPr>
              <w:t>[14]</w:t>
            </w:r>
            <w:r w:rsidRPr="004A5618">
              <w:rPr>
                <w:rFonts w:ascii="Arial" w:hAnsi="Arial" w:cs="Arial"/>
                <w:sz w:val="24"/>
                <w:szCs w:val="24"/>
              </w:rPr>
              <w:t xml:space="preserve"> </w:t>
            </w:r>
            <w:r w:rsidRPr="004A5618">
              <w:rPr>
                <w:rFonts w:ascii="Arial" w:hAnsi="Arial" w:cs="Arial"/>
                <w:sz w:val="24"/>
                <w:szCs w:val="24"/>
              </w:rPr>
              <w:tab/>
            </w:r>
            <w:r w:rsidR="002E20B1" w:rsidRPr="00100AB5">
              <w:rPr>
                <w:rFonts w:ascii="Arial" w:hAnsi="Arial" w:cs="Arial"/>
                <w:sz w:val="24"/>
                <w:szCs w:val="24"/>
              </w:rPr>
              <w:t>Based on these reasons, I order as follows:</w:t>
            </w:r>
          </w:p>
          <w:p w14:paraId="1733B3A6" w14:textId="77777777" w:rsidR="007211CD" w:rsidRPr="00100AB5" w:rsidRDefault="007211CD" w:rsidP="002E20B1">
            <w:pPr>
              <w:spacing w:line="360" w:lineRule="auto"/>
              <w:jc w:val="both"/>
              <w:rPr>
                <w:rFonts w:ascii="Arial" w:hAnsi="Arial" w:cs="Arial"/>
                <w:sz w:val="24"/>
                <w:szCs w:val="24"/>
              </w:rPr>
            </w:pPr>
          </w:p>
          <w:p w14:paraId="6635744C" w14:textId="66B64238" w:rsidR="002E20B1" w:rsidRPr="007211CD" w:rsidRDefault="002E20B1" w:rsidP="00704B13">
            <w:pPr>
              <w:pStyle w:val="ListParagraph"/>
              <w:numPr>
                <w:ilvl w:val="0"/>
                <w:numId w:val="31"/>
              </w:numPr>
              <w:spacing w:line="360" w:lineRule="auto"/>
              <w:ind w:left="743" w:hanging="710"/>
              <w:jc w:val="both"/>
              <w:rPr>
                <w:rFonts w:ascii="Arial" w:hAnsi="Arial" w:cs="Arial"/>
                <w:sz w:val="24"/>
                <w:szCs w:val="24"/>
              </w:rPr>
            </w:pPr>
            <w:r w:rsidRPr="007211CD">
              <w:rPr>
                <w:rFonts w:ascii="Arial" w:hAnsi="Arial" w:cs="Arial"/>
                <w:sz w:val="24"/>
                <w:szCs w:val="24"/>
              </w:rPr>
              <w:t>Absolution from the instance is granted.</w:t>
            </w:r>
          </w:p>
          <w:p w14:paraId="357FA712" w14:textId="77777777" w:rsidR="007211CD" w:rsidRPr="007211CD" w:rsidRDefault="007211CD" w:rsidP="007211CD">
            <w:pPr>
              <w:pStyle w:val="ListParagraph"/>
              <w:spacing w:line="360" w:lineRule="auto"/>
              <w:ind w:left="1080"/>
              <w:jc w:val="both"/>
              <w:rPr>
                <w:rFonts w:ascii="Arial" w:hAnsi="Arial" w:cs="Arial"/>
                <w:sz w:val="24"/>
                <w:szCs w:val="24"/>
              </w:rPr>
            </w:pPr>
          </w:p>
          <w:p w14:paraId="2BBB7322" w14:textId="20F636B1" w:rsidR="002E20B1" w:rsidRPr="007211CD" w:rsidRDefault="002E20B1" w:rsidP="00704B13">
            <w:pPr>
              <w:pStyle w:val="ListParagraph"/>
              <w:numPr>
                <w:ilvl w:val="0"/>
                <w:numId w:val="31"/>
              </w:numPr>
              <w:spacing w:line="360" w:lineRule="auto"/>
              <w:ind w:left="743" w:hanging="743"/>
              <w:jc w:val="both"/>
              <w:rPr>
                <w:rFonts w:ascii="Arial" w:hAnsi="Arial" w:cs="Arial"/>
                <w:sz w:val="24"/>
                <w:szCs w:val="24"/>
              </w:rPr>
            </w:pPr>
            <w:r w:rsidRPr="007211CD">
              <w:rPr>
                <w:rFonts w:ascii="Arial" w:hAnsi="Arial" w:cs="Arial"/>
                <w:sz w:val="24"/>
                <w:szCs w:val="24"/>
              </w:rPr>
              <w:t>I make no order as to costs.</w:t>
            </w:r>
          </w:p>
          <w:p w14:paraId="2BF995D7" w14:textId="77777777" w:rsidR="007211CD" w:rsidRPr="007211CD" w:rsidRDefault="007211CD" w:rsidP="007211CD">
            <w:pPr>
              <w:pStyle w:val="ListParagraph"/>
              <w:spacing w:line="360" w:lineRule="auto"/>
              <w:ind w:left="743" w:hanging="743"/>
              <w:jc w:val="both"/>
              <w:rPr>
                <w:rFonts w:ascii="Arial" w:hAnsi="Arial" w:cs="Arial"/>
                <w:sz w:val="24"/>
                <w:szCs w:val="24"/>
              </w:rPr>
            </w:pPr>
          </w:p>
          <w:p w14:paraId="513CABED" w14:textId="77777777" w:rsidR="002E20B1" w:rsidRPr="00100AB5" w:rsidRDefault="002E20B1" w:rsidP="007211CD">
            <w:pPr>
              <w:spacing w:line="360" w:lineRule="auto"/>
              <w:ind w:left="743" w:hanging="743"/>
              <w:jc w:val="both"/>
              <w:rPr>
                <w:rFonts w:ascii="Arial" w:hAnsi="Arial" w:cs="Arial"/>
                <w:sz w:val="24"/>
                <w:szCs w:val="24"/>
              </w:rPr>
            </w:pPr>
            <w:r w:rsidRPr="00100AB5">
              <w:rPr>
                <w:rFonts w:ascii="Arial" w:hAnsi="Arial" w:cs="Arial"/>
                <w:sz w:val="24"/>
                <w:szCs w:val="24"/>
              </w:rPr>
              <w:t>3.</w:t>
            </w:r>
            <w:r w:rsidRPr="00100AB5">
              <w:rPr>
                <w:rFonts w:ascii="Arial" w:hAnsi="Arial" w:cs="Arial"/>
                <w:sz w:val="24"/>
                <w:szCs w:val="24"/>
              </w:rPr>
              <w:tab/>
              <w:t>The matter is finalised and removed from the roll.</w:t>
            </w:r>
          </w:p>
          <w:p w14:paraId="7A937886" w14:textId="77777777" w:rsidR="007008BE" w:rsidRDefault="008E74B0" w:rsidP="007E2F91">
            <w:pPr>
              <w:spacing w:line="360" w:lineRule="auto"/>
              <w:ind w:left="743" w:hanging="743"/>
              <w:jc w:val="both"/>
              <w:rPr>
                <w:rFonts w:ascii="Arial" w:hAnsi="Arial" w:cs="Arial"/>
                <w:sz w:val="24"/>
                <w:szCs w:val="24"/>
              </w:rPr>
            </w:pPr>
            <w:r w:rsidRPr="00220768">
              <w:rPr>
                <w:rFonts w:ascii="Arial" w:hAnsi="Arial" w:cs="Arial"/>
                <w:sz w:val="24"/>
                <w:szCs w:val="24"/>
              </w:rPr>
              <w:tab/>
            </w:r>
          </w:p>
          <w:p w14:paraId="71D39DDF" w14:textId="1D56A977" w:rsidR="00B52418" w:rsidRPr="007E2F91" w:rsidRDefault="00B52418" w:rsidP="007E2F91">
            <w:pPr>
              <w:spacing w:line="360" w:lineRule="auto"/>
              <w:ind w:left="743" w:hanging="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D626231" w14:textId="77777777" w:rsidR="007008BE" w:rsidRPr="004A5618" w:rsidRDefault="007008BE" w:rsidP="003F053B">
            <w:pPr>
              <w:spacing w:line="360" w:lineRule="auto"/>
              <w:jc w:val="both"/>
              <w:rPr>
                <w:rFonts w:ascii="Arial" w:hAnsi="Arial" w:cs="Arial"/>
                <w:sz w:val="24"/>
                <w:szCs w:val="24"/>
              </w:rPr>
            </w:pPr>
          </w:p>
        </w:tc>
        <w:tc>
          <w:tcPr>
            <w:tcW w:w="5436" w:type="dxa"/>
            <w:gridSpan w:val="2"/>
          </w:tcPr>
          <w:p w14:paraId="25447E5E" w14:textId="77777777" w:rsidR="00B40844"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p w14:paraId="4FB0AC19" w14:textId="77777777" w:rsidR="0035072B" w:rsidRDefault="0035072B" w:rsidP="00937C89">
            <w:pPr>
              <w:spacing w:line="360" w:lineRule="auto"/>
              <w:jc w:val="both"/>
              <w:rPr>
                <w:rFonts w:ascii="Arial" w:hAnsi="Arial" w:cs="Arial"/>
                <w:sz w:val="24"/>
                <w:szCs w:val="24"/>
              </w:rPr>
            </w:pPr>
          </w:p>
          <w:p w14:paraId="47C70DA7" w14:textId="77777777" w:rsidR="0035072B" w:rsidRDefault="0035072B" w:rsidP="00937C89">
            <w:pPr>
              <w:spacing w:line="360" w:lineRule="auto"/>
              <w:jc w:val="both"/>
              <w:rPr>
                <w:rFonts w:ascii="Arial" w:hAnsi="Arial" w:cs="Arial"/>
                <w:sz w:val="24"/>
                <w:szCs w:val="24"/>
              </w:rPr>
            </w:pPr>
          </w:p>
          <w:p w14:paraId="525DC040" w14:textId="77777777" w:rsidR="0035072B" w:rsidRPr="004A5618" w:rsidRDefault="0035072B" w:rsidP="00937C89">
            <w:pPr>
              <w:spacing w:line="360" w:lineRule="auto"/>
              <w:jc w:val="both"/>
              <w:rPr>
                <w:rFonts w:ascii="Arial" w:hAnsi="Arial" w:cs="Arial"/>
                <w:sz w:val="24"/>
                <w:szCs w:val="24"/>
              </w:rPr>
            </w:pP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3E3CDFAA" w:rsidR="00B40844" w:rsidRPr="004A5618" w:rsidRDefault="00EF37C1" w:rsidP="00937C89">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14:paraId="7EC49BF1" w14:textId="709E6908" w:rsidR="00B40844" w:rsidRPr="004A5618" w:rsidRDefault="002253A1" w:rsidP="00C834FA">
            <w:pPr>
              <w:spacing w:line="360" w:lineRule="auto"/>
              <w:jc w:val="center"/>
              <w:rPr>
                <w:rFonts w:ascii="Arial" w:hAnsi="Arial" w:cs="Arial"/>
                <w:b/>
                <w:sz w:val="24"/>
                <w:szCs w:val="24"/>
              </w:rPr>
            </w:pPr>
            <w:r>
              <w:rPr>
                <w:rFonts w:ascii="Arial" w:hAnsi="Arial" w:cs="Arial"/>
                <w:b/>
                <w:sz w:val="24"/>
                <w:szCs w:val="24"/>
              </w:rPr>
              <w:t>Defendants</w:t>
            </w:r>
          </w:p>
        </w:tc>
      </w:tr>
      <w:tr w:rsidR="00CA7995" w:rsidRPr="004A5618" w14:paraId="7F6632AA" w14:textId="77777777" w:rsidTr="00136505">
        <w:tc>
          <w:tcPr>
            <w:tcW w:w="4770" w:type="dxa"/>
          </w:tcPr>
          <w:p w14:paraId="50D6FB93" w14:textId="74942E59" w:rsidR="00EF37C1" w:rsidRPr="00EF37C1" w:rsidRDefault="00EF37C1" w:rsidP="00937C89">
            <w:pPr>
              <w:spacing w:line="360" w:lineRule="auto"/>
              <w:jc w:val="center"/>
              <w:rPr>
                <w:rFonts w:ascii="Arial" w:hAnsi="Arial" w:cs="Arial"/>
                <w:sz w:val="24"/>
                <w:szCs w:val="24"/>
              </w:rPr>
            </w:pPr>
            <w:r w:rsidRPr="00EF37C1">
              <w:rPr>
                <w:rFonts w:ascii="Arial" w:hAnsi="Arial" w:cs="Arial"/>
                <w:sz w:val="24"/>
                <w:szCs w:val="24"/>
              </w:rPr>
              <w:t xml:space="preserve">M </w:t>
            </w:r>
            <w:proofErr w:type="spellStart"/>
            <w:r>
              <w:rPr>
                <w:rFonts w:ascii="Arial" w:hAnsi="Arial" w:cs="Arial"/>
                <w:sz w:val="24"/>
                <w:szCs w:val="24"/>
              </w:rPr>
              <w:t>T</w:t>
            </w:r>
            <w:r w:rsidRPr="00EF37C1">
              <w:rPr>
                <w:rFonts w:ascii="Arial" w:hAnsi="Arial" w:cs="Arial"/>
                <w:sz w:val="24"/>
                <w:szCs w:val="24"/>
              </w:rPr>
              <w:t>jituri</w:t>
            </w:r>
            <w:proofErr w:type="spellEnd"/>
          </w:p>
          <w:p w14:paraId="5821C7F1" w14:textId="627E0899" w:rsidR="00B40844" w:rsidRPr="00134E9F" w:rsidRDefault="00C834FA" w:rsidP="00937C89">
            <w:pPr>
              <w:spacing w:line="360" w:lineRule="auto"/>
              <w:jc w:val="center"/>
              <w:rPr>
                <w:rFonts w:ascii="Arial" w:hAnsi="Arial" w:cs="Arial"/>
                <w:sz w:val="24"/>
                <w:szCs w:val="24"/>
              </w:rPr>
            </w:pPr>
            <w:r>
              <w:rPr>
                <w:rFonts w:ascii="Arial" w:hAnsi="Arial" w:cs="Arial"/>
                <w:sz w:val="24"/>
                <w:szCs w:val="24"/>
              </w:rPr>
              <w:t>Of</w:t>
            </w:r>
          </w:p>
          <w:p w14:paraId="5DF3F17F" w14:textId="53706FEF" w:rsidR="00B40844" w:rsidRPr="004A5618" w:rsidRDefault="00EF37C1" w:rsidP="00333796">
            <w:pPr>
              <w:spacing w:line="360" w:lineRule="auto"/>
              <w:jc w:val="center"/>
              <w:rPr>
                <w:rFonts w:ascii="Arial" w:hAnsi="Arial" w:cs="Arial"/>
                <w:sz w:val="24"/>
                <w:szCs w:val="24"/>
              </w:rPr>
            </w:pPr>
            <w:proofErr w:type="spellStart"/>
            <w:r w:rsidRPr="00EF37C1">
              <w:rPr>
                <w:rFonts w:ascii="Arial" w:hAnsi="Arial" w:cs="Arial"/>
                <w:sz w:val="24"/>
                <w:szCs w:val="24"/>
              </w:rPr>
              <w:t>Tjituri</w:t>
            </w:r>
            <w:proofErr w:type="spellEnd"/>
            <w:r w:rsidRPr="00EF37C1">
              <w:rPr>
                <w:rFonts w:ascii="Arial" w:hAnsi="Arial" w:cs="Arial"/>
                <w:sz w:val="24"/>
                <w:szCs w:val="24"/>
              </w:rPr>
              <w:t xml:space="preserve"> Law Chambers</w:t>
            </w:r>
            <w:r w:rsidR="00136505" w:rsidRPr="004A5618">
              <w:rPr>
                <w:rFonts w:ascii="Arial" w:hAnsi="Arial" w:cs="Arial"/>
                <w:sz w:val="24"/>
                <w:szCs w:val="24"/>
              </w:rPr>
              <w:t>, Windhoek</w:t>
            </w:r>
          </w:p>
        </w:tc>
        <w:tc>
          <w:tcPr>
            <w:tcW w:w="5436" w:type="dxa"/>
            <w:gridSpan w:val="2"/>
          </w:tcPr>
          <w:p w14:paraId="3EDF41CF" w14:textId="7A400DE5" w:rsidR="00317497" w:rsidRPr="00317497" w:rsidRDefault="00317497" w:rsidP="003F053B">
            <w:pPr>
              <w:spacing w:line="360" w:lineRule="auto"/>
              <w:jc w:val="center"/>
              <w:rPr>
                <w:rFonts w:ascii="Arial" w:hAnsi="Arial" w:cs="Arial"/>
                <w:sz w:val="24"/>
                <w:szCs w:val="24"/>
              </w:rPr>
            </w:pPr>
            <w:r w:rsidRPr="00317497">
              <w:rPr>
                <w:rFonts w:ascii="Arial" w:hAnsi="Arial" w:cs="Arial"/>
                <w:sz w:val="24"/>
                <w:szCs w:val="24"/>
              </w:rPr>
              <w:t xml:space="preserve">M </w:t>
            </w:r>
            <w:r>
              <w:rPr>
                <w:rFonts w:ascii="Arial" w:hAnsi="Arial" w:cs="Arial"/>
                <w:sz w:val="24"/>
                <w:szCs w:val="24"/>
              </w:rPr>
              <w:t>M</w:t>
            </w:r>
            <w:r w:rsidRPr="00317497">
              <w:rPr>
                <w:rFonts w:ascii="Arial" w:hAnsi="Arial" w:cs="Arial"/>
                <w:sz w:val="24"/>
                <w:szCs w:val="24"/>
              </w:rPr>
              <w:t>eyer</w:t>
            </w:r>
          </w:p>
          <w:p w14:paraId="19F1D486" w14:textId="15EC7D77" w:rsidR="003F053B" w:rsidRPr="00134E9F" w:rsidRDefault="003F053B" w:rsidP="003F053B">
            <w:pPr>
              <w:spacing w:line="360" w:lineRule="auto"/>
              <w:jc w:val="center"/>
              <w:rPr>
                <w:rFonts w:ascii="Arial" w:hAnsi="Arial" w:cs="Arial"/>
                <w:sz w:val="24"/>
                <w:szCs w:val="24"/>
              </w:rPr>
            </w:pPr>
            <w:r>
              <w:rPr>
                <w:rFonts w:ascii="Arial" w:hAnsi="Arial" w:cs="Arial"/>
                <w:sz w:val="24"/>
                <w:szCs w:val="24"/>
              </w:rPr>
              <w:t>Of</w:t>
            </w:r>
          </w:p>
          <w:p w14:paraId="2EDA150C" w14:textId="0765EFD2" w:rsidR="00B62F2B" w:rsidRPr="004A5618" w:rsidRDefault="002253A1" w:rsidP="003F053B">
            <w:pPr>
              <w:spacing w:line="360" w:lineRule="auto"/>
              <w:jc w:val="center"/>
              <w:rPr>
                <w:rFonts w:ascii="Arial" w:hAnsi="Arial" w:cs="Arial"/>
                <w:sz w:val="24"/>
                <w:szCs w:val="24"/>
              </w:rPr>
            </w:pPr>
            <w:r w:rsidRPr="002253A1">
              <w:rPr>
                <w:rFonts w:ascii="Arial" w:hAnsi="Arial" w:cs="Arial"/>
                <w:sz w:val="24"/>
                <w:szCs w:val="24"/>
              </w:rPr>
              <w:t>Office of the Government Attorney</w:t>
            </w:r>
            <w:r w:rsidR="003F053B" w:rsidRPr="004A5618">
              <w:rPr>
                <w:rFonts w:ascii="Arial" w:hAnsi="Arial" w:cs="Arial"/>
                <w:sz w:val="24"/>
                <w:szCs w:val="24"/>
              </w:rPr>
              <w:t>, Windhoek</w:t>
            </w:r>
          </w:p>
        </w:tc>
      </w:tr>
    </w:tbl>
    <w:p w14:paraId="0EB2A4A3" w14:textId="390096CC" w:rsidR="00B845CF" w:rsidRDefault="00B845CF" w:rsidP="005145D9"/>
    <w:p w14:paraId="50B5640E" w14:textId="77777777" w:rsidR="0094041F" w:rsidRDefault="0094041F" w:rsidP="005145D9"/>
    <w:sectPr w:rsidR="0094041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44C2" w14:textId="77777777" w:rsidR="00E66CBC" w:rsidRPr="004A5618" w:rsidRDefault="00E66CBC" w:rsidP="00B40844">
      <w:pPr>
        <w:spacing w:after="0" w:line="240" w:lineRule="auto"/>
      </w:pPr>
      <w:r w:rsidRPr="004A5618">
        <w:separator/>
      </w:r>
    </w:p>
  </w:endnote>
  <w:endnote w:type="continuationSeparator" w:id="0">
    <w:p w14:paraId="014A171D" w14:textId="77777777" w:rsidR="00E66CBC" w:rsidRPr="004A5618" w:rsidRDefault="00E66CBC"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359E" w14:textId="77777777" w:rsidR="00E66CBC" w:rsidRPr="004A5618" w:rsidRDefault="00E66CBC" w:rsidP="00B40844">
      <w:pPr>
        <w:spacing w:after="0" w:line="240" w:lineRule="auto"/>
      </w:pPr>
      <w:r w:rsidRPr="004A5618">
        <w:separator/>
      </w:r>
    </w:p>
  </w:footnote>
  <w:footnote w:type="continuationSeparator" w:id="0">
    <w:p w14:paraId="7D21A300" w14:textId="77777777" w:rsidR="00E66CBC" w:rsidRPr="004A5618" w:rsidRDefault="00E66CBC" w:rsidP="00B40844">
      <w:pPr>
        <w:spacing w:after="0" w:line="240" w:lineRule="auto"/>
      </w:pPr>
      <w:r w:rsidRPr="004A5618">
        <w:continuationSeparator/>
      </w:r>
    </w:p>
  </w:footnote>
  <w:footnote w:id="1">
    <w:p w14:paraId="08888A1B" w14:textId="77777777" w:rsidR="007F0F47" w:rsidRPr="001C06A5" w:rsidRDefault="007F0F47" w:rsidP="007F0F47">
      <w:pPr>
        <w:pStyle w:val="FootnoteText"/>
        <w:jc w:val="both"/>
        <w:rPr>
          <w:lang w:val="en-US"/>
        </w:rPr>
      </w:pPr>
      <w:r>
        <w:rPr>
          <w:rStyle w:val="FootnoteReference"/>
        </w:rPr>
        <w:footnoteRef/>
      </w:r>
      <w:r>
        <w:t xml:space="preserve"> </w:t>
      </w:r>
      <w:proofErr w:type="spellStart"/>
      <w:r>
        <w:rPr>
          <w:rFonts w:ascii="Arial" w:hAnsi="Arial" w:cs="Arial"/>
          <w:i/>
        </w:rPr>
        <w:t>Stier</w:t>
      </w:r>
      <w:proofErr w:type="spellEnd"/>
      <w:r>
        <w:rPr>
          <w:rFonts w:ascii="Arial" w:hAnsi="Arial" w:cs="Arial"/>
          <w:i/>
        </w:rPr>
        <w:t xml:space="preserve"> and Another v Henke</w:t>
      </w:r>
      <w:r>
        <w:rPr>
          <w:rFonts w:ascii="Arial" w:hAnsi="Arial" w:cs="Arial"/>
        </w:rPr>
        <w:t xml:space="preserve"> 2012 (1) NR 370 (SC).</w:t>
      </w:r>
    </w:p>
  </w:footnote>
  <w:footnote w:id="2">
    <w:p w14:paraId="1EB68C7F" w14:textId="77777777" w:rsidR="001E6B86" w:rsidRPr="00157A7D" w:rsidRDefault="001E6B86" w:rsidP="00157A7D">
      <w:pPr>
        <w:pStyle w:val="FootnoteText"/>
        <w:jc w:val="both"/>
        <w:rPr>
          <w:rFonts w:ascii="Arial" w:hAnsi="Arial" w:cs="Arial"/>
          <w:iCs/>
          <w:lang w:val="en-US"/>
        </w:rPr>
      </w:pPr>
      <w:r w:rsidRPr="00157A7D">
        <w:rPr>
          <w:rStyle w:val="FootnoteReference"/>
          <w:rFonts w:ascii="Arial" w:hAnsi="Arial" w:cs="Arial"/>
        </w:rPr>
        <w:footnoteRef/>
      </w:r>
      <w:r w:rsidRPr="00157A7D">
        <w:rPr>
          <w:rFonts w:ascii="Arial" w:hAnsi="Arial" w:cs="Arial"/>
        </w:rPr>
        <w:t xml:space="preserve"> </w:t>
      </w:r>
      <w:r w:rsidRPr="00157A7D">
        <w:rPr>
          <w:rFonts w:ascii="Arial" w:hAnsi="Arial" w:cs="Arial"/>
          <w:i/>
        </w:rPr>
        <w:t>Neon Lights (SA) Ltd</w:t>
      </w:r>
      <w:r w:rsidRPr="00157A7D">
        <w:rPr>
          <w:rFonts w:ascii="Arial" w:hAnsi="Arial" w:cs="Arial"/>
          <w:iCs/>
        </w:rPr>
        <w:t>, see para 2 above.</w:t>
      </w:r>
    </w:p>
  </w:footnote>
  <w:footnote w:id="3">
    <w:p w14:paraId="5C38B7AE" w14:textId="707C4203" w:rsidR="001E6B86" w:rsidRPr="00157A7D" w:rsidRDefault="001E6B86" w:rsidP="00157A7D">
      <w:pPr>
        <w:pStyle w:val="FootnoteText"/>
        <w:jc w:val="both"/>
        <w:rPr>
          <w:rFonts w:ascii="Arial" w:hAnsi="Arial" w:cs="Arial"/>
          <w:lang w:val="en-US"/>
        </w:rPr>
      </w:pPr>
      <w:r w:rsidRPr="00157A7D">
        <w:rPr>
          <w:rStyle w:val="FootnoteReference"/>
          <w:rFonts w:ascii="Arial" w:hAnsi="Arial" w:cs="Arial"/>
        </w:rPr>
        <w:footnoteRef/>
      </w:r>
      <w:r w:rsidR="0058319C">
        <w:rPr>
          <w:rFonts w:ascii="Arial" w:hAnsi="Arial" w:cs="Arial"/>
          <w:i/>
        </w:rPr>
        <w:t xml:space="preserve"> </w:t>
      </w:r>
      <w:proofErr w:type="spellStart"/>
      <w:r w:rsidRPr="00157A7D">
        <w:rPr>
          <w:rFonts w:ascii="Arial" w:hAnsi="Arial" w:cs="Arial"/>
          <w:i/>
        </w:rPr>
        <w:t>Bidoli</w:t>
      </w:r>
      <w:proofErr w:type="spellEnd"/>
      <w:r w:rsidRPr="00157A7D">
        <w:rPr>
          <w:rFonts w:ascii="Arial" w:hAnsi="Arial" w:cs="Arial"/>
          <w:i/>
        </w:rPr>
        <w:t xml:space="preserve"> v </w:t>
      </w:r>
      <w:proofErr w:type="spellStart"/>
      <w:r w:rsidRPr="00157A7D">
        <w:rPr>
          <w:rFonts w:ascii="Arial" w:hAnsi="Arial" w:cs="Arial"/>
          <w:i/>
        </w:rPr>
        <w:t>Ellistron</w:t>
      </w:r>
      <w:proofErr w:type="spellEnd"/>
      <w:r w:rsidRPr="00157A7D">
        <w:rPr>
          <w:rFonts w:ascii="Arial" w:hAnsi="Arial" w:cs="Arial"/>
          <w:i/>
        </w:rPr>
        <w:t xml:space="preserve"> t/</w:t>
      </w:r>
      <w:proofErr w:type="gramStart"/>
      <w:r w:rsidRPr="00157A7D">
        <w:rPr>
          <w:rFonts w:ascii="Arial" w:hAnsi="Arial" w:cs="Arial"/>
          <w:i/>
        </w:rPr>
        <w:t>a</w:t>
      </w:r>
      <w:proofErr w:type="gramEnd"/>
      <w:r w:rsidRPr="00157A7D">
        <w:rPr>
          <w:rFonts w:ascii="Arial" w:hAnsi="Arial" w:cs="Arial"/>
          <w:i/>
        </w:rPr>
        <w:t xml:space="preserve"> </w:t>
      </w:r>
      <w:proofErr w:type="spellStart"/>
      <w:r w:rsidRPr="00157A7D">
        <w:rPr>
          <w:rFonts w:ascii="Arial" w:hAnsi="Arial" w:cs="Arial"/>
          <w:i/>
        </w:rPr>
        <w:t>Ellistron</w:t>
      </w:r>
      <w:proofErr w:type="spellEnd"/>
      <w:r w:rsidRPr="00157A7D">
        <w:rPr>
          <w:rFonts w:ascii="Arial" w:hAnsi="Arial" w:cs="Arial"/>
          <w:i/>
        </w:rPr>
        <w:t xml:space="preserve"> Truck &amp; Plant</w:t>
      </w:r>
      <w:r w:rsidRPr="00157A7D">
        <w:rPr>
          <w:rFonts w:ascii="Arial" w:hAnsi="Arial" w:cs="Arial"/>
        </w:rPr>
        <w:t xml:space="preserve"> 2002 NR 451 at 453G.</w:t>
      </w:r>
    </w:p>
  </w:footnote>
  <w:footnote w:id="4">
    <w:p w14:paraId="4A0FD725" w14:textId="77777777" w:rsidR="001E6B86" w:rsidRPr="00157A7D" w:rsidRDefault="001E6B86" w:rsidP="00157A7D">
      <w:pPr>
        <w:pStyle w:val="FootnoteText"/>
        <w:jc w:val="both"/>
        <w:rPr>
          <w:rFonts w:ascii="Arial" w:hAnsi="Arial" w:cs="Arial"/>
        </w:rPr>
      </w:pPr>
      <w:r w:rsidRPr="00157A7D">
        <w:rPr>
          <w:rStyle w:val="FootnoteReference"/>
          <w:rFonts w:ascii="Arial" w:hAnsi="Arial" w:cs="Arial"/>
        </w:rPr>
        <w:footnoteRef/>
      </w:r>
      <w:r w:rsidRPr="00157A7D">
        <w:rPr>
          <w:rFonts w:ascii="Arial" w:hAnsi="Arial" w:cs="Arial"/>
        </w:rPr>
        <w:t xml:space="preserve"> </w:t>
      </w:r>
      <w:r w:rsidRPr="00157A7D">
        <w:rPr>
          <w:rFonts w:ascii="Arial" w:hAnsi="Arial" w:cs="Arial"/>
          <w:i/>
        </w:rPr>
        <w:t xml:space="preserve">Pillay v Krishna and </w:t>
      </w:r>
      <w:proofErr w:type="gramStart"/>
      <w:r w:rsidRPr="00157A7D">
        <w:rPr>
          <w:rFonts w:ascii="Arial" w:hAnsi="Arial" w:cs="Arial"/>
          <w:i/>
        </w:rPr>
        <w:t>Another</w:t>
      </w:r>
      <w:proofErr w:type="gramEnd"/>
      <w:r w:rsidRPr="00157A7D">
        <w:rPr>
          <w:rFonts w:ascii="Arial" w:hAnsi="Arial" w:cs="Arial"/>
        </w:rPr>
        <w:t xml:space="preserve"> 1946 AD 946.</w:t>
      </w:r>
    </w:p>
  </w:footnote>
  <w:footnote w:id="5">
    <w:p w14:paraId="5CBD884C" w14:textId="77777777" w:rsidR="001E6B86" w:rsidRPr="00157A7D" w:rsidRDefault="001E6B86" w:rsidP="00157A7D">
      <w:pPr>
        <w:pStyle w:val="FootnoteText"/>
        <w:jc w:val="both"/>
        <w:rPr>
          <w:rFonts w:ascii="Arial" w:hAnsi="Arial" w:cs="Arial"/>
        </w:rPr>
      </w:pPr>
      <w:r w:rsidRPr="00157A7D">
        <w:rPr>
          <w:rStyle w:val="FootnoteReference"/>
          <w:rFonts w:ascii="Arial" w:hAnsi="Arial" w:cs="Arial"/>
        </w:rPr>
        <w:footnoteRef/>
      </w:r>
      <w:r w:rsidRPr="00157A7D">
        <w:rPr>
          <w:rFonts w:ascii="Arial" w:hAnsi="Arial" w:cs="Arial"/>
        </w:rPr>
        <w:t xml:space="preserve"> </w:t>
      </w:r>
      <w:proofErr w:type="spellStart"/>
      <w:r w:rsidRPr="00157A7D">
        <w:rPr>
          <w:rFonts w:ascii="Arial" w:hAnsi="Arial" w:cs="Arial"/>
          <w:i/>
        </w:rPr>
        <w:t>Stier</w:t>
      </w:r>
      <w:proofErr w:type="spellEnd"/>
      <w:r w:rsidRPr="00157A7D">
        <w:rPr>
          <w:rFonts w:ascii="Arial" w:hAnsi="Arial" w:cs="Arial"/>
          <w:i/>
        </w:rPr>
        <w:t xml:space="preserve"> and Another v Henke</w:t>
      </w:r>
      <w:r w:rsidRPr="00157A7D">
        <w:rPr>
          <w:rFonts w:ascii="Arial" w:hAnsi="Arial" w:cs="Arial"/>
        </w:rPr>
        <w:t xml:space="preserve"> (SC) footnote 1.</w:t>
      </w:r>
    </w:p>
  </w:footnote>
  <w:footnote w:id="6">
    <w:p w14:paraId="25110A85" w14:textId="77777777" w:rsidR="001E6B86" w:rsidRPr="0058319C" w:rsidRDefault="001E6B86" w:rsidP="001E6B86">
      <w:pPr>
        <w:pStyle w:val="FootnoteText"/>
        <w:rPr>
          <w:rFonts w:ascii="Arial" w:hAnsi="Arial" w:cs="Arial"/>
        </w:rPr>
      </w:pPr>
      <w:r w:rsidRPr="0058319C">
        <w:rPr>
          <w:rStyle w:val="FootnoteReference"/>
          <w:rFonts w:ascii="Arial" w:hAnsi="Arial" w:cs="Arial"/>
        </w:rPr>
        <w:footnoteRef/>
      </w:r>
      <w:r w:rsidRPr="0058319C">
        <w:rPr>
          <w:rFonts w:ascii="Arial" w:hAnsi="Arial" w:cs="Arial"/>
        </w:rPr>
        <w:t xml:space="preserve">  </w:t>
      </w:r>
      <w:proofErr w:type="spellStart"/>
      <w:r w:rsidRPr="0058319C">
        <w:rPr>
          <w:rFonts w:ascii="Arial" w:hAnsi="Arial" w:cs="Arial"/>
          <w:i/>
        </w:rPr>
        <w:t>Bidoli</w:t>
      </w:r>
      <w:proofErr w:type="spellEnd"/>
      <w:r w:rsidRPr="0058319C">
        <w:rPr>
          <w:rFonts w:ascii="Arial" w:hAnsi="Arial" w:cs="Arial"/>
          <w:i/>
        </w:rPr>
        <w:t xml:space="preserve"> v </w:t>
      </w:r>
      <w:proofErr w:type="spellStart"/>
      <w:r w:rsidRPr="0058319C">
        <w:rPr>
          <w:rFonts w:ascii="Arial" w:hAnsi="Arial" w:cs="Arial"/>
          <w:i/>
        </w:rPr>
        <w:t>Ellistron</w:t>
      </w:r>
      <w:proofErr w:type="spellEnd"/>
      <w:r w:rsidRPr="0058319C">
        <w:rPr>
          <w:rFonts w:ascii="Arial" w:hAnsi="Arial" w:cs="Arial"/>
          <w:i/>
        </w:rPr>
        <w:t xml:space="preserve"> t/</w:t>
      </w:r>
      <w:proofErr w:type="gramStart"/>
      <w:r w:rsidRPr="0058319C">
        <w:rPr>
          <w:rFonts w:ascii="Arial" w:hAnsi="Arial" w:cs="Arial"/>
          <w:i/>
        </w:rPr>
        <w:t>a</w:t>
      </w:r>
      <w:proofErr w:type="gramEnd"/>
      <w:r w:rsidRPr="0058319C">
        <w:rPr>
          <w:rFonts w:ascii="Arial" w:hAnsi="Arial" w:cs="Arial"/>
          <w:i/>
        </w:rPr>
        <w:t xml:space="preserve"> </w:t>
      </w:r>
      <w:proofErr w:type="spellStart"/>
      <w:r w:rsidRPr="0058319C">
        <w:rPr>
          <w:rFonts w:ascii="Arial" w:hAnsi="Arial" w:cs="Arial"/>
          <w:i/>
        </w:rPr>
        <w:t>Ellistron</w:t>
      </w:r>
      <w:proofErr w:type="spellEnd"/>
      <w:r w:rsidRPr="0058319C">
        <w:rPr>
          <w:rFonts w:ascii="Arial" w:hAnsi="Arial" w:cs="Arial"/>
          <w:i/>
        </w:rPr>
        <w:t xml:space="preserve"> Truck &amp; Plant</w:t>
      </w:r>
      <w:r w:rsidRPr="0058319C">
        <w:rPr>
          <w:rFonts w:ascii="Arial" w:hAnsi="Arial" w:cs="Arial"/>
        </w:rPr>
        <w:t xml:space="preserve"> 2002 NR 451 footnote 4 </w:t>
      </w:r>
      <w:proofErr w:type="spellStart"/>
      <w:r w:rsidRPr="0058319C">
        <w:rPr>
          <w:rFonts w:ascii="Arial" w:hAnsi="Arial" w:cs="Arial"/>
          <w:i/>
        </w:rPr>
        <w:t>loc</w:t>
      </w:r>
      <w:proofErr w:type="spellEnd"/>
      <w:r w:rsidRPr="0058319C">
        <w:rPr>
          <w:rFonts w:ascii="Arial" w:hAnsi="Arial" w:cs="Arial"/>
          <w:i/>
        </w:rPr>
        <w:t xml:space="preserve"> cit</w:t>
      </w:r>
      <w:r w:rsidRPr="0058319C">
        <w:rPr>
          <w:rFonts w:ascii="Arial" w:hAnsi="Arial" w:cs="Arial"/>
        </w:rPr>
        <w:t>.</w:t>
      </w:r>
    </w:p>
  </w:footnote>
  <w:footnote w:id="7">
    <w:p w14:paraId="1874CCCD" w14:textId="77777777" w:rsidR="002E20B1" w:rsidRPr="0058319C" w:rsidRDefault="002E20B1" w:rsidP="002E20B1">
      <w:pPr>
        <w:pStyle w:val="FootnoteText"/>
        <w:rPr>
          <w:rFonts w:ascii="Arial" w:hAnsi="Arial" w:cs="Arial"/>
        </w:rPr>
      </w:pPr>
      <w:r w:rsidRPr="0058319C">
        <w:rPr>
          <w:rStyle w:val="FootnoteReference"/>
          <w:rFonts w:ascii="Arial" w:hAnsi="Arial" w:cs="Arial"/>
        </w:rPr>
        <w:footnoteRef/>
      </w:r>
      <w:r w:rsidRPr="0058319C">
        <w:rPr>
          <w:rFonts w:ascii="Arial" w:hAnsi="Arial" w:cs="Arial"/>
        </w:rPr>
        <w:t xml:space="preserve">  </w:t>
      </w:r>
      <w:r w:rsidRPr="0058319C">
        <w:rPr>
          <w:rFonts w:ascii="Arial" w:hAnsi="Arial" w:cs="Arial"/>
          <w:i/>
        </w:rPr>
        <w:t xml:space="preserve">Klein v </w:t>
      </w:r>
      <w:proofErr w:type="spellStart"/>
      <w:r w:rsidRPr="0058319C">
        <w:rPr>
          <w:rFonts w:ascii="Arial" w:hAnsi="Arial" w:cs="Arial"/>
          <w:i/>
        </w:rPr>
        <w:t>Caremed</w:t>
      </w:r>
      <w:proofErr w:type="spellEnd"/>
      <w:r w:rsidRPr="0058319C">
        <w:rPr>
          <w:rFonts w:ascii="Arial" w:hAnsi="Arial" w:cs="Arial"/>
          <w:i/>
        </w:rPr>
        <w:t xml:space="preserve"> Pharmaceuticals (Pty) Ltd</w:t>
      </w:r>
      <w:r w:rsidRPr="0058319C">
        <w:rPr>
          <w:rFonts w:ascii="Arial" w:hAnsi="Arial" w:cs="Arial"/>
        </w:rPr>
        <w:t xml:space="preserve"> 2015 (4) NR 1016 (HC).</w:t>
      </w:r>
    </w:p>
  </w:footnote>
  <w:footnote w:id="8">
    <w:p w14:paraId="53E19669" w14:textId="77777777" w:rsidR="002E20B1" w:rsidRPr="0058319C" w:rsidRDefault="002E20B1" w:rsidP="002E20B1">
      <w:pPr>
        <w:pStyle w:val="FootnoteText"/>
        <w:rPr>
          <w:rFonts w:ascii="Arial" w:hAnsi="Arial" w:cs="Arial"/>
        </w:rPr>
      </w:pPr>
      <w:r w:rsidRPr="0058319C">
        <w:rPr>
          <w:rStyle w:val="FootnoteReference"/>
          <w:rFonts w:ascii="Arial" w:hAnsi="Arial" w:cs="Arial"/>
        </w:rPr>
        <w:footnoteRef/>
      </w:r>
      <w:r w:rsidRPr="0058319C">
        <w:rPr>
          <w:rFonts w:ascii="Arial" w:hAnsi="Arial" w:cs="Arial"/>
        </w:rPr>
        <w:t xml:space="preserve">  </w:t>
      </w:r>
      <w:proofErr w:type="spellStart"/>
      <w:r w:rsidRPr="0058319C">
        <w:rPr>
          <w:rFonts w:ascii="Arial" w:hAnsi="Arial" w:cs="Arial"/>
          <w:i/>
        </w:rPr>
        <w:t>Katire</w:t>
      </w:r>
      <w:proofErr w:type="spellEnd"/>
      <w:r w:rsidRPr="0058319C">
        <w:rPr>
          <w:rFonts w:ascii="Arial" w:hAnsi="Arial" w:cs="Arial"/>
          <w:i/>
        </w:rPr>
        <w:t xml:space="preserve"> v Minister of Safety and Security</w:t>
      </w:r>
      <w:r w:rsidRPr="0058319C">
        <w:rPr>
          <w:rFonts w:ascii="Arial" w:hAnsi="Arial" w:cs="Arial"/>
        </w:rPr>
        <w:t xml:space="preserve"> [2021] NAHCMD 543 (23 November 2021).</w:t>
      </w:r>
    </w:p>
  </w:footnote>
  <w:footnote w:id="9">
    <w:p w14:paraId="3E14E9F2" w14:textId="77777777" w:rsidR="002E20B1" w:rsidRPr="0058319C" w:rsidRDefault="002E20B1" w:rsidP="002E20B1">
      <w:pPr>
        <w:pStyle w:val="FootnoteText"/>
        <w:rPr>
          <w:rFonts w:ascii="Arial" w:hAnsi="Arial" w:cs="Arial"/>
        </w:rPr>
      </w:pPr>
      <w:r w:rsidRPr="0058319C">
        <w:rPr>
          <w:rStyle w:val="FootnoteReference"/>
          <w:rFonts w:ascii="Arial" w:hAnsi="Arial" w:cs="Arial"/>
        </w:rPr>
        <w:footnoteRef/>
      </w:r>
      <w:r w:rsidRPr="0058319C">
        <w:rPr>
          <w:rFonts w:ascii="Arial" w:hAnsi="Arial" w:cs="Arial"/>
        </w:rPr>
        <w:t xml:space="preserve">  </w:t>
      </w:r>
      <w:r w:rsidRPr="0058319C">
        <w:rPr>
          <w:rFonts w:ascii="Arial" w:hAnsi="Arial" w:cs="Arial"/>
          <w:i/>
        </w:rPr>
        <w:t>ML v S</w:t>
      </w:r>
      <w:r w:rsidRPr="0058319C">
        <w:rPr>
          <w:rFonts w:ascii="Arial" w:hAnsi="Arial" w:cs="Arial"/>
        </w:rPr>
        <w:t xml:space="preserve"> 2016 (2) SACR 160 (SCA) paras 49-51.</w:t>
      </w:r>
    </w:p>
  </w:footnote>
  <w:footnote w:id="10">
    <w:p w14:paraId="07776602" w14:textId="77777777" w:rsidR="002E20B1" w:rsidRPr="0058319C" w:rsidRDefault="002E20B1" w:rsidP="002E20B1">
      <w:pPr>
        <w:pStyle w:val="FootnoteText"/>
        <w:rPr>
          <w:rFonts w:ascii="Arial" w:hAnsi="Arial" w:cs="Arial"/>
        </w:rPr>
      </w:pPr>
      <w:r w:rsidRPr="0058319C">
        <w:rPr>
          <w:rStyle w:val="FootnoteReference"/>
          <w:rFonts w:ascii="Arial" w:hAnsi="Arial" w:cs="Arial"/>
        </w:rPr>
        <w:footnoteRef/>
      </w:r>
      <w:r w:rsidRPr="0058319C">
        <w:rPr>
          <w:rFonts w:ascii="Arial" w:hAnsi="Arial" w:cs="Arial"/>
        </w:rPr>
        <w:t xml:space="preserve">  </w:t>
      </w:r>
      <w:proofErr w:type="spellStart"/>
      <w:r w:rsidRPr="0058319C">
        <w:rPr>
          <w:rFonts w:ascii="Arial" w:hAnsi="Arial" w:cs="Arial"/>
          <w:i/>
        </w:rPr>
        <w:t>Stier</w:t>
      </w:r>
      <w:proofErr w:type="spellEnd"/>
      <w:r w:rsidRPr="0058319C">
        <w:rPr>
          <w:rFonts w:ascii="Arial" w:hAnsi="Arial" w:cs="Arial"/>
          <w:i/>
        </w:rPr>
        <w:t xml:space="preserve"> and Another v Henke</w:t>
      </w:r>
      <w:r w:rsidRPr="0058319C">
        <w:rPr>
          <w:rFonts w:ascii="Arial" w:hAnsi="Arial" w:cs="Arial"/>
        </w:rPr>
        <w:t xml:space="preserve"> footnote 1.</w:t>
      </w:r>
    </w:p>
  </w:footnote>
  <w:footnote w:id="11">
    <w:p w14:paraId="0A9103A4" w14:textId="77777777" w:rsidR="002E20B1" w:rsidRPr="007211CD" w:rsidRDefault="002E20B1" w:rsidP="007211CD">
      <w:pPr>
        <w:pStyle w:val="FootnoteText"/>
        <w:jc w:val="both"/>
        <w:rPr>
          <w:rFonts w:ascii="Arial" w:hAnsi="Arial" w:cs="Arial"/>
        </w:rPr>
      </w:pPr>
      <w:r w:rsidRPr="007211CD">
        <w:rPr>
          <w:rStyle w:val="FootnoteReference"/>
          <w:rFonts w:ascii="Arial" w:hAnsi="Arial" w:cs="Arial"/>
        </w:rPr>
        <w:footnoteRef/>
      </w:r>
      <w:r w:rsidRPr="007211CD">
        <w:rPr>
          <w:rFonts w:ascii="Arial" w:hAnsi="Arial" w:cs="Arial"/>
        </w:rPr>
        <w:t xml:space="preserve">  </w:t>
      </w:r>
      <w:proofErr w:type="spellStart"/>
      <w:r w:rsidRPr="007211CD">
        <w:rPr>
          <w:rFonts w:ascii="Arial" w:hAnsi="Arial" w:cs="Arial"/>
          <w:i/>
        </w:rPr>
        <w:t>Ettienne</w:t>
      </w:r>
      <w:proofErr w:type="spellEnd"/>
      <w:r w:rsidRPr="007211CD">
        <w:rPr>
          <w:rFonts w:ascii="Arial" w:hAnsi="Arial" w:cs="Arial"/>
          <w:i/>
        </w:rPr>
        <w:t xml:space="preserve"> Erasmus v Gary Erhard </w:t>
      </w:r>
      <w:proofErr w:type="spellStart"/>
      <w:r w:rsidRPr="007211CD">
        <w:rPr>
          <w:rFonts w:ascii="Arial" w:hAnsi="Arial" w:cs="Arial"/>
          <w:i/>
        </w:rPr>
        <w:t>Wiechmann</w:t>
      </w:r>
      <w:proofErr w:type="spellEnd"/>
      <w:r w:rsidRPr="007211CD">
        <w:rPr>
          <w:rFonts w:ascii="Arial" w:hAnsi="Arial" w:cs="Arial"/>
          <w:i/>
        </w:rPr>
        <w:t xml:space="preserve"> and Fuel Injection Repairs CC</w:t>
      </w:r>
      <w:r w:rsidRPr="007211CD">
        <w:rPr>
          <w:rFonts w:ascii="Arial" w:hAnsi="Arial" w:cs="Arial"/>
        </w:rPr>
        <w:t xml:space="preserve"> [2023] NAHCMD 214 (24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523C9D">
          <w:rPr>
            <w:rFonts w:ascii="Arial" w:hAnsi="Arial" w:cs="Arial"/>
            <w:noProof/>
            <w:sz w:val="24"/>
            <w:szCs w:val="24"/>
          </w:rPr>
          <w:t>2</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149E2252"/>
    <w:multiLevelType w:val="hybridMultilevel"/>
    <w:tmpl w:val="52AA939C"/>
    <w:lvl w:ilvl="0" w:tplc="73144D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986A2B"/>
    <w:multiLevelType w:val="hybridMultilevel"/>
    <w:tmpl w:val="04A80FD0"/>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2">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8F51BCE"/>
    <w:multiLevelType w:val="hybridMultilevel"/>
    <w:tmpl w:val="651410BA"/>
    <w:lvl w:ilvl="0" w:tplc="7624CE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8">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9">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19C48EE"/>
    <w:multiLevelType w:val="hybridMultilevel"/>
    <w:tmpl w:val="AC7A7672"/>
    <w:lvl w:ilvl="0" w:tplc="FED8668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5">
    <w:nsid w:val="79160B6B"/>
    <w:multiLevelType w:val="hybridMultilevel"/>
    <w:tmpl w:val="062AC8A4"/>
    <w:lvl w:ilvl="0" w:tplc="4DAC490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6">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7">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9">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
  </w:num>
  <w:num w:numId="6">
    <w:abstractNumId w:val="13"/>
  </w:num>
  <w:num w:numId="7">
    <w:abstractNumId w:val="12"/>
  </w:num>
  <w:num w:numId="8">
    <w:abstractNumId w:val="28"/>
  </w:num>
  <w:num w:numId="9">
    <w:abstractNumId w:val="9"/>
  </w:num>
  <w:num w:numId="10">
    <w:abstractNumId w:val="4"/>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num>
  <w:num w:numId="15">
    <w:abstractNumId w:val="11"/>
  </w:num>
  <w:num w:numId="16">
    <w:abstractNumId w:val="26"/>
  </w:num>
  <w:num w:numId="17">
    <w:abstractNumId w:val="6"/>
  </w:num>
  <w:num w:numId="18">
    <w:abstractNumId w:val="23"/>
  </w:num>
  <w:num w:numId="19">
    <w:abstractNumId w:val="29"/>
  </w:num>
  <w:num w:numId="20">
    <w:abstractNumId w:val="17"/>
  </w:num>
  <w:num w:numId="21">
    <w:abstractNumId w:val="16"/>
  </w:num>
  <w:num w:numId="22">
    <w:abstractNumId w:val="18"/>
  </w:num>
  <w:num w:numId="23">
    <w:abstractNumId w:val="3"/>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8"/>
  </w:num>
  <w:num w:numId="29">
    <w:abstractNumId w:val="2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37236"/>
    <w:rsid w:val="00042EFE"/>
    <w:rsid w:val="00043914"/>
    <w:rsid w:val="00047BBE"/>
    <w:rsid w:val="0005029C"/>
    <w:rsid w:val="00052806"/>
    <w:rsid w:val="00053646"/>
    <w:rsid w:val="0006006E"/>
    <w:rsid w:val="000650A0"/>
    <w:rsid w:val="00070995"/>
    <w:rsid w:val="00071E6A"/>
    <w:rsid w:val="00076184"/>
    <w:rsid w:val="00082D69"/>
    <w:rsid w:val="00083F88"/>
    <w:rsid w:val="0009263E"/>
    <w:rsid w:val="000929C5"/>
    <w:rsid w:val="0009303D"/>
    <w:rsid w:val="000A6E7F"/>
    <w:rsid w:val="000B297E"/>
    <w:rsid w:val="000B6579"/>
    <w:rsid w:val="000D1E23"/>
    <w:rsid w:val="000E7C99"/>
    <w:rsid w:val="000F1438"/>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1545"/>
    <w:rsid w:val="00134E9F"/>
    <w:rsid w:val="00136505"/>
    <w:rsid w:val="00144967"/>
    <w:rsid w:val="001470CE"/>
    <w:rsid w:val="00150B08"/>
    <w:rsid w:val="00152FEA"/>
    <w:rsid w:val="00153ED0"/>
    <w:rsid w:val="00157447"/>
    <w:rsid w:val="00157A7D"/>
    <w:rsid w:val="00163FB4"/>
    <w:rsid w:val="001721EB"/>
    <w:rsid w:val="0017433C"/>
    <w:rsid w:val="001822C1"/>
    <w:rsid w:val="0018718C"/>
    <w:rsid w:val="00191A61"/>
    <w:rsid w:val="001A13C3"/>
    <w:rsid w:val="001A2A21"/>
    <w:rsid w:val="001B2CA3"/>
    <w:rsid w:val="001B3825"/>
    <w:rsid w:val="001C1570"/>
    <w:rsid w:val="001C33C5"/>
    <w:rsid w:val="001C44E2"/>
    <w:rsid w:val="001D619B"/>
    <w:rsid w:val="001D7162"/>
    <w:rsid w:val="001D795C"/>
    <w:rsid w:val="001E097B"/>
    <w:rsid w:val="001E113F"/>
    <w:rsid w:val="001E192B"/>
    <w:rsid w:val="001E2A2D"/>
    <w:rsid w:val="001E47FA"/>
    <w:rsid w:val="001E6B86"/>
    <w:rsid w:val="002000BA"/>
    <w:rsid w:val="00204A1F"/>
    <w:rsid w:val="00210CE5"/>
    <w:rsid w:val="00217744"/>
    <w:rsid w:val="00222067"/>
    <w:rsid w:val="00224808"/>
    <w:rsid w:val="002253A1"/>
    <w:rsid w:val="00225792"/>
    <w:rsid w:val="0022676A"/>
    <w:rsid w:val="002317B0"/>
    <w:rsid w:val="0023549A"/>
    <w:rsid w:val="00241D98"/>
    <w:rsid w:val="00244BAC"/>
    <w:rsid w:val="00244C17"/>
    <w:rsid w:val="00244F7C"/>
    <w:rsid w:val="00247485"/>
    <w:rsid w:val="0025219B"/>
    <w:rsid w:val="002536EA"/>
    <w:rsid w:val="00276736"/>
    <w:rsid w:val="0028119C"/>
    <w:rsid w:val="00281E02"/>
    <w:rsid w:val="002850A3"/>
    <w:rsid w:val="002863C2"/>
    <w:rsid w:val="00287097"/>
    <w:rsid w:val="002873A9"/>
    <w:rsid w:val="002974FD"/>
    <w:rsid w:val="002A3C64"/>
    <w:rsid w:val="002A4AA3"/>
    <w:rsid w:val="002A7BF4"/>
    <w:rsid w:val="002B38E0"/>
    <w:rsid w:val="002B44E0"/>
    <w:rsid w:val="002B6C33"/>
    <w:rsid w:val="002C1EF6"/>
    <w:rsid w:val="002C7DA2"/>
    <w:rsid w:val="002D20C5"/>
    <w:rsid w:val="002D407B"/>
    <w:rsid w:val="002D633E"/>
    <w:rsid w:val="002E20B1"/>
    <w:rsid w:val="002E738E"/>
    <w:rsid w:val="002E769F"/>
    <w:rsid w:val="002F06E3"/>
    <w:rsid w:val="002F0BA9"/>
    <w:rsid w:val="00301CC7"/>
    <w:rsid w:val="00302F62"/>
    <w:rsid w:val="0030757C"/>
    <w:rsid w:val="00311DE0"/>
    <w:rsid w:val="0031523D"/>
    <w:rsid w:val="00315F4E"/>
    <w:rsid w:val="00316E0A"/>
    <w:rsid w:val="00317497"/>
    <w:rsid w:val="003206F3"/>
    <w:rsid w:val="00322F39"/>
    <w:rsid w:val="00323AAF"/>
    <w:rsid w:val="00323E22"/>
    <w:rsid w:val="0032662C"/>
    <w:rsid w:val="00333796"/>
    <w:rsid w:val="00337423"/>
    <w:rsid w:val="00340EA6"/>
    <w:rsid w:val="003414A7"/>
    <w:rsid w:val="003431EF"/>
    <w:rsid w:val="00344B76"/>
    <w:rsid w:val="0035072B"/>
    <w:rsid w:val="00354AF8"/>
    <w:rsid w:val="00357D0F"/>
    <w:rsid w:val="0036327E"/>
    <w:rsid w:val="00371A8B"/>
    <w:rsid w:val="00371B8F"/>
    <w:rsid w:val="003759B3"/>
    <w:rsid w:val="00382B98"/>
    <w:rsid w:val="0038382D"/>
    <w:rsid w:val="00384F39"/>
    <w:rsid w:val="00390712"/>
    <w:rsid w:val="00390CB3"/>
    <w:rsid w:val="0039392B"/>
    <w:rsid w:val="00394797"/>
    <w:rsid w:val="00396707"/>
    <w:rsid w:val="003A1463"/>
    <w:rsid w:val="003A18AD"/>
    <w:rsid w:val="003A3390"/>
    <w:rsid w:val="003A43B2"/>
    <w:rsid w:val="003B03B0"/>
    <w:rsid w:val="003C0EA4"/>
    <w:rsid w:val="003C1FA6"/>
    <w:rsid w:val="003C2574"/>
    <w:rsid w:val="003D165C"/>
    <w:rsid w:val="003D3059"/>
    <w:rsid w:val="003D442D"/>
    <w:rsid w:val="003E29B3"/>
    <w:rsid w:val="003E6398"/>
    <w:rsid w:val="003E6669"/>
    <w:rsid w:val="003F053B"/>
    <w:rsid w:val="00404B70"/>
    <w:rsid w:val="00412278"/>
    <w:rsid w:val="00414B69"/>
    <w:rsid w:val="00415F4F"/>
    <w:rsid w:val="004232DF"/>
    <w:rsid w:val="00426C60"/>
    <w:rsid w:val="00431A65"/>
    <w:rsid w:val="004352E5"/>
    <w:rsid w:val="004358E2"/>
    <w:rsid w:val="00436B1E"/>
    <w:rsid w:val="00436C2B"/>
    <w:rsid w:val="00437666"/>
    <w:rsid w:val="004416D0"/>
    <w:rsid w:val="00443B14"/>
    <w:rsid w:val="00450650"/>
    <w:rsid w:val="00457D5C"/>
    <w:rsid w:val="00461F35"/>
    <w:rsid w:val="00463486"/>
    <w:rsid w:val="004665B1"/>
    <w:rsid w:val="00466B36"/>
    <w:rsid w:val="00472769"/>
    <w:rsid w:val="00474C2A"/>
    <w:rsid w:val="00475B7A"/>
    <w:rsid w:val="00475D2C"/>
    <w:rsid w:val="0048485D"/>
    <w:rsid w:val="00490505"/>
    <w:rsid w:val="004907E4"/>
    <w:rsid w:val="004936A7"/>
    <w:rsid w:val="004936DA"/>
    <w:rsid w:val="004A0AE3"/>
    <w:rsid w:val="004A2855"/>
    <w:rsid w:val="004A2D48"/>
    <w:rsid w:val="004A325C"/>
    <w:rsid w:val="004A34A8"/>
    <w:rsid w:val="004A5618"/>
    <w:rsid w:val="004B337B"/>
    <w:rsid w:val="004B6FA1"/>
    <w:rsid w:val="004C5788"/>
    <w:rsid w:val="004C646F"/>
    <w:rsid w:val="004D4C39"/>
    <w:rsid w:val="004D7D3B"/>
    <w:rsid w:val="004E02A0"/>
    <w:rsid w:val="004E3BFB"/>
    <w:rsid w:val="004E6D2F"/>
    <w:rsid w:val="004F5C19"/>
    <w:rsid w:val="004F738D"/>
    <w:rsid w:val="00503F36"/>
    <w:rsid w:val="005111BA"/>
    <w:rsid w:val="00512AB9"/>
    <w:rsid w:val="005145D9"/>
    <w:rsid w:val="00522621"/>
    <w:rsid w:val="005233E6"/>
    <w:rsid w:val="00523C9D"/>
    <w:rsid w:val="00523D75"/>
    <w:rsid w:val="005327E0"/>
    <w:rsid w:val="005334B7"/>
    <w:rsid w:val="0053496C"/>
    <w:rsid w:val="00535F29"/>
    <w:rsid w:val="00536EFF"/>
    <w:rsid w:val="005629DA"/>
    <w:rsid w:val="0057484E"/>
    <w:rsid w:val="00580728"/>
    <w:rsid w:val="0058319C"/>
    <w:rsid w:val="00586B27"/>
    <w:rsid w:val="00594F6C"/>
    <w:rsid w:val="005952CE"/>
    <w:rsid w:val="005A0EBD"/>
    <w:rsid w:val="005A4D90"/>
    <w:rsid w:val="005B62A0"/>
    <w:rsid w:val="005B62C7"/>
    <w:rsid w:val="005B7449"/>
    <w:rsid w:val="005C0E24"/>
    <w:rsid w:val="005C21D7"/>
    <w:rsid w:val="005C3354"/>
    <w:rsid w:val="005C4157"/>
    <w:rsid w:val="005C715D"/>
    <w:rsid w:val="005C7D31"/>
    <w:rsid w:val="005D0D19"/>
    <w:rsid w:val="005D1FA8"/>
    <w:rsid w:val="005D4C34"/>
    <w:rsid w:val="005D6452"/>
    <w:rsid w:val="005E2DC4"/>
    <w:rsid w:val="005F325C"/>
    <w:rsid w:val="005F32EB"/>
    <w:rsid w:val="005F39EA"/>
    <w:rsid w:val="00602C25"/>
    <w:rsid w:val="00605348"/>
    <w:rsid w:val="00610BF1"/>
    <w:rsid w:val="006115E2"/>
    <w:rsid w:val="006138DB"/>
    <w:rsid w:val="006144A8"/>
    <w:rsid w:val="0061537D"/>
    <w:rsid w:val="0062003A"/>
    <w:rsid w:val="00625A57"/>
    <w:rsid w:val="00631F48"/>
    <w:rsid w:val="00653784"/>
    <w:rsid w:val="00663770"/>
    <w:rsid w:val="00663C80"/>
    <w:rsid w:val="00667BF0"/>
    <w:rsid w:val="00672C76"/>
    <w:rsid w:val="006734C7"/>
    <w:rsid w:val="0067423B"/>
    <w:rsid w:val="00676755"/>
    <w:rsid w:val="0069311C"/>
    <w:rsid w:val="00693260"/>
    <w:rsid w:val="00695745"/>
    <w:rsid w:val="006976D9"/>
    <w:rsid w:val="006A0BA4"/>
    <w:rsid w:val="006A1E08"/>
    <w:rsid w:val="006A3CBE"/>
    <w:rsid w:val="006B5854"/>
    <w:rsid w:val="006B7521"/>
    <w:rsid w:val="006C2FB6"/>
    <w:rsid w:val="006D0991"/>
    <w:rsid w:val="006D0E84"/>
    <w:rsid w:val="006D3438"/>
    <w:rsid w:val="006D3A0B"/>
    <w:rsid w:val="006D5AB1"/>
    <w:rsid w:val="006D6828"/>
    <w:rsid w:val="006D69E7"/>
    <w:rsid w:val="006D7450"/>
    <w:rsid w:val="006E014E"/>
    <w:rsid w:val="006E0FD4"/>
    <w:rsid w:val="006E13E5"/>
    <w:rsid w:val="006F07B3"/>
    <w:rsid w:val="006F1CCC"/>
    <w:rsid w:val="006F5B42"/>
    <w:rsid w:val="006F6DE3"/>
    <w:rsid w:val="007008BE"/>
    <w:rsid w:val="00700B1F"/>
    <w:rsid w:val="00702C62"/>
    <w:rsid w:val="00703171"/>
    <w:rsid w:val="00703917"/>
    <w:rsid w:val="00704B13"/>
    <w:rsid w:val="00706F94"/>
    <w:rsid w:val="00710E0D"/>
    <w:rsid w:val="007204DC"/>
    <w:rsid w:val="007211CD"/>
    <w:rsid w:val="00721F98"/>
    <w:rsid w:val="00734802"/>
    <w:rsid w:val="00735C39"/>
    <w:rsid w:val="00736DA4"/>
    <w:rsid w:val="007448FE"/>
    <w:rsid w:val="00746C0C"/>
    <w:rsid w:val="0075019C"/>
    <w:rsid w:val="00750F55"/>
    <w:rsid w:val="00752FAA"/>
    <w:rsid w:val="007600DB"/>
    <w:rsid w:val="00765AE4"/>
    <w:rsid w:val="00766C68"/>
    <w:rsid w:val="0077241B"/>
    <w:rsid w:val="00772D17"/>
    <w:rsid w:val="00776163"/>
    <w:rsid w:val="0078274D"/>
    <w:rsid w:val="007853D8"/>
    <w:rsid w:val="00787EE4"/>
    <w:rsid w:val="0079505A"/>
    <w:rsid w:val="007950C8"/>
    <w:rsid w:val="007979CA"/>
    <w:rsid w:val="007B131C"/>
    <w:rsid w:val="007B2BC4"/>
    <w:rsid w:val="007C2B88"/>
    <w:rsid w:val="007C2BC3"/>
    <w:rsid w:val="007D0792"/>
    <w:rsid w:val="007D6C74"/>
    <w:rsid w:val="007E19C1"/>
    <w:rsid w:val="007E2F91"/>
    <w:rsid w:val="007E43B6"/>
    <w:rsid w:val="007E594A"/>
    <w:rsid w:val="007F0F47"/>
    <w:rsid w:val="007F4E11"/>
    <w:rsid w:val="007F564C"/>
    <w:rsid w:val="007F68C4"/>
    <w:rsid w:val="008006A3"/>
    <w:rsid w:val="00802096"/>
    <w:rsid w:val="0080277A"/>
    <w:rsid w:val="0080318F"/>
    <w:rsid w:val="00805E5A"/>
    <w:rsid w:val="00812409"/>
    <w:rsid w:val="00812E19"/>
    <w:rsid w:val="008134AF"/>
    <w:rsid w:val="00814ECC"/>
    <w:rsid w:val="00816D5D"/>
    <w:rsid w:val="00821A0C"/>
    <w:rsid w:val="00822BEF"/>
    <w:rsid w:val="00824F3D"/>
    <w:rsid w:val="008275AC"/>
    <w:rsid w:val="00827F39"/>
    <w:rsid w:val="00830316"/>
    <w:rsid w:val="00835300"/>
    <w:rsid w:val="00840C06"/>
    <w:rsid w:val="00843040"/>
    <w:rsid w:val="00847C4B"/>
    <w:rsid w:val="00853833"/>
    <w:rsid w:val="008653EA"/>
    <w:rsid w:val="00865F37"/>
    <w:rsid w:val="008733EF"/>
    <w:rsid w:val="0087368D"/>
    <w:rsid w:val="00881799"/>
    <w:rsid w:val="00882F73"/>
    <w:rsid w:val="00883D7C"/>
    <w:rsid w:val="00886625"/>
    <w:rsid w:val="00890A20"/>
    <w:rsid w:val="00892219"/>
    <w:rsid w:val="00892D9A"/>
    <w:rsid w:val="008A1447"/>
    <w:rsid w:val="008A5AC1"/>
    <w:rsid w:val="008B5D68"/>
    <w:rsid w:val="008B6223"/>
    <w:rsid w:val="008B7248"/>
    <w:rsid w:val="008C2200"/>
    <w:rsid w:val="008C39E9"/>
    <w:rsid w:val="008D54B2"/>
    <w:rsid w:val="008E0730"/>
    <w:rsid w:val="008E5E3D"/>
    <w:rsid w:val="008E74B0"/>
    <w:rsid w:val="008F59A0"/>
    <w:rsid w:val="00903F86"/>
    <w:rsid w:val="0090480D"/>
    <w:rsid w:val="00906AF6"/>
    <w:rsid w:val="009119B5"/>
    <w:rsid w:val="00912F74"/>
    <w:rsid w:val="009222E7"/>
    <w:rsid w:val="00923430"/>
    <w:rsid w:val="009279BE"/>
    <w:rsid w:val="00930F17"/>
    <w:rsid w:val="009327F0"/>
    <w:rsid w:val="00932F19"/>
    <w:rsid w:val="00933AC3"/>
    <w:rsid w:val="009342D0"/>
    <w:rsid w:val="0093567D"/>
    <w:rsid w:val="00937C89"/>
    <w:rsid w:val="0094041F"/>
    <w:rsid w:val="00940E2D"/>
    <w:rsid w:val="00944CCD"/>
    <w:rsid w:val="0094588F"/>
    <w:rsid w:val="00946D90"/>
    <w:rsid w:val="009470F3"/>
    <w:rsid w:val="0095505F"/>
    <w:rsid w:val="00955095"/>
    <w:rsid w:val="0096420A"/>
    <w:rsid w:val="0096585C"/>
    <w:rsid w:val="009661E4"/>
    <w:rsid w:val="009733A9"/>
    <w:rsid w:val="009856AB"/>
    <w:rsid w:val="009919F6"/>
    <w:rsid w:val="00992A2F"/>
    <w:rsid w:val="00993F7F"/>
    <w:rsid w:val="00996760"/>
    <w:rsid w:val="00997C11"/>
    <w:rsid w:val="009A5AD1"/>
    <w:rsid w:val="009A7A59"/>
    <w:rsid w:val="009A7F13"/>
    <w:rsid w:val="009B41E2"/>
    <w:rsid w:val="009B4A62"/>
    <w:rsid w:val="009B600F"/>
    <w:rsid w:val="009C3275"/>
    <w:rsid w:val="009C35C9"/>
    <w:rsid w:val="009C62AE"/>
    <w:rsid w:val="009C6F3F"/>
    <w:rsid w:val="009D24DC"/>
    <w:rsid w:val="009D27E8"/>
    <w:rsid w:val="009D5376"/>
    <w:rsid w:val="009E730A"/>
    <w:rsid w:val="009F1FA2"/>
    <w:rsid w:val="009F2ADD"/>
    <w:rsid w:val="00A05FE8"/>
    <w:rsid w:val="00A10E40"/>
    <w:rsid w:val="00A13C7B"/>
    <w:rsid w:val="00A15CD1"/>
    <w:rsid w:val="00A168A5"/>
    <w:rsid w:val="00A22E0F"/>
    <w:rsid w:val="00A2391E"/>
    <w:rsid w:val="00A26B7B"/>
    <w:rsid w:val="00A31424"/>
    <w:rsid w:val="00A3327E"/>
    <w:rsid w:val="00A42469"/>
    <w:rsid w:val="00A45560"/>
    <w:rsid w:val="00A50F13"/>
    <w:rsid w:val="00A52F09"/>
    <w:rsid w:val="00A60965"/>
    <w:rsid w:val="00A66511"/>
    <w:rsid w:val="00A75ED6"/>
    <w:rsid w:val="00A7774E"/>
    <w:rsid w:val="00A80306"/>
    <w:rsid w:val="00A80BFC"/>
    <w:rsid w:val="00A81B7C"/>
    <w:rsid w:val="00A82D44"/>
    <w:rsid w:val="00A85792"/>
    <w:rsid w:val="00A90F3E"/>
    <w:rsid w:val="00A91240"/>
    <w:rsid w:val="00A9498C"/>
    <w:rsid w:val="00AA2EFA"/>
    <w:rsid w:val="00AA3ECB"/>
    <w:rsid w:val="00AC4E79"/>
    <w:rsid w:val="00AD72DD"/>
    <w:rsid w:val="00AE0185"/>
    <w:rsid w:val="00AE08F0"/>
    <w:rsid w:val="00AE16BF"/>
    <w:rsid w:val="00AE2293"/>
    <w:rsid w:val="00AF3B02"/>
    <w:rsid w:val="00AF4EDE"/>
    <w:rsid w:val="00B01B6C"/>
    <w:rsid w:val="00B050E7"/>
    <w:rsid w:val="00B119D6"/>
    <w:rsid w:val="00B121EA"/>
    <w:rsid w:val="00B220E6"/>
    <w:rsid w:val="00B30526"/>
    <w:rsid w:val="00B32493"/>
    <w:rsid w:val="00B40844"/>
    <w:rsid w:val="00B40E58"/>
    <w:rsid w:val="00B421C1"/>
    <w:rsid w:val="00B42F3B"/>
    <w:rsid w:val="00B45E7F"/>
    <w:rsid w:val="00B45F83"/>
    <w:rsid w:val="00B47800"/>
    <w:rsid w:val="00B50C99"/>
    <w:rsid w:val="00B52418"/>
    <w:rsid w:val="00B55FFE"/>
    <w:rsid w:val="00B56E34"/>
    <w:rsid w:val="00B5737E"/>
    <w:rsid w:val="00B573A6"/>
    <w:rsid w:val="00B60287"/>
    <w:rsid w:val="00B61AC7"/>
    <w:rsid w:val="00B62F2B"/>
    <w:rsid w:val="00B72DF0"/>
    <w:rsid w:val="00B772F4"/>
    <w:rsid w:val="00B77777"/>
    <w:rsid w:val="00B779F4"/>
    <w:rsid w:val="00B808CB"/>
    <w:rsid w:val="00B845CF"/>
    <w:rsid w:val="00B84680"/>
    <w:rsid w:val="00B912B2"/>
    <w:rsid w:val="00B92DE7"/>
    <w:rsid w:val="00B93677"/>
    <w:rsid w:val="00B9407E"/>
    <w:rsid w:val="00B94288"/>
    <w:rsid w:val="00BA2C89"/>
    <w:rsid w:val="00BA4C8B"/>
    <w:rsid w:val="00BB13F4"/>
    <w:rsid w:val="00BB3273"/>
    <w:rsid w:val="00BB3C0C"/>
    <w:rsid w:val="00BC055D"/>
    <w:rsid w:val="00BC2C75"/>
    <w:rsid w:val="00BC5931"/>
    <w:rsid w:val="00BD61A4"/>
    <w:rsid w:val="00BD7103"/>
    <w:rsid w:val="00BE31AD"/>
    <w:rsid w:val="00BE3978"/>
    <w:rsid w:val="00BE4F57"/>
    <w:rsid w:val="00BF1AB4"/>
    <w:rsid w:val="00BF44EC"/>
    <w:rsid w:val="00BF7B15"/>
    <w:rsid w:val="00C02EE4"/>
    <w:rsid w:val="00C04F28"/>
    <w:rsid w:val="00C06EB4"/>
    <w:rsid w:val="00C10CAA"/>
    <w:rsid w:val="00C1368A"/>
    <w:rsid w:val="00C14AB5"/>
    <w:rsid w:val="00C2633E"/>
    <w:rsid w:val="00C278BE"/>
    <w:rsid w:val="00C3225B"/>
    <w:rsid w:val="00C360E9"/>
    <w:rsid w:val="00C43E50"/>
    <w:rsid w:val="00C45D36"/>
    <w:rsid w:val="00C47E3A"/>
    <w:rsid w:val="00C5200F"/>
    <w:rsid w:val="00C617C6"/>
    <w:rsid w:val="00C649D5"/>
    <w:rsid w:val="00C67D0C"/>
    <w:rsid w:val="00C72463"/>
    <w:rsid w:val="00C73D5D"/>
    <w:rsid w:val="00C7517F"/>
    <w:rsid w:val="00C834FA"/>
    <w:rsid w:val="00C85711"/>
    <w:rsid w:val="00CA7995"/>
    <w:rsid w:val="00CB1183"/>
    <w:rsid w:val="00CB5862"/>
    <w:rsid w:val="00CC128D"/>
    <w:rsid w:val="00CC29CE"/>
    <w:rsid w:val="00CC4529"/>
    <w:rsid w:val="00CC7431"/>
    <w:rsid w:val="00CD5AE8"/>
    <w:rsid w:val="00CD62C0"/>
    <w:rsid w:val="00CE4631"/>
    <w:rsid w:val="00CF6440"/>
    <w:rsid w:val="00D03B96"/>
    <w:rsid w:val="00D04B6F"/>
    <w:rsid w:val="00D0732E"/>
    <w:rsid w:val="00D113DD"/>
    <w:rsid w:val="00D1307C"/>
    <w:rsid w:val="00D24453"/>
    <w:rsid w:val="00D25285"/>
    <w:rsid w:val="00D30D4D"/>
    <w:rsid w:val="00D32F8E"/>
    <w:rsid w:val="00D37DAA"/>
    <w:rsid w:val="00D5070E"/>
    <w:rsid w:val="00D546CF"/>
    <w:rsid w:val="00D547B6"/>
    <w:rsid w:val="00D61648"/>
    <w:rsid w:val="00D6224D"/>
    <w:rsid w:val="00D6655A"/>
    <w:rsid w:val="00D74C69"/>
    <w:rsid w:val="00D752D7"/>
    <w:rsid w:val="00D80947"/>
    <w:rsid w:val="00D82E99"/>
    <w:rsid w:val="00D86F11"/>
    <w:rsid w:val="00D87914"/>
    <w:rsid w:val="00D9282E"/>
    <w:rsid w:val="00D960EA"/>
    <w:rsid w:val="00D965B8"/>
    <w:rsid w:val="00D9720B"/>
    <w:rsid w:val="00D976B2"/>
    <w:rsid w:val="00DA1708"/>
    <w:rsid w:val="00DA2283"/>
    <w:rsid w:val="00DA5689"/>
    <w:rsid w:val="00DA58B4"/>
    <w:rsid w:val="00DA6C57"/>
    <w:rsid w:val="00DB5AA2"/>
    <w:rsid w:val="00DC3FD1"/>
    <w:rsid w:val="00DC5666"/>
    <w:rsid w:val="00DC6B2A"/>
    <w:rsid w:val="00DD5288"/>
    <w:rsid w:val="00DD614B"/>
    <w:rsid w:val="00DD6A03"/>
    <w:rsid w:val="00DD76E7"/>
    <w:rsid w:val="00DE1990"/>
    <w:rsid w:val="00DE220E"/>
    <w:rsid w:val="00DF0F46"/>
    <w:rsid w:val="00DF1D2A"/>
    <w:rsid w:val="00DF5C98"/>
    <w:rsid w:val="00E03967"/>
    <w:rsid w:val="00E04664"/>
    <w:rsid w:val="00E0573A"/>
    <w:rsid w:val="00E07A3E"/>
    <w:rsid w:val="00E16A68"/>
    <w:rsid w:val="00E20030"/>
    <w:rsid w:val="00E2006F"/>
    <w:rsid w:val="00E221FD"/>
    <w:rsid w:val="00E2743C"/>
    <w:rsid w:val="00E41369"/>
    <w:rsid w:val="00E41BE5"/>
    <w:rsid w:val="00E42A4B"/>
    <w:rsid w:val="00E4469F"/>
    <w:rsid w:val="00E452F4"/>
    <w:rsid w:val="00E46B58"/>
    <w:rsid w:val="00E533BE"/>
    <w:rsid w:val="00E5361F"/>
    <w:rsid w:val="00E53C47"/>
    <w:rsid w:val="00E5507F"/>
    <w:rsid w:val="00E55FBE"/>
    <w:rsid w:val="00E60E31"/>
    <w:rsid w:val="00E62DB3"/>
    <w:rsid w:val="00E66CBC"/>
    <w:rsid w:val="00E67680"/>
    <w:rsid w:val="00E714F1"/>
    <w:rsid w:val="00E73C41"/>
    <w:rsid w:val="00E778B9"/>
    <w:rsid w:val="00E847D9"/>
    <w:rsid w:val="00E911FB"/>
    <w:rsid w:val="00E96F9E"/>
    <w:rsid w:val="00E97512"/>
    <w:rsid w:val="00E97B9E"/>
    <w:rsid w:val="00EA2DE2"/>
    <w:rsid w:val="00EB1AE0"/>
    <w:rsid w:val="00EC1776"/>
    <w:rsid w:val="00EC7E83"/>
    <w:rsid w:val="00ED27EE"/>
    <w:rsid w:val="00ED2C7B"/>
    <w:rsid w:val="00ED5B76"/>
    <w:rsid w:val="00ED5E52"/>
    <w:rsid w:val="00ED7008"/>
    <w:rsid w:val="00ED76B2"/>
    <w:rsid w:val="00EE122C"/>
    <w:rsid w:val="00EE4268"/>
    <w:rsid w:val="00EE4364"/>
    <w:rsid w:val="00EE5473"/>
    <w:rsid w:val="00EF184A"/>
    <w:rsid w:val="00EF249A"/>
    <w:rsid w:val="00EF2FD0"/>
    <w:rsid w:val="00EF2FFD"/>
    <w:rsid w:val="00EF37C1"/>
    <w:rsid w:val="00EF7A64"/>
    <w:rsid w:val="00F01B97"/>
    <w:rsid w:val="00F0235A"/>
    <w:rsid w:val="00F05B1C"/>
    <w:rsid w:val="00F05CAB"/>
    <w:rsid w:val="00F0783D"/>
    <w:rsid w:val="00F13D78"/>
    <w:rsid w:val="00F146F6"/>
    <w:rsid w:val="00F17E2E"/>
    <w:rsid w:val="00F21EDB"/>
    <w:rsid w:val="00F33D96"/>
    <w:rsid w:val="00F3779B"/>
    <w:rsid w:val="00F4176A"/>
    <w:rsid w:val="00F46AB5"/>
    <w:rsid w:val="00F4726A"/>
    <w:rsid w:val="00F47A1E"/>
    <w:rsid w:val="00F57D85"/>
    <w:rsid w:val="00F606E9"/>
    <w:rsid w:val="00F62189"/>
    <w:rsid w:val="00F65529"/>
    <w:rsid w:val="00F65903"/>
    <w:rsid w:val="00F66F79"/>
    <w:rsid w:val="00F72231"/>
    <w:rsid w:val="00F72FCD"/>
    <w:rsid w:val="00F7691A"/>
    <w:rsid w:val="00F82EDF"/>
    <w:rsid w:val="00F84868"/>
    <w:rsid w:val="00F92650"/>
    <w:rsid w:val="00F92D04"/>
    <w:rsid w:val="00F9481A"/>
    <w:rsid w:val="00F9509A"/>
    <w:rsid w:val="00FA2F85"/>
    <w:rsid w:val="00FB27BC"/>
    <w:rsid w:val="00FB2E9E"/>
    <w:rsid w:val="00FB5F14"/>
    <w:rsid w:val="00FC1CFF"/>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2023-12-12T18:30:00+00:00</Judgment_x0020_Date>
    <Year xmlns="c1afb1bd-f2fb-40fd-9abb-aea55b4d7662">2023</Year>
  </documentManagement>
</p:properties>
</file>

<file path=customXml/itemProps1.xml><?xml version="1.0" encoding="utf-8"?>
<ds:datastoreItem xmlns:ds="http://schemas.openxmlformats.org/officeDocument/2006/customXml" ds:itemID="{5FEC625C-1CCB-4869-B08D-CFDE276C18AE}"/>
</file>

<file path=customXml/itemProps2.xml><?xml version="1.0" encoding="utf-8"?>
<ds:datastoreItem xmlns:ds="http://schemas.openxmlformats.org/officeDocument/2006/customXml" ds:itemID="{CD789DD7-1DF4-41BF-A0EE-DFA51023E98E}"/>
</file>

<file path=customXml/itemProps3.xml><?xml version="1.0" encoding="utf-8"?>
<ds:datastoreItem xmlns:ds="http://schemas.openxmlformats.org/officeDocument/2006/customXml" ds:itemID="{C0F88E50-DA9C-4205-827D-7F82E26F19C9}"/>
</file>

<file path=customXml/itemProps4.xml><?xml version="1.0" encoding="utf-8"?>
<ds:datastoreItem xmlns:ds="http://schemas.openxmlformats.org/officeDocument/2006/customXml" ds:itemID="{CC91C72C-C555-4E3C-BE34-5F06440DD9F3}"/>
</file>

<file path=docProps/app.xml><?xml version="1.0" encoding="utf-8"?>
<Properties xmlns="http://schemas.openxmlformats.org/officeDocument/2006/extended-properties" xmlns:vt="http://schemas.openxmlformats.org/officeDocument/2006/docPropsVTypes">
  <Template>Normal</Template>
  <TotalTime>2753</TotalTime>
  <Pages>1</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Kristof v The Minister of Home Affairs (HC-MD-CIV-ACT-OTH-2022-00181) [2023] NAHCMD 821 (13 December 2023)</dc:title>
  <dc:subject/>
  <dc:creator>shomany keister</dc:creator>
  <cp:keywords/>
  <dc:description/>
  <cp:lastModifiedBy>Bregitha Coetzee</cp:lastModifiedBy>
  <cp:revision>31</cp:revision>
  <cp:lastPrinted>2023-12-05T14:14:00Z</cp:lastPrinted>
  <dcterms:created xsi:type="dcterms:W3CDTF">2023-11-23T10:59:00Z</dcterms:created>
  <dcterms:modified xsi:type="dcterms:W3CDTF">2023-12-18T12:09:00Z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