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US"/>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295E6C70" w:rsidR="00B40844" w:rsidRPr="004A5618" w:rsidRDefault="003431EF" w:rsidP="00B40844">
      <w:pPr>
        <w:spacing w:after="0" w:line="360" w:lineRule="auto"/>
        <w:jc w:val="center"/>
        <w:rPr>
          <w:rFonts w:ascii="Arial" w:hAnsi="Arial" w:cs="Arial"/>
          <w:bCs/>
          <w:sz w:val="24"/>
          <w:szCs w:val="24"/>
        </w:rPr>
      </w:pPr>
      <w:r>
        <w:rPr>
          <w:rFonts w:ascii="Arial" w:hAnsi="Arial" w:cs="Arial"/>
          <w:b/>
          <w:sz w:val="24"/>
          <w:szCs w:val="24"/>
        </w:rPr>
        <w:t>HIGH</w:t>
      </w:r>
      <w:r w:rsidR="00B40844" w:rsidRPr="004A5618">
        <w:rPr>
          <w:rFonts w:ascii="Arial" w:hAnsi="Arial" w:cs="Arial"/>
          <w:b/>
          <w:sz w:val="24"/>
          <w:szCs w:val="24"/>
        </w:rPr>
        <w:t xml:space="preserve">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0283C01" w:rsidR="00B40844" w:rsidRDefault="00DC3FD1" w:rsidP="00B40844">
      <w:pPr>
        <w:spacing w:after="0" w:line="360" w:lineRule="auto"/>
        <w:jc w:val="center"/>
        <w:rPr>
          <w:rFonts w:ascii="Arial" w:hAnsi="Arial" w:cs="Arial"/>
          <w:b/>
          <w:sz w:val="24"/>
          <w:szCs w:val="24"/>
        </w:rPr>
      </w:pPr>
      <w:r>
        <w:rPr>
          <w:rFonts w:ascii="Arial" w:hAnsi="Arial" w:cs="Arial"/>
          <w:b/>
          <w:sz w:val="24"/>
          <w:szCs w:val="24"/>
        </w:rPr>
        <w:t>JUDGMENT</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084E8E69" w:rsidR="00B40844" w:rsidRPr="002B1E18" w:rsidRDefault="002B1E18" w:rsidP="002B1E18">
            <w:pPr>
              <w:jc w:val="both"/>
              <w:rPr>
                <w:rFonts w:ascii="Arial" w:hAnsi="Arial" w:cs="Arial"/>
                <w:sz w:val="24"/>
                <w:szCs w:val="24"/>
              </w:rPr>
            </w:pPr>
            <w:r w:rsidRPr="002B1E18">
              <w:rPr>
                <w:rFonts w:ascii="Arial" w:hAnsi="Arial" w:cs="Arial"/>
                <w:sz w:val="24"/>
                <w:szCs w:val="24"/>
              </w:rPr>
              <w:t>FIRST NATIONAL BANK NAMIBIA LIMITED</w:t>
            </w:r>
            <w:r w:rsidR="00602C25" w:rsidRPr="002B1E18">
              <w:rPr>
                <w:rFonts w:ascii="Arial" w:hAnsi="Arial" w:cs="Arial"/>
                <w:sz w:val="24"/>
                <w:szCs w:val="24"/>
                <w:shd w:val="clear" w:color="auto" w:fill="FFFFFF"/>
              </w:rPr>
              <w:t xml:space="preserve"> </w:t>
            </w:r>
            <w:r w:rsidR="00136505" w:rsidRPr="002B1E18">
              <w:rPr>
                <w:rFonts w:ascii="Arial" w:hAnsi="Arial" w:cs="Arial"/>
                <w:sz w:val="24"/>
                <w:szCs w:val="24"/>
                <w:shd w:val="clear" w:color="auto" w:fill="FFFFFF"/>
              </w:rPr>
              <w:t xml:space="preserve">// </w:t>
            </w:r>
            <w:r w:rsidRPr="002B1E18">
              <w:rPr>
                <w:rFonts w:ascii="Arial" w:hAnsi="Arial" w:cs="Arial"/>
                <w:sz w:val="24"/>
                <w:szCs w:val="24"/>
              </w:rPr>
              <w:t>SUE-ANN ROJEANNE MOUTON</w:t>
            </w:r>
            <w:r w:rsidR="00FE0A83" w:rsidRPr="002B1E18">
              <w:rPr>
                <w:rFonts w:ascii="Arial" w:hAnsi="Arial" w:cs="Arial"/>
                <w:sz w:val="24"/>
                <w:szCs w:val="24"/>
              </w:rPr>
              <w:t xml:space="preserve"> &amp; </w:t>
            </w:r>
            <w:r w:rsidRPr="002B1E18">
              <w:rPr>
                <w:rFonts w:ascii="Arial" w:hAnsi="Arial" w:cs="Arial"/>
                <w:sz w:val="24"/>
                <w:szCs w:val="24"/>
              </w:rPr>
              <w:t>ANOTHER</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61D69B16" w:rsidR="00865F37" w:rsidRPr="002B1E18" w:rsidRDefault="002B1E18" w:rsidP="00937C89">
            <w:pPr>
              <w:spacing w:line="360" w:lineRule="auto"/>
              <w:jc w:val="both"/>
              <w:rPr>
                <w:rFonts w:ascii="Arial" w:hAnsi="Arial" w:cs="Arial"/>
                <w:sz w:val="24"/>
                <w:szCs w:val="24"/>
              </w:rPr>
            </w:pPr>
            <w:r w:rsidRPr="002B1E18">
              <w:rPr>
                <w:rFonts w:ascii="Arial" w:hAnsi="Arial" w:cs="Arial"/>
                <w:sz w:val="24"/>
                <w:szCs w:val="24"/>
              </w:rPr>
              <w:t>HC-MD-CIV-ACT-CON-2023/03503</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15EE3142" w:rsidR="006138DB"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FC2E2B8" w:rsidR="00B40844" w:rsidRPr="004A5618" w:rsidRDefault="00136505" w:rsidP="00E60E31">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E60E31">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3CBA4FB8" w:rsidR="00B40844" w:rsidRPr="004A5618" w:rsidRDefault="002B1E18" w:rsidP="002B1E18">
            <w:pPr>
              <w:spacing w:line="360" w:lineRule="auto"/>
              <w:jc w:val="both"/>
              <w:rPr>
                <w:rFonts w:ascii="Arial" w:hAnsi="Arial" w:cs="Arial"/>
                <w:sz w:val="24"/>
                <w:szCs w:val="24"/>
              </w:rPr>
            </w:pPr>
            <w:r>
              <w:rPr>
                <w:rFonts w:ascii="Arial" w:hAnsi="Arial" w:cs="Arial"/>
                <w:sz w:val="24"/>
                <w:szCs w:val="24"/>
              </w:rPr>
              <w:t>4</w:t>
            </w:r>
            <w:r w:rsidR="00C2633E" w:rsidRPr="004A5618">
              <w:rPr>
                <w:rFonts w:ascii="Arial" w:hAnsi="Arial" w:cs="Arial"/>
                <w:sz w:val="24"/>
                <w:szCs w:val="24"/>
              </w:rPr>
              <w:t xml:space="preserve"> </w:t>
            </w:r>
            <w:r>
              <w:rPr>
                <w:rFonts w:ascii="Arial" w:hAnsi="Arial" w:cs="Arial"/>
                <w:sz w:val="24"/>
                <w:szCs w:val="24"/>
              </w:rPr>
              <w:t>DECEMBER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6D8E9797" w:rsidR="00B40844" w:rsidRPr="004A5618" w:rsidRDefault="003431EF" w:rsidP="003431EF">
            <w:pPr>
              <w:spacing w:line="360" w:lineRule="auto"/>
              <w:jc w:val="both"/>
              <w:rPr>
                <w:rFonts w:ascii="Arial" w:hAnsi="Arial" w:cs="Arial"/>
                <w:b/>
                <w:sz w:val="24"/>
                <w:szCs w:val="24"/>
              </w:rPr>
            </w:pPr>
            <w:r>
              <w:rPr>
                <w:rFonts w:ascii="Arial" w:hAnsi="Arial" w:cs="Arial"/>
                <w:sz w:val="24"/>
                <w:szCs w:val="24"/>
              </w:rPr>
              <w:t>13</w:t>
            </w:r>
            <w:r w:rsidR="00136505" w:rsidRPr="004A5618">
              <w:rPr>
                <w:rFonts w:ascii="Arial" w:hAnsi="Arial" w:cs="Arial"/>
                <w:sz w:val="24"/>
                <w:szCs w:val="24"/>
              </w:rPr>
              <w:t xml:space="preserve"> </w:t>
            </w:r>
            <w:r>
              <w:rPr>
                <w:rFonts w:ascii="Arial" w:hAnsi="Arial" w:cs="Arial"/>
                <w:sz w:val="24"/>
                <w:szCs w:val="24"/>
              </w:rPr>
              <w:t>DECEMBER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718CD0A0" w:rsidR="00B40844" w:rsidRPr="004A5618" w:rsidRDefault="00B40844" w:rsidP="005423F4">
            <w:pPr>
              <w:spacing w:line="360" w:lineRule="auto"/>
              <w:ind w:left="2019" w:hanging="2019"/>
              <w:jc w:val="both"/>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r w:rsidR="002B1E18">
              <w:rPr>
                <w:rFonts w:ascii="Arial" w:hAnsi="Arial" w:cs="Arial"/>
                <w:i/>
                <w:sz w:val="24"/>
                <w:szCs w:val="24"/>
              </w:rPr>
              <w:t>F</w:t>
            </w:r>
            <w:r w:rsidR="002B1E18" w:rsidRPr="002B1E18">
              <w:rPr>
                <w:rFonts w:ascii="Arial" w:hAnsi="Arial" w:cs="Arial"/>
                <w:i/>
                <w:sz w:val="24"/>
                <w:szCs w:val="24"/>
              </w:rPr>
              <w:t xml:space="preserve">irst </w:t>
            </w:r>
            <w:r w:rsidR="002B1E18">
              <w:rPr>
                <w:rFonts w:ascii="Arial" w:hAnsi="Arial" w:cs="Arial"/>
                <w:i/>
                <w:sz w:val="24"/>
                <w:szCs w:val="24"/>
              </w:rPr>
              <w:t>N</w:t>
            </w:r>
            <w:r w:rsidR="002B1E18" w:rsidRPr="002B1E18">
              <w:rPr>
                <w:rFonts w:ascii="Arial" w:hAnsi="Arial" w:cs="Arial"/>
                <w:i/>
                <w:sz w:val="24"/>
                <w:szCs w:val="24"/>
              </w:rPr>
              <w:t xml:space="preserve">ational </w:t>
            </w:r>
            <w:r w:rsidR="002B1E18">
              <w:rPr>
                <w:rFonts w:ascii="Arial" w:hAnsi="Arial" w:cs="Arial"/>
                <w:i/>
                <w:sz w:val="24"/>
                <w:szCs w:val="24"/>
              </w:rPr>
              <w:t>B</w:t>
            </w:r>
            <w:r w:rsidR="002B1E18" w:rsidRPr="002B1E18">
              <w:rPr>
                <w:rFonts w:ascii="Arial" w:hAnsi="Arial" w:cs="Arial"/>
                <w:i/>
                <w:sz w:val="24"/>
                <w:szCs w:val="24"/>
              </w:rPr>
              <w:t xml:space="preserve">ank </w:t>
            </w:r>
            <w:r w:rsidR="002B1E18">
              <w:rPr>
                <w:rFonts w:ascii="Arial" w:hAnsi="Arial" w:cs="Arial"/>
                <w:i/>
                <w:sz w:val="24"/>
                <w:szCs w:val="24"/>
              </w:rPr>
              <w:t>N</w:t>
            </w:r>
            <w:r w:rsidR="002B1E18" w:rsidRPr="002B1E18">
              <w:rPr>
                <w:rFonts w:ascii="Arial" w:hAnsi="Arial" w:cs="Arial"/>
                <w:i/>
                <w:sz w:val="24"/>
                <w:szCs w:val="24"/>
              </w:rPr>
              <w:t xml:space="preserve">amibia </w:t>
            </w:r>
            <w:r w:rsidR="002B1E18">
              <w:rPr>
                <w:rFonts w:ascii="Arial" w:hAnsi="Arial" w:cs="Arial"/>
                <w:i/>
                <w:sz w:val="24"/>
                <w:szCs w:val="24"/>
              </w:rPr>
              <w:t>L</w:t>
            </w:r>
            <w:r w:rsidR="002B1E18" w:rsidRPr="002B1E18">
              <w:rPr>
                <w:rFonts w:ascii="Arial" w:hAnsi="Arial" w:cs="Arial"/>
                <w:i/>
                <w:sz w:val="24"/>
                <w:szCs w:val="24"/>
              </w:rPr>
              <w:t>imited</w:t>
            </w:r>
            <w:r w:rsidR="00C7517F" w:rsidRPr="000B6579">
              <w:rPr>
                <w:rFonts w:ascii="Arial" w:hAnsi="Arial" w:cs="Arial"/>
                <w:i/>
                <w:sz w:val="24"/>
                <w:szCs w:val="24"/>
              </w:rPr>
              <w:t xml:space="preserve"> </w:t>
            </w:r>
            <w:r w:rsidR="004E3578">
              <w:rPr>
                <w:rFonts w:ascii="Arial" w:hAnsi="Arial" w:cs="Arial"/>
                <w:i/>
                <w:sz w:val="24"/>
                <w:szCs w:val="24"/>
                <w:shd w:val="clear" w:color="auto" w:fill="FFFFFF"/>
              </w:rPr>
              <w:t>v</w:t>
            </w:r>
            <w:bookmarkStart w:id="0" w:name="_GoBack"/>
            <w:bookmarkEnd w:id="0"/>
            <w:r w:rsidR="00C7517F" w:rsidRPr="000B6579">
              <w:rPr>
                <w:rFonts w:ascii="Arial" w:hAnsi="Arial" w:cs="Arial"/>
                <w:i/>
                <w:sz w:val="24"/>
                <w:szCs w:val="24"/>
                <w:shd w:val="clear" w:color="auto" w:fill="FFFFFF"/>
              </w:rPr>
              <w:t xml:space="preserve"> </w:t>
            </w:r>
            <w:r w:rsidR="002B1E18" w:rsidRPr="002B1E18">
              <w:rPr>
                <w:rFonts w:ascii="Arial" w:hAnsi="Arial" w:cs="Arial"/>
                <w:i/>
                <w:sz w:val="24"/>
                <w:szCs w:val="24"/>
              </w:rPr>
              <w:t>Mouton</w:t>
            </w:r>
            <w:r w:rsidRPr="004A5618">
              <w:rPr>
                <w:rFonts w:ascii="Arial" w:hAnsi="Arial" w:cs="Arial"/>
                <w:sz w:val="24"/>
                <w:szCs w:val="24"/>
              </w:rPr>
              <w:t xml:space="preserve"> (</w:t>
            </w:r>
            <w:r w:rsidR="002B1E18" w:rsidRPr="002B1E18">
              <w:rPr>
                <w:rFonts w:ascii="Arial" w:hAnsi="Arial" w:cs="Arial"/>
                <w:sz w:val="24"/>
                <w:szCs w:val="24"/>
              </w:rPr>
              <w:t>HC-MD-CIV-ACT-CON-2023/03503</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NA</w:t>
            </w:r>
            <w:r w:rsidR="003431EF">
              <w:rPr>
                <w:rFonts w:ascii="Arial" w:hAnsi="Arial" w:cs="Arial"/>
                <w:sz w:val="24"/>
                <w:szCs w:val="24"/>
              </w:rPr>
              <w:t>H</w:t>
            </w:r>
            <w:r w:rsidRPr="004A5618">
              <w:rPr>
                <w:rFonts w:ascii="Arial" w:hAnsi="Arial" w:cs="Arial"/>
                <w:sz w:val="24"/>
                <w:szCs w:val="24"/>
              </w:rPr>
              <w:t xml:space="preserve">CMD </w:t>
            </w:r>
            <w:r w:rsidR="005423F4">
              <w:rPr>
                <w:rFonts w:ascii="Arial" w:hAnsi="Arial" w:cs="Arial"/>
                <w:sz w:val="24"/>
                <w:szCs w:val="24"/>
              </w:rPr>
              <w:t>822</w:t>
            </w:r>
            <w:r w:rsidRPr="004A5618">
              <w:rPr>
                <w:rFonts w:ascii="Arial" w:hAnsi="Arial" w:cs="Arial"/>
                <w:sz w:val="24"/>
                <w:szCs w:val="24"/>
              </w:rPr>
              <w:t xml:space="preserve"> (</w:t>
            </w:r>
            <w:r w:rsidR="003431EF">
              <w:rPr>
                <w:rFonts w:ascii="Arial" w:hAnsi="Arial" w:cs="Arial"/>
                <w:sz w:val="24"/>
                <w:szCs w:val="24"/>
              </w:rPr>
              <w:t>13</w:t>
            </w:r>
            <w:r w:rsidR="00136505" w:rsidRPr="004A5618">
              <w:rPr>
                <w:rFonts w:ascii="Arial" w:hAnsi="Arial" w:cs="Arial"/>
                <w:sz w:val="24"/>
                <w:szCs w:val="24"/>
              </w:rPr>
              <w:t xml:space="preserve"> </w:t>
            </w:r>
            <w:r w:rsidR="003431EF">
              <w:rPr>
                <w:rFonts w:ascii="Arial" w:hAnsi="Arial" w:cs="Arial"/>
                <w:sz w:val="24"/>
                <w:szCs w:val="24"/>
              </w:rPr>
              <w:t>December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063BAC02" w14:textId="551DE19A" w:rsidR="00921E24" w:rsidRPr="007211CD" w:rsidRDefault="00921E24" w:rsidP="00921E24">
            <w:pPr>
              <w:pStyle w:val="ListParagraph"/>
              <w:numPr>
                <w:ilvl w:val="0"/>
                <w:numId w:val="31"/>
              </w:numPr>
              <w:spacing w:line="360" w:lineRule="auto"/>
              <w:ind w:left="743" w:hanging="710"/>
              <w:jc w:val="both"/>
              <w:rPr>
                <w:rFonts w:ascii="Arial" w:hAnsi="Arial" w:cs="Arial"/>
                <w:sz w:val="24"/>
                <w:szCs w:val="24"/>
              </w:rPr>
            </w:pPr>
            <w:r>
              <w:rPr>
                <w:rFonts w:ascii="Arial" w:hAnsi="Arial" w:cs="Arial"/>
                <w:sz w:val="24"/>
                <w:szCs w:val="24"/>
              </w:rPr>
              <w:t xml:space="preserve">The defendants’ condonation application is refused and no order </w:t>
            </w:r>
            <w:r w:rsidR="00BD51FC">
              <w:rPr>
                <w:rFonts w:ascii="Arial" w:hAnsi="Arial" w:cs="Arial"/>
                <w:sz w:val="24"/>
                <w:szCs w:val="24"/>
              </w:rPr>
              <w:t>as to</w:t>
            </w:r>
            <w:r>
              <w:rPr>
                <w:rFonts w:ascii="Arial" w:hAnsi="Arial" w:cs="Arial"/>
                <w:sz w:val="24"/>
                <w:szCs w:val="24"/>
              </w:rPr>
              <w:t xml:space="preserve"> costs is made in respect thereof.</w:t>
            </w:r>
          </w:p>
          <w:p w14:paraId="3A426AF8" w14:textId="77777777" w:rsidR="00921E24" w:rsidRPr="007211CD" w:rsidRDefault="00921E24" w:rsidP="00921E24">
            <w:pPr>
              <w:pStyle w:val="ListParagraph"/>
              <w:spacing w:line="360" w:lineRule="auto"/>
              <w:ind w:left="1080"/>
              <w:jc w:val="both"/>
              <w:rPr>
                <w:rFonts w:ascii="Arial" w:hAnsi="Arial" w:cs="Arial"/>
                <w:sz w:val="24"/>
                <w:szCs w:val="24"/>
              </w:rPr>
            </w:pPr>
          </w:p>
          <w:p w14:paraId="210E864F" w14:textId="77777777" w:rsidR="00921E24" w:rsidRPr="007211CD" w:rsidRDefault="00921E24" w:rsidP="00921E24">
            <w:pPr>
              <w:pStyle w:val="ListParagraph"/>
              <w:numPr>
                <w:ilvl w:val="0"/>
                <w:numId w:val="31"/>
              </w:numPr>
              <w:spacing w:line="360" w:lineRule="auto"/>
              <w:ind w:left="743" w:hanging="743"/>
              <w:jc w:val="both"/>
              <w:rPr>
                <w:rFonts w:ascii="Arial" w:hAnsi="Arial" w:cs="Arial"/>
                <w:sz w:val="24"/>
                <w:szCs w:val="24"/>
              </w:rPr>
            </w:pPr>
            <w:r>
              <w:rPr>
                <w:rFonts w:ascii="Arial" w:hAnsi="Arial" w:cs="Arial"/>
                <w:sz w:val="24"/>
                <w:szCs w:val="24"/>
              </w:rPr>
              <w:t>Summary judgment is granted in favour of the plaintiff against the first and second defendants jointly and severally, the one paying the other to be absolved, with costs, including costs of one instructing counsel and one instructed counsel on the scale as between attorney (legal practitioner) and own client.</w:t>
            </w:r>
          </w:p>
          <w:p w14:paraId="454352D9" w14:textId="77777777" w:rsidR="00921E24" w:rsidRPr="007211CD" w:rsidRDefault="00921E24" w:rsidP="00921E24">
            <w:pPr>
              <w:pStyle w:val="ListParagraph"/>
              <w:spacing w:line="360" w:lineRule="auto"/>
              <w:ind w:left="743" w:hanging="743"/>
              <w:jc w:val="both"/>
              <w:rPr>
                <w:rFonts w:ascii="Arial" w:hAnsi="Arial" w:cs="Arial"/>
                <w:sz w:val="24"/>
                <w:szCs w:val="24"/>
              </w:rPr>
            </w:pPr>
          </w:p>
          <w:p w14:paraId="1D7360B2" w14:textId="72E9E401" w:rsidR="008C2200" w:rsidRPr="004A5618" w:rsidRDefault="00921E24" w:rsidP="00874EE5">
            <w:pPr>
              <w:spacing w:line="360" w:lineRule="auto"/>
              <w:ind w:left="743" w:hanging="743"/>
              <w:jc w:val="both"/>
              <w:rPr>
                <w:rFonts w:ascii="Arial" w:hAnsi="Arial" w:cs="Arial"/>
              </w:rPr>
            </w:pPr>
            <w:r w:rsidRPr="00100AB5">
              <w:rPr>
                <w:rFonts w:ascii="Arial" w:hAnsi="Arial" w:cs="Arial"/>
                <w:sz w:val="24"/>
                <w:szCs w:val="24"/>
              </w:rPr>
              <w:t>3.</w:t>
            </w:r>
            <w:r w:rsidRPr="00100AB5">
              <w:rPr>
                <w:rFonts w:ascii="Arial" w:hAnsi="Arial" w:cs="Arial"/>
                <w:sz w:val="24"/>
                <w:szCs w:val="24"/>
              </w:rPr>
              <w:tab/>
              <w:t>The matter is finalised and removed from the roll.</w:t>
            </w: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7E3E88F1"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18F27CFF" w14:textId="6C5DF197" w:rsidR="007F0F47" w:rsidRPr="00100AB5" w:rsidRDefault="007F0F47" w:rsidP="008B7248">
            <w:pPr>
              <w:spacing w:line="360" w:lineRule="auto"/>
              <w:ind w:right="33"/>
              <w:jc w:val="both"/>
              <w:rPr>
                <w:rFonts w:ascii="Arial" w:hAnsi="Arial" w:cs="Arial"/>
                <w:sz w:val="24"/>
                <w:szCs w:val="24"/>
              </w:rPr>
            </w:pPr>
            <w:r>
              <w:rPr>
                <w:rFonts w:ascii="Arial" w:hAnsi="Arial" w:cs="Arial"/>
                <w:sz w:val="24"/>
                <w:szCs w:val="24"/>
              </w:rPr>
              <w:t>[1]</w:t>
            </w:r>
            <w:r>
              <w:rPr>
                <w:rFonts w:ascii="Arial" w:hAnsi="Arial" w:cs="Arial"/>
                <w:sz w:val="24"/>
                <w:szCs w:val="24"/>
              </w:rPr>
              <w:tab/>
            </w:r>
            <w:r w:rsidR="009328D7">
              <w:rPr>
                <w:rFonts w:ascii="Arial" w:hAnsi="Arial" w:cs="Arial"/>
                <w:sz w:val="24"/>
                <w:szCs w:val="24"/>
              </w:rPr>
              <w:t>The instant action was instituted as long ago as July 2023. The case plan had alerted the defendants that the plaintiff would bring a summary judgment application. The application was launched on 1 November 2023 and it was set down to be heard on 14 November 2023.  The court ordered that the defendants should file opposing papers on or before 20 September 2023.  The defendants failed to comply with the court order.</w:t>
            </w:r>
          </w:p>
          <w:p w14:paraId="03FEB3BA" w14:textId="42637263" w:rsidR="00B45E7F" w:rsidRPr="004A2855" w:rsidRDefault="007204DC" w:rsidP="00B32493">
            <w:pPr>
              <w:spacing w:line="360" w:lineRule="auto"/>
              <w:jc w:val="both"/>
              <w:rPr>
                <w:rFonts w:ascii="Arial" w:hAnsi="Arial" w:cs="Arial"/>
              </w:rPr>
            </w:pPr>
            <w:r w:rsidRPr="00EE4364">
              <w:rPr>
                <w:rFonts w:ascii="Arial" w:hAnsi="Arial" w:cs="Arial"/>
              </w:rPr>
              <w:tab/>
            </w:r>
          </w:p>
          <w:p w14:paraId="18DB7461" w14:textId="41156FC4" w:rsidR="001011B6"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4C5EA6">
              <w:rPr>
                <w:rFonts w:ascii="Arial" w:hAnsi="Arial" w:cs="Arial"/>
                <w:sz w:val="24"/>
                <w:szCs w:val="24"/>
              </w:rPr>
              <w:t>Consequently, they filed an application to condone their non-compliance with the 20 September 2023 order on 14 November 2023, the very set down date for the hearing of the summary judgment application.  The plaintiff has moved to reject the condonation application and has moved the court to grant summary judgment.</w:t>
            </w:r>
          </w:p>
          <w:p w14:paraId="3330C676" w14:textId="77777777" w:rsidR="007F0F47" w:rsidRDefault="007F0F47" w:rsidP="00B32493">
            <w:pPr>
              <w:spacing w:line="360" w:lineRule="auto"/>
              <w:jc w:val="both"/>
              <w:rPr>
                <w:rFonts w:ascii="Arial" w:hAnsi="Arial" w:cs="Arial"/>
                <w:sz w:val="24"/>
                <w:szCs w:val="24"/>
              </w:rPr>
            </w:pPr>
          </w:p>
          <w:p w14:paraId="2C28AA7B" w14:textId="26797D0D" w:rsidR="007F0F47" w:rsidRDefault="001011B6" w:rsidP="002B1E18">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00263481">
              <w:rPr>
                <w:rFonts w:ascii="Arial" w:hAnsi="Arial" w:cs="Arial"/>
                <w:sz w:val="24"/>
                <w:szCs w:val="24"/>
              </w:rPr>
              <w:t>As respects such condonation application –</w:t>
            </w:r>
          </w:p>
          <w:p w14:paraId="6C07940A" w14:textId="77777777" w:rsidR="00263481" w:rsidRDefault="00263481" w:rsidP="002B1E18">
            <w:pPr>
              <w:spacing w:line="360" w:lineRule="auto"/>
              <w:jc w:val="both"/>
              <w:rPr>
                <w:rFonts w:ascii="Arial" w:hAnsi="Arial" w:cs="Arial"/>
                <w:sz w:val="24"/>
                <w:szCs w:val="24"/>
              </w:rPr>
            </w:pPr>
          </w:p>
          <w:p w14:paraId="1DBF2741" w14:textId="4C7BD13F" w:rsidR="00263481" w:rsidRPr="009273A5" w:rsidRDefault="00263481" w:rsidP="002B1E18">
            <w:pPr>
              <w:spacing w:line="360" w:lineRule="auto"/>
              <w:jc w:val="both"/>
              <w:rPr>
                <w:rFonts w:ascii="Arial" w:hAnsi="Arial" w:cs="Arial"/>
              </w:rPr>
            </w:pPr>
            <w:r w:rsidRPr="004A5618">
              <w:rPr>
                <w:rFonts w:ascii="Arial" w:hAnsi="Arial" w:cs="Arial"/>
                <w:sz w:val="24"/>
                <w:szCs w:val="24"/>
              </w:rPr>
              <w:tab/>
            </w:r>
            <w:r w:rsidRPr="009273A5">
              <w:rPr>
                <w:rFonts w:ascii="Arial" w:hAnsi="Arial" w:cs="Arial"/>
              </w:rPr>
              <w:t>‘It is well settled that an application for condonation is required to meet the two requisites of good cause before he or she can succeed in such an application. These entail firstly establishing a reasonable and acceptable explanation for the delay and secondly satisfying the court that there are reasonable prospects of success ….’</w:t>
            </w:r>
            <w:r w:rsidRPr="009273A5">
              <w:rPr>
                <w:rStyle w:val="FootnoteReference"/>
                <w:rFonts w:ascii="Arial" w:hAnsi="Arial" w:cs="Arial"/>
              </w:rPr>
              <w:footnoteReference w:id="1"/>
            </w:r>
          </w:p>
          <w:p w14:paraId="360C6150" w14:textId="746BF9BF" w:rsidR="001011B6" w:rsidRDefault="001011B6" w:rsidP="00B32493">
            <w:pPr>
              <w:spacing w:line="360" w:lineRule="auto"/>
              <w:jc w:val="both"/>
              <w:rPr>
                <w:rFonts w:ascii="Arial" w:hAnsi="Arial" w:cs="Arial"/>
                <w:sz w:val="24"/>
                <w:szCs w:val="24"/>
              </w:rPr>
            </w:pPr>
          </w:p>
          <w:p w14:paraId="0C402A64" w14:textId="11DCE66A" w:rsidR="00C43E50"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ab/>
            </w:r>
            <w:r w:rsidR="007069EC">
              <w:rPr>
                <w:rFonts w:ascii="Arial" w:hAnsi="Arial" w:cs="Arial"/>
                <w:sz w:val="24"/>
                <w:szCs w:val="24"/>
              </w:rPr>
              <w:t>It has also been held that ‘the application for condonation must thus</w:t>
            </w:r>
            <w:r w:rsidR="00874EE5">
              <w:rPr>
                <w:rFonts w:ascii="Arial" w:hAnsi="Arial" w:cs="Arial"/>
                <w:sz w:val="24"/>
                <w:szCs w:val="24"/>
              </w:rPr>
              <w:t>,</w:t>
            </w:r>
            <w:r w:rsidR="007069EC">
              <w:rPr>
                <w:rFonts w:ascii="Arial" w:hAnsi="Arial" w:cs="Arial"/>
                <w:sz w:val="24"/>
                <w:szCs w:val="24"/>
              </w:rPr>
              <w:t xml:space="preserve"> be lodged without delay, and must provide a full, and accurate explanation for it (ie the delay)’.</w:t>
            </w:r>
            <w:r w:rsidR="007069EC">
              <w:rPr>
                <w:rStyle w:val="FootnoteReference"/>
                <w:rFonts w:ascii="Arial" w:hAnsi="Arial" w:cs="Arial"/>
                <w:sz w:val="24"/>
                <w:szCs w:val="24"/>
              </w:rPr>
              <w:footnoteReference w:id="2"/>
            </w:r>
            <w:r w:rsidR="007069EC">
              <w:rPr>
                <w:rFonts w:ascii="Arial" w:hAnsi="Arial" w:cs="Arial"/>
                <w:sz w:val="24"/>
                <w:szCs w:val="24"/>
              </w:rPr>
              <w:t xml:space="preserve">  As I have said previously, the order was made on 20 September 2023, and the defendants launched their condonation application on 14 November 2023, the very day the application for summa</w:t>
            </w:r>
            <w:r w:rsidR="007A650B">
              <w:rPr>
                <w:rFonts w:ascii="Arial" w:hAnsi="Arial" w:cs="Arial"/>
                <w:sz w:val="24"/>
                <w:szCs w:val="24"/>
              </w:rPr>
              <w:t xml:space="preserve">ry judgment was set to be heard, thus offending </w:t>
            </w:r>
            <w:r w:rsidR="007A650B" w:rsidRPr="007A650B">
              <w:rPr>
                <w:rFonts w:ascii="Arial" w:hAnsi="Arial" w:cs="Arial"/>
                <w:i/>
                <w:sz w:val="24"/>
                <w:szCs w:val="24"/>
              </w:rPr>
              <w:t>Balzer v Vries</w:t>
            </w:r>
            <w:r w:rsidR="007A650B">
              <w:rPr>
                <w:rFonts w:ascii="Arial" w:hAnsi="Arial" w:cs="Arial"/>
                <w:sz w:val="24"/>
                <w:szCs w:val="24"/>
              </w:rPr>
              <w:t>.</w:t>
            </w:r>
            <w:r w:rsidR="007A650B">
              <w:rPr>
                <w:rStyle w:val="FootnoteReference"/>
                <w:rFonts w:ascii="Arial" w:hAnsi="Arial" w:cs="Arial"/>
                <w:sz w:val="24"/>
                <w:szCs w:val="24"/>
              </w:rPr>
              <w:footnoteReference w:id="3"/>
            </w:r>
          </w:p>
          <w:p w14:paraId="06EB7C5C" w14:textId="77777777" w:rsidR="001E6B86" w:rsidRDefault="001E6B86" w:rsidP="002850A3">
            <w:pPr>
              <w:spacing w:line="360" w:lineRule="auto"/>
              <w:jc w:val="both"/>
              <w:rPr>
                <w:rFonts w:ascii="Arial" w:hAnsi="Arial" w:cs="Arial"/>
                <w:sz w:val="24"/>
                <w:szCs w:val="24"/>
              </w:rPr>
            </w:pPr>
          </w:p>
          <w:p w14:paraId="41C5794F" w14:textId="34860164" w:rsidR="001E6B86" w:rsidRDefault="00B32493" w:rsidP="00060B06">
            <w:pPr>
              <w:spacing w:line="360" w:lineRule="auto"/>
              <w:ind w:left="34"/>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CD5D0B">
              <w:rPr>
                <w:rFonts w:ascii="Arial" w:hAnsi="Arial" w:cs="Arial"/>
                <w:sz w:val="24"/>
                <w:szCs w:val="24"/>
              </w:rPr>
              <w:t>Furthermore, in the instant application the only meaningful explanation that has been given for the non-compliance with the said 20 September 2023 order is this lone and naked explanation:</w:t>
            </w:r>
          </w:p>
          <w:p w14:paraId="13F0216A" w14:textId="77777777" w:rsidR="00CD5D0B" w:rsidRDefault="00CD5D0B" w:rsidP="00060B06">
            <w:pPr>
              <w:spacing w:line="360" w:lineRule="auto"/>
              <w:ind w:left="34"/>
              <w:jc w:val="both"/>
              <w:rPr>
                <w:rFonts w:ascii="Arial" w:hAnsi="Arial" w:cs="Arial"/>
                <w:sz w:val="24"/>
                <w:szCs w:val="24"/>
              </w:rPr>
            </w:pPr>
          </w:p>
          <w:p w14:paraId="4018708C" w14:textId="08383E6B" w:rsidR="00CD5D0B" w:rsidRPr="00060B06" w:rsidRDefault="00CD5D0B" w:rsidP="00060B06">
            <w:pPr>
              <w:spacing w:line="360" w:lineRule="auto"/>
              <w:ind w:left="34"/>
              <w:jc w:val="both"/>
              <w:rPr>
                <w:rFonts w:ascii="Arial" w:hAnsi="Arial" w:cs="Arial"/>
              </w:rPr>
            </w:pPr>
            <w:r w:rsidRPr="004A5618">
              <w:rPr>
                <w:rFonts w:ascii="Arial" w:hAnsi="Arial" w:cs="Arial"/>
                <w:sz w:val="24"/>
                <w:szCs w:val="24"/>
              </w:rPr>
              <w:lastRenderedPageBreak/>
              <w:tab/>
            </w:r>
            <w:r w:rsidRPr="00060B06">
              <w:rPr>
                <w:rFonts w:ascii="Arial" w:hAnsi="Arial" w:cs="Arial"/>
              </w:rPr>
              <w:t>‘At the outset, I unreservedly apologize for the Applicants failure to comply with the rules of court. The non-compliance was not intentional but was due to an oversight to the fact that the filing dates for the objection were not diarized.’</w:t>
            </w:r>
          </w:p>
          <w:p w14:paraId="23365F4A" w14:textId="3E9052CE" w:rsidR="00B32493" w:rsidRPr="004A5618" w:rsidRDefault="00B32493" w:rsidP="00B32493">
            <w:pPr>
              <w:spacing w:line="360" w:lineRule="auto"/>
              <w:jc w:val="both"/>
              <w:rPr>
                <w:rFonts w:ascii="Arial" w:hAnsi="Arial" w:cs="Arial"/>
                <w:sz w:val="24"/>
                <w:szCs w:val="24"/>
              </w:rPr>
            </w:pPr>
          </w:p>
          <w:p w14:paraId="297A0B4A" w14:textId="36250F29" w:rsidR="001E6B86" w:rsidRPr="00100AB5" w:rsidRDefault="00B32493" w:rsidP="001E6B86">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6C6464">
              <w:rPr>
                <w:rFonts w:ascii="Arial" w:hAnsi="Arial" w:cs="Arial"/>
                <w:sz w:val="24"/>
                <w:szCs w:val="24"/>
              </w:rPr>
              <w:t xml:space="preserve">Doubtless, the defendants’ explanation is a far cry from the requisite of ‘a reasonable and acceptable explanation’ laid down by the Supreme Court in </w:t>
            </w:r>
            <w:r w:rsidR="006C6464" w:rsidRPr="00EE34E6">
              <w:rPr>
                <w:rFonts w:ascii="Arial" w:hAnsi="Arial" w:cs="Arial"/>
                <w:i/>
                <w:sz w:val="24"/>
                <w:szCs w:val="24"/>
              </w:rPr>
              <w:t>Balzer v Vries</w:t>
            </w:r>
            <w:r w:rsidR="006C6464">
              <w:rPr>
                <w:rFonts w:ascii="Arial" w:hAnsi="Arial" w:cs="Arial"/>
                <w:sz w:val="24"/>
                <w:szCs w:val="24"/>
              </w:rPr>
              <w:t>.</w:t>
            </w:r>
            <w:r w:rsidR="006C6464">
              <w:rPr>
                <w:rStyle w:val="FootnoteReference"/>
                <w:rFonts w:ascii="Arial" w:hAnsi="Arial" w:cs="Arial"/>
                <w:sz w:val="24"/>
                <w:szCs w:val="24"/>
              </w:rPr>
              <w:footnoteReference w:id="4"/>
            </w:r>
            <w:r w:rsidR="005B558B">
              <w:rPr>
                <w:rFonts w:ascii="Arial" w:hAnsi="Arial" w:cs="Arial"/>
                <w:sz w:val="24"/>
                <w:szCs w:val="24"/>
              </w:rPr>
              <w:t xml:space="preserve">  Robin Cook, an American physician and author, said, ‘If it looks like a duck, quacks like a duck, it’s a duck.’</w:t>
            </w:r>
            <w:r w:rsidR="005B558B">
              <w:rPr>
                <w:rStyle w:val="FootnoteReference"/>
                <w:rFonts w:ascii="Arial" w:hAnsi="Arial" w:cs="Arial"/>
                <w:sz w:val="24"/>
                <w:szCs w:val="24"/>
              </w:rPr>
              <w:footnoteReference w:id="5"/>
            </w:r>
            <w:r w:rsidR="00360B84">
              <w:rPr>
                <w:rFonts w:ascii="Arial" w:hAnsi="Arial" w:cs="Arial"/>
                <w:sz w:val="24"/>
                <w:szCs w:val="24"/>
              </w:rPr>
              <w:t xml:space="preserve">  The defendants’ explanation does not look like a reasonable and acceptable explanation, and it does not quack like a reasonable and acceptable explanation. It is not a reasonable and acceptable explanation at all.</w:t>
            </w:r>
          </w:p>
          <w:p w14:paraId="77F269AE" w14:textId="760E9BC0" w:rsidR="00B32493" w:rsidRPr="004A5618" w:rsidRDefault="00B32493" w:rsidP="00B32493">
            <w:pPr>
              <w:spacing w:line="360" w:lineRule="auto"/>
              <w:jc w:val="both"/>
              <w:rPr>
                <w:rFonts w:ascii="Arial" w:hAnsi="Arial" w:cs="Arial"/>
                <w:sz w:val="24"/>
                <w:szCs w:val="24"/>
              </w:rPr>
            </w:pPr>
          </w:p>
          <w:p w14:paraId="6CA8DC1C" w14:textId="7287897A" w:rsidR="001E6B86" w:rsidRPr="00100AB5" w:rsidRDefault="00B32493" w:rsidP="001E6B86">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C1722E">
              <w:rPr>
                <w:rFonts w:ascii="Arial" w:hAnsi="Arial" w:cs="Arial"/>
                <w:sz w:val="24"/>
                <w:szCs w:val="24"/>
              </w:rPr>
              <w:t xml:space="preserve">Furthermore, the defendants have failed to address sufficiently and satisfactorily their prospects of success </w:t>
            </w:r>
            <w:r w:rsidR="00414D44">
              <w:rPr>
                <w:rFonts w:ascii="Arial" w:hAnsi="Arial" w:cs="Arial"/>
                <w:sz w:val="24"/>
                <w:szCs w:val="24"/>
              </w:rPr>
              <w:t>with regard to</w:t>
            </w:r>
            <w:r w:rsidR="00C1722E">
              <w:rPr>
                <w:rFonts w:ascii="Arial" w:hAnsi="Arial" w:cs="Arial"/>
                <w:sz w:val="24"/>
                <w:szCs w:val="24"/>
              </w:rPr>
              <w:t xml:space="preserve"> the summary judgment application.  Failure to address their prospects of success is fatal.</w:t>
            </w:r>
            <w:r w:rsidR="00C1722E">
              <w:rPr>
                <w:rStyle w:val="FootnoteReference"/>
                <w:rFonts w:ascii="Arial" w:hAnsi="Arial" w:cs="Arial"/>
                <w:sz w:val="24"/>
                <w:szCs w:val="24"/>
              </w:rPr>
              <w:footnoteReference w:id="6"/>
            </w:r>
            <w:r w:rsidR="00330E6C">
              <w:rPr>
                <w:rFonts w:ascii="Arial" w:hAnsi="Arial" w:cs="Arial"/>
                <w:sz w:val="24"/>
                <w:szCs w:val="24"/>
              </w:rPr>
              <w:t xml:space="preserve">  The question of prospects of success in condonation application is so vital that in </w:t>
            </w:r>
            <w:r w:rsidR="00330E6C" w:rsidRPr="00EE34E6">
              <w:rPr>
                <w:rFonts w:ascii="Arial" w:hAnsi="Arial" w:cs="Arial"/>
                <w:i/>
                <w:sz w:val="24"/>
                <w:szCs w:val="24"/>
              </w:rPr>
              <w:t>Namibia Power Corporation (Pty) Ltd v Michael Kaapehi</w:t>
            </w:r>
            <w:r w:rsidR="00330E6C">
              <w:rPr>
                <w:rFonts w:ascii="Arial" w:hAnsi="Arial" w:cs="Arial"/>
                <w:sz w:val="24"/>
                <w:szCs w:val="24"/>
              </w:rPr>
              <w:t>,</w:t>
            </w:r>
            <w:r w:rsidR="00330E6C">
              <w:rPr>
                <w:rStyle w:val="FootnoteReference"/>
                <w:rFonts w:ascii="Arial" w:hAnsi="Arial" w:cs="Arial"/>
                <w:sz w:val="24"/>
                <w:szCs w:val="24"/>
              </w:rPr>
              <w:footnoteReference w:id="7"/>
            </w:r>
            <w:r w:rsidR="00015134">
              <w:rPr>
                <w:rFonts w:ascii="Arial" w:hAnsi="Arial" w:cs="Arial"/>
                <w:sz w:val="24"/>
                <w:szCs w:val="24"/>
              </w:rPr>
              <w:t xml:space="preserve"> the Supreme Court laid it down that good prospects of success may lead to a condonation application being granted even if the explanation for non-compliance with a rule is not entirely satisfactory.</w:t>
            </w:r>
          </w:p>
          <w:p w14:paraId="3103EDE3" w14:textId="77777777" w:rsidR="00B32493" w:rsidRPr="004A5618" w:rsidRDefault="00B32493" w:rsidP="00B32493">
            <w:pPr>
              <w:spacing w:line="360" w:lineRule="auto"/>
              <w:jc w:val="both"/>
              <w:rPr>
                <w:rFonts w:ascii="Arial" w:hAnsi="Arial" w:cs="Arial"/>
                <w:sz w:val="24"/>
                <w:szCs w:val="24"/>
              </w:rPr>
            </w:pPr>
          </w:p>
          <w:p w14:paraId="2EDA1EE8" w14:textId="377C06C0" w:rsidR="002E20B1" w:rsidRPr="00100AB5" w:rsidRDefault="00B32493" w:rsidP="002E20B1">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00DC5666" w:rsidRPr="004A5618">
              <w:rPr>
                <w:rFonts w:ascii="Arial" w:hAnsi="Arial" w:cs="Arial"/>
                <w:sz w:val="24"/>
                <w:szCs w:val="24"/>
              </w:rPr>
              <w:tab/>
            </w:r>
            <w:r w:rsidR="00866039">
              <w:rPr>
                <w:rFonts w:ascii="Arial" w:hAnsi="Arial" w:cs="Arial"/>
                <w:sz w:val="24"/>
                <w:szCs w:val="24"/>
              </w:rPr>
              <w:t>The conclusion is inescapable that in the exercise of my discretion, I cannot grant</w:t>
            </w:r>
            <w:r w:rsidR="00187084">
              <w:rPr>
                <w:rFonts w:ascii="Arial" w:hAnsi="Arial" w:cs="Arial"/>
                <w:sz w:val="24"/>
                <w:szCs w:val="24"/>
              </w:rPr>
              <w:t xml:space="preserve"> the</w:t>
            </w:r>
            <w:r w:rsidR="00866039">
              <w:rPr>
                <w:rFonts w:ascii="Arial" w:hAnsi="Arial" w:cs="Arial"/>
                <w:sz w:val="24"/>
                <w:szCs w:val="24"/>
              </w:rPr>
              <w:t xml:space="preserve"> condonation sought by the defendants without offending the aforementioned authorities.</w:t>
            </w:r>
          </w:p>
          <w:p w14:paraId="469F4013" w14:textId="6A392F57" w:rsidR="00DC5666" w:rsidRDefault="00DC5666" w:rsidP="008E5E3D">
            <w:pPr>
              <w:spacing w:line="360" w:lineRule="auto"/>
              <w:jc w:val="both"/>
              <w:rPr>
                <w:rFonts w:ascii="Arial" w:hAnsi="Arial" w:cs="Arial"/>
                <w:sz w:val="24"/>
                <w:szCs w:val="24"/>
              </w:rPr>
            </w:pPr>
          </w:p>
          <w:p w14:paraId="35083F65" w14:textId="2C1BBF5B" w:rsidR="002E20B1" w:rsidRPr="00100AB5" w:rsidRDefault="00DC5666" w:rsidP="002E20B1">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ab/>
            </w:r>
            <w:r w:rsidR="00CB08C7">
              <w:rPr>
                <w:rFonts w:ascii="Arial" w:hAnsi="Arial" w:cs="Arial"/>
                <w:sz w:val="24"/>
                <w:szCs w:val="24"/>
              </w:rPr>
              <w:t>The refusal of the condonation</w:t>
            </w:r>
            <w:r w:rsidR="00187084">
              <w:rPr>
                <w:rFonts w:ascii="Arial" w:hAnsi="Arial" w:cs="Arial"/>
                <w:sz w:val="24"/>
                <w:szCs w:val="24"/>
              </w:rPr>
              <w:t xml:space="preserve"> application</w:t>
            </w:r>
            <w:r w:rsidR="00CB08C7">
              <w:rPr>
                <w:rFonts w:ascii="Arial" w:hAnsi="Arial" w:cs="Arial"/>
                <w:sz w:val="24"/>
                <w:szCs w:val="24"/>
              </w:rPr>
              <w:t xml:space="preserve"> has resulted in the following consequences, as I demonstrate, with regard to the plaintiff’s application for summary judgment.</w:t>
            </w:r>
          </w:p>
          <w:p w14:paraId="6A805D8A" w14:textId="51F81346" w:rsidR="00B32493" w:rsidRDefault="00B32493" w:rsidP="008E5E3D">
            <w:pPr>
              <w:spacing w:line="360" w:lineRule="auto"/>
              <w:jc w:val="both"/>
              <w:rPr>
                <w:rFonts w:ascii="Arial" w:hAnsi="Arial" w:cs="Arial"/>
                <w:sz w:val="24"/>
                <w:szCs w:val="24"/>
              </w:rPr>
            </w:pPr>
          </w:p>
          <w:p w14:paraId="270EBA5C" w14:textId="5EA81ACF" w:rsidR="006972CD" w:rsidRPr="00FD4F67" w:rsidRDefault="002B44E0" w:rsidP="006972CD">
            <w:pPr>
              <w:spacing w:line="360" w:lineRule="auto"/>
              <w:ind w:left="20" w:hanging="20"/>
              <w:jc w:val="both"/>
              <w:rPr>
                <w:rFonts w:ascii="Arial" w:hAnsi="Arial" w:cs="Arial"/>
              </w:rPr>
            </w:pPr>
            <w:r>
              <w:rPr>
                <w:rFonts w:ascii="Arial" w:hAnsi="Arial" w:cs="Arial"/>
                <w:sz w:val="24"/>
                <w:szCs w:val="24"/>
              </w:rPr>
              <w:t>[</w:t>
            </w:r>
            <w:r w:rsidR="00B30526">
              <w:rPr>
                <w:rFonts w:ascii="Arial" w:hAnsi="Arial" w:cs="Arial"/>
                <w:sz w:val="24"/>
                <w:szCs w:val="24"/>
              </w:rPr>
              <w:t>10</w:t>
            </w:r>
            <w:r>
              <w:rPr>
                <w:rFonts w:ascii="Arial" w:hAnsi="Arial" w:cs="Arial"/>
                <w:sz w:val="24"/>
                <w:szCs w:val="24"/>
              </w:rPr>
              <w:t>]</w:t>
            </w:r>
            <w:r w:rsidRPr="004A5618">
              <w:rPr>
                <w:rFonts w:ascii="Arial" w:hAnsi="Arial" w:cs="Arial"/>
                <w:sz w:val="24"/>
                <w:szCs w:val="24"/>
              </w:rPr>
              <w:tab/>
            </w:r>
            <w:r w:rsidR="006972CD">
              <w:rPr>
                <w:rFonts w:ascii="Arial" w:hAnsi="Arial" w:cs="Arial"/>
                <w:sz w:val="24"/>
                <w:szCs w:val="24"/>
              </w:rPr>
              <w:t>The purpose of an order in terms of rule 60 of the rules of court is to enable a plaintiff to obtain a summary judgment swiftly without trial, if the plaintiff has a clear case and if the defendant is unable to set up a bona fide defence, which is good in law</w:t>
            </w:r>
            <w:r w:rsidR="00B60282">
              <w:rPr>
                <w:rFonts w:ascii="Arial" w:hAnsi="Arial" w:cs="Arial"/>
                <w:sz w:val="24"/>
                <w:szCs w:val="24"/>
              </w:rPr>
              <w:t>,</w:t>
            </w:r>
            <w:r w:rsidR="006972CD">
              <w:rPr>
                <w:rFonts w:ascii="Arial" w:hAnsi="Arial" w:cs="Arial"/>
                <w:sz w:val="24"/>
                <w:szCs w:val="24"/>
              </w:rPr>
              <w:t xml:space="preserve"> or raise an issue against the claim which ought to be tried.</w:t>
            </w:r>
            <w:r w:rsidR="006972CD">
              <w:rPr>
                <w:rStyle w:val="FootnoteReference"/>
                <w:rFonts w:ascii="Arial" w:hAnsi="Arial" w:cs="Arial"/>
                <w:sz w:val="24"/>
                <w:szCs w:val="24"/>
              </w:rPr>
              <w:footnoteReference w:id="8"/>
            </w:r>
          </w:p>
          <w:p w14:paraId="599172B0" w14:textId="03A98692" w:rsidR="00B32493" w:rsidRPr="004A5618" w:rsidRDefault="00B32493" w:rsidP="00B32493">
            <w:pPr>
              <w:spacing w:line="360" w:lineRule="auto"/>
              <w:jc w:val="both"/>
              <w:rPr>
                <w:rFonts w:ascii="Arial" w:hAnsi="Arial" w:cs="Arial"/>
                <w:sz w:val="24"/>
                <w:szCs w:val="24"/>
              </w:rPr>
            </w:pPr>
          </w:p>
          <w:p w14:paraId="48B0E172" w14:textId="64692AB3" w:rsidR="006972CD" w:rsidRPr="00C20D72" w:rsidRDefault="00B32493" w:rsidP="006972CD">
            <w:pPr>
              <w:spacing w:line="360" w:lineRule="auto"/>
              <w:ind w:left="20" w:hanging="20"/>
              <w:jc w:val="both"/>
              <w:rPr>
                <w:rFonts w:ascii="Arial" w:hAnsi="Arial" w:cs="Arial"/>
              </w:rPr>
            </w:pPr>
            <w:r w:rsidRPr="008E74B0">
              <w:rPr>
                <w:rFonts w:ascii="Arial" w:hAnsi="Arial" w:cs="Arial"/>
                <w:sz w:val="24"/>
                <w:szCs w:val="24"/>
              </w:rPr>
              <w:t>[</w:t>
            </w:r>
            <w:r w:rsidR="008E74B0">
              <w:rPr>
                <w:rFonts w:ascii="Arial" w:hAnsi="Arial" w:cs="Arial"/>
                <w:sz w:val="24"/>
                <w:szCs w:val="24"/>
              </w:rPr>
              <w:t>1</w:t>
            </w:r>
            <w:r w:rsidR="00B30526">
              <w:rPr>
                <w:rFonts w:ascii="Arial" w:hAnsi="Arial" w:cs="Arial"/>
                <w:sz w:val="24"/>
                <w:szCs w:val="24"/>
              </w:rPr>
              <w:t>1</w:t>
            </w:r>
            <w:r w:rsidRPr="008E74B0">
              <w:rPr>
                <w:rFonts w:ascii="Arial" w:hAnsi="Arial" w:cs="Arial"/>
                <w:sz w:val="24"/>
                <w:szCs w:val="24"/>
              </w:rPr>
              <w:t>]</w:t>
            </w:r>
            <w:r w:rsidRPr="004A5618">
              <w:rPr>
                <w:rFonts w:ascii="Arial" w:hAnsi="Arial" w:cs="Arial"/>
                <w:sz w:val="24"/>
                <w:szCs w:val="24"/>
              </w:rPr>
              <w:tab/>
            </w:r>
            <w:r w:rsidR="009D0E8F">
              <w:rPr>
                <w:rFonts w:ascii="Arial" w:hAnsi="Arial" w:cs="Arial"/>
                <w:sz w:val="24"/>
                <w:szCs w:val="24"/>
              </w:rPr>
              <w:t>I</w:t>
            </w:r>
            <w:r w:rsidR="006972CD">
              <w:rPr>
                <w:rFonts w:ascii="Arial" w:hAnsi="Arial" w:cs="Arial"/>
                <w:sz w:val="24"/>
                <w:szCs w:val="24"/>
              </w:rPr>
              <w:t xml:space="preserve">n order to resist a summary judgment order, the defendant bears the onus of satisfying the court that he or she has set up a bona fide defence which is good in law or that he or she </w:t>
            </w:r>
            <w:r w:rsidR="006972CD">
              <w:rPr>
                <w:rFonts w:ascii="Arial" w:hAnsi="Arial" w:cs="Arial"/>
                <w:sz w:val="24"/>
                <w:szCs w:val="24"/>
              </w:rPr>
              <w:lastRenderedPageBreak/>
              <w:t>has raised an issue which ought to be tried.  To establish these requisites, the defendant must fully disclose the nature and grounds of the defence and the material facts upon which that defence is founded, in the sense that there ‘need to be’ factual material placed before the court sufficiently placing in doubt that the plaintiff’s claim is unanswerable.</w:t>
            </w:r>
            <w:r w:rsidR="006972CD">
              <w:rPr>
                <w:rStyle w:val="FootnoteReference"/>
                <w:rFonts w:ascii="Arial" w:hAnsi="Arial" w:cs="Arial"/>
                <w:sz w:val="24"/>
                <w:szCs w:val="24"/>
              </w:rPr>
              <w:footnoteReference w:id="9"/>
            </w:r>
          </w:p>
          <w:p w14:paraId="4A424627" w14:textId="543FB5E9" w:rsidR="0022676A" w:rsidRDefault="0022676A" w:rsidP="008E74B0">
            <w:pPr>
              <w:spacing w:line="360" w:lineRule="auto"/>
              <w:jc w:val="both"/>
              <w:rPr>
                <w:rFonts w:ascii="Arial" w:hAnsi="Arial" w:cs="Arial"/>
                <w:sz w:val="24"/>
                <w:szCs w:val="24"/>
              </w:rPr>
            </w:pPr>
          </w:p>
          <w:p w14:paraId="07C43273" w14:textId="1D8F6E65" w:rsidR="006972CD" w:rsidRDefault="0022676A" w:rsidP="006972CD">
            <w:pPr>
              <w:spacing w:line="360" w:lineRule="auto"/>
              <w:ind w:left="20" w:hanging="20"/>
              <w:jc w:val="both"/>
              <w:rPr>
                <w:rFonts w:ascii="Arial" w:hAnsi="Arial" w:cs="Arial"/>
                <w:sz w:val="24"/>
                <w:szCs w:val="24"/>
              </w:rPr>
            </w:pPr>
            <w:r>
              <w:rPr>
                <w:rFonts w:ascii="Arial" w:hAnsi="Arial" w:cs="Arial"/>
                <w:sz w:val="24"/>
                <w:szCs w:val="24"/>
              </w:rPr>
              <w:t>[12]</w:t>
            </w:r>
            <w:r w:rsidRPr="004A5618">
              <w:rPr>
                <w:rFonts w:ascii="Arial" w:hAnsi="Arial" w:cs="Arial"/>
                <w:sz w:val="24"/>
                <w:szCs w:val="24"/>
              </w:rPr>
              <w:tab/>
            </w:r>
            <w:r w:rsidR="006972CD">
              <w:rPr>
                <w:rFonts w:ascii="Arial" w:hAnsi="Arial" w:cs="Arial"/>
                <w:sz w:val="24"/>
                <w:szCs w:val="24"/>
              </w:rPr>
              <w:t>In the instant proceeding, the defendant</w:t>
            </w:r>
            <w:r w:rsidR="00971A18">
              <w:rPr>
                <w:rFonts w:ascii="Arial" w:hAnsi="Arial" w:cs="Arial"/>
                <w:sz w:val="24"/>
                <w:szCs w:val="24"/>
              </w:rPr>
              <w:t>s have</w:t>
            </w:r>
            <w:r w:rsidR="006972CD">
              <w:rPr>
                <w:rFonts w:ascii="Arial" w:hAnsi="Arial" w:cs="Arial"/>
                <w:sz w:val="24"/>
                <w:szCs w:val="24"/>
              </w:rPr>
              <w:t xml:space="preserve"> not placed any factual material before the court to establish that </w:t>
            </w:r>
            <w:r w:rsidR="00971A18">
              <w:rPr>
                <w:rFonts w:ascii="Arial" w:hAnsi="Arial" w:cs="Arial"/>
                <w:sz w:val="24"/>
                <w:szCs w:val="24"/>
              </w:rPr>
              <w:t>t</w:t>
            </w:r>
            <w:r w:rsidR="006972CD">
              <w:rPr>
                <w:rFonts w:ascii="Arial" w:hAnsi="Arial" w:cs="Arial"/>
                <w:sz w:val="24"/>
                <w:szCs w:val="24"/>
              </w:rPr>
              <w:t>he</w:t>
            </w:r>
            <w:r w:rsidR="00971A18">
              <w:rPr>
                <w:rFonts w:ascii="Arial" w:hAnsi="Arial" w:cs="Arial"/>
                <w:sz w:val="24"/>
                <w:szCs w:val="24"/>
              </w:rPr>
              <w:t>y have</w:t>
            </w:r>
            <w:r w:rsidR="006972CD">
              <w:rPr>
                <w:rFonts w:ascii="Arial" w:hAnsi="Arial" w:cs="Arial"/>
                <w:sz w:val="24"/>
                <w:szCs w:val="24"/>
              </w:rPr>
              <w:t xml:space="preserve"> a bona fide defence which is good in law; </w:t>
            </w:r>
            <w:r w:rsidR="00971A18">
              <w:rPr>
                <w:rFonts w:ascii="Arial" w:hAnsi="Arial" w:cs="Arial"/>
                <w:sz w:val="24"/>
                <w:szCs w:val="24"/>
              </w:rPr>
              <w:t>neither have</w:t>
            </w:r>
            <w:r w:rsidR="006972CD">
              <w:rPr>
                <w:rFonts w:ascii="Arial" w:hAnsi="Arial" w:cs="Arial"/>
                <w:sz w:val="24"/>
                <w:szCs w:val="24"/>
              </w:rPr>
              <w:t xml:space="preserve"> </w:t>
            </w:r>
            <w:r w:rsidR="00971A18">
              <w:rPr>
                <w:rFonts w:ascii="Arial" w:hAnsi="Arial" w:cs="Arial"/>
                <w:sz w:val="24"/>
                <w:szCs w:val="24"/>
              </w:rPr>
              <w:t>t</w:t>
            </w:r>
            <w:r w:rsidR="006972CD">
              <w:rPr>
                <w:rFonts w:ascii="Arial" w:hAnsi="Arial" w:cs="Arial"/>
                <w:sz w:val="24"/>
                <w:szCs w:val="24"/>
              </w:rPr>
              <w:t>he</w:t>
            </w:r>
            <w:r w:rsidR="00971A18">
              <w:rPr>
                <w:rFonts w:ascii="Arial" w:hAnsi="Arial" w:cs="Arial"/>
                <w:sz w:val="24"/>
                <w:szCs w:val="24"/>
              </w:rPr>
              <w:t>y</w:t>
            </w:r>
            <w:r w:rsidR="006972CD">
              <w:rPr>
                <w:rFonts w:ascii="Arial" w:hAnsi="Arial" w:cs="Arial"/>
                <w:sz w:val="24"/>
                <w:szCs w:val="24"/>
              </w:rPr>
              <w:t xml:space="preserve"> raised a triable issue and, thus, ‘sufficiently placing in doubt that the plaintiff’s claim is unanswerable’.</w:t>
            </w:r>
            <w:r w:rsidR="006972CD">
              <w:rPr>
                <w:rStyle w:val="FootnoteReference"/>
                <w:rFonts w:ascii="Arial" w:hAnsi="Arial" w:cs="Arial"/>
                <w:sz w:val="24"/>
                <w:szCs w:val="24"/>
              </w:rPr>
              <w:footnoteReference w:id="10"/>
            </w:r>
            <w:r w:rsidR="006972CD">
              <w:rPr>
                <w:rFonts w:ascii="Arial" w:hAnsi="Arial" w:cs="Arial"/>
                <w:sz w:val="24"/>
                <w:szCs w:val="24"/>
              </w:rPr>
              <w:t xml:space="preserve">  </w:t>
            </w:r>
          </w:p>
          <w:p w14:paraId="52BAB822" w14:textId="5CF0452F" w:rsidR="00A52F09" w:rsidRDefault="00A52F09" w:rsidP="0022676A">
            <w:pPr>
              <w:spacing w:line="360" w:lineRule="auto"/>
              <w:jc w:val="both"/>
              <w:rPr>
                <w:rFonts w:ascii="Arial" w:hAnsi="Arial" w:cs="Arial"/>
                <w:sz w:val="24"/>
                <w:szCs w:val="24"/>
              </w:rPr>
            </w:pPr>
          </w:p>
          <w:p w14:paraId="26A44853" w14:textId="3A453E40" w:rsidR="002E20B1" w:rsidRPr="00100AB5" w:rsidRDefault="002E20B1" w:rsidP="002E20B1">
            <w:pPr>
              <w:spacing w:line="360" w:lineRule="auto"/>
              <w:jc w:val="both"/>
              <w:rPr>
                <w:rFonts w:ascii="Arial" w:hAnsi="Arial" w:cs="Arial"/>
                <w:sz w:val="24"/>
                <w:szCs w:val="24"/>
              </w:rPr>
            </w:pPr>
            <w:r>
              <w:rPr>
                <w:rFonts w:ascii="Arial" w:hAnsi="Arial" w:cs="Arial"/>
                <w:sz w:val="24"/>
                <w:szCs w:val="24"/>
              </w:rPr>
              <w:t>[</w:t>
            </w:r>
            <w:r w:rsidR="007211CD">
              <w:rPr>
                <w:rFonts w:ascii="Arial" w:hAnsi="Arial" w:cs="Arial"/>
                <w:sz w:val="24"/>
                <w:szCs w:val="24"/>
              </w:rPr>
              <w:t>13</w:t>
            </w:r>
            <w:r>
              <w:rPr>
                <w:rFonts w:ascii="Arial" w:hAnsi="Arial" w:cs="Arial"/>
                <w:sz w:val="24"/>
                <w:szCs w:val="24"/>
              </w:rPr>
              <w:t>]</w:t>
            </w:r>
            <w:r w:rsidRPr="004A5618">
              <w:rPr>
                <w:rFonts w:ascii="Arial" w:hAnsi="Arial" w:cs="Arial"/>
                <w:sz w:val="24"/>
                <w:szCs w:val="24"/>
              </w:rPr>
              <w:tab/>
            </w:r>
            <w:r w:rsidR="003B6412">
              <w:rPr>
                <w:rFonts w:ascii="Arial" w:hAnsi="Arial" w:cs="Arial"/>
                <w:sz w:val="24"/>
                <w:szCs w:val="24"/>
              </w:rPr>
              <w:t>It appears to me that the delivery of notice to defend was done solely as a mere delaying tactic amounting to an abuse of the process of the court.</w:t>
            </w:r>
            <w:r w:rsidR="003B6412">
              <w:rPr>
                <w:rStyle w:val="FootnoteReference"/>
                <w:rFonts w:ascii="Arial" w:hAnsi="Arial" w:cs="Arial"/>
                <w:sz w:val="24"/>
                <w:szCs w:val="24"/>
              </w:rPr>
              <w:footnoteReference w:id="11"/>
            </w:r>
            <w:r w:rsidR="003B6412">
              <w:rPr>
                <w:rFonts w:ascii="Arial" w:hAnsi="Arial" w:cs="Arial"/>
                <w:sz w:val="24"/>
                <w:szCs w:val="24"/>
              </w:rPr>
              <w:t xml:space="preserve">  As to costs, since the failure of the condonation application has a weighty bearing on the success of the summary judgment application, I think it is just and reasonable to </w:t>
            </w:r>
            <w:r w:rsidR="0065370D">
              <w:rPr>
                <w:rFonts w:ascii="Arial" w:hAnsi="Arial" w:cs="Arial"/>
                <w:sz w:val="24"/>
                <w:szCs w:val="24"/>
              </w:rPr>
              <w:t xml:space="preserve">make no order as to costs in respect of the abortive </w:t>
            </w:r>
            <w:r w:rsidR="003B6412">
              <w:rPr>
                <w:rFonts w:ascii="Arial" w:hAnsi="Arial" w:cs="Arial"/>
                <w:sz w:val="24"/>
                <w:szCs w:val="24"/>
              </w:rPr>
              <w:t>condonation application.</w:t>
            </w:r>
          </w:p>
          <w:p w14:paraId="435FB3D8" w14:textId="52768AD5" w:rsidR="002E20B1" w:rsidRPr="00220768" w:rsidRDefault="002E20B1" w:rsidP="0022676A">
            <w:pPr>
              <w:spacing w:line="360" w:lineRule="auto"/>
              <w:jc w:val="both"/>
              <w:rPr>
                <w:rFonts w:ascii="Arial" w:hAnsi="Arial" w:cs="Arial"/>
                <w:sz w:val="24"/>
                <w:szCs w:val="24"/>
              </w:rPr>
            </w:pPr>
          </w:p>
          <w:p w14:paraId="33794F69" w14:textId="69A22DB2" w:rsidR="00A11BBE" w:rsidRDefault="007211CD" w:rsidP="00A11BBE">
            <w:pPr>
              <w:spacing w:line="360" w:lineRule="auto"/>
              <w:ind w:left="20" w:hanging="20"/>
              <w:jc w:val="both"/>
              <w:rPr>
                <w:rFonts w:ascii="Arial" w:hAnsi="Arial" w:cs="Arial"/>
                <w:sz w:val="24"/>
                <w:szCs w:val="24"/>
              </w:rPr>
            </w:pPr>
            <w:r>
              <w:rPr>
                <w:rFonts w:ascii="Arial" w:hAnsi="Arial" w:cs="Arial"/>
                <w:sz w:val="24"/>
                <w:szCs w:val="24"/>
              </w:rPr>
              <w:t>[14]</w:t>
            </w:r>
            <w:r w:rsidRPr="004A5618">
              <w:rPr>
                <w:rFonts w:ascii="Arial" w:hAnsi="Arial" w:cs="Arial"/>
                <w:sz w:val="24"/>
                <w:szCs w:val="24"/>
              </w:rPr>
              <w:t xml:space="preserve"> </w:t>
            </w:r>
            <w:r w:rsidRPr="004A5618">
              <w:rPr>
                <w:rFonts w:ascii="Arial" w:hAnsi="Arial" w:cs="Arial"/>
                <w:sz w:val="24"/>
                <w:szCs w:val="24"/>
              </w:rPr>
              <w:tab/>
            </w:r>
            <w:r w:rsidR="00A11BBE">
              <w:rPr>
                <w:rFonts w:ascii="Arial" w:hAnsi="Arial" w:cs="Arial"/>
                <w:sz w:val="24"/>
                <w:szCs w:val="24"/>
              </w:rPr>
              <w:t xml:space="preserve">Based on these reasons, I conclude that the plaintiff has </w:t>
            </w:r>
            <w:r w:rsidR="0065370D">
              <w:rPr>
                <w:rFonts w:ascii="Arial" w:hAnsi="Arial" w:cs="Arial"/>
                <w:sz w:val="24"/>
                <w:szCs w:val="24"/>
              </w:rPr>
              <w:t xml:space="preserve">succeeded in resisting the condonation application and has </w:t>
            </w:r>
            <w:r w:rsidR="00A11BBE">
              <w:rPr>
                <w:rFonts w:ascii="Arial" w:hAnsi="Arial" w:cs="Arial"/>
                <w:sz w:val="24"/>
                <w:szCs w:val="24"/>
              </w:rPr>
              <w:t>made out a case for the granting of summary judgment.  In the result, I order as follows:</w:t>
            </w:r>
          </w:p>
          <w:p w14:paraId="0E8D8509" w14:textId="0F0E5255" w:rsidR="002E20B1" w:rsidRDefault="002E20B1" w:rsidP="002E20B1">
            <w:pPr>
              <w:spacing w:line="360" w:lineRule="auto"/>
              <w:jc w:val="both"/>
              <w:rPr>
                <w:rFonts w:ascii="Arial" w:hAnsi="Arial" w:cs="Arial"/>
                <w:sz w:val="24"/>
                <w:szCs w:val="24"/>
              </w:rPr>
            </w:pPr>
          </w:p>
          <w:p w14:paraId="6635744C" w14:textId="164CDD31" w:rsidR="002E20B1" w:rsidRPr="007211CD" w:rsidRDefault="00A11BBE" w:rsidP="00921E24">
            <w:pPr>
              <w:pStyle w:val="ListParagraph"/>
              <w:numPr>
                <w:ilvl w:val="0"/>
                <w:numId w:val="32"/>
              </w:numPr>
              <w:spacing w:line="360" w:lineRule="auto"/>
              <w:ind w:hanging="687"/>
              <w:jc w:val="both"/>
              <w:rPr>
                <w:rFonts w:ascii="Arial" w:hAnsi="Arial" w:cs="Arial"/>
                <w:sz w:val="24"/>
                <w:szCs w:val="24"/>
              </w:rPr>
            </w:pPr>
            <w:r>
              <w:rPr>
                <w:rFonts w:ascii="Arial" w:hAnsi="Arial" w:cs="Arial"/>
                <w:sz w:val="24"/>
                <w:szCs w:val="24"/>
              </w:rPr>
              <w:t xml:space="preserve">The defendants’ condonation application is refused and no order </w:t>
            </w:r>
            <w:r w:rsidR="00B60282">
              <w:rPr>
                <w:rFonts w:ascii="Arial" w:hAnsi="Arial" w:cs="Arial"/>
                <w:sz w:val="24"/>
                <w:szCs w:val="24"/>
              </w:rPr>
              <w:t>as to</w:t>
            </w:r>
            <w:r>
              <w:rPr>
                <w:rFonts w:ascii="Arial" w:hAnsi="Arial" w:cs="Arial"/>
                <w:sz w:val="24"/>
                <w:szCs w:val="24"/>
              </w:rPr>
              <w:t xml:space="preserve"> costs is made in respect thereof.</w:t>
            </w:r>
          </w:p>
          <w:p w14:paraId="357FA712" w14:textId="77777777" w:rsidR="007211CD" w:rsidRPr="007211CD" w:rsidRDefault="007211CD" w:rsidP="007211CD">
            <w:pPr>
              <w:pStyle w:val="ListParagraph"/>
              <w:spacing w:line="360" w:lineRule="auto"/>
              <w:ind w:left="1080"/>
              <w:jc w:val="both"/>
              <w:rPr>
                <w:rFonts w:ascii="Arial" w:hAnsi="Arial" w:cs="Arial"/>
                <w:sz w:val="24"/>
                <w:szCs w:val="24"/>
              </w:rPr>
            </w:pPr>
          </w:p>
          <w:p w14:paraId="2BBB7322" w14:textId="23207CD9" w:rsidR="002E20B1" w:rsidRPr="007211CD" w:rsidRDefault="00A11BBE" w:rsidP="00921E24">
            <w:pPr>
              <w:pStyle w:val="ListParagraph"/>
              <w:numPr>
                <w:ilvl w:val="0"/>
                <w:numId w:val="32"/>
              </w:numPr>
              <w:spacing w:line="360" w:lineRule="auto"/>
              <w:ind w:left="743" w:hanging="743"/>
              <w:jc w:val="both"/>
              <w:rPr>
                <w:rFonts w:ascii="Arial" w:hAnsi="Arial" w:cs="Arial"/>
                <w:sz w:val="24"/>
                <w:szCs w:val="24"/>
              </w:rPr>
            </w:pPr>
            <w:r>
              <w:rPr>
                <w:rFonts w:ascii="Arial" w:hAnsi="Arial" w:cs="Arial"/>
                <w:sz w:val="24"/>
                <w:szCs w:val="24"/>
              </w:rPr>
              <w:t>Summary judgment is granted in favour of the plaintiff against the first and second defendants jointly and severally, the one paying the other to be absolved, with costs, including costs of one instructing counsel and one instructed counsel on the scale as between attorney (legal practitioner) and own client.</w:t>
            </w:r>
          </w:p>
          <w:p w14:paraId="2BF995D7" w14:textId="77777777" w:rsidR="007211CD" w:rsidRPr="007211CD" w:rsidRDefault="007211CD" w:rsidP="007211CD">
            <w:pPr>
              <w:pStyle w:val="ListParagraph"/>
              <w:spacing w:line="360" w:lineRule="auto"/>
              <w:ind w:left="743" w:hanging="743"/>
              <w:jc w:val="both"/>
              <w:rPr>
                <w:rFonts w:ascii="Arial" w:hAnsi="Arial" w:cs="Arial"/>
                <w:sz w:val="24"/>
                <w:szCs w:val="24"/>
              </w:rPr>
            </w:pPr>
          </w:p>
          <w:p w14:paraId="513CABED" w14:textId="77777777" w:rsidR="002E20B1" w:rsidRPr="00100AB5" w:rsidRDefault="002E20B1" w:rsidP="007211CD">
            <w:pPr>
              <w:spacing w:line="360" w:lineRule="auto"/>
              <w:ind w:left="743" w:hanging="743"/>
              <w:jc w:val="both"/>
              <w:rPr>
                <w:rFonts w:ascii="Arial" w:hAnsi="Arial" w:cs="Arial"/>
                <w:sz w:val="24"/>
                <w:szCs w:val="24"/>
              </w:rPr>
            </w:pPr>
            <w:r w:rsidRPr="00100AB5">
              <w:rPr>
                <w:rFonts w:ascii="Arial" w:hAnsi="Arial" w:cs="Arial"/>
                <w:sz w:val="24"/>
                <w:szCs w:val="24"/>
              </w:rPr>
              <w:t>3.</w:t>
            </w:r>
            <w:r w:rsidRPr="00100AB5">
              <w:rPr>
                <w:rFonts w:ascii="Arial" w:hAnsi="Arial" w:cs="Arial"/>
                <w:sz w:val="24"/>
                <w:szCs w:val="24"/>
              </w:rPr>
              <w:tab/>
              <w:t>The matter is finalised and removed from the roll.</w:t>
            </w:r>
          </w:p>
          <w:p w14:paraId="7A937886" w14:textId="77777777" w:rsidR="007008BE" w:rsidRDefault="008E74B0" w:rsidP="007E2F91">
            <w:pPr>
              <w:spacing w:line="360" w:lineRule="auto"/>
              <w:ind w:left="743" w:hanging="743"/>
              <w:jc w:val="both"/>
              <w:rPr>
                <w:rFonts w:ascii="Arial" w:hAnsi="Arial" w:cs="Arial"/>
                <w:sz w:val="24"/>
                <w:szCs w:val="24"/>
              </w:rPr>
            </w:pPr>
            <w:r w:rsidRPr="00220768">
              <w:rPr>
                <w:rFonts w:ascii="Arial" w:hAnsi="Arial" w:cs="Arial"/>
                <w:sz w:val="24"/>
                <w:szCs w:val="24"/>
              </w:rPr>
              <w:tab/>
            </w:r>
          </w:p>
          <w:p w14:paraId="22A3C6E1" w14:textId="77777777" w:rsidR="00921E24" w:rsidRDefault="00921E24" w:rsidP="007E2F91">
            <w:pPr>
              <w:spacing w:line="360" w:lineRule="auto"/>
              <w:ind w:left="743" w:hanging="743"/>
              <w:jc w:val="both"/>
              <w:rPr>
                <w:rFonts w:ascii="Arial" w:hAnsi="Arial" w:cs="Arial"/>
                <w:sz w:val="24"/>
                <w:szCs w:val="24"/>
              </w:rPr>
            </w:pPr>
          </w:p>
          <w:p w14:paraId="71D39DDF" w14:textId="1D56A977" w:rsidR="00B52418" w:rsidRPr="007E2F91" w:rsidRDefault="00B52418" w:rsidP="007E2F91">
            <w:pPr>
              <w:spacing w:line="360" w:lineRule="auto"/>
              <w:ind w:left="743" w:hanging="743"/>
              <w:jc w:val="both"/>
              <w:rPr>
                <w:rFonts w:ascii="Arial" w:hAnsi="Arial" w:cs="Arial"/>
                <w:sz w:val="24"/>
                <w:szCs w:val="24"/>
              </w:rPr>
            </w:pPr>
          </w:p>
        </w:tc>
      </w:tr>
      <w:tr w:rsidR="00CA7995" w:rsidRPr="004A5618" w14:paraId="569D7468" w14:textId="77777777" w:rsidTr="00136505">
        <w:tc>
          <w:tcPr>
            <w:tcW w:w="4770" w:type="dxa"/>
          </w:tcPr>
          <w:p w14:paraId="1CE02859" w14:textId="0EDC8D90" w:rsidR="00B40844" w:rsidRPr="004A5618" w:rsidRDefault="00DC6B2A"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D626231" w14:textId="77777777" w:rsidR="007008BE" w:rsidRPr="004A5618" w:rsidRDefault="007008BE" w:rsidP="003F053B">
            <w:pPr>
              <w:spacing w:line="360" w:lineRule="auto"/>
              <w:jc w:val="both"/>
              <w:rPr>
                <w:rFonts w:ascii="Arial" w:hAnsi="Arial" w:cs="Arial"/>
                <w:sz w:val="24"/>
                <w:szCs w:val="24"/>
              </w:rPr>
            </w:pPr>
          </w:p>
        </w:tc>
        <w:tc>
          <w:tcPr>
            <w:tcW w:w="5436" w:type="dxa"/>
            <w:gridSpan w:val="2"/>
          </w:tcPr>
          <w:p w14:paraId="25447E5E" w14:textId="77777777" w:rsidR="00B40844"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p w14:paraId="4FB0AC19" w14:textId="77777777" w:rsidR="0035072B" w:rsidRDefault="0035072B" w:rsidP="00937C89">
            <w:pPr>
              <w:spacing w:line="360" w:lineRule="auto"/>
              <w:jc w:val="both"/>
              <w:rPr>
                <w:rFonts w:ascii="Arial" w:hAnsi="Arial" w:cs="Arial"/>
                <w:sz w:val="24"/>
                <w:szCs w:val="24"/>
              </w:rPr>
            </w:pPr>
          </w:p>
          <w:p w14:paraId="525DC040" w14:textId="77777777" w:rsidR="0035072B" w:rsidRPr="004A5618" w:rsidRDefault="0035072B" w:rsidP="00937C89">
            <w:pPr>
              <w:spacing w:line="360" w:lineRule="auto"/>
              <w:jc w:val="both"/>
              <w:rPr>
                <w:rFonts w:ascii="Arial" w:hAnsi="Arial" w:cs="Arial"/>
                <w:sz w:val="24"/>
                <w:szCs w:val="24"/>
              </w:rPr>
            </w:pP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04642897" w:rsidR="00B40844" w:rsidRPr="004A5618" w:rsidRDefault="00EF37C1" w:rsidP="00937C89">
            <w:pPr>
              <w:spacing w:line="360" w:lineRule="auto"/>
              <w:jc w:val="center"/>
              <w:rPr>
                <w:rFonts w:ascii="Arial" w:hAnsi="Arial" w:cs="Arial"/>
                <w:b/>
                <w:sz w:val="24"/>
                <w:szCs w:val="24"/>
              </w:rPr>
            </w:pPr>
            <w:r>
              <w:rPr>
                <w:rFonts w:ascii="Arial" w:hAnsi="Arial" w:cs="Arial"/>
                <w:b/>
                <w:sz w:val="24"/>
                <w:szCs w:val="24"/>
              </w:rPr>
              <w:t>Plaintiff</w:t>
            </w:r>
            <w:r w:rsidR="002B1E18">
              <w:rPr>
                <w:rFonts w:ascii="Arial" w:hAnsi="Arial" w:cs="Arial"/>
                <w:b/>
                <w:sz w:val="24"/>
                <w:szCs w:val="24"/>
              </w:rPr>
              <w:t>/Respondent</w:t>
            </w:r>
          </w:p>
        </w:tc>
        <w:tc>
          <w:tcPr>
            <w:tcW w:w="5436" w:type="dxa"/>
            <w:gridSpan w:val="2"/>
          </w:tcPr>
          <w:p w14:paraId="7EC49BF1" w14:textId="1932F13E" w:rsidR="00B40844" w:rsidRPr="004A5618" w:rsidRDefault="001750A1" w:rsidP="001750A1">
            <w:pPr>
              <w:spacing w:line="360" w:lineRule="auto"/>
              <w:jc w:val="center"/>
              <w:rPr>
                <w:rFonts w:ascii="Arial" w:hAnsi="Arial" w:cs="Arial"/>
                <w:b/>
                <w:sz w:val="24"/>
                <w:szCs w:val="24"/>
              </w:rPr>
            </w:pPr>
            <w:r>
              <w:rPr>
                <w:rFonts w:ascii="Arial" w:hAnsi="Arial" w:cs="Arial"/>
                <w:b/>
                <w:sz w:val="24"/>
                <w:szCs w:val="24"/>
              </w:rPr>
              <w:t xml:space="preserve">Second </w:t>
            </w:r>
            <w:r w:rsidR="002253A1">
              <w:rPr>
                <w:rFonts w:ascii="Arial" w:hAnsi="Arial" w:cs="Arial"/>
                <w:b/>
                <w:sz w:val="24"/>
                <w:szCs w:val="24"/>
              </w:rPr>
              <w:t>Defendant</w:t>
            </w:r>
            <w:r>
              <w:rPr>
                <w:rFonts w:ascii="Arial" w:hAnsi="Arial" w:cs="Arial"/>
                <w:b/>
                <w:sz w:val="24"/>
                <w:szCs w:val="24"/>
              </w:rPr>
              <w:t>/Applicant</w:t>
            </w:r>
          </w:p>
        </w:tc>
      </w:tr>
      <w:tr w:rsidR="00CA7995" w:rsidRPr="004A5618" w14:paraId="7F6632AA" w14:textId="77777777" w:rsidTr="00136505">
        <w:tc>
          <w:tcPr>
            <w:tcW w:w="4770" w:type="dxa"/>
          </w:tcPr>
          <w:p w14:paraId="7276D2C0" w14:textId="4E02A96A" w:rsidR="002B1E18" w:rsidRPr="002B1E18" w:rsidRDefault="00392316" w:rsidP="00937C89">
            <w:pPr>
              <w:spacing w:line="360" w:lineRule="auto"/>
              <w:jc w:val="center"/>
              <w:rPr>
                <w:rFonts w:ascii="Arial" w:hAnsi="Arial" w:cs="Arial"/>
                <w:sz w:val="24"/>
                <w:szCs w:val="24"/>
              </w:rPr>
            </w:pPr>
            <w:r>
              <w:rPr>
                <w:rFonts w:ascii="Arial" w:hAnsi="Arial" w:cs="Arial"/>
                <w:sz w:val="24"/>
                <w:szCs w:val="24"/>
              </w:rPr>
              <w:t xml:space="preserve">I </w:t>
            </w:r>
            <w:r w:rsidR="001750A1" w:rsidRPr="002B1E18">
              <w:rPr>
                <w:rFonts w:ascii="Arial" w:hAnsi="Arial" w:cs="Arial"/>
                <w:sz w:val="24"/>
                <w:szCs w:val="24"/>
              </w:rPr>
              <w:t>Strydom</w:t>
            </w:r>
          </w:p>
          <w:p w14:paraId="5821C7F1" w14:textId="401ED2E1" w:rsidR="00B40844" w:rsidRPr="00134E9F" w:rsidRDefault="001750A1" w:rsidP="00937C89">
            <w:pPr>
              <w:spacing w:line="360" w:lineRule="auto"/>
              <w:jc w:val="center"/>
              <w:rPr>
                <w:rFonts w:ascii="Arial" w:hAnsi="Arial" w:cs="Arial"/>
                <w:sz w:val="24"/>
                <w:szCs w:val="24"/>
              </w:rPr>
            </w:pPr>
            <w:r>
              <w:rPr>
                <w:rFonts w:ascii="Arial" w:hAnsi="Arial" w:cs="Arial"/>
                <w:sz w:val="24"/>
                <w:szCs w:val="24"/>
              </w:rPr>
              <w:t>Instructed by</w:t>
            </w:r>
          </w:p>
          <w:p w14:paraId="5DF3F17F" w14:textId="170DC6B5" w:rsidR="00B40844" w:rsidRPr="004A5618" w:rsidRDefault="001750A1" w:rsidP="00333796">
            <w:pPr>
              <w:spacing w:line="360" w:lineRule="auto"/>
              <w:jc w:val="center"/>
              <w:rPr>
                <w:rFonts w:ascii="Arial" w:hAnsi="Arial" w:cs="Arial"/>
                <w:sz w:val="24"/>
                <w:szCs w:val="24"/>
              </w:rPr>
            </w:pPr>
            <w:r w:rsidRPr="001750A1">
              <w:rPr>
                <w:rFonts w:ascii="Arial" w:hAnsi="Arial" w:cs="Arial"/>
                <w:sz w:val="24"/>
                <w:szCs w:val="24"/>
              </w:rPr>
              <w:t>Theunissen, Louw &amp; Partners</w:t>
            </w:r>
            <w:r w:rsidR="00136505" w:rsidRPr="004A5618">
              <w:rPr>
                <w:rFonts w:ascii="Arial" w:hAnsi="Arial" w:cs="Arial"/>
                <w:sz w:val="24"/>
                <w:szCs w:val="24"/>
              </w:rPr>
              <w:t>, Windhoek</w:t>
            </w:r>
          </w:p>
        </w:tc>
        <w:tc>
          <w:tcPr>
            <w:tcW w:w="5436" w:type="dxa"/>
            <w:gridSpan w:val="2"/>
          </w:tcPr>
          <w:p w14:paraId="7C54340E" w14:textId="49F8CAE2" w:rsidR="001750A1" w:rsidRPr="001750A1" w:rsidRDefault="001750A1" w:rsidP="001750A1">
            <w:pPr>
              <w:spacing w:line="360" w:lineRule="auto"/>
              <w:jc w:val="center"/>
              <w:rPr>
                <w:rFonts w:ascii="Arial" w:hAnsi="Arial" w:cs="Arial"/>
                <w:sz w:val="24"/>
                <w:szCs w:val="24"/>
              </w:rPr>
            </w:pPr>
            <w:r w:rsidRPr="001750A1">
              <w:rPr>
                <w:rFonts w:ascii="Arial" w:hAnsi="Arial" w:cs="Arial"/>
                <w:sz w:val="24"/>
                <w:szCs w:val="24"/>
              </w:rPr>
              <w:t xml:space="preserve">M </w:t>
            </w:r>
            <w:r>
              <w:rPr>
                <w:rFonts w:ascii="Arial" w:hAnsi="Arial" w:cs="Arial"/>
                <w:sz w:val="24"/>
                <w:szCs w:val="24"/>
              </w:rPr>
              <w:t>S</w:t>
            </w:r>
            <w:r w:rsidRPr="001750A1">
              <w:rPr>
                <w:rFonts w:ascii="Arial" w:hAnsi="Arial" w:cs="Arial"/>
                <w:sz w:val="24"/>
                <w:szCs w:val="24"/>
              </w:rPr>
              <w:t xml:space="preserve"> </w:t>
            </w:r>
            <w:r>
              <w:rPr>
                <w:rFonts w:ascii="Arial" w:hAnsi="Arial" w:cs="Arial"/>
                <w:sz w:val="24"/>
                <w:szCs w:val="24"/>
              </w:rPr>
              <w:t>M</w:t>
            </w:r>
            <w:r w:rsidRPr="001750A1">
              <w:rPr>
                <w:rFonts w:ascii="Arial" w:hAnsi="Arial" w:cs="Arial"/>
                <w:sz w:val="24"/>
                <w:szCs w:val="24"/>
              </w:rPr>
              <w:t>outon</w:t>
            </w:r>
          </w:p>
          <w:p w14:paraId="2EDA150C" w14:textId="572A3966" w:rsidR="00B62F2B" w:rsidRPr="004A5618" w:rsidRDefault="001750A1" w:rsidP="003F053B">
            <w:pPr>
              <w:spacing w:line="360" w:lineRule="auto"/>
              <w:jc w:val="center"/>
              <w:rPr>
                <w:rFonts w:ascii="Arial" w:hAnsi="Arial" w:cs="Arial"/>
                <w:sz w:val="24"/>
                <w:szCs w:val="24"/>
              </w:rPr>
            </w:pPr>
            <w:r>
              <w:rPr>
                <w:rFonts w:ascii="Arial" w:hAnsi="Arial" w:cs="Arial"/>
                <w:sz w:val="24"/>
                <w:szCs w:val="24"/>
              </w:rPr>
              <w:t>In Person</w:t>
            </w:r>
            <w:r w:rsidR="00392316">
              <w:rPr>
                <w:rFonts w:ascii="Arial" w:hAnsi="Arial" w:cs="Arial"/>
                <w:sz w:val="24"/>
                <w:szCs w:val="24"/>
              </w:rPr>
              <w:t xml:space="preserve"> (for the defendants)</w:t>
            </w:r>
          </w:p>
        </w:tc>
      </w:tr>
    </w:tbl>
    <w:p w14:paraId="0EB2A4A3" w14:textId="390096CC" w:rsidR="00B845CF" w:rsidRDefault="00B845CF" w:rsidP="005145D9"/>
    <w:p w14:paraId="50B5640E" w14:textId="77777777" w:rsidR="0094041F" w:rsidRDefault="0094041F" w:rsidP="005145D9"/>
    <w:sectPr w:rsidR="0094041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43C6" w14:textId="77777777" w:rsidR="00F7753F" w:rsidRPr="004A5618" w:rsidRDefault="00F7753F" w:rsidP="00B40844">
      <w:pPr>
        <w:spacing w:after="0" w:line="240" w:lineRule="auto"/>
      </w:pPr>
      <w:r w:rsidRPr="004A5618">
        <w:separator/>
      </w:r>
    </w:p>
  </w:endnote>
  <w:endnote w:type="continuationSeparator" w:id="0">
    <w:p w14:paraId="586C31B9" w14:textId="77777777" w:rsidR="00F7753F" w:rsidRPr="004A5618" w:rsidRDefault="00F7753F"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61CC" w14:textId="77777777" w:rsidR="00F7753F" w:rsidRPr="004A5618" w:rsidRDefault="00F7753F" w:rsidP="00B40844">
      <w:pPr>
        <w:spacing w:after="0" w:line="240" w:lineRule="auto"/>
      </w:pPr>
      <w:r w:rsidRPr="004A5618">
        <w:separator/>
      </w:r>
    </w:p>
  </w:footnote>
  <w:footnote w:type="continuationSeparator" w:id="0">
    <w:p w14:paraId="58B32D30" w14:textId="77777777" w:rsidR="00F7753F" w:rsidRPr="004A5618" w:rsidRDefault="00F7753F" w:rsidP="00B40844">
      <w:pPr>
        <w:spacing w:after="0" w:line="240" w:lineRule="auto"/>
      </w:pPr>
      <w:r w:rsidRPr="004A5618">
        <w:continuationSeparator/>
      </w:r>
    </w:p>
  </w:footnote>
  <w:footnote w:id="1">
    <w:p w14:paraId="70328947" w14:textId="595DF23A" w:rsidR="00263481" w:rsidRPr="009273A5" w:rsidRDefault="00263481" w:rsidP="009273A5">
      <w:pPr>
        <w:pStyle w:val="FootnoteText"/>
        <w:jc w:val="both"/>
        <w:rPr>
          <w:rFonts w:ascii="Arial" w:hAnsi="Arial" w:cs="Arial"/>
          <w:lang w:val="en-ZA"/>
        </w:rPr>
      </w:pPr>
      <w:r w:rsidRPr="009273A5">
        <w:rPr>
          <w:rStyle w:val="FootnoteReference"/>
          <w:rFonts w:ascii="Arial" w:hAnsi="Arial" w:cs="Arial"/>
        </w:rPr>
        <w:footnoteRef/>
      </w:r>
      <w:r w:rsidRPr="009273A5">
        <w:rPr>
          <w:rFonts w:ascii="Arial" w:hAnsi="Arial" w:cs="Arial"/>
        </w:rPr>
        <w:t xml:space="preserve"> </w:t>
      </w:r>
      <w:r w:rsidRPr="009273A5">
        <w:rPr>
          <w:rFonts w:ascii="Arial" w:hAnsi="Arial" w:cs="Arial"/>
          <w:i/>
          <w:lang w:val="en-ZA"/>
        </w:rPr>
        <w:t>Balzer v Vries</w:t>
      </w:r>
      <w:r w:rsidRPr="009273A5">
        <w:rPr>
          <w:rFonts w:ascii="Arial" w:hAnsi="Arial" w:cs="Arial"/>
          <w:lang w:val="en-ZA"/>
        </w:rPr>
        <w:t xml:space="preserve"> 2015 (2) NR 547 (SC) para 20.</w:t>
      </w:r>
    </w:p>
  </w:footnote>
  <w:footnote w:id="2">
    <w:p w14:paraId="28EFED3E" w14:textId="341EBA19" w:rsidR="007069EC" w:rsidRPr="009273A5" w:rsidRDefault="007069EC" w:rsidP="009273A5">
      <w:pPr>
        <w:pStyle w:val="FootnoteText"/>
        <w:jc w:val="both"/>
        <w:rPr>
          <w:rFonts w:ascii="Arial" w:hAnsi="Arial" w:cs="Arial"/>
          <w:lang w:val="en-ZA"/>
        </w:rPr>
      </w:pPr>
      <w:r w:rsidRPr="009273A5">
        <w:rPr>
          <w:rStyle w:val="FootnoteReference"/>
          <w:rFonts w:ascii="Arial" w:hAnsi="Arial" w:cs="Arial"/>
        </w:rPr>
        <w:footnoteRef/>
      </w:r>
      <w:r w:rsidRPr="009273A5">
        <w:rPr>
          <w:rFonts w:ascii="Arial" w:hAnsi="Arial" w:cs="Arial"/>
        </w:rPr>
        <w:t xml:space="preserve"> </w:t>
      </w:r>
      <w:r w:rsidRPr="009273A5">
        <w:rPr>
          <w:rFonts w:ascii="Arial" w:hAnsi="Arial" w:cs="Arial"/>
          <w:lang w:val="en-ZA"/>
        </w:rPr>
        <w:t>Ibid para 21.</w:t>
      </w:r>
    </w:p>
  </w:footnote>
  <w:footnote w:id="3">
    <w:p w14:paraId="5F0FE21D" w14:textId="3572028B" w:rsidR="007A650B" w:rsidRPr="007A650B" w:rsidRDefault="007A650B">
      <w:pPr>
        <w:pStyle w:val="FootnoteText"/>
        <w:rPr>
          <w:rFonts w:ascii="Arial" w:hAnsi="Arial" w:cs="Arial"/>
          <w:lang w:val="en-ZA"/>
        </w:rPr>
      </w:pPr>
      <w:r w:rsidRPr="007A650B">
        <w:rPr>
          <w:rStyle w:val="FootnoteReference"/>
          <w:rFonts w:ascii="Arial" w:hAnsi="Arial" w:cs="Arial"/>
        </w:rPr>
        <w:footnoteRef/>
      </w:r>
      <w:r w:rsidRPr="007A650B">
        <w:rPr>
          <w:rFonts w:ascii="Arial" w:hAnsi="Arial" w:cs="Arial"/>
        </w:rPr>
        <w:t xml:space="preserve"> </w:t>
      </w:r>
      <w:r w:rsidRPr="007A650B">
        <w:rPr>
          <w:rFonts w:ascii="Arial" w:hAnsi="Arial" w:cs="Arial"/>
          <w:lang w:val="en-ZA"/>
        </w:rPr>
        <w:t>Loc cit.</w:t>
      </w:r>
    </w:p>
  </w:footnote>
  <w:footnote w:id="4">
    <w:p w14:paraId="4E912041" w14:textId="6C1D6934" w:rsidR="006C6464" w:rsidRPr="00EE34E6" w:rsidRDefault="006C6464" w:rsidP="00EE34E6">
      <w:pPr>
        <w:pStyle w:val="FootnoteText"/>
        <w:jc w:val="both"/>
        <w:rPr>
          <w:rFonts w:ascii="Arial" w:hAnsi="Arial" w:cs="Arial"/>
          <w:lang w:val="en-ZA"/>
        </w:rPr>
      </w:pPr>
      <w:r w:rsidRPr="00EE34E6">
        <w:rPr>
          <w:rStyle w:val="FootnoteReference"/>
          <w:rFonts w:ascii="Arial" w:hAnsi="Arial" w:cs="Arial"/>
        </w:rPr>
        <w:footnoteRef/>
      </w:r>
      <w:r w:rsidRPr="00EE34E6">
        <w:rPr>
          <w:rFonts w:ascii="Arial" w:hAnsi="Arial" w:cs="Arial"/>
        </w:rPr>
        <w:t xml:space="preserve"> </w:t>
      </w:r>
      <w:r w:rsidR="005B558B" w:rsidRPr="00EE34E6">
        <w:rPr>
          <w:rFonts w:ascii="Arial" w:hAnsi="Arial" w:cs="Arial"/>
          <w:i/>
          <w:lang w:val="en-ZA"/>
        </w:rPr>
        <w:t>Balzer v Vries</w:t>
      </w:r>
      <w:r w:rsidR="005B558B" w:rsidRPr="00EE34E6">
        <w:rPr>
          <w:rFonts w:ascii="Arial" w:hAnsi="Arial" w:cs="Arial"/>
          <w:lang w:val="en-ZA"/>
        </w:rPr>
        <w:t xml:space="preserve"> footnote 1 loc cit.</w:t>
      </w:r>
    </w:p>
  </w:footnote>
  <w:footnote w:id="5">
    <w:p w14:paraId="68563A8B" w14:textId="62802149" w:rsidR="005B558B" w:rsidRPr="00EE34E6" w:rsidRDefault="005B558B" w:rsidP="00EE34E6">
      <w:pPr>
        <w:pStyle w:val="FootnoteText"/>
        <w:jc w:val="both"/>
        <w:rPr>
          <w:rFonts w:ascii="Arial" w:hAnsi="Arial" w:cs="Arial"/>
          <w:lang w:val="en-ZA"/>
        </w:rPr>
      </w:pPr>
      <w:r w:rsidRPr="00EE34E6">
        <w:rPr>
          <w:rStyle w:val="FootnoteReference"/>
          <w:rFonts w:ascii="Arial" w:hAnsi="Arial" w:cs="Arial"/>
        </w:rPr>
        <w:footnoteRef/>
      </w:r>
      <w:r w:rsidRPr="00EE34E6">
        <w:rPr>
          <w:rFonts w:ascii="Arial" w:hAnsi="Arial" w:cs="Arial"/>
        </w:rPr>
        <w:t xml:space="preserve"> </w:t>
      </w:r>
      <w:r w:rsidRPr="00EE34E6">
        <w:rPr>
          <w:rFonts w:ascii="Arial" w:hAnsi="Arial" w:cs="Arial"/>
          <w:i/>
          <w:lang w:val="en-ZA"/>
        </w:rPr>
        <w:t>Sumaili v N</w:t>
      </w:r>
      <w:r w:rsidR="00874EE5">
        <w:rPr>
          <w:rFonts w:ascii="Arial" w:hAnsi="Arial" w:cs="Arial"/>
          <w:i/>
          <w:lang w:val="en-ZA"/>
        </w:rPr>
        <w:t>a</w:t>
      </w:r>
      <w:r w:rsidRPr="00EE34E6">
        <w:rPr>
          <w:rFonts w:ascii="Arial" w:hAnsi="Arial" w:cs="Arial"/>
          <w:i/>
          <w:lang w:val="en-ZA"/>
        </w:rPr>
        <w:t>katana</w:t>
      </w:r>
      <w:r w:rsidRPr="00EE34E6">
        <w:rPr>
          <w:rFonts w:ascii="Arial" w:hAnsi="Arial" w:cs="Arial"/>
          <w:lang w:val="en-ZA"/>
        </w:rPr>
        <w:t xml:space="preserve"> [2021] NAHCMD 594 (17 December 2021) para 1.</w:t>
      </w:r>
    </w:p>
  </w:footnote>
  <w:footnote w:id="6">
    <w:p w14:paraId="74C49104" w14:textId="257DD2DD" w:rsidR="00C1722E" w:rsidRPr="00EE34E6" w:rsidRDefault="00C1722E" w:rsidP="00EE34E6">
      <w:pPr>
        <w:pStyle w:val="FootnoteText"/>
        <w:jc w:val="both"/>
        <w:rPr>
          <w:rFonts w:ascii="Arial" w:hAnsi="Arial" w:cs="Arial"/>
          <w:lang w:val="en-ZA"/>
        </w:rPr>
      </w:pPr>
      <w:r w:rsidRPr="00EE34E6">
        <w:rPr>
          <w:rStyle w:val="FootnoteReference"/>
          <w:rFonts w:ascii="Arial" w:hAnsi="Arial" w:cs="Arial"/>
        </w:rPr>
        <w:footnoteRef/>
      </w:r>
      <w:r w:rsidRPr="00EE34E6">
        <w:rPr>
          <w:rFonts w:ascii="Arial" w:hAnsi="Arial" w:cs="Arial"/>
        </w:rPr>
        <w:t xml:space="preserve"> </w:t>
      </w:r>
      <w:r w:rsidRPr="00EE34E6">
        <w:rPr>
          <w:rFonts w:ascii="Arial" w:hAnsi="Arial" w:cs="Arial"/>
          <w:i/>
          <w:lang w:val="en-ZA"/>
        </w:rPr>
        <w:t>Marén Brynard De Klerk v Johan Andre Penderis and Others</w:t>
      </w:r>
      <w:r w:rsidRPr="00EE34E6">
        <w:rPr>
          <w:rFonts w:ascii="Arial" w:hAnsi="Arial" w:cs="Arial"/>
          <w:lang w:val="en-ZA"/>
        </w:rPr>
        <w:t xml:space="preserve"> Case No. SA 76/2020 para 49.</w:t>
      </w:r>
    </w:p>
  </w:footnote>
  <w:footnote w:id="7">
    <w:p w14:paraId="172C26AC" w14:textId="326ECDE0" w:rsidR="00330E6C" w:rsidRPr="00EE34E6" w:rsidRDefault="00330E6C" w:rsidP="00EE34E6">
      <w:pPr>
        <w:pStyle w:val="FootnoteText"/>
        <w:jc w:val="both"/>
        <w:rPr>
          <w:rFonts w:ascii="Arial" w:hAnsi="Arial" w:cs="Arial"/>
          <w:lang w:val="en-ZA"/>
        </w:rPr>
      </w:pPr>
      <w:r w:rsidRPr="00EE34E6">
        <w:rPr>
          <w:rStyle w:val="FootnoteReference"/>
          <w:rFonts w:ascii="Arial" w:hAnsi="Arial" w:cs="Arial"/>
        </w:rPr>
        <w:footnoteRef/>
      </w:r>
      <w:r w:rsidRPr="00EE34E6">
        <w:rPr>
          <w:rFonts w:ascii="Arial" w:hAnsi="Arial" w:cs="Arial"/>
        </w:rPr>
        <w:t xml:space="preserve"> </w:t>
      </w:r>
      <w:r w:rsidRPr="00EE34E6">
        <w:rPr>
          <w:rFonts w:ascii="Arial" w:hAnsi="Arial" w:cs="Arial"/>
          <w:i/>
          <w:lang w:val="en-ZA"/>
        </w:rPr>
        <w:t>Namibia Power Corporation (Pty) Ltd v Michael Kaapehi</w:t>
      </w:r>
      <w:r w:rsidRPr="00EE34E6">
        <w:rPr>
          <w:rFonts w:ascii="Arial" w:hAnsi="Arial" w:cs="Arial"/>
          <w:lang w:val="en-ZA"/>
        </w:rPr>
        <w:t xml:space="preserve"> Case No. SA 41/2019 (29 October 2020) para 19.</w:t>
      </w:r>
    </w:p>
  </w:footnote>
  <w:footnote w:id="8">
    <w:p w14:paraId="7B1027B2" w14:textId="77777777" w:rsidR="006972CD" w:rsidRPr="00C86F9C" w:rsidRDefault="006972CD" w:rsidP="00EE34E6">
      <w:pPr>
        <w:pStyle w:val="FootnoteText"/>
        <w:jc w:val="both"/>
        <w:rPr>
          <w:rFonts w:ascii="Arial" w:hAnsi="Arial" w:cs="Arial"/>
        </w:rPr>
      </w:pPr>
      <w:r w:rsidRPr="00EE34E6">
        <w:rPr>
          <w:rStyle w:val="FootnoteReference"/>
          <w:rFonts w:ascii="Arial" w:hAnsi="Arial" w:cs="Arial"/>
        </w:rPr>
        <w:footnoteRef/>
      </w:r>
      <w:r w:rsidRPr="00EE34E6">
        <w:rPr>
          <w:rFonts w:ascii="Arial" w:hAnsi="Arial" w:cs="Arial"/>
        </w:rPr>
        <w:t xml:space="preserve"> </w:t>
      </w:r>
      <w:r w:rsidRPr="00EE34E6">
        <w:rPr>
          <w:rFonts w:ascii="Arial" w:hAnsi="Arial" w:cs="Arial"/>
          <w:i/>
        </w:rPr>
        <w:t>Namibia Wildlife Resorts Limited v Maxuilili-Ankama</w:t>
      </w:r>
      <w:r w:rsidRPr="00EE34E6">
        <w:rPr>
          <w:rFonts w:ascii="Arial" w:hAnsi="Arial" w:cs="Arial"/>
        </w:rPr>
        <w:t xml:space="preserve"> [2023] NAHCMD 94 (7 March 2023); </w:t>
      </w:r>
      <w:r w:rsidRPr="00EE34E6">
        <w:rPr>
          <w:rFonts w:ascii="Arial" w:hAnsi="Arial" w:cs="Arial"/>
          <w:i/>
        </w:rPr>
        <w:t>First National Bank of Namibia v Yeung Tai Foodstuff &amp; Trading</w:t>
      </w:r>
      <w:r w:rsidRPr="00EE34E6">
        <w:rPr>
          <w:rFonts w:ascii="Arial" w:hAnsi="Arial" w:cs="Arial"/>
        </w:rPr>
        <w:t xml:space="preserve"> CC [2022] NAHCMD 143 (28 March 2022).</w:t>
      </w:r>
    </w:p>
  </w:footnote>
  <w:footnote w:id="9">
    <w:p w14:paraId="44C5A8BB" w14:textId="77777777" w:rsidR="006972CD" w:rsidRPr="00C86F9C" w:rsidRDefault="006972CD" w:rsidP="006972CD">
      <w:pPr>
        <w:pStyle w:val="FootnoteText"/>
        <w:jc w:val="both"/>
        <w:rPr>
          <w:rFonts w:ascii="Arial" w:hAnsi="Arial" w:cs="Arial"/>
        </w:rPr>
      </w:pPr>
      <w:r w:rsidRPr="00C86F9C">
        <w:rPr>
          <w:rStyle w:val="FootnoteReference"/>
          <w:rFonts w:ascii="Arial" w:hAnsi="Arial" w:cs="Arial"/>
        </w:rPr>
        <w:footnoteRef/>
      </w:r>
      <w:r w:rsidRPr="00C86F9C">
        <w:rPr>
          <w:rFonts w:ascii="Arial" w:hAnsi="Arial" w:cs="Arial"/>
        </w:rPr>
        <w:t xml:space="preserve"> </w:t>
      </w:r>
      <w:r w:rsidRPr="0049263D">
        <w:rPr>
          <w:rFonts w:ascii="Arial" w:hAnsi="Arial" w:cs="Arial"/>
          <w:i/>
        </w:rPr>
        <w:t>Radial Truss Industries (Pty) Ltd v Aquatan (Pty) Ltd</w:t>
      </w:r>
      <w:r w:rsidRPr="00C86F9C">
        <w:rPr>
          <w:rFonts w:ascii="Arial" w:hAnsi="Arial" w:cs="Arial"/>
        </w:rPr>
        <w:t xml:space="preserve"> [2019] NASC (10 April 2019) para 37.</w:t>
      </w:r>
    </w:p>
  </w:footnote>
  <w:footnote w:id="10">
    <w:p w14:paraId="0CD01FED" w14:textId="77777777" w:rsidR="006972CD" w:rsidRPr="00C86F9C" w:rsidRDefault="006972CD" w:rsidP="006972CD">
      <w:pPr>
        <w:pStyle w:val="FootnoteText"/>
        <w:jc w:val="both"/>
        <w:rPr>
          <w:rFonts w:ascii="Arial" w:hAnsi="Arial" w:cs="Arial"/>
        </w:rPr>
      </w:pPr>
      <w:r w:rsidRPr="00C86F9C">
        <w:rPr>
          <w:rStyle w:val="FootnoteReference"/>
          <w:rFonts w:ascii="Arial" w:hAnsi="Arial" w:cs="Arial"/>
        </w:rPr>
        <w:footnoteRef/>
      </w:r>
      <w:r w:rsidRPr="00C86F9C">
        <w:rPr>
          <w:rFonts w:ascii="Arial" w:hAnsi="Arial" w:cs="Arial"/>
        </w:rPr>
        <w:t xml:space="preserve"> Loc cit.</w:t>
      </w:r>
    </w:p>
  </w:footnote>
  <w:footnote w:id="11">
    <w:p w14:paraId="1324F628" w14:textId="08AC5E5B" w:rsidR="003B6412" w:rsidRPr="00E8679E" w:rsidRDefault="003B6412" w:rsidP="003B6412">
      <w:pPr>
        <w:pStyle w:val="FootnoteText"/>
        <w:jc w:val="both"/>
        <w:rPr>
          <w:rFonts w:ascii="Arial" w:hAnsi="Arial" w:cs="Arial"/>
        </w:rPr>
      </w:pPr>
      <w:r w:rsidRPr="00E8679E">
        <w:rPr>
          <w:rStyle w:val="FootnoteReference"/>
          <w:rFonts w:ascii="Arial" w:hAnsi="Arial" w:cs="Arial"/>
        </w:rPr>
        <w:footnoteRef/>
      </w:r>
      <w:r w:rsidRPr="00E8679E">
        <w:rPr>
          <w:rFonts w:ascii="Arial" w:hAnsi="Arial" w:cs="Arial"/>
        </w:rPr>
        <w:t xml:space="preserve"> </w:t>
      </w:r>
      <w:r>
        <w:rPr>
          <w:rFonts w:ascii="Arial" w:hAnsi="Arial" w:cs="Arial"/>
        </w:rPr>
        <w:t xml:space="preserve">See </w:t>
      </w:r>
      <w:r w:rsidRPr="00E8679E">
        <w:rPr>
          <w:rFonts w:ascii="Arial" w:hAnsi="Arial" w:cs="Arial"/>
          <w:i/>
        </w:rPr>
        <w:t>First National Bank of Namibia v Yeung Tai Foodstuff &amp; Trading</w:t>
      </w:r>
      <w:r w:rsidRPr="00E8679E">
        <w:rPr>
          <w:rFonts w:ascii="Arial" w:hAnsi="Arial" w:cs="Arial"/>
        </w:rPr>
        <w:t xml:space="preserve"> CC footnote </w:t>
      </w:r>
      <w:r w:rsidR="002E7192">
        <w:rPr>
          <w:rFonts w:ascii="Arial" w:hAnsi="Arial" w:cs="Arial"/>
        </w:rPr>
        <w:t>7</w:t>
      </w:r>
      <w:r w:rsidRPr="00E8679E">
        <w:rPr>
          <w:rFonts w:ascii="Arial" w:hAnsi="Arial" w:cs="Arial"/>
        </w:rPr>
        <w:t xml:space="preserve"> para 19.</w:t>
      </w:r>
    </w:p>
    <w:p w14:paraId="0C042B22" w14:textId="77777777" w:rsidR="003B6412" w:rsidRDefault="003B6412" w:rsidP="003B64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4E3578">
          <w:rPr>
            <w:rFonts w:ascii="Arial" w:hAnsi="Arial" w:cs="Arial"/>
            <w:noProof/>
            <w:sz w:val="24"/>
            <w:szCs w:val="24"/>
          </w:rPr>
          <w:t>5</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149E2252"/>
    <w:multiLevelType w:val="hybridMultilevel"/>
    <w:tmpl w:val="52AA939C"/>
    <w:lvl w:ilvl="0" w:tplc="73144D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377649"/>
    <w:multiLevelType w:val="hybridMultilevel"/>
    <w:tmpl w:val="ECD66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986A2B"/>
    <w:multiLevelType w:val="hybridMultilevel"/>
    <w:tmpl w:val="04A80FD0"/>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8F51BCE"/>
    <w:multiLevelType w:val="hybridMultilevel"/>
    <w:tmpl w:val="651410BA"/>
    <w:lvl w:ilvl="0" w:tplc="7624CE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7">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9">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19C48EE"/>
    <w:multiLevelType w:val="hybridMultilevel"/>
    <w:tmpl w:val="AC7A7672"/>
    <w:lvl w:ilvl="0" w:tplc="FED8668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6">
    <w:nsid w:val="79160B6B"/>
    <w:multiLevelType w:val="hybridMultilevel"/>
    <w:tmpl w:val="062AC8A4"/>
    <w:lvl w:ilvl="0" w:tplc="4DAC490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7">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8">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2"/>
  </w:num>
  <w:num w:numId="5">
    <w:abstractNumId w:val="1"/>
  </w:num>
  <w:num w:numId="6">
    <w:abstractNumId w:val="14"/>
  </w:num>
  <w:num w:numId="7">
    <w:abstractNumId w:val="13"/>
  </w:num>
  <w:num w:numId="8">
    <w:abstractNumId w:val="29"/>
  </w:num>
  <w:num w:numId="9">
    <w:abstractNumId w:val="10"/>
  </w:num>
  <w:num w:numId="10">
    <w:abstractNumId w:val="4"/>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2"/>
  </w:num>
  <w:num w:numId="16">
    <w:abstractNumId w:val="27"/>
  </w:num>
  <w:num w:numId="17">
    <w:abstractNumId w:val="6"/>
  </w:num>
  <w:num w:numId="18">
    <w:abstractNumId w:val="24"/>
  </w:num>
  <w:num w:numId="19">
    <w:abstractNumId w:val="30"/>
  </w:num>
  <w:num w:numId="20">
    <w:abstractNumId w:val="18"/>
  </w:num>
  <w:num w:numId="21">
    <w:abstractNumId w:val="17"/>
  </w:num>
  <w:num w:numId="22">
    <w:abstractNumId w:val="19"/>
  </w:num>
  <w:num w:numId="23">
    <w:abstractNumId w:val="3"/>
  </w:num>
  <w:num w:numId="24">
    <w:abstractNumId w:val="1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9"/>
  </w:num>
  <w:num w:numId="29">
    <w:abstractNumId w:val="25"/>
  </w:num>
  <w:num w:numId="30">
    <w:abstractNumId w:val="5"/>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134"/>
    <w:rsid w:val="00015808"/>
    <w:rsid w:val="000200BD"/>
    <w:rsid w:val="00022A4B"/>
    <w:rsid w:val="000234C1"/>
    <w:rsid w:val="00030A66"/>
    <w:rsid w:val="00031642"/>
    <w:rsid w:val="00037236"/>
    <w:rsid w:val="00042EFE"/>
    <w:rsid w:val="00043914"/>
    <w:rsid w:val="00047BBE"/>
    <w:rsid w:val="0005029C"/>
    <w:rsid w:val="00052806"/>
    <w:rsid w:val="00053646"/>
    <w:rsid w:val="0006006E"/>
    <w:rsid w:val="00060B06"/>
    <w:rsid w:val="000650A0"/>
    <w:rsid w:val="00070995"/>
    <w:rsid w:val="00071E6A"/>
    <w:rsid w:val="00076184"/>
    <w:rsid w:val="00083F88"/>
    <w:rsid w:val="0009263E"/>
    <w:rsid w:val="000929C5"/>
    <w:rsid w:val="0009303D"/>
    <w:rsid w:val="000A6E7F"/>
    <w:rsid w:val="000B297E"/>
    <w:rsid w:val="000B6579"/>
    <w:rsid w:val="000D1E23"/>
    <w:rsid w:val="000E7C99"/>
    <w:rsid w:val="000F1438"/>
    <w:rsid w:val="000F2FD9"/>
    <w:rsid w:val="000F39A3"/>
    <w:rsid w:val="000F681E"/>
    <w:rsid w:val="00100870"/>
    <w:rsid w:val="001011B6"/>
    <w:rsid w:val="001032AE"/>
    <w:rsid w:val="00106AE7"/>
    <w:rsid w:val="00111C0D"/>
    <w:rsid w:val="00116AFB"/>
    <w:rsid w:val="00117280"/>
    <w:rsid w:val="00122070"/>
    <w:rsid w:val="001223B7"/>
    <w:rsid w:val="00124C63"/>
    <w:rsid w:val="00125676"/>
    <w:rsid w:val="00130339"/>
    <w:rsid w:val="0013117E"/>
    <w:rsid w:val="00131545"/>
    <w:rsid w:val="00134E9F"/>
    <w:rsid w:val="00136505"/>
    <w:rsid w:val="00144967"/>
    <w:rsid w:val="001470CE"/>
    <w:rsid w:val="00150B08"/>
    <w:rsid w:val="00152FEA"/>
    <w:rsid w:val="00153ED0"/>
    <w:rsid w:val="00157447"/>
    <w:rsid w:val="00157A7D"/>
    <w:rsid w:val="00163FB4"/>
    <w:rsid w:val="001721EB"/>
    <w:rsid w:val="0017433C"/>
    <w:rsid w:val="001750A1"/>
    <w:rsid w:val="001822C1"/>
    <w:rsid w:val="00187084"/>
    <w:rsid w:val="0018718C"/>
    <w:rsid w:val="00191A61"/>
    <w:rsid w:val="0019326C"/>
    <w:rsid w:val="001A13C3"/>
    <w:rsid w:val="001A2A21"/>
    <w:rsid w:val="001B2CA3"/>
    <w:rsid w:val="001B3825"/>
    <w:rsid w:val="001C1570"/>
    <w:rsid w:val="001C33C5"/>
    <w:rsid w:val="001C44E2"/>
    <w:rsid w:val="001D619B"/>
    <w:rsid w:val="001D7162"/>
    <w:rsid w:val="001D795C"/>
    <w:rsid w:val="001E097B"/>
    <w:rsid w:val="001E113F"/>
    <w:rsid w:val="001E192B"/>
    <w:rsid w:val="001E2A2D"/>
    <w:rsid w:val="001E47FA"/>
    <w:rsid w:val="001E6B86"/>
    <w:rsid w:val="002000BA"/>
    <w:rsid w:val="00204A1F"/>
    <w:rsid w:val="00210CE5"/>
    <w:rsid w:val="00215C4A"/>
    <w:rsid w:val="00217744"/>
    <w:rsid w:val="00222067"/>
    <w:rsid w:val="00224808"/>
    <w:rsid w:val="002253A1"/>
    <w:rsid w:val="00225792"/>
    <w:rsid w:val="0022676A"/>
    <w:rsid w:val="002317B0"/>
    <w:rsid w:val="0023549A"/>
    <w:rsid w:val="00241D98"/>
    <w:rsid w:val="00244BAC"/>
    <w:rsid w:val="00244C17"/>
    <w:rsid w:val="00244F7C"/>
    <w:rsid w:val="00247485"/>
    <w:rsid w:val="0025219B"/>
    <w:rsid w:val="002536EA"/>
    <w:rsid w:val="00263481"/>
    <w:rsid w:val="00276736"/>
    <w:rsid w:val="0028119C"/>
    <w:rsid w:val="00281E02"/>
    <w:rsid w:val="002850A3"/>
    <w:rsid w:val="002863C2"/>
    <w:rsid w:val="00287097"/>
    <w:rsid w:val="002873A9"/>
    <w:rsid w:val="002974FD"/>
    <w:rsid w:val="002A3C64"/>
    <w:rsid w:val="002A4AA3"/>
    <w:rsid w:val="002A7BF4"/>
    <w:rsid w:val="002B1E18"/>
    <w:rsid w:val="002B38E0"/>
    <w:rsid w:val="002B44E0"/>
    <w:rsid w:val="002B581D"/>
    <w:rsid w:val="002B6C33"/>
    <w:rsid w:val="002C1EF6"/>
    <w:rsid w:val="002C7DA2"/>
    <w:rsid w:val="002D20C5"/>
    <w:rsid w:val="002D407B"/>
    <w:rsid w:val="002D633E"/>
    <w:rsid w:val="002E20B1"/>
    <w:rsid w:val="002E7192"/>
    <w:rsid w:val="002E738E"/>
    <w:rsid w:val="002E769F"/>
    <w:rsid w:val="002F06E3"/>
    <w:rsid w:val="002F0BA9"/>
    <w:rsid w:val="00301CC7"/>
    <w:rsid w:val="00302F62"/>
    <w:rsid w:val="0030757C"/>
    <w:rsid w:val="00311DE0"/>
    <w:rsid w:val="0031523D"/>
    <w:rsid w:val="00315F4E"/>
    <w:rsid w:val="00316E0A"/>
    <w:rsid w:val="00317497"/>
    <w:rsid w:val="003206F3"/>
    <w:rsid w:val="00322F39"/>
    <w:rsid w:val="00323AAF"/>
    <w:rsid w:val="00323E22"/>
    <w:rsid w:val="0032662C"/>
    <w:rsid w:val="00330E6C"/>
    <w:rsid w:val="00333796"/>
    <w:rsid w:val="00337423"/>
    <w:rsid w:val="00340EA6"/>
    <w:rsid w:val="003414A7"/>
    <w:rsid w:val="003431EF"/>
    <w:rsid w:val="00344B76"/>
    <w:rsid w:val="0035072B"/>
    <w:rsid w:val="00354AF8"/>
    <w:rsid w:val="00357D0F"/>
    <w:rsid w:val="00360B84"/>
    <w:rsid w:val="0036327E"/>
    <w:rsid w:val="00371A8B"/>
    <w:rsid w:val="00371B8F"/>
    <w:rsid w:val="003759B3"/>
    <w:rsid w:val="00382B98"/>
    <w:rsid w:val="0038382D"/>
    <w:rsid w:val="00384F39"/>
    <w:rsid w:val="00390712"/>
    <w:rsid w:val="00390CB3"/>
    <w:rsid w:val="00392316"/>
    <w:rsid w:val="0039392B"/>
    <w:rsid w:val="00394797"/>
    <w:rsid w:val="00396707"/>
    <w:rsid w:val="003A1463"/>
    <w:rsid w:val="003A18AD"/>
    <w:rsid w:val="003A3390"/>
    <w:rsid w:val="003A43B2"/>
    <w:rsid w:val="003B03B0"/>
    <w:rsid w:val="003B6412"/>
    <w:rsid w:val="003C0EA4"/>
    <w:rsid w:val="003C1FA6"/>
    <w:rsid w:val="003C2574"/>
    <w:rsid w:val="003D165C"/>
    <w:rsid w:val="003D3059"/>
    <w:rsid w:val="003D442D"/>
    <w:rsid w:val="003E29B3"/>
    <w:rsid w:val="003E6398"/>
    <w:rsid w:val="003E6669"/>
    <w:rsid w:val="003F053B"/>
    <w:rsid w:val="00404B70"/>
    <w:rsid w:val="00412278"/>
    <w:rsid w:val="00414B69"/>
    <w:rsid w:val="00414D44"/>
    <w:rsid w:val="00415F4F"/>
    <w:rsid w:val="004232DF"/>
    <w:rsid w:val="00426C60"/>
    <w:rsid w:val="00431A65"/>
    <w:rsid w:val="004352E5"/>
    <w:rsid w:val="004358E2"/>
    <w:rsid w:val="00436B1E"/>
    <w:rsid w:val="00436C2B"/>
    <w:rsid w:val="00437666"/>
    <w:rsid w:val="004416D0"/>
    <w:rsid w:val="00443B14"/>
    <w:rsid w:val="00450650"/>
    <w:rsid w:val="00457D5C"/>
    <w:rsid w:val="00461F35"/>
    <w:rsid w:val="00463486"/>
    <w:rsid w:val="004665B1"/>
    <w:rsid w:val="00466B36"/>
    <w:rsid w:val="00472769"/>
    <w:rsid w:val="00474C2A"/>
    <w:rsid w:val="00475B7A"/>
    <w:rsid w:val="00475D2C"/>
    <w:rsid w:val="0048485D"/>
    <w:rsid w:val="00490505"/>
    <w:rsid w:val="004907E4"/>
    <w:rsid w:val="004936A7"/>
    <w:rsid w:val="004936DA"/>
    <w:rsid w:val="004A0AE3"/>
    <w:rsid w:val="004A2855"/>
    <w:rsid w:val="004A2D48"/>
    <w:rsid w:val="004A325C"/>
    <w:rsid w:val="004A34A8"/>
    <w:rsid w:val="004A5618"/>
    <w:rsid w:val="004B337B"/>
    <w:rsid w:val="004B6FA1"/>
    <w:rsid w:val="004C5788"/>
    <w:rsid w:val="004C5EA6"/>
    <w:rsid w:val="004C646F"/>
    <w:rsid w:val="004D4C39"/>
    <w:rsid w:val="004D7D3B"/>
    <w:rsid w:val="004E02A0"/>
    <w:rsid w:val="004E3578"/>
    <w:rsid w:val="004E3BFB"/>
    <w:rsid w:val="004E6D2F"/>
    <w:rsid w:val="004F5C19"/>
    <w:rsid w:val="004F738D"/>
    <w:rsid w:val="00503F36"/>
    <w:rsid w:val="005111BA"/>
    <w:rsid w:val="00512AB9"/>
    <w:rsid w:val="005145D9"/>
    <w:rsid w:val="00522621"/>
    <w:rsid w:val="005233E6"/>
    <w:rsid w:val="00523D75"/>
    <w:rsid w:val="005327E0"/>
    <w:rsid w:val="005334B7"/>
    <w:rsid w:val="0053496C"/>
    <w:rsid w:val="00535F29"/>
    <w:rsid w:val="00536EFF"/>
    <w:rsid w:val="005423F4"/>
    <w:rsid w:val="005629DA"/>
    <w:rsid w:val="0057484E"/>
    <w:rsid w:val="00580728"/>
    <w:rsid w:val="00586B27"/>
    <w:rsid w:val="00594F6C"/>
    <w:rsid w:val="005952CE"/>
    <w:rsid w:val="005A0EBD"/>
    <w:rsid w:val="005A4D90"/>
    <w:rsid w:val="005B558B"/>
    <w:rsid w:val="005B62A0"/>
    <w:rsid w:val="005B62C7"/>
    <w:rsid w:val="005B7449"/>
    <w:rsid w:val="005C0E24"/>
    <w:rsid w:val="005C21D7"/>
    <w:rsid w:val="005C3354"/>
    <w:rsid w:val="005C4157"/>
    <w:rsid w:val="005C715D"/>
    <w:rsid w:val="005C7D31"/>
    <w:rsid w:val="005D0D19"/>
    <w:rsid w:val="005D1FA8"/>
    <w:rsid w:val="005D4C34"/>
    <w:rsid w:val="005D6452"/>
    <w:rsid w:val="005E2DC4"/>
    <w:rsid w:val="005F325C"/>
    <w:rsid w:val="005F32EB"/>
    <w:rsid w:val="005F39EA"/>
    <w:rsid w:val="00602C25"/>
    <w:rsid w:val="00605348"/>
    <w:rsid w:val="00610BF1"/>
    <w:rsid w:val="006115E2"/>
    <w:rsid w:val="006138DB"/>
    <w:rsid w:val="006144A8"/>
    <w:rsid w:val="0061537D"/>
    <w:rsid w:val="0062003A"/>
    <w:rsid w:val="00625A57"/>
    <w:rsid w:val="00631F48"/>
    <w:rsid w:val="0065370D"/>
    <w:rsid w:val="00653784"/>
    <w:rsid w:val="00663770"/>
    <w:rsid w:val="00663C80"/>
    <w:rsid w:val="00667BF0"/>
    <w:rsid w:val="00672C76"/>
    <w:rsid w:val="006734C7"/>
    <w:rsid w:val="0067423B"/>
    <w:rsid w:val="00676755"/>
    <w:rsid w:val="0069311C"/>
    <w:rsid w:val="00693260"/>
    <w:rsid w:val="00695745"/>
    <w:rsid w:val="006972CD"/>
    <w:rsid w:val="006976D9"/>
    <w:rsid w:val="006A0BA4"/>
    <w:rsid w:val="006A1E08"/>
    <w:rsid w:val="006A3CBE"/>
    <w:rsid w:val="006B5854"/>
    <w:rsid w:val="006B7521"/>
    <w:rsid w:val="006C2FB6"/>
    <w:rsid w:val="006C6464"/>
    <w:rsid w:val="006D0991"/>
    <w:rsid w:val="006D0E84"/>
    <w:rsid w:val="006D3438"/>
    <w:rsid w:val="006D3A0B"/>
    <w:rsid w:val="006D5AB1"/>
    <w:rsid w:val="006D6828"/>
    <w:rsid w:val="006D69E7"/>
    <w:rsid w:val="006D7450"/>
    <w:rsid w:val="006E014E"/>
    <w:rsid w:val="006E0FD4"/>
    <w:rsid w:val="006E13E5"/>
    <w:rsid w:val="006F07B3"/>
    <w:rsid w:val="006F1CCC"/>
    <w:rsid w:val="006F5B42"/>
    <w:rsid w:val="006F6DE3"/>
    <w:rsid w:val="007008BE"/>
    <w:rsid w:val="00700B1F"/>
    <w:rsid w:val="00702C62"/>
    <w:rsid w:val="00703171"/>
    <w:rsid w:val="00703917"/>
    <w:rsid w:val="00704B13"/>
    <w:rsid w:val="007069EC"/>
    <w:rsid w:val="00706F94"/>
    <w:rsid w:val="00710E0D"/>
    <w:rsid w:val="007204DC"/>
    <w:rsid w:val="007211CD"/>
    <w:rsid w:val="00721F98"/>
    <w:rsid w:val="00734802"/>
    <w:rsid w:val="00735C39"/>
    <w:rsid w:val="00736DA4"/>
    <w:rsid w:val="007448FE"/>
    <w:rsid w:val="00746C0C"/>
    <w:rsid w:val="0075019C"/>
    <w:rsid w:val="00750F55"/>
    <w:rsid w:val="00752FAA"/>
    <w:rsid w:val="007600DB"/>
    <w:rsid w:val="00765AE4"/>
    <w:rsid w:val="00766C68"/>
    <w:rsid w:val="0077241B"/>
    <w:rsid w:val="00772D17"/>
    <w:rsid w:val="00776163"/>
    <w:rsid w:val="0078274D"/>
    <w:rsid w:val="007853D8"/>
    <w:rsid w:val="00787EE4"/>
    <w:rsid w:val="0079505A"/>
    <w:rsid w:val="007950C8"/>
    <w:rsid w:val="007979CA"/>
    <w:rsid w:val="007A650B"/>
    <w:rsid w:val="007B131C"/>
    <w:rsid w:val="007B2BC4"/>
    <w:rsid w:val="007C2B88"/>
    <w:rsid w:val="007C2BC3"/>
    <w:rsid w:val="007D0792"/>
    <w:rsid w:val="007D6C74"/>
    <w:rsid w:val="007E19C1"/>
    <w:rsid w:val="007E2F91"/>
    <w:rsid w:val="007E43B6"/>
    <w:rsid w:val="007E594A"/>
    <w:rsid w:val="007F0F47"/>
    <w:rsid w:val="007F4E11"/>
    <w:rsid w:val="007F564C"/>
    <w:rsid w:val="007F68C4"/>
    <w:rsid w:val="008006A3"/>
    <w:rsid w:val="00802096"/>
    <w:rsid w:val="0080277A"/>
    <w:rsid w:val="0080318F"/>
    <w:rsid w:val="00805E5A"/>
    <w:rsid w:val="00812409"/>
    <w:rsid w:val="00812E19"/>
    <w:rsid w:val="008134AF"/>
    <w:rsid w:val="00814ECC"/>
    <w:rsid w:val="00816D5D"/>
    <w:rsid w:val="00821A0C"/>
    <w:rsid w:val="00822BEF"/>
    <w:rsid w:val="00824F3D"/>
    <w:rsid w:val="008275AC"/>
    <w:rsid w:val="00827F39"/>
    <w:rsid w:val="00835300"/>
    <w:rsid w:val="00840C06"/>
    <w:rsid w:val="00843040"/>
    <w:rsid w:val="00847C4B"/>
    <w:rsid w:val="00853833"/>
    <w:rsid w:val="008653EA"/>
    <w:rsid w:val="00865F37"/>
    <w:rsid w:val="00866039"/>
    <w:rsid w:val="008733EF"/>
    <w:rsid w:val="0087368D"/>
    <w:rsid w:val="00874EE5"/>
    <w:rsid w:val="00881799"/>
    <w:rsid w:val="00882F73"/>
    <w:rsid w:val="00883D7C"/>
    <w:rsid w:val="00886625"/>
    <w:rsid w:val="00890A20"/>
    <w:rsid w:val="00892219"/>
    <w:rsid w:val="00892D9A"/>
    <w:rsid w:val="008A1447"/>
    <w:rsid w:val="008A5AC1"/>
    <w:rsid w:val="008B5D68"/>
    <w:rsid w:val="008B6223"/>
    <w:rsid w:val="008B7248"/>
    <w:rsid w:val="008C2200"/>
    <w:rsid w:val="008C39E9"/>
    <w:rsid w:val="008D54B2"/>
    <w:rsid w:val="008E0730"/>
    <w:rsid w:val="008E5E3D"/>
    <w:rsid w:val="008E74B0"/>
    <w:rsid w:val="008F59A0"/>
    <w:rsid w:val="00903F86"/>
    <w:rsid w:val="0090480D"/>
    <w:rsid w:val="00906AF6"/>
    <w:rsid w:val="009119B5"/>
    <w:rsid w:val="00912F74"/>
    <w:rsid w:val="00917E49"/>
    <w:rsid w:val="00921E24"/>
    <w:rsid w:val="009222E7"/>
    <w:rsid w:val="00923430"/>
    <w:rsid w:val="009273A5"/>
    <w:rsid w:val="009279BE"/>
    <w:rsid w:val="00930F17"/>
    <w:rsid w:val="009327F0"/>
    <w:rsid w:val="009328D7"/>
    <w:rsid w:val="00932F19"/>
    <w:rsid w:val="00933AC3"/>
    <w:rsid w:val="009342D0"/>
    <w:rsid w:val="0093567D"/>
    <w:rsid w:val="00937C89"/>
    <w:rsid w:val="0094041F"/>
    <w:rsid w:val="00940E2D"/>
    <w:rsid w:val="00944CCD"/>
    <w:rsid w:val="0094588F"/>
    <w:rsid w:val="00946D90"/>
    <w:rsid w:val="009470F3"/>
    <w:rsid w:val="0095505F"/>
    <w:rsid w:val="00955095"/>
    <w:rsid w:val="00956668"/>
    <w:rsid w:val="0096420A"/>
    <w:rsid w:val="0096585C"/>
    <w:rsid w:val="009661E4"/>
    <w:rsid w:val="00971A18"/>
    <w:rsid w:val="009733A9"/>
    <w:rsid w:val="009856AB"/>
    <w:rsid w:val="009919F6"/>
    <w:rsid w:val="00992A2F"/>
    <w:rsid w:val="00993F7F"/>
    <w:rsid w:val="00996760"/>
    <w:rsid w:val="00997C11"/>
    <w:rsid w:val="009A5AD1"/>
    <w:rsid w:val="009A7A59"/>
    <w:rsid w:val="009A7F13"/>
    <w:rsid w:val="009B41E2"/>
    <w:rsid w:val="009B4A62"/>
    <w:rsid w:val="009B600F"/>
    <w:rsid w:val="009C3275"/>
    <w:rsid w:val="009C35C9"/>
    <w:rsid w:val="009C62AE"/>
    <w:rsid w:val="009C6F3F"/>
    <w:rsid w:val="009D0E8F"/>
    <w:rsid w:val="009D24DC"/>
    <w:rsid w:val="009D27E8"/>
    <w:rsid w:val="009D5376"/>
    <w:rsid w:val="009E730A"/>
    <w:rsid w:val="009F1FA2"/>
    <w:rsid w:val="009F2ADD"/>
    <w:rsid w:val="00A05FE8"/>
    <w:rsid w:val="00A10E40"/>
    <w:rsid w:val="00A11BBE"/>
    <w:rsid w:val="00A13C7B"/>
    <w:rsid w:val="00A15CD1"/>
    <w:rsid w:val="00A168A5"/>
    <w:rsid w:val="00A22E0F"/>
    <w:rsid w:val="00A2391E"/>
    <w:rsid w:val="00A26B7B"/>
    <w:rsid w:val="00A31424"/>
    <w:rsid w:val="00A3327E"/>
    <w:rsid w:val="00A42469"/>
    <w:rsid w:val="00A45560"/>
    <w:rsid w:val="00A50F13"/>
    <w:rsid w:val="00A52F09"/>
    <w:rsid w:val="00A60965"/>
    <w:rsid w:val="00A66511"/>
    <w:rsid w:val="00A75ED6"/>
    <w:rsid w:val="00A7774E"/>
    <w:rsid w:val="00A80306"/>
    <w:rsid w:val="00A80BFC"/>
    <w:rsid w:val="00A81B7C"/>
    <w:rsid w:val="00A82D44"/>
    <w:rsid w:val="00A85792"/>
    <w:rsid w:val="00A90F3E"/>
    <w:rsid w:val="00A91240"/>
    <w:rsid w:val="00A9498C"/>
    <w:rsid w:val="00AA2EFA"/>
    <w:rsid w:val="00AA3ECB"/>
    <w:rsid w:val="00AC4E79"/>
    <w:rsid w:val="00AD72DD"/>
    <w:rsid w:val="00AE0185"/>
    <w:rsid w:val="00AE08F0"/>
    <w:rsid w:val="00AE16BF"/>
    <w:rsid w:val="00AE2293"/>
    <w:rsid w:val="00AF3B02"/>
    <w:rsid w:val="00AF4EDE"/>
    <w:rsid w:val="00B01B6C"/>
    <w:rsid w:val="00B050E7"/>
    <w:rsid w:val="00B119D6"/>
    <w:rsid w:val="00B121EA"/>
    <w:rsid w:val="00B220E6"/>
    <w:rsid w:val="00B30526"/>
    <w:rsid w:val="00B32493"/>
    <w:rsid w:val="00B40844"/>
    <w:rsid w:val="00B40E58"/>
    <w:rsid w:val="00B421C1"/>
    <w:rsid w:val="00B42F3B"/>
    <w:rsid w:val="00B45E7F"/>
    <w:rsid w:val="00B45F83"/>
    <w:rsid w:val="00B47800"/>
    <w:rsid w:val="00B50C99"/>
    <w:rsid w:val="00B52418"/>
    <w:rsid w:val="00B55FFE"/>
    <w:rsid w:val="00B56E34"/>
    <w:rsid w:val="00B5737E"/>
    <w:rsid w:val="00B573A6"/>
    <w:rsid w:val="00B60282"/>
    <w:rsid w:val="00B60287"/>
    <w:rsid w:val="00B61AC7"/>
    <w:rsid w:val="00B62F2B"/>
    <w:rsid w:val="00B72DF0"/>
    <w:rsid w:val="00B772F4"/>
    <w:rsid w:val="00B77777"/>
    <w:rsid w:val="00B779F4"/>
    <w:rsid w:val="00B808CB"/>
    <w:rsid w:val="00B845CF"/>
    <w:rsid w:val="00B84680"/>
    <w:rsid w:val="00B912B2"/>
    <w:rsid w:val="00B92DE7"/>
    <w:rsid w:val="00B93677"/>
    <w:rsid w:val="00B9407E"/>
    <w:rsid w:val="00B94288"/>
    <w:rsid w:val="00BA2C89"/>
    <w:rsid w:val="00BA4C8B"/>
    <w:rsid w:val="00BB13F4"/>
    <w:rsid w:val="00BB3273"/>
    <w:rsid w:val="00BB3C0C"/>
    <w:rsid w:val="00BC055D"/>
    <w:rsid w:val="00BC2C75"/>
    <w:rsid w:val="00BC5931"/>
    <w:rsid w:val="00BD51FC"/>
    <w:rsid w:val="00BD61A4"/>
    <w:rsid w:val="00BD7103"/>
    <w:rsid w:val="00BE31AD"/>
    <w:rsid w:val="00BE3978"/>
    <w:rsid w:val="00BE4F57"/>
    <w:rsid w:val="00BF1AB4"/>
    <w:rsid w:val="00BF44EC"/>
    <w:rsid w:val="00BF7B15"/>
    <w:rsid w:val="00C0136C"/>
    <w:rsid w:val="00C02EE4"/>
    <w:rsid w:val="00C04F28"/>
    <w:rsid w:val="00C06EB4"/>
    <w:rsid w:val="00C10CAA"/>
    <w:rsid w:val="00C1368A"/>
    <w:rsid w:val="00C14AB5"/>
    <w:rsid w:val="00C1722E"/>
    <w:rsid w:val="00C2633E"/>
    <w:rsid w:val="00C278BE"/>
    <w:rsid w:val="00C3225B"/>
    <w:rsid w:val="00C360E9"/>
    <w:rsid w:val="00C43E50"/>
    <w:rsid w:val="00C45D36"/>
    <w:rsid w:val="00C47E3A"/>
    <w:rsid w:val="00C5200F"/>
    <w:rsid w:val="00C617C6"/>
    <w:rsid w:val="00C649D5"/>
    <w:rsid w:val="00C67D0C"/>
    <w:rsid w:val="00C72463"/>
    <w:rsid w:val="00C73D5D"/>
    <w:rsid w:val="00C7517F"/>
    <w:rsid w:val="00C834FA"/>
    <w:rsid w:val="00C85711"/>
    <w:rsid w:val="00CA7995"/>
    <w:rsid w:val="00CB08C7"/>
    <w:rsid w:val="00CB1183"/>
    <w:rsid w:val="00CB5862"/>
    <w:rsid w:val="00CC128D"/>
    <w:rsid w:val="00CC29CE"/>
    <w:rsid w:val="00CC4529"/>
    <w:rsid w:val="00CC7431"/>
    <w:rsid w:val="00CD5AE8"/>
    <w:rsid w:val="00CD5D0B"/>
    <w:rsid w:val="00CD62C0"/>
    <w:rsid w:val="00CE4631"/>
    <w:rsid w:val="00CF6440"/>
    <w:rsid w:val="00D03B96"/>
    <w:rsid w:val="00D04B6F"/>
    <w:rsid w:val="00D0732E"/>
    <w:rsid w:val="00D113DD"/>
    <w:rsid w:val="00D1307C"/>
    <w:rsid w:val="00D24453"/>
    <w:rsid w:val="00D25285"/>
    <w:rsid w:val="00D30D4D"/>
    <w:rsid w:val="00D32F8E"/>
    <w:rsid w:val="00D37DAA"/>
    <w:rsid w:val="00D5070E"/>
    <w:rsid w:val="00D547B6"/>
    <w:rsid w:val="00D61648"/>
    <w:rsid w:val="00D6224D"/>
    <w:rsid w:val="00D6655A"/>
    <w:rsid w:val="00D74C69"/>
    <w:rsid w:val="00D752D7"/>
    <w:rsid w:val="00D80947"/>
    <w:rsid w:val="00D82E99"/>
    <w:rsid w:val="00D86F11"/>
    <w:rsid w:val="00D87914"/>
    <w:rsid w:val="00D9282E"/>
    <w:rsid w:val="00D960EA"/>
    <w:rsid w:val="00D965B8"/>
    <w:rsid w:val="00D9720B"/>
    <w:rsid w:val="00D976B2"/>
    <w:rsid w:val="00DA1708"/>
    <w:rsid w:val="00DA2283"/>
    <w:rsid w:val="00DA5689"/>
    <w:rsid w:val="00DA58B4"/>
    <w:rsid w:val="00DA6C57"/>
    <w:rsid w:val="00DB5AA2"/>
    <w:rsid w:val="00DC3FD1"/>
    <w:rsid w:val="00DC5666"/>
    <w:rsid w:val="00DC6B2A"/>
    <w:rsid w:val="00DD5288"/>
    <w:rsid w:val="00DD614B"/>
    <w:rsid w:val="00DD6A03"/>
    <w:rsid w:val="00DD76E7"/>
    <w:rsid w:val="00DE1990"/>
    <w:rsid w:val="00DE220E"/>
    <w:rsid w:val="00DF0F46"/>
    <w:rsid w:val="00DF1D2A"/>
    <w:rsid w:val="00DF5C98"/>
    <w:rsid w:val="00E03967"/>
    <w:rsid w:val="00E04664"/>
    <w:rsid w:val="00E0573A"/>
    <w:rsid w:val="00E07A3E"/>
    <w:rsid w:val="00E16A68"/>
    <w:rsid w:val="00E20030"/>
    <w:rsid w:val="00E2006F"/>
    <w:rsid w:val="00E221FD"/>
    <w:rsid w:val="00E2743C"/>
    <w:rsid w:val="00E41369"/>
    <w:rsid w:val="00E41BE5"/>
    <w:rsid w:val="00E42A4B"/>
    <w:rsid w:val="00E4469F"/>
    <w:rsid w:val="00E452F4"/>
    <w:rsid w:val="00E46B58"/>
    <w:rsid w:val="00E533BE"/>
    <w:rsid w:val="00E5361F"/>
    <w:rsid w:val="00E53C47"/>
    <w:rsid w:val="00E5507F"/>
    <w:rsid w:val="00E55FBE"/>
    <w:rsid w:val="00E60E31"/>
    <w:rsid w:val="00E62DB3"/>
    <w:rsid w:val="00E67680"/>
    <w:rsid w:val="00E73C41"/>
    <w:rsid w:val="00E778B9"/>
    <w:rsid w:val="00E823CF"/>
    <w:rsid w:val="00E847D9"/>
    <w:rsid w:val="00E911FB"/>
    <w:rsid w:val="00E96F9E"/>
    <w:rsid w:val="00E97512"/>
    <w:rsid w:val="00E97B9E"/>
    <w:rsid w:val="00EA2DE2"/>
    <w:rsid w:val="00EB1AE0"/>
    <w:rsid w:val="00EC1776"/>
    <w:rsid w:val="00EC7E83"/>
    <w:rsid w:val="00ED27EE"/>
    <w:rsid w:val="00ED2C7B"/>
    <w:rsid w:val="00ED5B76"/>
    <w:rsid w:val="00ED5E52"/>
    <w:rsid w:val="00ED7008"/>
    <w:rsid w:val="00ED76B2"/>
    <w:rsid w:val="00EE122C"/>
    <w:rsid w:val="00EE34E6"/>
    <w:rsid w:val="00EE4268"/>
    <w:rsid w:val="00EE4364"/>
    <w:rsid w:val="00EE5473"/>
    <w:rsid w:val="00EF184A"/>
    <w:rsid w:val="00EF249A"/>
    <w:rsid w:val="00EF2FD0"/>
    <w:rsid w:val="00EF2FFD"/>
    <w:rsid w:val="00EF37C1"/>
    <w:rsid w:val="00EF7A64"/>
    <w:rsid w:val="00F01B97"/>
    <w:rsid w:val="00F0235A"/>
    <w:rsid w:val="00F05B1C"/>
    <w:rsid w:val="00F05CAB"/>
    <w:rsid w:val="00F0783D"/>
    <w:rsid w:val="00F13D78"/>
    <w:rsid w:val="00F146F6"/>
    <w:rsid w:val="00F17E2E"/>
    <w:rsid w:val="00F21EDB"/>
    <w:rsid w:val="00F33D96"/>
    <w:rsid w:val="00F3779B"/>
    <w:rsid w:val="00F4176A"/>
    <w:rsid w:val="00F46AB5"/>
    <w:rsid w:val="00F4726A"/>
    <w:rsid w:val="00F47A1E"/>
    <w:rsid w:val="00F57D85"/>
    <w:rsid w:val="00F606E9"/>
    <w:rsid w:val="00F62189"/>
    <w:rsid w:val="00F65529"/>
    <w:rsid w:val="00F65903"/>
    <w:rsid w:val="00F66F79"/>
    <w:rsid w:val="00F72231"/>
    <w:rsid w:val="00F72FCD"/>
    <w:rsid w:val="00F7691A"/>
    <w:rsid w:val="00F7753F"/>
    <w:rsid w:val="00F82EDF"/>
    <w:rsid w:val="00F84868"/>
    <w:rsid w:val="00F92650"/>
    <w:rsid w:val="00F92D04"/>
    <w:rsid w:val="00F9481A"/>
    <w:rsid w:val="00F9509A"/>
    <w:rsid w:val="00FA2F85"/>
    <w:rsid w:val="00FB27BC"/>
    <w:rsid w:val="00FB2E9E"/>
    <w:rsid w:val="00FB5F14"/>
    <w:rsid w:val="00FB7C8F"/>
    <w:rsid w:val="00FC1CFF"/>
    <w:rsid w:val="00FC2237"/>
    <w:rsid w:val="00FC6F2E"/>
    <w:rsid w:val="00FC766F"/>
    <w:rsid w:val="00FD68B7"/>
    <w:rsid w:val="00FE0A83"/>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2023-12-12T18:30:00+00:00</Judgment_x0020_Date>
    <Year xmlns="c1afb1bd-f2fb-40fd-9abb-aea55b4d7662">2023</Year>
  </documentManagement>
</p:properties>
</file>

<file path=customXml/itemProps1.xml><?xml version="1.0" encoding="utf-8"?>
<ds:datastoreItem xmlns:ds="http://schemas.openxmlformats.org/officeDocument/2006/customXml" ds:itemID="{93EA9539-00C9-4BD4-A1E5-9B4A7A2493D1}"/>
</file>

<file path=customXml/itemProps2.xml><?xml version="1.0" encoding="utf-8"?>
<ds:datastoreItem xmlns:ds="http://schemas.openxmlformats.org/officeDocument/2006/customXml" ds:itemID="{9EEF061F-5ACF-4203-AB86-F1DDD549D3EA}"/>
</file>

<file path=customXml/itemProps3.xml><?xml version="1.0" encoding="utf-8"?>
<ds:datastoreItem xmlns:ds="http://schemas.openxmlformats.org/officeDocument/2006/customXml" ds:itemID="{0C9C074A-F933-4F4B-BB34-3E6E0AABCBF8}"/>
</file>

<file path=customXml/itemProps4.xml><?xml version="1.0" encoding="utf-8"?>
<ds:datastoreItem xmlns:ds="http://schemas.openxmlformats.org/officeDocument/2006/customXml" ds:itemID="{6098F2CA-910A-4E8D-BAFD-A71341D38B7E}"/>
</file>

<file path=docProps/app.xml><?xml version="1.0" encoding="utf-8"?>
<Properties xmlns="http://schemas.openxmlformats.org/officeDocument/2006/extended-properties" xmlns:vt="http://schemas.openxmlformats.org/officeDocument/2006/docPropsVTypes">
  <Template>Normal</Template>
  <TotalTime>109</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National Bank Namibia Limited v  Mouton (HC-MD-CIV-ACT-CON-2023-03503) [2023] NAHCMD 822 (13 December 2023)</dc:title>
  <dc:subject/>
  <dc:creator>shomany keister</dc:creator>
  <cp:keywords/>
  <dc:description/>
  <cp:lastModifiedBy>Bregitha Coetzee</cp:lastModifiedBy>
  <cp:revision>43</cp:revision>
  <cp:lastPrinted>2023-12-05T14:14:00Z</cp:lastPrinted>
  <dcterms:created xsi:type="dcterms:W3CDTF">2023-12-07T11:05:00Z</dcterms:created>
  <dcterms:modified xsi:type="dcterms:W3CDTF">2023-12-18T12:22:00Z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