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001B7" w14:textId="77777777" w:rsidR="00DC489D" w:rsidRPr="001D6B3F" w:rsidRDefault="00DC489D" w:rsidP="007A6C9F">
      <w:pPr>
        <w:spacing w:after="0" w:line="360" w:lineRule="auto"/>
        <w:jc w:val="center"/>
        <w:rPr>
          <w:b/>
          <w:bCs/>
          <w:lang w:val="en-ZA"/>
        </w:rPr>
      </w:pPr>
      <w:r w:rsidRPr="001D6B3F">
        <w:rPr>
          <w:b/>
          <w:bCs/>
        </w:rPr>
        <w:t>REPUBLIC OF NAMIBIA</w:t>
      </w:r>
    </w:p>
    <w:p w14:paraId="4E3ECB08" w14:textId="77777777" w:rsidR="00DC489D" w:rsidRPr="001D6B3F" w:rsidRDefault="00DC489D" w:rsidP="007A6C9F">
      <w:pPr>
        <w:spacing w:after="0" w:line="360" w:lineRule="auto"/>
        <w:jc w:val="center"/>
        <w:rPr>
          <w:b/>
          <w:bCs/>
          <w:lang w:val="en-ZA"/>
        </w:rPr>
      </w:pPr>
      <w:r w:rsidRPr="001D6B3F">
        <w:rPr>
          <w:b/>
          <w:noProof/>
        </w:rPr>
        <w:drawing>
          <wp:inline distT="0" distB="0" distL="0" distR="0" wp14:anchorId="64C953EA" wp14:editId="1AA5166C">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458E6C2E" w14:textId="07A7245C" w:rsidR="00DC489D" w:rsidRPr="00C316EF" w:rsidRDefault="00DC489D" w:rsidP="00C316EF">
      <w:pPr>
        <w:spacing w:after="0" w:line="360" w:lineRule="auto"/>
        <w:jc w:val="center"/>
        <w:rPr>
          <w:lang w:val="en-ZA"/>
        </w:rPr>
      </w:pPr>
      <w:r w:rsidRPr="001D6B3F">
        <w:rPr>
          <w:b/>
          <w:bCs/>
        </w:rPr>
        <w:t>HIGH COURT OF NAMIBIA MAIN DIVISION, WINDHOEK</w:t>
      </w:r>
    </w:p>
    <w:p w14:paraId="34B7D46A" w14:textId="322A8104" w:rsidR="000519A2" w:rsidRPr="001D6B3F" w:rsidRDefault="009C2E53" w:rsidP="00C316EF">
      <w:pPr>
        <w:spacing w:after="0" w:line="360" w:lineRule="auto"/>
        <w:jc w:val="center"/>
      </w:pPr>
      <w:r w:rsidRPr="001D6B3F">
        <w:t>Practice Directive 61</w:t>
      </w:r>
    </w:p>
    <w:p w14:paraId="7F99B005" w14:textId="23A434A5" w:rsidR="00DC489D" w:rsidRPr="00C316EF" w:rsidRDefault="005163E0" w:rsidP="00C316EF">
      <w:pPr>
        <w:spacing w:after="0" w:line="360" w:lineRule="auto"/>
        <w:jc w:val="center"/>
        <w:rPr>
          <w:b/>
        </w:rPr>
      </w:pPr>
      <w:r>
        <w:rPr>
          <w:b/>
        </w:rPr>
        <w:t>INTERLOCUTORY RULING</w:t>
      </w:r>
    </w:p>
    <w:tbl>
      <w:tblPr>
        <w:tblStyle w:val="TableGrid"/>
        <w:tblW w:w="10476" w:type="dxa"/>
        <w:tblInd w:w="-275" w:type="dxa"/>
        <w:tblLook w:val="04A0" w:firstRow="1" w:lastRow="0" w:firstColumn="1" w:lastColumn="0" w:noHBand="0" w:noVBand="1"/>
      </w:tblPr>
      <w:tblGrid>
        <w:gridCol w:w="4770"/>
        <w:gridCol w:w="1596"/>
        <w:gridCol w:w="4110"/>
      </w:tblGrid>
      <w:tr w:rsidR="001D6B3F" w:rsidRPr="001D6B3F" w14:paraId="641B103E" w14:textId="77777777" w:rsidTr="000517D9">
        <w:trPr>
          <w:trHeight w:val="744"/>
        </w:trPr>
        <w:tc>
          <w:tcPr>
            <w:tcW w:w="6366" w:type="dxa"/>
            <w:gridSpan w:val="2"/>
            <w:vMerge w:val="restart"/>
          </w:tcPr>
          <w:p w14:paraId="4602A288"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Title:</w:t>
            </w:r>
          </w:p>
          <w:p w14:paraId="6E2218D7" w14:textId="6D846EA3" w:rsidR="004F1FD3" w:rsidRPr="005163E0" w:rsidRDefault="00E03F4F" w:rsidP="007A6C9F">
            <w:pPr>
              <w:pStyle w:val="Body"/>
              <w:keepNext/>
              <w:tabs>
                <w:tab w:val="right" w:pos="9000"/>
              </w:tabs>
              <w:spacing w:line="360" w:lineRule="auto"/>
              <w:jc w:val="both"/>
              <w:outlineLvl w:val="3"/>
              <w:rPr>
                <w:rFonts w:ascii="Arial" w:hAnsi="Arial" w:cs="Arial"/>
                <w:bCs/>
                <w:color w:val="auto"/>
                <w:sz w:val="24"/>
                <w:szCs w:val="24"/>
                <w:lang w:val="en-US"/>
              </w:rPr>
            </w:pPr>
            <w:r>
              <w:rPr>
                <w:rFonts w:ascii="Arial" w:hAnsi="Arial"/>
                <w:bCs/>
                <w:color w:val="auto"/>
                <w:sz w:val="24"/>
                <w:szCs w:val="24"/>
                <w:lang w:val="en-US"/>
              </w:rPr>
              <w:t xml:space="preserve">Nautilus Fishing Industries (Pty) Ltd   </w:t>
            </w:r>
            <w:r w:rsidR="00C316EF">
              <w:rPr>
                <w:rFonts w:ascii="Arial" w:hAnsi="Arial"/>
                <w:bCs/>
                <w:color w:val="auto"/>
                <w:sz w:val="24"/>
                <w:szCs w:val="24"/>
                <w:lang w:val="en-US"/>
              </w:rPr>
              <w:t xml:space="preserve">                 </w:t>
            </w:r>
            <w:r>
              <w:rPr>
                <w:rFonts w:ascii="Arial" w:hAnsi="Arial"/>
                <w:bCs/>
                <w:color w:val="auto"/>
                <w:sz w:val="24"/>
                <w:szCs w:val="24"/>
                <w:lang w:val="en-US"/>
              </w:rPr>
              <w:t>Applicant</w:t>
            </w:r>
            <w:r w:rsidR="000519A2" w:rsidRPr="001D6B3F">
              <w:rPr>
                <w:rFonts w:ascii="Arial" w:hAnsi="Arial" w:cs="Arial"/>
                <w:bCs/>
                <w:color w:val="auto"/>
                <w:sz w:val="24"/>
                <w:szCs w:val="24"/>
                <w:lang w:val="en-US"/>
              </w:rPr>
              <w:t xml:space="preserve">                                                     </w:t>
            </w:r>
          </w:p>
          <w:p w14:paraId="2D1FDD5A" w14:textId="77777777" w:rsidR="004F1FD3" w:rsidRPr="001D6B3F" w:rsidRDefault="006F59B4" w:rsidP="007A6C9F">
            <w:pPr>
              <w:pStyle w:val="Body"/>
              <w:keepNext/>
              <w:tabs>
                <w:tab w:val="right" w:pos="9000"/>
              </w:tabs>
              <w:spacing w:line="360" w:lineRule="auto"/>
              <w:jc w:val="both"/>
              <w:outlineLvl w:val="3"/>
              <w:rPr>
                <w:rFonts w:ascii="Arial" w:hAnsi="Arial" w:cs="Arial"/>
                <w:bCs/>
                <w:color w:val="auto"/>
                <w:sz w:val="24"/>
                <w:szCs w:val="24"/>
                <w:lang w:val="en-US"/>
              </w:rPr>
            </w:pPr>
            <w:r w:rsidRPr="001D6B3F">
              <w:rPr>
                <w:rFonts w:ascii="Arial" w:hAnsi="Arial" w:cs="Arial"/>
                <w:bCs/>
                <w:color w:val="auto"/>
                <w:sz w:val="24"/>
                <w:szCs w:val="24"/>
                <w:lang w:val="en-US"/>
              </w:rPr>
              <w:t>and</w:t>
            </w:r>
          </w:p>
          <w:p w14:paraId="7651C42F" w14:textId="0C95551C" w:rsidR="007B3B1A" w:rsidRPr="00E03F4F" w:rsidRDefault="00E03F4F"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 xml:space="preserve">Skeleton Coast Trawling (Pty) Ltd </w:t>
            </w:r>
            <w:r w:rsidR="005163E0">
              <w:rPr>
                <w:rFonts w:ascii="Arial" w:hAnsi="Arial"/>
                <w:bCs/>
                <w:color w:val="auto"/>
                <w:sz w:val="24"/>
                <w:szCs w:val="24"/>
                <w:lang w:val="en-US"/>
              </w:rPr>
              <w:t xml:space="preserve">     </w:t>
            </w:r>
            <w:r w:rsidR="00C316EF">
              <w:rPr>
                <w:rFonts w:ascii="Arial" w:hAnsi="Arial"/>
                <w:bCs/>
                <w:color w:val="auto"/>
                <w:sz w:val="24"/>
                <w:szCs w:val="24"/>
                <w:lang w:val="en-US"/>
              </w:rPr>
              <w:t xml:space="preserve">     </w:t>
            </w:r>
            <w:r>
              <w:rPr>
                <w:rFonts w:ascii="Arial" w:hAnsi="Arial"/>
                <w:bCs/>
                <w:color w:val="auto"/>
                <w:sz w:val="24"/>
                <w:szCs w:val="24"/>
                <w:lang w:val="en-US"/>
              </w:rPr>
              <w:t xml:space="preserve">First Respondent </w:t>
            </w:r>
          </w:p>
          <w:p w14:paraId="6CED223D" w14:textId="129C4119" w:rsidR="00E03F4F" w:rsidRDefault="00E03F4F"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 xml:space="preserve">Andrew Corbett </w:t>
            </w:r>
            <w:r w:rsidR="008B6EAB">
              <w:rPr>
                <w:rFonts w:ascii="Arial" w:hAnsi="Arial"/>
                <w:bCs/>
                <w:color w:val="auto"/>
                <w:sz w:val="24"/>
                <w:szCs w:val="24"/>
                <w:lang w:val="en-US"/>
              </w:rPr>
              <w:t xml:space="preserve">SC </w:t>
            </w:r>
            <w:r w:rsidR="00C316EF">
              <w:rPr>
                <w:rFonts w:ascii="Arial" w:hAnsi="Arial"/>
                <w:bCs/>
                <w:color w:val="auto"/>
                <w:sz w:val="24"/>
                <w:szCs w:val="24"/>
                <w:lang w:val="en-US"/>
              </w:rPr>
              <w:t xml:space="preserve">N.O.                    </w:t>
            </w:r>
            <w:r>
              <w:rPr>
                <w:rFonts w:ascii="Arial" w:hAnsi="Arial"/>
                <w:bCs/>
                <w:color w:val="auto"/>
                <w:sz w:val="24"/>
                <w:szCs w:val="24"/>
                <w:lang w:val="en-US"/>
              </w:rPr>
              <w:t>Second Respondent</w:t>
            </w:r>
          </w:p>
          <w:p w14:paraId="3A7B993E" w14:textId="1291ED43" w:rsidR="00E03F4F" w:rsidRPr="001D6B3F" w:rsidRDefault="00E03F4F" w:rsidP="00C316E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Prosecutor-General of Namibia</w:t>
            </w:r>
            <w:r w:rsidR="0000483A">
              <w:rPr>
                <w:rFonts w:ascii="Arial" w:hAnsi="Arial"/>
                <w:bCs/>
                <w:color w:val="auto"/>
                <w:sz w:val="24"/>
                <w:szCs w:val="24"/>
                <w:lang w:val="en-US"/>
              </w:rPr>
              <w:t xml:space="preserve">         </w:t>
            </w:r>
            <w:r w:rsidR="00C316EF">
              <w:rPr>
                <w:rFonts w:ascii="Arial" w:hAnsi="Arial"/>
                <w:bCs/>
                <w:color w:val="auto"/>
                <w:sz w:val="24"/>
                <w:szCs w:val="24"/>
                <w:lang w:val="en-US"/>
              </w:rPr>
              <w:t xml:space="preserve">     </w:t>
            </w:r>
            <w:r w:rsidR="0000483A">
              <w:rPr>
                <w:rFonts w:ascii="Arial" w:hAnsi="Arial"/>
                <w:bCs/>
                <w:color w:val="auto"/>
                <w:sz w:val="24"/>
                <w:szCs w:val="24"/>
                <w:lang w:val="en-US"/>
              </w:rPr>
              <w:t>Third Respondent</w:t>
            </w:r>
            <w:r>
              <w:rPr>
                <w:rFonts w:ascii="Arial" w:hAnsi="Arial"/>
                <w:bCs/>
                <w:color w:val="auto"/>
                <w:sz w:val="24"/>
                <w:szCs w:val="24"/>
                <w:lang w:val="en-US"/>
              </w:rPr>
              <w:t xml:space="preserve"> </w:t>
            </w:r>
          </w:p>
        </w:tc>
        <w:tc>
          <w:tcPr>
            <w:tcW w:w="4110" w:type="dxa"/>
          </w:tcPr>
          <w:p w14:paraId="32B2A74E"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No:</w:t>
            </w:r>
          </w:p>
          <w:p w14:paraId="0AC935A1" w14:textId="0D266B90" w:rsidR="009C2E53" w:rsidRPr="001D6B3F" w:rsidRDefault="000519A2" w:rsidP="007A6C9F">
            <w:pPr>
              <w:spacing w:line="360" w:lineRule="auto"/>
              <w:jc w:val="both"/>
              <w:rPr>
                <w:rFonts w:ascii="Arial" w:hAnsi="Arial" w:cs="Arial"/>
                <w:b/>
                <w:sz w:val="24"/>
                <w:szCs w:val="24"/>
              </w:rPr>
            </w:pPr>
            <w:r w:rsidRPr="001D6B3F">
              <w:rPr>
                <w:rFonts w:ascii="Arial" w:eastAsia="Arial" w:hAnsi="Arial" w:cs="Arial"/>
                <w:sz w:val="24"/>
                <w:szCs w:val="24"/>
                <w:lang w:val="en-US"/>
              </w:rPr>
              <w:t>HC-MD-CIV-</w:t>
            </w:r>
            <w:r w:rsidR="0000483A">
              <w:rPr>
                <w:rFonts w:ascii="Arial" w:eastAsia="Arial" w:hAnsi="Arial" w:cs="Arial"/>
                <w:sz w:val="24"/>
                <w:szCs w:val="24"/>
                <w:lang w:val="en-US"/>
              </w:rPr>
              <w:t>MOT</w:t>
            </w:r>
            <w:r w:rsidRPr="001D6B3F">
              <w:rPr>
                <w:rFonts w:ascii="Arial" w:eastAsia="Arial" w:hAnsi="Arial" w:cs="Arial"/>
                <w:sz w:val="24"/>
                <w:szCs w:val="24"/>
                <w:lang w:val="en-US"/>
              </w:rPr>
              <w:t>-</w:t>
            </w:r>
            <w:r w:rsidR="0000483A">
              <w:rPr>
                <w:rFonts w:ascii="Arial" w:eastAsia="Arial" w:hAnsi="Arial" w:cs="Arial"/>
                <w:sz w:val="24"/>
                <w:szCs w:val="24"/>
                <w:lang w:val="en-US"/>
              </w:rPr>
              <w:t>GEN</w:t>
            </w:r>
            <w:r w:rsidRPr="001D6B3F">
              <w:rPr>
                <w:rFonts w:ascii="Arial" w:eastAsia="Arial" w:hAnsi="Arial" w:cs="Arial"/>
                <w:sz w:val="24"/>
                <w:szCs w:val="24"/>
                <w:lang w:val="en-US"/>
              </w:rPr>
              <w:t>-20</w:t>
            </w:r>
            <w:r w:rsidR="0000483A">
              <w:rPr>
                <w:rFonts w:ascii="Arial" w:eastAsia="Arial" w:hAnsi="Arial" w:cs="Arial"/>
                <w:sz w:val="24"/>
                <w:szCs w:val="24"/>
                <w:lang w:val="en-US"/>
              </w:rPr>
              <w:t>22</w:t>
            </w:r>
            <w:r w:rsidRPr="001D6B3F">
              <w:rPr>
                <w:rFonts w:ascii="Arial" w:eastAsia="Arial" w:hAnsi="Arial" w:cs="Arial"/>
                <w:sz w:val="24"/>
                <w:szCs w:val="24"/>
                <w:lang w:val="en-US"/>
              </w:rPr>
              <w:t>/00</w:t>
            </w:r>
            <w:r w:rsidR="0000483A">
              <w:rPr>
                <w:rFonts w:ascii="Arial" w:eastAsia="Arial" w:hAnsi="Arial" w:cs="Arial"/>
                <w:sz w:val="24"/>
                <w:szCs w:val="24"/>
                <w:lang w:val="en-US"/>
              </w:rPr>
              <w:t>107</w:t>
            </w:r>
          </w:p>
        </w:tc>
      </w:tr>
      <w:tr w:rsidR="001D6B3F" w:rsidRPr="001D6B3F" w14:paraId="60B08CD8" w14:textId="77777777" w:rsidTr="000451AA">
        <w:trPr>
          <w:trHeight w:val="1745"/>
        </w:trPr>
        <w:tc>
          <w:tcPr>
            <w:tcW w:w="6366" w:type="dxa"/>
            <w:gridSpan w:val="2"/>
            <w:vMerge/>
          </w:tcPr>
          <w:p w14:paraId="7D4B018C" w14:textId="77777777" w:rsidR="009C2E53" w:rsidRPr="001D6B3F" w:rsidRDefault="009C2E53" w:rsidP="007A6C9F">
            <w:pPr>
              <w:spacing w:line="360" w:lineRule="auto"/>
              <w:jc w:val="both"/>
              <w:rPr>
                <w:rFonts w:ascii="Arial" w:hAnsi="Arial" w:cs="Arial"/>
                <w:sz w:val="24"/>
                <w:szCs w:val="24"/>
              </w:rPr>
            </w:pPr>
          </w:p>
        </w:tc>
        <w:tc>
          <w:tcPr>
            <w:tcW w:w="4110" w:type="dxa"/>
          </w:tcPr>
          <w:p w14:paraId="41874EB2"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Division of Court:</w:t>
            </w:r>
          </w:p>
          <w:p w14:paraId="7EE2DFCC" w14:textId="77777777" w:rsidR="009C2E53" w:rsidRPr="001D6B3F" w:rsidRDefault="005C2B5B" w:rsidP="007A6C9F">
            <w:pPr>
              <w:spacing w:line="360" w:lineRule="auto"/>
              <w:jc w:val="both"/>
              <w:rPr>
                <w:rFonts w:ascii="Arial" w:hAnsi="Arial" w:cs="Arial"/>
                <w:sz w:val="24"/>
                <w:szCs w:val="24"/>
              </w:rPr>
            </w:pPr>
            <w:r w:rsidRPr="001D6B3F">
              <w:rPr>
                <w:rFonts w:ascii="Arial" w:hAnsi="Arial" w:cs="Arial"/>
                <w:sz w:val="24"/>
                <w:szCs w:val="24"/>
              </w:rPr>
              <w:t>High Court, Main Division</w:t>
            </w:r>
          </w:p>
        </w:tc>
      </w:tr>
      <w:tr w:rsidR="001D6B3F" w:rsidRPr="001D6B3F" w14:paraId="4F87EA28" w14:textId="77777777" w:rsidTr="000517D9">
        <w:trPr>
          <w:trHeight w:val="645"/>
        </w:trPr>
        <w:tc>
          <w:tcPr>
            <w:tcW w:w="6366" w:type="dxa"/>
            <w:gridSpan w:val="2"/>
            <w:vMerge w:val="restart"/>
          </w:tcPr>
          <w:p w14:paraId="70181E7F" w14:textId="77777777" w:rsidR="009C2E53" w:rsidRPr="001D6B3F" w:rsidRDefault="005C2B5B" w:rsidP="007A6C9F">
            <w:pPr>
              <w:spacing w:line="360" w:lineRule="auto"/>
              <w:jc w:val="both"/>
              <w:rPr>
                <w:rFonts w:ascii="Arial" w:hAnsi="Arial" w:cs="Arial"/>
                <w:b/>
                <w:sz w:val="24"/>
                <w:szCs w:val="24"/>
              </w:rPr>
            </w:pPr>
            <w:r w:rsidRPr="001D6B3F">
              <w:rPr>
                <w:rFonts w:ascii="Arial" w:hAnsi="Arial" w:cs="Arial"/>
                <w:b/>
                <w:sz w:val="24"/>
                <w:szCs w:val="24"/>
              </w:rPr>
              <w:t>Coram</w:t>
            </w:r>
            <w:r w:rsidR="009C2E53" w:rsidRPr="001D6B3F">
              <w:rPr>
                <w:rFonts w:ascii="Arial" w:hAnsi="Arial" w:cs="Arial"/>
                <w:b/>
                <w:sz w:val="24"/>
                <w:szCs w:val="24"/>
              </w:rPr>
              <w:t>:</w:t>
            </w:r>
          </w:p>
          <w:p w14:paraId="6856DAC8" w14:textId="79FCB412" w:rsidR="009C2E53" w:rsidRPr="001D6B3F" w:rsidRDefault="00C316EF" w:rsidP="007A6C9F">
            <w:pPr>
              <w:spacing w:line="360" w:lineRule="auto"/>
              <w:jc w:val="both"/>
              <w:rPr>
                <w:rFonts w:ascii="Arial" w:hAnsi="Arial" w:cs="Arial"/>
                <w:sz w:val="24"/>
                <w:szCs w:val="24"/>
              </w:rPr>
            </w:pPr>
            <w:r>
              <w:rPr>
                <w:rFonts w:ascii="Arial" w:hAnsi="Arial" w:cs="Arial"/>
                <w:sz w:val="24"/>
                <w:szCs w:val="24"/>
                <w:lang w:val="en-US"/>
              </w:rPr>
              <w:t xml:space="preserve">The </w:t>
            </w:r>
            <w:proofErr w:type="spellStart"/>
            <w:r>
              <w:rPr>
                <w:rFonts w:ascii="Arial" w:hAnsi="Arial" w:cs="Arial"/>
                <w:sz w:val="24"/>
                <w:szCs w:val="24"/>
                <w:lang w:val="en-US"/>
              </w:rPr>
              <w:t>Honourable</w:t>
            </w:r>
            <w:proofErr w:type="spellEnd"/>
            <w:r>
              <w:rPr>
                <w:rFonts w:ascii="Arial" w:hAnsi="Arial" w:cs="Arial"/>
                <w:sz w:val="24"/>
                <w:szCs w:val="24"/>
                <w:lang w:val="en-US"/>
              </w:rPr>
              <w:t xml:space="preserve"> Justice Coleman</w:t>
            </w:r>
          </w:p>
        </w:tc>
        <w:tc>
          <w:tcPr>
            <w:tcW w:w="4110" w:type="dxa"/>
          </w:tcPr>
          <w:p w14:paraId="6714132E" w14:textId="77777777" w:rsidR="009C2E53" w:rsidRPr="001D6B3F" w:rsidRDefault="00827401" w:rsidP="007A6C9F">
            <w:pPr>
              <w:spacing w:line="360" w:lineRule="auto"/>
              <w:jc w:val="both"/>
              <w:rPr>
                <w:rFonts w:ascii="Arial" w:hAnsi="Arial" w:cs="Arial"/>
                <w:b/>
                <w:sz w:val="24"/>
                <w:szCs w:val="24"/>
              </w:rPr>
            </w:pPr>
            <w:r w:rsidRPr="001D6B3F">
              <w:rPr>
                <w:rFonts w:ascii="Arial" w:hAnsi="Arial" w:cs="Arial"/>
                <w:b/>
                <w:sz w:val="24"/>
                <w:szCs w:val="24"/>
              </w:rPr>
              <w:t>Heard</w:t>
            </w:r>
            <w:r w:rsidR="009C2E53" w:rsidRPr="001D6B3F">
              <w:rPr>
                <w:rFonts w:ascii="Arial" w:hAnsi="Arial" w:cs="Arial"/>
                <w:b/>
                <w:sz w:val="24"/>
                <w:szCs w:val="24"/>
              </w:rPr>
              <w:t>:</w:t>
            </w:r>
          </w:p>
          <w:p w14:paraId="0830B477" w14:textId="15D978C2" w:rsidR="009C2E53" w:rsidRPr="001D6B3F" w:rsidRDefault="0000483A" w:rsidP="007A6C9F">
            <w:pPr>
              <w:spacing w:line="360" w:lineRule="auto"/>
              <w:rPr>
                <w:rFonts w:ascii="Arial" w:hAnsi="Arial" w:cs="Arial"/>
                <w:sz w:val="24"/>
                <w:szCs w:val="24"/>
              </w:rPr>
            </w:pPr>
            <w:r>
              <w:rPr>
                <w:rFonts w:ascii="Arial" w:hAnsi="Arial"/>
                <w:bCs/>
                <w:sz w:val="24"/>
                <w:szCs w:val="24"/>
                <w:lang w:val="en-US"/>
              </w:rPr>
              <w:t>17</w:t>
            </w:r>
            <w:r w:rsidR="00827401" w:rsidRPr="001D6B3F">
              <w:rPr>
                <w:rFonts w:ascii="Arial" w:hAnsi="Arial"/>
                <w:bCs/>
                <w:sz w:val="24"/>
                <w:szCs w:val="24"/>
                <w:lang w:val="en-US"/>
              </w:rPr>
              <w:t xml:space="preserve"> </w:t>
            </w:r>
            <w:r>
              <w:rPr>
                <w:rFonts w:ascii="Arial" w:hAnsi="Arial"/>
                <w:bCs/>
                <w:sz w:val="24"/>
                <w:szCs w:val="24"/>
                <w:lang w:val="en-US"/>
              </w:rPr>
              <w:t>February</w:t>
            </w:r>
            <w:r w:rsidR="000519A2" w:rsidRPr="001D6B3F">
              <w:rPr>
                <w:rFonts w:ascii="Arial" w:hAnsi="Arial"/>
                <w:bCs/>
                <w:sz w:val="24"/>
                <w:szCs w:val="24"/>
                <w:lang w:val="en-US"/>
              </w:rPr>
              <w:t xml:space="preserve"> </w:t>
            </w:r>
            <w:r w:rsidR="00827401" w:rsidRPr="001D6B3F">
              <w:rPr>
                <w:rFonts w:ascii="Arial" w:hAnsi="Arial"/>
                <w:bCs/>
                <w:sz w:val="24"/>
                <w:szCs w:val="24"/>
                <w:lang w:val="en-US"/>
              </w:rPr>
              <w:t>202</w:t>
            </w:r>
            <w:r>
              <w:rPr>
                <w:rFonts w:ascii="Arial" w:hAnsi="Arial"/>
                <w:bCs/>
                <w:sz w:val="24"/>
                <w:szCs w:val="24"/>
                <w:lang w:val="en-US"/>
              </w:rPr>
              <w:t>3</w:t>
            </w:r>
          </w:p>
        </w:tc>
      </w:tr>
      <w:tr w:rsidR="001D6B3F" w:rsidRPr="001D6B3F" w14:paraId="3DB3B0AC" w14:textId="77777777" w:rsidTr="000451AA">
        <w:trPr>
          <w:trHeight w:val="935"/>
        </w:trPr>
        <w:tc>
          <w:tcPr>
            <w:tcW w:w="6366" w:type="dxa"/>
            <w:gridSpan w:val="2"/>
            <w:vMerge/>
          </w:tcPr>
          <w:p w14:paraId="2C2EF1D3" w14:textId="77777777" w:rsidR="009C2E53" w:rsidRPr="001D6B3F" w:rsidRDefault="009C2E53" w:rsidP="007A6C9F">
            <w:pPr>
              <w:spacing w:line="360" w:lineRule="auto"/>
              <w:jc w:val="both"/>
              <w:rPr>
                <w:rFonts w:ascii="Arial" w:hAnsi="Arial" w:cs="Arial"/>
                <w:b/>
                <w:sz w:val="24"/>
                <w:szCs w:val="24"/>
              </w:rPr>
            </w:pPr>
          </w:p>
        </w:tc>
        <w:tc>
          <w:tcPr>
            <w:tcW w:w="4110" w:type="dxa"/>
          </w:tcPr>
          <w:p w14:paraId="1FFFF7B5" w14:textId="77777777" w:rsidR="00EF5666" w:rsidRPr="001D6B3F" w:rsidRDefault="00827401" w:rsidP="007A6C9F">
            <w:pPr>
              <w:spacing w:line="360" w:lineRule="auto"/>
              <w:jc w:val="both"/>
              <w:rPr>
                <w:rFonts w:ascii="Arial" w:hAnsi="Arial" w:cs="Arial"/>
                <w:b/>
                <w:sz w:val="24"/>
                <w:szCs w:val="24"/>
              </w:rPr>
            </w:pPr>
            <w:r w:rsidRPr="001D6B3F">
              <w:rPr>
                <w:rFonts w:ascii="Arial" w:hAnsi="Arial" w:cs="Arial"/>
                <w:b/>
                <w:sz w:val="24"/>
                <w:szCs w:val="24"/>
              </w:rPr>
              <w:t>Delivered</w:t>
            </w:r>
            <w:r w:rsidR="006A3ED5" w:rsidRPr="001D6B3F">
              <w:rPr>
                <w:rFonts w:ascii="Arial" w:hAnsi="Arial" w:cs="Arial"/>
                <w:b/>
                <w:sz w:val="24"/>
                <w:szCs w:val="24"/>
              </w:rPr>
              <w:t>:</w:t>
            </w:r>
          </w:p>
          <w:p w14:paraId="0A7821C1" w14:textId="77EFB94A" w:rsidR="00CC0F00" w:rsidRPr="001D6B3F" w:rsidRDefault="0000483A" w:rsidP="007A6C9F">
            <w:pPr>
              <w:spacing w:line="360" w:lineRule="auto"/>
              <w:jc w:val="both"/>
              <w:rPr>
                <w:rFonts w:ascii="Arial" w:hAnsi="Arial"/>
                <w:bCs/>
                <w:sz w:val="24"/>
                <w:szCs w:val="24"/>
                <w:lang w:val="en-US"/>
              </w:rPr>
            </w:pPr>
            <w:r>
              <w:rPr>
                <w:rFonts w:ascii="Arial" w:hAnsi="Arial"/>
                <w:bCs/>
                <w:sz w:val="24"/>
                <w:szCs w:val="24"/>
                <w:lang w:val="en-US"/>
              </w:rPr>
              <w:t>6 March</w:t>
            </w:r>
            <w:r w:rsidR="005163E0">
              <w:rPr>
                <w:rFonts w:ascii="Arial" w:hAnsi="Arial"/>
                <w:bCs/>
                <w:sz w:val="24"/>
                <w:szCs w:val="24"/>
                <w:lang w:val="en-US"/>
              </w:rPr>
              <w:t xml:space="preserve"> 202</w:t>
            </w:r>
            <w:r w:rsidR="000517D9">
              <w:rPr>
                <w:rFonts w:ascii="Arial" w:hAnsi="Arial"/>
                <w:bCs/>
                <w:sz w:val="24"/>
                <w:szCs w:val="24"/>
                <w:lang w:val="en-US"/>
              </w:rPr>
              <w:t>3</w:t>
            </w:r>
          </w:p>
        </w:tc>
      </w:tr>
      <w:tr w:rsidR="001D6B3F" w:rsidRPr="001D6B3F" w14:paraId="1BD5D522" w14:textId="77777777" w:rsidTr="000451AA">
        <w:trPr>
          <w:trHeight w:val="998"/>
        </w:trPr>
        <w:tc>
          <w:tcPr>
            <w:tcW w:w="10476" w:type="dxa"/>
            <w:gridSpan w:val="3"/>
          </w:tcPr>
          <w:p w14:paraId="5D4C1077" w14:textId="75C880A8" w:rsidR="00C316EF" w:rsidRDefault="009C2E53" w:rsidP="00C316EF">
            <w:pPr>
              <w:spacing w:line="360" w:lineRule="auto"/>
              <w:jc w:val="both"/>
              <w:rPr>
                <w:rFonts w:ascii="Arial" w:hAnsi="Arial"/>
                <w:bCs/>
                <w:i/>
                <w:iCs/>
                <w:sz w:val="24"/>
                <w:szCs w:val="24"/>
              </w:rPr>
            </w:pPr>
            <w:r w:rsidRPr="001D6B3F">
              <w:rPr>
                <w:rFonts w:ascii="Arial" w:hAnsi="Arial" w:cs="Arial"/>
                <w:b/>
                <w:sz w:val="24"/>
                <w:szCs w:val="24"/>
              </w:rPr>
              <w:t>Neutral citation:</w:t>
            </w:r>
            <w:r w:rsidR="00827401" w:rsidRPr="001D6B3F">
              <w:rPr>
                <w:rFonts w:ascii="Arial" w:hAnsi="Arial" w:cs="Arial"/>
                <w:b/>
                <w:sz w:val="24"/>
                <w:szCs w:val="24"/>
              </w:rPr>
              <w:t xml:space="preserve"> </w:t>
            </w:r>
            <w:r w:rsidR="000517D9">
              <w:rPr>
                <w:rFonts w:ascii="Arial" w:hAnsi="Arial"/>
                <w:b/>
                <w:sz w:val="24"/>
                <w:szCs w:val="24"/>
              </w:rPr>
              <w:t xml:space="preserve"> </w:t>
            </w:r>
            <w:r w:rsidR="00C316EF" w:rsidRPr="0000483A">
              <w:rPr>
                <w:rFonts w:ascii="Arial" w:hAnsi="Arial"/>
                <w:bCs/>
                <w:i/>
                <w:iCs/>
                <w:sz w:val="24"/>
                <w:szCs w:val="24"/>
              </w:rPr>
              <w:t>Nautilus</w:t>
            </w:r>
            <w:r w:rsidR="00C316EF">
              <w:rPr>
                <w:rFonts w:ascii="Arial" w:hAnsi="Arial"/>
                <w:bCs/>
                <w:i/>
                <w:iCs/>
                <w:sz w:val="24"/>
                <w:szCs w:val="24"/>
              </w:rPr>
              <w:t xml:space="preserve"> Fishing Industries (Pty) Ltd</w:t>
            </w:r>
            <w:r w:rsidR="00C316EF" w:rsidRPr="000517D9">
              <w:rPr>
                <w:rFonts w:ascii="Arial" w:hAnsi="Arial"/>
                <w:bCs/>
                <w:i/>
                <w:iCs/>
                <w:sz w:val="24"/>
                <w:szCs w:val="24"/>
                <w:lang w:val="en-US"/>
              </w:rPr>
              <w:t xml:space="preserve"> </w:t>
            </w:r>
            <w:r w:rsidR="00C316EF" w:rsidRPr="001D6B3F">
              <w:rPr>
                <w:rFonts w:ascii="Arial" w:hAnsi="Arial"/>
                <w:bCs/>
                <w:i/>
                <w:iCs/>
                <w:sz w:val="24"/>
                <w:szCs w:val="24"/>
                <w:lang w:val="en-US"/>
              </w:rPr>
              <w:t xml:space="preserve">v </w:t>
            </w:r>
            <w:r w:rsidR="00C316EF">
              <w:rPr>
                <w:rFonts w:ascii="Arial" w:hAnsi="Arial"/>
                <w:bCs/>
                <w:i/>
                <w:iCs/>
                <w:sz w:val="24"/>
                <w:szCs w:val="24"/>
                <w:lang w:val="en-US"/>
              </w:rPr>
              <w:t>Skeleton Coast Trawling (Pty) Ltd</w:t>
            </w:r>
          </w:p>
          <w:p w14:paraId="318D7BDF" w14:textId="0E49633A" w:rsidR="009C2E53" w:rsidRPr="00C316EF" w:rsidRDefault="00C316EF" w:rsidP="00C316EF">
            <w:pPr>
              <w:spacing w:line="360" w:lineRule="auto"/>
              <w:jc w:val="both"/>
            </w:pPr>
            <w:r>
              <w:rPr>
                <w:rFonts w:ascii="Arial" w:hAnsi="Arial"/>
                <w:bCs/>
                <w:i/>
                <w:iCs/>
                <w:sz w:val="24"/>
                <w:szCs w:val="24"/>
              </w:rPr>
              <w:t xml:space="preserve">                            </w:t>
            </w:r>
            <w:r>
              <w:rPr>
                <w:rFonts w:ascii="Arial" w:hAnsi="Arial"/>
                <w:bCs/>
                <w:i/>
                <w:iCs/>
                <w:sz w:val="24"/>
                <w:szCs w:val="24"/>
              </w:rPr>
              <w:t xml:space="preserve"> </w:t>
            </w:r>
            <w:r>
              <w:rPr>
                <w:rFonts w:ascii="Arial" w:hAnsi="Arial"/>
                <w:bCs/>
                <w:iCs/>
                <w:sz w:val="24"/>
                <w:szCs w:val="24"/>
              </w:rPr>
              <w:t>(</w:t>
            </w:r>
            <w:r>
              <w:rPr>
                <w:rFonts w:ascii="Arial" w:eastAsia="Arial" w:hAnsi="Arial" w:cs="Arial"/>
                <w:sz w:val="24"/>
                <w:szCs w:val="24"/>
                <w:lang w:val="en-US"/>
              </w:rPr>
              <w:t>HC-MD-CIV-MOT-GEN-2022/00107</w:t>
            </w:r>
            <w:r>
              <w:rPr>
                <w:rFonts w:ascii="Arial" w:eastAsia="Arial" w:hAnsi="Arial" w:cs="Arial"/>
                <w:sz w:val="24"/>
                <w:szCs w:val="24"/>
              </w:rPr>
              <w:t>)</w:t>
            </w:r>
            <w:r w:rsidRPr="001D6B3F">
              <w:rPr>
                <w:rFonts w:ascii="Arial" w:hAnsi="Arial"/>
                <w:bCs/>
                <w:iCs/>
                <w:sz w:val="24"/>
                <w:szCs w:val="24"/>
                <w:lang w:val="en-US"/>
              </w:rPr>
              <w:t xml:space="preserve"> [202</w:t>
            </w:r>
            <w:r>
              <w:rPr>
                <w:rFonts w:ascii="Arial" w:hAnsi="Arial"/>
                <w:bCs/>
                <w:iCs/>
                <w:sz w:val="24"/>
                <w:szCs w:val="24"/>
                <w:lang w:val="en-US"/>
              </w:rPr>
              <w:t>3</w:t>
            </w:r>
            <w:r>
              <w:rPr>
                <w:rFonts w:ascii="Arial" w:hAnsi="Arial"/>
                <w:bCs/>
                <w:iCs/>
                <w:sz w:val="24"/>
                <w:szCs w:val="24"/>
                <w:lang w:val="en-US"/>
              </w:rPr>
              <w:t>] NAHCMD 91</w:t>
            </w:r>
            <w:r w:rsidRPr="001D6B3F">
              <w:rPr>
                <w:rFonts w:ascii="Arial" w:hAnsi="Arial"/>
                <w:bCs/>
                <w:iCs/>
                <w:sz w:val="24"/>
                <w:szCs w:val="24"/>
                <w:lang w:val="en-US"/>
              </w:rPr>
              <w:t xml:space="preserve"> (</w:t>
            </w:r>
            <w:r>
              <w:rPr>
                <w:rFonts w:ascii="Arial" w:hAnsi="Arial"/>
                <w:bCs/>
                <w:iCs/>
                <w:sz w:val="24"/>
                <w:szCs w:val="24"/>
                <w:lang w:val="en-US"/>
              </w:rPr>
              <w:t>6</w:t>
            </w:r>
            <w:r w:rsidRPr="001D6B3F">
              <w:rPr>
                <w:rFonts w:ascii="Arial" w:hAnsi="Arial"/>
                <w:bCs/>
                <w:iCs/>
                <w:sz w:val="24"/>
                <w:szCs w:val="24"/>
                <w:lang w:val="en-US"/>
              </w:rPr>
              <w:t xml:space="preserve"> </w:t>
            </w:r>
            <w:r>
              <w:rPr>
                <w:rFonts w:ascii="Arial" w:hAnsi="Arial"/>
                <w:bCs/>
                <w:iCs/>
                <w:sz w:val="24"/>
                <w:szCs w:val="24"/>
                <w:lang w:val="en-US"/>
              </w:rPr>
              <w:t>March</w:t>
            </w:r>
            <w:r w:rsidRPr="001D6B3F">
              <w:rPr>
                <w:rFonts w:ascii="Arial" w:hAnsi="Arial"/>
                <w:bCs/>
                <w:iCs/>
                <w:sz w:val="24"/>
                <w:szCs w:val="24"/>
                <w:lang w:val="en-US"/>
              </w:rPr>
              <w:t xml:space="preserve"> 202</w:t>
            </w:r>
            <w:r>
              <w:rPr>
                <w:rFonts w:ascii="Arial" w:hAnsi="Arial"/>
                <w:bCs/>
                <w:iCs/>
                <w:sz w:val="24"/>
                <w:szCs w:val="24"/>
                <w:lang w:val="en-US"/>
              </w:rPr>
              <w:t>3</w:t>
            </w:r>
            <w:r w:rsidRPr="001D6B3F">
              <w:rPr>
                <w:rFonts w:ascii="Arial" w:hAnsi="Arial"/>
                <w:bCs/>
                <w:iCs/>
                <w:sz w:val="24"/>
                <w:szCs w:val="24"/>
                <w:lang w:val="en-US"/>
              </w:rPr>
              <w:t>)</w:t>
            </w:r>
          </w:p>
        </w:tc>
      </w:tr>
      <w:tr w:rsidR="001D6B3F" w:rsidRPr="001D6B3F" w14:paraId="542E1039" w14:textId="77777777" w:rsidTr="000451AA">
        <w:trPr>
          <w:trHeight w:val="3302"/>
        </w:trPr>
        <w:tc>
          <w:tcPr>
            <w:tcW w:w="10476" w:type="dxa"/>
            <w:gridSpan w:val="3"/>
          </w:tcPr>
          <w:p w14:paraId="755E38E3" w14:textId="77777777" w:rsidR="009C2E53" w:rsidRPr="001D6B3F" w:rsidRDefault="002150D0" w:rsidP="007A6C9F">
            <w:pPr>
              <w:tabs>
                <w:tab w:val="left" w:pos="2100"/>
              </w:tabs>
              <w:spacing w:line="360" w:lineRule="auto"/>
              <w:jc w:val="both"/>
              <w:rPr>
                <w:rFonts w:ascii="Arial" w:hAnsi="Arial" w:cs="Arial"/>
                <w:b/>
                <w:sz w:val="24"/>
                <w:szCs w:val="24"/>
              </w:rPr>
            </w:pPr>
            <w:r w:rsidRPr="001D6B3F">
              <w:rPr>
                <w:rFonts w:ascii="Arial" w:hAnsi="Arial" w:cs="Arial"/>
                <w:b/>
                <w:sz w:val="24"/>
                <w:szCs w:val="24"/>
              </w:rPr>
              <w:t>O</w:t>
            </w:r>
            <w:r w:rsidR="009C2E53" w:rsidRPr="001D6B3F">
              <w:rPr>
                <w:rFonts w:ascii="Arial" w:hAnsi="Arial" w:cs="Arial"/>
                <w:b/>
                <w:sz w:val="24"/>
                <w:szCs w:val="24"/>
              </w:rPr>
              <w:t>rder:</w:t>
            </w:r>
            <w:r w:rsidR="0083558F" w:rsidRPr="001D6B3F">
              <w:rPr>
                <w:rFonts w:ascii="Arial" w:hAnsi="Arial" w:cs="Arial"/>
                <w:b/>
                <w:sz w:val="24"/>
                <w:szCs w:val="24"/>
              </w:rPr>
              <w:tab/>
            </w:r>
          </w:p>
          <w:p w14:paraId="3AB95DDE" w14:textId="4033A48D" w:rsidR="002524E6" w:rsidRPr="000451AA" w:rsidRDefault="00C316EF" w:rsidP="000517D9">
            <w:pPr>
              <w:pStyle w:val="ListParagraph"/>
              <w:numPr>
                <w:ilvl w:val="0"/>
                <w:numId w:val="20"/>
              </w:numPr>
              <w:pBdr>
                <w:top w:val="nil"/>
                <w:left w:val="nil"/>
                <w:bottom w:val="nil"/>
                <w:right w:val="nil"/>
                <w:between w:val="nil"/>
                <w:bar w:val="nil"/>
              </w:pBdr>
              <w:spacing w:line="360" w:lineRule="auto"/>
              <w:jc w:val="both"/>
              <w:rPr>
                <w:rFonts w:ascii="Arial" w:hAnsi="Arial" w:cs="Arial"/>
                <w:sz w:val="24"/>
                <w:szCs w:val="24"/>
              </w:rPr>
            </w:pPr>
            <w:r>
              <w:rPr>
                <w:rFonts w:ascii="Arial" w:hAnsi="Arial" w:cs="Arial"/>
                <w:sz w:val="24"/>
                <w:szCs w:val="24"/>
                <w:lang w:val="en-US"/>
              </w:rPr>
              <w:t>The f</w:t>
            </w:r>
            <w:r w:rsidR="00C31E39">
              <w:rPr>
                <w:rFonts w:ascii="Arial" w:hAnsi="Arial" w:cs="Arial"/>
                <w:sz w:val="24"/>
                <w:szCs w:val="24"/>
                <w:lang w:val="en-US"/>
              </w:rPr>
              <w:t>irst respondent’s</w:t>
            </w:r>
            <w:r w:rsidR="00342991" w:rsidRPr="000517D9">
              <w:rPr>
                <w:rFonts w:ascii="Arial" w:hAnsi="Arial" w:cs="Arial"/>
                <w:sz w:val="24"/>
                <w:szCs w:val="24"/>
                <w:lang w:val="en-US"/>
              </w:rPr>
              <w:t xml:space="preserve"> </w:t>
            </w:r>
            <w:r w:rsidR="0000483A">
              <w:rPr>
                <w:rFonts w:ascii="Arial" w:hAnsi="Arial" w:cs="Arial"/>
                <w:sz w:val="24"/>
                <w:szCs w:val="24"/>
                <w:lang w:val="en-US"/>
              </w:rPr>
              <w:t xml:space="preserve">interlocutory </w:t>
            </w:r>
            <w:r w:rsidR="005163E0" w:rsidRPr="000517D9">
              <w:rPr>
                <w:rFonts w:ascii="Arial" w:hAnsi="Arial" w:cs="Arial"/>
                <w:sz w:val="24"/>
                <w:szCs w:val="24"/>
                <w:lang w:val="en-US"/>
              </w:rPr>
              <w:t xml:space="preserve">application is </w:t>
            </w:r>
            <w:r w:rsidR="0000483A">
              <w:rPr>
                <w:rFonts w:ascii="Arial" w:hAnsi="Arial" w:cs="Arial"/>
                <w:sz w:val="24"/>
                <w:szCs w:val="24"/>
                <w:lang w:val="en-US"/>
              </w:rPr>
              <w:t>dismissed</w:t>
            </w:r>
            <w:r w:rsidR="00093110">
              <w:rPr>
                <w:rFonts w:ascii="Arial" w:hAnsi="Arial" w:cs="Arial"/>
                <w:sz w:val="24"/>
                <w:szCs w:val="24"/>
                <w:lang w:val="en-US"/>
              </w:rPr>
              <w:t xml:space="preserve"> </w:t>
            </w:r>
            <w:r w:rsidR="005163E0" w:rsidRPr="000517D9">
              <w:rPr>
                <w:rFonts w:ascii="Arial" w:hAnsi="Arial" w:cs="Arial"/>
                <w:sz w:val="24"/>
                <w:szCs w:val="24"/>
                <w:lang w:val="en-US"/>
              </w:rPr>
              <w:t xml:space="preserve">with </w:t>
            </w:r>
            <w:r w:rsidR="00104BA5">
              <w:rPr>
                <w:rFonts w:ascii="Arial" w:hAnsi="Arial" w:cs="Arial"/>
                <w:sz w:val="24"/>
                <w:szCs w:val="24"/>
                <w:lang w:val="en-US"/>
              </w:rPr>
              <w:t xml:space="preserve">costs </w:t>
            </w:r>
            <w:r w:rsidR="0000483A">
              <w:rPr>
                <w:rFonts w:ascii="Arial" w:hAnsi="Arial" w:cs="Arial"/>
                <w:sz w:val="24"/>
                <w:szCs w:val="24"/>
                <w:lang w:val="en-US"/>
              </w:rPr>
              <w:t>to include one instructing and one instructed counsel</w:t>
            </w:r>
            <w:r w:rsidR="000517D9">
              <w:rPr>
                <w:rFonts w:ascii="Arial" w:hAnsi="Arial" w:cs="Arial"/>
                <w:sz w:val="24"/>
                <w:szCs w:val="24"/>
                <w:lang w:val="en-US"/>
              </w:rPr>
              <w:t xml:space="preserve"> </w:t>
            </w:r>
            <w:r w:rsidR="00104BA5">
              <w:rPr>
                <w:rFonts w:ascii="Arial" w:hAnsi="Arial" w:cs="Arial"/>
                <w:sz w:val="24"/>
                <w:szCs w:val="24"/>
                <w:lang w:val="en-US"/>
              </w:rPr>
              <w:t>and</w:t>
            </w:r>
            <w:r w:rsidR="000517D9">
              <w:rPr>
                <w:rFonts w:ascii="Arial" w:hAnsi="Arial" w:cs="Arial"/>
                <w:sz w:val="24"/>
                <w:szCs w:val="24"/>
                <w:lang w:val="en-US"/>
              </w:rPr>
              <w:t xml:space="preserve"> capped as contemplated in rule 32(11) of the rules of this court</w:t>
            </w:r>
            <w:r w:rsidR="00AF6F03" w:rsidRPr="000517D9">
              <w:rPr>
                <w:rFonts w:ascii="Arial" w:hAnsi="Arial" w:cs="Arial"/>
                <w:sz w:val="24"/>
                <w:szCs w:val="24"/>
                <w:lang w:val="en-US"/>
              </w:rPr>
              <w:t>.</w:t>
            </w:r>
            <w:bookmarkStart w:id="0" w:name="_GoBack"/>
            <w:bookmarkEnd w:id="0"/>
          </w:p>
          <w:p w14:paraId="04891887" w14:textId="77777777" w:rsidR="000451AA" w:rsidRPr="000517D9" w:rsidRDefault="000451AA" w:rsidP="000451AA">
            <w:pPr>
              <w:pStyle w:val="ListParagraph"/>
              <w:pBdr>
                <w:top w:val="nil"/>
                <w:left w:val="nil"/>
                <w:bottom w:val="nil"/>
                <w:right w:val="nil"/>
                <w:between w:val="nil"/>
                <w:bar w:val="nil"/>
              </w:pBdr>
              <w:spacing w:line="360" w:lineRule="auto"/>
              <w:jc w:val="both"/>
              <w:rPr>
                <w:rFonts w:ascii="Arial" w:hAnsi="Arial" w:cs="Arial"/>
                <w:sz w:val="24"/>
                <w:szCs w:val="24"/>
              </w:rPr>
            </w:pPr>
          </w:p>
          <w:p w14:paraId="29C70C42" w14:textId="67336031" w:rsidR="002524E6" w:rsidRPr="001D6B3F" w:rsidRDefault="00785A19" w:rsidP="007A6C9F">
            <w:pPr>
              <w:pStyle w:val="ListParagraph"/>
              <w:numPr>
                <w:ilvl w:val="0"/>
                <w:numId w:val="20"/>
              </w:numPr>
              <w:pBdr>
                <w:top w:val="nil"/>
                <w:left w:val="nil"/>
                <w:bottom w:val="nil"/>
                <w:right w:val="nil"/>
                <w:between w:val="nil"/>
                <w:bar w:val="nil"/>
              </w:pBdr>
              <w:spacing w:line="360" w:lineRule="auto"/>
              <w:jc w:val="both"/>
              <w:rPr>
                <w:rFonts w:ascii="Arial" w:hAnsi="Arial"/>
                <w:sz w:val="24"/>
                <w:szCs w:val="24"/>
              </w:rPr>
            </w:pPr>
            <w:r>
              <w:rPr>
                <w:rFonts w:ascii="Arial" w:hAnsi="Arial"/>
                <w:sz w:val="24"/>
                <w:szCs w:val="24"/>
              </w:rPr>
              <w:t>The main a</w:t>
            </w:r>
            <w:r w:rsidR="0000483A">
              <w:rPr>
                <w:rFonts w:ascii="Arial" w:hAnsi="Arial"/>
                <w:sz w:val="24"/>
                <w:szCs w:val="24"/>
              </w:rPr>
              <w:t>pplication</w:t>
            </w:r>
            <w:r>
              <w:rPr>
                <w:rFonts w:ascii="Arial" w:hAnsi="Arial"/>
                <w:sz w:val="24"/>
                <w:szCs w:val="24"/>
              </w:rPr>
              <w:t xml:space="preserve"> is postponed to </w:t>
            </w:r>
            <w:r w:rsidR="0000483A" w:rsidRPr="0000483A">
              <w:rPr>
                <w:rFonts w:ascii="Arial" w:hAnsi="Arial"/>
                <w:b/>
                <w:bCs/>
                <w:sz w:val="24"/>
                <w:szCs w:val="24"/>
              </w:rPr>
              <w:t>6</w:t>
            </w:r>
            <w:r w:rsidRPr="00785A19">
              <w:rPr>
                <w:rFonts w:ascii="Arial" w:hAnsi="Arial"/>
                <w:b/>
                <w:bCs/>
                <w:sz w:val="24"/>
                <w:szCs w:val="24"/>
              </w:rPr>
              <w:t xml:space="preserve"> April 202</w:t>
            </w:r>
            <w:r w:rsidR="0000483A">
              <w:rPr>
                <w:rFonts w:ascii="Arial" w:hAnsi="Arial"/>
                <w:b/>
                <w:bCs/>
                <w:sz w:val="24"/>
                <w:szCs w:val="24"/>
              </w:rPr>
              <w:t>3</w:t>
            </w:r>
            <w:r w:rsidR="00C316EF">
              <w:rPr>
                <w:rFonts w:ascii="Arial" w:hAnsi="Arial"/>
                <w:b/>
                <w:bCs/>
                <w:sz w:val="24"/>
                <w:szCs w:val="24"/>
              </w:rPr>
              <w:t xml:space="preserve"> at 15:</w:t>
            </w:r>
            <w:r w:rsidRPr="00785A19">
              <w:rPr>
                <w:rFonts w:ascii="Arial" w:hAnsi="Arial"/>
                <w:b/>
                <w:bCs/>
                <w:sz w:val="24"/>
                <w:szCs w:val="24"/>
              </w:rPr>
              <w:t>30</w:t>
            </w:r>
            <w:r>
              <w:rPr>
                <w:rFonts w:ascii="Arial" w:hAnsi="Arial"/>
                <w:sz w:val="24"/>
                <w:szCs w:val="24"/>
              </w:rPr>
              <w:t xml:space="preserve"> </w:t>
            </w:r>
            <w:r w:rsidR="00202471">
              <w:rPr>
                <w:rFonts w:ascii="Arial" w:hAnsi="Arial"/>
                <w:sz w:val="24"/>
                <w:szCs w:val="24"/>
              </w:rPr>
              <w:t xml:space="preserve">for a status hearing and </w:t>
            </w:r>
            <w:r w:rsidR="0000483A">
              <w:rPr>
                <w:rFonts w:ascii="Arial" w:hAnsi="Arial"/>
                <w:sz w:val="24"/>
                <w:szCs w:val="24"/>
              </w:rPr>
              <w:t xml:space="preserve">to determine a hearing date. </w:t>
            </w:r>
          </w:p>
        </w:tc>
      </w:tr>
      <w:tr w:rsidR="001D6B3F" w:rsidRPr="001D6B3F" w14:paraId="2BD02CF8" w14:textId="77777777" w:rsidTr="00004108">
        <w:tc>
          <w:tcPr>
            <w:tcW w:w="10476" w:type="dxa"/>
            <w:gridSpan w:val="3"/>
          </w:tcPr>
          <w:p w14:paraId="06314928" w14:textId="28B79E46" w:rsidR="009C2E53" w:rsidRPr="001D6B3F" w:rsidRDefault="00C316EF" w:rsidP="007A6C9F">
            <w:pPr>
              <w:spacing w:line="360" w:lineRule="auto"/>
              <w:jc w:val="both"/>
              <w:rPr>
                <w:rFonts w:ascii="Arial" w:hAnsi="Arial" w:cs="Arial"/>
                <w:b/>
                <w:sz w:val="24"/>
                <w:szCs w:val="24"/>
              </w:rPr>
            </w:pPr>
            <w:r>
              <w:rPr>
                <w:rFonts w:ascii="Arial" w:hAnsi="Arial" w:cs="Arial"/>
                <w:b/>
                <w:sz w:val="24"/>
                <w:szCs w:val="24"/>
              </w:rPr>
              <w:lastRenderedPageBreak/>
              <w:t>Reasons:</w:t>
            </w:r>
          </w:p>
        </w:tc>
      </w:tr>
      <w:tr w:rsidR="00853FA7" w:rsidRPr="001D6B3F" w14:paraId="021AE6BC" w14:textId="77777777" w:rsidTr="000451AA">
        <w:trPr>
          <w:trHeight w:val="3950"/>
        </w:trPr>
        <w:tc>
          <w:tcPr>
            <w:tcW w:w="10476" w:type="dxa"/>
            <w:gridSpan w:val="3"/>
            <w:tcBorders>
              <w:bottom w:val="single" w:sz="4" w:space="0" w:color="auto"/>
            </w:tcBorders>
          </w:tcPr>
          <w:p w14:paraId="508ECA18" w14:textId="77777777" w:rsidR="00C316EF" w:rsidRPr="001D6B3F" w:rsidRDefault="00C316EF" w:rsidP="007A6C9F">
            <w:pPr>
              <w:spacing w:line="360" w:lineRule="auto"/>
              <w:jc w:val="both"/>
              <w:rPr>
                <w:rFonts w:ascii="Arial" w:hAnsi="Arial" w:cs="Arial"/>
                <w:sz w:val="24"/>
                <w:szCs w:val="24"/>
                <w:lang w:val="af-ZA"/>
              </w:rPr>
            </w:pPr>
            <w:r w:rsidRPr="001D6B3F">
              <w:rPr>
                <w:rFonts w:ascii="Arial" w:hAnsi="Arial" w:cs="Arial"/>
                <w:sz w:val="24"/>
                <w:szCs w:val="24"/>
                <w:lang w:val="af-ZA"/>
              </w:rPr>
              <w:t>COLEMAN J:</w:t>
            </w:r>
          </w:p>
          <w:p w14:paraId="10EBE38C" w14:textId="77777777" w:rsidR="00C316EF" w:rsidRPr="001D6B3F" w:rsidRDefault="00C316EF" w:rsidP="007A6C9F">
            <w:pPr>
              <w:pStyle w:val="Body"/>
              <w:spacing w:line="360" w:lineRule="auto"/>
              <w:ind w:left="1440" w:hanging="1440"/>
              <w:jc w:val="both"/>
              <w:rPr>
                <w:rFonts w:ascii="Arial" w:hAnsi="Arial" w:cs="Arial"/>
                <w:color w:val="auto"/>
                <w:sz w:val="24"/>
                <w:szCs w:val="24"/>
              </w:rPr>
            </w:pPr>
            <w:r w:rsidRPr="001D6B3F">
              <w:rPr>
                <w:rFonts w:ascii="Arial" w:hAnsi="Arial" w:cs="Arial"/>
                <w:color w:val="auto"/>
                <w:sz w:val="24"/>
                <w:szCs w:val="24"/>
              </w:rPr>
              <w:t xml:space="preserve"> </w:t>
            </w:r>
          </w:p>
          <w:p w14:paraId="448529C2" w14:textId="77777777" w:rsidR="00C316EF" w:rsidRPr="001D6B3F" w:rsidRDefault="00C316EF" w:rsidP="007A6C9F">
            <w:pPr>
              <w:pBdr>
                <w:top w:val="nil"/>
                <w:left w:val="nil"/>
                <w:bottom w:val="nil"/>
                <w:right w:val="nil"/>
                <w:between w:val="nil"/>
                <w:bar w:val="nil"/>
              </w:pBdr>
              <w:spacing w:line="360" w:lineRule="auto"/>
              <w:jc w:val="both"/>
              <w:rPr>
                <w:rFonts w:ascii="Arial" w:eastAsia="Arial" w:hAnsi="Arial" w:cs="Arial"/>
                <w:sz w:val="24"/>
                <w:szCs w:val="24"/>
                <w:u w:val="single"/>
                <w:bdr w:val="nil"/>
                <w:lang w:eastAsia="en-GB"/>
              </w:rPr>
            </w:pPr>
            <w:r w:rsidRPr="001D6B3F">
              <w:rPr>
                <w:rFonts w:ascii="Arial" w:eastAsia="Arial" w:hAnsi="Arial" w:cs="Arial"/>
                <w:sz w:val="24"/>
                <w:szCs w:val="24"/>
                <w:u w:val="single"/>
                <w:bdr w:val="nil"/>
                <w:lang w:eastAsia="en-GB"/>
              </w:rPr>
              <w:t>Introduction</w:t>
            </w:r>
          </w:p>
          <w:p w14:paraId="439FBE49" w14:textId="77777777" w:rsidR="00C316EF" w:rsidRPr="001D6B3F" w:rsidRDefault="00C316EF" w:rsidP="007A6C9F">
            <w:pPr>
              <w:pBdr>
                <w:top w:val="nil"/>
                <w:left w:val="nil"/>
                <w:bottom w:val="nil"/>
                <w:right w:val="nil"/>
                <w:between w:val="nil"/>
                <w:bar w:val="nil"/>
              </w:pBdr>
              <w:spacing w:line="360" w:lineRule="auto"/>
              <w:jc w:val="both"/>
              <w:rPr>
                <w:rFonts w:ascii="Arial" w:eastAsia="Arial" w:hAnsi="Arial" w:cs="Arial"/>
                <w:b/>
                <w:bCs/>
                <w:sz w:val="24"/>
                <w:szCs w:val="24"/>
                <w:u w:color="000000"/>
                <w:bdr w:val="nil"/>
                <w:lang w:eastAsia="en-GB"/>
              </w:rPr>
            </w:pPr>
          </w:p>
          <w:p w14:paraId="4D0602F4" w14:textId="3C9DF22E" w:rsidR="00C316EF" w:rsidRDefault="00C316EF" w:rsidP="005078CC">
            <w:pPr>
              <w:pStyle w:val="Body"/>
              <w:numPr>
                <w:ilvl w:val="0"/>
                <w:numId w:val="30"/>
              </w:numPr>
              <w:spacing w:line="360" w:lineRule="auto"/>
              <w:ind w:left="5" w:firstLine="0"/>
              <w:jc w:val="both"/>
              <w:rPr>
                <w:rFonts w:ascii="Arial" w:hAnsi="Arial"/>
                <w:color w:val="auto"/>
                <w:sz w:val="24"/>
                <w:szCs w:val="24"/>
                <w:lang w:val="en-US"/>
              </w:rPr>
            </w:pPr>
            <w:r>
              <w:rPr>
                <w:rFonts w:ascii="Arial" w:hAnsi="Arial"/>
                <w:color w:val="auto"/>
                <w:sz w:val="24"/>
                <w:szCs w:val="24"/>
                <w:lang w:val="en-US"/>
              </w:rPr>
              <w:t xml:space="preserve">This is an interlocutory application by the first respondent for a procedural ruling that a </w:t>
            </w:r>
            <w:r w:rsidRPr="008B546C">
              <w:rPr>
                <w:rFonts w:ascii="Arial" w:hAnsi="Arial"/>
                <w:color w:val="auto"/>
                <w:sz w:val="24"/>
                <w:szCs w:val="24"/>
                <w:lang w:val="en-US"/>
              </w:rPr>
              <w:t>point</w:t>
            </w:r>
            <w:r w:rsidRPr="00104BA5">
              <w:rPr>
                <w:rFonts w:ascii="Arial" w:hAnsi="Arial"/>
                <w:i/>
                <w:iCs/>
                <w:color w:val="auto"/>
                <w:sz w:val="24"/>
                <w:szCs w:val="24"/>
                <w:lang w:val="en-US"/>
              </w:rPr>
              <w:t xml:space="preserve"> in </w:t>
            </w:r>
            <w:proofErr w:type="spellStart"/>
            <w:r w:rsidRPr="00104BA5">
              <w:rPr>
                <w:rFonts w:ascii="Arial" w:hAnsi="Arial"/>
                <w:i/>
                <w:iCs/>
                <w:color w:val="auto"/>
                <w:sz w:val="24"/>
                <w:szCs w:val="24"/>
                <w:lang w:val="en-US"/>
              </w:rPr>
              <w:t>limine</w:t>
            </w:r>
            <w:proofErr w:type="spellEnd"/>
            <w:r>
              <w:rPr>
                <w:rFonts w:ascii="Arial" w:hAnsi="Arial"/>
                <w:i/>
                <w:iCs/>
                <w:color w:val="auto"/>
                <w:sz w:val="24"/>
                <w:szCs w:val="24"/>
                <w:lang w:val="en-US"/>
              </w:rPr>
              <w:t xml:space="preserve"> </w:t>
            </w:r>
            <w:r>
              <w:rPr>
                <w:rFonts w:ascii="Arial" w:hAnsi="Arial"/>
                <w:color w:val="auto"/>
                <w:sz w:val="24"/>
                <w:szCs w:val="24"/>
                <w:lang w:val="en-US"/>
              </w:rPr>
              <w:t xml:space="preserve">taken on behalf of the first respondent be heard and determined separate from the main application and before the main application is heard. In essence, the point to be determined is that a party who complies with a court order as sought by the applicant in these motion proceedings cannot subsequently be charged with a criminal offence or subjected to prevention of </w:t>
            </w:r>
            <w:proofErr w:type="spellStart"/>
            <w:r>
              <w:rPr>
                <w:rFonts w:ascii="Arial" w:hAnsi="Arial"/>
                <w:color w:val="auto"/>
                <w:sz w:val="24"/>
                <w:szCs w:val="24"/>
                <w:lang w:val="en-US"/>
              </w:rPr>
              <w:t>organised</w:t>
            </w:r>
            <w:proofErr w:type="spellEnd"/>
            <w:r>
              <w:rPr>
                <w:rFonts w:ascii="Arial" w:hAnsi="Arial"/>
                <w:color w:val="auto"/>
                <w:sz w:val="24"/>
                <w:szCs w:val="24"/>
                <w:lang w:val="en-US"/>
              </w:rPr>
              <w:t xml:space="preserve"> crime (POCA) procedures. This point became pertinent due to the joinder of the Prosecutor-General of Namibia (the Prosecutor General) as a third respondent in this matter and her stance herein.</w:t>
            </w:r>
          </w:p>
          <w:p w14:paraId="3C7B8345" w14:textId="77777777" w:rsidR="00C316EF" w:rsidRDefault="00C316EF" w:rsidP="00C316EF">
            <w:pPr>
              <w:pStyle w:val="Body"/>
              <w:spacing w:line="360" w:lineRule="auto"/>
              <w:ind w:left="5"/>
              <w:jc w:val="both"/>
              <w:rPr>
                <w:rFonts w:ascii="Arial" w:hAnsi="Arial"/>
                <w:color w:val="auto"/>
                <w:sz w:val="24"/>
                <w:szCs w:val="24"/>
                <w:lang w:val="en-US"/>
              </w:rPr>
            </w:pPr>
          </w:p>
          <w:p w14:paraId="6967B2EC" w14:textId="0221AA5C" w:rsidR="00C316EF" w:rsidRPr="00C316EF" w:rsidRDefault="00C316EF" w:rsidP="00C316EF">
            <w:pPr>
              <w:pStyle w:val="Body"/>
              <w:spacing w:line="360" w:lineRule="auto"/>
              <w:jc w:val="both"/>
              <w:rPr>
                <w:rFonts w:ascii="Arial" w:hAnsi="Arial"/>
                <w:color w:val="auto"/>
                <w:sz w:val="24"/>
                <w:szCs w:val="24"/>
                <w:u w:val="single"/>
                <w:lang w:val="en-US"/>
              </w:rPr>
            </w:pPr>
            <w:r>
              <w:rPr>
                <w:rFonts w:ascii="Arial" w:hAnsi="Arial"/>
                <w:color w:val="auto"/>
                <w:sz w:val="24"/>
                <w:szCs w:val="24"/>
                <w:u w:val="single"/>
                <w:lang w:val="en-US"/>
              </w:rPr>
              <w:t>Pertinent facts and submissions</w:t>
            </w:r>
          </w:p>
          <w:p w14:paraId="4A48052A" w14:textId="77777777" w:rsidR="00C316EF" w:rsidRDefault="00C316EF" w:rsidP="00C316EF">
            <w:pPr>
              <w:pStyle w:val="Body"/>
              <w:spacing w:line="360" w:lineRule="auto"/>
              <w:ind w:left="5"/>
              <w:jc w:val="both"/>
              <w:rPr>
                <w:rFonts w:ascii="Arial" w:hAnsi="Arial"/>
                <w:color w:val="auto"/>
                <w:sz w:val="24"/>
                <w:szCs w:val="24"/>
                <w:lang w:val="en-US"/>
              </w:rPr>
            </w:pPr>
          </w:p>
          <w:p w14:paraId="4D34EFDE" w14:textId="67B99391" w:rsidR="00C316EF" w:rsidRDefault="00C316EF" w:rsidP="005078CC">
            <w:pPr>
              <w:pStyle w:val="Body"/>
              <w:numPr>
                <w:ilvl w:val="0"/>
                <w:numId w:val="30"/>
              </w:numPr>
              <w:spacing w:line="360" w:lineRule="auto"/>
              <w:ind w:left="5" w:firstLine="0"/>
              <w:jc w:val="both"/>
              <w:rPr>
                <w:rFonts w:ascii="Arial" w:hAnsi="Arial"/>
                <w:color w:val="auto"/>
                <w:sz w:val="24"/>
                <w:szCs w:val="24"/>
                <w:lang w:val="en-US"/>
              </w:rPr>
            </w:pPr>
            <w:r w:rsidRPr="00C316EF">
              <w:rPr>
                <w:rFonts w:ascii="Arial" w:hAnsi="Arial"/>
                <w:color w:val="auto"/>
                <w:sz w:val="24"/>
                <w:szCs w:val="24"/>
                <w:lang w:val="en-US"/>
              </w:rPr>
              <w:t>The main application is for an order to make the arbitration award by Andrew Corbett SC, published on 27 January 2022, an order of court. This award orders</w:t>
            </w:r>
            <w:r>
              <w:rPr>
                <w:rFonts w:ascii="Arial" w:hAnsi="Arial"/>
                <w:color w:val="auto"/>
                <w:sz w:val="24"/>
                <w:szCs w:val="24"/>
                <w:lang w:val="en-US"/>
              </w:rPr>
              <w:t xml:space="preserve"> the</w:t>
            </w:r>
            <w:r w:rsidRPr="00C316EF">
              <w:rPr>
                <w:rFonts w:ascii="Arial" w:hAnsi="Arial"/>
                <w:color w:val="auto"/>
                <w:sz w:val="24"/>
                <w:szCs w:val="24"/>
                <w:lang w:val="en-US"/>
              </w:rPr>
              <w:t xml:space="preserve"> first respon</w:t>
            </w:r>
            <w:r>
              <w:rPr>
                <w:rFonts w:ascii="Arial" w:hAnsi="Arial"/>
                <w:color w:val="auto"/>
                <w:sz w:val="24"/>
                <w:szCs w:val="24"/>
                <w:lang w:val="en-US"/>
              </w:rPr>
              <w:t>dent to make certain payments. The f</w:t>
            </w:r>
            <w:r w:rsidRPr="00C316EF">
              <w:rPr>
                <w:rFonts w:ascii="Arial" w:hAnsi="Arial"/>
                <w:color w:val="auto"/>
                <w:sz w:val="24"/>
                <w:szCs w:val="24"/>
                <w:lang w:val="en-US"/>
              </w:rPr>
              <w:t>irst respondent contends, amongst others, that if forced to make some of these payments it w</w:t>
            </w:r>
            <w:r>
              <w:rPr>
                <w:rFonts w:ascii="Arial" w:hAnsi="Arial"/>
                <w:color w:val="auto"/>
                <w:sz w:val="24"/>
                <w:szCs w:val="24"/>
                <w:lang w:val="en-US"/>
              </w:rPr>
              <w:t>ould potentially commit crimes.</w:t>
            </w:r>
          </w:p>
          <w:p w14:paraId="57A79676" w14:textId="77777777" w:rsidR="00C316EF" w:rsidRDefault="00C316EF" w:rsidP="00C316EF">
            <w:pPr>
              <w:pStyle w:val="Body"/>
              <w:spacing w:line="360" w:lineRule="auto"/>
              <w:ind w:left="5"/>
              <w:jc w:val="both"/>
              <w:rPr>
                <w:rFonts w:ascii="Arial" w:hAnsi="Arial"/>
                <w:color w:val="auto"/>
                <w:sz w:val="24"/>
                <w:szCs w:val="24"/>
                <w:lang w:val="en-US"/>
              </w:rPr>
            </w:pPr>
          </w:p>
          <w:p w14:paraId="73B779EF" w14:textId="77777777" w:rsidR="00C316EF" w:rsidRDefault="00C316EF" w:rsidP="00C316EF">
            <w:pPr>
              <w:pStyle w:val="Body"/>
              <w:numPr>
                <w:ilvl w:val="0"/>
                <w:numId w:val="30"/>
              </w:numPr>
              <w:spacing w:line="360" w:lineRule="auto"/>
              <w:ind w:left="5" w:firstLine="0"/>
              <w:jc w:val="both"/>
              <w:rPr>
                <w:rFonts w:ascii="Arial" w:hAnsi="Arial"/>
                <w:color w:val="auto"/>
                <w:sz w:val="24"/>
                <w:szCs w:val="24"/>
                <w:lang w:val="en-US"/>
              </w:rPr>
            </w:pPr>
            <w:r w:rsidRPr="00C316EF">
              <w:rPr>
                <w:rFonts w:ascii="Arial" w:hAnsi="Arial"/>
                <w:color w:val="auto"/>
                <w:sz w:val="24"/>
                <w:szCs w:val="24"/>
                <w:lang w:val="en-US"/>
              </w:rPr>
              <w:t xml:space="preserve">It is contended on behalf of </w:t>
            </w:r>
            <w:r>
              <w:rPr>
                <w:rFonts w:ascii="Arial" w:hAnsi="Arial"/>
                <w:color w:val="auto"/>
                <w:sz w:val="24"/>
                <w:szCs w:val="24"/>
                <w:lang w:val="en-US"/>
              </w:rPr>
              <w:t xml:space="preserve">the </w:t>
            </w:r>
            <w:r w:rsidRPr="00C316EF">
              <w:rPr>
                <w:rFonts w:ascii="Arial" w:hAnsi="Arial"/>
                <w:color w:val="auto"/>
                <w:sz w:val="24"/>
                <w:szCs w:val="24"/>
                <w:lang w:val="en-US"/>
              </w:rPr>
              <w:t xml:space="preserve">first respondent that the point </w:t>
            </w:r>
            <w:r w:rsidRPr="00C316EF">
              <w:rPr>
                <w:rFonts w:ascii="Arial" w:hAnsi="Arial"/>
                <w:i/>
                <w:iCs/>
                <w:color w:val="auto"/>
                <w:sz w:val="24"/>
                <w:szCs w:val="24"/>
                <w:lang w:val="en-US"/>
              </w:rPr>
              <w:t xml:space="preserve">in </w:t>
            </w:r>
            <w:proofErr w:type="spellStart"/>
            <w:r w:rsidRPr="00C316EF">
              <w:rPr>
                <w:rFonts w:ascii="Arial" w:hAnsi="Arial"/>
                <w:i/>
                <w:iCs/>
                <w:color w:val="auto"/>
                <w:sz w:val="24"/>
                <w:szCs w:val="24"/>
                <w:lang w:val="en-US"/>
              </w:rPr>
              <w:t>limine</w:t>
            </w:r>
            <w:proofErr w:type="spellEnd"/>
            <w:r w:rsidRPr="00C316EF">
              <w:rPr>
                <w:rFonts w:ascii="Arial" w:hAnsi="Arial"/>
                <w:color w:val="auto"/>
                <w:sz w:val="24"/>
                <w:szCs w:val="24"/>
                <w:lang w:val="en-US"/>
              </w:rPr>
              <w:t xml:space="preserve"> must first be determined. It had been caused by the Prosecutor-General’s erroneous approach, according to </w:t>
            </w:r>
            <w:r>
              <w:rPr>
                <w:rFonts w:ascii="Arial" w:hAnsi="Arial"/>
                <w:color w:val="auto"/>
                <w:sz w:val="24"/>
                <w:szCs w:val="24"/>
                <w:lang w:val="en-US"/>
              </w:rPr>
              <w:t xml:space="preserve">the </w:t>
            </w:r>
            <w:r w:rsidRPr="00C316EF">
              <w:rPr>
                <w:rFonts w:ascii="Arial" w:hAnsi="Arial"/>
                <w:color w:val="auto"/>
                <w:sz w:val="24"/>
                <w:szCs w:val="24"/>
                <w:lang w:val="en-US"/>
              </w:rPr>
              <w:t>first respondent</w:t>
            </w:r>
            <w:r>
              <w:rPr>
                <w:rFonts w:ascii="Arial" w:hAnsi="Arial"/>
                <w:color w:val="auto"/>
                <w:sz w:val="24"/>
                <w:szCs w:val="24"/>
                <w:lang w:val="en-US"/>
              </w:rPr>
              <w:t>. The f</w:t>
            </w:r>
            <w:r w:rsidRPr="00C316EF">
              <w:rPr>
                <w:rFonts w:ascii="Arial" w:hAnsi="Arial"/>
                <w:color w:val="auto"/>
                <w:sz w:val="24"/>
                <w:szCs w:val="24"/>
                <w:lang w:val="en-US"/>
              </w:rPr>
              <w:t>irst respondent is concerned that while the Prosecutor-General does not participate in these proceedings, she holds the erroneous view that she cannot be prevented by a court order from deciding whether or not to prosecute. In first respondent’s view</w:t>
            </w:r>
            <w:r>
              <w:rPr>
                <w:rFonts w:ascii="Arial" w:hAnsi="Arial"/>
                <w:color w:val="auto"/>
                <w:sz w:val="24"/>
                <w:szCs w:val="24"/>
                <w:lang w:val="en-US"/>
              </w:rPr>
              <w:t>,</w:t>
            </w:r>
            <w:r w:rsidRPr="00C316EF">
              <w:rPr>
                <w:rFonts w:ascii="Arial" w:hAnsi="Arial"/>
                <w:color w:val="auto"/>
                <w:sz w:val="24"/>
                <w:szCs w:val="24"/>
                <w:lang w:val="en-US"/>
              </w:rPr>
              <w:t xml:space="preserve"> this issue should be conclusively determined before the main issue of whether or not the arbitration award should be made an order of court is decided.  It is submitted that it is both convenient and necessary to prevent </w:t>
            </w:r>
            <w:r>
              <w:rPr>
                <w:rFonts w:ascii="Arial" w:hAnsi="Arial"/>
                <w:color w:val="auto"/>
                <w:sz w:val="24"/>
                <w:szCs w:val="24"/>
                <w:lang w:val="en-US"/>
              </w:rPr>
              <w:t xml:space="preserve">the </w:t>
            </w:r>
            <w:r w:rsidRPr="00C316EF">
              <w:rPr>
                <w:rFonts w:ascii="Arial" w:hAnsi="Arial"/>
                <w:color w:val="auto"/>
                <w:sz w:val="24"/>
                <w:szCs w:val="24"/>
                <w:lang w:val="en-US"/>
              </w:rPr>
              <w:t>first respondent and its directors</w:t>
            </w:r>
            <w:r>
              <w:rPr>
                <w:rFonts w:ascii="Arial" w:hAnsi="Arial"/>
                <w:color w:val="auto"/>
                <w:sz w:val="24"/>
                <w:szCs w:val="24"/>
                <w:lang w:val="en-US"/>
              </w:rPr>
              <w:t xml:space="preserve"> from</w:t>
            </w:r>
            <w:r w:rsidRPr="00C316EF">
              <w:rPr>
                <w:rFonts w:ascii="Arial" w:hAnsi="Arial"/>
                <w:color w:val="auto"/>
                <w:sz w:val="24"/>
                <w:szCs w:val="24"/>
                <w:lang w:val="en-US"/>
              </w:rPr>
              <w:t xml:space="preserve"> potentially going through a prosecution. </w:t>
            </w:r>
          </w:p>
          <w:p w14:paraId="4D13DBAD" w14:textId="77777777" w:rsidR="00C316EF" w:rsidRDefault="00C316EF" w:rsidP="00C316EF">
            <w:pPr>
              <w:pStyle w:val="ListParagraph"/>
              <w:rPr>
                <w:rFonts w:ascii="Arial" w:hAnsi="Arial"/>
                <w:sz w:val="24"/>
                <w:szCs w:val="24"/>
                <w:lang w:val="en-US"/>
              </w:rPr>
            </w:pPr>
          </w:p>
          <w:p w14:paraId="1F44A598" w14:textId="77777777" w:rsidR="00C316EF" w:rsidRDefault="00C316EF" w:rsidP="005163E0">
            <w:pPr>
              <w:pStyle w:val="Body"/>
              <w:numPr>
                <w:ilvl w:val="0"/>
                <w:numId w:val="30"/>
              </w:numPr>
              <w:spacing w:line="360" w:lineRule="auto"/>
              <w:ind w:left="5" w:firstLine="0"/>
              <w:jc w:val="both"/>
              <w:rPr>
                <w:rFonts w:ascii="Arial" w:hAnsi="Arial"/>
                <w:color w:val="auto"/>
                <w:sz w:val="24"/>
                <w:szCs w:val="24"/>
                <w:lang w:val="en-US"/>
              </w:rPr>
            </w:pPr>
            <w:r w:rsidRPr="00C316EF">
              <w:rPr>
                <w:rFonts w:ascii="Arial" w:hAnsi="Arial"/>
                <w:color w:val="auto"/>
                <w:sz w:val="24"/>
                <w:szCs w:val="24"/>
                <w:lang w:val="en-US"/>
              </w:rPr>
              <w:lastRenderedPageBreak/>
              <w:t xml:space="preserve">The applicant contends that it is neither convenient nor necessary to determine this point in advance and separate from the main application. According to the applicant, a lot of time and resources had already been spent and this is another delay.  </w:t>
            </w:r>
          </w:p>
          <w:p w14:paraId="154FAA20" w14:textId="77777777" w:rsidR="00C316EF" w:rsidRDefault="00C316EF" w:rsidP="00C316EF">
            <w:pPr>
              <w:pStyle w:val="ListParagraph"/>
              <w:rPr>
                <w:rFonts w:ascii="Arial" w:hAnsi="Arial"/>
                <w:sz w:val="24"/>
                <w:szCs w:val="24"/>
                <w:lang w:val="en-US"/>
              </w:rPr>
            </w:pPr>
          </w:p>
          <w:p w14:paraId="37B6E8EC" w14:textId="77777777" w:rsidR="00C316EF" w:rsidRDefault="00C316EF" w:rsidP="005A1127">
            <w:pPr>
              <w:pStyle w:val="Body"/>
              <w:numPr>
                <w:ilvl w:val="0"/>
                <w:numId w:val="30"/>
              </w:numPr>
              <w:spacing w:line="360" w:lineRule="auto"/>
              <w:ind w:left="5" w:firstLine="0"/>
              <w:jc w:val="both"/>
              <w:rPr>
                <w:rFonts w:ascii="Arial" w:hAnsi="Arial"/>
                <w:color w:val="auto"/>
                <w:sz w:val="24"/>
                <w:szCs w:val="24"/>
                <w:lang w:val="en-US"/>
              </w:rPr>
            </w:pPr>
            <w:r w:rsidRPr="00C316EF">
              <w:rPr>
                <w:rFonts w:ascii="Arial" w:hAnsi="Arial"/>
                <w:color w:val="auto"/>
                <w:sz w:val="24"/>
                <w:szCs w:val="24"/>
                <w:lang w:val="en-US"/>
              </w:rPr>
              <w:t xml:space="preserve">I have read the papers in the matter and considered all the submissions on behalf of the parties. I mean no disrespect in not articulating each and every contention herein. </w:t>
            </w:r>
          </w:p>
          <w:p w14:paraId="01C97231" w14:textId="77777777" w:rsidR="00C316EF" w:rsidRDefault="00C316EF" w:rsidP="00C316EF">
            <w:pPr>
              <w:pStyle w:val="ListParagraph"/>
              <w:rPr>
                <w:rFonts w:ascii="Arial" w:hAnsi="Arial"/>
                <w:sz w:val="24"/>
                <w:szCs w:val="24"/>
                <w:lang w:val="en-US"/>
              </w:rPr>
            </w:pPr>
          </w:p>
          <w:p w14:paraId="17EBA5C0" w14:textId="77777777" w:rsidR="00C316EF" w:rsidRDefault="00C316EF" w:rsidP="005A1127">
            <w:pPr>
              <w:pStyle w:val="Body"/>
              <w:numPr>
                <w:ilvl w:val="0"/>
                <w:numId w:val="30"/>
              </w:numPr>
              <w:spacing w:line="360" w:lineRule="auto"/>
              <w:ind w:left="5" w:firstLine="0"/>
              <w:jc w:val="both"/>
              <w:rPr>
                <w:rFonts w:ascii="Arial" w:hAnsi="Arial"/>
                <w:color w:val="auto"/>
                <w:sz w:val="24"/>
                <w:szCs w:val="24"/>
                <w:lang w:val="en-US"/>
              </w:rPr>
            </w:pPr>
            <w:r w:rsidRPr="00C316EF">
              <w:rPr>
                <w:rFonts w:ascii="Arial" w:hAnsi="Arial"/>
                <w:color w:val="auto"/>
                <w:sz w:val="24"/>
                <w:szCs w:val="24"/>
                <w:lang w:val="en-US"/>
              </w:rPr>
              <w:t>It is submitted on behalf of applicant that it is not sure in terms of what rule this application i</w:t>
            </w:r>
            <w:r>
              <w:rPr>
                <w:rFonts w:ascii="Arial" w:hAnsi="Arial"/>
                <w:color w:val="auto"/>
                <w:sz w:val="24"/>
                <w:szCs w:val="24"/>
                <w:lang w:val="en-US"/>
              </w:rPr>
              <w:t>s brought. It is assumed it is r</w:t>
            </w:r>
            <w:r w:rsidRPr="00C316EF">
              <w:rPr>
                <w:rFonts w:ascii="Arial" w:hAnsi="Arial"/>
                <w:color w:val="auto"/>
                <w:sz w:val="24"/>
                <w:szCs w:val="24"/>
                <w:lang w:val="en-US"/>
              </w:rPr>
              <w:t>ule 63(6)</w:t>
            </w:r>
            <w:r>
              <w:rPr>
                <w:rFonts w:ascii="Arial" w:hAnsi="Arial"/>
                <w:color w:val="auto"/>
                <w:sz w:val="24"/>
                <w:szCs w:val="24"/>
                <w:lang w:val="en-US"/>
              </w:rPr>
              <w:t xml:space="preserve"> of this court’s rules</w:t>
            </w:r>
            <w:r w:rsidRPr="00C316EF">
              <w:rPr>
                <w:rFonts w:ascii="Arial" w:hAnsi="Arial"/>
                <w:color w:val="auto"/>
                <w:sz w:val="24"/>
                <w:szCs w:val="24"/>
                <w:lang w:val="en-US"/>
              </w:rPr>
              <w:t xml:space="preserve">. While it appears to me that rule 63 is aimed at pending actions, I accept that I am empowered to make a procedural direction such as this. </w:t>
            </w:r>
          </w:p>
          <w:p w14:paraId="7F02ECF1" w14:textId="77777777" w:rsidR="00C316EF" w:rsidRDefault="00C316EF" w:rsidP="00C316EF">
            <w:pPr>
              <w:pStyle w:val="ListParagraph"/>
              <w:rPr>
                <w:rFonts w:ascii="Arial" w:hAnsi="Arial"/>
                <w:sz w:val="24"/>
                <w:szCs w:val="24"/>
                <w:lang w:val="en-US"/>
              </w:rPr>
            </w:pPr>
          </w:p>
          <w:p w14:paraId="1E0B8980" w14:textId="77777777" w:rsidR="00C316EF" w:rsidRDefault="00C316EF" w:rsidP="005A1127">
            <w:pPr>
              <w:pStyle w:val="Body"/>
              <w:numPr>
                <w:ilvl w:val="0"/>
                <w:numId w:val="30"/>
              </w:numPr>
              <w:spacing w:line="360" w:lineRule="auto"/>
              <w:ind w:left="5" w:firstLine="0"/>
              <w:jc w:val="both"/>
              <w:rPr>
                <w:rFonts w:ascii="Arial" w:hAnsi="Arial"/>
                <w:color w:val="auto"/>
                <w:sz w:val="24"/>
                <w:szCs w:val="24"/>
                <w:lang w:val="en-US"/>
              </w:rPr>
            </w:pPr>
            <w:r>
              <w:rPr>
                <w:rFonts w:ascii="Arial" w:hAnsi="Arial"/>
                <w:color w:val="auto"/>
                <w:sz w:val="24"/>
                <w:szCs w:val="24"/>
                <w:lang w:val="en-US"/>
              </w:rPr>
              <w:t>The f</w:t>
            </w:r>
            <w:r w:rsidRPr="00C316EF">
              <w:rPr>
                <w:rFonts w:ascii="Arial" w:hAnsi="Arial"/>
                <w:color w:val="auto"/>
                <w:sz w:val="24"/>
                <w:szCs w:val="24"/>
                <w:lang w:val="en-US"/>
              </w:rPr>
              <w:t>irst respondent seeks a ruling from me now that the issue, that in the event it is found that the arbitrator’s award should be made an order of court – and executed – the Prosecutor-General will be bound by the judgment and not permitted to prosecute the first respondent, be heard and determined in isolation from the rest of the application.</w:t>
            </w:r>
          </w:p>
          <w:p w14:paraId="06715331" w14:textId="77777777" w:rsidR="00C316EF" w:rsidRDefault="00C316EF" w:rsidP="00C316EF">
            <w:pPr>
              <w:pStyle w:val="ListParagraph"/>
              <w:rPr>
                <w:rFonts w:ascii="Arial" w:hAnsi="Arial"/>
                <w:sz w:val="24"/>
                <w:szCs w:val="24"/>
                <w:lang w:val="en-US"/>
              </w:rPr>
            </w:pPr>
          </w:p>
          <w:p w14:paraId="3CA4DA1E" w14:textId="77777777" w:rsidR="000451AA" w:rsidRDefault="00C316EF" w:rsidP="005A1127">
            <w:pPr>
              <w:pStyle w:val="Body"/>
              <w:numPr>
                <w:ilvl w:val="0"/>
                <w:numId w:val="30"/>
              </w:numPr>
              <w:spacing w:line="360" w:lineRule="auto"/>
              <w:ind w:left="5" w:firstLine="0"/>
              <w:jc w:val="both"/>
              <w:rPr>
                <w:rFonts w:ascii="Arial" w:hAnsi="Arial"/>
                <w:color w:val="auto"/>
                <w:sz w:val="24"/>
                <w:szCs w:val="24"/>
                <w:lang w:val="en-US"/>
              </w:rPr>
            </w:pPr>
            <w:r w:rsidRPr="00C316EF">
              <w:rPr>
                <w:rFonts w:ascii="Arial" w:hAnsi="Arial"/>
                <w:color w:val="auto"/>
                <w:sz w:val="24"/>
                <w:szCs w:val="24"/>
                <w:lang w:val="en-US"/>
              </w:rPr>
              <w:t>The first respondent’s answering affidavit was deposed to on 22 April 2022. The Prosecutor-General was eventually joined as third respondent on 18 August 2022. According to</w:t>
            </w:r>
            <w:r>
              <w:rPr>
                <w:rFonts w:ascii="Arial" w:hAnsi="Arial"/>
                <w:color w:val="auto"/>
                <w:sz w:val="24"/>
                <w:szCs w:val="24"/>
                <w:lang w:val="en-US"/>
              </w:rPr>
              <w:t xml:space="preserve"> the</w:t>
            </w:r>
            <w:r w:rsidRPr="00C316EF">
              <w:rPr>
                <w:rFonts w:ascii="Arial" w:hAnsi="Arial"/>
                <w:color w:val="auto"/>
                <w:sz w:val="24"/>
                <w:szCs w:val="24"/>
                <w:lang w:val="en-US"/>
              </w:rPr>
              <w:t xml:space="preserve"> first respondent the issue now before me became pertinent when the Prosecutor-General filed her affidavit in October 2022.  However, in its answering affidavit</w:t>
            </w:r>
            <w:r w:rsidR="000451AA">
              <w:rPr>
                <w:rFonts w:ascii="Arial" w:hAnsi="Arial"/>
                <w:color w:val="auto"/>
                <w:sz w:val="24"/>
                <w:szCs w:val="24"/>
                <w:lang w:val="en-US"/>
              </w:rPr>
              <w:t>, the</w:t>
            </w:r>
            <w:r w:rsidRPr="00C316EF">
              <w:rPr>
                <w:rFonts w:ascii="Arial" w:hAnsi="Arial"/>
                <w:color w:val="auto"/>
                <w:sz w:val="24"/>
                <w:szCs w:val="24"/>
                <w:lang w:val="en-US"/>
              </w:rPr>
              <w:t xml:space="preserve"> first respondent – while not depicting it as </w:t>
            </w:r>
            <w:r w:rsidRPr="00C316EF">
              <w:rPr>
                <w:rFonts w:ascii="Arial" w:hAnsi="Arial"/>
                <w:i/>
                <w:iCs/>
                <w:color w:val="auto"/>
                <w:sz w:val="24"/>
                <w:szCs w:val="24"/>
                <w:lang w:val="en-US"/>
              </w:rPr>
              <w:t xml:space="preserve">in </w:t>
            </w:r>
            <w:proofErr w:type="spellStart"/>
            <w:r w:rsidRPr="00C316EF">
              <w:rPr>
                <w:rFonts w:ascii="Arial" w:hAnsi="Arial"/>
                <w:i/>
                <w:iCs/>
                <w:color w:val="auto"/>
                <w:sz w:val="24"/>
                <w:szCs w:val="24"/>
                <w:lang w:val="en-US"/>
              </w:rPr>
              <w:t>limine</w:t>
            </w:r>
            <w:proofErr w:type="spellEnd"/>
            <w:r w:rsidRPr="00C316EF">
              <w:rPr>
                <w:rFonts w:ascii="Arial" w:hAnsi="Arial"/>
                <w:i/>
                <w:iCs/>
                <w:color w:val="auto"/>
                <w:sz w:val="24"/>
                <w:szCs w:val="24"/>
                <w:lang w:val="en-US"/>
              </w:rPr>
              <w:t xml:space="preserve"> per se </w:t>
            </w:r>
            <w:r w:rsidR="000451AA">
              <w:rPr>
                <w:rFonts w:ascii="Arial" w:hAnsi="Arial"/>
                <w:color w:val="auto"/>
                <w:sz w:val="24"/>
                <w:szCs w:val="24"/>
                <w:lang w:val="en-US"/>
              </w:rPr>
              <w:t xml:space="preserve">– </w:t>
            </w:r>
            <w:r w:rsidRPr="00C316EF">
              <w:rPr>
                <w:rFonts w:ascii="Arial" w:hAnsi="Arial"/>
                <w:color w:val="auto"/>
                <w:sz w:val="24"/>
                <w:szCs w:val="24"/>
                <w:lang w:val="en-US"/>
              </w:rPr>
              <w:t xml:space="preserve">raised the issue that if it complies with the award, it will open itself up to possible criminal charges. This was raised in the context of the contention that the arbitration award is not enforceable since it is not an ‘award’ as envisaged in the Arbitration Act, 1965, and it is </w:t>
            </w:r>
            <w:r w:rsidRPr="00C316EF">
              <w:rPr>
                <w:rFonts w:ascii="Arial" w:hAnsi="Arial"/>
                <w:i/>
                <w:iCs/>
                <w:color w:val="auto"/>
                <w:sz w:val="24"/>
                <w:szCs w:val="24"/>
                <w:lang w:val="en-US"/>
              </w:rPr>
              <w:t xml:space="preserve">contra </w:t>
            </w:r>
            <w:proofErr w:type="spellStart"/>
            <w:r w:rsidRPr="00C316EF">
              <w:rPr>
                <w:rFonts w:ascii="Arial" w:hAnsi="Arial"/>
                <w:i/>
                <w:iCs/>
                <w:color w:val="auto"/>
                <w:sz w:val="24"/>
                <w:szCs w:val="24"/>
                <w:lang w:val="en-US"/>
              </w:rPr>
              <w:t>bonos</w:t>
            </w:r>
            <w:proofErr w:type="spellEnd"/>
            <w:r w:rsidRPr="00C316EF">
              <w:rPr>
                <w:rFonts w:ascii="Arial" w:hAnsi="Arial"/>
                <w:i/>
                <w:iCs/>
                <w:color w:val="auto"/>
                <w:sz w:val="24"/>
                <w:szCs w:val="24"/>
                <w:lang w:val="en-US"/>
              </w:rPr>
              <w:t xml:space="preserve"> mores. </w:t>
            </w:r>
          </w:p>
          <w:p w14:paraId="7DE6EF4F" w14:textId="77777777" w:rsidR="000451AA" w:rsidRDefault="000451AA" w:rsidP="000451AA">
            <w:pPr>
              <w:pStyle w:val="ListParagraph"/>
              <w:rPr>
                <w:rFonts w:ascii="Arial" w:hAnsi="Arial"/>
                <w:sz w:val="24"/>
                <w:szCs w:val="24"/>
                <w:lang w:val="en-US"/>
              </w:rPr>
            </w:pPr>
          </w:p>
          <w:p w14:paraId="110B46E2" w14:textId="77777777" w:rsidR="000451AA" w:rsidRDefault="00C316EF" w:rsidP="005A1127">
            <w:pPr>
              <w:pStyle w:val="Body"/>
              <w:numPr>
                <w:ilvl w:val="0"/>
                <w:numId w:val="30"/>
              </w:numPr>
              <w:spacing w:line="360" w:lineRule="auto"/>
              <w:ind w:left="5" w:firstLine="0"/>
              <w:jc w:val="both"/>
              <w:rPr>
                <w:rFonts w:ascii="Arial" w:hAnsi="Arial"/>
                <w:color w:val="auto"/>
                <w:sz w:val="24"/>
                <w:szCs w:val="24"/>
                <w:lang w:val="en-US"/>
              </w:rPr>
            </w:pPr>
            <w:r w:rsidRPr="000451AA">
              <w:rPr>
                <w:rFonts w:ascii="Arial" w:hAnsi="Arial"/>
                <w:color w:val="auto"/>
                <w:sz w:val="24"/>
                <w:szCs w:val="24"/>
                <w:lang w:val="en-US"/>
              </w:rPr>
              <w:t>Therefore, in my view</w:t>
            </w:r>
            <w:r w:rsidR="000451AA">
              <w:rPr>
                <w:rFonts w:ascii="Arial" w:hAnsi="Arial"/>
                <w:color w:val="auto"/>
                <w:sz w:val="24"/>
                <w:szCs w:val="24"/>
                <w:lang w:val="en-US"/>
              </w:rPr>
              <w:t xml:space="preserve"> that</w:t>
            </w:r>
            <w:r w:rsidRPr="000451AA">
              <w:rPr>
                <w:rFonts w:ascii="Arial" w:hAnsi="Arial"/>
                <w:color w:val="auto"/>
                <w:sz w:val="24"/>
                <w:szCs w:val="24"/>
                <w:lang w:val="en-US"/>
              </w:rPr>
              <w:t xml:space="preserve"> the issue of </w:t>
            </w:r>
            <w:r w:rsidR="000451AA">
              <w:rPr>
                <w:rFonts w:ascii="Arial" w:hAnsi="Arial"/>
                <w:color w:val="auto"/>
                <w:sz w:val="24"/>
                <w:szCs w:val="24"/>
                <w:lang w:val="en-US"/>
              </w:rPr>
              <w:t xml:space="preserve">the </w:t>
            </w:r>
            <w:r w:rsidRPr="000451AA">
              <w:rPr>
                <w:rFonts w:ascii="Arial" w:hAnsi="Arial"/>
                <w:color w:val="auto"/>
                <w:sz w:val="24"/>
                <w:szCs w:val="24"/>
                <w:lang w:val="en-US"/>
              </w:rPr>
              <w:t>first respondent’s potential prosecution</w:t>
            </w:r>
            <w:r w:rsidR="000451AA">
              <w:rPr>
                <w:rFonts w:ascii="Arial" w:hAnsi="Arial"/>
                <w:color w:val="auto"/>
                <w:sz w:val="24"/>
                <w:szCs w:val="24"/>
                <w:lang w:val="en-US"/>
              </w:rPr>
              <w:t>,</w:t>
            </w:r>
            <w:r w:rsidRPr="000451AA">
              <w:rPr>
                <w:rFonts w:ascii="Arial" w:hAnsi="Arial"/>
                <w:color w:val="auto"/>
                <w:sz w:val="24"/>
                <w:szCs w:val="24"/>
                <w:lang w:val="en-US"/>
              </w:rPr>
              <w:t xml:space="preserve"> if it should comply with the arbitration award</w:t>
            </w:r>
            <w:r w:rsidR="000451AA">
              <w:rPr>
                <w:rFonts w:ascii="Arial" w:hAnsi="Arial"/>
                <w:color w:val="auto"/>
                <w:sz w:val="24"/>
                <w:szCs w:val="24"/>
                <w:lang w:val="en-US"/>
              </w:rPr>
              <w:t>,</w:t>
            </w:r>
            <w:r w:rsidRPr="000451AA">
              <w:rPr>
                <w:rFonts w:ascii="Arial" w:hAnsi="Arial"/>
                <w:color w:val="auto"/>
                <w:sz w:val="24"/>
                <w:szCs w:val="24"/>
                <w:lang w:val="en-US"/>
              </w:rPr>
              <w:t xml:space="preserve"> is rolled into the dispute about enforcing the award in general. It is not practical and does not make sense to separate it as contended on behalf of the first respondent.  It will be more convenient and contextually more sensible to hear it with the rest of the is</w:t>
            </w:r>
            <w:r w:rsidR="000451AA">
              <w:rPr>
                <w:rFonts w:ascii="Arial" w:hAnsi="Arial"/>
                <w:color w:val="auto"/>
                <w:sz w:val="24"/>
                <w:szCs w:val="24"/>
                <w:lang w:val="en-US"/>
              </w:rPr>
              <w:t>sues raised in the application.</w:t>
            </w:r>
          </w:p>
          <w:p w14:paraId="5585A6A2" w14:textId="77777777" w:rsidR="000451AA" w:rsidRDefault="000451AA" w:rsidP="000451AA">
            <w:pPr>
              <w:pStyle w:val="ListParagraph"/>
              <w:rPr>
                <w:rFonts w:ascii="Arial" w:hAnsi="Arial"/>
                <w:sz w:val="24"/>
                <w:szCs w:val="24"/>
                <w:lang w:val="en-US"/>
              </w:rPr>
            </w:pPr>
          </w:p>
          <w:p w14:paraId="221611EF" w14:textId="77777777" w:rsidR="000451AA" w:rsidRDefault="000451AA" w:rsidP="007A6C9F">
            <w:pPr>
              <w:pStyle w:val="Body"/>
              <w:numPr>
                <w:ilvl w:val="0"/>
                <w:numId w:val="30"/>
              </w:numPr>
              <w:spacing w:line="360" w:lineRule="auto"/>
              <w:ind w:left="5" w:firstLine="0"/>
              <w:jc w:val="both"/>
              <w:rPr>
                <w:rFonts w:ascii="Arial" w:hAnsi="Arial"/>
                <w:color w:val="auto"/>
                <w:sz w:val="24"/>
                <w:szCs w:val="24"/>
                <w:lang w:val="en-US"/>
              </w:rPr>
            </w:pPr>
            <w:r>
              <w:rPr>
                <w:rFonts w:ascii="Arial" w:hAnsi="Arial"/>
                <w:color w:val="auto"/>
                <w:sz w:val="24"/>
                <w:szCs w:val="24"/>
                <w:lang w:val="en-US"/>
              </w:rPr>
              <w:t>As far as costs are</w:t>
            </w:r>
            <w:r w:rsidR="00C316EF" w:rsidRPr="000451AA">
              <w:rPr>
                <w:rFonts w:ascii="Arial" w:hAnsi="Arial"/>
                <w:color w:val="auto"/>
                <w:sz w:val="24"/>
                <w:szCs w:val="24"/>
                <w:lang w:val="en-US"/>
              </w:rPr>
              <w:t xml:space="preserve"> concerned, a variety of options had been canvassed during the </w:t>
            </w:r>
            <w:r w:rsidR="00C316EF" w:rsidRPr="000451AA">
              <w:rPr>
                <w:rFonts w:ascii="Arial" w:hAnsi="Arial"/>
                <w:color w:val="auto"/>
                <w:sz w:val="24"/>
                <w:szCs w:val="24"/>
                <w:lang w:val="en-US"/>
              </w:rPr>
              <w:lastRenderedPageBreak/>
              <w:t xml:space="preserve">hearing. I am of the view that it is sensible to have costs follow the event of this interlocutory application and put it to bed entirely. </w:t>
            </w:r>
          </w:p>
          <w:p w14:paraId="6CEB803C" w14:textId="77777777" w:rsidR="000451AA" w:rsidRDefault="000451AA" w:rsidP="000451AA">
            <w:pPr>
              <w:pStyle w:val="ListParagraph"/>
              <w:rPr>
                <w:rFonts w:ascii="Arial" w:hAnsi="Arial"/>
                <w:sz w:val="24"/>
                <w:szCs w:val="24"/>
                <w:lang w:val="en-US"/>
              </w:rPr>
            </w:pPr>
          </w:p>
          <w:p w14:paraId="53099978" w14:textId="43BAB62C" w:rsidR="00C316EF" w:rsidRPr="000451AA" w:rsidRDefault="00C316EF" w:rsidP="007A6C9F">
            <w:pPr>
              <w:pStyle w:val="Body"/>
              <w:numPr>
                <w:ilvl w:val="0"/>
                <w:numId w:val="30"/>
              </w:numPr>
              <w:spacing w:line="360" w:lineRule="auto"/>
              <w:ind w:left="5" w:firstLine="0"/>
              <w:jc w:val="both"/>
              <w:rPr>
                <w:rFonts w:ascii="Arial" w:hAnsi="Arial"/>
                <w:color w:val="auto"/>
                <w:sz w:val="24"/>
                <w:szCs w:val="24"/>
                <w:lang w:val="en-US"/>
              </w:rPr>
            </w:pPr>
            <w:r w:rsidRPr="000451AA">
              <w:rPr>
                <w:rFonts w:ascii="Arial" w:hAnsi="Arial"/>
                <w:color w:val="auto"/>
                <w:sz w:val="24"/>
                <w:szCs w:val="24"/>
                <w:lang w:val="en-US"/>
              </w:rPr>
              <w:t>Accordingly, I make the following order:</w:t>
            </w:r>
          </w:p>
          <w:p w14:paraId="519309BA" w14:textId="77777777" w:rsidR="00C316EF" w:rsidRPr="001D6B3F" w:rsidRDefault="00C316EF" w:rsidP="007A6C9F">
            <w:pPr>
              <w:pStyle w:val="Body"/>
              <w:spacing w:line="360" w:lineRule="auto"/>
              <w:jc w:val="both"/>
              <w:rPr>
                <w:rFonts w:ascii="Arial" w:hAnsi="Arial"/>
                <w:color w:val="auto"/>
                <w:sz w:val="24"/>
                <w:szCs w:val="24"/>
                <w:lang w:val="en-US"/>
              </w:rPr>
            </w:pPr>
          </w:p>
          <w:p w14:paraId="68BC9384" w14:textId="4011784A" w:rsidR="00C316EF" w:rsidRPr="000517D9" w:rsidRDefault="000451AA" w:rsidP="000451AA">
            <w:pPr>
              <w:pStyle w:val="ListParagraph"/>
              <w:numPr>
                <w:ilvl w:val="0"/>
                <w:numId w:val="27"/>
              </w:numPr>
              <w:pBdr>
                <w:top w:val="nil"/>
                <w:left w:val="nil"/>
                <w:bottom w:val="nil"/>
                <w:right w:val="nil"/>
                <w:between w:val="nil"/>
                <w:bar w:val="nil"/>
              </w:pBdr>
              <w:spacing w:line="360" w:lineRule="auto"/>
              <w:ind w:left="1445" w:hanging="720"/>
              <w:jc w:val="both"/>
              <w:rPr>
                <w:rFonts w:ascii="Arial" w:hAnsi="Arial" w:cs="Arial"/>
                <w:sz w:val="24"/>
                <w:szCs w:val="24"/>
              </w:rPr>
            </w:pPr>
            <w:r>
              <w:rPr>
                <w:rFonts w:ascii="Arial" w:hAnsi="Arial" w:cs="Arial"/>
                <w:sz w:val="24"/>
                <w:szCs w:val="24"/>
                <w:lang w:val="en-US"/>
              </w:rPr>
              <w:t>The f</w:t>
            </w:r>
            <w:r w:rsidR="00C316EF">
              <w:rPr>
                <w:rFonts w:ascii="Arial" w:hAnsi="Arial" w:cs="Arial"/>
                <w:sz w:val="24"/>
                <w:szCs w:val="24"/>
                <w:lang w:val="en-US"/>
              </w:rPr>
              <w:t>irst respondent’s</w:t>
            </w:r>
            <w:r w:rsidR="00C316EF" w:rsidRPr="000517D9">
              <w:rPr>
                <w:rFonts w:ascii="Arial" w:hAnsi="Arial" w:cs="Arial"/>
                <w:sz w:val="24"/>
                <w:szCs w:val="24"/>
                <w:lang w:val="en-US"/>
              </w:rPr>
              <w:t xml:space="preserve"> </w:t>
            </w:r>
            <w:r w:rsidR="00C316EF">
              <w:rPr>
                <w:rFonts w:ascii="Arial" w:hAnsi="Arial" w:cs="Arial"/>
                <w:sz w:val="24"/>
                <w:szCs w:val="24"/>
                <w:lang w:val="en-US"/>
              </w:rPr>
              <w:t xml:space="preserve">interlocutory </w:t>
            </w:r>
            <w:r w:rsidR="00C316EF" w:rsidRPr="000517D9">
              <w:rPr>
                <w:rFonts w:ascii="Arial" w:hAnsi="Arial" w:cs="Arial"/>
                <w:sz w:val="24"/>
                <w:szCs w:val="24"/>
                <w:lang w:val="en-US"/>
              </w:rPr>
              <w:t xml:space="preserve">application is </w:t>
            </w:r>
            <w:r w:rsidR="00C316EF">
              <w:rPr>
                <w:rFonts w:ascii="Arial" w:hAnsi="Arial" w:cs="Arial"/>
                <w:sz w:val="24"/>
                <w:szCs w:val="24"/>
                <w:lang w:val="en-US"/>
              </w:rPr>
              <w:t xml:space="preserve">dismissed </w:t>
            </w:r>
            <w:r w:rsidR="00C316EF" w:rsidRPr="000517D9">
              <w:rPr>
                <w:rFonts w:ascii="Arial" w:hAnsi="Arial" w:cs="Arial"/>
                <w:sz w:val="24"/>
                <w:szCs w:val="24"/>
                <w:lang w:val="en-US"/>
              </w:rPr>
              <w:t xml:space="preserve">with </w:t>
            </w:r>
            <w:r w:rsidR="00C316EF">
              <w:rPr>
                <w:rFonts w:ascii="Arial" w:hAnsi="Arial" w:cs="Arial"/>
                <w:sz w:val="24"/>
                <w:szCs w:val="24"/>
                <w:lang w:val="en-US"/>
              </w:rPr>
              <w:t>costs to include one instructing and one instructed counsel and capped as contemplated in rule 32(11) of the rules of this court</w:t>
            </w:r>
            <w:r w:rsidR="00C316EF" w:rsidRPr="000517D9">
              <w:rPr>
                <w:rFonts w:ascii="Arial" w:hAnsi="Arial" w:cs="Arial"/>
                <w:sz w:val="24"/>
                <w:szCs w:val="24"/>
                <w:lang w:val="en-US"/>
              </w:rPr>
              <w:t>.</w:t>
            </w:r>
          </w:p>
          <w:p w14:paraId="6F6EA0C7" w14:textId="08131DD4" w:rsidR="00853FA7" w:rsidRPr="000451AA" w:rsidRDefault="00C316EF" w:rsidP="000451AA">
            <w:pPr>
              <w:pStyle w:val="ListParagraph"/>
              <w:numPr>
                <w:ilvl w:val="0"/>
                <w:numId w:val="27"/>
              </w:numPr>
              <w:pBdr>
                <w:top w:val="nil"/>
                <w:left w:val="nil"/>
                <w:bottom w:val="nil"/>
                <w:right w:val="nil"/>
                <w:between w:val="nil"/>
                <w:bar w:val="nil"/>
              </w:pBdr>
              <w:spacing w:line="360" w:lineRule="auto"/>
              <w:ind w:left="1445" w:hanging="720"/>
              <w:jc w:val="both"/>
              <w:rPr>
                <w:rFonts w:ascii="Arial" w:hAnsi="Arial"/>
                <w:sz w:val="24"/>
                <w:szCs w:val="24"/>
              </w:rPr>
            </w:pPr>
            <w:r>
              <w:rPr>
                <w:rFonts w:ascii="Arial" w:hAnsi="Arial"/>
                <w:sz w:val="24"/>
                <w:szCs w:val="24"/>
              </w:rPr>
              <w:t xml:space="preserve">The main application is postponed to </w:t>
            </w:r>
            <w:r w:rsidRPr="0000483A">
              <w:rPr>
                <w:rFonts w:ascii="Arial" w:hAnsi="Arial"/>
                <w:b/>
                <w:bCs/>
                <w:sz w:val="24"/>
                <w:szCs w:val="24"/>
              </w:rPr>
              <w:t>6</w:t>
            </w:r>
            <w:r w:rsidRPr="00785A19">
              <w:rPr>
                <w:rFonts w:ascii="Arial" w:hAnsi="Arial"/>
                <w:b/>
                <w:bCs/>
                <w:sz w:val="24"/>
                <w:szCs w:val="24"/>
              </w:rPr>
              <w:t xml:space="preserve"> April 202</w:t>
            </w:r>
            <w:r>
              <w:rPr>
                <w:rFonts w:ascii="Arial" w:hAnsi="Arial"/>
                <w:b/>
                <w:bCs/>
                <w:sz w:val="24"/>
                <w:szCs w:val="24"/>
              </w:rPr>
              <w:t>3</w:t>
            </w:r>
            <w:r w:rsidR="000451AA">
              <w:rPr>
                <w:rFonts w:ascii="Arial" w:hAnsi="Arial"/>
                <w:b/>
                <w:bCs/>
                <w:sz w:val="24"/>
                <w:szCs w:val="24"/>
              </w:rPr>
              <w:t xml:space="preserve"> at 15:</w:t>
            </w:r>
            <w:r w:rsidRPr="00785A19">
              <w:rPr>
                <w:rFonts w:ascii="Arial" w:hAnsi="Arial"/>
                <w:b/>
                <w:bCs/>
                <w:sz w:val="24"/>
                <w:szCs w:val="24"/>
              </w:rPr>
              <w:t>30</w:t>
            </w:r>
            <w:r>
              <w:rPr>
                <w:rFonts w:ascii="Arial" w:hAnsi="Arial"/>
                <w:sz w:val="24"/>
                <w:szCs w:val="24"/>
              </w:rPr>
              <w:t xml:space="preserve"> for a status hearing and </w:t>
            </w:r>
            <w:r w:rsidR="000451AA">
              <w:rPr>
                <w:rFonts w:ascii="Arial" w:hAnsi="Arial"/>
                <w:sz w:val="24"/>
                <w:szCs w:val="24"/>
              </w:rPr>
              <w:t>to determine a hearing date.</w:t>
            </w:r>
          </w:p>
        </w:tc>
      </w:tr>
      <w:tr w:rsidR="001D6B3F" w:rsidRPr="001D6B3F" w14:paraId="669CD305" w14:textId="77777777" w:rsidTr="00004108">
        <w:tc>
          <w:tcPr>
            <w:tcW w:w="4770" w:type="dxa"/>
          </w:tcPr>
          <w:p w14:paraId="52935D9E" w14:textId="77777777" w:rsidR="009C2E53" w:rsidRPr="001D6B3F" w:rsidRDefault="003E7B95" w:rsidP="007A6C9F">
            <w:pPr>
              <w:spacing w:line="360" w:lineRule="auto"/>
              <w:jc w:val="center"/>
              <w:rPr>
                <w:rFonts w:ascii="Arial" w:hAnsi="Arial" w:cs="Arial"/>
                <w:b/>
                <w:sz w:val="24"/>
                <w:szCs w:val="24"/>
              </w:rPr>
            </w:pPr>
            <w:r w:rsidRPr="001D6B3F">
              <w:rPr>
                <w:rFonts w:ascii="Arial" w:hAnsi="Arial" w:cs="Arial"/>
                <w:b/>
                <w:sz w:val="24"/>
                <w:szCs w:val="24"/>
                <w:lang w:val="en-US"/>
              </w:rPr>
              <w:lastRenderedPageBreak/>
              <w:t>Judge’s signature</w:t>
            </w:r>
          </w:p>
        </w:tc>
        <w:tc>
          <w:tcPr>
            <w:tcW w:w="5706" w:type="dxa"/>
            <w:gridSpan w:val="2"/>
          </w:tcPr>
          <w:p w14:paraId="7A7B4897"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Note to the parties:</w:t>
            </w:r>
          </w:p>
        </w:tc>
      </w:tr>
      <w:tr w:rsidR="001D6B3F" w:rsidRPr="001D6B3F" w14:paraId="6F11AF53" w14:textId="77777777" w:rsidTr="00004108">
        <w:trPr>
          <w:trHeight w:val="1114"/>
        </w:trPr>
        <w:tc>
          <w:tcPr>
            <w:tcW w:w="4770" w:type="dxa"/>
          </w:tcPr>
          <w:p w14:paraId="295864EC" w14:textId="77777777" w:rsidR="009C2E53" w:rsidRPr="001D6B3F" w:rsidRDefault="009C2E53" w:rsidP="007A6C9F">
            <w:pPr>
              <w:spacing w:line="360" w:lineRule="auto"/>
              <w:jc w:val="both"/>
              <w:rPr>
                <w:rFonts w:ascii="Arial" w:hAnsi="Arial" w:cs="Arial"/>
                <w:sz w:val="24"/>
                <w:szCs w:val="24"/>
              </w:rPr>
            </w:pPr>
          </w:p>
          <w:p w14:paraId="3F24801C" w14:textId="77777777" w:rsidR="006541D3" w:rsidRPr="001D6B3F" w:rsidRDefault="006541D3" w:rsidP="007A6C9F">
            <w:pPr>
              <w:spacing w:line="360" w:lineRule="auto"/>
              <w:jc w:val="both"/>
              <w:rPr>
                <w:rFonts w:ascii="Arial" w:hAnsi="Arial" w:cs="Arial"/>
                <w:sz w:val="24"/>
                <w:szCs w:val="24"/>
              </w:rPr>
            </w:pPr>
          </w:p>
          <w:p w14:paraId="76538BDC" w14:textId="77777777" w:rsidR="00767C2D" w:rsidRPr="001D6B3F" w:rsidRDefault="00767C2D" w:rsidP="007A6C9F">
            <w:pPr>
              <w:spacing w:line="360" w:lineRule="auto"/>
              <w:jc w:val="both"/>
              <w:rPr>
                <w:rFonts w:ascii="Arial" w:hAnsi="Arial" w:cs="Arial"/>
                <w:sz w:val="24"/>
                <w:szCs w:val="24"/>
              </w:rPr>
            </w:pPr>
          </w:p>
          <w:p w14:paraId="7E296104" w14:textId="77777777" w:rsidR="009C2E53" w:rsidRPr="001D6B3F" w:rsidRDefault="009C2E53" w:rsidP="007A6C9F">
            <w:pPr>
              <w:spacing w:line="360" w:lineRule="auto"/>
              <w:jc w:val="both"/>
              <w:rPr>
                <w:rFonts w:ascii="Arial" w:hAnsi="Arial" w:cs="Arial"/>
                <w:sz w:val="24"/>
                <w:szCs w:val="24"/>
              </w:rPr>
            </w:pPr>
          </w:p>
        </w:tc>
        <w:tc>
          <w:tcPr>
            <w:tcW w:w="5706" w:type="dxa"/>
            <w:gridSpan w:val="2"/>
          </w:tcPr>
          <w:p w14:paraId="147BDE73" w14:textId="77777777" w:rsidR="009C2E53" w:rsidRPr="001D6B3F" w:rsidRDefault="009C2E53" w:rsidP="000451AA">
            <w:pPr>
              <w:spacing w:line="360" w:lineRule="auto"/>
              <w:jc w:val="center"/>
              <w:rPr>
                <w:rFonts w:ascii="Arial" w:hAnsi="Arial" w:cs="Arial"/>
                <w:sz w:val="24"/>
                <w:szCs w:val="24"/>
              </w:rPr>
            </w:pPr>
            <w:r w:rsidRPr="001D6B3F">
              <w:rPr>
                <w:rFonts w:ascii="Arial" w:hAnsi="Arial" w:cs="Arial"/>
                <w:sz w:val="24"/>
                <w:szCs w:val="24"/>
              </w:rPr>
              <w:t>Not applicable.</w:t>
            </w:r>
          </w:p>
        </w:tc>
      </w:tr>
      <w:tr w:rsidR="001D6B3F" w:rsidRPr="001D6B3F" w14:paraId="0E0AAC03" w14:textId="77777777" w:rsidTr="00004108">
        <w:tc>
          <w:tcPr>
            <w:tcW w:w="10476" w:type="dxa"/>
            <w:gridSpan w:val="3"/>
          </w:tcPr>
          <w:p w14:paraId="14800348"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Counsel:</w:t>
            </w:r>
          </w:p>
        </w:tc>
      </w:tr>
      <w:tr w:rsidR="001D6B3F" w:rsidRPr="001D6B3F" w14:paraId="7F087206" w14:textId="77777777" w:rsidTr="00004108">
        <w:tc>
          <w:tcPr>
            <w:tcW w:w="4770" w:type="dxa"/>
          </w:tcPr>
          <w:p w14:paraId="4A75B42C" w14:textId="77777777" w:rsidR="009C2E53" w:rsidRPr="001D6B3F" w:rsidRDefault="00EF1256" w:rsidP="007A6C9F">
            <w:pPr>
              <w:spacing w:line="360" w:lineRule="auto"/>
              <w:jc w:val="center"/>
              <w:rPr>
                <w:rFonts w:ascii="Arial" w:hAnsi="Arial" w:cs="Arial"/>
                <w:b/>
                <w:sz w:val="24"/>
                <w:szCs w:val="24"/>
              </w:rPr>
            </w:pPr>
            <w:r w:rsidRPr="001D6B3F">
              <w:rPr>
                <w:rFonts w:ascii="Arial" w:hAnsi="Arial" w:cs="Arial"/>
                <w:b/>
                <w:sz w:val="24"/>
                <w:szCs w:val="24"/>
                <w:lang w:val="de-DE"/>
              </w:rPr>
              <w:t>Applicant</w:t>
            </w:r>
          </w:p>
        </w:tc>
        <w:tc>
          <w:tcPr>
            <w:tcW w:w="5706" w:type="dxa"/>
            <w:gridSpan w:val="2"/>
          </w:tcPr>
          <w:p w14:paraId="208DE7F5" w14:textId="1036F1DE" w:rsidR="009C2E53" w:rsidRPr="001D6B3F" w:rsidRDefault="00DC6364" w:rsidP="007A6C9F">
            <w:pPr>
              <w:spacing w:line="360" w:lineRule="auto"/>
              <w:jc w:val="center"/>
              <w:rPr>
                <w:rFonts w:ascii="Arial" w:hAnsi="Arial" w:cs="Arial"/>
                <w:b/>
                <w:sz w:val="24"/>
                <w:szCs w:val="24"/>
              </w:rPr>
            </w:pPr>
            <w:r w:rsidRPr="001D6B3F">
              <w:rPr>
                <w:rFonts w:ascii="Arial" w:hAnsi="Arial" w:cs="Arial"/>
                <w:b/>
                <w:sz w:val="24"/>
                <w:szCs w:val="24"/>
              </w:rPr>
              <w:t xml:space="preserve"> </w:t>
            </w:r>
            <w:r w:rsidR="000451AA">
              <w:rPr>
                <w:rFonts w:ascii="Arial" w:hAnsi="Arial" w:cs="Arial"/>
                <w:b/>
                <w:sz w:val="24"/>
                <w:szCs w:val="24"/>
              </w:rPr>
              <w:t xml:space="preserve">First </w:t>
            </w:r>
            <w:r w:rsidR="00EF1256" w:rsidRPr="001D6B3F">
              <w:rPr>
                <w:rFonts w:ascii="Arial" w:hAnsi="Arial" w:cs="Arial"/>
                <w:b/>
                <w:sz w:val="24"/>
                <w:szCs w:val="24"/>
                <w:lang w:val="en-US"/>
              </w:rPr>
              <w:t>Respondent</w:t>
            </w:r>
          </w:p>
        </w:tc>
      </w:tr>
      <w:tr w:rsidR="001D6B3F" w:rsidRPr="001D6B3F" w14:paraId="4A32A77D" w14:textId="77777777" w:rsidTr="00143B2D">
        <w:trPr>
          <w:trHeight w:val="989"/>
        </w:trPr>
        <w:tc>
          <w:tcPr>
            <w:tcW w:w="4770" w:type="dxa"/>
          </w:tcPr>
          <w:p w14:paraId="74DF2188" w14:textId="26E99815" w:rsidR="000451AA" w:rsidRDefault="000451AA" w:rsidP="000451AA">
            <w:pPr>
              <w:spacing w:line="360" w:lineRule="auto"/>
              <w:jc w:val="center"/>
              <w:rPr>
                <w:rFonts w:ascii="Arial" w:eastAsia="Arial Unicode MS" w:hAnsi="Arial" w:cs="Arial"/>
                <w:sz w:val="24"/>
                <w:szCs w:val="24"/>
                <w:u w:color="000000"/>
                <w:bdr w:val="nil"/>
                <w:lang w:val="en-US" w:eastAsia="en-GB"/>
              </w:rPr>
            </w:pPr>
            <w:proofErr w:type="spellStart"/>
            <w:r>
              <w:rPr>
                <w:rFonts w:ascii="Arial" w:eastAsia="Arial Unicode MS" w:hAnsi="Arial" w:cs="Arial"/>
                <w:sz w:val="24"/>
                <w:szCs w:val="24"/>
                <w:u w:color="000000"/>
                <w:bdr w:val="nil"/>
                <w:lang w:val="en-US" w:eastAsia="en-GB"/>
              </w:rPr>
              <w:t>Adv</w:t>
            </w:r>
            <w:proofErr w:type="spellEnd"/>
            <w:r>
              <w:rPr>
                <w:rFonts w:ascii="Arial" w:eastAsia="Arial Unicode MS" w:hAnsi="Arial" w:cs="Arial"/>
                <w:sz w:val="24"/>
                <w:szCs w:val="24"/>
                <w:u w:color="000000"/>
                <w:bdr w:val="nil"/>
                <w:lang w:val="en-US" w:eastAsia="en-GB"/>
              </w:rPr>
              <w:t xml:space="preserve"> </w:t>
            </w:r>
            <w:proofErr w:type="spellStart"/>
            <w:r>
              <w:rPr>
                <w:rFonts w:ascii="Arial" w:eastAsia="Arial Unicode MS" w:hAnsi="Arial" w:cs="Arial"/>
                <w:sz w:val="24"/>
                <w:szCs w:val="24"/>
                <w:u w:color="000000"/>
                <w:bdr w:val="nil"/>
                <w:lang w:val="en-US" w:eastAsia="en-GB"/>
              </w:rPr>
              <w:t>Bassingthwaighte</w:t>
            </w:r>
            <w:proofErr w:type="spellEnd"/>
          </w:p>
          <w:p w14:paraId="710D9D96" w14:textId="413D3770" w:rsidR="00AB71DC" w:rsidRPr="001D6B3F" w:rsidRDefault="000451AA" w:rsidP="000451AA">
            <w:pPr>
              <w:pStyle w:val="Body"/>
              <w:spacing w:line="360" w:lineRule="auto"/>
              <w:jc w:val="center"/>
              <w:rPr>
                <w:rFonts w:ascii="Arial" w:hAnsi="Arial" w:cs="Arial"/>
                <w:sz w:val="24"/>
                <w:szCs w:val="24"/>
              </w:rPr>
            </w:pPr>
            <w:r>
              <w:rPr>
                <w:rFonts w:ascii="Arial" w:hAnsi="Arial" w:cs="Arial"/>
                <w:sz w:val="24"/>
                <w:szCs w:val="24"/>
                <w:lang w:val="en-US"/>
              </w:rPr>
              <w:t xml:space="preserve">Instructed by </w:t>
            </w:r>
            <w:proofErr w:type="spellStart"/>
            <w:r>
              <w:rPr>
                <w:rFonts w:ascii="Arial" w:hAnsi="Arial" w:cs="Arial"/>
                <w:sz w:val="24"/>
                <w:szCs w:val="24"/>
                <w:lang w:val="en-US"/>
              </w:rPr>
              <w:t>Koep</w:t>
            </w:r>
            <w:proofErr w:type="spellEnd"/>
            <w:r>
              <w:rPr>
                <w:rFonts w:ascii="Arial" w:hAnsi="Arial" w:cs="Arial"/>
                <w:sz w:val="24"/>
                <w:szCs w:val="24"/>
                <w:lang w:val="en-US"/>
              </w:rPr>
              <w:t xml:space="preserve"> &amp; P</w:t>
            </w:r>
            <w:r>
              <w:rPr>
                <w:rFonts w:ascii="Arial" w:hAnsi="Arial" w:cs="Arial"/>
                <w:sz w:val="24"/>
                <w:szCs w:val="24"/>
                <w:lang w:val="en-US"/>
              </w:rPr>
              <w:t>artners</w:t>
            </w:r>
            <w:r>
              <w:rPr>
                <w:rFonts w:ascii="Arial" w:hAnsi="Arial" w:cs="Arial"/>
                <w:color w:val="auto"/>
                <w:sz w:val="24"/>
                <w:szCs w:val="24"/>
              </w:rPr>
              <w:t>, Windhoek</w:t>
            </w:r>
          </w:p>
        </w:tc>
        <w:tc>
          <w:tcPr>
            <w:tcW w:w="5706" w:type="dxa"/>
            <w:gridSpan w:val="2"/>
          </w:tcPr>
          <w:p w14:paraId="522EFA77" w14:textId="77777777" w:rsidR="000451AA" w:rsidRDefault="000451AA" w:rsidP="000451AA">
            <w:pPr>
              <w:pStyle w:val="Body"/>
              <w:spacing w:line="360" w:lineRule="auto"/>
              <w:jc w:val="center"/>
              <w:rPr>
                <w:rFonts w:ascii="Arial" w:hAnsi="Arial" w:cs="Arial"/>
                <w:color w:val="auto"/>
                <w:sz w:val="24"/>
                <w:szCs w:val="24"/>
              </w:rPr>
            </w:pPr>
            <w:proofErr w:type="spellStart"/>
            <w:r>
              <w:rPr>
                <w:rFonts w:ascii="Arial" w:hAnsi="Arial" w:cs="Arial"/>
                <w:color w:val="auto"/>
                <w:sz w:val="24"/>
                <w:szCs w:val="24"/>
              </w:rPr>
              <w:t>Adv</w:t>
            </w:r>
            <w:proofErr w:type="spellEnd"/>
            <w:r>
              <w:rPr>
                <w:rFonts w:ascii="Arial" w:hAnsi="Arial" w:cs="Arial"/>
                <w:color w:val="auto"/>
                <w:sz w:val="24"/>
                <w:szCs w:val="24"/>
              </w:rPr>
              <w:t xml:space="preserve"> </w:t>
            </w:r>
            <w:proofErr w:type="spellStart"/>
            <w:r>
              <w:rPr>
                <w:rFonts w:ascii="Arial" w:hAnsi="Arial" w:cs="Arial"/>
                <w:color w:val="auto"/>
                <w:sz w:val="24"/>
                <w:szCs w:val="24"/>
              </w:rPr>
              <w:t>Tötemeyer</w:t>
            </w:r>
            <w:proofErr w:type="spellEnd"/>
            <w:r>
              <w:rPr>
                <w:rFonts w:ascii="Arial" w:hAnsi="Arial" w:cs="Arial"/>
                <w:color w:val="auto"/>
                <w:sz w:val="24"/>
                <w:szCs w:val="24"/>
              </w:rPr>
              <w:t xml:space="preserve"> SC</w:t>
            </w:r>
          </w:p>
          <w:p w14:paraId="6F4B7BD2" w14:textId="77777777" w:rsidR="000451AA" w:rsidRDefault="000451AA" w:rsidP="000451AA">
            <w:pPr>
              <w:pStyle w:val="Body"/>
              <w:spacing w:line="360" w:lineRule="auto"/>
              <w:jc w:val="center"/>
              <w:rPr>
                <w:rFonts w:ascii="Arial" w:hAnsi="Arial" w:cs="Arial"/>
                <w:color w:val="auto"/>
                <w:sz w:val="24"/>
                <w:szCs w:val="24"/>
              </w:rPr>
            </w:pPr>
            <w:r>
              <w:rPr>
                <w:rFonts w:ascii="Arial" w:hAnsi="Arial" w:cs="Arial"/>
                <w:color w:val="auto"/>
                <w:sz w:val="24"/>
                <w:szCs w:val="24"/>
              </w:rPr>
              <w:t>Assisted by Adv Dicks</w:t>
            </w:r>
          </w:p>
          <w:p w14:paraId="1E8AB446" w14:textId="409ADDAC" w:rsidR="009C2E53" w:rsidRPr="000451AA" w:rsidRDefault="000451AA" w:rsidP="000451AA">
            <w:pPr>
              <w:pStyle w:val="Body"/>
              <w:spacing w:line="360" w:lineRule="auto"/>
              <w:jc w:val="center"/>
              <w:rPr>
                <w:rFonts w:ascii="Arial" w:hAnsi="Arial" w:cs="Arial"/>
                <w:color w:val="auto"/>
                <w:sz w:val="24"/>
                <w:szCs w:val="24"/>
              </w:rPr>
            </w:pPr>
            <w:r>
              <w:rPr>
                <w:rFonts w:ascii="Arial" w:hAnsi="Arial" w:cs="Arial"/>
                <w:color w:val="auto"/>
                <w:sz w:val="24"/>
                <w:szCs w:val="24"/>
              </w:rPr>
              <w:t>Inst</w:t>
            </w:r>
            <w:r>
              <w:rPr>
                <w:rFonts w:ascii="Arial" w:hAnsi="Arial" w:cs="Arial"/>
                <w:color w:val="auto"/>
                <w:sz w:val="24"/>
                <w:szCs w:val="24"/>
              </w:rPr>
              <w:t xml:space="preserve">ructed by </w:t>
            </w:r>
            <w:proofErr w:type="spellStart"/>
            <w:r>
              <w:rPr>
                <w:rFonts w:ascii="Arial" w:hAnsi="Arial" w:cs="Arial"/>
                <w:color w:val="auto"/>
                <w:sz w:val="24"/>
                <w:szCs w:val="24"/>
              </w:rPr>
              <w:t>Engling</w:t>
            </w:r>
            <w:proofErr w:type="spellEnd"/>
            <w:r>
              <w:rPr>
                <w:rFonts w:ascii="Arial" w:hAnsi="Arial" w:cs="Arial"/>
                <w:color w:val="auto"/>
                <w:sz w:val="24"/>
                <w:szCs w:val="24"/>
              </w:rPr>
              <w:t xml:space="preserve"> </w:t>
            </w:r>
            <w:proofErr w:type="spellStart"/>
            <w:r>
              <w:rPr>
                <w:rFonts w:ascii="Arial" w:hAnsi="Arial" w:cs="Arial"/>
                <w:color w:val="auto"/>
                <w:sz w:val="24"/>
                <w:szCs w:val="24"/>
              </w:rPr>
              <w:t>Stritter</w:t>
            </w:r>
            <w:proofErr w:type="spellEnd"/>
            <w:r>
              <w:rPr>
                <w:rFonts w:ascii="Arial" w:hAnsi="Arial" w:cs="Arial"/>
                <w:color w:val="auto"/>
                <w:sz w:val="24"/>
                <w:szCs w:val="24"/>
              </w:rPr>
              <w:t xml:space="preserve"> and Partners, Windhoek</w:t>
            </w:r>
          </w:p>
        </w:tc>
      </w:tr>
    </w:tbl>
    <w:p w14:paraId="145039E2" w14:textId="77777777" w:rsidR="009C2E53" w:rsidRPr="001D6B3F" w:rsidRDefault="009C2E53" w:rsidP="00EF1256">
      <w:pPr>
        <w:spacing w:after="0" w:line="360" w:lineRule="auto"/>
        <w:jc w:val="both"/>
      </w:pPr>
    </w:p>
    <w:sectPr w:rsidR="009C2E53" w:rsidRPr="001D6B3F" w:rsidSect="0092145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A9EA3" w14:textId="77777777" w:rsidR="00944F67" w:rsidRDefault="00944F67" w:rsidP="009C2E53">
      <w:pPr>
        <w:spacing w:after="0" w:line="240" w:lineRule="auto"/>
      </w:pPr>
      <w:r>
        <w:separator/>
      </w:r>
    </w:p>
  </w:endnote>
  <w:endnote w:type="continuationSeparator" w:id="0">
    <w:p w14:paraId="7F2B59F1" w14:textId="77777777" w:rsidR="00944F67" w:rsidRDefault="00944F67"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B97F1" w14:textId="77777777" w:rsidR="00944F67" w:rsidRDefault="00944F67" w:rsidP="009C2E53">
      <w:pPr>
        <w:spacing w:after="0" w:line="240" w:lineRule="auto"/>
      </w:pPr>
      <w:r>
        <w:separator/>
      </w:r>
    </w:p>
  </w:footnote>
  <w:footnote w:type="continuationSeparator" w:id="0">
    <w:p w14:paraId="6BA8564D" w14:textId="77777777" w:rsidR="00944F67" w:rsidRDefault="00944F67" w:rsidP="009C2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874228"/>
      <w:docPartObj>
        <w:docPartGallery w:val="Page Numbers (Top of Page)"/>
        <w:docPartUnique/>
      </w:docPartObj>
    </w:sdtPr>
    <w:sdtEndPr>
      <w:rPr>
        <w:noProof/>
      </w:rPr>
    </w:sdtEndPr>
    <w:sdtContent>
      <w:p w14:paraId="05CAB710" w14:textId="77777777" w:rsidR="00921456" w:rsidRPr="00186A43" w:rsidRDefault="00921456">
        <w:pPr>
          <w:pStyle w:val="Header"/>
          <w:jc w:val="right"/>
        </w:pPr>
        <w:r w:rsidRPr="00186A43">
          <w:fldChar w:fldCharType="begin"/>
        </w:r>
        <w:r w:rsidRPr="00186A43">
          <w:instrText xml:space="preserve"> PAGE   \* MERGEFORMAT </w:instrText>
        </w:r>
        <w:r w:rsidRPr="00186A43">
          <w:fldChar w:fldCharType="separate"/>
        </w:r>
        <w:r w:rsidR="000451AA">
          <w:rPr>
            <w:noProof/>
          </w:rPr>
          <w:t>2</w:t>
        </w:r>
        <w:r w:rsidRPr="00186A43">
          <w:rPr>
            <w:noProof/>
          </w:rPr>
          <w:fldChar w:fldCharType="end"/>
        </w:r>
      </w:p>
    </w:sdtContent>
  </w:sdt>
  <w:p w14:paraId="4CDD9004" w14:textId="77777777" w:rsidR="00921456" w:rsidRPr="00186A43"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825"/>
    <w:multiLevelType w:val="hybridMultilevel"/>
    <w:tmpl w:val="9A34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962ED"/>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974E17"/>
    <w:multiLevelType w:val="hybridMultilevel"/>
    <w:tmpl w:val="0BFC282C"/>
    <w:lvl w:ilvl="0" w:tplc="FFFFFFFF">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25209"/>
    <w:multiLevelType w:val="hybridMultilevel"/>
    <w:tmpl w:val="EE44515A"/>
    <w:lvl w:ilvl="0" w:tplc="9B3CE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33315"/>
    <w:multiLevelType w:val="hybridMultilevel"/>
    <w:tmpl w:val="9E9C4AEE"/>
    <w:lvl w:ilvl="0" w:tplc="537AE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973B1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661A2A"/>
    <w:multiLevelType w:val="hybridMultilevel"/>
    <w:tmpl w:val="0BFC282C"/>
    <w:styleLink w:val="ImportedStyle1"/>
    <w:lvl w:ilvl="0" w:tplc="AE92CB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E7D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A466E8">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BAA5F7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466FD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F8AC9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A2A66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4E5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34AC3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0B859B1"/>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3A538B"/>
    <w:multiLevelType w:val="hybridMultilevel"/>
    <w:tmpl w:val="7040E2EA"/>
    <w:lvl w:ilvl="0" w:tplc="9E1651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C4F0883"/>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29A0BF3"/>
    <w:multiLevelType w:val="hybridMultilevel"/>
    <w:tmpl w:val="9CA60A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7FE4B0E"/>
    <w:multiLevelType w:val="hybridMultilevel"/>
    <w:tmpl w:val="1C44DE6A"/>
    <w:lvl w:ilvl="0" w:tplc="2DF2EE6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801487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38B5DE0"/>
    <w:multiLevelType w:val="multilevel"/>
    <w:tmpl w:val="0BFC282C"/>
    <w:numStyleLink w:val="ImportedStyle1"/>
  </w:abstractNum>
  <w:abstractNum w:abstractNumId="16">
    <w:nsid w:val="43DA3C2F"/>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5DA7651"/>
    <w:multiLevelType w:val="hybridMultilevel"/>
    <w:tmpl w:val="8236D9A2"/>
    <w:lvl w:ilvl="0" w:tplc="202CB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A53BD5"/>
    <w:multiLevelType w:val="hybridMultilevel"/>
    <w:tmpl w:val="A4A86F12"/>
    <w:lvl w:ilvl="0" w:tplc="975644B0">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8C3A45"/>
    <w:multiLevelType w:val="hybridMultilevel"/>
    <w:tmpl w:val="D3DAE798"/>
    <w:lvl w:ilvl="0" w:tplc="7C1CD4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9C320C4"/>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E16189F"/>
    <w:multiLevelType w:val="hybridMultilevel"/>
    <w:tmpl w:val="123611EC"/>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5894C11"/>
    <w:multiLevelType w:val="hybridMultilevel"/>
    <w:tmpl w:val="9A34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5EA5DBB"/>
    <w:multiLevelType w:val="hybridMultilevel"/>
    <w:tmpl w:val="58041394"/>
    <w:lvl w:ilvl="0" w:tplc="BBB80C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1A7003"/>
    <w:multiLevelType w:val="multilevel"/>
    <w:tmpl w:val="09FEC6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E9623DC"/>
    <w:multiLevelType w:val="hybridMultilevel"/>
    <w:tmpl w:val="A2DC6B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F454FD8"/>
    <w:multiLevelType w:val="hybridMultilevel"/>
    <w:tmpl w:val="055E2F52"/>
    <w:lvl w:ilvl="0" w:tplc="202CB0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0"/>
  </w:num>
  <w:num w:numId="2">
    <w:abstractNumId w:val="1"/>
  </w:num>
  <w:num w:numId="3">
    <w:abstractNumId w:val="4"/>
  </w:num>
  <w:num w:numId="4">
    <w:abstractNumId w:val="19"/>
  </w:num>
  <w:num w:numId="5">
    <w:abstractNumId w:val="18"/>
  </w:num>
  <w:num w:numId="6">
    <w:abstractNumId w:val="13"/>
  </w:num>
  <w:num w:numId="7">
    <w:abstractNumId w:val="10"/>
  </w:num>
  <w:num w:numId="8">
    <w:abstractNumId w:val="27"/>
  </w:num>
  <w:num w:numId="9">
    <w:abstractNumId w:val="12"/>
  </w:num>
  <w:num w:numId="10">
    <w:abstractNumId w:val="29"/>
  </w:num>
  <w:num w:numId="11">
    <w:abstractNumId w:val="22"/>
  </w:num>
  <w:num w:numId="12">
    <w:abstractNumId w:val="7"/>
  </w:num>
  <w:num w:numId="13">
    <w:abstractNumId w:val="17"/>
  </w:num>
  <w:num w:numId="14">
    <w:abstractNumId w:val="26"/>
  </w:num>
  <w:num w:numId="15">
    <w:abstractNumId w:val="28"/>
  </w:num>
  <w:num w:numId="16">
    <w:abstractNumId w:val="9"/>
  </w:num>
  <w:num w:numId="17">
    <w:abstractNumId w:val="8"/>
  </w:num>
  <w:num w:numId="18">
    <w:abstractNumId w:val="15"/>
  </w:num>
  <w:num w:numId="19">
    <w:abstractNumId w:val="14"/>
  </w:num>
  <w:num w:numId="20">
    <w:abstractNumId w:val="16"/>
  </w:num>
  <w:num w:numId="21">
    <w:abstractNumId w:val="6"/>
  </w:num>
  <w:num w:numId="22">
    <w:abstractNumId w:val="11"/>
  </w:num>
  <w:num w:numId="23">
    <w:abstractNumId w:val="24"/>
  </w:num>
  <w:num w:numId="24">
    <w:abstractNumId w:val="3"/>
  </w:num>
  <w:num w:numId="25">
    <w:abstractNumId w:val="21"/>
  </w:num>
  <w:num w:numId="26">
    <w:abstractNumId w:val="2"/>
  </w:num>
  <w:num w:numId="27">
    <w:abstractNumId w:val="23"/>
  </w:num>
  <w:num w:numId="28">
    <w:abstractNumId w:val="0"/>
  </w:num>
  <w:num w:numId="29">
    <w:abstractNumId w:val="2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53"/>
    <w:rsid w:val="00004108"/>
    <w:rsid w:val="0000483A"/>
    <w:rsid w:val="00004E1C"/>
    <w:rsid w:val="0001446E"/>
    <w:rsid w:val="000151DD"/>
    <w:rsid w:val="00025639"/>
    <w:rsid w:val="00025D47"/>
    <w:rsid w:val="00027317"/>
    <w:rsid w:val="00034287"/>
    <w:rsid w:val="000424AD"/>
    <w:rsid w:val="000451AA"/>
    <w:rsid w:val="000517D9"/>
    <w:rsid w:val="000519A2"/>
    <w:rsid w:val="00060136"/>
    <w:rsid w:val="000672C0"/>
    <w:rsid w:val="0007233C"/>
    <w:rsid w:val="000736B6"/>
    <w:rsid w:val="000742B3"/>
    <w:rsid w:val="000817FE"/>
    <w:rsid w:val="00093110"/>
    <w:rsid w:val="00094B6B"/>
    <w:rsid w:val="00096F9F"/>
    <w:rsid w:val="00097233"/>
    <w:rsid w:val="000A1585"/>
    <w:rsid w:val="000A193C"/>
    <w:rsid w:val="000A2C5F"/>
    <w:rsid w:val="000B2A0C"/>
    <w:rsid w:val="000B2FEC"/>
    <w:rsid w:val="000B33EE"/>
    <w:rsid w:val="000C0916"/>
    <w:rsid w:val="000C61B9"/>
    <w:rsid w:val="000C665C"/>
    <w:rsid w:val="000D0405"/>
    <w:rsid w:val="000D1FDC"/>
    <w:rsid w:val="000D2326"/>
    <w:rsid w:val="000D4D37"/>
    <w:rsid w:val="000E775F"/>
    <w:rsid w:val="000F6149"/>
    <w:rsid w:val="0010178E"/>
    <w:rsid w:val="00104BA5"/>
    <w:rsid w:val="0010758D"/>
    <w:rsid w:val="00116A1A"/>
    <w:rsid w:val="0013278F"/>
    <w:rsid w:val="00137D18"/>
    <w:rsid w:val="00142FF4"/>
    <w:rsid w:val="00143B2D"/>
    <w:rsid w:val="0014516C"/>
    <w:rsid w:val="00154A5A"/>
    <w:rsid w:val="001624C1"/>
    <w:rsid w:val="001704E1"/>
    <w:rsid w:val="001779B3"/>
    <w:rsid w:val="001844BF"/>
    <w:rsid w:val="00186A43"/>
    <w:rsid w:val="001A5C0F"/>
    <w:rsid w:val="001B0AC2"/>
    <w:rsid w:val="001B27F4"/>
    <w:rsid w:val="001C4DB1"/>
    <w:rsid w:val="001C7592"/>
    <w:rsid w:val="001D2A5E"/>
    <w:rsid w:val="001D2EAC"/>
    <w:rsid w:val="001D51E3"/>
    <w:rsid w:val="001D6B3F"/>
    <w:rsid w:val="001E267B"/>
    <w:rsid w:val="001E704F"/>
    <w:rsid w:val="001F058C"/>
    <w:rsid w:val="00202471"/>
    <w:rsid w:val="00210099"/>
    <w:rsid w:val="002120B7"/>
    <w:rsid w:val="0021222B"/>
    <w:rsid w:val="002150D0"/>
    <w:rsid w:val="002158A2"/>
    <w:rsid w:val="00222BB5"/>
    <w:rsid w:val="00225D4A"/>
    <w:rsid w:val="0023037A"/>
    <w:rsid w:val="00236038"/>
    <w:rsid w:val="00241358"/>
    <w:rsid w:val="002478E9"/>
    <w:rsid w:val="002524E6"/>
    <w:rsid w:val="00257708"/>
    <w:rsid w:val="00267876"/>
    <w:rsid w:val="00280EA1"/>
    <w:rsid w:val="002828CA"/>
    <w:rsid w:val="00284B5E"/>
    <w:rsid w:val="00287260"/>
    <w:rsid w:val="00297DDA"/>
    <w:rsid w:val="002A1B18"/>
    <w:rsid w:val="002C7062"/>
    <w:rsid w:val="002D0858"/>
    <w:rsid w:val="002D15B0"/>
    <w:rsid w:val="002D1DC3"/>
    <w:rsid w:val="002D269C"/>
    <w:rsid w:val="002D5299"/>
    <w:rsid w:val="002D6C03"/>
    <w:rsid w:val="002E66C4"/>
    <w:rsid w:val="002E779F"/>
    <w:rsid w:val="002F00E2"/>
    <w:rsid w:val="003058A9"/>
    <w:rsid w:val="00315844"/>
    <w:rsid w:val="00324AA6"/>
    <w:rsid w:val="00333FE2"/>
    <w:rsid w:val="0034027A"/>
    <w:rsid w:val="00341784"/>
    <w:rsid w:val="00342991"/>
    <w:rsid w:val="00351E67"/>
    <w:rsid w:val="00387CE2"/>
    <w:rsid w:val="00390CAF"/>
    <w:rsid w:val="0039792A"/>
    <w:rsid w:val="003B0C0D"/>
    <w:rsid w:val="003D5992"/>
    <w:rsid w:val="003E72DC"/>
    <w:rsid w:val="003E7B95"/>
    <w:rsid w:val="00402207"/>
    <w:rsid w:val="00413140"/>
    <w:rsid w:val="004144C1"/>
    <w:rsid w:val="00415ECC"/>
    <w:rsid w:val="00422E74"/>
    <w:rsid w:val="00425504"/>
    <w:rsid w:val="00430B52"/>
    <w:rsid w:val="004317EE"/>
    <w:rsid w:val="004344CE"/>
    <w:rsid w:val="00434726"/>
    <w:rsid w:val="00435A41"/>
    <w:rsid w:val="004366B2"/>
    <w:rsid w:val="00451B47"/>
    <w:rsid w:val="00456486"/>
    <w:rsid w:val="00457481"/>
    <w:rsid w:val="004754F8"/>
    <w:rsid w:val="00477431"/>
    <w:rsid w:val="00481062"/>
    <w:rsid w:val="00485708"/>
    <w:rsid w:val="004861BA"/>
    <w:rsid w:val="004871A9"/>
    <w:rsid w:val="004878D3"/>
    <w:rsid w:val="00487903"/>
    <w:rsid w:val="004907F9"/>
    <w:rsid w:val="00491EAE"/>
    <w:rsid w:val="004B2FE6"/>
    <w:rsid w:val="004B53A5"/>
    <w:rsid w:val="004F1FD3"/>
    <w:rsid w:val="00505F77"/>
    <w:rsid w:val="005078CC"/>
    <w:rsid w:val="005163E0"/>
    <w:rsid w:val="005216C7"/>
    <w:rsid w:val="00526AE0"/>
    <w:rsid w:val="00545657"/>
    <w:rsid w:val="005508CE"/>
    <w:rsid w:val="00565BB8"/>
    <w:rsid w:val="0059672C"/>
    <w:rsid w:val="005A1127"/>
    <w:rsid w:val="005A563B"/>
    <w:rsid w:val="005A6186"/>
    <w:rsid w:val="005A6CAD"/>
    <w:rsid w:val="005B6AF5"/>
    <w:rsid w:val="005C2B5B"/>
    <w:rsid w:val="005C6BBF"/>
    <w:rsid w:val="005C7CE9"/>
    <w:rsid w:val="005F15B0"/>
    <w:rsid w:val="0061062B"/>
    <w:rsid w:val="00610D63"/>
    <w:rsid w:val="00612016"/>
    <w:rsid w:val="00615C9E"/>
    <w:rsid w:val="00616F75"/>
    <w:rsid w:val="00623D17"/>
    <w:rsid w:val="0062691A"/>
    <w:rsid w:val="006336AA"/>
    <w:rsid w:val="00635F3C"/>
    <w:rsid w:val="006412F6"/>
    <w:rsid w:val="00645A84"/>
    <w:rsid w:val="00651263"/>
    <w:rsid w:val="006541D3"/>
    <w:rsid w:val="006647C4"/>
    <w:rsid w:val="00670308"/>
    <w:rsid w:val="00681908"/>
    <w:rsid w:val="0068252C"/>
    <w:rsid w:val="00690F37"/>
    <w:rsid w:val="00696D63"/>
    <w:rsid w:val="006A3ED5"/>
    <w:rsid w:val="006A70AE"/>
    <w:rsid w:val="006B1FAF"/>
    <w:rsid w:val="006D1B3B"/>
    <w:rsid w:val="006D56F0"/>
    <w:rsid w:val="006E333C"/>
    <w:rsid w:val="006F061A"/>
    <w:rsid w:val="006F0D59"/>
    <w:rsid w:val="006F4187"/>
    <w:rsid w:val="006F46F0"/>
    <w:rsid w:val="006F59B4"/>
    <w:rsid w:val="0070040A"/>
    <w:rsid w:val="00702353"/>
    <w:rsid w:val="0071150C"/>
    <w:rsid w:val="00732ACD"/>
    <w:rsid w:val="00737AB3"/>
    <w:rsid w:val="00743DD5"/>
    <w:rsid w:val="00747D74"/>
    <w:rsid w:val="00757C37"/>
    <w:rsid w:val="00761719"/>
    <w:rsid w:val="00762FA5"/>
    <w:rsid w:val="00767C2D"/>
    <w:rsid w:val="007769C4"/>
    <w:rsid w:val="0078556A"/>
    <w:rsid w:val="00785A19"/>
    <w:rsid w:val="00786210"/>
    <w:rsid w:val="007869DA"/>
    <w:rsid w:val="00790EA0"/>
    <w:rsid w:val="007A0885"/>
    <w:rsid w:val="007A1297"/>
    <w:rsid w:val="007A47D1"/>
    <w:rsid w:val="007A6C9F"/>
    <w:rsid w:val="007B3B1A"/>
    <w:rsid w:val="007C269A"/>
    <w:rsid w:val="007C332D"/>
    <w:rsid w:val="007C3A10"/>
    <w:rsid w:val="007D16A2"/>
    <w:rsid w:val="007E02B3"/>
    <w:rsid w:val="007E07B7"/>
    <w:rsid w:val="007E4920"/>
    <w:rsid w:val="0080430F"/>
    <w:rsid w:val="00806035"/>
    <w:rsid w:val="00816185"/>
    <w:rsid w:val="00827401"/>
    <w:rsid w:val="00830251"/>
    <w:rsid w:val="008305AC"/>
    <w:rsid w:val="0083558F"/>
    <w:rsid w:val="00836BD1"/>
    <w:rsid w:val="008423D7"/>
    <w:rsid w:val="00844048"/>
    <w:rsid w:val="00853FA7"/>
    <w:rsid w:val="008565EB"/>
    <w:rsid w:val="008606C6"/>
    <w:rsid w:val="00860CCB"/>
    <w:rsid w:val="00860DD8"/>
    <w:rsid w:val="008673E6"/>
    <w:rsid w:val="00892829"/>
    <w:rsid w:val="008967AD"/>
    <w:rsid w:val="008A0762"/>
    <w:rsid w:val="008A08AC"/>
    <w:rsid w:val="008A538A"/>
    <w:rsid w:val="008B5105"/>
    <w:rsid w:val="008B546C"/>
    <w:rsid w:val="008B6EAB"/>
    <w:rsid w:val="008D19DA"/>
    <w:rsid w:val="008E45D1"/>
    <w:rsid w:val="008F25A9"/>
    <w:rsid w:val="008F5DB4"/>
    <w:rsid w:val="008F6970"/>
    <w:rsid w:val="00903018"/>
    <w:rsid w:val="0091528B"/>
    <w:rsid w:val="00915353"/>
    <w:rsid w:val="00921456"/>
    <w:rsid w:val="009263CF"/>
    <w:rsid w:val="00927307"/>
    <w:rsid w:val="00932CE7"/>
    <w:rsid w:val="0093629F"/>
    <w:rsid w:val="00944F67"/>
    <w:rsid w:val="0094700D"/>
    <w:rsid w:val="00947477"/>
    <w:rsid w:val="00950801"/>
    <w:rsid w:val="009541BC"/>
    <w:rsid w:val="00955D5B"/>
    <w:rsid w:val="00960DF5"/>
    <w:rsid w:val="009709CA"/>
    <w:rsid w:val="00977B79"/>
    <w:rsid w:val="0098376D"/>
    <w:rsid w:val="00985AEF"/>
    <w:rsid w:val="009953E1"/>
    <w:rsid w:val="009A0698"/>
    <w:rsid w:val="009A546A"/>
    <w:rsid w:val="009B4064"/>
    <w:rsid w:val="009C0E21"/>
    <w:rsid w:val="009C2E53"/>
    <w:rsid w:val="009E14BF"/>
    <w:rsid w:val="009E2727"/>
    <w:rsid w:val="009E2E4C"/>
    <w:rsid w:val="009E5A4E"/>
    <w:rsid w:val="009F5E08"/>
    <w:rsid w:val="00A1092D"/>
    <w:rsid w:val="00A13E17"/>
    <w:rsid w:val="00A21FEC"/>
    <w:rsid w:val="00A23D7A"/>
    <w:rsid w:val="00A323D3"/>
    <w:rsid w:val="00A4043F"/>
    <w:rsid w:val="00A425A3"/>
    <w:rsid w:val="00A42F85"/>
    <w:rsid w:val="00A6384C"/>
    <w:rsid w:val="00A64F72"/>
    <w:rsid w:val="00A65416"/>
    <w:rsid w:val="00A67C72"/>
    <w:rsid w:val="00A71593"/>
    <w:rsid w:val="00A74743"/>
    <w:rsid w:val="00A74B21"/>
    <w:rsid w:val="00A842FE"/>
    <w:rsid w:val="00A87B0D"/>
    <w:rsid w:val="00A91A42"/>
    <w:rsid w:val="00A97F7A"/>
    <w:rsid w:val="00AA273F"/>
    <w:rsid w:val="00AA5692"/>
    <w:rsid w:val="00AA62BE"/>
    <w:rsid w:val="00AB05C3"/>
    <w:rsid w:val="00AB620F"/>
    <w:rsid w:val="00AB71DC"/>
    <w:rsid w:val="00AD0B95"/>
    <w:rsid w:val="00AD7322"/>
    <w:rsid w:val="00AE74DE"/>
    <w:rsid w:val="00AF5CB7"/>
    <w:rsid w:val="00AF6F03"/>
    <w:rsid w:val="00AF7F00"/>
    <w:rsid w:val="00B00FB8"/>
    <w:rsid w:val="00B02BBA"/>
    <w:rsid w:val="00B054C7"/>
    <w:rsid w:val="00B100A9"/>
    <w:rsid w:val="00B10272"/>
    <w:rsid w:val="00B150A5"/>
    <w:rsid w:val="00B1705C"/>
    <w:rsid w:val="00B24EBD"/>
    <w:rsid w:val="00B34271"/>
    <w:rsid w:val="00B51EC6"/>
    <w:rsid w:val="00B70021"/>
    <w:rsid w:val="00B72EF0"/>
    <w:rsid w:val="00B83D2B"/>
    <w:rsid w:val="00B86B6C"/>
    <w:rsid w:val="00B9293D"/>
    <w:rsid w:val="00B96167"/>
    <w:rsid w:val="00B977BB"/>
    <w:rsid w:val="00BA0064"/>
    <w:rsid w:val="00BA30AF"/>
    <w:rsid w:val="00BA5110"/>
    <w:rsid w:val="00BA589D"/>
    <w:rsid w:val="00BB389F"/>
    <w:rsid w:val="00BB4C55"/>
    <w:rsid w:val="00BC175B"/>
    <w:rsid w:val="00BD1D47"/>
    <w:rsid w:val="00BE2D9E"/>
    <w:rsid w:val="00BE4D00"/>
    <w:rsid w:val="00BE51C3"/>
    <w:rsid w:val="00BF01F9"/>
    <w:rsid w:val="00C03CC7"/>
    <w:rsid w:val="00C04427"/>
    <w:rsid w:val="00C07E77"/>
    <w:rsid w:val="00C110A8"/>
    <w:rsid w:val="00C132D3"/>
    <w:rsid w:val="00C268A6"/>
    <w:rsid w:val="00C27546"/>
    <w:rsid w:val="00C316EF"/>
    <w:rsid w:val="00C31E39"/>
    <w:rsid w:val="00C82668"/>
    <w:rsid w:val="00C9626D"/>
    <w:rsid w:val="00CA686A"/>
    <w:rsid w:val="00CA718B"/>
    <w:rsid w:val="00CB18E2"/>
    <w:rsid w:val="00CB34EB"/>
    <w:rsid w:val="00CC0F00"/>
    <w:rsid w:val="00CC1C2A"/>
    <w:rsid w:val="00CE7562"/>
    <w:rsid w:val="00CF2C83"/>
    <w:rsid w:val="00CF776D"/>
    <w:rsid w:val="00D16B8B"/>
    <w:rsid w:val="00D20765"/>
    <w:rsid w:val="00D27B89"/>
    <w:rsid w:val="00D3707E"/>
    <w:rsid w:val="00D40C32"/>
    <w:rsid w:val="00D40C34"/>
    <w:rsid w:val="00D41E73"/>
    <w:rsid w:val="00D54141"/>
    <w:rsid w:val="00D66539"/>
    <w:rsid w:val="00D70077"/>
    <w:rsid w:val="00D76531"/>
    <w:rsid w:val="00D824EC"/>
    <w:rsid w:val="00D9033A"/>
    <w:rsid w:val="00D9575E"/>
    <w:rsid w:val="00DA5986"/>
    <w:rsid w:val="00DB74B4"/>
    <w:rsid w:val="00DC3422"/>
    <w:rsid w:val="00DC489D"/>
    <w:rsid w:val="00DC6364"/>
    <w:rsid w:val="00DD344A"/>
    <w:rsid w:val="00DE1496"/>
    <w:rsid w:val="00DE769E"/>
    <w:rsid w:val="00DF1513"/>
    <w:rsid w:val="00E03F4F"/>
    <w:rsid w:val="00E148A8"/>
    <w:rsid w:val="00E3091C"/>
    <w:rsid w:val="00E42D42"/>
    <w:rsid w:val="00E51483"/>
    <w:rsid w:val="00E644B8"/>
    <w:rsid w:val="00E6536C"/>
    <w:rsid w:val="00E65ECF"/>
    <w:rsid w:val="00E760AC"/>
    <w:rsid w:val="00E8057B"/>
    <w:rsid w:val="00E81E4F"/>
    <w:rsid w:val="00E96C11"/>
    <w:rsid w:val="00EA38E7"/>
    <w:rsid w:val="00EA73CD"/>
    <w:rsid w:val="00EC1212"/>
    <w:rsid w:val="00ED3037"/>
    <w:rsid w:val="00ED65C4"/>
    <w:rsid w:val="00EE4094"/>
    <w:rsid w:val="00EE6EEE"/>
    <w:rsid w:val="00EF1256"/>
    <w:rsid w:val="00EF19BD"/>
    <w:rsid w:val="00EF4AE3"/>
    <w:rsid w:val="00EF5666"/>
    <w:rsid w:val="00EF706E"/>
    <w:rsid w:val="00F0028E"/>
    <w:rsid w:val="00F275ED"/>
    <w:rsid w:val="00F30215"/>
    <w:rsid w:val="00F359A1"/>
    <w:rsid w:val="00F4643D"/>
    <w:rsid w:val="00F5745F"/>
    <w:rsid w:val="00F63DB3"/>
    <w:rsid w:val="00F70E67"/>
    <w:rsid w:val="00F7230F"/>
    <w:rsid w:val="00F771BA"/>
    <w:rsid w:val="00F80FED"/>
    <w:rsid w:val="00F82631"/>
    <w:rsid w:val="00F952CA"/>
    <w:rsid w:val="00F97DB8"/>
    <w:rsid w:val="00FC026A"/>
    <w:rsid w:val="00FC28F3"/>
    <w:rsid w:val="00FD6593"/>
    <w:rsid w:val="00FD7D0D"/>
    <w:rsid w:val="00FF0593"/>
    <w:rsid w:val="00FF162B"/>
    <w:rsid w:val="00FF5579"/>
    <w:rsid w:val="00FF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2023-03-05T18:30:00+00:00</Judgment_x0020_Date>
    <Year xmlns="c1afb1bd-f2fb-40fd-9abb-aea55b4d7662">2023</Year>
  </documentManagement>
</p:properties>
</file>

<file path=customXml/itemProps1.xml><?xml version="1.0" encoding="utf-8"?>
<ds:datastoreItem xmlns:ds="http://schemas.openxmlformats.org/officeDocument/2006/customXml" ds:itemID="{DD913B27-FB48-4A28-BC1B-191BB24485BE}"/>
</file>

<file path=customXml/itemProps2.xml><?xml version="1.0" encoding="utf-8"?>
<ds:datastoreItem xmlns:ds="http://schemas.openxmlformats.org/officeDocument/2006/customXml" ds:itemID="{1B055D59-E088-4B0D-89E1-C9566BF98578}"/>
</file>

<file path=customXml/itemProps3.xml><?xml version="1.0" encoding="utf-8"?>
<ds:datastoreItem xmlns:ds="http://schemas.openxmlformats.org/officeDocument/2006/customXml" ds:itemID="{D6364800-1C12-4FAA-BA25-34E61927F4B9}"/>
</file>

<file path=customXml/itemProps4.xml><?xml version="1.0" encoding="utf-8"?>
<ds:datastoreItem xmlns:ds="http://schemas.openxmlformats.org/officeDocument/2006/customXml" ds:itemID="{67AADBA9-CA3D-4102-9439-283E7B74CBB8}"/>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Nautilus Fishing Industries (Pty) Ltd v Skeleton Coast Trawling (Pty) Ltd (HC-MD-CIV-MOT-GEN-2022/00107) [2023] NAHCMD 91 (6 March 2023)</dc:title>
  <dc:creator>Prinsloo Hannelie</dc:creator>
  <cp:lastModifiedBy>Dean-Marlo Titus</cp:lastModifiedBy>
  <cp:revision>2</cp:revision>
  <cp:lastPrinted>2023-03-06T08:48:00Z</cp:lastPrinted>
  <dcterms:created xsi:type="dcterms:W3CDTF">2023-03-06T08:51:00Z</dcterms:created>
  <dcterms:modified xsi:type="dcterms:W3CDTF">2023-03-06T08:51:00Z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