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001B7" w14:textId="77777777" w:rsidR="00DC489D" w:rsidRPr="001D6B3F" w:rsidRDefault="00DC489D" w:rsidP="007A6C9F">
      <w:pPr>
        <w:spacing w:after="0" w:line="360" w:lineRule="auto"/>
        <w:jc w:val="center"/>
        <w:rPr>
          <w:b/>
          <w:bCs/>
          <w:lang w:val="en-ZA"/>
        </w:rPr>
      </w:pPr>
      <w:r w:rsidRPr="001D6B3F">
        <w:rPr>
          <w:b/>
          <w:bCs/>
        </w:rPr>
        <w:t>REPUBLIC OF NAMIBIA</w:t>
      </w:r>
    </w:p>
    <w:p w14:paraId="4E3ECB08" w14:textId="77777777" w:rsidR="00DC489D" w:rsidRPr="001D6B3F" w:rsidRDefault="00DC489D" w:rsidP="007A6C9F">
      <w:pPr>
        <w:spacing w:after="0" w:line="360" w:lineRule="auto"/>
        <w:jc w:val="center"/>
        <w:rPr>
          <w:b/>
          <w:bCs/>
          <w:lang w:val="en-ZA"/>
        </w:rPr>
      </w:pPr>
      <w:r w:rsidRPr="001D6B3F">
        <w:rPr>
          <w:b/>
          <w:noProof/>
        </w:rPr>
        <w:drawing>
          <wp:inline distT="0" distB="0" distL="0" distR="0" wp14:anchorId="64C953EA" wp14:editId="1AA5166C">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14:paraId="34B7D46A" w14:textId="0D728EB1" w:rsidR="000519A2" w:rsidRPr="003A7A5E" w:rsidRDefault="00DC489D" w:rsidP="003A7A5E">
      <w:pPr>
        <w:spacing w:after="0" w:line="360" w:lineRule="auto"/>
        <w:jc w:val="center"/>
        <w:rPr>
          <w:lang w:val="en-ZA"/>
        </w:rPr>
      </w:pPr>
      <w:r w:rsidRPr="001D6B3F">
        <w:rPr>
          <w:b/>
          <w:bCs/>
        </w:rPr>
        <w:t>HIGH COURT OF NAMIBIA MAIN DIVISION, WINDHOEK</w:t>
      </w:r>
    </w:p>
    <w:p w14:paraId="7F99B005" w14:textId="2C81DFC7" w:rsidR="00DC489D" w:rsidRPr="003A7A5E" w:rsidRDefault="00F81DBF" w:rsidP="003A7A5E">
      <w:pPr>
        <w:spacing w:after="0" w:line="360" w:lineRule="auto"/>
        <w:jc w:val="center"/>
        <w:rPr>
          <w:b/>
        </w:rPr>
      </w:pPr>
      <w:r>
        <w:rPr>
          <w:b/>
        </w:rPr>
        <w:t>URGENT APPLICATION: REASONS</w:t>
      </w:r>
    </w:p>
    <w:tbl>
      <w:tblPr>
        <w:tblStyle w:val="TableGrid"/>
        <w:tblW w:w="10476" w:type="dxa"/>
        <w:tblInd w:w="-275" w:type="dxa"/>
        <w:tblLook w:val="04A0" w:firstRow="1" w:lastRow="0" w:firstColumn="1" w:lastColumn="0" w:noHBand="0" w:noVBand="1"/>
      </w:tblPr>
      <w:tblGrid>
        <w:gridCol w:w="4770"/>
        <w:gridCol w:w="1596"/>
        <w:gridCol w:w="4110"/>
      </w:tblGrid>
      <w:tr w:rsidR="001D6B3F" w:rsidRPr="001D6B3F" w14:paraId="641B103E" w14:textId="77777777" w:rsidTr="000517D9">
        <w:trPr>
          <w:trHeight w:val="744"/>
        </w:trPr>
        <w:tc>
          <w:tcPr>
            <w:tcW w:w="6366" w:type="dxa"/>
            <w:gridSpan w:val="2"/>
            <w:vMerge w:val="restart"/>
          </w:tcPr>
          <w:p w14:paraId="4602A288" w14:textId="241E76A2"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Case Title:</w:t>
            </w:r>
          </w:p>
          <w:p w14:paraId="6E2218D7" w14:textId="2AFF8049" w:rsidR="004F1FD3" w:rsidRPr="005163E0" w:rsidRDefault="00F81DBF" w:rsidP="007A6C9F">
            <w:pPr>
              <w:pStyle w:val="Body"/>
              <w:keepNext/>
              <w:tabs>
                <w:tab w:val="right" w:pos="9000"/>
              </w:tabs>
              <w:spacing w:line="360" w:lineRule="auto"/>
              <w:jc w:val="both"/>
              <w:outlineLvl w:val="3"/>
              <w:rPr>
                <w:rFonts w:ascii="Arial" w:hAnsi="Arial" w:cs="Arial"/>
                <w:bCs/>
                <w:color w:val="auto"/>
                <w:sz w:val="24"/>
                <w:szCs w:val="24"/>
                <w:lang w:val="en-US"/>
              </w:rPr>
            </w:pPr>
            <w:r>
              <w:rPr>
                <w:rFonts w:ascii="Arial" w:hAnsi="Arial"/>
                <w:bCs/>
                <w:color w:val="auto"/>
                <w:sz w:val="24"/>
                <w:szCs w:val="24"/>
                <w:lang w:val="en-US"/>
              </w:rPr>
              <w:t>M</w:t>
            </w:r>
            <w:r w:rsidR="003C597B">
              <w:rPr>
                <w:rFonts w:ascii="Arial" w:hAnsi="Arial"/>
                <w:bCs/>
                <w:color w:val="auto"/>
                <w:sz w:val="24"/>
                <w:szCs w:val="24"/>
                <w:lang w:val="en-US"/>
              </w:rPr>
              <w:t>TC M</w:t>
            </w:r>
            <w:r>
              <w:rPr>
                <w:rFonts w:ascii="Arial" w:hAnsi="Arial"/>
                <w:bCs/>
                <w:color w:val="auto"/>
                <w:sz w:val="24"/>
                <w:szCs w:val="24"/>
                <w:lang w:val="en-US"/>
              </w:rPr>
              <w:t>obile Telecommunications</w:t>
            </w:r>
            <w:r w:rsidR="003C597B">
              <w:rPr>
                <w:rFonts w:ascii="Arial" w:hAnsi="Arial"/>
                <w:bCs/>
                <w:color w:val="auto"/>
                <w:sz w:val="24"/>
                <w:szCs w:val="24"/>
                <w:lang w:val="en-US"/>
              </w:rPr>
              <w:t xml:space="preserve"> Ltd      </w:t>
            </w:r>
            <w:r>
              <w:rPr>
                <w:rFonts w:ascii="Arial" w:hAnsi="Arial"/>
                <w:bCs/>
                <w:color w:val="auto"/>
                <w:sz w:val="24"/>
                <w:szCs w:val="24"/>
                <w:lang w:val="en-US"/>
              </w:rPr>
              <w:t xml:space="preserve">  </w:t>
            </w:r>
            <w:r w:rsidR="003C597B">
              <w:rPr>
                <w:rFonts w:ascii="Arial" w:hAnsi="Arial"/>
                <w:bCs/>
                <w:color w:val="auto"/>
                <w:sz w:val="24"/>
                <w:szCs w:val="24"/>
                <w:lang w:val="en-US"/>
              </w:rPr>
              <w:t xml:space="preserve">          </w:t>
            </w:r>
            <w:r w:rsidR="00E03F4F">
              <w:rPr>
                <w:rFonts w:ascii="Arial" w:hAnsi="Arial"/>
                <w:bCs/>
                <w:color w:val="auto"/>
                <w:sz w:val="24"/>
                <w:szCs w:val="24"/>
                <w:lang w:val="en-US"/>
              </w:rPr>
              <w:t>Applicant</w:t>
            </w:r>
            <w:r w:rsidR="000519A2" w:rsidRPr="001D6B3F">
              <w:rPr>
                <w:rFonts w:ascii="Arial" w:hAnsi="Arial" w:cs="Arial"/>
                <w:bCs/>
                <w:color w:val="auto"/>
                <w:sz w:val="24"/>
                <w:szCs w:val="24"/>
                <w:lang w:val="en-US"/>
              </w:rPr>
              <w:t xml:space="preserve">                                                     </w:t>
            </w:r>
          </w:p>
          <w:p w14:paraId="2D1FDD5A" w14:textId="77777777" w:rsidR="004F1FD3" w:rsidRPr="001D6B3F" w:rsidRDefault="006F59B4" w:rsidP="007A6C9F">
            <w:pPr>
              <w:pStyle w:val="Body"/>
              <w:keepNext/>
              <w:tabs>
                <w:tab w:val="right" w:pos="9000"/>
              </w:tabs>
              <w:spacing w:line="360" w:lineRule="auto"/>
              <w:jc w:val="both"/>
              <w:outlineLvl w:val="3"/>
              <w:rPr>
                <w:rFonts w:ascii="Arial" w:hAnsi="Arial" w:cs="Arial"/>
                <w:bCs/>
                <w:color w:val="auto"/>
                <w:sz w:val="24"/>
                <w:szCs w:val="24"/>
                <w:lang w:val="en-US"/>
              </w:rPr>
            </w:pPr>
            <w:r w:rsidRPr="001D6B3F">
              <w:rPr>
                <w:rFonts w:ascii="Arial" w:hAnsi="Arial" w:cs="Arial"/>
                <w:bCs/>
                <w:color w:val="auto"/>
                <w:sz w:val="24"/>
                <w:szCs w:val="24"/>
                <w:lang w:val="en-US"/>
              </w:rPr>
              <w:t>and</w:t>
            </w:r>
          </w:p>
          <w:p w14:paraId="7651C42F" w14:textId="07DE3030" w:rsidR="007B3B1A" w:rsidRPr="00E03F4F" w:rsidRDefault="00F81DBF" w:rsidP="007A6C9F">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Nampower Corporation</w:t>
            </w:r>
            <w:r w:rsidR="00E03F4F">
              <w:rPr>
                <w:rFonts w:ascii="Arial" w:hAnsi="Arial"/>
                <w:bCs/>
                <w:color w:val="auto"/>
                <w:sz w:val="24"/>
                <w:szCs w:val="24"/>
                <w:lang w:val="en-US"/>
              </w:rPr>
              <w:t xml:space="preserve"> </w:t>
            </w:r>
            <w:r w:rsidR="005A3F5D">
              <w:rPr>
                <w:rFonts w:ascii="Arial" w:hAnsi="Arial"/>
                <w:bCs/>
                <w:color w:val="auto"/>
                <w:sz w:val="24"/>
                <w:szCs w:val="24"/>
                <w:lang w:val="en-US"/>
              </w:rPr>
              <w:t xml:space="preserve">(Pty) </w:t>
            </w:r>
            <w:r w:rsidR="00E03F4F">
              <w:rPr>
                <w:rFonts w:ascii="Arial" w:hAnsi="Arial"/>
                <w:bCs/>
                <w:color w:val="auto"/>
                <w:sz w:val="24"/>
                <w:szCs w:val="24"/>
                <w:lang w:val="en-US"/>
              </w:rPr>
              <w:t>L</w:t>
            </w:r>
            <w:r>
              <w:rPr>
                <w:rFonts w:ascii="Arial" w:hAnsi="Arial"/>
                <w:bCs/>
                <w:color w:val="auto"/>
                <w:sz w:val="24"/>
                <w:szCs w:val="24"/>
                <w:lang w:val="en-US"/>
              </w:rPr>
              <w:t>td</w:t>
            </w:r>
            <w:r w:rsidR="00E03F4F">
              <w:rPr>
                <w:rFonts w:ascii="Arial" w:hAnsi="Arial"/>
                <w:bCs/>
                <w:color w:val="auto"/>
                <w:sz w:val="24"/>
                <w:szCs w:val="24"/>
                <w:lang w:val="en-US"/>
              </w:rPr>
              <w:t xml:space="preserve"> </w:t>
            </w:r>
            <w:r w:rsidR="005163E0">
              <w:rPr>
                <w:rFonts w:ascii="Arial" w:hAnsi="Arial"/>
                <w:bCs/>
                <w:color w:val="auto"/>
                <w:sz w:val="24"/>
                <w:szCs w:val="24"/>
                <w:lang w:val="en-US"/>
              </w:rPr>
              <w:t xml:space="preserve">     </w:t>
            </w:r>
            <w:r w:rsidR="003C597B">
              <w:rPr>
                <w:rFonts w:ascii="Arial" w:hAnsi="Arial"/>
                <w:bCs/>
                <w:color w:val="auto"/>
                <w:sz w:val="24"/>
                <w:szCs w:val="24"/>
                <w:lang w:val="en-US"/>
              </w:rPr>
              <w:t xml:space="preserve">       </w:t>
            </w:r>
            <w:r w:rsidR="00E03F4F">
              <w:rPr>
                <w:rFonts w:ascii="Arial" w:hAnsi="Arial"/>
                <w:bCs/>
                <w:color w:val="auto"/>
                <w:sz w:val="24"/>
                <w:szCs w:val="24"/>
                <w:lang w:val="en-US"/>
              </w:rPr>
              <w:t xml:space="preserve">First Respondent </w:t>
            </w:r>
          </w:p>
          <w:p w14:paraId="6CED223D" w14:textId="6529333A" w:rsidR="00E03F4F" w:rsidRDefault="00965629" w:rsidP="007A6C9F">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Telecom</w:t>
            </w:r>
            <w:r w:rsidR="003C597B">
              <w:rPr>
                <w:rFonts w:ascii="Arial" w:hAnsi="Arial"/>
                <w:bCs/>
                <w:color w:val="auto"/>
                <w:sz w:val="24"/>
                <w:szCs w:val="24"/>
                <w:lang w:val="en-US"/>
              </w:rPr>
              <w:t xml:space="preserve"> Namibia</w:t>
            </w:r>
            <w:r>
              <w:rPr>
                <w:rFonts w:ascii="Arial" w:hAnsi="Arial"/>
                <w:bCs/>
                <w:color w:val="auto"/>
                <w:sz w:val="24"/>
                <w:szCs w:val="24"/>
                <w:lang w:val="en-US"/>
              </w:rPr>
              <w:t xml:space="preserve"> Ltd</w:t>
            </w:r>
            <w:r w:rsidR="00035208">
              <w:rPr>
                <w:rFonts w:ascii="Arial" w:hAnsi="Arial"/>
                <w:bCs/>
                <w:color w:val="auto"/>
                <w:sz w:val="24"/>
                <w:szCs w:val="24"/>
                <w:lang w:val="en-US"/>
              </w:rPr>
              <w:t xml:space="preserve">            </w:t>
            </w:r>
            <w:r w:rsidR="003C597B">
              <w:rPr>
                <w:rFonts w:ascii="Arial" w:hAnsi="Arial"/>
                <w:bCs/>
                <w:color w:val="auto"/>
                <w:sz w:val="24"/>
                <w:szCs w:val="24"/>
                <w:lang w:val="en-US"/>
              </w:rPr>
              <w:t xml:space="preserve">             </w:t>
            </w:r>
            <w:r w:rsidR="00E03F4F">
              <w:rPr>
                <w:rFonts w:ascii="Arial" w:hAnsi="Arial"/>
                <w:bCs/>
                <w:color w:val="auto"/>
                <w:sz w:val="24"/>
                <w:szCs w:val="24"/>
                <w:lang w:val="en-US"/>
              </w:rPr>
              <w:t>Second Respondent</w:t>
            </w:r>
          </w:p>
          <w:p w14:paraId="469A2F89" w14:textId="77777777" w:rsidR="003C597B" w:rsidRDefault="00035208" w:rsidP="007A6C9F">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Chairp</w:t>
            </w:r>
            <w:r w:rsidR="003C597B">
              <w:rPr>
                <w:rFonts w:ascii="Arial" w:hAnsi="Arial"/>
                <w:bCs/>
                <w:color w:val="auto"/>
                <w:sz w:val="24"/>
                <w:szCs w:val="24"/>
                <w:lang w:val="en-US"/>
              </w:rPr>
              <w:t>erson of the Communications</w:t>
            </w:r>
          </w:p>
          <w:p w14:paraId="5AD57C00" w14:textId="3FB9F2DA" w:rsidR="00E03F4F" w:rsidRDefault="003C597B" w:rsidP="007A6C9F">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Regulatory Authority of Namibia            Third Respondent</w:t>
            </w:r>
          </w:p>
          <w:p w14:paraId="70498977" w14:textId="579DF713" w:rsidR="00035208" w:rsidRDefault="00035208" w:rsidP="007A6C9F">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 xml:space="preserve">Communications Regulatory </w:t>
            </w:r>
            <w:r w:rsidR="003C597B">
              <w:rPr>
                <w:rFonts w:ascii="Arial" w:hAnsi="Arial"/>
                <w:bCs/>
                <w:color w:val="auto"/>
                <w:sz w:val="24"/>
                <w:szCs w:val="24"/>
                <w:lang w:val="en-US"/>
              </w:rPr>
              <w:t xml:space="preserve">          </w:t>
            </w:r>
          </w:p>
          <w:p w14:paraId="3A7B993E" w14:textId="78E155BA" w:rsidR="00035208" w:rsidRPr="001D6B3F" w:rsidRDefault="00035208" w:rsidP="003C597B">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 xml:space="preserve">Authority of Namibia                     </w:t>
            </w:r>
            <w:r w:rsidR="003C597B">
              <w:rPr>
                <w:rFonts w:ascii="Arial" w:hAnsi="Arial"/>
                <w:bCs/>
                <w:color w:val="auto"/>
                <w:sz w:val="24"/>
                <w:szCs w:val="24"/>
                <w:lang w:val="en-US"/>
              </w:rPr>
              <w:t xml:space="preserve">        </w:t>
            </w:r>
            <w:r>
              <w:rPr>
                <w:rFonts w:ascii="Arial" w:hAnsi="Arial"/>
                <w:bCs/>
                <w:color w:val="auto"/>
                <w:sz w:val="24"/>
                <w:szCs w:val="24"/>
                <w:lang w:val="en-US"/>
              </w:rPr>
              <w:t>Fourth Respondent</w:t>
            </w:r>
          </w:p>
        </w:tc>
        <w:tc>
          <w:tcPr>
            <w:tcW w:w="4110" w:type="dxa"/>
          </w:tcPr>
          <w:p w14:paraId="32B2A74E"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Case No:</w:t>
            </w:r>
          </w:p>
          <w:p w14:paraId="0AC935A1" w14:textId="19F28BEC" w:rsidR="009C2E53" w:rsidRPr="001D6B3F" w:rsidRDefault="000519A2" w:rsidP="007A6C9F">
            <w:pPr>
              <w:spacing w:line="360" w:lineRule="auto"/>
              <w:jc w:val="both"/>
              <w:rPr>
                <w:rFonts w:ascii="Arial" w:hAnsi="Arial" w:cs="Arial"/>
                <w:b/>
                <w:sz w:val="24"/>
                <w:szCs w:val="24"/>
              </w:rPr>
            </w:pPr>
            <w:r w:rsidRPr="001D6B3F">
              <w:rPr>
                <w:rFonts w:ascii="Arial" w:eastAsia="Arial" w:hAnsi="Arial" w:cs="Arial"/>
                <w:sz w:val="24"/>
                <w:szCs w:val="24"/>
                <w:lang w:val="en-US"/>
              </w:rPr>
              <w:t>HC-MD-CIV-</w:t>
            </w:r>
            <w:r w:rsidR="0000483A">
              <w:rPr>
                <w:rFonts w:ascii="Arial" w:eastAsia="Arial" w:hAnsi="Arial" w:cs="Arial"/>
                <w:sz w:val="24"/>
                <w:szCs w:val="24"/>
                <w:lang w:val="en-US"/>
              </w:rPr>
              <w:t>MOT</w:t>
            </w:r>
            <w:r w:rsidRPr="001D6B3F">
              <w:rPr>
                <w:rFonts w:ascii="Arial" w:eastAsia="Arial" w:hAnsi="Arial" w:cs="Arial"/>
                <w:sz w:val="24"/>
                <w:szCs w:val="24"/>
                <w:lang w:val="en-US"/>
              </w:rPr>
              <w:t>-</w:t>
            </w:r>
            <w:r w:rsidR="0000483A">
              <w:rPr>
                <w:rFonts w:ascii="Arial" w:eastAsia="Arial" w:hAnsi="Arial" w:cs="Arial"/>
                <w:sz w:val="24"/>
                <w:szCs w:val="24"/>
                <w:lang w:val="en-US"/>
              </w:rPr>
              <w:t>GEN</w:t>
            </w:r>
            <w:r w:rsidRPr="001D6B3F">
              <w:rPr>
                <w:rFonts w:ascii="Arial" w:eastAsia="Arial" w:hAnsi="Arial" w:cs="Arial"/>
                <w:sz w:val="24"/>
                <w:szCs w:val="24"/>
                <w:lang w:val="en-US"/>
              </w:rPr>
              <w:t>-20</w:t>
            </w:r>
            <w:r w:rsidR="0000483A">
              <w:rPr>
                <w:rFonts w:ascii="Arial" w:eastAsia="Arial" w:hAnsi="Arial" w:cs="Arial"/>
                <w:sz w:val="24"/>
                <w:szCs w:val="24"/>
                <w:lang w:val="en-US"/>
              </w:rPr>
              <w:t>2</w:t>
            </w:r>
            <w:r w:rsidR="00F81DBF">
              <w:rPr>
                <w:rFonts w:ascii="Arial" w:eastAsia="Arial" w:hAnsi="Arial" w:cs="Arial"/>
                <w:sz w:val="24"/>
                <w:szCs w:val="24"/>
                <w:lang w:val="en-US"/>
              </w:rPr>
              <w:t>3</w:t>
            </w:r>
            <w:r w:rsidRPr="001D6B3F">
              <w:rPr>
                <w:rFonts w:ascii="Arial" w:eastAsia="Arial" w:hAnsi="Arial" w:cs="Arial"/>
                <w:sz w:val="24"/>
                <w:szCs w:val="24"/>
                <w:lang w:val="en-US"/>
              </w:rPr>
              <w:t>/00</w:t>
            </w:r>
            <w:r w:rsidR="00F81DBF">
              <w:rPr>
                <w:rFonts w:ascii="Arial" w:eastAsia="Arial" w:hAnsi="Arial" w:cs="Arial"/>
                <w:sz w:val="24"/>
                <w:szCs w:val="24"/>
                <w:lang w:val="en-US"/>
              </w:rPr>
              <w:t>078</w:t>
            </w:r>
          </w:p>
        </w:tc>
      </w:tr>
      <w:tr w:rsidR="001D6B3F" w:rsidRPr="001D6B3F" w14:paraId="60B08CD8" w14:textId="77777777" w:rsidTr="000517D9">
        <w:trPr>
          <w:trHeight w:val="794"/>
        </w:trPr>
        <w:tc>
          <w:tcPr>
            <w:tcW w:w="6366" w:type="dxa"/>
            <w:gridSpan w:val="2"/>
            <w:vMerge/>
          </w:tcPr>
          <w:p w14:paraId="7D4B018C" w14:textId="77777777" w:rsidR="009C2E53" w:rsidRPr="001D6B3F" w:rsidRDefault="009C2E53" w:rsidP="007A6C9F">
            <w:pPr>
              <w:spacing w:line="360" w:lineRule="auto"/>
              <w:jc w:val="both"/>
              <w:rPr>
                <w:rFonts w:ascii="Arial" w:hAnsi="Arial" w:cs="Arial"/>
                <w:sz w:val="24"/>
                <w:szCs w:val="24"/>
              </w:rPr>
            </w:pPr>
          </w:p>
        </w:tc>
        <w:tc>
          <w:tcPr>
            <w:tcW w:w="4110" w:type="dxa"/>
          </w:tcPr>
          <w:p w14:paraId="41874EB2"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Division of Court:</w:t>
            </w:r>
          </w:p>
          <w:p w14:paraId="7EE2DFCC" w14:textId="77777777" w:rsidR="009C2E53" w:rsidRPr="001D6B3F" w:rsidRDefault="005C2B5B" w:rsidP="007A6C9F">
            <w:pPr>
              <w:spacing w:line="360" w:lineRule="auto"/>
              <w:jc w:val="both"/>
              <w:rPr>
                <w:rFonts w:ascii="Arial" w:hAnsi="Arial" w:cs="Arial"/>
                <w:sz w:val="24"/>
                <w:szCs w:val="24"/>
              </w:rPr>
            </w:pPr>
            <w:r w:rsidRPr="001D6B3F">
              <w:rPr>
                <w:rFonts w:ascii="Arial" w:hAnsi="Arial" w:cs="Arial"/>
                <w:sz w:val="24"/>
                <w:szCs w:val="24"/>
              </w:rPr>
              <w:t>High Court, Main Division</w:t>
            </w:r>
          </w:p>
        </w:tc>
      </w:tr>
      <w:tr w:rsidR="001D6B3F" w:rsidRPr="001D6B3F" w14:paraId="4F87EA28" w14:textId="77777777" w:rsidTr="000517D9">
        <w:trPr>
          <w:trHeight w:val="645"/>
        </w:trPr>
        <w:tc>
          <w:tcPr>
            <w:tcW w:w="6366" w:type="dxa"/>
            <w:gridSpan w:val="2"/>
            <w:vMerge w:val="restart"/>
          </w:tcPr>
          <w:p w14:paraId="70181E7F" w14:textId="77777777" w:rsidR="009C2E53" w:rsidRPr="001D6B3F" w:rsidRDefault="005C2B5B" w:rsidP="007A6C9F">
            <w:pPr>
              <w:spacing w:line="360" w:lineRule="auto"/>
              <w:jc w:val="both"/>
              <w:rPr>
                <w:rFonts w:ascii="Arial" w:hAnsi="Arial" w:cs="Arial"/>
                <w:b/>
                <w:sz w:val="24"/>
                <w:szCs w:val="24"/>
              </w:rPr>
            </w:pPr>
            <w:r w:rsidRPr="001D6B3F">
              <w:rPr>
                <w:rFonts w:ascii="Arial" w:hAnsi="Arial" w:cs="Arial"/>
                <w:b/>
                <w:sz w:val="24"/>
                <w:szCs w:val="24"/>
              </w:rPr>
              <w:t>Coram</w:t>
            </w:r>
            <w:r w:rsidR="009C2E53" w:rsidRPr="001D6B3F">
              <w:rPr>
                <w:rFonts w:ascii="Arial" w:hAnsi="Arial" w:cs="Arial"/>
                <w:b/>
                <w:sz w:val="24"/>
                <w:szCs w:val="24"/>
              </w:rPr>
              <w:t>:</w:t>
            </w:r>
          </w:p>
          <w:p w14:paraId="6856DAC8" w14:textId="71DAD9A3" w:rsidR="009C2E53" w:rsidRPr="001D6B3F" w:rsidRDefault="00965629" w:rsidP="007A6C9F">
            <w:pPr>
              <w:spacing w:line="360" w:lineRule="auto"/>
              <w:jc w:val="both"/>
              <w:rPr>
                <w:rFonts w:ascii="Arial" w:hAnsi="Arial" w:cs="Arial"/>
                <w:sz w:val="24"/>
                <w:szCs w:val="24"/>
              </w:rPr>
            </w:pPr>
            <w:r>
              <w:rPr>
                <w:rFonts w:ascii="Arial" w:hAnsi="Arial" w:cs="Arial"/>
                <w:sz w:val="24"/>
                <w:szCs w:val="24"/>
                <w:lang w:val="en-US"/>
              </w:rPr>
              <w:t>The Honourable Justice Coleman</w:t>
            </w:r>
          </w:p>
        </w:tc>
        <w:tc>
          <w:tcPr>
            <w:tcW w:w="4110" w:type="dxa"/>
          </w:tcPr>
          <w:p w14:paraId="6714132E" w14:textId="77777777" w:rsidR="009C2E53" w:rsidRPr="001D6B3F" w:rsidRDefault="00827401" w:rsidP="007A6C9F">
            <w:pPr>
              <w:spacing w:line="360" w:lineRule="auto"/>
              <w:jc w:val="both"/>
              <w:rPr>
                <w:rFonts w:ascii="Arial" w:hAnsi="Arial" w:cs="Arial"/>
                <w:b/>
                <w:sz w:val="24"/>
                <w:szCs w:val="24"/>
              </w:rPr>
            </w:pPr>
            <w:r w:rsidRPr="001D6B3F">
              <w:rPr>
                <w:rFonts w:ascii="Arial" w:hAnsi="Arial" w:cs="Arial"/>
                <w:b/>
                <w:sz w:val="24"/>
                <w:szCs w:val="24"/>
              </w:rPr>
              <w:t>Heard</w:t>
            </w:r>
            <w:r w:rsidR="009C2E53" w:rsidRPr="001D6B3F">
              <w:rPr>
                <w:rFonts w:ascii="Arial" w:hAnsi="Arial" w:cs="Arial"/>
                <w:b/>
                <w:sz w:val="24"/>
                <w:szCs w:val="24"/>
              </w:rPr>
              <w:t>:</w:t>
            </w:r>
          </w:p>
          <w:p w14:paraId="0830B477" w14:textId="6CCB0CD5" w:rsidR="009C2E53" w:rsidRPr="001D6B3F" w:rsidRDefault="00F81DBF" w:rsidP="007A6C9F">
            <w:pPr>
              <w:spacing w:line="360" w:lineRule="auto"/>
              <w:rPr>
                <w:rFonts w:ascii="Arial" w:hAnsi="Arial" w:cs="Arial"/>
                <w:sz w:val="24"/>
                <w:szCs w:val="24"/>
              </w:rPr>
            </w:pPr>
            <w:r>
              <w:rPr>
                <w:rFonts w:ascii="Arial" w:hAnsi="Arial"/>
                <w:bCs/>
                <w:sz w:val="24"/>
                <w:szCs w:val="24"/>
                <w:lang w:val="en-US"/>
              </w:rPr>
              <w:t>28</w:t>
            </w:r>
            <w:r w:rsidR="00827401" w:rsidRPr="001D6B3F">
              <w:rPr>
                <w:rFonts w:ascii="Arial" w:hAnsi="Arial"/>
                <w:bCs/>
                <w:sz w:val="24"/>
                <w:szCs w:val="24"/>
                <w:lang w:val="en-US"/>
              </w:rPr>
              <w:t xml:space="preserve"> </w:t>
            </w:r>
            <w:r w:rsidR="0000483A">
              <w:rPr>
                <w:rFonts w:ascii="Arial" w:hAnsi="Arial"/>
                <w:bCs/>
                <w:sz w:val="24"/>
                <w:szCs w:val="24"/>
                <w:lang w:val="en-US"/>
              </w:rPr>
              <w:t>February</w:t>
            </w:r>
            <w:r w:rsidR="000519A2" w:rsidRPr="001D6B3F">
              <w:rPr>
                <w:rFonts w:ascii="Arial" w:hAnsi="Arial"/>
                <w:bCs/>
                <w:sz w:val="24"/>
                <w:szCs w:val="24"/>
                <w:lang w:val="en-US"/>
              </w:rPr>
              <w:t xml:space="preserve"> </w:t>
            </w:r>
            <w:r w:rsidR="00827401" w:rsidRPr="001D6B3F">
              <w:rPr>
                <w:rFonts w:ascii="Arial" w:hAnsi="Arial"/>
                <w:bCs/>
                <w:sz w:val="24"/>
                <w:szCs w:val="24"/>
                <w:lang w:val="en-US"/>
              </w:rPr>
              <w:t>202</w:t>
            </w:r>
            <w:r w:rsidR="0000483A">
              <w:rPr>
                <w:rFonts w:ascii="Arial" w:hAnsi="Arial"/>
                <w:bCs/>
                <w:sz w:val="24"/>
                <w:szCs w:val="24"/>
                <w:lang w:val="en-US"/>
              </w:rPr>
              <w:t>3</w:t>
            </w:r>
          </w:p>
        </w:tc>
      </w:tr>
      <w:tr w:rsidR="001D6B3F" w:rsidRPr="001D6B3F" w14:paraId="3DB3B0AC" w14:textId="77777777" w:rsidTr="000517D9">
        <w:trPr>
          <w:trHeight w:val="588"/>
        </w:trPr>
        <w:tc>
          <w:tcPr>
            <w:tcW w:w="6366" w:type="dxa"/>
            <w:gridSpan w:val="2"/>
            <w:vMerge/>
          </w:tcPr>
          <w:p w14:paraId="2C2EF1D3" w14:textId="77777777" w:rsidR="009C2E53" w:rsidRPr="001D6B3F" w:rsidRDefault="009C2E53" w:rsidP="007A6C9F">
            <w:pPr>
              <w:spacing w:line="360" w:lineRule="auto"/>
              <w:jc w:val="both"/>
              <w:rPr>
                <w:rFonts w:ascii="Arial" w:hAnsi="Arial" w:cs="Arial"/>
                <w:b/>
                <w:sz w:val="24"/>
                <w:szCs w:val="24"/>
              </w:rPr>
            </w:pPr>
          </w:p>
        </w:tc>
        <w:tc>
          <w:tcPr>
            <w:tcW w:w="4110" w:type="dxa"/>
          </w:tcPr>
          <w:p w14:paraId="1FFFF7B5" w14:textId="06E587AE" w:rsidR="00EF5666" w:rsidRPr="001D6B3F" w:rsidRDefault="0098094D" w:rsidP="007A6C9F">
            <w:pPr>
              <w:spacing w:line="360" w:lineRule="auto"/>
              <w:jc w:val="both"/>
              <w:rPr>
                <w:rFonts w:ascii="Arial" w:hAnsi="Arial" w:cs="Arial"/>
                <w:b/>
                <w:sz w:val="24"/>
                <w:szCs w:val="24"/>
              </w:rPr>
            </w:pPr>
            <w:r>
              <w:rPr>
                <w:rFonts w:ascii="Arial" w:hAnsi="Arial" w:cs="Arial"/>
                <w:b/>
                <w:sz w:val="24"/>
                <w:szCs w:val="24"/>
              </w:rPr>
              <w:t>Order</w:t>
            </w:r>
            <w:r w:rsidR="00C070C1">
              <w:rPr>
                <w:rFonts w:ascii="Arial" w:hAnsi="Arial" w:cs="Arial"/>
                <w:b/>
                <w:sz w:val="24"/>
                <w:szCs w:val="24"/>
              </w:rPr>
              <w:t xml:space="preserve"> made</w:t>
            </w:r>
            <w:r w:rsidR="006A3ED5" w:rsidRPr="001D6B3F">
              <w:rPr>
                <w:rFonts w:ascii="Arial" w:hAnsi="Arial" w:cs="Arial"/>
                <w:b/>
                <w:sz w:val="24"/>
                <w:szCs w:val="24"/>
              </w:rPr>
              <w:t>:</w:t>
            </w:r>
          </w:p>
          <w:p w14:paraId="3766A584" w14:textId="77777777" w:rsidR="00CC0F00" w:rsidRDefault="0098094D" w:rsidP="007A6C9F">
            <w:pPr>
              <w:spacing w:line="360" w:lineRule="auto"/>
              <w:jc w:val="both"/>
              <w:rPr>
                <w:rFonts w:ascii="Arial" w:hAnsi="Arial"/>
                <w:bCs/>
                <w:sz w:val="24"/>
                <w:szCs w:val="24"/>
                <w:lang w:val="en-US"/>
              </w:rPr>
            </w:pPr>
            <w:r>
              <w:rPr>
                <w:rFonts w:ascii="Arial" w:hAnsi="Arial"/>
                <w:bCs/>
                <w:sz w:val="24"/>
                <w:szCs w:val="24"/>
                <w:lang w:val="en-US"/>
              </w:rPr>
              <w:t>28 February</w:t>
            </w:r>
            <w:r w:rsidR="005163E0">
              <w:rPr>
                <w:rFonts w:ascii="Arial" w:hAnsi="Arial"/>
                <w:bCs/>
                <w:sz w:val="24"/>
                <w:szCs w:val="24"/>
                <w:lang w:val="en-US"/>
              </w:rPr>
              <w:t xml:space="preserve"> 202</w:t>
            </w:r>
            <w:r w:rsidR="000517D9">
              <w:rPr>
                <w:rFonts w:ascii="Arial" w:hAnsi="Arial"/>
                <w:bCs/>
                <w:sz w:val="24"/>
                <w:szCs w:val="24"/>
                <w:lang w:val="en-US"/>
              </w:rPr>
              <w:t>3</w:t>
            </w:r>
          </w:p>
          <w:p w14:paraId="578717DE" w14:textId="77777777" w:rsidR="00965629" w:rsidRDefault="00965629" w:rsidP="007A6C9F">
            <w:pPr>
              <w:spacing w:line="360" w:lineRule="auto"/>
              <w:jc w:val="both"/>
              <w:rPr>
                <w:rFonts w:ascii="Arial" w:hAnsi="Arial"/>
                <w:b/>
                <w:bCs/>
                <w:sz w:val="24"/>
                <w:szCs w:val="24"/>
                <w:lang w:val="en-US"/>
              </w:rPr>
            </w:pPr>
            <w:r>
              <w:rPr>
                <w:rFonts w:ascii="Arial" w:hAnsi="Arial"/>
                <w:b/>
                <w:bCs/>
                <w:sz w:val="24"/>
                <w:szCs w:val="24"/>
                <w:lang w:val="en-US"/>
              </w:rPr>
              <w:t>Reasons:</w:t>
            </w:r>
          </w:p>
          <w:p w14:paraId="0A7821C1" w14:textId="656CE6A5" w:rsidR="00965629" w:rsidRPr="00965629" w:rsidRDefault="00965629" w:rsidP="007A6C9F">
            <w:pPr>
              <w:spacing w:line="360" w:lineRule="auto"/>
              <w:jc w:val="both"/>
              <w:rPr>
                <w:rFonts w:ascii="Arial" w:hAnsi="Arial"/>
                <w:bCs/>
                <w:sz w:val="24"/>
                <w:szCs w:val="24"/>
                <w:lang w:val="en-US"/>
              </w:rPr>
            </w:pPr>
            <w:r>
              <w:rPr>
                <w:rFonts w:ascii="Arial" w:hAnsi="Arial"/>
                <w:bCs/>
                <w:sz w:val="24"/>
                <w:szCs w:val="24"/>
                <w:lang w:val="en-US"/>
              </w:rPr>
              <w:t>6 March 2023</w:t>
            </w:r>
          </w:p>
        </w:tc>
      </w:tr>
      <w:tr w:rsidR="001D6B3F" w:rsidRPr="001D6B3F" w14:paraId="1BD5D522" w14:textId="77777777" w:rsidTr="00004108">
        <w:trPr>
          <w:trHeight w:val="710"/>
        </w:trPr>
        <w:tc>
          <w:tcPr>
            <w:tcW w:w="10476" w:type="dxa"/>
            <w:gridSpan w:val="3"/>
          </w:tcPr>
          <w:p w14:paraId="60D6998F" w14:textId="5C3B4151" w:rsidR="003C597B" w:rsidRDefault="009C2E53" w:rsidP="00965629">
            <w:pPr>
              <w:spacing w:line="360" w:lineRule="auto"/>
              <w:jc w:val="both"/>
              <w:rPr>
                <w:rFonts w:ascii="Arial" w:hAnsi="Arial"/>
                <w:bCs/>
                <w:i/>
                <w:iCs/>
                <w:sz w:val="24"/>
                <w:szCs w:val="24"/>
              </w:rPr>
            </w:pPr>
            <w:r w:rsidRPr="001D6B3F">
              <w:rPr>
                <w:rFonts w:ascii="Arial" w:hAnsi="Arial" w:cs="Arial"/>
                <w:b/>
                <w:sz w:val="24"/>
                <w:szCs w:val="24"/>
              </w:rPr>
              <w:t>Neutral citation:</w:t>
            </w:r>
            <w:r w:rsidR="00827401" w:rsidRPr="001D6B3F">
              <w:rPr>
                <w:rFonts w:ascii="Arial" w:hAnsi="Arial" w:cs="Arial"/>
                <w:b/>
                <w:sz w:val="24"/>
                <w:szCs w:val="24"/>
              </w:rPr>
              <w:t xml:space="preserve"> </w:t>
            </w:r>
            <w:r w:rsidR="000517D9">
              <w:rPr>
                <w:rFonts w:ascii="Arial" w:hAnsi="Arial"/>
                <w:b/>
                <w:sz w:val="24"/>
                <w:szCs w:val="24"/>
              </w:rPr>
              <w:t xml:space="preserve"> </w:t>
            </w:r>
            <w:r w:rsidR="003C597B">
              <w:rPr>
                <w:rFonts w:ascii="Arial" w:hAnsi="Arial"/>
                <w:b/>
                <w:sz w:val="24"/>
                <w:szCs w:val="24"/>
              </w:rPr>
              <w:t xml:space="preserve">  </w:t>
            </w:r>
            <w:bookmarkStart w:id="0" w:name="_GoBack"/>
            <w:r w:rsidR="00965629">
              <w:rPr>
                <w:rFonts w:ascii="Arial" w:hAnsi="Arial"/>
                <w:bCs/>
                <w:i/>
                <w:iCs/>
                <w:sz w:val="24"/>
                <w:szCs w:val="24"/>
              </w:rPr>
              <w:t>M</w:t>
            </w:r>
            <w:r w:rsidR="003C597B">
              <w:rPr>
                <w:rFonts w:ascii="Arial" w:hAnsi="Arial"/>
                <w:bCs/>
                <w:i/>
                <w:iCs/>
                <w:sz w:val="24"/>
                <w:szCs w:val="24"/>
              </w:rPr>
              <w:t>TC M</w:t>
            </w:r>
            <w:r w:rsidR="00965629">
              <w:rPr>
                <w:rFonts w:ascii="Arial" w:hAnsi="Arial"/>
                <w:bCs/>
                <w:i/>
                <w:iCs/>
                <w:sz w:val="24"/>
                <w:szCs w:val="24"/>
              </w:rPr>
              <w:t>obile Telecommunications Ltd v Nam</w:t>
            </w:r>
            <w:r w:rsidR="003C597B">
              <w:rPr>
                <w:rFonts w:ascii="Arial" w:hAnsi="Arial"/>
                <w:bCs/>
                <w:i/>
                <w:iCs/>
                <w:sz w:val="24"/>
                <w:szCs w:val="24"/>
              </w:rPr>
              <w:t>power Corporation (Pty) Ltd and</w:t>
            </w:r>
          </w:p>
          <w:p w14:paraId="093D2FE1" w14:textId="26BC5A41" w:rsidR="003C597B" w:rsidRDefault="003C597B" w:rsidP="00965629">
            <w:pPr>
              <w:spacing w:line="360" w:lineRule="auto"/>
              <w:jc w:val="both"/>
              <w:rPr>
                <w:rFonts w:ascii="Arial" w:hAnsi="Arial"/>
                <w:bCs/>
                <w:iCs/>
                <w:sz w:val="24"/>
                <w:szCs w:val="24"/>
                <w:lang w:val="en-US"/>
              </w:rPr>
            </w:pPr>
            <w:r>
              <w:rPr>
                <w:rFonts w:ascii="Arial" w:hAnsi="Arial"/>
                <w:bCs/>
                <w:i/>
                <w:iCs/>
                <w:sz w:val="24"/>
                <w:szCs w:val="24"/>
              </w:rPr>
              <w:t xml:space="preserve">                               O</w:t>
            </w:r>
            <w:r w:rsidR="00965629">
              <w:rPr>
                <w:rFonts w:ascii="Arial" w:hAnsi="Arial"/>
                <w:bCs/>
                <w:i/>
                <w:iCs/>
                <w:sz w:val="24"/>
                <w:szCs w:val="24"/>
              </w:rPr>
              <w:t>thers</w:t>
            </w:r>
            <w:r>
              <w:rPr>
                <w:rFonts w:ascii="Arial" w:hAnsi="Arial"/>
                <w:bCs/>
                <w:i/>
                <w:iCs/>
                <w:sz w:val="24"/>
                <w:szCs w:val="24"/>
              </w:rPr>
              <w:t xml:space="preserve"> </w:t>
            </w:r>
            <w:r w:rsidR="00965629">
              <w:rPr>
                <w:rFonts w:ascii="Arial" w:hAnsi="Arial"/>
                <w:bCs/>
                <w:iCs/>
                <w:sz w:val="24"/>
                <w:szCs w:val="24"/>
              </w:rPr>
              <w:t>(</w:t>
            </w:r>
            <w:r w:rsidR="00965629">
              <w:rPr>
                <w:rFonts w:ascii="Arial" w:eastAsia="Arial" w:hAnsi="Arial" w:cs="Arial"/>
                <w:sz w:val="24"/>
                <w:szCs w:val="24"/>
                <w:lang w:val="en-US"/>
              </w:rPr>
              <w:t>HC-MD-CIV-MOT-GEN-2023/00078</w:t>
            </w:r>
            <w:r w:rsidR="00965629">
              <w:rPr>
                <w:rFonts w:ascii="Arial" w:eastAsia="Arial" w:hAnsi="Arial" w:cs="Arial"/>
                <w:sz w:val="24"/>
                <w:szCs w:val="24"/>
              </w:rPr>
              <w:t>)</w:t>
            </w:r>
            <w:r w:rsidR="00965629" w:rsidRPr="001D6B3F">
              <w:rPr>
                <w:rFonts w:ascii="Arial" w:hAnsi="Arial"/>
                <w:bCs/>
                <w:iCs/>
                <w:sz w:val="24"/>
                <w:szCs w:val="24"/>
                <w:lang w:val="en-US"/>
              </w:rPr>
              <w:t xml:space="preserve"> [202</w:t>
            </w:r>
            <w:r w:rsidR="00965629">
              <w:rPr>
                <w:rFonts w:ascii="Arial" w:hAnsi="Arial"/>
                <w:bCs/>
                <w:iCs/>
                <w:sz w:val="24"/>
                <w:szCs w:val="24"/>
                <w:lang w:val="en-US"/>
              </w:rPr>
              <w:t>3</w:t>
            </w:r>
            <w:r w:rsidR="003A7A5E">
              <w:rPr>
                <w:rFonts w:ascii="Arial" w:hAnsi="Arial"/>
                <w:bCs/>
                <w:iCs/>
                <w:sz w:val="24"/>
                <w:szCs w:val="24"/>
                <w:lang w:val="en-US"/>
              </w:rPr>
              <w:t>] NAHCMD 92</w:t>
            </w:r>
            <w:r>
              <w:rPr>
                <w:rFonts w:ascii="Arial" w:hAnsi="Arial"/>
                <w:bCs/>
                <w:iCs/>
                <w:sz w:val="24"/>
                <w:szCs w:val="24"/>
                <w:lang w:val="en-US"/>
              </w:rPr>
              <w:t xml:space="preserve"> </w:t>
            </w:r>
            <w:r w:rsidR="00965629" w:rsidRPr="001D6B3F">
              <w:rPr>
                <w:rFonts w:ascii="Arial" w:hAnsi="Arial"/>
                <w:bCs/>
                <w:iCs/>
                <w:sz w:val="24"/>
                <w:szCs w:val="24"/>
                <w:lang w:val="en-US"/>
              </w:rPr>
              <w:t>(</w:t>
            </w:r>
            <w:r w:rsidR="00965629">
              <w:rPr>
                <w:rFonts w:ascii="Arial" w:hAnsi="Arial"/>
                <w:bCs/>
                <w:iCs/>
                <w:sz w:val="24"/>
                <w:szCs w:val="24"/>
              </w:rPr>
              <w:t>6</w:t>
            </w:r>
            <w:r w:rsidR="00965629" w:rsidRPr="001D6B3F">
              <w:rPr>
                <w:rFonts w:ascii="Arial" w:hAnsi="Arial"/>
                <w:bCs/>
                <w:iCs/>
                <w:sz w:val="24"/>
                <w:szCs w:val="24"/>
                <w:lang w:val="en-US"/>
              </w:rPr>
              <w:t xml:space="preserve"> </w:t>
            </w:r>
            <w:r w:rsidR="00965629">
              <w:rPr>
                <w:rFonts w:ascii="Arial" w:hAnsi="Arial"/>
                <w:bCs/>
                <w:iCs/>
                <w:sz w:val="24"/>
                <w:szCs w:val="24"/>
                <w:lang w:val="en-US"/>
              </w:rPr>
              <w:t>March</w:t>
            </w:r>
          </w:p>
          <w:p w14:paraId="318D7BDF" w14:textId="5C0F9277" w:rsidR="009C2E53" w:rsidRPr="003C597B" w:rsidRDefault="003C597B" w:rsidP="00965629">
            <w:pPr>
              <w:spacing w:line="360" w:lineRule="auto"/>
              <w:jc w:val="both"/>
              <w:rPr>
                <w:rFonts w:ascii="Arial" w:hAnsi="Arial"/>
                <w:bCs/>
                <w:iCs/>
                <w:sz w:val="24"/>
                <w:szCs w:val="24"/>
                <w:lang w:val="en-US"/>
              </w:rPr>
            </w:pPr>
            <w:r>
              <w:rPr>
                <w:rFonts w:ascii="Arial" w:hAnsi="Arial"/>
                <w:bCs/>
                <w:iCs/>
                <w:sz w:val="24"/>
                <w:szCs w:val="24"/>
                <w:lang w:val="en-US"/>
              </w:rPr>
              <w:t xml:space="preserve">                               </w:t>
            </w:r>
            <w:r w:rsidR="00965629" w:rsidRPr="001D6B3F">
              <w:rPr>
                <w:rFonts w:ascii="Arial" w:hAnsi="Arial"/>
                <w:bCs/>
                <w:iCs/>
                <w:sz w:val="24"/>
                <w:szCs w:val="24"/>
                <w:lang w:val="en-US"/>
              </w:rPr>
              <w:t>202</w:t>
            </w:r>
            <w:r w:rsidR="00965629">
              <w:rPr>
                <w:rFonts w:ascii="Arial" w:hAnsi="Arial"/>
                <w:bCs/>
                <w:iCs/>
                <w:sz w:val="24"/>
                <w:szCs w:val="24"/>
                <w:lang w:val="en-US"/>
              </w:rPr>
              <w:t>3</w:t>
            </w:r>
            <w:r w:rsidR="00965629" w:rsidRPr="001D6B3F">
              <w:rPr>
                <w:rFonts w:ascii="Arial" w:hAnsi="Arial"/>
                <w:bCs/>
                <w:iCs/>
                <w:sz w:val="24"/>
                <w:szCs w:val="24"/>
                <w:lang w:val="en-US"/>
              </w:rPr>
              <w:t>)</w:t>
            </w:r>
            <w:bookmarkEnd w:id="0"/>
          </w:p>
        </w:tc>
      </w:tr>
      <w:tr w:rsidR="001D6B3F" w:rsidRPr="001D6B3F" w14:paraId="542E1039" w14:textId="77777777" w:rsidTr="00004108">
        <w:tc>
          <w:tcPr>
            <w:tcW w:w="10476" w:type="dxa"/>
            <w:gridSpan w:val="3"/>
          </w:tcPr>
          <w:p w14:paraId="755E38E3" w14:textId="77777777" w:rsidR="009C2E53" w:rsidRPr="001D6B3F" w:rsidRDefault="002150D0" w:rsidP="007A6C9F">
            <w:pPr>
              <w:tabs>
                <w:tab w:val="left" w:pos="2100"/>
              </w:tabs>
              <w:spacing w:line="360" w:lineRule="auto"/>
              <w:jc w:val="both"/>
              <w:rPr>
                <w:rFonts w:ascii="Arial" w:hAnsi="Arial" w:cs="Arial"/>
                <w:b/>
                <w:sz w:val="24"/>
                <w:szCs w:val="24"/>
              </w:rPr>
            </w:pPr>
            <w:r w:rsidRPr="001D6B3F">
              <w:rPr>
                <w:rFonts w:ascii="Arial" w:hAnsi="Arial" w:cs="Arial"/>
                <w:b/>
                <w:sz w:val="24"/>
                <w:szCs w:val="24"/>
              </w:rPr>
              <w:t>O</w:t>
            </w:r>
            <w:r w:rsidR="009C2E53" w:rsidRPr="001D6B3F">
              <w:rPr>
                <w:rFonts w:ascii="Arial" w:hAnsi="Arial" w:cs="Arial"/>
                <w:b/>
                <w:sz w:val="24"/>
                <w:szCs w:val="24"/>
              </w:rPr>
              <w:t>rder:</w:t>
            </w:r>
            <w:r w:rsidR="0083558F" w:rsidRPr="001D6B3F">
              <w:rPr>
                <w:rFonts w:ascii="Arial" w:hAnsi="Arial" w:cs="Arial"/>
                <w:b/>
                <w:sz w:val="24"/>
                <w:szCs w:val="24"/>
              </w:rPr>
              <w:tab/>
            </w:r>
          </w:p>
          <w:p w14:paraId="22DF3B5E" w14:textId="3F93D536" w:rsidR="003C597B" w:rsidRPr="003C597B" w:rsidRDefault="00ED4056" w:rsidP="003C597B">
            <w:pPr>
              <w:pStyle w:val="ListParagraph"/>
              <w:numPr>
                <w:ilvl w:val="0"/>
                <w:numId w:val="20"/>
              </w:numPr>
              <w:pBdr>
                <w:top w:val="nil"/>
                <w:left w:val="nil"/>
                <w:bottom w:val="nil"/>
                <w:right w:val="nil"/>
                <w:between w:val="nil"/>
                <w:bar w:val="nil"/>
              </w:pBdr>
              <w:spacing w:line="360" w:lineRule="auto"/>
              <w:jc w:val="both"/>
              <w:rPr>
                <w:rFonts w:ascii="Arial" w:hAnsi="Arial" w:cs="Arial"/>
                <w:sz w:val="24"/>
                <w:szCs w:val="24"/>
              </w:rPr>
            </w:pPr>
            <w:r>
              <w:rPr>
                <w:rFonts w:ascii="Arial" w:hAnsi="Arial" w:cs="Arial"/>
                <w:sz w:val="24"/>
                <w:szCs w:val="24"/>
                <w:lang w:val="en-US"/>
              </w:rPr>
              <w:t>The application is struck from the roll for lack of urgency</w:t>
            </w:r>
            <w:r w:rsidR="00AF6F03" w:rsidRPr="000517D9">
              <w:rPr>
                <w:rFonts w:ascii="Arial" w:hAnsi="Arial" w:cs="Arial"/>
                <w:sz w:val="24"/>
                <w:szCs w:val="24"/>
                <w:lang w:val="en-US"/>
              </w:rPr>
              <w:t>.</w:t>
            </w:r>
          </w:p>
          <w:p w14:paraId="29C70C42" w14:textId="3F0C77C9" w:rsidR="002524E6" w:rsidRPr="001D6B3F" w:rsidRDefault="00965629" w:rsidP="007A6C9F">
            <w:pPr>
              <w:pStyle w:val="ListParagraph"/>
              <w:numPr>
                <w:ilvl w:val="0"/>
                <w:numId w:val="20"/>
              </w:numPr>
              <w:pBdr>
                <w:top w:val="nil"/>
                <w:left w:val="nil"/>
                <w:bottom w:val="nil"/>
                <w:right w:val="nil"/>
                <w:between w:val="nil"/>
                <w:bar w:val="nil"/>
              </w:pBdr>
              <w:spacing w:line="360" w:lineRule="auto"/>
              <w:jc w:val="both"/>
              <w:rPr>
                <w:rFonts w:ascii="Arial" w:hAnsi="Arial"/>
                <w:sz w:val="24"/>
                <w:szCs w:val="24"/>
              </w:rPr>
            </w:pPr>
            <w:r>
              <w:rPr>
                <w:rFonts w:ascii="Arial" w:hAnsi="Arial"/>
                <w:sz w:val="24"/>
                <w:szCs w:val="24"/>
              </w:rPr>
              <w:t>The a</w:t>
            </w:r>
            <w:r w:rsidR="00ED4056">
              <w:rPr>
                <w:rFonts w:ascii="Arial" w:hAnsi="Arial"/>
                <w:sz w:val="24"/>
                <w:szCs w:val="24"/>
              </w:rPr>
              <w:t xml:space="preserve">pplicant shall pay </w:t>
            </w:r>
            <w:r>
              <w:rPr>
                <w:rFonts w:ascii="Arial" w:hAnsi="Arial"/>
                <w:sz w:val="24"/>
                <w:szCs w:val="24"/>
              </w:rPr>
              <w:t xml:space="preserve">the </w:t>
            </w:r>
            <w:r w:rsidR="00ED4056">
              <w:rPr>
                <w:rFonts w:ascii="Arial" w:hAnsi="Arial"/>
                <w:sz w:val="24"/>
                <w:szCs w:val="24"/>
              </w:rPr>
              <w:t>first</w:t>
            </w:r>
            <w:r>
              <w:rPr>
                <w:rFonts w:ascii="Arial" w:hAnsi="Arial"/>
                <w:sz w:val="24"/>
                <w:szCs w:val="24"/>
              </w:rPr>
              <w:t xml:space="preserve"> respondent’s costs to include</w:t>
            </w:r>
            <w:r w:rsidR="00ED4056">
              <w:rPr>
                <w:rFonts w:ascii="Arial" w:hAnsi="Arial"/>
                <w:sz w:val="24"/>
                <w:szCs w:val="24"/>
              </w:rPr>
              <w:t xml:space="preserve"> the costs of one instructing and one instructed counsel</w:t>
            </w:r>
            <w:r w:rsidR="0000483A">
              <w:rPr>
                <w:rFonts w:ascii="Arial" w:hAnsi="Arial"/>
                <w:sz w:val="24"/>
                <w:szCs w:val="24"/>
              </w:rPr>
              <w:t xml:space="preserve">. </w:t>
            </w:r>
          </w:p>
        </w:tc>
      </w:tr>
      <w:tr w:rsidR="001D6B3F" w:rsidRPr="001D6B3F" w14:paraId="2BD02CF8" w14:textId="77777777" w:rsidTr="003C597B">
        <w:trPr>
          <w:trHeight w:val="350"/>
        </w:trPr>
        <w:tc>
          <w:tcPr>
            <w:tcW w:w="10476" w:type="dxa"/>
            <w:gridSpan w:val="3"/>
            <w:tcBorders>
              <w:bottom w:val="single" w:sz="4" w:space="0" w:color="auto"/>
            </w:tcBorders>
          </w:tcPr>
          <w:p w14:paraId="06314928" w14:textId="2C4AFA66" w:rsidR="009C2E53" w:rsidRPr="001D6B3F" w:rsidRDefault="00ED4056" w:rsidP="007A6C9F">
            <w:pPr>
              <w:spacing w:line="360" w:lineRule="auto"/>
              <w:jc w:val="both"/>
              <w:rPr>
                <w:rFonts w:ascii="Arial" w:hAnsi="Arial" w:cs="Arial"/>
                <w:b/>
                <w:sz w:val="24"/>
                <w:szCs w:val="24"/>
              </w:rPr>
            </w:pPr>
            <w:r>
              <w:rPr>
                <w:rFonts w:ascii="Arial" w:hAnsi="Arial" w:cs="Arial"/>
                <w:b/>
                <w:sz w:val="24"/>
                <w:szCs w:val="24"/>
              </w:rPr>
              <w:lastRenderedPageBreak/>
              <w:t>Reasons</w:t>
            </w:r>
            <w:r w:rsidR="009C2E53" w:rsidRPr="001D6B3F">
              <w:rPr>
                <w:rFonts w:ascii="Arial" w:hAnsi="Arial" w:cs="Arial"/>
                <w:b/>
                <w:sz w:val="24"/>
                <w:szCs w:val="24"/>
              </w:rPr>
              <w:t>:</w:t>
            </w:r>
          </w:p>
        </w:tc>
      </w:tr>
      <w:tr w:rsidR="001D6B3F" w:rsidRPr="001D6B3F" w14:paraId="108B7EFD" w14:textId="77777777" w:rsidTr="00004108">
        <w:tc>
          <w:tcPr>
            <w:tcW w:w="10476" w:type="dxa"/>
            <w:gridSpan w:val="3"/>
          </w:tcPr>
          <w:p w14:paraId="508ECA18" w14:textId="77777777" w:rsidR="006647C4" w:rsidRPr="001D6B3F" w:rsidRDefault="0098376D" w:rsidP="007A6C9F">
            <w:pPr>
              <w:spacing w:line="360" w:lineRule="auto"/>
              <w:jc w:val="both"/>
              <w:rPr>
                <w:rFonts w:ascii="Arial" w:hAnsi="Arial" w:cs="Arial"/>
                <w:sz w:val="24"/>
                <w:szCs w:val="24"/>
                <w:lang w:val="af-ZA"/>
              </w:rPr>
            </w:pPr>
            <w:r w:rsidRPr="001D6B3F">
              <w:rPr>
                <w:rFonts w:ascii="Arial" w:hAnsi="Arial" w:cs="Arial"/>
                <w:sz w:val="24"/>
                <w:szCs w:val="24"/>
                <w:lang w:val="af-ZA"/>
              </w:rPr>
              <w:t>COLEMAN</w:t>
            </w:r>
            <w:r w:rsidR="009C0E21" w:rsidRPr="001D6B3F">
              <w:rPr>
                <w:rFonts w:ascii="Arial" w:hAnsi="Arial" w:cs="Arial"/>
                <w:sz w:val="24"/>
                <w:szCs w:val="24"/>
                <w:lang w:val="af-ZA"/>
              </w:rPr>
              <w:t xml:space="preserve"> J</w:t>
            </w:r>
            <w:r w:rsidR="005A6CAD" w:rsidRPr="001D6B3F">
              <w:rPr>
                <w:rFonts w:ascii="Arial" w:hAnsi="Arial" w:cs="Arial"/>
                <w:sz w:val="24"/>
                <w:szCs w:val="24"/>
                <w:lang w:val="af-ZA"/>
              </w:rPr>
              <w:t>:</w:t>
            </w:r>
          </w:p>
          <w:p w14:paraId="10EBE38C" w14:textId="77777777" w:rsidR="00A42F85" w:rsidRPr="001D6B3F" w:rsidRDefault="009C0E21" w:rsidP="007A6C9F">
            <w:pPr>
              <w:pStyle w:val="Body"/>
              <w:spacing w:line="360" w:lineRule="auto"/>
              <w:ind w:left="1440" w:hanging="1440"/>
              <w:jc w:val="both"/>
              <w:rPr>
                <w:rFonts w:ascii="Arial" w:hAnsi="Arial" w:cs="Arial"/>
                <w:color w:val="auto"/>
                <w:sz w:val="24"/>
                <w:szCs w:val="24"/>
              </w:rPr>
            </w:pPr>
            <w:r w:rsidRPr="001D6B3F">
              <w:rPr>
                <w:rFonts w:ascii="Arial" w:hAnsi="Arial" w:cs="Arial"/>
                <w:color w:val="auto"/>
                <w:sz w:val="24"/>
                <w:szCs w:val="24"/>
              </w:rPr>
              <w:t xml:space="preserve"> </w:t>
            </w:r>
          </w:p>
          <w:p w14:paraId="448529C2" w14:textId="77777777" w:rsidR="00AB71DC" w:rsidRPr="001D6B3F" w:rsidRDefault="00AB71DC" w:rsidP="007A6C9F">
            <w:pPr>
              <w:pBdr>
                <w:top w:val="nil"/>
                <w:left w:val="nil"/>
                <w:bottom w:val="nil"/>
                <w:right w:val="nil"/>
                <w:between w:val="nil"/>
                <w:bar w:val="nil"/>
              </w:pBdr>
              <w:spacing w:line="360" w:lineRule="auto"/>
              <w:jc w:val="both"/>
              <w:rPr>
                <w:rFonts w:ascii="Arial" w:eastAsia="Arial" w:hAnsi="Arial" w:cs="Arial"/>
                <w:sz w:val="24"/>
                <w:szCs w:val="24"/>
                <w:u w:val="single"/>
                <w:bdr w:val="nil"/>
                <w:lang w:eastAsia="en-GB"/>
              </w:rPr>
            </w:pPr>
            <w:r w:rsidRPr="001D6B3F">
              <w:rPr>
                <w:rFonts w:ascii="Arial" w:eastAsia="Arial" w:hAnsi="Arial" w:cs="Arial"/>
                <w:sz w:val="24"/>
                <w:szCs w:val="24"/>
                <w:u w:val="single"/>
                <w:bdr w:val="nil"/>
                <w:lang w:eastAsia="en-GB"/>
              </w:rPr>
              <w:t>Introduction</w:t>
            </w:r>
          </w:p>
          <w:p w14:paraId="439FBE49" w14:textId="77777777" w:rsidR="00AB71DC" w:rsidRPr="001D6B3F" w:rsidRDefault="00AB71DC" w:rsidP="007A6C9F">
            <w:pPr>
              <w:pBdr>
                <w:top w:val="nil"/>
                <w:left w:val="nil"/>
                <w:bottom w:val="nil"/>
                <w:right w:val="nil"/>
                <w:between w:val="nil"/>
                <w:bar w:val="nil"/>
              </w:pBdr>
              <w:spacing w:line="360" w:lineRule="auto"/>
              <w:jc w:val="both"/>
              <w:rPr>
                <w:rFonts w:ascii="Arial" w:eastAsia="Arial" w:hAnsi="Arial" w:cs="Arial"/>
                <w:b/>
                <w:bCs/>
                <w:sz w:val="24"/>
                <w:szCs w:val="24"/>
                <w:u w:color="000000"/>
                <w:bdr w:val="nil"/>
                <w:lang w:eastAsia="en-GB"/>
              </w:rPr>
            </w:pPr>
          </w:p>
          <w:p w14:paraId="44D34837" w14:textId="1BCC23F4" w:rsidR="007A6C9F" w:rsidRPr="00104BA5" w:rsidRDefault="005163E0" w:rsidP="00965629">
            <w:pPr>
              <w:pStyle w:val="Body"/>
              <w:numPr>
                <w:ilvl w:val="0"/>
                <w:numId w:val="31"/>
              </w:numPr>
              <w:spacing w:line="360" w:lineRule="auto"/>
              <w:ind w:left="0" w:firstLine="0"/>
              <w:jc w:val="both"/>
              <w:rPr>
                <w:rFonts w:ascii="Arial" w:hAnsi="Arial"/>
                <w:color w:val="auto"/>
                <w:sz w:val="24"/>
                <w:szCs w:val="24"/>
                <w:lang w:val="en-US"/>
              </w:rPr>
            </w:pPr>
            <w:r>
              <w:rPr>
                <w:rFonts w:ascii="Arial" w:hAnsi="Arial"/>
                <w:color w:val="auto"/>
                <w:sz w:val="24"/>
                <w:szCs w:val="24"/>
                <w:lang w:val="en-US"/>
              </w:rPr>
              <w:t xml:space="preserve">This is an </w:t>
            </w:r>
            <w:r w:rsidR="00ED4056">
              <w:rPr>
                <w:rFonts w:ascii="Arial" w:hAnsi="Arial"/>
                <w:color w:val="auto"/>
                <w:sz w:val="24"/>
                <w:szCs w:val="24"/>
                <w:lang w:val="en-US"/>
              </w:rPr>
              <w:t>urgent</w:t>
            </w:r>
            <w:r w:rsidR="00104BA5">
              <w:rPr>
                <w:rFonts w:ascii="Arial" w:hAnsi="Arial"/>
                <w:color w:val="auto"/>
                <w:sz w:val="24"/>
                <w:szCs w:val="24"/>
                <w:lang w:val="en-US"/>
              </w:rPr>
              <w:t xml:space="preserve"> application</w:t>
            </w:r>
            <w:r w:rsidR="00ED4056">
              <w:rPr>
                <w:rFonts w:ascii="Arial" w:hAnsi="Arial"/>
                <w:color w:val="auto"/>
                <w:sz w:val="24"/>
                <w:szCs w:val="24"/>
                <w:lang w:val="en-US"/>
              </w:rPr>
              <w:t xml:space="preserve"> to interdict first respondent from terminating the tri-partite agreement between applicant</w:t>
            </w:r>
            <w:r w:rsidR="0057786C">
              <w:rPr>
                <w:rFonts w:ascii="Arial" w:hAnsi="Arial"/>
                <w:color w:val="auto"/>
                <w:sz w:val="24"/>
                <w:szCs w:val="24"/>
                <w:lang w:val="en-US"/>
              </w:rPr>
              <w:t xml:space="preserve"> (MTC)</w:t>
            </w:r>
            <w:r w:rsidR="00ED4056">
              <w:rPr>
                <w:rFonts w:ascii="Arial" w:hAnsi="Arial"/>
                <w:color w:val="auto"/>
                <w:sz w:val="24"/>
                <w:szCs w:val="24"/>
                <w:lang w:val="en-US"/>
              </w:rPr>
              <w:t xml:space="preserve">, first respondent </w:t>
            </w:r>
            <w:r w:rsidR="0057786C">
              <w:rPr>
                <w:rFonts w:ascii="Arial" w:hAnsi="Arial"/>
                <w:color w:val="auto"/>
                <w:sz w:val="24"/>
                <w:szCs w:val="24"/>
                <w:lang w:val="en-US"/>
              </w:rPr>
              <w:t xml:space="preserve">(Nampower) </w:t>
            </w:r>
            <w:r w:rsidR="00ED4056">
              <w:rPr>
                <w:rFonts w:ascii="Arial" w:hAnsi="Arial"/>
                <w:color w:val="auto"/>
                <w:sz w:val="24"/>
                <w:szCs w:val="24"/>
                <w:lang w:val="en-US"/>
              </w:rPr>
              <w:t>and second respondent</w:t>
            </w:r>
            <w:r w:rsidR="0057786C">
              <w:rPr>
                <w:rFonts w:ascii="Arial" w:hAnsi="Arial"/>
                <w:color w:val="auto"/>
                <w:sz w:val="24"/>
                <w:szCs w:val="24"/>
                <w:lang w:val="en-US"/>
              </w:rPr>
              <w:t xml:space="preserve"> (Telecom)</w:t>
            </w:r>
            <w:r w:rsidR="00104BA5">
              <w:rPr>
                <w:rFonts w:ascii="Arial" w:hAnsi="Arial"/>
                <w:color w:val="auto"/>
                <w:sz w:val="24"/>
                <w:szCs w:val="24"/>
                <w:lang w:val="en-US"/>
              </w:rPr>
              <w:t>.</w:t>
            </w:r>
            <w:r w:rsidR="005A3F5D">
              <w:rPr>
                <w:rFonts w:ascii="Arial" w:hAnsi="Arial"/>
                <w:color w:val="auto"/>
                <w:sz w:val="24"/>
                <w:szCs w:val="24"/>
                <w:lang w:val="en-US"/>
              </w:rPr>
              <w:t xml:space="preserve"> </w:t>
            </w:r>
            <w:r w:rsidR="0057786C">
              <w:rPr>
                <w:rFonts w:ascii="Arial" w:hAnsi="Arial"/>
                <w:color w:val="auto"/>
                <w:sz w:val="24"/>
                <w:szCs w:val="24"/>
                <w:lang w:val="en-US"/>
              </w:rPr>
              <w:t>Nampower</w:t>
            </w:r>
            <w:r w:rsidR="005A3F5D">
              <w:rPr>
                <w:rFonts w:ascii="Arial" w:hAnsi="Arial"/>
                <w:color w:val="auto"/>
                <w:sz w:val="24"/>
                <w:szCs w:val="24"/>
                <w:lang w:val="en-US"/>
              </w:rPr>
              <w:t xml:space="preserve"> opposes it while the other respondents abide.  </w:t>
            </w:r>
            <w:r w:rsidR="00104BA5">
              <w:rPr>
                <w:rFonts w:ascii="Arial" w:hAnsi="Arial"/>
                <w:color w:val="auto"/>
                <w:sz w:val="24"/>
                <w:szCs w:val="24"/>
                <w:lang w:val="en-US"/>
              </w:rPr>
              <w:t xml:space="preserve"> </w:t>
            </w:r>
            <w:r w:rsidR="0098094D">
              <w:rPr>
                <w:rFonts w:ascii="Arial" w:hAnsi="Arial"/>
                <w:color w:val="auto"/>
                <w:sz w:val="24"/>
                <w:szCs w:val="24"/>
                <w:lang w:val="en-US"/>
              </w:rPr>
              <w:t xml:space="preserve">I made the order herein on 28 February 2023. These are the reasons for the order. </w:t>
            </w:r>
          </w:p>
          <w:p w14:paraId="60581055" w14:textId="6B6693BF" w:rsidR="00AB620F" w:rsidRDefault="00AB620F" w:rsidP="005163E0">
            <w:pPr>
              <w:pStyle w:val="Body"/>
              <w:spacing w:line="360" w:lineRule="auto"/>
              <w:jc w:val="both"/>
              <w:rPr>
                <w:rFonts w:ascii="Arial" w:hAnsi="Arial"/>
                <w:color w:val="auto"/>
                <w:sz w:val="24"/>
                <w:szCs w:val="24"/>
                <w:lang w:val="en-US"/>
              </w:rPr>
            </w:pPr>
          </w:p>
          <w:p w14:paraId="593EF0C9" w14:textId="58F7C3EF" w:rsidR="00AB620F" w:rsidRPr="00AB620F" w:rsidRDefault="00AB620F" w:rsidP="005163E0">
            <w:pPr>
              <w:pStyle w:val="Body"/>
              <w:spacing w:line="360" w:lineRule="auto"/>
              <w:jc w:val="both"/>
              <w:rPr>
                <w:rFonts w:ascii="Arial" w:hAnsi="Arial"/>
                <w:color w:val="auto"/>
                <w:sz w:val="24"/>
                <w:szCs w:val="24"/>
                <w:u w:val="single"/>
                <w:lang w:val="en-US"/>
              </w:rPr>
            </w:pPr>
            <w:r>
              <w:rPr>
                <w:rFonts w:ascii="Arial" w:hAnsi="Arial"/>
                <w:color w:val="auto"/>
                <w:sz w:val="24"/>
                <w:szCs w:val="24"/>
                <w:u w:val="single"/>
                <w:lang w:val="en-US"/>
              </w:rPr>
              <w:t>Pertinent facts</w:t>
            </w:r>
            <w:r w:rsidR="008B6EAB">
              <w:rPr>
                <w:rFonts w:ascii="Arial" w:hAnsi="Arial"/>
                <w:color w:val="auto"/>
                <w:sz w:val="24"/>
                <w:szCs w:val="24"/>
                <w:u w:val="single"/>
                <w:lang w:val="en-US"/>
              </w:rPr>
              <w:t xml:space="preserve"> and submissions</w:t>
            </w:r>
          </w:p>
          <w:p w14:paraId="59366C4F" w14:textId="54B72E74" w:rsidR="00AB620F" w:rsidRDefault="00AB620F" w:rsidP="005163E0">
            <w:pPr>
              <w:pStyle w:val="Body"/>
              <w:spacing w:line="360" w:lineRule="auto"/>
              <w:jc w:val="both"/>
              <w:rPr>
                <w:rFonts w:ascii="Arial" w:hAnsi="Arial"/>
                <w:color w:val="auto"/>
                <w:sz w:val="24"/>
                <w:szCs w:val="24"/>
                <w:lang w:val="en-US"/>
              </w:rPr>
            </w:pPr>
          </w:p>
          <w:p w14:paraId="1E9D1F64" w14:textId="023255F9" w:rsidR="00965629" w:rsidRDefault="008B6EAB" w:rsidP="005078CC">
            <w:pPr>
              <w:pStyle w:val="Body"/>
              <w:numPr>
                <w:ilvl w:val="0"/>
                <w:numId w:val="31"/>
              </w:numPr>
              <w:spacing w:line="360" w:lineRule="auto"/>
              <w:ind w:left="20" w:firstLine="0"/>
              <w:jc w:val="both"/>
              <w:rPr>
                <w:rFonts w:ascii="Arial" w:hAnsi="Arial"/>
                <w:color w:val="auto"/>
                <w:sz w:val="24"/>
                <w:szCs w:val="24"/>
                <w:lang w:val="en-US"/>
              </w:rPr>
            </w:pPr>
            <w:r>
              <w:rPr>
                <w:rFonts w:ascii="Arial" w:hAnsi="Arial"/>
                <w:color w:val="auto"/>
                <w:sz w:val="24"/>
                <w:szCs w:val="24"/>
                <w:lang w:val="en-US"/>
              </w:rPr>
              <w:t>The</w:t>
            </w:r>
            <w:r w:rsidR="005A3F5D">
              <w:rPr>
                <w:rFonts w:ascii="Arial" w:hAnsi="Arial"/>
                <w:color w:val="auto"/>
                <w:sz w:val="24"/>
                <w:szCs w:val="24"/>
                <w:lang w:val="en-US"/>
              </w:rPr>
              <w:t xml:space="preserve"> so-called tri-parti</w:t>
            </w:r>
            <w:r w:rsidR="00965629">
              <w:rPr>
                <w:rFonts w:ascii="Arial" w:hAnsi="Arial"/>
                <w:color w:val="auto"/>
                <w:sz w:val="24"/>
                <w:szCs w:val="24"/>
                <w:lang w:val="en-US"/>
              </w:rPr>
              <w:t>te agreement was entered into during</w:t>
            </w:r>
            <w:r w:rsidR="005A3F5D">
              <w:rPr>
                <w:rFonts w:ascii="Arial" w:hAnsi="Arial"/>
                <w:color w:val="auto"/>
                <w:sz w:val="24"/>
                <w:szCs w:val="24"/>
                <w:lang w:val="en-US"/>
              </w:rPr>
              <w:t xml:space="preserve"> 2012 between MTC, first Nampower and</w:t>
            </w:r>
            <w:r w:rsidR="0057786C">
              <w:rPr>
                <w:rFonts w:ascii="Arial" w:hAnsi="Arial"/>
                <w:color w:val="auto"/>
                <w:sz w:val="24"/>
                <w:szCs w:val="24"/>
                <w:lang w:val="en-US"/>
              </w:rPr>
              <w:t xml:space="preserve"> </w:t>
            </w:r>
            <w:r w:rsidR="005A3F5D">
              <w:rPr>
                <w:rFonts w:ascii="Arial" w:hAnsi="Arial"/>
                <w:color w:val="auto"/>
                <w:sz w:val="24"/>
                <w:szCs w:val="24"/>
                <w:lang w:val="en-US"/>
              </w:rPr>
              <w:t>Telecom</w:t>
            </w:r>
            <w:r>
              <w:rPr>
                <w:rFonts w:ascii="Arial" w:hAnsi="Arial"/>
                <w:color w:val="auto"/>
                <w:sz w:val="24"/>
                <w:szCs w:val="24"/>
                <w:lang w:val="en-US"/>
              </w:rPr>
              <w:t xml:space="preserve">. </w:t>
            </w:r>
            <w:r w:rsidR="005078CC">
              <w:rPr>
                <w:rFonts w:ascii="Arial" w:hAnsi="Arial"/>
                <w:color w:val="auto"/>
                <w:sz w:val="24"/>
                <w:szCs w:val="24"/>
                <w:lang w:val="en-US"/>
              </w:rPr>
              <w:t xml:space="preserve"> </w:t>
            </w:r>
            <w:r w:rsidR="005A3F5D">
              <w:rPr>
                <w:rFonts w:ascii="Arial" w:hAnsi="Arial"/>
                <w:color w:val="auto"/>
                <w:sz w:val="24"/>
                <w:szCs w:val="24"/>
                <w:lang w:val="en-US"/>
              </w:rPr>
              <w:t>It is essentially an</w:t>
            </w:r>
            <w:r w:rsidR="00002472">
              <w:rPr>
                <w:rFonts w:ascii="Arial" w:hAnsi="Arial"/>
                <w:color w:val="auto"/>
                <w:sz w:val="24"/>
                <w:szCs w:val="24"/>
                <w:lang w:val="en-US"/>
              </w:rPr>
              <w:t xml:space="preserve"> </w:t>
            </w:r>
            <w:r w:rsidR="005A3F5D">
              <w:rPr>
                <w:rFonts w:ascii="Arial" w:hAnsi="Arial"/>
                <w:color w:val="auto"/>
                <w:sz w:val="24"/>
                <w:szCs w:val="24"/>
                <w:lang w:val="en-US"/>
              </w:rPr>
              <w:t xml:space="preserve">agreement </w:t>
            </w:r>
            <w:r w:rsidR="00002472">
              <w:rPr>
                <w:rFonts w:ascii="Arial" w:hAnsi="Arial"/>
                <w:color w:val="auto"/>
                <w:sz w:val="24"/>
                <w:szCs w:val="24"/>
                <w:lang w:val="en-US"/>
              </w:rPr>
              <w:t>in terms whereof MTC and Telecom lease optical ground wire fibre capacity f</w:t>
            </w:r>
            <w:r w:rsidR="000F122F">
              <w:rPr>
                <w:rFonts w:ascii="Arial" w:hAnsi="Arial"/>
                <w:color w:val="auto"/>
                <w:sz w:val="24"/>
                <w:szCs w:val="24"/>
                <w:lang w:val="en-US"/>
              </w:rPr>
              <w:t>r</w:t>
            </w:r>
            <w:r w:rsidR="00002472">
              <w:rPr>
                <w:rFonts w:ascii="Arial" w:hAnsi="Arial"/>
                <w:color w:val="auto"/>
                <w:sz w:val="24"/>
                <w:szCs w:val="24"/>
                <w:lang w:val="en-US"/>
              </w:rPr>
              <w:t>om Nampower.</w:t>
            </w:r>
            <w:r w:rsidR="000F122F">
              <w:rPr>
                <w:rFonts w:ascii="Arial" w:hAnsi="Arial"/>
                <w:color w:val="auto"/>
                <w:sz w:val="24"/>
                <w:szCs w:val="24"/>
                <w:lang w:val="en-US"/>
              </w:rPr>
              <w:t xml:space="preserve"> </w:t>
            </w:r>
            <w:r w:rsidR="0057786C">
              <w:rPr>
                <w:rFonts w:ascii="Arial" w:hAnsi="Arial"/>
                <w:color w:val="auto"/>
                <w:sz w:val="24"/>
                <w:szCs w:val="24"/>
                <w:lang w:val="en-US"/>
              </w:rPr>
              <w:t xml:space="preserve"> </w:t>
            </w:r>
            <w:r w:rsidR="000F122F">
              <w:rPr>
                <w:rFonts w:ascii="Arial" w:hAnsi="Arial"/>
                <w:color w:val="auto"/>
                <w:sz w:val="24"/>
                <w:szCs w:val="24"/>
                <w:lang w:val="en-US"/>
              </w:rPr>
              <w:t xml:space="preserve">The agreement was for an initial 10-year period ending </w:t>
            </w:r>
            <w:r w:rsidR="00EE77E9">
              <w:rPr>
                <w:rFonts w:ascii="Arial" w:hAnsi="Arial"/>
                <w:color w:val="auto"/>
                <w:sz w:val="24"/>
                <w:szCs w:val="24"/>
                <w:lang w:val="en-US"/>
              </w:rPr>
              <w:t>on 30 May 2022.  In terms of a seventh a</w:t>
            </w:r>
            <w:r w:rsidR="000F122F">
              <w:rPr>
                <w:rFonts w:ascii="Arial" w:hAnsi="Arial"/>
                <w:color w:val="auto"/>
                <w:sz w:val="24"/>
                <w:szCs w:val="24"/>
                <w:lang w:val="en-US"/>
              </w:rPr>
              <w:t>ddendum to this agreement the lease was ultimatel</w:t>
            </w:r>
            <w:r w:rsidR="00965629">
              <w:rPr>
                <w:rFonts w:ascii="Arial" w:hAnsi="Arial"/>
                <w:color w:val="auto"/>
                <w:sz w:val="24"/>
                <w:szCs w:val="24"/>
                <w:lang w:val="en-US"/>
              </w:rPr>
              <w:t>y extended to 28 February 2023.</w:t>
            </w:r>
          </w:p>
          <w:p w14:paraId="712A8D58" w14:textId="77777777" w:rsidR="00965629" w:rsidRDefault="00965629" w:rsidP="00965629">
            <w:pPr>
              <w:pStyle w:val="Body"/>
              <w:spacing w:line="360" w:lineRule="auto"/>
              <w:ind w:left="-122"/>
              <w:jc w:val="both"/>
              <w:rPr>
                <w:rFonts w:ascii="Arial" w:hAnsi="Arial"/>
                <w:color w:val="auto"/>
                <w:sz w:val="24"/>
                <w:szCs w:val="24"/>
                <w:lang w:val="en-US"/>
              </w:rPr>
            </w:pPr>
          </w:p>
          <w:p w14:paraId="28B5D29F" w14:textId="77777777" w:rsidR="00965629" w:rsidRDefault="000F122F" w:rsidP="005163E0">
            <w:pPr>
              <w:pStyle w:val="Body"/>
              <w:numPr>
                <w:ilvl w:val="0"/>
                <w:numId w:val="31"/>
              </w:numPr>
              <w:spacing w:line="360" w:lineRule="auto"/>
              <w:ind w:left="20" w:firstLine="0"/>
              <w:jc w:val="both"/>
              <w:rPr>
                <w:rFonts w:ascii="Arial" w:hAnsi="Arial"/>
                <w:color w:val="auto"/>
                <w:sz w:val="24"/>
                <w:szCs w:val="24"/>
                <w:lang w:val="en-US"/>
              </w:rPr>
            </w:pPr>
            <w:r w:rsidRPr="00965629">
              <w:rPr>
                <w:rFonts w:ascii="Arial" w:hAnsi="Arial"/>
                <w:color w:val="auto"/>
                <w:sz w:val="24"/>
                <w:szCs w:val="24"/>
                <w:lang w:val="en-US"/>
              </w:rPr>
              <w:t>This last extension was, as I understand it, largely influenced by a dispute with fourth respondent (CRAN). Th</w:t>
            </w:r>
            <w:r w:rsidR="00B66C46" w:rsidRPr="00965629">
              <w:rPr>
                <w:rFonts w:ascii="Arial" w:hAnsi="Arial"/>
                <w:color w:val="auto"/>
                <w:sz w:val="24"/>
                <w:szCs w:val="24"/>
                <w:lang w:val="en-US"/>
              </w:rPr>
              <w:t xml:space="preserve">is dispute is material since CRAN ruled on 24 May 2022 that clauses 2.2.2 and 3.2 </w:t>
            </w:r>
            <w:r w:rsidR="0098094D" w:rsidRPr="00965629">
              <w:rPr>
                <w:rFonts w:ascii="Arial" w:hAnsi="Arial"/>
                <w:color w:val="auto"/>
                <w:sz w:val="24"/>
                <w:szCs w:val="24"/>
                <w:lang w:val="en-US"/>
              </w:rPr>
              <w:t xml:space="preserve">of </w:t>
            </w:r>
            <w:r w:rsidR="00B66C46" w:rsidRPr="00965629">
              <w:rPr>
                <w:rFonts w:ascii="Arial" w:hAnsi="Arial"/>
                <w:color w:val="auto"/>
                <w:sz w:val="24"/>
                <w:szCs w:val="24"/>
                <w:lang w:val="en-US"/>
              </w:rPr>
              <w:t>the tri-partite agreement are void and unenforceable.  MTC filed</w:t>
            </w:r>
            <w:r w:rsidRPr="00965629">
              <w:rPr>
                <w:rFonts w:ascii="Arial" w:hAnsi="Arial"/>
                <w:color w:val="auto"/>
                <w:sz w:val="24"/>
                <w:szCs w:val="24"/>
                <w:lang w:val="en-US"/>
              </w:rPr>
              <w:t xml:space="preserve"> a review application </w:t>
            </w:r>
            <w:r w:rsidR="00B66C46" w:rsidRPr="00965629">
              <w:rPr>
                <w:rFonts w:ascii="Arial" w:hAnsi="Arial"/>
                <w:color w:val="auto"/>
                <w:sz w:val="24"/>
                <w:szCs w:val="24"/>
                <w:lang w:val="en-US"/>
              </w:rPr>
              <w:t>in</w:t>
            </w:r>
            <w:r w:rsidRPr="00965629">
              <w:rPr>
                <w:rFonts w:ascii="Arial" w:hAnsi="Arial"/>
                <w:color w:val="auto"/>
                <w:sz w:val="24"/>
                <w:szCs w:val="24"/>
                <w:lang w:val="en-US"/>
              </w:rPr>
              <w:t xml:space="preserve"> the High Court</w:t>
            </w:r>
            <w:r w:rsidR="00B66C46" w:rsidRPr="00965629">
              <w:rPr>
                <w:rFonts w:ascii="Arial" w:hAnsi="Arial"/>
                <w:color w:val="auto"/>
                <w:sz w:val="24"/>
                <w:szCs w:val="24"/>
                <w:lang w:val="en-US"/>
              </w:rPr>
              <w:t xml:space="preserve"> on 12 December 2022 challenging this ruling</w:t>
            </w:r>
            <w:r w:rsidRPr="00965629">
              <w:rPr>
                <w:rFonts w:ascii="Arial" w:hAnsi="Arial"/>
                <w:color w:val="auto"/>
                <w:sz w:val="24"/>
                <w:szCs w:val="24"/>
                <w:lang w:val="en-US"/>
              </w:rPr>
              <w:t xml:space="preserve">. </w:t>
            </w:r>
          </w:p>
          <w:p w14:paraId="45B7D13E" w14:textId="77777777" w:rsidR="00965629" w:rsidRDefault="00965629" w:rsidP="00965629">
            <w:pPr>
              <w:pStyle w:val="ListParagraph"/>
              <w:rPr>
                <w:rFonts w:ascii="Arial" w:hAnsi="Arial"/>
                <w:sz w:val="24"/>
                <w:szCs w:val="24"/>
                <w:lang w:val="en-US"/>
              </w:rPr>
            </w:pPr>
          </w:p>
          <w:p w14:paraId="3CAB23D2" w14:textId="6018E47B" w:rsidR="00965629" w:rsidRDefault="00B66C46" w:rsidP="005163E0">
            <w:pPr>
              <w:pStyle w:val="Body"/>
              <w:numPr>
                <w:ilvl w:val="0"/>
                <w:numId w:val="31"/>
              </w:numPr>
              <w:spacing w:line="360" w:lineRule="auto"/>
              <w:ind w:left="20" w:firstLine="0"/>
              <w:jc w:val="both"/>
              <w:rPr>
                <w:rFonts w:ascii="Arial" w:hAnsi="Arial"/>
                <w:color w:val="auto"/>
                <w:sz w:val="24"/>
                <w:szCs w:val="24"/>
                <w:lang w:val="en-US"/>
              </w:rPr>
            </w:pPr>
            <w:r w:rsidRPr="00965629">
              <w:rPr>
                <w:rFonts w:ascii="Arial" w:hAnsi="Arial"/>
                <w:color w:val="auto"/>
                <w:sz w:val="24"/>
                <w:szCs w:val="24"/>
                <w:lang w:val="en-US"/>
              </w:rPr>
              <w:t>Understandably</w:t>
            </w:r>
            <w:r w:rsidR="0098094D" w:rsidRPr="00965629">
              <w:rPr>
                <w:rFonts w:ascii="Arial" w:hAnsi="Arial"/>
                <w:color w:val="auto"/>
                <w:sz w:val="24"/>
                <w:szCs w:val="24"/>
                <w:lang w:val="en-US"/>
              </w:rPr>
              <w:t>,</w:t>
            </w:r>
            <w:r w:rsidRPr="00965629">
              <w:rPr>
                <w:rFonts w:ascii="Arial" w:hAnsi="Arial"/>
                <w:color w:val="auto"/>
                <w:sz w:val="24"/>
                <w:szCs w:val="24"/>
                <w:lang w:val="en-US"/>
              </w:rPr>
              <w:t xml:space="preserve"> MTC felt insecure about the </w:t>
            </w:r>
            <w:r w:rsidR="00F17317" w:rsidRPr="00965629">
              <w:rPr>
                <w:rFonts w:ascii="Arial" w:hAnsi="Arial"/>
                <w:color w:val="auto"/>
                <w:sz w:val="24"/>
                <w:szCs w:val="24"/>
                <w:lang w:val="en-US"/>
              </w:rPr>
              <w:t>status of the tri-partite agreement pending the review application and started looking for assurances from Nampower</w:t>
            </w:r>
            <w:r w:rsidR="00A65416" w:rsidRPr="00965629">
              <w:rPr>
                <w:rFonts w:ascii="Arial" w:hAnsi="Arial"/>
                <w:color w:val="auto"/>
                <w:sz w:val="24"/>
                <w:szCs w:val="24"/>
                <w:lang w:val="en-US"/>
              </w:rPr>
              <w:t>.</w:t>
            </w:r>
            <w:r w:rsidR="00F17317" w:rsidRPr="00965629">
              <w:rPr>
                <w:rFonts w:ascii="Arial" w:hAnsi="Arial"/>
                <w:color w:val="auto"/>
                <w:sz w:val="24"/>
                <w:szCs w:val="24"/>
                <w:lang w:val="en-US"/>
              </w:rPr>
              <w:t xml:space="preserve"> </w:t>
            </w:r>
            <w:r w:rsidR="0098094D" w:rsidRPr="00965629">
              <w:rPr>
                <w:rFonts w:ascii="Arial" w:hAnsi="Arial"/>
                <w:color w:val="auto"/>
                <w:sz w:val="24"/>
                <w:szCs w:val="24"/>
                <w:lang w:val="en-US"/>
              </w:rPr>
              <w:t xml:space="preserve"> </w:t>
            </w:r>
            <w:r w:rsidR="00F17317" w:rsidRPr="00965629">
              <w:rPr>
                <w:rFonts w:ascii="Arial" w:hAnsi="Arial"/>
                <w:color w:val="auto"/>
                <w:sz w:val="24"/>
                <w:szCs w:val="24"/>
                <w:lang w:val="en-US"/>
              </w:rPr>
              <w:t>In a letter to Nampower on 2 December 2022</w:t>
            </w:r>
            <w:r w:rsidR="00EE77E9">
              <w:rPr>
                <w:rFonts w:ascii="Arial" w:hAnsi="Arial"/>
                <w:color w:val="auto"/>
                <w:sz w:val="24"/>
                <w:szCs w:val="24"/>
                <w:lang w:val="en-US"/>
              </w:rPr>
              <w:t>,</w:t>
            </w:r>
            <w:r w:rsidR="00F17317" w:rsidRPr="00965629">
              <w:rPr>
                <w:rFonts w:ascii="Arial" w:hAnsi="Arial"/>
                <w:color w:val="auto"/>
                <w:sz w:val="24"/>
                <w:szCs w:val="24"/>
                <w:lang w:val="en-US"/>
              </w:rPr>
              <w:t xml:space="preserve"> MTC sought an undertaking from Nampower that it would not seek the implementation of CRAN’s decision, nor in any way rely on the facts of this decision pending the outcome of the review. Telecom had similar concerns as MTC. </w:t>
            </w:r>
          </w:p>
          <w:p w14:paraId="26EEC444" w14:textId="77777777" w:rsidR="00965629" w:rsidRDefault="00965629" w:rsidP="00965629">
            <w:pPr>
              <w:pStyle w:val="ListParagraph"/>
              <w:rPr>
                <w:rFonts w:ascii="Arial" w:hAnsi="Arial"/>
                <w:sz w:val="24"/>
                <w:szCs w:val="24"/>
                <w:lang w:val="en-US"/>
              </w:rPr>
            </w:pPr>
          </w:p>
          <w:p w14:paraId="31114DED" w14:textId="0E0F5B30" w:rsidR="00965629" w:rsidRDefault="00F17317" w:rsidP="005163E0">
            <w:pPr>
              <w:pStyle w:val="Body"/>
              <w:numPr>
                <w:ilvl w:val="0"/>
                <w:numId w:val="31"/>
              </w:numPr>
              <w:spacing w:line="360" w:lineRule="auto"/>
              <w:ind w:left="20" w:firstLine="0"/>
              <w:jc w:val="both"/>
              <w:rPr>
                <w:rFonts w:ascii="Arial" w:hAnsi="Arial"/>
                <w:color w:val="auto"/>
                <w:sz w:val="24"/>
                <w:szCs w:val="24"/>
                <w:lang w:val="en-US"/>
              </w:rPr>
            </w:pPr>
            <w:r w:rsidRPr="00965629">
              <w:rPr>
                <w:rFonts w:ascii="Arial" w:hAnsi="Arial"/>
                <w:color w:val="auto"/>
                <w:sz w:val="24"/>
                <w:szCs w:val="24"/>
                <w:lang w:val="en-US"/>
              </w:rPr>
              <w:t>Eventually, on 6 February 2023</w:t>
            </w:r>
            <w:r w:rsidR="0098094D" w:rsidRPr="00965629">
              <w:rPr>
                <w:rFonts w:ascii="Arial" w:hAnsi="Arial"/>
                <w:color w:val="auto"/>
                <w:sz w:val="24"/>
                <w:szCs w:val="24"/>
                <w:lang w:val="en-US"/>
              </w:rPr>
              <w:t>,</w:t>
            </w:r>
            <w:r w:rsidRPr="00965629">
              <w:rPr>
                <w:rFonts w:ascii="Arial" w:hAnsi="Arial"/>
                <w:color w:val="auto"/>
                <w:sz w:val="24"/>
                <w:szCs w:val="24"/>
                <w:lang w:val="en-US"/>
              </w:rPr>
              <w:t xml:space="preserve"> Nampower responded to MTC’s </w:t>
            </w:r>
            <w:r w:rsidR="00A07C50" w:rsidRPr="00965629">
              <w:rPr>
                <w:rFonts w:ascii="Arial" w:hAnsi="Arial"/>
                <w:color w:val="auto"/>
                <w:sz w:val="24"/>
                <w:szCs w:val="24"/>
                <w:lang w:val="en-US"/>
              </w:rPr>
              <w:t>enquir</w:t>
            </w:r>
            <w:r w:rsidR="00EE77E9">
              <w:rPr>
                <w:rFonts w:ascii="Arial" w:hAnsi="Arial"/>
                <w:color w:val="auto"/>
                <w:sz w:val="24"/>
                <w:szCs w:val="24"/>
                <w:lang w:val="en-US"/>
              </w:rPr>
              <w:t>y</w:t>
            </w:r>
            <w:r w:rsidR="00A07C50" w:rsidRPr="00965629">
              <w:rPr>
                <w:rFonts w:ascii="Arial" w:hAnsi="Arial"/>
                <w:color w:val="auto"/>
                <w:sz w:val="24"/>
                <w:szCs w:val="24"/>
                <w:lang w:val="en-US"/>
              </w:rPr>
              <w:t xml:space="preserve"> through its legal practitioners.  In this letter two aspects stand out, first</w:t>
            </w:r>
            <w:r w:rsidR="0098094D" w:rsidRPr="00965629">
              <w:rPr>
                <w:rFonts w:ascii="Arial" w:hAnsi="Arial"/>
                <w:color w:val="auto"/>
                <w:sz w:val="24"/>
                <w:szCs w:val="24"/>
                <w:lang w:val="en-US"/>
              </w:rPr>
              <w:t>ly,</w:t>
            </w:r>
            <w:r w:rsidR="00A07C50" w:rsidRPr="00965629">
              <w:rPr>
                <w:rFonts w:ascii="Arial" w:hAnsi="Arial"/>
                <w:color w:val="auto"/>
                <w:sz w:val="24"/>
                <w:szCs w:val="24"/>
                <w:lang w:val="en-US"/>
              </w:rPr>
              <w:t xml:space="preserve"> Nampower makes it clear that it is </w:t>
            </w:r>
            <w:r w:rsidR="00A07C50" w:rsidRPr="00965629">
              <w:rPr>
                <w:rFonts w:ascii="Arial" w:hAnsi="Arial"/>
                <w:color w:val="auto"/>
                <w:sz w:val="24"/>
                <w:szCs w:val="24"/>
                <w:lang w:val="en-US"/>
              </w:rPr>
              <w:lastRenderedPageBreak/>
              <w:t xml:space="preserve">committed to making sure that there is no service interruption which would negatively impact the public, </w:t>
            </w:r>
            <w:r w:rsidR="0098094D" w:rsidRPr="00965629">
              <w:rPr>
                <w:rFonts w:ascii="Arial" w:hAnsi="Arial"/>
                <w:color w:val="auto"/>
                <w:sz w:val="24"/>
                <w:szCs w:val="24"/>
                <w:lang w:val="en-US"/>
              </w:rPr>
              <w:t xml:space="preserve">and </w:t>
            </w:r>
            <w:r w:rsidR="00A07C50" w:rsidRPr="00965629">
              <w:rPr>
                <w:rFonts w:ascii="Arial" w:hAnsi="Arial"/>
                <w:color w:val="auto"/>
                <w:sz w:val="24"/>
                <w:szCs w:val="24"/>
                <w:lang w:val="en-US"/>
              </w:rPr>
              <w:t>second</w:t>
            </w:r>
            <w:r w:rsidR="0098094D" w:rsidRPr="00965629">
              <w:rPr>
                <w:rFonts w:ascii="Arial" w:hAnsi="Arial"/>
                <w:color w:val="auto"/>
                <w:sz w:val="24"/>
                <w:szCs w:val="24"/>
                <w:lang w:val="en-US"/>
              </w:rPr>
              <w:t>ly,</w:t>
            </w:r>
            <w:r w:rsidR="00A07C50" w:rsidRPr="00965629">
              <w:rPr>
                <w:rFonts w:ascii="Arial" w:hAnsi="Arial"/>
                <w:color w:val="auto"/>
                <w:sz w:val="24"/>
                <w:szCs w:val="24"/>
                <w:lang w:val="en-US"/>
              </w:rPr>
              <w:t xml:space="preserve"> it confirms the agreement will expire on 28 February 2023. This response raised concerns with MTC and in a letter on 9 February 2023 it articulates these concerns. It </w:t>
            </w:r>
            <w:r w:rsidR="004C1680" w:rsidRPr="00965629">
              <w:rPr>
                <w:rFonts w:ascii="Arial" w:hAnsi="Arial"/>
                <w:color w:val="auto"/>
                <w:sz w:val="24"/>
                <w:szCs w:val="24"/>
                <w:lang w:val="en-US"/>
              </w:rPr>
              <w:t>appears</w:t>
            </w:r>
            <w:r w:rsidR="00A07C50" w:rsidRPr="00965629">
              <w:rPr>
                <w:rFonts w:ascii="Arial" w:hAnsi="Arial"/>
                <w:color w:val="auto"/>
                <w:sz w:val="24"/>
                <w:szCs w:val="24"/>
                <w:lang w:val="en-US"/>
              </w:rPr>
              <w:t xml:space="preserve"> by now that there is a difference of opinion </w:t>
            </w:r>
            <w:r w:rsidR="004C1680" w:rsidRPr="00965629">
              <w:rPr>
                <w:rFonts w:ascii="Arial" w:hAnsi="Arial"/>
                <w:color w:val="auto"/>
                <w:sz w:val="24"/>
                <w:szCs w:val="24"/>
                <w:lang w:val="en-US"/>
              </w:rPr>
              <w:t xml:space="preserve">on the interpretation of the seventh addendum and the future of the tri-partite agreement.  </w:t>
            </w:r>
          </w:p>
          <w:p w14:paraId="66DFBF4D" w14:textId="77777777" w:rsidR="00965629" w:rsidRDefault="00965629" w:rsidP="00965629">
            <w:pPr>
              <w:pStyle w:val="ListParagraph"/>
              <w:rPr>
                <w:rFonts w:ascii="Arial" w:hAnsi="Arial"/>
                <w:sz w:val="24"/>
                <w:szCs w:val="24"/>
                <w:lang w:val="en-US"/>
              </w:rPr>
            </w:pPr>
          </w:p>
          <w:p w14:paraId="6EA8735D" w14:textId="345B456F" w:rsidR="00EE77E9" w:rsidRPr="00EE77E9" w:rsidRDefault="004C1680" w:rsidP="00EE77E9">
            <w:pPr>
              <w:pStyle w:val="Body"/>
              <w:numPr>
                <w:ilvl w:val="0"/>
                <w:numId w:val="31"/>
              </w:numPr>
              <w:spacing w:line="360" w:lineRule="auto"/>
              <w:ind w:left="20" w:firstLine="0"/>
              <w:jc w:val="both"/>
              <w:rPr>
                <w:rFonts w:ascii="Arial" w:hAnsi="Arial"/>
                <w:color w:val="auto"/>
                <w:sz w:val="24"/>
                <w:szCs w:val="24"/>
                <w:lang w:val="en-US"/>
              </w:rPr>
            </w:pPr>
            <w:r w:rsidRPr="00965629">
              <w:rPr>
                <w:rFonts w:ascii="Arial" w:hAnsi="Arial"/>
                <w:color w:val="auto"/>
                <w:sz w:val="24"/>
                <w:szCs w:val="24"/>
                <w:lang w:val="en-US"/>
              </w:rPr>
              <w:t xml:space="preserve">Nampower responds on 17 February 2023 to this letter of 9 February 2023. This </w:t>
            </w:r>
            <w:r w:rsidR="0098094D" w:rsidRPr="00965629">
              <w:rPr>
                <w:rFonts w:ascii="Arial" w:hAnsi="Arial"/>
                <w:color w:val="auto"/>
                <w:sz w:val="24"/>
                <w:szCs w:val="24"/>
                <w:lang w:val="en-US"/>
              </w:rPr>
              <w:t>response</w:t>
            </w:r>
            <w:r w:rsidRPr="00965629">
              <w:rPr>
                <w:rFonts w:ascii="Arial" w:hAnsi="Arial"/>
                <w:color w:val="auto"/>
                <w:sz w:val="24"/>
                <w:szCs w:val="24"/>
                <w:lang w:val="en-US"/>
              </w:rPr>
              <w:t xml:space="preserve"> is significant. In this letter Nampower gives MTC notice that should the parties not agree to a transitional agreement</w:t>
            </w:r>
            <w:r w:rsidR="00EE77E9">
              <w:rPr>
                <w:rFonts w:ascii="Arial" w:hAnsi="Arial"/>
                <w:color w:val="auto"/>
                <w:sz w:val="24"/>
                <w:szCs w:val="24"/>
                <w:lang w:val="en-US"/>
              </w:rPr>
              <w:t>,</w:t>
            </w:r>
            <w:r w:rsidRPr="00965629">
              <w:rPr>
                <w:rFonts w:ascii="Arial" w:hAnsi="Arial"/>
                <w:color w:val="auto"/>
                <w:sz w:val="24"/>
                <w:szCs w:val="24"/>
                <w:lang w:val="en-US"/>
              </w:rPr>
              <w:t xml:space="preserve"> Nampower will have no option </w:t>
            </w:r>
            <w:r w:rsidR="0098094D" w:rsidRPr="00965629">
              <w:rPr>
                <w:rFonts w:ascii="Arial" w:hAnsi="Arial"/>
                <w:color w:val="auto"/>
                <w:sz w:val="24"/>
                <w:szCs w:val="24"/>
                <w:lang w:val="en-US"/>
              </w:rPr>
              <w:t xml:space="preserve">but </w:t>
            </w:r>
            <w:r w:rsidRPr="00965629">
              <w:rPr>
                <w:rFonts w:ascii="Arial" w:hAnsi="Arial"/>
                <w:color w:val="auto"/>
                <w:sz w:val="24"/>
                <w:szCs w:val="24"/>
                <w:lang w:val="en-US"/>
              </w:rPr>
              <w:t xml:space="preserve">to institute action proceedings, or such other appropriate proceedings, to confirm the termination of the agreement by effluxion of time and to essentially evict MTC from Nampower’s infrastructure.  </w:t>
            </w:r>
            <w:r w:rsidR="0098094D" w:rsidRPr="00965629">
              <w:rPr>
                <w:rFonts w:ascii="Arial" w:hAnsi="Arial"/>
                <w:color w:val="auto"/>
                <w:sz w:val="24"/>
                <w:szCs w:val="24"/>
                <w:lang w:val="en-US"/>
              </w:rPr>
              <w:t>The letter</w:t>
            </w:r>
            <w:r w:rsidR="00965629">
              <w:rPr>
                <w:rFonts w:ascii="Arial" w:hAnsi="Arial"/>
                <w:color w:val="auto"/>
                <w:sz w:val="24"/>
                <w:szCs w:val="24"/>
                <w:lang w:val="en-US"/>
              </w:rPr>
              <w:t xml:space="preserve"> concludes as follows:</w:t>
            </w:r>
          </w:p>
          <w:p w14:paraId="3964E4C0" w14:textId="77777777" w:rsidR="00EE77E9" w:rsidRDefault="00EE77E9" w:rsidP="00EE77E9">
            <w:pPr>
              <w:pStyle w:val="Body"/>
              <w:spacing w:line="360" w:lineRule="auto"/>
              <w:ind w:left="20"/>
              <w:jc w:val="both"/>
              <w:rPr>
                <w:rFonts w:ascii="Arial" w:hAnsi="Arial"/>
                <w:color w:val="auto"/>
                <w:sz w:val="24"/>
                <w:szCs w:val="24"/>
                <w:lang w:val="en-US"/>
              </w:rPr>
            </w:pPr>
          </w:p>
          <w:p w14:paraId="3CD458F1" w14:textId="77777777" w:rsidR="00EE77E9" w:rsidRPr="00446BCA" w:rsidRDefault="00EE77E9" w:rsidP="00EE77E9">
            <w:pPr>
              <w:pStyle w:val="Body"/>
              <w:spacing w:line="360" w:lineRule="auto"/>
              <w:ind w:firstLine="720"/>
              <w:jc w:val="both"/>
              <w:rPr>
                <w:rFonts w:ascii="Arial" w:hAnsi="Arial"/>
                <w:color w:val="auto"/>
                <w:sz w:val="21"/>
                <w:szCs w:val="21"/>
                <w:lang w:val="en-US"/>
              </w:rPr>
            </w:pPr>
            <w:r>
              <w:rPr>
                <w:rFonts w:ascii="Arial" w:hAnsi="Arial"/>
                <w:color w:val="auto"/>
                <w:sz w:val="24"/>
                <w:szCs w:val="24"/>
                <w:lang w:val="en-US"/>
              </w:rPr>
              <w:t>“</w:t>
            </w:r>
            <w:r>
              <w:rPr>
                <w:rFonts w:ascii="Arial" w:hAnsi="Arial"/>
                <w:color w:val="auto"/>
                <w:sz w:val="21"/>
                <w:szCs w:val="21"/>
                <w:lang w:val="en-US"/>
              </w:rPr>
              <w:t>It is not our client’s intention, pending finalization of those negotiations, to simply take the law into its own hands and remove your client from its infrastructure. Our client, as a responsible corporate citizen, will follow the law and pursue an appropriate remedy before the courts.”</w:t>
            </w:r>
          </w:p>
          <w:p w14:paraId="3AB59E30" w14:textId="77777777" w:rsidR="00965629" w:rsidRDefault="00965629" w:rsidP="00965629">
            <w:pPr>
              <w:pStyle w:val="ListParagraph"/>
              <w:rPr>
                <w:rFonts w:ascii="Arial" w:hAnsi="Arial"/>
                <w:sz w:val="24"/>
                <w:szCs w:val="24"/>
                <w:lang w:val="en-US"/>
              </w:rPr>
            </w:pPr>
          </w:p>
          <w:p w14:paraId="5C34C9B0" w14:textId="77777777" w:rsidR="00965629" w:rsidRDefault="00965629" w:rsidP="00965629">
            <w:pPr>
              <w:pStyle w:val="ListParagraph"/>
              <w:rPr>
                <w:rFonts w:ascii="Arial" w:hAnsi="Arial"/>
                <w:sz w:val="24"/>
                <w:szCs w:val="24"/>
                <w:lang w:val="en-US"/>
              </w:rPr>
            </w:pPr>
          </w:p>
          <w:p w14:paraId="5CCE258D" w14:textId="2B4E97FA" w:rsidR="00965629" w:rsidRDefault="00C906FE" w:rsidP="005163E0">
            <w:pPr>
              <w:pStyle w:val="Body"/>
              <w:numPr>
                <w:ilvl w:val="0"/>
                <w:numId w:val="31"/>
              </w:numPr>
              <w:spacing w:line="360" w:lineRule="auto"/>
              <w:ind w:left="20" w:firstLine="0"/>
              <w:jc w:val="both"/>
              <w:rPr>
                <w:rFonts w:ascii="Arial" w:hAnsi="Arial"/>
                <w:color w:val="auto"/>
                <w:sz w:val="24"/>
                <w:szCs w:val="24"/>
                <w:lang w:val="en-US"/>
              </w:rPr>
            </w:pPr>
            <w:r w:rsidRPr="00965629">
              <w:rPr>
                <w:rFonts w:ascii="Arial" w:hAnsi="Arial"/>
                <w:color w:val="auto"/>
                <w:sz w:val="24"/>
                <w:szCs w:val="24"/>
                <w:lang w:val="en-US"/>
              </w:rPr>
              <w:t>Not satisfied with this MTC pursued this urgent application</w:t>
            </w:r>
            <w:r w:rsidR="00222790" w:rsidRPr="00965629">
              <w:rPr>
                <w:rFonts w:ascii="Arial" w:hAnsi="Arial"/>
                <w:color w:val="auto"/>
                <w:sz w:val="24"/>
                <w:szCs w:val="24"/>
                <w:lang w:val="en-US"/>
              </w:rPr>
              <w:t xml:space="preserve"> on 20 February 2023</w:t>
            </w:r>
            <w:r w:rsidRPr="00965629">
              <w:rPr>
                <w:rFonts w:ascii="Arial" w:hAnsi="Arial"/>
                <w:color w:val="auto"/>
                <w:sz w:val="24"/>
                <w:szCs w:val="24"/>
                <w:lang w:val="en-US"/>
              </w:rPr>
              <w:t xml:space="preserve">. Telecom being essentially in the same position as MTC elected not </w:t>
            </w:r>
            <w:r w:rsidR="00222790" w:rsidRPr="00965629">
              <w:rPr>
                <w:rFonts w:ascii="Arial" w:hAnsi="Arial"/>
                <w:color w:val="auto"/>
                <w:sz w:val="24"/>
                <w:szCs w:val="24"/>
                <w:lang w:val="en-US"/>
              </w:rPr>
              <w:t xml:space="preserve">to </w:t>
            </w:r>
            <w:r w:rsidRPr="00965629">
              <w:rPr>
                <w:rFonts w:ascii="Arial" w:hAnsi="Arial"/>
                <w:color w:val="auto"/>
                <w:sz w:val="24"/>
                <w:szCs w:val="24"/>
                <w:lang w:val="en-US"/>
              </w:rPr>
              <w:t xml:space="preserve">proceed with an urgent application. In a letter dated </w:t>
            </w:r>
            <w:r w:rsidR="00AE5658" w:rsidRPr="00965629">
              <w:rPr>
                <w:rFonts w:ascii="Arial" w:hAnsi="Arial"/>
                <w:color w:val="auto"/>
                <w:sz w:val="24"/>
                <w:szCs w:val="24"/>
                <w:lang w:val="en-US"/>
              </w:rPr>
              <w:t>20 February 2023</w:t>
            </w:r>
            <w:r w:rsidR="00EE77E9">
              <w:rPr>
                <w:rFonts w:ascii="Arial" w:hAnsi="Arial"/>
                <w:color w:val="auto"/>
                <w:sz w:val="24"/>
                <w:szCs w:val="24"/>
                <w:lang w:val="en-US"/>
              </w:rPr>
              <w:t>,</w:t>
            </w:r>
            <w:r w:rsidR="00AE5658" w:rsidRPr="00965629">
              <w:rPr>
                <w:rFonts w:ascii="Arial" w:hAnsi="Arial"/>
                <w:color w:val="auto"/>
                <w:sz w:val="24"/>
                <w:szCs w:val="24"/>
                <w:lang w:val="en-US"/>
              </w:rPr>
              <w:t xml:space="preserve"> Telecom, through its legal practitioners, inform</w:t>
            </w:r>
            <w:r w:rsidR="0057786C" w:rsidRPr="00965629">
              <w:rPr>
                <w:rFonts w:ascii="Arial" w:hAnsi="Arial"/>
                <w:color w:val="auto"/>
                <w:sz w:val="24"/>
                <w:szCs w:val="24"/>
                <w:lang w:val="en-US"/>
              </w:rPr>
              <w:t>s</w:t>
            </w:r>
            <w:r w:rsidR="00AE5658" w:rsidRPr="00965629">
              <w:rPr>
                <w:rFonts w:ascii="Arial" w:hAnsi="Arial"/>
                <w:color w:val="auto"/>
                <w:sz w:val="24"/>
                <w:szCs w:val="24"/>
                <w:lang w:val="en-US"/>
              </w:rPr>
              <w:t xml:space="preserve"> the legal practitioners of Nampower (MTC’s legal practitioners are carbon copied</w:t>
            </w:r>
            <w:r w:rsidR="00EE77E9">
              <w:rPr>
                <w:rFonts w:ascii="Arial" w:hAnsi="Arial"/>
                <w:color w:val="auto"/>
                <w:sz w:val="24"/>
                <w:szCs w:val="24"/>
                <w:lang w:val="en-US"/>
              </w:rPr>
              <w:t xml:space="preserve"> therein</w:t>
            </w:r>
            <w:r w:rsidR="00AE5658" w:rsidRPr="00965629">
              <w:rPr>
                <w:rFonts w:ascii="Arial" w:hAnsi="Arial"/>
                <w:color w:val="auto"/>
                <w:sz w:val="24"/>
                <w:szCs w:val="24"/>
                <w:lang w:val="en-US"/>
              </w:rPr>
              <w:t>) that because of Nampower’s undertaking that it shall not terminate access to the infrastructure or remove equipment without a court order</w:t>
            </w:r>
            <w:r w:rsidR="00EE77E9">
              <w:rPr>
                <w:rFonts w:ascii="Arial" w:hAnsi="Arial"/>
                <w:color w:val="auto"/>
                <w:sz w:val="24"/>
                <w:szCs w:val="24"/>
                <w:lang w:val="en-US"/>
              </w:rPr>
              <w:t xml:space="preserve"> from a competent court authoris</w:t>
            </w:r>
            <w:r w:rsidR="00AE5658" w:rsidRPr="00965629">
              <w:rPr>
                <w:rFonts w:ascii="Arial" w:hAnsi="Arial"/>
                <w:color w:val="auto"/>
                <w:sz w:val="24"/>
                <w:szCs w:val="24"/>
                <w:lang w:val="en-US"/>
              </w:rPr>
              <w:t>ing it, Telecom will not proceed with it</w:t>
            </w:r>
            <w:r w:rsidR="00965629">
              <w:rPr>
                <w:rFonts w:ascii="Arial" w:hAnsi="Arial"/>
                <w:color w:val="auto"/>
                <w:sz w:val="24"/>
                <w:szCs w:val="24"/>
                <w:lang w:val="en-US"/>
              </w:rPr>
              <w:t>s envisaged urgent application.</w:t>
            </w:r>
          </w:p>
          <w:p w14:paraId="687A8670" w14:textId="77777777" w:rsidR="00965629" w:rsidRDefault="00965629" w:rsidP="00965629">
            <w:pPr>
              <w:pStyle w:val="Body"/>
              <w:spacing w:line="360" w:lineRule="auto"/>
              <w:ind w:left="20"/>
              <w:jc w:val="both"/>
              <w:rPr>
                <w:rFonts w:ascii="Arial" w:hAnsi="Arial"/>
                <w:color w:val="auto"/>
                <w:sz w:val="24"/>
                <w:szCs w:val="24"/>
                <w:lang w:val="en-US"/>
              </w:rPr>
            </w:pPr>
          </w:p>
          <w:p w14:paraId="0FEBC0F8" w14:textId="77777777" w:rsidR="00965629" w:rsidRDefault="00222790" w:rsidP="005163E0">
            <w:pPr>
              <w:pStyle w:val="Body"/>
              <w:numPr>
                <w:ilvl w:val="0"/>
                <w:numId w:val="31"/>
              </w:numPr>
              <w:spacing w:line="360" w:lineRule="auto"/>
              <w:ind w:left="20" w:firstLine="0"/>
              <w:jc w:val="both"/>
              <w:rPr>
                <w:rFonts w:ascii="Arial" w:hAnsi="Arial"/>
                <w:color w:val="auto"/>
                <w:sz w:val="24"/>
                <w:szCs w:val="24"/>
                <w:lang w:val="en-US"/>
              </w:rPr>
            </w:pPr>
            <w:r w:rsidRPr="00965629">
              <w:rPr>
                <w:rFonts w:ascii="Arial" w:hAnsi="Arial"/>
                <w:color w:val="auto"/>
                <w:sz w:val="24"/>
                <w:szCs w:val="24"/>
                <w:lang w:val="en-US"/>
              </w:rPr>
              <w:t>In its answering affidavit deposed to by its managing director, Nampower asserts that there is no threat to MTC’s continued use of and access to Nampower’s infrastructure until a court issues an order in favour of Nampower.</w:t>
            </w:r>
          </w:p>
          <w:p w14:paraId="31912892" w14:textId="77777777" w:rsidR="00965629" w:rsidRDefault="00965629" w:rsidP="00965629">
            <w:pPr>
              <w:pStyle w:val="ListParagraph"/>
              <w:rPr>
                <w:rFonts w:ascii="Arial" w:hAnsi="Arial"/>
                <w:sz w:val="24"/>
                <w:szCs w:val="24"/>
                <w:lang w:val="en-US"/>
              </w:rPr>
            </w:pPr>
          </w:p>
          <w:p w14:paraId="2BD3C102" w14:textId="77777777" w:rsidR="00965629" w:rsidRDefault="00222790" w:rsidP="005163E0">
            <w:pPr>
              <w:pStyle w:val="Body"/>
              <w:numPr>
                <w:ilvl w:val="0"/>
                <w:numId w:val="31"/>
              </w:numPr>
              <w:spacing w:line="360" w:lineRule="auto"/>
              <w:ind w:left="20" w:firstLine="0"/>
              <w:jc w:val="both"/>
              <w:rPr>
                <w:rFonts w:ascii="Arial" w:hAnsi="Arial"/>
                <w:color w:val="auto"/>
                <w:sz w:val="24"/>
                <w:szCs w:val="24"/>
                <w:lang w:val="en-US"/>
              </w:rPr>
            </w:pPr>
            <w:r w:rsidRPr="00965629">
              <w:rPr>
                <w:rFonts w:ascii="Arial" w:hAnsi="Arial"/>
                <w:color w:val="auto"/>
                <w:sz w:val="24"/>
                <w:szCs w:val="24"/>
                <w:lang w:val="en-US"/>
              </w:rPr>
              <w:t>It is submitted on behalf of MTC that the matter remains urgent despite Nampower’s stance.  The assertion of urgency is based on</w:t>
            </w:r>
            <w:r w:rsidR="00EE1D13" w:rsidRPr="00965629">
              <w:rPr>
                <w:rFonts w:ascii="Arial" w:hAnsi="Arial"/>
                <w:color w:val="auto"/>
                <w:sz w:val="24"/>
                <w:szCs w:val="24"/>
                <w:lang w:val="en-US"/>
              </w:rPr>
              <w:t>, amongst others,</w:t>
            </w:r>
            <w:r w:rsidRPr="00965629">
              <w:rPr>
                <w:rFonts w:ascii="Arial" w:hAnsi="Arial"/>
                <w:color w:val="auto"/>
                <w:sz w:val="24"/>
                <w:szCs w:val="24"/>
                <w:lang w:val="en-US"/>
              </w:rPr>
              <w:t xml:space="preserve"> </w:t>
            </w:r>
            <w:r w:rsidR="0098094D" w:rsidRPr="00965629">
              <w:rPr>
                <w:rFonts w:ascii="Arial" w:hAnsi="Arial"/>
                <w:color w:val="auto"/>
                <w:sz w:val="24"/>
                <w:szCs w:val="24"/>
                <w:lang w:val="en-US"/>
              </w:rPr>
              <w:t xml:space="preserve">the following </w:t>
            </w:r>
            <w:r w:rsidR="00EE1D13" w:rsidRPr="00965629">
              <w:rPr>
                <w:rFonts w:ascii="Arial" w:hAnsi="Arial"/>
                <w:color w:val="auto"/>
                <w:sz w:val="24"/>
                <w:szCs w:val="24"/>
                <w:lang w:val="en-US"/>
              </w:rPr>
              <w:t xml:space="preserve">three core </w:t>
            </w:r>
            <w:r w:rsidR="00EE1D13" w:rsidRPr="00965629">
              <w:rPr>
                <w:rFonts w:ascii="Arial" w:hAnsi="Arial"/>
                <w:color w:val="auto"/>
                <w:sz w:val="24"/>
                <w:szCs w:val="24"/>
                <w:lang w:val="en-US"/>
              </w:rPr>
              <w:lastRenderedPageBreak/>
              <w:t>submissions</w:t>
            </w:r>
            <w:r w:rsidR="0098094D" w:rsidRPr="00965629">
              <w:rPr>
                <w:rFonts w:ascii="Arial" w:hAnsi="Arial"/>
                <w:color w:val="auto"/>
                <w:sz w:val="24"/>
                <w:szCs w:val="24"/>
                <w:lang w:val="en-US"/>
              </w:rPr>
              <w:t>:</w:t>
            </w:r>
            <w:r w:rsidR="00EE1D13" w:rsidRPr="00965629">
              <w:rPr>
                <w:rFonts w:ascii="Arial" w:hAnsi="Arial"/>
                <w:color w:val="auto"/>
                <w:sz w:val="24"/>
                <w:szCs w:val="24"/>
                <w:lang w:val="en-US"/>
              </w:rPr>
              <w:t xml:space="preserve"> Nampower seeks to unlawfully terminate the tri-partite agreement on 28 February 2023, this conduct leaves MTC with undesirable options which may result in harm and Nampower’s undertaking in its answering affidavit is not unequivocal and does not dissipate the urgency.</w:t>
            </w:r>
          </w:p>
          <w:p w14:paraId="1F4FEEBB" w14:textId="77777777" w:rsidR="00965629" w:rsidRDefault="00965629" w:rsidP="00965629">
            <w:pPr>
              <w:pStyle w:val="ListParagraph"/>
              <w:rPr>
                <w:rFonts w:ascii="Arial" w:hAnsi="Arial"/>
                <w:sz w:val="24"/>
                <w:szCs w:val="24"/>
                <w:lang w:val="en-US"/>
              </w:rPr>
            </w:pPr>
          </w:p>
          <w:p w14:paraId="678F8637" w14:textId="232967D2" w:rsidR="00965629" w:rsidRDefault="00EE1D13" w:rsidP="00965629">
            <w:pPr>
              <w:pStyle w:val="Body"/>
              <w:numPr>
                <w:ilvl w:val="0"/>
                <w:numId w:val="31"/>
              </w:numPr>
              <w:spacing w:line="360" w:lineRule="auto"/>
              <w:ind w:left="20" w:firstLine="0"/>
              <w:jc w:val="both"/>
              <w:rPr>
                <w:rFonts w:ascii="Arial" w:hAnsi="Arial"/>
                <w:color w:val="auto"/>
                <w:sz w:val="24"/>
                <w:szCs w:val="24"/>
                <w:lang w:val="en-US"/>
              </w:rPr>
            </w:pPr>
            <w:r w:rsidRPr="00965629">
              <w:rPr>
                <w:rFonts w:ascii="Arial" w:hAnsi="Arial"/>
                <w:color w:val="auto"/>
                <w:sz w:val="24"/>
                <w:szCs w:val="24"/>
                <w:lang w:val="en-US"/>
              </w:rPr>
              <w:t>On behalf of Nampower</w:t>
            </w:r>
            <w:r w:rsidR="00EE77E9">
              <w:rPr>
                <w:rFonts w:ascii="Arial" w:hAnsi="Arial"/>
                <w:color w:val="auto"/>
                <w:sz w:val="24"/>
                <w:szCs w:val="24"/>
                <w:lang w:val="en-US"/>
              </w:rPr>
              <w:t>,</w:t>
            </w:r>
            <w:r w:rsidRPr="00965629">
              <w:rPr>
                <w:rFonts w:ascii="Arial" w:hAnsi="Arial"/>
                <w:color w:val="auto"/>
                <w:sz w:val="24"/>
                <w:szCs w:val="24"/>
                <w:lang w:val="en-US"/>
              </w:rPr>
              <w:t xml:space="preserve"> it is submitted that it already indicated in its letter of 17 February 2023 that it would not ‘evict’ MTC (or Telecom</w:t>
            </w:r>
            <w:r w:rsidR="00EE77E9">
              <w:rPr>
                <w:rFonts w:ascii="Arial" w:hAnsi="Arial"/>
                <w:color w:val="auto"/>
                <w:sz w:val="24"/>
                <w:szCs w:val="24"/>
                <w:lang w:val="en-US"/>
              </w:rPr>
              <w:t>,</w:t>
            </w:r>
            <w:r w:rsidRPr="00965629">
              <w:rPr>
                <w:rFonts w:ascii="Arial" w:hAnsi="Arial"/>
                <w:color w:val="auto"/>
                <w:sz w:val="24"/>
                <w:szCs w:val="24"/>
                <w:lang w:val="en-US"/>
              </w:rPr>
              <w:t xml:space="preserve"> for that matter) without a court o</w:t>
            </w:r>
            <w:r w:rsidR="00965629">
              <w:rPr>
                <w:rFonts w:ascii="Arial" w:hAnsi="Arial"/>
                <w:color w:val="auto"/>
                <w:sz w:val="24"/>
                <w:szCs w:val="24"/>
                <w:lang w:val="en-US"/>
              </w:rPr>
              <w:t>rder and that should be enough.</w:t>
            </w:r>
          </w:p>
          <w:p w14:paraId="10130038" w14:textId="77777777" w:rsidR="00EE77E9" w:rsidRDefault="00EE77E9" w:rsidP="00EE77E9">
            <w:pPr>
              <w:pStyle w:val="ListParagraph"/>
              <w:rPr>
                <w:rFonts w:ascii="Arial" w:hAnsi="Arial"/>
                <w:sz w:val="24"/>
                <w:szCs w:val="24"/>
                <w:lang w:val="en-US"/>
              </w:rPr>
            </w:pPr>
          </w:p>
          <w:p w14:paraId="691CC734" w14:textId="37B7D5A5" w:rsidR="00EE77E9" w:rsidRPr="00EE77E9" w:rsidRDefault="00EE77E9" w:rsidP="00EE77E9">
            <w:pPr>
              <w:pStyle w:val="Body"/>
              <w:spacing w:line="360" w:lineRule="auto"/>
              <w:jc w:val="both"/>
              <w:rPr>
                <w:rFonts w:ascii="Arial" w:hAnsi="Arial"/>
                <w:color w:val="auto"/>
                <w:sz w:val="24"/>
                <w:szCs w:val="24"/>
                <w:u w:val="single"/>
                <w:lang w:val="en-US"/>
              </w:rPr>
            </w:pPr>
            <w:r>
              <w:rPr>
                <w:rFonts w:ascii="Arial" w:hAnsi="Arial"/>
                <w:color w:val="auto"/>
                <w:sz w:val="24"/>
                <w:szCs w:val="24"/>
                <w:u w:val="single"/>
                <w:lang w:val="en-US"/>
              </w:rPr>
              <w:t>Conclusion</w:t>
            </w:r>
          </w:p>
          <w:p w14:paraId="555BFE40" w14:textId="77777777" w:rsidR="00965629" w:rsidRDefault="00965629" w:rsidP="00965629">
            <w:pPr>
              <w:pStyle w:val="ListParagraph"/>
              <w:rPr>
                <w:rFonts w:ascii="Arial" w:hAnsi="Arial"/>
                <w:sz w:val="24"/>
                <w:szCs w:val="24"/>
                <w:lang w:val="en-US"/>
              </w:rPr>
            </w:pPr>
          </w:p>
          <w:p w14:paraId="607DD1F4" w14:textId="77777777" w:rsidR="00EE77E9" w:rsidRDefault="0007233C" w:rsidP="005A1127">
            <w:pPr>
              <w:pStyle w:val="Body"/>
              <w:numPr>
                <w:ilvl w:val="0"/>
                <w:numId w:val="31"/>
              </w:numPr>
              <w:spacing w:line="360" w:lineRule="auto"/>
              <w:ind w:left="20" w:firstLine="0"/>
              <w:jc w:val="both"/>
              <w:rPr>
                <w:rFonts w:ascii="Arial" w:hAnsi="Arial"/>
                <w:color w:val="auto"/>
                <w:sz w:val="24"/>
                <w:szCs w:val="24"/>
                <w:lang w:val="en-US"/>
              </w:rPr>
            </w:pPr>
            <w:r w:rsidRPr="00965629">
              <w:rPr>
                <w:rFonts w:ascii="Arial" w:hAnsi="Arial"/>
                <w:color w:val="auto"/>
                <w:sz w:val="24"/>
                <w:szCs w:val="24"/>
                <w:lang w:val="en-US"/>
              </w:rPr>
              <w:t xml:space="preserve">I have read the papers in the matter and considered all the submissions on behalf of the parties. I mean no disrespect in not articulating each and every contention herein. </w:t>
            </w:r>
          </w:p>
          <w:p w14:paraId="6B292A36" w14:textId="77777777" w:rsidR="00EE77E9" w:rsidRDefault="00EE77E9" w:rsidP="00EE77E9">
            <w:pPr>
              <w:pStyle w:val="ListParagraph"/>
              <w:rPr>
                <w:rFonts w:ascii="Arial" w:hAnsi="Arial"/>
                <w:sz w:val="24"/>
                <w:szCs w:val="24"/>
                <w:lang w:val="en-US"/>
              </w:rPr>
            </w:pPr>
          </w:p>
          <w:p w14:paraId="1C4DD579" w14:textId="06809ABE" w:rsidR="00EE77E9" w:rsidRDefault="00EE1D13" w:rsidP="00EE77E9">
            <w:pPr>
              <w:pStyle w:val="Body"/>
              <w:numPr>
                <w:ilvl w:val="0"/>
                <w:numId w:val="31"/>
              </w:numPr>
              <w:spacing w:line="360" w:lineRule="auto"/>
              <w:ind w:left="20" w:firstLine="0"/>
              <w:jc w:val="both"/>
              <w:rPr>
                <w:rFonts w:ascii="Arial" w:hAnsi="Arial"/>
                <w:color w:val="auto"/>
                <w:sz w:val="24"/>
                <w:szCs w:val="24"/>
                <w:lang w:val="en-US"/>
              </w:rPr>
            </w:pPr>
            <w:r w:rsidRPr="00EE77E9">
              <w:rPr>
                <w:rFonts w:ascii="Arial" w:hAnsi="Arial"/>
                <w:color w:val="auto"/>
                <w:sz w:val="24"/>
                <w:szCs w:val="24"/>
                <w:lang w:val="en-US"/>
              </w:rPr>
              <w:t>Rule 73(4) of the rules of this court is peremptory and unequivocal</w:t>
            </w:r>
            <w:r w:rsidR="00E760AC" w:rsidRPr="00EE77E9">
              <w:rPr>
                <w:rFonts w:ascii="Arial" w:hAnsi="Arial"/>
                <w:color w:val="auto"/>
                <w:sz w:val="24"/>
                <w:szCs w:val="24"/>
                <w:lang w:val="en-US"/>
              </w:rPr>
              <w:t>.</w:t>
            </w:r>
            <w:r w:rsidRPr="00EE77E9">
              <w:rPr>
                <w:rFonts w:ascii="Arial" w:hAnsi="Arial"/>
                <w:color w:val="auto"/>
                <w:sz w:val="24"/>
                <w:szCs w:val="24"/>
                <w:lang w:val="en-US"/>
              </w:rPr>
              <w:t xml:space="preserve">  In particula</w:t>
            </w:r>
            <w:r w:rsidR="0098094D" w:rsidRPr="00EE77E9">
              <w:rPr>
                <w:rFonts w:ascii="Arial" w:hAnsi="Arial"/>
                <w:color w:val="auto"/>
                <w:sz w:val="24"/>
                <w:szCs w:val="24"/>
                <w:lang w:val="en-US"/>
              </w:rPr>
              <w:t>r</w:t>
            </w:r>
            <w:r w:rsidRPr="00EE77E9">
              <w:rPr>
                <w:rFonts w:ascii="Arial" w:hAnsi="Arial"/>
                <w:color w:val="auto"/>
                <w:sz w:val="24"/>
                <w:szCs w:val="24"/>
                <w:lang w:val="en-US"/>
              </w:rPr>
              <w:t>, sub-rule 73(4)(</w:t>
            </w:r>
            <w:r w:rsidRPr="00EE77E9">
              <w:rPr>
                <w:rFonts w:ascii="Arial" w:hAnsi="Arial"/>
                <w:i/>
                <w:color w:val="auto"/>
                <w:sz w:val="24"/>
                <w:szCs w:val="24"/>
                <w:lang w:val="en-US"/>
              </w:rPr>
              <w:t>b</w:t>
            </w:r>
            <w:r w:rsidRPr="00EE77E9">
              <w:rPr>
                <w:rFonts w:ascii="Arial" w:hAnsi="Arial"/>
                <w:color w:val="auto"/>
                <w:sz w:val="24"/>
                <w:szCs w:val="24"/>
                <w:lang w:val="en-US"/>
              </w:rPr>
              <w:t xml:space="preserve">) requires that an applicant must set out explicitly in its founding affidavit the reasons </w:t>
            </w:r>
            <w:r w:rsidR="00645A0F" w:rsidRPr="00EE77E9">
              <w:rPr>
                <w:rFonts w:ascii="Arial" w:hAnsi="Arial"/>
                <w:color w:val="auto"/>
                <w:sz w:val="24"/>
                <w:szCs w:val="24"/>
                <w:lang w:val="en-US"/>
              </w:rPr>
              <w:t>why it claims it could not be afforded substantial redress at a hearing in due course. This is a fundamental requirement for urgent applications with a clear rational</w:t>
            </w:r>
            <w:r w:rsidR="00EE77E9">
              <w:rPr>
                <w:rFonts w:ascii="Arial" w:hAnsi="Arial"/>
                <w:color w:val="auto"/>
                <w:sz w:val="24"/>
                <w:szCs w:val="24"/>
                <w:lang w:val="en-US"/>
              </w:rPr>
              <w:t>e</w:t>
            </w:r>
            <w:r w:rsidR="00645A0F" w:rsidRPr="00EE77E9">
              <w:rPr>
                <w:rFonts w:ascii="Arial" w:hAnsi="Arial"/>
                <w:color w:val="auto"/>
                <w:sz w:val="24"/>
                <w:szCs w:val="24"/>
                <w:lang w:val="en-US"/>
              </w:rPr>
              <w:t>. In its founding affidavit under the heading ‘Urgency’ applicant endeavours to address this requirement. However, it does not address the core require</w:t>
            </w:r>
            <w:r w:rsidR="00C070C1" w:rsidRPr="00EE77E9">
              <w:rPr>
                <w:rFonts w:ascii="Arial" w:hAnsi="Arial"/>
                <w:color w:val="auto"/>
                <w:sz w:val="24"/>
                <w:szCs w:val="24"/>
                <w:lang w:val="en-US"/>
              </w:rPr>
              <w:t>ment</w:t>
            </w:r>
            <w:r w:rsidR="00645A0F" w:rsidRPr="00EE77E9">
              <w:rPr>
                <w:rFonts w:ascii="Arial" w:hAnsi="Arial"/>
                <w:color w:val="auto"/>
                <w:sz w:val="24"/>
                <w:szCs w:val="24"/>
                <w:lang w:val="en-US"/>
              </w:rPr>
              <w:t xml:space="preserve"> – why it cannot be afforded substantial redr</w:t>
            </w:r>
            <w:r w:rsidR="00EE77E9">
              <w:rPr>
                <w:rFonts w:ascii="Arial" w:hAnsi="Arial"/>
                <w:color w:val="auto"/>
                <w:sz w:val="24"/>
                <w:szCs w:val="24"/>
                <w:lang w:val="en-US"/>
              </w:rPr>
              <w:t>ess at a hearing in due course.</w:t>
            </w:r>
          </w:p>
          <w:p w14:paraId="2770C247" w14:textId="77777777" w:rsidR="00EE77E9" w:rsidRDefault="00EE77E9" w:rsidP="00EE77E9">
            <w:pPr>
              <w:pStyle w:val="ListParagraph"/>
              <w:rPr>
                <w:rFonts w:ascii="Arial" w:hAnsi="Arial"/>
                <w:sz w:val="24"/>
                <w:szCs w:val="24"/>
                <w:lang w:val="en-US"/>
              </w:rPr>
            </w:pPr>
          </w:p>
          <w:p w14:paraId="1AF00BC5" w14:textId="6E48A306" w:rsidR="00EE77E9" w:rsidRDefault="00645A0F" w:rsidP="00904448">
            <w:pPr>
              <w:pStyle w:val="Body"/>
              <w:numPr>
                <w:ilvl w:val="0"/>
                <w:numId w:val="31"/>
              </w:numPr>
              <w:spacing w:line="360" w:lineRule="auto"/>
              <w:ind w:left="20" w:firstLine="0"/>
              <w:jc w:val="both"/>
              <w:rPr>
                <w:rFonts w:ascii="Arial" w:hAnsi="Arial"/>
                <w:color w:val="auto"/>
                <w:sz w:val="24"/>
                <w:szCs w:val="24"/>
                <w:lang w:val="en-US"/>
              </w:rPr>
            </w:pPr>
            <w:r w:rsidRPr="00EE77E9">
              <w:rPr>
                <w:rFonts w:ascii="Arial" w:hAnsi="Arial"/>
                <w:color w:val="auto"/>
                <w:sz w:val="24"/>
                <w:szCs w:val="24"/>
                <w:lang w:val="en-US"/>
              </w:rPr>
              <w:t>In its letter of 17 February 2023</w:t>
            </w:r>
            <w:r w:rsidR="00EE77E9">
              <w:rPr>
                <w:rFonts w:ascii="Arial" w:hAnsi="Arial"/>
                <w:color w:val="auto"/>
                <w:sz w:val="24"/>
                <w:szCs w:val="24"/>
                <w:lang w:val="en-US"/>
              </w:rPr>
              <w:t>,</w:t>
            </w:r>
            <w:r w:rsidRPr="00EE77E9">
              <w:rPr>
                <w:rFonts w:ascii="Arial" w:hAnsi="Arial"/>
                <w:color w:val="auto"/>
                <w:sz w:val="24"/>
                <w:szCs w:val="24"/>
                <w:lang w:val="en-US"/>
              </w:rPr>
              <w:t xml:space="preserve"> Nampower</w:t>
            </w:r>
            <w:r w:rsidR="00EE77E9">
              <w:rPr>
                <w:rFonts w:ascii="Arial" w:hAnsi="Arial"/>
                <w:color w:val="auto"/>
                <w:sz w:val="24"/>
                <w:szCs w:val="24"/>
                <w:lang w:val="en-US"/>
              </w:rPr>
              <w:t>,</w:t>
            </w:r>
            <w:r w:rsidRPr="00EE77E9">
              <w:rPr>
                <w:rFonts w:ascii="Arial" w:hAnsi="Arial"/>
                <w:color w:val="auto"/>
                <w:sz w:val="24"/>
                <w:szCs w:val="24"/>
                <w:lang w:val="en-US"/>
              </w:rPr>
              <w:t xml:space="preserve"> is </w:t>
            </w:r>
            <w:r w:rsidR="0098094D" w:rsidRPr="00EE77E9">
              <w:rPr>
                <w:rFonts w:ascii="Arial" w:hAnsi="Arial"/>
                <w:color w:val="auto"/>
                <w:sz w:val="24"/>
                <w:szCs w:val="24"/>
                <w:lang w:val="en-US"/>
              </w:rPr>
              <w:t>in my view</w:t>
            </w:r>
            <w:r w:rsidR="00EE77E9">
              <w:rPr>
                <w:rFonts w:ascii="Arial" w:hAnsi="Arial"/>
                <w:color w:val="auto"/>
                <w:sz w:val="24"/>
                <w:szCs w:val="24"/>
                <w:lang w:val="en-US"/>
              </w:rPr>
              <w:t>,</w:t>
            </w:r>
            <w:r w:rsidR="0098094D" w:rsidRPr="00EE77E9">
              <w:rPr>
                <w:rFonts w:ascii="Arial" w:hAnsi="Arial"/>
                <w:color w:val="auto"/>
                <w:sz w:val="24"/>
                <w:szCs w:val="24"/>
                <w:lang w:val="en-US"/>
              </w:rPr>
              <w:t xml:space="preserve"> </w:t>
            </w:r>
            <w:r w:rsidRPr="00EE77E9">
              <w:rPr>
                <w:rFonts w:ascii="Arial" w:hAnsi="Arial"/>
                <w:color w:val="auto"/>
                <w:sz w:val="24"/>
                <w:szCs w:val="24"/>
                <w:lang w:val="en-US"/>
              </w:rPr>
              <w:t xml:space="preserve">unequivocal that if a transitional agreement or </w:t>
            </w:r>
            <w:r w:rsidR="00904448" w:rsidRPr="00EE77E9">
              <w:rPr>
                <w:rFonts w:ascii="Arial" w:hAnsi="Arial"/>
                <w:color w:val="auto"/>
                <w:sz w:val="24"/>
                <w:szCs w:val="24"/>
                <w:lang w:val="en-US"/>
              </w:rPr>
              <w:t>any other agreement in terms of which MTC may share Nampower’s infrastructure</w:t>
            </w:r>
            <w:r w:rsidR="0098094D" w:rsidRPr="00EE77E9">
              <w:rPr>
                <w:rFonts w:ascii="Arial" w:hAnsi="Arial"/>
                <w:color w:val="auto"/>
                <w:sz w:val="24"/>
                <w:szCs w:val="24"/>
                <w:lang w:val="en-US"/>
              </w:rPr>
              <w:t xml:space="preserve"> </w:t>
            </w:r>
            <w:r w:rsidR="0057786C" w:rsidRPr="00EE77E9">
              <w:rPr>
                <w:rFonts w:ascii="Arial" w:hAnsi="Arial"/>
                <w:color w:val="auto"/>
                <w:sz w:val="24"/>
                <w:szCs w:val="24"/>
                <w:lang w:val="en-US"/>
              </w:rPr>
              <w:t xml:space="preserve">beyond 28 February 2023 </w:t>
            </w:r>
            <w:r w:rsidR="0098094D" w:rsidRPr="00EE77E9">
              <w:rPr>
                <w:rFonts w:ascii="Arial" w:hAnsi="Arial"/>
                <w:color w:val="auto"/>
                <w:sz w:val="24"/>
                <w:szCs w:val="24"/>
                <w:lang w:val="en-US"/>
              </w:rPr>
              <w:t>is not reached</w:t>
            </w:r>
            <w:r w:rsidR="00B06452" w:rsidRPr="00EE77E9">
              <w:rPr>
                <w:rFonts w:ascii="Arial" w:hAnsi="Arial"/>
                <w:color w:val="auto"/>
                <w:sz w:val="24"/>
                <w:szCs w:val="24"/>
                <w:lang w:val="en-US"/>
              </w:rPr>
              <w:t xml:space="preserve"> between the parties</w:t>
            </w:r>
            <w:r w:rsidR="00904448" w:rsidRPr="00EE77E9">
              <w:rPr>
                <w:rFonts w:ascii="Arial" w:hAnsi="Arial"/>
                <w:color w:val="auto"/>
                <w:sz w:val="24"/>
                <w:szCs w:val="24"/>
                <w:lang w:val="en-US"/>
              </w:rPr>
              <w:t>, it will institute action proceedings, or any other appropriate proceedings</w:t>
            </w:r>
            <w:r w:rsidR="0057786C" w:rsidRPr="00EE77E9">
              <w:rPr>
                <w:rFonts w:ascii="Arial" w:hAnsi="Arial"/>
                <w:color w:val="auto"/>
                <w:sz w:val="24"/>
                <w:szCs w:val="24"/>
                <w:lang w:val="en-US"/>
              </w:rPr>
              <w:t>,</w:t>
            </w:r>
            <w:r w:rsidR="00B06452" w:rsidRPr="00EE77E9">
              <w:rPr>
                <w:rFonts w:ascii="Arial" w:hAnsi="Arial"/>
                <w:color w:val="auto"/>
                <w:sz w:val="24"/>
                <w:szCs w:val="24"/>
                <w:lang w:val="en-US"/>
              </w:rPr>
              <w:t xml:space="preserve"> to resolve the issue</w:t>
            </w:r>
            <w:r w:rsidR="00904448" w:rsidRPr="00EE77E9">
              <w:rPr>
                <w:rFonts w:ascii="Arial" w:hAnsi="Arial"/>
                <w:color w:val="auto"/>
                <w:sz w:val="24"/>
                <w:szCs w:val="24"/>
                <w:lang w:val="en-US"/>
              </w:rPr>
              <w:t xml:space="preserve">. </w:t>
            </w:r>
            <w:r w:rsidR="00B06452" w:rsidRPr="00EE77E9">
              <w:rPr>
                <w:rFonts w:ascii="Arial" w:hAnsi="Arial"/>
                <w:color w:val="auto"/>
                <w:sz w:val="24"/>
                <w:szCs w:val="24"/>
                <w:lang w:val="en-US"/>
              </w:rPr>
              <w:t xml:space="preserve">The essence thereof is repeated in Nampower’s answering affidavit. </w:t>
            </w:r>
            <w:r w:rsidR="00904448" w:rsidRPr="00EE77E9">
              <w:rPr>
                <w:rFonts w:ascii="Arial" w:hAnsi="Arial"/>
                <w:color w:val="auto"/>
                <w:sz w:val="24"/>
                <w:szCs w:val="24"/>
                <w:lang w:val="en-US"/>
              </w:rPr>
              <w:t xml:space="preserve">In my view this is clearly an indication that the </w:t>
            </w:r>
            <w:r w:rsidR="00904448" w:rsidRPr="00EE77E9">
              <w:rPr>
                <w:rFonts w:ascii="Arial" w:hAnsi="Arial"/>
                <w:i/>
                <w:iCs/>
                <w:color w:val="auto"/>
                <w:sz w:val="24"/>
                <w:szCs w:val="24"/>
                <w:lang w:val="en-US"/>
              </w:rPr>
              <w:t xml:space="preserve">status quo </w:t>
            </w:r>
            <w:r w:rsidR="00904448" w:rsidRPr="00EE77E9">
              <w:rPr>
                <w:rFonts w:ascii="Arial" w:hAnsi="Arial"/>
                <w:color w:val="auto"/>
                <w:sz w:val="24"/>
                <w:szCs w:val="24"/>
                <w:lang w:val="en-US"/>
              </w:rPr>
              <w:t xml:space="preserve">will be maintained and any dispute about the continuation thereof Nampower will </w:t>
            </w:r>
            <w:r w:rsidR="000F4E46" w:rsidRPr="00EE77E9">
              <w:rPr>
                <w:rFonts w:ascii="Arial" w:hAnsi="Arial"/>
                <w:color w:val="auto"/>
                <w:sz w:val="24"/>
                <w:szCs w:val="24"/>
                <w:lang w:val="en-US"/>
              </w:rPr>
              <w:t>pursue</w:t>
            </w:r>
            <w:r w:rsidR="00904448" w:rsidRPr="00EE77E9">
              <w:rPr>
                <w:rFonts w:ascii="Arial" w:hAnsi="Arial"/>
                <w:color w:val="auto"/>
                <w:sz w:val="24"/>
                <w:szCs w:val="24"/>
                <w:lang w:val="en-US"/>
              </w:rPr>
              <w:t xml:space="preserve"> adjudicat</w:t>
            </w:r>
            <w:r w:rsidR="000F4E46" w:rsidRPr="00EE77E9">
              <w:rPr>
                <w:rFonts w:ascii="Arial" w:hAnsi="Arial"/>
                <w:color w:val="auto"/>
                <w:sz w:val="24"/>
                <w:szCs w:val="24"/>
                <w:lang w:val="en-US"/>
              </w:rPr>
              <w:t>ion</w:t>
            </w:r>
            <w:r w:rsidR="00904448" w:rsidRPr="00EE77E9">
              <w:rPr>
                <w:rFonts w:ascii="Arial" w:hAnsi="Arial"/>
                <w:color w:val="auto"/>
                <w:sz w:val="24"/>
                <w:szCs w:val="24"/>
                <w:lang w:val="en-US"/>
              </w:rPr>
              <w:t xml:space="preserve"> on. That is clearly a hearing in due course. </w:t>
            </w:r>
            <w:r w:rsidR="00EE77E9">
              <w:rPr>
                <w:rFonts w:ascii="Arial" w:hAnsi="Arial"/>
                <w:color w:val="auto"/>
                <w:sz w:val="24"/>
                <w:szCs w:val="24"/>
                <w:lang w:val="en-US"/>
              </w:rPr>
              <w:t>MTC</w:t>
            </w:r>
            <w:r w:rsidR="00904448" w:rsidRPr="00EE77E9">
              <w:rPr>
                <w:rFonts w:ascii="Arial" w:hAnsi="Arial"/>
                <w:color w:val="auto"/>
                <w:sz w:val="24"/>
                <w:szCs w:val="24"/>
                <w:lang w:val="en-US"/>
              </w:rPr>
              <w:t xml:space="preserve"> does not show how it will </w:t>
            </w:r>
            <w:r w:rsidR="00B06452" w:rsidRPr="00EE77E9">
              <w:rPr>
                <w:rFonts w:ascii="Arial" w:hAnsi="Arial"/>
                <w:color w:val="auto"/>
                <w:sz w:val="24"/>
                <w:szCs w:val="24"/>
                <w:lang w:val="en-US"/>
              </w:rPr>
              <w:t xml:space="preserve">not </w:t>
            </w:r>
            <w:r w:rsidR="00904448" w:rsidRPr="00EE77E9">
              <w:rPr>
                <w:rFonts w:ascii="Arial" w:hAnsi="Arial"/>
                <w:color w:val="auto"/>
                <w:sz w:val="24"/>
                <w:szCs w:val="24"/>
                <w:lang w:val="en-US"/>
              </w:rPr>
              <w:t xml:space="preserve">obtain substantial redress at such hearing.  </w:t>
            </w:r>
            <w:r w:rsidR="00B06452" w:rsidRPr="00EE77E9">
              <w:rPr>
                <w:rFonts w:ascii="Arial" w:hAnsi="Arial"/>
                <w:color w:val="auto"/>
                <w:sz w:val="24"/>
                <w:szCs w:val="24"/>
                <w:lang w:val="en-US"/>
              </w:rPr>
              <w:t xml:space="preserve">It contends that Nampower’s commitment to follow an adjudication process is not good enough. </w:t>
            </w:r>
            <w:r w:rsidR="00904448" w:rsidRPr="00EE77E9">
              <w:rPr>
                <w:rFonts w:ascii="Arial" w:hAnsi="Arial"/>
                <w:color w:val="auto"/>
                <w:sz w:val="24"/>
                <w:szCs w:val="24"/>
                <w:lang w:val="en-US"/>
              </w:rPr>
              <w:t>Telecom</w:t>
            </w:r>
            <w:r w:rsidR="00C070C1" w:rsidRPr="00EE77E9">
              <w:rPr>
                <w:rFonts w:ascii="Arial" w:hAnsi="Arial"/>
                <w:color w:val="auto"/>
                <w:sz w:val="24"/>
                <w:szCs w:val="24"/>
                <w:lang w:val="en-US"/>
              </w:rPr>
              <w:t>, on the other hand,</w:t>
            </w:r>
            <w:r w:rsidR="00904448" w:rsidRPr="00EE77E9">
              <w:rPr>
                <w:rFonts w:ascii="Arial" w:hAnsi="Arial"/>
                <w:color w:val="auto"/>
                <w:sz w:val="24"/>
                <w:szCs w:val="24"/>
                <w:lang w:val="en-US"/>
              </w:rPr>
              <w:t xml:space="preserve"> </w:t>
            </w:r>
            <w:r w:rsidR="00B06452" w:rsidRPr="00EE77E9">
              <w:rPr>
                <w:rFonts w:ascii="Arial" w:hAnsi="Arial"/>
                <w:color w:val="auto"/>
                <w:sz w:val="24"/>
                <w:szCs w:val="24"/>
                <w:lang w:val="en-US"/>
              </w:rPr>
              <w:t>is clearly</w:t>
            </w:r>
            <w:r w:rsidR="00904448" w:rsidRPr="00EE77E9">
              <w:rPr>
                <w:rFonts w:ascii="Arial" w:hAnsi="Arial"/>
                <w:color w:val="auto"/>
                <w:sz w:val="24"/>
                <w:szCs w:val="24"/>
                <w:lang w:val="en-US"/>
              </w:rPr>
              <w:t xml:space="preserve"> satisfied with the prospect of this hearing in due course. </w:t>
            </w:r>
          </w:p>
          <w:p w14:paraId="563E3872" w14:textId="77777777" w:rsidR="00EE77E9" w:rsidRDefault="00EE77E9" w:rsidP="00EE77E9">
            <w:pPr>
              <w:pStyle w:val="ListParagraph"/>
              <w:rPr>
                <w:rFonts w:ascii="Arial" w:hAnsi="Arial"/>
                <w:sz w:val="24"/>
                <w:szCs w:val="24"/>
                <w:lang w:val="en-US"/>
              </w:rPr>
            </w:pPr>
          </w:p>
          <w:p w14:paraId="683238FC" w14:textId="1B2DDB6B" w:rsidR="00EE77E9" w:rsidRDefault="00904448" w:rsidP="007A6C9F">
            <w:pPr>
              <w:pStyle w:val="Body"/>
              <w:numPr>
                <w:ilvl w:val="0"/>
                <w:numId w:val="31"/>
              </w:numPr>
              <w:spacing w:line="360" w:lineRule="auto"/>
              <w:ind w:left="20" w:firstLine="0"/>
              <w:jc w:val="both"/>
              <w:rPr>
                <w:rFonts w:ascii="Arial" w:hAnsi="Arial"/>
                <w:color w:val="auto"/>
                <w:sz w:val="24"/>
                <w:szCs w:val="24"/>
                <w:lang w:val="en-US"/>
              </w:rPr>
            </w:pPr>
            <w:r w:rsidRPr="00EE77E9">
              <w:rPr>
                <w:rFonts w:ascii="Arial" w:hAnsi="Arial"/>
                <w:color w:val="auto"/>
                <w:sz w:val="24"/>
                <w:szCs w:val="24"/>
                <w:lang w:val="en-US"/>
              </w:rPr>
              <w:lastRenderedPageBreak/>
              <w:t>In my view</w:t>
            </w:r>
            <w:r w:rsidR="00EE77E9">
              <w:rPr>
                <w:rFonts w:ascii="Arial" w:hAnsi="Arial"/>
                <w:color w:val="auto"/>
                <w:sz w:val="24"/>
                <w:szCs w:val="24"/>
                <w:lang w:val="en-US"/>
              </w:rPr>
              <w:t>,</w:t>
            </w:r>
            <w:r w:rsidRPr="00EE77E9">
              <w:rPr>
                <w:rFonts w:ascii="Arial" w:hAnsi="Arial"/>
                <w:color w:val="auto"/>
                <w:sz w:val="24"/>
                <w:szCs w:val="24"/>
                <w:lang w:val="en-US"/>
              </w:rPr>
              <w:t xml:space="preserve"> </w:t>
            </w:r>
            <w:r w:rsidR="00B06452" w:rsidRPr="00EE77E9">
              <w:rPr>
                <w:rFonts w:ascii="Arial" w:hAnsi="Arial"/>
                <w:color w:val="auto"/>
                <w:sz w:val="24"/>
                <w:szCs w:val="24"/>
                <w:lang w:val="en-US"/>
              </w:rPr>
              <w:t xml:space="preserve">MTC is not reasonable in rejecting Nampower’s commitment to maintain the </w:t>
            </w:r>
            <w:r w:rsidR="00B06452" w:rsidRPr="00EE77E9">
              <w:rPr>
                <w:rFonts w:ascii="Arial" w:hAnsi="Arial"/>
                <w:i/>
                <w:iCs/>
                <w:color w:val="auto"/>
                <w:sz w:val="24"/>
                <w:szCs w:val="24"/>
                <w:lang w:val="en-US"/>
              </w:rPr>
              <w:t>status quo</w:t>
            </w:r>
            <w:r w:rsidRPr="00EE77E9">
              <w:rPr>
                <w:rFonts w:ascii="Arial" w:hAnsi="Arial"/>
                <w:color w:val="auto"/>
                <w:sz w:val="24"/>
                <w:szCs w:val="24"/>
                <w:lang w:val="en-US"/>
              </w:rPr>
              <w:t xml:space="preserve"> </w:t>
            </w:r>
            <w:r w:rsidR="00B06452" w:rsidRPr="00EE77E9">
              <w:rPr>
                <w:rFonts w:ascii="Arial" w:hAnsi="Arial"/>
                <w:color w:val="auto"/>
                <w:sz w:val="24"/>
                <w:szCs w:val="24"/>
                <w:lang w:val="en-US"/>
              </w:rPr>
              <w:t xml:space="preserve">until the matter had been adjudicated upon. </w:t>
            </w:r>
            <w:r w:rsidR="000F4E46" w:rsidRPr="00EE77E9">
              <w:rPr>
                <w:rFonts w:ascii="Arial" w:hAnsi="Arial"/>
                <w:color w:val="auto"/>
                <w:sz w:val="24"/>
                <w:szCs w:val="24"/>
                <w:lang w:val="en-US"/>
              </w:rPr>
              <w:t xml:space="preserve">Consequently, </w:t>
            </w:r>
            <w:r w:rsidR="00B06452" w:rsidRPr="00EE77E9">
              <w:rPr>
                <w:rFonts w:ascii="Arial" w:hAnsi="Arial"/>
                <w:color w:val="auto"/>
                <w:sz w:val="24"/>
                <w:szCs w:val="24"/>
                <w:lang w:val="en-US"/>
              </w:rPr>
              <w:t xml:space="preserve">MTC </w:t>
            </w:r>
            <w:r w:rsidRPr="00EE77E9">
              <w:rPr>
                <w:rFonts w:ascii="Arial" w:hAnsi="Arial"/>
                <w:color w:val="auto"/>
                <w:sz w:val="24"/>
                <w:szCs w:val="24"/>
                <w:lang w:val="en-US"/>
              </w:rPr>
              <w:t>failed to com</w:t>
            </w:r>
            <w:r w:rsidR="00EE77E9">
              <w:rPr>
                <w:rFonts w:ascii="Arial" w:hAnsi="Arial"/>
                <w:color w:val="auto"/>
                <w:sz w:val="24"/>
                <w:szCs w:val="24"/>
                <w:lang w:val="en-US"/>
              </w:rPr>
              <w:t>ply with the requirement in sub</w:t>
            </w:r>
            <w:r w:rsidRPr="00EE77E9">
              <w:rPr>
                <w:rFonts w:ascii="Arial" w:hAnsi="Arial"/>
                <w:color w:val="auto"/>
                <w:sz w:val="24"/>
                <w:szCs w:val="24"/>
                <w:lang w:val="en-US"/>
              </w:rPr>
              <w:t>rule 73(4)(</w:t>
            </w:r>
            <w:r w:rsidRPr="00EE77E9">
              <w:rPr>
                <w:rFonts w:ascii="Arial" w:hAnsi="Arial"/>
                <w:i/>
                <w:color w:val="auto"/>
                <w:sz w:val="24"/>
                <w:szCs w:val="24"/>
                <w:lang w:val="en-US"/>
              </w:rPr>
              <w:t>b</w:t>
            </w:r>
            <w:r w:rsidRPr="00EE77E9">
              <w:rPr>
                <w:rFonts w:ascii="Arial" w:hAnsi="Arial"/>
                <w:color w:val="auto"/>
                <w:sz w:val="24"/>
                <w:szCs w:val="24"/>
                <w:lang w:val="en-US"/>
              </w:rPr>
              <w:t xml:space="preserve">) </w:t>
            </w:r>
            <w:r w:rsidR="000F4E46" w:rsidRPr="00EE77E9">
              <w:rPr>
                <w:rFonts w:ascii="Arial" w:hAnsi="Arial"/>
                <w:color w:val="auto"/>
                <w:sz w:val="24"/>
                <w:szCs w:val="24"/>
                <w:lang w:val="en-US"/>
              </w:rPr>
              <w:t>of the rules</w:t>
            </w:r>
            <w:r w:rsidR="00EE77E9">
              <w:rPr>
                <w:rFonts w:ascii="Arial" w:hAnsi="Arial"/>
                <w:color w:val="auto"/>
                <w:sz w:val="24"/>
                <w:szCs w:val="24"/>
                <w:lang w:val="en-US"/>
              </w:rPr>
              <w:t xml:space="preserve"> of this court</w:t>
            </w:r>
            <w:r w:rsidR="000F4E46" w:rsidRPr="00EE77E9">
              <w:rPr>
                <w:rFonts w:ascii="Arial" w:hAnsi="Arial"/>
                <w:color w:val="auto"/>
                <w:sz w:val="24"/>
                <w:szCs w:val="24"/>
                <w:lang w:val="en-US"/>
              </w:rPr>
              <w:t xml:space="preserve"> </w:t>
            </w:r>
            <w:r w:rsidRPr="00EE77E9">
              <w:rPr>
                <w:rFonts w:ascii="Arial" w:hAnsi="Arial"/>
                <w:color w:val="auto"/>
                <w:sz w:val="24"/>
                <w:szCs w:val="24"/>
                <w:lang w:val="en-US"/>
              </w:rPr>
              <w:t xml:space="preserve">and </w:t>
            </w:r>
            <w:r w:rsidR="00B06452" w:rsidRPr="00EE77E9">
              <w:rPr>
                <w:rFonts w:ascii="Arial" w:hAnsi="Arial"/>
                <w:color w:val="auto"/>
                <w:sz w:val="24"/>
                <w:szCs w:val="24"/>
                <w:lang w:val="en-US"/>
              </w:rPr>
              <w:t>as such</w:t>
            </w:r>
            <w:r w:rsidRPr="00EE77E9">
              <w:rPr>
                <w:rFonts w:ascii="Arial" w:hAnsi="Arial"/>
                <w:color w:val="auto"/>
                <w:sz w:val="24"/>
                <w:szCs w:val="24"/>
                <w:lang w:val="en-US"/>
              </w:rPr>
              <w:t xml:space="preserve"> failed to establish urgency in this matter. </w:t>
            </w:r>
          </w:p>
          <w:p w14:paraId="2EF975F1" w14:textId="77777777" w:rsidR="00EE77E9" w:rsidRDefault="00EE77E9" w:rsidP="00EE77E9">
            <w:pPr>
              <w:pStyle w:val="ListParagraph"/>
              <w:rPr>
                <w:rFonts w:ascii="Arial" w:hAnsi="Arial"/>
                <w:sz w:val="24"/>
                <w:szCs w:val="24"/>
                <w:lang w:val="en-US"/>
              </w:rPr>
            </w:pPr>
          </w:p>
          <w:p w14:paraId="53099978" w14:textId="69C112C1" w:rsidR="00097233" w:rsidRPr="00EE77E9" w:rsidRDefault="007A6C9F" w:rsidP="007A6C9F">
            <w:pPr>
              <w:pStyle w:val="Body"/>
              <w:numPr>
                <w:ilvl w:val="0"/>
                <w:numId w:val="31"/>
              </w:numPr>
              <w:spacing w:line="360" w:lineRule="auto"/>
              <w:ind w:left="20" w:firstLine="0"/>
              <w:jc w:val="both"/>
              <w:rPr>
                <w:rFonts w:ascii="Arial" w:hAnsi="Arial"/>
                <w:color w:val="auto"/>
                <w:sz w:val="24"/>
                <w:szCs w:val="24"/>
                <w:lang w:val="en-US"/>
              </w:rPr>
            </w:pPr>
            <w:r w:rsidRPr="00EE77E9">
              <w:rPr>
                <w:rFonts w:ascii="Arial" w:hAnsi="Arial"/>
                <w:color w:val="auto"/>
                <w:sz w:val="24"/>
                <w:szCs w:val="24"/>
                <w:lang w:val="en-US"/>
              </w:rPr>
              <w:t>Accordingly, I ma</w:t>
            </w:r>
            <w:r w:rsidR="00C070C1" w:rsidRPr="00EE77E9">
              <w:rPr>
                <w:rFonts w:ascii="Arial" w:hAnsi="Arial"/>
                <w:color w:val="auto"/>
                <w:sz w:val="24"/>
                <w:szCs w:val="24"/>
                <w:lang w:val="en-US"/>
              </w:rPr>
              <w:t>d</w:t>
            </w:r>
            <w:r w:rsidRPr="00EE77E9">
              <w:rPr>
                <w:rFonts w:ascii="Arial" w:hAnsi="Arial"/>
                <w:color w:val="auto"/>
                <w:sz w:val="24"/>
                <w:szCs w:val="24"/>
                <w:lang w:val="en-US"/>
              </w:rPr>
              <w:t>e the following order</w:t>
            </w:r>
            <w:r w:rsidR="00C070C1" w:rsidRPr="00EE77E9">
              <w:rPr>
                <w:rFonts w:ascii="Arial" w:hAnsi="Arial"/>
                <w:color w:val="auto"/>
                <w:sz w:val="24"/>
                <w:szCs w:val="24"/>
                <w:lang w:val="en-US"/>
              </w:rPr>
              <w:t xml:space="preserve"> on 28 February 2023</w:t>
            </w:r>
            <w:r w:rsidRPr="00EE77E9">
              <w:rPr>
                <w:rFonts w:ascii="Arial" w:hAnsi="Arial"/>
                <w:color w:val="auto"/>
                <w:sz w:val="24"/>
                <w:szCs w:val="24"/>
                <w:lang w:val="en-US"/>
              </w:rPr>
              <w:t>:</w:t>
            </w:r>
          </w:p>
          <w:p w14:paraId="519309BA" w14:textId="77777777" w:rsidR="007A6C9F" w:rsidRPr="001D6B3F" w:rsidRDefault="007A6C9F" w:rsidP="007A6C9F">
            <w:pPr>
              <w:pStyle w:val="Body"/>
              <w:spacing w:line="360" w:lineRule="auto"/>
              <w:jc w:val="both"/>
              <w:rPr>
                <w:rFonts w:ascii="Arial" w:hAnsi="Arial"/>
                <w:color w:val="auto"/>
                <w:sz w:val="24"/>
                <w:szCs w:val="24"/>
                <w:lang w:val="en-US"/>
              </w:rPr>
            </w:pPr>
          </w:p>
          <w:p w14:paraId="255350D1" w14:textId="77777777" w:rsidR="00904448" w:rsidRPr="00EE77E9" w:rsidRDefault="00904448" w:rsidP="003C597B">
            <w:pPr>
              <w:pStyle w:val="ListParagraph"/>
              <w:numPr>
                <w:ilvl w:val="0"/>
                <w:numId w:val="27"/>
              </w:numPr>
              <w:pBdr>
                <w:top w:val="nil"/>
                <w:left w:val="nil"/>
                <w:bottom w:val="nil"/>
                <w:right w:val="nil"/>
                <w:between w:val="nil"/>
                <w:bar w:val="nil"/>
              </w:pBdr>
              <w:spacing w:line="360" w:lineRule="auto"/>
              <w:ind w:left="1445" w:hanging="720"/>
              <w:jc w:val="both"/>
              <w:rPr>
                <w:rFonts w:ascii="Arial" w:hAnsi="Arial" w:cs="Arial"/>
                <w:sz w:val="24"/>
                <w:szCs w:val="24"/>
              </w:rPr>
            </w:pPr>
            <w:r>
              <w:rPr>
                <w:rFonts w:ascii="Arial" w:hAnsi="Arial" w:cs="Arial"/>
                <w:sz w:val="24"/>
                <w:szCs w:val="24"/>
                <w:lang w:val="en-US"/>
              </w:rPr>
              <w:t>The application is struck from the roll for lack of urgency</w:t>
            </w:r>
            <w:r w:rsidRPr="000517D9">
              <w:rPr>
                <w:rFonts w:ascii="Arial" w:hAnsi="Arial" w:cs="Arial"/>
                <w:sz w:val="24"/>
                <w:szCs w:val="24"/>
                <w:lang w:val="en-US"/>
              </w:rPr>
              <w:t>.</w:t>
            </w:r>
          </w:p>
          <w:p w14:paraId="332E73BF" w14:textId="77777777" w:rsidR="00EE77E9" w:rsidRPr="000517D9" w:rsidRDefault="00EE77E9" w:rsidP="003C597B">
            <w:pPr>
              <w:pStyle w:val="ListParagraph"/>
              <w:pBdr>
                <w:top w:val="nil"/>
                <w:left w:val="nil"/>
                <w:bottom w:val="nil"/>
                <w:right w:val="nil"/>
                <w:between w:val="nil"/>
                <w:bar w:val="nil"/>
              </w:pBdr>
              <w:spacing w:line="360" w:lineRule="auto"/>
              <w:ind w:left="1445" w:hanging="720"/>
              <w:jc w:val="both"/>
              <w:rPr>
                <w:rFonts w:ascii="Arial" w:hAnsi="Arial" w:cs="Arial"/>
                <w:sz w:val="24"/>
                <w:szCs w:val="24"/>
              </w:rPr>
            </w:pPr>
          </w:p>
          <w:p w14:paraId="50881B48" w14:textId="04E4E26D" w:rsidR="00097233" w:rsidRPr="001D6B3F" w:rsidRDefault="00EE77E9" w:rsidP="003C597B">
            <w:pPr>
              <w:pStyle w:val="ListParagraph"/>
              <w:numPr>
                <w:ilvl w:val="0"/>
                <w:numId w:val="27"/>
              </w:numPr>
              <w:pBdr>
                <w:top w:val="nil"/>
                <w:left w:val="nil"/>
                <w:bottom w:val="nil"/>
                <w:right w:val="nil"/>
                <w:between w:val="nil"/>
                <w:bar w:val="nil"/>
              </w:pBdr>
              <w:spacing w:line="360" w:lineRule="auto"/>
              <w:ind w:left="1445" w:hanging="720"/>
              <w:jc w:val="both"/>
              <w:rPr>
                <w:rFonts w:ascii="Arial" w:hAnsi="Arial"/>
                <w:sz w:val="24"/>
                <w:szCs w:val="24"/>
              </w:rPr>
            </w:pPr>
            <w:r>
              <w:rPr>
                <w:rFonts w:ascii="Arial" w:hAnsi="Arial"/>
                <w:sz w:val="24"/>
                <w:szCs w:val="24"/>
              </w:rPr>
              <w:t>The a</w:t>
            </w:r>
            <w:r w:rsidR="00904448">
              <w:rPr>
                <w:rFonts w:ascii="Arial" w:hAnsi="Arial"/>
                <w:sz w:val="24"/>
                <w:szCs w:val="24"/>
              </w:rPr>
              <w:t>pplicant shall pay</w:t>
            </w:r>
            <w:r>
              <w:rPr>
                <w:rFonts w:ascii="Arial" w:hAnsi="Arial"/>
                <w:sz w:val="24"/>
                <w:szCs w:val="24"/>
              </w:rPr>
              <w:t xml:space="preserve"> the</w:t>
            </w:r>
            <w:r w:rsidR="00904448">
              <w:rPr>
                <w:rFonts w:ascii="Arial" w:hAnsi="Arial"/>
                <w:sz w:val="24"/>
                <w:szCs w:val="24"/>
              </w:rPr>
              <w:t xml:space="preserve"> first</w:t>
            </w:r>
            <w:r>
              <w:rPr>
                <w:rFonts w:ascii="Arial" w:hAnsi="Arial"/>
                <w:sz w:val="24"/>
                <w:szCs w:val="24"/>
              </w:rPr>
              <w:t xml:space="preserve"> respondent’s costs to include</w:t>
            </w:r>
            <w:r w:rsidR="00904448">
              <w:rPr>
                <w:rFonts w:ascii="Arial" w:hAnsi="Arial"/>
                <w:sz w:val="24"/>
                <w:szCs w:val="24"/>
              </w:rPr>
              <w:t xml:space="preserve"> the costs of one instructing and one instructed counsel.</w:t>
            </w:r>
          </w:p>
        </w:tc>
      </w:tr>
      <w:tr w:rsidR="001D6B3F" w:rsidRPr="001D6B3F" w14:paraId="669CD305" w14:textId="77777777" w:rsidTr="00004108">
        <w:tc>
          <w:tcPr>
            <w:tcW w:w="4770" w:type="dxa"/>
          </w:tcPr>
          <w:p w14:paraId="52935D9E" w14:textId="15D7B79A" w:rsidR="009C2E53" w:rsidRPr="001D6B3F" w:rsidRDefault="00C070C1" w:rsidP="00EE77E9">
            <w:pPr>
              <w:spacing w:line="360" w:lineRule="auto"/>
              <w:jc w:val="center"/>
              <w:rPr>
                <w:rFonts w:ascii="Arial" w:hAnsi="Arial" w:cs="Arial"/>
                <w:b/>
                <w:sz w:val="24"/>
                <w:szCs w:val="24"/>
              </w:rPr>
            </w:pPr>
            <w:r>
              <w:rPr>
                <w:rFonts w:ascii="Arial" w:hAnsi="Arial" w:cs="Arial"/>
                <w:b/>
                <w:sz w:val="24"/>
                <w:szCs w:val="24"/>
              </w:rPr>
              <w:lastRenderedPageBreak/>
              <w:t>Judge’s Signature</w:t>
            </w:r>
          </w:p>
        </w:tc>
        <w:tc>
          <w:tcPr>
            <w:tcW w:w="5706" w:type="dxa"/>
            <w:gridSpan w:val="2"/>
          </w:tcPr>
          <w:p w14:paraId="7A7B4897" w14:textId="77777777" w:rsidR="009C2E53" w:rsidRPr="001D6B3F" w:rsidRDefault="009C2E53" w:rsidP="007A6C9F">
            <w:pPr>
              <w:spacing w:line="360" w:lineRule="auto"/>
              <w:jc w:val="center"/>
              <w:rPr>
                <w:rFonts w:ascii="Arial" w:hAnsi="Arial" w:cs="Arial"/>
                <w:b/>
                <w:sz w:val="24"/>
                <w:szCs w:val="24"/>
              </w:rPr>
            </w:pPr>
            <w:r w:rsidRPr="001D6B3F">
              <w:rPr>
                <w:rFonts w:ascii="Arial" w:hAnsi="Arial" w:cs="Arial"/>
                <w:b/>
                <w:sz w:val="24"/>
                <w:szCs w:val="24"/>
              </w:rPr>
              <w:t>Note to the parties:</w:t>
            </w:r>
          </w:p>
        </w:tc>
      </w:tr>
      <w:tr w:rsidR="001D6B3F" w:rsidRPr="001D6B3F" w14:paraId="6F11AF53" w14:textId="77777777" w:rsidTr="00004108">
        <w:trPr>
          <w:trHeight w:val="1114"/>
        </w:trPr>
        <w:tc>
          <w:tcPr>
            <w:tcW w:w="4770" w:type="dxa"/>
          </w:tcPr>
          <w:p w14:paraId="295864EC" w14:textId="0CFA4F1F" w:rsidR="009C2E53" w:rsidRPr="00C070C1" w:rsidRDefault="00C070C1" w:rsidP="007A6C9F">
            <w:pPr>
              <w:spacing w:line="360" w:lineRule="auto"/>
              <w:jc w:val="both"/>
              <w:rPr>
                <w:rFonts w:ascii="Arial" w:hAnsi="Arial" w:cs="Arial"/>
                <w:b/>
                <w:bCs/>
                <w:sz w:val="24"/>
                <w:szCs w:val="24"/>
              </w:rPr>
            </w:pPr>
            <w:r>
              <w:rPr>
                <w:rFonts w:ascii="Arial" w:hAnsi="Arial" w:cs="Arial"/>
                <w:sz w:val="24"/>
                <w:szCs w:val="24"/>
              </w:rPr>
              <w:t xml:space="preserve">   </w:t>
            </w:r>
          </w:p>
          <w:p w14:paraId="3F24801C" w14:textId="64CE8A88" w:rsidR="006541D3" w:rsidRPr="001D6B3F" w:rsidRDefault="00EB6FB8" w:rsidP="00EB6FB8">
            <w:pPr>
              <w:spacing w:line="360" w:lineRule="auto"/>
              <w:jc w:val="center"/>
              <w:rPr>
                <w:rFonts w:ascii="Arial" w:hAnsi="Arial" w:cs="Arial"/>
                <w:sz w:val="24"/>
                <w:szCs w:val="24"/>
              </w:rPr>
            </w:pPr>
            <w:r w:rsidRPr="00EB6FB8">
              <w:rPr>
                <w:rFonts w:ascii="Arial" w:hAnsi="Arial" w:cs="Arial"/>
                <w:sz w:val="24"/>
                <w:szCs w:val="24"/>
                <w:lang w:val="en-US"/>
              </w:rPr>
              <w:t>Justice Coleman</w:t>
            </w:r>
          </w:p>
          <w:p w14:paraId="76538BDC" w14:textId="77777777" w:rsidR="00767C2D" w:rsidRPr="001D6B3F" w:rsidRDefault="00767C2D" w:rsidP="007A6C9F">
            <w:pPr>
              <w:spacing w:line="360" w:lineRule="auto"/>
              <w:jc w:val="both"/>
              <w:rPr>
                <w:rFonts w:ascii="Arial" w:hAnsi="Arial" w:cs="Arial"/>
                <w:sz w:val="24"/>
                <w:szCs w:val="24"/>
              </w:rPr>
            </w:pPr>
          </w:p>
          <w:p w14:paraId="7E296104" w14:textId="77777777" w:rsidR="009C2E53" w:rsidRPr="001D6B3F" w:rsidRDefault="009C2E53" w:rsidP="007A6C9F">
            <w:pPr>
              <w:spacing w:line="360" w:lineRule="auto"/>
              <w:jc w:val="both"/>
              <w:rPr>
                <w:rFonts w:ascii="Arial" w:hAnsi="Arial" w:cs="Arial"/>
                <w:sz w:val="24"/>
                <w:szCs w:val="24"/>
              </w:rPr>
            </w:pPr>
          </w:p>
        </w:tc>
        <w:tc>
          <w:tcPr>
            <w:tcW w:w="5706" w:type="dxa"/>
            <w:gridSpan w:val="2"/>
          </w:tcPr>
          <w:p w14:paraId="4C4AE70A" w14:textId="77777777" w:rsidR="00EE77E9" w:rsidRDefault="00EE77E9" w:rsidP="00EE77E9">
            <w:pPr>
              <w:spacing w:line="360" w:lineRule="auto"/>
              <w:jc w:val="center"/>
              <w:rPr>
                <w:rFonts w:ascii="Arial" w:hAnsi="Arial" w:cs="Arial"/>
                <w:sz w:val="24"/>
                <w:szCs w:val="24"/>
              </w:rPr>
            </w:pPr>
          </w:p>
          <w:p w14:paraId="147BDE73" w14:textId="77777777" w:rsidR="009C2E53" w:rsidRPr="001D6B3F" w:rsidRDefault="009C2E53" w:rsidP="00EE77E9">
            <w:pPr>
              <w:spacing w:line="360" w:lineRule="auto"/>
              <w:jc w:val="center"/>
              <w:rPr>
                <w:rFonts w:ascii="Arial" w:hAnsi="Arial" w:cs="Arial"/>
                <w:sz w:val="24"/>
                <w:szCs w:val="24"/>
              </w:rPr>
            </w:pPr>
            <w:r w:rsidRPr="001D6B3F">
              <w:rPr>
                <w:rFonts w:ascii="Arial" w:hAnsi="Arial" w:cs="Arial"/>
                <w:sz w:val="24"/>
                <w:szCs w:val="24"/>
              </w:rPr>
              <w:t>Not applicable.</w:t>
            </w:r>
          </w:p>
        </w:tc>
      </w:tr>
      <w:tr w:rsidR="001D6B3F" w:rsidRPr="001D6B3F" w14:paraId="0E0AAC03" w14:textId="77777777" w:rsidTr="00004108">
        <w:tc>
          <w:tcPr>
            <w:tcW w:w="10476" w:type="dxa"/>
            <w:gridSpan w:val="3"/>
          </w:tcPr>
          <w:p w14:paraId="14800348" w14:textId="77777777" w:rsidR="009C2E53" w:rsidRPr="001D6B3F" w:rsidRDefault="009C2E53" w:rsidP="007A6C9F">
            <w:pPr>
              <w:spacing w:line="360" w:lineRule="auto"/>
              <w:jc w:val="center"/>
              <w:rPr>
                <w:rFonts w:ascii="Arial" w:hAnsi="Arial" w:cs="Arial"/>
                <w:b/>
                <w:sz w:val="24"/>
                <w:szCs w:val="24"/>
              </w:rPr>
            </w:pPr>
            <w:r w:rsidRPr="001D6B3F">
              <w:rPr>
                <w:rFonts w:ascii="Arial" w:hAnsi="Arial" w:cs="Arial"/>
                <w:b/>
                <w:sz w:val="24"/>
                <w:szCs w:val="24"/>
              </w:rPr>
              <w:t>Counsel:</w:t>
            </w:r>
          </w:p>
        </w:tc>
      </w:tr>
      <w:tr w:rsidR="001D6B3F" w:rsidRPr="001D6B3F" w14:paraId="7F087206" w14:textId="77777777" w:rsidTr="00004108">
        <w:tc>
          <w:tcPr>
            <w:tcW w:w="4770" w:type="dxa"/>
          </w:tcPr>
          <w:p w14:paraId="4A75B42C" w14:textId="77777777" w:rsidR="009C2E53" w:rsidRPr="001D6B3F" w:rsidRDefault="00EF1256" w:rsidP="007A6C9F">
            <w:pPr>
              <w:spacing w:line="360" w:lineRule="auto"/>
              <w:jc w:val="center"/>
              <w:rPr>
                <w:rFonts w:ascii="Arial" w:hAnsi="Arial" w:cs="Arial"/>
                <w:b/>
                <w:sz w:val="24"/>
                <w:szCs w:val="24"/>
              </w:rPr>
            </w:pPr>
            <w:r w:rsidRPr="001D6B3F">
              <w:rPr>
                <w:rFonts w:ascii="Arial" w:hAnsi="Arial" w:cs="Arial"/>
                <w:b/>
                <w:sz w:val="24"/>
                <w:szCs w:val="24"/>
                <w:lang w:val="de-DE"/>
              </w:rPr>
              <w:t>Applicant</w:t>
            </w:r>
          </w:p>
        </w:tc>
        <w:tc>
          <w:tcPr>
            <w:tcW w:w="5706" w:type="dxa"/>
            <w:gridSpan w:val="2"/>
          </w:tcPr>
          <w:p w14:paraId="208DE7F5" w14:textId="456CF80B" w:rsidR="009C2E53" w:rsidRPr="001D6B3F" w:rsidRDefault="00DC6364" w:rsidP="007A6C9F">
            <w:pPr>
              <w:spacing w:line="360" w:lineRule="auto"/>
              <w:jc w:val="center"/>
              <w:rPr>
                <w:rFonts w:ascii="Arial" w:hAnsi="Arial" w:cs="Arial"/>
                <w:b/>
                <w:sz w:val="24"/>
                <w:szCs w:val="24"/>
              </w:rPr>
            </w:pPr>
            <w:r w:rsidRPr="001D6B3F">
              <w:rPr>
                <w:rFonts w:ascii="Arial" w:hAnsi="Arial" w:cs="Arial"/>
                <w:b/>
                <w:sz w:val="24"/>
                <w:szCs w:val="24"/>
              </w:rPr>
              <w:t xml:space="preserve"> </w:t>
            </w:r>
            <w:r w:rsidR="00C070C1">
              <w:rPr>
                <w:rFonts w:ascii="Arial" w:hAnsi="Arial" w:cs="Arial"/>
                <w:b/>
                <w:sz w:val="24"/>
                <w:szCs w:val="24"/>
              </w:rPr>
              <w:t xml:space="preserve">First </w:t>
            </w:r>
            <w:r w:rsidR="00EF1256" w:rsidRPr="001D6B3F">
              <w:rPr>
                <w:rFonts w:ascii="Arial" w:hAnsi="Arial" w:cs="Arial"/>
                <w:b/>
                <w:sz w:val="24"/>
                <w:szCs w:val="24"/>
                <w:lang w:val="en-US"/>
              </w:rPr>
              <w:t>Respondent</w:t>
            </w:r>
          </w:p>
        </w:tc>
      </w:tr>
      <w:tr w:rsidR="001D6B3F" w:rsidRPr="001D6B3F" w14:paraId="4A32A77D" w14:textId="77777777" w:rsidTr="00EE77E9">
        <w:trPr>
          <w:trHeight w:val="1752"/>
        </w:trPr>
        <w:tc>
          <w:tcPr>
            <w:tcW w:w="4770" w:type="dxa"/>
          </w:tcPr>
          <w:p w14:paraId="020B5016" w14:textId="77777777" w:rsidR="00AB71DC" w:rsidRPr="001D6B3F" w:rsidRDefault="00AB71DC" w:rsidP="007A6C9F">
            <w:pPr>
              <w:pStyle w:val="Body"/>
              <w:tabs>
                <w:tab w:val="left" w:pos="1394"/>
                <w:tab w:val="left" w:pos="2528"/>
                <w:tab w:val="left" w:pos="3780"/>
              </w:tabs>
              <w:spacing w:line="360" w:lineRule="auto"/>
              <w:rPr>
                <w:rFonts w:ascii="Arial" w:hAnsi="Arial" w:cs="Arial"/>
                <w:color w:val="auto"/>
                <w:sz w:val="24"/>
                <w:szCs w:val="24"/>
                <w:lang w:val="de-DE"/>
              </w:rPr>
            </w:pPr>
          </w:p>
          <w:p w14:paraId="070C11DF" w14:textId="11BDCCEC" w:rsidR="00EF1256" w:rsidRDefault="00FD7D0D" w:rsidP="00EF1256">
            <w:pPr>
              <w:pStyle w:val="Body"/>
              <w:spacing w:line="360" w:lineRule="auto"/>
              <w:jc w:val="center"/>
              <w:rPr>
                <w:rFonts w:ascii="Arial" w:hAnsi="Arial" w:cs="Arial"/>
                <w:color w:val="auto"/>
                <w:sz w:val="24"/>
                <w:szCs w:val="24"/>
              </w:rPr>
            </w:pPr>
            <w:r>
              <w:rPr>
                <w:rFonts w:ascii="Arial" w:hAnsi="Arial" w:cs="Arial"/>
                <w:color w:val="auto"/>
                <w:sz w:val="24"/>
                <w:szCs w:val="24"/>
              </w:rPr>
              <w:t xml:space="preserve">Adv </w:t>
            </w:r>
            <w:r w:rsidR="00904448">
              <w:rPr>
                <w:rFonts w:ascii="Arial" w:hAnsi="Arial" w:cs="Arial"/>
                <w:color w:val="auto"/>
                <w:sz w:val="24"/>
                <w:szCs w:val="24"/>
              </w:rPr>
              <w:t>Bhana</w:t>
            </w:r>
            <w:r>
              <w:rPr>
                <w:rFonts w:ascii="Arial" w:hAnsi="Arial" w:cs="Arial"/>
                <w:color w:val="auto"/>
                <w:sz w:val="24"/>
                <w:szCs w:val="24"/>
              </w:rPr>
              <w:t xml:space="preserve"> SC</w:t>
            </w:r>
          </w:p>
          <w:p w14:paraId="304C5BB3" w14:textId="2AA17764" w:rsidR="00FD7D0D" w:rsidRDefault="00FD7D0D" w:rsidP="00EF1256">
            <w:pPr>
              <w:pStyle w:val="Body"/>
              <w:spacing w:line="360" w:lineRule="auto"/>
              <w:jc w:val="center"/>
              <w:rPr>
                <w:rFonts w:ascii="Arial" w:hAnsi="Arial" w:cs="Arial"/>
                <w:color w:val="auto"/>
                <w:sz w:val="24"/>
                <w:szCs w:val="24"/>
              </w:rPr>
            </w:pPr>
            <w:r>
              <w:rPr>
                <w:rFonts w:ascii="Arial" w:hAnsi="Arial" w:cs="Arial"/>
                <w:color w:val="auto"/>
                <w:sz w:val="24"/>
                <w:szCs w:val="24"/>
              </w:rPr>
              <w:t>Assisted by Adv D</w:t>
            </w:r>
            <w:r w:rsidR="00904448">
              <w:rPr>
                <w:rFonts w:ascii="Arial" w:hAnsi="Arial" w:cs="Arial"/>
                <w:color w:val="auto"/>
                <w:sz w:val="24"/>
                <w:szCs w:val="24"/>
              </w:rPr>
              <w:t>afel and Adv Kauta</w:t>
            </w:r>
          </w:p>
          <w:p w14:paraId="710D9D96" w14:textId="0708F2A9" w:rsidR="00AB71DC" w:rsidRPr="00EE77E9" w:rsidRDefault="00FD7D0D" w:rsidP="00EE77E9">
            <w:pPr>
              <w:pStyle w:val="Body"/>
              <w:spacing w:line="360" w:lineRule="auto"/>
              <w:jc w:val="center"/>
              <w:rPr>
                <w:rFonts w:ascii="Arial" w:hAnsi="Arial" w:cs="Arial"/>
                <w:color w:val="auto"/>
                <w:sz w:val="24"/>
                <w:szCs w:val="24"/>
              </w:rPr>
            </w:pPr>
            <w:r>
              <w:rPr>
                <w:rFonts w:ascii="Arial" w:hAnsi="Arial" w:cs="Arial"/>
                <w:color w:val="auto"/>
                <w:sz w:val="24"/>
                <w:szCs w:val="24"/>
              </w:rPr>
              <w:t xml:space="preserve">Instructed by </w:t>
            </w:r>
            <w:r w:rsidR="00547EFB">
              <w:rPr>
                <w:rFonts w:ascii="Arial" w:hAnsi="Arial" w:cs="Arial"/>
                <w:color w:val="auto"/>
                <w:sz w:val="24"/>
                <w:szCs w:val="24"/>
              </w:rPr>
              <w:t>Shikongo Law Chambers</w:t>
            </w:r>
            <w:r w:rsidR="00EE77E9">
              <w:rPr>
                <w:rFonts w:ascii="Arial" w:hAnsi="Arial" w:cs="Arial"/>
                <w:color w:val="auto"/>
                <w:sz w:val="24"/>
                <w:szCs w:val="24"/>
              </w:rPr>
              <w:t>, Windhoek</w:t>
            </w:r>
          </w:p>
        </w:tc>
        <w:tc>
          <w:tcPr>
            <w:tcW w:w="5706" w:type="dxa"/>
            <w:gridSpan w:val="2"/>
          </w:tcPr>
          <w:p w14:paraId="32636BDE" w14:textId="77777777" w:rsidR="00AB71DC" w:rsidRPr="001D6B3F" w:rsidRDefault="00AB71DC" w:rsidP="007A6C9F">
            <w:pPr>
              <w:pStyle w:val="Body"/>
              <w:spacing w:line="360" w:lineRule="auto"/>
              <w:ind w:left="2520" w:hanging="2520"/>
              <w:jc w:val="both"/>
              <w:rPr>
                <w:rFonts w:ascii="Arial" w:hAnsi="Arial" w:cs="Arial"/>
                <w:color w:val="auto"/>
                <w:sz w:val="24"/>
                <w:szCs w:val="24"/>
                <w:lang w:val="en-US"/>
              </w:rPr>
            </w:pPr>
          </w:p>
          <w:p w14:paraId="2B2DFE8A" w14:textId="614B4278" w:rsidR="00EF1256" w:rsidRDefault="00FD7D0D" w:rsidP="00EF1256">
            <w:pPr>
              <w:spacing w:line="360" w:lineRule="auto"/>
              <w:jc w:val="center"/>
              <w:rPr>
                <w:rFonts w:ascii="Arial" w:eastAsia="Arial Unicode MS" w:hAnsi="Arial" w:cs="Arial"/>
                <w:sz w:val="24"/>
                <w:szCs w:val="24"/>
                <w:u w:color="000000"/>
                <w:bdr w:val="nil"/>
                <w:lang w:val="en-US" w:eastAsia="en-GB"/>
              </w:rPr>
            </w:pPr>
            <w:r>
              <w:rPr>
                <w:rFonts w:ascii="Arial" w:eastAsia="Arial Unicode MS" w:hAnsi="Arial" w:cs="Arial"/>
                <w:sz w:val="24"/>
                <w:szCs w:val="24"/>
                <w:u w:color="000000"/>
                <w:bdr w:val="nil"/>
                <w:lang w:val="en-US" w:eastAsia="en-GB"/>
              </w:rPr>
              <w:t>Adv Bassingthwaighte</w:t>
            </w:r>
            <w:r w:rsidR="005163E0">
              <w:rPr>
                <w:rFonts w:ascii="Arial" w:eastAsia="Arial Unicode MS" w:hAnsi="Arial" w:cs="Arial"/>
                <w:sz w:val="24"/>
                <w:szCs w:val="24"/>
                <w:u w:color="000000"/>
                <w:bdr w:val="nil"/>
                <w:lang w:val="en-US" w:eastAsia="en-GB"/>
              </w:rPr>
              <w:t xml:space="preserve"> </w:t>
            </w:r>
          </w:p>
          <w:p w14:paraId="1E8AB446" w14:textId="0C189E44" w:rsidR="009C2E53" w:rsidRPr="001D6B3F" w:rsidRDefault="00FD7D0D" w:rsidP="00FD7D0D">
            <w:pPr>
              <w:spacing w:line="360" w:lineRule="auto"/>
              <w:jc w:val="center"/>
              <w:rPr>
                <w:rFonts w:ascii="Arial" w:hAnsi="Arial" w:cs="Arial"/>
                <w:sz w:val="24"/>
                <w:szCs w:val="24"/>
              </w:rPr>
            </w:pPr>
            <w:r>
              <w:rPr>
                <w:rFonts w:ascii="Arial" w:eastAsia="Arial Unicode MS" w:hAnsi="Arial" w:cs="Arial"/>
                <w:sz w:val="24"/>
                <w:szCs w:val="24"/>
                <w:u w:color="000000"/>
                <w:bdr w:val="nil"/>
                <w:lang w:val="en-US" w:eastAsia="en-GB"/>
              </w:rPr>
              <w:t xml:space="preserve">Instructed by </w:t>
            </w:r>
            <w:r w:rsidR="00547EFB">
              <w:rPr>
                <w:rFonts w:ascii="Arial" w:eastAsia="Arial Unicode MS" w:hAnsi="Arial" w:cs="Arial"/>
                <w:sz w:val="24"/>
                <w:szCs w:val="24"/>
                <w:u w:color="000000"/>
                <w:bdr w:val="nil"/>
                <w:lang w:val="en-US" w:eastAsia="en-GB"/>
              </w:rPr>
              <w:t>Angul</w:t>
            </w:r>
            <w:r w:rsidR="000F4E46">
              <w:rPr>
                <w:rFonts w:ascii="Arial" w:eastAsia="Arial Unicode MS" w:hAnsi="Arial" w:cs="Arial"/>
                <w:sz w:val="24"/>
                <w:szCs w:val="24"/>
                <w:u w:color="000000"/>
                <w:bdr w:val="nil"/>
                <w:lang w:val="en-US" w:eastAsia="en-GB"/>
              </w:rPr>
              <w:t>a</w:t>
            </w:r>
            <w:r w:rsidR="00547EFB">
              <w:rPr>
                <w:rFonts w:ascii="Arial" w:eastAsia="Arial Unicode MS" w:hAnsi="Arial" w:cs="Arial"/>
                <w:sz w:val="24"/>
                <w:szCs w:val="24"/>
                <w:u w:color="000000"/>
                <w:bdr w:val="nil"/>
                <w:lang w:val="en-US" w:eastAsia="en-GB"/>
              </w:rPr>
              <w:t>Co Inc.</w:t>
            </w:r>
            <w:r w:rsidR="00EE77E9">
              <w:rPr>
                <w:rFonts w:ascii="Arial" w:eastAsia="Arial Unicode MS" w:hAnsi="Arial" w:cs="Arial"/>
                <w:sz w:val="24"/>
                <w:szCs w:val="24"/>
                <w:u w:color="000000"/>
                <w:bdr w:val="nil"/>
                <w:lang w:val="en-US" w:eastAsia="en-GB"/>
              </w:rPr>
              <w:t>, Windhoek</w:t>
            </w:r>
          </w:p>
        </w:tc>
      </w:tr>
    </w:tbl>
    <w:p w14:paraId="145039E2" w14:textId="77777777" w:rsidR="009C2E53" w:rsidRPr="001D6B3F" w:rsidRDefault="009C2E53" w:rsidP="00EF1256">
      <w:pPr>
        <w:spacing w:after="0" w:line="360" w:lineRule="auto"/>
        <w:jc w:val="both"/>
      </w:pPr>
    </w:p>
    <w:sectPr w:rsidR="009C2E53" w:rsidRPr="001D6B3F" w:rsidSect="0092145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C380F" w14:textId="77777777" w:rsidR="007E18B4" w:rsidRDefault="007E18B4" w:rsidP="009C2E53">
      <w:pPr>
        <w:spacing w:after="0" w:line="240" w:lineRule="auto"/>
      </w:pPr>
      <w:r>
        <w:separator/>
      </w:r>
    </w:p>
  </w:endnote>
  <w:endnote w:type="continuationSeparator" w:id="0">
    <w:p w14:paraId="7E714122" w14:textId="77777777" w:rsidR="007E18B4" w:rsidRDefault="007E18B4" w:rsidP="009C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0CA81" w14:textId="77777777" w:rsidR="007E18B4" w:rsidRDefault="007E18B4" w:rsidP="009C2E53">
      <w:pPr>
        <w:spacing w:after="0" w:line="240" w:lineRule="auto"/>
      </w:pPr>
      <w:r>
        <w:separator/>
      </w:r>
    </w:p>
  </w:footnote>
  <w:footnote w:type="continuationSeparator" w:id="0">
    <w:p w14:paraId="791EAB27" w14:textId="77777777" w:rsidR="007E18B4" w:rsidRDefault="007E18B4" w:rsidP="009C2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874228"/>
      <w:docPartObj>
        <w:docPartGallery w:val="Page Numbers (Top of Page)"/>
        <w:docPartUnique/>
      </w:docPartObj>
    </w:sdtPr>
    <w:sdtEndPr>
      <w:rPr>
        <w:noProof/>
      </w:rPr>
    </w:sdtEndPr>
    <w:sdtContent>
      <w:p w14:paraId="05CAB710" w14:textId="77777777" w:rsidR="00921456" w:rsidRPr="00186A43" w:rsidRDefault="00921456">
        <w:pPr>
          <w:pStyle w:val="Header"/>
          <w:jc w:val="right"/>
        </w:pPr>
        <w:r w:rsidRPr="00186A43">
          <w:fldChar w:fldCharType="begin"/>
        </w:r>
        <w:r w:rsidRPr="00186A43">
          <w:instrText xml:space="preserve"> PAGE   \* MERGEFORMAT </w:instrText>
        </w:r>
        <w:r w:rsidRPr="00186A43">
          <w:fldChar w:fldCharType="separate"/>
        </w:r>
        <w:r w:rsidR="00EB6FB8">
          <w:rPr>
            <w:noProof/>
          </w:rPr>
          <w:t>2</w:t>
        </w:r>
        <w:r w:rsidRPr="00186A43">
          <w:rPr>
            <w:noProof/>
          </w:rPr>
          <w:fldChar w:fldCharType="end"/>
        </w:r>
      </w:p>
    </w:sdtContent>
  </w:sdt>
  <w:p w14:paraId="4CDD9004" w14:textId="77777777" w:rsidR="00921456" w:rsidRPr="00186A43" w:rsidRDefault="0092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7825"/>
    <w:multiLevelType w:val="hybridMultilevel"/>
    <w:tmpl w:val="9A34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962ED"/>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974E17"/>
    <w:multiLevelType w:val="hybridMultilevel"/>
    <w:tmpl w:val="0BFC282C"/>
    <w:lvl w:ilvl="0" w:tplc="FFFFFFFF">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33315"/>
    <w:multiLevelType w:val="hybridMultilevel"/>
    <w:tmpl w:val="9E9C4AEE"/>
    <w:lvl w:ilvl="0" w:tplc="537AE0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973B10"/>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661A2A"/>
    <w:multiLevelType w:val="hybridMultilevel"/>
    <w:tmpl w:val="0BFC282C"/>
    <w:styleLink w:val="ImportedStyle1"/>
    <w:lvl w:ilvl="0" w:tplc="AE92CB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5E7D0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A466E8">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BAA5F7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466FD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F8AC90">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9A2A66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4E5AE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34AC3C">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0B859B1"/>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23A538B"/>
    <w:multiLevelType w:val="hybridMultilevel"/>
    <w:tmpl w:val="7040E2EA"/>
    <w:lvl w:ilvl="0" w:tplc="9E1651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23F783F"/>
    <w:multiLevelType w:val="multilevel"/>
    <w:tmpl w:val="91CCE3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C4F0883"/>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29A0BF3"/>
    <w:multiLevelType w:val="hybridMultilevel"/>
    <w:tmpl w:val="9CA60A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33FC7C45"/>
    <w:multiLevelType w:val="hybridMultilevel"/>
    <w:tmpl w:val="D472A6DE"/>
    <w:lvl w:ilvl="0" w:tplc="4CCEC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E4B0E"/>
    <w:multiLevelType w:val="hybridMultilevel"/>
    <w:tmpl w:val="1C44DE6A"/>
    <w:lvl w:ilvl="0" w:tplc="2DF2EE6A">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8014870"/>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38B5DE0"/>
    <w:multiLevelType w:val="multilevel"/>
    <w:tmpl w:val="0BFC282C"/>
    <w:numStyleLink w:val="ImportedStyle1"/>
  </w:abstractNum>
  <w:abstractNum w:abstractNumId="17">
    <w:nsid w:val="43DA3C2F"/>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DA7651"/>
    <w:multiLevelType w:val="hybridMultilevel"/>
    <w:tmpl w:val="8236D9A2"/>
    <w:lvl w:ilvl="0" w:tplc="202CB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91BC8"/>
    <w:multiLevelType w:val="hybridMultilevel"/>
    <w:tmpl w:val="7B20DA50"/>
    <w:lvl w:ilvl="0" w:tplc="4614D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7F509B6"/>
    <w:multiLevelType w:val="hybridMultilevel"/>
    <w:tmpl w:val="297A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A53BD5"/>
    <w:multiLevelType w:val="hybridMultilevel"/>
    <w:tmpl w:val="A4A86F12"/>
    <w:lvl w:ilvl="0" w:tplc="975644B0">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8C3A45"/>
    <w:multiLevelType w:val="hybridMultilevel"/>
    <w:tmpl w:val="D3DAE798"/>
    <w:lvl w:ilvl="0" w:tplc="7C1CD4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9C320C4"/>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E16189F"/>
    <w:multiLevelType w:val="hybridMultilevel"/>
    <w:tmpl w:val="123611EC"/>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75894C11"/>
    <w:multiLevelType w:val="hybridMultilevel"/>
    <w:tmpl w:val="9A34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75EA5DBB"/>
    <w:multiLevelType w:val="hybridMultilevel"/>
    <w:tmpl w:val="58041394"/>
    <w:lvl w:ilvl="0" w:tplc="BBB80C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1A7003"/>
    <w:multiLevelType w:val="multilevel"/>
    <w:tmpl w:val="09FEC6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E9623DC"/>
    <w:multiLevelType w:val="hybridMultilevel"/>
    <w:tmpl w:val="A2DC6B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F454FD8"/>
    <w:multiLevelType w:val="hybridMultilevel"/>
    <w:tmpl w:val="055E2F52"/>
    <w:lvl w:ilvl="0" w:tplc="202CB06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1"/>
  </w:num>
  <w:num w:numId="2">
    <w:abstractNumId w:val="1"/>
  </w:num>
  <w:num w:numId="3">
    <w:abstractNumId w:val="4"/>
  </w:num>
  <w:num w:numId="4">
    <w:abstractNumId w:val="20"/>
  </w:num>
  <w:num w:numId="5">
    <w:abstractNumId w:val="19"/>
  </w:num>
  <w:num w:numId="6">
    <w:abstractNumId w:val="14"/>
  </w:num>
  <w:num w:numId="7">
    <w:abstractNumId w:val="9"/>
  </w:num>
  <w:num w:numId="8">
    <w:abstractNumId w:val="28"/>
  </w:num>
  <w:num w:numId="9">
    <w:abstractNumId w:val="12"/>
  </w:num>
  <w:num w:numId="10">
    <w:abstractNumId w:val="30"/>
  </w:num>
  <w:num w:numId="11">
    <w:abstractNumId w:val="23"/>
  </w:num>
  <w:num w:numId="12">
    <w:abstractNumId w:val="6"/>
  </w:num>
  <w:num w:numId="13">
    <w:abstractNumId w:val="18"/>
  </w:num>
  <w:num w:numId="14">
    <w:abstractNumId w:val="27"/>
  </w:num>
  <w:num w:numId="15">
    <w:abstractNumId w:val="29"/>
  </w:num>
  <w:num w:numId="16">
    <w:abstractNumId w:val="8"/>
  </w:num>
  <w:num w:numId="17">
    <w:abstractNumId w:val="7"/>
  </w:num>
  <w:num w:numId="18">
    <w:abstractNumId w:val="16"/>
  </w:num>
  <w:num w:numId="19">
    <w:abstractNumId w:val="15"/>
  </w:num>
  <w:num w:numId="20">
    <w:abstractNumId w:val="17"/>
  </w:num>
  <w:num w:numId="21">
    <w:abstractNumId w:val="5"/>
  </w:num>
  <w:num w:numId="22">
    <w:abstractNumId w:val="11"/>
  </w:num>
  <w:num w:numId="23">
    <w:abstractNumId w:val="25"/>
  </w:num>
  <w:num w:numId="24">
    <w:abstractNumId w:val="3"/>
  </w:num>
  <w:num w:numId="25">
    <w:abstractNumId w:val="22"/>
  </w:num>
  <w:num w:numId="26">
    <w:abstractNumId w:val="2"/>
  </w:num>
  <w:num w:numId="27">
    <w:abstractNumId w:val="24"/>
  </w:num>
  <w:num w:numId="28">
    <w:abstractNumId w:val="0"/>
  </w:num>
  <w:num w:numId="29">
    <w:abstractNumId w:val="26"/>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53"/>
    <w:rsid w:val="00002472"/>
    <w:rsid w:val="00004108"/>
    <w:rsid w:val="00004409"/>
    <w:rsid w:val="0000483A"/>
    <w:rsid w:val="00004E1C"/>
    <w:rsid w:val="0001446E"/>
    <w:rsid w:val="000151DD"/>
    <w:rsid w:val="00025639"/>
    <w:rsid w:val="00025D47"/>
    <w:rsid w:val="00027317"/>
    <w:rsid w:val="00034287"/>
    <w:rsid w:val="00035208"/>
    <w:rsid w:val="000424AD"/>
    <w:rsid w:val="000517D9"/>
    <w:rsid w:val="000519A2"/>
    <w:rsid w:val="00060136"/>
    <w:rsid w:val="000672C0"/>
    <w:rsid w:val="0007233C"/>
    <w:rsid w:val="000736B6"/>
    <w:rsid w:val="000742B3"/>
    <w:rsid w:val="000817FE"/>
    <w:rsid w:val="00093110"/>
    <w:rsid w:val="00094B6B"/>
    <w:rsid w:val="00096F9F"/>
    <w:rsid w:val="00097233"/>
    <w:rsid w:val="000A1585"/>
    <w:rsid w:val="000A193C"/>
    <w:rsid w:val="000A2C5F"/>
    <w:rsid w:val="000B2A0C"/>
    <w:rsid w:val="000B2FEC"/>
    <w:rsid w:val="000B33EE"/>
    <w:rsid w:val="000C0916"/>
    <w:rsid w:val="000C61B9"/>
    <w:rsid w:val="000C665C"/>
    <w:rsid w:val="000D0405"/>
    <w:rsid w:val="000D1FDC"/>
    <w:rsid w:val="000D2326"/>
    <w:rsid w:val="000D4D37"/>
    <w:rsid w:val="000E2BDC"/>
    <w:rsid w:val="000E775F"/>
    <w:rsid w:val="000F122F"/>
    <w:rsid w:val="000F4E46"/>
    <w:rsid w:val="000F6149"/>
    <w:rsid w:val="0010178E"/>
    <w:rsid w:val="00104BA5"/>
    <w:rsid w:val="0010758D"/>
    <w:rsid w:val="00116A1A"/>
    <w:rsid w:val="0013278F"/>
    <w:rsid w:val="00137D18"/>
    <w:rsid w:val="00142FF4"/>
    <w:rsid w:val="00143B2D"/>
    <w:rsid w:val="0014516C"/>
    <w:rsid w:val="00154A5A"/>
    <w:rsid w:val="001624C1"/>
    <w:rsid w:val="001704E1"/>
    <w:rsid w:val="001729BE"/>
    <w:rsid w:val="001779B3"/>
    <w:rsid w:val="001844BF"/>
    <w:rsid w:val="00186A43"/>
    <w:rsid w:val="001A5C0F"/>
    <w:rsid w:val="001B0AC2"/>
    <w:rsid w:val="001B27F4"/>
    <w:rsid w:val="001C0D59"/>
    <w:rsid w:val="001C4DB1"/>
    <w:rsid w:val="001C7592"/>
    <w:rsid w:val="001D2A5E"/>
    <w:rsid w:val="001D2EAC"/>
    <w:rsid w:val="001D51E3"/>
    <w:rsid w:val="001D6B3F"/>
    <w:rsid w:val="001E267B"/>
    <w:rsid w:val="001E704F"/>
    <w:rsid w:val="001F058C"/>
    <w:rsid w:val="00202471"/>
    <w:rsid w:val="00210099"/>
    <w:rsid w:val="002120B7"/>
    <w:rsid w:val="0021222B"/>
    <w:rsid w:val="002150D0"/>
    <w:rsid w:val="002158A2"/>
    <w:rsid w:val="00222790"/>
    <w:rsid w:val="00222BB5"/>
    <w:rsid w:val="00225D4A"/>
    <w:rsid w:val="0023037A"/>
    <w:rsid w:val="00236038"/>
    <w:rsid w:val="00241358"/>
    <w:rsid w:val="002478E9"/>
    <w:rsid w:val="002524E6"/>
    <w:rsid w:val="00257708"/>
    <w:rsid w:val="00267876"/>
    <w:rsid w:val="00280EA1"/>
    <w:rsid w:val="002828CA"/>
    <w:rsid w:val="00284B5E"/>
    <w:rsid w:val="00287260"/>
    <w:rsid w:val="00297DDA"/>
    <w:rsid w:val="002A1B18"/>
    <w:rsid w:val="002C7062"/>
    <w:rsid w:val="002D0858"/>
    <w:rsid w:val="002D15B0"/>
    <w:rsid w:val="002D1DC3"/>
    <w:rsid w:val="002D269C"/>
    <w:rsid w:val="002D5299"/>
    <w:rsid w:val="002D6C03"/>
    <w:rsid w:val="002E66C4"/>
    <w:rsid w:val="002E779F"/>
    <w:rsid w:val="002F00E2"/>
    <w:rsid w:val="003058A9"/>
    <w:rsid w:val="00315844"/>
    <w:rsid w:val="00324AA6"/>
    <w:rsid w:val="00333FE2"/>
    <w:rsid w:val="0034027A"/>
    <w:rsid w:val="00341784"/>
    <w:rsid w:val="00342991"/>
    <w:rsid w:val="00351E67"/>
    <w:rsid w:val="00387CE2"/>
    <w:rsid w:val="00390CAF"/>
    <w:rsid w:val="0039792A"/>
    <w:rsid w:val="003A7A5E"/>
    <w:rsid w:val="003B0C0D"/>
    <w:rsid w:val="003C597B"/>
    <w:rsid w:val="003D5992"/>
    <w:rsid w:val="003E72DC"/>
    <w:rsid w:val="003E7B95"/>
    <w:rsid w:val="00402207"/>
    <w:rsid w:val="00413140"/>
    <w:rsid w:val="004144C1"/>
    <w:rsid w:val="00415ECC"/>
    <w:rsid w:val="00422E74"/>
    <w:rsid w:val="00425504"/>
    <w:rsid w:val="00430B52"/>
    <w:rsid w:val="004317EE"/>
    <w:rsid w:val="004344CE"/>
    <w:rsid w:val="00434726"/>
    <w:rsid w:val="00435A41"/>
    <w:rsid w:val="004366B2"/>
    <w:rsid w:val="00451B47"/>
    <w:rsid w:val="00456486"/>
    <w:rsid w:val="00457481"/>
    <w:rsid w:val="004754F8"/>
    <w:rsid w:val="00477431"/>
    <w:rsid w:val="00481062"/>
    <w:rsid w:val="00485708"/>
    <w:rsid w:val="004861BA"/>
    <w:rsid w:val="004871A9"/>
    <w:rsid w:val="004878D3"/>
    <w:rsid w:val="00487903"/>
    <w:rsid w:val="004907F9"/>
    <w:rsid w:val="00491EAE"/>
    <w:rsid w:val="004B2FE6"/>
    <w:rsid w:val="004B53A5"/>
    <w:rsid w:val="004C1680"/>
    <w:rsid w:val="004F1FD3"/>
    <w:rsid w:val="00505F77"/>
    <w:rsid w:val="005078CC"/>
    <w:rsid w:val="005163E0"/>
    <w:rsid w:val="005216C7"/>
    <w:rsid w:val="00526AE0"/>
    <w:rsid w:val="00545657"/>
    <w:rsid w:val="00547EFB"/>
    <w:rsid w:val="005508CE"/>
    <w:rsid w:val="00565BB8"/>
    <w:rsid w:val="0057786C"/>
    <w:rsid w:val="0059672C"/>
    <w:rsid w:val="005A1127"/>
    <w:rsid w:val="005A3F5D"/>
    <w:rsid w:val="005A563B"/>
    <w:rsid w:val="005A6186"/>
    <w:rsid w:val="005A6CAD"/>
    <w:rsid w:val="005B6AF5"/>
    <w:rsid w:val="005C2B5B"/>
    <w:rsid w:val="005C6BBF"/>
    <w:rsid w:val="005C7CE9"/>
    <w:rsid w:val="005F15B0"/>
    <w:rsid w:val="0061062B"/>
    <w:rsid w:val="00610D63"/>
    <w:rsid w:val="00612016"/>
    <w:rsid w:val="00615C9E"/>
    <w:rsid w:val="00616F75"/>
    <w:rsid w:val="00623D17"/>
    <w:rsid w:val="0062691A"/>
    <w:rsid w:val="006336AA"/>
    <w:rsid w:val="00635F3C"/>
    <w:rsid w:val="006412F6"/>
    <w:rsid w:val="00645A0F"/>
    <w:rsid w:val="00645A84"/>
    <w:rsid w:val="00651263"/>
    <w:rsid w:val="006541D3"/>
    <w:rsid w:val="006647C4"/>
    <w:rsid w:val="00670308"/>
    <w:rsid w:val="00681908"/>
    <w:rsid w:val="0068252C"/>
    <w:rsid w:val="00690F37"/>
    <w:rsid w:val="00696D63"/>
    <w:rsid w:val="006A3ED5"/>
    <w:rsid w:val="006A70AE"/>
    <w:rsid w:val="006B1FAF"/>
    <w:rsid w:val="006D1B3B"/>
    <w:rsid w:val="006D56F0"/>
    <w:rsid w:val="006E333C"/>
    <w:rsid w:val="006F061A"/>
    <w:rsid w:val="006F0D59"/>
    <w:rsid w:val="006F4187"/>
    <w:rsid w:val="006F46F0"/>
    <w:rsid w:val="006F59B4"/>
    <w:rsid w:val="0070040A"/>
    <w:rsid w:val="00702353"/>
    <w:rsid w:val="0071150C"/>
    <w:rsid w:val="00732ACD"/>
    <w:rsid w:val="00737AB3"/>
    <w:rsid w:val="00743DD5"/>
    <w:rsid w:val="00747D74"/>
    <w:rsid w:val="00757C37"/>
    <w:rsid w:val="00761719"/>
    <w:rsid w:val="00762FA5"/>
    <w:rsid w:val="00767C2D"/>
    <w:rsid w:val="007769C4"/>
    <w:rsid w:val="0078556A"/>
    <w:rsid w:val="00785A19"/>
    <w:rsid w:val="00786210"/>
    <w:rsid w:val="007869DA"/>
    <w:rsid w:val="00790EA0"/>
    <w:rsid w:val="007A0885"/>
    <w:rsid w:val="007A1297"/>
    <w:rsid w:val="007A47D1"/>
    <w:rsid w:val="007A6C9F"/>
    <w:rsid w:val="007B3B1A"/>
    <w:rsid w:val="007C269A"/>
    <w:rsid w:val="007C332D"/>
    <w:rsid w:val="007C3A10"/>
    <w:rsid w:val="007D16A2"/>
    <w:rsid w:val="007E02B3"/>
    <w:rsid w:val="007E07B7"/>
    <w:rsid w:val="007E18B4"/>
    <w:rsid w:val="007E4920"/>
    <w:rsid w:val="0080430F"/>
    <w:rsid w:val="00806035"/>
    <w:rsid w:val="00816185"/>
    <w:rsid w:val="00827401"/>
    <w:rsid w:val="00830251"/>
    <w:rsid w:val="008305AC"/>
    <w:rsid w:val="0083558F"/>
    <w:rsid w:val="00836BD1"/>
    <w:rsid w:val="008423D7"/>
    <w:rsid w:val="00844048"/>
    <w:rsid w:val="00853FA7"/>
    <w:rsid w:val="008565EB"/>
    <w:rsid w:val="008606C6"/>
    <w:rsid w:val="00860CCB"/>
    <w:rsid w:val="00860DD8"/>
    <w:rsid w:val="008673E6"/>
    <w:rsid w:val="00892829"/>
    <w:rsid w:val="008967AD"/>
    <w:rsid w:val="008A0762"/>
    <w:rsid w:val="008A08AC"/>
    <w:rsid w:val="008A538A"/>
    <w:rsid w:val="008B5105"/>
    <w:rsid w:val="008B546C"/>
    <w:rsid w:val="008B6EAB"/>
    <w:rsid w:val="008D19DA"/>
    <w:rsid w:val="008E45D1"/>
    <w:rsid w:val="008F25A9"/>
    <w:rsid w:val="008F5DB4"/>
    <w:rsid w:val="008F6970"/>
    <w:rsid w:val="00903018"/>
    <w:rsid w:val="00904448"/>
    <w:rsid w:val="0091528B"/>
    <w:rsid w:val="00915353"/>
    <w:rsid w:val="00921456"/>
    <w:rsid w:val="009263CF"/>
    <w:rsid w:val="00927307"/>
    <w:rsid w:val="00932CE7"/>
    <w:rsid w:val="0093629F"/>
    <w:rsid w:val="0094700D"/>
    <w:rsid w:val="00947477"/>
    <w:rsid w:val="00950801"/>
    <w:rsid w:val="009541BC"/>
    <w:rsid w:val="00955D5B"/>
    <w:rsid w:val="00960DF5"/>
    <w:rsid w:val="00965629"/>
    <w:rsid w:val="009709CA"/>
    <w:rsid w:val="00977B79"/>
    <w:rsid w:val="0098094D"/>
    <w:rsid w:val="0098376D"/>
    <w:rsid w:val="00985AEF"/>
    <w:rsid w:val="009953E1"/>
    <w:rsid w:val="009A0698"/>
    <w:rsid w:val="009A546A"/>
    <w:rsid w:val="009B4064"/>
    <w:rsid w:val="009C0E21"/>
    <w:rsid w:val="009C2E53"/>
    <w:rsid w:val="009E14BF"/>
    <w:rsid w:val="009E2727"/>
    <w:rsid w:val="009E2E4C"/>
    <w:rsid w:val="009E5A4E"/>
    <w:rsid w:val="009F5E08"/>
    <w:rsid w:val="00A07C50"/>
    <w:rsid w:val="00A1092D"/>
    <w:rsid w:val="00A13E17"/>
    <w:rsid w:val="00A21FEC"/>
    <w:rsid w:val="00A23D7A"/>
    <w:rsid w:val="00A323D3"/>
    <w:rsid w:val="00A4043F"/>
    <w:rsid w:val="00A425A3"/>
    <w:rsid w:val="00A42F85"/>
    <w:rsid w:val="00A6384C"/>
    <w:rsid w:val="00A64F72"/>
    <w:rsid w:val="00A65416"/>
    <w:rsid w:val="00A67C72"/>
    <w:rsid w:val="00A71593"/>
    <w:rsid w:val="00A74743"/>
    <w:rsid w:val="00A74B21"/>
    <w:rsid w:val="00A842FE"/>
    <w:rsid w:val="00A87B0D"/>
    <w:rsid w:val="00A91A42"/>
    <w:rsid w:val="00A97F7A"/>
    <w:rsid w:val="00AA273F"/>
    <w:rsid w:val="00AA5692"/>
    <w:rsid w:val="00AA62BE"/>
    <w:rsid w:val="00AB05C3"/>
    <w:rsid w:val="00AB620F"/>
    <w:rsid w:val="00AB71DC"/>
    <w:rsid w:val="00AD0B95"/>
    <w:rsid w:val="00AD7322"/>
    <w:rsid w:val="00AE5658"/>
    <w:rsid w:val="00AE74DE"/>
    <w:rsid w:val="00AF5CB7"/>
    <w:rsid w:val="00AF6F03"/>
    <w:rsid w:val="00AF7F00"/>
    <w:rsid w:val="00B00FB8"/>
    <w:rsid w:val="00B02BBA"/>
    <w:rsid w:val="00B054C7"/>
    <w:rsid w:val="00B06452"/>
    <w:rsid w:val="00B100A9"/>
    <w:rsid w:val="00B10272"/>
    <w:rsid w:val="00B150A5"/>
    <w:rsid w:val="00B1705C"/>
    <w:rsid w:val="00B24EBD"/>
    <w:rsid w:val="00B34271"/>
    <w:rsid w:val="00B51EC6"/>
    <w:rsid w:val="00B66C46"/>
    <w:rsid w:val="00B70021"/>
    <w:rsid w:val="00B72EF0"/>
    <w:rsid w:val="00B83D2B"/>
    <w:rsid w:val="00B86B6C"/>
    <w:rsid w:val="00B9293D"/>
    <w:rsid w:val="00B96167"/>
    <w:rsid w:val="00B977BB"/>
    <w:rsid w:val="00BA0064"/>
    <w:rsid w:val="00BA30AF"/>
    <w:rsid w:val="00BA4B2B"/>
    <w:rsid w:val="00BA5110"/>
    <w:rsid w:val="00BA589D"/>
    <w:rsid w:val="00BB389F"/>
    <w:rsid w:val="00BB4C55"/>
    <w:rsid w:val="00BC175B"/>
    <w:rsid w:val="00BD1D47"/>
    <w:rsid w:val="00BE2D9E"/>
    <w:rsid w:val="00BE4D00"/>
    <w:rsid w:val="00BE51C3"/>
    <w:rsid w:val="00BF01F9"/>
    <w:rsid w:val="00C03CC7"/>
    <w:rsid w:val="00C04427"/>
    <w:rsid w:val="00C070C1"/>
    <w:rsid w:val="00C07E77"/>
    <w:rsid w:val="00C110A8"/>
    <w:rsid w:val="00C132D3"/>
    <w:rsid w:val="00C268A6"/>
    <w:rsid w:val="00C27546"/>
    <w:rsid w:val="00C31E39"/>
    <w:rsid w:val="00C82668"/>
    <w:rsid w:val="00C906FE"/>
    <w:rsid w:val="00C9626D"/>
    <w:rsid w:val="00CA686A"/>
    <w:rsid w:val="00CA718B"/>
    <w:rsid w:val="00CB18E2"/>
    <w:rsid w:val="00CB34EB"/>
    <w:rsid w:val="00CC0F00"/>
    <w:rsid w:val="00CC1C2A"/>
    <w:rsid w:val="00CE7562"/>
    <w:rsid w:val="00CF2C83"/>
    <w:rsid w:val="00CF776D"/>
    <w:rsid w:val="00D16B8B"/>
    <w:rsid w:val="00D20765"/>
    <w:rsid w:val="00D27B89"/>
    <w:rsid w:val="00D3707E"/>
    <w:rsid w:val="00D40C32"/>
    <w:rsid w:val="00D40C34"/>
    <w:rsid w:val="00D41E73"/>
    <w:rsid w:val="00D54141"/>
    <w:rsid w:val="00D66539"/>
    <w:rsid w:val="00D70077"/>
    <w:rsid w:val="00D76531"/>
    <w:rsid w:val="00D824EC"/>
    <w:rsid w:val="00D9033A"/>
    <w:rsid w:val="00D9575E"/>
    <w:rsid w:val="00DA5986"/>
    <w:rsid w:val="00DB74B4"/>
    <w:rsid w:val="00DC3422"/>
    <w:rsid w:val="00DC489D"/>
    <w:rsid w:val="00DC6364"/>
    <w:rsid w:val="00DD344A"/>
    <w:rsid w:val="00DE1496"/>
    <w:rsid w:val="00DE769E"/>
    <w:rsid w:val="00DF1513"/>
    <w:rsid w:val="00E000A5"/>
    <w:rsid w:val="00E03F4F"/>
    <w:rsid w:val="00E148A8"/>
    <w:rsid w:val="00E3091C"/>
    <w:rsid w:val="00E42D42"/>
    <w:rsid w:val="00E51483"/>
    <w:rsid w:val="00E644B8"/>
    <w:rsid w:val="00E6536C"/>
    <w:rsid w:val="00E65ECF"/>
    <w:rsid w:val="00E760AC"/>
    <w:rsid w:val="00E8057B"/>
    <w:rsid w:val="00E81E4F"/>
    <w:rsid w:val="00E96C11"/>
    <w:rsid w:val="00EA38E7"/>
    <w:rsid w:val="00EA73CD"/>
    <w:rsid w:val="00EB6FB8"/>
    <w:rsid w:val="00EC1212"/>
    <w:rsid w:val="00ED3037"/>
    <w:rsid w:val="00ED4056"/>
    <w:rsid w:val="00ED65C4"/>
    <w:rsid w:val="00EE1D13"/>
    <w:rsid w:val="00EE4094"/>
    <w:rsid w:val="00EE6EEE"/>
    <w:rsid w:val="00EE77E9"/>
    <w:rsid w:val="00EF1256"/>
    <w:rsid w:val="00EF19BD"/>
    <w:rsid w:val="00EF4AE3"/>
    <w:rsid w:val="00EF5666"/>
    <w:rsid w:val="00EF706E"/>
    <w:rsid w:val="00F0028E"/>
    <w:rsid w:val="00F17317"/>
    <w:rsid w:val="00F275ED"/>
    <w:rsid w:val="00F30215"/>
    <w:rsid w:val="00F359A1"/>
    <w:rsid w:val="00F4643D"/>
    <w:rsid w:val="00F5745F"/>
    <w:rsid w:val="00F63DB3"/>
    <w:rsid w:val="00F70E67"/>
    <w:rsid w:val="00F7230F"/>
    <w:rsid w:val="00F771BA"/>
    <w:rsid w:val="00F80FED"/>
    <w:rsid w:val="00F81DBF"/>
    <w:rsid w:val="00F82631"/>
    <w:rsid w:val="00F952CA"/>
    <w:rsid w:val="00F97DB8"/>
    <w:rsid w:val="00FA2672"/>
    <w:rsid w:val="00FC026A"/>
    <w:rsid w:val="00FC28F3"/>
    <w:rsid w:val="00FD6593"/>
    <w:rsid w:val="00FD7D0D"/>
    <w:rsid w:val="00FF0593"/>
    <w:rsid w:val="00FF162B"/>
    <w:rsid w:val="00FF5579"/>
    <w:rsid w:val="00FF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3115"/>
  <w15:docId w15:val="{387B1ACE-C345-466D-BB3B-5CBD8ABC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CE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C2E53"/>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 w:type="paragraph" w:customStyle="1" w:styleId="Body">
    <w:name w:val="Body"/>
    <w:rsid w:val="00F4643D"/>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ZA" w:eastAsia="en-GB"/>
    </w:rPr>
  </w:style>
  <w:style w:type="numbering" w:customStyle="1" w:styleId="ImportedStyle1">
    <w:name w:val="Imported Style 1"/>
    <w:rsid w:val="006F59B4"/>
    <w:pPr>
      <w:numPr>
        <w:numId w:val="17"/>
      </w:numPr>
    </w:pPr>
  </w:style>
  <w:style w:type="character" w:styleId="Hyperlink">
    <w:name w:val="Hyperlink"/>
    <w:rsid w:val="00CA686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2097">
      <w:bodyDiv w:val="1"/>
      <w:marLeft w:val="0"/>
      <w:marRight w:val="0"/>
      <w:marTop w:val="0"/>
      <w:marBottom w:val="0"/>
      <w:divBdr>
        <w:top w:val="none" w:sz="0" w:space="0" w:color="auto"/>
        <w:left w:val="none" w:sz="0" w:space="0" w:color="auto"/>
        <w:bottom w:val="none" w:sz="0" w:space="0" w:color="auto"/>
        <w:right w:val="none" w:sz="0" w:space="0" w:color="auto"/>
      </w:divBdr>
    </w:div>
    <w:div w:id="15924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2023-03-05T18:30:00+00:00</Judgment_x0020_Date>
    <Year xmlns="c1afb1bd-f2fb-40fd-9abb-aea55b4d7662">2023</Year>
  </documentManagement>
</p:properties>
</file>

<file path=customXml/itemProps1.xml><?xml version="1.0" encoding="utf-8"?>
<ds:datastoreItem xmlns:ds="http://schemas.openxmlformats.org/officeDocument/2006/customXml" ds:itemID="{F8C0647D-4A32-44E9-9392-8751D9985162}"/>
</file>

<file path=customXml/itemProps2.xml><?xml version="1.0" encoding="utf-8"?>
<ds:datastoreItem xmlns:ds="http://schemas.openxmlformats.org/officeDocument/2006/customXml" ds:itemID="{158CE97C-E4E4-4885-A077-155E45621EA1}"/>
</file>

<file path=customXml/itemProps3.xml><?xml version="1.0" encoding="utf-8"?>
<ds:datastoreItem xmlns:ds="http://schemas.openxmlformats.org/officeDocument/2006/customXml" ds:itemID="{210AD08C-D935-4BE6-9BD1-8B495112F7DE}"/>
</file>

<file path=customXml/itemProps4.xml><?xml version="1.0" encoding="utf-8"?>
<ds:datastoreItem xmlns:ds="http://schemas.openxmlformats.org/officeDocument/2006/customXml" ds:itemID="{4AFDDE52-D658-4299-AD46-9323AEA8AF4C}"/>
</file>

<file path=docProps/app.xml><?xml version="1.0" encoding="utf-8"?>
<Properties xmlns="http://schemas.openxmlformats.org/officeDocument/2006/extended-properties" xmlns:vt="http://schemas.openxmlformats.org/officeDocument/2006/docPropsVTypes">
  <Template>Normal</Template>
  <TotalTime>2</TotalTime>
  <Pages>1</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MTC v Nampower Corporation Ltd (HC-MD-CIV-MOT-GEN-2023-00078) [2023] NAHCMD 92 (6 March 2023)</dc:title>
  <dc:creator>Prinsloo Hannelie</dc:creator>
  <cp:lastModifiedBy>Collins Omalu</cp:lastModifiedBy>
  <cp:revision>4</cp:revision>
  <cp:lastPrinted>2023-03-06T08:31:00Z</cp:lastPrinted>
  <dcterms:created xsi:type="dcterms:W3CDTF">2023-03-06T08:33:00Z</dcterms:created>
  <dcterms:modified xsi:type="dcterms:W3CDTF">2023-03-15T06:21:00Z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