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F168" w14:textId="77777777" w:rsidR="00281607" w:rsidRPr="00281607" w:rsidRDefault="00281607" w:rsidP="00281607">
      <w:pPr>
        <w:jc w:val="center"/>
        <w:rPr>
          <w:rFonts w:ascii="Arial Narrow" w:hAnsi="Arial Narrow" w:cs="Arial"/>
          <w:b/>
          <w:sz w:val="24"/>
          <w:szCs w:val="24"/>
          <w:lang w:val="en-ZA"/>
        </w:rPr>
      </w:pPr>
      <w:r w:rsidRPr="00281607">
        <w:rPr>
          <w:rFonts w:ascii="Arial Narrow" w:hAnsi="Arial Narrow" w:cs="Arial"/>
          <w:b/>
          <w:sz w:val="24"/>
          <w:szCs w:val="24"/>
          <w:lang w:val="en-ZA"/>
        </w:rPr>
        <w:t>REPUBLIC OF NAMIBIA</w:t>
      </w:r>
    </w:p>
    <w:p w14:paraId="532CFA39" w14:textId="77777777" w:rsidR="00281607" w:rsidRPr="00281607" w:rsidRDefault="00281607" w:rsidP="00281607">
      <w:pPr>
        <w:jc w:val="center"/>
        <w:rPr>
          <w:rFonts w:ascii="Arial Narrow" w:hAnsi="Arial Narrow" w:cs="Arial"/>
          <w:b/>
          <w:sz w:val="24"/>
          <w:szCs w:val="24"/>
          <w:lang w:val="en-ZA"/>
        </w:rPr>
      </w:pPr>
    </w:p>
    <w:p w14:paraId="7F883592" w14:textId="77777777" w:rsidR="00281607" w:rsidRPr="00281607" w:rsidRDefault="00281607" w:rsidP="00281607">
      <w:pPr>
        <w:jc w:val="center"/>
        <w:rPr>
          <w:rFonts w:ascii="Arial Narrow" w:hAnsi="Arial Narrow" w:cs="Arial"/>
          <w:b/>
          <w:sz w:val="24"/>
          <w:szCs w:val="24"/>
          <w:lang w:val="en-ZA"/>
        </w:rPr>
      </w:pPr>
    </w:p>
    <w:p w14:paraId="277C0C37" w14:textId="77777777" w:rsidR="00281607" w:rsidRPr="00281607" w:rsidRDefault="00281607" w:rsidP="00281607">
      <w:pPr>
        <w:jc w:val="center"/>
        <w:rPr>
          <w:rFonts w:ascii="Arial Narrow" w:hAnsi="Arial Narrow" w:cs="Arial"/>
          <w:b/>
          <w:sz w:val="24"/>
          <w:szCs w:val="24"/>
          <w:lang w:val="en-ZA"/>
        </w:rPr>
      </w:pPr>
    </w:p>
    <w:p w14:paraId="5CED5C4A" w14:textId="77777777" w:rsidR="00281607" w:rsidRPr="00281607" w:rsidRDefault="00281607" w:rsidP="00281607">
      <w:pPr>
        <w:jc w:val="center"/>
        <w:rPr>
          <w:rFonts w:ascii="Arial Narrow" w:hAnsi="Arial Narrow" w:cs="Arial"/>
          <w:b/>
          <w:sz w:val="24"/>
          <w:szCs w:val="24"/>
          <w:lang w:val="en-ZA"/>
        </w:rPr>
      </w:pPr>
      <w:r w:rsidRPr="00281607">
        <w:rPr>
          <w:rFonts w:ascii="Arial Narrow" w:hAnsi="Arial Narrow" w:cs="Arial"/>
          <w:b/>
          <w:noProof/>
          <w:sz w:val="24"/>
          <w:szCs w:val="24"/>
          <w:lang w:val="en-ZA"/>
        </w:rPr>
        <w:drawing>
          <wp:anchor distT="0" distB="0" distL="114300" distR="114300" simplePos="0" relativeHeight="251659264" behindDoc="0" locked="0" layoutInCell="1" allowOverlap="1" wp14:anchorId="75D68831" wp14:editId="4233B537">
            <wp:simplePos x="0" y="0"/>
            <wp:positionH relativeFrom="column">
              <wp:posOffset>2219325</wp:posOffset>
            </wp:positionH>
            <wp:positionV relativeFrom="paragraph">
              <wp:posOffset>-723900</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A7992" w14:textId="77777777" w:rsidR="00281607" w:rsidRPr="00281607" w:rsidRDefault="00281607" w:rsidP="00281607">
      <w:pPr>
        <w:jc w:val="center"/>
        <w:rPr>
          <w:rFonts w:ascii="Arial Narrow" w:hAnsi="Arial Narrow" w:cs="Arial"/>
          <w:b/>
          <w:sz w:val="24"/>
          <w:szCs w:val="24"/>
          <w:lang w:val="en-ZA"/>
        </w:rPr>
      </w:pPr>
    </w:p>
    <w:p w14:paraId="5C16A516" w14:textId="77777777" w:rsidR="00281607" w:rsidRPr="00281607" w:rsidRDefault="00281607" w:rsidP="00281607">
      <w:pPr>
        <w:jc w:val="center"/>
        <w:rPr>
          <w:rFonts w:ascii="Arial Narrow" w:hAnsi="Arial Narrow" w:cs="Arial"/>
          <w:b/>
          <w:sz w:val="24"/>
          <w:szCs w:val="24"/>
          <w:lang w:val="en-ZA"/>
        </w:rPr>
      </w:pPr>
    </w:p>
    <w:p w14:paraId="6BC82F08" w14:textId="77777777" w:rsidR="00843BB8" w:rsidRPr="00281607" w:rsidRDefault="00281607" w:rsidP="00281607">
      <w:pPr>
        <w:jc w:val="center"/>
        <w:rPr>
          <w:rFonts w:ascii="Arial Narrow" w:hAnsi="Arial Narrow" w:cs="Arial"/>
          <w:b/>
          <w:sz w:val="24"/>
          <w:szCs w:val="24"/>
          <w:lang w:val="en-ZA"/>
        </w:rPr>
      </w:pPr>
      <w:r w:rsidRPr="00281607">
        <w:rPr>
          <w:rFonts w:ascii="Arial Narrow" w:hAnsi="Arial Narrow" w:cs="Arial"/>
          <w:b/>
          <w:sz w:val="24"/>
          <w:szCs w:val="24"/>
          <w:lang w:val="en-ZA"/>
        </w:rPr>
        <w:t xml:space="preserve">IN THE HIGH COURT OF NAMIBIA, MAIN DIVISION, WINDHOEK </w:t>
      </w:r>
    </w:p>
    <w:p w14:paraId="79C13146" w14:textId="77777777" w:rsidR="005B680B" w:rsidRDefault="005B680B" w:rsidP="000F1C25">
      <w:pPr>
        <w:jc w:val="center"/>
        <w:rPr>
          <w:rFonts w:ascii="Arial Narrow" w:hAnsi="Arial Narrow" w:cs="Arial"/>
          <w:b/>
          <w:sz w:val="24"/>
          <w:szCs w:val="24"/>
        </w:rPr>
      </w:pPr>
      <w:r>
        <w:rPr>
          <w:rFonts w:ascii="Arial Narrow" w:hAnsi="Arial Narrow" w:cs="Arial"/>
          <w:b/>
          <w:sz w:val="24"/>
          <w:szCs w:val="24"/>
        </w:rPr>
        <w:t>LEAVE TO APPEAL</w:t>
      </w:r>
    </w:p>
    <w:p w14:paraId="038C55E0" w14:textId="77777777" w:rsidR="00281607" w:rsidRPr="005E4C36" w:rsidRDefault="00281607" w:rsidP="000F1C25">
      <w:pPr>
        <w:jc w:val="center"/>
        <w:rPr>
          <w:rFonts w:ascii="Arial Narrow" w:hAnsi="Arial Narrow" w:cs="Arial"/>
          <w:b/>
          <w:sz w:val="24"/>
          <w:szCs w:val="24"/>
        </w:rPr>
      </w:pPr>
      <w:r>
        <w:rPr>
          <w:rFonts w:ascii="Arial Narrow" w:hAnsi="Arial Narrow" w:cs="Arial"/>
          <w:b/>
          <w:sz w:val="24"/>
          <w:szCs w:val="24"/>
        </w:rPr>
        <w:t>PRACTICE DIRECTIVE 61</w:t>
      </w:r>
    </w:p>
    <w:tbl>
      <w:tblPr>
        <w:tblStyle w:val="TableGrid"/>
        <w:tblW w:w="9720" w:type="dxa"/>
        <w:tblInd w:w="-275" w:type="dxa"/>
        <w:tblLook w:val="04A0" w:firstRow="1" w:lastRow="0" w:firstColumn="1" w:lastColumn="0" w:noHBand="0" w:noVBand="1"/>
      </w:tblPr>
      <w:tblGrid>
        <w:gridCol w:w="4770"/>
        <w:gridCol w:w="627"/>
        <w:gridCol w:w="4323"/>
      </w:tblGrid>
      <w:tr w:rsidR="00AE7087" w:rsidRPr="005E4C36" w14:paraId="7BB41076" w14:textId="77777777" w:rsidTr="00B13EE6">
        <w:trPr>
          <w:trHeight w:val="1088"/>
        </w:trPr>
        <w:tc>
          <w:tcPr>
            <w:tcW w:w="5397" w:type="dxa"/>
            <w:gridSpan w:val="2"/>
          </w:tcPr>
          <w:p w14:paraId="39C72733" w14:textId="77777777"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Case Title:</w:t>
            </w:r>
          </w:p>
          <w:p w14:paraId="2837AB8B" w14:textId="77777777" w:rsidR="00AE7087" w:rsidRPr="005E4C36" w:rsidRDefault="00F9045B" w:rsidP="00B13EE6">
            <w:pPr>
              <w:spacing w:line="360" w:lineRule="auto"/>
              <w:jc w:val="both"/>
              <w:rPr>
                <w:rFonts w:ascii="Arial Narrow" w:hAnsi="Arial Narrow" w:cs="Arial"/>
                <w:i/>
                <w:sz w:val="24"/>
                <w:szCs w:val="24"/>
              </w:rPr>
            </w:pPr>
            <w:r>
              <w:rPr>
                <w:rFonts w:ascii="Arial Narrow" w:hAnsi="Arial Narrow" w:cs="Arial"/>
                <w:i/>
                <w:sz w:val="24"/>
                <w:szCs w:val="24"/>
              </w:rPr>
              <w:t>Fabian Lazarus</w:t>
            </w:r>
            <w:r w:rsidR="00B13EE6" w:rsidRPr="005E4C36">
              <w:rPr>
                <w:rFonts w:ascii="Arial Narrow" w:hAnsi="Arial Narrow" w:cs="Arial"/>
                <w:i/>
                <w:sz w:val="24"/>
                <w:szCs w:val="24"/>
              </w:rPr>
              <w:t xml:space="preserve"> v The State</w:t>
            </w:r>
          </w:p>
        </w:tc>
        <w:tc>
          <w:tcPr>
            <w:tcW w:w="4323" w:type="dxa"/>
          </w:tcPr>
          <w:p w14:paraId="7ABCA911" w14:textId="77777777"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Case No:</w:t>
            </w:r>
          </w:p>
          <w:p w14:paraId="32AEEC82" w14:textId="77777777" w:rsidR="00AE7087" w:rsidRPr="005E4C36" w:rsidRDefault="00F9045B" w:rsidP="0088732C">
            <w:pPr>
              <w:spacing w:line="360" w:lineRule="auto"/>
              <w:jc w:val="both"/>
              <w:rPr>
                <w:rFonts w:ascii="Arial Narrow" w:hAnsi="Arial Narrow" w:cs="Arial"/>
                <w:sz w:val="24"/>
                <w:szCs w:val="24"/>
              </w:rPr>
            </w:pPr>
            <w:r>
              <w:rPr>
                <w:rFonts w:ascii="Arial Narrow" w:hAnsi="Arial Narrow" w:cs="Arial"/>
                <w:sz w:val="24"/>
                <w:szCs w:val="24"/>
              </w:rPr>
              <w:t>CC 06/2022</w:t>
            </w:r>
          </w:p>
        </w:tc>
      </w:tr>
      <w:tr w:rsidR="00AE7087" w:rsidRPr="005E4C36" w14:paraId="7B5A2D67" w14:textId="77777777" w:rsidTr="00B13EE6">
        <w:trPr>
          <w:trHeight w:val="872"/>
        </w:trPr>
        <w:tc>
          <w:tcPr>
            <w:tcW w:w="5397" w:type="dxa"/>
            <w:gridSpan w:val="2"/>
          </w:tcPr>
          <w:p w14:paraId="45E88BE2" w14:textId="77777777" w:rsidR="00AE7087" w:rsidRPr="005E4C36" w:rsidRDefault="00B13EE6" w:rsidP="00527948">
            <w:pPr>
              <w:spacing w:after="160" w:line="360" w:lineRule="auto"/>
              <w:jc w:val="both"/>
              <w:rPr>
                <w:rFonts w:ascii="Arial Narrow" w:hAnsi="Arial Narrow" w:cs="Arial"/>
                <w:b/>
                <w:sz w:val="24"/>
                <w:szCs w:val="24"/>
                <w:lang w:val="en-US"/>
              </w:rPr>
            </w:pPr>
            <w:r w:rsidRPr="005E4C36">
              <w:rPr>
                <w:rFonts w:ascii="Arial Narrow" w:hAnsi="Arial Narrow" w:cs="Arial"/>
                <w:b/>
                <w:sz w:val="24"/>
                <w:szCs w:val="24"/>
              </w:rPr>
              <w:t>Ruling on Application for leave to Appeal</w:t>
            </w:r>
          </w:p>
        </w:tc>
        <w:tc>
          <w:tcPr>
            <w:tcW w:w="4323" w:type="dxa"/>
          </w:tcPr>
          <w:p w14:paraId="054B3140" w14:textId="77777777"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Division of Court:</w:t>
            </w:r>
          </w:p>
          <w:p w14:paraId="30AD170D" w14:textId="77777777"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sz w:val="24"/>
                <w:szCs w:val="24"/>
              </w:rPr>
              <w:t>Main Division</w:t>
            </w:r>
          </w:p>
        </w:tc>
      </w:tr>
      <w:tr w:rsidR="00AE7087" w:rsidRPr="005E4C36" w14:paraId="47E8B805" w14:textId="77777777" w:rsidTr="00B13EE6">
        <w:trPr>
          <w:trHeight w:val="881"/>
        </w:trPr>
        <w:tc>
          <w:tcPr>
            <w:tcW w:w="5397" w:type="dxa"/>
            <w:gridSpan w:val="2"/>
          </w:tcPr>
          <w:p w14:paraId="4D8CC6E5" w14:textId="77777777"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Heard before:</w:t>
            </w:r>
          </w:p>
          <w:p w14:paraId="2CB73069" w14:textId="77777777" w:rsidR="00AE7087" w:rsidRPr="005E4C36" w:rsidRDefault="00AE7087" w:rsidP="0088732C">
            <w:pPr>
              <w:spacing w:line="360" w:lineRule="auto"/>
              <w:jc w:val="both"/>
              <w:rPr>
                <w:rFonts w:ascii="Arial Narrow" w:hAnsi="Arial Narrow" w:cs="Arial"/>
                <w:i/>
                <w:sz w:val="24"/>
                <w:szCs w:val="24"/>
              </w:rPr>
            </w:pPr>
            <w:r w:rsidRPr="005E4C36">
              <w:rPr>
                <w:rFonts w:ascii="Arial Narrow" w:hAnsi="Arial Narrow" w:cs="Arial"/>
                <w:sz w:val="24"/>
                <w:szCs w:val="24"/>
              </w:rPr>
              <w:t xml:space="preserve">Mr Justice Liebenberg </w:t>
            </w:r>
          </w:p>
        </w:tc>
        <w:tc>
          <w:tcPr>
            <w:tcW w:w="4323" w:type="dxa"/>
          </w:tcPr>
          <w:p w14:paraId="0AC8F13B" w14:textId="77777777"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Delivered on:</w:t>
            </w:r>
          </w:p>
          <w:p w14:paraId="59DB2A0A" w14:textId="77777777" w:rsidR="00AE7087" w:rsidRPr="005E4C36" w:rsidRDefault="00EE204A" w:rsidP="00A65EBD">
            <w:pPr>
              <w:spacing w:line="360" w:lineRule="auto"/>
              <w:jc w:val="both"/>
              <w:rPr>
                <w:rFonts w:ascii="Arial Narrow" w:hAnsi="Arial Narrow" w:cs="Arial"/>
                <w:sz w:val="24"/>
                <w:szCs w:val="24"/>
              </w:rPr>
            </w:pPr>
            <w:r>
              <w:rPr>
                <w:rFonts w:ascii="Arial Narrow" w:hAnsi="Arial Narrow" w:cs="Arial"/>
                <w:sz w:val="24"/>
                <w:szCs w:val="24"/>
              </w:rPr>
              <w:t>9</w:t>
            </w:r>
            <w:r w:rsidR="00F2391F">
              <w:rPr>
                <w:rFonts w:ascii="Arial Narrow" w:hAnsi="Arial Narrow" w:cs="Arial"/>
                <w:sz w:val="24"/>
                <w:szCs w:val="24"/>
              </w:rPr>
              <w:t xml:space="preserve"> </w:t>
            </w:r>
            <w:r w:rsidR="00A65EBD">
              <w:rPr>
                <w:rFonts w:ascii="Arial Narrow" w:hAnsi="Arial Narrow" w:cs="Arial"/>
                <w:sz w:val="24"/>
                <w:szCs w:val="24"/>
              </w:rPr>
              <w:t>March</w:t>
            </w:r>
            <w:r w:rsidR="00F9045B">
              <w:rPr>
                <w:rFonts w:ascii="Arial Narrow" w:hAnsi="Arial Narrow" w:cs="Arial"/>
                <w:sz w:val="24"/>
                <w:szCs w:val="24"/>
              </w:rPr>
              <w:t xml:space="preserve"> 2023</w:t>
            </w:r>
          </w:p>
        </w:tc>
      </w:tr>
      <w:tr w:rsidR="00AE7087" w:rsidRPr="005E4C36" w14:paraId="307D2A38" w14:textId="77777777" w:rsidTr="0088732C">
        <w:tc>
          <w:tcPr>
            <w:tcW w:w="9720" w:type="dxa"/>
            <w:gridSpan w:val="3"/>
          </w:tcPr>
          <w:p w14:paraId="45E8715B" w14:textId="77777777"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 xml:space="preserve">Neutral citation: </w:t>
            </w:r>
            <w:r w:rsidR="00F9045B" w:rsidRPr="00F9045B">
              <w:rPr>
                <w:rFonts w:ascii="Arial Narrow" w:hAnsi="Arial Narrow" w:cs="Arial"/>
                <w:i/>
                <w:sz w:val="24"/>
                <w:szCs w:val="24"/>
              </w:rPr>
              <w:t>Lazarus v</w:t>
            </w:r>
            <w:r w:rsidR="00F9045B">
              <w:rPr>
                <w:rFonts w:ascii="Arial Narrow" w:hAnsi="Arial Narrow" w:cs="Arial"/>
                <w:b/>
                <w:i/>
                <w:sz w:val="24"/>
                <w:szCs w:val="24"/>
              </w:rPr>
              <w:t xml:space="preserve"> </w:t>
            </w:r>
            <w:r w:rsidR="00F9045B">
              <w:rPr>
                <w:rFonts w:ascii="Arial Narrow" w:hAnsi="Arial Narrow" w:cs="Arial"/>
                <w:i/>
                <w:sz w:val="24"/>
                <w:szCs w:val="24"/>
              </w:rPr>
              <w:t>S</w:t>
            </w:r>
            <w:r w:rsidR="001C10EF" w:rsidRPr="005E4C36">
              <w:rPr>
                <w:rFonts w:ascii="Arial Narrow" w:hAnsi="Arial Narrow" w:cs="Arial"/>
                <w:i/>
                <w:sz w:val="24"/>
                <w:szCs w:val="24"/>
              </w:rPr>
              <w:t xml:space="preserve"> </w:t>
            </w:r>
            <w:r w:rsidR="00F9045B">
              <w:rPr>
                <w:rFonts w:ascii="Arial Narrow" w:hAnsi="Arial Narrow" w:cs="Arial"/>
                <w:sz w:val="24"/>
                <w:szCs w:val="24"/>
              </w:rPr>
              <w:t>(CC 06/2020</w:t>
            </w:r>
            <w:r w:rsidRPr="005E4C36">
              <w:rPr>
                <w:rFonts w:ascii="Arial Narrow" w:hAnsi="Arial Narrow" w:cs="Arial"/>
                <w:sz w:val="24"/>
                <w:szCs w:val="24"/>
              </w:rPr>
              <w:t xml:space="preserve">) </w:t>
            </w:r>
            <w:r w:rsidR="00AA580A">
              <w:rPr>
                <w:rFonts w:ascii="Arial Narrow" w:hAnsi="Arial Narrow" w:cs="Arial"/>
                <w:sz w:val="24"/>
                <w:szCs w:val="24"/>
              </w:rPr>
              <w:t>[2023] NAHCMD 99</w:t>
            </w:r>
            <w:r w:rsidR="00EE204A">
              <w:rPr>
                <w:rFonts w:ascii="Arial Narrow" w:hAnsi="Arial Narrow" w:cs="Arial"/>
                <w:sz w:val="24"/>
                <w:szCs w:val="24"/>
              </w:rPr>
              <w:t xml:space="preserve"> (9</w:t>
            </w:r>
            <w:r w:rsidR="001B3C35">
              <w:rPr>
                <w:rFonts w:ascii="Arial Narrow" w:hAnsi="Arial Narrow" w:cs="Arial"/>
                <w:sz w:val="24"/>
                <w:szCs w:val="24"/>
              </w:rPr>
              <w:t xml:space="preserve"> </w:t>
            </w:r>
            <w:r w:rsidR="00A65EBD">
              <w:rPr>
                <w:rFonts w:ascii="Arial Narrow" w:hAnsi="Arial Narrow" w:cs="Arial"/>
                <w:sz w:val="24"/>
                <w:szCs w:val="24"/>
              </w:rPr>
              <w:t xml:space="preserve">March </w:t>
            </w:r>
            <w:r w:rsidRPr="005E4C36">
              <w:rPr>
                <w:rFonts w:ascii="Arial Narrow" w:hAnsi="Arial Narrow" w:cs="Arial"/>
                <w:sz w:val="24"/>
                <w:szCs w:val="24"/>
              </w:rPr>
              <w:t>20</w:t>
            </w:r>
            <w:r w:rsidR="00F9045B">
              <w:rPr>
                <w:rFonts w:ascii="Arial Narrow" w:hAnsi="Arial Narrow" w:cs="Arial"/>
                <w:sz w:val="24"/>
                <w:szCs w:val="24"/>
              </w:rPr>
              <w:t>23</w:t>
            </w:r>
            <w:r w:rsidRPr="005E4C36">
              <w:rPr>
                <w:rFonts w:ascii="Arial Narrow" w:hAnsi="Arial Narrow" w:cs="Arial"/>
                <w:sz w:val="24"/>
                <w:szCs w:val="24"/>
              </w:rPr>
              <w:t>)</w:t>
            </w:r>
          </w:p>
          <w:p w14:paraId="01518C39" w14:textId="77777777" w:rsidR="00AE7087" w:rsidRPr="005E4C36" w:rsidRDefault="00AE7087" w:rsidP="0088732C">
            <w:pPr>
              <w:spacing w:line="360" w:lineRule="auto"/>
              <w:jc w:val="both"/>
              <w:rPr>
                <w:rFonts w:ascii="Arial Narrow" w:hAnsi="Arial Narrow" w:cs="Arial"/>
                <w:b/>
                <w:sz w:val="24"/>
                <w:szCs w:val="24"/>
              </w:rPr>
            </w:pPr>
          </w:p>
        </w:tc>
      </w:tr>
      <w:tr w:rsidR="00AE7087" w:rsidRPr="005E4C36" w14:paraId="523AF090" w14:textId="77777777" w:rsidTr="0088732C">
        <w:tc>
          <w:tcPr>
            <w:tcW w:w="9720" w:type="dxa"/>
            <w:gridSpan w:val="3"/>
          </w:tcPr>
          <w:p w14:paraId="4CC97312" w14:textId="77777777" w:rsidR="00F2391F" w:rsidRPr="00F2391F" w:rsidRDefault="00AE7087" w:rsidP="00F2391F">
            <w:pPr>
              <w:spacing w:line="360" w:lineRule="auto"/>
              <w:jc w:val="both"/>
              <w:rPr>
                <w:rFonts w:ascii="Arial Narrow" w:hAnsi="Arial Narrow" w:cs="Arial"/>
                <w:b/>
                <w:sz w:val="24"/>
                <w:szCs w:val="24"/>
              </w:rPr>
            </w:pPr>
            <w:r w:rsidRPr="005E4C36">
              <w:rPr>
                <w:rFonts w:ascii="Arial Narrow" w:hAnsi="Arial Narrow" w:cs="Arial"/>
                <w:b/>
                <w:sz w:val="24"/>
                <w:szCs w:val="24"/>
              </w:rPr>
              <w:t>The order:</w:t>
            </w:r>
          </w:p>
          <w:p w14:paraId="67505EE1" w14:textId="3C45E56A" w:rsidR="00224C10" w:rsidRPr="001112B2" w:rsidRDefault="001112B2" w:rsidP="001112B2">
            <w:pPr>
              <w:spacing w:line="360" w:lineRule="auto"/>
              <w:ind w:left="1260" w:hanging="360"/>
              <w:jc w:val="both"/>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00EE204A" w:rsidRPr="001112B2">
              <w:rPr>
                <w:rFonts w:ascii="Arial Narrow" w:hAnsi="Arial Narrow" w:cs="Arial"/>
                <w:sz w:val="24"/>
                <w:szCs w:val="24"/>
              </w:rPr>
              <w:t>The</w:t>
            </w:r>
            <w:r w:rsidR="00224C10" w:rsidRPr="001112B2">
              <w:rPr>
                <w:rFonts w:ascii="Arial Narrow" w:hAnsi="Arial Narrow" w:cs="Arial"/>
                <w:sz w:val="24"/>
                <w:szCs w:val="24"/>
              </w:rPr>
              <w:t xml:space="preserve"> application</w:t>
            </w:r>
            <w:r w:rsidR="00EE204A" w:rsidRPr="001112B2">
              <w:rPr>
                <w:rFonts w:ascii="Arial Narrow" w:hAnsi="Arial Narrow" w:cs="Arial"/>
                <w:sz w:val="24"/>
                <w:szCs w:val="24"/>
              </w:rPr>
              <w:t xml:space="preserve"> for condonation</w:t>
            </w:r>
            <w:r w:rsidR="00224C10" w:rsidRPr="001112B2">
              <w:rPr>
                <w:rFonts w:ascii="Arial Narrow" w:hAnsi="Arial Narrow" w:cs="Arial"/>
                <w:sz w:val="24"/>
                <w:szCs w:val="24"/>
              </w:rPr>
              <w:t xml:space="preserve"> is refused.</w:t>
            </w:r>
          </w:p>
          <w:p w14:paraId="1154BE19" w14:textId="3C060F4D" w:rsidR="00FD13CD" w:rsidRPr="001112B2" w:rsidRDefault="001112B2" w:rsidP="001112B2">
            <w:pPr>
              <w:spacing w:line="360" w:lineRule="auto"/>
              <w:ind w:left="1260" w:hanging="360"/>
              <w:jc w:val="both"/>
              <w:rPr>
                <w:rFonts w:ascii="Arial Narrow" w:hAnsi="Arial Narrow" w:cs="Arial"/>
                <w:sz w:val="24"/>
                <w:szCs w:val="24"/>
              </w:rPr>
            </w:pPr>
            <w:r w:rsidRPr="00EE204A">
              <w:rPr>
                <w:rFonts w:ascii="Arial Narrow" w:hAnsi="Arial Narrow" w:cs="Arial"/>
                <w:sz w:val="24"/>
                <w:szCs w:val="24"/>
              </w:rPr>
              <w:t>2.</w:t>
            </w:r>
            <w:r w:rsidRPr="00EE204A">
              <w:rPr>
                <w:rFonts w:ascii="Arial Narrow" w:hAnsi="Arial Narrow" w:cs="Arial"/>
                <w:sz w:val="24"/>
                <w:szCs w:val="24"/>
              </w:rPr>
              <w:tab/>
            </w:r>
            <w:r w:rsidR="00224C10" w:rsidRPr="001112B2">
              <w:rPr>
                <w:rFonts w:ascii="Arial Narrow" w:hAnsi="Arial Narrow" w:cs="Arial"/>
                <w:sz w:val="24"/>
                <w:szCs w:val="24"/>
              </w:rPr>
              <w:t>The</w:t>
            </w:r>
            <w:r w:rsidR="00EE204A" w:rsidRPr="001112B2">
              <w:rPr>
                <w:rFonts w:ascii="Arial Narrow" w:hAnsi="Arial Narrow" w:cs="Arial"/>
                <w:sz w:val="24"/>
                <w:szCs w:val="24"/>
              </w:rPr>
              <w:t xml:space="preserve"> matter is struck from the roll</w:t>
            </w:r>
            <w:r w:rsidR="00FD13CD" w:rsidRPr="001112B2">
              <w:rPr>
                <w:rFonts w:ascii="Arial Narrow" w:hAnsi="Arial Narrow" w:cs="Arial"/>
                <w:sz w:val="24"/>
                <w:szCs w:val="24"/>
              </w:rPr>
              <w:t>.</w:t>
            </w:r>
          </w:p>
          <w:p w14:paraId="7B0D8F2F" w14:textId="77777777" w:rsidR="00AE7087" w:rsidRPr="005E4C36" w:rsidRDefault="00AE7087" w:rsidP="00857F2D">
            <w:pPr>
              <w:pStyle w:val="ListParagraph"/>
              <w:spacing w:line="360" w:lineRule="auto"/>
              <w:ind w:left="1440"/>
              <w:jc w:val="both"/>
              <w:rPr>
                <w:rFonts w:ascii="Arial Narrow" w:hAnsi="Arial Narrow" w:cs="Arial"/>
                <w:sz w:val="24"/>
                <w:szCs w:val="24"/>
              </w:rPr>
            </w:pPr>
          </w:p>
        </w:tc>
      </w:tr>
      <w:tr w:rsidR="00AE7087" w:rsidRPr="005E4C36" w14:paraId="3983EBA1" w14:textId="77777777" w:rsidTr="0088732C">
        <w:tc>
          <w:tcPr>
            <w:tcW w:w="9720" w:type="dxa"/>
            <w:gridSpan w:val="3"/>
          </w:tcPr>
          <w:p w14:paraId="3A2BB322" w14:textId="77777777" w:rsidR="00AE7087" w:rsidRPr="005E4C36" w:rsidRDefault="00D8238D" w:rsidP="0088732C">
            <w:pPr>
              <w:spacing w:line="360" w:lineRule="auto"/>
              <w:jc w:val="both"/>
              <w:rPr>
                <w:rFonts w:ascii="Arial Narrow" w:hAnsi="Arial Narrow" w:cs="Arial"/>
                <w:b/>
                <w:sz w:val="24"/>
                <w:szCs w:val="24"/>
              </w:rPr>
            </w:pPr>
            <w:r>
              <w:rPr>
                <w:rFonts w:ascii="Arial Narrow" w:hAnsi="Arial Narrow" w:cs="Arial"/>
                <w:b/>
                <w:sz w:val="24"/>
                <w:szCs w:val="24"/>
              </w:rPr>
              <w:t>Reasons for decision</w:t>
            </w:r>
            <w:r w:rsidR="00AE7087" w:rsidRPr="005E4C36">
              <w:rPr>
                <w:rFonts w:ascii="Arial Narrow" w:hAnsi="Arial Narrow" w:cs="Arial"/>
                <w:b/>
                <w:sz w:val="24"/>
                <w:szCs w:val="24"/>
              </w:rPr>
              <w:t>:</w:t>
            </w:r>
          </w:p>
        </w:tc>
      </w:tr>
      <w:tr w:rsidR="00AE7087" w:rsidRPr="005E4C36" w14:paraId="729039FA" w14:textId="77777777" w:rsidTr="0088732C">
        <w:tc>
          <w:tcPr>
            <w:tcW w:w="9720" w:type="dxa"/>
            <w:gridSpan w:val="3"/>
          </w:tcPr>
          <w:p w14:paraId="14F355E2" w14:textId="77777777" w:rsidR="00D041D2" w:rsidRPr="005E4C36" w:rsidRDefault="00D041D2" w:rsidP="0088732C">
            <w:pPr>
              <w:spacing w:line="360" w:lineRule="auto"/>
              <w:jc w:val="both"/>
              <w:rPr>
                <w:rFonts w:ascii="Arial Narrow" w:hAnsi="Arial Narrow" w:cs="Arial"/>
                <w:sz w:val="24"/>
                <w:szCs w:val="24"/>
              </w:rPr>
            </w:pPr>
          </w:p>
          <w:p w14:paraId="56328323" w14:textId="77777777" w:rsidR="00AE7087" w:rsidRPr="005E4C36" w:rsidRDefault="001C10EF" w:rsidP="0088732C">
            <w:pPr>
              <w:spacing w:line="360" w:lineRule="auto"/>
              <w:jc w:val="both"/>
              <w:rPr>
                <w:rFonts w:ascii="Arial Narrow" w:hAnsi="Arial Narrow" w:cs="Arial"/>
                <w:sz w:val="24"/>
                <w:szCs w:val="24"/>
              </w:rPr>
            </w:pPr>
            <w:r w:rsidRPr="005E4C36">
              <w:rPr>
                <w:rFonts w:ascii="Arial Narrow" w:hAnsi="Arial Narrow" w:cs="Arial"/>
                <w:sz w:val="24"/>
                <w:szCs w:val="24"/>
              </w:rPr>
              <w:t xml:space="preserve">LIEBENBERG J </w:t>
            </w:r>
          </w:p>
          <w:p w14:paraId="6ADDACDB" w14:textId="7C7777E3" w:rsidR="00281607" w:rsidRPr="001112B2" w:rsidRDefault="001112B2" w:rsidP="001112B2">
            <w:pPr>
              <w:spacing w:before="240" w:line="360" w:lineRule="auto"/>
              <w:ind w:left="540" w:hanging="360"/>
              <w:jc w:val="both"/>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00A24E70" w:rsidRPr="001112B2">
              <w:rPr>
                <w:rFonts w:ascii="Arial Narrow" w:hAnsi="Arial Narrow" w:cs="Arial"/>
                <w:sz w:val="24"/>
                <w:szCs w:val="24"/>
              </w:rPr>
              <w:t>T</w:t>
            </w:r>
            <w:r w:rsidR="00F9045B" w:rsidRPr="001112B2">
              <w:rPr>
                <w:rFonts w:ascii="Arial Narrow" w:hAnsi="Arial Narrow" w:cs="Arial"/>
                <w:sz w:val="24"/>
                <w:szCs w:val="24"/>
              </w:rPr>
              <w:t>his is an application for leave to appeal to the Supreme Court against this court’s judgment delivered on 12 October 2022. The applicant</w:t>
            </w:r>
            <w:r w:rsidR="00E445A0" w:rsidRPr="001112B2">
              <w:rPr>
                <w:rFonts w:ascii="Arial Narrow" w:hAnsi="Arial Narrow" w:cs="Arial"/>
                <w:sz w:val="24"/>
                <w:szCs w:val="24"/>
              </w:rPr>
              <w:t xml:space="preserve"> was</w:t>
            </w:r>
            <w:r w:rsidR="005B680B" w:rsidRPr="001112B2">
              <w:rPr>
                <w:rFonts w:ascii="Arial Narrow" w:hAnsi="Arial Narrow" w:cs="Arial"/>
                <w:sz w:val="24"/>
                <w:szCs w:val="24"/>
              </w:rPr>
              <w:t xml:space="preserve"> convicted on </w:t>
            </w:r>
            <w:r w:rsidR="00F9045B" w:rsidRPr="001112B2">
              <w:rPr>
                <w:rFonts w:ascii="Arial Narrow" w:hAnsi="Arial Narrow" w:cs="Arial"/>
                <w:sz w:val="24"/>
                <w:szCs w:val="24"/>
              </w:rPr>
              <w:t xml:space="preserve">charges of murder; assault; theft; conspiracy to commit housebreaking with intent to rob </w:t>
            </w:r>
            <w:r w:rsidR="002B742D" w:rsidRPr="001112B2">
              <w:rPr>
                <w:rFonts w:ascii="Arial Narrow" w:hAnsi="Arial Narrow" w:cs="Arial"/>
                <w:sz w:val="24"/>
                <w:szCs w:val="24"/>
              </w:rPr>
              <w:t>(r/w s 18(2)</w:t>
            </w:r>
            <w:r w:rsidR="002B742D" w:rsidRPr="001112B2">
              <w:rPr>
                <w:rFonts w:ascii="Arial Narrow" w:hAnsi="Arial Narrow" w:cs="Arial"/>
                <w:i/>
                <w:sz w:val="24"/>
                <w:szCs w:val="24"/>
              </w:rPr>
              <w:t xml:space="preserve">(a) </w:t>
            </w:r>
            <w:r w:rsidR="002B742D" w:rsidRPr="001112B2">
              <w:rPr>
                <w:rFonts w:ascii="Arial Narrow" w:hAnsi="Arial Narrow" w:cs="Arial"/>
                <w:sz w:val="24"/>
                <w:szCs w:val="24"/>
              </w:rPr>
              <w:t xml:space="preserve">of the Riotous Assemblies Act 17 of 1956); and </w:t>
            </w:r>
          </w:p>
          <w:p w14:paraId="553D30EA" w14:textId="77777777" w:rsidR="00281607" w:rsidRDefault="00281607" w:rsidP="00281607">
            <w:pPr>
              <w:pStyle w:val="ListParagraph"/>
              <w:spacing w:before="240" w:line="360" w:lineRule="auto"/>
              <w:ind w:left="540"/>
              <w:jc w:val="both"/>
              <w:rPr>
                <w:rFonts w:ascii="Arial Narrow" w:hAnsi="Arial Narrow" w:cs="Arial"/>
                <w:sz w:val="24"/>
                <w:szCs w:val="24"/>
              </w:rPr>
            </w:pPr>
          </w:p>
          <w:p w14:paraId="278A5574" w14:textId="6F19C4E4" w:rsidR="005B680B" w:rsidRPr="001112B2" w:rsidRDefault="001112B2" w:rsidP="001112B2">
            <w:pPr>
              <w:spacing w:before="240" w:line="360" w:lineRule="auto"/>
              <w:ind w:left="540" w:hanging="360"/>
              <w:jc w:val="both"/>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r>
            <w:r w:rsidR="002B742D" w:rsidRPr="001112B2">
              <w:rPr>
                <w:rFonts w:ascii="Arial Narrow" w:hAnsi="Arial Narrow" w:cs="Arial"/>
                <w:sz w:val="24"/>
                <w:szCs w:val="24"/>
              </w:rPr>
              <w:t>defeating or obstructing the course of justice. Applicant and his co-accused (accused 1) were sentenced on 14 November 2022.</w:t>
            </w:r>
          </w:p>
          <w:p w14:paraId="00FD11D2" w14:textId="77777777" w:rsidR="00087BB8" w:rsidRDefault="00087BB8" w:rsidP="00087BB8">
            <w:pPr>
              <w:pStyle w:val="ListParagraph"/>
              <w:spacing w:before="240" w:line="360" w:lineRule="auto"/>
              <w:ind w:left="540"/>
              <w:jc w:val="both"/>
              <w:rPr>
                <w:rFonts w:ascii="Arial Narrow" w:hAnsi="Arial Narrow" w:cs="Arial"/>
                <w:sz w:val="24"/>
                <w:szCs w:val="24"/>
              </w:rPr>
            </w:pPr>
          </w:p>
          <w:p w14:paraId="07A14E21" w14:textId="054366A2" w:rsidR="00547C6E" w:rsidRPr="001112B2" w:rsidRDefault="001112B2" w:rsidP="001112B2">
            <w:pPr>
              <w:spacing w:before="240" w:line="360" w:lineRule="auto"/>
              <w:ind w:left="540" w:hanging="360"/>
              <w:jc w:val="both"/>
              <w:rPr>
                <w:rFonts w:ascii="Arial Narrow" w:hAnsi="Arial Narrow" w:cs="Arial"/>
                <w:sz w:val="24"/>
                <w:szCs w:val="24"/>
              </w:rPr>
            </w:pPr>
            <w:r w:rsidRPr="00087BB8">
              <w:rPr>
                <w:rFonts w:ascii="Arial Narrow" w:hAnsi="Arial Narrow" w:cs="Arial"/>
                <w:sz w:val="24"/>
                <w:szCs w:val="24"/>
              </w:rPr>
              <w:t>[3]</w:t>
            </w:r>
            <w:r w:rsidRPr="00087BB8">
              <w:rPr>
                <w:rFonts w:ascii="Arial Narrow" w:hAnsi="Arial Narrow" w:cs="Arial"/>
                <w:sz w:val="24"/>
                <w:szCs w:val="24"/>
              </w:rPr>
              <w:tab/>
            </w:r>
            <w:r w:rsidR="00547C6E" w:rsidRPr="001112B2">
              <w:rPr>
                <w:rFonts w:ascii="Arial Narrow" w:hAnsi="Arial Narrow" w:cs="Arial"/>
                <w:sz w:val="24"/>
                <w:szCs w:val="24"/>
                <w:lang w:val="en-US"/>
              </w:rPr>
              <w:t>Section 316 of the Criminal Procedure Act (the CPA) 51 of 1977 provides that an accused person</w:t>
            </w:r>
            <w:r w:rsidR="00EE204A" w:rsidRPr="001112B2">
              <w:rPr>
                <w:rFonts w:ascii="Arial Narrow" w:hAnsi="Arial Narrow" w:cs="Arial"/>
                <w:sz w:val="24"/>
                <w:szCs w:val="24"/>
                <w:lang w:val="en-US"/>
              </w:rPr>
              <w:t>,</w:t>
            </w:r>
            <w:r w:rsidR="00547C6E" w:rsidRPr="001112B2">
              <w:rPr>
                <w:rFonts w:ascii="Arial Narrow" w:hAnsi="Arial Narrow" w:cs="Arial"/>
                <w:sz w:val="24"/>
                <w:szCs w:val="24"/>
                <w:lang w:val="en-US"/>
              </w:rPr>
              <w:t xml:space="preserve"> wishing to apply for leave</w:t>
            </w:r>
            <w:r w:rsidR="00EE204A" w:rsidRPr="001112B2">
              <w:rPr>
                <w:rFonts w:ascii="Arial Narrow" w:hAnsi="Arial Narrow" w:cs="Arial"/>
                <w:sz w:val="24"/>
                <w:szCs w:val="24"/>
                <w:lang w:val="en-US"/>
              </w:rPr>
              <w:t xml:space="preserve"> to appeal, is required to lodge the application</w:t>
            </w:r>
            <w:r w:rsidR="00547C6E" w:rsidRPr="001112B2">
              <w:rPr>
                <w:rFonts w:ascii="Arial Narrow" w:hAnsi="Arial Narrow" w:cs="Arial"/>
                <w:sz w:val="24"/>
                <w:szCs w:val="24"/>
                <w:lang w:val="en-US"/>
              </w:rPr>
              <w:t xml:space="preserve"> within a period of 14 days after sentence, which the applicant failed to comply with.</w:t>
            </w:r>
          </w:p>
          <w:p w14:paraId="523EFB3D" w14:textId="77777777" w:rsidR="00D4144A" w:rsidRPr="00281607" w:rsidRDefault="00D4144A" w:rsidP="00281607">
            <w:pPr>
              <w:spacing w:line="360" w:lineRule="auto"/>
              <w:jc w:val="both"/>
              <w:rPr>
                <w:rFonts w:ascii="Arial Narrow" w:hAnsi="Arial Narrow" w:cs="Arial"/>
                <w:sz w:val="24"/>
                <w:szCs w:val="24"/>
              </w:rPr>
            </w:pPr>
          </w:p>
          <w:p w14:paraId="553941CA" w14:textId="51F9DF0A" w:rsidR="008764C7" w:rsidRPr="001112B2" w:rsidRDefault="001112B2" w:rsidP="001112B2">
            <w:pPr>
              <w:spacing w:line="360" w:lineRule="auto"/>
              <w:ind w:left="522" w:hanging="360"/>
              <w:jc w:val="both"/>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rPr>
              <w:tab/>
            </w:r>
            <w:r w:rsidR="005B680B" w:rsidRPr="001112B2">
              <w:rPr>
                <w:rFonts w:ascii="Arial Narrow" w:hAnsi="Arial Narrow" w:cs="Arial"/>
                <w:sz w:val="24"/>
                <w:szCs w:val="24"/>
              </w:rPr>
              <w:t>Disgr</w:t>
            </w:r>
            <w:r w:rsidR="002B742D" w:rsidRPr="001112B2">
              <w:rPr>
                <w:rFonts w:ascii="Arial Narrow" w:hAnsi="Arial Narrow" w:cs="Arial"/>
                <w:sz w:val="24"/>
                <w:szCs w:val="24"/>
              </w:rPr>
              <w:t>untled with the judgment</w:t>
            </w:r>
            <w:r w:rsidR="008362B0" w:rsidRPr="001112B2">
              <w:rPr>
                <w:rFonts w:ascii="Arial Narrow" w:hAnsi="Arial Narrow" w:cs="Arial"/>
                <w:sz w:val="24"/>
                <w:szCs w:val="24"/>
              </w:rPr>
              <w:t>,</w:t>
            </w:r>
            <w:r w:rsidR="005B680B" w:rsidRPr="001112B2">
              <w:rPr>
                <w:rFonts w:ascii="Arial Narrow" w:hAnsi="Arial Narrow" w:cs="Arial"/>
                <w:sz w:val="24"/>
                <w:szCs w:val="24"/>
              </w:rPr>
              <w:t xml:space="preserve"> </w:t>
            </w:r>
            <w:r w:rsidR="002B742D" w:rsidRPr="001112B2">
              <w:rPr>
                <w:rFonts w:ascii="Arial Narrow" w:hAnsi="Arial Narrow" w:cs="Arial"/>
                <w:sz w:val="24"/>
                <w:szCs w:val="24"/>
              </w:rPr>
              <w:t>applicant</w:t>
            </w:r>
            <w:r w:rsidR="005B680B" w:rsidRPr="001112B2">
              <w:rPr>
                <w:rFonts w:ascii="Arial Narrow" w:hAnsi="Arial Narrow" w:cs="Arial"/>
                <w:sz w:val="24"/>
                <w:szCs w:val="24"/>
              </w:rPr>
              <w:t xml:space="preserve"> lodged an application for leave to appeal</w:t>
            </w:r>
            <w:r w:rsidR="002B742D" w:rsidRPr="001112B2">
              <w:rPr>
                <w:rFonts w:ascii="Arial Narrow" w:hAnsi="Arial Narrow" w:cs="Arial"/>
                <w:sz w:val="24"/>
                <w:szCs w:val="24"/>
              </w:rPr>
              <w:t xml:space="preserve"> dated 05 December 2022</w:t>
            </w:r>
            <w:r w:rsidR="008362B0" w:rsidRPr="001112B2">
              <w:rPr>
                <w:rFonts w:ascii="Arial Narrow" w:hAnsi="Arial Narrow" w:cs="Arial"/>
                <w:sz w:val="24"/>
                <w:szCs w:val="24"/>
              </w:rPr>
              <w:t>. Whereas t</w:t>
            </w:r>
            <w:r w:rsidR="005B680B" w:rsidRPr="001112B2">
              <w:rPr>
                <w:rFonts w:ascii="Arial Narrow" w:hAnsi="Arial Narrow" w:cs="Arial"/>
                <w:sz w:val="24"/>
                <w:szCs w:val="24"/>
              </w:rPr>
              <w:t xml:space="preserve">he </w:t>
            </w:r>
            <w:r w:rsidR="00AE464A" w:rsidRPr="001112B2">
              <w:rPr>
                <w:rFonts w:ascii="Arial Narrow" w:hAnsi="Arial Narrow" w:cs="Arial"/>
                <w:sz w:val="24"/>
                <w:szCs w:val="24"/>
              </w:rPr>
              <w:t xml:space="preserve">application is </w:t>
            </w:r>
            <w:r w:rsidR="002B742D" w:rsidRPr="001112B2">
              <w:rPr>
                <w:rFonts w:ascii="Arial Narrow" w:hAnsi="Arial Narrow" w:cs="Arial"/>
                <w:sz w:val="24"/>
                <w:szCs w:val="24"/>
              </w:rPr>
              <w:t>out of time</w:t>
            </w:r>
            <w:r w:rsidR="00722B70" w:rsidRPr="001112B2">
              <w:rPr>
                <w:rFonts w:ascii="Arial Narrow" w:hAnsi="Arial Narrow" w:cs="Arial"/>
                <w:sz w:val="24"/>
                <w:szCs w:val="24"/>
              </w:rPr>
              <w:t xml:space="preserve"> </w:t>
            </w:r>
            <w:r w:rsidR="00EE204A" w:rsidRPr="001112B2">
              <w:rPr>
                <w:rFonts w:ascii="Arial Narrow" w:hAnsi="Arial Narrow" w:cs="Arial"/>
                <w:sz w:val="24"/>
                <w:szCs w:val="24"/>
              </w:rPr>
              <w:t xml:space="preserve">by </w:t>
            </w:r>
            <w:r w:rsidR="00722B70" w:rsidRPr="001112B2">
              <w:rPr>
                <w:rFonts w:ascii="Arial Narrow" w:hAnsi="Arial Narrow" w:cs="Arial"/>
                <w:sz w:val="24"/>
                <w:szCs w:val="24"/>
              </w:rPr>
              <w:t>7 days</w:t>
            </w:r>
            <w:r w:rsidR="008362B0" w:rsidRPr="001112B2">
              <w:rPr>
                <w:rFonts w:ascii="Arial Narrow" w:hAnsi="Arial Narrow" w:cs="Arial"/>
                <w:sz w:val="24"/>
                <w:szCs w:val="24"/>
              </w:rPr>
              <w:t>,</w:t>
            </w:r>
            <w:r w:rsidR="0046452B" w:rsidRPr="001112B2">
              <w:rPr>
                <w:rFonts w:ascii="Arial Narrow" w:hAnsi="Arial Narrow" w:cs="Arial"/>
                <w:sz w:val="24"/>
                <w:szCs w:val="24"/>
              </w:rPr>
              <w:t xml:space="preserve"> applicant</w:t>
            </w:r>
            <w:r w:rsidR="002B742D" w:rsidRPr="001112B2">
              <w:rPr>
                <w:rFonts w:ascii="Arial Narrow" w:hAnsi="Arial Narrow" w:cs="Arial"/>
                <w:sz w:val="24"/>
                <w:szCs w:val="24"/>
              </w:rPr>
              <w:t>, with the help of his legal representative, Mr Engelbrecht,</w:t>
            </w:r>
            <w:r w:rsidR="00AE464A" w:rsidRPr="001112B2">
              <w:rPr>
                <w:rFonts w:ascii="Arial Narrow" w:hAnsi="Arial Narrow" w:cs="Arial"/>
                <w:sz w:val="24"/>
                <w:szCs w:val="24"/>
              </w:rPr>
              <w:t xml:space="preserve"> </w:t>
            </w:r>
            <w:r w:rsidR="002B742D" w:rsidRPr="001112B2">
              <w:rPr>
                <w:rFonts w:ascii="Arial Narrow" w:hAnsi="Arial Narrow" w:cs="Arial"/>
                <w:sz w:val="24"/>
                <w:szCs w:val="24"/>
              </w:rPr>
              <w:t xml:space="preserve">simultaneously </w:t>
            </w:r>
            <w:r w:rsidR="00AE464A" w:rsidRPr="001112B2">
              <w:rPr>
                <w:rFonts w:ascii="Arial Narrow" w:hAnsi="Arial Narrow" w:cs="Arial"/>
                <w:sz w:val="24"/>
                <w:szCs w:val="24"/>
              </w:rPr>
              <w:t>filed a condonation application</w:t>
            </w:r>
            <w:r w:rsidR="00EE204A" w:rsidRPr="001112B2">
              <w:rPr>
                <w:rFonts w:ascii="Arial Narrow" w:hAnsi="Arial Narrow" w:cs="Arial"/>
                <w:sz w:val="24"/>
                <w:szCs w:val="24"/>
              </w:rPr>
              <w:t xml:space="preserve"> together</w:t>
            </w:r>
            <w:r w:rsidR="00E445A0" w:rsidRPr="001112B2">
              <w:rPr>
                <w:rFonts w:ascii="Arial Narrow" w:hAnsi="Arial Narrow" w:cs="Arial"/>
                <w:sz w:val="24"/>
                <w:szCs w:val="24"/>
              </w:rPr>
              <w:t xml:space="preserve"> </w:t>
            </w:r>
            <w:r w:rsidR="002B742D" w:rsidRPr="001112B2">
              <w:rPr>
                <w:rFonts w:ascii="Arial Narrow" w:hAnsi="Arial Narrow" w:cs="Arial"/>
                <w:sz w:val="24"/>
                <w:szCs w:val="24"/>
              </w:rPr>
              <w:t>with the</w:t>
            </w:r>
            <w:r w:rsidR="00E445A0" w:rsidRPr="001112B2">
              <w:rPr>
                <w:rFonts w:ascii="Arial Narrow" w:hAnsi="Arial Narrow" w:cs="Arial"/>
                <w:sz w:val="24"/>
                <w:szCs w:val="24"/>
              </w:rPr>
              <w:t xml:space="preserve"> notice</w:t>
            </w:r>
            <w:r w:rsidR="00595E15" w:rsidRPr="001112B2">
              <w:rPr>
                <w:rFonts w:ascii="Arial Narrow" w:hAnsi="Arial Narrow" w:cs="Arial"/>
                <w:sz w:val="24"/>
                <w:szCs w:val="24"/>
              </w:rPr>
              <w:t xml:space="preserve"> of application</w:t>
            </w:r>
            <w:r w:rsidR="00E445A0" w:rsidRPr="001112B2">
              <w:rPr>
                <w:rFonts w:ascii="Arial Narrow" w:hAnsi="Arial Narrow" w:cs="Arial"/>
                <w:sz w:val="24"/>
                <w:szCs w:val="24"/>
              </w:rPr>
              <w:t xml:space="preserve"> for leave to appeal</w:t>
            </w:r>
            <w:r w:rsidR="008451CA" w:rsidRPr="001112B2">
              <w:rPr>
                <w:rFonts w:ascii="Arial Narrow" w:hAnsi="Arial Narrow" w:cs="Arial"/>
                <w:sz w:val="24"/>
                <w:szCs w:val="24"/>
              </w:rPr>
              <w:t>.</w:t>
            </w:r>
            <w:r w:rsidR="00595E15" w:rsidRPr="001112B2">
              <w:rPr>
                <w:rFonts w:ascii="Arial Narrow" w:hAnsi="Arial Narrow" w:cs="Arial"/>
                <w:sz w:val="24"/>
                <w:szCs w:val="24"/>
              </w:rPr>
              <w:t xml:space="preserve"> The </w:t>
            </w:r>
            <w:r w:rsidR="00722B70" w:rsidRPr="001112B2">
              <w:rPr>
                <w:rFonts w:ascii="Arial Narrow" w:hAnsi="Arial Narrow" w:cs="Arial"/>
                <w:sz w:val="24"/>
                <w:szCs w:val="24"/>
              </w:rPr>
              <w:t xml:space="preserve">respondent opposes the </w:t>
            </w:r>
            <w:r w:rsidR="00595E15" w:rsidRPr="001112B2">
              <w:rPr>
                <w:rFonts w:ascii="Arial Narrow" w:hAnsi="Arial Narrow" w:cs="Arial"/>
                <w:sz w:val="24"/>
                <w:szCs w:val="24"/>
              </w:rPr>
              <w:t>application.</w:t>
            </w:r>
            <w:r w:rsidR="00722B70" w:rsidRPr="001112B2">
              <w:rPr>
                <w:rFonts w:ascii="Arial Narrow" w:hAnsi="Arial Narrow" w:cs="Arial"/>
                <w:sz w:val="24"/>
                <w:szCs w:val="24"/>
              </w:rPr>
              <w:t xml:space="preserve"> Whilst conceding that the duration of the period of non-compliance is negligible, respondent is of the view that it remains a flagrant disregard</w:t>
            </w:r>
            <w:r w:rsidR="00E44795" w:rsidRPr="001112B2">
              <w:rPr>
                <w:rFonts w:ascii="Arial Narrow" w:hAnsi="Arial Narrow" w:cs="Arial"/>
                <w:sz w:val="24"/>
                <w:szCs w:val="24"/>
              </w:rPr>
              <w:t xml:space="preserve"> of the requisites set out in s 316 of the CPA. Therefore, </w:t>
            </w:r>
            <w:r w:rsidR="00087BB8" w:rsidRPr="001112B2">
              <w:rPr>
                <w:rFonts w:ascii="Arial Narrow" w:hAnsi="Arial Narrow" w:cs="Arial"/>
                <w:sz w:val="24"/>
                <w:szCs w:val="24"/>
              </w:rPr>
              <w:t xml:space="preserve">counsel submitted, </w:t>
            </w:r>
            <w:r w:rsidR="00E44795" w:rsidRPr="001112B2">
              <w:rPr>
                <w:rFonts w:ascii="Arial Narrow" w:hAnsi="Arial Narrow" w:cs="Arial"/>
                <w:sz w:val="24"/>
                <w:szCs w:val="24"/>
              </w:rPr>
              <w:t>the court need not consider the prospects of success on appeal. Moreover, where the applicant failed to address the prospects of success on appeal in the condonation application.</w:t>
            </w:r>
          </w:p>
          <w:p w14:paraId="109DD6D3" w14:textId="77777777" w:rsidR="00087BB8" w:rsidRDefault="00087BB8" w:rsidP="00087BB8">
            <w:pPr>
              <w:pStyle w:val="ListParagraph"/>
              <w:spacing w:line="360" w:lineRule="auto"/>
              <w:ind w:left="522"/>
              <w:jc w:val="both"/>
              <w:rPr>
                <w:rFonts w:ascii="Arial Narrow" w:hAnsi="Arial Narrow" w:cs="Arial"/>
                <w:sz w:val="24"/>
                <w:szCs w:val="24"/>
              </w:rPr>
            </w:pPr>
          </w:p>
          <w:p w14:paraId="12471A79" w14:textId="5593ABA0" w:rsidR="00E44795" w:rsidRPr="001112B2" w:rsidRDefault="001112B2" w:rsidP="001112B2">
            <w:pPr>
              <w:spacing w:line="360" w:lineRule="auto"/>
              <w:ind w:left="522" w:hanging="360"/>
              <w:jc w:val="both"/>
              <w:rPr>
                <w:rFonts w:ascii="Arial Narrow" w:hAnsi="Arial Narrow" w:cs="Arial"/>
                <w:sz w:val="24"/>
                <w:szCs w:val="24"/>
              </w:rPr>
            </w:pPr>
            <w:r>
              <w:rPr>
                <w:rFonts w:ascii="Arial Narrow" w:hAnsi="Arial Narrow" w:cs="Arial"/>
                <w:sz w:val="24"/>
                <w:szCs w:val="24"/>
              </w:rPr>
              <w:t>[5]</w:t>
            </w:r>
            <w:r>
              <w:rPr>
                <w:rFonts w:ascii="Arial Narrow" w:hAnsi="Arial Narrow" w:cs="Arial"/>
                <w:sz w:val="24"/>
                <w:szCs w:val="24"/>
              </w:rPr>
              <w:tab/>
            </w:r>
            <w:r w:rsidR="00E44795" w:rsidRPr="001112B2">
              <w:rPr>
                <w:rFonts w:ascii="Arial Narrow" w:hAnsi="Arial Narrow" w:cs="Arial"/>
                <w:sz w:val="24"/>
                <w:szCs w:val="24"/>
              </w:rPr>
              <w:t xml:space="preserve">During oral submissions the court intimated to counsel that the court’s ruling on the condonation application is reserved and invited counsel to proceed on the merits of the </w:t>
            </w:r>
            <w:r w:rsidR="00EE204A" w:rsidRPr="001112B2">
              <w:rPr>
                <w:rFonts w:ascii="Arial Narrow" w:hAnsi="Arial Narrow" w:cs="Arial"/>
                <w:sz w:val="24"/>
                <w:szCs w:val="24"/>
              </w:rPr>
              <w:t xml:space="preserve">main </w:t>
            </w:r>
            <w:r w:rsidR="00E44795" w:rsidRPr="001112B2">
              <w:rPr>
                <w:rFonts w:ascii="Arial Narrow" w:hAnsi="Arial Narrow" w:cs="Arial"/>
                <w:sz w:val="24"/>
                <w:szCs w:val="24"/>
              </w:rPr>
              <w:t>application.</w:t>
            </w:r>
          </w:p>
          <w:p w14:paraId="4CCF41D0" w14:textId="77777777" w:rsidR="00087BB8" w:rsidRDefault="00087BB8" w:rsidP="00087BB8">
            <w:pPr>
              <w:pStyle w:val="ListParagraph"/>
              <w:spacing w:line="360" w:lineRule="auto"/>
              <w:ind w:left="540"/>
              <w:jc w:val="both"/>
              <w:rPr>
                <w:rFonts w:ascii="Arial Narrow" w:hAnsi="Arial Narrow" w:cs="Arial"/>
                <w:sz w:val="24"/>
                <w:szCs w:val="24"/>
              </w:rPr>
            </w:pPr>
          </w:p>
          <w:p w14:paraId="461CA8B2" w14:textId="357908A8" w:rsidR="00087BB8"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[6]</w:t>
            </w:r>
            <w:r>
              <w:rPr>
                <w:rFonts w:ascii="Arial Narrow" w:hAnsi="Arial Narrow" w:cs="Arial"/>
                <w:sz w:val="24"/>
                <w:szCs w:val="24"/>
              </w:rPr>
              <w:tab/>
            </w:r>
            <w:r w:rsidR="00087BB8" w:rsidRPr="001112B2">
              <w:rPr>
                <w:rFonts w:ascii="Arial Narrow" w:hAnsi="Arial Narrow" w:cs="Arial"/>
                <w:sz w:val="24"/>
                <w:szCs w:val="24"/>
              </w:rPr>
              <w:t xml:space="preserve">The respondent opposed both the condonation application and the application for leave to appeal. It is thus imperative for this court to first deal with the preliminary issue of condonation. </w:t>
            </w:r>
          </w:p>
          <w:p w14:paraId="5480903A" w14:textId="77777777" w:rsidR="00087BB8" w:rsidRDefault="00087BB8" w:rsidP="00087BB8">
            <w:pPr>
              <w:pStyle w:val="ListParagraph"/>
              <w:spacing w:line="360" w:lineRule="auto"/>
              <w:ind w:left="540"/>
              <w:jc w:val="both"/>
              <w:rPr>
                <w:rFonts w:ascii="Arial Narrow" w:hAnsi="Arial Narrow" w:cs="Arial"/>
                <w:sz w:val="24"/>
                <w:szCs w:val="24"/>
              </w:rPr>
            </w:pPr>
          </w:p>
          <w:p w14:paraId="6329D98F" w14:textId="3C626DA4" w:rsidR="00281607"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[7]</w:t>
            </w:r>
            <w:r>
              <w:rPr>
                <w:rFonts w:ascii="Arial Narrow" w:hAnsi="Arial Narrow" w:cs="Arial"/>
                <w:sz w:val="24"/>
                <w:szCs w:val="24"/>
              </w:rPr>
              <w:tab/>
            </w:r>
            <w:r w:rsidR="00087BB8" w:rsidRPr="001112B2">
              <w:rPr>
                <w:rFonts w:ascii="Arial Narrow" w:hAnsi="Arial Narrow" w:cs="Arial"/>
                <w:sz w:val="24"/>
                <w:szCs w:val="24"/>
              </w:rPr>
              <w:t>In his</w:t>
            </w:r>
            <w:r w:rsidR="005176B9" w:rsidRPr="001112B2">
              <w:rPr>
                <w:rFonts w:ascii="Arial Narrow" w:hAnsi="Arial Narrow" w:cs="Arial"/>
                <w:sz w:val="24"/>
                <w:szCs w:val="24"/>
              </w:rPr>
              <w:t xml:space="preserve"> condonation </w:t>
            </w:r>
            <w:r w:rsidR="00087BB8" w:rsidRPr="001112B2">
              <w:rPr>
                <w:rFonts w:ascii="Arial Narrow" w:hAnsi="Arial Narrow" w:cs="Arial"/>
                <w:sz w:val="24"/>
                <w:szCs w:val="24"/>
              </w:rPr>
              <w:t>application</w:t>
            </w:r>
            <w:r w:rsidR="005176B9" w:rsidRPr="001112B2">
              <w:rPr>
                <w:rFonts w:ascii="Arial Narrow" w:hAnsi="Arial Narrow" w:cs="Arial"/>
                <w:sz w:val="24"/>
                <w:szCs w:val="24"/>
              </w:rPr>
              <w:t xml:space="preserve"> applicant </w:t>
            </w:r>
            <w:r w:rsidR="00F969B7" w:rsidRPr="001112B2">
              <w:rPr>
                <w:rFonts w:ascii="Arial Narrow" w:hAnsi="Arial Narrow" w:cs="Arial"/>
                <w:sz w:val="24"/>
                <w:szCs w:val="24"/>
              </w:rPr>
              <w:t>states</w:t>
            </w:r>
            <w:r w:rsidR="00797845" w:rsidRPr="001112B2">
              <w:rPr>
                <w:rFonts w:ascii="Arial Narrow" w:hAnsi="Arial Narrow" w:cs="Arial"/>
                <w:sz w:val="24"/>
                <w:szCs w:val="24"/>
              </w:rPr>
              <w:t xml:space="preserve"> that he</w:t>
            </w:r>
            <w:r w:rsidR="00EE204A" w:rsidRPr="001112B2">
              <w:rPr>
                <w:rFonts w:ascii="Arial Narrow" w:hAnsi="Arial Narrow" w:cs="Arial"/>
                <w:sz w:val="24"/>
                <w:szCs w:val="24"/>
              </w:rPr>
              <w:t xml:space="preserve"> (from the outset)</w:t>
            </w:r>
            <w:r w:rsidR="00797845" w:rsidRPr="001112B2">
              <w:rPr>
                <w:rFonts w:ascii="Arial Narrow" w:hAnsi="Arial Narrow" w:cs="Arial"/>
                <w:sz w:val="24"/>
                <w:szCs w:val="24"/>
              </w:rPr>
              <w:t xml:space="preserve"> </w:t>
            </w:r>
            <w:r w:rsidR="00F969B7" w:rsidRPr="001112B2">
              <w:rPr>
                <w:rFonts w:ascii="Arial Narrow" w:hAnsi="Arial Narrow" w:cs="Arial"/>
                <w:sz w:val="24"/>
                <w:szCs w:val="24"/>
              </w:rPr>
              <w:t>had the</w:t>
            </w:r>
            <w:r w:rsidR="00EE204A" w:rsidRPr="001112B2">
              <w:rPr>
                <w:rFonts w:ascii="Arial Narrow" w:hAnsi="Arial Narrow" w:cs="Arial"/>
                <w:sz w:val="24"/>
                <w:szCs w:val="24"/>
              </w:rPr>
              <w:t xml:space="preserve"> desire to lodge an appeal but</w:t>
            </w:r>
            <w:r w:rsidR="00797845" w:rsidRPr="001112B2">
              <w:rPr>
                <w:rFonts w:ascii="Arial Narrow" w:hAnsi="Arial Narrow" w:cs="Arial"/>
                <w:sz w:val="24"/>
                <w:szCs w:val="24"/>
              </w:rPr>
              <w:t xml:space="preserve"> unable to </w:t>
            </w:r>
            <w:r w:rsidR="00F969B7" w:rsidRPr="001112B2">
              <w:rPr>
                <w:rFonts w:ascii="Arial Narrow" w:hAnsi="Arial Narrow" w:cs="Arial"/>
                <w:sz w:val="24"/>
                <w:szCs w:val="24"/>
              </w:rPr>
              <w:t>do so</w:t>
            </w:r>
            <w:r w:rsidR="00EE204A" w:rsidRPr="001112B2">
              <w:rPr>
                <w:rFonts w:ascii="Arial Narrow" w:hAnsi="Arial Narrow" w:cs="Arial"/>
                <w:sz w:val="24"/>
                <w:szCs w:val="24"/>
              </w:rPr>
              <w:t>,</w:t>
            </w:r>
            <w:r w:rsidR="00F969B7" w:rsidRPr="001112B2">
              <w:rPr>
                <w:rFonts w:ascii="Arial Narrow" w:hAnsi="Arial Narrow" w:cs="Arial"/>
                <w:sz w:val="24"/>
                <w:szCs w:val="24"/>
              </w:rPr>
              <w:t xml:space="preserve"> for various reasons. He explains that due to financial constraints his family members were unable to assist him. Further, that he requested the assistance from </w:t>
            </w:r>
            <w:r w:rsidR="00DF66DC" w:rsidRPr="001112B2">
              <w:rPr>
                <w:rFonts w:ascii="Arial Narrow" w:hAnsi="Arial Narrow" w:cs="Arial"/>
                <w:sz w:val="24"/>
                <w:szCs w:val="24"/>
              </w:rPr>
              <w:t>the responsible person</w:t>
            </w:r>
            <w:r w:rsidR="00EE204A" w:rsidRPr="001112B2">
              <w:rPr>
                <w:rFonts w:ascii="Arial Narrow" w:hAnsi="Arial Narrow" w:cs="Arial"/>
                <w:sz w:val="24"/>
                <w:szCs w:val="24"/>
              </w:rPr>
              <w:t xml:space="preserve"> at the correctional facility</w:t>
            </w:r>
            <w:r w:rsidR="00DF66DC" w:rsidRPr="001112B2">
              <w:rPr>
                <w:rFonts w:ascii="Arial Narrow" w:hAnsi="Arial Narrow" w:cs="Arial"/>
                <w:sz w:val="24"/>
                <w:szCs w:val="24"/>
              </w:rPr>
              <w:t xml:space="preserve">, the senior correctional officer of Unit B, to apply for legal assistance from the Directorate of Legal </w:t>
            </w:r>
            <w:proofErr w:type="gramStart"/>
            <w:r w:rsidR="00DF66DC" w:rsidRPr="001112B2">
              <w:rPr>
                <w:rFonts w:ascii="Arial Narrow" w:hAnsi="Arial Narrow" w:cs="Arial"/>
                <w:sz w:val="24"/>
                <w:szCs w:val="24"/>
              </w:rPr>
              <w:t>Aid</w:t>
            </w:r>
            <w:r w:rsidR="00EE204A" w:rsidRPr="001112B2">
              <w:rPr>
                <w:rFonts w:ascii="Arial Narrow" w:hAnsi="Arial Narrow" w:cs="Arial"/>
                <w:sz w:val="24"/>
                <w:szCs w:val="24"/>
              </w:rPr>
              <w:t>,</w:t>
            </w:r>
            <w:r w:rsidR="00DF66DC" w:rsidRPr="001112B2">
              <w:rPr>
                <w:rFonts w:ascii="Arial Narrow" w:hAnsi="Arial Narrow" w:cs="Arial"/>
                <w:sz w:val="24"/>
                <w:szCs w:val="24"/>
              </w:rPr>
              <w:t xml:space="preserve"> but</w:t>
            </w:r>
            <w:proofErr w:type="gramEnd"/>
            <w:r w:rsidR="00DF66DC" w:rsidRPr="001112B2">
              <w:rPr>
                <w:rFonts w:ascii="Arial Narrow" w:hAnsi="Arial Narrow" w:cs="Arial"/>
                <w:sz w:val="24"/>
                <w:szCs w:val="24"/>
              </w:rPr>
              <w:t xml:space="preserve"> was simply told to wait. Applicant </w:t>
            </w:r>
            <w:r w:rsidR="00E819B8" w:rsidRPr="001112B2">
              <w:rPr>
                <w:rFonts w:ascii="Arial Narrow" w:hAnsi="Arial Narrow" w:cs="Arial"/>
                <w:sz w:val="24"/>
                <w:szCs w:val="24"/>
              </w:rPr>
              <w:t xml:space="preserve">claims that his delay in noting the </w:t>
            </w:r>
          </w:p>
          <w:p w14:paraId="578C30A5" w14:textId="77777777" w:rsidR="00281607" w:rsidRPr="00281607" w:rsidRDefault="00281607" w:rsidP="00281607">
            <w:pPr>
              <w:pStyle w:val="ListParagraph"/>
              <w:rPr>
                <w:rFonts w:ascii="Arial Narrow" w:hAnsi="Arial Narrow" w:cs="Arial"/>
                <w:sz w:val="24"/>
                <w:szCs w:val="24"/>
              </w:rPr>
            </w:pPr>
          </w:p>
          <w:p w14:paraId="383300C9" w14:textId="77777777" w:rsidR="00087BB8" w:rsidRDefault="00E819B8" w:rsidP="00281607">
            <w:pPr>
              <w:pStyle w:val="ListParagraph"/>
              <w:spacing w:line="360" w:lineRule="auto"/>
              <w:ind w:left="540"/>
              <w:jc w:val="both"/>
              <w:rPr>
                <w:rFonts w:ascii="Arial Narrow" w:hAnsi="Arial Narrow" w:cs="Arial"/>
                <w:sz w:val="24"/>
                <w:szCs w:val="24"/>
              </w:rPr>
            </w:pPr>
            <w:r w:rsidRPr="00087BB8">
              <w:rPr>
                <w:rFonts w:ascii="Arial Narrow" w:hAnsi="Arial Narrow" w:cs="Arial"/>
                <w:sz w:val="24"/>
                <w:szCs w:val="24"/>
              </w:rPr>
              <w:lastRenderedPageBreak/>
              <w:t xml:space="preserve">application for leave to appeal was not deliberate </w:t>
            </w:r>
            <w:proofErr w:type="gramStart"/>
            <w:r w:rsidRPr="00087BB8">
              <w:rPr>
                <w:rFonts w:ascii="Arial Narrow" w:hAnsi="Arial Narrow" w:cs="Arial"/>
                <w:sz w:val="24"/>
                <w:szCs w:val="24"/>
              </w:rPr>
              <w:t>but</w:t>
            </w:r>
            <w:r w:rsidR="00087BB8" w:rsidRPr="00087BB8">
              <w:rPr>
                <w:rFonts w:ascii="Arial Narrow" w:hAnsi="Arial Narrow" w:cs="Arial"/>
                <w:sz w:val="24"/>
                <w:szCs w:val="24"/>
              </w:rPr>
              <w:t>,</w:t>
            </w:r>
            <w:proofErr w:type="gramEnd"/>
            <w:r w:rsidRPr="00087BB8">
              <w:rPr>
                <w:rFonts w:ascii="Arial Narrow" w:hAnsi="Arial Narrow" w:cs="Arial"/>
                <w:sz w:val="24"/>
                <w:szCs w:val="24"/>
              </w:rPr>
              <w:t xml:space="preserve"> being a lay person, he relied on the help and assistance of ‘members of the prison’ who failed him. He is further of the view that, b</w:t>
            </w:r>
            <w:r w:rsidR="00EE204A">
              <w:rPr>
                <w:rFonts w:ascii="Arial Narrow" w:hAnsi="Arial Narrow" w:cs="Arial"/>
                <w:sz w:val="24"/>
                <w:szCs w:val="24"/>
              </w:rPr>
              <w:t>ased on the grounds of appeal</w:t>
            </w:r>
            <w:r w:rsidRPr="00087BB8">
              <w:rPr>
                <w:rFonts w:ascii="Arial Narrow" w:hAnsi="Arial Narrow" w:cs="Arial"/>
                <w:sz w:val="24"/>
                <w:szCs w:val="24"/>
              </w:rPr>
              <w:t xml:space="preserve"> set out in the notice, he has good prospects of success on appeal.</w:t>
            </w:r>
            <w:r w:rsidR="00AD34B0" w:rsidRPr="00087BB8">
              <w:rPr>
                <w:rFonts w:ascii="Arial Narrow" w:hAnsi="Arial Narrow" w:cs="Arial"/>
                <w:sz w:val="24"/>
                <w:szCs w:val="24"/>
              </w:rPr>
              <w:t xml:space="preserve"> </w:t>
            </w:r>
          </w:p>
          <w:p w14:paraId="17B1E681" w14:textId="77777777" w:rsidR="00087BB8" w:rsidRPr="00087BB8" w:rsidRDefault="00087BB8" w:rsidP="00087BB8">
            <w:pPr>
              <w:pStyle w:val="ListParagraph"/>
              <w:rPr>
                <w:rFonts w:ascii="Arial Narrow" w:hAnsi="Arial Narrow" w:cs="Arial"/>
                <w:sz w:val="24"/>
                <w:szCs w:val="24"/>
              </w:rPr>
            </w:pPr>
          </w:p>
          <w:p w14:paraId="1EE4A148" w14:textId="58E3E974" w:rsidR="00D4144A"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[8]</w:t>
            </w:r>
            <w:r>
              <w:rPr>
                <w:rFonts w:ascii="Arial Narrow" w:hAnsi="Arial Narrow" w:cs="Arial"/>
                <w:sz w:val="24"/>
                <w:szCs w:val="24"/>
              </w:rPr>
              <w:tab/>
            </w:r>
            <w:r w:rsidR="00AD34B0" w:rsidRPr="001112B2">
              <w:rPr>
                <w:rFonts w:ascii="Arial Narrow" w:hAnsi="Arial Narrow" w:cs="Arial"/>
                <w:sz w:val="24"/>
                <w:szCs w:val="24"/>
              </w:rPr>
              <w:t xml:space="preserve">In the absence of any </w:t>
            </w:r>
            <w:r w:rsidR="0022125A" w:rsidRPr="001112B2">
              <w:rPr>
                <w:rFonts w:ascii="Arial Narrow" w:hAnsi="Arial Narrow" w:cs="Arial"/>
                <w:sz w:val="24"/>
                <w:szCs w:val="24"/>
              </w:rPr>
              <w:t>accompanying confirmatory affidavit</w:t>
            </w:r>
            <w:r w:rsidR="00AD34B0" w:rsidRPr="001112B2">
              <w:rPr>
                <w:rFonts w:ascii="Arial Narrow" w:hAnsi="Arial Narrow" w:cs="Arial"/>
                <w:sz w:val="24"/>
                <w:szCs w:val="24"/>
              </w:rPr>
              <w:t xml:space="preserve">, applicant’s assertions regarding the cause of the delay in filing the applications </w:t>
            </w:r>
            <w:r w:rsidR="00024BF0" w:rsidRPr="001112B2">
              <w:rPr>
                <w:rFonts w:ascii="Arial Narrow" w:hAnsi="Arial Narrow" w:cs="Arial"/>
                <w:sz w:val="24"/>
                <w:szCs w:val="24"/>
              </w:rPr>
              <w:t>are</w:t>
            </w:r>
            <w:r w:rsidR="0022125A" w:rsidRPr="001112B2">
              <w:rPr>
                <w:rFonts w:ascii="Arial Narrow" w:hAnsi="Arial Narrow" w:cs="Arial"/>
                <w:sz w:val="24"/>
                <w:szCs w:val="24"/>
              </w:rPr>
              <w:t xml:space="preserve"> unsubstantiated. </w:t>
            </w:r>
            <w:r w:rsidR="00087BB8" w:rsidRPr="001112B2">
              <w:rPr>
                <w:rFonts w:ascii="Arial Narrow" w:hAnsi="Arial Narrow" w:cs="Arial"/>
                <w:sz w:val="24"/>
                <w:szCs w:val="24"/>
              </w:rPr>
              <w:t>Be that as it may, in applications of this nature our courts have become accustomed to</w:t>
            </w:r>
            <w:r w:rsidR="00844786" w:rsidRPr="001112B2">
              <w:rPr>
                <w:rFonts w:ascii="Arial Narrow" w:hAnsi="Arial Narrow" w:cs="Arial"/>
                <w:sz w:val="24"/>
                <w:szCs w:val="24"/>
              </w:rPr>
              <w:t xml:space="preserve"> sworn</w:t>
            </w:r>
            <w:r w:rsidR="00087BB8" w:rsidRPr="001112B2">
              <w:rPr>
                <w:rFonts w:ascii="Arial Narrow" w:hAnsi="Arial Narrow" w:cs="Arial"/>
                <w:sz w:val="24"/>
                <w:szCs w:val="24"/>
              </w:rPr>
              <w:t xml:space="preserve"> </w:t>
            </w:r>
            <w:r w:rsidR="00844786" w:rsidRPr="001112B2">
              <w:rPr>
                <w:rFonts w:ascii="Arial Narrow" w:hAnsi="Arial Narrow" w:cs="Arial"/>
                <w:sz w:val="24"/>
                <w:szCs w:val="24"/>
              </w:rPr>
              <w:t>statements</w:t>
            </w:r>
            <w:r w:rsidR="00EE204A" w:rsidRPr="001112B2">
              <w:rPr>
                <w:rFonts w:ascii="Arial Narrow" w:hAnsi="Arial Narrow" w:cs="Arial"/>
                <w:sz w:val="24"/>
                <w:szCs w:val="24"/>
              </w:rPr>
              <w:t xml:space="preserve"> made</w:t>
            </w:r>
            <w:r w:rsidR="00844786" w:rsidRPr="001112B2">
              <w:rPr>
                <w:rFonts w:ascii="Arial Narrow" w:hAnsi="Arial Narrow" w:cs="Arial"/>
                <w:sz w:val="24"/>
                <w:szCs w:val="24"/>
              </w:rPr>
              <w:t xml:space="preserve"> by</w:t>
            </w:r>
            <w:r w:rsidR="00087BB8" w:rsidRPr="001112B2">
              <w:rPr>
                <w:rFonts w:ascii="Arial Narrow" w:hAnsi="Arial Narrow" w:cs="Arial"/>
                <w:sz w:val="24"/>
                <w:szCs w:val="24"/>
              </w:rPr>
              <w:t xml:space="preserve"> serving prisoners</w:t>
            </w:r>
            <w:r w:rsidR="00844786" w:rsidRPr="001112B2">
              <w:rPr>
                <w:rFonts w:ascii="Arial Narrow" w:hAnsi="Arial Narrow" w:cs="Arial"/>
                <w:sz w:val="24"/>
                <w:szCs w:val="24"/>
              </w:rPr>
              <w:t xml:space="preserve"> in which the difficulties encountered by inmates to establish contact with the Directorate of Legal Aid are set out. Experience has shown that not all allegations in this regard are without merit. </w:t>
            </w:r>
            <w:proofErr w:type="gramStart"/>
            <w:r w:rsidR="00844786" w:rsidRPr="001112B2">
              <w:rPr>
                <w:rFonts w:ascii="Arial Narrow" w:hAnsi="Arial Narrow" w:cs="Arial"/>
                <w:sz w:val="24"/>
                <w:szCs w:val="24"/>
              </w:rPr>
              <w:t>In light of</w:t>
            </w:r>
            <w:proofErr w:type="gramEnd"/>
            <w:r w:rsidR="00844786" w:rsidRPr="001112B2">
              <w:rPr>
                <w:rFonts w:ascii="Arial Narrow" w:hAnsi="Arial Narrow" w:cs="Arial"/>
                <w:sz w:val="24"/>
                <w:szCs w:val="24"/>
              </w:rPr>
              <w:t xml:space="preserve"> the relative short delay in filing the application for leave to appeal</w:t>
            </w:r>
            <w:r w:rsidR="00EE204A" w:rsidRPr="001112B2">
              <w:rPr>
                <w:rFonts w:ascii="Arial Narrow" w:hAnsi="Arial Narrow" w:cs="Arial"/>
                <w:sz w:val="24"/>
                <w:szCs w:val="24"/>
              </w:rPr>
              <w:t xml:space="preserve"> within the requisite time frame</w:t>
            </w:r>
            <w:r w:rsidR="00844786" w:rsidRPr="001112B2">
              <w:rPr>
                <w:rFonts w:ascii="Arial Narrow" w:hAnsi="Arial Narrow" w:cs="Arial"/>
                <w:sz w:val="24"/>
                <w:szCs w:val="24"/>
              </w:rPr>
              <w:t xml:space="preserve"> and, in view of t</w:t>
            </w:r>
            <w:r w:rsidR="00EE204A" w:rsidRPr="001112B2">
              <w:rPr>
                <w:rFonts w:ascii="Arial Narrow" w:hAnsi="Arial Narrow" w:cs="Arial"/>
                <w:sz w:val="24"/>
                <w:szCs w:val="24"/>
              </w:rPr>
              <w:t xml:space="preserve">he </w:t>
            </w:r>
          </w:p>
          <w:p w14:paraId="440C0665" w14:textId="77777777" w:rsidR="00D4144A" w:rsidRPr="00D4144A" w:rsidRDefault="00D4144A" w:rsidP="00D4144A">
            <w:pPr>
              <w:pStyle w:val="ListParagraph"/>
              <w:rPr>
                <w:rFonts w:ascii="Arial Narrow" w:hAnsi="Arial Narrow" w:cs="Arial"/>
                <w:sz w:val="24"/>
                <w:szCs w:val="24"/>
              </w:rPr>
            </w:pPr>
          </w:p>
          <w:p w14:paraId="1C5E3639" w14:textId="77777777" w:rsidR="00E819B8" w:rsidRDefault="00EE204A" w:rsidP="00D4144A">
            <w:pPr>
              <w:pStyle w:val="ListParagraph"/>
              <w:spacing w:line="360" w:lineRule="auto"/>
              <w:ind w:left="540"/>
              <w:jc w:val="both"/>
              <w:rPr>
                <w:rFonts w:ascii="Arial Narrow" w:hAnsi="Arial Narrow" w:cs="Arial"/>
                <w:sz w:val="24"/>
                <w:szCs w:val="24"/>
              </w:rPr>
            </w:pPr>
            <w:r>
              <w:rPr>
                <w:rFonts w:ascii="Arial Narrow" w:hAnsi="Arial Narrow" w:cs="Arial"/>
                <w:sz w:val="24"/>
                <w:szCs w:val="24"/>
              </w:rPr>
              <w:t>importance</w:t>
            </w:r>
            <w:r w:rsidR="00844786">
              <w:rPr>
                <w:rFonts w:ascii="Arial Narrow" w:hAnsi="Arial Narrow" w:cs="Arial"/>
                <w:sz w:val="24"/>
                <w:szCs w:val="24"/>
              </w:rPr>
              <w:t xml:space="preserve"> of the application, the court </w:t>
            </w:r>
            <w:r>
              <w:rPr>
                <w:rFonts w:ascii="Arial Narrow" w:hAnsi="Arial Narrow" w:cs="Arial"/>
                <w:sz w:val="24"/>
                <w:szCs w:val="24"/>
              </w:rPr>
              <w:t>in this instance, would be inclined</w:t>
            </w:r>
            <w:r w:rsidR="00844786">
              <w:rPr>
                <w:rFonts w:ascii="Arial Narrow" w:hAnsi="Arial Narrow" w:cs="Arial"/>
                <w:sz w:val="24"/>
                <w:szCs w:val="24"/>
              </w:rPr>
              <w:t xml:space="preserve"> </w:t>
            </w:r>
            <w:r w:rsidR="00CE0D6F">
              <w:rPr>
                <w:rFonts w:ascii="Arial Narrow" w:hAnsi="Arial Narrow" w:cs="Arial"/>
                <w:sz w:val="24"/>
                <w:szCs w:val="24"/>
              </w:rPr>
              <w:t>to allow</w:t>
            </w:r>
            <w:r w:rsidR="00844786">
              <w:rPr>
                <w:rFonts w:ascii="Arial Narrow" w:hAnsi="Arial Narrow" w:cs="Arial"/>
                <w:sz w:val="24"/>
                <w:szCs w:val="24"/>
              </w:rPr>
              <w:t xml:space="preserve"> a more lenient approach</w:t>
            </w:r>
            <w:r w:rsidR="00CE0D6F">
              <w:rPr>
                <w:rFonts w:ascii="Arial Narrow" w:hAnsi="Arial Narrow" w:cs="Arial"/>
                <w:sz w:val="24"/>
                <w:szCs w:val="24"/>
              </w:rPr>
              <w:t xml:space="preserve"> when</w:t>
            </w:r>
            <w:r w:rsidR="006704BA">
              <w:rPr>
                <w:rFonts w:ascii="Arial Narrow" w:hAnsi="Arial Narrow" w:cs="Arial"/>
                <w:sz w:val="24"/>
                <w:szCs w:val="24"/>
              </w:rPr>
              <w:t xml:space="preserve"> deciding </w:t>
            </w:r>
            <w:proofErr w:type="gramStart"/>
            <w:r w:rsidR="006704BA">
              <w:rPr>
                <w:rFonts w:ascii="Arial Narrow" w:hAnsi="Arial Narrow" w:cs="Arial"/>
                <w:sz w:val="24"/>
                <w:szCs w:val="24"/>
              </w:rPr>
              <w:t>whether</w:t>
            </w:r>
            <w:r w:rsidR="00CE0D6F">
              <w:rPr>
                <w:rFonts w:ascii="Arial Narrow" w:hAnsi="Arial Narrow" w:cs="Arial"/>
                <w:sz w:val="24"/>
                <w:szCs w:val="24"/>
              </w:rPr>
              <w:t xml:space="preserve"> or not</w:t>
            </w:r>
            <w:proofErr w:type="gramEnd"/>
            <w:r w:rsidR="006704BA">
              <w:rPr>
                <w:rFonts w:ascii="Arial Narrow" w:hAnsi="Arial Narrow" w:cs="Arial"/>
                <w:sz w:val="24"/>
                <w:szCs w:val="24"/>
              </w:rPr>
              <w:t xml:space="preserve"> the explanation advanced by the applicant is reasonable and acceptable.</w:t>
            </w:r>
          </w:p>
          <w:p w14:paraId="6552E0E7" w14:textId="77777777" w:rsidR="006704BA" w:rsidRPr="006704BA" w:rsidRDefault="006704BA" w:rsidP="006704BA">
            <w:pPr>
              <w:pStyle w:val="ListParagraph"/>
              <w:rPr>
                <w:rFonts w:ascii="Arial Narrow" w:hAnsi="Arial Narrow" w:cs="Arial"/>
                <w:sz w:val="24"/>
                <w:szCs w:val="24"/>
              </w:rPr>
            </w:pPr>
          </w:p>
          <w:p w14:paraId="378AE099" w14:textId="319D2914" w:rsidR="001B0E05"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r>
            <w:r w:rsidR="006704BA" w:rsidRPr="001112B2">
              <w:rPr>
                <w:rFonts w:ascii="Arial Narrow" w:hAnsi="Arial Narrow" w:cs="Arial"/>
                <w:sz w:val="24"/>
                <w:szCs w:val="24"/>
              </w:rPr>
              <w:t xml:space="preserve">When deciding the question of prospects of success on appeal, the court needs to consider those grounds enumerated in the applicant’s notice of application for leave to appeal. The application is founded on a total of 11 grounds. Some of these </w:t>
            </w:r>
            <w:r w:rsidR="00D77CD0" w:rsidRPr="001112B2">
              <w:rPr>
                <w:rFonts w:ascii="Arial Narrow" w:hAnsi="Arial Narrow" w:cs="Arial"/>
                <w:sz w:val="24"/>
                <w:szCs w:val="24"/>
              </w:rPr>
              <w:t xml:space="preserve">grounds are mere repetitious, </w:t>
            </w:r>
            <w:proofErr w:type="gramStart"/>
            <w:r w:rsidR="00D77CD0" w:rsidRPr="001112B2">
              <w:rPr>
                <w:rFonts w:ascii="Arial Narrow" w:hAnsi="Arial Narrow" w:cs="Arial"/>
                <w:sz w:val="24"/>
                <w:szCs w:val="24"/>
              </w:rPr>
              <w:t>unclear</w:t>
            </w:r>
            <w:proofErr w:type="gramEnd"/>
            <w:r w:rsidR="00D77CD0" w:rsidRPr="001112B2">
              <w:rPr>
                <w:rFonts w:ascii="Arial Narrow" w:hAnsi="Arial Narrow" w:cs="Arial"/>
                <w:sz w:val="24"/>
                <w:szCs w:val="24"/>
              </w:rPr>
              <w:t xml:space="preserve"> </w:t>
            </w:r>
            <w:r w:rsidR="006704BA" w:rsidRPr="001112B2">
              <w:rPr>
                <w:rFonts w:ascii="Arial Narrow" w:hAnsi="Arial Narrow" w:cs="Arial"/>
                <w:sz w:val="24"/>
                <w:szCs w:val="24"/>
              </w:rPr>
              <w:t xml:space="preserve">or simply amount to conclusions reached by </w:t>
            </w:r>
            <w:r w:rsidR="004F4F8F" w:rsidRPr="001112B2">
              <w:rPr>
                <w:rFonts w:ascii="Arial Narrow" w:hAnsi="Arial Narrow" w:cs="Arial"/>
                <w:sz w:val="24"/>
                <w:szCs w:val="24"/>
              </w:rPr>
              <w:t xml:space="preserve">the drafter and </w:t>
            </w:r>
            <w:r w:rsidR="00D77CD0" w:rsidRPr="001112B2">
              <w:rPr>
                <w:rFonts w:ascii="Arial Narrow" w:hAnsi="Arial Narrow" w:cs="Arial"/>
                <w:sz w:val="24"/>
                <w:szCs w:val="24"/>
              </w:rPr>
              <w:t xml:space="preserve">therefore </w:t>
            </w:r>
            <w:r w:rsidR="004F4F8F" w:rsidRPr="001112B2">
              <w:rPr>
                <w:rFonts w:ascii="Arial Narrow" w:hAnsi="Arial Narrow" w:cs="Arial"/>
                <w:sz w:val="24"/>
                <w:szCs w:val="24"/>
              </w:rPr>
              <w:t>lacks particularity. This much has been conceded by Mr Engelbrecht, counsel for the applicant</w:t>
            </w:r>
            <w:r w:rsidR="00CE0D6F" w:rsidRPr="001112B2">
              <w:rPr>
                <w:rFonts w:ascii="Arial Narrow" w:hAnsi="Arial Narrow" w:cs="Arial"/>
                <w:sz w:val="24"/>
                <w:szCs w:val="24"/>
              </w:rPr>
              <w:t>,</w:t>
            </w:r>
            <w:r w:rsidR="004F4F8F" w:rsidRPr="001112B2">
              <w:rPr>
                <w:rFonts w:ascii="Arial Narrow" w:hAnsi="Arial Narrow" w:cs="Arial"/>
                <w:sz w:val="24"/>
                <w:szCs w:val="24"/>
              </w:rPr>
              <w:t xml:space="preserve"> as</w:t>
            </w:r>
            <w:r w:rsidR="00D77CD0" w:rsidRPr="001112B2">
              <w:rPr>
                <w:rFonts w:ascii="Arial Narrow" w:hAnsi="Arial Narrow" w:cs="Arial"/>
                <w:sz w:val="24"/>
                <w:szCs w:val="24"/>
              </w:rPr>
              <w:t xml:space="preserve"> regards grounds</w:t>
            </w:r>
            <w:r w:rsidR="00C35FED" w:rsidRPr="001112B2">
              <w:rPr>
                <w:rFonts w:ascii="Arial Narrow" w:hAnsi="Arial Narrow" w:cs="Arial"/>
                <w:sz w:val="24"/>
                <w:szCs w:val="24"/>
              </w:rPr>
              <w:t xml:space="preserve"> 5, 7 and 11. </w:t>
            </w:r>
            <w:r w:rsidR="001B0E05" w:rsidRPr="001112B2">
              <w:rPr>
                <w:rFonts w:ascii="Arial Narrow" w:hAnsi="Arial Narrow" w:cs="Arial"/>
                <w:sz w:val="24"/>
                <w:szCs w:val="24"/>
              </w:rPr>
              <w:t>Hence, the submissions made on behalf of the applicant</w:t>
            </w:r>
            <w:r w:rsidR="00CE0D6F" w:rsidRPr="001112B2">
              <w:rPr>
                <w:rFonts w:ascii="Arial Narrow" w:hAnsi="Arial Narrow" w:cs="Arial"/>
                <w:sz w:val="24"/>
                <w:szCs w:val="24"/>
              </w:rPr>
              <w:t>,</w:t>
            </w:r>
            <w:r w:rsidR="001B0E05" w:rsidRPr="001112B2">
              <w:rPr>
                <w:rFonts w:ascii="Arial Narrow" w:hAnsi="Arial Narrow" w:cs="Arial"/>
                <w:sz w:val="24"/>
                <w:szCs w:val="24"/>
              </w:rPr>
              <w:t xml:space="preserve"> </w:t>
            </w:r>
            <w:r w:rsidR="00CE0D6F" w:rsidRPr="001112B2">
              <w:rPr>
                <w:rFonts w:ascii="Arial Narrow" w:hAnsi="Arial Narrow" w:cs="Arial"/>
                <w:sz w:val="24"/>
                <w:szCs w:val="24"/>
              </w:rPr>
              <w:t>in respect of these grounds,</w:t>
            </w:r>
            <w:r w:rsidR="001B0E05" w:rsidRPr="001112B2">
              <w:rPr>
                <w:rFonts w:ascii="Arial Narrow" w:hAnsi="Arial Narrow" w:cs="Arial"/>
                <w:sz w:val="24"/>
                <w:szCs w:val="24"/>
              </w:rPr>
              <w:t xml:space="preserve"> </w:t>
            </w:r>
            <w:r w:rsidR="00CE0D6F" w:rsidRPr="001112B2">
              <w:rPr>
                <w:rFonts w:ascii="Arial Narrow" w:hAnsi="Arial Narrow" w:cs="Arial"/>
                <w:sz w:val="24"/>
                <w:szCs w:val="24"/>
              </w:rPr>
              <w:t>require no further consideration</w:t>
            </w:r>
            <w:r w:rsidR="001B0E05" w:rsidRPr="001112B2">
              <w:rPr>
                <w:rFonts w:ascii="Arial Narrow" w:hAnsi="Arial Narrow" w:cs="Arial"/>
                <w:sz w:val="24"/>
                <w:szCs w:val="24"/>
              </w:rPr>
              <w:t>.</w:t>
            </w:r>
          </w:p>
          <w:p w14:paraId="65D72FE3" w14:textId="77777777" w:rsidR="001B0E05" w:rsidRPr="001B0E05" w:rsidRDefault="001B0E05" w:rsidP="001B0E05">
            <w:pPr>
              <w:pStyle w:val="ListParagraph"/>
              <w:rPr>
                <w:rFonts w:ascii="Arial Narrow" w:hAnsi="Arial Narrow" w:cs="Arial"/>
                <w:sz w:val="24"/>
                <w:szCs w:val="24"/>
              </w:rPr>
            </w:pPr>
          </w:p>
          <w:p w14:paraId="0B54FD4C" w14:textId="103A6B26" w:rsidR="00C35FED"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[10]</w:t>
            </w:r>
            <w:r>
              <w:rPr>
                <w:rFonts w:ascii="Arial Narrow" w:hAnsi="Arial Narrow" w:cs="Arial"/>
                <w:sz w:val="24"/>
                <w:szCs w:val="24"/>
              </w:rPr>
              <w:tab/>
            </w:r>
            <w:r w:rsidR="004F4F8F" w:rsidRPr="001112B2">
              <w:rPr>
                <w:rFonts w:ascii="Arial Narrow" w:hAnsi="Arial Narrow" w:cs="Arial"/>
                <w:sz w:val="24"/>
                <w:szCs w:val="24"/>
              </w:rPr>
              <w:t xml:space="preserve">  </w:t>
            </w:r>
            <w:r w:rsidR="00D77CD0" w:rsidRPr="001112B2">
              <w:rPr>
                <w:rFonts w:ascii="Arial Narrow" w:hAnsi="Arial Narrow" w:cs="Arial"/>
                <w:sz w:val="24"/>
                <w:szCs w:val="24"/>
              </w:rPr>
              <w:t xml:space="preserve">In the </w:t>
            </w:r>
            <w:r w:rsidR="00CE0D6F" w:rsidRPr="001112B2">
              <w:rPr>
                <w:rFonts w:ascii="Arial Narrow" w:hAnsi="Arial Narrow" w:cs="Arial"/>
                <w:sz w:val="24"/>
                <w:szCs w:val="24"/>
              </w:rPr>
              <w:t>first, second and third</w:t>
            </w:r>
            <w:r w:rsidR="00D77CD0" w:rsidRPr="001112B2">
              <w:rPr>
                <w:rFonts w:ascii="Arial Narrow" w:hAnsi="Arial Narrow" w:cs="Arial"/>
                <w:sz w:val="24"/>
                <w:szCs w:val="24"/>
              </w:rPr>
              <w:t xml:space="preserve"> grounds </w:t>
            </w:r>
            <w:r w:rsidR="006A55E5" w:rsidRPr="001112B2">
              <w:rPr>
                <w:rFonts w:ascii="Arial Narrow" w:hAnsi="Arial Narrow" w:cs="Arial"/>
                <w:sz w:val="24"/>
                <w:szCs w:val="24"/>
              </w:rPr>
              <w:t xml:space="preserve">it is alleged that the court failed to make a clear finding of the applicant’s shoeprints </w:t>
            </w:r>
            <w:r w:rsidR="00CE0D6F" w:rsidRPr="001112B2">
              <w:rPr>
                <w:rFonts w:ascii="Arial Narrow" w:hAnsi="Arial Narrow" w:cs="Arial"/>
                <w:sz w:val="24"/>
                <w:szCs w:val="24"/>
              </w:rPr>
              <w:t xml:space="preserve">at </w:t>
            </w:r>
            <w:r w:rsidR="006A55E5" w:rsidRPr="001112B2">
              <w:rPr>
                <w:rFonts w:ascii="Arial Narrow" w:hAnsi="Arial Narrow" w:cs="Arial"/>
                <w:sz w:val="24"/>
                <w:szCs w:val="24"/>
              </w:rPr>
              <w:t>the crime scene; that the prints found at the applicant’s house differed; and that the investigation as regards shoeprints was of such poor quality that it adversely impacted on the applicant’s case.</w:t>
            </w:r>
          </w:p>
          <w:p w14:paraId="5685FA51" w14:textId="77777777" w:rsidR="006A55E5" w:rsidRPr="006A55E5" w:rsidRDefault="006A55E5" w:rsidP="006A55E5">
            <w:pPr>
              <w:pStyle w:val="ListParagraph"/>
              <w:rPr>
                <w:rFonts w:ascii="Arial Narrow" w:hAnsi="Arial Narrow" w:cs="Arial"/>
                <w:sz w:val="24"/>
                <w:szCs w:val="24"/>
              </w:rPr>
            </w:pPr>
          </w:p>
          <w:p w14:paraId="6CE0C79F" w14:textId="07BC1AE1" w:rsidR="00281607"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[11]</w:t>
            </w:r>
            <w:r>
              <w:rPr>
                <w:rFonts w:ascii="Arial Narrow" w:hAnsi="Arial Narrow" w:cs="Arial"/>
                <w:sz w:val="24"/>
                <w:szCs w:val="24"/>
              </w:rPr>
              <w:tab/>
            </w:r>
            <w:r w:rsidR="00CE0D6F" w:rsidRPr="001112B2">
              <w:rPr>
                <w:rFonts w:ascii="Arial Narrow" w:hAnsi="Arial Narrow" w:cs="Arial"/>
                <w:sz w:val="24"/>
                <w:szCs w:val="24"/>
              </w:rPr>
              <w:t xml:space="preserve"> </w:t>
            </w:r>
            <w:r w:rsidR="00555BE0" w:rsidRPr="001112B2">
              <w:rPr>
                <w:rFonts w:ascii="Arial Narrow" w:hAnsi="Arial Narrow" w:cs="Arial"/>
                <w:sz w:val="24"/>
                <w:szCs w:val="24"/>
              </w:rPr>
              <w:t xml:space="preserve">With regards to the finding of shoeprints found leaving the crime scene, the court </w:t>
            </w:r>
            <w:r w:rsidR="00CE0D6F" w:rsidRPr="001112B2">
              <w:rPr>
                <w:rFonts w:ascii="Arial Narrow" w:hAnsi="Arial Narrow" w:cs="Arial"/>
                <w:sz w:val="24"/>
                <w:szCs w:val="24"/>
              </w:rPr>
              <w:t>at</w:t>
            </w:r>
            <w:r w:rsidR="00555BE0" w:rsidRPr="001112B2">
              <w:rPr>
                <w:rFonts w:ascii="Arial Narrow" w:hAnsi="Arial Narrow" w:cs="Arial"/>
                <w:sz w:val="24"/>
                <w:szCs w:val="24"/>
              </w:rPr>
              <w:t xml:space="preserve"> par</w:t>
            </w:r>
            <w:r w:rsidR="002313D0" w:rsidRPr="001112B2">
              <w:rPr>
                <w:rFonts w:ascii="Arial Narrow" w:hAnsi="Arial Narrow" w:cs="Arial"/>
                <w:sz w:val="24"/>
                <w:szCs w:val="24"/>
              </w:rPr>
              <w:t>a</w:t>
            </w:r>
            <w:r w:rsidR="00555BE0" w:rsidRPr="001112B2">
              <w:rPr>
                <w:rFonts w:ascii="Arial Narrow" w:hAnsi="Arial Narrow" w:cs="Arial"/>
                <w:sz w:val="24"/>
                <w:szCs w:val="24"/>
              </w:rPr>
              <w:t xml:space="preserve"> 77 of the judgment comprehensively discussed the evidence and what weight it should be accorded. Althoug</w:t>
            </w:r>
            <w:r w:rsidR="00591CDF" w:rsidRPr="001112B2">
              <w:rPr>
                <w:rFonts w:ascii="Arial Narrow" w:hAnsi="Arial Narrow" w:cs="Arial"/>
                <w:sz w:val="24"/>
                <w:szCs w:val="24"/>
              </w:rPr>
              <w:t xml:space="preserve">h the evidence established that a diamond shaped pattern imprint observed at the crime scene matched the diamond shaped pattern on the soles of a pair of tackies found soaked in water at the applicant’s house, it could not be said to have been identical, only </w:t>
            </w:r>
            <w:r w:rsidR="00591CDF" w:rsidRPr="001112B2">
              <w:rPr>
                <w:rFonts w:ascii="Arial Narrow" w:hAnsi="Arial Narrow" w:cs="Arial"/>
                <w:sz w:val="24"/>
                <w:szCs w:val="24"/>
                <w:u w:val="single"/>
              </w:rPr>
              <w:t>similar</w:t>
            </w:r>
            <w:r w:rsidR="00591CDF" w:rsidRPr="001112B2">
              <w:rPr>
                <w:rFonts w:ascii="Arial Narrow" w:hAnsi="Arial Narrow" w:cs="Arial"/>
                <w:sz w:val="24"/>
                <w:szCs w:val="24"/>
              </w:rPr>
              <w:t>. T</w:t>
            </w:r>
            <w:r w:rsidR="00DE0EA0" w:rsidRPr="001112B2">
              <w:rPr>
                <w:rFonts w:ascii="Arial Narrow" w:hAnsi="Arial Narrow" w:cs="Arial"/>
                <w:sz w:val="24"/>
                <w:szCs w:val="24"/>
              </w:rPr>
              <w:t>he court</w:t>
            </w:r>
            <w:r w:rsidR="00591CDF" w:rsidRPr="001112B2">
              <w:rPr>
                <w:rFonts w:ascii="Arial Narrow" w:hAnsi="Arial Narrow" w:cs="Arial"/>
                <w:sz w:val="24"/>
                <w:szCs w:val="24"/>
              </w:rPr>
              <w:t xml:space="preserve"> therefore </w:t>
            </w:r>
            <w:r w:rsidR="00DE0EA0" w:rsidRPr="001112B2">
              <w:rPr>
                <w:rFonts w:ascii="Arial Narrow" w:hAnsi="Arial Narrow" w:cs="Arial"/>
                <w:sz w:val="24"/>
                <w:szCs w:val="24"/>
              </w:rPr>
              <w:t>could not find that one set of</w:t>
            </w:r>
            <w:r w:rsidR="00591CDF" w:rsidRPr="001112B2">
              <w:rPr>
                <w:rFonts w:ascii="Arial Narrow" w:hAnsi="Arial Narrow" w:cs="Arial"/>
                <w:sz w:val="24"/>
                <w:szCs w:val="24"/>
              </w:rPr>
              <w:t xml:space="preserve"> </w:t>
            </w:r>
          </w:p>
          <w:p w14:paraId="06570292" w14:textId="77777777" w:rsidR="00281607" w:rsidRPr="00281607" w:rsidRDefault="00281607" w:rsidP="00281607">
            <w:pPr>
              <w:pStyle w:val="ListParagraph"/>
              <w:rPr>
                <w:rFonts w:ascii="Arial Narrow" w:hAnsi="Arial Narrow" w:cs="Arial"/>
                <w:sz w:val="24"/>
                <w:szCs w:val="24"/>
              </w:rPr>
            </w:pPr>
          </w:p>
          <w:p w14:paraId="530A4C6A" w14:textId="77777777" w:rsidR="00CE0D6F" w:rsidRDefault="00591CDF" w:rsidP="00281607">
            <w:pPr>
              <w:pStyle w:val="ListParagraph"/>
              <w:spacing w:line="360" w:lineRule="auto"/>
              <w:ind w:left="540"/>
              <w:jc w:val="both"/>
              <w:rPr>
                <w:rFonts w:ascii="Arial Narrow" w:hAnsi="Arial Narrow" w:cs="Arial"/>
                <w:sz w:val="24"/>
                <w:szCs w:val="24"/>
              </w:rPr>
            </w:pPr>
            <w:r>
              <w:rPr>
                <w:rFonts w:ascii="Arial Narrow" w:hAnsi="Arial Narrow" w:cs="Arial"/>
                <w:sz w:val="24"/>
                <w:szCs w:val="24"/>
              </w:rPr>
              <w:lastRenderedPageBreak/>
              <w:t xml:space="preserve">prints </w:t>
            </w:r>
            <w:r w:rsidR="00DE0EA0">
              <w:rPr>
                <w:rFonts w:ascii="Arial Narrow" w:hAnsi="Arial Narrow" w:cs="Arial"/>
                <w:sz w:val="24"/>
                <w:szCs w:val="24"/>
              </w:rPr>
              <w:t>found at the scene was indeed that</w:t>
            </w:r>
            <w:r>
              <w:rPr>
                <w:rFonts w:ascii="Arial Narrow" w:hAnsi="Arial Narrow" w:cs="Arial"/>
                <w:sz w:val="24"/>
                <w:szCs w:val="24"/>
              </w:rPr>
              <w:t xml:space="preserve"> of the applicant</w:t>
            </w:r>
            <w:r w:rsidR="00DE0EA0">
              <w:rPr>
                <w:rFonts w:ascii="Arial Narrow" w:hAnsi="Arial Narrow" w:cs="Arial"/>
                <w:sz w:val="24"/>
                <w:szCs w:val="24"/>
              </w:rPr>
              <w:t xml:space="preserve">; only that there were similar features, a fact which the court was entitled to take into consideration </w:t>
            </w:r>
            <w:r w:rsidR="00CE0D6F">
              <w:rPr>
                <w:rFonts w:ascii="Arial Narrow" w:hAnsi="Arial Narrow" w:cs="Arial"/>
                <w:sz w:val="24"/>
                <w:szCs w:val="24"/>
              </w:rPr>
              <w:t>when assessing all</w:t>
            </w:r>
            <w:r w:rsidR="00DE0EA0">
              <w:rPr>
                <w:rFonts w:ascii="Arial Narrow" w:hAnsi="Arial Narrow" w:cs="Arial"/>
                <w:sz w:val="24"/>
                <w:szCs w:val="24"/>
              </w:rPr>
              <w:t xml:space="preserve"> the evidence</w:t>
            </w:r>
            <w:r w:rsidR="00CE0D6F">
              <w:rPr>
                <w:rFonts w:ascii="Arial Narrow" w:hAnsi="Arial Narrow" w:cs="Arial"/>
                <w:sz w:val="24"/>
                <w:szCs w:val="24"/>
              </w:rPr>
              <w:t xml:space="preserve"> adduced</w:t>
            </w:r>
            <w:r>
              <w:rPr>
                <w:rFonts w:ascii="Arial Narrow" w:hAnsi="Arial Narrow" w:cs="Arial"/>
                <w:sz w:val="24"/>
                <w:szCs w:val="24"/>
              </w:rPr>
              <w:t>. Neither was the applicant convicted merely on shoeprint evidence</w:t>
            </w:r>
            <w:r w:rsidR="00AA42D0">
              <w:rPr>
                <w:rFonts w:ascii="Arial Narrow" w:hAnsi="Arial Narrow" w:cs="Arial"/>
                <w:sz w:val="24"/>
                <w:szCs w:val="24"/>
              </w:rPr>
              <w:t xml:space="preserve">. </w:t>
            </w:r>
          </w:p>
          <w:p w14:paraId="4D22733F" w14:textId="77777777" w:rsidR="00CE0D6F" w:rsidRPr="00CE0D6F" w:rsidRDefault="00CE0D6F" w:rsidP="00CE0D6F">
            <w:pPr>
              <w:pStyle w:val="ListParagraph"/>
              <w:rPr>
                <w:rFonts w:ascii="Arial Narrow" w:hAnsi="Arial Narrow" w:cs="Arial"/>
                <w:sz w:val="24"/>
                <w:szCs w:val="24"/>
              </w:rPr>
            </w:pPr>
          </w:p>
          <w:p w14:paraId="3DAC1194" w14:textId="072FB4B0" w:rsidR="006A55E5" w:rsidRPr="001112B2" w:rsidRDefault="001112B2" w:rsidP="001112B2">
            <w:pPr>
              <w:spacing w:line="360" w:lineRule="auto"/>
              <w:ind w:left="540" w:hanging="360"/>
              <w:jc w:val="both"/>
              <w:rPr>
                <w:rFonts w:ascii="Arial Narrow" w:hAnsi="Arial Narrow" w:cs="Arial"/>
                <w:sz w:val="24"/>
                <w:szCs w:val="24"/>
              </w:rPr>
            </w:pPr>
            <w:r w:rsidRPr="00281607">
              <w:rPr>
                <w:rFonts w:ascii="Arial Narrow" w:hAnsi="Arial Narrow" w:cs="Arial"/>
                <w:sz w:val="24"/>
                <w:szCs w:val="24"/>
              </w:rPr>
              <w:t>[12]</w:t>
            </w:r>
            <w:r w:rsidRPr="00281607">
              <w:rPr>
                <w:rFonts w:ascii="Arial Narrow" w:hAnsi="Arial Narrow" w:cs="Arial"/>
                <w:sz w:val="24"/>
                <w:szCs w:val="24"/>
              </w:rPr>
              <w:tab/>
            </w:r>
            <w:r w:rsidR="00CE0D6F" w:rsidRPr="001112B2">
              <w:rPr>
                <w:rFonts w:ascii="Arial Narrow" w:hAnsi="Arial Narrow" w:cs="Arial"/>
                <w:sz w:val="24"/>
                <w:szCs w:val="24"/>
              </w:rPr>
              <w:t xml:space="preserve"> </w:t>
            </w:r>
            <w:r w:rsidR="00AA42D0" w:rsidRPr="001112B2">
              <w:rPr>
                <w:rFonts w:ascii="Arial Narrow" w:hAnsi="Arial Narrow" w:cs="Arial"/>
                <w:sz w:val="24"/>
                <w:szCs w:val="24"/>
              </w:rPr>
              <w:t xml:space="preserve">Where the state’s case is </w:t>
            </w:r>
            <w:r w:rsidR="00DE0EA0" w:rsidRPr="001112B2">
              <w:rPr>
                <w:rFonts w:ascii="Arial Narrow" w:hAnsi="Arial Narrow" w:cs="Arial"/>
                <w:sz w:val="24"/>
                <w:szCs w:val="24"/>
              </w:rPr>
              <w:t>based on circumstantial evidence – as in this instance – the court is guided by established principles and rules of law in its assessment of the evidence. The approach followe</w:t>
            </w:r>
            <w:r w:rsidR="00CE0D6F" w:rsidRPr="001112B2">
              <w:rPr>
                <w:rFonts w:ascii="Arial Narrow" w:hAnsi="Arial Narrow" w:cs="Arial"/>
                <w:sz w:val="24"/>
                <w:szCs w:val="24"/>
              </w:rPr>
              <w:t>d in this instance is set out at</w:t>
            </w:r>
            <w:r w:rsidR="00DE0EA0" w:rsidRPr="001112B2">
              <w:rPr>
                <w:rFonts w:ascii="Arial Narrow" w:hAnsi="Arial Narrow" w:cs="Arial"/>
                <w:sz w:val="24"/>
                <w:szCs w:val="24"/>
              </w:rPr>
              <w:t xml:space="preserve"> par</w:t>
            </w:r>
            <w:r w:rsidR="0075443C" w:rsidRPr="001112B2">
              <w:rPr>
                <w:rFonts w:ascii="Arial Narrow" w:hAnsi="Arial Narrow" w:cs="Arial"/>
                <w:sz w:val="24"/>
                <w:szCs w:val="24"/>
              </w:rPr>
              <w:t>a</w:t>
            </w:r>
            <w:r w:rsidR="00DE0EA0" w:rsidRPr="001112B2">
              <w:rPr>
                <w:rFonts w:ascii="Arial Narrow" w:hAnsi="Arial Narrow" w:cs="Arial"/>
                <w:sz w:val="24"/>
                <w:szCs w:val="24"/>
              </w:rPr>
              <w:t xml:space="preserve"> 53 </w:t>
            </w:r>
            <w:r w:rsidR="0075443C" w:rsidRPr="001112B2">
              <w:rPr>
                <w:rFonts w:ascii="Arial Narrow" w:hAnsi="Arial Narrow" w:cs="Arial"/>
                <w:sz w:val="24"/>
                <w:szCs w:val="24"/>
              </w:rPr>
              <w:t xml:space="preserve">and 54 </w:t>
            </w:r>
            <w:r w:rsidR="00DE0EA0" w:rsidRPr="001112B2">
              <w:rPr>
                <w:rFonts w:ascii="Arial Narrow" w:hAnsi="Arial Narrow" w:cs="Arial"/>
                <w:sz w:val="24"/>
                <w:szCs w:val="24"/>
              </w:rPr>
              <w:t xml:space="preserve">of the judgment and need not be repeated. The breaking down of the evidence into individual components by the applicant </w:t>
            </w:r>
            <w:proofErr w:type="gramStart"/>
            <w:r w:rsidR="00DE0EA0" w:rsidRPr="001112B2">
              <w:rPr>
                <w:rFonts w:ascii="Arial Narrow" w:hAnsi="Arial Narrow" w:cs="Arial"/>
                <w:sz w:val="24"/>
                <w:szCs w:val="24"/>
              </w:rPr>
              <w:t>in an attempt to</w:t>
            </w:r>
            <w:proofErr w:type="gramEnd"/>
            <w:r w:rsidR="00DE0EA0" w:rsidRPr="001112B2">
              <w:rPr>
                <w:rFonts w:ascii="Arial Narrow" w:hAnsi="Arial Narrow" w:cs="Arial"/>
                <w:sz w:val="24"/>
                <w:szCs w:val="24"/>
              </w:rPr>
              <w:t xml:space="preserve"> show that the court erred in deciding those components,</w:t>
            </w:r>
            <w:r w:rsidR="0075443C" w:rsidRPr="001112B2">
              <w:rPr>
                <w:rFonts w:ascii="Arial Narrow" w:hAnsi="Arial Narrow" w:cs="Arial"/>
                <w:sz w:val="24"/>
                <w:szCs w:val="24"/>
              </w:rPr>
              <w:t xml:space="preserve"> is not how circumstantial evidence is evaluated. This could only be done with full regard </w:t>
            </w:r>
            <w:r w:rsidR="00CE0D6F" w:rsidRPr="001112B2">
              <w:rPr>
                <w:rFonts w:ascii="Arial Narrow" w:hAnsi="Arial Narrow" w:cs="Arial"/>
                <w:sz w:val="24"/>
                <w:szCs w:val="24"/>
              </w:rPr>
              <w:t xml:space="preserve">being </w:t>
            </w:r>
            <w:r w:rsidR="0075443C" w:rsidRPr="001112B2">
              <w:rPr>
                <w:rFonts w:ascii="Arial Narrow" w:hAnsi="Arial Narrow" w:cs="Arial"/>
                <w:sz w:val="24"/>
                <w:szCs w:val="24"/>
              </w:rPr>
              <w:t>had to the whole body of evidence presented and not in piecemeal. Moreover, where it is alleged in the charges preferred against the applicant and his co-accused that they</w:t>
            </w:r>
            <w:r w:rsidR="00CE0D6F" w:rsidRPr="001112B2">
              <w:rPr>
                <w:rFonts w:ascii="Arial Narrow" w:hAnsi="Arial Narrow" w:cs="Arial"/>
                <w:sz w:val="24"/>
                <w:szCs w:val="24"/>
              </w:rPr>
              <w:t>, together with</w:t>
            </w:r>
            <w:r w:rsidR="0075443C" w:rsidRPr="001112B2">
              <w:rPr>
                <w:rFonts w:ascii="Arial Narrow" w:hAnsi="Arial Narrow" w:cs="Arial"/>
                <w:sz w:val="24"/>
                <w:szCs w:val="24"/>
              </w:rPr>
              <w:t xml:space="preserve"> a former co-accused </w:t>
            </w:r>
            <w:r w:rsidR="00CE0D6F" w:rsidRPr="001112B2">
              <w:rPr>
                <w:rFonts w:ascii="Arial Narrow" w:hAnsi="Arial Narrow" w:cs="Arial"/>
                <w:sz w:val="24"/>
                <w:szCs w:val="24"/>
              </w:rPr>
              <w:t xml:space="preserve">(Daniel) </w:t>
            </w:r>
            <w:r w:rsidR="0075443C" w:rsidRPr="001112B2">
              <w:rPr>
                <w:rFonts w:ascii="Arial Narrow" w:hAnsi="Arial Narrow" w:cs="Arial"/>
                <w:sz w:val="24"/>
                <w:szCs w:val="24"/>
              </w:rPr>
              <w:t>who escaped</w:t>
            </w:r>
            <w:r w:rsidR="00CE0D6F" w:rsidRPr="001112B2">
              <w:rPr>
                <w:rFonts w:ascii="Arial Narrow" w:hAnsi="Arial Narrow" w:cs="Arial"/>
                <w:sz w:val="24"/>
                <w:szCs w:val="24"/>
              </w:rPr>
              <w:t xml:space="preserve"> before going on trial,</w:t>
            </w:r>
            <w:r w:rsidR="0075443C" w:rsidRPr="001112B2">
              <w:rPr>
                <w:rFonts w:ascii="Arial Narrow" w:hAnsi="Arial Narrow" w:cs="Arial"/>
                <w:sz w:val="24"/>
                <w:szCs w:val="24"/>
              </w:rPr>
              <w:t xml:space="preserve"> committed the crimes </w:t>
            </w:r>
            <w:r w:rsidR="00CE0D6F" w:rsidRPr="001112B2">
              <w:rPr>
                <w:rFonts w:ascii="Arial Narrow" w:hAnsi="Arial Narrow" w:cs="Arial"/>
                <w:sz w:val="24"/>
                <w:szCs w:val="24"/>
              </w:rPr>
              <w:t xml:space="preserve">whilst </w:t>
            </w:r>
            <w:r w:rsidR="0075443C" w:rsidRPr="001112B2">
              <w:rPr>
                <w:rFonts w:ascii="Arial Narrow" w:hAnsi="Arial Narrow" w:cs="Arial"/>
                <w:sz w:val="24"/>
                <w:szCs w:val="24"/>
              </w:rPr>
              <w:t xml:space="preserve">acting with common purpose. The principles applicable </w:t>
            </w:r>
            <w:r w:rsidR="00CE0D6F" w:rsidRPr="001112B2">
              <w:rPr>
                <w:rFonts w:ascii="Arial Narrow" w:hAnsi="Arial Narrow" w:cs="Arial"/>
                <w:sz w:val="24"/>
                <w:szCs w:val="24"/>
              </w:rPr>
              <w:t>to common purpose are set out at</w:t>
            </w:r>
            <w:r w:rsidR="0075443C" w:rsidRPr="001112B2">
              <w:rPr>
                <w:rFonts w:ascii="Arial Narrow" w:hAnsi="Arial Narrow" w:cs="Arial"/>
                <w:sz w:val="24"/>
                <w:szCs w:val="24"/>
              </w:rPr>
              <w:t xml:space="preserve"> para 56 of the judgment.</w:t>
            </w:r>
          </w:p>
          <w:p w14:paraId="0D2B1E81" w14:textId="77777777" w:rsidR="002A7238" w:rsidRDefault="002A7238" w:rsidP="002A7238">
            <w:pPr>
              <w:pStyle w:val="ListParagraph"/>
              <w:spacing w:line="360" w:lineRule="auto"/>
              <w:ind w:left="540"/>
              <w:jc w:val="both"/>
              <w:rPr>
                <w:rFonts w:ascii="Arial Narrow" w:hAnsi="Arial Narrow" w:cs="Arial"/>
                <w:sz w:val="24"/>
                <w:szCs w:val="24"/>
              </w:rPr>
            </w:pPr>
          </w:p>
          <w:p w14:paraId="4A3DF622" w14:textId="7F63AD20" w:rsidR="00D33E2C"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[13]</w:t>
            </w:r>
            <w:r>
              <w:rPr>
                <w:rFonts w:ascii="Arial Narrow" w:hAnsi="Arial Narrow" w:cs="Arial"/>
                <w:sz w:val="24"/>
                <w:szCs w:val="24"/>
              </w:rPr>
              <w:tab/>
            </w:r>
            <w:r w:rsidR="00CE0D6F" w:rsidRPr="001112B2">
              <w:rPr>
                <w:rFonts w:ascii="Arial Narrow" w:hAnsi="Arial Narrow" w:cs="Arial"/>
                <w:sz w:val="24"/>
                <w:szCs w:val="24"/>
              </w:rPr>
              <w:t xml:space="preserve"> </w:t>
            </w:r>
            <w:r w:rsidR="002A7238" w:rsidRPr="001112B2">
              <w:rPr>
                <w:rFonts w:ascii="Arial Narrow" w:hAnsi="Arial Narrow" w:cs="Arial"/>
                <w:sz w:val="24"/>
                <w:szCs w:val="24"/>
              </w:rPr>
              <w:t>T</w:t>
            </w:r>
            <w:r w:rsidR="001B1096" w:rsidRPr="001112B2">
              <w:rPr>
                <w:rFonts w:ascii="Arial Narrow" w:hAnsi="Arial Narrow" w:cs="Arial"/>
                <w:sz w:val="24"/>
                <w:szCs w:val="24"/>
              </w:rPr>
              <w:t>he fourth ground turns on an Adidas sandal of the deceased</w:t>
            </w:r>
            <w:r w:rsidR="002A7238" w:rsidRPr="001112B2">
              <w:rPr>
                <w:rFonts w:ascii="Arial Narrow" w:hAnsi="Arial Narrow" w:cs="Arial"/>
                <w:sz w:val="24"/>
                <w:szCs w:val="24"/>
              </w:rPr>
              <w:t xml:space="preserve"> found with D</w:t>
            </w:r>
            <w:r w:rsidR="001B1096" w:rsidRPr="001112B2">
              <w:rPr>
                <w:rFonts w:ascii="Arial Narrow" w:hAnsi="Arial Narrow" w:cs="Arial"/>
                <w:sz w:val="24"/>
                <w:szCs w:val="24"/>
              </w:rPr>
              <w:t>aniel at the time of</w:t>
            </w:r>
            <w:r w:rsidR="002A7238" w:rsidRPr="001112B2">
              <w:rPr>
                <w:rFonts w:ascii="Arial Narrow" w:hAnsi="Arial Narrow" w:cs="Arial"/>
                <w:sz w:val="24"/>
                <w:szCs w:val="24"/>
              </w:rPr>
              <w:t xml:space="preserve"> his arrest. Applicant’s contention is that the court misdirected itself when relying on circumstantial evidence pertaining to the sandal when there is no direct evidence that applicant was present at the crime scene. </w:t>
            </w:r>
            <w:r w:rsidR="007172D1" w:rsidRPr="001112B2">
              <w:rPr>
                <w:rFonts w:ascii="Arial Narrow" w:hAnsi="Arial Narrow" w:cs="Arial"/>
                <w:sz w:val="24"/>
                <w:szCs w:val="24"/>
              </w:rPr>
              <w:t>Any assertion that the applicant could not be linked to the crime scene is a blatant</w:t>
            </w:r>
            <w:r w:rsidR="001B1096" w:rsidRPr="001112B2">
              <w:rPr>
                <w:rFonts w:ascii="Arial Narrow" w:hAnsi="Arial Narrow" w:cs="Arial"/>
                <w:sz w:val="24"/>
                <w:szCs w:val="24"/>
              </w:rPr>
              <w:t xml:space="preserve"> disregard of</w:t>
            </w:r>
            <w:r w:rsidR="007172D1" w:rsidRPr="001112B2">
              <w:rPr>
                <w:rFonts w:ascii="Arial Narrow" w:hAnsi="Arial Narrow" w:cs="Arial"/>
                <w:sz w:val="24"/>
                <w:szCs w:val="24"/>
              </w:rPr>
              <w:t xml:space="preserve"> proven and undisputed </w:t>
            </w:r>
            <w:r w:rsidR="001B1096" w:rsidRPr="001112B2">
              <w:rPr>
                <w:rFonts w:ascii="Arial Narrow" w:hAnsi="Arial Narrow" w:cs="Arial"/>
                <w:sz w:val="24"/>
                <w:szCs w:val="24"/>
              </w:rPr>
              <w:t xml:space="preserve">facts established by means of </w:t>
            </w:r>
            <w:r w:rsidR="007172D1" w:rsidRPr="001112B2">
              <w:rPr>
                <w:rFonts w:ascii="Arial Narrow" w:hAnsi="Arial Narrow" w:cs="Arial"/>
                <w:sz w:val="24"/>
                <w:szCs w:val="24"/>
              </w:rPr>
              <w:t xml:space="preserve">forensic evidence. </w:t>
            </w:r>
            <w:r w:rsidR="001B1096" w:rsidRPr="001112B2">
              <w:rPr>
                <w:rFonts w:ascii="Arial Narrow" w:hAnsi="Arial Narrow" w:cs="Arial"/>
                <w:sz w:val="24"/>
                <w:szCs w:val="24"/>
              </w:rPr>
              <w:t>Forensic e</w:t>
            </w:r>
            <w:r w:rsidR="007172D1" w:rsidRPr="001112B2">
              <w:rPr>
                <w:rFonts w:ascii="Arial Narrow" w:hAnsi="Arial Narrow" w:cs="Arial"/>
                <w:sz w:val="24"/>
                <w:szCs w:val="24"/>
              </w:rPr>
              <w:t>vidence</w:t>
            </w:r>
            <w:r w:rsidR="001B1096" w:rsidRPr="001112B2">
              <w:rPr>
                <w:rFonts w:ascii="Arial Narrow" w:hAnsi="Arial Narrow" w:cs="Arial"/>
                <w:sz w:val="24"/>
                <w:szCs w:val="24"/>
              </w:rPr>
              <w:t>,</w:t>
            </w:r>
            <w:r w:rsidR="0091088A" w:rsidRPr="001112B2">
              <w:rPr>
                <w:rFonts w:ascii="Arial Narrow" w:hAnsi="Arial Narrow" w:cs="Arial"/>
                <w:sz w:val="24"/>
                <w:szCs w:val="24"/>
              </w:rPr>
              <w:t xml:space="preserve"> as summarised in par 40,</w:t>
            </w:r>
            <w:r w:rsidR="007172D1" w:rsidRPr="001112B2">
              <w:rPr>
                <w:rFonts w:ascii="Arial Narrow" w:hAnsi="Arial Narrow" w:cs="Arial"/>
                <w:sz w:val="24"/>
                <w:szCs w:val="24"/>
              </w:rPr>
              <w:t xml:space="preserve"> directly links the applicant to a sandal which was removed from the crime scene during the commission of the </w:t>
            </w:r>
            <w:r w:rsidR="0091088A" w:rsidRPr="001112B2">
              <w:rPr>
                <w:rFonts w:ascii="Arial Narrow" w:hAnsi="Arial Narrow" w:cs="Arial"/>
                <w:sz w:val="24"/>
                <w:szCs w:val="24"/>
              </w:rPr>
              <w:t xml:space="preserve">offences charged. </w:t>
            </w:r>
            <w:r w:rsidR="001B1096" w:rsidRPr="001112B2">
              <w:rPr>
                <w:rFonts w:ascii="Arial Narrow" w:hAnsi="Arial Narrow" w:cs="Arial"/>
                <w:sz w:val="24"/>
                <w:szCs w:val="24"/>
              </w:rPr>
              <w:t>As stated at</w:t>
            </w:r>
            <w:r w:rsidR="0091088A" w:rsidRPr="001112B2">
              <w:rPr>
                <w:rFonts w:ascii="Arial Narrow" w:hAnsi="Arial Narrow" w:cs="Arial"/>
                <w:sz w:val="24"/>
                <w:szCs w:val="24"/>
              </w:rPr>
              <w:t xml:space="preserve"> para 77 and 78 of the judgment</w:t>
            </w:r>
            <w:r w:rsidR="001B1096" w:rsidRPr="001112B2">
              <w:rPr>
                <w:rFonts w:ascii="Arial Narrow" w:hAnsi="Arial Narrow" w:cs="Arial"/>
                <w:sz w:val="24"/>
                <w:szCs w:val="24"/>
              </w:rPr>
              <w:t>,</w:t>
            </w:r>
            <w:r w:rsidR="0091088A" w:rsidRPr="001112B2">
              <w:rPr>
                <w:rFonts w:ascii="Arial Narrow" w:hAnsi="Arial Narrow" w:cs="Arial"/>
                <w:sz w:val="24"/>
                <w:szCs w:val="24"/>
              </w:rPr>
              <w:t xml:space="preserve"> the effect of DNA evidence of the applicant being found on the sandal of the deceased, in itself,</w:t>
            </w:r>
            <w:r w:rsidR="001B1096" w:rsidRPr="001112B2">
              <w:rPr>
                <w:rFonts w:ascii="Arial Narrow" w:hAnsi="Arial Narrow" w:cs="Arial"/>
                <w:sz w:val="24"/>
                <w:szCs w:val="24"/>
              </w:rPr>
              <w:t xml:space="preserve"> constitutes real evidence that</w:t>
            </w:r>
            <w:r w:rsidR="0091088A" w:rsidRPr="001112B2">
              <w:rPr>
                <w:rFonts w:ascii="Arial Narrow" w:hAnsi="Arial Narrow" w:cs="Arial"/>
                <w:sz w:val="24"/>
                <w:szCs w:val="24"/>
              </w:rPr>
              <w:t xml:space="preserve"> links the accused and Daniel to the crime scene. When considered together with the rest of the </w:t>
            </w:r>
            <w:r w:rsidR="00D33E2C" w:rsidRPr="001112B2">
              <w:rPr>
                <w:rFonts w:ascii="Arial Narrow" w:hAnsi="Arial Narrow" w:cs="Arial"/>
                <w:sz w:val="24"/>
                <w:szCs w:val="24"/>
              </w:rPr>
              <w:t>evidence</w:t>
            </w:r>
            <w:r w:rsidR="001B1096" w:rsidRPr="001112B2">
              <w:rPr>
                <w:rFonts w:ascii="Arial Narrow" w:hAnsi="Arial Narrow" w:cs="Arial"/>
                <w:sz w:val="24"/>
                <w:szCs w:val="24"/>
              </w:rPr>
              <w:t>,</w:t>
            </w:r>
            <w:r w:rsidR="00D33E2C" w:rsidRPr="001112B2">
              <w:rPr>
                <w:rFonts w:ascii="Arial Narrow" w:hAnsi="Arial Narrow" w:cs="Arial"/>
                <w:sz w:val="24"/>
                <w:szCs w:val="24"/>
              </w:rPr>
              <w:t xml:space="preserve"> proving</w:t>
            </w:r>
            <w:r w:rsidR="0091088A" w:rsidRPr="001112B2">
              <w:rPr>
                <w:rFonts w:ascii="Arial Narrow" w:hAnsi="Arial Narrow" w:cs="Arial"/>
                <w:sz w:val="24"/>
                <w:szCs w:val="24"/>
              </w:rPr>
              <w:t xml:space="preserve"> the applicant’s involvement </w:t>
            </w:r>
            <w:r w:rsidR="00D33E2C" w:rsidRPr="001112B2">
              <w:rPr>
                <w:rFonts w:ascii="Arial Narrow" w:hAnsi="Arial Narrow" w:cs="Arial"/>
                <w:sz w:val="24"/>
                <w:szCs w:val="24"/>
              </w:rPr>
              <w:t xml:space="preserve">already </w:t>
            </w:r>
            <w:r w:rsidR="0091088A" w:rsidRPr="001112B2">
              <w:rPr>
                <w:rFonts w:ascii="Arial Narrow" w:hAnsi="Arial Narrow" w:cs="Arial"/>
                <w:sz w:val="24"/>
                <w:szCs w:val="24"/>
              </w:rPr>
              <w:t>during the planning stages of the robbery</w:t>
            </w:r>
            <w:r w:rsidR="00D33E2C" w:rsidRPr="001112B2">
              <w:rPr>
                <w:rFonts w:ascii="Arial Narrow" w:hAnsi="Arial Narrow" w:cs="Arial"/>
                <w:sz w:val="24"/>
                <w:szCs w:val="24"/>
              </w:rPr>
              <w:t>,</w:t>
            </w:r>
            <w:r w:rsidR="0091088A" w:rsidRPr="001112B2">
              <w:rPr>
                <w:rFonts w:ascii="Arial Narrow" w:hAnsi="Arial Narrow" w:cs="Arial"/>
                <w:sz w:val="24"/>
                <w:szCs w:val="24"/>
              </w:rPr>
              <w:t xml:space="preserve"> there can be no doubt that the accused was indeed on the scene at the time of committing the offences.</w:t>
            </w:r>
            <w:r w:rsidR="00D33E2C" w:rsidRPr="001112B2">
              <w:rPr>
                <w:rFonts w:ascii="Arial Narrow" w:hAnsi="Arial Narrow" w:cs="Arial"/>
                <w:sz w:val="24"/>
                <w:szCs w:val="24"/>
              </w:rPr>
              <w:t xml:space="preserve"> What the evidence further established is that the perpetrators acted in concert and with common purpose.</w:t>
            </w:r>
          </w:p>
          <w:p w14:paraId="461843D4" w14:textId="77777777" w:rsidR="00D33E2C" w:rsidRDefault="00D33E2C" w:rsidP="00D33E2C">
            <w:pPr>
              <w:pStyle w:val="ListParagraph"/>
              <w:spacing w:line="360" w:lineRule="auto"/>
              <w:ind w:left="540"/>
              <w:jc w:val="both"/>
              <w:rPr>
                <w:rFonts w:ascii="Arial Narrow" w:hAnsi="Arial Narrow" w:cs="Arial"/>
                <w:sz w:val="24"/>
                <w:szCs w:val="24"/>
              </w:rPr>
            </w:pPr>
          </w:p>
          <w:p w14:paraId="2BEEEED0" w14:textId="0C6EA869" w:rsidR="00281607"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[14]</w:t>
            </w:r>
            <w:r>
              <w:rPr>
                <w:rFonts w:ascii="Arial Narrow" w:hAnsi="Arial Narrow" w:cs="Arial"/>
                <w:sz w:val="24"/>
                <w:szCs w:val="24"/>
              </w:rPr>
              <w:tab/>
            </w:r>
            <w:r w:rsidR="001B1096" w:rsidRPr="001112B2">
              <w:rPr>
                <w:rFonts w:ascii="Arial Narrow" w:hAnsi="Arial Narrow" w:cs="Arial"/>
                <w:sz w:val="24"/>
                <w:szCs w:val="24"/>
              </w:rPr>
              <w:t xml:space="preserve"> </w:t>
            </w:r>
            <w:r w:rsidR="00D33E2C" w:rsidRPr="001112B2">
              <w:rPr>
                <w:rFonts w:ascii="Arial Narrow" w:hAnsi="Arial Narrow" w:cs="Arial"/>
                <w:sz w:val="24"/>
                <w:szCs w:val="24"/>
              </w:rPr>
              <w:t>In ground</w:t>
            </w:r>
            <w:r w:rsidR="00583DED" w:rsidRPr="001112B2">
              <w:rPr>
                <w:rFonts w:ascii="Arial Narrow" w:hAnsi="Arial Narrow" w:cs="Arial"/>
                <w:sz w:val="24"/>
                <w:szCs w:val="24"/>
              </w:rPr>
              <w:t>s</w:t>
            </w:r>
            <w:r w:rsidR="00D33E2C" w:rsidRPr="001112B2">
              <w:rPr>
                <w:rFonts w:ascii="Arial Narrow" w:hAnsi="Arial Narrow" w:cs="Arial"/>
                <w:sz w:val="24"/>
                <w:szCs w:val="24"/>
              </w:rPr>
              <w:t xml:space="preserve"> 6</w:t>
            </w:r>
            <w:r w:rsidR="00583DED" w:rsidRPr="001112B2">
              <w:rPr>
                <w:rFonts w:ascii="Arial Narrow" w:hAnsi="Arial Narrow" w:cs="Arial"/>
                <w:sz w:val="24"/>
                <w:szCs w:val="24"/>
              </w:rPr>
              <w:t xml:space="preserve"> and 10</w:t>
            </w:r>
            <w:r w:rsidR="00A3383D" w:rsidRPr="001112B2">
              <w:rPr>
                <w:rFonts w:ascii="Arial Narrow" w:hAnsi="Arial Narrow" w:cs="Arial"/>
                <w:sz w:val="24"/>
                <w:szCs w:val="24"/>
              </w:rPr>
              <w:t xml:space="preserve"> of the notice</w:t>
            </w:r>
            <w:r w:rsidR="00D33E2C" w:rsidRPr="001112B2">
              <w:rPr>
                <w:rFonts w:ascii="Arial Narrow" w:hAnsi="Arial Narrow" w:cs="Arial"/>
                <w:sz w:val="24"/>
                <w:szCs w:val="24"/>
              </w:rPr>
              <w:t xml:space="preserve"> it is contended that the court faulted for not calling an alibi witness mentioned by the applicant. What is absent from applicant’s assertion</w:t>
            </w:r>
            <w:r w:rsidR="001B1096" w:rsidRPr="001112B2">
              <w:rPr>
                <w:rFonts w:ascii="Arial Narrow" w:hAnsi="Arial Narrow" w:cs="Arial"/>
                <w:sz w:val="24"/>
                <w:szCs w:val="24"/>
              </w:rPr>
              <w:t>,</w:t>
            </w:r>
            <w:r w:rsidR="00D33E2C" w:rsidRPr="001112B2">
              <w:rPr>
                <w:rFonts w:ascii="Arial Narrow" w:hAnsi="Arial Narrow" w:cs="Arial"/>
                <w:sz w:val="24"/>
                <w:szCs w:val="24"/>
              </w:rPr>
              <w:t xml:space="preserve"> is any explanation from his side </w:t>
            </w:r>
          </w:p>
          <w:p w14:paraId="084C7064" w14:textId="77777777" w:rsidR="00281607" w:rsidRPr="00281607" w:rsidRDefault="00281607" w:rsidP="00281607">
            <w:pPr>
              <w:pStyle w:val="ListParagraph"/>
              <w:rPr>
                <w:rFonts w:ascii="Arial Narrow" w:hAnsi="Arial Narrow" w:cs="Arial"/>
                <w:sz w:val="24"/>
                <w:szCs w:val="24"/>
              </w:rPr>
            </w:pPr>
          </w:p>
          <w:p w14:paraId="77806319" w14:textId="77777777" w:rsidR="00281607" w:rsidRPr="00281607" w:rsidRDefault="00281607" w:rsidP="00281607">
            <w:pPr>
              <w:rPr>
                <w:rFonts w:ascii="Arial Narrow" w:hAnsi="Arial Narrow" w:cs="Arial"/>
                <w:sz w:val="24"/>
                <w:szCs w:val="24"/>
              </w:rPr>
            </w:pPr>
          </w:p>
          <w:p w14:paraId="1366ADD2" w14:textId="77777777" w:rsidR="002A7238" w:rsidRDefault="00D33E2C" w:rsidP="00281607">
            <w:pPr>
              <w:pStyle w:val="ListParagraph"/>
              <w:spacing w:line="360" w:lineRule="auto"/>
              <w:ind w:left="540"/>
              <w:jc w:val="both"/>
              <w:rPr>
                <w:rFonts w:ascii="Arial Narrow" w:hAnsi="Arial Narrow" w:cs="Arial"/>
                <w:sz w:val="24"/>
                <w:szCs w:val="24"/>
              </w:rPr>
            </w:pPr>
            <w:r>
              <w:rPr>
                <w:rFonts w:ascii="Arial Narrow" w:hAnsi="Arial Narrow" w:cs="Arial"/>
                <w:sz w:val="24"/>
                <w:szCs w:val="24"/>
              </w:rPr>
              <w:lastRenderedPageBreak/>
              <w:t>why he failed to call the said person, b</w:t>
            </w:r>
            <w:r w:rsidR="001B1096">
              <w:rPr>
                <w:rFonts w:ascii="Arial Narrow" w:hAnsi="Arial Narrow" w:cs="Arial"/>
                <w:sz w:val="24"/>
                <w:szCs w:val="24"/>
              </w:rPr>
              <w:t>eing his girlfriend at the time;</w:t>
            </w:r>
            <w:r>
              <w:rPr>
                <w:rFonts w:ascii="Arial Narrow" w:hAnsi="Arial Narrow" w:cs="Arial"/>
                <w:sz w:val="24"/>
                <w:szCs w:val="24"/>
              </w:rPr>
              <w:t xml:space="preserve"> alternatively, why an application was not made to the court to consider calling the person as a witness where the applicant was unable to do so.</w:t>
            </w:r>
            <w:r w:rsidR="00B048A1">
              <w:rPr>
                <w:rFonts w:ascii="Arial Narrow" w:hAnsi="Arial Narrow" w:cs="Arial"/>
                <w:sz w:val="24"/>
                <w:szCs w:val="24"/>
              </w:rPr>
              <w:t xml:space="preserve"> Applicable principles to the assessment of an alibi defence are set out at par</w:t>
            </w:r>
            <w:r w:rsidR="002313D0">
              <w:rPr>
                <w:rFonts w:ascii="Arial Narrow" w:hAnsi="Arial Narrow" w:cs="Arial"/>
                <w:sz w:val="24"/>
                <w:szCs w:val="24"/>
              </w:rPr>
              <w:t>a</w:t>
            </w:r>
            <w:r w:rsidR="00B048A1">
              <w:rPr>
                <w:rFonts w:ascii="Arial Narrow" w:hAnsi="Arial Narrow" w:cs="Arial"/>
                <w:sz w:val="24"/>
                <w:szCs w:val="24"/>
              </w:rPr>
              <w:t xml:space="preserve"> 57 and applied to the present facts as discussed in detail at para 81 – 87 of the judgment and need not be rehashed.</w:t>
            </w:r>
          </w:p>
          <w:p w14:paraId="65270EF4" w14:textId="77777777" w:rsidR="00B048A1" w:rsidRPr="00B048A1" w:rsidRDefault="00B048A1" w:rsidP="00B048A1">
            <w:pPr>
              <w:pStyle w:val="ListParagraph"/>
              <w:rPr>
                <w:rFonts w:ascii="Arial Narrow" w:hAnsi="Arial Narrow" w:cs="Arial"/>
                <w:sz w:val="24"/>
                <w:szCs w:val="24"/>
              </w:rPr>
            </w:pPr>
          </w:p>
          <w:p w14:paraId="2675934A" w14:textId="528F0EF0" w:rsidR="00B048A1" w:rsidRPr="001112B2" w:rsidRDefault="001112B2" w:rsidP="001112B2">
            <w:pPr>
              <w:spacing w:line="360" w:lineRule="auto"/>
              <w:ind w:left="540" w:hanging="360"/>
              <w:jc w:val="both"/>
              <w:rPr>
                <w:rFonts w:ascii="Arial Narrow" w:hAnsi="Arial Narrow" w:cs="Arial"/>
                <w:sz w:val="24"/>
                <w:szCs w:val="24"/>
              </w:rPr>
            </w:pPr>
            <w:r w:rsidRPr="00281607">
              <w:rPr>
                <w:rFonts w:ascii="Arial Narrow" w:hAnsi="Arial Narrow" w:cs="Arial"/>
                <w:sz w:val="24"/>
                <w:szCs w:val="24"/>
              </w:rPr>
              <w:t>[15]</w:t>
            </w:r>
            <w:r w:rsidRPr="00281607">
              <w:rPr>
                <w:rFonts w:ascii="Arial Narrow" w:hAnsi="Arial Narrow" w:cs="Arial"/>
                <w:sz w:val="24"/>
                <w:szCs w:val="24"/>
              </w:rPr>
              <w:tab/>
            </w:r>
            <w:r w:rsidR="001B1096" w:rsidRPr="001112B2">
              <w:rPr>
                <w:rFonts w:ascii="Arial Narrow" w:hAnsi="Arial Narrow" w:cs="Arial"/>
                <w:sz w:val="24"/>
                <w:szCs w:val="24"/>
              </w:rPr>
              <w:t xml:space="preserve"> </w:t>
            </w:r>
            <w:r w:rsidR="00B048A1" w:rsidRPr="001112B2">
              <w:rPr>
                <w:rFonts w:ascii="Arial Narrow" w:hAnsi="Arial Narrow" w:cs="Arial"/>
                <w:sz w:val="24"/>
                <w:szCs w:val="24"/>
              </w:rPr>
              <w:t xml:space="preserve">The eight ground implies that the court erred in finding that the state proved the case against the applicant beyond reasonable doubt in circumstances where the prosecution </w:t>
            </w:r>
            <w:r w:rsidR="00583DED" w:rsidRPr="001112B2">
              <w:rPr>
                <w:rFonts w:ascii="Arial Narrow" w:hAnsi="Arial Narrow" w:cs="Arial"/>
                <w:sz w:val="24"/>
                <w:szCs w:val="24"/>
              </w:rPr>
              <w:t>submitted that there was insufficient evidence before the court to convict the applicant on counts 1, 2 and 3. It will suffice to say that the trier of fact is certainly not bound by submissions made</w:t>
            </w:r>
            <w:r w:rsidR="001B1096" w:rsidRPr="001112B2">
              <w:rPr>
                <w:rFonts w:ascii="Arial Narrow" w:hAnsi="Arial Narrow" w:cs="Arial"/>
                <w:sz w:val="24"/>
                <w:szCs w:val="24"/>
              </w:rPr>
              <w:t xml:space="preserve"> by counsel on either side</w:t>
            </w:r>
            <w:r w:rsidR="00583DED" w:rsidRPr="001112B2">
              <w:rPr>
                <w:rFonts w:ascii="Arial Narrow" w:hAnsi="Arial Narrow" w:cs="Arial"/>
                <w:sz w:val="24"/>
                <w:szCs w:val="24"/>
              </w:rPr>
              <w:t>. It amounts to nothing more than wh</w:t>
            </w:r>
            <w:r w:rsidR="001B1096" w:rsidRPr="001112B2">
              <w:rPr>
                <w:rFonts w:ascii="Arial Narrow" w:hAnsi="Arial Narrow" w:cs="Arial"/>
                <w:sz w:val="24"/>
                <w:szCs w:val="24"/>
              </w:rPr>
              <w:t>at the meaning of the word</w:t>
            </w:r>
            <w:r w:rsidR="00583DED" w:rsidRPr="001112B2">
              <w:rPr>
                <w:rFonts w:ascii="Arial Narrow" w:hAnsi="Arial Narrow" w:cs="Arial"/>
                <w:sz w:val="24"/>
                <w:szCs w:val="24"/>
              </w:rPr>
              <w:t xml:space="preserve"> </w:t>
            </w:r>
            <w:r w:rsidR="001B1096" w:rsidRPr="001112B2">
              <w:rPr>
                <w:rFonts w:ascii="Arial Narrow" w:hAnsi="Arial Narrow" w:cs="Arial"/>
                <w:sz w:val="24"/>
                <w:szCs w:val="24"/>
              </w:rPr>
              <w:t>‘</w:t>
            </w:r>
            <w:r w:rsidR="00583DED" w:rsidRPr="001112B2">
              <w:rPr>
                <w:rFonts w:ascii="Arial Narrow" w:hAnsi="Arial Narrow" w:cs="Arial"/>
                <w:sz w:val="24"/>
                <w:szCs w:val="24"/>
              </w:rPr>
              <w:t>submissions</w:t>
            </w:r>
            <w:r w:rsidR="001B1096" w:rsidRPr="001112B2">
              <w:rPr>
                <w:rFonts w:ascii="Arial Narrow" w:hAnsi="Arial Narrow" w:cs="Arial"/>
                <w:sz w:val="24"/>
                <w:szCs w:val="24"/>
              </w:rPr>
              <w:t>’ is</w:t>
            </w:r>
            <w:r w:rsidR="00583DED" w:rsidRPr="001112B2">
              <w:rPr>
                <w:rFonts w:ascii="Arial Narrow" w:hAnsi="Arial Narrow" w:cs="Arial"/>
                <w:sz w:val="24"/>
                <w:szCs w:val="24"/>
              </w:rPr>
              <w:t>. Though intended to assist the presiding officer in deciding the ma</w:t>
            </w:r>
            <w:r w:rsidR="001B1096" w:rsidRPr="001112B2">
              <w:rPr>
                <w:rFonts w:ascii="Arial Narrow" w:hAnsi="Arial Narrow" w:cs="Arial"/>
                <w:sz w:val="24"/>
                <w:szCs w:val="24"/>
              </w:rPr>
              <w:t>tter, it has no binding force</w:t>
            </w:r>
            <w:r w:rsidR="00583DED" w:rsidRPr="001112B2">
              <w:rPr>
                <w:rFonts w:ascii="Arial Narrow" w:hAnsi="Arial Narrow" w:cs="Arial"/>
                <w:sz w:val="24"/>
                <w:szCs w:val="24"/>
              </w:rPr>
              <w:t xml:space="preserve"> on the adjudicator and is</w:t>
            </w:r>
            <w:r w:rsidR="00944128" w:rsidRPr="001112B2">
              <w:rPr>
                <w:rFonts w:ascii="Arial Narrow" w:hAnsi="Arial Narrow" w:cs="Arial"/>
                <w:sz w:val="24"/>
                <w:szCs w:val="24"/>
              </w:rPr>
              <w:t>,</w:t>
            </w:r>
            <w:r w:rsidR="00583DED" w:rsidRPr="001112B2">
              <w:rPr>
                <w:rFonts w:ascii="Arial Narrow" w:hAnsi="Arial Narrow" w:cs="Arial"/>
                <w:sz w:val="24"/>
                <w:szCs w:val="24"/>
              </w:rPr>
              <w:t xml:space="preserve"> at most</w:t>
            </w:r>
            <w:r w:rsidR="00944128" w:rsidRPr="001112B2">
              <w:rPr>
                <w:rFonts w:ascii="Arial Narrow" w:hAnsi="Arial Narrow" w:cs="Arial"/>
                <w:sz w:val="24"/>
                <w:szCs w:val="24"/>
              </w:rPr>
              <w:t>, merely</w:t>
            </w:r>
            <w:r w:rsidR="00583DED" w:rsidRPr="001112B2">
              <w:rPr>
                <w:rFonts w:ascii="Arial Narrow" w:hAnsi="Arial Narrow" w:cs="Arial"/>
                <w:sz w:val="24"/>
                <w:szCs w:val="24"/>
              </w:rPr>
              <w:t xml:space="preserve"> persuasive. </w:t>
            </w:r>
          </w:p>
          <w:p w14:paraId="07A03FE6" w14:textId="77777777" w:rsidR="00A3383D" w:rsidRPr="00A3383D" w:rsidRDefault="00A3383D" w:rsidP="00A3383D">
            <w:pPr>
              <w:pStyle w:val="ListParagraph"/>
              <w:rPr>
                <w:rFonts w:ascii="Arial Narrow" w:hAnsi="Arial Narrow" w:cs="Arial"/>
                <w:sz w:val="24"/>
                <w:szCs w:val="24"/>
              </w:rPr>
            </w:pPr>
          </w:p>
          <w:p w14:paraId="29C00F02" w14:textId="565CA863" w:rsidR="00A3383D"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[16]</w:t>
            </w:r>
            <w:r>
              <w:rPr>
                <w:rFonts w:ascii="Arial Narrow" w:hAnsi="Arial Narrow" w:cs="Arial"/>
                <w:sz w:val="24"/>
                <w:szCs w:val="24"/>
              </w:rPr>
              <w:tab/>
            </w:r>
            <w:r w:rsidR="001B1096" w:rsidRPr="001112B2">
              <w:rPr>
                <w:rFonts w:ascii="Arial Narrow" w:hAnsi="Arial Narrow" w:cs="Arial"/>
                <w:sz w:val="24"/>
                <w:szCs w:val="24"/>
              </w:rPr>
              <w:t xml:space="preserve"> </w:t>
            </w:r>
            <w:r w:rsidR="00944128" w:rsidRPr="001112B2">
              <w:rPr>
                <w:rFonts w:ascii="Arial Narrow" w:hAnsi="Arial Narrow" w:cs="Arial"/>
                <w:sz w:val="24"/>
                <w:szCs w:val="24"/>
              </w:rPr>
              <w:t>The ninth ground relates to the acceptance of the single evidence of state witness Daphne !</w:t>
            </w:r>
            <w:proofErr w:type="spellStart"/>
            <w:r w:rsidR="00944128" w:rsidRPr="001112B2">
              <w:rPr>
                <w:rFonts w:ascii="Arial Narrow" w:hAnsi="Arial Narrow" w:cs="Arial"/>
                <w:sz w:val="24"/>
                <w:szCs w:val="24"/>
              </w:rPr>
              <w:t>Nawases</w:t>
            </w:r>
            <w:proofErr w:type="spellEnd"/>
            <w:r w:rsidR="00944128" w:rsidRPr="001112B2">
              <w:rPr>
                <w:rFonts w:ascii="Arial Narrow" w:hAnsi="Arial Narrow" w:cs="Arial"/>
                <w:sz w:val="24"/>
                <w:szCs w:val="24"/>
              </w:rPr>
              <w:t xml:space="preserve"> in the face of contradictions and the evidence of Christian Hall. What these contradictions comprise and how it impacts on the court’s judgment in the end</w:t>
            </w:r>
            <w:r w:rsidR="001B1096" w:rsidRPr="001112B2">
              <w:rPr>
                <w:rFonts w:ascii="Arial Narrow" w:hAnsi="Arial Narrow" w:cs="Arial"/>
                <w:sz w:val="24"/>
                <w:szCs w:val="24"/>
              </w:rPr>
              <w:t>,</w:t>
            </w:r>
            <w:r w:rsidR="00B62418" w:rsidRPr="001112B2">
              <w:rPr>
                <w:rFonts w:ascii="Arial Narrow" w:hAnsi="Arial Narrow" w:cs="Arial"/>
                <w:sz w:val="24"/>
                <w:szCs w:val="24"/>
              </w:rPr>
              <w:t xml:space="preserve"> had neither been stated in any particularity, nor addressed in submissions advanced on behalf of the applicant. In light thereof, the evidence of this witness is summarised at par</w:t>
            </w:r>
            <w:r w:rsidR="002313D0" w:rsidRPr="001112B2">
              <w:rPr>
                <w:rFonts w:ascii="Arial Narrow" w:hAnsi="Arial Narrow" w:cs="Arial"/>
                <w:sz w:val="24"/>
                <w:szCs w:val="24"/>
              </w:rPr>
              <w:t>a</w:t>
            </w:r>
            <w:r w:rsidR="00B62418" w:rsidRPr="001112B2">
              <w:rPr>
                <w:rFonts w:ascii="Arial Narrow" w:hAnsi="Arial Narrow" w:cs="Arial"/>
                <w:sz w:val="24"/>
                <w:szCs w:val="24"/>
              </w:rPr>
              <w:t xml:space="preserve"> 14 and evaluated at para 67 up to 74 of the judgment. For the reasons stated, Daphne !</w:t>
            </w:r>
            <w:proofErr w:type="spellStart"/>
            <w:r w:rsidR="00B62418" w:rsidRPr="001112B2">
              <w:rPr>
                <w:rFonts w:ascii="Arial Narrow" w:hAnsi="Arial Narrow" w:cs="Arial"/>
                <w:sz w:val="24"/>
                <w:szCs w:val="24"/>
              </w:rPr>
              <w:t>Nawases</w:t>
            </w:r>
            <w:proofErr w:type="spellEnd"/>
            <w:r w:rsidR="00B62418" w:rsidRPr="001112B2">
              <w:rPr>
                <w:rFonts w:ascii="Arial Narrow" w:hAnsi="Arial Narrow" w:cs="Arial"/>
                <w:sz w:val="24"/>
                <w:szCs w:val="24"/>
              </w:rPr>
              <w:t xml:space="preserve"> was found to be a credible witness</w:t>
            </w:r>
            <w:r w:rsidR="00A10963" w:rsidRPr="001112B2">
              <w:rPr>
                <w:rFonts w:ascii="Arial Narrow" w:hAnsi="Arial Narrow" w:cs="Arial"/>
                <w:sz w:val="24"/>
                <w:szCs w:val="24"/>
              </w:rPr>
              <w:t>,</w:t>
            </w:r>
            <w:r w:rsidR="001C5581" w:rsidRPr="001112B2">
              <w:rPr>
                <w:rFonts w:ascii="Arial Narrow" w:hAnsi="Arial Narrow" w:cs="Arial"/>
                <w:sz w:val="24"/>
                <w:szCs w:val="24"/>
              </w:rPr>
              <w:t xml:space="preserve"> despite giving single evidence. </w:t>
            </w:r>
            <w:r w:rsidR="00A10963" w:rsidRPr="001112B2">
              <w:rPr>
                <w:rFonts w:ascii="Arial Narrow" w:hAnsi="Arial Narrow" w:cs="Arial"/>
                <w:sz w:val="24"/>
                <w:szCs w:val="24"/>
              </w:rPr>
              <w:t>The</w:t>
            </w:r>
            <w:r w:rsidR="001C5581" w:rsidRPr="001112B2">
              <w:rPr>
                <w:rFonts w:ascii="Arial Narrow" w:hAnsi="Arial Narrow" w:cs="Arial"/>
                <w:sz w:val="24"/>
                <w:szCs w:val="24"/>
              </w:rPr>
              <w:t xml:space="preserve"> warning</w:t>
            </w:r>
            <w:r w:rsidR="00A10963" w:rsidRPr="001112B2">
              <w:rPr>
                <w:rFonts w:ascii="Arial Narrow" w:hAnsi="Arial Narrow" w:cs="Arial"/>
                <w:sz w:val="24"/>
                <w:szCs w:val="24"/>
              </w:rPr>
              <w:t xml:space="preserve"> extended</w:t>
            </w:r>
            <w:r w:rsidR="001C5581" w:rsidRPr="001112B2">
              <w:rPr>
                <w:rFonts w:ascii="Arial Narrow" w:hAnsi="Arial Narrow" w:cs="Arial"/>
                <w:sz w:val="24"/>
                <w:szCs w:val="24"/>
              </w:rPr>
              <w:t xml:space="preserve"> to her employers about applicant’s intention to</w:t>
            </w:r>
            <w:r w:rsidR="00A10963" w:rsidRPr="001112B2">
              <w:rPr>
                <w:rFonts w:ascii="Arial Narrow" w:hAnsi="Arial Narrow" w:cs="Arial"/>
                <w:sz w:val="24"/>
                <w:szCs w:val="24"/>
              </w:rPr>
              <w:t xml:space="preserve"> unlawfully</w:t>
            </w:r>
            <w:r w:rsidR="001C5581" w:rsidRPr="001112B2">
              <w:rPr>
                <w:rFonts w:ascii="Arial Narrow" w:hAnsi="Arial Narrow" w:cs="Arial"/>
                <w:sz w:val="24"/>
                <w:szCs w:val="24"/>
              </w:rPr>
              <w:t xml:space="preserve"> gain access to the victims’ house does not have any corroborative value, but shows consistency in her version</w:t>
            </w:r>
            <w:r w:rsidR="00A10963" w:rsidRPr="001112B2">
              <w:rPr>
                <w:rFonts w:ascii="Arial Narrow" w:hAnsi="Arial Narrow" w:cs="Arial"/>
                <w:sz w:val="24"/>
                <w:szCs w:val="24"/>
              </w:rPr>
              <w:t>,</w:t>
            </w:r>
            <w:r w:rsidR="001C5581" w:rsidRPr="001112B2">
              <w:rPr>
                <w:rFonts w:ascii="Arial Narrow" w:hAnsi="Arial Narrow" w:cs="Arial"/>
                <w:sz w:val="24"/>
                <w:szCs w:val="24"/>
              </w:rPr>
              <w:t xml:space="preserve"> especially where the key to the safe was found</w:t>
            </w:r>
            <w:r w:rsidR="00A10963" w:rsidRPr="001112B2">
              <w:rPr>
                <w:rFonts w:ascii="Arial Narrow" w:hAnsi="Arial Narrow" w:cs="Arial"/>
                <w:sz w:val="24"/>
                <w:szCs w:val="24"/>
              </w:rPr>
              <w:t xml:space="preserve"> afterwards</w:t>
            </w:r>
            <w:r w:rsidR="001C5581" w:rsidRPr="001112B2">
              <w:rPr>
                <w:rFonts w:ascii="Arial Narrow" w:hAnsi="Arial Narrow" w:cs="Arial"/>
                <w:sz w:val="24"/>
                <w:szCs w:val="24"/>
              </w:rPr>
              <w:t xml:space="preserve"> at the crime scene – the very same key applicant said was in his possession when he sought her assistance to gain access into the home of the elderly couple. </w:t>
            </w:r>
          </w:p>
          <w:p w14:paraId="480C78E6" w14:textId="77777777" w:rsidR="001C5581" w:rsidRPr="001C5581" w:rsidRDefault="001C5581" w:rsidP="001C5581">
            <w:pPr>
              <w:pStyle w:val="ListParagraph"/>
              <w:rPr>
                <w:rFonts w:ascii="Arial Narrow" w:hAnsi="Arial Narrow" w:cs="Arial"/>
                <w:sz w:val="24"/>
                <w:szCs w:val="24"/>
              </w:rPr>
            </w:pPr>
          </w:p>
          <w:p w14:paraId="2186D9BC" w14:textId="470F1737" w:rsidR="001C5581"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[17]</w:t>
            </w:r>
            <w:r>
              <w:rPr>
                <w:rFonts w:ascii="Arial Narrow" w:hAnsi="Arial Narrow" w:cs="Arial"/>
                <w:sz w:val="24"/>
                <w:szCs w:val="24"/>
              </w:rPr>
              <w:tab/>
            </w:r>
            <w:r w:rsidR="00A10963" w:rsidRPr="001112B2">
              <w:rPr>
                <w:rFonts w:ascii="Arial Narrow" w:hAnsi="Arial Narrow" w:cs="Arial"/>
                <w:sz w:val="24"/>
                <w:szCs w:val="24"/>
              </w:rPr>
              <w:t xml:space="preserve"> </w:t>
            </w:r>
            <w:r w:rsidR="001C5581" w:rsidRPr="001112B2">
              <w:rPr>
                <w:rFonts w:ascii="Arial Narrow" w:hAnsi="Arial Narrow" w:cs="Arial"/>
                <w:sz w:val="24"/>
                <w:szCs w:val="24"/>
              </w:rPr>
              <w:t xml:space="preserve">In conclusion, the grounds on which the applicant’s notice for leave to appeal </w:t>
            </w:r>
            <w:r w:rsidR="00A10963" w:rsidRPr="001112B2">
              <w:rPr>
                <w:rFonts w:ascii="Arial Narrow" w:hAnsi="Arial Narrow" w:cs="Arial"/>
                <w:sz w:val="24"/>
                <w:szCs w:val="24"/>
              </w:rPr>
              <w:t>are founded</w:t>
            </w:r>
            <w:r w:rsidR="001C5581" w:rsidRPr="001112B2">
              <w:rPr>
                <w:rFonts w:ascii="Arial Narrow" w:hAnsi="Arial Narrow" w:cs="Arial"/>
                <w:sz w:val="24"/>
                <w:szCs w:val="24"/>
              </w:rPr>
              <w:t xml:space="preserve"> are </w:t>
            </w:r>
            <w:r w:rsidR="00A10963" w:rsidRPr="001112B2">
              <w:rPr>
                <w:rFonts w:ascii="Arial Narrow" w:hAnsi="Arial Narrow" w:cs="Arial"/>
                <w:sz w:val="24"/>
                <w:szCs w:val="24"/>
              </w:rPr>
              <w:t>un</w:t>
            </w:r>
            <w:r w:rsidR="001C5581" w:rsidRPr="001112B2">
              <w:rPr>
                <w:rFonts w:ascii="Arial Narrow" w:hAnsi="Arial Narrow" w:cs="Arial"/>
                <w:sz w:val="24"/>
                <w:szCs w:val="24"/>
              </w:rPr>
              <w:t>meri</w:t>
            </w:r>
            <w:r w:rsidR="000C76D0" w:rsidRPr="001112B2">
              <w:rPr>
                <w:rFonts w:ascii="Arial Narrow" w:hAnsi="Arial Narrow" w:cs="Arial"/>
                <w:sz w:val="24"/>
                <w:szCs w:val="24"/>
              </w:rPr>
              <w:t>t</w:t>
            </w:r>
            <w:r w:rsidR="00A10963" w:rsidRPr="001112B2">
              <w:rPr>
                <w:rFonts w:ascii="Arial Narrow" w:hAnsi="Arial Narrow" w:cs="Arial"/>
                <w:sz w:val="24"/>
                <w:szCs w:val="24"/>
              </w:rPr>
              <w:t xml:space="preserve">orious for </w:t>
            </w:r>
            <w:r w:rsidR="000C76D0" w:rsidRPr="001112B2">
              <w:rPr>
                <w:rFonts w:ascii="Arial Narrow" w:hAnsi="Arial Narrow" w:cs="Arial"/>
                <w:sz w:val="24"/>
                <w:szCs w:val="24"/>
              </w:rPr>
              <w:t xml:space="preserve">reasons stated </w:t>
            </w:r>
            <w:r w:rsidR="00A10963" w:rsidRPr="001112B2">
              <w:rPr>
                <w:rFonts w:ascii="Arial Narrow" w:hAnsi="Arial Narrow" w:cs="Arial"/>
                <w:sz w:val="24"/>
                <w:szCs w:val="24"/>
              </w:rPr>
              <w:t>above</w:t>
            </w:r>
            <w:r w:rsidR="000C76D0" w:rsidRPr="001112B2">
              <w:rPr>
                <w:rFonts w:ascii="Arial Narrow" w:hAnsi="Arial Narrow" w:cs="Arial"/>
                <w:sz w:val="24"/>
                <w:szCs w:val="24"/>
              </w:rPr>
              <w:t xml:space="preserve"> and, in particular, where referenced in this court’s </w:t>
            </w:r>
            <w:r w:rsidR="00A10963" w:rsidRPr="001112B2">
              <w:rPr>
                <w:rFonts w:ascii="Arial Narrow" w:hAnsi="Arial Narrow" w:cs="Arial"/>
                <w:sz w:val="24"/>
                <w:szCs w:val="24"/>
              </w:rPr>
              <w:t xml:space="preserve">earlier </w:t>
            </w:r>
            <w:r w:rsidR="000C76D0" w:rsidRPr="001112B2">
              <w:rPr>
                <w:rFonts w:ascii="Arial Narrow" w:hAnsi="Arial Narrow" w:cs="Arial"/>
                <w:sz w:val="24"/>
                <w:szCs w:val="24"/>
              </w:rPr>
              <w:t>judgment. I am not persuaded that applicant has</w:t>
            </w:r>
            <w:r w:rsidR="00A10963" w:rsidRPr="001112B2">
              <w:rPr>
                <w:rFonts w:ascii="Arial Narrow" w:hAnsi="Arial Narrow" w:cs="Arial"/>
                <w:sz w:val="24"/>
                <w:szCs w:val="24"/>
              </w:rPr>
              <w:t xml:space="preserve"> succeeded in showing</w:t>
            </w:r>
            <w:r w:rsidR="000C76D0" w:rsidRPr="001112B2">
              <w:rPr>
                <w:rFonts w:ascii="Arial Narrow" w:hAnsi="Arial Narrow" w:cs="Arial"/>
                <w:sz w:val="24"/>
                <w:szCs w:val="24"/>
              </w:rPr>
              <w:t xml:space="preserve"> on a balance of probabilities that there are prospects of success on appeal.</w:t>
            </w:r>
            <w:r w:rsidR="000C76D0">
              <w:rPr>
                <w:rStyle w:val="FootnoteReference"/>
                <w:rFonts w:ascii="Arial Narrow" w:hAnsi="Arial Narrow" w:cs="Arial"/>
                <w:sz w:val="24"/>
                <w:szCs w:val="24"/>
              </w:rPr>
              <w:footnoteReference w:id="1"/>
            </w:r>
            <w:r w:rsidR="000C76D0" w:rsidRPr="001112B2">
              <w:rPr>
                <w:rFonts w:ascii="Arial Narrow" w:hAnsi="Arial Narrow" w:cs="Arial"/>
                <w:sz w:val="24"/>
                <w:szCs w:val="24"/>
              </w:rPr>
              <w:t xml:space="preserve"> Hence, applicant’s application for condonation is without merit.</w:t>
            </w:r>
          </w:p>
          <w:p w14:paraId="4D5BD464" w14:textId="77777777" w:rsidR="000C76D0" w:rsidRPr="000C76D0" w:rsidRDefault="000C76D0" w:rsidP="000C76D0">
            <w:pPr>
              <w:pStyle w:val="ListParagraph"/>
              <w:rPr>
                <w:rFonts w:ascii="Arial Narrow" w:hAnsi="Arial Narrow" w:cs="Arial"/>
                <w:sz w:val="24"/>
                <w:szCs w:val="24"/>
              </w:rPr>
            </w:pPr>
          </w:p>
          <w:p w14:paraId="56EFEB06" w14:textId="77777777" w:rsidR="00281607" w:rsidRDefault="00A10963" w:rsidP="00281607">
            <w:pPr>
              <w:pStyle w:val="ListParagraph"/>
              <w:spacing w:line="360" w:lineRule="auto"/>
              <w:ind w:left="540"/>
              <w:jc w:val="both"/>
              <w:rPr>
                <w:rFonts w:ascii="Arial Narrow" w:hAnsi="Arial Narrow" w:cs="Arial"/>
                <w:sz w:val="24"/>
                <w:szCs w:val="24"/>
              </w:rPr>
            </w:pPr>
            <w:r>
              <w:rPr>
                <w:rFonts w:ascii="Arial Narrow" w:hAnsi="Arial Narrow" w:cs="Arial"/>
                <w:sz w:val="24"/>
                <w:szCs w:val="24"/>
              </w:rPr>
              <w:t xml:space="preserve"> </w:t>
            </w:r>
          </w:p>
          <w:p w14:paraId="4D183832" w14:textId="77777777" w:rsidR="00281607" w:rsidRPr="00281607" w:rsidRDefault="00281607" w:rsidP="00281607">
            <w:pPr>
              <w:pStyle w:val="ListParagraph"/>
              <w:rPr>
                <w:rFonts w:ascii="Arial Narrow" w:hAnsi="Arial Narrow" w:cs="Arial"/>
                <w:sz w:val="24"/>
                <w:szCs w:val="24"/>
              </w:rPr>
            </w:pPr>
          </w:p>
          <w:p w14:paraId="3530A909" w14:textId="6EECE9FA" w:rsidR="000C76D0" w:rsidRPr="001112B2" w:rsidRDefault="001112B2" w:rsidP="001112B2">
            <w:pPr>
              <w:spacing w:line="360" w:lineRule="auto"/>
              <w:ind w:left="540" w:hanging="360"/>
              <w:jc w:val="both"/>
              <w:rPr>
                <w:rFonts w:ascii="Arial Narrow" w:hAnsi="Arial Narrow" w:cs="Arial"/>
                <w:sz w:val="24"/>
                <w:szCs w:val="24"/>
              </w:rPr>
            </w:pPr>
            <w:r>
              <w:rPr>
                <w:rFonts w:ascii="Arial Narrow" w:hAnsi="Arial Narrow" w:cs="Arial"/>
                <w:sz w:val="24"/>
                <w:szCs w:val="24"/>
              </w:rPr>
              <w:t>[18]</w:t>
            </w:r>
            <w:r>
              <w:rPr>
                <w:rFonts w:ascii="Arial Narrow" w:hAnsi="Arial Narrow" w:cs="Arial"/>
                <w:sz w:val="24"/>
                <w:szCs w:val="24"/>
              </w:rPr>
              <w:tab/>
            </w:r>
            <w:r w:rsidR="000C76D0" w:rsidRPr="001112B2">
              <w:rPr>
                <w:rFonts w:ascii="Arial Narrow" w:hAnsi="Arial Narrow" w:cs="Arial"/>
                <w:sz w:val="24"/>
                <w:szCs w:val="24"/>
              </w:rPr>
              <w:t>In the result, it is ordered:</w:t>
            </w:r>
          </w:p>
          <w:p w14:paraId="26D19410" w14:textId="77777777" w:rsidR="000C76D0" w:rsidRPr="000C76D0" w:rsidRDefault="000C76D0" w:rsidP="000C76D0">
            <w:pPr>
              <w:pStyle w:val="ListParagraph"/>
              <w:rPr>
                <w:rFonts w:ascii="Arial Narrow" w:hAnsi="Arial Narrow" w:cs="Arial"/>
                <w:sz w:val="24"/>
                <w:szCs w:val="24"/>
              </w:rPr>
            </w:pPr>
          </w:p>
          <w:p w14:paraId="512A02D4" w14:textId="193DA660" w:rsidR="00EE204A" w:rsidRPr="001112B2" w:rsidRDefault="001112B2" w:rsidP="001112B2">
            <w:pPr>
              <w:spacing w:line="360" w:lineRule="auto"/>
              <w:ind w:left="1260" w:hanging="360"/>
              <w:jc w:val="both"/>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000C76D0" w:rsidRPr="001112B2">
              <w:rPr>
                <w:rFonts w:ascii="Arial Narrow" w:hAnsi="Arial Narrow" w:cs="Arial"/>
                <w:sz w:val="24"/>
                <w:szCs w:val="24"/>
              </w:rPr>
              <w:t>The application for condonation is refused.</w:t>
            </w:r>
          </w:p>
          <w:p w14:paraId="53BB50C3" w14:textId="25E49047" w:rsidR="000C76D0" w:rsidRPr="001112B2" w:rsidRDefault="001112B2" w:rsidP="001112B2">
            <w:pPr>
              <w:spacing w:line="360" w:lineRule="auto"/>
              <w:ind w:left="1260" w:hanging="360"/>
              <w:jc w:val="both"/>
              <w:rPr>
                <w:rFonts w:ascii="Arial Narrow" w:hAnsi="Arial Narrow" w:cs="Arial"/>
                <w:sz w:val="24"/>
                <w:szCs w:val="24"/>
              </w:rPr>
            </w:pPr>
            <w:r w:rsidRPr="00EE204A">
              <w:rPr>
                <w:rFonts w:ascii="Arial Narrow" w:hAnsi="Arial Narrow" w:cs="Arial"/>
                <w:sz w:val="24"/>
                <w:szCs w:val="24"/>
              </w:rPr>
              <w:t>2.</w:t>
            </w:r>
            <w:r w:rsidRPr="00EE204A">
              <w:rPr>
                <w:rFonts w:ascii="Arial Narrow" w:hAnsi="Arial Narrow" w:cs="Arial"/>
                <w:sz w:val="24"/>
                <w:szCs w:val="24"/>
              </w:rPr>
              <w:tab/>
            </w:r>
            <w:r w:rsidR="000C76D0" w:rsidRPr="001112B2">
              <w:rPr>
                <w:rFonts w:ascii="Arial Narrow" w:hAnsi="Arial Narrow" w:cs="Arial"/>
                <w:sz w:val="24"/>
                <w:szCs w:val="24"/>
              </w:rPr>
              <w:t>The matter is struck from the roll.</w:t>
            </w:r>
          </w:p>
          <w:p w14:paraId="54162932" w14:textId="77777777" w:rsidR="00C35FED" w:rsidRPr="00C35FED" w:rsidRDefault="00C35FED" w:rsidP="00C35FED">
            <w:pPr>
              <w:pStyle w:val="ListParagraph"/>
              <w:rPr>
                <w:rFonts w:ascii="Arial Narrow" w:hAnsi="Arial Narrow" w:cs="Arial"/>
                <w:sz w:val="24"/>
                <w:szCs w:val="24"/>
              </w:rPr>
            </w:pPr>
          </w:p>
          <w:p w14:paraId="713753A1" w14:textId="77777777" w:rsidR="00FD13CD" w:rsidRPr="0060481E" w:rsidRDefault="00FD13CD" w:rsidP="000C76D0">
            <w:pPr>
              <w:pStyle w:val="ListParagraph"/>
              <w:spacing w:line="360" w:lineRule="auto"/>
              <w:ind w:left="1260"/>
              <w:jc w:val="both"/>
              <w:rPr>
                <w:rFonts w:ascii="Arial Narrow" w:hAnsi="Arial Narrow" w:cs="Arial"/>
                <w:sz w:val="24"/>
                <w:szCs w:val="24"/>
              </w:rPr>
            </w:pPr>
          </w:p>
        </w:tc>
      </w:tr>
      <w:tr w:rsidR="00F3286D" w:rsidRPr="001B0FDD" w14:paraId="4F1A8BEF" w14:textId="77777777" w:rsidTr="00D8238D">
        <w:trPr>
          <w:trHeight w:val="557"/>
        </w:trPr>
        <w:tc>
          <w:tcPr>
            <w:tcW w:w="4770" w:type="dxa"/>
            <w:vMerge w:val="restart"/>
          </w:tcPr>
          <w:p w14:paraId="220D1AA4" w14:textId="77777777" w:rsidR="00F3286D" w:rsidRDefault="00F3286D" w:rsidP="00D8238D">
            <w:pPr>
              <w:spacing w:line="360" w:lineRule="auto"/>
              <w:jc w:val="both"/>
              <w:rPr>
                <w:rFonts w:ascii="Arial Narrow" w:hAnsi="Arial Narrow"/>
                <w:b/>
              </w:rPr>
            </w:pPr>
            <w:r>
              <w:rPr>
                <w:rFonts w:ascii="Arial Narrow" w:hAnsi="Arial Narrow"/>
                <w:b/>
              </w:rPr>
              <w:lastRenderedPageBreak/>
              <w:t>NOTE TO THE PARTIES</w:t>
            </w:r>
          </w:p>
          <w:p w14:paraId="6BC3D1ED" w14:textId="77777777" w:rsidR="00F3286D" w:rsidRPr="001B0FDD" w:rsidRDefault="00F3286D" w:rsidP="00D8238D">
            <w:pPr>
              <w:spacing w:line="360" w:lineRule="auto"/>
              <w:jc w:val="both"/>
              <w:rPr>
                <w:rFonts w:ascii="Arial Narrow" w:hAnsi="Arial Narrow" w:cs="Arial"/>
                <w:b/>
                <w:sz w:val="24"/>
                <w:szCs w:val="24"/>
              </w:rPr>
            </w:pPr>
            <w:r w:rsidRPr="00F3286D">
              <w:rPr>
                <w:rFonts w:ascii="Arial Narrow" w:hAnsi="Arial Narrow"/>
                <w:b/>
              </w:rPr>
              <w:t>The reason(s) hereby provided should be lodged together with any Petition made to the Chief Justice of the Supreme Court</w:t>
            </w:r>
          </w:p>
        </w:tc>
        <w:tc>
          <w:tcPr>
            <w:tcW w:w="4950" w:type="dxa"/>
            <w:gridSpan w:val="2"/>
          </w:tcPr>
          <w:p w14:paraId="525974D2" w14:textId="77777777" w:rsidR="00F3286D" w:rsidRDefault="00F3286D" w:rsidP="001C10EF">
            <w:pPr>
              <w:spacing w:line="360" w:lineRule="auto"/>
              <w:jc w:val="center"/>
              <w:rPr>
                <w:rFonts w:ascii="Arial Narrow" w:hAnsi="Arial Narrow" w:cs="Arial"/>
                <w:b/>
                <w:sz w:val="24"/>
                <w:szCs w:val="24"/>
              </w:rPr>
            </w:pPr>
          </w:p>
          <w:p w14:paraId="4CE382B7" w14:textId="77777777" w:rsidR="00F3286D" w:rsidRPr="001B0FDD" w:rsidRDefault="00F3286D" w:rsidP="001C10EF">
            <w:pPr>
              <w:spacing w:line="360" w:lineRule="auto"/>
              <w:jc w:val="center"/>
              <w:rPr>
                <w:rFonts w:ascii="Arial Narrow" w:hAnsi="Arial Narrow" w:cs="Arial"/>
                <w:b/>
                <w:sz w:val="24"/>
                <w:szCs w:val="24"/>
              </w:rPr>
            </w:pPr>
          </w:p>
        </w:tc>
      </w:tr>
      <w:tr w:rsidR="00F3286D" w:rsidRPr="001B0FDD" w14:paraId="453A75D6" w14:textId="77777777" w:rsidTr="00D8238D">
        <w:trPr>
          <w:trHeight w:val="719"/>
        </w:trPr>
        <w:tc>
          <w:tcPr>
            <w:tcW w:w="4770" w:type="dxa"/>
            <w:vMerge/>
          </w:tcPr>
          <w:p w14:paraId="4877276A" w14:textId="77777777" w:rsidR="00F3286D" w:rsidRPr="00F3286D" w:rsidRDefault="00F3286D" w:rsidP="00D8238D">
            <w:pPr>
              <w:spacing w:line="360" w:lineRule="auto"/>
              <w:jc w:val="both"/>
              <w:rPr>
                <w:rFonts w:ascii="Arial Narrow" w:hAnsi="Arial Narrow" w:cs="Arial"/>
                <w:b/>
                <w:sz w:val="24"/>
                <w:szCs w:val="24"/>
              </w:rPr>
            </w:pPr>
          </w:p>
        </w:tc>
        <w:tc>
          <w:tcPr>
            <w:tcW w:w="4950" w:type="dxa"/>
            <w:gridSpan w:val="2"/>
          </w:tcPr>
          <w:p w14:paraId="1E2FF450" w14:textId="77777777" w:rsidR="00F3286D" w:rsidRPr="001B0FDD" w:rsidRDefault="00F3286D" w:rsidP="001C10EF">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14:paraId="30BC5CA2" w14:textId="77777777" w:rsidR="00F3286D" w:rsidRPr="001B0FDD" w:rsidRDefault="00F3286D" w:rsidP="001C10EF">
            <w:pPr>
              <w:spacing w:line="360" w:lineRule="auto"/>
              <w:jc w:val="center"/>
              <w:rPr>
                <w:rFonts w:ascii="Arial Narrow" w:hAnsi="Arial Narrow" w:cs="Arial"/>
                <w:sz w:val="24"/>
                <w:szCs w:val="24"/>
              </w:rPr>
            </w:pPr>
            <w:r w:rsidRPr="001B0FDD">
              <w:rPr>
                <w:rFonts w:ascii="Arial Narrow" w:hAnsi="Arial Narrow" w:cs="Arial"/>
                <w:b/>
                <w:sz w:val="24"/>
                <w:szCs w:val="24"/>
              </w:rPr>
              <w:t>JUDGE</w:t>
            </w:r>
          </w:p>
        </w:tc>
      </w:tr>
    </w:tbl>
    <w:p w14:paraId="6EC77B6A" w14:textId="77777777" w:rsidR="00AE7087" w:rsidRPr="00A10963" w:rsidRDefault="00AE7087">
      <w:pPr>
        <w:rPr>
          <w:rFonts w:ascii="Arial Narrow" w:hAnsi="Arial Narrow"/>
          <w:sz w:val="24"/>
          <w:szCs w:val="24"/>
        </w:rPr>
      </w:pPr>
    </w:p>
    <w:sectPr w:rsidR="00AE7087" w:rsidRPr="00A10963" w:rsidSect="000E4FE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0B14" w14:textId="77777777" w:rsidR="00C262EE" w:rsidRDefault="00C262EE" w:rsidP="00897051">
      <w:pPr>
        <w:spacing w:after="0" w:line="240" w:lineRule="auto"/>
      </w:pPr>
      <w:r>
        <w:separator/>
      </w:r>
    </w:p>
  </w:endnote>
  <w:endnote w:type="continuationSeparator" w:id="0">
    <w:p w14:paraId="69E26E7F" w14:textId="77777777" w:rsidR="00C262EE" w:rsidRDefault="00C262EE" w:rsidP="0089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674C" w14:textId="77777777" w:rsidR="00C262EE" w:rsidRDefault="00C262EE" w:rsidP="00897051">
      <w:pPr>
        <w:spacing w:after="0" w:line="240" w:lineRule="auto"/>
      </w:pPr>
      <w:r>
        <w:separator/>
      </w:r>
    </w:p>
  </w:footnote>
  <w:footnote w:type="continuationSeparator" w:id="0">
    <w:p w14:paraId="39D41EA6" w14:textId="77777777" w:rsidR="00C262EE" w:rsidRDefault="00C262EE" w:rsidP="00897051">
      <w:pPr>
        <w:spacing w:after="0" w:line="240" w:lineRule="auto"/>
      </w:pPr>
      <w:r>
        <w:continuationSeparator/>
      </w:r>
    </w:p>
  </w:footnote>
  <w:footnote w:id="1">
    <w:p w14:paraId="126E25AA" w14:textId="77777777" w:rsidR="000C76D0" w:rsidRPr="000C76D0" w:rsidRDefault="000C76D0">
      <w:pPr>
        <w:pStyle w:val="FootnoteText"/>
        <w:rPr>
          <w:rFonts w:ascii="Arial Narrow" w:hAnsi="Arial Narrow"/>
        </w:rPr>
      </w:pPr>
      <w:r>
        <w:rPr>
          <w:rStyle w:val="FootnoteReference"/>
        </w:rPr>
        <w:footnoteRef/>
      </w:r>
      <w:r>
        <w:t xml:space="preserve"> </w:t>
      </w:r>
      <w:r w:rsidRPr="00547C6E">
        <w:rPr>
          <w:rFonts w:ascii="Arial" w:hAnsi="Arial" w:cs="Arial"/>
          <w:i/>
        </w:rPr>
        <w:t>S v Nowaseb</w:t>
      </w:r>
      <w:r>
        <w:rPr>
          <w:rFonts w:ascii="Arial" w:hAnsi="Arial" w:cs="Arial"/>
          <w:i/>
        </w:rPr>
        <w:t xml:space="preserve"> </w:t>
      </w:r>
      <w:r w:rsidRPr="00D13405">
        <w:rPr>
          <w:rFonts w:ascii="Arial" w:hAnsi="Arial" w:cs="Arial"/>
          <w:lang w:val="en-ZA"/>
        </w:rPr>
        <w:t>2007 (2) NR 640</w:t>
      </w:r>
      <w:r>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90021"/>
      <w:docPartObj>
        <w:docPartGallery w:val="Page Numbers (Top of Page)"/>
        <w:docPartUnique/>
      </w:docPartObj>
    </w:sdtPr>
    <w:sdtEndPr>
      <w:rPr>
        <w:noProof/>
      </w:rPr>
    </w:sdtEndPr>
    <w:sdtContent>
      <w:p w14:paraId="21E88E81" w14:textId="77777777" w:rsidR="000E4FE2" w:rsidRDefault="000E4FE2">
        <w:pPr>
          <w:pStyle w:val="Header"/>
          <w:jc w:val="right"/>
        </w:pPr>
        <w:r>
          <w:fldChar w:fldCharType="begin"/>
        </w:r>
        <w:r>
          <w:instrText xml:space="preserve"> PAGE   \* MERGEFORMAT </w:instrText>
        </w:r>
        <w:r>
          <w:fldChar w:fldCharType="separate"/>
        </w:r>
        <w:r w:rsidR="00281607">
          <w:rPr>
            <w:noProof/>
          </w:rPr>
          <w:t>2</w:t>
        </w:r>
        <w:r>
          <w:rPr>
            <w:noProof/>
          </w:rPr>
          <w:fldChar w:fldCharType="end"/>
        </w:r>
      </w:p>
    </w:sdtContent>
  </w:sdt>
  <w:p w14:paraId="71AFB9D6" w14:textId="77777777" w:rsidR="000E4FE2" w:rsidRDefault="000E4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4950"/>
    <w:multiLevelType w:val="hybridMultilevel"/>
    <w:tmpl w:val="8996A3E0"/>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15:restartNumberingAfterBreak="0">
    <w:nsid w:val="1C15006E"/>
    <w:multiLevelType w:val="hybridMultilevel"/>
    <w:tmpl w:val="5CAA767A"/>
    <w:lvl w:ilvl="0" w:tplc="71F6757A">
      <w:start w:val="1"/>
      <w:numFmt w:val="decimal"/>
      <w:lvlText w:val="3.%1."/>
      <w:lvlJc w:val="left"/>
      <w:pPr>
        <w:ind w:left="1242" w:hanging="360"/>
      </w:pPr>
      <w:rPr>
        <w:rFonts w:hint="default"/>
      </w:r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 w15:restartNumberingAfterBreak="0">
    <w:nsid w:val="2BA939EB"/>
    <w:multiLevelType w:val="hybridMultilevel"/>
    <w:tmpl w:val="1BA00894"/>
    <w:lvl w:ilvl="0" w:tplc="8CE8352E">
      <w:start w:val="1"/>
      <w:numFmt w:val="decimal"/>
      <w:lvlText w:val="[%1]"/>
      <w:lvlJc w:val="left"/>
      <w:pPr>
        <w:ind w:left="540" w:hanging="360"/>
      </w:pPr>
      <w:rPr>
        <w:rFonts w:hint="default"/>
        <w:sz w:val="24"/>
        <w:szCs w:val="24"/>
      </w:rPr>
    </w:lvl>
    <w:lvl w:ilvl="1" w:tplc="04090017">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2CD6A68"/>
    <w:multiLevelType w:val="hybridMultilevel"/>
    <w:tmpl w:val="55DC4186"/>
    <w:lvl w:ilvl="0" w:tplc="1B6C614C">
      <w:start w:val="1"/>
      <w:numFmt w:val="decimal"/>
      <w:lvlText w:val="[%1]"/>
      <w:lvlJc w:val="left"/>
      <w:pPr>
        <w:ind w:left="540" w:hanging="360"/>
      </w:pPr>
      <w:rPr>
        <w:rFonts w:hint="default"/>
      </w:rPr>
    </w:lvl>
    <w:lvl w:ilvl="1" w:tplc="04090017">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3333B34"/>
    <w:multiLevelType w:val="hybridMultilevel"/>
    <w:tmpl w:val="08F6FEA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EB3723E"/>
    <w:multiLevelType w:val="hybridMultilevel"/>
    <w:tmpl w:val="2012A240"/>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65D6D9E"/>
    <w:multiLevelType w:val="hybridMultilevel"/>
    <w:tmpl w:val="8996A3E0"/>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667E4CA3"/>
    <w:multiLevelType w:val="hybridMultilevel"/>
    <w:tmpl w:val="BEC2AF2C"/>
    <w:lvl w:ilvl="0" w:tplc="1C09000F">
      <w:start w:val="1"/>
      <w:numFmt w:val="decimal"/>
      <w:lvlText w:val="%1."/>
      <w:lvlJc w:val="lef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0" w15:restartNumberingAfterBreak="0">
    <w:nsid w:val="68CF169A"/>
    <w:multiLevelType w:val="hybridMultilevel"/>
    <w:tmpl w:val="6A28D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536062"/>
    <w:multiLevelType w:val="hybridMultilevel"/>
    <w:tmpl w:val="9E6AE1B8"/>
    <w:lvl w:ilvl="0" w:tplc="2DD0082C">
      <w:start w:val="1"/>
      <w:numFmt w:val="decimal"/>
      <w:lvlText w:val="[%1]"/>
      <w:lvlJc w:val="center"/>
      <w:pPr>
        <w:ind w:left="1242" w:hanging="360"/>
      </w:pPr>
      <w:rPr>
        <w:rFonts w:hint="default"/>
      </w:r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12" w15:restartNumberingAfterBreak="0">
    <w:nsid w:val="6D3D1340"/>
    <w:multiLevelType w:val="hybridMultilevel"/>
    <w:tmpl w:val="29842E68"/>
    <w:lvl w:ilvl="0" w:tplc="8CE8352E">
      <w:start w:val="1"/>
      <w:numFmt w:val="decimal"/>
      <w:lvlText w:val="[%1]"/>
      <w:lvlJc w:val="left"/>
      <w:pPr>
        <w:ind w:left="540" w:hanging="360"/>
      </w:pPr>
      <w:rPr>
        <w:rFonts w:hint="default"/>
        <w:sz w:val="24"/>
        <w:szCs w:val="24"/>
      </w:rPr>
    </w:lvl>
    <w:lvl w:ilvl="1" w:tplc="1C09000F">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890142">
    <w:abstractNumId w:val="13"/>
  </w:num>
  <w:num w:numId="2" w16cid:durableId="1495605495">
    <w:abstractNumId w:val="7"/>
  </w:num>
  <w:num w:numId="3" w16cid:durableId="1065497030">
    <w:abstractNumId w:val="5"/>
  </w:num>
  <w:num w:numId="4" w16cid:durableId="1203664956">
    <w:abstractNumId w:val="10"/>
  </w:num>
  <w:num w:numId="5" w16cid:durableId="36127178">
    <w:abstractNumId w:val="12"/>
  </w:num>
  <w:num w:numId="6" w16cid:durableId="676884905">
    <w:abstractNumId w:val="4"/>
  </w:num>
  <w:num w:numId="7" w16cid:durableId="2105302863">
    <w:abstractNumId w:val="0"/>
  </w:num>
  <w:num w:numId="8" w16cid:durableId="697701767">
    <w:abstractNumId w:val="8"/>
  </w:num>
  <w:num w:numId="9" w16cid:durableId="1909144151">
    <w:abstractNumId w:val="1"/>
  </w:num>
  <w:num w:numId="10" w16cid:durableId="843014247">
    <w:abstractNumId w:val="3"/>
  </w:num>
  <w:num w:numId="11" w16cid:durableId="503202735">
    <w:abstractNumId w:val="11"/>
  </w:num>
  <w:num w:numId="12" w16cid:durableId="429280883">
    <w:abstractNumId w:val="6"/>
  </w:num>
  <w:num w:numId="13" w16cid:durableId="511726324">
    <w:abstractNumId w:val="2"/>
  </w:num>
  <w:num w:numId="14" w16cid:durableId="925189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087"/>
    <w:rsid w:val="00024BF0"/>
    <w:rsid w:val="00030508"/>
    <w:rsid w:val="0003066F"/>
    <w:rsid w:val="0003449C"/>
    <w:rsid w:val="00055FA7"/>
    <w:rsid w:val="000765A7"/>
    <w:rsid w:val="00086C96"/>
    <w:rsid w:val="00087BB8"/>
    <w:rsid w:val="000A7F8B"/>
    <w:rsid w:val="000C76D0"/>
    <w:rsid w:val="000E3430"/>
    <w:rsid w:val="000E4FE2"/>
    <w:rsid w:val="000F1C25"/>
    <w:rsid w:val="000F25A4"/>
    <w:rsid w:val="000F7FD8"/>
    <w:rsid w:val="00101128"/>
    <w:rsid w:val="001112B2"/>
    <w:rsid w:val="0017195C"/>
    <w:rsid w:val="00180CB3"/>
    <w:rsid w:val="001B0E05"/>
    <w:rsid w:val="001B1096"/>
    <w:rsid w:val="001B3C35"/>
    <w:rsid w:val="001C10EF"/>
    <w:rsid w:val="001C5581"/>
    <w:rsid w:val="001E5E45"/>
    <w:rsid w:val="001F1D69"/>
    <w:rsid w:val="00200E56"/>
    <w:rsid w:val="0022125A"/>
    <w:rsid w:val="0022304B"/>
    <w:rsid w:val="00224C10"/>
    <w:rsid w:val="002313D0"/>
    <w:rsid w:val="002325F3"/>
    <w:rsid w:val="002347F9"/>
    <w:rsid w:val="00250D8F"/>
    <w:rsid w:val="00271053"/>
    <w:rsid w:val="00281607"/>
    <w:rsid w:val="002A6E69"/>
    <w:rsid w:val="002A7238"/>
    <w:rsid w:val="002B742D"/>
    <w:rsid w:val="002C24D6"/>
    <w:rsid w:val="002C2D53"/>
    <w:rsid w:val="002D65D4"/>
    <w:rsid w:val="00315F90"/>
    <w:rsid w:val="00317D21"/>
    <w:rsid w:val="003247F2"/>
    <w:rsid w:val="00331EEF"/>
    <w:rsid w:val="0034467F"/>
    <w:rsid w:val="00374DF5"/>
    <w:rsid w:val="0037663D"/>
    <w:rsid w:val="00387B5A"/>
    <w:rsid w:val="003A3670"/>
    <w:rsid w:val="003B03FD"/>
    <w:rsid w:val="003B7A2B"/>
    <w:rsid w:val="003C2D51"/>
    <w:rsid w:val="003C37A8"/>
    <w:rsid w:val="003C65BC"/>
    <w:rsid w:val="003E0AAF"/>
    <w:rsid w:val="003E24F4"/>
    <w:rsid w:val="003F396C"/>
    <w:rsid w:val="0041180B"/>
    <w:rsid w:val="0046452B"/>
    <w:rsid w:val="00466B8E"/>
    <w:rsid w:val="004A3A13"/>
    <w:rsid w:val="004D62C7"/>
    <w:rsid w:val="004F4F8F"/>
    <w:rsid w:val="00510E9A"/>
    <w:rsid w:val="0051677A"/>
    <w:rsid w:val="005176B9"/>
    <w:rsid w:val="00525BC7"/>
    <w:rsid w:val="00527948"/>
    <w:rsid w:val="00534546"/>
    <w:rsid w:val="00536F39"/>
    <w:rsid w:val="0054405E"/>
    <w:rsid w:val="00547C6E"/>
    <w:rsid w:val="00550C0D"/>
    <w:rsid w:val="00555BE0"/>
    <w:rsid w:val="005651AA"/>
    <w:rsid w:val="005828A9"/>
    <w:rsid w:val="00583DED"/>
    <w:rsid w:val="00591CDF"/>
    <w:rsid w:val="00593B78"/>
    <w:rsid w:val="00595E15"/>
    <w:rsid w:val="00596C30"/>
    <w:rsid w:val="005A1D06"/>
    <w:rsid w:val="005B680B"/>
    <w:rsid w:val="005C0802"/>
    <w:rsid w:val="005C4B7F"/>
    <w:rsid w:val="005E4C36"/>
    <w:rsid w:val="005E6E15"/>
    <w:rsid w:val="00601D1B"/>
    <w:rsid w:val="00602432"/>
    <w:rsid w:val="00603CA5"/>
    <w:rsid w:val="00603CDE"/>
    <w:rsid w:val="0060481E"/>
    <w:rsid w:val="00606A27"/>
    <w:rsid w:val="0061445D"/>
    <w:rsid w:val="0061479E"/>
    <w:rsid w:val="00614A0D"/>
    <w:rsid w:val="006229D5"/>
    <w:rsid w:val="006335CE"/>
    <w:rsid w:val="00654F99"/>
    <w:rsid w:val="00665F4B"/>
    <w:rsid w:val="006704BA"/>
    <w:rsid w:val="00674202"/>
    <w:rsid w:val="0068758A"/>
    <w:rsid w:val="00693ED4"/>
    <w:rsid w:val="006A1FCA"/>
    <w:rsid w:val="006A55E5"/>
    <w:rsid w:val="006A5EAA"/>
    <w:rsid w:val="006B3851"/>
    <w:rsid w:val="006E2816"/>
    <w:rsid w:val="006E6682"/>
    <w:rsid w:val="00711ADC"/>
    <w:rsid w:val="007172D1"/>
    <w:rsid w:val="00722B70"/>
    <w:rsid w:val="0075443C"/>
    <w:rsid w:val="00761E7D"/>
    <w:rsid w:val="00762FB4"/>
    <w:rsid w:val="00796CF5"/>
    <w:rsid w:val="00797845"/>
    <w:rsid w:val="007A1DB9"/>
    <w:rsid w:val="007B3A3B"/>
    <w:rsid w:val="007C6223"/>
    <w:rsid w:val="007D744F"/>
    <w:rsid w:val="007D782D"/>
    <w:rsid w:val="00804396"/>
    <w:rsid w:val="00806F85"/>
    <w:rsid w:val="008362B0"/>
    <w:rsid w:val="00844786"/>
    <w:rsid w:val="008451CA"/>
    <w:rsid w:val="00845DE3"/>
    <w:rsid w:val="0085547F"/>
    <w:rsid w:val="008555CD"/>
    <w:rsid w:val="00857F2D"/>
    <w:rsid w:val="008764C7"/>
    <w:rsid w:val="00897051"/>
    <w:rsid w:val="00897117"/>
    <w:rsid w:val="008B158B"/>
    <w:rsid w:val="008C6C5C"/>
    <w:rsid w:val="008E7114"/>
    <w:rsid w:val="008F7354"/>
    <w:rsid w:val="00900C22"/>
    <w:rsid w:val="00903A7D"/>
    <w:rsid w:val="009044F6"/>
    <w:rsid w:val="0091088A"/>
    <w:rsid w:val="00921061"/>
    <w:rsid w:val="00944128"/>
    <w:rsid w:val="00947BC4"/>
    <w:rsid w:val="00951E1F"/>
    <w:rsid w:val="0095500A"/>
    <w:rsid w:val="00973A26"/>
    <w:rsid w:val="00974AA9"/>
    <w:rsid w:val="0099113E"/>
    <w:rsid w:val="009B31CC"/>
    <w:rsid w:val="009E5F9B"/>
    <w:rsid w:val="00A10963"/>
    <w:rsid w:val="00A24E70"/>
    <w:rsid w:val="00A3383D"/>
    <w:rsid w:val="00A53561"/>
    <w:rsid w:val="00A65EBD"/>
    <w:rsid w:val="00A730C8"/>
    <w:rsid w:val="00A96CBB"/>
    <w:rsid w:val="00A97B86"/>
    <w:rsid w:val="00AA04D0"/>
    <w:rsid w:val="00AA42D0"/>
    <w:rsid w:val="00AA580A"/>
    <w:rsid w:val="00AA63E7"/>
    <w:rsid w:val="00AD0BF0"/>
    <w:rsid w:val="00AD34B0"/>
    <w:rsid w:val="00AE464A"/>
    <w:rsid w:val="00AE7087"/>
    <w:rsid w:val="00B048A1"/>
    <w:rsid w:val="00B06BA1"/>
    <w:rsid w:val="00B13EE6"/>
    <w:rsid w:val="00B35CBF"/>
    <w:rsid w:val="00B4135C"/>
    <w:rsid w:val="00B556B8"/>
    <w:rsid w:val="00B57DB7"/>
    <w:rsid w:val="00B62418"/>
    <w:rsid w:val="00B67064"/>
    <w:rsid w:val="00B71880"/>
    <w:rsid w:val="00B76926"/>
    <w:rsid w:val="00B802EE"/>
    <w:rsid w:val="00B80581"/>
    <w:rsid w:val="00B81DF2"/>
    <w:rsid w:val="00BA15D8"/>
    <w:rsid w:val="00BB6618"/>
    <w:rsid w:val="00BD4142"/>
    <w:rsid w:val="00BD7D7A"/>
    <w:rsid w:val="00C05FAF"/>
    <w:rsid w:val="00C12AFB"/>
    <w:rsid w:val="00C262EE"/>
    <w:rsid w:val="00C26A9C"/>
    <w:rsid w:val="00C34C67"/>
    <w:rsid w:val="00C35CB2"/>
    <w:rsid w:val="00C35FED"/>
    <w:rsid w:val="00C45266"/>
    <w:rsid w:val="00C57C2F"/>
    <w:rsid w:val="00C57D10"/>
    <w:rsid w:val="00C8612B"/>
    <w:rsid w:val="00C96EF9"/>
    <w:rsid w:val="00CA0B17"/>
    <w:rsid w:val="00CA59CB"/>
    <w:rsid w:val="00CB6DD0"/>
    <w:rsid w:val="00CC52B1"/>
    <w:rsid w:val="00CD707E"/>
    <w:rsid w:val="00CE0D6F"/>
    <w:rsid w:val="00CE5CB0"/>
    <w:rsid w:val="00CF18CD"/>
    <w:rsid w:val="00D041D2"/>
    <w:rsid w:val="00D10659"/>
    <w:rsid w:val="00D11E47"/>
    <w:rsid w:val="00D17B87"/>
    <w:rsid w:val="00D23707"/>
    <w:rsid w:val="00D33E2C"/>
    <w:rsid w:val="00D4144A"/>
    <w:rsid w:val="00D77CD0"/>
    <w:rsid w:val="00D8238D"/>
    <w:rsid w:val="00D9529B"/>
    <w:rsid w:val="00DA5ED1"/>
    <w:rsid w:val="00DB507B"/>
    <w:rsid w:val="00DC21FF"/>
    <w:rsid w:val="00DD3BE2"/>
    <w:rsid w:val="00DE0EA0"/>
    <w:rsid w:val="00DE4122"/>
    <w:rsid w:val="00DE5941"/>
    <w:rsid w:val="00DE6E04"/>
    <w:rsid w:val="00DF66DC"/>
    <w:rsid w:val="00E215D8"/>
    <w:rsid w:val="00E320E3"/>
    <w:rsid w:val="00E43408"/>
    <w:rsid w:val="00E445A0"/>
    <w:rsid w:val="00E44795"/>
    <w:rsid w:val="00E73C8F"/>
    <w:rsid w:val="00E819B8"/>
    <w:rsid w:val="00E84EB2"/>
    <w:rsid w:val="00E850D7"/>
    <w:rsid w:val="00E94530"/>
    <w:rsid w:val="00EA71AC"/>
    <w:rsid w:val="00EC2061"/>
    <w:rsid w:val="00EC3309"/>
    <w:rsid w:val="00ED20A7"/>
    <w:rsid w:val="00EE204A"/>
    <w:rsid w:val="00EF181B"/>
    <w:rsid w:val="00F2391F"/>
    <w:rsid w:val="00F3286D"/>
    <w:rsid w:val="00F33209"/>
    <w:rsid w:val="00F3672D"/>
    <w:rsid w:val="00F514CB"/>
    <w:rsid w:val="00F5274F"/>
    <w:rsid w:val="00F9045B"/>
    <w:rsid w:val="00F969B7"/>
    <w:rsid w:val="00FA155C"/>
    <w:rsid w:val="00FA1EAA"/>
    <w:rsid w:val="00FC2C39"/>
    <w:rsid w:val="00FD13CD"/>
    <w:rsid w:val="00FD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CF01"/>
  <w15:chartTrackingRefBased/>
  <w15:docId w15:val="{E47F40CB-2EA4-4618-B027-4F33E640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iPriority w:val="99"/>
    <w:semiHidden/>
    <w:unhideWhenUsed/>
    <w:rsid w:val="00897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051"/>
    <w:rPr>
      <w:sz w:val="20"/>
      <w:szCs w:val="20"/>
    </w:rPr>
  </w:style>
  <w:style w:type="character" w:styleId="FootnoteReference">
    <w:name w:val="footnote reference"/>
    <w:basedOn w:val="DefaultParagraphFont"/>
    <w:uiPriority w:val="99"/>
    <w:semiHidden/>
    <w:unhideWhenUsed/>
    <w:rsid w:val="00897051"/>
    <w:rPr>
      <w:vertAlign w:val="superscript"/>
    </w:rPr>
  </w:style>
  <w:style w:type="paragraph" w:styleId="Header">
    <w:name w:val="header"/>
    <w:basedOn w:val="Normal"/>
    <w:link w:val="HeaderChar"/>
    <w:uiPriority w:val="99"/>
    <w:unhideWhenUsed/>
    <w:rsid w:val="000E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E2"/>
  </w:style>
  <w:style w:type="paragraph" w:styleId="Footer">
    <w:name w:val="footer"/>
    <w:basedOn w:val="Normal"/>
    <w:link w:val="FooterChar"/>
    <w:uiPriority w:val="99"/>
    <w:unhideWhenUsed/>
    <w:rsid w:val="000E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E2"/>
  </w:style>
  <w:style w:type="paragraph" w:styleId="BalloonText">
    <w:name w:val="Balloon Text"/>
    <w:basedOn w:val="Normal"/>
    <w:link w:val="BalloonTextChar"/>
    <w:uiPriority w:val="99"/>
    <w:semiHidden/>
    <w:unhideWhenUsed/>
    <w:rsid w:val="00B41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2023-03-08T18:30:00+00:00</Judgment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B9FB6-A4D4-4C98-B0CC-9F6CCF03B848}">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0C5A0083-7BC9-4BDC-8B90-6574A84FC380}">
  <ds:schemaRefs>
    <ds:schemaRef ds:uri="http://schemas.openxmlformats.org/officeDocument/2006/bibliography"/>
  </ds:schemaRefs>
</ds:datastoreItem>
</file>

<file path=customXml/itemProps3.xml><?xml version="1.0" encoding="utf-8"?>
<ds:datastoreItem xmlns:ds="http://schemas.openxmlformats.org/officeDocument/2006/customXml" ds:itemID="{BA2033D7-2919-4EF1-9394-15E4BE8BE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2A765-D5F2-46AA-8AC3-4FE02AAFF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Lazarus v S (CC 06-2020) [2023] NAHCMD 99 (9 March 2023)</dc:title>
  <dc:subject/>
  <dc:creator>Christie Liebenberg</dc:creator>
  <cp:keywords/>
  <dc:description/>
  <cp:lastModifiedBy>Mariana Anguelov</cp:lastModifiedBy>
  <cp:revision>14</cp:revision>
  <cp:lastPrinted>2023-03-09T07:08:00Z</cp:lastPrinted>
  <dcterms:created xsi:type="dcterms:W3CDTF">2023-02-20T07:35:00Z</dcterms:created>
  <dcterms:modified xsi:type="dcterms:W3CDTF">2023-03-16T19:11:00Z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