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685"/>
        <w:gridCol w:w="2977"/>
      </w:tblGrid>
      <w:tr w:rsidR="00AF7D5F" w:rsidRPr="00FE7F68" w14:paraId="229DB763" w14:textId="77777777" w:rsidTr="000F0DE4">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0F0DE4">
        <w:tc>
          <w:tcPr>
            <w:tcW w:w="8789" w:type="dxa"/>
            <w:gridSpan w:val="4"/>
          </w:tcPr>
          <w:p w14:paraId="279F5FEF" w14:textId="724BCA1B" w:rsidR="00AF7D5F" w:rsidRDefault="000F0DE4" w:rsidP="00AF7D5F">
            <w:pPr>
              <w:spacing w:line="360" w:lineRule="auto"/>
              <w:jc w:val="center"/>
              <w:rPr>
                <w:rFonts w:ascii="Arial" w:hAnsi="Arial" w:cs="Arial"/>
                <w:b/>
                <w:bCs/>
                <w:lang w:val="en-US"/>
              </w:rPr>
            </w:pPr>
            <w:r>
              <w:rPr>
                <w:rFonts w:ascii="Arial" w:hAnsi="Arial" w:cs="Arial"/>
                <w:b/>
                <w:bCs/>
                <w:lang w:val="en-US"/>
              </w:rPr>
              <w:t>EX TEMPORE RULING</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0F0DE4">
        <w:tc>
          <w:tcPr>
            <w:tcW w:w="8789" w:type="dxa"/>
            <w:gridSpan w:val="4"/>
          </w:tcPr>
          <w:p w14:paraId="11B37741" w14:textId="45119EAF" w:rsidR="00AF7D5F" w:rsidRDefault="00AF7D5F" w:rsidP="00AF7D5F">
            <w:pPr>
              <w:spacing w:line="360" w:lineRule="auto"/>
              <w:jc w:val="right"/>
              <w:rPr>
                <w:rFonts w:ascii="Arial" w:hAnsi="Arial" w:cs="Arial"/>
                <w:lang w:val="en-US"/>
              </w:rPr>
            </w:pPr>
            <w:r>
              <w:rPr>
                <w:rFonts w:ascii="Arial" w:hAnsi="Arial" w:cs="Arial"/>
                <w:lang w:val="en-US"/>
              </w:rPr>
              <w:t>Case number: HC-MD-</w:t>
            </w:r>
            <w:r w:rsidRPr="000F0DE4">
              <w:rPr>
                <w:rFonts w:ascii="Arial" w:hAnsi="Arial" w:cs="Arial"/>
                <w:lang w:val="en-US"/>
              </w:rPr>
              <w:t>CIV-</w:t>
            </w:r>
            <w:r w:rsidR="000F0DE4" w:rsidRPr="000F0DE4">
              <w:rPr>
                <w:rFonts w:ascii="Arial" w:hAnsi="Arial" w:cs="Arial"/>
                <w:lang w:val="en-US"/>
              </w:rPr>
              <w:t>MOT</w:t>
            </w:r>
            <w:r w:rsidRPr="000F0DE4">
              <w:rPr>
                <w:rFonts w:ascii="Arial" w:hAnsi="Arial" w:cs="Arial"/>
                <w:lang w:val="en-US"/>
              </w:rPr>
              <w:t>-</w:t>
            </w:r>
            <w:r w:rsidR="000F0DE4" w:rsidRPr="000F0DE4">
              <w:rPr>
                <w:rFonts w:ascii="Arial" w:hAnsi="Arial" w:cs="Arial"/>
                <w:lang w:val="en-US"/>
              </w:rPr>
              <w:t>GEN</w:t>
            </w:r>
            <w:r w:rsidRPr="000F0DE4">
              <w:rPr>
                <w:rFonts w:ascii="Arial" w:hAnsi="Arial" w:cs="Arial"/>
                <w:lang w:val="en-US"/>
              </w:rPr>
              <w:t>-202</w:t>
            </w:r>
            <w:r w:rsidR="000F0DE4" w:rsidRPr="000F0DE4">
              <w:rPr>
                <w:rFonts w:ascii="Arial" w:hAnsi="Arial" w:cs="Arial"/>
                <w:lang w:val="en-US"/>
              </w:rPr>
              <w:t>2</w:t>
            </w:r>
            <w:r w:rsidRPr="000F0DE4">
              <w:rPr>
                <w:rFonts w:ascii="Arial" w:hAnsi="Arial" w:cs="Arial"/>
                <w:lang w:val="en-US"/>
              </w:rPr>
              <w:t>/</w:t>
            </w:r>
            <w:r w:rsidR="000F0DE4" w:rsidRPr="000F0DE4">
              <w:rPr>
                <w:rFonts w:ascii="Arial" w:hAnsi="Arial" w:cs="Arial"/>
                <w:lang w:val="en-US"/>
              </w:rPr>
              <w:t>00211</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0F0DE4">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0F0DE4" w14:paraId="34CCEAD3" w14:textId="77777777" w:rsidTr="000F0DE4">
        <w:tc>
          <w:tcPr>
            <w:tcW w:w="5812" w:type="dxa"/>
            <w:gridSpan w:val="3"/>
          </w:tcPr>
          <w:p w14:paraId="2C35EDF8" w14:textId="77777777" w:rsidR="00FE7F68" w:rsidRDefault="000F0DE4" w:rsidP="00FE7F68">
            <w:pPr>
              <w:spacing w:line="360" w:lineRule="auto"/>
              <w:rPr>
                <w:rFonts w:ascii="Arial" w:hAnsi="Arial" w:cs="Arial"/>
                <w:b/>
                <w:bCs/>
                <w:lang w:val="en-US"/>
              </w:rPr>
            </w:pPr>
            <w:r w:rsidRPr="000F0DE4">
              <w:rPr>
                <w:rFonts w:ascii="Arial" w:hAnsi="Arial" w:cs="Arial"/>
                <w:b/>
                <w:bCs/>
                <w:lang w:val="en-US"/>
              </w:rPr>
              <w:t>NAMIBIA BUS AND TAXI ASSOCIATION (NABTA)</w:t>
            </w:r>
          </w:p>
          <w:p w14:paraId="5D832CEA" w14:textId="28428FA8" w:rsidR="000F0DE4" w:rsidRPr="000F0DE4" w:rsidRDefault="000F0DE4" w:rsidP="00FE7F68">
            <w:pPr>
              <w:spacing w:line="360" w:lineRule="auto"/>
              <w:rPr>
                <w:rFonts w:ascii="Arial" w:hAnsi="Arial" w:cs="Arial"/>
                <w:b/>
                <w:bCs/>
                <w:lang w:val="en-US"/>
              </w:rPr>
            </w:pPr>
          </w:p>
        </w:tc>
        <w:tc>
          <w:tcPr>
            <w:tcW w:w="2977" w:type="dxa"/>
          </w:tcPr>
          <w:p w14:paraId="0C5F0845" w14:textId="5A079327" w:rsidR="00FE7F68" w:rsidRPr="000F0DE4" w:rsidRDefault="000F0DE4" w:rsidP="00FE7F68">
            <w:pPr>
              <w:spacing w:line="360" w:lineRule="auto"/>
              <w:jc w:val="right"/>
              <w:rPr>
                <w:rFonts w:ascii="Arial" w:hAnsi="Arial" w:cs="Arial"/>
                <w:b/>
                <w:bCs/>
                <w:lang w:val="en-US"/>
              </w:rPr>
            </w:pPr>
            <w:r>
              <w:rPr>
                <w:rFonts w:ascii="Arial" w:hAnsi="Arial" w:cs="Arial"/>
                <w:b/>
                <w:bCs/>
                <w:lang w:val="en-US"/>
              </w:rPr>
              <w:t>APPLICANT</w:t>
            </w:r>
          </w:p>
        </w:tc>
      </w:tr>
      <w:tr w:rsidR="00FE7F68" w:rsidRPr="000F0DE4" w14:paraId="0E075A5C" w14:textId="77777777" w:rsidTr="000F0DE4">
        <w:tc>
          <w:tcPr>
            <w:tcW w:w="8789" w:type="dxa"/>
            <w:gridSpan w:val="4"/>
          </w:tcPr>
          <w:p w14:paraId="3F1B7128" w14:textId="77777777" w:rsidR="00FE7F68" w:rsidRDefault="00FE7F68" w:rsidP="00FE7F68">
            <w:pPr>
              <w:spacing w:line="360" w:lineRule="auto"/>
              <w:jc w:val="both"/>
              <w:rPr>
                <w:rFonts w:ascii="Arial" w:hAnsi="Arial" w:cs="Arial"/>
                <w:lang w:val="en-US"/>
              </w:rPr>
            </w:pPr>
            <w:r w:rsidRPr="000F0DE4">
              <w:rPr>
                <w:rFonts w:ascii="Arial" w:hAnsi="Arial" w:cs="Arial"/>
                <w:lang w:val="en-US"/>
              </w:rPr>
              <w:t>and</w:t>
            </w:r>
          </w:p>
          <w:p w14:paraId="7105FEA8" w14:textId="5A938592" w:rsidR="000F0DE4" w:rsidRPr="000F0DE4" w:rsidRDefault="000F0DE4" w:rsidP="00FE7F68">
            <w:pPr>
              <w:spacing w:line="360" w:lineRule="auto"/>
              <w:jc w:val="both"/>
              <w:rPr>
                <w:rFonts w:ascii="Arial" w:hAnsi="Arial" w:cs="Arial"/>
                <w:lang w:val="en-US"/>
              </w:rPr>
            </w:pPr>
          </w:p>
        </w:tc>
      </w:tr>
      <w:tr w:rsidR="00FE7F68" w:rsidRPr="000F0DE4" w14:paraId="04F81E39" w14:textId="77777777" w:rsidTr="000F0DE4">
        <w:tc>
          <w:tcPr>
            <w:tcW w:w="5812" w:type="dxa"/>
            <w:gridSpan w:val="3"/>
          </w:tcPr>
          <w:p w14:paraId="00D8DE7D" w14:textId="708F33AD" w:rsidR="00FE7F68" w:rsidRPr="000F0DE4" w:rsidRDefault="000F0DE4" w:rsidP="00FE7F68">
            <w:pPr>
              <w:spacing w:line="360" w:lineRule="auto"/>
              <w:rPr>
                <w:rFonts w:ascii="Arial" w:hAnsi="Arial" w:cs="Arial"/>
                <w:b/>
                <w:bCs/>
                <w:lang w:val="en-US"/>
              </w:rPr>
            </w:pPr>
            <w:r w:rsidRPr="000F0DE4">
              <w:rPr>
                <w:rFonts w:ascii="Arial" w:hAnsi="Arial" w:cs="Arial"/>
                <w:b/>
                <w:bCs/>
                <w:lang w:val="en-US"/>
              </w:rPr>
              <w:t>LAZARUS MHATA</w:t>
            </w:r>
          </w:p>
        </w:tc>
        <w:tc>
          <w:tcPr>
            <w:tcW w:w="2977" w:type="dxa"/>
          </w:tcPr>
          <w:p w14:paraId="1ADBFFFC" w14:textId="67931A8C" w:rsidR="00FE7F68" w:rsidRPr="000F0DE4" w:rsidRDefault="00FE7F68" w:rsidP="00FE7F68">
            <w:pPr>
              <w:spacing w:line="360" w:lineRule="auto"/>
              <w:jc w:val="right"/>
              <w:rPr>
                <w:rFonts w:ascii="Arial" w:hAnsi="Arial" w:cs="Arial"/>
                <w:b/>
                <w:bCs/>
                <w:lang w:val="en-US"/>
              </w:rPr>
            </w:pPr>
            <w:r w:rsidRPr="000F0DE4">
              <w:rPr>
                <w:rFonts w:ascii="Arial" w:hAnsi="Arial" w:cs="Arial"/>
                <w:b/>
                <w:bCs/>
                <w:lang w:val="en-US"/>
              </w:rPr>
              <w:t xml:space="preserve">FIRST </w:t>
            </w:r>
            <w:r w:rsidR="000F0DE4">
              <w:rPr>
                <w:rFonts w:ascii="Arial" w:hAnsi="Arial" w:cs="Arial"/>
                <w:b/>
                <w:bCs/>
                <w:lang w:val="en-US"/>
              </w:rPr>
              <w:t>RESPONDENT</w:t>
            </w:r>
          </w:p>
        </w:tc>
      </w:tr>
      <w:tr w:rsidR="00FE7F68" w:rsidRPr="00FE7F68" w14:paraId="601BC258" w14:textId="77777777" w:rsidTr="000F0DE4">
        <w:tc>
          <w:tcPr>
            <w:tcW w:w="5812" w:type="dxa"/>
            <w:gridSpan w:val="3"/>
          </w:tcPr>
          <w:p w14:paraId="4B22417B" w14:textId="40C031DC" w:rsidR="00AF7D5F" w:rsidRPr="000F0DE4" w:rsidRDefault="000F0DE4" w:rsidP="00FE7F68">
            <w:pPr>
              <w:spacing w:line="360" w:lineRule="auto"/>
              <w:rPr>
                <w:rFonts w:ascii="Arial" w:hAnsi="Arial" w:cs="Arial"/>
                <w:b/>
                <w:bCs/>
                <w:lang w:val="en-US"/>
              </w:rPr>
            </w:pPr>
            <w:r w:rsidRPr="000F0DE4">
              <w:rPr>
                <w:rFonts w:ascii="Arial" w:hAnsi="Arial" w:cs="Arial"/>
                <w:b/>
                <w:bCs/>
                <w:lang w:val="en-US"/>
              </w:rPr>
              <w:t>MARTIN ELIFAS KENNEDY</w:t>
            </w:r>
          </w:p>
        </w:tc>
        <w:tc>
          <w:tcPr>
            <w:tcW w:w="2977" w:type="dxa"/>
          </w:tcPr>
          <w:p w14:paraId="7C36DF26" w14:textId="2CE0B7EC" w:rsidR="00FE7F68" w:rsidRPr="00FE7F68" w:rsidRDefault="00FE7F68" w:rsidP="00FE7F68">
            <w:pPr>
              <w:spacing w:line="360" w:lineRule="auto"/>
              <w:jc w:val="right"/>
              <w:rPr>
                <w:rFonts w:ascii="Arial" w:hAnsi="Arial" w:cs="Arial"/>
                <w:b/>
                <w:bCs/>
                <w:lang w:val="en-US"/>
              </w:rPr>
            </w:pPr>
            <w:r w:rsidRPr="000F0DE4">
              <w:rPr>
                <w:rFonts w:ascii="Arial" w:hAnsi="Arial" w:cs="Arial"/>
                <w:b/>
                <w:bCs/>
                <w:lang w:val="en-US"/>
              </w:rPr>
              <w:t xml:space="preserve">SECOND </w:t>
            </w:r>
            <w:r w:rsidR="000F0DE4">
              <w:rPr>
                <w:rFonts w:ascii="Arial" w:hAnsi="Arial" w:cs="Arial"/>
                <w:b/>
                <w:bCs/>
                <w:lang w:val="en-US"/>
              </w:rPr>
              <w:t>RESPONDENT</w:t>
            </w:r>
          </w:p>
        </w:tc>
      </w:tr>
      <w:tr w:rsidR="000F0DE4" w:rsidRPr="00FE7F68" w14:paraId="0EE912A4" w14:textId="77777777" w:rsidTr="000F0DE4">
        <w:tc>
          <w:tcPr>
            <w:tcW w:w="5812" w:type="dxa"/>
            <w:gridSpan w:val="3"/>
          </w:tcPr>
          <w:p w14:paraId="3D33E664" w14:textId="314E9591" w:rsidR="000F0DE4" w:rsidRPr="000F0DE4" w:rsidRDefault="000F0DE4" w:rsidP="00FE7F68">
            <w:pPr>
              <w:spacing w:line="360" w:lineRule="auto"/>
              <w:rPr>
                <w:rFonts w:ascii="Arial" w:hAnsi="Arial" w:cs="Arial"/>
                <w:b/>
                <w:bCs/>
                <w:lang w:val="en-US"/>
              </w:rPr>
            </w:pPr>
            <w:r w:rsidRPr="000F0DE4">
              <w:rPr>
                <w:rFonts w:ascii="Arial" w:hAnsi="Arial" w:cs="Arial"/>
                <w:b/>
                <w:bCs/>
                <w:lang w:val="en-US"/>
              </w:rPr>
              <w:t>VESPA MUUNDA</w:t>
            </w:r>
          </w:p>
        </w:tc>
        <w:tc>
          <w:tcPr>
            <w:tcW w:w="2977" w:type="dxa"/>
          </w:tcPr>
          <w:p w14:paraId="24CA08DD" w14:textId="77777777" w:rsidR="000F0DE4" w:rsidRDefault="000F0DE4" w:rsidP="00FE7F68">
            <w:pPr>
              <w:spacing w:line="360" w:lineRule="auto"/>
              <w:jc w:val="right"/>
              <w:rPr>
                <w:rFonts w:ascii="Arial" w:hAnsi="Arial" w:cs="Arial"/>
                <w:b/>
                <w:bCs/>
                <w:lang w:val="en-US"/>
              </w:rPr>
            </w:pPr>
            <w:r>
              <w:rPr>
                <w:rFonts w:ascii="Arial" w:hAnsi="Arial" w:cs="Arial"/>
                <w:b/>
                <w:bCs/>
                <w:lang w:val="en-US"/>
              </w:rPr>
              <w:t>THIRD RESPONDENT</w:t>
            </w:r>
          </w:p>
          <w:p w14:paraId="0B1A66DE" w14:textId="3F866FEF" w:rsidR="000F0DE4" w:rsidRPr="000F0DE4" w:rsidRDefault="000F0DE4" w:rsidP="00FE7F68">
            <w:pPr>
              <w:spacing w:line="360" w:lineRule="auto"/>
              <w:jc w:val="right"/>
              <w:rPr>
                <w:rFonts w:ascii="Arial" w:hAnsi="Arial" w:cs="Arial"/>
                <w:b/>
                <w:bCs/>
                <w:lang w:val="en-US"/>
              </w:rPr>
            </w:pPr>
          </w:p>
        </w:tc>
      </w:tr>
      <w:tr w:rsidR="00AF7D5F" w:rsidRPr="00FE7F68" w14:paraId="41CF2B70" w14:textId="77777777" w:rsidTr="000F0DE4">
        <w:tc>
          <w:tcPr>
            <w:tcW w:w="2127" w:type="dxa"/>
            <w:gridSpan w:val="2"/>
          </w:tcPr>
          <w:p w14:paraId="487AC033" w14:textId="3EB28DE0" w:rsidR="00AF7D5F" w:rsidRPr="000F0DE4" w:rsidRDefault="00AF7D5F" w:rsidP="00AF7D5F">
            <w:pPr>
              <w:spacing w:line="360" w:lineRule="auto"/>
              <w:jc w:val="both"/>
              <w:rPr>
                <w:rFonts w:ascii="Arial" w:hAnsi="Arial" w:cs="Arial"/>
                <w:b/>
                <w:bCs/>
                <w:lang w:val="en-US"/>
              </w:rPr>
            </w:pPr>
            <w:r w:rsidRPr="000F0DE4">
              <w:rPr>
                <w:rFonts w:ascii="Arial" w:hAnsi="Arial" w:cs="Arial"/>
                <w:b/>
                <w:bCs/>
                <w:lang w:val="en-US"/>
              </w:rPr>
              <w:t>Neutral citation:</w:t>
            </w:r>
          </w:p>
        </w:tc>
        <w:tc>
          <w:tcPr>
            <w:tcW w:w="6662" w:type="dxa"/>
            <w:gridSpan w:val="2"/>
          </w:tcPr>
          <w:p w14:paraId="251DFA2E" w14:textId="5CA7D06E" w:rsidR="00AF7D5F" w:rsidRPr="000F0DE4" w:rsidRDefault="000F0DE4" w:rsidP="00AF7D5F">
            <w:pPr>
              <w:spacing w:line="360" w:lineRule="auto"/>
              <w:jc w:val="both"/>
              <w:rPr>
                <w:rFonts w:ascii="Arial" w:hAnsi="Arial" w:cs="Arial"/>
                <w:lang w:val="en-US"/>
              </w:rPr>
            </w:pPr>
            <w:r w:rsidRPr="000F0DE4">
              <w:rPr>
                <w:rFonts w:ascii="Arial" w:hAnsi="Arial" w:cs="Arial"/>
                <w:i/>
                <w:iCs/>
                <w:lang w:val="en-US"/>
              </w:rPr>
              <w:t>Namibia Bus and Taxi Association (NABTA) v Mhata</w:t>
            </w:r>
            <w:r w:rsidR="00AF7D5F" w:rsidRPr="000F0DE4">
              <w:rPr>
                <w:rFonts w:ascii="Arial" w:hAnsi="Arial" w:cs="Arial"/>
                <w:lang w:val="en-US"/>
              </w:rPr>
              <w:t xml:space="preserve"> (</w:t>
            </w:r>
            <w:r>
              <w:rPr>
                <w:rFonts w:ascii="Arial" w:hAnsi="Arial" w:cs="Arial"/>
                <w:lang w:val="en-US"/>
              </w:rPr>
              <w:t>HC-MD-</w:t>
            </w:r>
            <w:r w:rsidRPr="000F0DE4">
              <w:rPr>
                <w:rFonts w:ascii="Arial" w:hAnsi="Arial" w:cs="Arial"/>
                <w:lang w:val="en-US"/>
              </w:rPr>
              <w:t>CIV-MOT-GEN-2022/00211</w:t>
            </w:r>
            <w:r w:rsidR="00AF7D5F" w:rsidRPr="000F0DE4">
              <w:rPr>
                <w:rFonts w:ascii="Arial" w:hAnsi="Arial" w:cs="Arial"/>
                <w:lang w:val="en-US"/>
              </w:rPr>
              <w:t>) [2024]</w:t>
            </w:r>
            <w:r w:rsidR="00DC6327" w:rsidRPr="000F0DE4">
              <w:rPr>
                <w:rFonts w:ascii="Arial" w:hAnsi="Arial" w:cs="Arial"/>
                <w:lang w:val="en-US"/>
              </w:rPr>
              <w:t xml:space="preserve"> NAHCMD</w:t>
            </w:r>
            <w:r w:rsidR="00AF7D5F" w:rsidRPr="000F0DE4">
              <w:rPr>
                <w:rFonts w:ascii="Arial" w:hAnsi="Arial" w:cs="Arial"/>
                <w:lang w:val="en-US"/>
              </w:rPr>
              <w:t xml:space="preserve"> </w:t>
            </w:r>
            <w:r w:rsidR="00EA0629">
              <w:rPr>
                <w:rFonts w:ascii="Arial" w:hAnsi="Arial" w:cs="Arial"/>
                <w:lang w:val="en-US"/>
              </w:rPr>
              <w:t xml:space="preserve">101 </w:t>
            </w:r>
            <w:r w:rsidR="00BD28DB">
              <w:rPr>
                <w:rFonts w:ascii="Arial" w:hAnsi="Arial" w:cs="Arial"/>
                <w:lang w:val="en-US"/>
              </w:rPr>
              <w:t xml:space="preserve">(11 March </w:t>
            </w:r>
            <w:bookmarkStart w:id="0" w:name="_GoBack"/>
            <w:bookmarkEnd w:id="0"/>
            <w:r w:rsidR="00AF7D5F" w:rsidRPr="000F0DE4">
              <w:rPr>
                <w:rFonts w:ascii="Arial" w:hAnsi="Arial" w:cs="Arial"/>
                <w:lang w:val="en-US"/>
              </w:rPr>
              <w:t>2024)</w:t>
            </w:r>
          </w:p>
          <w:p w14:paraId="282C2D36" w14:textId="5C4EF553" w:rsidR="00AF7D5F" w:rsidRPr="000F0DE4" w:rsidRDefault="00AF7D5F" w:rsidP="00AF7D5F">
            <w:pPr>
              <w:spacing w:line="360" w:lineRule="auto"/>
              <w:jc w:val="both"/>
              <w:rPr>
                <w:rFonts w:ascii="Arial" w:hAnsi="Arial" w:cs="Arial"/>
                <w:lang w:val="en-US"/>
              </w:rPr>
            </w:pPr>
          </w:p>
        </w:tc>
      </w:tr>
      <w:tr w:rsidR="00AF7D5F" w:rsidRPr="00155B26" w14:paraId="27AE6A1D" w14:textId="77777777" w:rsidTr="000F0DE4">
        <w:tc>
          <w:tcPr>
            <w:tcW w:w="1418" w:type="dxa"/>
          </w:tcPr>
          <w:p w14:paraId="6BF613A4" w14:textId="39079173" w:rsidR="00AF7D5F" w:rsidRPr="000F0DE4" w:rsidRDefault="00AF7D5F" w:rsidP="00AF7D5F">
            <w:pPr>
              <w:spacing w:line="360" w:lineRule="auto"/>
              <w:jc w:val="both"/>
              <w:rPr>
                <w:rFonts w:ascii="Arial" w:hAnsi="Arial" w:cs="Arial"/>
                <w:b/>
                <w:bCs/>
                <w:lang w:val="en-US"/>
              </w:rPr>
            </w:pPr>
            <w:r w:rsidRPr="000F0DE4">
              <w:rPr>
                <w:rFonts w:ascii="Arial" w:hAnsi="Arial" w:cs="Arial"/>
                <w:b/>
                <w:bCs/>
                <w:lang w:val="en-US"/>
              </w:rPr>
              <w:t>Coram:</w:t>
            </w:r>
          </w:p>
        </w:tc>
        <w:tc>
          <w:tcPr>
            <w:tcW w:w="7371" w:type="dxa"/>
            <w:gridSpan w:val="3"/>
          </w:tcPr>
          <w:p w14:paraId="5A5C72D6" w14:textId="21306A88" w:rsidR="00AF7D5F" w:rsidRPr="000F0DE4" w:rsidRDefault="00155B26" w:rsidP="00AF7D5F">
            <w:pPr>
              <w:spacing w:line="360" w:lineRule="auto"/>
              <w:jc w:val="both"/>
              <w:rPr>
                <w:rFonts w:ascii="Arial" w:hAnsi="Arial" w:cs="Arial"/>
                <w:lang w:val="en-US"/>
              </w:rPr>
            </w:pPr>
            <w:r w:rsidRPr="000F0DE4">
              <w:rPr>
                <w:rFonts w:ascii="Arial" w:hAnsi="Arial" w:cs="Arial"/>
                <w:lang w:val="en-US"/>
              </w:rPr>
              <w:t>DE JAGER AJ</w:t>
            </w:r>
          </w:p>
        </w:tc>
      </w:tr>
      <w:tr w:rsidR="00AF7D5F" w:rsidRPr="00155B26" w14:paraId="6AA370E6" w14:textId="77777777" w:rsidTr="000F0DE4">
        <w:tc>
          <w:tcPr>
            <w:tcW w:w="1418" w:type="dxa"/>
          </w:tcPr>
          <w:p w14:paraId="0FD33D8F" w14:textId="392CB1F0" w:rsidR="00AF7D5F" w:rsidRPr="000F0DE4" w:rsidRDefault="00AF7D5F" w:rsidP="00AF7D5F">
            <w:pPr>
              <w:spacing w:line="360" w:lineRule="auto"/>
              <w:jc w:val="both"/>
              <w:rPr>
                <w:rFonts w:ascii="Arial" w:hAnsi="Arial" w:cs="Arial"/>
                <w:b/>
                <w:bCs/>
                <w:lang w:val="en-US"/>
              </w:rPr>
            </w:pPr>
            <w:r w:rsidRPr="000F0DE4">
              <w:rPr>
                <w:rFonts w:ascii="Arial" w:hAnsi="Arial" w:cs="Arial"/>
                <w:b/>
                <w:bCs/>
                <w:lang w:val="en-US"/>
              </w:rPr>
              <w:t>Heard:</w:t>
            </w:r>
          </w:p>
        </w:tc>
        <w:tc>
          <w:tcPr>
            <w:tcW w:w="7371" w:type="dxa"/>
            <w:gridSpan w:val="3"/>
          </w:tcPr>
          <w:p w14:paraId="35ED4601" w14:textId="1BBC5A76" w:rsidR="00AF7D5F" w:rsidRPr="000F0DE4" w:rsidRDefault="000F0DE4" w:rsidP="00AF7D5F">
            <w:pPr>
              <w:spacing w:line="360" w:lineRule="auto"/>
              <w:jc w:val="both"/>
              <w:rPr>
                <w:rFonts w:ascii="Arial" w:hAnsi="Arial" w:cs="Arial"/>
                <w:b/>
                <w:bCs/>
                <w:lang w:val="en-US"/>
              </w:rPr>
            </w:pPr>
            <w:r>
              <w:rPr>
                <w:rFonts w:ascii="Arial" w:hAnsi="Arial" w:cs="Arial"/>
                <w:b/>
                <w:bCs/>
                <w:lang w:val="en-US"/>
              </w:rPr>
              <w:t>24 January</w:t>
            </w:r>
            <w:r w:rsidR="00155B26" w:rsidRPr="000F0DE4">
              <w:rPr>
                <w:rFonts w:ascii="Arial" w:hAnsi="Arial" w:cs="Arial"/>
                <w:b/>
                <w:bCs/>
                <w:lang w:val="en-US"/>
              </w:rPr>
              <w:t xml:space="preserve"> 2024</w:t>
            </w:r>
          </w:p>
        </w:tc>
      </w:tr>
      <w:tr w:rsidR="00AF7D5F" w:rsidRPr="00AF7D5F" w14:paraId="655093C6" w14:textId="77777777" w:rsidTr="000F0DE4">
        <w:tc>
          <w:tcPr>
            <w:tcW w:w="1418" w:type="dxa"/>
          </w:tcPr>
          <w:p w14:paraId="550E49EA" w14:textId="221779FF" w:rsidR="00AF7D5F" w:rsidRPr="000F0DE4" w:rsidRDefault="00AF7D5F" w:rsidP="00AF7D5F">
            <w:pPr>
              <w:spacing w:line="360" w:lineRule="auto"/>
              <w:jc w:val="both"/>
              <w:rPr>
                <w:rFonts w:ascii="Arial" w:hAnsi="Arial" w:cs="Arial"/>
                <w:b/>
                <w:bCs/>
                <w:lang w:val="en-US"/>
              </w:rPr>
            </w:pPr>
            <w:r w:rsidRPr="000F0DE4">
              <w:rPr>
                <w:rFonts w:ascii="Arial" w:hAnsi="Arial" w:cs="Arial"/>
                <w:b/>
                <w:bCs/>
                <w:lang w:val="en-US"/>
              </w:rPr>
              <w:t>Delivered:</w:t>
            </w:r>
          </w:p>
        </w:tc>
        <w:tc>
          <w:tcPr>
            <w:tcW w:w="7371" w:type="dxa"/>
            <w:gridSpan w:val="3"/>
          </w:tcPr>
          <w:p w14:paraId="20367C70" w14:textId="575936E0" w:rsidR="00155B26" w:rsidRPr="000F0DE4" w:rsidRDefault="000F0DE4" w:rsidP="00AF7D5F">
            <w:pPr>
              <w:spacing w:line="360" w:lineRule="auto"/>
              <w:jc w:val="both"/>
              <w:rPr>
                <w:rFonts w:ascii="Arial" w:hAnsi="Arial" w:cs="Arial"/>
                <w:b/>
                <w:bCs/>
                <w:lang w:val="en-US"/>
              </w:rPr>
            </w:pPr>
            <w:r>
              <w:rPr>
                <w:rFonts w:ascii="Arial" w:hAnsi="Arial" w:cs="Arial"/>
                <w:b/>
                <w:bCs/>
                <w:lang w:val="en-US"/>
              </w:rPr>
              <w:t>24 January</w:t>
            </w:r>
            <w:r w:rsidR="00155B26" w:rsidRPr="000F0DE4">
              <w:rPr>
                <w:rFonts w:ascii="Arial" w:hAnsi="Arial" w:cs="Arial"/>
                <w:b/>
                <w:bCs/>
                <w:lang w:val="en-US"/>
              </w:rPr>
              <w:t xml:space="preserve"> 2024</w:t>
            </w:r>
          </w:p>
        </w:tc>
      </w:tr>
      <w:tr w:rsidR="000F0DE4" w:rsidRPr="00AF7D5F" w14:paraId="52733C21" w14:textId="77777777" w:rsidTr="000F0DE4">
        <w:tc>
          <w:tcPr>
            <w:tcW w:w="1418" w:type="dxa"/>
          </w:tcPr>
          <w:p w14:paraId="4E2A6F9A" w14:textId="0710F682" w:rsidR="000F0DE4" w:rsidRPr="000F0DE4" w:rsidRDefault="000F0DE4" w:rsidP="00AF7D5F">
            <w:pPr>
              <w:spacing w:line="360" w:lineRule="auto"/>
              <w:jc w:val="both"/>
              <w:rPr>
                <w:rFonts w:ascii="Arial" w:hAnsi="Arial" w:cs="Arial"/>
                <w:b/>
                <w:bCs/>
                <w:lang w:val="en-US"/>
              </w:rPr>
            </w:pPr>
            <w:r>
              <w:rPr>
                <w:rFonts w:ascii="Arial" w:hAnsi="Arial" w:cs="Arial"/>
                <w:b/>
                <w:bCs/>
                <w:lang w:val="en-US"/>
              </w:rPr>
              <w:t>Released:</w:t>
            </w:r>
          </w:p>
        </w:tc>
        <w:tc>
          <w:tcPr>
            <w:tcW w:w="7371" w:type="dxa"/>
            <w:gridSpan w:val="3"/>
          </w:tcPr>
          <w:p w14:paraId="4D084CB3" w14:textId="6C7FFCBA" w:rsidR="000F0DE4" w:rsidRPr="00AD4188" w:rsidRDefault="000F0DE4" w:rsidP="00AF7D5F">
            <w:pPr>
              <w:spacing w:line="360" w:lineRule="auto"/>
              <w:jc w:val="both"/>
              <w:rPr>
                <w:rFonts w:ascii="Arial" w:hAnsi="Arial" w:cs="Arial"/>
                <w:b/>
                <w:bCs/>
                <w:lang w:val="en-US"/>
              </w:rPr>
            </w:pPr>
            <w:r w:rsidRPr="00AD4188">
              <w:rPr>
                <w:rFonts w:ascii="Arial" w:hAnsi="Arial" w:cs="Arial"/>
                <w:b/>
                <w:bCs/>
                <w:lang w:val="en-US"/>
              </w:rPr>
              <w:t>11 March 2024</w:t>
            </w:r>
          </w:p>
        </w:tc>
      </w:tr>
      <w:tr w:rsidR="000F0DE4" w:rsidRPr="00AF7D5F" w14:paraId="2FCC1B7F" w14:textId="77777777" w:rsidTr="000F0DE4">
        <w:tc>
          <w:tcPr>
            <w:tcW w:w="1418" w:type="dxa"/>
          </w:tcPr>
          <w:p w14:paraId="644DE320" w14:textId="77777777" w:rsidR="000F0DE4" w:rsidRPr="00155B26" w:rsidRDefault="000F0DE4" w:rsidP="00AF7D5F">
            <w:pPr>
              <w:spacing w:line="360" w:lineRule="auto"/>
              <w:jc w:val="both"/>
              <w:rPr>
                <w:rFonts w:ascii="Arial" w:hAnsi="Arial" w:cs="Arial"/>
                <w:b/>
                <w:bCs/>
                <w:lang w:val="en-US"/>
              </w:rPr>
            </w:pPr>
          </w:p>
        </w:tc>
        <w:tc>
          <w:tcPr>
            <w:tcW w:w="7371" w:type="dxa"/>
            <w:gridSpan w:val="3"/>
          </w:tcPr>
          <w:p w14:paraId="1B0F2A07" w14:textId="77777777" w:rsidR="000F0DE4" w:rsidRPr="00155B26" w:rsidRDefault="000F0DE4" w:rsidP="00AF7D5F">
            <w:pPr>
              <w:spacing w:line="360" w:lineRule="auto"/>
              <w:jc w:val="both"/>
              <w:rPr>
                <w:rFonts w:ascii="Arial" w:hAnsi="Arial" w:cs="Arial"/>
                <w:b/>
                <w:bCs/>
                <w:highlight w:val="yellow"/>
                <w:lang w:val="en-US"/>
              </w:rPr>
            </w:pPr>
          </w:p>
        </w:tc>
      </w:tr>
    </w:tbl>
    <w:p w14:paraId="39351AF9" w14:textId="64B1E5E8" w:rsidR="002F110E" w:rsidRPr="002F110E" w:rsidRDefault="00155B26" w:rsidP="002F110E">
      <w:pPr>
        <w:pStyle w:val="ListParagraph"/>
        <w:spacing w:line="360" w:lineRule="auto"/>
        <w:ind w:left="0"/>
        <w:jc w:val="both"/>
        <w:rPr>
          <w:rFonts w:ascii="Arial" w:hAnsi="Arial" w:cs="Arial"/>
          <w:lang w:val="en-US"/>
        </w:rPr>
      </w:pPr>
      <w:r w:rsidRPr="002F110E">
        <w:rPr>
          <w:rFonts w:ascii="Arial" w:hAnsi="Arial" w:cs="Arial"/>
          <w:b/>
          <w:bCs/>
          <w:lang w:val="en-US"/>
        </w:rPr>
        <w:t>Flynote:</w:t>
      </w:r>
      <w:r w:rsidRPr="002F110E">
        <w:rPr>
          <w:rFonts w:ascii="Arial" w:hAnsi="Arial" w:cs="Arial"/>
          <w:b/>
          <w:bCs/>
          <w:lang w:val="en-US"/>
        </w:rPr>
        <w:tab/>
      </w:r>
      <w:r w:rsidR="00B8399C" w:rsidRPr="002F110E">
        <w:rPr>
          <w:rFonts w:ascii="Arial" w:hAnsi="Arial" w:cs="Arial"/>
          <w:lang w:val="en-US"/>
        </w:rPr>
        <w:t xml:space="preserve">Condonation – Failure to file answering affidavit in counter application – Requirements for condonation restated – </w:t>
      </w:r>
      <w:r w:rsidR="00DF4868" w:rsidRPr="002F110E">
        <w:rPr>
          <w:rFonts w:ascii="Arial" w:hAnsi="Arial" w:cs="Arial"/>
          <w:lang w:val="en-US"/>
        </w:rPr>
        <w:t>E</w:t>
      </w:r>
      <w:r w:rsidR="00B8399C" w:rsidRPr="002F110E">
        <w:rPr>
          <w:rFonts w:ascii="Arial" w:hAnsi="Arial" w:cs="Arial"/>
          <w:lang w:val="en-US"/>
        </w:rPr>
        <w:t xml:space="preserve">xplanation not supported </w:t>
      </w:r>
      <w:r w:rsidR="00B8399C" w:rsidRPr="002F110E">
        <w:rPr>
          <w:rFonts w:ascii="Arial" w:hAnsi="Arial" w:cs="Arial"/>
          <w:lang w:val="en-US"/>
        </w:rPr>
        <w:lastRenderedPageBreak/>
        <w:t>by</w:t>
      </w:r>
      <w:r w:rsidR="00DF4868" w:rsidRPr="002F110E">
        <w:rPr>
          <w:rFonts w:ascii="Arial" w:hAnsi="Arial" w:cs="Arial"/>
          <w:lang w:val="en-US"/>
        </w:rPr>
        <w:t xml:space="preserve"> </w:t>
      </w:r>
      <w:r w:rsidR="00B8399C" w:rsidRPr="002F110E">
        <w:rPr>
          <w:rFonts w:ascii="Arial" w:hAnsi="Arial" w:cs="Arial"/>
          <w:lang w:val="en-US"/>
        </w:rPr>
        <w:t xml:space="preserve">record – </w:t>
      </w:r>
      <w:r w:rsidR="00DF4868" w:rsidRPr="002F110E">
        <w:rPr>
          <w:rFonts w:ascii="Arial" w:hAnsi="Arial" w:cs="Arial"/>
          <w:lang w:val="en-US"/>
        </w:rPr>
        <w:t xml:space="preserve">Explanation </w:t>
      </w:r>
      <w:r w:rsidR="009145E8" w:rsidRPr="002F110E">
        <w:rPr>
          <w:rFonts w:ascii="Arial" w:hAnsi="Arial" w:cs="Arial"/>
          <w:lang w:val="en-US"/>
        </w:rPr>
        <w:t xml:space="preserve">not frank – </w:t>
      </w:r>
      <w:r w:rsidR="00DF4868" w:rsidRPr="002F110E">
        <w:rPr>
          <w:rFonts w:ascii="Arial" w:hAnsi="Arial" w:cs="Arial"/>
          <w:lang w:val="en-US"/>
        </w:rPr>
        <w:t>U</w:t>
      </w:r>
      <w:r w:rsidR="009145E8" w:rsidRPr="002F110E">
        <w:rPr>
          <w:rFonts w:ascii="Arial" w:hAnsi="Arial" w:cs="Arial"/>
          <w:lang w:val="en-US"/>
        </w:rPr>
        <w:t>nreasonable and insufficient</w:t>
      </w:r>
      <w:r w:rsidR="00DF4868" w:rsidRPr="002F110E">
        <w:rPr>
          <w:rFonts w:ascii="Arial" w:hAnsi="Arial" w:cs="Arial"/>
          <w:lang w:val="en-US"/>
        </w:rPr>
        <w:t xml:space="preserve"> explanation</w:t>
      </w:r>
      <w:r w:rsidR="009145E8" w:rsidRPr="002F110E">
        <w:rPr>
          <w:rFonts w:ascii="Arial" w:hAnsi="Arial" w:cs="Arial"/>
          <w:lang w:val="en-US"/>
        </w:rPr>
        <w:t xml:space="preserve"> – </w:t>
      </w:r>
      <w:r w:rsidR="002F110E" w:rsidRPr="002F110E">
        <w:rPr>
          <w:rFonts w:ascii="Arial" w:hAnsi="Arial" w:cs="Arial"/>
          <w:lang w:val="en-US"/>
        </w:rPr>
        <w:t>No explanation for the s</w:t>
      </w:r>
      <w:r w:rsidR="009145E8" w:rsidRPr="002F110E">
        <w:rPr>
          <w:rFonts w:ascii="Arial" w:hAnsi="Arial" w:cs="Arial"/>
          <w:lang w:val="en-US"/>
        </w:rPr>
        <w:t xml:space="preserve">ubstantial delay of five months </w:t>
      </w:r>
      <w:r w:rsidR="002F110E" w:rsidRPr="002F110E">
        <w:rPr>
          <w:rFonts w:ascii="Arial" w:hAnsi="Arial" w:cs="Arial"/>
          <w:lang w:val="en-US"/>
        </w:rPr>
        <w:t>before</w:t>
      </w:r>
      <w:r w:rsidR="009145E8" w:rsidRPr="002F110E">
        <w:rPr>
          <w:rFonts w:ascii="Arial" w:hAnsi="Arial" w:cs="Arial"/>
          <w:lang w:val="en-US"/>
        </w:rPr>
        <w:t xml:space="preserve"> seek</w:t>
      </w:r>
      <w:r w:rsidR="002F110E" w:rsidRPr="002F110E">
        <w:rPr>
          <w:rFonts w:ascii="Arial" w:hAnsi="Arial" w:cs="Arial"/>
          <w:lang w:val="en-US"/>
        </w:rPr>
        <w:t>ing</w:t>
      </w:r>
      <w:r w:rsidR="009145E8" w:rsidRPr="002F110E">
        <w:rPr>
          <w:rFonts w:ascii="Arial" w:hAnsi="Arial" w:cs="Arial"/>
          <w:lang w:val="en-US"/>
        </w:rPr>
        <w:t xml:space="preserve"> condonation – The applicant failed to seek condonation until so directed by the court –</w:t>
      </w:r>
      <w:r w:rsidR="002F110E" w:rsidRPr="002F110E">
        <w:rPr>
          <w:rFonts w:ascii="Arial" w:hAnsi="Arial" w:cs="Arial"/>
          <w:lang w:val="en-US"/>
        </w:rPr>
        <w:t xml:space="preserve"> </w:t>
      </w:r>
      <w:r w:rsidR="00DF4868" w:rsidRPr="002F110E">
        <w:rPr>
          <w:rFonts w:ascii="Arial" w:hAnsi="Arial" w:cs="Arial"/>
          <w:lang w:val="en-US"/>
        </w:rPr>
        <w:t>P</w:t>
      </w:r>
      <w:r w:rsidR="00B8399C" w:rsidRPr="002F110E">
        <w:rPr>
          <w:rFonts w:ascii="Arial" w:hAnsi="Arial" w:cs="Arial"/>
          <w:lang w:val="en-US"/>
        </w:rPr>
        <w:t xml:space="preserve">rospects of success </w:t>
      </w:r>
      <w:r w:rsidR="00C421F5" w:rsidRPr="002F110E">
        <w:rPr>
          <w:rFonts w:ascii="Arial" w:hAnsi="Arial" w:cs="Arial"/>
          <w:lang w:val="en-US"/>
        </w:rPr>
        <w:t>in</w:t>
      </w:r>
      <w:r w:rsidR="00B8399C" w:rsidRPr="002F110E">
        <w:rPr>
          <w:rFonts w:ascii="Arial" w:hAnsi="Arial" w:cs="Arial"/>
          <w:lang w:val="en-US"/>
        </w:rPr>
        <w:t xml:space="preserve"> the counter application</w:t>
      </w:r>
      <w:r w:rsidR="00DF4868" w:rsidRPr="002F110E">
        <w:rPr>
          <w:rFonts w:ascii="Arial" w:hAnsi="Arial" w:cs="Arial"/>
          <w:lang w:val="en-US"/>
        </w:rPr>
        <w:t xml:space="preserve"> not dealt with</w:t>
      </w:r>
      <w:r w:rsidR="00B8399C" w:rsidRPr="002F110E">
        <w:rPr>
          <w:rFonts w:ascii="Arial" w:hAnsi="Arial" w:cs="Arial"/>
          <w:lang w:val="en-US"/>
        </w:rPr>
        <w:t xml:space="preserve"> – </w:t>
      </w:r>
      <w:r w:rsidR="00DF4868" w:rsidRPr="002F110E">
        <w:rPr>
          <w:rFonts w:ascii="Arial" w:hAnsi="Arial" w:cs="Arial"/>
          <w:lang w:val="en-US"/>
        </w:rPr>
        <w:t>No</w:t>
      </w:r>
      <w:r w:rsidR="009145E8" w:rsidRPr="002F110E">
        <w:rPr>
          <w:rFonts w:ascii="Arial" w:hAnsi="Arial" w:cs="Arial"/>
          <w:lang w:val="en-US"/>
        </w:rPr>
        <w:t xml:space="preserve"> facts </w:t>
      </w:r>
      <w:r w:rsidR="00DF4868" w:rsidRPr="002F110E">
        <w:rPr>
          <w:rFonts w:ascii="Arial" w:hAnsi="Arial" w:cs="Arial"/>
          <w:lang w:val="en-US"/>
        </w:rPr>
        <w:t xml:space="preserve">in support of </w:t>
      </w:r>
      <w:r w:rsidR="009145E8" w:rsidRPr="002F110E">
        <w:rPr>
          <w:rFonts w:ascii="Arial" w:hAnsi="Arial" w:cs="Arial"/>
          <w:lang w:val="en-US"/>
        </w:rPr>
        <w:t>condonation</w:t>
      </w:r>
      <w:r w:rsidR="00DF4868" w:rsidRPr="002F110E">
        <w:rPr>
          <w:rFonts w:ascii="Arial" w:hAnsi="Arial" w:cs="Arial"/>
          <w:lang w:val="en-US"/>
        </w:rPr>
        <w:t xml:space="preserve"> sought</w:t>
      </w:r>
      <w:r w:rsidR="009145E8" w:rsidRPr="002F110E">
        <w:rPr>
          <w:rFonts w:ascii="Arial" w:hAnsi="Arial" w:cs="Arial"/>
          <w:lang w:val="en-US"/>
        </w:rPr>
        <w:t xml:space="preserve"> in the interest of justice – </w:t>
      </w:r>
      <w:r w:rsidR="00DF4868" w:rsidRPr="002F110E">
        <w:rPr>
          <w:rFonts w:ascii="Arial" w:hAnsi="Arial" w:cs="Arial"/>
          <w:lang w:val="en-US"/>
        </w:rPr>
        <w:t>No</w:t>
      </w:r>
      <w:r w:rsidR="00B8399C" w:rsidRPr="002F110E">
        <w:rPr>
          <w:rFonts w:ascii="Arial" w:hAnsi="Arial" w:cs="Arial"/>
          <w:lang w:val="en-US"/>
        </w:rPr>
        <w:t xml:space="preserve"> case </w:t>
      </w:r>
      <w:r w:rsidR="00DF4868" w:rsidRPr="002F110E">
        <w:rPr>
          <w:rFonts w:ascii="Arial" w:hAnsi="Arial" w:cs="Arial"/>
          <w:lang w:val="en-US"/>
        </w:rPr>
        <w:t xml:space="preserve">made </w:t>
      </w:r>
      <w:r w:rsidR="00B8399C" w:rsidRPr="002F110E">
        <w:rPr>
          <w:rFonts w:ascii="Arial" w:hAnsi="Arial" w:cs="Arial"/>
          <w:lang w:val="en-US"/>
        </w:rPr>
        <w:t xml:space="preserve">for condonation </w:t>
      </w:r>
      <w:r w:rsidR="00C421F5" w:rsidRPr="002F110E">
        <w:rPr>
          <w:rFonts w:ascii="Arial" w:hAnsi="Arial" w:cs="Arial"/>
          <w:lang w:val="en-US"/>
        </w:rPr>
        <w:t xml:space="preserve">– No case made </w:t>
      </w:r>
      <w:r w:rsidR="00DF4868" w:rsidRPr="002F110E">
        <w:rPr>
          <w:rFonts w:ascii="Arial" w:hAnsi="Arial" w:cs="Arial"/>
          <w:lang w:val="en-US"/>
        </w:rPr>
        <w:t>for exemption from</w:t>
      </w:r>
      <w:r w:rsidR="00C421F5" w:rsidRPr="002F110E">
        <w:rPr>
          <w:rFonts w:ascii="Arial" w:hAnsi="Arial" w:cs="Arial"/>
          <w:lang w:val="en-US"/>
        </w:rPr>
        <w:t xml:space="preserve"> r 32(11).</w:t>
      </w:r>
      <w:r w:rsidR="00B8399C" w:rsidRPr="002F110E">
        <w:rPr>
          <w:rFonts w:ascii="Arial" w:hAnsi="Arial" w:cs="Arial"/>
          <w:lang w:val="en-US"/>
        </w:rPr>
        <w:t xml:space="preserve">  </w:t>
      </w:r>
      <w:r w:rsidRPr="002F110E">
        <w:rPr>
          <w:rFonts w:ascii="Arial" w:hAnsi="Arial" w:cs="Arial"/>
          <w:lang w:val="en-US"/>
        </w:rPr>
        <w:t xml:space="preserve"> </w:t>
      </w:r>
    </w:p>
    <w:p w14:paraId="45589E9E" w14:textId="77777777" w:rsidR="002F110E" w:rsidRPr="002F110E" w:rsidRDefault="002F110E" w:rsidP="002F110E">
      <w:pPr>
        <w:pStyle w:val="ListParagraph"/>
        <w:rPr>
          <w:rFonts w:ascii="Arial" w:eastAsia="Calibri" w:hAnsi="Arial" w:cs="Arial"/>
          <w:bCs/>
          <w:i/>
          <w:iCs/>
        </w:rPr>
      </w:pPr>
    </w:p>
    <w:p w14:paraId="49F102F3" w14:textId="2C9D1BFE" w:rsidR="002F110E" w:rsidRPr="002F110E" w:rsidRDefault="00155B26" w:rsidP="002F110E">
      <w:pPr>
        <w:pStyle w:val="ListParagraph"/>
        <w:spacing w:line="360" w:lineRule="auto"/>
        <w:ind w:left="0"/>
        <w:jc w:val="both"/>
        <w:rPr>
          <w:rFonts w:ascii="Arial" w:hAnsi="Arial" w:cs="Arial"/>
          <w:lang w:val="en-US"/>
        </w:rPr>
      </w:pPr>
      <w:r w:rsidRPr="002F110E">
        <w:rPr>
          <w:rFonts w:ascii="Arial" w:hAnsi="Arial" w:cs="Arial"/>
          <w:b/>
          <w:bCs/>
          <w:lang w:val="en-US"/>
        </w:rPr>
        <w:t>Summary:</w:t>
      </w:r>
      <w:r w:rsidRPr="002F110E">
        <w:rPr>
          <w:rFonts w:ascii="Arial" w:hAnsi="Arial" w:cs="Arial"/>
          <w:b/>
          <w:bCs/>
          <w:lang w:val="en-US"/>
        </w:rPr>
        <w:tab/>
      </w:r>
      <w:r w:rsidR="00DF4868" w:rsidRPr="002F110E">
        <w:rPr>
          <w:rFonts w:ascii="Arial" w:hAnsi="Arial" w:cs="Arial"/>
          <w:lang w:val="en-US"/>
        </w:rPr>
        <w:t xml:space="preserve">On 9 May 2023, the court, amongst others, ordered the applicant to file an answering affidavit in the counter application on 9 June 2023. </w:t>
      </w:r>
      <w:r w:rsidR="002F110E" w:rsidRPr="002F110E">
        <w:rPr>
          <w:rFonts w:ascii="Arial" w:hAnsi="Arial" w:cs="Arial"/>
          <w:lang w:val="en-US"/>
        </w:rPr>
        <w:t xml:space="preserve">The applicant failed to file an answering affidavit. </w:t>
      </w:r>
      <w:r w:rsidR="00DF4868" w:rsidRPr="002F110E">
        <w:rPr>
          <w:rFonts w:ascii="Arial" w:eastAsia="Calibri" w:hAnsi="Arial" w:cs="Arial"/>
          <w:bCs/>
        </w:rPr>
        <w:t>Instead, on 9 June 2023, the applicant filed a notice of intention to oppose the counter application</w:t>
      </w:r>
      <w:r w:rsidR="00103E13" w:rsidRPr="002F110E">
        <w:rPr>
          <w:rFonts w:ascii="Arial" w:eastAsia="Calibri" w:hAnsi="Arial" w:cs="Arial"/>
          <w:bCs/>
        </w:rPr>
        <w:t xml:space="preserve">, </w:t>
      </w:r>
      <w:r w:rsidR="00DF4868" w:rsidRPr="002F110E">
        <w:rPr>
          <w:rFonts w:ascii="Arial" w:eastAsia="Calibri" w:hAnsi="Arial" w:cs="Arial"/>
          <w:bCs/>
        </w:rPr>
        <w:t xml:space="preserve">and it </w:t>
      </w:r>
      <w:r w:rsidR="00103E13" w:rsidRPr="002F110E">
        <w:rPr>
          <w:rFonts w:ascii="Arial" w:eastAsia="Calibri" w:hAnsi="Arial" w:cs="Arial"/>
          <w:bCs/>
        </w:rPr>
        <w:t xml:space="preserve">was </w:t>
      </w:r>
      <w:r w:rsidR="00DF4868" w:rsidRPr="002F110E">
        <w:rPr>
          <w:rFonts w:ascii="Arial" w:eastAsia="Calibri" w:hAnsi="Arial" w:cs="Arial"/>
          <w:bCs/>
        </w:rPr>
        <w:t>stated</w:t>
      </w:r>
      <w:r w:rsidR="00103E13" w:rsidRPr="002F110E">
        <w:rPr>
          <w:rFonts w:ascii="Arial" w:eastAsia="Calibri" w:hAnsi="Arial" w:cs="Arial"/>
          <w:bCs/>
        </w:rPr>
        <w:t>, in the notice,</w:t>
      </w:r>
      <w:r w:rsidR="00DF4868" w:rsidRPr="002F110E">
        <w:rPr>
          <w:rFonts w:ascii="Arial" w:eastAsia="Calibri" w:hAnsi="Arial" w:cs="Arial"/>
          <w:bCs/>
        </w:rPr>
        <w:t xml:space="preserve"> that </w:t>
      </w:r>
      <w:r w:rsidR="00103E13" w:rsidRPr="002F110E">
        <w:rPr>
          <w:rFonts w:ascii="Arial" w:eastAsia="Calibri" w:hAnsi="Arial" w:cs="Arial"/>
          <w:bCs/>
        </w:rPr>
        <w:t xml:space="preserve">the applicant would </w:t>
      </w:r>
      <w:r w:rsidR="00DF4868" w:rsidRPr="002F110E">
        <w:rPr>
          <w:rFonts w:ascii="Arial" w:eastAsia="Calibri" w:hAnsi="Arial" w:cs="Arial"/>
          <w:bCs/>
        </w:rPr>
        <w:t xml:space="preserve">file </w:t>
      </w:r>
      <w:r w:rsidR="002F110E" w:rsidRPr="002F110E">
        <w:rPr>
          <w:rFonts w:ascii="Arial" w:eastAsia="Calibri" w:hAnsi="Arial" w:cs="Arial"/>
          <w:bCs/>
        </w:rPr>
        <w:t>an</w:t>
      </w:r>
      <w:r w:rsidR="00DF4868" w:rsidRPr="002F110E">
        <w:rPr>
          <w:rFonts w:ascii="Arial" w:eastAsia="Calibri" w:hAnsi="Arial" w:cs="Arial"/>
          <w:bCs/>
        </w:rPr>
        <w:t xml:space="preserve"> answering affidavit within a period of fourteen days from </w:t>
      </w:r>
      <w:r w:rsidR="00103E13" w:rsidRPr="002F110E">
        <w:rPr>
          <w:rFonts w:ascii="Arial" w:eastAsia="Calibri" w:hAnsi="Arial" w:cs="Arial"/>
          <w:bCs/>
        </w:rPr>
        <w:t xml:space="preserve">9 June 2023 </w:t>
      </w:r>
      <w:r w:rsidR="00DF4868" w:rsidRPr="002F110E">
        <w:rPr>
          <w:rFonts w:ascii="Arial" w:eastAsia="Calibri" w:hAnsi="Arial" w:cs="Arial"/>
          <w:bCs/>
        </w:rPr>
        <w:t>or as directed by the court and that it w</w:t>
      </w:r>
      <w:r w:rsidR="002F110E" w:rsidRPr="002F110E">
        <w:rPr>
          <w:rFonts w:ascii="Arial" w:eastAsia="Calibri" w:hAnsi="Arial" w:cs="Arial"/>
          <w:bCs/>
        </w:rPr>
        <w:t>ould</w:t>
      </w:r>
      <w:r w:rsidR="00DF4868" w:rsidRPr="002F110E">
        <w:rPr>
          <w:rFonts w:ascii="Arial" w:eastAsia="Calibri" w:hAnsi="Arial" w:cs="Arial"/>
          <w:bCs/>
        </w:rPr>
        <w:t xml:space="preserve"> apply for condonation for not complying with the previous court order. The fourteen-day period referred to in that notice of intention to oppose had come and gone, and nothing was filed.</w:t>
      </w:r>
      <w:r w:rsidR="00103E13" w:rsidRPr="002F110E">
        <w:rPr>
          <w:rFonts w:ascii="Arial" w:eastAsia="Calibri" w:hAnsi="Arial" w:cs="Arial"/>
          <w:bCs/>
        </w:rPr>
        <w:t xml:space="preserve"> The applicant’s legal practitioners withdrew on 5 July 2023. The notice of withdrawal was served on the applicant. Representatives of the applicant subsequently appeared in court. On 25 October 2023, </w:t>
      </w:r>
      <w:r w:rsidR="00DF0624">
        <w:rPr>
          <w:rFonts w:ascii="Arial" w:eastAsia="Calibri" w:hAnsi="Arial" w:cs="Arial"/>
          <w:bCs/>
        </w:rPr>
        <w:t xml:space="preserve">it was recorded that </w:t>
      </w:r>
      <w:r w:rsidR="00103E13" w:rsidRPr="002F110E">
        <w:rPr>
          <w:rFonts w:ascii="Arial" w:eastAsia="Calibri" w:hAnsi="Arial" w:cs="Arial"/>
          <w:bCs/>
        </w:rPr>
        <w:t xml:space="preserve">a new legal practitioner </w:t>
      </w:r>
      <w:r w:rsidR="00DF0624">
        <w:rPr>
          <w:rFonts w:ascii="Arial" w:eastAsia="Calibri" w:hAnsi="Arial" w:cs="Arial"/>
          <w:bCs/>
        </w:rPr>
        <w:t xml:space="preserve">would </w:t>
      </w:r>
      <w:r w:rsidR="00103E13" w:rsidRPr="002F110E">
        <w:rPr>
          <w:rFonts w:ascii="Arial" w:eastAsia="Calibri" w:hAnsi="Arial" w:cs="Arial"/>
          <w:bCs/>
        </w:rPr>
        <w:t>c</w:t>
      </w:r>
      <w:r w:rsidR="00DF0624">
        <w:rPr>
          <w:rFonts w:ascii="Arial" w:eastAsia="Calibri" w:hAnsi="Arial" w:cs="Arial"/>
          <w:bCs/>
        </w:rPr>
        <w:t>o</w:t>
      </w:r>
      <w:r w:rsidR="00103E13" w:rsidRPr="002F110E">
        <w:rPr>
          <w:rFonts w:ascii="Arial" w:eastAsia="Calibri" w:hAnsi="Arial" w:cs="Arial"/>
          <w:bCs/>
        </w:rPr>
        <w:t>me on record</w:t>
      </w:r>
      <w:r w:rsidR="002F110E" w:rsidRPr="002F110E">
        <w:rPr>
          <w:rFonts w:ascii="Arial" w:eastAsia="Calibri" w:hAnsi="Arial" w:cs="Arial"/>
          <w:bCs/>
        </w:rPr>
        <w:t xml:space="preserve"> for the applicant</w:t>
      </w:r>
      <w:r w:rsidR="00103E13" w:rsidRPr="002F110E">
        <w:rPr>
          <w:rFonts w:ascii="Arial" w:eastAsia="Calibri" w:hAnsi="Arial" w:cs="Arial"/>
          <w:bCs/>
        </w:rPr>
        <w:t xml:space="preserve">. The condonation affidavit was filed on 27 November 2023. The explanation for the non-compliance is that the applicant’s </w:t>
      </w:r>
      <w:r w:rsidR="002F110E" w:rsidRPr="002F110E">
        <w:rPr>
          <w:rFonts w:ascii="Arial" w:eastAsia="Calibri" w:hAnsi="Arial" w:cs="Arial"/>
          <w:bCs/>
        </w:rPr>
        <w:t>practitioners</w:t>
      </w:r>
      <w:r w:rsidR="00103E13" w:rsidRPr="002F110E">
        <w:rPr>
          <w:rFonts w:ascii="Arial" w:eastAsia="Calibri" w:hAnsi="Arial" w:cs="Arial"/>
          <w:bCs/>
        </w:rPr>
        <w:t xml:space="preserve"> withdrew a day before the date for filing the answering affidavit.    </w:t>
      </w:r>
    </w:p>
    <w:p w14:paraId="3E0AF952" w14:textId="77777777" w:rsidR="002F110E" w:rsidRPr="002F110E" w:rsidRDefault="002F110E" w:rsidP="002F110E">
      <w:pPr>
        <w:pStyle w:val="ListParagraph"/>
        <w:rPr>
          <w:rFonts w:ascii="Arial" w:eastAsia="Calibri" w:hAnsi="Arial" w:cs="Arial"/>
          <w:bCs/>
          <w:i/>
          <w:iCs/>
        </w:rPr>
      </w:pPr>
    </w:p>
    <w:p w14:paraId="46A156BD" w14:textId="460B9ED9" w:rsidR="002F110E" w:rsidRPr="002F110E" w:rsidRDefault="00155B26" w:rsidP="002F110E">
      <w:pPr>
        <w:pStyle w:val="ListParagraph"/>
        <w:spacing w:line="360" w:lineRule="auto"/>
        <w:ind w:left="0"/>
        <w:jc w:val="both"/>
        <w:rPr>
          <w:rFonts w:ascii="Arial" w:hAnsi="Arial" w:cs="Arial"/>
          <w:lang w:val="en-US"/>
        </w:rPr>
      </w:pPr>
      <w:r w:rsidRPr="002F110E">
        <w:rPr>
          <w:rFonts w:ascii="Arial" w:hAnsi="Arial" w:cs="Arial"/>
          <w:i/>
          <w:iCs/>
          <w:lang w:val="en-US"/>
        </w:rPr>
        <w:t>Held that</w:t>
      </w:r>
      <w:r w:rsidRPr="002F110E">
        <w:rPr>
          <w:rFonts w:ascii="Arial" w:hAnsi="Arial" w:cs="Arial"/>
          <w:lang w:val="en-US"/>
        </w:rPr>
        <w:t xml:space="preserve"> </w:t>
      </w:r>
      <w:r w:rsidR="00103E13" w:rsidRPr="002F110E">
        <w:rPr>
          <w:rFonts w:ascii="Arial" w:eastAsia="Calibri" w:hAnsi="Arial" w:cs="Arial"/>
          <w:bCs/>
        </w:rPr>
        <w:t xml:space="preserve">the explanation for the non-compliance is not supported by the documents filed of record, the applicant was not frank in its explanation, and the explanation was not reasonable </w:t>
      </w:r>
      <w:r w:rsidR="006D43E3" w:rsidRPr="002F110E">
        <w:rPr>
          <w:rFonts w:ascii="Arial" w:eastAsia="Calibri" w:hAnsi="Arial" w:cs="Arial"/>
          <w:bCs/>
        </w:rPr>
        <w:t xml:space="preserve">or sufficient. </w:t>
      </w:r>
    </w:p>
    <w:p w14:paraId="36896C00" w14:textId="77777777" w:rsidR="002F110E" w:rsidRPr="002F110E" w:rsidRDefault="002F110E" w:rsidP="002F110E">
      <w:pPr>
        <w:pStyle w:val="ListParagraph"/>
        <w:rPr>
          <w:rFonts w:ascii="Arial" w:eastAsia="Calibri" w:hAnsi="Arial" w:cs="Arial"/>
          <w:bCs/>
          <w:i/>
          <w:iCs/>
        </w:rPr>
      </w:pPr>
    </w:p>
    <w:p w14:paraId="4697906D" w14:textId="7662DD6B" w:rsidR="002F110E" w:rsidRPr="002F110E" w:rsidRDefault="006D43E3" w:rsidP="002F110E">
      <w:pPr>
        <w:pStyle w:val="ListParagraph"/>
        <w:spacing w:line="360" w:lineRule="auto"/>
        <w:ind w:left="0"/>
        <w:jc w:val="both"/>
        <w:rPr>
          <w:rFonts w:ascii="Arial" w:hAnsi="Arial" w:cs="Arial"/>
          <w:lang w:val="en-US"/>
        </w:rPr>
      </w:pPr>
      <w:r w:rsidRPr="002F110E">
        <w:rPr>
          <w:rFonts w:ascii="Arial" w:eastAsia="Calibri" w:hAnsi="Arial" w:cs="Arial"/>
          <w:bCs/>
          <w:i/>
          <w:iCs/>
        </w:rPr>
        <w:t>Held that</w:t>
      </w:r>
      <w:r w:rsidRPr="002F110E">
        <w:rPr>
          <w:rFonts w:ascii="Arial" w:eastAsia="Calibri" w:hAnsi="Arial" w:cs="Arial"/>
          <w:bCs/>
        </w:rPr>
        <w:t xml:space="preserve"> the five-month delay in launching the condonation application is not minimal, and the period </w:t>
      </w:r>
      <w:r w:rsidR="002F110E">
        <w:rPr>
          <w:rFonts w:ascii="Arial" w:eastAsia="Calibri" w:hAnsi="Arial" w:cs="Arial"/>
          <w:bCs/>
        </w:rPr>
        <w:t xml:space="preserve">of delay </w:t>
      </w:r>
      <w:r w:rsidRPr="002F110E">
        <w:rPr>
          <w:rFonts w:ascii="Arial" w:eastAsia="Calibri" w:hAnsi="Arial" w:cs="Arial"/>
          <w:bCs/>
        </w:rPr>
        <w:t xml:space="preserve">was not explained. </w:t>
      </w:r>
    </w:p>
    <w:p w14:paraId="3F8C75FF" w14:textId="77777777" w:rsidR="002F110E" w:rsidRPr="002F110E" w:rsidRDefault="002F110E" w:rsidP="002F110E">
      <w:pPr>
        <w:pStyle w:val="ListParagraph"/>
        <w:rPr>
          <w:rFonts w:ascii="Arial" w:eastAsia="Calibri" w:hAnsi="Arial" w:cs="Arial"/>
          <w:bCs/>
          <w:i/>
          <w:iCs/>
        </w:rPr>
      </w:pPr>
    </w:p>
    <w:p w14:paraId="3A624C73" w14:textId="77777777" w:rsidR="002F110E" w:rsidRPr="002F110E" w:rsidRDefault="006D43E3" w:rsidP="002F110E">
      <w:pPr>
        <w:pStyle w:val="ListParagraph"/>
        <w:spacing w:line="360" w:lineRule="auto"/>
        <w:ind w:left="0"/>
        <w:jc w:val="both"/>
        <w:rPr>
          <w:rFonts w:ascii="Arial" w:hAnsi="Arial" w:cs="Arial"/>
          <w:lang w:val="en-US"/>
        </w:rPr>
      </w:pPr>
      <w:r w:rsidRPr="002F110E">
        <w:rPr>
          <w:rFonts w:ascii="Arial" w:eastAsia="Calibri" w:hAnsi="Arial" w:cs="Arial"/>
          <w:bCs/>
          <w:i/>
          <w:iCs/>
        </w:rPr>
        <w:t>Held that</w:t>
      </w:r>
      <w:r w:rsidRPr="002F110E">
        <w:rPr>
          <w:rFonts w:ascii="Arial" w:eastAsia="Calibri" w:hAnsi="Arial" w:cs="Arial"/>
          <w:bCs/>
        </w:rPr>
        <w:t xml:space="preserve"> the applicant failed to deal with its prospects of success to the counter application. </w:t>
      </w:r>
    </w:p>
    <w:p w14:paraId="681BBDE7" w14:textId="77777777" w:rsidR="002F110E" w:rsidRPr="002F110E" w:rsidRDefault="002F110E" w:rsidP="002F110E">
      <w:pPr>
        <w:pStyle w:val="ListParagraph"/>
        <w:rPr>
          <w:rFonts w:ascii="Arial" w:eastAsia="Calibri" w:hAnsi="Arial" w:cs="Arial"/>
          <w:bCs/>
          <w:i/>
          <w:iCs/>
        </w:rPr>
      </w:pPr>
    </w:p>
    <w:p w14:paraId="3F5C4FF7" w14:textId="1AE9401A" w:rsidR="002F110E" w:rsidRPr="002F110E" w:rsidRDefault="006D43E3" w:rsidP="002F110E">
      <w:pPr>
        <w:pStyle w:val="ListParagraph"/>
        <w:spacing w:line="360" w:lineRule="auto"/>
        <w:ind w:left="0"/>
        <w:jc w:val="both"/>
        <w:rPr>
          <w:rFonts w:ascii="Arial" w:hAnsi="Arial" w:cs="Arial"/>
          <w:lang w:val="en-US"/>
        </w:rPr>
      </w:pPr>
      <w:r w:rsidRPr="002F110E">
        <w:rPr>
          <w:rFonts w:ascii="Arial" w:eastAsia="Calibri" w:hAnsi="Arial" w:cs="Arial"/>
          <w:bCs/>
          <w:i/>
          <w:iCs/>
        </w:rPr>
        <w:t>Held that</w:t>
      </w:r>
      <w:r w:rsidRPr="002F110E">
        <w:rPr>
          <w:rFonts w:ascii="Arial" w:eastAsia="Calibri" w:hAnsi="Arial" w:cs="Arial"/>
          <w:bCs/>
        </w:rPr>
        <w:t xml:space="preserve"> no facts were p</w:t>
      </w:r>
      <w:r w:rsidR="002F110E">
        <w:rPr>
          <w:rFonts w:ascii="Arial" w:eastAsia="Calibri" w:hAnsi="Arial" w:cs="Arial"/>
          <w:bCs/>
        </w:rPr>
        <w:t>resented to the</w:t>
      </w:r>
      <w:r w:rsidRPr="002F110E">
        <w:rPr>
          <w:rFonts w:ascii="Arial" w:eastAsia="Calibri" w:hAnsi="Arial" w:cs="Arial"/>
          <w:bCs/>
        </w:rPr>
        <w:t xml:space="preserve"> court on the basis of which the court could grant the applicant condonation in the interests of justice. </w:t>
      </w:r>
    </w:p>
    <w:p w14:paraId="5374840E" w14:textId="77777777" w:rsidR="002F110E" w:rsidRPr="002F110E" w:rsidRDefault="002F110E" w:rsidP="002F110E">
      <w:pPr>
        <w:pStyle w:val="ListParagraph"/>
        <w:rPr>
          <w:rFonts w:ascii="Arial" w:eastAsia="Calibri" w:hAnsi="Arial" w:cs="Arial"/>
          <w:bCs/>
          <w:i/>
          <w:iCs/>
        </w:rPr>
      </w:pPr>
    </w:p>
    <w:p w14:paraId="4912E833" w14:textId="24F87AC1" w:rsidR="002F110E" w:rsidRPr="002F110E" w:rsidRDefault="006D43E3" w:rsidP="002F110E">
      <w:pPr>
        <w:pStyle w:val="ListParagraph"/>
        <w:spacing w:line="360" w:lineRule="auto"/>
        <w:ind w:left="0"/>
        <w:jc w:val="both"/>
        <w:rPr>
          <w:rFonts w:ascii="Arial" w:hAnsi="Arial" w:cs="Arial"/>
          <w:lang w:val="en-US"/>
        </w:rPr>
      </w:pPr>
      <w:r w:rsidRPr="002F110E">
        <w:rPr>
          <w:rFonts w:ascii="Arial" w:eastAsia="Calibri" w:hAnsi="Arial" w:cs="Arial"/>
          <w:bCs/>
          <w:i/>
          <w:iCs/>
        </w:rPr>
        <w:t>Held that</w:t>
      </w:r>
      <w:r w:rsidRPr="002F110E">
        <w:rPr>
          <w:rFonts w:ascii="Arial" w:eastAsia="Calibri" w:hAnsi="Arial" w:cs="Arial"/>
          <w:bCs/>
        </w:rPr>
        <w:t xml:space="preserve"> the applicant had to show good cause by providing a reasonable and sufficient explanation for the non-compliance and that it ha</w:t>
      </w:r>
      <w:r w:rsidR="002F110E">
        <w:rPr>
          <w:rFonts w:ascii="Arial" w:eastAsia="Calibri" w:hAnsi="Arial" w:cs="Arial"/>
          <w:bCs/>
        </w:rPr>
        <w:t>d</w:t>
      </w:r>
      <w:r w:rsidRPr="002F110E">
        <w:rPr>
          <w:rFonts w:ascii="Arial" w:eastAsia="Calibri" w:hAnsi="Arial" w:cs="Arial"/>
          <w:bCs/>
        </w:rPr>
        <w:t xml:space="preserve"> prospects of success in the counter application</w:t>
      </w:r>
      <w:r w:rsidR="002F110E">
        <w:rPr>
          <w:rFonts w:ascii="Arial" w:eastAsia="Calibri" w:hAnsi="Arial" w:cs="Arial"/>
          <w:bCs/>
        </w:rPr>
        <w:t>,</w:t>
      </w:r>
      <w:r w:rsidRPr="002F110E">
        <w:rPr>
          <w:rFonts w:ascii="Arial" w:eastAsia="Calibri" w:hAnsi="Arial" w:cs="Arial"/>
          <w:bCs/>
        </w:rPr>
        <w:t xml:space="preserve"> and it failed to do so. </w:t>
      </w:r>
    </w:p>
    <w:p w14:paraId="7562C431" w14:textId="77777777" w:rsidR="002F110E" w:rsidRPr="002F110E" w:rsidRDefault="002F110E" w:rsidP="002F110E">
      <w:pPr>
        <w:pStyle w:val="ListParagraph"/>
        <w:rPr>
          <w:rFonts w:ascii="Arial" w:eastAsia="Calibri" w:hAnsi="Arial" w:cs="Arial"/>
          <w:bCs/>
          <w:i/>
          <w:iCs/>
        </w:rPr>
      </w:pPr>
    </w:p>
    <w:p w14:paraId="542E6A0B" w14:textId="56BA6BAD" w:rsidR="006D43E3" w:rsidRPr="002F110E" w:rsidRDefault="006D43E3" w:rsidP="002F110E">
      <w:pPr>
        <w:pStyle w:val="ListParagraph"/>
        <w:spacing w:line="360" w:lineRule="auto"/>
        <w:ind w:left="0"/>
        <w:jc w:val="both"/>
        <w:rPr>
          <w:rFonts w:ascii="Arial" w:hAnsi="Arial" w:cs="Arial"/>
          <w:lang w:val="en-US"/>
        </w:rPr>
      </w:pPr>
      <w:r w:rsidRPr="002F110E">
        <w:rPr>
          <w:rFonts w:ascii="Arial" w:eastAsia="Calibri" w:hAnsi="Arial" w:cs="Arial"/>
          <w:bCs/>
          <w:i/>
          <w:iCs/>
        </w:rPr>
        <w:t>Held that</w:t>
      </w:r>
      <w:r w:rsidRPr="002F110E">
        <w:rPr>
          <w:rFonts w:ascii="Arial" w:eastAsia="Calibri" w:hAnsi="Arial" w:cs="Arial"/>
          <w:bCs/>
        </w:rPr>
        <w:t xml:space="preserve"> no case was made for a cost order</w:t>
      </w:r>
      <w:r w:rsidR="002F110E">
        <w:rPr>
          <w:rFonts w:ascii="Arial" w:eastAsia="Calibri" w:hAnsi="Arial" w:cs="Arial"/>
          <w:bCs/>
        </w:rPr>
        <w:t xml:space="preserve"> </w:t>
      </w:r>
      <w:r w:rsidRPr="002F110E">
        <w:rPr>
          <w:rFonts w:ascii="Arial" w:eastAsia="Calibri" w:hAnsi="Arial" w:cs="Arial"/>
          <w:bCs/>
        </w:rPr>
        <w:t>uncapped by r 32(11).</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32D27916" w14:textId="77777777" w:rsidR="00C421F5" w:rsidRDefault="00C421F5" w:rsidP="00C421F5">
      <w:pPr>
        <w:pStyle w:val="ListParagraph"/>
        <w:numPr>
          <w:ilvl w:val="0"/>
          <w:numId w:val="1"/>
        </w:numPr>
        <w:spacing w:line="360" w:lineRule="auto"/>
        <w:ind w:left="0" w:firstLine="0"/>
        <w:jc w:val="both"/>
        <w:rPr>
          <w:rFonts w:ascii="Arial" w:eastAsia="Arial" w:hAnsi="Arial" w:cs="Arial"/>
        </w:rPr>
      </w:pPr>
      <w:r w:rsidRPr="00C421F5">
        <w:rPr>
          <w:rFonts w:ascii="Arial" w:eastAsia="Arial" w:hAnsi="Arial" w:cs="Arial"/>
        </w:rPr>
        <w:t xml:space="preserve">The </w:t>
      </w:r>
      <w:r>
        <w:rPr>
          <w:rFonts w:ascii="Arial" w:eastAsia="Arial" w:hAnsi="Arial" w:cs="Arial"/>
        </w:rPr>
        <w:t>a</w:t>
      </w:r>
      <w:r w:rsidRPr="00C421F5">
        <w:rPr>
          <w:rFonts w:ascii="Arial" w:eastAsia="Arial" w:hAnsi="Arial" w:cs="Arial"/>
        </w:rPr>
        <w:t>pplicant's condonation application for its failure to have filed an answering affidavit in the</w:t>
      </w:r>
      <w:r>
        <w:rPr>
          <w:rFonts w:ascii="Arial" w:eastAsia="Arial" w:hAnsi="Arial" w:cs="Arial"/>
        </w:rPr>
        <w:t xml:space="preserve"> r</w:t>
      </w:r>
      <w:r w:rsidRPr="00C421F5">
        <w:rPr>
          <w:rFonts w:ascii="Arial" w:eastAsia="Arial" w:hAnsi="Arial" w:cs="Arial"/>
        </w:rPr>
        <w:t>espondents</w:t>
      </w:r>
      <w:r>
        <w:rPr>
          <w:rFonts w:ascii="Arial" w:eastAsia="Arial" w:hAnsi="Arial" w:cs="Arial"/>
        </w:rPr>
        <w:t>’</w:t>
      </w:r>
      <w:r w:rsidRPr="00C421F5">
        <w:rPr>
          <w:rFonts w:ascii="Arial" w:eastAsia="Arial" w:hAnsi="Arial" w:cs="Arial"/>
        </w:rPr>
        <w:t xml:space="preserve"> counter application is dismissed with costs capped in terms of the provisions of</w:t>
      </w:r>
      <w:r>
        <w:rPr>
          <w:rFonts w:ascii="Arial" w:eastAsia="Arial" w:hAnsi="Arial" w:cs="Arial"/>
        </w:rPr>
        <w:t xml:space="preserve"> r</w:t>
      </w:r>
      <w:r w:rsidRPr="00C421F5">
        <w:rPr>
          <w:rFonts w:ascii="Arial" w:eastAsia="Arial" w:hAnsi="Arial" w:cs="Arial"/>
        </w:rPr>
        <w:t xml:space="preserve"> 32(11).</w:t>
      </w:r>
    </w:p>
    <w:p w14:paraId="4F7C01A8" w14:textId="77777777" w:rsidR="00C421F5" w:rsidRPr="00C421F5" w:rsidRDefault="00C421F5" w:rsidP="00C421F5">
      <w:pPr>
        <w:pStyle w:val="ListParagraph"/>
        <w:rPr>
          <w:rFonts w:ascii="Arial" w:eastAsia="Arial" w:hAnsi="Arial" w:cs="Arial"/>
        </w:rPr>
      </w:pPr>
    </w:p>
    <w:p w14:paraId="74F0D44F" w14:textId="63585A81" w:rsidR="00C421F5" w:rsidRDefault="00C421F5" w:rsidP="00C421F5">
      <w:pPr>
        <w:pStyle w:val="ListParagraph"/>
        <w:numPr>
          <w:ilvl w:val="0"/>
          <w:numId w:val="1"/>
        </w:numPr>
        <w:spacing w:line="360" w:lineRule="auto"/>
        <w:ind w:left="0" w:firstLine="0"/>
        <w:jc w:val="both"/>
        <w:rPr>
          <w:rFonts w:ascii="Arial" w:eastAsia="Arial" w:hAnsi="Arial" w:cs="Arial"/>
        </w:rPr>
      </w:pPr>
      <w:r w:rsidRPr="00C421F5">
        <w:rPr>
          <w:rFonts w:ascii="Arial" w:eastAsia="Arial" w:hAnsi="Arial" w:cs="Arial"/>
        </w:rPr>
        <w:t>The parties shall deliver a case management report on or before 15 February 2024.</w:t>
      </w:r>
    </w:p>
    <w:p w14:paraId="560DDDD3" w14:textId="77777777" w:rsidR="00C421F5" w:rsidRPr="00C421F5" w:rsidRDefault="00C421F5" w:rsidP="00C421F5">
      <w:pPr>
        <w:pStyle w:val="ListParagraph"/>
        <w:rPr>
          <w:rFonts w:ascii="Arial" w:eastAsia="Arial" w:hAnsi="Arial" w:cs="Arial"/>
        </w:rPr>
      </w:pPr>
    </w:p>
    <w:p w14:paraId="374EF93F" w14:textId="0A0174F7" w:rsidR="004E5F07" w:rsidRPr="00C421F5" w:rsidRDefault="00C421F5" w:rsidP="00C421F5">
      <w:pPr>
        <w:pStyle w:val="ListParagraph"/>
        <w:numPr>
          <w:ilvl w:val="0"/>
          <w:numId w:val="1"/>
        </w:numPr>
        <w:spacing w:line="360" w:lineRule="auto"/>
        <w:ind w:left="0" w:firstLine="0"/>
        <w:jc w:val="both"/>
        <w:rPr>
          <w:rFonts w:ascii="Arial" w:eastAsia="Arial" w:hAnsi="Arial" w:cs="Arial"/>
        </w:rPr>
      </w:pPr>
      <w:r w:rsidRPr="00C421F5">
        <w:rPr>
          <w:rFonts w:ascii="Arial" w:eastAsia="Arial" w:hAnsi="Arial" w:cs="Arial"/>
        </w:rPr>
        <w:t>The matter is postponed to 21 February 2024 at 08:30 for a case management conference.</w:t>
      </w: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6102B0C2" w:rsidR="00010077" w:rsidRDefault="007525EE" w:rsidP="00010077">
      <w:pPr>
        <w:spacing w:line="360" w:lineRule="auto"/>
        <w:jc w:val="center"/>
        <w:rPr>
          <w:rFonts w:ascii="Arial" w:hAnsi="Arial" w:cs="Arial"/>
          <w:b/>
          <w:bCs/>
          <w:lang w:val="en-US"/>
        </w:rPr>
      </w:pPr>
      <w:r>
        <w:rPr>
          <w:rFonts w:ascii="Arial" w:hAnsi="Arial" w:cs="Arial"/>
          <w:b/>
          <w:bCs/>
          <w:lang w:val="en-US"/>
        </w:rPr>
        <w:t>RULING</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219A5CF9" w14:textId="2F61FFC0" w:rsidR="004E5F07" w:rsidRDefault="004E5F07" w:rsidP="004E5F07">
      <w:pPr>
        <w:pStyle w:val="ListParagraph"/>
        <w:spacing w:line="360" w:lineRule="auto"/>
        <w:ind w:left="0"/>
        <w:jc w:val="both"/>
        <w:rPr>
          <w:rFonts w:ascii="Arial" w:hAnsi="Arial" w:cs="Arial"/>
          <w:lang w:val="en-US"/>
        </w:rPr>
      </w:pPr>
      <w:r>
        <w:rPr>
          <w:rFonts w:ascii="Arial" w:hAnsi="Arial" w:cs="Arial"/>
          <w:lang w:val="en-US"/>
        </w:rPr>
        <w:t>DE JAGER AJ:</w:t>
      </w:r>
    </w:p>
    <w:p w14:paraId="1E63A9D2" w14:textId="77777777" w:rsidR="004E5F07" w:rsidRDefault="004E5F07" w:rsidP="004E5F07">
      <w:pPr>
        <w:pStyle w:val="ListParagraph"/>
        <w:spacing w:line="360" w:lineRule="auto"/>
        <w:ind w:left="0"/>
        <w:jc w:val="both"/>
        <w:rPr>
          <w:rFonts w:ascii="Arial" w:hAnsi="Arial" w:cs="Arial"/>
          <w:lang w:val="en-US"/>
        </w:rPr>
      </w:pPr>
    </w:p>
    <w:p w14:paraId="0D752A0E" w14:textId="4C261012" w:rsidR="004E5F07" w:rsidRDefault="007525EE" w:rsidP="004E5F07">
      <w:pPr>
        <w:pStyle w:val="ListParagraph"/>
        <w:numPr>
          <w:ilvl w:val="0"/>
          <w:numId w:val="2"/>
        </w:numPr>
        <w:spacing w:line="360" w:lineRule="auto"/>
        <w:ind w:left="0" w:firstLine="0"/>
        <w:jc w:val="both"/>
        <w:rPr>
          <w:rFonts w:ascii="Arial" w:hAnsi="Arial" w:cs="Arial"/>
          <w:lang w:val="en-US"/>
        </w:rPr>
      </w:pPr>
      <w:r>
        <w:rPr>
          <w:rFonts w:ascii="Arial" w:hAnsi="Arial" w:cs="Arial"/>
        </w:rPr>
        <w:t>I will refer to the parties as they are in the main application</w:t>
      </w:r>
      <w:r w:rsidR="00D624B9">
        <w:rPr>
          <w:rFonts w:ascii="Arial" w:hAnsi="Arial" w:cs="Arial"/>
        </w:rPr>
        <w:t>,</w:t>
      </w:r>
      <w:r>
        <w:rPr>
          <w:rFonts w:ascii="Arial" w:hAnsi="Arial" w:cs="Arial"/>
        </w:rPr>
        <w:t xml:space="preserve"> which was instituted on 12 May 2022.</w:t>
      </w:r>
    </w:p>
    <w:p w14:paraId="62DB092A" w14:textId="77777777" w:rsidR="004E5F07" w:rsidRPr="004E5F07" w:rsidRDefault="004E5F07" w:rsidP="004E5F07">
      <w:pPr>
        <w:pStyle w:val="ListParagraph"/>
        <w:rPr>
          <w:rFonts w:ascii="Arial" w:hAnsi="Arial" w:cs="Arial"/>
          <w:lang w:val="en-US"/>
        </w:rPr>
      </w:pPr>
    </w:p>
    <w:p w14:paraId="48FBB3A0" w14:textId="67AD5C59" w:rsidR="00D624B9" w:rsidRPr="00D624B9" w:rsidRDefault="007525EE" w:rsidP="007525EE">
      <w:pPr>
        <w:pStyle w:val="ListParagraph"/>
        <w:numPr>
          <w:ilvl w:val="0"/>
          <w:numId w:val="2"/>
        </w:numPr>
        <w:spacing w:line="360" w:lineRule="auto"/>
        <w:ind w:left="0" w:firstLine="0"/>
        <w:jc w:val="both"/>
        <w:rPr>
          <w:rFonts w:ascii="Arial" w:hAnsi="Arial" w:cs="Arial"/>
          <w:lang w:val="en-US"/>
        </w:rPr>
      </w:pPr>
      <w:r>
        <w:rPr>
          <w:rFonts w:ascii="Arial" w:hAnsi="Arial" w:cs="Arial"/>
        </w:rPr>
        <w:t>Before me is a condonation application following the court order of 15 November 2023</w:t>
      </w:r>
      <w:r w:rsidR="00DF0624">
        <w:rPr>
          <w:rFonts w:ascii="Arial" w:hAnsi="Arial" w:cs="Arial"/>
        </w:rPr>
        <w:t>, which postponed the matter to today for the applicant’s condonation application after directions were given for compliance with r 32(10), the filing of opposing papers, replying papers,</w:t>
      </w:r>
      <w:r>
        <w:rPr>
          <w:rFonts w:ascii="Arial" w:hAnsi="Arial" w:cs="Arial"/>
        </w:rPr>
        <w:t xml:space="preserve"> and heads or argument.</w:t>
      </w:r>
    </w:p>
    <w:p w14:paraId="7B26CFB9" w14:textId="77777777" w:rsidR="00D624B9" w:rsidRPr="00D624B9" w:rsidRDefault="00D624B9" w:rsidP="00D624B9">
      <w:pPr>
        <w:pStyle w:val="ListParagraph"/>
        <w:rPr>
          <w:rFonts w:ascii="Arial" w:hAnsi="Arial" w:cs="Arial"/>
        </w:rPr>
      </w:pPr>
    </w:p>
    <w:p w14:paraId="76BCEFB4" w14:textId="77777777" w:rsidR="002F110E" w:rsidRPr="002F110E" w:rsidRDefault="00D624B9" w:rsidP="007525EE">
      <w:pPr>
        <w:pStyle w:val="ListParagraph"/>
        <w:numPr>
          <w:ilvl w:val="0"/>
          <w:numId w:val="2"/>
        </w:numPr>
        <w:spacing w:line="360" w:lineRule="auto"/>
        <w:ind w:left="0" w:firstLine="0"/>
        <w:jc w:val="both"/>
        <w:rPr>
          <w:rFonts w:ascii="Arial" w:hAnsi="Arial" w:cs="Arial"/>
          <w:lang w:val="en-US"/>
        </w:rPr>
      </w:pPr>
      <w:r>
        <w:rPr>
          <w:rFonts w:ascii="Arial" w:hAnsi="Arial" w:cs="Arial"/>
        </w:rPr>
        <w:lastRenderedPageBreak/>
        <w:t>The a</w:t>
      </w:r>
      <w:r w:rsidR="007525EE">
        <w:rPr>
          <w:rFonts w:ascii="Arial" w:hAnsi="Arial" w:cs="Arial"/>
        </w:rPr>
        <w:t xml:space="preserve">pplicant filed </w:t>
      </w:r>
      <w:r w:rsidR="00EF4D14">
        <w:rPr>
          <w:rFonts w:ascii="Arial" w:hAnsi="Arial" w:cs="Arial"/>
        </w:rPr>
        <w:t>a</w:t>
      </w:r>
      <w:r w:rsidR="007525EE">
        <w:rPr>
          <w:rFonts w:ascii="Arial" w:hAnsi="Arial" w:cs="Arial"/>
        </w:rPr>
        <w:t xml:space="preserve"> condonation affidavit on 27 November 2023 and refers to a notice issued by the court on 9 May 2023 </w:t>
      </w:r>
      <w:r w:rsidR="00EF4D14" w:rsidRPr="00EF4D14">
        <w:rPr>
          <w:rFonts w:ascii="Arial" w:hAnsi="Arial" w:cs="Arial"/>
        </w:rPr>
        <w:t>whereby the court ordered</w:t>
      </w:r>
      <w:r w:rsidR="009E0038">
        <w:rPr>
          <w:rFonts w:ascii="Arial" w:hAnsi="Arial" w:cs="Arial"/>
        </w:rPr>
        <w:t xml:space="preserve"> the parties</w:t>
      </w:r>
      <w:r w:rsidR="002F110E">
        <w:rPr>
          <w:rFonts w:ascii="Arial" w:hAnsi="Arial" w:cs="Arial"/>
        </w:rPr>
        <w:t>:</w:t>
      </w:r>
    </w:p>
    <w:p w14:paraId="4944B238" w14:textId="77777777" w:rsidR="002F110E" w:rsidRPr="002F110E" w:rsidRDefault="002F110E" w:rsidP="002F110E">
      <w:pPr>
        <w:pStyle w:val="ListParagraph"/>
        <w:rPr>
          <w:rFonts w:ascii="Arial" w:hAnsi="Arial" w:cs="Arial"/>
        </w:rPr>
      </w:pPr>
    </w:p>
    <w:p w14:paraId="165E6252" w14:textId="6BD647B9" w:rsidR="002F110E" w:rsidRDefault="002F110E" w:rsidP="002F110E">
      <w:pPr>
        <w:pStyle w:val="ListParagraph"/>
        <w:numPr>
          <w:ilvl w:val="0"/>
          <w:numId w:val="9"/>
        </w:numPr>
        <w:spacing w:line="360" w:lineRule="auto"/>
        <w:ind w:left="0" w:firstLine="0"/>
        <w:jc w:val="both"/>
        <w:rPr>
          <w:rFonts w:ascii="Arial" w:hAnsi="Arial" w:cs="Arial"/>
        </w:rPr>
      </w:pPr>
      <w:r>
        <w:rPr>
          <w:rFonts w:ascii="Arial" w:hAnsi="Arial" w:cs="Arial"/>
        </w:rPr>
        <w:t>f</w:t>
      </w:r>
      <w:r w:rsidR="009E0038">
        <w:rPr>
          <w:rFonts w:ascii="Arial" w:hAnsi="Arial" w:cs="Arial"/>
        </w:rPr>
        <w:t>or</w:t>
      </w:r>
      <w:r w:rsidR="00EF4D14" w:rsidRPr="00EF4D14">
        <w:rPr>
          <w:rFonts w:ascii="Arial" w:hAnsi="Arial" w:cs="Arial"/>
        </w:rPr>
        <w:t xml:space="preserve"> the respondent</w:t>
      </w:r>
      <w:r w:rsidR="00EF4D14">
        <w:rPr>
          <w:rFonts w:ascii="Arial" w:hAnsi="Arial" w:cs="Arial"/>
        </w:rPr>
        <w:t>s</w:t>
      </w:r>
      <w:r w:rsidR="00EF4D14" w:rsidRPr="00EF4D14">
        <w:rPr>
          <w:rFonts w:ascii="Arial" w:hAnsi="Arial" w:cs="Arial"/>
        </w:rPr>
        <w:t xml:space="preserve"> to file supplementary affidavits and the counter application on 22 May 2023</w:t>
      </w:r>
      <w:r>
        <w:rPr>
          <w:rFonts w:ascii="Arial" w:hAnsi="Arial" w:cs="Arial"/>
        </w:rPr>
        <w:t>;</w:t>
      </w:r>
    </w:p>
    <w:p w14:paraId="68122A24" w14:textId="1BE791DA" w:rsidR="002F110E" w:rsidRPr="002F110E" w:rsidRDefault="002F110E" w:rsidP="002F110E">
      <w:pPr>
        <w:pStyle w:val="ListParagraph"/>
        <w:spacing w:line="360" w:lineRule="auto"/>
        <w:ind w:left="0"/>
        <w:jc w:val="both"/>
        <w:rPr>
          <w:rFonts w:ascii="Arial" w:hAnsi="Arial" w:cs="Arial"/>
          <w:lang w:val="en-US"/>
        </w:rPr>
      </w:pPr>
    </w:p>
    <w:p w14:paraId="5F536F32" w14:textId="2D05942C" w:rsidR="002F110E" w:rsidRPr="002F110E" w:rsidRDefault="002F110E" w:rsidP="002F110E">
      <w:pPr>
        <w:pStyle w:val="ListParagraph"/>
        <w:numPr>
          <w:ilvl w:val="0"/>
          <w:numId w:val="9"/>
        </w:numPr>
        <w:spacing w:line="360" w:lineRule="auto"/>
        <w:ind w:left="0" w:firstLine="0"/>
        <w:jc w:val="both"/>
        <w:rPr>
          <w:rFonts w:ascii="Arial" w:hAnsi="Arial" w:cs="Arial"/>
          <w:lang w:val="en-US"/>
        </w:rPr>
      </w:pPr>
      <w:r>
        <w:rPr>
          <w:rFonts w:ascii="Arial" w:hAnsi="Arial" w:cs="Arial"/>
        </w:rPr>
        <w:t>f</w:t>
      </w:r>
      <w:r w:rsidR="009E0038">
        <w:rPr>
          <w:rFonts w:ascii="Arial" w:hAnsi="Arial" w:cs="Arial"/>
        </w:rPr>
        <w:t xml:space="preserve">or </w:t>
      </w:r>
      <w:r w:rsidR="00EF4D14" w:rsidRPr="00EF4D14">
        <w:rPr>
          <w:rFonts w:ascii="Arial" w:hAnsi="Arial" w:cs="Arial"/>
        </w:rPr>
        <w:t>the applicant to file a replying affidavit and answering affidavit in the counter application on 9 June 2023</w:t>
      </w:r>
      <w:r>
        <w:rPr>
          <w:rFonts w:ascii="Arial" w:hAnsi="Arial" w:cs="Arial"/>
        </w:rPr>
        <w:t>;</w:t>
      </w:r>
    </w:p>
    <w:p w14:paraId="1EDDC707" w14:textId="77777777" w:rsidR="002F110E" w:rsidRPr="002F110E" w:rsidRDefault="002F110E" w:rsidP="002F110E">
      <w:pPr>
        <w:pStyle w:val="ListParagraph"/>
        <w:rPr>
          <w:rFonts w:ascii="Arial" w:hAnsi="Arial" w:cs="Arial"/>
        </w:rPr>
      </w:pPr>
    </w:p>
    <w:p w14:paraId="30B9D215" w14:textId="77777777" w:rsidR="002F110E" w:rsidRPr="002F110E" w:rsidRDefault="002F110E" w:rsidP="002F110E">
      <w:pPr>
        <w:pStyle w:val="ListParagraph"/>
        <w:numPr>
          <w:ilvl w:val="0"/>
          <w:numId w:val="9"/>
        </w:numPr>
        <w:spacing w:line="360" w:lineRule="auto"/>
        <w:ind w:left="0" w:firstLine="0"/>
        <w:jc w:val="both"/>
        <w:rPr>
          <w:rFonts w:ascii="Arial" w:hAnsi="Arial" w:cs="Arial"/>
          <w:lang w:val="en-US"/>
        </w:rPr>
      </w:pPr>
      <w:r>
        <w:rPr>
          <w:rFonts w:ascii="Arial" w:hAnsi="Arial" w:cs="Arial"/>
        </w:rPr>
        <w:t>f</w:t>
      </w:r>
      <w:r w:rsidR="009E0038">
        <w:rPr>
          <w:rFonts w:ascii="Arial" w:hAnsi="Arial" w:cs="Arial"/>
        </w:rPr>
        <w:t xml:space="preserve">or </w:t>
      </w:r>
      <w:r w:rsidR="00EF4D14" w:rsidRPr="00EF4D14">
        <w:rPr>
          <w:rFonts w:ascii="Arial" w:hAnsi="Arial" w:cs="Arial"/>
        </w:rPr>
        <w:t>the respondent</w:t>
      </w:r>
      <w:r>
        <w:rPr>
          <w:rFonts w:ascii="Arial" w:hAnsi="Arial" w:cs="Arial"/>
        </w:rPr>
        <w:t>s</w:t>
      </w:r>
      <w:r w:rsidR="00EF4D14" w:rsidRPr="00EF4D14">
        <w:rPr>
          <w:rFonts w:ascii="Arial" w:hAnsi="Arial" w:cs="Arial"/>
        </w:rPr>
        <w:t xml:space="preserve"> to file a replying affidavit on 29 June 2023</w:t>
      </w:r>
      <w:r>
        <w:rPr>
          <w:rFonts w:ascii="Arial" w:hAnsi="Arial" w:cs="Arial"/>
        </w:rPr>
        <w:t>;</w:t>
      </w:r>
    </w:p>
    <w:p w14:paraId="63BD4951" w14:textId="77777777" w:rsidR="002F110E" w:rsidRPr="002F110E" w:rsidRDefault="002F110E" w:rsidP="002F110E">
      <w:pPr>
        <w:pStyle w:val="ListParagraph"/>
        <w:rPr>
          <w:rFonts w:ascii="Arial" w:hAnsi="Arial" w:cs="Arial"/>
        </w:rPr>
      </w:pPr>
    </w:p>
    <w:p w14:paraId="32538251" w14:textId="0BDCCD3A" w:rsidR="007525EE" w:rsidRPr="007525EE" w:rsidRDefault="00EF4D14" w:rsidP="002F110E">
      <w:pPr>
        <w:pStyle w:val="ListParagraph"/>
        <w:spacing w:line="360" w:lineRule="auto"/>
        <w:ind w:left="0"/>
        <w:jc w:val="both"/>
        <w:rPr>
          <w:rFonts w:ascii="Arial" w:hAnsi="Arial" w:cs="Arial"/>
          <w:lang w:val="en-US"/>
        </w:rPr>
      </w:pPr>
      <w:r w:rsidRPr="00EF4D14">
        <w:rPr>
          <w:rFonts w:ascii="Arial" w:hAnsi="Arial" w:cs="Arial"/>
        </w:rPr>
        <w:t xml:space="preserve">and there was an order for </w:t>
      </w:r>
      <w:r w:rsidR="009E0038">
        <w:rPr>
          <w:rFonts w:ascii="Arial" w:hAnsi="Arial" w:cs="Arial"/>
        </w:rPr>
        <w:t>a</w:t>
      </w:r>
      <w:r w:rsidRPr="00EF4D14">
        <w:rPr>
          <w:rFonts w:ascii="Arial" w:hAnsi="Arial" w:cs="Arial"/>
        </w:rPr>
        <w:t xml:space="preserve"> case management report </w:t>
      </w:r>
      <w:r w:rsidR="009E0038">
        <w:rPr>
          <w:rFonts w:ascii="Arial" w:hAnsi="Arial" w:cs="Arial"/>
        </w:rPr>
        <w:t>also t</w:t>
      </w:r>
      <w:r w:rsidRPr="00EF4D14">
        <w:rPr>
          <w:rFonts w:ascii="Arial" w:hAnsi="Arial" w:cs="Arial"/>
        </w:rPr>
        <w:t>o be filed</w:t>
      </w:r>
      <w:r w:rsidR="007525EE">
        <w:rPr>
          <w:rFonts w:ascii="Arial" w:hAnsi="Arial" w:cs="Arial"/>
        </w:rPr>
        <w:t>.</w:t>
      </w:r>
    </w:p>
    <w:p w14:paraId="48BB2249" w14:textId="77777777" w:rsidR="007525EE" w:rsidRPr="007525EE" w:rsidRDefault="007525EE" w:rsidP="007525EE">
      <w:pPr>
        <w:pStyle w:val="ListParagraph"/>
        <w:rPr>
          <w:rFonts w:ascii="Arial" w:eastAsia="Calibri" w:hAnsi="Arial" w:cs="Arial"/>
          <w:bCs/>
        </w:rPr>
      </w:pPr>
    </w:p>
    <w:p w14:paraId="7869BD1D" w14:textId="3C393222" w:rsidR="009D29BA" w:rsidRPr="009D29BA" w:rsidRDefault="007525EE" w:rsidP="007525EE">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 xml:space="preserve">In particular, the condonation application before me today is for </w:t>
      </w:r>
      <w:r w:rsidR="00DF0624">
        <w:rPr>
          <w:rFonts w:ascii="Arial" w:eastAsia="Calibri" w:hAnsi="Arial" w:cs="Arial"/>
          <w:bCs/>
        </w:rPr>
        <w:t>failing to file the answering affidavit in the counter application, which was due</w:t>
      </w:r>
      <w:r w:rsidRPr="007525EE">
        <w:rPr>
          <w:rFonts w:ascii="Arial" w:eastAsia="Calibri" w:hAnsi="Arial" w:cs="Arial"/>
          <w:bCs/>
        </w:rPr>
        <w:t xml:space="preserve"> on 9 June 2023.</w:t>
      </w:r>
      <w:r w:rsidR="00EF4D14">
        <w:rPr>
          <w:rFonts w:ascii="Arial" w:eastAsia="Calibri" w:hAnsi="Arial" w:cs="Arial"/>
          <w:bCs/>
        </w:rPr>
        <w:t xml:space="preserve"> </w:t>
      </w:r>
    </w:p>
    <w:p w14:paraId="0B88F322" w14:textId="77777777" w:rsidR="009D29BA" w:rsidRPr="009D29BA" w:rsidRDefault="009D29BA" w:rsidP="009D29BA">
      <w:pPr>
        <w:pStyle w:val="ListParagraph"/>
        <w:rPr>
          <w:rFonts w:ascii="Arial" w:eastAsia="Calibri" w:hAnsi="Arial" w:cs="Arial"/>
          <w:bCs/>
        </w:rPr>
      </w:pPr>
    </w:p>
    <w:p w14:paraId="10DC421E" w14:textId="0069DDAC" w:rsidR="007525EE" w:rsidRPr="007525EE" w:rsidRDefault="007525EE" w:rsidP="007525EE">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The relevant timeline in this matter is as follows</w:t>
      </w:r>
      <w:r w:rsidR="009E0038">
        <w:rPr>
          <w:rFonts w:ascii="Arial" w:eastAsia="Calibri" w:hAnsi="Arial" w:cs="Arial"/>
          <w:bCs/>
        </w:rPr>
        <w:t>.</w:t>
      </w:r>
    </w:p>
    <w:p w14:paraId="6CE127E0" w14:textId="77777777" w:rsidR="007525EE" w:rsidRPr="007525EE" w:rsidRDefault="007525EE" w:rsidP="007525EE">
      <w:pPr>
        <w:pStyle w:val="ListParagraph"/>
        <w:rPr>
          <w:rFonts w:ascii="Arial" w:eastAsia="Calibri" w:hAnsi="Arial" w:cs="Arial"/>
          <w:bCs/>
        </w:rPr>
      </w:pPr>
    </w:p>
    <w:p w14:paraId="280807C6" w14:textId="77777777" w:rsidR="009645C3" w:rsidRDefault="007525EE" w:rsidP="009645C3">
      <w:pPr>
        <w:pStyle w:val="ListParagraph"/>
        <w:numPr>
          <w:ilvl w:val="0"/>
          <w:numId w:val="7"/>
        </w:numPr>
        <w:spacing w:line="360" w:lineRule="auto"/>
        <w:ind w:left="0" w:firstLine="0"/>
        <w:jc w:val="both"/>
        <w:rPr>
          <w:rFonts w:ascii="Arial" w:hAnsi="Arial" w:cs="Arial"/>
          <w:lang w:val="en-US"/>
        </w:rPr>
      </w:pPr>
      <w:r w:rsidRPr="007525EE">
        <w:rPr>
          <w:rFonts w:ascii="Arial" w:eastAsia="Calibri" w:hAnsi="Arial" w:cs="Arial"/>
          <w:bCs/>
        </w:rPr>
        <w:t>The counter application was</w:t>
      </w:r>
      <w:r w:rsidR="00EF4D14">
        <w:rPr>
          <w:rFonts w:ascii="Arial" w:eastAsia="Calibri" w:hAnsi="Arial" w:cs="Arial"/>
          <w:bCs/>
        </w:rPr>
        <w:t xml:space="preserve"> </w:t>
      </w:r>
      <w:r w:rsidRPr="007525EE">
        <w:rPr>
          <w:rFonts w:ascii="Arial" w:eastAsia="Calibri" w:hAnsi="Arial" w:cs="Arial"/>
          <w:bCs/>
        </w:rPr>
        <w:t>filed pursuant to t</w:t>
      </w:r>
      <w:r w:rsidR="00EF4D14">
        <w:rPr>
          <w:rFonts w:ascii="Arial" w:eastAsia="Calibri" w:hAnsi="Arial" w:cs="Arial"/>
          <w:bCs/>
        </w:rPr>
        <w:t>he</w:t>
      </w:r>
      <w:r w:rsidRPr="007525EE">
        <w:rPr>
          <w:rFonts w:ascii="Arial" w:eastAsia="Calibri" w:hAnsi="Arial" w:cs="Arial"/>
          <w:bCs/>
        </w:rPr>
        <w:t xml:space="preserve"> court order of 9 May 2023</w:t>
      </w:r>
      <w:r w:rsidR="009E0038">
        <w:rPr>
          <w:rFonts w:ascii="Arial" w:eastAsia="Calibri" w:hAnsi="Arial" w:cs="Arial"/>
          <w:bCs/>
        </w:rPr>
        <w:t xml:space="preserve"> on 22 May 2023</w:t>
      </w:r>
      <w:r w:rsidR="00EF4D14">
        <w:rPr>
          <w:rFonts w:ascii="Arial" w:eastAsia="Calibri" w:hAnsi="Arial" w:cs="Arial"/>
          <w:bCs/>
        </w:rPr>
        <w:t>.</w:t>
      </w:r>
    </w:p>
    <w:p w14:paraId="571F0BD3" w14:textId="77777777" w:rsidR="009645C3" w:rsidRPr="009645C3" w:rsidRDefault="009645C3" w:rsidP="009645C3">
      <w:pPr>
        <w:pStyle w:val="ListParagraph"/>
        <w:rPr>
          <w:rFonts w:ascii="Arial" w:eastAsia="Calibri" w:hAnsi="Arial" w:cs="Arial"/>
          <w:bCs/>
        </w:rPr>
      </w:pPr>
    </w:p>
    <w:p w14:paraId="680595BB" w14:textId="5D156FC6" w:rsidR="009645C3" w:rsidRDefault="007525EE" w:rsidP="009645C3">
      <w:pPr>
        <w:pStyle w:val="ListParagraph"/>
        <w:numPr>
          <w:ilvl w:val="0"/>
          <w:numId w:val="7"/>
        </w:numPr>
        <w:spacing w:line="360" w:lineRule="auto"/>
        <w:ind w:left="0" w:firstLine="0"/>
        <w:jc w:val="both"/>
        <w:rPr>
          <w:rFonts w:ascii="Arial" w:hAnsi="Arial" w:cs="Arial"/>
          <w:lang w:val="en-US"/>
        </w:rPr>
      </w:pPr>
      <w:r w:rsidRPr="007525EE">
        <w:rPr>
          <w:rFonts w:ascii="Arial" w:eastAsia="Calibri" w:hAnsi="Arial" w:cs="Arial"/>
          <w:bCs/>
        </w:rPr>
        <w:t>On 9 June 2023, instead of filing the answering affidavit to the condonation application, the applicant filed a notice of intention to oppose in respect of the counter application</w:t>
      </w:r>
      <w:r w:rsidR="00EF4D14">
        <w:rPr>
          <w:rFonts w:ascii="Arial" w:eastAsia="Calibri" w:hAnsi="Arial" w:cs="Arial"/>
          <w:bCs/>
        </w:rPr>
        <w:t>,</w:t>
      </w:r>
      <w:r w:rsidRPr="007525EE">
        <w:rPr>
          <w:rFonts w:ascii="Arial" w:eastAsia="Calibri" w:hAnsi="Arial" w:cs="Arial"/>
          <w:bCs/>
        </w:rPr>
        <w:t xml:space="preserve"> and it stated that it </w:t>
      </w:r>
      <w:r w:rsidR="00EF4D14">
        <w:rPr>
          <w:rFonts w:ascii="Arial" w:eastAsia="Calibri" w:hAnsi="Arial" w:cs="Arial"/>
          <w:bCs/>
        </w:rPr>
        <w:t>‘</w:t>
      </w:r>
      <w:r w:rsidRPr="007525EE">
        <w:rPr>
          <w:rFonts w:ascii="Arial" w:eastAsia="Calibri" w:hAnsi="Arial" w:cs="Arial"/>
          <w:bCs/>
        </w:rPr>
        <w:t>will</w:t>
      </w:r>
      <w:r w:rsidR="00EF4D14">
        <w:rPr>
          <w:rFonts w:ascii="Arial" w:eastAsia="Calibri" w:hAnsi="Arial" w:cs="Arial"/>
          <w:bCs/>
        </w:rPr>
        <w:t>’</w:t>
      </w:r>
      <w:r w:rsidRPr="007525EE">
        <w:rPr>
          <w:rFonts w:ascii="Arial" w:eastAsia="Calibri" w:hAnsi="Arial" w:cs="Arial"/>
          <w:bCs/>
        </w:rPr>
        <w:t xml:space="preserve"> file the answering affidavit within </w:t>
      </w:r>
      <w:r w:rsidR="009D29BA">
        <w:rPr>
          <w:rFonts w:ascii="Arial" w:eastAsia="Calibri" w:hAnsi="Arial" w:cs="Arial"/>
          <w:bCs/>
        </w:rPr>
        <w:t>a</w:t>
      </w:r>
      <w:r w:rsidRPr="007525EE">
        <w:rPr>
          <w:rFonts w:ascii="Arial" w:eastAsia="Calibri" w:hAnsi="Arial" w:cs="Arial"/>
          <w:bCs/>
        </w:rPr>
        <w:t xml:space="preserve"> period of fourteen days from the date of that notice or a date as directed by the court and that it will apply for condonation for not </w:t>
      </w:r>
      <w:r w:rsidR="00EF4D14">
        <w:rPr>
          <w:rFonts w:ascii="Arial" w:eastAsia="Calibri" w:hAnsi="Arial" w:cs="Arial"/>
          <w:bCs/>
        </w:rPr>
        <w:t>complying</w:t>
      </w:r>
      <w:r w:rsidRPr="007525EE">
        <w:rPr>
          <w:rFonts w:ascii="Arial" w:eastAsia="Calibri" w:hAnsi="Arial" w:cs="Arial"/>
          <w:bCs/>
        </w:rPr>
        <w:t xml:space="preserve"> with the </w:t>
      </w:r>
      <w:r w:rsidR="009D29BA">
        <w:rPr>
          <w:rFonts w:ascii="Arial" w:eastAsia="Calibri" w:hAnsi="Arial" w:cs="Arial"/>
          <w:bCs/>
        </w:rPr>
        <w:t xml:space="preserve">previous </w:t>
      </w:r>
      <w:r w:rsidRPr="007525EE">
        <w:rPr>
          <w:rFonts w:ascii="Arial" w:eastAsia="Calibri" w:hAnsi="Arial" w:cs="Arial"/>
          <w:bCs/>
        </w:rPr>
        <w:t>court order. The fourteen</w:t>
      </w:r>
      <w:r w:rsidR="00EF4D14">
        <w:rPr>
          <w:rFonts w:ascii="Arial" w:eastAsia="Calibri" w:hAnsi="Arial" w:cs="Arial"/>
          <w:bCs/>
        </w:rPr>
        <w:t>-day period referred to in that notice of intention to oppose had come and gone,</w:t>
      </w:r>
      <w:r w:rsidRPr="007525EE">
        <w:rPr>
          <w:rFonts w:ascii="Arial" w:eastAsia="Calibri" w:hAnsi="Arial" w:cs="Arial"/>
          <w:bCs/>
        </w:rPr>
        <w:t xml:space="preserve"> and nothing was filed. </w:t>
      </w:r>
    </w:p>
    <w:p w14:paraId="394E0AF7" w14:textId="77777777" w:rsidR="009645C3" w:rsidRPr="009645C3" w:rsidRDefault="009645C3" w:rsidP="009645C3">
      <w:pPr>
        <w:pStyle w:val="ListParagraph"/>
        <w:rPr>
          <w:rFonts w:ascii="Arial" w:eastAsia="Calibri" w:hAnsi="Arial" w:cs="Arial"/>
          <w:bCs/>
        </w:rPr>
      </w:pPr>
    </w:p>
    <w:p w14:paraId="4207383B" w14:textId="77777777" w:rsidR="009645C3" w:rsidRDefault="007525EE" w:rsidP="009645C3">
      <w:pPr>
        <w:pStyle w:val="ListParagraph"/>
        <w:numPr>
          <w:ilvl w:val="0"/>
          <w:numId w:val="7"/>
        </w:numPr>
        <w:spacing w:line="360" w:lineRule="auto"/>
        <w:ind w:left="0" w:firstLine="0"/>
        <w:jc w:val="both"/>
        <w:rPr>
          <w:rFonts w:ascii="Arial" w:hAnsi="Arial" w:cs="Arial"/>
          <w:lang w:val="en-US"/>
        </w:rPr>
      </w:pPr>
      <w:r w:rsidRPr="009645C3">
        <w:rPr>
          <w:rFonts w:ascii="Arial" w:eastAsia="Calibri" w:hAnsi="Arial" w:cs="Arial"/>
          <w:bCs/>
        </w:rPr>
        <w:t>On 5 July 2023, by which time th</w:t>
      </w:r>
      <w:r w:rsidR="009D29BA" w:rsidRPr="009645C3">
        <w:rPr>
          <w:rFonts w:ascii="Arial" w:eastAsia="Calibri" w:hAnsi="Arial" w:cs="Arial"/>
          <w:bCs/>
        </w:rPr>
        <w:t>at fourteen-day</w:t>
      </w:r>
      <w:r w:rsidRPr="009645C3">
        <w:rPr>
          <w:rFonts w:ascii="Arial" w:eastAsia="Calibri" w:hAnsi="Arial" w:cs="Arial"/>
          <w:bCs/>
        </w:rPr>
        <w:t xml:space="preserve"> period referred to in the notice of intention to oppose had long passed</w:t>
      </w:r>
      <w:r w:rsidR="001F71CA" w:rsidRPr="009645C3">
        <w:rPr>
          <w:rFonts w:ascii="Arial" w:eastAsia="Calibri" w:hAnsi="Arial" w:cs="Arial"/>
          <w:bCs/>
        </w:rPr>
        <w:t>,</w:t>
      </w:r>
      <w:r w:rsidRPr="009645C3">
        <w:rPr>
          <w:rFonts w:ascii="Arial" w:eastAsia="Calibri" w:hAnsi="Arial" w:cs="Arial"/>
          <w:bCs/>
        </w:rPr>
        <w:t xml:space="preserve"> and then only</w:t>
      </w:r>
      <w:r w:rsidR="001F71CA" w:rsidRPr="009645C3">
        <w:rPr>
          <w:rFonts w:ascii="Arial" w:eastAsia="Calibri" w:hAnsi="Arial" w:cs="Arial"/>
          <w:bCs/>
        </w:rPr>
        <w:t>,</w:t>
      </w:r>
      <w:r w:rsidRPr="009645C3">
        <w:rPr>
          <w:rFonts w:ascii="Arial" w:eastAsia="Calibri" w:hAnsi="Arial" w:cs="Arial"/>
          <w:bCs/>
        </w:rPr>
        <w:t xml:space="preserve"> the applicant’s legal practitioner</w:t>
      </w:r>
      <w:r w:rsidR="009D29BA" w:rsidRPr="009645C3">
        <w:rPr>
          <w:rFonts w:ascii="Arial" w:eastAsia="Calibri" w:hAnsi="Arial" w:cs="Arial"/>
          <w:bCs/>
        </w:rPr>
        <w:t>s</w:t>
      </w:r>
      <w:r w:rsidRPr="009645C3">
        <w:rPr>
          <w:rFonts w:ascii="Arial" w:eastAsia="Calibri" w:hAnsi="Arial" w:cs="Arial"/>
          <w:bCs/>
        </w:rPr>
        <w:t xml:space="preserve"> filed a notice of withdrawal as legal practitioner</w:t>
      </w:r>
      <w:r w:rsidR="009D29BA" w:rsidRPr="009645C3">
        <w:rPr>
          <w:rFonts w:ascii="Arial" w:eastAsia="Calibri" w:hAnsi="Arial" w:cs="Arial"/>
          <w:bCs/>
        </w:rPr>
        <w:t>s</w:t>
      </w:r>
      <w:r w:rsidRPr="009645C3">
        <w:rPr>
          <w:rFonts w:ascii="Arial" w:eastAsia="Calibri" w:hAnsi="Arial" w:cs="Arial"/>
          <w:bCs/>
        </w:rPr>
        <w:t xml:space="preserve"> for the applicant. </w:t>
      </w:r>
    </w:p>
    <w:p w14:paraId="2A0517E3" w14:textId="77777777" w:rsidR="009645C3" w:rsidRPr="009645C3" w:rsidRDefault="009645C3" w:rsidP="009645C3">
      <w:pPr>
        <w:pStyle w:val="ListParagraph"/>
        <w:rPr>
          <w:rFonts w:ascii="Arial" w:eastAsia="Calibri" w:hAnsi="Arial" w:cs="Arial"/>
          <w:bCs/>
        </w:rPr>
      </w:pPr>
    </w:p>
    <w:p w14:paraId="14552E58" w14:textId="0CAEB294" w:rsidR="009645C3" w:rsidRDefault="007525EE" w:rsidP="009645C3">
      <w:pPr>
        <w:pStyle w:val="ListParagraph"/>
        <w:numPr>
          <w:ilvl w:val="0"/>
          <w:numId w:val="7"/>
        </w:numPr>
        <w:spacing w:line="360" w:lineRule="auto"/>
        <w:ind w:left="0" w:firstLine="0"/>
        <w:jc w:val="both"/>
        <w:rPr>
          <w:rFonts w:ascii="Arial" w:hAnsi="Arial" w:cs="Arial"/>
          <w:lang w:val="en-US"/>
        </w:rPr>
      </w:pPr>
      <w:r w:rsidRPr="009645C3">
        <w:rPr>
          <w:rFonts w:ascii="Arial" w:eastAsia="Calibri" w:hAnsi="Arial" w:cs="Arial"/>
          <w:bCs/>
        </w:rPr>
        <w:t>From the record</w:t>
      </w:r>
      <w:r w:rsidR="009D29BA" w:rsidRPr="009645C3">
        <w:rPr>
          <w:rFonts w:ascii="Arial" w:eastAsia="Calibri" w:hAnsi="Arial" w:cs="Arial"/>
          <w:bCs/>
        </w:rPr>
        <w:t>,</w:t>
      </w:r>
      <w:r w:rsidRPr="009645C3">
        <w:rPr>
          <w:rFonts w:ascii="Arial" w:eastAsia="Calibri" w:hAnsi="Arial" w:cs="Arial"/>
          <w:bCs/>
        </w:rPr>
        <w:t xml:space="preserve"> it appears that the notice of withdrawal of the legal practitioner</w:t>
      </w:r>
      <w:r w:rsidR="009D29BA" w:rsidRPr="009645C3">
        <w:rPr>
          <w:rFonts w:ascii="Arial" w:eastAsia="Calibri" w:hAnsi="Arial" w:cs="Arial"/>
          <w:bCs/>
        </w:rPr>
        <w:t>s</w:t>
      </w:r>
      <w:r w:rsidRPr="009645C3">
        <w:rPr>
          <w:rFonts w:ascii="Arial" w:eastAsia="Calibri" w:hAnsi="Arial" w:cs="Arial"/>
          <w:bCs/>
        </w:rPr>
        <w:t xml:space="preserve"> was served on the applicant</w:t>
      </w:r>
      <w:r w:rsidR="009D29BA" w:rsidRPr="009645C3">
        <w:rPr>
          <w:rFonts w:ascii="Arial" w:eastAsia="Calibri" w:hAnsi="Arial" w:cs="Arial"/>
          <w:bCs/>
        </w:rPr>
        <w:t>,</w:t>
      </w:r>
      <w:r w:rsidRPr="009645C3">
        <w:rPr>
          <w:rFonts w:ascii="Arial" w:eastAsia="Calibri" w:hAnsi="Arial" w:cs="Arial"/>
          <w:bCs/>
        </w:rPr>
        <w:t xml:space="preserve"> and there </w:t>
      </w:r>
      <w:r w:rsidR="009D29BA" w:rsidRPr="009645C3">
        <w:rPr>
          <w:rFonts w:ascii="Arial" w:eastAsia="Calibri" w:hAnsi="Arial" w:cs="Arial"/>
          <w:bCs/>
        </w:rPr>
        <w:t>i</w:t>
      </w:r>
      <w:r w:rsidR="001F71CA" w:rsidRPr="009645C3">
        <w:rPr>
          <w:rFonts w:ascii="Arial" w:eastAsia="Calibri" w:hAnsi="Arial" w:cs="Arial"/>
          <w:bCs/>
        </w:rPr>
        <w:t xml:space="preserve">s </w:t>
      </w:r>
      <w:r w:rsidRPr="009645C3">
        <w:rPr>
          <w:rFonts w:ascii="Arial" w:eastAsia="Calibri" w:hAnsi="Arial" w:cs="Arial"/>
          <w:bCs/>
        </w:rPr>
        <w:t xml:space="preserve">also </w:t>
      </w:r>
      <w:r w:rsidR="001F71CA" w:rsidRPr="009645C3">
        <w:rPr>
          <w:rFonts w:ascii="Arial" w:eastAsia="Calibri" w:hAnsi="Arial" w:cs="Arial"/>
          <w:bCs/>
        </w:rPr>
        <w:t xml:space="preserve">a </w:t>
      </w:r>
      <w:r w:rsidRPr="009645C3">
        <w:rPr>
          <w:rFonts w:ascii="Arial" w:eastAsia="Calibri" w:hAnsi="Arial" w:cs="Arial"/>
          <w:bCs/>
        </w:rPr>
        <w:t xml:space="preserve">return of service </w:t>
      </w:r>
      <w:r w:rsidRPr="009645C3">
        <w:rPr>
          <w:rFonts w:ascii="Arial" w:eastAsia="Calibri" w:hAnsi="Arial" w:cs="Arial"/>
          <w:bCs/>
        </w:rPr>
        <w:lastRenderedPageBreak/>
        <w:t xml:space="preserve">filed of record </w:t>
      </w:r>
      <w:r w:rsidR="001F71CA" w:rsidRPr="009645C3">
        <w:rPr>
          <w:rFonts w:ascii="Arial" w:eastAsia="Calibri" w:hAnsi="Arial" w:cs="Arial"/>
          <w:bCs/>
        </w:rPr>
        <w:t xml:space="preserve">from which it </w:t>
      </w:r>
      <w:r w:rsidRPr="009645C3">
        <w:rPr>
          <w:rFonts w:ascii="Arial" w:eastAsia="Calibri" w:hAnsi="Arial" w:cs="Arial"/>
          <w:bCs/>
        </w:rPr>
        <w:t xml:space="preserve">appears </w:t>
      </w:r>
      <w:r w:rsidR="00DF0624">
        <w:rPr>
          <w:rFonts w:ascii="Arial" w:eastAsia="Calibri" w:hAnsi="Arial" w:cs="Arial"/>
          <w:bCs/>
        </w:rPr>
        <w:t xml:space="preserve">that </w:t>
      </w:r>
      <w:r w:rsidRPr="009645C3">
        <w:rPr>
          <w:rFonts w:ascii="Arial" w:eastAsia="Calibri" w:hAnsi="Arial" w:cs="Arial"/>
          <w:bCs/>
        </w:rPr>
        <w:t>there was service of that notice on the applicant.</w:t>
      </w:r>
    </w:p>
    <w:p w14:paraId="22DFAE0D" w14:textId="77777777" w:rsidR="009645C3" w:rsidRPr="009645C3" w:rsidRDefault="009645C3" w:rsidP="009645C3">
      <w:pPr>
        <w:pStyle w:val="ListParagraph"/>
        <w:rPr>
          <w:rFonts w:ascii="Arial" w:eastAsia="Calibri" w:hAnsi="Arial" w:cs="Arial"/>
          <w:bCs/>
        </w:rPr>
      </w:pPr>
    </w:p>
    <w:p w14:paraId="40B8DC17" w14:textId="77777777" w:rsidR="009645C3" w:rsidRDefault="007525EE" w:rsidP="009645C3">
      <w:pPr>
        <w:pStyle w:val="ListParagraph"/>
        <w:numPr>
          <w:ilvl w:val="0"/>
          <w:numId w:val="7"/>
        </w:numPr>
        <w:spacing w:line="360" w:lineRule="auto"/>
        <w:ind w:left="0" w:firstLine="0"/>
        <w:jc w:val="both"/>
        <w:rPr>
          <w:rFonts w:ascii="Arial" w:hAnsi="Arial" w:cs="Arial"/>
          <w:lang w:val="en-US"/>
        </w:rPr>
      </w:pPr>
      <w:r w:rsidRPr="009645C3">
        <w:rPr>
          <w:rFonts w:ascii="Arial" w:eastAsia="Calibri" w:hAnsi="Arial" w:cs="Arial"/>
          <w:bCs/>
        </w:rPr>
        <w:t>In the court order of 12 July 2023, a representative of the applicant was warned to appear in court</w:t>
      </w:r>
      <w:r w:rsidR="001F71CA" w:rsidRPr="009645C3">
        <w:rPr>
          <w:rFonts w:ascii="Arial" w:eastAsia="Calibri" w:hAnsi="Arial" w:cs="Arial"/>
          <w:bCs/>
        </w:rPr>
        <w:t>,</w:t>
      </w:r>
      <w:r w:rsidRPr="009645C3">
        <w:rPr>
          <w:rFonts w:ascii="Arial" w:eastAsia="Calibri" w:hAnsi="Arial" w:cs="Arial"/>
          <w:bCs/>
        </w:rPr>
        <w:t xml:space="preserve"> and the matter was postponed to 9 August 2023. </w:t>
      </w:r>
    </w:p>
    <w:p w14:paraId="0EE034E7" w14:textId="77777777" w:rsidR="009645C3" w:rsidRPr="009645C3" w:rsidRDefault="009645C3" w:rsidP="009645C3">
      <w:pPr>
        <w:pStyle w:val="ListParagraph"/>
        <w:rPr>
          <w:rFonts w:ascii="Arial" w:eastAsia="Calibri" w:hAnsi="Arial" w:cs="Arial"/>
          <w:bCs/>
        </w:rPr>
      </w:pPr>
    </w:p>
    <w:p w14:paraId="1348FE6D" w14:textId="73C52A22" w:rsidR="009645C3" w:rsidRDefault="00DF0624" w:rsidP="009645C3">
      <w:pPr>
        <w:pStyle w:val="ListParagraph"/>
        <w:numPr>
          <w:ilvl w:val="0"/>
          <w:numId w:val="7"/>
        </w:numPr>
        <w:spacing w:line="360" w:lineRule="auto"/>
        <w:ind w:left="0" w:firstLine="0"/>
        <w:jc w:val="both"/>
        <w:rPr>
          <w:rFonts w:ascii="Arial" w:hAnsi="Arial" w:cs="Arial"/>
          <w:lang w:val="en-US"/>
        </w:rPr>
      </w:pPr>
      <w:r>
        <w:rPr>
          <w:rFonts w:ascii="Arial" w:eastAsia="Calibri" w:hAnsi="Arial" w:cs="Arial"/>
          <w:bCs/>
        </w:rPr>
        <w:t>According to the court order itself, on 9 August 2023, the applicant's president sent a certain Sa</w:t>
      </w:r>
      <w:r w:rsidR="00E8000D">
        <w:rPr>
          <w:rFonts w:ascii="Arial" w:eastAsia="Calibri" w:hAnsi="Arial" w:cs="Arial"/>
          <w:bCs/>
        </w:rPr>
        <w:t>kkie</w:t>
      </w:r>
      <w:r>
        <w:rPr>
          <w:rFonts w:ascii="Arial" w:eastAsia="Calibri" w:hAnsi="Arial" w:cs="Arial"/>
          <w:bCs/>
        </w:rPr>
        <w:t xml:space="preserve"> Malima to inform the court that the applicant needs to engage a legal practitioner. The court then ordered a joint status report on the legal representation request and the way forward, gave dates for those steps,</w:t>
      </w:r>
      <w:r w:rsidR="007525EE" w:rsidRPr="009645C3">
        <w:rPr>
          <w:rFonts w:ascii="Arial" w:eastAsia="Calibri" w:hAnsi="Arial" w:cs="Arial"/>
          <w:bCs/>
        </w:rPr>
        <w:t xml:space="preserve"> and postponed the matter to 20 September 2023.</w:t>
      </w:r>
    </w:p>
    <w:p w14:paraId="72555537" w14:textId="77777777" w:rsidR="009645C3" w:rsidRPr="009645C3" w:rsidRDefault="009645C3" w:rsidP="009645C3">
      <w:pPr>
        <w:pStyle w:val="ListParagraph"/>
        <w:rPr>
          <w:rFonts w:ascii="Arial" w:eastAsia="Calibri" w:hAnsi="Arial" w:cs="Arial"/>
          <w:bCs/>
        </w:rPr>
      </w:pPr>
    </w:p>
    <w:p w14:paraId="319A78B3" w14:textId="229BEA18" w:rsidR="009645C3" w:rsidRPr="00DF0624" w:rsidRDefault="007525EE" w:rsidP="00DF0624">
      <w:pPr>
        <w:pStyle w:val="ListParagraph"/>
        <w:numPr>
          <w:ilvl w:val="0"/>
          <w:numId w:val="7"/>
        </w:numPr>
        <w:spacing w:line="360" w:lineRule="auto"/>
        <w:ind w:left="0" w:firstLine="0"/>
        <w:jc w:val="both"/>
        <w:rPr>
          <w:rFonts w:ascii="Arial" w:hAnsi="Arial" w:cs="Arial"/>
          <w:lang w:val="en-US"/>
        </w:rPr>
      </w:pPr>
      <w:r w:rsidRPr="009645C3">
        <w:rPr>
          <w:rFonts w:ascii="Arial" w:eastAsia="Calibri" w:hAnsi="Arial" w:cs="Arial"/>
          <w:bCs/>
        </w:rPr>
        <w:t xml:space="preserve">At the next appearance, </w:t>
      </w:r>
      <w:r w:rsidR="009645C3" w:rsidRPr="009645C3">
        <w:rPr>
          <w:rFonts w:ascii="Arial" w:eastAsia="Calibri" w:hAnsi="Arial" w:cs="Arial"/>
          <w:bCs/>
        </w:rPr>
        <w:t xml:space="preserve">according to the court order itself, </w:t>
      </w:r>
      <w:r w:rsidRPr="009645C3">
        <w:rPr>
          <w:rFonts w:ascii="Arial" w:eastAsia="Calibri" w:hAnsi="Arial" w:cs="Arial"/>
          <w:bCs/>
        </w:rPr>
        <w:t xml:space="preserve">the applicant’s </w:t>
      </w:r>
      <w:r w:rsidR="001F71CA" w:rsidRPr="009645C3">
        <w:rPr>
          <w:rFonts w:ascii="Arial" w:eastAsia="Calibri" w:hAnsi="Arial" w:cs="Arial"/>
          <w:bCs/>
        </w:rPr>
        <w:t>s</w:t>
      </w:r>
      <w:r w:rsidRPr="009645C3">
        <w:rPr>
          <w:rFonts w:ascii="Arial" w:eastAsia="Calibri" w:hAnsi="Arial" w:cs="Arial"/>
          <w:bCs/>
        </w:rPr>
        <w:t xml:space="preserve">ecretary </w:t>
      </w:r>
      <w:r w:rsidR="001F71CA" w:rsidRPr="009645C3">
        <w:rPr>
          <w:rFonts w:ascii="Arial" w:eastAsia="Calibri" w:hAnsi="Arial" w:cs="Arial"/>
          <w:bCs/>
        </w:rPr>
        <w:t>g</w:t>
      </w:r>
      <w:r w:rsidRPr="009645C3">
        <w:rPr>
          <w:rFonts w:ascii="Arial" w:eastAsia="Calibri" w:hAnsi="Arial" w:cs="Arial"/>
          <w:bCs/>
        </w:rPr>
        <w:t>eneral informed the court that the applicant need</w:t>
      </w:r>
      <w:r w:rsidR="001F71CA" w:rsidRPr="009645C3">
        <w:rPr>
          <w:rFonts w:ascii="Arial" w:eastAsia="Calibri" w:hAnsi="Arial" w:cs="Arial"/>
          <w:bCs/>
        </w:rPr>
        <w:t>ed</w:t>
      </w:r>
      <w:r w:rsidRPr="009645C3">
        <w:rPr>
          <w:rFonts w:ascii="Arial" w:eastAsia="Calibri" w:hAnsi="Arial" w:cs="Arial"/>
          <w:bCs/>
        </w:rPr>
        <w:t xml:space="preserve"> more time for legal representation. The applicant at that stage failed to participate in </w:t>
      </w:r>
      <w:r w:rsidR="009645C3" w:rsidRPr="009645C3">
        <w:rPr>
          <w:rFonts w:ascii="Arial" w:eastAsia="Calibri" w:hAnsi="Arial" w:cs="Arial"/>
          <w:bCs/>
        </w:rPr>
        <w:t>a</w:t>
      </w:r>
      <w:r w:rsidRPr="009645C3">
        <w:rPr>
          <w:rFonts w:ascii="Arial" w:eastAsia="Calibri" w:hAnsi="Arial" w:cs="Arial"/>
          <w:bCs/>
        </w:rPr>
        <w:t xml:space="preserve"> joint status report</w:t>
      </w:r>
      <w:r w:rsidR="001F71CA" w:rsidRPr="009645C3">
        <w:rPr>
          <w:rFonts w:ascii="Arial" w:eastAsia="Calibri" w:hAnsi="Arial" w:cs="Arial"/>
          <w:bCs/>
        </w:rPr>
        <w:t>,</w:t>
      </w:r>
      <w:r w:rsidRPr="009645C3">
        <w:rPr>
          <w:rFonts w:ascii="Arial" w:eastAsia="Calibri" w:hAnsi="Arial" w:cs="Arial"/>
          <w:bCs/>
        </w:rPr>
        <w:t xml:space="preserve"> and the court noted repeated withdrawal</w:t>
      </w:r>
      <w:r w:rsidR="009645C3" w:rsidRPr="009645C3">
        <w:rPr>
          <w:rFonts w:ascii="Arial" w:eastAsia="Calibri" w:hAnsi="Arial" w:cs="Arial"/>
          <w:bCs/>
        </w:rPr>
        <w:t>s</w:t>
      </w:r>
      <w:r w:rsidRPr="009645C3">
        <w:rPr>
          <w:rFonts w:ascii="Arial" w:eastAsia="Calibri" w:hAnsi="Arial" w:cs="Arial"/>
          <w:bCs/>
        </w:rPr>
        <w:t xml:space="preserve"> of the applicant’s legal practitioners which delayed the matter and resulted in costs to the respondent</w:t>
      </w:r>
      <w:r w:rsidR="001F71CA" w:rsidRPr="009645C3">
        <w:rPr>
          <w:rFonts w:ascii="Arial" w:eastAsia="Calibri" w:hAnsi="Arial" w:cs="Arial"/>
          <w:bCs/>
        </w:rPr>
        <w:t>s</w:t>
      </w:r>
      <w:r w:rsidRPr="009645C3">
        <w:rPr>
          <w:rFonts w:ascii="Arial" w:eastAsia="Calibri" w:hAnsi="Arial" w:cs="Arial"/>
          <w:bCs/>
        </w:rPr>
        <w:t>. Based on that court order, the applicant’s representative was informed of the obligations on litigant</w:t>
      </w:r>
      <w:r w:rsidR="001F71CA" w:rsidRPr="009645C3">
        <w:rPr>
          <w:rFonts w:ascii="Arial" w:eastAsia="Calibri" w:hAnsi="Arial" w:cs="Arial"/>
          <w:bCs/>
        </w:rPr>
        <w:t>s</w:t>
      </w:r>
      <w:r w:rsidRPr="009645C3">
        <w:rPr>
          <w:rFonts w:ascii="Arial" w:eastAsia="Calibri" w:hAnsi="Arial" w:cs="Arial"/>
          <w:bCs/>
        </w:rPr>
        <w:t xml:space="preserve"> set out in r 19 and that consequences may arise for non-compliance with those obligations. The applicant was then ordered to show cause in an affidavit for its failure to comply with a certain court order.</w:t>
      </w:r>
      <w:r w:rsidR="00DF0624">
        <w:rPr>
          <w:rFonts w:ascii="Arial" w:hAnsi="Arial" w:cs="Arial"/>
          <w:lang w:val="en-US"/>
        </w:rPr>
        <w:t xml:space="preserve"> </w:t>
      </w:r>
      <w:r w:rsidRPr="00DF0624">
        <w:rPr>
          <w:rFonts w:ascii="Arial" w:eastAsia="Calibri" w:hAnsi="Arial" w:cs="Arial"/>
          <w:bCs/>
        </w:rPr>
        <w:t xml:space="preserve">The condonation </w:t>
      </w:r>
      <w:r w:rsidR="009645C3" w:rsidRPr="00DF0624">
        <w:rPr>
          <w:rFonts w:ascii="Arial" w:eastAsia="Calibri" w:hAnsi="Arial" w:cs="Arial"/>
          <w:bCs/>
        </w:rPr>
        <w:t>affidavit</w:t>
      </w:r>
      <w:r w:rsidRPr="00DF0624">
        <w:rPr>
          <w:rFonts w:ascii="Arial" w:eastAsia="Calibri" w:hAnsi="Arial" w:cs="Arial"/>
          <w:bCs/>
        </w:rPr>
        <w:t xml:space="preserve"> referred to there</w:t>
      </w:r>
      <w:r w:rsidR="00103E13" w:rsidRPr="00DF0624">
        <w:rPr>
          <w:rFonts w:ascii="Arial" w:eastAsia="Calibri" w:hAnsi="Arial" w:cs="Arial"/>
          <w:bCs/>
        </w:rPr>
        <w:t>in</w:t>
      </w:r>
      <w:r w:rsidRPr="00DF0624">
        <w:rPr>
          <w:rFonts w:ascii="Arial" w:eastAsia="Calibri" w:hAnsi="Arial" w:cs="Arial"/>
          <w:bCs/>
        </w:rPr>
        <w:t xml:space="preserve"> was filed on 12 October 2023</w:t>
      </w:r>
      <w:r w:rsidR="001F71CA" w:rsidRPr="00DF0624">
        <w:rPr>
          <w:rFonts w:ascii="Arial" w:eastAsia="Calibri" w:hAnsi="Arial" w:cs="Arial"/>
          <w:bCs/>
        </w:rPr>
        <w:t>,</w:t>
      </w:r>
      <w:r w:rsidRPr="00DF0624">
        <w:rPr>
          <w:rFonts w:ascii="Arial" w:eastAsia="Calibri" w:hAnsi="Arial" w:cs="Arial"/>
          <w:bCs/>
        </w:rPr>
        <w:t xml:space="preserve"> and in a further status report</w:t>
      </w:r>
      <w:r w:rsidR="00C421F5" w:rsidRPr="00DF0624">
        <w:rPr>
          <w:rFonts w:ascii="Arial" w:eastAsia="Calibri" w:hAnsi="Arial" w:cs="Arial"/>
          <w:bCs/>
        </w:rPr>
        <w:t>,</w:t>
      </w:r>
      <w:r w:rsidRPr="00DF0624">
        <w:rPr>
          <w:rFonts w:ascii="Arial" w:eastAsia="Calibri" w:hAnsi="Arial" w:cs="Arial"/>
          <w:bCs/>
        </w:rPr>
        <w:t xml:space="preserve"> the applicant again failed to participate in the joint report. I am not </w:t>
      </w:r>
      <w:r w:rsidR="00DF0624">
        <w:rPr>
          <w:rFonts w:ascii="Arial" w:eastAsia="Calibri" w:hAnsi="Arial" w:cs="Arial"/>
          <w:bCs/>
        </w:rPr>
        <w:t>blaming the applicant for failing</w:t>
      </w:r>
      <w:r w:rsidRPr="00DF0624">
        <w:rPr>
          <w:rFonts w:ascii="Arial" w:eastAsia="Calibri" w:hAnsi="Arial" w:cs="Arial"/>
          <w:bCs/>
        </w:rPr>
        <w:t xml:space="preserve"> </w:t>
      </w:r>
      <w:r w:rsidR="001F71CA" w:rsidRPr="00DF0624">
        <w:rPr>
          <w:rFonts w:ascii="Arial" w:eastAsia="Calibri" w:hAnsi="Arial" w:cs="Arial"/>
          <w:bCs/>
        </w:rPr>
        <w:t xml:space="preserve">to </w:t>
      </w:r>
      <w:r w:rsidRPr="00DF0624">
        <w:rPr>
          <w:rFonts w:ascii="Arial" w:eastAsia="Calibri" w:hAnsi="Arial" w:cs="Arial"/>
          <w:bCs/>
        </w:rPr>
        <w:t>participat</w:t>
      </w:r>
      <w:r w:rsidR="001F71CA" w:rsidRPr="00DF0624">
        <w:rPr>
          <w:rFonts w:ascii="Arial" w:eastAsia="Calibri" w:hAnsi="Arial" w:cs="Arial"/>
          <w:bCs/>
        </w:rPr>
        <w:t>e</w:t>
      </w:r>
      <w:r w:rsidRPr="00DF0624">
        <w:rPr>
          <w:rFonts w:ascii="Arial" w:eastAsia="Calibri" w:hAnsi="Arial" w:cs="Arial"/>
          <w:bCs/>
        </w:rPr>
        <w:t xml:space="preserve"> in </w:t>
      </w:r>
      <w:r w:rsidR="009645C3" w:rsidRPr="00DF0624">
        <w:rPr>
          <w:rFonts w:ascii="Arial" w:eastAsia="Calibri" w:hAnsi="Arial" w:cs="Arial"/>
          <w:bCs/>
        </w:rPr>
        <w:t>a</w:t>
      </w:r>
      <w:r w:rsidRPr="00DF0624">
        <w:rPr>
          <w:rFonts w:ascii="Arial" w:eastAsia="Calibri" w:hAnsi="Arial" w:cs="Arial"/>
          <w:bCs/>
        </w:rPr>
        <w:t xml:space="preserve"> status report. I am simply repeating what the record indicates</w:t>
      </w:r>
      <w:r w:rsidR="001F71CA" w:rsidRPr="00DF0624">
        <w:rPr>
          <w:rFonts w:ascii="Arial" w:eastAsia="Calibri" w:hAnsi="Arial" w:cs="Arial"/>
          <w:bCs/>
        </w:rPr>
        <w:t>.</w:t>
      </w:r>
      <w:r w:rsidRPr="00DF0624">
        <w:rPr>
          <w:rFonts w:ascii="Arial" w:eastAsia="Calibri" w:hAnsi="Arial" w:cs="Arial"/>
          <w:bCs/>
        </w:rPr>
        <w:t xml:space="preserve"> </w:t>
      </w:r>
      <w:r w:rsidR="001F71CA" w:rsidRPr="00DF0624">
        <w:rPr>
          <w:rFonts w:ascii="Arial" w:eastAsia="Calibri" w:hAnsi="Arial" w:cs="Arial"/>
          <w:bCs/>
        </w:rPr>
        <w:t>T</w:t>
      </w:r>
      <w:r w:rsidRPr="00DF0624">
        <w:rPr>
          <w:rFonts w:ascii="Arial" w:eastAsia="Calibri" w:hAnsi="Arial" w:cs="Arial"/>
          <w:bCs/>
        </w:rPr>
        <w:t>hat fact is</w:t>
      </w:r>
      <w:r w:rsidR="001F71CA" w:rsidRPr="00DF0624">
        <w:rPr>
          <w:rFonts w:ascii="Arial" w:eastAsia="Calibri" w:hAnsi="Arial" w:cs="Arial"/>
          <w:bCs/>
        </w:rPr>
        <w:t>,</w:t>
      </w:r>
      <w:r w:rsidRPr="00DF0624">
        <w:rPr>
          <w:rFonts w:ascii="Arial" w:eastAsia="Calibri" w:hAnsi="Arial" w:cs="Arial"/>
          <w:bCs/>
        </w:rPr>
        <w:t xml:space="preserve"> however</w:t>
      </w:r>
      <w:r w:rsidR="001F71CA" w:rsidRPr="00DF0624">
        <w:rPr>
          <w:rFonts w:ascii="Arial" w:eastAsia="Calibri" w:hAnsi="Arial" w:cs="Arial"/>
          <w:bCs/>
        </w:rPr>
        <w:t>,</w:t>
      </w:r>
      <w:r w:rsidRPr="00DF0624">
        <w:rPr>
          <w:rFonts w:ascii="Arial" w:eastAsia="Calibri" w:hAnsi="Arial" w:cs="Arial"/>
          <w:bCs/>
        </w:rPr>
        <w:t xml:space="preserve"> not entirely relevant</w:t>
      </w:r>
      <w:r w:rsidR="009645C3" w:rsidRPr="00DF0624">
        <w:rPr>
          <w:rFonts w:ascii="Arial" w:eastAsia="Calibri" w:hAnsi="Arial" w:cs="Arial"/>
          <w:bCs/>
        </w:rPr>
        <w:t xml:space="preserve"> </w:t>
      </w:r>
      <w:r w:rsidR="00DF0624">
        <w:rPr>
          <w:rFonts w:ascii="Arial" w:eastAsia="Calibri" w:hAnsi="Arial" w:cs="Arial"/>
          <w:bCs/>
        </w:rPr>
        <w:t>to</w:t>
      </w:r>
      <w:r w:rsidR="009645C3" w:rsidRPr="00DF0624">
        <w:rPr>
          <w:rFonts w:ascii="Arial" w:eastAsia="Calibri" w:hAnsi="Arial" w:cs="Arial"/>
          <w:bCs/>
        </w:rPr>
        <w:t xml:space="preserve"> </w:t>
      </w:r>
      <w:r w:rsidRPr="00DF0624">
        <w:rPr>
          <w:rFonts w:ascii="Arial" w:eastAsia="Calibri" w:hAnsi="Arial" w:cs="Arial"/>
          <w:bCs/>
        </w:rPr>
        <w:t xml:space="preserve">today’s proceedings. </w:t>
      </w:r>
    </w:p>
    <w:p w14:paraId="0E153E47" w14:textId="77777777" w:rsidR="009645C3" w:rsidRPr="009645C3" w:rsidRDefault="009645C3" w:rsidP="009645C3">
      <w:pPr>
        <w:pStyle w:val="ListParagraph"/>
        <w:rPr>
          <w:rFonts w:ascii="Arial" w:eastAsia="Calibri" w:hAnsi="Arial" w:cs="Arial"/>
          <w:bCs/>
        </w:rPr>
      </w:pPr>
    </w:p>
    <w:p w14:paraId="40525E23" w14:textId="41EFD4E6" w:rsidR="009645C3" w:rsidRDefault="00DF0624" w:rsidP="009645C3">
      <w:pPr>
        <w:pStyle w:val="ListParagraph"/>
        <w:numPr>
          <w:ilvl w:val="0"/>
          <w:numId w:val="7"/>
        </w:numPr>
        <w:spacing w:line="360" w:lineRule="auto"/>
        <w:ind w:left="0" w:firstLine="0"/>
        <w:jc w:val="both"/>
        <w:rPr>
          <w:rFonts w:ascii="Arial" w:hAnsi="Arial" w:cs="Arial"/>
          <w:lang w:val="en-US"/>
        </w:rPr>
      </w:pPr>
      <w:r>
        <w:rPr>
          <w:rFonts w:ascii="Arial" w:eastAsia="Calibri" w:hAnsi="Arial" w:cs="Arial"/>
          <w:bCs/>
        </w:rPr>
        <w:t>In the court order of</w:t>
      </w:r>
      <w:r w:rsidR="007525EE" w:rsidRPr="009645C3">
        <w:rPr>
          <w:rFonts w:ascii="Arial" w:eastAsia="Calibri" w:hAnsi="Arial" w:cs="Arial"/>
          <w:bCs/>
        </w:rPr>
        <w:t xml:space="preserve"> 25 October 2023</w:t>
      </w:r>
      <w:r>
        <w:rPr>
          <w:rFonts w:ascii="Arial" w:eastAsia="Calibri" w:hAnsi="Arial" w:cs="Arial"/>
          <w:bCs/>
        </w:rPr>
        <w:t xml:space="preserve">, </w:t>
      </w:r>
      <w:r w:rsidR="007525EE" w:rsidRPr="009645C3">
        <w:rPr>
          <w:rFonts w:ascii="Arial" w:eastAsia="Calibri" w:hAnsi="Arial" w:cs="Arial"/>
          <w:bCs/>
        </w:rPr>
        <w:t>it was re</w:t>
      </w:r>
      <w:r w:rsidR="004816EE">
        <w:rPr>
          <w:rFonts w:ascii="Arial" w:eastAsia="Calibri" w:hAnsi="Arial" w:cs="Arial"/>
          <w:bCs/>
        </w:rPr>
        <w:t>corded</w:t>
      </w:r>
      <w:r w:rsidR="007525EE" w:rsidRPr="009645C3">
        <w:rPr>
          <w:rFonts w:ascii="Arial" w:eastAsia="Calibri" w:hAnsi="Arial" w:cs="Arial"/>
          <w:bCs/>
        </w:rPr>
        <w:t xml:space="preserve"> that a new legal practitioner </w:t>
      </w:r>
      <w:r>
        <w:rPr>
          <w:rFonts w:ascii="Arial" w:eastAsia="Calibri" w:hAnsi="Arial" w:cs="Arial"/>
          <w:bCs/>
        </w:rPr>
        <w:t>would</w:t>
      </w:r>
      <w:r w:rsidR="007525EE" w:rsidRPr="009645C3">
        <w:rPr>
          <w:rFonts w:ascii="Arial" w:eastAsia="Calibri" w:hAnsi="Arial" w:cs="Arial"/>
          <w:bCs/>
        </w:rPr>
        <w:t xml:space="preserve"> come on record for the applicant</w:t>
      </w:r>
      <w:r w:rsidR="004816EE">
        <w:rPr>
          <w:rFonts w:ascii="Arial" w:eastAsia="Calibri" w:hAnsi="Arial" w:cs="Arial"/>
          <w:bCs/>
        </w:rPr>
        <w:t>,</w:t>
      </w:r>
      <w:r w:rsidR="007525EE" w:rsidRPr="009645C3">
        <w:rPr>
          <w:rFonts w:ascii="Arial" w:eastAsia="Calibri" w:hAnsi="Arial" w:cs="Arial"/>
          <w:bCs/>
        </w:rPr>
        <w:t xml:space="preserve"> and the respondent</w:t>
      </w:r>
      <w:r w:rsidR="004816EE">
        <w:rPr>
          <w:rFonts w:ascii="Arial" w:eastAsia="Calibri" w:hAnsi="Arial" w:cs="Arial"/>
          <w:bCs/>
        </w:rPr>
        <w:t>s</w:t>
      </w:r>
      <w:r w:rsidR="007525EE" w:rsidRPr="009645C3">
        <w:rPr>
          <w:rFonts w:ascii="Arial" w:eastAsia="Calibri" w:hAnsi="Arial" w:cs="Arial"/>
          <w:bCs/>
        </w:rPr>
        <w:t xml:space="preserve"> w</w:t>
      </w:r>
      <w:r>
        <w:rPr>
          <w:rFonts w:ascii="Arial" w:eastAsia="Calibri" w:hAnsi="Arial" w:cs="Arial"/>
          <w:bCs/>
        </w:rPr>
        <w:t>ould</w:t>
      </w:r>
      <w:r w:rsidR="007525EE" w:rsidRPr="009645C3">
        <w:rPr>
          <w:rFonts w:ascii="Arial" w:eastAsia="Calibri" w:hAnsi="Arial" w:cs="Arial"/>
          <w:bCs/>
        </w:rPr>
        <w:t xml:space="preserve"> not pur</w:t>
      </w:r>
      <w:r w:rsidR="004816EE">
        <w:rPr>
          <w:rFonts w:ascii="Arial" w:eastAsia="Calibri" w:hAnsi="Arial" w:cs="Arial"/>
          <w:bCs/>
        </w:rPr>
        <w:t>sue ‘</w:t>
      </w:r>
      <w:r w:rsidR="007525EE" w:rsidRPr="009645C3">
        <w:rPr>
          <w:rFonts w:ascii="Arial" w:eastAsia="Calibri" w:hAnsi="Arial" w:cs="Arial"/>
          <w:bCs/>
        </w:rPr>
        <w:t xml:space="preserve">wasted costs </w:t>
      </w:r>
      <w:r w:rsidR="004816EE">
        <w:rPr>
          <w:rFonts w:ascii="Arial" w:eastAsia="Calibri" w:hAnsi="Arial" w:cs="Arial"/>
          <w:bCs/>
        </w:rPr>
        <w:t>for the previous time’</w:t>
      </w:r>
      <w:r w:rsidR="007525EE" w:rsidRPr="009645C3">
        <w:rPr>
          <w:rFonts w:ascii="Arial" w:eastAsia="Calibri" w:hAnsi="Arial" w:cs="Arial"/>
          <w:bCs/>
        </w:rPr>
        <w:t xml:space="preserve">. </w:t>
      </w:r>
    </w:p>
    <w:p w14:paraId="32F249B8" w14:textId="77777777" w:rsidR="009645C3" w:rsidRPr="009645C3" w:rsidRDefault="009645C3" w:rsidP="009645C3">
      <w:pPr>
        <w:pStyle w:val="ListParagraph"/>
        <w:rPr>
          <w:rFonts w:ascii="Arial" w:eastAsia="Calibri" w:hAnsi="Arial" w:cs="Arial"/>
          <w:bCs/>
        </w:rPr>
      </w:pPr>
    </w:p>
    <w:p w14:paraId="6C0BCEEA" w14:textId="09CE0995" w:rsidR="001F71CA" w:rsidRPr="009645C3" w:rsidRDefault="007525EE" w:rsidP="009645C3">
      <w:pPr>
        <w:pStyle w:val="ListParagraph"/>
        <w:numPr>
          <w:ilvl w:val="0"/>
          <w:numId w:val="7"/>
        </w:numPr>
        <w:spacing w:line="360" w:lineRule="auto"/>
        <w:ind w:left="0" w:firstLine="0"/>
        <w:jc w:val="both"/>
        <w:rPr>
          <w:rFonts w:ascii="Arial" w:hAnsi="Arial" w:cs="Arial"/>
          <w:lang w:val="en-US"/>
        </w:rPr>
      </w:pPr>
      <w:r w:rsidRPr="009645C3">
        <w:rPr>
          <w:rFonts w:ascii="Arial" w:eastAsia="Calibri" w:hAnsi="Arial" w:cs="Arial"/>
          <w:bCs/>
        </w:rPr>
        <w:t>Then</w:t>
      </w:r>
      <w:r w:rsidR="001F71CA" w:rsidRPr="009645C3">
        <w:rPr>
          <w:rFonts w:ascii="Arial" w:eastAsia="Calibri" w:hAnsi="Arial" w:cs="Arial"/>
          <w:bCs/>
        </w:rPr>
        <w:t>,</w:t>
      </w:r>
      <w:r w:rsidRPr="009645C3">
        <w:rPr>
          <w:rFonts w:ascii="Arial" w:eastAsia="Calibri" w:hAnsi="Arial" w:cs="Arial"/>
          <w:bCs/>
        </w:rPr>
        <w:t xml:space="preserve"> on 15 November 2023, the matter was postponed to today. </w:t>
      </w:r>
    </w:p>
    <w:p w14:paraId="1C0DC8CB" w14:textId="77777777" w:rsidR="001F71CA" w:rsidRPr="001F71CA" w:rsidRDefault="001F71CA" w:rsidP="001F71CA">
      <w:pPr>
        <w:pStyle w:val="ListParagraph"/>
        <w:rPr>
          <w:rFonts w:ascii="Arial" w:eastAsia="Calibri" w:hAnsi="Arial" w:cs="Arial"/>
          <w:bCs/>
        </w:rPr>
      </w:pPr>
    </w:p>
    <w:p w14:paraId="28ED58CA" w14:textId="4319C943" w:rsidR="007525EE" w:rsidRPr="007525EE" w:rsidRDefault="007525EE" w:rsidP="007525EE">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A notice of motion was not filed together with the condonation affidavit on 27 November 2023</w:t>
      </w:r>
      <w:r w:rsidR="001F71CA">
        <w:rPr>
          <w:rFonts w:ascii="Arial" w:eastAsia="Calibri" w:hAnsi="Arial" w:cs="Arial"/>
          <w:bCs/>
        </w:rPr>
        <w:t>,</w:t>
      </w:r>
      <w:r w:rsidRPr="007525EE">
        <w:rPr>
          <w:rFonts w:ascii="Arial" w:eastAsia="Calibri" w:hAnsi="Arial" w:cs="Arial"/>
          <w:bCs/>
        </w:rPr>
        <w:t xml:space="preserve"> but the affidavit that was filed on 27 November stated</w:t>
      </w:r>
      <w:r w:rsidR="009645C3">
        <w:rPr>
          <w:rFonts w:ascii="Arial" w:eastAsia="Calibri" w:hAnsi="Arial" w:cs="Arial"/>
          <w:bCs/>
        </w:rPr>
        <w:t>, at the top of page 2,</w:t>
      </w:r>
      <w:r w:rsidR="008A5660">
        <w:rPr>
          <w:rFonts w:ascii="Arial" w:eastAsia="Calibri" w:hAnsi="Arial" w:cs="Arial"/>
          <w:bCs/>
        </w:rPr>
        <w:t xml:space="preserve"> </w:t>
      </w:r>
      <w:r w:rsidRPr="007525EE">
        <w:rPr>
          <w:rFonts w:ascii="Arial" w:eastAsia="Calibri" w:hAnsi="Arial" w:cs="Arial"/>
          <w:bCs/>
        </w:rPr>
        <w:t>that the applicant s</w:t>
      </w:r>
      <w:r w:rsidR="001F71CA">
        <w:rPr>
          <w:rFonts w:ascii="Arial" w:eastAsia="Calibri" w:hAnsi="Arial" w:cs="Arial"/>
          <w:bCs/>
        </w:rPr>
        <w:t>ought</w:t>
      </w:r>
      <w:r w:rsidRPr="007525EE">
        <w:rPr>
          <w:rFonts w:ascii="Arial" w:eastAsia="Calibri" w:hAnsi="Arial" w:cs="Arial"/>
          <w:bCs/>
        </w:rPr>
        <w:t xml:space="preserve"> </w:t>
      </w:r>
      <w:r w:rsidR="008A5660">
        <w:rPr>
          <w:rFonts w:ascii="Arial" w:eastAsia="Calibri" w:hAnsi="Arial" w:cs="Arial"/>
          <w:bCs/>
        </w:rPr>
        <w:t>‘</w:t>
      </w:r>
      <w:r w:rsidRPr="007525EE">
        <w:rPr>
          <w:rFonts w:ascii="Arial" w:eastAsia="Calibri" w:hAnsi="Arial" w:cs="Arial"/>
          <w:bCs/>
        </w:rPr>
        <w:t>upliftment of automatic bar for non-</w:t>
      </w:r>
      <w:r w:rsidRPr="007525EE">
        <w:rPr>
          <w:rFonts w:ascii="Arial" w:eastAsia="Calibri" w:hAnsi="Arial" w:cs="Arial"/>
          <w:bCs/>
        </w:rPr>
        <w:lastRenderedPageBreak/>
        <w:t>compliance</w:t>
      </w:r>
      <w:r w:rsidR="008A5660">
        <w:rPr>
          <w:rFonts w:ascii="Arial" w:eastAsia="Calibri" w:hAnsi="Arial" w:cs="Arial"/>
          <w:bCs/>
        </w:rPr>
        <w:t>’</w:t>
      </w:r>
      <w:r w:rsidRPr="007525EE">
        <w:rPr>
          <w:rFonts w:ascii="Arial" w:eastAsia="Calibri" w:hAnsi="Arial" w:cs="Arial"/>
          <w:bCs/>
        </w:rPr>
        <w:t>. The affidavit does not say which non-compliance is the subject matter of the condonation application</w:t>
      </w:r>
      <w:r w:rsidR="00CB5380">
        <w:rPr>
          <w:rFonts w:ascii="Arial" w:eastAsia="Calibri" w:hAnsi="Arial" w:cs="Arial"/>
          <w:bCs/>
        </w:rPr>
        <w:t>,</w:t>
      </w:r>
      <w:r w:rsidRPr="007525EE">
        <w:rPr>
          <w:rFonts w:ascii="Arial" w:eastAsia="Calibri" w:hAnsi="Arial" w:cs="Arial"/>
          <w:bCs/>
        </w:rPr>
        <w:t xml:space="preserve"> but the parties are ad idem that it is the answering affidavit to the counter application. The point that relates to the notice of motion not </w:t>
      </w:r>
      <w:r w:rsidR="004816EE">
        <w:rPr>
          <w:rFonts w:ascii="Arial" w:eastAsia="Calibri" w:hAnsi="Arial" w:cs="Arial"/>
          <w:bCs/>
        </w:rPr>
        <w:t>having been</w:t>
      </w:r>
      <w:r w:rsidRPr="007525EE">
        <w:rPr>
          <w:rFonts w:ascii="Arial" w:eastAsia="Calibri" w:hAnsi="Arial" w:cs="Arial"/>
          <w:bCs/>
        </w:rPr>
        <w:t xml:space="preserve"> filed with the condonation application</w:t>
      </w:r>
      <w:r w:rsidR="004816EE">
        <w:rPr>
          <w:rFonts w:ascii="Arial" w:eastAsia="Calibri" w:hAnsi="Arial" w:cs="Arial"/>
          <w:bCs/>
        </w:rPr>
        <w:t>,</w:t>
      </w:r>
      <w:r w:rsidRPr="007525EE">
        <w:rPr>
          <w:rFonts w:ascii="Arial" w:eastAsia="Calibri" w:hAnsi="Arial" w:cs="Arial"/>
          <w:bCs/>
        </w:rPr>
        <w:t xml:space="preserve"> was abandoned earlier this morning. </w:t>
      </w:r>
    </w:p>
    <w:p w14:paraId="3473FF2C" w14:textId="77777777" w:rsidR="007525EE" w:rsidRPr="007525EE" w:rsidRDefault="007525EE" w:rsidP="007525EE">
      <w:pPr>
        <w:pStyle w:val="ListParagraph"/>
        <w:rPr>
          <w:rFonts w:ascii="Arial" w:eastAsia="Calibri" w:hAnsi="Arial" w:cs="Arial"/>
          <w:bCs/>
        </w:rPr>
      </w:pPr>
    </w:p>
    <w:p w14:paraId="0B3DAAE3" w14:textId="66B6E709" w:rsidR="008A5660" w:rsidRPr="008A5660" w:rsidRDefault="007525EE" w:rsidP="00A80D01">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An opposing affidavit to th</w:t>
      </w:r>
      <w:r w:rsidR="004816EE">
        <w:rPr>
          <w:rFonts w:ascii="Arial" w:eastAsia="Calibri" w:hAnsi="Arial" w:cs="Arial"/>
          <w:bCs/>
        </w:rPr>
        <w:t>e</w:t>
      </w:r>
      <w:r w:rsidRPr="007525EE">
        <w:rPr>
          <w:rFonts w:ascii="Arial" w:eastAsia="Calibri" w:hAnsi="Arial" w:cs="Arial"/>
          <w:bCs/>
        </w:rPr>
        <w:t xml:space="preserve"> application </w:t>
      </w:r>
      <w:r w:rsidR="004816EE">
        <w:rPr>
          <w:rFonts w:ascii="Arial" w:eastAsia="Calibri" w:hAnsi="Arial" w:cs="Arial"/>
          <w:bCs/>
        </w:rPr>
        <w:t xml:space="preserve">now before the court </w:t>
      </w:r>
      <w:r w:rsidRPr="007525EE">
        <w:rPr>
          <w:rFonts w:ascii="Arial" w:eastAsia="Calibri" w:hAnsi="Arial" w:cs="Arial"/>
          <w:bCs/>
        </w:rPr>
        <w:t>was filed on 6 December 2023</w:t>
      </w:r>
      <w:r w:rsidR="00CB5380">
        <w:rPr>
          <w:rFonts w:ascii="Arial" w:eastAsia="Calibri" w:hAnsi="Arial" w:cs="Arial"/>
          <w:bCs/>
        </w:rPr>
        <w:t>,</w:t>
      </w:r>
      <w:r w:rsidRPr="007525EE">
        <w:rPr>
          <w:rFonts w:ascii="Arial" w:eastAsia="Calibri" w:hAnsi="Arial" w:cs="Arial"/>
          <w:bCs/>
        </w:rPr>
        <w:t xml:space="preserve"> and two points in limine were taken</w:t>
      </w:r>
      <w:r w:rsidR="004816EE">
        <w:rPr>
          <w:rFonts w:ascii="Arial" w:eastAsia="Calibri" w:hAnsi="Arial" w:cs="Arial"/>
          <w:bCs/>
        </w:rPr>
        <w:t>. The first, which I just referred to, was abandoned. The second related to non-compliance with rules 32(9) and (10), which</w:t>
      </w:r>
      <w:r w:rsidRPr="007525EE">
        <w:rPr>
          <w:rFonts w:ascii="Arial" w:eastAsia="Calibri" w:hAnsi="Arial" w:cs="Arial"/>
          <w:bCs/>
        </w:rPr>
        <w:t xml:space="preserve"> </w:t>
      </w:r>
      <w:r w:rsidR="004816EE">
        <w:rPr>
          <w:rFonts w:ascii="Arial" w:eastAsia="Calibri" w:hAnsi="Arial" w:cs="Arial"/>
          <w:bCs/>
        </w:rPr>
        <w:t xml:space="preserve">point </w:t>
      </w:r>
      <w:r w:rsidRPr="007525EE">
        <w:rPr>
          <w:rFonts w:ascii="Arial" w:eastAsia="Calibri" w:hAnsi="Arial" w:cs="Arial"/>
          <w:bCs/>
        </w:rPr>
        <w:t>was also abandoned earlier this morning. Therefore, I am not going to deal with th</w:t>
      </w:r>
      <w:r w:rsidR="00CB5380">
        <w:rPr>
          <w:rFonts w:ascii="Arial" w:eastAsia="Calibri" w:hAnsi="Arial" w:cs="Arial"/>
          <w:bCs/>
        </w:rPr>
        <w:t>o</w:t>
      </w:r>
      <w:r w:rsidRPr="007525EE">
        <w:rPr>
          <w:rFonts w:ascii="Arial" w:eastAsia="Calibri" w:hAnsi="Arial" w:cs="Arial"/>
          <w:bCs/>
        </w:rPr>
        <w:t>se points.</w:t>
      </w:r>
      <w:r w:rsidR="00A80D01">
        <w:rPr>
          <w:rFonts w:ascii="Arial" w:eastAsia="Calibri" w:hAnsi="Arial" w:cs="Arial"/>
          <w:bCs/>
        </w:rPr>
        <w:t xml:space="preserve"> </w:t>
      </w:r>
    </w:p>
    <w:p w14:paraId="57D1749F" w14:textId="77777777" w:rsidR="008A5660" w:rsidRPr="008A5660" w:rsidRDefault="008A5660" w:rsidP="008A5660">
      <w:pPr>
        <w:pStyle w:val="ListParagraph"/>
        <w:rPr>
          <w:rFonts w:ascii="Arial" w:eastAsia="Calibri" w:hAnsi="Arial" w:cs="Arial"/>
          <w:bCs/>
        </w:rPr>
      </w:pPr>
    </w:p>
    <w:p w14:paraId="5150BC9F" w14:textId="5BC76369" w:rsidR="00CB5380" w:rsidRPr="00A80D01" w:rsidRDefault="007525EE" w:rsidP="00A80D01">
      <w:pPr>
        <w:pStyle w:val="ListParagraph"/>
        <w:numPr>
          <w:ilvl w:val="0"/>
          <w:numId w:val="2"/>
        </w:numPr>
        <w:spacing w:line="360" w:lineRule="auto"/>
        <w:ind w:left="0" w:firstLine="0"/>
        <w:jc w:val="both"/>
        <w:rPr>
          <w:rFonts w:ascii="Arial" w:hAnsi="Arial" w:cs="Arial"/>
          <w:lang w:val="en-US"/>
        </w:rPr>
      </w:pPr>
      <w:r w:rsidRPr="008A5660">
        <w:rPr>
          <w:rFonts w:ascii="Arial" w:eastAsia="Calibri" w:hAnsi="Arial" w:cs="Arial"/>
          <w:bCs/>
        </w:rPr>
        <w:t>On 18 November 2023, another notice of</w:t>
      </w:r>
      <w:r w:rsidRPr="00A80D01">
        <w:rPr>
          <w:rFonts w:ascii="Arial" w:eastAsia="Calibri" w:hAnsi="Arial" w:cs="Arial"/>
          <w:bCs/>
        </w:rPr>
        <w:t xml:space="preserve"> motion and affidavit was filed for condon</w:t>
      </w:r>
      <w:r w:rsidR="00CB5380" w:rsidRPr="00A80D01">
        <w:rPr>
          <w:rFonts w:ascii="Arial" w:eastAsia="Calibri" w:hAnsi="Arial" w:cs="Arial"/>
          <w:bCs/>
        </w:rPr>
        <w:t>ation</w:t>
      </w:r>
      <w:r w:rsidRPr="00A80D01">
        <w:rPr>
          <w:rFonts w:ascii="Arial" w:eastAsia="Calibri" w:hAnsi="Arial" w:cs="Arial"/>
          <w:bCs/>
        </w:rPr>
        <w:t xml:space="preserve"> for the failure to file the notice of motion for today’s application together with the condonation application. The reason </w:t>
      </w:r>
      <w:r w:rsidR="00CB5380" w:rsidRPr="00A80D01">
        <w:rPr>
          <w:rFonts w:ascii="Arial" w:eastAsia="Calibri" w:hAnsi="Arial" w:cs="Arial"/>
          <w:bCs/>
        </w:rPr>
        <w:t>was</w:t>
      </w:r>
      <w:r w:rsidRPr="00A80D01">
        <w:rPr>
          <w:rFonts w:ascii="Arial" w:eastAsia="Calibri" w:hAnsi="Arial" w:cs="Arial"/>
          <w:bCs/>
        </w:rPr>
        <w:t xml:space="preserve"> that there was an oversight when the papers were loaded onto e-justice</w:t>
      </w:r>
      <w:r w:rsidR="00CB5380" w:rsidRPr="00A80D01">
        <w:rPr>
          <w:rFonts w:ascii="Arial" w:eastAsia="Calibri" w:hAnsi="Arial" w:cs="Arial"/>
          <w:bCs/>
        </w:rPr>
        <w:t>,</w:t>
      </w:r>
      <w:r w:rsidRPr="00A80D01">
        <w:rPr>
          <w:rFonts w:ascii="Arial" w:eastAsia="Calibri" w:hAnsi="Arial" w:cs="Arial"/>
          <w:bCs/>
        </w:rPr>
        <w:t xml:space="preserve"> and the notice of motion was not loaded together with the affidavit. </w:t>
      </w:r>
    </w:p>
    <w:p w14:paraId="2160F628" w14:textId="77777777" w:rsidR="00CB5380" w:rsidRPr="00CB5380" w:rsidRDefault="00CB5380" w:rsidP="00CB5380">
      <w:pPr>
        <w:pStyle w:val="ListParagraph"/>
        <w:rPr>
          <w:rFonts w:ascii="Arial" w:eastAsia="Calibri" w:hAnsi="Arial" w:cs="Arial"/>
          <w:bCs/>
        </w:rPr>
      </w:pPr>
    </w:p>
    <w:p w14:paraId="61619BEA" w14:textId="6C9345A4" w:rsidR="00CB5380" w:rsidRPr="00CB5380" w:rsidRDefault="004816EE" w:rsidP="007525EE">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I will first address the merits of the condonation application based on the affidavit filed in support of it, and if necessary, I will address the issue regarding the notice of motion, </w:t>
      </w:r>
      <w:r w:rsidR="00E8000D">
        <w:rPr>
          <w:rFonts w:ascii="Arial" w:eastAsia="Calibri" w:hAnsi="Arial" w:cs="Arial"/>
          <w:bCs/>
        </w:rPr>
        <w:t>particularly</w:t>
      </w:r>
      <w:r w:rsidR="007525EE" w:rsidRPr="007525EE">
        <w:rPr>
          <w:rFonts w:ascii="Arial" w:eastAsia="Calibri" w:hAnsi="Arial" w:cs="Arial"/>
          <w:bCs/>
        </w:rPr>
        <w:t xml:space="preserve"> the condonation relating thereto. </w:t>
      </w:r>
    </w:p>
    <w:p w14:paraId="78A74289" w14:textId="77777777" w:rsidR="00CB5380" w:rsidRPr="00CB5380" w:rsidRDefault="00CB5380" w:rsidP="00CB5380">
      <w:pPr>
        <w:pStyle w:val="ListParagraph"/>
        <w:rPr>
          <w:rFonts w:ascii="Arial" w:eastAsia="Calibri" w:hAnsi="Arial" w:cs="Arial"/>
          <w:bCs/>
        </w:rPr>
      </w:pPr>
    </w:p>
    <w:p w14:paraId="239600AD" w14:textId="240D17B5" w:rsidR="007525EE" w:rsidRPr="007525EE" w:rsidRDefault="008A5660" w:rsidP="007525EE">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I now t</w:t>
      </w:r>
      <w:r w:rsidR="007525EE" w:rsidRPr="007525EE">
        <w:rPr>
          <w:rFonts w:ascii="Arial" w:eastAsia="Calibri" w:hAnsi="Arial" w:cs="Arial"/>
          <w:bCs/>
        </w:rPr>
        <w:t>urn</w:t>
      </w:r>
      <w:r>
        <w:rPr>
          <w:rFonts w:ascii="Arial" w:eastAsia="Calibri" w:hAnsi="Arial" w:cs="Arial"/>
          <w:bCs/>
        </w:rPr>
        <w:t xml:space="preserve"> </w:t>
      </w:r>
      <w:r w:rsidR="007525EE" w:rsidRPr="007525EE">
        <w:rPr>
          <w:rFonts w:ascii="Arial" w:eastAsia="Calibri" w:hAnsi="Arial" w:cs="Arial"/>
          <w:bCs/>
        </w:rPr>
        <w:t>to the merits of the condonation application.</w:t>
      </w:r>
    </w:p>
    <w:p w14:paraId="4CA4B47B" w14:textId="77777777" w:rsidR="007525EE" w:rsidRPr="007525EE" w:rsidRDefault="007525EE" w:rsidP="007525EE">
      <w:pPr>
        <w:pStyle w:val="ListParagraph"/>
        <w:rPr>
          <w:rFonts w:ascii="Arial" w:eastAsia="Calibri" w:hAnsi="Arial" w:cs="Arial"/>
          <w:bCs/>
        </w:rPr>
      </w:pPr>
    </w:p>
    <w:p w14:paraId="0BCFDD8C" w14:textId="429F9E89" w:rsidR="007525EE" w:rsidRPr="007525EE" w:rsidRDefault="007525EE" w:rsidP="007525EE">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 xml:space="preserve">The affidavit in support of today’s application was </w:t>
      </w:r>
      <w:r w:rsidR="00CB5380">
        <w:rPr>
          <w:rFonts w:ascii="Arial" w:eastAsia="Calibri" w:hAnsi="Arial" w:cs="Arial"/>
          <w:bCs/>
        </w:rPr>
        <w:t>deposed</w:t>
      </w:r>
      <w:r w:rsidRPr="007525EE">
        <w:rPr>
          <w:rFonts w:ascii="Arial" w:eastAsia="Calibri" w:hAnsi="Arial" w:cs="Arial"/>
          <w:bCs/>
        </w:rPr>
        <w:t xml:space="preserve"> to by the applicant’s </w:t>
      </w:r>
      <w:r w:rsidR="008A5660">
        <w:rPr>
          <w:rFonts w:ascii="Arial" w:eastAsia="Calibri" w:hAnsi="Arial" w:cs="Arial"/>
          <w:bCs/>
        </w:rPr>
        <w:t>s</w:t>
      </w:r>
      <w:r w:rsidRPr="007525EE">
        <w:rPr>
          <w:rFonts w:ascii="Arial" w:eastAsia="Calibri" w:hAnsi="Arial" w:cs="Arial"/>
          <w:bCs/>
        </w:rPr>
        <w:t xml:space="preserve">ecretary </w:t>
      </w:r>
      <w:r w:rsidR="008A5660">
        <w:rPr>
          <w:rFonts w:ascii="Arial" w:eastAsia="Calibri" w:hAnsi="Arial" w:cs="Arial"/>
          <w:bCs/>
        </w:rPr>
        <w:t>g</w:t>
      </w:r>
      <w:r w:rsidRPr="007525EE">
        <w:rPr>
          <w:rFonts w:ascii="Arial" w:eastAsia="Calibri" w:hAnsi="Arial" w:cs="Arial"/>
          <w:bCs/>
        </w:rPr>
        <w:t xml:space="preserve">eneral. The reason for </w:t>
      </w:r>
      <w:r w:rsidR="00CB5380">
        <w:rPr>
          <w:rFonts w:ascii="Arial" w:eastAsia="Calibri" w:hAnsi="Arial" w:cs="Arial"/>
          <w:bCs/>
        </w:rPr>
        <w:t xml:space="preserve">the </w:t>
      </w:r>
      <w:r w:rsidRPr="007525EE">
        <w:rPr>
          <w:rFonts w:ascii="Arial" w:eastAsia="Calibri" w:hAnsi="Arial" w:cs="Arial"/>
          <w:bCs/>
        </w:rPr>
        <w:t xml:space="preserve">non-compliance </w:t>
      </w:r>
      <w:r w:rsidR="00C421F5">
        <w:rPr>
          <w:rFonts w:ascii="Arial" w:eastAsia="Calibri" w:hAnsi="Arial" w:cs="Arial"/>
          <w:bCs/>
        </w:rPr>
        <w:t>is</w:t>
      </w:r>
      <w:r w:rsidRPr="007525EE">
        <w:rPr>
          <w:rFonts w:ascii="Arial" w:eastAsia="Calibri" w:hAnsi="Arial" w:cs="Arial"/>
          <w:bCs/>
        </w:rPr>
        <w:t xml:space="preserve"> contained in one paragraph. It is numbered</w:t>
      </w:r>
      <w:r w:rsidR="00CB5380">
        <w:rPr>
          <w:rFonts w:ascii="Arial" w:eastAsia="Calibri" w:hAnsi="Arial" w:cs="Arial"/>
          <w:bCs/>
        </w:rPr>
        <w:t xml:space="preserve"> </w:t>
      </w:r>
      <w:r w:rsidRPr="007525EE">
        <w:rPr>
          <w:rFonts w:ascii="Arial" w:eastAsia="Calibri" w:hAnsi="Arial" w:cs="Arial"/>
          <w:bCs/>
        </w:rPr>
        <w:t>4.1</w:t>
      </w:r>
      <w:r w:rsidR="00CB5380">
        <w:rPr>
          <w:rFonts w:ascii="Arial" w:eastAsia="Calibri" w:hAnsi="Arial" w:cs="Arial"/>
          <w:bCs/>
        </w:rPr>
        <w:t>,</w:t>
      </w:r>
      <w:r w:rsidRPr="007525EE">
        <w:rPr>
          <w:rFonts w:ascii="Arial" w:eastAsia="Calibri" w:hAnsi="Arial" w:cs="Arial"/>
          <w:bCs/>
        </w:rPr>
        <w:t xml:space="preserve"> and it states that the applicant</w:t>
      </w:r>
      <w:r w:rsidR="00CB5380">
        <w:rPr>
          <w:rFonts w:ascii="Arial" w:eastAsia="Calibri" w:hAnsi="Arial" w:cs="Arial"/>
          <w:bCs/>
        </w:rPr>
        <w:t>’s</w:t>
      </w:r>
      <w:r w:rsidRPr="007525EE">
        <w:rPr>
          <w:rFonts w:ascii="Arial" w:eastAsia="Calibri" w:hAnsi="Arial" w:cs="Arial"/>
          <w:bCs/>
        </w:rPr>
        <w:t xml:space="preserve"> </w:t>
      </w:r>
      <w:r w:rsidR="00CB5380">
        <w:rPr>
          <w:rFonts w:ascii="Arial" w:eastAsia="Calibri" w:hAnsi="Arial" w:cs="Arial"/>
          <w:bCs/>
        </w:rPr>
        <w:t>‘</w:t>
      </w:r>
      <w:r w:rsidRPr="007525EE">
        <w:rPr>
          <w:rFonts w:ascii="Arial" w:eastAsia="Calibri" w:hAnsi="Arial" w:cs="Arial"/>
          <w:bCs/>
        </w:rPr>
        <w:t>legal representation</w:t>
      </w:r>
      <w:r w:rsidR="00CB5380">
        <w:rPr>
          <w:rFonts w:ascii="Arial" w:eastAsia="Calibri" w:hAnsi="Arial" w:cs="Arial"/>
          <w:bCs/>
        </w:rPr>
        <w:t>’</w:t>
      </w:r>
      <w:r w:rsidRPr="007525EE">
        <w:rPr>
          <w:rFonts w:ascii="Arial" w:eastAsia="Calibri" w:hAnsi="Arial" w:cs="Arial"/>
          <w:bCs/>
        </w:rPr>
        <w:t xml:space="preserve"> withdrew from representing the applicant a day before </w:t>
      </w:r>
      <w:r w:rsidR="004816EE">
        <w:rPr>
          <w:rFonts w:ascii="Arial" w:eastAsia="Calibri" w:hAnsi="Arial" w:cs="Arial"/>
          <w:bCs/>
        </w:rPr>
        <w:t xml:space="preserve">the date for </w:t>
      </w:r>
      <w:r w:rsidRPr="007525EE">
        <w:rPr>
          <w:rFonts w:ascii="Arial" w:eastAsia="Calibri" w:hAnsi="Arial" w:cs="Arial"/>
          <w:bCs/>
        </w:rPr>
        <w:t xml:space="preserve">filling the replying affidavit and the answering affidavit to the counter application by the respondents. The affidavit further states that the non-compliance was not </w:t>
      </w:r>
      <w:r w:rsidR="00CB5380" w:rsidRPr="007525EE">
        <w:rPr>
          <w:rFonts w:ascii="Arial" w:eastAsia="Calibri" w:hAnsi="Arial" w:cs="Arial"/>
          <w:bCs/>
        </w:rPr>
        <w:t>wilful</w:t>
      </w:r>
      <w:r w:rsidRPr="007525EE">
        <w:rPr>
          <w:rFonts w:ascii="Arial" w:eastAsia="Calibri" w:hAnsi="Arial" w:cs="Arial"/>
          <w:bCs/>
        </w:rPr>
        <w:t xml:space="preserve"> or deliberate, and it is </w:t>
      </w:r>
      <w:r w:rsidR="00CB5380">
        <w:rPr>
          <w:rFonts w:ascii="Arial" w:eastAsia="Calibri" w:hAnsi="Arial" w:cs="Arial"/>
          <w:bCs/>
        </w:rPr>
        <w:t xml:space="preserve">also </w:t>
      </w:r>
      <w:r w:rsidRPr="007525EE">
        <w:rPr>
          <w:rFonts w:ascii="Arial" w:eastAsia="Calibri" w:hAnsi="Arial" w:cs="Arial"/>
          <w:bCs/>
        </w:rPr>
        <w:t>stated that the delay is minimal and did not cause the applicant prejudice</w:t>
      </w:r>
      <w:r w:rsidR="00CB5380">
        <w:rPr>
          <w:rFonts w:ascii="Arial" w:eastAsia="Calibri" w:hAnsi="Arial" w:cs="Arial"/>
          <w:bCs/>
        </w:rPr>
        <w:t>,</w:t>
      </w:r>
      <w:r w:rsidRPr="007525EE">
        <w:rPr>
          <w:rFonts w:ascii="Arial" w:eastAsia="Calibri" w:hAnsi="Arial" w:cs="Arial"/>
          <w:bCs/>
        </w:rPr>
        <w:t xml:space="preserve"> alternatively</w:t>
      </w:r>
      <w:r w:rsidR="00CB5380">
        <w:rPr>
          <w:rFonts w:ascii="Arial" w:eastAsia="Calibri" w:hAnsi="Arial" w:cs="Arial"/>
          <w:bCs/>
        </w:rPr>
        <w:t>,</w:t>
      </w:r>
      <w:r w:rsidRPr="007525EE">
        <w:rPr>
          <w:rFonts w:ascii="Arial" w:eastAsia="Calibri" w:hAnsi="Arial" w:cs="Arial"/>
          <w:bCs/>
        </w:rPr>
        <w:t xml:space="preserve"> substantial prejudice. It </w:t>
      </w:r>
      <w:r w:rsidR="001C2AF2">
        <w:rPr>
          <w:rFonts w:ascii="Arial" w:eastAsia="Calibri" w:hAnsi="Arial" w:cs="Arial"/>
          <w:bCs/>
        </w:rPr>
        <w:t xml:space="preserve">is </w:t>
      </w:r>
      <w:r w:rsidRPr="007525EE">
        <w:rPr>
          <w:rFonts w:ascii="Arial" w:eastAsia="Calibri" w:hAnsi="Arial" w:cs="Arial"/>
          <w:bCs/>
        </w:rPr>
        <w:t>conclude</w:t>
      </w:r>
      <w:r w:rsidR="001C2AF2">
        <w:rPr>
          <w:rFonts w:ascii="Arial" w:eastAsia="Calibri" w:hAnsi="Arial" w:cs="Arial"/>
          <w:bCs/>
        </w:rPr>
        <w:t>d</w:t>
      </w:r>
      <w:r w:rsidRPr="007525EE">
        <w:rPr>
          <w:rFonts w:ascii="Arial" w:eastAsia="Calibri" w:hAnsi="Arial" w:cs="Arial"/>
          <w:bCs/>
        </w:rPr>
        <w:t xml:space="preserve"> in the affidavit that </w:t>
      </w:r>
      <w:r w:rsidR="001C2AF2">
        <w:rPr>
          <w:rFonts w:ascii="Arial" w:eastAsia="Calibri" w:hAnsi="Arial" w:cs="Arial"/>
          <w:bCs/>
        </w:rPr>
        <w:t xml:space="preserve">a </w:t>
      </w:r>
      <w:r w:rsidRPr="007525EE">
        <w:rPr>
          <w:rFonts w:ascii="Arial" w:eastAsia="Calibri" w:hAnsi="Arial" w:cs="Arial"/>
          <w:bCs/>
        </w:rPr>
        <w:t xml:space="preserve">full and reasonable explanation was given. In one sentence, it is stated that </w:t>
      </w:r>
      <w:r w:rsidR="001C2AF2">
        <w:rPr>
          <w:rFonts w:ascii="Arial" w:eastAsia="Calibri" w:hAnsi="Arial" w:cs="Arial"/>
          <w:bCs/>
        </w:rPr>
        <w:t xml:space="preserve">the </w:t>
      </w:r>
      <w:r w:rsidRPr="007525EE">
        <w:rPr>
          <w:rFonts w:ascii="Arial" w:eastAsia="Calibri" w:hAnsi="Arial" w:cs="Arial"/>
          <w:bCs/>
        </w:rPr>
        <w:t xml:space="preserve">applicant has reasonable </w:t>
      </w:r>
      <w:r w:rsidRPr="007525EE">
        <w:rPr>
          <w:rFonts w:ascii="Arial" w:eastAsia="Calibri" w:hAnsi="Arial" w:cs="Arial"/>
          <w:bCs/>
        </w:rPr>
        <w:lastRenderedPageBreak/>
        <w:t>prospect</w:t>
      </w:r>
      <w:r w:rsidR="001C2AF2">
        <w:rPr>
          <w:rFonts w:ascii="Arial" w:eastAsia="Calibri" w:hAnsi="Arial" w:cs="Arial"/>
          <w:bCs/>
        </w:rPr>
        <w:t>s</w:t>
      </w:r>
      <w:r w:rsidRPr="007525EE">
        <w:rPr>
          <w:rFonts w:ascii="Arial" w:eastAsia="Calibri" w:hAnsi="Arial" w:cs="Arial"/>
          <w:bCs/>
        </w:rPr>
        <w:t xml:space="preserve"> of success in the application filed by it</w:t>
      </w:r>
      <w:r w:rsidR="001C2AF2">
        <w:rPr>
          <w:rFonts w:ascii="Arial" w:eastAsia="Calibri" w:hAnsi="Arial" w:cs="Arial"/>
          <w:bCs/>
        </w:rPr>
        <w:t>,</w:t>
      </w:r>
      <w:r w:rsidRPr="007525EE">
        <w:rPr>
          <w:rFonts w:ascii="Arial" w:eastAsia="Calibri" w:hAnsi="Arial" w:cs="Arial"/>
          <w:bCs/>
        </w:rPr>
        <w:t xml:space="preserve"> which must mean</w:t>
      </w:r>
      <w:r w:rsidR="001C2AF2">
        <w:rPr>
          <w:rFonts w:ascii="Arial" w:eastAsia="Calibri" w:hAnsi="Arial" w:cs="Arial"/>
          <w:bCs/>
        </w:rPr>
        <w:t xml:space="preserve"> </w:t>
      </w:r>
      <w:r w:rsidRPr="007525EE">
        <w:rPr>
          <w:rFonts w:ascii="Arial" w:eastAsia="Calibri" w:hAnsi="Arial" w:cs="Arial"/>
          <w:bCs/>
        </w:rPr>
        <w:t xml:space="preserve">the main application that </w:t>
      </w:r>
      <w:r w:rsidR="004816EE">
        <w:rPr>
          <w:rFonts w:ascii="Arial" w:eastAsia="Calibri" w:hAnsi="Arial" w:cs="Arial"/>
          <w:bCs/>
        </w:rPr>
        <w:t>the applicant filed</w:t>
      </w:r>
      <w:r w:rsidRPr="007525EE">
        <w:rPr>
          <w:rFonts w:ascii="Arial" w:eastAsia="Calibri" w:hAnsi="Arial" w:cs="Arial"/>
          <w:bCs/>
        </w:rPr>
        <w:t>.</w:t>
      </w:r>
    </w:p>
    <w:p w14:paraId="4072F131" w14:textId="77777777" w:rsidR="007525EE" w:rsidRPr="007525EE" w:rsidRDefault="007525EE" w:rsidP="007525EE">
      <w:pPr>
        <w:pStyle w:val="ListParagraph"/>
        <w:rPr>
          <w:rFonts w:ascii="Arial" w:eastAsia="Calibri" w:hAnsi="Arial" w:cs="Arial"/>
          <w:bCs/>
        </w:rPr>
      </w:pPr>
    </w:p>
    <w:p w14:paraId="223563EB" w14:textId="4C03A54C" w:rsidR="007525EE" w:rsidRPr="00D87C13" w:rsidRDefault="007525EE" w:rsidP="00D87C13">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 xml:space="preserve">The explanation provided is not supported by the documents filed of record. In the heads of argument, </w:t>
      </w:r>
      <w:r w:rsidR="004816EE">
        <w:rPr>
          <w:rFonts w:ascii="Arial" w:eastAsia="Calibri" w:hAnsi="Arial" w:cs="Arial"/>
          <w:bCs/>
        </w:rPr>
        <w:t>an attempt was made to explain the filing of the notice of intention to oppose instead of the affidavit, but this argument,</w:t>
      </w:r>
      <w:r w:rsidRPr="007525EE">
        <w:rPr>
          <w:rFonts w:ascii="Arial" w:eastAsia="Calibri" w:hAnsi="Arial" w:cs="Arial"/>
          <w:bCs/>
        </w:rPr>
        <w:t xml:space="preserve"> too</w:t>
      </w:r>
      <w:r w:rsidR="001C2AF2">
        <w:rPr>
          <w:rFonts w:ascii="Arial" w:eastAsia="Calibri" w:hAnsi="Arial" w:cs="Arial"/>
          <w:bCs/>
        </w:rPr>
        <w:t>,</w:t>
      </w:r>
      <w:r w:rsidRPr="007525EE">
        <w:rPr>
          <w:rFonts w:ascii="Arial" w:eastAsia="Calibri" w:hAnsi="Arial" w:cs="Arial"/>
          <w:bCs/>
        </w:rPr>
        <w:t xml:space="preserve"> does not appear to assist the applicant in its case.</w:t>
      </w:r>
      <w:r w:rsidR="00D87C13">
        <w:rPr>
          <w:rFonts w:ascii="Arial" w:eastAsia="Calibri" w:hAnsi="Arial" w:cs="Arial"/>
          <w:bCs/>
        </w:rPr>
        <w:t xml:space="preserve"> </w:t>
      </w:r>
      <w:r w:rsidRPr="00D87C13">
        <w:rPr>
          <w:rFonts w:ascii="Arial" w:eastAsia="Calibri" w:hAnsi="Arial" w:cs="Arial"/>
          <w:bCs/>
        </w:rPr>
        <w:t>The facts are the following</w:t>
      </w:r>
      <w:r w:rsidR="008A5660" w:rsidRPr="00D87C13">
        <w:rPr>
          <w:rFonts w:ascii="Arial" w:eastAsia="Calibri" w:hAnsi="Arial" w:cs="Arial"/>
          <w:bCs/>
        </w:rPr>
        <w:t xml:space="preserve">. </w:t>
      </w:r>
      <w:r w:rsidRPr="00D87C13">
        <w:rPr>
          <w:rFonts w:ascii="Arial" w:eastAsia="Calibri" w:hAnsi="Arial" w:cs="Arial"/>
          <w:bCs/>
        </w:rPr>
        <w:t>The notice of intention to oppose was filed on 9 June 2023</w:t>
      </w:r>
      <w:r w:rsidR="001C2AF2" w:rsidRPr="00D87C13">
        <w:rPr>
          <w:rFonts w:ascii="Arial" w:eastAsia="Calibri" w:hAnsi="Arial" w:cs="Arial"/>
          <w:bCs/>
        </w:rPr>
        <w:t>,</w:t>
      </w:r>
      <w:r w:rsidRPr="00D87C13">
        <w:rPr>
          <w:rFonts w:ascii="Arial" w:eastAsia="Calibri" w:hAnsi="Arial" w:cs="Arial"/>
          <w:bCs/>
        </w:rPr>
        <w:t xml:space="preserve"> and </w:t>
      </w:r>
      <w:r w:rsidR="001C2AF2" w:rsidRPr="00D87C13">
        <w:rPr>
          <w:rFonts w:ascii="Arial" w:eastAsia="Calibri" w:hAnsi="Arial" w:cs="Arial"/>
          <w:bCs/>
        </w:rPr>
        <w:t>as</w:t>
      </w:r>
      <w:r w:rsidRPr="00D87C13">
        <w:rPr>
          <w:rFonts w:ascii="Arial" w:eastAsia="Calibri" w:hAnsi="Arial" w:cs="Arial"/>
          <w:bCs/>
        </w:rPr>
        <w:t xml:space="preserve"> stated before</w:t>
      </w:r>
      <w:r w:rsidR="001C2AF2" w:rsidRPr="00D87C13">
        <w:rPr>
          <w:rFonts w:ascii="Arial" w:eastAsia="Calibri" w:hAnsi="Arial" w:cs="Arial"/>
          <w:bCs/>
        </w:rPr>
        <w:t>,</w:t>
      </w:r>
      <w:r w:rsidRPr="00D87C13">
        <w:rPr>
          <w:rFonts w:ascii="Arial" w:eastAsia="Calibri" w:hAnsi="Arial" w:cs="Arial"/>
          <w:bCs/>
        </w:rPr>
        <w:t xml:space="preserve"> the answering affidavit would have been delivered </w:t>
      </w:r>
      <w:r w:rsidR="004D165B" w:rsidRPr="00D87C13">
        <w:rPr>
          <w:rFonts w:ascii="Arial" w:eastAsia="Calibri" w:hAnsi="Arial" w:cs="Arial"/>
          <w:bCs/>
        </w:rPr>
        <w:t xml:space="preserve">together with the condonation application </w:t>
      </w:r>
      <w:r w:rsidRPr="00D87C13">
        <w:rPr>
          <w:rFonts w:ascii="Arial" w:eastAsia="Calibri" w:hAnsi="Arial" w:cs="Arial"/>
          <w:bCs/>
        </w:rPr>
        <w:t xml:space="preserve">within </w:t>
      </w:r>
      <w:r w:rsidR="001C2AF2" w:rsidRPr="00D87C13">
        <w:rPr>
          <w:rFonts w:ascii="Arial" w:eastAsia="Calibri" w:hAnsi="Arial" w:cs="Arial"/>
          <w:bCs/>
        </w:rPr>
        <w:t>fourteen</w:t>
      </w:r>
      <w:r w:rsidRPr="00D87C13">
        <w:rPr>
          <w:rFonts w:ascii="Arial" w:eastAsia="Calibri" w:hAnsi="Arial" w:cs="Arial"/>
          <w:bCs/>
        </w:rPr>
        <w:t xml:space="preserve"> days from 9 June 2023</w:t>
      </w:r>
      <w:r w:rsidR="001C2AF2" w:rsidRPr="00D87C13">
        <w:rPr>
          <w:rFonts w:ascii="Arial" w:eastAsia="Calibri" w:hAnsi="Arial" w:cs="Arial"/>
          <w:bCs/>
        </w:rPr>
        <w:t>,</w:t>
      </w:r>
      <w:r w:rsidRPr="00D87C13">
        <w:rPr>
          <w:rFonts w:ascii="Arial" w:eastAsia="Calibri" w:hAnsi="Arial" w:cs="Arial"/>
          <w:bCs/>
        </w:rPr>
        <w:t xml:space="preserve"> </w:t>
      </w:r>
      <w:r w:rsidR="008A5660" w:rsidRPr="00D87C13">
        <w:rPr>
          <w:rFonts w:ascii="Arial" w:eastAsia="Calibri" w:hAnsi="Arial" w:cs="Arial"/>
          <w:bCs/>
        </w:rPr>
        <w:t>b</w:t>
      </w:r>
      <w:r w:rsidR="004D165B" w:rsidRPr="00D87C13">
        <w:rPr>
          <w:rFonts w:ascii="Arial" w:eastAsia="Calibri" w:hAnsi="Arial" w:cs="Arial"/>
          <w:bCs/>
        </w:rPr>
        <w:t>eing</w:t>
      </w:r>
      <w:r w:rsidR="008A5660" w:rsidRPr="00D87C13">
        <w:rPr>
          <w:rFonts w:ascii="Arial" w:eastAsia="Calibri" w:hAnsi="Arial" w:cs="Arial"/>
          <w:bCs/>
        </w:rPr>
        <w:t xml:space="preserve"> the</w:t>
      </w:r>
      <w:r w:rsidRPr="00D87C13">
        <w:rPr>
          <w:rFonts w:ascii="Arial" w:eastAsia="Calibri" w:hAnsi="Arial" w:cs="Arial"/>
          <w:bCs/>
        </w:rPr>
        <w:t xml:space="preserve"> date of that notice. Th</w:t>
      </w:r>
      <w:r w:rsidR="00D87C13">
        <w:rPr>
          <w:rFonts w:ascii="Arial" w:eastAsia="Calibri" w:hAnsi="Arial" w:cs="Arial"/>
          <w:bCs/>
        </w:rPr>
        <w:t>at</w:t>
      </w:r>
      <w:r w:rsidRPr="00D87C13">
        <w:rPr>
          <w:rFonts w:ascii="Arial" w:eastAsia="Calibri" w:hAnsi="Arial" w:cs="Arial"/>
          <w:bCs/>
        </w:rPr>
        <w:t xml:space="preserve"> was</w:t>
      </w:r>
      <w:r w:rsidR="001C2AF2" w:rsidRPr="00D87C13">
        <w:rPr>
          <w:rFonts w:ascii="Arial" w:eastAsia="Calibri" w:hAnsi="Arial" w:cs="Arial"/>
          <w:bCs/>
        </w:rPr>
        <w:t>,</w:t>
      </w:r>
      <w:r w:rsidRPr="00D87C13">
        <w:rPr>
          <w:rFonts w:ascii="Arial" w:eastAsia="Calibri" w:hAnsi="Arial" w:cs="Arial"/>
          <w:bCs/>
        </w:rPr>
        <w:t xml:space="preserve"> however</w:t>
      </w:r>
      <w:r w:rsidR="001C2AF2" w:rsidRPr="00D87C13">
        <w:rPr>
          <w:rFonts w:ascii="Arial" w:eastAsia="Calibri" w:hAnsi="Arial" w:cs="Arial"/>
          <w:bCs/>
        </w:rPr>
        <w:t>,</w:t>
      </w:r>
      <w:r w:rsidRPr="00D87C13">
        <w:rPr>
          <w:rFonts w:ascii="Arial" w:eastAsia="Calibri" w:hAnsi="Arial" w:cs="Arial"/>
          <w:bCs/>
        </w:rPr>
        <w:t xml:space="preserve"> done in disregard of the court order, but if one then take</w:t>
      </w:r>
      <w:r w:rsidR="001C2AF2" w:rsidRPr="00D87C13">
        <w:rPr>
          <w:rFonts w:ascii="Arial" w:eastAsia="Calibri" w:hAnsi="Arial" w:cs="Arial"/>
          <w:bCs/>
        </w:rPr>
        <w:t>s</w:t>
      </w:r>
      <w:r w:rsidRPr="00D87C13">
        <w:rPr>
          <w:rFonts w:ascii="Arial" w:eastAsia="Calibri" w:hAnsi="Arial" w:cs="Arial"/>
          <w:bCs/>
        </w:rPr>
        <w:t xml:space="preserve"> the </w:t>
      </w:r>
      <w:r w:rsidR="001C2AF2" w:rsidRPr="00D87C13">
        <w:rPr>
          <w:rFonts w:ascii="Arial" w:eastAsia="Calibri" w:hAnsi="Arial" w:cs="Arial"/>
          <w:bCs/>
        </w:rPr>
        <w:t>fourteen</w:t>
      </w:r>
      <w:r w:rsidRPr="00D87C13">
        <w:rPr>
          <w:rFonts w:ascii="Arial" w:eastAsia="Calibri" w:hAnsi="Arial" w:cs="Arial"/>
          <w:bCs/>
        </w:rPr>
        <w:t xml:space="preserve"> days</w:t>
      </w:r>
      <w:r w:rsidR="001C2AF2" w:rsidRPr="00D87C13">
        <w:rPr>
          <w:rFonts w:ascii="Arial" w:eastAsia="Calibri" w:hAnsi="Arial" w:cs="Arial"/>
          <w:bCs/>
        </w:rPr>
        <w:t>,</w:t>
      </w:r>
      <w:r w:rsidRPr="00D87C13">
        <w:rPr>
          <w:rFonts w:ascii="Arial" w:eastAsia="Calibri" w:hAnsi="Arial" w:cs="Arial"/>
          <w:bCs/>
        </w:rPr>
        <w:t xml:space="preserve"> which is stated in the notice of intention to oppose</w:t>
      </w:r>
      <w:r w:rsidR="001C2AF2" w:rsidRPr="00D87C13">
        <w:rPr>
          <w:rFonts w:ascii="Arial" w:eastAsia="Calibri" w:hAnsi="Arial" w:cs="Arial"/>
          <w:bCs/>
        </w:rPr>
        <w:t>,</w:t>
      </w:r>
      <w:r w:rsidRPr="00D87C13">
        <w:rPr>
          <w:rFonts w:ascii="Arial" w:eastAsia="Calibri" w:hAnsi="Arial" w:cs="Arial"/>
          <w:bCs/>
        </w:rPr>
        <w:t xml:space="preserve"> it comes to an end on 29 June 2023.</w:t>
      </w:r>
      <w:r w:rsidR="00A80D01" w:rsidRPr="00D87C13">
        <w:rPr>
          <w:rFonts w:ascii="Arial" w:hAnsi="Arial" w:cs="Arial"/>
          <w:lang w:val="en-US"/>
        </w:rPr>
        <w:t xml:space="preserve"> </w:t>
      </w:r>
      <w:r w:rsidRPr="00D87C13">
        <w:rPr>
          <w:rFonts w:ascii="Arial" w:eastAsia="Calibri" w:hAnsi="Arial" w:cs="Arial"/>
          <w:bCs/>
        </w:rPr>
        <w:t>The notice of withdrawal of the applicant’s legal practitioner</w:t>
      </w:r>
      <w:r w:rsidR="004D165B" w:rsidRPr="00D87C13">
        <w:rPr>
          <w:rFonts w:ascii="Arial" w:eastAsia="Calibri" w:hAnsi="Arial" w:cs="Arial"/>
          <w:bCs/>
        </w:rPr>
        <w:t xml:space="preserve">s </w:t>
      </w:r>
      <w:r w:rsidRPr="00D87C13">
        <w:rPr>
          <w:rFonts w:ascii="Arial" w:eastAsia="Calibri" w:hAnsi="Arial" w:cs="Arial"/>
          <w:bCs/>
        </w:rPr>
        <w:t>was only filed on 5 July 2023</w:t>
      </w:r>
      <w:r w:rsidR="001C2AF2" w:rsidRPr="00D87C13">
        <w:rPr>
          <w:rFonts w:ascii="Arial" w:eastAsia="Calibri" w:hAnsi="Arial" w:cs="Arial"/>
          <w:bCs/>
        </w:rPr>
        <w:t>, a</w:t>
      </w:r>
      <w:r w:rsidRPr="00D87C13">
        <w:rPr>
          <w:rFonts w:ascii="Arial" w:eastAsia="Calibri" w:hAnsi="Arial" w:cs="Arial"/>
          <w:bCs/>
        </w:rPr>
        <w:t xml:space="preserve">nd that </w:t>
      </w:r>
      <w:r w:rsidR="00D87C13">
        <w:rPr>
          <w:rFonts w:ascii="Arial" w:eastAsia="Calibri" w:hAnsi="Arial" w:cs="Arial"/>
          <w:bCs/>
        </w:rPr>
        <w:t>is not</w:t>
      </w:r>
      <w:r w:rsidRPr="00D87C13">
        <w:rPr>
          <w:rFonts w:ascii="Arial" w:eastAsia="Calibri" w:hAnsi="Arial" w:cs="Arial"/>
          <w:bCs/>
        </w:rPr>
        <w:t xml:space="preserve"> only one day before </w:t>
      </w:r>
      <w:r w:rsidR="001C2AF2" w:rsidRPr="00D87C13">
        <w:rPr>
          <w:rFonts w:ascii="Arial" w:eastAsia="Calibri" w:hAnsi="Arial" w:cs="Arial"/>
          <w:bCs/>
        </w:rPr>
        <w:t xml:space="preserve">the </w:t>
      </w:r>
      <w:r w:rsidRPr="00D87C13">
        <w:rPr>
          <w:rFonts w:ascii="Arial" w:eastAsia="Calibri" w:hAnsi="Arial" w:cs="Arial"/>
          <w:bCs/>
        </w:rPr>
        <w:t>affidavits had to be filed</w:t>
      </w:r>
      <w:r w:rsidR="00D87C13">
        <w:rPr>
          <w:rFonts w:ascii="Arial" w:eastAsia="Calibri" w:hAnsi="Arial" w:cs="Arial"/>
          <w:bCs/>
        </w:rPr>
        <w:t>,</w:t>
      </w:r>
      <w:r w:rsidRPr="00D87C13">
        <w:rPr>
          <w:rFonts w:ascii="Arial" w:eastAsia="Calibri" w:hAnsi="Arial" w:cs="Arial"/>
          <w:bCs/>
        </w:rPr>
        <w:t xml:space="preserve"> as explained in paragraph 4.1 of the affidavit in support of today’s application.</w:t>
      </w:r>
    </w:p>
    <w:p w14:paraId="7546E9A3" w14:textId="77777777" w:rsidR="007525EE" w:rsidRPr="007525EE" w:rsidRDefault="007525EE" w:rsidP="007525EE">
      <w:pPr>
        <w:pStyle w:val="ListParagraph"/>
        <w:rPr>
          <w:rFonts w:ascii="Arial" w:eastAsia="Calibri" w:hAnsi="Arial" w:cs="Arial"/>
          <w:bCs/>
        </w:rPr>
      </w:pPr>
    </w:p>
    <w:p w14:paraId="21040CA2" w14:textId="4A0EACC4" w:rsidR="001C2AF2" w:rsidRPr="007525EE" w:rsidRDefault="001C2AF2" w:rsidP="001C2AF2">
      <w:pPr>
        <w:pStyle w:val="ListParagraph"/>
        <w:numPr>
          <w:ilvl w:val="0"/>
          <w:numId w:val="2"/>
        </w:numPr>
        <w:spacing w:line="360" w:lineRule="auto"/>
        <w:ind w:left="0" w:firstLine="0"/>
        <w:jc w:val="both"/>
        <w:rPr>
          <w:rFonts w:ascii="Arial" w:hAnsi="Arial" w:cs="Arial"/>
          <w:lang w:val="en-US"/>
        </w:rPr>
      </w:pPr>
      <w:r w:rsidRPr="001C2AF2">
        <w:rPr>
          <w:rFonts w:ascii="Arial" w:eastAsia="Calibri" w:hAnsi="Arial" w:cs="Arial"/>
          <w:bCs/>
        </w:rPr>
        <w:t xml:space="preserve">The applicant was not frank in its explanation to </w:t>
      </w:r>
      <w:r w:rsidR="00D87C13">
        <w:rPr>
          <w:rFonts w:ascii="Arial" w:eastAsia="Calibri" w:hAnsi="Arial" w:cs="Arial"/>
          <w:bCs/>
        </w:rPr>
        <w:t xml:space="preserve">the court in that affidavit, nor was the explanation provided reasonable or sufficient </w:t>
      </w:r>
      <w:r w:rsidR="00E8000D">
        <w:rPr>
          <w:rFonts w:ascii="Arial" w:eastAsia="Calibri" w:hAnsi="Arial" w:cs="Arial"/>
          <w:bCs/>
        </w:rPr>
        <w:t xml:space="preserve">if regard is had </w:t>
      </w:r>
      <w:r>
        <w:rPr>
          <w:rFonts w:ascii="Arial" w:eastAsia="Calibri" w:hAnsi="Arial" w:cs="Arial"/>
          <w:bCs/>
        </w:rPr>
        <w:t xml:space="preserve">to </w:t>
      </w:r>
      <w:r w:rsidRPr="001C2AF2">
        <w:rPr>
          <w:rFonts w:ascii="Arial" w:eastAsia="Calibri" w:hAnsi="Arial" w:cs="Arial"/>
          <w:bCs/>
        </w:rPr>
        <w:t xml:space="preserve">the facts and circumstances of this </w:t>
      </w:r>
      <w:r w:rsidR="00E8000D" w:rsidRPr="001C2AF2">
        <w:rPr>
          <w:rFonts w:ascii="Arial" w:eastAsia="Calibri" w:hAnsi="Arial" w:cs="Arial"/>
          <w:bCs/>
        </w:rPr>
        <w:t>matter</w:t>
      </w:r>
      <w:r w:rsidRPr="001C2AF2">
        <w:rPr>
          <w:rFonts w:ascii="Arial" w:eastAsia="Calibri" w:hAnsi="Arial" w:cs="Arial"/>
          <w:bCs/>
        </w:rPr>
        <w:t xml:space="preserve">. </w:t>
      </w:r>
    </w:p>
    <w:p w14:paraId="33656A2F" w14:textId="77777777" w:rsidR="001C2AF2" w:rsidRPr="007525EE" w:rsidRDefault="001C2AF2" w:rsidP="001C2AF2">
      <w:pPr>
        <w:pStyle w:val="ListParagraph"/>
        <w:rPr>
          <w:rFonts w:ascii="Arial" w:eastAsia="Calibri" w:hAnsi="Arial" w:cs="Arial"/>
          <w:bCs/>
        </w:rPr>
      </w:pPr>
    </w:p>
    <w:p w14:paraId="5C9F20EE" w14:textId="303F6700" w:rsidR="004D165B" w:rsidRPr="004D165B" w:rsidRDefault="001C2AF2" w:rsidP="004D165B">
      <w:pPr>
        <w:pStyle w:val="ListParagraph"/>
        <w:numPr>
          <w:ilvl w:val="0"/>
          <w:numId w:val="2"/>
        </w:numPr>
        <w:spacing w:line="360" w:lineRule="auto"/>
        <w:ind w:left="0" w:firstLine="0"/>
        <w:jc w:val="both"/>
        <w:rPr>
          <w:rFonts w:ascii="Arial" w:hAnsi="Arial" w:cs="Arial"/>
          <w:lang w:val="en-US"/>
        </w:rPr>
      </w:pPr>
      <w:r w:rsidRPr="001C2AF2">
        <w:rPr>
          <w:rFonts w:ascii="Arial" w:eastAsia="Calibri" w:hAnsi="Arial" w:cs="Arial"/>
          <w:bCs/>
        </w:rPr>
        <w:t>The delay involved herein is</w:t>
      </w:r>
      <w:r>
        <w:rPr>
          <w:rFonts w:ascii="Arial" w:eastAsia="Calibri" w:hAnsi="Arial" w:cs="Arial"/>
          <w:bCs/>
        </w:rPr>
        <w:t xml:space="preserve"> </w:t>
      </w:r>
      <w:r w:rsidRPr="001C2AF2">
        <w:rPr>
          <w:rFonts w:ascii="Arial" w:eastAsia="Calibri" w:hAnsi="Arial" w:cs="Arial"/>
          <w:bCs/>
        </w:rPr>
        <w:t>not minimal</w:t>
      </w:r>
      <w:r>
        <w:rPr>
          <w:rFonts w:ascii="Arial" w:eastAsia="Calibri" w:hAnsi="Arial" w:cs="Arial"/>
          <w:bCs/>
        </w:rPr>
        <w:t>,</w:t>
      </w:r>
      <w:r w:rsidRPr="001C2AF2">
        <w:rPr>
          <w:rFonts w:ascii="Arial" w:eastAsia="Calibri" w:hAnsi="Arial" w:cs="Arial"/>
          <w:bCs/>
        </w:rPr>
        <w:t xml:space="preserve"> as stated therein. Five months pas</w:t>
      </w:r>
      <w:r>
        <w:rPr>
          <w:rFonts w:ascii="Arial" w:eastAsia="Calibri" w:hAnsi="Arial" w:cs="Arial"/>
          <w:bCs/>
        </w:rPr>
        <w:t>sed</w:t>
      </w:r>
      <w:r w:rsidRPr="001C2AF2">
        <w:rPr>
          <w:rFonts w:ascii="Arial" w:eastAsia="Calibri" w:hAnsi="Arial" w:cs="Arial"/>
          <w:bCs/>
        </w:rPr>
        <w:t xml:space="preserve"> from June 2023 to November 2023 when the court ordered the applicant to file a condonation application. Before that</w:t>
      </w:r>
      <w:r>
        <w:rPr>
          <w:rFonts w:ascii="Arial" w:eastAsia="Calibri" w:hAnsi="Arial" w:cs="Arial"/>
          <w:bCs/>
        </w:rPr>
        <w:t>,</w:t>
      </w:r>
      <w:r w:rsidRPr="001C2AF2">
        <w:rPr>
          <w:rFonts w:ascii="Arial" w:eastAsia="Calibri" w:hAnsi="Arial" w:cs="Arial"/>
          <w:bCs/>
        </w:rPr>
        <w:t xml:space="preserve"> the applicant appears not to have done anything to file a condonation application or take the matter forward. It was the duty of the applicant after its legal practitioner</w:t>
      </w:r>
      <w:r w:rsidR="004D165B">
        <w:rPr>
          <w:rFonts w:ascii="Arial" w:eastAsia="Calibri" w:hAnsi="Arial" w:cs="Arial"/>
          <w:bCs/>
        </w:rPr>
        <w:t>s</w:t>
      </w:r>
      <w:r w:rsidRPr="001C2AF2">
        <w:rPr>
          <w:rFonts w:ascii="Arial" w:eastAsia="Calibri" w:hAnsi="Arial" w:cs="Arial"/>
          <w:bCs/>
        </w:rPr>
        <w:t xml:space="preserve"> withdrew to take the matter forward and not sit idl</w:t>
      </w:r>
      <w:r w:rsidR="00521DA2">
        <w:rPr>
          <w:rFonts w:ascii="Arial" w:eastAsia="Calibri" w:hAnsi="Arial" w:cs="Arial"/>
          <w:bCs/>
        </w:rPr>
        <w:t>y</w:t>
      </w:r>
      <w:r w:rsidRPr="001C2AF2">
        <w:rPr>
          <w:rFonts w:ascii="Arial" w:eastAsia="Calibri" w:hAnsi="Arial" w:cs="Arial"/>
          <w:bCs/>
        </w:rPr>
        <w:t xml:space="preserve"> by. </w:t>
      </w:r>
      <w:r w:rsidR="00D87C13">
        <w:rPr>
          <w:rFonts w:ascii="Arial" w:eastAsia="Calibri" w:hAnsi="Arial" w:cs="Arial"/>
          <w:bCs/>
        </w:rPr>
        <w:t>Such</w:t>
      </w:r>
      <w:r w:rsidRPr="001C2AF2">
        <w:rPr>
          <w:rFonts w:ascii="Arial" w:eastAsia="Calibri" w:hAnsi="Arial" w:cs="Arial"/>
          <w:bCs/>
        </w:rPr>
        <w:t xml:space="preserve"> duty falls </w:t>
      </w:r>
      <w:r w:rsidR="00521DA2">
        <w:rPr>
          <w:rFonts w:ascii="Arial" w:eastAsia="Calibri" w:hAnsi="Arial" w:cs="Arial"/>
          <w:bCs/>
        </w:rPr>
        <w:t xml:space="preserve">on </w:t>
      </w:r>
      <w:r w:rsidRPr="001C2AF2">
        <w:rPr>
          <w:rFonts w:ascii="Arial" w:eastAsia="Calibri" w:hAnsi="Arial" w:cs="Arial"/>
          <w:bCs/>
        </w:rPr>
        <w:t>all litigant</w:t>
      </w:r>
      <w:r w:rsidR="00521DA2">
        <w:rPr>
          <w:rFonts w:ascii="Arial" w:eastAsia="Calibri" w:hAnsi="Arial" w:cs="Arial"/>
          <w:bCs/>
        </w:rPr>
        <w:t>s</w:t>
      </w:r>
      <w:r w:rsidRPr="001C2AF2">
        <w:rPr>
          <w:rFonts w:ascii="Arial" w:eastAsia="Calibri" w:hAnsi="Arial" w:cs="Arial"/>
          <w:bCs/>
        </w:rPr>
        <w:t xml:space="preserve"> in this court.</w:t>
      </w:r>
      <w:r w:rsidR="004D165B">
        <w:rPr>
          <w:rFonts w:ascii="Arial" w:eastAsia="Calibri" w:hAnsi="Arial" w:cs="Arial"/>
          <w:bCs/>
        </w:rPr>
        <w:t xml:space="preserve"> </w:t>
      </w:r>
      <w:r w:rsidRPr="004D165B">
        <w:rPr>
          <w:rFonts w:ascii="Arial" w:eastAsia="Calibri" w:hAnsi="Arial" w:cs="Arial"/>
          <w:bCs/>
        </w:rPr>
        <w:t>What is problematic is that there is no explanation for th</w:t>
      </w:r>
      <w:r w:rsidR="00521DA2" w:rsidRPr="004D165B">
        <w:rPr>
          <w:rFonts w:ascii="Arial" w:eastAsia="Calibri" w:hAnsi="Arial" w:cs="Arial"/>
          <w:bCs/>
        </w:rPr>
        <w:t>at</w:t>
      </w:r>
      <w:r w:rsidRPr="004D165B">
        <w:rPr>
          <w:rFonts w:ascii="Arial" w:eastAsia="Calibri" w:hAnsi="Arial" w:cs="Arial"/>
          <w:bCs/>
        </w:rPr>
        <w:t xml:space="preserve"> five</w:t>
      </w:r>
      <w:r w:rsidR="00521DA2" w:rsidRPr="004D165B">
        <w:rPr>
          <w:rFonts w:ascii="Arial" w:eastAsia="Calibri" w:hAnsi="Arial" w:cs="Arial"/>
          <w:bCs/>
        </w:rPr>
        <w:t>-</w:t>
      </w:r>
      <w:r w:rsidRPr="004D165B">
        <w:rPr>
          <w:rFonts w:ascii="Arial" w:eastAsia="Calibri" w:hAnsi="Arial" w:cs="Arial"/>
          <w:bCs/>
        </w:rPr>
        <w:t>month period.</w:t>
      </w:r>
      <w:r w:rsidR="00514777" w:rsidRPr="004D165B">
        <w:rPr>
          <w:rFonts w:ascii="Arial" w:eastAsia="Calibri" w:hAnsi="Arial" w:cs="Arial"/>
          <w:bCs/>
        </w:rPr>
        <w:t xml:space="preserve"> </w:t>
      </w:r>
    </w:p>
    <w:p w14:paraId="5FBF3D2D" w14:textId="77777777" w:rsidR="004D165B" w:rsidRPr="004D165B" w:rsidRDefault="004D165B" w:rsidP="004D165B">
      <w:pPr>
        <w:pStyle w:val="ListParagraph"/>
        <w:rPr>
          <w:rFonts w:ascii="Arial" w:eastAsia="Calibri" w:hAnsi="Arial" w:cs="Arial"/>
          <w:bCs/>
        </w:rPr>
      </w:pPr>
    </w:p>
    <w:p w14:paraId="76237599" w14:textId="5841D48F" w:rsidR="004D165B" w:rsidRPr="004D165B" w:rsidRDefault="001C2AF2" w:rsidP="004D165B">
      <w:pPr>
        <w:pStyle w:val="ListParagraph"/>
        <w:numPr>
          <w:ilvl w:val="0"/>
          <w:numId w:val="2"/>
        </w:numPr>
        <w:spacing w:line="360" w:lineRule="auto"/>
        <w:ind w:left="0" w:firstLine="0"/>
        <w:jc w:val="both"/>
        <w:rPr>
          <w:rFonts w:ascii="Arial" w:hAnsi="Arial" w:cs="Arial"/>
          <w:lang w:val="en-US"/>
        </w:rPr>
      </w:pPr>
      <w:r w:rsidRPr="004D165B">
        <w:rPr>
          <w:rFonts w:ascii="Arial" w:eastAsia="Calibri" w:hAnsi="Arial" w:cs="Arial"/>
          <w:bCs/>
        </w:rPr>
        <w:t>The court was invited to look at the record and t</w:t>
      </w:r>
      <w:r w:rsidR="00E8000D">
        <w:rPr>
          <w:rFonts w:ascii="Arial" w:eastAsia="Calibri" w:hAnsi="Arial" w:cs="Arial"/>
          <w:bCs/>
        </w:rPr>
        <w:t>ake judicial notice of it. I do not make a determination on the invitation to take judicial notice of it, save to state that what the court is invited to do is not something that</w:t>
      </w:r>
      <w:r w:rsidR="007525EE" w:rsidRPr="004D165B">
        <w:rPr>
          <w:rFonts w:ascii="Arial" w:eastAsia="Calibri" w:hAnsi="Arial" w:cs="Arial"/>
          <w:bCs/>
        </w:rPr>
        <w:t xml:space="preserve"> the court can take judicial notice of. But the court can</w:t>
      </w:r>
      <w:r w:rsidR="00521DA2" w:rsidRPr="004D165B">
        <w:rPr>
          <w:rFonts w:ascii="Arial" w:eastAsia="Calibri" w:hAnsi="Arial" w:cs="Arial"/>
          <w:bCs/>
        </w:rPr>
        <w:t>,</w:t>
      </w:r>
      <w:r w:rsidR="007525EE" w:rsidRPr="004D165B">
        <w:rPr>
          <w:rFonts w:ascii="Arial" w:eastAsia="Calibri" w:hAnsi="Arial" w:cs="Arial"/>
          <w:bCs/>
        </w:rPr>
        <w:t xml:space="preserve"> of course</w:t>
      </w:r>
      <w:r w:rsidR="00521DA2" w:rsidRPr="004D165B">
        <w:rPr>
          <w:rFonts w:ascii="Arial" w:eastAsia="Calibri" w:hAnsi="Arial" w:cs="Arial"/>
          <w:bCs/>
        </w:rPr>
        <w:t>,</w:t>
      </w:r>
      <w:r w:rsidR="007525EE" w:rsidRPr="004D165B">
        <w:rPr>
          <w:rFonts w:ascii="Arial" w:eastAsia="Calibri" w:hAnsi="Arial" w:cs="Arial"/>
          <w:bCs/>
        </w:rPr>
        <w:t xml:space="preserve"> take notice of the court orders that were made and the timeline that goes with th</w:t>
      </w:r>
      <w:r w:rsidR="00E8000D">
        <w:rPr>
          <w:rFonts w:ascii="Arial" w:eastAsia="Calibri" w:hAnsi="Arial" w:cs="Arial"/>
          <w:bCs/>
        </w:rPr>
        <w:t>em</w:t>
      </w:r>
      <w:r w:rsidR="007525EE" w:rsidRPr="004D165B">
        <w:rPr>
          <w:rFonts w:ascii="Arial" w:eastAsia="Calibri" w:hAnsi="Arial" w:cs="Arial"/>
          <w:bCs/>
        </w:rPr>
        <w:t>.</w:t>
      </w:r>
      <w:r w:rsidR="00514777" w:rsidRPr="004D165B">
        <w:rPr>
          <w:rFonts w:ascii="Arial" w:eastAsia="Calibri" w:hAnsi="Arial" w:cs="Arial"/>
          <w:bCs/>
        </w:rPr>
        <w:t xml:space="preserve"> </w:t>
      </w:r>
    </w:p>
    <w:p w14:paraId="49635E00" w14:textId="77777777" w:rsidR="004D165B" w:rsidRPr="004D165B" w:rsidRDefault="004D165B" w:rsidP="004D165B">
      <w:pPr>
        <w:pStyle w:val="ListParagraph"/>
        <w:rPr>
          <w:rFonts w:ascii="Arial" w:eastAsia="Calibri" w:hAnsi="Arial" w:cs="Arial"/>
          <w:bCs/>
        </w:rPr>
      </w:pPr>
    </w:p>
    <w:p w14:paraId="15798E7D" w14:textId="7001E755" w:rsidR="007525EE" w:rsidRPr="004D165B" w:rsidRDefault="007525EE" w:rsidP="004D165B">
      <w:pPr>
        <w:pStyle w:val="ListParagraph"/>
        <w:numPr>
          <w:ilvl w:val="0"/>
          <w:numId w:val="2"/>
        </w:numPr>
        <w:spacing w:line="360" w:lineRule="auto"/>
        <w:ind w:left="0" w:firstLine="0"/>
        <w:jc w:val="both"/>
        <w:rPr>
          <w:rFonts w:ascii="Arial" w:hAnsi="Arial" w:cs="Arial"/>
          <w:lang w:val="en-US"/>
        </w:rPr>
      </w:pPr>
      <w:r w:rsidRPr="004D165B">
        <w:rPr>
          <w:rFonts w:ascii="Arial" w:eastAsia="Calibri" w:hAnsi="Arial" w:cs="Arial"/>
          <w:bCs/>
        </w:rPr>
        <w:lastRenderedPageBreak/>
        <w:t xml:space="preserve">It is trite that in applications of this nature the timing of the condonation application itself is </w:t>
      </w:r>
      <w:r w:rsidR="00521DA2" w:rsidRPr="004D165B">
        <w:rPr>
          <w:rFonts w:ascii="Arial" w:eastAsia="Calibri" w:hAnsi="Arial" w:cs="Arial"/>
          <w:bCs/>
        </w:rPr>
        <w:t>an</w:t>
      </w:r>
      <w:r w:rsidRPr="004D165B">
        <w:rPr>
          <w:rFonts w:ascii="Arial" w:eastAsia="Calibri" w:hAnsi="Arial" w:cs="Arial"/>
          <w:bCs/>
        </w:rPr>
        <w:t xml:space="preserve"> important factor which the court </w:t>
      </w:r>
      <w:r w:rsidR="00D87C13" w:rsidRPr="004D165B">
        <w:rPr>
          <w:rFonts w:ascii="Arial" w:eastAsia="Calibri" w:hAnsi="Arial" w:cs="Arial"/>
          <w:bCs/>
        </w:rPr>
        <w:t>considers</w:t>
      </w:r>
      <w:r w:rsidRPr="004D165B">
        <w:rPr>
          <w:rFonts w:ascii="Arial" w:eastAsia="Calibri" w:hAnsi="Arial" w:cs="Arial"/>
          <w:bCs/>
        </w:rPr>
        <w:t xml:space="preserve"> in coming to its decision.</w:t>
      </w:r>
      <w:r w:rsidR="00514777" w:rsidRPr="004D165B">
        <w:rPr>
          <w:rFonts w:ascii="Arial" w:eastAsia="Calibri" w:hAnsi="Arial" w:cs="Arial"/>
          <w:bCs/>
        </w:rPr>
        <w:t xml:space="preserve"> </w:t>
      </w:r>
      <w:r w:rsidRPr="004D165B">
        <w:rPr>
          <w:rFonts w:ascii="Arial" w:eastAsia="Calibri" w:hAnsi="Arial" w:cs="Arial"/>
          <w:bCs/>
        </w:rPr>
        <w:t xml:space="preserve">As of today, it is more than 8 months from when the applicant was ordered to file </w:t>
      </w:r>
      <w:r w:rsidR="004D165B" w:rsidRPr="004D165B">
        <w:rPr>
          <w:rFonts w:ascii="Arial" w:eastAsia="Calibri" w:hAnsi="Arial" w:cs="Arial"/>
          <w:bCs/>
        </w:rPr>
        <w:t xml:space="preserve">the </w:t>
      </w:r>
      <w:r w:rsidRPr="004D165B">
        <w:rPr>
          <w:rFonts w:ascii="Arial" w:eastAsia="Calibri" w:hAnsi="Arial" w:cs="Arial"/>
          <w:bCs/>
        </w:rPr>
        <w:t xml:space="preserve">papers and it did not do so to this day. It also did not attempt to present the court with an answering affidavit in </w:t>
      </w:r>
      <w:r w:rsidR="004D165B">
        <w:rPr>
          <w:rFonts w:ascii="Arial" w:eastAsia="Calibri" w:hAnsi="Arial" w:cs="Arial"/>
          <w:bCs/>
        </w:rPr>
        <w:t>its</w:t>
      </w:r>
      <w:r w:rsidRPr="004D165B">
        <w:rPr>
          <w:rFonts w:ascii="Arial" w:eastAsia="Calibri" w:hAnsi="Arial" w:cs="Arial"/>
          <w:bCs/>
        </w:rPr>
        <w:t xml:space="preserve"> condonation application</w:t>
      </w:r>
      <w:r w:rsidR="008C0814">
        <w:rPr>
          <w:rFonts w:ascii="Arial" w:eastAsia="Calibri" w:hAnsi="Arial" w:cs="Arial"/>
          <w:bCs/>
        </w:rPr>
        <w:t xml:space="preserve">, thereby </w:t>
      </w:r>
      <w:r w:rsidR="004D165B">
        <w:rPr>
          <w:rFonts w:ascii="Arial" w:eastAsia="Calibri" w:hAnsi="Arial" w:cs="Arial"/>
          <w:bCs/>
        </w:rPr>
        <w:t>ask</w:t>
      </w:r>
      <w:r w:rsidR="008C0814">
        <w:rPr>
          <w:rFonts w:ascii="Arial" w:eastAsia="Calibri" w:hAnsi="Arial" w:cs="Arial"/>
          <w:bCs/>
        </w:rPr>
        <w:t>ing</w:t>
      </w:r>
      <w:r w:rsidRPr="004D165B">
        <w:rPr>
          <w:rFonts w:ascii="Arial" w:eastAsia="Calibri" w:hAnsi="Arial" w:cs="Arial"/>
          <w:bCs/>
        </w:rPr>
        <w:t xml:space="preserve"> for </w:t>
      </w:r>
      <w:r w:rsidR="004D165B">
        <w:rPr>
          <w:rFonts w:ascii="Arial" w:eastAsia="Calibri" w:hAnsi="Arial" w:cs="Arial"/>
          <w:bCs/>
        </w:rPr>
        <w:t xml:space="preserve">an </w:t>
      </w:r>
      <w:r w:rsidRPr="004D165B">
        <w:rPr>
          <w:rFonts w:ascii="Arial" w:eastAsia="Calibri" w:hAnsi="Arial" w:cs="Arial"/>
          <w:bCs/>
        </w:rPr>
        <w:t xml:space="preserve">extension of time to file </w:t>
      </w:r>
      <w:r w:rsidR="008C0814">
        <w:rPr>
          <w:rFonts w:ascii="Arial" w:eastAsia="Calibri" w:hAnsi="Arial" w:cs="Arial"/>
          <w:bCs/>
        </w:rPr>
        <w:t>such</w:t>
      </w:r>
      <w:r w:rsidRPr="004D165B">
        <w:rPr>
          <w:rFonts w:ascii="Arial" w:eastAsia="Calibri" w:hAnsi="Arial" w:cs="Arial"/>
          <w:bCs/>
        </w:rPr>
        <w:t xml:space="preserve"> </w:t>
      </w:r>
      <w:r w:rsidR="008C0814">
        <w:rPr>
          <w:rFonts w:ascii="Arial" w:eastAsia="Calibri" w:hAnsi="Arial" w:cs="Arial"/>
          <w:bCs/>
        </w:rPr>
        <w:t xml:space="preserve">an </w:t>
      </w:r>
      <w:r w:rsidR="004D165B">
        <w:rPr>
          <w:rFonts w:ascii="Arial" w:eastAsia="Calibri" w:hAnsi="Arial" w:cs="Arial"/>
          <w:bCs/>
        </w:rPr>
        <w:t xml:space="preserve">affidavit </w:t>
      </w:r>
      <w:r w:rsidRPr="004D165B">
        <w:rPr>
          <w:rFonts w:ascii="Arial" w:eastAsia="Calibri" w:hAnsi="Arial" w:cs="Arial"/>
          <w:bCs/>
        </w:rPr>
        <w:t xml:space="preserve">and </w:t>
      </w:r>
      <w:r w:rsidR="008C0814">
        <w:rPr>
          <w:rFonts w:ascii="Arial" w:eastAsia="Calibri" w:hAnsi="Arial" w:cs="Arial"/>
          <w:bCs/>
        </w:rPr>
        <w:t xml:space="preserve">for the court to </w:t>
      </w:r>
      <w:r w:rsidR="004D165B" w:rsidRPr="004D165B">
        <w:rPr>
          <w:rFonts w:ascii="Arial" w:eastAsia="Calibri" w:hAnsi="Arial" w:cs="Arial"/>
          <w:bCs/>
        </w:rPr>
        <w:t>accept</w:t>
      </w:r>
      <w:r w:rsidRPr="004D165B">
        <w:rPr>
          <w:rFonts w:ascii="Arial" w:eastAsia="Calibri" w:hAnsi="Arial" w:cs="Arial"/>
          <w:bCs/>
        </w:rPr>
        <w:t xml:space="preserve"> </w:t>
      </w:r>
      <w:r w:rsidR="008C0814">
        <w:rPr>
          <w:rFonts w:ascii="Arial" w:eastAsia="Calibri" w:hAnsi="Arial" w:cs="Arial"/>
          <w:bCs/>
        </w:rPr>
        <w:t>it as such</w:t>
      </w:r>
      <w:r w:rsidRPr="004D165B">
        <w:rPr>
          <w:rFonts w:ascii="Arial" w:eastAsia="Calibri" w:hAnsi="Arial" w:cs="Arial"/>
          <w:bCs/>
        </w:rPr>
        <w:t>.</w:t>
      </w:r>
    </w:p>
    <w:p w14:paraId="735C154B" w14:textId="77777777" w:rsidR="007525EE" w:rsidRPr="007525EE" w:rsidRDefault="007525EE" w:rsidP="007525EE">
      <w:pPr>
        <w:pStyle w:val="ListParagraph"/>
        <w:rPr>
          <w:rFonts w:ascii="Arial" w:eastAsia="Calibri" w:hAnsi="Arial" w:cs="Arial"/>
          <w:bCs/>
        </w:rPr>
      </w:pPr>
    </w:p>
    <w:p w14:paraId="306F3E5D" w14:textId="1457B82C" w:rsidR="00514777" w:rsidRPr="00514777" w:rsidRDefault="00521DA2" w:rsidP="007525EE">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The a</w:t>
      </w:r>
      <w:r w:rsidR="007525EE" w:rsidRPr="007525EE">
        <w:rPr>
          <w:rFonts w:ascii="Arial" w:eastAsia="Calibri" w:hAnsi="Arial" w:cs="Arial"/>
          <w:bCs/>
        </w:rPr>
        <w:t>pplicant’s argument is that if the court gives condonation</w:t>
      </w:r>
      <w:r>
        <w:rPr>
          <w:rFonts w:ascii="Arial" w:eastAsia="Calibri" w:hAnsi="Arial" w:cs="Arial"/>
          <w:bCs/>
        </w:rPr>
        <w:t>,</w:t>
      </w:r>
      <w:r w:rsidR="007525EE" w:rsidRPr="007525EE">
        <w:rPr>
          <w:rFonts w:ascii="Arial" w:eastAsia="Calibri" w:hAnsi="Arial" w:cs="Arial"/>
          <w:bCs/>
        </w:rPr>
        <w:t xml:space="preserve"> upliftment follows. That is</w:t>
      </w:r>
      <w:r>
        <w:rPr>
          <w:rFonts w:ascii="Arial" w:eastAsia="Calibri" w:hAnsi="Arial" w:cs="Arial"/>
          <w:bCs/>
        </w:rPr>
        <w:t>,</w:t>
      </w:r>
      <w:r w:rsidR="007525EE" w:rsidRPr="007525EE">
        <w:rPr>
          <w:rFonts w:ascii="Arial" w:eastAsia="Calibri" w:hAnsi="Arial" w:cs="Arial"/>
          <w:bCs/>
        </w:rPr>
        <w:t xml:space="preserve"> however</w:t>
      </w:r>
      <w:r>
        <w:rPr>
          <w:rFonts w:ascii="Arial" w:eastAsia="Calibri" w:hAnsi="Arial" w:cs="Arial"/>
          <w:bCs/>
        </w:rPr>
        <w:t>,</w:t>
      </w:r>
      <w:r w:rsidR="007525EE" w:rsidRPr="007525EE">
        <w:rPr>
          <w:rFonts w:ascii="Arial" w:eastAsia="Calibri" w:hAnsi="Arial" w:cs="Arial"/>
          <w:bCs/>
        </w:rPr>
        <w:t xml:space="preserve"> not so. But I do point out that in the supporting affidavit</w:t>
      </w:r>
      <w:r>
        <w:rPr>
          <w:rFonts w:ascii="Arial" w:eastAsia="Calibri" w:hAnsi="Arial" w:cs="Arial"/>
          <w:bCs/>
        </w:rPr>
        <w:t>,</w:t>
      </w:r>
      <w:r w:rsidR="007525EE" w:rsidRPr="007525EE">
        <w:rPr>
          <w:rFonts w:ascii="Arial" w:eastAsia="Calibri" w:hAnsi="Arial" w:cs="Arial"/>
          <w:bCs/>
        </w:rPr>
        <w:t xml:space="preserve"> as I have indicated before, the applicant does make mention of seeking an upliftment of the automatic bar for non-compliance. However, the applicant’s problem lies in the fact that the applicant is not seeking an extension of time as to when the answering affidavit c</w:t>
      </w:r>
      <w:r w:rsidR="00D87C13">
        <w:rPr>
          <w:rFonts w:ascii="Arial" w:eastAsia="Calibri" w:hAnsi="Arial" w:cs="Arial"/>
          <w:bCs/>
        </w:rPr>
        <w:t>ould</w:t>
      </w:r>
      <w:r w:rsidR="007525EE" w:rsidRPr="007525EE">
        <w:rPr>
          <w:rFonts w:ascii="Arial" w:eastAsia="Calibri" w:hAnsi="Arial" w:cs="Arial"/>
          <w:bCs/>
        </w:rPr>
        <w:t xml:space="preserve"> be filed should the court grant it condonation. It is also trite that one obtains condonation for something one did wrong or </w:t>
      </w:r>
      <w:r w:rsidR="008C0814">
        <w:rPr>
          <w:rFonts w:ascii="Arial" w:eastAsia="Calibri" w:hAnsi="Arial" w:cs="Arial"/>
          <w:bCs/>
        </w:rPr>
        <w:t xml:space="preserve">for something one </w:t>
      </w:r>
      <w:r w:rsidR="007525EE" w:rsidRPr="007525EE">
        <w:rPr>
          <w:rFonts w:ascii="Arial" w:eastAsia="Calibri" w:hAnsi="Arial" w:cs="Arial"/>
          <w:bCs/>
        </w:rPr>
        <w:t>did not do</w:t>
      </w:r>
      <w:r w:rsidR="008C0814">
        <w:rPr>
          <w:rFonts w:ascii="Arial" w:eastAsia="Calibri" w:hAnsi="Arial" w:cs="Arial"/>
          <w:bCs/>
        </w:rPr>
        <w:t>,</w:t>
      </w:r>
      <w:r w:rsidR="007525EE" w:rsidRPr="007525EE">
        <w:rPr>
          <w:rFonts w:ascii="Arial" w:eastAsia="Calibri" w:hAnsi="Arial" w:cs="Arial"/>
          <w:bCs/>
        </w:rPr>
        <w:t xml:space="preserve"> and then one need</w:t>
      </w:r>
      <w:r>
        <w:rPr>
          <w:rFonts w:ascii="Arial" w:eastAsia="Calibri" w:hAnsi="Arial" w:cs="Arial"/>
          <w:bCs/>
        </w:rPr>
        <w:t>s</w:t>
      </w:r>
      <w:r w:rsidR="007525EE" w:rsidRPr="007525EE">
        <w:rPr>
          <w:rFonts w:ascii="Arial" w:eastAsia="Calibri" w:hAnsi="Arial" w:cs="Arial"/>
          <w:bCs/>
        </w:rPr>
        <w:t xml:space="preserve"> to make the wrong right as soon as possible. The applicant did not do so. </w:t>
      </w:r>
    </w:p>
    <w:p w14:paraId="36B85206" w14:textId="77777777" w:rsidR="00514777" w:rsidRPr="00514777" w:rsidRDefault="00514777" w:rsidP="00514777">
      <w:pPr>
        <w:pStyle w:val="ListParagraph"/>
        <w:rPr>
          <w:rFonts w:ascii="Arial" w:eastAsia="Calibri" w:hAnsi="Arial" w:cs="Arial"/>
          <w:bCs/>
        </w:rPr>
      </w:pPr>
    </w:p>
    <w:p w14:paraId="5B373D72" w14:textId="1FF841B2" w:rsidR="00514777" w:rsidRPr="00514777" w:rsidRDefault="007525EE" w:rsidP="00514777">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Instead, the applicant suggest</w:t>
      </w:r>
      <w:r w:rsidR="00521DA2">
        <w:rPr>
          <w:rFonts w:ascii="Arial" w:eastAsia="Calibri" w:hAnsi="Arial" w:cs="Arial"/>
          <w:bCs/>
        </w:rPr>
        <w:t>s</w:t>
      </w:r>
      <w:r w:rsidRPr="007525EE">
        <w:rPr>
          <w:rFonts w:ascii="Arial" w:eastAsia="Calibri" w:hAnsi="Arial" w:cs="Arial"/>
          <w:bCs/>
        </w:rPr>
        <w:t xml:space="preserve"> in the notice of motion that the matter be referred to judicial case management to afford the </w:t>
      </w:r>
      <w:r w:rsidR="00D87C13">
        <w:rPr>
          <w:rFonts w:ascii="Arial" w:eastAsia="Calibri" w:hAnsi="Arial" w:cs="Arial"/>
          <w:bCs/>
        </w:rPr>
        <w:t>applicant</w:t>
      </w:r>
      <w:r w:rsidRPr="007525EE">
        <w:rPr>
          <w:rFonts w:ascii="Arial" w:eastAsia="Calibri" w:hAnsi="Arial" w:cs="Arial"/>
          <w:bCs/>
        </w:rPr>
        <w:t xml:space="preserve"> an opportunity to defend the counter application and file an answering affidavit. No indication is given as to when th</w:t>
      </w:r>
      <w:r w:rsidR="00521DA2">
        <w:rPr>
          <w:rFonts w:ascii="Arial" w:eastAsia="Calibri" w:hAnsi="Arial" w:cs="Arial"/>
          <w:bCs/>
        </w:rPr>
        <w:t>at</w:t>
      </w:r>
      <w:r w:rsidRPr="007525EE">
        <w:rPr>
          <w:rFonts w:ascii="Arial" w:eastAsia="Calibri" w:hAnsi="Arial" w:cs="Arial"/>
          <w:bCs/>
        </w:rPr>
        <w:t xml:space="preserve"> affidavit could be filed.</w:t>
      </w:r>
      <w:r w:rsidR="00514777">
        <w:rPr>
          <w:rFonts w:ascii="Arial" w:eastAsia="Calibri" w:hAnsi="Arial" w:cs="Arial"/>
          <w:bCs/>
        </w:rPr>
        <w:t xml:space="preserve"> </w:t>
      </w:r>
      <w:r w:rsidR="008C0814">
        <w:rPr>
          <w:rFonts w:ascii="Arial" w:eastAsia="Calibri" w:hAnsi="Arial" w:cs="Arial"/>
          <w:bCs/>
        </w:rPr>
        <w:t>From a perusal of the rules, t</w:t>
      </w:r>
      <w:r w:rsidRPr="00514777">
        <w:rPr>
          <w:rFonts w:ascii="Arial" w:eastAsia="Calibri" w:hAnsi="Arial" w:cs="Arial"/>
          <w:bCs/>
        </w:rPr>
        <w:t>he purpose of rule 71</w:t>
      </w:r>
      <w:r w:rsidR="00521DA2" w:rsidRPr="00514777">
        <w:rPr>
          <w:rFonts w:ascii="Arial" w:eastAsia="Calibri" w:hAnsi="Arial" w:cs="Arial"/>
          <w:bCs/>
        </w:rPr>
        <w:t>,</w:t>
      </w:r>
      <w:r w:rsidRPr="00514777">
        <w:rPr>
          <w:rFonts w:ascii="Arial" w:eastAsia="Calibri" w:hAnsi="Arial" w:cs="Arial"/>
          <w:bCs/>
        </w:rPr>
        <w:t xml:space="preserve"> being </w:t>
      </w:r>
      <w:r w:rsidR="00521DA2" w:rsidRPr="00514777">
        <w:rPr>
          <w:rFonts w:ascii="Arial" w:eastAsia="Calibri" w:hAnsi="Arial" w:cs="Arial"/>
          <w:bCs/>
        </w:rPr>
        <w:t xml:space="preserve">the rule for </w:t>
      </w:r>
      <w:r w:rsidRPr="00514777">
        <w:rPr>
          <w:rFonts w:ascii="Arial" w:eastAsia="Calibri" w:hAnsi="Arial" w:cs="Arial"/>
          <w:bCs/>
        </w:rPr>
        <w:t>judicial case management in motion proceedings</w:t>
      </w:r>
      <w:r w:rsidR="00521DA2" w:rsidRPr="00514777">
        <w:rPr>
          <w:rFonts w:ascii="Arial" w:eastAsia="Calibri" w:hAnsi="Arial" w:cs="Arial"/>
          <w:bCs/>
        </w:rPr>
        <w:t xml:space="preserve">, is not </w:t>
      </w:r>
      <w:r w:rsidR="008C0814">
        <w:rPr>
          <w:rFonts w:ascii="Arial" w:eastAsia="Calibri" w:hAnsi="Arial" w:cs="Arial"/>
          <w:bCs/>
        </w:rPr>
        <w:t xml:space="preserve">for the court </w:t>
      </w:r>
      <w:r w:rsidR="00521DA2" w:rsidRPr="00514777">
        <w:rPr>
          <w:rFonts w:ascii="Arial" w:eastAsia="Calibri" w:hAnsi="Arial" w:cs="Arial"/>
          <w:bCs/>
        </w:rPr>
        <w:t>to set times for the filing of pleadings</w:t>
      </w:r>
      <w:r w:rsidR="008C0814">
        <w:rPr>
          <w:rFonts w:ascii="Arial" w:eastAsia="Calibri" w:hAnsi="Arial" w:cs="Arial"/>
          <w:bCs/>
        </w:rPr>
        <w:t xml:space="preserve"> in motion proceedings, being the affidavits</w:t>
      </w:r>
      <w:r w:rsidR="00521DA2" w:rsidRPr="00514777">
        <w:rPr>
          <w:rFonts w:ascii="Arial" w:eastAsia="Calibri" w:hAnsi="Arial" w:cs="Arial"/>
          <w:bCs/>
        </w:rPr>
        <w:t>.</w:t>
      </w:r>
      <w:r w:rsidR="008C0814">
        <w:rPr>
          <w:rFonts w:ascii="Arial" w:eastAsia="Calibri" w:hAnsi="Arial" w:cs="Arial"/>
          <w:bCs/>
        </w:rPr>
        <w:t xml:space="preserve"> </w:t>
      </w:r>
      <w:r w:rsidRPr="00514777">
        <w:rPr>
          <w:rFonts w:ascii="Arial" w:eastAsia="Calibri" w:hAnsi="Arial" w:cs="Arial"/>
          <w:bCs/>
        </w:rPr>
        <w:t xml:space="preserve">By the time </w:t>
      </w:r>
      <w:r w:rsidR="00D87C13">
        <w:rPr>
          <w:rFonts w:ascii="Arial" w:eastAsia="Calibri" w:hAnsi="Arial" w:cs="Arial"/>
          <w:bCs/>
        </w:rPr>
        <w:t>a case in motion proceedings</w:t>
      </w:r>
      <w:r w:rsidRPr="00514777">
        <w:rPr>
          <w:rFonts w:ascii="Arial" w:eastAsia="Calibri" w:hAnsi="Arial" w:cs="Arial"/>
          <w:bCs/>
        </w:rPr>
        <w:t xml:space="preserve"> get</w:t>
      </w:r>
      <w:r w:rsidR="00784C76" w:rsidRPr="00514777">
        <w:rPr>
          <w:rFonts w:ascii="Arial" w:eastAsia="Calibri" w:hAnsi="Arial" w:cs="Arial"/>
          <w:bCs/>
        </w:rPr>
        <w:t>s</w:t>
      </w:r>
      <w:r w:rsidRPr="00514777">
        <w:rPr>
          <w:rFonts w:ascii="Arial" w:eastAsia="Calibri" w:hAnsi="Arial" w:cs="Arial"/>
          <w:bCs/>
        </w:rPr>
        <w:t xml:space="preserve"> to judicial case management, the pleadings must have been filed already. </w:t>
      </w:r>
    </w:p>
    <w:p w14:paraId="713D1541" w14:textId="77777777" w:rsidR="00514777" w:rsidRPr="00514777" w:rsidRDefault="00514777" w:rsidP="00514777">
      <w:pPr>
        <w:pStyle w:val="ListParagraph"/>
        <w:rPr>
          <w:rFonts w:ascii="Arial" w:eastAsia="Calibri" w:hAnsi="Arial" w:cs="Arial"/>
          <w:bCs/>
        </w:rPr>
      </w:pPr>
    </w:p>
    <w:p w14:paraId="5FB06818" w14:textId="1CE528D2" w:rsidR="00514777" w:rsidRPr="00CD2781" w:rsidRDefault="007525EE" w:rsidP="00CD2781">
      <w:pPr>
        <w:pStyle w:val="ListParagraph"/>
        <w:numPr>
          <w:ilvl w:val="0"/>
          <w:numId w:val="2"/>
        </w:numPr>
        <w:spacing w:line="360" w:lineRule="auto"/>
        <w:ind w:left="0" w:firstLine="0"/>
        <w:jc w:val="both"/>
        <w:rPr>
          <w:rFonts w:ascii="Arial" w:hAnsi="Arial" w:cs="Arial"/>
          <w:lang w:val="en-US"/>
        </w:rPr>
      </w:pPr>
      <w:r w:rsidRPr="00514777">
        <w:rPr>
          <w:rFonts w:ascii="Arial" w:eastAsia="Calibri" w:hAnsi="Arial" w:cs="Arial"/>
          <w:bCs/>
        </w:rPr>
        <w:t xml:space="preserve">On the invitation to the court to take judicial notice of certain facts, it is not for the court to traverse papers filed in a matter over </w:t>
      </w:r>
      <w:r w:rsidR="00D87C13" w:rsidRPr="00514777">
        <w:rPr>
          <w:rFonts w:ascii="Arial" w:eastAsia="Calibri" w:hAnsi="Arial" w:cs="Arial"/>
          <w:bCs/>
        </w:rPr>
        <w:t>several</w:t>
      </w:r>
      <w:r w:rsidRPr="00514777">
        <w:rPr>
          <w:rFonts w:ascii="Arial" w:eastAsia="Calibri" w:hAnsi="Arial" w:cs="Arial"/>
          <w:bCs/>
        </w:rPr>
        <w:t xml:space="preserve"> months to make sense of </w:t>
      </w:r>
      <w:r w:rsidR="00CD2781">
        <w:rPr>
          <w:rFonts w:ascii="Arial" w:eastAsia="Calibri" w:hAnsi="Arial" w:cs="Arial"/>
          <w:bCs/>
        </w:rPr>
        <w:t>an</w:t>
      </w:r>
      <w:r w:rsidRPr="00514777">
        <w:rPr>
          <w:rFonts w:ascii="Arial" w:eastAsia="Calibri" w:hAnsi="Arial" w:cs="Arial"/>
          <w:bCs/>
        </w:rPr>
        <w:t xml:space="preserve"> applicant’s explanation for condonation.</w:t>
      </w:r>
      <w:r w:rsidR="00784C76" w:rsidRPr="00514777">
        <w:rPr>
          <w:rFonts w:ascii="Arial" w:eastAsia="Calibri" w:hAnsi="Arial" w:cs="Arial"/>
          <w:bCs/>
        </w:rPr>
        <w:t xml:space="preserve"> </w:t>
      </w:r>
      <w:r w:rsidRPr="00514777">
        <w:rPr>
          <w:rFonts w:ascii="Arial" w:eastAsia="Calibri" w:hAnsi="Arial" w:cs="Arial"/>
          <w:bCs/>
        </w:rPr>
        <w:t xml:space="preserve">The applicant was given </w:t>
      </w:r>
      <w:r w:rsidR="00784C76" w:rsidRPr="00514777">
        <w:rPr>
          <w:rFonts w:ascii="Arial" w:eastAsia="Calibri" w:hAnsi="Arial" w:cs="Arial"/>
          <w:bCs/>
        </w:rPr>
        <w:t xml:space="preserve">an </w:t>
      </w:r>
      <w:r w:rsidRPr="00514777">
        <w:rPr>
          <w:rFonts w:ascii="Arial" w:eastAsia="Calibri" w:hAnsi="Arial" w:cs="Arial"/>
          <w:bCs/>
        </w:rPr>
        <w:t xml:space="preserve">opportunity to explain to </w:t>
      </w:r>
      <w:r w:rsidR="00D87C13">
        <w:rPr>
          <w:rFonts w:ascii="Arial" w:eastAsia="Calibri" w:hAnsi="Arial" w:cs="Arial"/>
          <w:bCs/>
        </w:rPr>
        <w:t>the court, and the authorities are trite on the requirements for such an</w:t>
      </w:r>
      <w:r w:rsidRPr="00514777">
        <w:rPr>
          <w:rFonts w:ascii="Arial" w:eastAsia="Calibri" w:hAnsi="Arial" w:cs="Arial"/>
          <w:bCs/>
        </w:rPr>
        <w:t xml:space="preserve"> application</w:t>
      </w:r>
      <w:r w:rsidR="00CD2781">
        <w:rPr>
          <w:rFonts w:ascii="Arial" w:eastAsia="Calibri" w:hAnsi="Arial" w:cs="Arial"/>
          <w:bCs/>
        </w:rPr>
        <w:t xml:space="preserve">. </w:t>
      </w:r>
      <w:r w:rsidRPr="00CD2781">
        <w:rPr>
          <w:rFonts w:ascii="Arial" w:eastAsia="Calibri" w:hAnsi="Arial" w:cs="Arial"/>
          <w:bCs/>
        </w:rPr>
        <w:t xml:space="preserve">They are twofold. </w:t>
      </w:r>
      <w:r w:rsidR="00CD2781">
        <w:rPr>
          <w:rFonts w:ascii="Arial" w:eastAsia="Calibri" w:hAnsi="Arial" w:cs="Arial"/>
          <w:bCs/>
        </w:rPr>
        <w:t>A</w:t>
      </w:r>
      <w:r w:rsidRPr="00CD2781">
        <w:rPr>
          <w:rFonts w:ascii="Arial" w:eastAsia="Calibri" w:hAnsi="Arial" w:cs="Arial"/>
          <w:bCs/>
        </w:rPr>
        <w:t>n applicant mu</w:t>
      </w:r>
      <w:r w:rsidR="00784C76" w:rsidRPr="00CD2781">
        <w:rPr>
          <w:rFonts w:ascii="Arial" w:eastAsia="Calibri" w:hAnsi="Arial" w:cs="Arial"/>
          <w:bCs/>
        </w:rPr>
        <w:t>st</w:t>
      </w:r>
      <w:r w:rsidRPr="00CD2781">
        <w:rPr>
          <w:rFonts w:ascii="Arial" w:eastAsia="Calibri" w:hAnsi="Arial" w:cs="Arial"/>
          <w:bCs/>
        </w:rPr>
        <w:t xml:space="preserve"> show good cause, and there</w:t>
      </w:r>
      <w:r w:rsidR="00784C76" w:rsidRPr="00CD2781">
        <w:rPr>
          <w:rFonts w:ascii="Arial" w:eastAsia="Calibri" w:hAnsi="Arial" w:cs="Arial"/>
          <w:bCs/>
        </w:rPr>
        <w:t>in</w:t>
      </w:r>
      <w:r w:rsidRPr="00CD2781">
        <w:rPr>
          <w:rFonts w:ascii="Arial" w:eastAsia="Calibri" w:hAnsi="Arial" w:cs="Arial"/>
          <w:bCs/>
        </w:rPr>
        <w:t xml:space="preserve"> </w:t>
      </w:r>
      <w:r w:rsidR="00D87C13">
        <w:rPr>
          <w:rFonts w:ascii="Arial" w:eastAsia="Calibri" w:hAnsi="Arial" w:cs="Arial"/>
          <w:bCs/>
        </w:rPr>
        <w:t>are</w:t>
      </w:r>
      <w:r w:rsidRPr="00CD2781">
        <w:rPr>
          <w:rFonts w:ascii="Arial" w:eastAsia="Calibri" w:hAnsi="Arial" w:cs="Arial"/>
          <w:bCs/>
        </w:rPr>
        <w:t xml:space="preserve"> two requirements</w:t>
      </w:r>
      <w:r w:rsidR="00784C76" w:rsidRPr="00CD2781">
        <w:rPr>
          <w:rFonts w:ascii="Arial" w:eastAsia="Calibri" w:hAnsi="Arial" w:cs="Arial"/>
          <w:bCs/>
        </w:rPr>
        <w:t>. The a</w:t>
      </w:r>
      <w:r w:rsidRPr="00CD2781">
        <w:rPr>
          <w:rFonts w:ascii="Arial" w:eastAsia="Calibri" w:hAnsi="Arial" w:cs="Arial"/>
          <w:bCs/>
        </w:rPr>
        <w:t>pplicant must provide a reasonable and sufficient explanation for the default</w:t>
      </w:r>
      <w:r w:rsidR="00D87C13">
        <w:rPr>
          <w:rFonts w:ascii="Arial" w:eastAsia="Calibri" w:hAnsi="Arial" w:cs="Arial"/>
          <w:bCs/>
        </w:rPr>
        <w:t>,</w:t>
      </w:r>
      <w:r w:rsidRPr="00CD2781">
        <w:rPr>
          <w:rFonts w:ascii="Arial" w:eastAsia="Calibri" w:hAnsi="Arial" w:cs="Arial"/>
          <w:bCs/>
        </w:rPr>
        <w:t xml:space="preserve"> and </w:t>
      </w:r>
      <w:r w:rsidR="00D87C13">
        <w:rPr>
          <w:rFonts w:ascii="Arial" w:eastAsia="Calibri" w:hAnsi="Arial" w:cs="Arial"/>
          <w:bCs/>
        </w:rPr>
        <w:t xml:space="preserve">it </w:t>
      </w:r>
      <w:r w:rsidRPr="00CD2781">
        <w:rPr>
          <w:rFonts w:ascii="Arial" w:eastAsia="Calibri" w:hAnsi="Arial" w:cs="Arial"/>
          <w:bCs/>
        </w:rPr>
        <w:t xml:space="preserve">must show </w:t>
      </w:r>
      <w:r w:rsidR="00D87C13">
        <w:rPr>
          <w:rFonts w:ascii="Arial" w:eastAsia="Calibri" w:hAnsi="Arial" w:cs="Arial"/>
          <w:bCs/>
        </w:rPr>
        <w:t>t</w:t>
      </w:r>
      <w:r w:rsidRPr="00CD2781">
        <w:rPr>
          <w:rFonts w:ascii="Arial" w:eastAsia="Calibri" w:hAnsi="Arial" w:cs="Arial"/>
          <w:bCs/>
        </w:rPr>
        <w:t>hat it has prospect</w:t>
      </w:r>
      <w:r w:rsidR="00784C76" w:rsidRPr="00CD2781">
        <w:rPr>
          <w:rFonts w:ascii="Arial" w:eastAsia="Calibri" w:hAnsi="Arial" w:cs="Arial"/>
          <w:bCs/>
        </w:rPr>
        <w:t>s</w:t>
      </w:r>
      <w:r w:rsidRPr="00CD2781">
        <w:rPr>
          <w:rFonts w:ascii="Arial" w:eastAsia="Calibri" w:hAnsi="Arial" w:cs="Arial"/>
          <w:bCs/>
        </w:rPr>
        <w:t xml:space="preserve"> of success in the matter. In </w:t>
      </w:r>
      <w:r w:rsidR="00784C76" w:rsidRPr="00CD2781">
        <w:rPr>
          <w:rFonts w:ascii="Arial" w:eastAsia="Calibri" w:hAnsi="Arial" w:cs="Arial"/>
          <w:bCs/>
        </w:rPr>
        <w:t xml:space="preserve">the </w:t>
      </w:r>
      <w:r w:rsidRPr="00CD2781">
        <w:rPr>
          <w:rFonts w:ascii="Arial" w:eastAsia="Calibri" w:hAnsi="Arial" w:cs="Arial"/>
          <w:bCs/>
        </w:rPr>
        <w:t xml:space="preserve">matter before </w:t>
      </w:r>
      <w:r w:rsidR="00D87C13">
        <w:rPr>
          <w:rFonts w:ascii="Arial" w:eastAsia="Calibri" w:hAnsi="Arial" w:cs="Arial"/>
          <w:bCs/>
        </w:rPr>
        <w:t xml:space="preserve">the </w:t>
      </w:r>
      <w:r w:rsidRPr="00CD2781">
        <w:rPr>
          <w:rFonts w:ascii="Arial" w:eastAsia="Calibri" w:hAnsi="Arial" w:cs="Arial"/>
          <w:bCs/>
        </w:rPr>
        <w:t>court</w:t>
      </w:r>
      <w:r w:rsidR="00784C76" w:rsidRPr="00CD2781">
        <w:rPr>
          <w:rFonts w:ascii="Arial" w:eastAsia="Calibri" w:hAnsi="Arial" w:cs="Arial"/>
          <w:bCs/>
        </w:rPr>
        <w:t xml:space="preserve">, </w:t>
      </w:r>
      <w:r w:rsidRPr="00CD2781">
        <w:rPr>
          <w:rFonts w:ascii="Arial" w:eastAsia="Calibri" w:hAnsi="Arial" w:cs="Arial"/>
          <w:bCs/>
        </w:rPr>
        <w:t xml:space="preserve">the applicant </w:t>
      </w:r>
      <w:r w:rsidRPr="00CD2781">
        <w:rPr>
          <w:rFonts w:ascii="Arial" w:eastAsia="Calibri" w:hAnsi="Arial" w:cs="Arial"/>
          <w:bCs/>
        </w:rPr>
        <w:lastRenderedPageBreak/>
        <w:t>was required to show that i</w:t>
      </w:r>
      <w:r w:rsidR="00784C76" w:rsidRPr="00CD2781">
        <w:rPr>
          <w:rFonts w:ascii="Arial" w:eastAsia="Calibri" w:hAnsi="Arial" w:cs="Arial"/>
          <w:bCs/>
        </w:rPr>
        <w:t>t</w:t>
      </w:r>
      <w:r w:rsidRPr="00CD2781">
        <w:rPr>
          <w:rFonts w:ascii="Arial" w:eastAsia="Calibri" w:hAnsi="Arial" w:cs="Arial"/>
          <w:bCs/>
        </w:rPr>
        <w:t xml:space="preserve"> has prospect</w:t>
      </w:r>
      <w:r w:rsidR="00784C76" w:rsidRPr="00CD2781">
        <w:rPr>
          <w:rFonts w:ascii="Arial" w:eastAsia="Calibri" w:hAnsi="Arial" w:cs="Arial"/>
          <w:bCs/>
        </w:rPr>
        <w:t>s</w:t>
      </w:r>
      <w:r w:rsidRPr="00CD2781">
        <w:rPr>
          <w:rFonts w:ascii="Arial" w:eastAsia="Calibri" w:hAnsi="Arial" w:cs="Arial"/>
          <w:bCs/>
        </w:rPr>
        <w:t xml:space="preserve"> of success in its defen</w:t>
      </w:r>
      <w:r w:rsidR="00784C76" w:rsidRPr="00CD2781">
        <w:rPr>
          <w:rFonts w:ascii="Arial" w:eastAsia="Calibri" w:hAnsi="Arial" w:cs="Arial"/>
          <w:bCs/>
        </w:rPr>
        <w:t>c</w:t>
      </w:r>
      <w:r w:rsidRPr="00CD2781">
        <w:rPr>
          <w:rFonts w:ascii="Arial" w:eastAsia="Calibri" w:hAnsi="Arial" w:cs="Arial"/>
          <w:bCs/>
        </w:rPr>
        <w:t>e to the counter application.</w:t>
      </w:r>
      <w:r w:rsidR="00D87C13">
        <w:rPr>
          <w:rFonts w:ascii="Arial" w:eastAsia="Calibri" w:hAnsi="Arial" w:cs="Arial"/>
          <w:bCs/>
        </w:rPr>
        <w:t xml:space="preserve"> Those two requirements are peremptory, and without them,</w:t>
      </w:r>
      <w:r w:rsidR="00D87C13" w:rsidRPr="00514777">
        <w:rPr>
          <w:rFonts w:ascii="Arial" w:eastAsia="Calibri" w:hAnsi="Arial" w:cs="Arial"/>
          <w:bCs/>
        </w:rPr>
        <w:t xml:space="preserve"> a condonation application cannot succeed.</w:t>
      </w:r>
      <w:r w:rsidRPr="00CD2781">
        <w:rPr>
          <w:rFonts w:ascii="Arial" w:eastAsia="Calibri" w:hAnsi="Arial" w:cs="Arial"/>
          <w:bCs/>
        </w:rPr>
        <w:t xml:space="preserve"> </w:t>
      </w:r>
    </w:p>
    <w:p w14:paraId="0D9650E0" w14:textId="77777777" w:rsidR="00514777" w:rsidRPr="00514777" w:rsidRDefault="00514777" w:rsidP="00514777">
      <w:pPr>
        <w:pStyle w:val="ListParagraph"/>
        <w:rPr>
          <w:rFonts w:ascii="Arial" w:eastAsia="Calibri" w:hAnsi="Arial" w:cs="Arial"/>
          <w:bCs/>
        </w:rPr>
      </w:pPr>
    </w:p>
    <w:p w14:paraId="7D9CA052" w14:textId="4F28BF2B" w:rsidR="00784C76" w:rsidRPr="00514777" w:rsidRDefault="007525EE" w:rsidP="00514777">
      <w:pPr>
        <w:pStyle w:val="ListParagraph"/>
        <w:numPr>
          <w:ilvl w:val="0"/>
          <w:numId w:val="2"/>
        </w:numPr>
        <w:spacing w:line="360" w:lineRule="auto"/>
        <w:ind w:left="0" w:firstLine="0"/>
        <w:jc w:val="both"/>
        <w:rPr>
          <w:rFonts w:ascii="Arial" w:hAnsi="Arial" w:cs="Arial"/>
          <w:lang w:val="en-US"/>
        </w:rPr>
      </w:pPr>
      <w:r w:rsidRPr="00784C76">
        <w:rPr>
          <w:rFonts w:ascii="Arial" w:eastAsia="Calibri" w:hAnsi="Arial" w:cs="Arial"/>
          <w:bCs/>
        </w:rPr>
        <w:t>The affidavit in support of today’s application simply s</w:t>
      </w:r>
      <w:r w:rsidR="00D87C13">
        <w:rPr>
          <w:rFonts w:ascii="Arial" w:eastAsia="Calibri" w:hAnsi="Arial" w:cs="Arial"/>
          <w:bCs/>
        </w:rPr>
        <w:t xml:space="preserve">tates that the applicant has reasonable prospects of success in the application </w:t>
      </w:r>
      <w:r w:rsidR="00E8000D">
        <w:rPr>
          <w:rFonts w:ascii="Arial" w:eastAsia="Calibri" w:hAnsi="Arial" w:cs="Arial"/>
          <w:bCs/>
        </w:rPr>
        <w:t>it filed</w:t>
      </w:r>
      <w:r w:rsidR="00D87C13">
        <w:rPr>
          <w:rFonts w:ascii="Arial" w:eastAsia="Calibri" w:hAnsi="Arial" w:cs="Arial"/>
          <w:bCs/>
        </w:rPr>
        <w:t xml:space="preserve">. Apart from being wholly insufficient in providing the court with details as to why the applicant says so, nothing is said about prospects of success in the counter application. </w:t>
      </w:r>
    </w:p>
    <w:p w14:paraId="7CBF663E" w14:textId="77777777" w:rsidR="00784C76" w:rsidRPr="00784C76" w:rsidRDefault="00784C76" w:rsidP="00784C76">
      <w:pPr>
        <w:pStyle w:val="ListParagraph"/>
        <w:rPr>
          <w:rFonts w:ascii="Arial" w:eastAsia="Calibri" w:hAnsi="Arial" w:cs="Arial"/>
          <w:bCs/>
        </w:rPr>
      </w:pPr>
    </w:p>
    <w:p w14:paraId="7813F06A" w14:textId="354A4076" w:rsidR="00514777" w:rsidRDefault="007525EE" w:rsidP="00A80D01">
      <w:pPr>
        <w:pStyle w:val="ListParagraph"/>
        <w:numPr>
          <w:ilvl w:val="0"/>
          <w:numId w:val="2"/>
        </w:numPr>
        <w:spacing w:line="360" w:lineRule="auto"/>
        <w:ind w:left="0" w:firstLine="0"/>
        <w:jc w:val="both"/>
        <w:rPr>
          <w:rFonts w:ascii="Arial" w:hAnsi="Arial" w:cs="Arial"/>
          <w:lang w:val="en-US"/>
        </w:rPr>
      </w:pPr>
      <w:r w:rsidRPr="00784C76">
        <w:rPr>
          <w:rFonts w:ascii="Arial" w:eastAsia="Calibri" w:hAnsi="Arial" w:cs="Arial"/>
          <w:bCs/>
        </w:rPr>
        <w:t>The court was invited to grant the applicant condonation in the interest of justice</w:t>
      </w:r>
      <w:r w:rsidR="00D87C13">
        <w:rPr>
          <w:rFonts w:ascii="Arial" w:eastAsia="Calibri" w:hAnsi="Arial" w:cs="Arial"/>
          <w:bCs/>
        </w:rPr>
        <w:t xml:space="preserve">. The applicant relied on </w:t>
      </w:r>
      <w:r w:rsidR="00D87C13" w:rsidRPr="00CB72C7">
        <w:rPr>
          <w:rFonts w:ascii="Arial" w:eastAsia="Calibri" w:hAnsi="Arial" w:cs="Arial"/>
          <w:bCs/>
          <w:i/>
          <w:iCs/>
        </w:rPr>
        <w:t>Witbooi</w:t>
      </w:r>
      <w:r w:rsidR="00D87C13">
        <w:rPr>
          <w:rFonts w:ascii="Arial" w:eastAsia="Calibri" w:hAnsi="Arial" w:cs="Arial"/>
          <w:bCs/>
        </w:rPr>
        <w:t xml:space="preserve">, which dealt with a </w:t>
      </w:r>
      <w:r w:rsidR="00CB72C7">
        <w:rPr>
          <w:rFonts w:ascii="Arial" w:eastAsia="Calibri" w:hAnsi="Arial" w:cs="Arial"/>
          <w:bCs/>
        </w:rPr>
        <w:t xml:space="preserve">condonation application relating to the record in a </w:t>
      </w:r>
      <w:r w:rsidR="00D87C13">
        <w:rPr>
          <w:rFonts w:ascii="Arial" w:eastAsia="Calibri" w:hAnsi="Arial" w:cs="Arial"/>
          <w:bCs/>
        </w:rPr>
        <w:t>review application. T</w:t>
      </w:r>
      <w:r w:rsidRPr="00784C76">
        <w:rPr>
          <w:rFonts w:ascii="Arial" w:eastAsia="Calibri" w:hAnsi="Arial" w:cs="Arial"/>
          <w:bCs/>
        </w:rPr>
        <w:t xml:space="preserve">he court in </w:t>
      </w:r>
      <w:r w:rsidRPr="00784C76">
        <w:rPr>
          <w:rFonts w:ascii="Arial" w:eastAsia="Calibri" w:hAnsi="Arial" w:cs="Arial"/>
          <w:bCs/>
          <w:i/>
          <w:iCs/>
        </w:rPr>
        <w:t>Witbooi</w:t>
      </w:r>
      <w:r w:rsidRPr="00784C76">
        <w:rPr>
          <w:rFonts w:ascii="Arial" w:eastAsia="Calibri" w:hAnsi="Arial" w:cs="Arial"/>
          <w:bCs/>
        </w:rPr>
        <w:t xml:space="preserve"> held that</w:t>
      </w:r>
      <w:r w:rsidR="00784C76">
        <w:rPr>
          <w:rFonts w:ascii="Arial" w:eastAsia="Calibri" w:hAnsi="Arial" w:cs="Arial"/>
          <w:bCs/>
        </w:rPr>
        <w:t>,</w:t>
      </w:r>
      <w:r w:rsidRPr="00784C76">
        <w:rPr>
          <w:rFonts w:ascii="Arial" w:eastAsia="Calibri" w:hAnsi="Arial" w:cs="Arial"/>
          <w:bCs/>
        </w:rPr>
        <w:t xml:space="preserve"> in an application for condonation for the late filing of a record in a review application, the normal requirement</w:t>
      </w:r>
      <w:r w:rsidR="00784C76">
        <w:rPr>
          <w:rFonts w:ascii="Arial" w:eastAsia="Calibri" w:hAnsi="Arial" w:cs="Arial"/>
          <w:bCs/>
        </w:rPr>
        <w:t>s</w:t>
      </w:r>
      <w:r w:rsidRPr="00784C76">
        <w:rPr>
          <w:rFonts w:ascii="Arial" w:eastAsia="Calibri" w:hAnsi="Arial" w:cs="Arial"/>
          <w:bCs/>
        </w:rPr>
        <w:t xml:space="preserve"> for condonation do not always apply because the record plays a pivotal role in such matters and assist</w:t>
      </w:r>
      <w:r w:rsidR="00A80D01">
        <w:rPr>
          <w:rFonts w:ascii="Arial" w:eastAsia="Calibri" w:hAnsi="Arial" w:cs="Arial"/>
          <w:bCs/>
        </w:rPr>
        <w:t>s</w:t>
      </w:r>
      <w:r w:rsidRPr="00784C76">
        <w:rPr>
          <w:rFonts w:ascii="Arial" w:eastAsia="Calibri" w:hAnsi="Arial" w:cs="Arial"/>
          <w:bCs/>
        </w:rPr>
        <w:t xml:space="preserve"> the court in deciding the review.</w:t>
      </w:r>
      <w:r w:rsidR="00A80D01">
        <w:rPr>
          <w:rFonts w:ascii="Arial" w:hAnsi="Arial" w:cs="Arial"/>
          <w:lang w:val="en-US"/>
        </w:rPr>
        <w:t xml:space="preserve"> </w:t>
      </w:r>
    </w:p>
    <w:p w14:paraId="2FFB1C27" w14:textId="77777777" w:rsidR="00514777" w:rsidRPr="00514777" w:rsidRDefault="00514777" w:rsidP="00514777">
      <w:pPr>
        <w:pStyle w:val="ListParagraph"/>
        <w:rPr>
          <w:rFonts w:ascii="Arial" w:eastAsia="Calibri" w:hAnsi="Arial" w:cs="Arial"/>
          <w:bCs/>
        </w:rPr>
      </w:pPr>
    </w:p>
    <w:p w14:paraId="4D6280D1" w14:textId="2E4CD77F" w:rsidR="00514777" w:rsidRPr="00514777" w:rsidRDefault="007525EE" w:rsidP="00A80D01">
      <w:pPr>
        <w:pStyle w:val="ListParagraph"/>
        <w:numPr>
          <w:ilvl w:val="0"/>
          <w:numId w:val="2"/>
        </w:numPr>
        <w:spacing w:line="360" w:lineRule="auto"/>
        <w:ind w:left="0" w:firstLine="0"/>
        <w:jc w:val="both"/>
        <w:rPr>
          <w:rFonts w:ascii="Arial" w:hAnsi="Arial" w:cs="Arial"/>
          <w:lang w:val="en-US"/>
        </w:rPr>
      </w:pPr>
      <w:r w:rsidRPr="00A80D01">
        <w:rPr>
          <w:rFonts w:ascii="Arial" w:eastAsia="Calibri" w:hAnsi="Arial" w:cs="Arial"/>
          <w:bCs/>
        </w:rPr>
        <w:t>It is correct</w:t>
      </w:r>
      <w:r w:rsidR="00A80D01" w:rsidRPr="00A80D01">
        <w:rPr>
          <w:rFonts w:ascii="Arial" w:eastAsia="Calibri" w:hAnsi="Arial" w:cs="Arial"/>
          <w:bCs/>
        </w:rPr>
        <w:t>,</w:t>
      </w:r>
      <w:r w:rsidRPr="00A80D01">
        <w:rPr>
          <w:rFonts w:ascii="Arial" w:eastAsia="Calibri" w:hAnsi="Arial" w:cs="Arial"/>
          <w:bCs/>
        </w:rPr>
        <w:t xml:space="preserve"> as submitted by the applicant</w:t>
      </w:r>
      <w:r w:rsidR="00A80D01" w:rsidRPr="00A80D01">
        <w:rPr>
          <w:rFonts w:ascii="Arial" w:eastAsia="Calibri" w:hAnsi="Arial" w:cs="Arial"/>
          <w:bCs/>
        </w:rPr>
        <w:t>,</w:t>
      </w:r>
      <w:r w:rsidRPr="00A80D01">
        <w:rPr>
          <w:rFonts w:ascii="Arial" w:eastAsia="Calibri" w:hAnsi="Arial" w:cs="Arial"/>
          <w:bCs/>
        </w:rPr>
        <w:t xml:space="preserve"> that each case is to be decided on its own facts and circumstances</w:t>
      </w:r>
      <w:r w:rsidR="00A80D01" w:rsidRPr="00A80D01">
        <w:rPr>
          <w:rFonts w:ascii="Arial" w:eastAsia="Calibri" w:hAnsi="Arial" w:cs="Arial"/>
          <w:bCs/>
        </w:rPr>
        <w:t>,</w:t>
      </w:r>
      <w:r w:rsidRPr="00A80D01">
        <w:rPr>
          <w:rFonts w:ascii="Arial" w:eastAsia="Calibri" w:hAnsi="Arial" w:cs="Arial"/>
          <w:bCs/>
        </w:rPr>
        <w:t xml:space="preserve"> but the nature of </w:t>
      </w:r>
      <w:r w:rsidR="00D87C13">
        <w:rPr>
          <w:rFonts w:ascii="Arial" w:eastAsia="Calibri" w:hAnsi="Arial" w:cs="Arial"/>
          <w:bCs/>
        </w:rPr>
        <w:t>the</w:t>
      </w:r>
      <w:r w:rsidRPr="00A80D01">
        <w:rPr>
          <w:rFonts w:ascii="Arial" w:eastAsia="Calibri" w:hAnsi="Arial" w:cs="Arial"/>
          <w:bCs/>
        </w:rPr>
        <w:t xml:space="preserve"> condonation application</w:t>
      </w:r>
      <w:r w:rsidR="00D87C13">
        <w:rPr>
          <w:rFonts w:ascii="Arial" w:eastAsia="Calibri" w:hAnsi="Arial" w:cs="Arial"/>
          <w:bCs/>
        </w:rPr>
        <w:t xml:space="preserve"> in </w:t>
      </w:r>
      <w:r w:rsidR="00D87C13" w:rsidRPr="00D87C13">
        <w:rPr>
          <w:rFonts w:ascii="Arial" w:eastAsia="Calibri" w:hAnsi="Arial" w:cs="Arial"/>
          <w:bCs/>
          <w:i/>
          <w:iCs/>
        </w:rPr>
        <w:t>Witbooi</w:t>
      </w:r>
      <w:r w:rsidR="00D87C13">
        <w:rPr>
          <w:rFonts w:ascii="Arial" w:eastAsia="Calibri" w:hAnsi="Arial" w:cs="Arial"/>
          <w:bCs/>
        </w:rPr>
        <w:t xml:space="preserve"> is distinguishable from the applicant’s current condonation application, which is for the filling of affidavits, which are pleadings in motion proceedings. </w:t>
      </w:r>
      <w:r w:rsidR="00D87C13" w:rsidRPr="00D87C13">
        <w:rPr>
          <w:rFonts w:ascii="Arial" w:eastAsia="Calibri" w:hAnsi="Arial" w:cs="Arial"/>
          <w:bCs/>
          <w:i/>
          <w:iCs/>
        </w:rPr>
        <w:t>Witbooi</w:t>
      </w:r>
      <w:r w:rsidR="00D87C13">
        <w:rPr>
          <w:rFonts w:ascii="Arial" w:eastAsia="Calibri" w:hAnsi="Arial" w:cs="Arial"/>
          <w:bCs/>
        </w:rPr>
        <w:t xml:space="preserve"> does, therefore,</w:t>
      </w:r>
      <w:r w:rsidR="00CD2781">
        <w:rPr>
          <w:rFonts w:ascii="Arial" w:eastAsia="Calibri" w:hAnsi="Arial" w:cs="Arial"/>
          <w:bCs/>
        </w:rPr>
        <w:t xml:space="preserve"> </w:t>
      </w:r>
      <w:r w:rsidRPr="00A80D01">
        <w:rPr>
          <w:rFonts w:ascii="Arial" w:eastAsia="Calibri" w:hAnsi="Arial" w:cs="Arial"/>
          <w:bCs/>
        </w:rPr>
        <w:t xml:space="preserve">not assist the applicant’s case for condonation. </w:t>
      </w:r>
    </w:p>
    <w:p w14:paraId="56F49FDA" w14:textId="77777777" w:rsidR="00514777" w:rsidRPr="00514777" w:rsidRDefault="00514777" w:rsidP="00514777">
      <w:pPr>
        <w:pStyle w:val="ListParagraph"/>
        <w:rPr>
          <w:rFonts w:ascii="Arial" w:eastAsia="Calibri" w:hAnsi="Arial" w:cs="Arial"/>
          <w:bCs/>
        </w:rPr>
      </w:pPr>
    </w:p>
    <w:p w14:paraId="79379DA3" w14:textId="64FEA4CE" w:rsidR="00514777" w:rsidRPr="00514777" w:rsidRDefault="007525EE" w:rsidP="00514777">
      <w:pPr>
        <w:pStyle w:val="ListParagraph"/>
        <w:numPr>
          <w:ilvl w:val="0"/>
          <w:numId w:val="2"/>
        </w:numPr>
        <w:spacing w:line="360" w:lineRule="auto"/>
        <w:ind w:left="0" w:firstLine="0"/>
        <w:jc w:val="both"/>
        <w:rPr>
          <w:rFonts w:ascii="Arial" w:hAnsi="Arial" w:cs="Arial"/>
          <w:lang w:val="en-US"/>
        </w:rPr>
      </w:pPr>
      <w:r w:rsidRPr="00A80D01">
        <w:rPr>
          <w:rFonts w:ascii="Arial" w:eastAsia="Calibri" w:hAnsi="Arial" w:cs="Arial"/>
          <w:bCs/>
        </w:rPr>
        <w:t>The court cannot simply</w:t>
      </w:r>
      <w:r w:rsidR="00A80D01">
        <w:rPr>
          <w:rFonts w:ascii="Arial" w:eastAsia="Calibri" w:hAnsi="Arial" w:cs="Arial"/>
          <w:bCs/>
        </w:rPr>
        <w:t>,</w:t>
      </w:r>
      <w:r w:rsidRPr="00A80D01">
        <w:rPr>
          <w:rFonts w:ascii="Arial" w:eastAsia="Calibri" w:hAnsi="Arial" w:cs="Arial"/>
          <w:bCs/>
        </w:rPr>
        <w:t xml:space="preserve"> for the sake of </w:t>
      </w:r>
      <w:r w:rsidR="00547BE6">
        <w:rPr>
          <w:rFonts w:ascii="Arial" w:eastAsia="Calibri" w:hAnsi="Arial" w:cs="Arial"/>
          <w:bCs/>
        </w:rPr>
        <w:t>justice, grant a party condonation without facts being presented to it on the basis of which to do so. In the matter before me, this court shares the sentiment expressed in paragraph 11 of it</w:t>
      </w:r>
      <w:r w:rsidRPr="00514777">
        <w:rPr>
          <w:rFonts w:ascii="Arial" w:eastAsia="Calibri" w:hAnsi="Arial" w:cs="Arial"/>
          <w:bCs/>
        </w:rPr>
        <w:t xml:space="preserve">s ruling </w:t>
      </w:r>
      <w:r w:rsidR="00A80D01" w:rsidRPr="00514777">
        <w:rPr>
          <w:rFonts w:ascii="Arial" w:eastAsia="Calibri" w:hAnsi="Arial" w:cs="Arial"/>
          <w:bCs/>
        </w:rPr>
        <w:t>in</w:t>
      </w:r>
      <w:r w:rsidRPr="00514777">
        <w:rPr>
          <w:rFonts w:ascii="Arial" w:eastAsia="Calibri" w:hAnsi="Arial" w:cs="Arial"/>
          <w:bCs/>
        </w:rPr>
        <w:t xml:space="preserve"> </w:t>
      </w:r>
      <w:r w:rsidRPr="00514777">
        <w:rPr>
          <w:rFonts w:ascii="Arial" w:eastAsia="Calibri" w:hAnsi="Arial" w:cs="Arial"/>
          <w:bCs/>
          <w:i/>
          <w:iCs/>
        </w:rPr>
        <w:t>Development Bank of Namibia vs Atomic</w:t>
      </w:r>
      <w:r w:rsidR="001D041A">
        <w:rPr>
          <w:rFonts w:ascii="Arial" w:eastAsia="Calibri" w:hAnsi="Arial" w:cs="Arial"/>
          <w:bCs/>
          <w:i/>
          <w:iCs/>
        </w:rPr>
        <w:t xml:space="preserve"> Matter</w:t>
      </w:r>
      <w:r w:rsidR="001D041A">
        <w:rPr>
          <w:rStyle w:val="FootnoteReference"/>
          <w:rFonts w:ascii="Arial" w:eastAsia="Calibri" w:hAnsi="Arial" w:cs="Arial"/>
          <w:bCs/>
          <w:i/>
          <w:iCs/>
        </w:rPr>
        <w:footnoteReference w:id="1"/>
      </w:r>
      <w:r w:rsidR="00A80D01" w:rsidRPr="00514777">
        <w:rPr>
          <w:rFonts w:ascii="Arial" w:eastAsia="Calibri" w:hAnsi="Arial" w:cs="Arial"/>
          <w:bCs/>
        </w:rPr>
        <w:t xml:space="preserve"> </w:t>
      </w:r>
      <w:r w:rsidRPr="00514777">
        <w:rPr>
          <w:rFonts w:ascii="Arial" w:eastAsia="Calibri" w:hAnsi="Arial" w:cs="Arial"/>
          <w:bCs/>
        </w:rPr>
        <w:t>that</w:t>
      </w:r>
      <w:r w:rsidR="00A80D01" w:rsidRPr="00514777">
        <w:rPr>
          <w:rFonts w:ascii="Arial" w:eastAsia="Calibri" w:hAnsi="Arial" w:cs="Arial"/>
          <w:bCs/>
        </w:rPr>
        <w:t>,</w:t>
      </w:r>
      <w:r w:rsidRPr="00514777">
        <w:rPr>
          <w:rFonts w:ascii="Arial" w:eastAsia="Calibri" w:hAnsi="Arial" w:cs="Arial"/>
          <w:bCs/>
        </w:rPr>
        <w:t xml:space="preserve"> </w:t>
      </w:r>
      <w:r w:rsidR="00CB72C7" w:rsidRPr="00514777">
        <w:rPr>
          <w:rFonts w:ascii="Arial" w:eastAsia="Calibri" w:hAnsi="Arial" w:cs="Arial"/>
          <w:bCs/>
        </w:rPr>
        <w:t>for</w:t>
      </w:r>
      <w:r w:rsidRPr="00514777">
        <w:rPr>
          <w:rFonts w:ascii="Arial" w:eastAsia="Calibri" w:hAnsi="Arial" w:cs="Arial"/>
          <w:bCs/>
        </w:rPr>
        <w:t xml:space="preserve"> a court to exercise its discretion</w:t>
      </w:r>
      <w:r w:rsidR="00A80D01" w:rsidRPr="00514777">
        <w:rPr>
          <w:rFonts w:ascii="Arial" w:eastAsia="Calibri" w:hAnsi="Arial" w:cs="Arial"/>
          <w:bCs/>
        </w:rPr>
        <w:t>,</w:t>
      </w:r>
      <w:r w:rsidRPr="00514777">
        <w:rPr>
          <w:rFonts w:ascii="Arial" w:eastAsia="Calibri" w:hAnsi="Arial" w:cs="Arial"/>
          <w:bCs/>
        </w:rPr>
        <w:t xml:space="preserve"> it must be presented with facts to enable it to do so. </w:t>
      </w:r>
    </w:p>
    <w:p w14:paraId="65A7701F" w14:textId="77777777" w:rsidR="00514777" w:rsidRPr="00514777" w:rsidRDefault="00514777" w:rsidP="00514777">
      <w:pPr>
        <w:pStyle w:val="ListParagraph"/>
        <w:rPr>
          <w:rFonts w:ascii="Arial" w:eastAsia="Calibri" w:hAnsi="Arial" w:cs="Arial"/>
          <w:bCs/>
        </w:rPr>
      </w:pPr>
    </w:p>
    <w:p w14:paraId="72C5E59B" w14:textId="4269912B" w:rsidR="00514777" w:rsidRPr="00514777" w:rsidRDefault="00A80D01" w:rsidP="00514777">
      <w:pPr>
        <w:pStyle w:val="ListParagraph"/>
        <w:numPr>
          <w:ilvl w:val="0"/>
          <w:numId w:val="2"/>
        </w:numPr>
        <w:spacing w:line="360" w:lineRule="auto"/>
        <w:ind w:left="0" w:firstLine="0"/>
        <w:jc w:val="both"/>
        <w:rPr>
          <w:rFonts w:ascii="Arial" w:hAnsi="Arial" w:cs="Arial"/>
          <w:lang w:val="en-US"/>
        </w:rPr>
      </w:pPr>
      <w:r w:rsidRPr="00514777">
        <w:rPr>
          <w:rFonts w:ascii="Arial" w:eastAsia="Calibri" w:hAnsi="Arial" w:cs="Arial"/>
          <w:bCs/>
        </w:rPr>
        <w:t>The a</w:t>
      </w:r>
      <w:r w:rsidR="007525EE" w:rsidRPr="00514777">
        <w:rPr>
          <w:rFonts w:ascii="Arial" w:eastAsia="Calibri" w:hAnsi="Arial" w:cs="Arial"/>
          <w:bCs/>
        </w:rPr>
        <w:t>pplicant did not comply with the tri</w:t>
      </w:r>
      <w:r w:rsidRPr="00514777">
        <w:rPr>
          <w:rFonts w:ascii="Arial" w:eastAsia="Calibri" w:hAnsi="Arial" w:cs="Arial"/>
          <w:bCs/>
        </w:rPr>
        <w:t>te</w:t>
      </w:r>
      <w:r w:rsidR="007525EE" w:rsidRPr="00514777">
        <w:rPr>
          <w:rFonts w:ascii="Arial" w:eastAsia="Calibri" w:hAnsi="Arial" w:cs="Arial"/>
          <w:bCs/>
        </w:rPr>
        <w:t xml:space="preserve"> requirements </w:t>
      </w:r>
      <w:r w:rsidR="00CB72C7" w:rsidRPr="00514777">
        <w:rPr>
          <w:rFonts w:ascii="Arial" w:eastAsia="Calibri" w:hAnsi="Arial" w:cs="Arial"/>
          <w:bCs/>
        </w:rPr>
        <w:t>to</w:t>
      </w:r>
      <w:r w:rsidR="007525EE" w:rsidRPr="00514777">
        <w:rPr>
          <w:rFonts w:ascii="Arial" w:eastAsia="Calibri" w:hAnsi="Arial" w:cs="Arial"/>
          <w:bCs/>
        </w:rPr>
        <w:t xml:space="preserve"> succeed with the condonation application</w:t>
      </w:r>
      <w:r w:rsidRPr="00514777">
        <w:rPr>
          <w:rFonts w:ascii="Arial" w:eastAsia="Calibri" w:hAnsi="Arial" w:cs="Arial"/>
          <w:bCs/>
        </w:rPr>
        <w:t>,</w:t>
      </w:r>
      <w:r w:rsidR="007525EE" w:rsidRPr="00514777">
        <w:rPr>
          <w:rFonts w:ascii="Arial" w:eastAsia="Calibri" w:hAnsi="Arial" w:cs="Arial"/>
          <w:bCs/>
        </w:rPr>
        <w:t xml:space="preserve"> and the court</w:t>
      </w:r>
      <w:r w:rsidR="00CD2781">
        <w:rPr>
          <w:rFonts w:ascii="Arial" w:eastAsia="Calibri" w:hAnsi="Arial" w:cs="Arial"/>
          <w:bCs/>
        </w:rPr>
        <w:t>,</w:t>
      </w:r>
      <w:r w:rsidR="007525EE" w:rsidRPr="00514777">
        <w:rPr>
          <w:rFonts w:ascii="Arial" w:eastAsia="Calibri" w:hAnsi="Arial" w:cs="Arial"/>
          <w:bCs/>
        </w:rPr>
        <w:t xml:space="preserve"> unfortunately for the applicant</w:t>
      </w:r>
      <w:r w:rsidRPr="00514777">
        <w:rPr>
          <w:rFonts w:ascii="Arial" w:eastAsia="Calibri" w:hAnsi="Arial" w:cs="Arial"/>
          <w:bCs/>
        </w:rPr>
        <w:t>,</w:t>
      </w:r>
      <w:r w:rsidR="007525EE" w:rsidRPr="00514777">
        <w:rPr>
          <w:rFonts w:ascii="Arial" w:eastAsia="Calibri" w:hAnsi="Arial" w:cs="Arial"/>
          <w:bCs/>
        </w:rPr>
        <w:t xml:space="preserve"> </w:t>
      </w:r>
      <w:r w:rsidR="00547BE6">
        <w:rPr>
          <w:rFonts w:ascii="Arial" w:eastAsia="Calibri" w:hAnsi="Arial" w:cs="Arial"/>
          <w:bCs/>
        </w:rPr>
        <w:t>was not</w:t>
      </w:r>
      <w:r w:rsidR="007525EE" w:rsidRPr="00514777">
        <w:rPr>
          <w:rFonts w:ascii="Arial" w:eastAsia="Calibri" w:hAnsi="Arial" w:cs="Arial"/>
          <w:bCs/>
        </w:rPr>
        <w:t xml:space="preserve"> provided with facts which would enable the court to exercise its discretion in </w:t>
      </w:r>
      <w:r w:rsidR="007525EE" w:rsidRPr="00514777">
        <w:rPr>
          <w:rFonts w:ascii="Arial" w:eastAsia="Calibri" w:hAnsi="Arial" w:cs="Arial"/>
          <w:bCs/>
        </w:rPr>
        <w:lastRenderedPageBreak/>
        <w:t>favo</w:t>
      </w:r>
      <w:r w:rsidRPr="00514777">
        <w:rPr>
          <w:rFonts w:ascii="Arial" w:eastAsia="Calibri" w:hAnsi="Arial" w:cs="Arial"/>
          <w:bCs/>
        </w:rPr>
        <w:t>u</w:t>
      </w:r>
      <w:r w:rsidR="007525EE" w:rsidRPr="00514777">
        <w:rPr>
          <w:rFonts w:ascii="Arial" w:eastAsia="Calibri" w:hAnsi="Arial" w:cs="Arial"/>
          <w:bCs/>
        </w:rPr>
        <w:t>r of the applicant.</w:t>
      </w:r>
      <w:r w:rsidR="00514777">
        <w:rPr>
          <w:rFonts w:ascii="Arial" w:eastAsia="Calibri" w:hAnsi="Arial" w:cs="Arial"/>
          <w:bCs/>
        </w:rPr>
        <w:t xml:space="preserve"> </w:t>
      </w:r>
      <w:r w:rsidR="007525EE" w:rsidRPr="00514777">
        <w:rPr>
          <w:rFonts w:ascii="Arial" w:eastAsia="Calibri" w:hAnsi="Arial" w:cs="Arial"/>
          <w:bCs/>
        </w:rPr>
        <w:t>The court can only</w:t>
      </w:r>
      <w:r w:rsidR="00CD2781">
        <w:rPr>
          <w:rFonts w:ascii="Arial" w:eastAsia="Calibri" w:hAnsi="Arial" w:cs="Arial"/>
          <w:bCs/>
        </w:rPr>
        <w:t xml:space="preserve"> </w:t>
      </w:r>
      <w:r w:rsidR="00CB72C7">
        <w:rPr>
          <w:rFonts w:ascii="Arial" w:eastAsia="Calibri" w:hAnsi="Arial" w:cs="Arial"/>
          <w:bCs/>
        </w:rPr>
        <w:t>decide</w:t>
      </w:r>
      <w:r w:rsidR="00CD2781">
        <w:rPr>
          <w:rFonts w:ascii="Arial" w:eastAsia="Calibri" w:hAnsi="Arial" w:cs="Arial"/>
          <w:bCs/>
        </w:rPr>
        <w:t xml:space="preserve"> </w:t>
      </w:r>
      <w:r w:rsidRPr="00514777">
        <w:rPr>
          <w:rFonts w:ascii="Arial" w:eastAsia="Calibri" w:hAnsi="Arial" w:cs="Arial"/>
          <w:bCs/>
        </w:rPr>
        <w:t>w</w:t>
      </w:r>
      <w:r w:rsidR="007525EE" w:rsidRPr="00514777">
        <w:rPr>
          <w:rFonts w:ascii="Arial" w:eastAsia="Calibri" w:hAnsi="Arial" w:cs="Arial"/>
          <w:bCs/>
        </w:rPr>
        <w:t xml:space="preserve">hat </w:t>
      </w:r>
      <w:r w:rsidR="00CD2781">
        <w:rPr>
          <w:rFonts w:ascii="Arial" w:eastAsia="Calibri" w:hAnsi="Arial" w:cs="Arial"/>
          <w:bCs/>
        </w:rPr>
        <w:t>is</w:t>
      </w:r>
      <w:r w:rsidR="007525EE" w:rsidRPr="00514777">
        <w:rPr>
          <w:rFonts w:ascii="Arial" w:eastAsia="Calibri" w:hAnsi="Arial" w:cs="Arial"/>
          <w:bCs/>
        </w:rPr>
        <w:t xml:space="preserve"> placed before it</w:t>
      </w:r>
      <w:r w:rsidRPr="00514777">
        <w:rPr>
          <w:rFonts w:ascii="Arial" w:eastAsia="Calibri" w:hAnsi="Arial" w:cs="Arial"/>
          <w:bCs/>
        </w:rPr>
        <w:t>,</w:t>
      </w:r>
      <w:r w:rsidR="007525EE" w:rsidRPr="00514777">
        <w:rPr>
          <w:rFonts w:ascii="Arial" w:eastAsia="Calibri" w:hAnsi="Arial" w:cs="Arial"/>
          <w:bCs/>
        </w:rPr>
        <w:t xml:space="preserve"> and if sufficient</w:t>
      </w:r>
      <w:r w:rsidR="00547BE6">
        <w:rPr>
          <w:rFonts w:ascii="Arial" w:eastAsia="Calibri" w:hAnsi="Arial" w:cs="Arial"/>
          <w:bCs/>
        </w:rPr>
        <w:t xml:space="preserve"> facts</w:t>
      </w:r>
      <w:r w:rsidR="007525EE" w:rsidRPr="00514777">
        <w:rPr>
          <w:rFonts w:ascii="Arial" w:eastAsia="Calibri" w:hAnsi="Arial" w:cs="Arial"/>
          <w:bCs/>
        </w:rPr>
        <w:t xml:space="preserve"> </w:t>
      </w:r>
      <w:r w:rsidR="00547BE6">
        <w:rPr>
          <w:rFonts w:ascii="Arial" w:eastAsia="Calibri" w:hAnsi="Arial" w:cs="Arial"/>
          <w:bCs/>
        </w:rPr>
        <w:t>are not</w:t>
      </w:r>
      <w:r w:rsidR="007525EE" w:rsidRPr="00514777">
        <w:rPr>
          <w:rFonts w:ascii="Arial" w:eastAsia="Calibri" w:hAnsi="Arial" w:cs="Arial"/>
          <w:bCs/>
        </w:rPr>
        <w:t xml:space="preserve"> placed before it, the court’s hands are effectively ti</w:t>
      </w:r>
      <w:r w:rsidRPr="00514777">
        <w:rPr>
          <w:rFonts w:ascii="Arial" w:eastAsia="Calibri" w:hAnsi="Arial" w:cs="Arial"/>
          <w:bCs/>
        </w:rPr>
        <w:t>ed</w:t>
      </w:r>
      <w:r w:rsidR="007525EE" w:rsidRPr="00514777">
        <w:rPr>
          <w:rFonts w:ascii="Arial" w:eastAsia="Calibri" w:hAnsi="Arial" w:cs="Arial"/>
          <w:bCs/>
        </w:rPr>
        <w:t xml:space="preserve">. </w:t>
      </w:r>
      <w:r w:rsidR="00B8399C">
        <w:rPr>
          <w:rFonts w:ascii="Arial" w:eastAsia="Calibri" w:hAnsi="Arial" w:cs="Arial"/>
          <w:bCs/>
        </w:rPr>
        <w:t>I</w:t>
      </w:r>
      <w:r w:rsidR="00CD2781">
        <w:rPr>
          <w:rFonts w:ascii="Arial" w:eastAsia="Calibri" w:hAnsi="Arial" w:cs="Arial"/>
          <w:bCs/>
        </w:rPr>
        <w:t>n</w:t>
      </w:r>
      <w:r w:rsidR="007525EE" w:rsidRPr="00514777">
        <w:rPr>
          <w:rFonts w:ascii="Arial" w:eastAsia="Calibri" w:hAnsi="Arial" w:cs="Arial"/>
          <w:bCs/>
        </w:rPr>
        <w:t xml:space="preserve"> circumstances where </w:t>
      </w:r>
      <w:r w:rsidR="00CD2781">
        <w:rPr>
          <w:rFonts w:ascii="Arial" w:eastAsia="Calibri" w:hAnsi="Arial" w:cs="Arial"/>
          <w:bCs/>
        </w:rPr>
        <w:t>a</w:t>
      </w:r>
      <w:r w:rsidR="007525EE" w:rsidRPr="00514777">
        <w:rPr>
          <w:rFonts w:ascii="Arial" w:eastAsia="Calibri" w:hAnsi="Arial" w:cs="Arial"/>
          <w:bCs/>
        </w:rPr>
        <w:t xml:space="preserve"> reasonable explanation </w:t>
      </w:r>
      <w:r w:rsidR="00CD2781">
        <w:rPr>
          <w:rFonts w:ascii="Arial" w:eastAsia="Calibri" w:hAnsi="Arial" w:cs="Arial"/>
          <w:bCs/>
        </w:rPr>
        <w:t xml:space="preserve">is </w:t>
      </w:r>
      <w:r w:rsidR="007525EE" w:rsidRPr="00514777">
        <w:rPr>
          <w:rFonts w:ascii="Arial" w:eastAsia="Calibri" w:hAnsi="Arial" w:cs="Arial"/>
          <w:bCs/>
        </w:rPr>
        <w:t>close to absent</w:t>
      </w:r>
      <w:r w:rsidR="00CD2781">
        <w:rPr>
          <w:rFonts w:ascii="Arial" w:eastAsia="Calibri" w:hAnsi="Arial" w:cs="Arial"/>
          <w:bCs/>
        </w:rPr>
        <w:t xml:space="preserve">, but the </w:t>
      </w:r>
      <w:r w:rsidR="007525EE" w:rsidRPr="00514777">
        <w:rPr>
          <w:rFonts w:ascii="Arial" w:eastAsia="Calibri" w:hAnsi="Arial" w:cs="Arial"/>
          <w:bCs/>
        </w:rPr>
        <w:t>prospect</w:t>
      </w:r>
      <w:r w:rsidRPr="00514777">
        <w:rPr>
          <w:rFonts w:ascii="Arial" w:eastAsia="Calibri" w:hAnsi="Arial" w:cs="Arial"/>
          <w:bCs/>
        </w:rPr>
        <w:t>s</w:t>
      </w:r>
      <w:r w:rsidR="007525EE" w:rsidRPr="00514777">
        <w:rPr>
          <w:rFonts w:ascii="Arial" w:eastAsia="Calibri" w:hAnsi="Arial" w:cs="Arial"/>
          <w:bCs/>
        </w:rPr>
        <w:t xml:space="preserve"> of success are strong,</w:t>
      </w:r>
      <w:r w:rsidR="00CD2781">
        <w:rPr>
          <w:rFonts w:ascii="Arial" w:eastAsia="Calibri" w:hAnsi="Arial" w:cs="Arial"/>
          <w:bCs/>
        </w:rPr>
        <w:t xml:space="preserve"> </w:t>
      </w:r>
      <w:r w:rsidR="007525EE" w:rsidRPr="00514777">
        <w:rPr>
          <w:rFonts w:ascii="Arial" w:eastAsia="Calibri" w:hAnsi="Arial" w:cs="Arial"/>
          <w:bCs/>
        </w:rPr>
        <w:t xml:space="preserve">the court may </w:t>
      </w:r>
      <w:r w:rsidR="00B8399C">
        <w:rPr>
          <w:rFonts w:ascii="Arial" w:eastAsia="Calibri" w:hAnsi="Arial" w:cs="Arial"/>
          <w:bCs/>
        </w:rPr>
        <w:t xml:space="preserve">still </w:t>
      </w:r>
      <w:r w:rsidR="007525EE" w:rsidRPr="00514777">
        <w:rPr>
          <w:rFonts w:ascii="Arial" w:eastAsia="Calibri" w:hAnsi="Arial" w:cs="Arial"/>
          <w:bCs/>
        </w:rPr>
        <w:t xml:space="preserve">exercise its discretion </w:t>
      </w:r>
      <w:r w:rsidR="00B8399C">
        <w:rPr>
          <w:rFonts w:ascii="Arial" w:eastAsia="Calibri" w:hAnsi="Arial" w:cs="Arial"/>
          <w:bCs/>
        </w:rPr>
        <w:t>to grant</w:t>
      </w:r>
      <w:r w:rsidR="007525EE" w:rsidRPr="00514777">
        <w:rPr>
          <w:rFonts w:ascii="Arial" w:eastAsia="Calibri" w:hAnsi="Arial" w:cs="Arial"/>
          <w:bCs/>
        </w:rPr>
        <w:t xml:space="preserve"> condonation.</w:t>
      </w:r>
      <w:r w:rsidR="00514777">
        <w:rPr>
          <w:rFonts w:ascii="Arial" w:eastAsia="Calibri" w:hAnsi="Arial" w:cs="Arial"/>
          <w:bCs/>
        </w:rPr>
        <w:t xml:space="preserve"> </w:t>
      </w:r>
      <w:r w:rsidR="007525EE" w:rsidRPr="00514777">
        <w:rPr>
          <w:rFonts w:ascii="Arial" w:eastAsia="Calibri" w:hAnsi="Arial" w:cs="Arial"/>
          <w:bCs/>
        </w:rPr>
        <w:t>Unfortunately for the applicant in this matter</w:t>
      </w:r>
      <w:r w:rsidRPr="00514777">
        <w:rPr>
          <w:rFonts w:ascii="Arial" w:eastAsia="Calibri" w:hAnsi="Arial" w:cs="Arial"/>
          <w:bCs/>
        </w:rPr>
        <w:t>,</w:t>
      </w:r>
      <w:r w:rsidR="007525EE" w:rsidRPr="00514777">
        <w:rPr>
          <w:rFonts w:ascii="Arial" w:eastAsia="Calibri" w:hAnsi="Arial" w:cs="Arial"/>
          <w:bCs/>
        </w:rPr>
        <w:t xml:space="preserve"> </w:t>
      </w:r>
      <w:r w:rsidR="00547BE6">
        <w:rPr>
          <w:rFonts w:ascii="Arial" w:eastAsia="Calibri" w:hAnsi="Arial" w:cs="Arial"/>
          <w:bCs/>
        </w:rPr>
        <w:t>n</w:t>
      </w:r>
      <w:r w:rsidR="007525EE" w:rsidRPr="00514777">
        <w:rPr>
          <w:rFonts w:ascii="Arial" w:eastAsia="Calibri" w:hAnsi="Arial" w:cs="Arial"/>
          <w:bCs/>
        </w:rPr>
        <w:t xml:space="preserve">either of those two requirements </w:t>
      </w:r>
      <w:r w:rsidR="00547BE6">
        <w:rPr>
          <w:rFonts w:ascii="Arial" w:eastAsia="Calibri" w:hAnsi="Arial" w:cs="Arial"/>
          <w:bCs/>
        </w:rPr>
        <w:t xml:space="preserve">were complied with for the court </w:t>
      </w:r>
      <w:r w:rsidR="007525EE" w:rsidRPr="00514777">
        <w:rPr>
          <w:rFonts w:ascii="Arial" w:eastAsia="Calibri" w:hAnsi="Arial" w:cs="Arial"/>
          <w:bCs/>
        </w:rPr>
        <w:t xml:space="preserve">to come to </w:t>
      </w:r>
      <w:r w:rsidR="00547BE6">
        <w:rPr>
          <w:rFonts w:ascii="Arial" w:eastAsia="Calibri" w:hAnsi="Arial" w:cs="Arial"/>
          <w:bCs/>
        </w:rPr>
        <w:t>the applicant’s</w:t>
      </w:r>
      <w:r w:rsidR="007525EE" w:rsidRPr="00514777">
        <w:rPr>
          <w:rFonts w:ascii="Arial" w:eastAsia="Calibri" w:hAnsi="Arial" w:cs="Arial"/>
          <w:bCs/>
        </w:rPr>
        <w:t xml:space="preserve"> assistan</w:t>
      </w:r>
      <w:r w:rsidRPr="00514777">
        <w:rPr>
          <w:rFonts w:ascii="Arial" w:eastAsia="Calibri" w:hAnsi="Arial" w:cs="Arial"/>
          <w:bCs/>
        </w:rPr>
        <w:t>ce</w:t>
      </w:r>
      <w:r w:rsidR="007525EE" w:rsidRPr="00514777">
        <w:rPr>
          <w:rFonts w:ascii="Arial" w:eastAsia="Calibri" w:hAnsi="Arial" w:cs="Arial"/>
          <w:bCs/>
        </w:rPr>
        <w:t xml:space="preserve"> to grant </w:t>
      </w:r>
      <w:r w:rsidR="00B8399C">
        <w:rPr>
          <w:rFonts w:ascii="Arial" w:eastAsia="Calibri" w:hAnsi="Arial" w:cs="Arial"/>
          <w:bCs/>
        </w:rPr>
        <w:t xml:space="preserve">it </w:t>
      </w:r>
      <w:r w:rsidR="007525EE" w:rsidRPr="00514777">
        <w:rPr>
          <w:rFonts w:ascii="Arial" w:eastAsia="Calibri" w:hAnsi="Arial" w:cs="Arial"/>
          <w:bCs/>
        </w:rPr>
        <w:t xml:space="preserve">condonation. </w:t>
      </w:r>
    </w:p>
    <w:p w14:paraId="2D065290" w14:textId="77777777" w:rsidR="00514777" w:rsidRPr="00514777" w:rsidRDefault="00514777" w:rsidP="00514777">
      <w:pPr>
        <w:pStyle w:val="ListParagraph"/>
        <w:rPr>
          <w:rFonts w:ascii="Arial" w:eastAsia="Calibri" w:hAnsi="Arial" w:cs="Arial"/>
          <w:bCs/>
        </w:rPr>
      </w:pPr>
    </w:p>
    <w:p w14:paraId="41DB32FF" w14:textId="13F8C41C" w:rsidR="007525EE" w:rsidRPr="001D041A" w:rsidRDefault="007525EE" w:rsidP="001D041A">
      <w:pPr>
        <w:pStyle w:val="ListParagraph"/>
        <w:numPr>
          <w:ilvl w:val="0"/>
          <w:numId w:val="2"/>
        </w:numPr>
        <w:spacing w:line="360" w:lineRule="auto"/>
        <w:ind w:left="0" w:firstLine="0"/>
        <w:jc w:val="both"/>
        <w:rPr>
          <w:rFonts w:ascii="Arial" w:hAnsi="Arial" w:cs="Arial"/>
          <w:lang w:val="en-US"/>
        </w:rPr>
      </w:pPr>
      <w:r w:rsidRPr="007525EE">
        <w:rPr>
          <w:rFonts w:ascii="Arial" w:eastAsia="Calibri" w:hAnsi="Arial" w:cs="Arial"/>
          <w:bCs/>
        </w:rPr>
        <w:t xml:space="preserve">With it being </w:t>
      </w:r>
      <w:r w:rsidR="00514777">
        <w:rPr>
          <w:rFonts w:ascii="Arial" w:eastAsia="Calibri" w:hAnsi="Arial" w:cs="Arial"/>
          <w:bCs/>
        </w:rPr>
        <w:t>un</w:t>
      </w:r>
      <w:r w:rsidRPr="007525EE">
        <w:rPr>
          <w:rFonts w:ascii="Arial" w:eastAsia="Calibri" w:hAnsi="Arial" w:cs="Arial"/>
          <w:bCs/>
        </w:rPr>
        <w:t>necessary for the court to make a ruling on the condonation application in respect of the late filing of the notice of motion for this condonation application, the court find</w:t>
      </w:r>
      <w:r w:rsidR="00514777">
        <w:rPr>
          <w:rFonts w:ascii="Arial" w:eastAsia="Calibri" w:hAnsi="Arial" w:cs="Arial"/>
          <w:bCs/>
        </w:rPr>
        <w:t>s</w:t>
      </w:r>
      <w:r w:rsidRPr="007525EE">
        <w:rPr>
          <w:rFonts w:ascii="Arial" w:eastAsia="Calibri" w:hAnsi="Arial" w:cs="Arial"/>
          <w:bCs/>
        </w:rPr>
        <w:t xml:space="preserve"> that the applicant failed to make out a case for the relief sought</w:t>
      </w:r>
      <w:r w:rsidR="00514777">
        <w:rPr>
          <w:rFonts w:ascii="Arial" w:eastAsia="Calibri" w:hAnsi="Arial" w:cs="Arial"/>
          <w:bCs/>
        </w:rPr>
        <w:t>.</w:t>
      </w:r>
      <w:r w:rsidR="001D041A">
        <w:rPr>
          <w:rFonts w:ascii="Arial" w:hAnsi="Arial" w:cs="Arial"/>
          <w:lang w:val="en-US"/>
        </w:rPr>
        <w:t xml:space="preserve"> </w:t>
      </w:r>
      <w:r w:rsidRPr="001D041A">
        <w:rPr>
          <w:rFonts w:ascii="Arial" w:eastAsia="Calibri" w:hAnsi="Arial" w:cs="Arial"/>
          <w:bCs/>
        </w:rPr>
        <w:t xml:space="preserve">The court </w:t>
      </w:r>
      <w:r w:rsidR="001D041A" w:rsidRPr="001D041A">
        <w:rPr>
          <w:rFonts w:ascii="Arial" w:eastAsia="Calibri" w:hAnsi="Arial" w:cs="Arial"/>
          <w:bCs/>
        </w:rPr>
        <w:t xml:space="preserve">further </w:t>
      </w:r>
      <w:r w:rsidRPr="001D041A">
        <w:rPr>
          <w:rFonts w:ascii="Arial" w:eastAsia="Calibri" w:hAnsi="Arial" w:cs="Arial"/>
          <w:bCs/>
        </w:rPr>
        <w:t xml:space="preserve">finds that a case has not been made out for a cost order </w:t>
      </w:r>
      <w:r w:rsidR="00CB72C7" w:rsidRPr="001D041A">
        <w:rPr>
          <w:rFonts w:ascii="Arial" w:eastAsia="Calibri" w:hAnsi="Arial" w:cs="Arial"/>
          <w:bCs/>
        </w:rPr>
        <w:t>more than</w:t>
      </w:r>
      <w:r w:rsidRPr="001D041A">
        <w:rPr>
          <w:rFonts w:ascii="Arial" w:eastAsia="Calibri" w:hAnsi="Arial" w:cs="Arial"/>
          <w:bCs/>
        </w:rPr>
        <w:t xml:space="preserve"> that provided for in rule 32(11)</w:t>
      </w:r>
      <w:r w:rsidR="001D041A">
        <w:rPr>
          <w:rFonts w:ascii="Arial" w:eastAsia="Calibri" w:hAnsi="Arial" w:cs="Arial"/>
          <w:bCs/>
        </w:rPr>
        <w:t xml:space="preserve">, </w:t>
      </w:r>
      <w:r w:rsidRPr="001D041A">
        <w:rPr>
          <w:rFonts w:ascii="Arial" w:eastAsia="Calibri" w:hAnsi="Arial" w:cs="Arial"/>
          <w:bCs/>
        </w:rPr>
        <w:t>and the following order is made:</w:t>
      </w:r>
    </w:p>
    <w:p w14:paraId="1140444B" w14:textId="77777777" w:rsidR="007525EE" w:rsidRPr="007525EE" w:rsidRDefault="007525EE" w:rsidP="007525EE">
      <w:pPr>
        <w:pStyle w:val="ListParagraph"/>
        <w:rPr>
          <w:rFonts w:ascii="Arial" w:eastAsia="Calibri" w:hAnsi="Arial" w:cs="Arial"/>
          <w:bCs/>
        </w:rPr>
      </w:pPr>
    </w:p>
    <w:p w14:paraId="0B672AA8" w14:textId="77777777" w:rsidR="00BD766D" w:rsidRDefault="00BD766D" w:rsidP="00BD766D">
      <w:pPr>
        <w:pStyle w:val="ListParagraph"/>
        <w:numPr>
          <w:ilvl w:val="0"/>
          <w:numId w:val="10"/>
        </w:numPr>
        <w:spacing w:line="360" w:lineRule="auto"/>
        <w:ind w:left="0" w:firstLine="357"/>
        <w:jc w:val="both"/>
        <w:rPr>
          <w:rFonts w:ascii="Arial" w:eastAsia="Arial" w:hAnsi="Arial" w:cs="Arial"/>
        </w:rPr>
      </w:pPr>
      <w:r w:rsidRPr="00C421F5">
        <w:rPr>
          <w:rFonts w:ascii="Arial" w:eastAsia="Arial" w:hAnsi="Arial" w:cs="Arial"/>
        </w:rPr>
        <w:t xml:space="preserve">The </w:t>
      </w:r>
      <w:r>
        <w:rPr>
          <w:rFonts w:ascii="Arial" w:eastAsia="Arial" w:hAnsi="Arial" w:cs="Arial"/>
        </w:rPr>
        <w:t>a</w:t>
      </w:r>
      <w:r w:rsidRPr="00C421F5">
        <w:rPr>
          <w:rFonts w:ascii="Arial" w:eastAsia="Arial" w:hAnsi="Arial" w:cs="Arial"/>
        </w:rPr>
        <w:t>pplicant's condonation application for its failure to have filed an answering affidavit in the</w:t>
      </w:r>
      <w:r>
        <w:rPr>
          <w:rFonts w:ascii="Arial" w:eastAsia="Arial" w:hAnsi="Arial" w:cs="Arial"/>
        </w:rPr>
        <w:t xml:space="preserve"> r</w:t>
      </w:r>
      <w:r w:rsidRPr="00C421F5">
        <w:rPr>
          <w:rFonts w:ascii="Arial" w:eastAsia="Arial" w:hAnsi="Arial" w:cs="Arial"/>
        </w:rPr>
        <w:t>espondents</w:t>
      </w:r>
      <w:r>
        <w:rPr>
          <w:rFonts w:ascii="Arial" w:eastAsia="Arial" w:hAnsi="Arial" w:cs="Arial"/>
        </w:rPr>
        <w:t>’</w:t>
      </w:r>
      <w:r w:rsidRPr="00C421F5">
        <w:rPr>
          <w:rFonts w:ascii="Arial" w:eastAsia="Arial" w:hAnsi="Arial" w:cs="Arial"/>
        </w:rPr>
        <w:t xml:space="preserve"> counter application is dismissed with costs capped in terms of the provisions of</w:t>
      </w:r>
      <w:r>
        <w:rPr>
          <w:rFonts w:ascii="Arial" w:eastAsia="Arial" w:hAnsi="Arial" w:cs="Arial"/>
        </w:rPr>
        <w:t xml:space="preserve"> r</w:t>
      </w:r>
      <w:r w:rsidRPr="00C421F5">
        <w:rPr>
          <w:rFonts w:ascii="Arial" w:eastAsia="Arial" w:hAnsi="Arial" w:cs="Arial"/>
        </w:rPr>
        <w:t xml:space="preserve"> 32(11).</w:t>
      </w:r>
    </w:p>
    <w:p w14:paraId="0FDC2E0D" w14:textId="77777777" w:rsidR="00BD766D" w:rsidRPr="00C421F5" w:rsidRDefault="00BD766D" w:rsidP="00BD766D">
      <w:pPr>
        <w:pStyle w:val="ListParagraph"/>
        <w:rPr>
          <w:rFonts w:ascii="Arial" w:eastAsia="Arial" w:hAnsi="Arial" w:cs="Arial"/>
        </w:rPr>
      </w:pPr>
    </w:p>
    <w:p w14:paraId="0CDF52FC" w14:textId="77777777" w:rsidR="00BD766D" w:rsidRDefault="00BD766D" w:rsidP="00BD766D">
      <w:pPr>
        <w:pStyle w:val="ListParagraph"/>
        <w:numPr>
          <w:ilvl w:val="0"/>
          <w:numId w:val="10"/>
        </w:numPr>
        <w:spacing w:line="360" w:lineRule="auto"/>
        <w:ind w:left="0" w:firstLine="0"/>
        <w:jc w:val="both"/>
        <w:rPr>
          <w:rFonts w:ascii="Arial" w:eastAsia="Arial" w:hAnsi="Arial" w:cs="Arial"/>
        </w:rPr>
      </w:pPr>
      <w:r w:rsidRPr="00C421F5">
        <w:rPr>
          <w:rFonts w:ascii="Arial" w:eastAsia="Arial" w:hAnsi="Arial" w:cs="Arial"/>
        </w:rPr>
        <w:t>The parties shall deliver a case management report on or before 15 February 2024.</w:t>
      </w:r>
    </w:p>
    <w:p w14:paraId="6E7F521B" w14:textId="77777777" w:rsidR="00BD766D" w:rsidRPr="00C421F5" w:rsidRDefault="00BD766D" w:rsidP="00BD766D">
      <w:pPr>
        <w:pStyle w:val="ListParagraph"/>
        <w:rPr>
          <w:rFonts w:ascii="Arial" w:eastAsia="Arial" w:hAnsi="Arial" w:cs="Arial"/>
        </w:rPr>
      </w:pPr>
    </w:p>
    <w:p w14:paraId="257DB75E" w14:textId="77777777" w:rsidR="00BD766D" w:rsidRPr="00C421F5" w:rsidRDefault="00BD766D" w:rsidP="00BD766D">
      <w:pPr>
        <w:pStyle w:val="ListParagraph"/>
        <w:numPr>
          <w:ilvl w:val="0"/>
          <w:numId w:val="10"/>
        </w:numPr>
        <w:spacing w:line="360" w:lineRule="auto"/>
        <w:ind w:left="0" w:firstLine="0"/>
        <w:jc w:val="both"/>
        <w:rPr>
          <w:rFonts w:ascii="Arial" w:eastAsia="Arial" w:hAnsi="Arial" w:cs="Arial"/>
        </w:rPr>
      </w:pPr>
      <w:r w:rsidRPr="00C421F5">
        <w:rPr>
          <w:rFonts w:ascii="Arial" w:eastAsia="Arial" w:hAnsi="Arial" w:cs="Arial"/>
        </w:rPr>
        <w:t>The matter is postponed to 21 February 2024 at 08:30 for a case management conference.</w:t>
      </w:r>
    </w:p>
    <w:p w14:paraId="4714D29C" w14:textId="77777777" w:rsidR="00B74401" w:rsidRDefault="00B74401" w:rsidP="00B74401">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367F703" w:rsidR="004B062D" w:rsidRPr="004B062D" w:rsidRDefault="00D90021"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2DED80D1" w:rsidR="004B062D" w:rsidRPr="004B062D" w:rsidRDefault="004B062D" w:rsidP="004B062D">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112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544"/>
        <w:gridCol w:w="2199"/>
        <w:gridCol w:w="3046"/>
        <w:gridCol w:w="2199"/>
      </w:tblGrid>
      <w:tr w:rsidR="004B062D" w:rsidRPr="004B062D" w14:paraId="7F2E129A" w14:textId="77777777" w:rsidTr="00BD766D">
        <w:trPr>
          <w:gridBefore w:val="1"/>
          <w:gridAfter w:val="1"/>
          <w:wBefore w:w="279" w:type="dxa"/>
          <w:wAfter w:w="2199" w:type="dxa"/>
        </w:trPr>
        <w:tc>
          <w:tcPr>
            <w:tcW w:w="8789" w:type="dxa"/>
            <w:gridSpan w:val="3"/>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7525EE" w14:paraId="1FAF4FCE" w14:textId="77777777" w:rsidTr="00BD766D">
        <w:trPr>
          <w:gridBefore w:val="1"/>
          <w:gridAfter w:val="1"/>
          <w:wBefore w:w="279" w:type="dxa"/>
          <w:wAfter w:w="2199" w:type="dxa"/>
        </w:trPr>
        <w:tc>
          <w:tcPr>
            <w:tcW w:w="3544" w:type="dxa"/>
          </w:tcPr>
          <w:p w14:paraId="258C90E3" w14:textId="403AAC97" w:rsidR="004B062D" w:rsidRPr="007525EE" w:rsidRDefault="007525EE" w:rsidP="004B062D">
            <w:pPr>
              <w:spacing w:line="360" w:lineRule="auto"/>
              <w:rPr>
                <w:rFonts w:ascii="Arial" w:hAnsi="Arial" w:cs="Arial"/>
                <w:lang w:val="en-US"/>
              </w:rPr>
            </w:pPr>
            <w:r w:rsidRPr="007525EE">
              <w:rPr>
                <w:rFonts w:ascii="Arial" w:hAnsi="Arial" w:cs="Arial"/>
                <w:lang w:val="en-US"/>
              </w:rPr>
              <w:t>APPLICANT</w:t>
            </w:r>
            <w:r w:rsidR="009D2854" w:rsidRPr="007525EE">
              <w:rPr>
                <w:rFonts w:ascii="Arial" w:hAnsi="Arial" w:cs="Arial"/>
                <w:lang w:val="en-US"/>
              </w:rPr>
              <w:t>:</w:t>
            </w:r>
          </w:p>
        </w:tc>
        <w:tc>
          <w:tcPr>
            <w:tcW w:w="5245" w:type="dxa"/>
            <w:gridSpan w:val="2"/>
          </w:tcPr>
          <w:p w14:paraId="1E01AC9A" w14:textId="77777777" w:rsidR="00D624B9" w:rsidRPr="007525EE" w:rsidRDefault="00D624B9" w:rsidP="00BD766D">
            <w:pPr>
              <w:spacing w:line="360" w:lineRule="auto"/>
              <w:ind w:left="2160"/>
              <w:jc w:val="both"/>
              <w:rPr>
                <w:rFonts w:ascii="Arial" w:hAnsi="Arial" w:cs="Arial"/>
                <w:lang w:val="en-US"/>
              </w:rPr>
            </w:pPr>
            <w:r>
              <w:rPr>
                <w:rFonts w:ascii="Arial" w:hAnsi="Arial" w:cs="Arial"/>
                <w:lang w:val="en-US"/>
              </w:rPr>
              <w:t>N Halweendo</w:t>
            </w:r>
          </w:p>
          <w:p w14:paraId="41475148" w14:textId="77777777" w:rsidR="00D624B9" w:rsidRDefault="00D624B9" w:rsidP="00BD766D">
            <w:pPr>
              <w:spacing w:line="360" w:lineRule="auto"/>
              <w:ind w:left="2160"/>
              <w:jc w:val="both"/>
              <w:rPr>
                <w:rFonts w:ascii="Arial" w:hAnsi="Arial" w:cs="Arial"/>
                <w:lang w:val="en-US"/>
              </w:rPr>
            </w:pPr>
            <w:r w:rsidRPr="007525EE">
              <w:rPr>
                <w:rFonts w:ascii="Arial" w:hAnsi="Arial" w:cs="Arial"/>
                <w:lang w:val="en-US"/>
              </w:rPr>
              <w:t xml:space="preserve">Of </w:t>
            </w:r>
            <w:r>
              <w:rPr>
                <w:rFonts w:ascii="Arial" w:hAnsi="Arial" w:cs="Arial"/>
                <w:lang w:val="en-US"/>
              </w:rPr>
              <w:t xml:space="preserve">Nafimane Halweendo Legal Practitioners </w:t>
            </w:r>
          </w:p>
          <w:p w14:paraId="6E316BA9" w14:textId="4E05BE71" w:rsidR="00D624B9" w:rsidRPr="007525EE" w:rsidRDefault="00D624B9" w:rsidP="00BD766D">
            <w:pPr>
              <w:spacing w:line="360" w:lineRule="auto"/>
              <w:ind w:left="2160"/>
              <w:jc w:val="both"/>
              <w:rPr>
                <w:rFonts w:ascii="Arial" w:hAnsi="Arial" w:cs="Arial"/>
                <w:lang w:val="en-US"/>
              </w:rPr>
            </w:pPr>
            <w:r>
              <w:rPr>
                <w:rFonts w:ascii="Arial" w:hAnsi="Arial" w:cs="Arial"/>
                <w:lang w:val="en-US"/>
              </w:rPr>
              <w:t>Windhoek</w:t>
            </w:r>
          </w:p>
          <w:p w14:paraId="1C9F2085" w14:textId="1A0B7961" w:rsidR="00607061" w:rsidRPr="007525EE" w:rsidRDefault="00607061" w:rsidP="004B062D">
            <w:pPr>
              <w:spacing w:line="360" w:lineRule="auto"/>
              <w:rPr>
                <w:rFonts w:ascii="Arial" w:hAnsi="Arial" w:cs="Arial"/>
                <w:lang w:val="en-US"/>
              </w:rPr>
            </w:pPr>
          </w:p>
        </w:tc>
      </w:tr>
      <w:tr w:rsidR="004B062D" w:rsidRPr="007525EE" w14:paraId="003F046F" w14:textId="77777777" w:rsidTr="00BD766D">
        <w:tc>
          <w:tcPr>
            <w:tcW w:w="6022" w:type="dxa"/>
            <w:gridSpan w:val="3"/>
          </w:tcPr>
          <w:p w14:paraId="2395623C" w14:textId="214C8D00" w:rsidR="004B062D" w:rsidRPr="007525EE" w:rsidRDefault="00BD766D" w:rsidP="004B062D">
            <w:pPr>
              <w:spacing w:line="360" w:lineRule="auto"/>
              <w:rPr>
                <w:rFonts w:ascii="Arial" w:hAnsi="Arial" w:cs="Arial"/>
                <w:lang w:val="en-US"/>
              </w:rPr>
            </w:pPr>
            <w:r>
              <w:rPr>
                <w:rFonts w:ascii="Arial" w:hAnsi="Arial" w:cs="Arial"/>
                <w:lang w:val="en-US"/>
              </w:rPr>
              <w:t xml:space="preserve">  </w:t>
            </w:r>
            <w:r w:rsidR="007525EE">
              <w:rPr>
                <w:rFonts w:ascii="Arial" w:hAnsi="Arial" w:cs="Arial"/>
                <w:lang w:val="en-US"/>
              </w:rPr>
              <w:t>RESPONDENTS</w:t>
            </w:r>
            <w:r w:rsidR="009D2854" w:rsidRPr="007525EE">
              <w:rPr>
                <w:rFonts w:ascii="Arial" w:hAnsi="Arial" w:cs="Arial"/>
                <w:lang w:val="en-US"/>
              </w:rPr>
              <w:t>:</w:t>
            </w:r>
          </w:p>
        </w:tc>
        <w:tc>
          <w:tcPr>
            <w:tcW w:w="5245" w:type="dxa"/>
            <w:gridSpan w:val="2"/>
          </w:tcPr>
          <w:p w14:paraId="684FDDE4" w14:textId="77777777" w:rsidR="00D624B9" w:rsidRPr="007525EE" w:rsidRDefault="00D624B9" w:rsidP="00D624B9">
            <w:pPr>
              <w:spacing w:line="360" w:lineRule="auto"/>
              <w:rPr>
                <w:rFonts w:ascii="Arial" w:hAnsi="Arial" w:cs="Arial"/>
                <w:lang w:val="en-US"/>
              </w:rPr>
            </w:pPr>
            <w:r w:rsidRPr="007525EE">
              <w:rPr>
                <w:rFonts w:ascii="Arial" w:hAnsi="Arial" w:cs="Arial"/>
                <w:lang w:val="en-US"/>
              </w:rPr>
              <w:t>K Gaeb</w:t>
            </w:r>
          </w:p>
          <w:p w14:paraId="5B007587" w14:textId="2FFFF948" w:rsidR="00D624B9" w:rsidRDefault="00BD766D" w:rsidP="00D624B9">
            <w:pPr>
              <w:spacing w:line="360" w:lineRule="auto"/>
              <w:rPr>
                <w:rFonts w:ascii="Arial" w:hAnsi="Arial" w:cs="Arial"/>
                <w:lang w:val="en-US"/>
              </w:rPr>
            </w:pPr>
            <w:r>
              <w:rPr>
                <w:rFonts w:ascii="Arial" w:hAnsi="Arial" w:cs="Arial"/>
                <w:lang w:val="en-US"/>
              </w:rPr>
              <w:t>O</w:t>
            </w:r>
            <w:r w:rsidR="00D624B9">
              <w:rPr>
                <w:rFonts w:ascii="Arial" w:hAnsi="Arial" w:cs="Arial"/>
                <w:lang w:val="en-US"/>
              </w:rPr>
              <w:t>f Sisa Namandje &amp; Co Inc</w:t>
            </w:r>
          </w:p>
          <w:p w14:paraId="61244878" w14:textId="4D67E239" w:rsidR="007525EE" w:rsidRPr="007525EE" w:rsidRDefault="00D624B9" w:rsidP="004B062D">
            <w:pPr>
              <w:spacing w:line="360" w:lineRule="auto"/>
              <w:rPr>
                <w:rFonts w:ascii="Arial" w:hAnsi="Arial" w:cs="Arial"/>
                <w:lang w:val="en-US"/>
              </w:rPr>
            </w:pPr>
            <w:r>
              <w:rPr>
                <w:rFonts w:ascii="Arial" w:hAnsi="Arial" w:cs="Arial"/>
                <w:lang w:val="en-US"/>
              </w:rPr>
              <w:t>Windhoek</w:t>
            </w:r>
          </w:p>
          <w:p w14:paraId="070FB27C" w14:textId="4E86B56A" w:rsidR="004B062D" w:rsidRPr="007525EE" w:rsidRDefault="004B062D"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FD4891">
      <w:headerReference w:type="even" r:id="rId8"/>
      <w:headerReference w:type="default" r:id="rId9"/>
      <w:headerReference w:type="first" r:id="rId10"/>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6BB7A" w14:textId="77777777" w:rsidR="00000C7D" w:rsidRDefault="00000C7D" w:rsidP="00155B26">
      <w:r>
        <w:separator/>
      </w:r>
    </w:p>
  </w:endnote>
  <w:endnote w:type="continuationSeparator" w:id="0">
    <w:p w14:paraId="21D566E0" w14:textId="77777777" w:rsidR="00000C7D" w:rsidRDefault="00000C7D"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3722" w14:textId="77777777" w:rsidR="00000C7D" w:rsidRDefault="00000C7D" w:rsidP="00155B26">
      <w:r>
        <w:separator/>
      </w:r>
    </w:p>
  </w:footnote>
  <w:footnote w:type="continuationSeparator" w:id="0">
    <w:p w14:paraId="3C8ECA4A" w14:textId="77777777" w:rsidR="00000C7D" w:rsidRDefault="00000C7D" w:rsidP="00155B26">
      <w:r>
        <w:continuationSeparator/>
      </w:r>
    </w:p>
  </w:footnote>
  <w:footnote w:id="1">
    <w:p w14:paraId="24BF8ACE" w14:textId="4C2411C2" w:rsidR="001D041A" w:rsidRPr="00CD2781" w:rsidRDefault="001D041A" w:rsidP="00CD2781">
      <w:pPr>
        <w:autoSpaceDE w:val="0"/>
        <w:autoSpaceDN w:val="0"/>
        <w:adjustRightInd w:val="0"/>
        <w:jc w:val="both"/>
        <w:rPr>
          <w:rFonts w:ascii="Arial" w:hAnsi="Arial" w:cs="Arial"/>
          <w:kern w:val="0"/>
          <w:sz w:val="20"/>
          <w:szCs w:val="20"/>
        </w:rPr>
      </w:pPr>
      <w:r w:rsidRPr="00CD2781">
        <w:rPr>
          <w:rStyle w:val="FootnoteReference"/>
          <w:rFonts w:ascii="Arial" w:hAnsi="Arial" w:cs="Arial"/>
          <w:sz w:val="20"/>
          <w:szCs w:val="20"/>
        </w:rPr>
        <w:footnoteRef/>
      </w:r>
      <w:r w:rsidRPr="00CD2781">
        <w:rPr>
          <w:rFonts w:ascii="Arial" w:hAnsi="Arial" w:cs="Arial"/>
          <w:sz w:val="20"/>
          <w:szCs w:val="20"/>
        </w:rPr>
        <w:t xml:space="preserve"> </w:t>
      </w:r>
      <w:r w:rsidRPr="00CB72C7">
        <w:rPr>
          <w:rFonts w:ascii="Arial" w:hAnsi="Arial" w:cs="Arial"/>
          <w:i/>
          <w:iCs/>
          <w:kern w:val="0"/>
          <w:sz w:val="20"/>
          <w:szCs w:val="20"/>
        </w:rPr>
        <w:t>Development Bank of Namibia v Atomic Matter</w:t>
      </w:r>
      <w:r w:rsidRPr="00CD2781">
        <w:rPr>
          <w:rFonts w:ascii="Arial" w:hAnsi="Arial" w:cs="Arial"/>
          <w:kern w:val="0"/>
          <w:sz w:val="20"/>
          <w:szCs w:val="20"/>
        </w:rPr>
        <w:t xml:space="preserve"> (HC-MD-CIV-ACTCON-2023/01370) [2023] NAHCMD 602 (7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4864961"/>
      <w:docPartObj>
        <w:docPartGallery w:val="Page Numbers (Top of Page)"/>
        <w:docPartUnique/>
      </w:docPartObj>
    </w:sdtPr>
    <w:sdtEndPr>
      <w:rPr>
        <w:rStyle w:val="PageNumber"/>
      </w:rPr>
    </w:sdtEnd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10668225"/>
      <w:docPartObj>
        <w:docPartGallery w:val="Page Numbers (Top of Page)"/>
        <w:docPartUnique/>
      </w:docPartObj>
    </w:sdtPr>
    <w:sdtEndPr>
      <w:rPr>
        <w:rStyle w:val="PageNumber"/>
      </w:rPr>
    </w:sdtEnd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00BD28DB">
          <w:rPr>
            <w:rStyle w:val="PageNumber"/>
            <w:rFonts w:ascii="Arial" w:hAnsi="Arial" w:cs="Arial"/>
            <w:noProof/>
            <w:sz w:val="20"/>
            <w:szCs w:val="20"/>
          </w:rPr>
          <w:t>11</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EB57" w14:textId="21266FDE" w:rsidR="007C5671" w:rsidRPr="007C5671" w:rsidRDefault="007C5671" w:rsidP="007C5671">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D6480"/>
    <w:multiLevelType w:val="hybridMultilevel"/>
    <w:tmpl w:val="539AB690"/>
    <w:lvl w:ilvl="0" w:tplc="B4442192">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31804"/>
    <w:multiLevelType w:val="hybridMultilevel"/>
    <w:tmpl w:val="02DAA734"/>
    <w:lvl w:ilvl="0" w:tplc="B6B6E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EC4B90"/>
    <w:multiLevelType w:val="hybridMultilevel"/>
    <w:tmpl w:val="4D7AB642"/>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547F7A"/>
    <w:multiLevelType w:val="hybridMultilevel"/>
    <w:tmpl w:val="D71CD65A"/>
    <w:lvl w:ilvl="0" w:tplc="DFE027A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F0AE3"/>
    <w:multiLevelType w:val="hybridMultilevel"/>
    <w:tmpl w:val="D71CD65A"/>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62EF3964"/>
    <w:multiLevelType w:val="hybridMultilevel"/>
    <w:tmpl w:val="0F06C2C0"/>
    <w:lvl w:ilvl="0" w:tplc="DCCE6A86">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EA3D4E"/>
    <w:multiLevelType w:val="hybridMultilevel"/>
    <w:tmpl w:val="4F3C2474"/>
    <w:lvl w:ilvl="0" w:tplc="B4442192">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DD65D8"/>
    <w:multiLevelType w:val="hybridMultilevel"/>
    <w:tmpl w:val="774E5716"/>
    <w:lvl w:ilvl="0" w:tplc="E7A2D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031E6E"/>
    <w:multiLevelType w:val="hybridMultilevel"/>
    <w:tmpl w:val="776C101A"/>
    <w:lvl w:ilvl="0" w:tplc="DFE027A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7"/>
  </w:num>
  <w:num w:numId="6">
    <w:abstractNumId w:val="5"/>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9"/>
    <w:rsid w:val="00000C7D"/>
    <w:rsid w:val="00010077"/>
    <w:rsid w:val="00061C47"/>
    <w:rsid w:val="000E11AE"/>
    <w:rsid w:val="000E6911"/>
    <w:rsid w:val="000F0DE4"/>
    <w:rsid w:val="00103E13"/>
    <w:rsid w:val="00124114"/>
    <w:rsid w:val="00155B26"/>
    <w:rsid w:val="00175F40"/>
    <w:rsid w:val="001848DE"/>
    <w:rsid w:val="0019687A"/>
    <w:rsid w:val="001C2AF2"/>
    <w:rsid w:val="001D041A"/>
    <w:rsid w:val="001F71CA"/>
    <w:rsid w:val="002E42C0"/>
    <w:rsid w:val="002F110E"/>
    <w:rsid w:val="00332C7E"/>
    <w:rsid w:val="003B6BE9"/>
    <w:rsid w:val="004816EE"/>
    <w:rsid w:val="004B062D"/>
    <w:rsid w:val="004B22C7"/>
    <w:rsid w:val="004D165B"/>
    <w:rsid w:val="004E3586"/>
    <w:rsid w:val="004E5F07"/>
    <w:rsid w:val="00514777"/>
    <w:rsid w:val="00521DA2"/>
    <w:rsid w:val="00547BE6"/>
    <w:rsid w:val="00607061"/>
    <w:rsid w:val="006274D9"/>
    <w:rsid w:val="00655495"/>
    <w:rsid w:val="006C150F"/>
    <w:rsid w:val="006D43E3"/>
    <w:rsid w:val="00725279"/>
    <w:rsid w:val="007525EE"/>
    <w:rsid w:val="00784C76"/>
    <w:rsid w:val="007C5671"/>
    <w:rsid w:val="0085360F"/>
    <w:rsid w:val="008A5660"/>
    <w:rsid w:val="008C0814"/>
    <w:rsid w:val="009145E8"/>
    <w:rsid w:val="00923FCD"/>
    <w:rsid w:val="009645C3"/>
    <w:rsid w:val="00972458"/>
    <w:rsid w:val="009946E9"/>
    <w:rsid w:val="009D2854"/>
    <w:rsid w:val="009D29BA"/>
    <w:rsid w:val="009E0038"/>
    <w:rsid w:val="00A54A5B"/>
    <w:rsid w:val="00A80D01"/>
    <w:rsid w:val="00A81C32"/>
    <w:rsid w:val="00AC331B"/>
    <w:rsid w:val="00AD4188"/>
    <w:rsid w:val="00AF044A"/>
    <w:rsid w:val="00AF7D5F"/>
    <w:rsid w:val="00B26FCD"/>
    <w:rsid w:val="00B3483C"/>
    <w:rsid w:val="00B538E2"/>
    <w:rsid w:val="00B74401"/>
    <w:rsid w:val="00B8399C"/>
    <w:rsid w:val="00BD28DB"/>
    <w:rsid w:val="00BD766D"/>
    <w:rsid w:val="00C421F5"/>
    <w:rsid w:val="00C7765D"/>
    <w:rsid w:val="00CB5380"/>
    <w:rsid w:val="00CB72C7"/>
    <w:rsid w:val="00CD2781"/>
    <w:rsid w:val="00D624B9"/>
    <w:rsid w:val="00D87C13"/>
    <w:rsid w:val="00D90021"/>
    <w:rsid w:val="00DC6327"/>
    <w:rsid w:val="00DF0624"/>
    <w:rsid w:val="00DF4868"/>
    <w:rsid w:val="00E8000D"/>
    <w:rsid w:val="00EA0629"/>
    <w:rsid w:val="00EF4D14"/>
    <w:rsid w:val="00F8468E"/>
    <w:rsid w:val="00FD0452"/>
    <w:rsid w:val="00FD4891"/>
    <w:rsid w:val="00FE7F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1D041A"/>
    <w:rPr>
      <w:sz w:val="20"/>
      <w:szCs w:val="20"/>
    </w:rPr>
  </w:style>
  <w:style w:type="character" w:customStyle="1" w:styleId="FootnoteTextChar">
    <w:name w:val="Footnote Text Char"/>
    <w:basedOn w:val="DefaultParagraphFont"/>
    <w:link w:val="FootnoteText"/>
    <w:uiPriority w:val="99"/>
    <w:semiHidden/>
    <w:rsid w:val="001D041A"/>
    <w:rPr>
      <w:sz w:val="20"/>
      <w:szCs w:val="20"/>
      <w:lang w:val="en-GB"/>
    </w:rPr>
  </w:style>
  <w:style w:type="character" w:styleId="FootnoteReference">
    <w:name w:val="footnote reference"/>
    <w:basedOn w:val="DefaultParagraphFont"/>
    <w:uiPriority w:val="99"/>
    <w:semiHidden/>
    <w:unhideWhenUsed/>
    <w:rsid w:val="001D0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2024-03-10T18:30:00+00:00</Judgment_x0020_Date>
    <Year xmlns="c1afb1bd-f2fb-40fd-9abb-aea55b4d7662">2024</Year>
  </documentManagement>
</p:properties>
</file>

<file path=customXml/itemProps1.xml><?xml version="1.0" encoding="utf-8"?>
<ds:datastoreItem xmlns:ds="http://schemas.openxmlformats.org/officeDocument/2006/customXml" ds:itemID="{A6DDE50B-B7FB-49FE-AF73-2668393830B9}"/>
</file>

<file path=customXml/itemProps2.xml><?xml version="1.0" encoding="utf-8"?>
<ds:datastoreItem xmlns:ds="http://schemas.openxmlformats.org/officeDocument/2006/customXml" ds:itemID="{5A091861-7B86-4934-9EC9-A971BBE6A10A}"/>
</file>

<file path=customXml/itemProps3.xml><?xml version="1.0" encoding="utf-8"?>
<ds:datastoreItem xmlns:ds="http://schemas.openxmlformats.org/officeDocument/2006/customXml" ds:itemID="{B15E7729-5C32-46CF-8534-BA9B7875FE8F}"/>
</file>

<file path=docProps/app.xml><?xml version="1.0" encoding="utf-8"?>
<Properties xmlns="http://schemas.openxmlformats.org/officeDocument/2006/extended-properties" xmlns:vt="http://schemas.openxmlformats.org/officeDocument/2006/docPropsVTypes">
  <Template>Normal</Template>
  <TotalTime>28</TotalTime>
  <Pages>1</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Bus and Taxi Association (NABTA) v Mhata (HC-MD-CIV-MOT-GEN-2022-00211) [2024] NAHCMD 101 (11 March 2024)</dc:title>
  <dc:subject/>
  <dc:creator>Beatrix de Jager</dc:creator>
  <cp:keywords/>
  <dc:description/>
  <cp:lastModifiedBy>Bregitha Coetzee</cp:lastModifiedBy>
  <cp:revision>5</cp:revision>
  <cp:lastPrinted>2024-03-11T08:03:00Z</cp:lastPrinted>
  <dcterms:created xsi:type="dcterms:W3CDTF">2024-03-18T06:08:00Z</dcterms:created>
  <dcterms:modified xsi:type="dcterms:W3CDTF">2024-03-18T09:52:00Z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