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080E56" w:rsidP="00B40844">
      <w:pPr>
        <w:spacing w:after="0" w:line="360" w:lineRule="auto"/>
        <w:jc w:val="center"/>
        <w:rPr>
          <w:rFonts w:ascii="Arial" w:hAnsi="Arial" w:cs="Arial"/>
          <w:bCs/>
          <w:sz w:val="24"/>
          <w:szCs w:val="24"/>
        </w:rPr>
      </w:pPr>
      <w:r>
        <w:rPr>
          <w:rFonts w:ascii="Arial" w:hAnsi="Arial" w:cs="Arial"/>
          <w:b/>
          <w:sz w:val="24"/>
          <w:szCs w:val="24"/>
        </w:rPr>
        <w:t xml:space="preserve">IN THE </w:t>
      </w:r>
      <w:r w:rsidR="00B40844"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Pr="0093211F" w:rsidRDefault="008006A3" w:rsidP="0093211F">
      <w:pPr>
        <w:pStyle w:val="Heading3"/>
        <w:rPr>
          <w:rFonts w:eastAsiaTheme="minorHAnsi"/>
          <w:lang w:val="en-ZA"/>
        </w:rPr>
      </w:pPr>
      <w:r w:rsidRPr="0093211F">
        <w:rPr>
          <w:rFonts w:eastAsiaTheme="minorHAnsi"/>
          <w:lang w:val="en-ZA"/>
        </w:rPr>
        <w:t>RULING</w:t>
      </w:r>
    </w:p>
    <w:p w:rsidR="0093211F" w:rsidRDefault="0093211F" w:rsidP="00B40844">
      <w:pPr>
        <w:spacing w:after="0" w:line="360" w:lineRule="auto"/>
        <w:jc w:val="center"/>
        <w:rPr>
          <w:rFonts w:ascii="Arial" w:hAnsi="Arial" w:cs="Arial"/>
          <w:b/>
          <w:sz w:val="24"/>
          <w:szCs w:val="24"/>
        </w:rPr>
      </w:pPr>
    </w:p>
    <w:p w:rsidR="00002E9A" w:rsidRDefault="00002E9A" w:rsidP="0093211F">
      <w:pPr>
        <w:pStyle w:val="Heading3"/>
      </w:pPr>
      <w: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B40844" w:rsidRDefault="00B40844" w:rsidP="00341C0F">
            <w:pPr>
              <w:tabs>
                <w:tab w:val="left" w:pos="3564"/>
                <w:tab w:val="left" w:pos="3706"/>
                <w:tab w:val="left" w:pos="4273"/>
              </w:tabs>
              <w:spacing w:line="360" w:lineRule="auto"/>
              <w:jc w:val="both"/>
              <w:rPr>
                <w:rFonts w:ascii="Arial" w:hAnsi="Arial" w:cs="Arial"/>
                <w:sz w:val="24"/>
                <w:szCs w:val="24"/>
              </w:rPr>
            </w:pPr>
          </w:p>
          <w:p w:rsidR="00002E9A" w:rsidRDefault="00C43F4A" w:rsidP="00C43F4A">
            <w:pPr>
              <w:spacing w:line="360" w:lineRule="auto"/>
              <w:rPr>
                <w:rFonts w:ascii="Arial" w:hAnsi="Arial" w:cs="Arial"/>
                <w:sz w:val="24"/>
                <w:szCs w:val="24"/>
              </w:rPr>
            </w:pPr>
            <w:r>
              <w:rPr>
                <w:rFonts w:ascii="Arial" w:hAnsi="Arial" w:cs="Arial"/>
                <w:sz w:val="24"/>
                <w:szCs w:val="24"/>
              </w:rPr>
              <w:t xml:space="preserve">ROMAN CATHOLIC HOSPITAL     </w:t>
            </w:r>
            <w:r>
              <w:rPr>
                <w:rFonts w:ascii="Arial" w:eastAsia="Times New Roman" w:hAnsi="Arial" w:cs="Arial"/>
                <w:sz w:val="24"/>
                <w:szCs w:val="24"/>
              </w:rPr>
              <w:t xml:space="preserve">                PLAINTIFF      </w:t>
            </w:r>
            <w:r w:rsidR="00965C26">
              <w:rPr>
                <w:rFonts w:ascii="Arial" w:eastAsia="Times New Roman" w:hAnsi="Arial" w:cs="Arial"/>
                <w:sz w:val="24"/>
                <w:szCs w:val="24"/>
              </w:rPr>
              <w:t xml:space="preserve">              </w:t>
            </w:r>
            <w:r w:rsidR="00380DB3">
              <w:rPr>
                <w:rFonts w:ascii="Arial" w:eastAsia="Times New Roman" w:hAnsi="Arial" w:cs="Arial"/>
                <w:sz w:val="24"/>
                <w:szCs w:val="24"/>
              </w:rPr>
              <w:t xml:space="preserve"> </w:t>
            </w:r>
            <w:r w:rsidR="00965C26">
              <w:rPr>
                <w:rFonts w:ascii="Arial" w:eastAsia="Times New Roman" w:hAnsi="Arial" w:cs="Arial"/>
                <w:sz w:val="24"/>
                <w:szCs w:val="24"/>
              </w:rPr>
              <w:t xml:space="preserve"> </w:t>
            </w:r>
            <w:r w:rsidR="00965C26">
              <w:rPr>
                <w:rFonts w:ascii="Arial" w:hAnsi="Arial" w:cs="Arial"/>
                <w:sz w:val="24"/>
                <w:szCs w:val="24"/>
              </w:rPr>
              <w:t xml:space="preserve"> </w:t>
            </w:r>
          </w:p>
          <w:p w:rsidR="009F24BF" w:rsidRDefault="009F24BF" w:rsidP="00002E9A">
            <w:pPr>
              <w:spacing w:line="360" w:lineRule="auto"/>
              <w:jc w:val="both"/>
              <w:rPr>
                <w:rFonts w:ascii="Arial" w:hAnsi="Arial" w:cs="Arial"/>
                <w:sz w:val="24"/>
                <w:szCs w:val="24"/>
              </w:rPr>
            </w:pPr>
          </w:p>
          <w:p w:rsidR="00002E9A" w:rsidRDefault="0071022A" w:rsidP="00002E9A">
            <w:pPr>
              <w:spacing w:line="360" w:lineRule="auto"/>
              <w:jc w:val="both"/>
              <w:rPr>
                <w:rFonts w:ascii="Arial" w:hAnsi="Arial" w:cs="Arial"/>
                <w:sz w:val="24"/>
                <w:szCs w:val="24"/>
              </w:rPr>
            </w:pPr>
            <w:r>
              <w:rPr>
                <w:rFonts w:ascii="Arial" w:hAnsi="Arial" w:cs="Arial"/>
                <w:sz w:val="24"/>
                <w:szCs w:val="24"/>
              </w:rPr>
              <w:t>and</w:t>
            </w:r>
          </w:p>
          <w:p w:rsidR="00002E9A" w:rsidRDefault="00002E9A" w:rsidP="00002E9A">
            <w:pPr>
              <w:spacing w:line="360" w:lineRule="auto"/>
              <w:jc w:val="both"/>
              <w:rPr>
                <w:rFonts w:ascii="Arial" w:hAnsi="Arial" w:cs="Arial"/>
                <w:sz w:val="24"/>
                <w:szCs w:val="24"/>
              </w:rPr>
            </w:pPr>
          </w:p>
          <w:p w:rsidR="00080E56" w:rsidRDefault="00C43F4A" w:rsidP="00965C26">
            <w:pPr>
              <w:spacing w:line="360" w:lineRule="auto"/>
              <w:rPr>
                <w:rFonts w:ascii="Arial" w:eastAsia="Times New Roman" w:hAnsi="Arial" w:cs="Arial"/>
                <w:sz w:val="24"/>
                <w:szCs w:val="24"/>
              </w:rPr>
            </w:pPr>
            <w:r>
              <w:rPr>
                <w:rFonts w:ascii="Arial" w:eastAsia="Times New Roman" w:hAnsi="Arial" w:cs="Arial"/>
                <w:sz w:val="24"/>
                <w:szCs w:val="24"/>
              </w:rPr>
              <w:t>BERNARD</w:t>
            </w:r>
            <w:r>
              <w:rPr>
                <w:rFonts w:ascii="Arial" w:hAnsi="Arial" w:cs="Arial"/>
                <w:sz w:val="24"/>
                <w:szCs w:val="24"/>
              </w:rPr>
              <w:t xml:space="preserve"> SHIDUTE </w:t>
            </w:r>
            <w:r>
              <w:rPr>
                <w:rFonts w:ascii="Arial" w:eastAsia="Times New Roman" w:hAnsi="Arial" w:cs="Arial"/>
                <w:sz w:val="24"/>
                <w:szCs w:val="24"/>
              </w:rPr>
              <w:t>HAUFIKU                 DEFENDANT</w:t>
            </w:r>
          </w:p>
          <w:p w:rsidR="00002E9A" w:rsidRPr="00002E9A" w:rsidRDefault="00002E9A" w:rsidP="00965C26">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93211F" w:rsidRPr="0093211F" w:rsidRDefault="00965C26" w:rsidP="00965C26">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HC-MD-CIV-ACT-CON-2022/04594</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965C26" w:rsidP="00C2633E">
            <w:pPr>
              <w:spacing w:line="360" w:lineRule="auto"/>
              <w:jc w:val="both"/>
              <w:rPr>
                <w:rFonts w:ascii="Arial" w:hAnsi="Arial" w:cs="Arial"/>
                <w:sz w:val="24"/>
                <w:szCs w:val="24"/>
              </w:rPr>
            </w:pPr>
            <w:r>
              <w:rPr>
                <w:rFonts w:ascii="Arial" w:hAnsi="Arial" w:cs="Arial"/>
                <w:sz w:val="24"/>
                <w:szCs w:val="24"/>
                <w:lang w:val="en-US"/>
              </w:rPr>
              <w:t>13</w:t>
            </w:r>
            <w:r w:rsidR="00A76107" w:rsidRPr="00E40ABB">
              <w:rPr>
                <w:rFonts w:ascii="Arial" w:hAnsi="Arial" w:cs="Arial"/>
                <w:sz w:val="24"/>
                <w:szCs w:val="24"/>
                <w:lang w:val="en-US"/>
              </w:rPr>
              <w:t xml:space="preserve"> March 2024</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DB7193" w:rsidP="00C2633E">
            <w:pPr>
              <w:spacing w:line="360" w:lineRule="auto"/>
              <w:jc w:val="both"/>
              <w:rPr>
                <w:rFonts w:ascii="Arial" w:hAnsi="Arial" w:cs="Arial"/>
                <w:b/>
                <w:sz w:val="24"/>
                <w:szCs w:val="24"/>
              </w:rPr>
            </w:pPr>
            <w:r>
              <w:rPr>
                <w:rFonts w:ascii="Arial" w:hAnsi="Arial" w:cs="Arial"/>
                <w:sz w:val="24"/>
                <w:szCs w:val="24"/>
                <w:lang w:val="en-US"/>
              </w:rPr>
              <w:t>05</w:t>
            </w:r>
            <w:r w:rsidR="00965C26">
              <w:rPr>
                <w:rFonts w:ascii="Arial" w:hAnsi="Arial" w:cs="Arial"/>
                <w:sz w:val="24"/>
                <w:szCs w:val="24"/>
                <w:lang w:val="en-US"/>
              </w:rPr>
              <w:t xml:space="preserve"> April</w:t>
            </w:r>
            <w:r w:rsidR="009F24BF">
              <w:rPr>
                <w:rFonts w:ascii="Arial" w:hAnsi="Arial" w:cs="Arial"/>
                <w:sz w:val="24"/>
                <w:szCs w:val="24"/>
                <w:lang w:val="en-US"/>
              </w:rPr>
              <w:t xml:space="preserve"> </w:t>
            </w:r>
            <w:r w:rsidR="00080E56">
              <w:rPr>
                <w:rFonts w:ascii="Arial" w:hAnsi="Arial" w:cs="Arial"/>
                <w:sz w:val="24"/>
                <w:szCs w:val="24"/>
                <w:lang w:val="en-US"/>
              </w:rPr>
              <w:t>2024</w:t>
            </w:r>
          </w:p>
        </w:tc>
      </w:tr>
      <w:tr w:rsidR="00CA7995" w:rsidRPr="00CA7995" w:rsidTr="00002E9A">
        <w:trPr>
          <w:trHeight w:val="876"/>
        </w:trPr>
        <w:tc>
          <w:tcPr>
            <w:tcW w:w="10476" w:type="dxa"/>
            <w:gridSpan w:val="3"/>
          </w:tcPr>
          <w:p w:rsidR="00965C26" w:rsidRDefault="00B40844" w:rsidP="00965C26">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C43F4A">
              <w:rPr>
                <w:rFonts w:ascii="Arial" w:eastAsia="Times New Roman" w:hAnsi="Arial" w:cs="Arial"/>
                <w:i/>
                <w:sz w:val="24"/>
                <w:szCs w:val="24"/>
              </w:rPr>
              <w:t xml:space="preserve">Roman Catholic Hospital v Haufiku </w:t>
            </w:r>
            <w:r w:rsidR="00002E9A" w:rsidRPr="007B0507">
              <w:rPr>
                <w:rFonts w:ascii="Arial" w:eastAsia="Times New Roman" w:hAnsi="Arial" w:cs="Arial"/>
                <w:sz w:val="24"/>
                <w:szCs w:val="24"/>
              </w:rPr>
              <w:t>(</w:t>
            </w:r>
            <w:r w:rsidR="00080E56" w:rsidRPr="00080E56">
              <w:rPr>
                <w:rFonts w:ascii="Arial" w:eastAsia="Times New Roman" w:hAnsi="Arial" w:cs="Arial"/>
                <w:sz w:val="24"/>
                <w:szCs w:val="24"/>
              </w:rPr>
              <w:t>HC-MD-CIV-ACT-CON-2022/0</w:t>
            </w:r>
            <w:r w:rsidR="00965C26">
              <w:rPr>
                <w:rFonts w:ascii="Arial" w:eastAsia="Times New Roman" w:hAnsi="Arial" w:cs="Arial"/>
                <w:sz w:val="24"/>
                <w:szCs w:val="24"/>
              </w:rPr>
              <w:t>4594</w:t>
            </w:r>
            <w:r w:rsidR="00002E9A">
              <w:rPr>
                <w:rFonts w:ascii="Arial" w:hAnsi="Arial" w:cs="Arial"/>
                <w:sz w:val="24"/>
                <w:szCs w:val="24"/>
              </w:rPr>
              <w:t xml:space="preserve">) </w:t>
            </w:r>
          </w:p>
          <w:p w:rsidR="00B40844" w:rsidRPr="00CA7995" w:rsidRDefault="00965C26" w:rsidP="00965C26">
            <w:pPr>
              <w:spacing w:line="360" w:lineRule="auto"/>
              <w:jc w:val="both"/>
              <w:rPr>
                <w:rFonts w:ascii="Arial" w:hAnsi="Arial" w:cs="Arial"/>
                <w:sz w:val="24"/>
                <w:szCs w:val="24"/>
              </w:rPr>
            </w:pPr>
            <w:r>
              <w:rPr>
                <w:rFonts w:ascii="Arial" w:hAnsi="Arial" w:cs="Arial"/>
                <w:sz w:val="24"/>
                <w:szCs w:val="24"/>
              </w:rPr>
              <w:t xml:space="preserve">                            </w:t>
            </w:r>
            <w:r w:rsidR="00002E9A">
              <w:rPr>
                <w:rFonts w:ascii="Arial" w:hAnsi="Arial" w:cs="Arial"/>
                <w:sz w:val="24"/>
                <w:szCs w:val="24"/>
              </w:rPr>
              <w:t>[</w:t>
            </w:r>
            <w:r w:rsidR="00002E9A" w:rsidRPr="00FE3661">
              <w:rPr>
                <w:rFonts w:ascii="Arial" w:hAnsi="Arial" w:cs="Arial"/>
                <w:sz w:val="24"/>
                <w:szCs w:val="24"/>
              </w:rPr>
              <w:t>202</w:t>
            </w:r>
            <w:r w:rsidR="00080E56">
              <w:rPr>
                <w:rFonts w:ascii="Arial" w:hAnsi="Arial" w:cs="Arial"/>
                <w:sz w:val="24"/>
                <w:szCs w:val="24"/>
              </w:rPr>
              <w:t>4</w:t>
            </w:r>
            <w:r w:rsidR="00002E9A" w:rsidRPr="00FE3661">
              <w:rPr>
                <w:rFonts w:ascii="Arial" w:hAnsi="Arial" w:cs="Arial"/>
                <w:sz w:val="24"/>
                <w:szCs w:val="24"/>
              </w:rPr>
              <w:t>]</w:t>
            </w:r>
            <w:r w:rsidR="00002E9A" w:rsidRPr="00FE3661">
              <w:rPr>
                <w:rFonts w:ascii="Arial" w:hAnsi="Arial" w:cs="Arial"/>
                <w:i/>
                <w:sz w:val="24"/>
                <w:szCs w:val="24"/>
              </w:rPr>
              <w:t xml:space="preserve"> </w:t>
            </w:r>
            <w:r w:rsidR="00002E9A" w:rsidRPr="00236FFD">
              <w:rPr>
                <w:rFonts w:ascii="Arial" w:hAnsi="Arial" w:cs="Arial"/>
                <w:sz w:val="24"/>
                <w:szCs w:val="24"/>
              </w:rPr>
              <w:t xml:space="preserve">NAHCMD </w:t>
            </w:r>
            <w:r w:rsidR="001327E5" w:rsidRPr="00006D05">
              <w:rPr>
                <w:rFonts w:ascii="Arial" w:hAnsi="Arial" w:cs="Arial"/>
                <w:sz w:val="24"/>
                <w:szCs w:val="24"/>
              </w:rPr>
              <w:t>151</w:t>
            </w:r>
            <w:r w:rsidR="00D85FB1" w:rsidRPr="00236FFD">
              <w:rPr>
                <w:rFonts w:ascii="Arial" w:hAnsi="Arial" w:cs="Arial"/>
                <w:sz w:val="24"/>
                <w:szCs w:val="24"/>
              </w:rPr>
              <w:t xml:space="preserve"> </w:t>
            </w:r>
            <w:r w:rsidR="00080E56" w:rsidRPr="00236FFD">
              <w:rPr>
                <w:rFonts w:ascii="Arial" w:hAnsi="Arial" w:cs="Arial"/>
                <w:sz w:val="24"/>
                <w:szCs w:val="24"/>
              </w:rPr>
              <w:t>(</w:t>
            </w:r>
            <w:r w:rsidR="00DB7193">
              <w:rPr>
                <w:rFonts w:ascii="Arial" w:hAnsi="Arial" w:cs="Arial"/>
                <w:sz w:val="24"/>
                <w:szCs w:val="24"/>
              </w:rPr>
              <w:t>5</w:t>
            </w:r>
            <w:r>
              <w:rPr>
                <w:rFonts w:ascii="Arial" w:hAnsi="Arial" w:cs="Arial"/>
                <w:sz w:val="24"/>
                <w:szCs w:val="24"/>
              </w:rPr>
              <w:t xml:space="preserve"> April</w:t>
            </w:r>
            <w:r w:rsidR="009F24BF">
              <w:rPr>
                <w:rFonts w:ascii="Arial" w:hAnsi="Arial" w:cs="Arial"/>
                <w:sz w:val="24"/>
                <w:szCs w:val="24"/>
              </w:rPr>
              <w:t xml:space="preserve"> </w:t>
            </w:r>
            <w:r w:rsidR="00080E56">
              <w:rPr>
                <w:rFonts w:ascii="Arial" w:hAnsi="Arial" w:cs="Arial"/>
                <w:sz w:val="24"/>
                <w:szCs w:val="24"/>
              </w:rPr>
              <w:t>2024</w:t>
            </w:r>
            <w:r w:rsidR="00002E9A">
              <w:rPr>
                <w:rFonts w:ascii="Arial" w:hAnsi="Arial" w:cs="Arial"/>
                <w:sz w:val="24"/>
                <w:szCs w:val="24"/>
              </w:rPr>
              <w:t>)</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0F40F8" w:rsidRPr="000F40F8" w:rsidRDefault="006916C9" w:rsidP="000F40F8">
            <w:pPr>
              <w:pStyle w:val="NormalWeb"/>
              <w:shd w:val="clear" w:color="auto" w:fill="FFFFFF"/>
              <w:spacing w:after="0" w:line="360" w:lineRule="auto"/>
              <w:jc w:val="both"/>
              <w:rPr>
                <w:rFonts w:ascii="Arial" w:hAnsi="Arial" w:cs="Arial"/>
              </w:rPr>
            </w:pPr>
            <w:r>
              <w:rPr>
                <w:rFonts w:ascii="Arial" w:hAnsi="Arial" w:cs="Arial"/>
              </w:rPr>
              <w:t>1.</w:t>
            </w:r>
            <w:r w:rsidRPr="006916C9">
              <w:rPr>
                <w:rFonts w:ascii="Arial" w:hAnsi="Arial" w:cs="Arial"/>
              </w:rPr>
              <w:tab/>
            </w:r>
            <w:r w:rsidR="000F40F8">
              <w:rPr>
                <w:rFonts w:ascii="Arial" w:hAnsi="Arial" w:cs="Arial"/>
              </w:rPr>
              <w:t xml:space="preserve">The </w:t>
            </w:r>
            <w:r w:rsidR="00965C26">
              <w:rPr>
                <w:rFonts w:ascii="Arial" w:hAnsi="Arial" w:cs="Arial"/>
              </w:rPr>
              <w:t>defendant</w:t>
            </w:r>
            <w:r w:rsidR="000F40F8" w:rsidRPr="000F40F8">
              <w:rPr>
                <w:rFonts w:ascii="Arial" w:hAnsi="Arial" w:cs="Arial"/>
              </w:rPr>
              <w:t xml:space="preserve"> is granted leave to amend his</w:t>
            </w:r>
            <w:r w:rsidR="000F40F8">
              <w:rPr>
                <w:rFonts w:ascii="Arial" w:hAnsi="Arial" w:cs="Arial"/>
              </w:rPr>
              <w:t xml:space="preserve"> </w:t>
            </w:r>
            <w:r w:rsidR="00965C26">
              <w:rPr>
                <w:rFonts w:ascii="Arial" w:hAnsi="Arial" w:cs="Arial"/>
              </w:rPr>
              <w:t>counterclaim</w:t>
            </w:r>
            <w:r w:rsidR="000F40F8" w:rsidRPr="000F40F8">
              <w:rPr>
                <w:rFonts w:ascii="Arial" w:hAnsi="Arial" w:cs="Arial"/>
              </w:rPr>
              <w:t>.</w:t>
            </w:r>
          </w:p>
          <w:p w:rsidR="000F40F8" w:rsidRPr="000F40F8" w:rsidRDefault="000F40F8" w:rsidP="000F40F8">
            <w:pPr>
              <w:pStyle w:val="NormalWeb"/>
              <w:shd w:val="clear" w:color="auto" w:fill="FFFFFF"/>
              <w:spacing w:after="0" w:line="360" w:lineRule="auto"/>
              <w:jc w:val="both"/>
              <w:rPr>
                <w:rFonts w:ascii="Arial" w:hAnsi="Arial" w:cs="Arial"/>
              </w:rPr>
            </w:pPr>
            <w:r>
              <w:rPr>
                <w:rFonts w:ascii="Arial" w:hAnsi="Arial" w:cs="Arial"/>
              </w:rPr>
              <w:t>2.</w:t>
            </w:r>
            <w:r>
              <w:rPr>
                <w:rFonts w:ascii="Arial" w:hAnsi="Arial" w:cs="Arial"/>
              </w:rPr>
              <w:tab/>
              <w:t xml:space="preserve">The </w:t>
            </w:r>
            <w:r w:rsidR="00965C26">
              <w:rPr>
                <w:rFonts w:ascii="Arial" w:hAnsi="Arial" w:cs="Arial"/>
              </w:rPr>
              <w:t>defendant</w:t>
            </w:r>
            <w:r w:rsidR="00965C26" w:rsidRPr="000F40F8">
              <w:rPr>
                <w:rFonts w:ascii="Arial" w:hAnsi="Arial" w:cs="Arial"/>
              </w:rPr>
              <w:t xml:space="preserve"> </w:t>
            </w:r>
            <w:r w:rsidRPr="000F40F8">
              <w:rPr>
                <w:rFonts w:ascii="Arial" w:hAnsi="Arial" w:cs="Arial"/>
              </w:rPr>
              <w:t>must pay the costs of the application for leave to amend.</w:t>
            </w:r>
          </w:p>
          <w:p w:rsidR="00D8568E" w:rsidRDefault="000F40F8" w:rsidP="000F40F8">
            <w:pPr>
              <w:pStyle w:val="NormalWeb"/>
              <w:shd w:val="clear" w:color="auto" w:fill="FFFFFF"/>
              <w:spacing w:after="0" w:line="360" w:lineRule="auto"/>
              <w:jc w:val="both"/>
              <w:rPr>
                <w:rFonts w:ascii="Arial" w:hAnsi="Arial" w:cs="Arial"/>
              </w:rPr>
            </w:pPr>
            <w:r>
              <w:rPr>
                <w:rFonts w:ascii="Arial" w:hAnsi="Arial" w:cs="Arial"/>
              </w:rPr>
              <w:t>3.</w:t>
            </w:r>
            <w:r>
              <w:rPr>
                <w:rFonts w:ascii="Arial" w:hAnsi="Arial" w:cs="Arial"/>
              </w:rPr>
              <w:tab/>
              <w:t xml:space="preserve">The </w:t>
            </w:r>
            <w:r w:rsidR="00965C26">
              <w:rPr>
                <w:rFonts w:ascii="Arial" w:hAnsi="Arial" w:cs="Arial"/>
              </w:rPr>
              <w:t>defendant</w:t>
            </w:r>
            <w:r w:rsidRPr="000F40F8">
              <w:rPr>
                <w:rFonts w:ascii="Arial" w:hAnsi="Arial" w:cs="Arial"/>
              </w:rPr>
              <w:t xml:space="preserve"> mu</w:t>
            </w:r>
            <w:r>
              <w:rPr>
                <w:rFonts w:ascii="Arial" w:hAnsi="Arial" w:cs="Arial"/>
              </w:rPr>
              <w:t xml:space="preserve">st file his amended </w:t>
            </w:r>
            <w:r w:rsidR="00965C26">
              <w:rPr>
                <w:rFonts w:ascii="Arial" w:hAnsi="Arial" w:cs="Arial"/>
              </w:rPr>
              <w:t>counterclaim</w:t>
            </w:r>
            <w:r>
              <w:rPr>
                <w:rFonts w:ascii="Arial" w:hAnsi="Arial" w:cs="Arial"/>
              </w:rPr>
              <w:t xml:space="preserve"> on or before </w:t>
            </w:r>
            <w:r w:rsidR="008365E9">
              <w:rPr>
                <w:rFonts w:ascii="Arial" w:hAnsi="Arial" w:cs="Arial"/>
              </w:rPr>
              <w:t xml:space="preserve">12 April </w:t>
            </w:r>
            <w:r w:rsidR="00D65FAA">
              <w:rPr>
                <w:rFonts w:ascii="Arial" w:hAnsi="Arial" w:cs="Arial"/>
              </w:rPr>
              <w:t>2024</w:t>
            </w:r>
            <w:r w:rsidRPr="000F40F8">
              <w:rPr>
                <w:rFonts w:ascii="Arial" w:hAnsi="Arial" w:cs="Arial"/>
              </w:rPr>
              <w:t>.</w:t>
            </w:r>
          </w:p>
          <w:p w:rsidR="000F40F8" w:rsidRDefault="000F40F8" w:rsidP="000F40F8">
            <w:pPr>
              <w:pStyle w:val="NormalWeb"/>
              <w:shd w:val="clear" w:color="auto" w:fill="FFFFFF"/>
              <w:spacing w:after="0" w:line="360" w:lineRule="auto"/>
              <w:jc w:val="both"/>
              <w:rPr>
                <w:rFonts w:ascii="Arial" w:hAnsi="Arial" w:cs="Arial"/>
              </w:rPr>
            </w:pPr>
            <w:r>
              <w:rPr>
                <w:rFonts w:ascii="Arial" w:hAnsi="Arial" w:cs="Arial"/>
              </w:rPr>
              <w:lastRenderedPageBreak/>
              <w:t>4.</w:t>
            </w:r>
            <w:r>
              <w:t xml:space="preserve"> </w:t>
            </w:r>
            <w:r w:rsidRPr="000F40F8">
              <w:rPr>
                <w:rFonts w:ascii="Arial" w:hAnsi="Arial" w:cs="Arial"/>
              </w:rPr>
              <w:tab/>
            </w:r>
            <w:r>
              <w:rPr>
                <w:rFonts w:ascii="Arial" w:hAnsi="Arial" w:cs="Arial"/>
              </w:rPr>
              <w:t xml:space="preserve">The plaintiff must file its </w:t>
            </w:r>
            <w:r w:rsidR="00965C26">
              <w:rPr>
                <w:rFonts w:ascii="Arial" w:hAnsi="Arial" w:cs="Arial"/>
              </w:rPr>
              <w:t>plea</w:t>
            </w:r>
            <w:r>
              <w:rPr>
                <w:rFonts w:ascii="Arial" w:hAnsi="Arial" w:cs="Arial"/>
              </w:rPr>
              <w:t xml:space="preserve"> to the amended </w:t>
            </w:r>
            <w:r w:rsidR="00965C26">
              <w:rPr>
                <w:rFonts w:ascii="Arial" w:hAnsi="Arial" w:cs="Arial"/>
              </w:rPr>
              <w:t>counterclaim</w:t>
            </w:r>
            <w:r>
              <w:rPr>
                <w:rFonts w:ascii="Arial" w:hAnsi="Arial" w:cs="Arial"/>
              </w:rPr>
              <w:t xml:space="preserve"> on or before </w:t>
            </w:r>
            <w:r w:rsidR="00D65FAA">
              <w:rPr>
                <w:rFonts w:ascii="Arial" w:hAnsi="Arial" w:cs="Arial"/>
              </w:rPr>
              <w:t>19 April 2024</w:t>
            </w:r>
            <w:r>
              <w:rPr>
                <w:rFonts w:ascii="Arial" w:hAnsi="Arial" w:cs="Arial"/>
              </w:rPr>
              <w:t>.</w:t>
            </w:r>
          </w:p>
          <w:p w:rsidR="00965C26" w:rsidRDefault="00965C26" w:rsidP="000F40F8">
            <w:pPr>
              <w:pStyle w:val="NormalWeb"/>
              <w:shd w:val="clear" w:color="auto" w:fill="FFFFFF"/>
              <w:spacing w:after="0" w:line="360" w:lineRule="auto"/>
              <w:jc w:val="both"/>
              <w:rPr>
                <w:rFonts w:ascii="Arial" w:hAnsi="Arial" w:cs="Arial"/>
              </w:rPr>
            </w:pPr>
            <w:r>
              <w:rPr>
                <w:rFonts w:ascii="Arial" w:hAnsi="Arial" w:cs="Arial"/>
              </w:rPr>
              <w:t>5.       The defendant must file his replication to the plaintiff’s plea to the counterclaim on or before</w:t>
            </w:r>
            <w:r w:rsidR="00D76A2A">
              <w:rPr>
                <w:rFonts w:ascii="Arial" w:hAnsi="Arial" w:cs="Arial"/>
              </w:rPr>
              <w:t xml:space="preserve"> </w:t>
            </w:r>
            <w:r>
              <w:rPr>
                <w:rFonts w:ascii="Arial" w:hAnsi="Arial" w:cs="Arial"/>
              </w:rPr>
              <w:t xml:space="preserve"> </w:t>
            </w:r>
          </w:p>
          <w:p w:rsidR="00965C26" w:rsidRDefault="00D76A2A" w:rsidP="000F40F8">
            <w:pPr>
              <w:pStyle w:val="NormalWeb"/>
              <w:shd w:val="clear" w:color="auto" w:fill="FFFFFF"/>
              <w:spacing w:after="0" w:line="360" w:lineRule="auto"/>
              <w:jc w:val="both"/>
              <w:rPr>
                <w:rFonts w:ascii="Arial" w:hAnsi="Arial" w:cs="Arial"/>
              </w:rPr>
            </w:pPr>
            <w:r>
              <w:rPr>
                <w:rFonts w:ascii="Arial" w:hAnsi="Arial" w:cs="Arial"/>
              </w:rPr>
              <w:t xml:space="preserve">          </w:t>
            </w:r>
            <w:r w:rsidR="00D65FAA">
              <w:rPr>
                <w:rFonts w:ascii="Arial" w:hAnsi="Arial" w:cs="Arial"/>
              </w:rPr>
              <w:t>26 April 2024</w:t>
            </w:r>
            <w:r>
              <w:rPr>
                <w:rFonts w:ascii="Arial" w:hAnsi="Arial" w:cs="Arial"/>
              </w:rPr>
              <w:t>.</w:t>
            </w:r>
          </w:p>
          <w:p w:rsidR="00B949DE" w:rsidRPr="00B47800" w:rsidRDefault="00B949DE" w:rsidP="00D65FAA">
            <w:pPr>
              <w:pStyle w:val="NormalWeb"/>
              <w:shd w:val="clear" w:color="auto" w:fill="FFFFFF"/>
              <w:spacing w:after="0" w:line="360" w:lineRule="auto"/>
              <w:jc w:val="both"/>
              <w:rPr>
                <w:rFonts w:ascii="Arial" w:hAnsi="Arial" w:cs="Arial"/>
              </w:rPr>
            </w:pPr>
            <w:r>
              <w:rPr>
                <w:rFonts w:ascii="Arial" w:hAnsi="Arial" w:cs="Arial"/>
              </w:rPr>
              <w:t>5.</w:t>
            </w:r>
            <w:r>
              <w:t xml:space="preserve"> </w:t>
            </w:r>
            <w:r w:rsidRPr="00B949DE">
              <w:rPr>
                <w:rFonts w:ascii="Arial" w:hAnsi="Arial" w:cs="Arial"/>
              </w:rPr>
              <w:tab/>
            </w:r>
            <w:r>
              <w:rPr>
                <w:rFonts w:ascii="Arial" w:hAnsi="Arial" w:cs="Arial"/>
              </w:rPr>
              <w:t xml:space="preserve">The matter is postponed to </w:t>
            </w:r>
            <w:r w:rsidR="00D65FAA" w:rsidRPr="00F17002">
              <w:rPr>
                <w:rFonts w:ascii="Arial" w:hAnsi="Arial" w:cs="Arial"/>
                <w:b/>
              </w:rPr>
              <w:t>2 May 2024</w:t>
            </w:r>
            <w:r>
              <w:rPr>
                <w:rFonts w:ascii="Arial" w:hAnsi="Arial" w:cs="Arial"/>
              </w:rPr>
              <w:t xml:space="preserve"> </w:t>
            </w:r>
            <w:r w:rsidR="00C333CC" w:rsidRPr="00052A0F">
              <w:rPr>
                <w:rFonts w:ascii="Arial" w:hAnsi="Arial" w:cs="Arial"/>
              </w:rPr>
              <w:t xml:space="preserve">at </w:t>
            </w:r>
            <w:r w:rsidR="00C333CC" w:rsidRPr="00F17002">
              <w:rPr>
                <w:rFonts w:ascii="Arial" w:hAnsi="Arial" w:cs="Arial"/>
                <w:b/>
              </w:rPr>
              <w:t>15h00</w:t>
            </w:r>
            <w:r w:rsidR="00C333CC" w:rsidRPr="00052A0F">
              <w:rPr>
                <w:rFonts w:ascii="Arial" w:hAnsi="Arial" w:cs="Arial"/>
              </w:rPr>
              <w:t xml:space="preserve"> </w:t>
            </w:r>
            <w:r w:rsidRPr="00052A0F">
              <w:rPr>
                <w:rFonts w:ascii="Arial" w:hAnsi="Arial" w:cs="Arial"/>
              </w:rPr>
              <w:t>for</w:t>
            </w:r>
            <w:r>
              <w:rPr>
                <w:rFonts w:ascii="Arial" w:hAnsi="Arial" w:cs="Arial"/>
              </w:rPr>
              <w:t xml:space="preserve"> case management conference hearing.</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CA32E6" w:rsidRDefault="00CA32E6" w:rsidP="00ED76B2">
            <w:pPr>
              <w:spacing w:line="360" w:lineRule="auto"/>
              <w:jc w:val="both"/>
              <w:rPr>
                <w:rFonts w:ascii="Arial" w:hAnsi="Arial" w:cs="Arial"/>
                <w:sz w:val="24"/>
                <w:szCs w:val="24"/>
              </w:rPr>
            </w:pPr>
          </w:p>
          <w:p w:rsidR="00CA32E6" w:rsidRDefault="00CA32E6" w:rsidP="00ED76B2">
            <w:pPr>
              <w:spacing w:line="360" w:lineRule="auto"/>
              <w:jc w:val="both"/>
              <w:rPr>
                <w:rFonts w:ascii="Arial" w:hAnsi="Arial" w:cs="Arial"/>
                <w:sz w:val="24"/>
                <w:szCs w:val="24"/>
              </w:rPr>
            </w:pPr>
            <w:r>
              <w:rPr>
                <w:rFonts w:ascii="Arial" w:hAnsi="Arial" w:cs="Arial"/>
                <w:sz w:val="24"/>
                <w:szCs w:val="24"/>
              </w:rPr>
              <w:t>Prinsloo J:</w:t>
            </w:r>
          </w:p>
          <w:p w:rsidR="00CA32E6" w:rsidRPr="00EA2DE2" w:rsidRDefault="00CA32E6"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965C26" w:rsidRDefault="00965C26" w:rsidP="00965C26">
            <w:pPr>
              <w:pStyle w:val="ListParagraph"/>
              <w:numPr>
                <w:ilvl w:val="0"/>
                <w:numId w:val="17"/>
              </w:numPr>
              <w:spacing w:line="360" w:lineRule="auto"/>
              <w:ind w:left="0" w:firstLine="0"/>
              <w:jc w:val="both"/>
              <w:rPr>
                <w:rFonts w:ascii="Arial" w:hAnsi="Arial" w:cs="Arial"/>
                <w:sz w:val="24"/>
                <w:szCs w:val="24"/>
              </w:rPr>
            </w:pPr>
            <w:r w:rsidRPr="00767CBD">
              <w:rPr>
                <w:rFonts w:ascii="Arial" w:hAnsi="Arial" w:cs="Arial"/>
                <w:sz w:val="24"/>
                <w:szCs w:val="24"/>
              </w:rPr>
              <w:t xml:space="preserve">The plaintiff is Roman Catholic Hospital, a non-profit association registered in terms of s 21 of the Companies Act 28 of 2004. The defendant is Bernard Shidute Haufiku, a major male residing in Windhoek. </w:t>
            </w:r>
            <w:r>
              <w:rPr>
                <w:rFonts w:ascii="Arial" w:hAnsi="Arial" w:cs="Arial"/>
                <w:sz w:val="24"/>
                <w:szCs w:val="24"/>
              </w:rPr>
              <w:t>I intend to refer to the parties as they are in the main action.</w:t>
            </w:r>
          </w:p>
          <w:p w:rsidR="00965C26" w:rsidRPr="00767CBD" w:rsidRDefault="00965C26" w:rsidP="00965C26">
            <w:pPr>
              <w:pStyle w:val="ListParagraph"/>
              <w:spacing w:line="360" w:lineRule="auto"/>
              <w:ind w:left="0"/>
              <w:jc w:val="both"/>
              <w:rPr>
                <w:rFonts w:ascii="Arial" w:hAnsi="Arial" w:cs="Arial"/>
                <w:sz w:val="24"/>
                <w:szCs w:val="24"/>
              </w:rPr>
            </w:pPr>
          </w:p>
          <w:p w:rsidR="00965C26" w:rsidRDefault="00965C26" w:rsidP="00965C26">
            <w:pPr>
              <w:pStyle w:val="ListParagraph"/>
              <w:numPr>
                <w:ilvl w:val="0"/>
                <w:numId w:val="17"/>
              </w:numPr>
              <w:spacing w:line="360" w:lineRule="auto"/>
              <w:ind w:left="0" w:firstLine="0"/>
              <w:jc w:val="both"/>
              <w:rPr>
                <w:rFonts w:ascii="Arial" w:hAnsi="Arial" w:cs="Arial"/>
                <w:sz w:val="24"/>
                <w:szCs w:val="24"/>
              </w:rPr>
            </w:pPr>
            <w:r w:rsidRPr="00767CBD">
              <w:rPr>
                <w:rFonts w:ascii="Arial" w:hAnsi="Arial" w:cs="Arial"/>
                <w:sz w:val="24"/>
                <w:szCs w:val="24"/>
              </w:rPr>
              <w:t xml:space="preserve">This is an application for leave to amend </w:t>
            </w:r>
            <w:r>
              <w:rPr>
                <w:rFonts w:ascii="Arial" w:hAnsi="Arial" w:cs="Arial"/>
                <w:sz w:val="24"/>
                <w:szCs w:val="24"/>
              </w:rPr>
              <w:t xml:space="preserve">the </w:t>
            </w:r>
            <w:r w:rsidRPr="00767CBD">
              <w:rPr>
                <w:rFonts w:ascii="Arial" w:hAnsi="Arial" w:cs="Arial"/>
                <w:sz w:val="24"/>
                <w:szCs w:val="24"/>
              </w:rPr>
              <w:t xml:space="preserve">defendant's counterclaim in terms of rule 52 of the rules of court. </w:t>
            </w:r>
          </w:p>
          <w:p w:rsidR="00965C26" w:rsidRPr="00EB6957" w:rsidRDefault="00965C26" w:rsidP="00965C26">
            <w:pPr>
              <w:pStyle w:val="ListParagraph"/>
              <w:rPr>
                <w:rFonts w:ascii="Arial" w:hAnsi="Arial" w:cs="Arial"/>
                <w:sz w:val="24"/>
                <w:szCs w:val="24"/>
              </w:rPr>
            </w:pPr>
          </w:p>
          <w:p w:rsidR="00965C26" w:rsidRPr="00EB6957" w:rsidRDefault="00965C26" w:rsidP="00965C26">
            <w:pPr>
              <w:pStyle w:val="ListParagraph"/>
              <w:spacing w:line="360" w:lineRule="auto"/>
              <w:ind w:left="0"/>
              <w:jc w:val="both"/>
              <w:rPr>
                <w:rFonts w:ascii="Arial" w:hAnsi="Arial" w:cs="Arial"/>
                <w:sz w:val="24"/>
                <w:szCs w:val="24"/>
                <w:u w:val="single"/>
              </w:rPr>
            </w:pPr>
            <w:r w:rsidRPr="00EB6957">
              <w:rPr>
                <w:rFonts w:ascii="Arial" w:hAnsi="Arial" w:cs="Arial"/>
                <w:sz w:val="24"/>
                <w:szCs w:val="24"/>
                <w:u w:val="single"/>
              </w:rPr>
              <w:t>The founding affidavit</w:t>
            </w:r>
          </w:p>
          <w:p w:rsidR="00965C26" w:rsidRPr="00BC181D" w:rsidRDefault="00965C26" w:rsidP="00965C26">
            <w:pPr>
              <w:pStyle w:val="ListParagraph"/>
              <w:spacing w:line="360" w:lineRule="auto"/>
              <w:ind w:left="0"/>
              <w:jc w:val="both"/>
              <w:rPr>
                <w:rFonts w:ascii="Arial" w:hAnsi="Arial" w:cs="Arial"/>
                <w:sz w:val="24"/>
                <w:szCs w:val="24"/>
              </w:rPr>
            </w:pPr>
          </w:p>
          <w:p w:rsidR="00965C26" w:rsidRDefault="00965C26" w:rsidP="00965C26">
            <w:pPr>
              <w:pStyle w:val="ListParagraph"/>
              <w:numPr>
                <w:ilvl w:val="0"/>
                <w:numId w:val="17"/>
              </w:numPr>
              <w:spacing w:line="360" w:lineRule="auto"/>
              <w:ind w:left="0" w:firstLine="0"/>
              <w:jc w:val="both"/>
              <w:rPr>
                <w:rFonts w:ascii="Arial" w:hAnsi="Arial" w:cs="Arial"/>
                <w:sz w:val="24"/>
                <w:szCs w:val="24"/>
              </w:rPr>
            </w:pPr>
            <w:r>
              <w:rPr>
                <w:rFonts w:ascii="Arial" w:hAnsi="Arial" w:cs="Arial"/>
                <w:sz w:val="24"/>
                <w:szCs w:val="24"/>
              </w:rPr>
              <w:t xml:space="preserve">The founding affidavit was deposed to by the defendant’s legal practitioner of record. It appears </w:t>
            </w:r>
            <w:r w:rsidR="00D3724C">
              <w:rPr>
                <w:rFonts w:ascii="Arial" w:hAnsi="Arial" w:cs="Arial"/>
                <w:sz w:val="24"/>
                <w:szCs w:val="24"/>
              </w:rPr>
              <w:t>that the current application flows from the proceedings of the court-connected mediation. Although the matter was ‘settled</w:t>
            </w:r>
            <w:r w:rsidR="0071022A">
              <w:rPr>
                <w:rFonts w:ascii="Arial" w:hAnsi="Arial" w:cs="Arial"/>
                <w:sz w:val="24"/>
                <w:szCs w:val="24"/>
              </w:rPr>
              <w:t>’</w:t>
            </w:r>
            <w:r w:rsidR="00D3724C">
              <w:rPr>
                <w:rFonts w:ascii="Arial" w:hAnsi="Arial" w:cs="Arial"/>
                <w:sz w:val="24"/>
                <w:szCs w:val="24"/>
              </w:rPr>
              <w:t>, it did not result in the</w:t>
            </w:r>
            <w:r w:rsidR="00D3724C" w:rsidRPr="00D3724C">
              <w:rPr>
                <w:rFonts w:ascii="Arial" w:hAnsi="Arial" w:cs="Arial"/>
                <w:sz w:val="24"/>
                <w:szCs w:val="24"/>
              </w:rPr>
              <w:t xml:space="preserve"> production of a</w:t>
            </w:r>
            <w:r w:rsidRPr="00D3724C">
              <w:rPr>
                <w:rFonts w:ascii="Arial" w:hAnsi="Arial" w:cs="Arial"/>
                <w:sz w:val="24"/>
                <w:szCs w:val="24"/>
              </w:rPr>
              <w:t xml:space="preserve"> settlement</w:t>
            </w:r>
            <w:r>
              <w:rPr>
                <w:rFonts w:ascii="Arial" w:hAnsi="Arial" w:cs="Arial"/>
                <w:sz w:val="24"/>
                <w:szCs w:val="24"/>
              </w:rPr>
              <w:t xml:space="preserve"> agreement, and as a result, the defendant gave notice of the intended amendment. Ms Angula states that the defendant held off on amending the counterclaim in the hope that the matter would be amicably settled between the parties.</w:t>
            </w:r>
          </w:p>
          <w:p w:rsidR="00965C26" w:rsidRDefault="00965C26" w:rsidP="00965C26">
            <w:pPr>
              <w:pStyle w:val="ListParagraph"/>
              <w:spacing w:line="360" w:lineRule="auto"/>
              <w:ind w:left="0"/>
              <w:jc w:val="both"/>
              <w:rPr>
                <w:rFonts w:ascii="Arial" w:hAnsi="Arial" w:cs="Arial"/>
                <w:sz w:val="24"/>
                <w:szCs w:val="24"/>
              </w:rPr>
            </w:pPr>
          </w:p>
          <w:p w:rsidR="00965C26" w:rsidRDefault="00965C26" w:rsidP="00965C26">
            <w:pPr>
              <w:pStyle w:val="ListParagraph"/>
              <w:numPr>
                <w:ilvl w:val="0"/>
                <w:numId w:val="17"/>
              </w:numPr>
              <w:spacing w:line="360" w:lineRule="auto"/>
              <w:ind w:left="0" w:firstLine="0"/>
              <w:jc w:val="both"/>
              <w:rPr>
                <w:rFonts w:ascii="Arial" w:hAnsi="Arial" w:cs="Arial"/>
                <w:sz w:val="24"/>
                <w:szCs w:val="24"/>
              </w:rPr>
            </w:pPr>
            <w:r>
              <w:rPr>
                <w:rFonts w:ascii="Arial" w:hAnsi="Arial" w:cs="Arial"/>
                <w:sz w:val="24"/>
                <w:szCs w:val="24"/>
              </w:rPr>
              <w:t xml:space="preserve">She stated that the amendments </w:t>
            </w:r>
            <w:r w:rsidR="00D3724C">
              <w:rPr>
                <w:rFonts w:ascii="Arial" w:hAnsi="Arial" w:cs="Arial"/>
                <w:sz w:val="24"/>
                <w:szCs w:val="24"/>
              </w:rPr>
              <w:t>are</w:t>
            </w:r>
            <w:r>
              <w:rPr>
                <w:rFonts w:ascii="Arial" w:hAnsi="Arial" w:cs="Arial"/>
                <w:sz w:val="24"/>
                <w:szCs w:val="24"/>
              </w:rPr>
              <w:t xml:space="preserve"> sought as a result of an error </w:t>
            </w:r>
            <w:r w:rsidR="00D3724C">
              <w:rPr>
                <w:rFonts w:ascii="Arial" w:hAnsi="Arial" w:cs="Arial"/>
                <w:sz w:val="24"/>
                <w:szCs w:val="24"/>
              </w:rPr>
              <w:t>while</w:t>
            </w:r>
            <w:r>
              <w:rPr>
                <w:rFonts w:ascii="Arial" w:hAnsi="Arial" w:cs="Arial"/>
                <w:sz w:val="24"/>
                <w:szCs w:val="24"/>
              </w:rPr>
              <w:t xml:space="preserve"> drafting the counterclaim. She apparently overlooked a claim  for damages and </w:t>
            </w:r>
            <w:r w:rsidR="00156C35">
              <w:rPr>
                <w:rFonts w:ascii="Arial" w:hAnsi="Arial" w:cs="Arial"/>
                <w:sz w:val="24"/>
                <w:szCs w:val="24"/>
              </w:rPr>
              <w:t>advanced</w:t>
            </w:r>
            <w:r>
              <w:rPr>
                <w:rFonts w:ascii="Arial" w:hAnsi="Arial" w:cs="Arial"/>
                <w:sz w:val="24"/>
                <w:szCs w:val="24"/>
              </w:rPr>
              <w:t xml:space="preserve"> the following </w:t>
            </w:r>
            <w:r w:rsidRPr="00006D05">
              <w:rPr>
                <w:rFonts w:ascii="Arial" w:hAnsi="Arial" w:cs="Arial"/>
                <w:sz w:val="24"/>
                <w:szCs w:val="24"/>
              </w:rPr>
              <w:t xml:space="preserve">reasons for </w:t>
            </w:r>
            <w:r w:rsidR="00B76012" w:rsidRPr="00006D05">
              <w:rPr>
                <w:rFonts w:ascii="Arial" w:hAnsi="Arial" w:cs="Arial"/>
                <w:sz w:val="24"/>
                <w:szCs w:val="24"/>
              </w:rPr>
              <w:t>pursuing</w:t>
            </w:r>
            <w:r w:rsidRPr="00006D05">
              <w:rPr>
                <w:rFonts w:ascii="Arial" w:hAnsi="Arial" w:cs="Arial"/>
                <w:sz w:val="24"/>
                <w:szCs w:val="24"/>
              </w:rPr>
              <w:t xml:space="preserve"> the</w:t>
            </w:r>
            <w:r>
              <w:rPr>
                <w:rFonts w:ascii="Arial" w:hAnsi="Arial" w:cs="Arial"/>
                <w:sz w:val="24"/>
                <w:szCs w:val="24"/>
              </w:rPr>
              <w:t xml:space="preserve"> amendment:</w:t>
            </w:r>
          </w:p>
          <w:p w:rsidR="00965C26" w:rsidRPr="00EC6D9B" w:rsidRDefault="00965C26" w:rsidP="00965C26">
            <w:pPr>
              <w:pStyle w:val="ListParagraph"/>
              <w:rPr>
                <w:rFonts w:ascii="Arial" w:hAnsi="Arial" w:cs="Arial"/>
                <w:sz w:val="24"/>
                <w:szCs w:val="24"/>
              </w:rPr>
            </w:pPr>
          </w:p>
          <w:p w:rsidR="00965C26" w:rsidRDefault="00965C26" w:rsidP="00965C26">
            <w:pPr>
              <w:pStyle w:val="ListParagraph"/>
              <w:numPr>
                <w:ilvl w:val="0"/>
                <w:numId w:val="18"/>
              </w:numPr>
              <w:spacing w:line="360" w:lineRule="auto"/>
              <w:jc w:val="both"/>
              <w:rPr>
                <w:rFonts w:ascii="Arial" w:hAnsi="Arial" w:cs="Arial"/>
                <w:sz w:val="24"/>
                <w:szCs w:val="24"/>
              </w:rPr>
            </w:pPr>
            <w:r>
              <w:rPr>
                <w:rFonts w:ascii="Arial" w:hAnsi="Arial" w:cs="Arial"/>
                <w:sz w:val="24"/>
                <w:szCs w:val="24"/>
              </w:rPr>
              <w:t>The amendment sought does not involve a major change of front or a withdrawal of an admission.</w:t>
            </w:r>
          </w:p>
          <w:p w:rsidR="00965C26" w:rsidRDefault="00965C26" w:rsidP="00965C26">
            <w:pPr>
              <w:pStyle w:val="ListParagraph"/>
              <w:numPr>
                <w:ilvl w:val="0"/>
                <w:numId w:val="18"/>
              </w:numPr>
              <w:spacing w:line="360" w:lineRule="auto"/>
              <w:jc w:val="both"/>
              <w:rPr>
                <w:rFonts w:ascii="Arial" w:hAnsi="Arial" w:cs="Arial"/>
                <w:sz w:val="24"/>
                <w:szCs w:val="24"/>
              </w:rPr>
            </w:pPr>
            <w:r>
              <w:rPr>
                <w:rFonts w:ascii="Arial" w:hAnsi="Arial" w:cs="Arial"/>
                <w:sz w:val="24"/>
                <w:szCs w:val="24"/>
              </w:rPr>
              <w:lastRenderedPageBreak/>
              <w:t>The amendment seeks to rectify a bona fide mistake.</w:t>
            </w:r>
          </w:p>
          <w:p w:rsidR="00965C26" w:rsidRDefault="00965C26" w:rsidP="00965C26">
            <w:pPr>
              <w:pStyle w:val="ListParagraph"/>
              <w:numPr>
                <w:ilvl w:val="0"/>
                <w:numId w:val="18"/>
              </w:numPr>
              <w:spacing w:line="360" w:lineRule="auto"/>
              <w:jc w:val="both"/>
              <w:rPr>
                <w:rFonts w:ascii="Arial" w:hAnsi="Arial" w:cs="Arial"/>
                <w:sz w:val="24"/>
                <w:szCs w:val="24"/>
              </w:rPr>
            </w:pPr>
            <w:r>
              <w:rPr>
                <w:rFonts w:ascii="Arial" w:hAnsi="Arial" w:cs="Arial"/>
                <w:sz w:val="24"/>
                <w:szCs w:val="24"/>
              </w:rPr>
              <w:t xml:space="preserve">It is important that the real issues are fully canvassed and </w:t>
            </w:r>
            <w:r w:rsidR="00D3724C">
              <w:rPr>
                <w:rFonts w:ascii="Arial" w:hAnsi="Arial" w:cs="Arial"/>
                <w:sz w:val="24"/>
                <w:szCs w:val="24"/>
              </w:rPr>
              <w:t xml:space="preserve">must </w:t>
            </w:r>
            <w:r>
              <w:rPr>
                <w:rFonts w:ascii="Arial" w:hAnsi="Arial" w:cs="Arial"/>
                <w:sz w:val="24"/>
                <w:szCs w:val="24"/>
              </w:rPr>
              <w:t xml:space="preserve">be determined by </w:t>
            </w:r>
            <w:r w:rsidR="00156C35">
              <w:rPr>
                <w:rFonts w:ascii="Arial" w:hAnsi="Arial" w:cs="Arial"/>
                <w:sz w:val="24"/>
                <w:szCs w:val="24"/>
              </w:rPr>
              <w:t xml:space="preserve">the </w:t>
            </w:r>
            <w:r>
              <w:rPr>
                <w:rFonts w:ascii="Arial" w:hAnsi="Arial" w:cs="Arial"/>
                <w:sz w:val="24"/>
                <w:szCs w:val="24"/>
              </w:rPr>
              <w:t>court.</w:t>
            </w:r>
          </w:p>
          <w:p w:rsidR="00965C26" w:rsidRDefault="00965C26" w:rsidP="00965C26">
            <w:pPr>
              <w:pStyle w:val="ListParagraph"/>
              <w:numPr>
                <w:ilvl w:val="0"/>
                <w:numId w:val="18"/>
              </w:numPr>
              <w:spacing w:line="360" w:lineRule="auto"/>
              <w:jc w:val="both"/>
              <w:rPr>
                <w:rFonts w:ascii="Arial" w:hAnsi="Arial" w:cs="Arial"/>
                <w:sz w:val="24"/>
                <w:szCs w:val="24"/>
              </w:rPr>
            </w:pPr>
            <w:r>
              <w:rPr>
                <w:rFonts w:ascii="Arial" w:hAnsi="Arial" w:cs="Arial"/>
                <w:sz w:val="24"/>
                <w:szCs w:val="24"/>
              </w:rPr>
              <w:t>It is in the interest of both parties and in the administration of justice that the amendment be allowed.</w:t>
            </w:r>
          </w:p>
          <w:p w:rsidR="00965C26" w:rsidRDefault="00965C26" w:rsidP="00965C26">
            <w:pPr>
              <w:pStyle w:val="ListParagraph"/>
              <w:numPr>
                <w:ilvl w:val="0"/>
                <w:numId w:val="18"/>
              </w:numPr>
              <w:spacing w:line="360" w:lineRule="auto"/>
              <w:jc w:val="both"/>
              <w:rPr>
                <w:rFonts w:ascii="Arial" w:hAnsi="Arial" w:cs="Arial"/>
                <w:sz w:val="24"/>
                <w:szCs w:val="24"/>
              </w:rPr>
            </w:pPr>
            <w:r>
              <w:rPr>
                <w:rFonts w:ascii="Arial" w:hAnsi="Arial" w:cs="Arial"/>
                <w:sz w:val="24"/>
                <w:szCs w:val="24"/>
              </w:rPr>
              <w:t>There will be no prejudice to the plaintiff should the court grant the intended amendment.</w:t>
            </w:r>
          </w:p>
          <w:p w:rsidR="00965C26" w:rsidRDefault="00965C26" w:rsidP="00965C26">
            <w:pPr>
              <w:pStyle w:val="Heading1"/>
              <w:outlineLvl w:val="0"/>
            </w:pPr>
          </w:p>
          <w:p w:rsidR="00965C26" w:rsidRDefault="00965C26" w:rsidP="00965C26">
            <w:pPr>
              <w:pStyle w:val="Heading1"/>
              <w:outlineLvl w:val="0"/>
            </w:pPr>
            <w:r w:rsidRPr="006D1B1D">
              <w:t>Amendment sought</w:t>
            </w:r>
          </w:p>
          <w:p w:rsidR="00965C26" w:rsidRPr="00EB6957" w:rsidRDefault="00965C26" w:rsidP="00965C26"/>
          <w:p w:rsidR="00D3724C" w:rsidRDefault="00965C26" w:rsidP="00D3724C">
            <w:pPr>
              <w:pStyle w:val="ListParagraph"/>
              <w:numPr>
                <w:ilvl w:val="0"/>
                <w:numId w:val="24"/>
              </w:numPr>
              <w:spacing w:line="360" w:lineRule="auto"/>
              <w:ind w:left="0" w:firstLine="0"/>
              <w:jc w:val="both"/>
              <w:rPr>
                <w:rFonts w:ascii="Arial" w:hAnsi="Arial" w:cs="Arial"/>
                <w:sz w:val="24"/>
                <w:szCs w:val="24"/>
              </w:rPr>
            </w:pPr>
            <w:r w:rsidRPr="00DF469D">
              <w:rPr>
                <w:rFonts w:ascii="Arial" w:hAnsi="Arial" w:cs="Arial"/>
                <w:sz w:val="24"/>
                <w:szCs w:val="24"/>
              </w:rPr>
              <w:t xml:space="preserve">The gist of the original counterclaim was that the plaintiff and the defendant entered into a lease agreement in terms of which the defendant would rent consulting rooms on the plaintiff’s premises for a period of three years </w:t>
            </w:r>
            <w:r w:rsidR="00D3724C">
              <w:rPr>
                <w:rFonts w:ascii="Arial" w:hAnsi="Arial" w:cs="Arial"/>
                <w:sz w:val="24"/>
                <w:szCs w:val="24"/>
              </w:rPr>
              <w:t xml:space="preserve">on a </w:t>
            </w:r>
            <w:r w:rsidRPr="00DF469D">
              <w:rPr>
                <w:rFonts w:ascii="Arial" w:hAnsi="Arial" w:cs="Arial"/>
                <w:sz w:val="24"/>
                <w:szCs w:val="24"/>
              </w:rPr>
              <w:t>renewable</w:t>
            </w:r>
            <w:r w:rsidR="00D3724C">
              <w:rPr>
                <w:rFonts w:ascii="Arial" w:hAnsi="Arial" w:cs="Arial"/>
                <w:sz w:val="24"/>
                <w:szCs w:val="24"/>
              </w:rPr>
              <w:t xml:space="preserve"> basis</w:t>
            </w:r>
            <w:r w:rsidRPr="00DF469D">
              <w:rPr>
                <w:rFonts w:ascii="Arial" w:hAnsi="Arial" w:cs="Arial"/>
                <w:sz w:val="24"/>
                <w:szCs w:val="24"/>
              </w:rPr>
              <w:t xml:space="preserve">. </w:t>
            </w:r>
            <w:r w:rsidR="00156C35">
              <w:rPr>
                <w:rFonts w:ascii="Arial" w:hAnsi="Arial" w:cs="Arial"/>
                <w:sz w:val="24"/>
                <w:szCs w:val="24"/>
              </w:rPr>
              <w:t>In 2015, the defendant entered into an agreement with Family Wise Medical Practice to serve as manager</w:t>
            </w:r>
            <w:r w:rsidRPr="00DF469D">
              <w:rPr>
                <w:rFonts w:ascii="Arial" w:hAnsi="Arial" w:cs="Arial"/>
                <w:sz w:val="24"/>
                <w:szCs w:val="24"/>
              </w:rPr>
              <w:t xml:space="preserve"> of the defendant’s practice for a period of five years by rendering the necessary medical services required by the defendant’s patients. Payments were </w:t>
            </w:r>
            <w:r w:rsidR="0071022A">
              <w:rPr>
                <w:rFonts w:ascii="Arial" w:hAnsi="Arial" w:cs="Arial"/>
                <w:sz w:val="24"/>
                <w:szCs w:val="24"/>
              </w:rPr>
              <w:t>made</w:t>
            </w:r>
            <w:r w:rsidRPr="00DF469D">
              <w:rPr>
                <w:rFonts w:ascii="Arial" w:hAnsi="Arial" w:cs="Arial"/>
                <w:sz w:val="24"/>
                <w:szCs w:val="24"/>
              </w:rPr>
              <w:t xml:space="preserve"> to the plaintiff for the defendant’s account.</w:t>
            </w:r>
          </w:p>
          <w:p w:rsidR="00965C26" w:rsidRPr="00DF469D" w:rsidRDefault="00965C26" w:rsidP="00D3724C">
            <w:pPr>
              <w:pStyle w:val="ListParagraph"/>
              <w:spacing w:line="360" w:lineRule="auto"/>
              <w:ind w:left="0"/>
              <w:jc w:val="both"/>
              <w:rPr>
                <w:rFonts w:ascii="Arial" w:hAnsi="Arial" w:cs="Arial"/>
                <w:sz w:val="24"/>
                <w:szCs w:val="24"/>
              </w:rPr>
            </w:pPr>
            <w:r w:rsidRPr="00DF469D">
              <w:rPr>
                <w:rFonts w:ascii="Arial" w:hAnsi="Arial" w:cs="Arial"/>
                <w:sz w:val="24"/>
                <w:szCs w:val="24"/>
              </w:rPr>
              <w:t xml:space="preserve"> </w:t>
            </w:r>
          </w:p>
          <w:p w:rsidR="00965C26" w:rsidRDefault="00965C26" w:rsidP="00D3724C">
            <w:pPr>
              <w:pStyle w:val="BodyText"/>
              <w:numPr>
                <w:ilvl w:val="0"/>
                <w:numId w:val="24"/>
              </w:numPr>
              <w:tabs>
                <w:tab w:val="clear" w:pos="729"/>
              </w:tabs>
              <w:ind w:left="0" w:firstLine="0"/>
            </w:pPr>
            <w:r w:rsidRPr="00DF469D">
              <w:t>In 2019, the plaintiff</w:t>
            </w:r>
            <w:r w:rsidR="00156C35">
              <w:t>, via correspondence,</w:t>
            </w:r>
            <w:r w:rsidR="00D3724C">
              <w:t xml:space="preserve"> directed </w:t>
            </w:r>
            <w:r w:rsidRPr="00DF469D">
              <w:t xml:space="preserve">the defendant to remove </w:t>
            </w:r>
            <w:r w:rsidR="0071022A">
              <w:t>his</w:t>
            </w:r>
            <w:r w:rsidRPr="00DF469D">
              <w:t xml:space="preserve"> vehicle from the premises as it was assigned to another doctor. In 2022, the plaintiff’s board of trustees denied the defendant access to the premises.</w:t>
            </w:r>
          </w:p>
          <w:p w:rsidR="00965C26" w:rsidRPr="00DF469D" w:rsidRDefault="00965C26" w:rsidP="00965C26">
            <w:pPr>
              <w:pStyle w:val="BodyText"/>
            </w:pPr>
          </w:p>
          <w:p w:rsidR="00965C26" w:rsidRDefault="00965C26" w:rsidP="00D3724C">
            <w:pPr>
              <w:pStyle w:val="ListParagraph"/>
              <w:numPr>
                <w:ilvl w:val="0"/>
                <w:numId w:val="24"/>
              </w:numPr>
              <w:spacing w:line="360" w:lineRule="auto"/>
              <w:ind w:left="0" w:firstLine="0"/>
              <w:jc w:val="both"/>
              <w:rPr>
                <w:rFonts w:ascii="Arial" w:hAnsi="Arial" w:cs="Arial"/>
                <w:sz w:val="24"/>
                <w:szCs w:val="24"/>
              </w:rPr>
            </w:pPr>
            <w:r w:rsidRPr="00DF469D">
              <w:rPr>
                <w:rFonts w:ascii="Arial" w:hAnsi="Arial" w:cs="Arial"/>
                <w:sz w:val="24"/>
                <w:szCs w:val="24"/>
              </w:rPr>
              <w:t xml:space="preserve">The plaintiff entered into a rental agreement with Family Wise Medical </w:t>
            </w:r>
            <w:r>
              <w:rPr>
                <w:rFonts w:ascii="Arial" w:hAnsi="Arial" w:cs="Arial"/>
                <w:sz w:val="24"/>
                <w:szCs w:val="24"/>
              </w:rPr>
              <w:t xml:space="preserve">Practice from 2018 </w:t>
            </w:r>
            <w:r w:rsidR="00357541">
              <w:rPr>
                <w:rFonts w:ascii="Arial" w:hAnsi="Arial" w:cs="Arial"/>
                <w:sz w:val="24"/>
                <w:szCs w:val="24"/>
              </w:rPr>
              <w:t>to</w:t>
            </w:r>
            <w:bookmarkStart w:id="0" w:name="_GoBack"/>
            <w:bookmarkEnd w:id="0"/>
            <w:r w:rsidR="00B76012" w:rsidRPr="00006D05">
              <w:rPr>
                <w:rFonts w:ascii="Arial" w:hAnsi="Arial" w:cs="Arial"/>
                <w:sz w:val="24"/>
                <w:szCs w:val="24"/>
              </w:rPr>
              <w:t xml:space="preserve"> date</w:t>
            </w:r>
            <w:r w:rsidR="00156C35" w:rsidRPr="00006D05">
              <w:rPr>
                <w:rFonts w:ascii="Arial" w:hAnsi="Arial" w:cs="Arial"/>
                <w:sz w:val="24"/>
                <w:szCs w:val="24"/>
              </w:rPr>
              <w:t>. Family</w:t>
            </w:r>
            <w:r w:rsidR="00156C35">
              <w:rPr>
                <w:rFonts w:ascii="Arial" w:hAnsi="Arial" w:cs="Arial"/>
                <w:sz w:val="24"/>
                <w:szCs w:val="24"/>
              </w:rPr>
              <w:t xml:space="preserve"> Wise Medical Practice occupies</w:t>
            </w:r>
            <w:r>
              <w:rPr>
                <w:rFonts w:ascii="Arial" w:hAnsi="Arial" w:cs="Arial"/>
                <w:sz w:val="24"/>
                <w:szCs w:val="24"/>
              </w:rPr>
              <w:t xml:space="preserve"> the defendant’s consultation room without </w:t>
            </w:r>
            <w:r w:rsidR="00B76012" w:rsidRPr="00357541">
              <w:rPr>
                <w:rFonts w:ascii="Arial" w:hAnsi="Arial" w:cs="Arial"/>
                <w:sz w:val="24"/>
                <w:szCs w:val="24"/>
              </w:rPr>
              <w:t>it</w:t>
            </w:r>
            <w:r w:rsidR="00B76012">
              <w:rPr>
                <w:rFonts w:ascii="Arial" w:hAnsi="Arial" w:cs="Arial"/>
                <w:sz w:val="24"/>
                <w:szCs w:val="24"/>
              </w:rPr>
              <w:t xml:space="preserve"> </w:t>
            </w:r>
            <w:r>
              <w:rPr>
                <w:rFonts w:ascii="Arial" w:hAnsi="Arial" w:cs="Arial"/>
                <w:sz w:val="24"/>
                <w:szCs w:val="24"/>
              </w:rPr>
              <w:t xml:space="preserve">cancelling the defendant’s agreement or giving notice thereof. The </w:t>
            </w:r>
            <w:r w:rsidR="00D3724C">
              <w:rPr>
                <w:rFonts w:ascii="Arial" w:hAnsi="Arial" w:cs="Arial"/>
                <w:sz w:val="24"/>
                <w:szCs w:val="24"/>
              </w:rPr>
              <w:t>defendant</w:t>
            </w:r>
            <w:r>
              <w:rPr>
                <w:rFonts w:ascii="Arial" w:hAnsi="Arial" w:cs="Arial"/>
                <w:sz w:val="24"/>
                <w:szCs w:val="24"/>
              </w:rPr>
              <w:t xml:space="preserve"> prayed that the plaintiff’s claim </w:t>
            </w:r>
            <w:r w:rsidRPr="00DF469D">
              <w:rPr>
                <w:rFonts w:ascii="Arial" w:hAnsi="Arial" w:cs="Arial"/>
                <w:sz w:val="24"/>
                <w:szCs w:val="24"/>
              </w:rPr>
              <w:t>be dismissed and for the reinstatement of the defendant’s access to the Roman Catholic Hospital.</w:t>
            </w:r>
          </w:p>
          <w:p w:rsidR="00965C26" w:rsidRPr="00DF469D" w:rsidRDefault="00965C26" w:rsidP="00965C26">
            <w:pPr>
              <w:pStyle w:val="ListParagraph"/>
              <w:rPr>
                <w:rFonts w:ascii="Arial" w:hAnsi="Arial" w:cs="Arial"/>
                <w:sz w:val="24"/>
                <w:szCs w:val="24"/>
              </w:rPr>
            </w:pPr>
          </w:p>
          <w:p w:rsidR="00965C26" w:rsidRDefault="00965C26" w:rsidP="00D3724C">
            <w:pPr>
              <w:pStyle w:val="ListParagraph"/>
              <w:numPr>
                <w:ilvl w:val="0"/>
                <w:numId w:val="24"/>
              </w:numPr>
              <w:spacing w:line="360" w:lineRule="auto"/>
              <w:ind w:left="0" w:firstLine="0"/>
              <w:jc w:val="both"/>
              <w:rPr>
                <w:rFonts w:ascii="Arial" w:hAnsi="Arial" w:cs="Arial"/>
                <w:sz w:val="24"/>
                <w:szCs w:val="24"/>
              </w:rPr>
            </w:pPr>
            <w:r w:rsidRPr="00DF469D">
              <w:rPr>
                <w:rFonts w:ascii="Arial" w:hAnsi="Arial" w:cs="Arial"/>
                <w:sz w:val="24"/>
                <w:szCs w:val="24"/>
              </w:rPr>
              <w:t>In terms of the intended amendment, the defendant wishes to introduce three claims</w:t>
            </w:r>
            <w:r>
              <w:rPr>
                <w:rFonts w:ascii="Arial" w:hAnsi="Arial" w:cs="Arial"/>
                <w:sz w:val="24"/>
                <w:szCs w:val="24"/>
              </w:rPr>
              <w:t>. The first claim appears to elaborate on the original claim.</w:t>
            </w:r>
          </w:p>
          <w:p w:rsidR="00965C26" w:rsidRPr="00DF469D" w:rsidRDefault="00965C26" w:rsidP="00965C26">
            <w:pPr>
              <w:pStyle w:val="ListParagraph"/>
              <w:rPr>
                <w:rFonts w:ascii="Arial" w:hAnsi="Arial" w:cs="Arial"/>
                <w:sz w:val="24"/>
                <w:szCs w:val="24"/>
              </w:rPr>
            </w:pPr>
          </w:p>
          <w:p w:rsidR="00965C26" w:rsidRDefault="00965C26" w:rsidP="00D3724C">
            <w:pPr>
              <w:pStyle w:val="ListParagraph"/>
              <w:numPr>
                <w:ilvl w:val="0"/>
                <w:numId w:val="24"/>
              </w:numPr>
              <w:spacing w:line="360" w:lineRule="auto"/>
              <w:ind w:left="0" w:firstLine="0"/>
              <w:jc w:val="both"/>
              <w:rPr>
                <w:rFonts w:ascii="Arial" w:hAnsi="Arial" w:cs="Arial"/>
                <w:sz w:val="24"/>
                <w:szCs w:val="24"/>
              </w:rPr>
            </w:pPr>
            <w:r w:rsidRPr="00DF469D">
              <w:rPr>
                <w:rFonts w:ascii="Arial" w:hAnsi="Arial" w:cs="Arial"/>
                <w:sz w:val="24"/>
                <w:szCs w:val="24"/>
              </w:rPr>
              <w:t>Claim one relate</w:t>
            </w:r>
            <w:r w:rsidR="00D3724C">
              <w:rPr>
                <w:rFonts w:ascii="Arial" w:hAnsi="Arial" w:cs="Arial"/>
                <w:sz w:val="24"/>
                <w:szCs w:val="24"/>
              </w:rPr>
              <w:t>s</w:t>
            </w:r>
            <w:r w:rsidRPr="00DF469D">
              <w:rPr>
                <w:rFonts w:ascii="Arial" w:hAnsi="Arial" w:cs="Arial"/>
                <w:sz w:val="24"/>
                <w:szCs w:val="24"/>
              </w:rPr>
              <w:t xml:space="preserve"> to the cancellation of the lease agreement by the plaintiff</w:t>
            </w:r>
            <w:r>
              <w:rPr>
                <w:rFonts w:ascii="Arial" w:hAnsi="Arial" w:cs="Arial"/>
                <w:sz w:val="24"/>
                <w:szCs w:val="24"/>
              </w:rPr>
              <w:t xml:space="preserve"> in 2022</w:t>
            </w:r>
            <w:r w:rsidRPr="00DF469D">
              <w:rPr>
                <w:rFonts w:ascii="Arial" w:hAnsi="Arial" w:cs="Arial"/>
                <w:sz w:val="24"/>
                <w:szCs w:val="24"/>
              </w:rPr>
              <w:t xml:space="preserve">, which the defendant rejects as being unlawful. The defendant </w:t>
            </w:r>
            <w:r>
              <w:rPr>
                <w:rFonts w:ascii="Arial" w:hAnsi="Arial" w:cs="Arial"/>
                <w:sz w:val="24"/>
                <w:szCs w:val="24"/>
              </w:rPr>
              <w:t>demands that his access to use and enjoyment of the premises, as well as one parking bay</w:t>
            </w:r>
            <w:r w:rsidR="00156C35">
              <w:rPr>
                <w:rFonts w:ascii="Arial" w:hAnsi="Arial" w:cs="Arial"/>
                <w:sz w:val="24"/>
                <w:szCs w:val="24"/>
              </w:rPr>
              <w:t>,</w:t>
            </w:r>
            <w:r w:rsidR="00D3724C">
              <w:rPr>
                <w:rFonts w:ascii="Arial" w:hAnsi="Arial" w:cs="Arial"/>
                <w:sz w:val="24"/>
                <w:szCs w:val="24"/>
              </w:rPr>
              <w:t xml:space="preserve"> be restored</w:t>
            </w:r>
            <w:r>
              <w:rPr>
                <w:rFonts w:ascii="Arial" w:hAnsi="Arial" w:cs="Arial"/>
                <w:sz w:val="24"/>
                <w:szCs w:val="24"/>
              </w:rPr>
              <w:t xml:space="preserve">. Alternatively, the plaintiff </w:t>
            </w:r>
            <w:r w:rsidR="00D3724C">
              <w:rPr>
                <w:rFonts w:ascii="Arial" w:hAnsi="Arial" w:cs="Arial"/>
                <w:sz w:val="24"/>
                <w:szCs w:val="24"/>
              </w:rPr>
              <w:t xml:space="preserve">must </w:t>
            </w:r>
            <w:r>
              <w:rPr>
                <w:rFonts w:ascii="Arial" w:hAnsi="Arial" w:cs="Arial"/>
                <w:sz w:val="24"/>
                <w:szCs w:val="24"/>
              </w:rPr>
              <w:t>provide the defendant with an alternative consulting room of similar size and space and one parking bay.</w:t>
            </w:r>
          </w:p>
          <w:p w:rsidR="00965C26" w:rsidRPr="00DF469D" w:rsidRDefault="00965C26" w:rsidP="00965C26">
            <w:pPr>
              <w:pStyle w:val="ListParagraph"/>
              <w:rPr>
                <w:rFonts w:ascii="Arial" w:hAnsi="Arial" w:cs="Arial"/>
                <w:sz w:val="24"/>
                <w:szCs w:val="24"/>
              </w:rPr>
            </w:pPr>
          </w:p>
          <w:p w:rsidR="00965C26" w:rsidRDefault="00965C26" w:rsidP="00D3724C">
            <w:pPr>
              <w:pStyle w:val="ListParagraph"/>
              <w:numPr>
                <w:ilvl w:val="0"/>
                <w:numId w:val="24"/>
              </w:numPr>
              <w:spacing w:line="360" w:lineRule="auto"/>
              <w:ind w:left="0" w:firstLine="0"/>
              <w:jc w:val="both"/>
              <w:rPr>
                <w:rFonts w:ascii="Arial" w:hAnsi="Arial" w:cs="Arial"/>
                <w:sz w:val="24"/>
                <w:szCs w:val="24"/>
              </w:rPr>
            </w:pPr>
            <w:r>
              <w:rPr>
                <w:rFonts w:ascii="Arial" w:hAnsi="Arial" w:cs="Arial"/>
                <w:sz w:val="24"/>
                <w:szCs w:val="24"/>
              </w:rPr>
              <w:t xml:space="preserve">The second claim relates to the damages that the defendant suffered as a result of the plaintiff’s refusal </w:t>
            </w:r>
            <w:r w:rsidR="00B76012" w:rsidRPr="00006D05">
              <w:rPr>
                <w:rFonts w:ascii="Arial" w:hAnsi="Arial" w:cs="Arial"/>
                <w:sz w:val="24"/>
                <w:szCs w:val="24"/>
              </w:rPr>
              <w:t xml:space="preserve">for him </w:t>
            </w:r>
            <w:r w:rsidRPr="00006D05">
              <w:rPr>
                <w:rFonts w:ascii="Arial" w:hAnsi="Arial" w:cs="Arial"/>
                <w:sz w:val="24"/>
                <w:szCs w:val="24"/>
              </w:rPr>
              <w:t>to</w:t>
            </w:r>
            <w:r>
              <w:rPr>
                <w:rFonts w:ascii="Arial" w:hAnsi="Arial" w:cs="Arial"/>
                <w:sz w:val="24"/>
                <w:szCs w:val="24"/>
              </w:rPr>
              <w:t xml:space="preserve"> use the premises. The defendant claims that as a result of the plaintiff’s </w:t>
            </w:r>
            <w:r>
              <w:rPr>
                <w:rFonts w:ascii="Arial" w:hAnsi="Arial" w:cs="Arial"/>
                <w:sz w:val="24"/>
                <w:szCs w:val="24"/>
              </w:rPr>
              <w:lastRenderedPageBreak/>
              <w:t>wrongful actions and breach of the lease agreement, he suffered</w:t>
            </w:r>
            <w:r w:rsidR="00156C35">
              <w:rPr>
                <w:rFonts w:ascii="Arial" w:hAnsi="Arial" w:cs="Arial"/>
                <w:sz w:val="24"/>
                <w:szCs w:val="24"/>
              </w:rPr>
              <w:t xml:space="preserve"> </w:t>
            </w:r>
            <w:r>
              <w:rPr>
                <w:rFonts w:ascii="Arial" w:hAnsi="Arial" w:cs="Arial"/>
                <w:sz w:val="24"/>
                <w:szCs w:val="24"/>
              </w:rPr>
              <w:t>loss of income for the period 2021 to 2023.</w:t>
            </w:r>
          </w:p>
          <w:p w:rsidR="00965C26" w:rsidRPr="008A5B21" w:rsidRDefault="00965C26" w:rsidP="00965C26">
            <w:pPr>
              <w:pStyle w:val="ListParagraph"/>
              <w:rPr>
                <w:rFonts w:ascii="Arial" w:hAnsi="Arial" w:cs="Arial"/>
                <w:sz w:val="24"/>
                <w:szCs w:val="24"/>
              </w:rPr>
            </w:pPr>
          </w:p>
          <w:p w:rsidR="00965C26" w:rsidRDefault="00965C26" w:rsidP="00D3724C">
            <w:pPr>
              <w:pStyle w:val="ListParagraph"/>
              <w:numPr>
                <w:ilvl w:val="0"/>
                <w:numId w:val="24"/>
              </w:numPr>
              <w:spacing w:line="360" w:lineRule="auto"/>
              <w:ind w:left="0" w:firstLine="0"/>
              <w:jc w:val="both"/>
              <w:rPr>
                <w:rFonts w:ascii="Arial" w:hAnsi="Arial" w:cs="Arial"/>
                <w:sz w:val="24"/>
                <w:szCs w:val="24"/>
              </w:rPr>
            </w:pPr>
            <w:r>
              <w:rPr>
                <w:rFonts w:ascii="Arial" w:hAnsi="Arial" w:cs="Arial"/>
                <w:sz w:val="24"/>
                <w:szCs w:val="24"/>
              </w:rPr>
              <w:t>The third claim is one of defamation. The defendant alleges that in a publication of the Namibian Newspaper of 4 April 2020, the plaintiff made a number of defamatory statements, innuendos, insinuations and suggestions which damaged the defendant’s reputation and injured his dignitas</w:t>
            </w:r>
            <w:r w:rsidR="00156C35">
              <w:rPr>
                <w:rFonts w:ascii="Arial" w:hAnsi="Arial" w:cs="Arial"/>
                <w:sz w:val="24"/>
                <w:szCs w:val="24"/>
              </w:rPr>
              <w:t>,</w:t>
            </w:r>
            <w:r>
              <w:rPr>
                <w:rFonts w:ascii="Arial" w:hAnsi="Arial" w:cs="Arial"/>
                <w:sz w:val="24"/>
                <w:szCs w:val="24"/>
              </w:rPr>
              <w:t xml:space="preserve"> resulting in him suffering damages.</w:t>
            </w:r>
          </w:p>
          <w:p w:rsidR="00965C26" w:rsidRPr="008A5B21" w:rsidRDefault="00965C26" w:rsidP="00965C26">
            <w:pPr>
              <w:pStyle w:val="ListParagraph"/>
              <w:rPr>
                <w:rFonts w:ascii="Arial" w:hAnsi="Arial" w:cs="Arial"/>
                <w:sz w:val="24"/>
                <w:szCs w:val="24"/>
              </w:rPr>
            </w:pPr>
          </w:p>
          <w:p w:rsidR="00965C26" w:rsidRDefault="00965C26" w:rsidP="00965C26">
            <w:pPr>
              <w:pStyle w:val="ListParagraph"/>
              <w:spacing w:line="360" w:lineRule="auto"/>
              <w:ind w:left="0"/>
              <w:jc w:val="both"/>
              <w:rPr>
                <w:rFonts w:ascii="Arial" w:hAnsi="Arial" w:cs="Arial"/>
                <w:sz w:val="24"/>
                <w:szCs w:val="24"/>
                <w:u w:val="single"/>
              </w:rPr>
            </w:pPr>
            <w:r w:rsidRPr="00DF469D">
              <w:rPr>
                <w:rFonts w:ascii="Arial" w:hAnsi="Arial" w:cs="Arial"/>
                <w:sz w:val="24"/>
                <w:szCs w:val="24"/>
                <w:u w:val="single"/>
              </w:rPr>
              <w:t>Opposition to the intended amendment</w:t>
            </w:r>
          </w:p>
          <w:p w:rsidR="00965C26" w:rsidRPr="00DF469D" w:rsidRDefault="00965C26" w:rsidP="00965C26">
            <w:pPr>
              <w:pStyle w:val="ListParagraph"/>
              <w:spacing w:line="360" w:lineRule="auto"/>
              <w:ind w:left="0"/>
              <w:jc w:val="both"/>
              <w:rPr>
                <w:rFonts w:ascii="Arial" w:hAnsi="Arial" w:cs="Arial"/>
                <w:sz w:val="24"/>
                <w:szCs w:val="24"/>
                <w:u w:val="single"/>
              </w:rPr>
            </w:pPr>
          </w:p>
          <w:p w:rsidR="00965C26" w:rsidRDefault="00965C26" w:rsidP="00D3724C">
            <w:pPr>
              <w:pStyle w:val="ListParagraph"/>
              <w:numPr>
                <w:ilvl w:val="0"/>
                <w:numId w:val="24"/>
              </w:numPr>
              <w:spacing w:line="360" w:lineRule="auto"/>
              <w:ind w:left="0" w:firstLine="0"/>
              <w:jc w:val="both"/>
              <w:rPr>
                <w:rFonts w:ascii="Arial" w:hAnsi="Arial" w:cs="Arial"/>
                <w:sz w:val="24"/>
                <w:szCs w:val="24"/>
              </w:rPr>
            </w:pPr>
            <w:r>
              <w:rPr>
                <w:rFonts w:ascii="Arial" w:hAnsi="Arial" w:cs="Arial"/>
                <w:sz w:val="24"/>
                <w:szCs w:val="24"/>
              </w:rPr>
              <w:t>The plaintiff opposed the intended amendment on the following basis:</w:t>
            </w:r>
          </w:p>
          <w:p w:rsidR="0071022A" w:rsidRDefault="0071022A" w:rsidP="0071022A">
            <w:pPr>
              <w:pStyle w:val="ListParagraph"/>
              <w:spacing w:line="360" w:lineRule="auto"/>
              <w:ind w:left="0"/>
              <w:jc w:val="both"/>
              <w:rPr>
                <w:rFonts w:ascii="Arial" w:hAnsi="Arial" w:cs="Arial"/>
                <w:sz w:val="24"/>
                <w:szCs w:val="24"/>
              </w:rPr>
            </w:pPr>
          </w:p>
          <w:p w:rsidR="00965C26" w:rsidRDefault="00965C26" w:rsidP="00965C26">
            <w:pPr>
              <w:pStyle w:val="ListParagraph"/>
              <w:numPr>
                <w:ilvl w:val="0"/>
                <w:numId w:val="19"/>
              </w:numPr>
              <w:spacing w:line="360" w:lineRule="auto"/>
              <w:jc w:val="both"/>
              <w:rPr>
                <w:rFonts w:ascii="Arial" w:hAnsi="Arial" w:cs="Arial"/>
                <w:sz w:val="24"/>
                <w:szCs w:val="24"/>
              </w:rPr>
            </w:pPr>
            <w:r>
              <w:rPr>
                <w:rFonts w:ascii="Arial" w:hAnsi="Arial" w:cs="Arial"/>
                <w:sz w:val="24"/>
                <w:szCs w:val="24"/>
              </w:rPr>
              <w:t>Given the extraordinary and extensive amendments sought, the plaintiff would be prejudiced, and it would unreasonably delay the finalisation of the matter.</w:t>
            </w:r>
          </w:p>
          <w:p w:rsidR="00965C26" w:rsidRDefault="00965C26" w:rsidP="00965C26">
            <w:pPr>
              <w:pStyle w:val="ListParagraph"/>
              <w:numPr>
                <w:ilvl w:val="0"/>
                <w:numId w:val="19"/>
              </w:numPr>
              <w:spacing w:line="360" w:lineRule="auto"/>
              <w:jc w:val="both"/>
              <w:rPr>
                <w:rFonts w:ascii="Arial" w:hAnsi="Arial" w:cs="Arial"/>
                <w:sz w:val="24"/>
                <w:szCs w:val="24"/>
              </w:rPr>
            </w:pPr>
            <w:r>
              <w:rPr>
                <w:rFonts w:ascii="Arial" w:hAnsi="Arial" w:cs="Arial"/>
                <w:sz w:val="24"/>
                <w:szCs w:val="24"/>
              </w:rPr>
              <w:t xml:space="preserve">The amendments do not constitute an amendment but rather a complete substitution of the defendant’s counterclaim. The purported amendment is, however, vague and embarrassing, and the defendant does not make the necessary averments to sustain the respective counterclaims. </w:t>
            </w:r>
          </w:p>
          <w:p w:rsidR="00965C26" w:rsidRDefault="00965C26" w:rsidP="00965C26">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claim</w:t>
            </w:r>
            <w:r w:rsidR="005A3876">
              <w:rPr>
                <w:rFonts w:ascii="Arial" w:hAnsi="Arial" w:cs="Arial"/>
                <w:sz w:val="24"/>
                <w:szCs w:val="24"/>
              </w:rPr>
              <w:t xml:space="preserve"> of defamation</w:t>
            </w:r>
            <w:r>
              <w:rPr>
                <w:rFonts w:ascii="Arial" w:hAnsi="Arial" w:cs="Arial"/>
                <w:sz w:val="24"/>
                <w:szCs w:val="24"/>
              </w:rPr>
              <w:t xml:space="preserve"> to be included in the counterclaim does not make out the essential averments to sustain a defamation claim. In this regard, the plaintiff avers that although the intended amendment </w:t>
            </w:r>
            <w:r w:rsidRPr="00006D05">
              <w:rPr>
                <w:rFonts w:ascii="Arial" w:hAnsi="Arial" w:cs="Arial"/>
                <w:sz w:val="24"/>
                <w:szCs w:val="24"/>
              </w:rPr>
              <w:t xml:space="preserve">refers to </w:t>
            </w:r>
            <w:r w:rsidR="00B76012" w:rsidRPr="00006D05">
              <w:rPr>
                <w:rFonts w:ascii="Arial" w:hAnsi="Arial" w:cs="Arial"/>
                <w:sz w:val="24"/>
                <w:szCs w:val="24"/>
              </w:rPr>
              <w:t>an article</w:t>
            </w:r>
            <w:r w:rsidRPr="00006D05">
              <w:rPr>
                <w:rFonts w:ascii="Arial" w:hAnsi="Arial" w:cs="Arial"/>
                <w:sz w:val="24"/>
                <w:szCs w:val="24"/>
              </w:rPr>
              <w:t xml:space="preserve"> in the</w:t>
            </w:r>
            <w:r>
              <w:rPr>
                <w:rFonts w:ascii="Arial" w:hAnsi="Arial" w:cs="Arial"/>
                <w:sz w:val="24"/>
                <w:szCs w:val="24"/>
              </w:rPr>
              <w:t xml:space="preserve"> Namibian Newspaper, such </w:t>
            </w:r>
            <w:r w:rsidR="00B76012">
              <w:rPr>
                <w:rFonts w:ascii="Arial" w:hAnsi="Arial" w:cs="Arial"/>
                <w:sz w:val="24"/>
                <w:szCs w:val="24"/>
              </w:rPr>
              <w:t xml:space="preserve">an article </w:t>
            </w:r>
            <w:r>
              <w:rPr>
                <w:rFonts w:ascii="Arial" w:hAnsi="Arial" w:cs="Arial"/>
                <w:sz w:val="24"/>
                <w:szCs w:val="24"/>
              </w:rPr>
              <w:t>is</w:t>
            </w:r>
            <w:r w:rsidR="0071022A">
              <w:rPr>
                <w:rFonts w:ascii="Arial" w:hAnsi="Arial" w:cs="Arial"/>
                <w:sz w:val="24"/>
                <w:szCs w:val="24"/>
              </w:rPr>
              <w:t xml:space="preserve"> not</w:t>
            </w:r>
            <w:r>
              <w:rPr>
                <w:rFonts w:ascii="Arial" w:hAnsi="Arial" w:cs="Arial"/>
                <w:sz w:val="24"/>
                <w:szCs w:val="24"/>
              </w:rPr>
              <w:t xml:space="preserve"> attached to the pleadings.</w:t>
            </w:r>
          </w:p>
          <w:p w:rsidR="00965C26" w:rsidRDefault="00965C26" w:rsidP="00965C26">
            <w:pPr>
              <w:pStyle w:val="ListParagraph"/>
              <w:numPr>
                <w:ilvl w:val="0"/>
                <w:numId w:val="19"/>
              </w:numPr>
              <w:spacing w:line="360" w:lineRule="auto"/>
              <w:jc w:val="both"/>
              <w:rPr>
                <w:rFonts w:ascii="Arial" w:hAnsi="Arial" w:cs="Arial"/>
                <w:sz w:val="24"/>
                <w:szCs w:val="24"/>
              </w:rPr>
            </w:pPr>
            <w:r>
              <w:rPr>
                <w:rFonts w:ascii="Arial" w:hAnsi="Arial" w:cs="Arial"/>
                <w:sz w:val="24"/>
                <w:szCs w:val="24"/>
              </w:rPr>
              <w:t xml:space="preserve">The belated amendments are incompatible with the ethos of judicial case management. </w:t>
            </w:r>
          </w:p>
          <w:p w:rsidR="00965C26" w:rsidRDefault="00965C26" w:rsidP="00965C26">
            <w:pPr>
              <w:pStyle w:val="ListParagraph"/>
              <w:numPr>
                <w:ilvl w:val="0"/>
                <w:numId w:val="19"/>
              </w:numPr>
              <w:spacing w:line="360" w:lineRule="auto"/>
              <w:jc w:val="both"/>
              <w:rPr>
                <w:rFonts w:ascii="Arial" w:hAnsi="Arial" w:cs="Arial"/>
                <w:sz w:val="24"/>
                <w:szCs w:val="24"/>
              </w:rPr>
            </w:pPr>
            <w:r>
              <w:rPr>
                <w:rFonts w:ascii="Arial" w:hAnsi="Arial" w:cs="Arial"/>
                <w:sz w:val="24"/>
                <w:szCs w:val="24"/>
              </w:rPr>
              <w:t xml:space="preserve">The counterclaim of defamation that the defendant wishes to introduce has prescribed. </w:t>
            </w:r>
          </w:p>
          <w:p w:rsidR="00965C26" w:rsidRDefault="00965C26" w:rsidP="00965C26">
            <w:pPr>
              <w:pStyle w:val="ListParagraph"/>
              <w:spacing w:line="360" w:lineRule="auto"/>
              <w:jc w:val="both"/>
              <w:rPr>
                <w:rFonts w:ascii="Arial" w:hAnsi="Arial" w:cs="Arial"/>
                <w:sz w:val="24"/>
                <w:szCs w:val="24"/>
              </w:rPr>
            </w:pPr>
          </w:p>
          <w:p w:rsidR="00965C26" w:rsidRDefault="00965C26" w:rsidP="00965C26">
            <w:pPr>
              <w:pStyle w:val="Heading1"/>
              <w:outlineLvl w:val="0"/>
              <w:rPr>
                <w:i w:val="0"/>
                <w:u w:val="single"/>
              </w:rPr>
            </w:pPr>
            <w:r w:rsidRPr="00EA77E3">
              <w:rPr>
                <w:i w:val="0"/>
                <w:u w:val="single"/>
              </w:rPr>
              <w:t>Arguments advanced</w:t>
            </w:r>
          </w:p>
          <w:p w:rsidR="00380DB3" w:rsidRPr="00380DB3" w:rsidRDefault="00380DB3" w:rsidP="00380DB3"/>
          <w:p w:rsidR="00965C26" w:rsidRDefault="00965C26" w:rsidP="00965C26">
            <w:pPr>
              <w:pStyle w:val="Heading2"/>
              <w:outlineLvl w:val="1"/>
              <w:rPr>
                <w:i/>
                <w:u w:val="none"/>
              </w:rPr>
            </w:pPr>
            <w:r w:rsidRPr="005A3876">
              <w:rPr>
                <w:i/>
                <w:u w:val="none"/>
              </w:rPr>
              <w:t>On behalf of the defendant</w:t>
            </w:r>
          </w:p>
          <w:p w:rsidR="005A3876" w:rsidRPr="005A3876" w:rsidRDefault="005A3876" w:rsidP="005A3876"/>
          <w:p w:rsidR="00965C26" w:rsidRDefault="00965C26" w:rsidP="005A3876">
            <w:pPr>
              <w:pStyle w:val="ListParagraph"/>
              <w:numPr>
                <w:ilvl w:val="0"/>
                <w:numId w:val="25"/>
              </w:numPr>
              <w:spacing w:line="360" w:lineRule="auto"/>
              <w:ind w:left="0" w:firstLine="0"/>
              <w:jc w:val="both"/>
              <w:rPr>
                <w:rFonts w:ascii="Arial" w:hAnsi="Arial" w:cs="Arial"/>
                <w:sz w:val="24"/>
                <w:szCs w:val="24"/>
              </w:rPr>
            </w:pPr>
            <w:r>
              <w:rPr>
                <w:rFonts w:ascii="Arial" w:hAnsi="Arial" w:cs="Arial"/>
                <w:sz w:val="24"/>
                <w:szCs w:val="24"/>
              </w:rPr>
              <w:t xml:space="preserve">Ms Angula submitted that contrary to the plaintiff's view, the amendments are not substantive or prejudicial but </w:t>
            </w:r>
            <w:r w:rsidR="00156C35">
              <w:rPr>
                <w:rFonts w:ascii="Arial" w:hAnsi="Arial" w:cs="Arial"/>
                <w:sz w:val="24"/>
                <w:szCs w:val="24"/>
              </w:rPr>
              <w:t>clarify</w:t>
            </w:r>
            <w:r>
              <w:rPr>
                <w:rFonts w:ascii="Arial" w:hAnsi="Arial" w:cs="Arial"/>
                <w:sz w:val="24"/>
                <w:szCs w:val="24"/>
              </w:rPr>
              <w:t xml:space="preserve"> the dispute between the parties. She further contended that an appropriate cost order can mitigate any prejudice that the plaintiff may suffer</w:t>
            </w:r>
            <w:r w:rsidR="005A3876">
              <w:rPr>
                <w:rFonts w:ascii="Arial" w:hAnsi="Arial" w:cs="Arial"/>
                <w:sz w:val="24"/>
                <w:szCs w:val="24"/>
              </w:rPr>
              <w:t>.</w:t>
            </w:r>
          </w:p>
          <w:p w:rsidR="005A3876" w:rsidRDefault="005A3876" w:rsidP="005A3876">
            <w:pPr>
              <w:pStyle w:val="ListParagraph"/>
              <w:spacing w:line="360" w:lineRule="auto"/>
              <w:ind w:left="0"/>
              <w:jc w:val="both"/>
              <w:rPr>
                <w:rFonts w:ascii="Arial" w:hAnsi="Arial" w:cs="Arial"/>
                <w:sz w:val="24"/>
                <w:szCs w:val="24"/>
              </w:rPr>
            </w:pPr>
          </w:p>
          <w:p w:rsidR="00965C26" w:rsidRDefault="00965C26" w:rsidP="005A3876">
            <w:pPr>
              <w:pStyle w:val="ListParagraph"/>
              <w:numPr>
                <w:ilvl w:val="0"/>
                <w:numId w:val="25"/>
              </w:numPr>
              <w:spacing w:line="360" w:lineRule="auto"/>
              <w:ind w:left="0" w:firstLine="0"/>
              <w:jc w:val="both"/>
              <w:rPr>
                <w:rFonts w:ascii="Arial" w:hAnsi="Arial" w:cs="Arial"/>
                <w:sz w:val="24"/>
                <w:szCs w:val="24"/>
              </w:rPr>
            </w:pPr>
            <w:r w:rsidRPr="00760D1E">
              <w:rPr>
                <w:rFonts w:ascii="Arial" w:hAnsi="Arial" w:cs="Arial"/>
                <w:sz w:val="24"/>
                <w:szCs w:val="24"/>
              </w:rPr>
              <w:t>Ms Angula argued that the third counterclaim did not prescribe</w:t>
            </w:r>
            <w:r>
              <w:t xml:space="preserve">. </w:t>
            </w:r>
            <w:r w:rsidRPr="00760D1E">
              <w:rPr>
                <w:rFonts w:ascii="Arial" w:hAnsi="Arial" w:cs="Arial"/>
                <w:sz w:val="24"/>
                <w:szCs w:val="24"/>
              </w:rPr>
              <w:t>Counsel submitted although prescription started running when the newspaper article was published on 24 April 2020</w:t>
            </w:r>
            <w:r w:rsidR="00380DB3">
              <w:rPr>
                <w:rFonts w:ascii="Arial" w:hAnsi="Arial" w:cs="Arial"/>
                <w:sz w:val="24"/>
                <w:szCs w:val="24"/>
              </w:rPr>
              <w:t>,</w:t>
            </w:r>
            <w:r w:rsidRPr="00760D1E">
              <w:rPr>
                <w:rFonts w:ascii="Arial" w:hAnsi="Arial" w:cs="Arial"/>
                <w:sz w:val="24"/>
                <w:szCs w:val="24"/>
              </w:rPr>
              <w:t xml:space="preserve"> the prescription was interrupted as a result of </w:t>
            </w:r>
            <w:r>
              <w:rPr>
                <w:rFonts w:ascii="Arial" w:hAnsi="Arial" w:cs="Arial"/>
                <w:sz w:val="24"/>
                <w:szCs w:val="24"/>
              </w:rPr>
              <w:t>t</w:t>
            </w:r>
            <w:r w:rsidRPr="00760D1E">
              <w:rPr>
                <w:rFonts w:ascii="Arial" w:hAnsi="Arial" w:cs="Arial"/>
                <w:sz w:val="24"/>
                <w:szCs w:val="24"/>
              </w:rPr>
              <w:t xml:space="preserve">he COVID-19 Regulation under Proclamation 16 of </w:t>
            </w:r>
            <w:r w:rsidRPr="00760D1E">
              <w:rPr>
                <w:rFonts w:ascii="Arial" w:hAnsi="Arial" w:cs="Arial"/>
                <w:sz w:val="24"/>
                <w:szCs w:val="24"/>
              </w:rPr>
              <w:lastRenderedPageBreak/>
              <w:t>2020, Suspension of Operation of Provisions of Certain Laws and Ancillary Matters Regulations’</w:t>
            </w:r>
            <w:r>
              <w:rPr>
                <w:rFonts w:ascii="Arial" w:hAnsi="Arial" w:cs="Arial"/>
                <w:sz w:val="24"/>
                <w:szCs w:val="24"/>
              </w:rPr>
              <w:t>. As a result of the aforementioned proclamation</w:t>
            </w:r>
            <w:r w:rsidR="00156C35">
              <w:rPr>
                <w:rFonts w:ascii="Arial" w:hAnsi="Arial" w:cs="Arial"/>
                <w:sz w:val="24"/>
                <w:szCs w:val="24"/>
              </w:rPr>
              <w:t xml:space="preserve">, the prescription period was extended to 5 May 2023, which was also the date on which the plaintiff filed his counterclaim and the same has, therefore, not </w:t>
            </w:r>
            <w:r w:rsidRPr="00760D1E">
              <w:rPr>
                <w:rFonts w:ascii="Arial" w:hAnsi="Arial" w:cs="Arial"/>
                <w:sz w:val="24"/>
                <w:szCs w:val="24"/>
              </w:rPr>
              <w:t>prescribe</w:t>
            </w:r>
            <w:r w:rsidR="005A3876">
              <w:rPr>
                <w:rFonts w:ascii="Arial" w:hAnsi="Arial" w:cs="Arial"/>
                <w:sz w:val="24"/>
                <w:szCs w:val="24"/>
              </w:rPr>
              <w:t>d</w:t>
            </w:r>
            <w:r w:rsidRPr="00760D1E">
              <w:rPr>
                <w:rFonts w:ascii="Arial" w:hAnsi="Arial" w:cs="Arial"/>
                <w:sz w:val="24"/>
                <w:szCs w:val="24"/>
              </w:rPr>
              <w:t>.</w:t>
            </w:r>
          </w:p>
          <w:p w:rsidR="00965C26" w:rsidRDefault="00965C26" w:rsidP="00965C26">
            <w:pPr>
              <w:pStyle w:val="ListParagraph"/>
              <w:spacing w:line="360" w:lineRule="auto"/>
              <w:ind w:left="0"/>
              <w:jc w:val="both"/>
              <w:rPr>
                <w:rFonts w:ascii="Arial" w:hAnsi="Arial" w:cs="Arial"/>
                <w:sz w:val="24"/>
                <w:szCs w:val="24"/>
              </w:rPr>
            </w:pPr>
          </w:p>
          <w:p w:rsidR="00965C26" w:rsidRDefault="00965C26" w:rsidP="00965C26">
            <w:pPr>
              <w:pStyle w:val="ListParagraph"/>
              <w:spacing w:line="360" w:lineRule="auto"/>
              <w:ind w:left="0"/>
              <w:jc w:val="both"/>
              <w:rPr>
                <w:rFonts w:ascii="Arial" w:hAnsi="Arial" w:cs="Arial"/>
                <w:i/>
                <w:sz w:val="24"/>
                <w:szCs w:val="24"/>
              </w:rPr>
            </w:pPr>
            <w:r w:rsidRPr="000736F3">
              <w:rPr>
                <w:rFonts w:ascii="Arial" w:hAnsi="Arial" w:cs="Arial"/>
                <w:i/>
                <w:sz w:val="24"/>
                <w:szCs w:val="24"/>
              </w:rPr>
              <w:t>On behalf of the plaintiff</w:t>
            </w:r>
          </w:p>
          <w:p w:rsidR="00965C26" w:rsidRPr="000736F3" w:rsidRDefault="00965C26" w:rsidP="00965C26">
            <w:pPr>
              <w:pStyle w:val="ListParagraph"/>
              <w:spacing w:line="360" w:lineRule="auto"/>
              <w:ind w:left="0"/>
              <w:jc w:val="both"/>
              <w:rPr>
                <w:rFonts w:ascii="Arial" w:hAnsi="Arial" w:cs="Arial"/>
                <w:i/>
                <w:sz w:val="24"/>
                <w:szCs w:val="24"/>
              </w:rPr>
            </w:pPr>
          </w:p>
          <w:p w:rsidR="00965C26" w:rsidRDefault="00965C26" w:rsidP="005A3876">
            <w:pPr>
              <w:pStyle w:val="ListParagraph"/>
              <w:numPr>
                <w:ilvl w:val="0"/>
                <w:numId w:val="25"/>
              </w:numPr>
              <w:spacing w:line="360" w:lineRule="auto"/>
              <w:ind w:left="0" w:firstLine="0"/>
              <w:jc w:val="both"/>
              <w:rPr>
                <w:rFonts w:ascii="Arial" w:hAnsi="Arial" w:cs="Arial"/>
                <w:sz w:val="24"/>
                <w:szCs w:val="24"/>
              </w:rPr>
            </w:pPr>
            <w:r>
              <w:rPr>
                <w:rFonts w:ascii="Arial" w:hAnsi="Arial" w:cs="Arial"/>
                <w:sz w:val="24"/>
                <w:szCs w:val="24"/>
              </w:rPr>
              <w:t xml:space="preserve">Mr Namandje submitted that the defendant's intended amendment </w:t>
            </w:r>
            <w:r w:rsidR="005A3876">
              <w:rPr>
                <w:rFonts w:ascii="Arial" w:hAnsi="Arial" w:cs="Arial"/>
                <w:sz w:val="24"/>
                <w:szCs w:val="24"/>
              </w:rPr>
              <w:t>would</w:t>
            </w:r>
            <w:r>
              <w:rPr>
                <w:rFonts w:ascii="Arial" w:hAnsi="Arial" w:cs="Arial"/>
                <w:sz w:val="24"/>
                <w:szCs w:val="24"/>
              </w:rPr>
              <w:t xml:space="preserve"> not involve the mere removal or correcting of certain paragraphs. In the current instance, the notice of amendment constitutes the counterclaim</w:t>
            </w:r>
            <w:r w:rsidR="0071022A">
              <w:rPr>
                <w:rFonts w:ascii="Arial" w:hAnsi="Arial" w:cs="Arial"/>
                <w:sz w:val="24"/>
                <w:szCs w:val="24"/>
              </w:rPr>
              <w:t>,</w:t>
            </w:r>
            <w:r>
              <w:rPr>
                <w:rFonts w:ascii="Arial" w:hAnsi="Arial" w:cs="Arial"/>
                <w:sz w:val="24"/>
                <w:szCs w:val="24"/>
              </w:rPr>
              <w:t xml:space="preserve"> as it is a complete substitution. </w:t>
            </w:r>
          </w:p>
          <w:p w:rsidR="005A3876" w:rsidRDefault="005A3876" w:rsidP="005A3876">
            <w:pPr>
              <w:pStyle w:val="ListParagraph"/>
              <w:spacing w:line="360" w:lineRule="auto"/>
              <w:ind w:left="0"/>
              <w:jc w:val="both"/>
              <w:rPr>
                <w:rFonts w:ascii="Arial" w:hAnsi="Arial" w:cs="Arial"/>
                <w:sz w:val="24"/>
                <w:szCs w:val="24"/>
              </w:rPr>
            </w:pPr>
          </w:p>
          <w:p w:rsidR="00965C26" w:rsidRDefault="00965C26" w:rsidP="005A3876">
            <w:pPr>
              <w:pStyle w:val="ListParagraph"/>
              <w:numPr>
                <w:ilvl w:val="0"/>
                <w:numId w:val="25"/>
              </w:numPr>
              <w:spacing w:line="360" w:lineRule="auto"/>
              <w:ind w:left="0" w:firstLine="0"/>
              <w:jc w:val="both"/>
              <w:rPr>
                <w:rFonts w:ascii="Arial" w:hAnsi="Arial" w:cs="Arial"/>
                <w:sz w:val="24"/>
                <w:szCs w:val="24"/>
              </w:rPr>
            </w:pPr>
            <w:r>
              <w:rPr>
                <w:rFonts w:ascii="Arial" w:hAnsi="Arial" w:cs="Arial"/>
                <w:sz w:val="24"/>
                <w:szCs w:val="24"/>
              </w:rPr>
              <w:t xml:space="preserve">Mr Namandje argued that the amendment would </w:t>
            </w:r>
            <w:r w:rsidR="0071022A">
              <w:rPr>
                <w:rFonts w:ascii="Arial" w:hAnsi="Arial" w:cs="Arial"/>
                <w:sz w:val="24"/>
                <w:szCs w:val="24"/>
              </w:rPr>
              <w:t xml:space="preserve">not </w:t>
            </w:r>
            <w:r>
              <w:rPr>
                <w:rFonts w:ascii="Arial" w:hAnsi="Arial" w:cs="Arial"/>
                <w:sz w:val="24"/>
                <w:szCs w:val="24"/>
              </w:rPr>
              <w:t>take the case any further for the following reasons:</w:t>
            </w:r>
          </w:p>
          <w:p w:rsidR="0071022A" w:rsidRPr="0071022A" w:rsidRDefault="0071022A" w:rsidP="0071022A">
            <w:pPr>
              <w:pStyle w:val="ListParagraph"/>
              <w:rPr>
                <w:rFonts w:ascii="Arial" w:hAnsi="Arial" w:cs="Arial"/>
                <w:sz w:val="24"/>
                <w:szCs w:val="24"/>
              </w:rPr>
            </w:pPr>
          </w:p>
          <w:p w:rsidR="00965C26" w:rsidRDefault="00156C35" w:rsidP="00965C26">
            <w:pPr>
              <w:pStyle w:val="ListParagraph"/>
              <w:numPr>
                <w:ilvl w:val="0"/>
                <w:numId w:val="22"/>
              </w:numPr>
              <w:spacing w:line="360" w:lineRule="auto"/>
              <w:jc w:val="both"/>
              <w:rPr>
                <w:rFonts w:ascii="Arial" w:hAnsi="Arial" w:cs="Arial"/>
                <w:sz w:val="24"/>
                <w:szCs w:val="24"/>
              </w:rPr>
            </w:pPr>
            <w:r>
              <w:rPr>
                <w:rFonts w:ascii="Arial" w:hAnsi="Arial" w:cs="Arial"/>
                <w:sz w:val="24"/>
                <w:szCs w:val="24"/>
              </w:rPr>
              <w:t>With respect to</w:t>
            </w:r>
            <w:r w:rsidR="00965C26">
              <w:rPr>
                <w:rFonts w:ascii="Arial" w:hAnsi="Arial" w:cs="Arial"/>
                <w:sz w:val="24"/>
                <w:szCs w:val="24"/>
              </w:rPr>
              <w:t xml:space="preserve"> claim one, the defendant pleads that the plaintiff repudiated the agreement. Although the defendant does not plead that he rejected the repudiation, he demands specific performance.</w:t>
            </w:r>
          </w:p>
          <w:p w:rsidR="00965C26" w:rsidRDefault="00965C26" w:rsidP="00965C26">
            <w:pPr>
              <w:pStyle w:val="ListParagraph"/>
              <w:numPr>
                <w:ilvl w:val="0"/>
                <w:numId w:val="22"/>
              </w:numPr>
              <w:spacing w:line="360" w:lineRule="auto"/>
              <w:jc w:val="both"/>
              <w:rPr>
                <w:rFonts w:ascii="Arial" w:hAnsi="Arial" w:cs="Arial"/>
                <w:sz w:val="24"/>
                <w:szCs w:val="24"/>
              </w:rPr>
            </w:pPr>
            <w:r w:rsidRPr="00764BA7">
              <w:rPr>
                <w:rFonts w:ascii="Arial" w:hAnsi="Arial" w:cs="Arial"/>
                <w:sz w:val="24"/>
                <w:szCs w:val="24"/>
              </w:rPr>
              <w:t xml:space="preserve">However, immediately thereafter, the defendant seeks </w:t>
            </w:r>
            <w:r>
              <w:rPr>
                <w:rFonts w:ascii="Arial" w:hAnsi="Arial" w:cs="Arial"/>
                <w:sz w:val="24"/>
                <w:szCs w:val="24"/>
              </w:rPr>
              <w:t xml:space="preserve">future </w:t>
            </w:r>
            <w:r w:rsidRPr="00764BA7">
              <w:rPr>
                <w:rFonts w:ascii="Arial" w:hAnsi="Arial" w:cs="Arial"/>
                <w:sz w:val="24"/>
                <w:szCs w:val="24"/>
              </w:rPr>
              <w:t xml:space="preserve">damages in claim two </w:t>
            </w:r>
            <w:r>
              <w:rPr>
                <w:rFonts w:ascii="Arial" w:hAnsi="Arial" w:cs="Arial"/>
                <w:sz w:val="24"/>
                <w:szCs w:val="24"/>
              </w:rPr>
              <w:t xml:space="preserve">as if he accepted the termination of the agreement </w:t>
            </w:r>
            <w:r w:rsidRPr="00764BA7">
              <w:rPr>
                <w:rFonts w:ascii="Arial" w:hAnsi="Arial" w:cs="Arial"/>
                <w:sz w:val="24"/>
                <w:szCs w:val="24"/>
              </w:rPr>
              <w:t xml:space="preserve">in claim one. The two claims cannot </w:t>
            </w:r>
            <w:r>
              <w:rPr>
                <w:rFonts w:ascii="Arial" w:hAnsi="Arial" w:cs="Arial"/>
                <w:sz w:val="24"/>
                <w:szCs w:val="24"/>
              </w:rPr>
              <w:t xml:space="preserve">coexist. According to Mr Namandje, claim two </w:t>
            </w:r>
            <w:r w:rsidRPr="00764BA7">
              <w:rPr>
                <w:rFonts w:ascii="Arial" w:hAnsi="Arial" w:cs="Arial"/>
                <w:sz w:val="24"/>
                <w:szCs w:val="24"/>
              </w:rPr>
              <w:t>can at most be conditional to claim one</w:t>
            </w:r>
            <w:r>
              <w:rPr>
                <w:rFonts w:ascii="Arial" w:hAnsi="Arial" w:cs="Arial"/>
                <w:sz w:val="24"/>
                <w:szCs w:val="24"/>
              </w:rPr>
              <w:t>,</w:t>
            </w:r>
            <w:r w:rsidRPr="00764BA7">
              <w:rPr>
                <w:rFonts w:ascii="Arial" w:hAnsi="Arial" w:cs="Arial"/>
                <w:sz w:val="24"/>
                <w:szCs w:val="24"/>
              </w:rPr>
              <w:t xml:space="preserve"> and if not</w:t>
            </w:r>
            <w:r>
              <w:rPr>
                <w:rFonts w:ascii="Arial" w:hAnsi="Arial" w:cs="Arial"/>
                <w:sz w:val="24"/>
                <w:szCs w:val="24"/>
              </w:rPr>
              <w:t>,</w:t>
            </w:r>
            <w:r w:rsidRPr="00764BA7">
              <w:rPr>
                <w:rFonts w:ascii="Arial" w:hAnsi="Arial" w:cs="Arial"/>
                <w:sz w:val="24"/>
                <w:szCs w:val="24"/>
              </w:rPr>
              <w:t xml:space="preserve"> then the defendant must choose which one of these claims to prosecute</w:t>
            </w:r>
            <w:r>
              <w:rPr>
                <w:rFonts w:ascii="Arial" w:hAnsi="Arial" w:cs="Arial"/>
                <w:sz w:val="24"/>
                <w:szCs w:val="24"/>
              </w:rPr>
              <w:t>.</w:t>
            </w:r>
          </w:p>
          <w:p w:rsidR="00965C26" w:rsidRDefault="00965C26" w:rsidP="00965C26">
            <w:pPr>
              <w:pStyle w:val="ListParagraph"/>
              <w:numPr>
                <w:ilvl w:val="0"/>
                <w:numId w:val="22"/>
              </w:numPr>
              <w:spacing w:line="360" w:lineRule="auto"/>
              <w:jc w:val="both"/>
              <w:rPr>
                <w:rFonts w:ascii="Arial" w:hAnsi="Arial" w:cs="Arial"/>
                <w:sz w:val="24"/>
                <w:szCs w:val="24"/>
              </w:rPr>
            </w:pPr>
            <w:r>
              <w:rPr>
                <w:rFonts w:ascii="Arial" w:hAnsi="Arial" w:cs="Arial"/>
                <w:sz w:val="24"/>
                <w:szCs w:val="24"/>
              </w:rPr>
              <w:t xml:space="preserve">In respect of the third </w:t>
            </w:r>
            <w:r w:rsidR="005A3876">
              <w:rPr>
                <w:rFonts w:ascii="Arial" w:hAnsi="Arial" w:cs="Arial"/>
                <w:sz w:val="24"/>
                <w:szCs w:val="24"/>
              </w:rPr>
              <w:t>claim</w:t>
            </w:r>
            <w:r>
              <w:rPr>
                <w:rFonts w:ascii="Arial" w:hAnsi="Arial" w:cs="Arial"/>
                <w:sz w:val="24"/>
                <w:szCs w:val="24"/>
              </w:rPr>
              <w:t xml:space="preserve">, Mr Namandje submitted that the defendant refers to an article published in a newspaper in which the plaintiff purportedly made some allegations and innuendos that defamed the defendant. However, the article is not attached to the intended amendment.  This, according to Mr Namandje, is a brand new claim as there was no reference to the alleged defamation in the original counterclaim. The alleged cause of action arose in 2020 already and has potentially prescribed. </w:t>
            </w:r>
            <w:r w:rsidR="00006D05">
              <w:rPr>
                <w:rFonts w:ascii="Arial" w:hAnsi="Arial" w:cs="Arial"/>
                <w:sz w:val="24"/>
                <w:szCs w:val="24"/>
              </w:rPr>
              <w:t>(The article was subsequently filed)</w:t>
            </w:r>
          </w:p>
          <w:p w:rsidR="00965C26" w:rsidRDefault="00965C26" w:rsidP="00965C26">
            <w:pPr>
              <w:pStyle w:val="ListParagraph"/>
              <w:spacing w:line="360" w:lineRule="auto"/>
              <w:jc w:val="both"/>
              <w:rPr>
                <w:rFonts w:ascii="Arial" w:hAnsi="Arial" w:cs="Arial"/>
                <w:sz w:val="24"/>
                <w:szCs w:val="24"/>
              </w:rPr>
            </w:pPr>
          </w:p>
          <w:p w:rsidR="00965C26"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hAnsi="Arial" w:cs="Arial"/>
                <w:sz w:val="24"/>
                <w:szCs w:val="24"/>
              </w:rPr>
              <w:t>In conclusion, Mr Namandje submitted that the amendment is bad in law and potentially excipiable and</w:t>
            </w:r>
            <w:r w:rsidR="005A3876">
              <w:rPr>
                <w:rFonts w:ascii="Arial" w:hAnsi="Arial" w:cs="Arial"/>
                <w:sz w:val="24"/>
                <w:szCs w:val="24"/>
              </w:rPr>
              <w:t xml:space="preserve"> has</w:t>
            </w:r>
            <w:r>
              <w:rPr>
                <w:rFonts w:ascii="Arial" w:hAnsi="Arial" w:cs="Arial"/>
                <w:sz w:val="24"/>
                <w:szCs w:val="24"/>
              </w:rPr>
              <w:t xml:space="preserve"> prescribed. </w:t>
            </w:r>
          </w:p>
          <w:p w:rsidR="00965C26" w:rsidRDefault="00965C26" w:rsidP="00965C26">
            <w:pPr>
              <w:pStyle w:val="ListParagraph"/>
              <w:spacing w:line="360" w:lineRule="auto"/>
              <w:ind w:left="0"/>
              <w:jc w:val="both"/>
              <w:rPr>
                <w:rFonts w:ascii="Arial" w:hAnsi="Arial" w:cs="Arial"/>
                <w:sz w:val="24"/>
                <w:szCs w:val="24"/>
              </w:rPr>
            </w:pPr>
          </w:p>
          <w:p w:rsidR="00965C26" w:rsidRDefault="00965C26" w:rsidP="00965C26">
            <w:pPr>
              <w:pStyle w:val="ListParagraph"/>
              <w:spacing w:line="360" w:lineRule="auto"/>
              <w:ind w:left="0"/>
              <w:jc w:val="both"/>
              <w:rPr>
                <w:rFonts w:ascii="Arial" w:hAnsi="Arial" w:cs="Arial"/>
                <w:sz w:val="24"/>
                <w:szCs w:val="24"/>
                <w:u w:val="single"/>
              </w:rPr>
            </w:pPr>
            <w:r>
              <w:rPr>
                <w:rFonts w:ascii="Arial" w:hAnsi="Arial" w:cs="Arial"/>
                <w:sz w:val="24"/>
                <w:szCs w:val="24"/>
                <w:u w:val="single"/>
              </w:rPr>
              <w:t>Applicable legal principles and the application thereof</w:t>
            </w:r>
          </w:p>
          <w:p w:rsidR="00965C26" w:rsidRPr="00A57955" w:rsidRDefault="00965C26" w:rsidP="00965C26">
            <w:pPr>
              <w:pStyle w:val="ListParagraph"/>
              <w:spacing w:line="360" w:lineRule="auto"/>
              <w:ind w:left="0"/>
              <w:jc w:val="both"/>
              <w:rPr>
                <w:rFonts w:ascii="Arial" w:hAnsi="Arial" w:cs="Arial"/>
                <w:sz w:val="24"/>
                <w:szCs w:val="24"/>
                <w:u w:val="single"/>
              </w:rPr>
            </w:pPr>
          </w:p>
          <w:p w:rsidR="00965C26"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hAnsi="Arial" w:cs="Arial"/>
                <w:sz w:val="24"/>
                <w:szCs w:val="24"/>
              </w:rPr>
              <w:lastRenderedPageBreak/>
              <w:t xml:space="preserve">Amendment of pleadings is regulated by rule 52 of the Rules of Court. </w:t>
            </w:r>
            <w:r w:rsidRPr="00E14F95">
              <w:rPr>
                <w:rFonts w:ascii="Arial" w:hAnsi="Arial" w:cs="Arial"/>
                <w:sz w:val="24"/>
                <w:szCs w:val="24"/>
              </w:rPr>
              <w:t>Rule 52(9) provides that:</w:t>
            </w:r>
          </w:p>
          <w:p w:rsidR="00965C26" w:rsidRPr="00E14F95" w:rsidRDefault="00965C26" w:rsidP="00965C26">
            <w:pPr>
              <w:pStyle w:val="ListParagraph"/>
              <w:spacing w:line="360" w:lineRule="auto"/>
              <w:ind w:left="0"/>
              <w:jc w:val="both"/>
              <w:rPr>
                <w:rFonts w:ascii="Arial" w:hAnsi="Arial" w:cs="Arial"/>
                <w:sz w:val="24"/>
                <w:szCs w:val="24"/>
              </w:rPr>
            </w:pPr>
          </w:p>
          <w:p w:rsidR="00965C26" w:rsidRDefault="00965C26" w:rsidP="00965C26">
            <w:pPr>
              <w:spacing w:line="360" w:lineRule="auto"/>
              <w:jc w:val="both"/>
              <w:rPr>
                <w:rFonts w:ascii="Arial" w:hAnsi="Arial" w:cs="Arial"/>
              </w:rPr>
            </w:pPr>
            <w:r w:rsidRPr="00042F4A">
              <w:rPr>
                <w:rFonts w:ascii="Arial" w:hAnsi="Arial" w:cs="Arial"/>
                <w:sz w:val="24"/>
                <w:szCs w:val="24"/>
              </w:rPr>
              <w:tab/>
            </w:r>
            <w:r w:rsidRPr="00042F4A">
              <w:rPr>
                <w:rFonts w:ascii="Arial" w:hAnsi="Arial" w:cs="Arial"/>
              </w:rPr>
              <w:t>‘The</w:t>
            </w:r>
            <w:r w:rsidRPr="004C45AA">
              <w:rPr>
                <w:rFonts w:ascii="Arial" w:hAnsi="Arial" w:cs="Arial"/>
              </w:rPr>
              <w:t xml:space="preserve"> court </w:t>
            </w:r>
            <w:r w:rsidRPr="004C45AA">
              <w:rPr>
                <w:rFonts w:ascii="Arial" w:hAnsi="Arial" w:cs="Arial"/>
                <w:u w:val="single"/>
              </w:rPr>
              <w:t>may</w:t>
            </w:r>
            <w:r w:rsidRPr="004C45AA">
              <w:rPr>
                <w:rFonts w:ascii="Arial" w:hAnsi="Arial" w:cs="Arial"/>
              </w:rPr>
              <w:t xml:space="preserve"> during the hearing at any stage before judgment, grant leave to amend a pleading or document on such terms as to costs or otherwise as the court considers suitable or proper.’ (Emphasis added).</w:t>
            </w:r>
          </w:p>
          <w:p w:rsidR="00965C26" w:rsidRDefault="00965C26" w:rsidP="00965C26">
            <w:pPr>
              <w:spacing w:line="360" w:lineRule="auto"/>
              <w:jc w:val="both"/>
              <w:rPr>
                <w:rFonts w:ascii="Arial" w:hAnsi="Arial" w:cs="Arial"/>
              </w:rPr>
            </w:pPr>
          </w:p>
          <w:p w:rsidR="00965C26" w:rsidRPr="00A06A27" w:rsidRDefault="00965C26" w:rsidP="005A3876">
            <w:pPr>
              <w:pStyle w:val="ListParagraph"/>
              <w:numPr>
                <w:ilvl w:val="0"/>
                <w:numId w:val="26"/>
              </w:numPr>
              <w:spacing w:line="360" w:lineRule="auto"/>
              <w:ind w:left="0" w:firstLine="0"/>
              <w:jc w:val="both"/>
              <w:rPr>
                <w:rFonts w:ascii="Arial" w:hAnsi="Arial" w:cs="Arial"/>
                <w:color w:val="000000"/>
                <w:sz w:val="24"/>
                <w:szCs w:val="24"/>
              </w:rPr>
            </w:pPr>
            <w:r w:rsidRPr="00A06A27">
              <w:rPr>
                <w:rFonts w:ascii="Arial" w:hAnsi="Arial" w:cs="Arial"/>
                <w:color w:val="000000"/>
                <w:sz w:val="24"/>
                <w:szCs w:val="24"/>
              </w:rPr>
              <w:t xml:space="preserve">The </w:t>
            </w:r>
            <w:r w:rsidRPr="00A06A27">
              <w:rPr>
                <w:rFonts w:ascii="Arial" w:hAnsi="Arial" w:cs="Arial"/>
                <w:i/>
                <w:color w:val="000000"/>
                <w:sz w:val="24"/>
                <w:szCs w:val="24"/>
              </w:rPr>
              <w:t xml:space="preserve">locus classicus </w:t>
            </w:r>
            <w:r w:rsidRPr="00A06A27">
              <w:rPr>
                <w:rFonts w:ascii="Arial" w:hAnsi="Arial" w:cs="Arial"/>
                <w:color w:val="000000"/>
                <w:sz w:val="24"/>
                <w:szCs w:val="24"/>
              </w:rPr>
              <w:t xml:space="preserve">judgment of the Full Bench of this court in </w:t>
            </w:r>
            <w:r w:rsidRPr="00A06A27">
              <w:rPr>
                <w:rFonts w:ascii="Arial" w:hAnsi="Arial" w:cs="Arial"/>
                <w:i/>
                <w:color w:val="000000"/>
                <w:sz w:val="24"/>
                <w:szCs w:val="24"/>
              </w:rPr>
              <w:t>IA Bell Equipment Company (Namibia) (Pty) Ltd v Roadstone Quarries CC.</w:t>
            </w:r>
            <w:r w:rsidRPr="00E6707E">
              <w:rPr>
                <w:rStyle w:val="FootnoteReference"/>
                <w:i/>
                <w:color w:val="000000"/>
              </w:rPr>
              <w:footnoteReference w:id="1"/>
            </w:r>
            <w:r w:rsidRPr="00A06A27">
              <w:rPr>
                <w:rFonts w:ascii="Arial" w:hAnsi="Arial" w:cs="Arial"/>
                <w:i/>
                <w:color w:val="000000"/>
                <w:sz w:val="24"/>
                <w:szCs w:val="24"/>
              </w:rPr>
              <w:t xml:space="preserve"> </w:t>
            </w:r>
            <w:r w:rsidRPr="00A06A27">
              <w:rPr>
                <w:rFonts w:ascii="Arial" w:hAnsi="Arial" w:cs="Arial"/>
                <w:color w:val="000000"/>
                <w:sz w:val="24"/>
                <w:szCs w:val="24"/>
              </w:rPr>
              <w:t xml:space="preserve">In the </w:t>
            </w:r>
            <w:r w:rsidRPr="00A06A27">
              <w:rPr>
                <w:rFonts w:ascii="Arial" w:hAnsi="Arial" w:cs="Arial"/>
                <w:i/>
                <w:color w:val="000000"/>
                <w:sz w:val="24"/>
                <w:szCs w:val="24"/>
              </w:rPr>
              <w:t>IA Bell</w:t>
            </w:r>
            <w:r w:rsidRPr="00A06A27">
              <w:rPr>
                <w:rFonts w:ascii="Arial" w:hAnsi="Arial" w:cs="Arial"/>
                <w:color w:val="000000"/>
                <w:sz w:val="24"/>
                <w:szCs w:val="24"/>
              </w:rPr>
              <w:t xml:space="preserve"> matter</w:t>
            </w:r>
            <w:r>
              <w:rPr>
                <w:rFonts w:ascii="Arial" w:hAnsi="Arial" w:cs="Arial"/>
                <w:color w:val="000000"/>
                <w:sz w:val="24"/>
                <w:szCs w:val="24"/>
              </w:rPr>
              <w:t>,</w:t>
            </w:r>
            <w:r w:rsidRPr="00A06A27">
              <w:rPr>
                <w:rFonts w:ascii="Arial" w:hAnsi="Arial" w:cs="Arial"/>
                <w:color w:val="000000"/>
                <w:sz w:val="24"/>
                <w:szCs w:val="24"/>
              </w:rPr>
              <w:t xml:space="preserve"> the court set out the main principles governing amendments. However, in the recent judgment of the Supreme Court in </w:t>
            </w:r>
            <w:r w:rsidRPr="00A06A27">
              <w:rPr>
                <w:rFonts w:ascii="Arial" w:hAnsi="Arial" w:cs="Arial"/>
                <w:i/>
                <w:color w:val="000000"/>
                <w:sz w:val="24"/>
                <w:szCs w:val="24"/>
              </w:rPr>
              <w:t>Windhoek Municipal Council v P</w:t>
            </w:r>
            <w:r w:rsidR="0071022A">
              <w:rPr>
                <w:rFonts w:ascii="Arial" w:hAnsi="Arial" w:cs="Arial"/>
                <w:i/>
                <w:color w:val="000000"/>
                <w:sz w:val="24"/>
                <w:szCs w:val="24"/>
              </w:rPr>
              <w:t>i</w:t>
            </w:r>
            <w:r w:rsidRPr="00A06A27">
              <w:rPr>
                <w:rFonts w:ascii="Arial" w:hAnsi="Arial" w:cs="Arial"/>
                <w:i/>
                <w:color w:val="000000"/>
                <w:sz w:val="24"/>
                <w:szCs w:val="24"/>
              </w:rPr>
              <w:t xml:space="preserve">oneerspark Dam Investment </w:t>
            </w:r>
            <w:r w:rsidRPr="00A06A27">
              <w:rPr>
                <w:rFonts w:ascii="Arial" w:hAnsi="Arial" w:cs="Arial"/>
                <w:color w:val="000000"/>
                <w:sz w:val="24"/>
                <w:szCs w:val="24"/>
              </w:rPr>
              <w:t>CC</w:t>
            </w:r>
            <w:r>
              <w:rPr>
                <w:rFonts w:ascii="Arial" w:hAnsi="Arial" w:cs="Arial"/>
                <w:color w:val="000000"/>
                <w:sz w:val="24"/>
                <w:szCs w:val="24"/>
              </w:rPr>
              <w:t>,</w:t>
            </w:r>
            <w:r w:rsidR="0071022A">
              <w:rPr>
                <w:rStyle w:val="FootnoteReference"/>
                <w:rFonts w:ascii="Arial" w:hAnsi="Arial" w:cs="Arial"/>
                <w:color w:val="000000"/>
                <w:sz w:val="24"/>
                <w:szCs w:val="24"/>
              </w:rPr>
              <w:footnoteReference w:id="2"/>
            </w:r>
            <w:r w:rsidRPr="00A06A27">
              <w:rPr>
                <w:rFonts w:ascii="Arial" w:hAnsi="Arial" w:cs="Arial"/>
                <w:color w:val="000000"/>
                <w:sz w:val="24"/>
                <w:szCs w:val="24"/>
              </w:rPr>
              <w:t xml:space="preserve"> the court held as follows: </w:t>
            </w:r>
          </w:p>
          <w:p w:rsidR="00965C26" w:rsidRPr="00E6707E" w:rsidRDefault="00965C26" w:rsidP="00965C26">
            <w:pPr>
              <w:spacing w:line="360" w:lineRule="auto"/>
              <w:jc w:val="both"/>
              <w:rPr>
                <w:rFonts w:ascii="Arial" w:hAnsi="Arial" w:cs="Arial"/>
                <w:color w:val="000000"/>
                <w:sz w:val="24"/>
                <w:szCs w:val="24"/>
              </w:rPr>
            </w:pPr>
          </w:p>
          <w:p w:rsidR="00965C26" w:rsidRPr="00E6707E" w:rsidRDefault="00965C26" w:rsidP="00965C26">
            <w:pPr>
              <w:pStyle w:val="NoSpacing"/>
              <w:spacing w:line="360" w:lineRule="auto"/>
              <w:ind w:firstLine="720"/>
              <w:jc w:val="both"/>
              <w:rPr>
                <w:rFonts w:ascii="Arial" w:hAnsi="Arial" w:cs="Arial"/>
                <w:color w:val="000000"/>
              </w:rPr>
            </w:pPr>
            <w:r w:rsidRPr="00E6707E">
              <w:rPr>
                <w:rFonts w:ascii="Arial" w:hAnsi="Arial" w:cs="Arial"/>
                <w:color w:val="000000"/>
              </w:rPr>
              <w:t>‘[33]</w:t>
            </w:r>
            <w:r w:rsidRPr="00E6707E">
              <w:rPr>
                <w:rFonts w:ascii="Arial" w:hAnsi="Arial" w:cs="Arial"/>
                <w:color w:val="000000"/>
              </w:rPr>
              <w:tab/>
              <w:t xml:space="preserve">Rule 52 of the </w:t>
            </w:r>
            <w:r w:rsidR="00156C35">
              <w:rPr>
                <w:rFonts w:ascii="Arial" w:hAnsi="Arial" w:cs="Arial"/>
                <w:color w:val="000000"/>
              </w:rPr>
              <w:t>Rules</w:t>
            </w:r>
            <w:r w:rsidRPr="00E6707E">
              <w:rPr>
                <w:rFonts w:ascii="Arial" w:hAnsi="Arial" w:cs="Arial"/>
                <w:color w:val="000000"/>
              </w:rPr>
              <w:t xml:space="preserve"> of the High Court governs the amendment of pleadings.</w:t>
            </w:r>
          </w:p>
          <w:p w:rsidR="00965C26" w:rsidRPr="00E6707E" w:rsidRDefault="00965C26" w:rsidP="00965C26">
            <w:pPr>
              <w:pStyle w:val="NoSpacing"/>
              <w:spacing w:line="360" w:lineRule="auto"/>
              <w:jc w:val="both"/>
              <w:rPr>
                <w:rFonts w:ascii="Arial" w:hAnsi="Arial" w:cs="Arial"/>
                <w:color w:val="000000"/>
              </w:rPr>
            </w:pPr>
            <w:r w:rsidRPr="00E6707E">
              <w:rPr>
                <w:rFonts w:ascii="Arial" w:hAnsi="Arial" w:cs="Arial"/>
                <w:color w:val="000000"/>
              </w:rPr>
              <w:t>The actual procedure to be followed in doing so does not substantially depart from that previously provided for in rule 28 of the erstwhile rules. A party desiring to amend a pleading must give notice of the intention to do so. The other parties to the litigation are afforded the opportunity to object within ten days. In that event the party seeking an amendment is required to bring an application to amend within ten days (or such period as is directed by a managing judge in judicial case management (JCM).</w:t>
            </w:r>
          </w:p>
          <w:p w:rsidR="00965C26" w:rsidRPr="00E6707E" w:rsidRDefault="00965C26" w:rsidP="00965C26">
            <w:pPr>
              <w:pStyle w:val="NoSpacing"/>
              <w:spacing w:line="360" w:lineRule="auto"/>
              <w:ind w:left="720"/>
              <w:jc w:val="both"/>
              <w:rPr>
                <w:rFonts w:ascii="Arial" w:hAnsi="Arial" w:cs="Arial"/>
                <w:color w:val="000000"/>
              </w:rPr>
            </w:pPr>
          </w:p>
          <w:p w:rsidR="00965C26" w:rsidRPr="00E6707E" w:rsidRDefault="00965C26" w:rsidP="00965C26">
            <w:pPr>
              <w:pStyle w:val="NoSpacing"/>
              <w:spacing w:line="360" w:lineRule="auto"/>
              <w:jc w:val="both"/>
              <w:rPr>
                <w:rFonts w:ascii="Arial" w:hAnsi="Arial" w:cs="Arial"/>
                <w:color w:val="000000"/>
              </w:rPr>
            </w:pPr>
            <w:r w:rsidRPr="00E6707E">
              <w:rPr>
                <w:rFonts w:ascii="Arial" w:hAnsi="Arial" w:cs="Arial"/>
                <w:color w:val="000000"/>
              </w:rPr>
              <w:t>[34]</w:t>
            </w:r>
            <w:r w:rsidRPr="00E6707E">
              <w:rPr>
                <w:rFonts w:ascii="Arial" w:hAnsi="Arial" w:cs="Arial"/>
                <w:color w:val="000000"/>
              </w:rPr>
              <w:tab/>
              <w:t>A court may grant an amendment at any stage of the proceedings</w:t>
            </w:r>
            <w:r w:rsidRPr="00E6707E">
              <w:rPr>
                <w:rStyle w:val="FootnoteReference"/>
                <w:color w:val="000000"/>
              </w:rPr>
              <w:footnoteReference w:id="3"/>
            </w:r>
            <w:r w:rsidRPr="00E6707E">
              <w:rPr>
                <w:rFonts w:ascii="Arial" w:hAnsi="Arial" w:cs="Arial"/>
                <w:color w:val="000000"/>
              </w:rPr>
              <w:t xml:space="preserve"> on terms considered suitable or proper by the court. </w:t>
            </w:r>
          </w:p>
          <w:p w:rsidR="00965C26" w:rsidRPr="00E6707E" w:rsidRDefault="00965C26" w:rsidP="00965C26">
            <w:pPr>
              <w:pStyle w:val="NoSpacing"/>
              <w:spacing w:line="360" w:lineRule="auto"/>
              <w:ind w:left="720"/>
              <w:jc w:val="both"/>
              <w:rPr>
                <w:rFonts w:ascii="Arial" w:hAnsi="Arial" w:cs="Arial"/>
                <w:color w:val="000000"/>
              </w:rPr>
            </w:pPr>
          </w:p>
          <w:p w:rsidR="00965C26" w:rsidRPr="00E6707E" w:rsidRDefault="00965C26" w:rsidP="00965C26">
            <w:pPr>
              <w:pStyle w:val="NoSpacing"/>
              <w:spacing w:line="360" w:lineRule="auto"/>
              <w:jc w:val="both"/>
              <w:rPr>
                <w:rFonts w:ascii="Arial" w:hAnsi="Arial" w:cs="Arial"/>
                <w:color w:val="000000"/>
              </w:rPr>
            </w:pPr>
            <w:r w:rsidRPr="00E6707E">
              <w:rPr>
                <w:rFonts w:ascii="Arial" w:hAnsi="Arial" w:cs="Arial"/>
                <w:color w:val="000000"/>
              </w:rPr>
              <w:t>[35]</w:t>
            </w:r>
            <w:r w:rsidRPr="00E6707E">
              <w:rPr>
                <w:rFonts w:ascii="Arial" w:hAnsi="Arial" w:cs="Arial"/>
                <w:color w:val="000000"/>
              </w:rPr>
              <w:tab/>
              <w:t xml:space="preserve">What has however changed since the advent of JCM is that the previously liberal attitude to granting amendments has been found by a Full Bench of the High Court in </w:t>
            </w:r>
            <w:r w:rsidRPr="00E6707E">
              <w:rPr>
                <w:rFonts w:ascii="Arial" w:hAnsi="Arial" w:cs="Arial"/>
                <w:i/>
                <w:color w:val="000000"/>
              </w:rPr>
              <w:t xml:space="preserve">IA Bell Equipment </w:t>
            </w:r>
            <w:r w:rsidRPr="00760ACD">
              <w:rPr>
                <w:rFonts w:ascii="Arial" w:hAnsi="Arial" w:cs="Arial"/>
                <w:i/>
                <w:color w:val="000000"/>
              </w:rPr>
              <w:t>Company (Namibia) (Pty) Ltd v Roadstone Quarries CC</w:t>
            </w:r>
            <w:r w:rsidRPr="00E6707E">
              <w:rPr>
                <w:rStyle w:val="FootnoteReference"/>
                <w:color w:val="000000"/>
              </w:rPr>
              <w:footnoteReference w:id="4"/>
            </w:r>
            <w:r w:rsidRPr="00E6707E">
              <w:rPr>
                <w:rFonts w:ascii="Arial" w:hAnsi="Arial" w:cs="Arial"/>
                <w:color w:val="000000"/>
                <w:sz w:val="24"/>
                <w:szCs w:val="24"/>
              </w:rPr>
              <w:t xml:space="preserve"> </w:t>
            </w:r>
            <w:r w:rsidRPr="00760ACD">
              <w:rPr>
                <w:rFonts w:ascii="Arial" w:hAnsi="Arial" w:cs="Arial"/>
                <w:color w:val="000000"/>
              </w:rPr>
              <w:t>to no longer apply because it is inimical to the ethos of JCM, with the emphasis</w:t>
            </w:r>
            <w:r w:rsidRPr="00E6707E">
              <w:rPr>
                <w:rFonts w:ascii="Arial" w:hAnsi="Arial" w:cs="Arial"/>
                <w:color w:val="000000"/>
                <w:sz w:val="24"/>
                <w:szCs w:val="24"/>
              </w:rPr>
              <w:t xml:space="preserve"> </w:t>
            </w:r>
            <w:r w:rsidRPr="00E6707E">
              <w:rPr>
                <w:rFonts w:ascii="Arial" w:hAnsi="Arial" w:cs="Arial"/>
                <w:color w:val="000000"/>
              </w:rPr>
              <w:t>shifting from ‘doing substantial justice between parties’ to the ‘interests of the administration of justice overall’ – of which doing justice between the parties is but one consideration. We endorse this approach except to add that ‘doing substantial justice between the parties’</w:t>
            </w:r>
            <w:r>
              <w:rPr>
                <w:rFonts w:ascii="Arial" w:hAnsi="Arial" w:cs="Arial"/>
                <w:color w:val="000000"/>
              </w:rPr>
              <w:t>,</w:t>
            </w:r>
            <w:r w:rsidRPr="00E6707E">
              <w:rPr>
                <w:rFonts w:ascii="Arial" w:hAnsi="Arial" w:cs="Arial"/>
                <w:color w:val="000000"/>
              </w:rPr>
              <w:t xml:space="preserve"> although no longer being the primary consideration, remains of considerable importance but is now to be considered within the context of the objectives of JCM, with late amendments being subjected to greater scrutiny than before because of their deleterious effect upon the administration of justice.</w:t>
            </w:r>
            <w:r>
              <w:rPr>
                <w:rFonts w:ascii="Arial" w:hAnsi="Arial" w:cs="Arial"/>
                <w:color w:val="000000"/>
              </w:rPr>
              <w:t>’</w:t>
            </w:r>
            <w:r w:rsidRPr="00E6707E">
              <w:rPr>
                <w:rFonts w:ascii="Arial" w:hAnsi="Arial" w:cs="Arial"/>
                <w:color w:val="000000"/>
              </w:rPr>
              <w:t xml:space="preserve"> </w:t>
            </w:r>
          </w:p>
          <w:p w:rsidR="00965C26" w:rsidRPr="00E6707E" w:rsidRDefault="00965C26" w:rsidP="00965C26">
            <w:pPr>
              <w:pStyle w:val="NoSpacing"/>
              <w:spacing w:line="360" w:lineRule="auto"/>
              <w:jc w:val="both"/>
              <w:rPr>
                <w:rFonts w:ascii="Arial" w:hAnsi="Arial" w:cs="Arial"/>
                <w:color w:val="000000"/>
              </w:rPr>
            </w:pPr>
          </w:p>
          <w:p w:rsidR="00965C26" w:rsidRPr="00E6707E" w:rsidRDefault="00965C26" w:rsidP="00965C26">
            <w:pPr>
              <w:pStyle w:val="NoSpacing"/>
              <w:spacing w:line="360" w:lineRule="auto"/>
              <w:jc w:val="both"/>
              <w:rPr>
                <w:rFonts w:ascii="Arial" w:hAnsi="Arial" w:cs="Arial"/>
                <w:color w:val="000000"/>
              </w:rPr>
            </w:pPr>
            <w:r w:rsidRPr="00E6707E">
              <w:rPr>
                <w:rFonts w:ascii="Arial" w:hAnsi="Arial" w:cs="Arial"/>
                <w:color w:val="000000"/>
              </w:rPr>
              <w:t>[36]</w:t>
            </w:r>
            <w:r w:rsidRPr="00E6707E">
              <w:rPr>
                <w:rFonts w:ascii="Arial" w:hAnsi="Arial" w:cs="Arial"/>
                <w:color w:val="000000"/>
              </w:rPr>
              <w:tab/>
              <w:t xml:space="preserve">The Judge President, writing for the Full Court in </w:t>
            </w:r>
            <w:r w:rsidRPr="00E6707E">
              <w:rPr>
                <w:rFonts w:ascii="Arial" w:hAnsi="Arial" w:cs="Arial"/>
                <w:i/>
                <w:color w:val="000000"/>
              </w:rPr>
              <w:t>IA Bell</w:t>
            </w:r>
            <w:r w:rsidRPr="00E6707E">
              <w:rPr>
                <w:rFonts w:ascii="Arial" w:hAnsi="Arial" w:cs="Arial"/>
                <w:color w:val="000000"/>
              </w:rPr>
              <w:t xml:space="preserve">, reached this conclusion after considering recent decisions of the High Court on the issue since the introduction of JCM in Namibia in 2011 and after </w:t>
            </w:r>
            <w:r w:rsidRPr="00E6707E">
              <w:rPr>
                <w:rFonts w:ascii="Arial" w:hAnsi="Arial" w:cs="Arial"/>
                <w:color w:val="000000"/>
              </w:rPr>
              <w:lastRenderedPageBreak/>
              <w:t xml:space="preserve">an exhaustive survey of the approach followed in Australia after that jurisdiction introduced JCM. The Full </w:t>
            </w:r>
            <w:r w:rsidR="00B76012" w:rsidRPr="00006D05">
              <w:rPr>
                <w:rFonts w:ascii="Arial" w:hAnsi="Arial" w:cs="Arial"/>
                <w:color w:val="000000"/>
              </w:rPr>
              <w:t>Bench</w:t>
            </w:r>
            <w:r w:rsidR="00B76012">
              <w:rPr>
                <w:rFonts w:ascii="Arial" w:hAnsi="Arial" w:cs="Arial"/>
                <w:color w:val="000000"/>
              </w:rPr>
              <w:t xml:space="preserve"> </w:t>
            </w:r>
            <w:r w:rsidRPr="00E6707E">
              <w:rPr>
                <w:rFonts w:ascii="Arial" w:hAnsi="Arial" w:cs="Arial"/>
                <w:color w:val="000000"/>
              </w:rPr>
              <w:t>stressed that a new approach to amendments under JCM was underpinned by the following overriding objectives of JCM:</w:t>
            </w:r>
          </w:p>
          <w:p w:rsidR="00965C26" w:rsidRPr="00E6707E" w:rsidRDefault="00965C26" w:rsidP="00965C26">
            <w:pPr>
              <w:pStyle w:val="NoSpacing"/>
              <w:spacing w:line="360" w:lineRule="auto"/>
              <w:jc w:val="both"/>
              <w:rPr>
                <w:rFonts w:ascii="Arial" w:hAnsi="Arial" w:cs="Arial"/>
                <w:color w:val="000000"/>
              </w:rPr>
            </w:pPr>
          </w:p>
          <w:p w:rsidR="00965C26" w:rsidRPr="00E6707E" w:rsidRDefault="00965C26" w:rsidP="00965C26">
            <w:pPr>
              <w:pStyle w:val="NoSpacing"/>
              <w:spacing w:line="360" w:lineRule="auto"/>
              <w:ind w:firstLine="720"/>
              <w:jc w:val="both"/>
              <w:rPr>
                <w:rFonts w:ascii="Arial" w:hAnsi="Arial" w:cs="Arial"/>
                <w:color w:val="000000"/>
              </w:rPr>
            </w:pPr>
            <w:r w:rsidRPr="00E6707E">
              <w:rPr>
                <w:rFonts w:ascii="Arial" w:hAnsi="Arial" w:cs="Arial"/>
                <w:color w:val="000000"/>
              </w:rPr>
              <w:t>‘(a)</w:t>
            </w:r>
            <w:r w:rsidRPr="00E6707E">
              <w:rPr>
                <w:rFonts w:ascii="Arial" w:hAnsi="Arial" w:cs="Arial"/>
                <w:color w:val="000000"/>
              </w:rPr>
              <w:tab/>
              <w:t xml:space="preserve">to ensure the speedy disposal of any action or application, </w:t>
            </w:r>
          </w:p>
          <w:p w:rsidR="00965C26" w:rsidRPr="00E6707E" w:rsidRDefault="00965C26" w:rsidP="00B76012">
            <w:pPr>
              <w:pStyle w:val="NoSpacing"/>
              <w:spacing w:line="360" w:lineRule="auto"/>
              <w:jc w:val="both"/>
              <w:rPr>
                <w:rFonts w:ascii="Arial" w:hAnsi="Arial" w:cs="Arial"/>
                <w:color w:val="000000"/>
              </w:rPr>
            </w:pPr>
            <w:r w:rsidRPr="00E6707E">
              <w:rPr>
                <w:rFonts w:ascii="Arial" w:hAnsi="Arial" w:cs="Arial"/>
                <w:color w:val="000000"/>
              </w:rPr>
              <w:t>(b)</w:t>
            </w:r>
            <w:r w:rsidRPr="00E6707E">
              <w:rPr>
                <w:rFonts w:ascii="Arial" w:hAnsi="Arial" w:cs="Arial"/>
                <w:color w:val="000000"/>
              </w:rPr>
              <w:tab/>
              <w:t xml:space="preserve">to promote the prompt and economic disposal of any action or application, </w:t>
            </w:r>
          </w:p>
          <w:p w:rsidR="00965C26" w:rsidRPr="00E6707E" w:rsidRDefault="00965C26" w:rsidP="00B76012">
            <w:pPr>
              <w:pStyle w:val="NoSpacing"/>
              <w:spacing w:line="360" w:lineRule="auto"/>
              <w:jc w:val="both"/>
              <w:rPr>
                <w:rFonts w:ascii="Arial" w:hAnsi="Arial" w:cs="Arial"/>
                <w:color w:val="000000"/>
              </w:rPr>
            </w:pPr>
            <w:r w:rsidRPr="00E6707E">
              <w:rPr>
                <w:rFonts w:ascii="Arial" w:hAnsi="Arial" w:cs="Arial"/>
                <w:color w:val="000000"/>
              </w:rPr>
              <w:t>(c)</w:t>
            </w:r>
            <w:r w:rsidRPr="00E6707E">
              <w:rPr>
                <w:rFonts w:ascii="Arial" w:hAnsi="Arial" w:cs="Arial"/>
                <w:color w:val="000000"/>
              </w:rPr>
              <w:tab/>
              <w:t xml:space="preserve">to use efficiently the available judicial, legal and administrative resources, </w:t>
            </w:r>
          </w:p>
          <w:p w:rsidR="00965C26" w:rsidRPr="00E6707E" w:rsidRDefault="00965C26" w:rsidP="00B76012">
            <w:pPr>
              <w:pStyle w:val="NoSpacing"/>
              <w:spacing w:line="360" w:lineRule="auto"/>
              <w:jc w:val="both"/>
              <w:rPr>
                <w:rFonts w:ascii="Arial" w:hAnsi="Arial" w:cs="Arial"/>
                <w:color w:val="000000"/>
              </w:rPr>
            </w:pPr>
            <w:r w:rsidRPr="00E6707E">
              <w:rPr>
                <w:rFonts w:ascii="Arial" w:hAnsi="Arial" w:cs="Arial"/>
                <w:color w:val="000000"/>
              </w:rPr>
              <w:t>(d)</w:t>
            </w:r>
            <w:r w:rsidRPr="00E6707E">
              <w:rPr>
                <w:rFonts w:ascii="Arial" w:hAnsi="Arial" w:cs="Arial"/>
                <w:color w:val="000000"/>
              </w:rPr>
              <w:tab/>
              <w:t>to identify issues in dispute at an early stage,</w:t>
            </w:r>
          </w:p>
          <w:p w:rsidR="00965C26" w:rsidRPr="00E6707E" w:rsidRDefault="00965C26" w:rsidP="00B76012">
            <w:pPr>
              <w:pStyle w:val="NoSpacing"/>
              <w:spacing w:line="360" w:lineRule="auto"/>
              <w:jc w:val="both"/>
              <w:rPr>
                <w:rFonts w:ascii="Arial" w:hAnsi="Arial" w:cs="Arial"/>
                <w:color w:val="000000"/>
              </w:rPr>
            </w:pPr>
            <w:r w:rsidRPr="00E6707E">
              <w:rPr>
                <w:rFonts w:ascii="Arial" w:hAnsi="Arial" w:cs="Arial"/>
                <w:color w:val="000000"/>
              </w:rPr>
              <w:t>(e)</w:t>
            </w:r>
            <w:r w:rsidRPr="00E6707E">
              <w:rPr>
                <w:rFonts w:ascii="Arial" w:hAnsi="Arial" w:cs="Arial"/>
                <w:color w:val="000000"/>
              </w:rPr>
              <w:tab/>
              <w:t xml:space="preserve">to curtail proceedings, and </w:t>
            </w:r>
          </w:p>
          <w:p w:rsidR="00965C26" w:rsidRPr="00E6707E" w:rsidRDefault="00965C26" w:rsidP="00B76012">
            <w:pPr>
              <w:pStyle w:val="NoSpacing"/>
              <w:spacing w:line="360" w:lineRule="auto"/>
              <w:jc w:val="both"/>
              <w:rPr>
                <w:rFonts w:ascii="Arial" w:hAnsi="Arial" w:cs="Arial"/>
                <w:color w:val="000000"/>
              </w:rPr>
            </w:pPr>
            <w:r w:rsidRPr="00E6707E">
              <w:rPr>
                <w:rFonts w:ascii="Arial" w:hAnsi="Arial" w:cs="Arial"/>
                <w:color w:val="000000"/>
              </w:rPr>
              <w:t xml:space="preserve">(f) </w:t>
            </w:r>
            <w:r w:rsidRPr="00E6707E">
              <w:rPr>
                <w:rFonts w:ascii="Arial" w:hAnsi="Arial" w:cs="Arial"/>
                <w:color w:val="000000"/>
              </w:rPr>
              <w:tab/>
              <w:t>to reduce the delay and expense of interlocutory processes. Rule 1B imposed an obligation on the parties ‘to assist the managing judge in curtailing the proceedings.’</w:t>
            </w:r>
            <w:r w:rsidRPr="00E6707E">
              <w:rPr>
                <w:rStyle w:val="FootnoteReference"/>
                <w:color w:val="000000"/>
              </w:rPr>
              <w:footnoteReference w:id="5"/>
            </w:r>
          </w:p>
          <w:p w:rsidR="00965C26" w:rsidRDefault="00965C26" w:rsidP="00965C26">
            <w:pPr>
              <w:pStyle w:val="NoSpacing"/>
              <w:spacing w:line="360" w:lineRule="auto"/>
              <w:jc w:val="both"/>
              <w:rPr>
                <w:rFonts w:ascii="Arial" w:hAnsi="Arial" w:cs="Arial"/>
                <w:i/>
                <w:color w:val="000000"/>
                <w:sz w:val="24"/>
                <w:szCs w:val="24"/>
              </w:rPr>
            </w:pPr>
          </w:p>
          <w:p w:rsidR="00965C26" w:rsidRDefault="00965C26" w:rsidP="00965C26">
            <w:pPr>
              <w:pStyle w:val="NoSpacing"/>
              <w:spacing w:line="360" w:lineRule="auto"/>
              <w:jc w:val="both"/>
              <w:rPr>
                <w:rFonts w:ascii="Arial" w:hAnsi="Arial" w:cs="Arial"/>
                <w:color w:val="000000"/>
                <w:sz w:val="24"/>
                <w:szCs w:val="24"/>
                <w:u w:val="single"/>
              </w:rPr>
            </w:pPr>
            <w:r w:rsidRPr="009813E8">
              <w:rPr>
                <w:rFonts w:ascii="Arial" w:hAnsi="Arial" w:cs="Arial"/>
                <w:color w:val="000000"/>
                <w:sz w:val="24"/>
                <w:szCs w:val="24"/>
                <w:u w:val="single"/>
              </w:rPr>
              <w:t>Discussion</w:t>
            </w:r>
          </w:p>
          <w:p w:rsidR="00965C26" w:rsidRPr="009813E8" w:rsidRDefault="00965C26" w:rsidP="00965C26">
            <w:pPr>
              <w:pStyle w:val="NoSpacing"/>
              <w:spacing w:line="360" w:lineRule="auto"/>
              <w:jc w:val="both"/>
              <w:rPr>
                <w:rFonts w:ascii="Arial" w:hAnsi="Arial" w:cs="Arial"/>
                <w:color w:val="000000"/>
                <w:sz w:val="24"/>
                <w:szCs w:val="24"/>
                <w:u w:val="single"/>
              </w:rPr>
            </w:pPr>
          </w:p>
          <w:p w:rsidR="00965C26" w:rsidRDefault="00965C26" w:rsidP="00965C26">
            <w:pPr>
              <w:pStyle w:val="NoSpacing"/>
              <w:spacing w:line="360" w:lineRule="auto"/>
              <w:jc w:val="both"/>
              <w:rPr>
                <w:rFonts w:ascii="Arial" w:hAnsi="Arial" w:cs="Arial"/>
                <w:i/>
                <w:color w:val="000000"/>
                <w:sz w:val="24"/>
                <w:szCs w:val="24"/>
              </w:rPr>
            </w:pPr>
            <w:r>
              <w:rPr>
                <w:rFonts w:ascii="Arial" w:hAnsi="Arial" w:cs="Arial"/>
                <w:i/>
                <w:color w:val="000000"/>
                <w:sz w:val="24"/>
                <w:szCs w:val="24"/>
              </w:rPr>
              <w:t>Excipiability</w:t>
            </w:r>
          </w:p>
          <w:p w:rsidR="00965C26" w:rsidRPr="009813E8" w:rsidRDefault="00965C26" w:rsidP="00965C26">
            <w:pPr>
              <w:pStyle w:val="NoSpacing"/>
              <w:spacing w:line="360" w:lineRule="auto"/>
              <w:jc w:val="both"/>
              <w:rPr>
                <w:rFonts w:ascii="Arial" w:hAnsi="Arial" w:cs="Arial"/>
                <w:i/>
                <w:color w:val="000000"/>
                <w:sz w:val="24"/>
                <w:szCs w:val="24"/>
              </w:rPr>
            </w:pPr>
          </w:p>
          <w:p w:rsidR="00965C26" w:rsidRPr="00323920" w:rsidRDefault="00965C26" w:rsidP="005A3876">
            <w:pPr>
              <w:pStyle w:val="ListParagraph"/>
              <w:numPr>
                <w:ilvl w:val="0"/>
                <w:numId w:val="26"/>
              </w:numPr>
              <w:spacing w:line="360" w:lineRule="auto"/>
              <w:ind w:left="0" w:firstLine="0"/>
              <w:jc w:val="both"/>
              <w:rPr>
                <w:rFonts w:ascii="Arial" w:hAnsi="Arial" w:cs="Arial"/>
                <w:sz w:val="24"/>
                <w:szCs w:val="24"/>
              </w:rPr>
            </w:pPr>
            <w:r w:rsidRPr="00347D44">
              <w:rPr>
                <w:rFonts w:ascii="Arial" w:eastAsia="Arial" w:hAnsi="Arial" w:cs="Arial"/>
                <w:sz w:val="24"/>
                <w:szCs w:val="24"/>
              </w:rPr>
              <w:t xml:space="preserve">Mr </w:t>
            </w:r>
            <w:r>
              <w:rPr>
                <w:rFonts w:ascii="Arial" w:eastAsia="Arial" w:hAnsi="Arial" w:cs="Arial"/>
                <w:sz w:val="24"/>
                <w:szCs w:val="24"/>
              </w:rPr>
              <w:t xml:space="preserve">Namandje raised the issue of </w:t>
            </w:r>
            <w:r w:rsidR="00C07922">
              <w:rPr>
                <w:rFonts w:ascii="Arial" w:eastAsia="Arial" w:hAnsi="Arial" w:cs="Arial"/>
                <w:sz w:val="24"/>
                <w:szCs w:val="24"/>
              </w:rPr>
              <w:t xml:space="preserve">the potential excipiability of the second claim, which, in his view, should have been </w:t>
            </w:r>
            <w:r>
              <w:rPr>
                <w:rFonts w:ascii="Arial" w:eastAsia="Arial" w:hAnsi="Arial" w:cs="Arial"/>
                <w:sz w:val="24"/>
                <w:szCs w:val="24"/>
              </w:rPr>
              <w:t>conditional to the first claim</w:t>
            </w:r>
            <w:r w:rsidR="00C07922">
              <w:rPr>
                <w:rFonts w:ascii="Arial" w:eastAsia="Arial" w:hAnsi="Arial" w:cs="Arial"/>
                <w:sz w:val="24"/>
                <w:szCs w:val="24"/>
              </w:rPr>
              <w:t>, at best</w:t>
            </w:r>
            <w:r>
              <w:rPr>
                <w:rFonts w:ascii="Arial" w:eastAsia="Arial" w:hAnsi="Arial" w:cs="Arial"/>
                <w:sz w:val="24"/>
                <w:szCs w:val="24"/>
              </w:rPr>
              <w:t>.</w:t>
            </w:r>
          </w:p>
          <w:p w:rsidR="00965C26" w:rsidRPr="00323920" w:rsidRDefault="00965C26" w:rsidP="00965C26">
            <w:pPr>
              <w:pStyle w:val="ListParagraph"/>
              <w:spacing w:line="360" w:lineRule="auto"/>
              <w:ind w:left="0"/>
              <w:jc w:val="both"/>
              <w:rPr>
                <w:rFonts w:ascii="Arial" w:hAnsi="Arial" w:cs="Arial"/>
                <w:sz w:val="24"/>
                <w:szCs w:val="24"/>
              </w:rPr>
            </w:pPr>
            <w:r>
              <w:rPr>
                <w:rFonts w:ascii="Arial" w:eastAsia="Arial" w:hAnsi="Arial" w:cs="Arial"/>
                <w:sz w:val="24"/>
                <w:szCs w:val="24"/>
              </w:rPr>
              <w:t xml:space="preserve"> </w:t>
            </w:r>
          </w:p>
          <w:p w:rsidR="00965C26" w:rsidRPr="00323920" w:rsidRDefault="00965C26" w:rsidP="005A3876">
            <w:pPr>
              <w:pStyle w:val="ListParagraph"/>
              <w:numPr>
                <w:ilvl w:val="0"/>
                <w:numId w:val="26"/>
              </w:numPr>
              <w:spacing w:line="360" w:lineRule="auto"/>
              <w:ind w:left="0" w:firstLine="0"/>
              <w:jc w:val="both"/>
              <w:rPr>
                <w:rFonts w:ascii="Arial" w:hAnsi="Arial" w:cs="Arial"/>
                <w:sz w:val="24"/>
                <w:szCs w:val="24"/>
                <w:lang w:val="en-US"/>
              </w:rPr>
            </w:pPr>
            <w:r>
              <w:rPr>
                <w:rFonts w:ascii="Arial" w:hAnsi="Arial" w:cs="Arial"/>
                <w:color w:val="212529"/>
                <w:sz w:val="23"/>
                <w:szCs w:val="23"/>
                <w:shd w:val="clear" w:color="auto" w:fill="FFFFFF"/>
              </w:rPr>
              <w:t xml:space="preserve">In </w:t>
            </w:r>
            <w:r w:rsidRPr="00323920">
              <w:rPr>
                <w:rFonts w:ascii="Arial" w:hAnsi="Arial" w:cs="Arial"/>
                <w:i/>
                <w:color w:val="212529"/>
                <w:sz w:val="24"/>
                <w:szCs w:val="24"/>
                <w:shd w:val="clear" w:color="auto" w:fill="FFFFFF"/>
              </w:rPr>
              <w:t>Frankly Enterprises CC v Ohiozebau</w:t>
            </w:r>
            <w:r w:rsidR="00156C35">
              <w:rPr>
                <w:rFonts w:ascii="Arial" w:hAnsi="Arial" w:cs="Arial"/>
                <w:i/>
                <w:color w:val="212529"/>
                <w:sz w:val="24"/>
                <w:szCs w:val="24"/>
                <w:shd w:val="clear" w:color="auto" w:fill="FFFFFF"/>
              </w:rPr>
              <w:t>,</w:t>
            </w:r>
            <w:r>
              <w:rPr>
                <w:rStyle w:val="FootnoteReference"/>
                <w:rFonts w:ascii="Arial" w:hAnsi="Arial" w:cs="Arial"/>
                <w:i/>
                <w:color w:val="212529"/>
                <w:sz w:val="24"/>
                <w:szCs w:val="24"/>
                <w:shd w:val="clear" w:color="auto" w:fill="FFFFFF"/>
              </w:rPr>
              <w:footnoteReference w:id="6"/>
            </w:r>
            <w:r w:rsidRPr="00323920">
              <w:rPr>
                <w:rFonts w:ascii="Arial" w:hAnsi="Arial" w:cs="Arial"/>
                <w:color w:val="212529"/>
                <w:sz w:val="24"/>
                <w:szCs w:val="24"/>
                <w:shd w:val="clear" w:color="auto" w:fill="FFFFFF"/>
              </w:rPr>
              <w:t xml:space="preserve"> </w:t>
            </w:r>
            <w:r>
              <w:rPr>
                <w:rFonts w:ascii="Arial" w:hAnsi="Arial" w:cs="Arial"/>
                <w:color w:val="212529"/>
                <w:sz w:val="24"/>
                <w:szCs w:val="24"/>
                <w:shd w:val="clear" w:color="auto" w:fill="FFFFFF"/>
              </w:rPr>
              <w:t>Ueitele J stated as follows on the issue of repudiation and damages:</w:t>
            </w:r>
          </w:p>
          <w:p w:rsidR="00965C26" w:rsidRPr="00323920" w:rsidRDefault="00965C26" w:rsidP="00965C26">
            <w:pPr>
              <w:pStyle w:val="ListParagraph"/>
              <w:rPr>
                <w:rFonts w:ascii="Arial" w:hAnsi="Arial" w:cs="Arial"/>
                <w:color w:val="212529"/>
                <w:sz w:val="23"/>
                <w:szCs w:val="23"/>
                <w:shd w:val="clear" w:color="auto" w:fill="FFFFFF"/>
              </w:rPr>
            </w:pPr>
          </w:p>
          <w:p w:rsidR="00965C26" w:rsidRDefault="00965C26" w:rsidP="00965C26">
            <w:pPr>
              <w:pStyle w:val="ListParagraph"/>
              <w:spacing w:line="360" w:lineRule="auto"/>
              <w:ind w:left="0" w:firstLine="720"/>
              <w:jc w:val="both"/>
              <w:rPr>
                <w:rFonts w:ascii="Arial" w:eastAsia="Arial" w:hAnsi="Arial" w:cs="Arial"/>
                <w:sz w:val="24"/>
                <w:szCs w:val="24"/>
              </w:rPr>
            </w:pPr>
            <w:r>
              <w:rPr>
                <w:rFonts w:ascii="Arial" w:hAnsi="Arial" w:cs="Arial"/>
                <w:color w:val="212529"/>
                <w:sz w:val="23"/>
                <w:szCs w:val="23"/>
                <w:shd w:val="clear" w:color="auto" w:fill="FFFFFF"/>
              </w:rPr>
              <w:t>‘</w:t>
            </w:r>
            <w:r w:rsidRPr="0071022A">
              <w:rPr>
                <w:rFonts w:ascii="Arial" w:hAnsi="Arial" w:cs="Arial"/>
                <w:color w:val="212529"/>
                <w:shd w:val="clear" w:color="auto" w:fill="FFFFFF"/>
              </w:rPr>
              <w:t>It is settled law that repudiation of a contract occurs where one party to a contract, without lawful grounds, indicates to the other party, whether by words or conduct, a deliberate and unequivocal intention to no longer be bound by the contract.</w:t>
            </w:r>
            <w:bookmarkStart w:id="1" w:name="sdfootnote5anc"/>
            <w:r w:rsidRPr="0071022A">
              <w:rPr>
                <w:rStyle w:val="FootnoteReference"/>
                <w:rFonts w:ascii="Arial" w:hAnsi="Arial" w:cs="Arial"/>
                <w:color w:val="212529"/>
                <w:shd w:val="clear" w:color="auto" w:fill="FFFFFF"/>
              </w:rPr>
              <w:footnoteReference w:id="7"/>
            </w:r>
            <w:hyperlink r:id="rId9" w:anchor="sdfootnote5sym" w:history="1">
              <w:r w:rsidRPr="0071022A">
                <w:rPr>
                  <w:rStyle w:val="Hyperlink"/>
                  <w:rFonts w:ascii="Arial" w:hAnsi="Arial" w:cs="Arial"/>
                  <w:shd w:val="clear" w:color="auto" w:fill="FFFFFF"/>
                  <w:vertAlign w:val="superscript"/>
                </w:rPr>
                <w:t>5</w:t>
              </w:r>
            </w:hyperlink>
            <w:bookmarkEnd w:id="1"/>
            <w:r w:rsidRPr="0071022A">
              <w:rPr>
                <w:rFonts w:ascii="Arial" w:hAnsi="Arial" w:cs="Arial"/>
                <w:color w:val="212529"/>
                <w:shd w:val="clear" w:color="auto" w:fill="FFFFFF"/>
              </w:rPr>
              <w:t> Then, the innocent party will be entitled to either: (i) reject the repudiation and claim specific performance; or (ii) elect to accept the repudiation, cancel the contract and claim damages. If he or she elects to accept the repudiation, the contract comes to an end upon the communication of the acceptance of the repudiation to the party who has repudiated. Only then does a claim for damages arise</w:t>
            </w:r>
            <w:r>
              <w:rPr>
                <w:rFonts w:ascii="Arial" w:hAnsi="Arial" w:cs="Arial"/>
                <w:color w:val="212529"/>
                <w:sz w:val="23"/>
                <w:szCs w:val="23"/>
                <w:shd w:val="clear" w:color="auto" w:fill="FFFFFF"/>
              </w:rPr>
              <w:t>.’</w:t>
            </w:r>
          </w:p>
          <w:p w:rsidR="00965C26" w:rsidRDefault="00965C26" w:rsidP="00965C26">
            <w:pPr>
              <w:pStyle w:val="ListParagraph"/>
              <w:spacing w:line="360" w:lineRule="auto"/>
              <w:ind w:left="0"/>
              <w:jc w:val="both"/>
              <w:rPr>
                <w:rFonts w:ascii="Arial" w:eastAsia="Arial" w:hAnsi="Arial" w:cs="Arial"/>
                <w:sz w:val="24"/>
                <w:szCs w:val="24"/>
              </w:rPr>
            </w:pPr>
          </w:p>
          <w:p w:rsidR="00965C26"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hAnsi="Arial" w:cs="Arial"/>
                <w:sz w:val="24"/>
                <w:szCs w:val="24"/>
              </w:rPr>
              <w:t xml:space="preserve">From the </w:t>
            </w:r>
            <w:r w:rsidRPr="00323920">
              <w:rPr>
                <w:rFonts w:ascii="Arial" w:hAnsi="Arial" w:cs="Arial"/>
                <w:i/>
                <w:sz w:val="24"/>
                <w:szCs w:val="24"/>
              </w:rPr>
              <w:t xml:space="preserve">Ohiozebau </w:t>
            </w:r>
            <w:r>
              <w:rPr>
                <w:rFonts w:ascii="Arial" w:hAnsi="Arial" w:cs="Arial"/>
                <w:sz w:val="24"/>
                <w:szCs w:val="24"/>
              </w:rPr>
              <w:t>matter above</w:t>
            </w:r>
            <w:r w:rsidR="00156C35">
              <w:rPr>
                <w:rFonts w:ascii="Arial" w:hAnsi="Arial" w:cs="Arial"/>
                <w:sz w:val="24"/>
                <w:szCs w:val="24"/>
              </w:rPr>
              <w:t>,</w:t>
            </w:r>
            <w:r>
              <w:rPr>
                <w:rFonts w:ascii="Arial" w:hAnsi="Arial" w:cs="Arial"/>
                <w:sz w:val="24"/>
                <w:szCs w:val="24"/>
              </w:rPr>
              <w:t xml:space="preserve"> it appears that there might be merits in the argument advanced by Mr Namandje. However, in opposition to the intended amendment the plaintiff, </w:t>
            </w:r>
            <w:r>
              <w:rPr>
                <w:rFonts w:ascii="Arial" w:hAnsi="Arial" w:cs="Arial"/>
                <w:sz w:val="24"/>
                <w:szCs w:val="24"/>
              </w:rPr>
              <w:lastRenderedPageBreak/>
              <w:t>instead of setting out its objection</w:t>
            </w:r>
            <w:r w:rsidR="00D3724C">
              <w:rPr>
                <w:rFonts w:ascii="Arial" w:hAnsi="Arial" w:cs="Arial"/>
                <w:sz w:val="24"/>
                <w:szCs w:val="24"/>
              </w:rPr>
              <w:t>s</w:t>
            </w:r>
            <w:r>
              <w:rPr>
                <w:rFonts w:ascii="Arial" w:hAnsi="Arial" w:cs="Arial"/>
                <w:sz w:val="24"/>
                <w:szCs w:val="24"/>
              </w:rPr>
              <w:t xml:space="preserve"> in detail as required by the rule</w:t>
            </w:r>
            <w:r w:rsidR="00156C35">
              <w:rPr>
                <w:rFonts w:ascii="Arial" w:hAnsi="Arial" w:cs="Arial"/>
                <w:sz w:val="24"/>
                <w:szCs w:val="24"/>
              </w:rPr>
              <w:t>,</w:t>
            </w:r>
            <w:r>
              <w:rPr>
                <w:rFonts w:ascii="Arial" w:hAnsi="Arial" w:cs="Arial"/>
                <w:sz w:val="24"/>
                <w:szCs w:val="24"/>
              </w:rPr>
              <w:t xml:space="preserve"> merely glanced over the issue of possible excipiability by averring that ‘the amendment do</w:t>
            </w:r>
            <w:r w:rsidR="00156C35">
              <w:rPr>
                <w:rFonts w:ascii="Arial" w:hAnsi="Arial" w:cs="Arial"/>
                <w:sz w:val="24"/>
                <w:szCs w:val="24"/>
              </w:rPr>
              <w:t>es</w:t>
            </w:r>
            <w:r>
              <w:rPr>
                <w:rFonts w:ascii="Arial" w:hAnsi="Arial" w:cs="Arial"/>
                <w:sz w:val="24"/>
                <w:szCs w:val="24"/>
              </w:rPr>
              <w:t xml:space="preserve"> not actually amount to amendments of the existing counterclaim. They amount to the institution of new counterclaims, and they are vague and embarrassing and do not make out necessary averments to sustain the respect</w:t>
            </w:r>
            <w:r w:rsidR="005A3876">
              <w:rPr>
                <w:rFonts w:ascii="Arial" w:hAnsi="Arial" w:cs="Arial"/>
                <w:sz w:val="24"/>
                <w:szCs w:val="24"/>
              </w:rPr>
              <w:t xml:space="preserve">ive counterclaims.’ Mr Namandje </w:t>
            </w:r>
            <w:r>
              <w:rPr>
                <w:rFonts w:ascii="Arial" w:hAnsi="Arial" w:cs="Arial"/>
                <w:sz w:val="24"/>
                <w:szCs w:val="24"/>
              </w:rPr>
              <w:t>develop</w:t>
            </w:r>
            <w:r w:rsidR="005A3876">
              <w:rPr>
                <w:rFonts w:ascii="Arial" w:hAnsi="Arial" w:cs="Arial"/>
                <w:sz w:val="24"/>
                <w:szCs w:val="24"/>
              </w:rPr>
              <w:t>ed</w:t>
            </w:r>
            <w:r>
              <w:rPr>
                <w:rFonts w:ascii="Arial" w:hAnsi="Arial" w:cs="Arial"/>
                <w:sz w:val="24"/>
                <w:szCs w:val="24"/>
              </w:rPr>
              <w:t xml:space="preserve"> this argument only during his oral submissions. </w:t>
            </w:r>
          </w:p>
          <w:p w:rsidR="00965C26" w:rsidRPr="00EC59E4" w:rsidRDefault="00965C26" w:rsidP="00965C26">
            <w:pPr>
              <w:pStyle w:val="ListParagraph"/>
              <w:spacing w:line="360" w:lineRule="auto"/>
              <w:ind w:left="0"/>
              <w:jc w:val="both"/>
              <w:rPr>
                <w:rFonts w:ascii="Arial" w:hAnsi="Arial" w:cs="Arial"/>
                <w:sz w:val="24"/>
                <w:szCs w:val="24"/>
              </w:rPr>
            </w:pPr>
          </w:p>
          <w:p w:rsidR="00965C26" w:rsidRDefault="00965C26" w:rsidP="00B24B95">
            <w:pPr>
              <w:pStyle w:val="ListParagraph"/>
              <w:numPr>
                <w:ilvl w:val="0"/>
                <w:numId w:val="26"/>
              </w:numPr>
              <w:spacing w:line="360" w:lineRule="auto"/>
              <w:ind w:left="0" w:firstLine="0"/>
              <w:jc w:val="both"/>
            </w:pPr>
            <w:r w:rsidRPr="005A3876">
              <w:rPr>
                <w:rFonts w:ascii="Arial" w:eastAsia="Arial" w:hAnsi="Arial" w:cs="Arial"/>
                <w:sz w:val="24"/>
                <w:szCs w:val="24"/>
              </w:rPr>
              <w:t xml:space="preserve">This approach is unacceptable. The rule is clear, </w:t>
            </w:r>
            <w:r w:rsidRPr="005A3876">
              <w:rPr>
                <w:rFonts w:ascii="Arial" w:hAnsi="Arial" w:cs="Arial"/>
                <w:sz w:val="24"/>
                <w:szCs w:val="24"/>
              </w:rPr>
              <w:t>if</w:t>
            </w:r>
            <w:r w:rsidR="005A3876" w:rsidRPr="005A3876">
              <w:rPr>
                <w:rFonts w:ascii="Arial" w:hAnsi="Arial" w:cs="Arial"/>
                <w:sz w:val="24"/>
                <w:szCs w:val="24"/>
              </w:rPr>
              <w:t xml:space="preserve"> an</w:t>
            </w:r>
            <w:r w:rsidRPr="005A3876">
              <w:rPr>
                <w:rFonts w:ascii="Arial" w:hAnsi="Arial" w:cs="Arial"/>
                <w:sz w:val="24"/>
                <w:szCs w:val="24"/>
              </w:rPr>
              <w:t xml:space="preserve"> objection is raised against the intended amendment such objection must clearly and concisely state the grounds on which it is founded. To </w:t>
            </w:r>
            <w:r w:rsidR="005A3876" w:rsidRPr="005A3876">
              <w:rPr>
                <w:rFonts w:ascii="Arial" w:hAnsi="Arial" w:cs="Arial"/>
                <w:sz w:val="24"/>
                <w:szCs w:val="24"/>
              </w:rPr>
              <w:t>raise</w:t>
            </w:r>
            <w:r w:rsidRPr="005A3876">
              <w:rPr>
                <w:rFonts w:ascii="Arial" w:hAnsi="Arial" w:cs="Arial"/>
                <w:sz w:val="24"/>
                <w:szCs w:val="24"/>
              </w:rPr>
              <w:t xml:space="preserve"> the exception objection in argument places the opposing counsel at a disadvantage to respond adequately thereto. </w:t>
            </w:r>
          </w:p>
          <w:p w:rsidR="00965C26" w:rsidRDefault="00965C26" w:rsidP="00965C26">
            <w:pPr>
              <w:pStyle w:val="ListParagraph"/>
              <w:spacing w:line="360" w:lineRule="auto"/>
              <w:ind w:left="0"/>
              <w:jc w:val="both"/>
            </w:pPr>
          </w:p>
          <w:p w:rsidR="00965C26" w:rsidRPr="009813E8" w:rsidRDefault="00965C26" w:rsidP="005A3876">
            <w:pPr>
              <w:pStyle w:val="ListParagraph"/>
              <w:numPr>
                <w:ilvl w:val="0"/>
                <w:numId w:val="26"/>
              </w:numPr>
              <w:spacing w:line="360" w:lineRule="auto"/>
              <w:ind w:left="0" w:firstLine="0"/>
              <w:jc w:val="both"/>
              <w:rPr>
                <w:rFonts w:ascii="Arial" w:eastAsia="Arial" w:hAnsi="Arial" w:cs="Arial"/>
                <w:lang w:val="en-US"/>
              </w:rPr>
            </w:pPr>
            <w:r w:rsidRPr="006E3BA3">
              <w:rPr>
                <w:rFonts w:ascii="Arial" w:eastAsia="Calibri" w:hAnsi="Arial" w:cs="Arial"/>
                <w:color w:val="000000"/>
                <w:sz w:val="24"/>
                <w:szCs w:val="24"/>
              </w:rPr>
              <w:t xml:space="preserve">In </w:t>
            </w:r>
            <w:r w:rsidRPr="006E3BA3">
              <w:rPr>
                <w:rFonts w:ascii="Arial" w:eastAsia="Calibri" w:hAnsi="Arial" w:cs="Arial"/>
                <w:i/>
                <w:color w:val="000000"/>
                <w:sz w:val="24"/>
                <w:szCs w:val="24"/>
              </w:rPr>
              <w:t>Fischer Seelenbinder Associates CC v Steelforce CC,</w:t>
            </w:r>
            <w:r>
              <w:rPr>
                <w:rStyle w:val="FootnoteReference"/>
                <w:rFonts w:ascii="Arial" w:eastAsia="Calibri" w:hAnsi="Arial" w:cs="Arial"/>
                <w:i/>
                <w:color w:val="000000"/>
                <w:sz w:val="24"/>
                <w:szCs w:val="24"/>
              </w:rPr>
              <w:footnoteReference w:id="8"/>
            </w:r>
            <w:r w:rsidRPr="006E3BA3">
              <w:rPr>
                <w:rFonts w:ascii="Arial" w:eastAsia="Calibri" w:hAnsi="Arial" w:cs="Arial"/>
                <w:color w:val="000000"/>
                <w:sz w:val="24"/>
                <w:szCs w:val="24"/>
              </w:rPr>
              <w:t xml:space="preserve"> Van Niekerk J held that it is trite that a court will not allow an amendment which renders a pleading excipiable</w:t>
            </w:r>
            <w:r w:rsidR="00BC5503">
              <w:rPr>
                <w:rFonts w:ascii="Arial" w:eastAsia="Calibri" w:hAnsi="Arial" w:cs="Arial"/>
                <w:color w:val="000000"/>
                <w:sz w:val="24"/>
                <w:szCs w:val="24"/>
              </w:rPr>
              <w:t>.</w:t>
            </w:r>
            <w:r>
              <w:rPr>
                <w:rStyle w:val="FootnoteReference"/>
                <w:rFonts w:ascii="Arial" w:eastAsia="Calibri" w:hAnsi="Arial" w:cs="Arial"/>
                <w:color w:val="000000"/>
                <w:sz w:val="24"/>
                <w:szCs w:val="24"/>
              </w:rPr>
              <w:footnoteReference w:id="9"/>
            </w:r>
          </w:p>
          <w:p w:rsidR="00965C26" w:rsidRPr="009813E8" w:rsidRDefault="00965C26" w:rsidP="00965C26">
            <w:pPr>
              <w:pStyle w:val="ListParagraph"/>
              <w:spacing w:line="360" w:lineRule="auto"/>
              <w:ind w:left="0"/>
              <w:jc w:val="both"/>
              <w:rPr>
                <w:rFonts w:ascii="Arial" w:eastAsia="Arial" w:hAnsi="Arial" w:cs="Arial"/>
                <w:lang w:val="en-US"/>
              </w:rPr>
            </w:pPr>
          </w:p>
          <w:p w:rsidR="00965C26" w:rsidRPr="009813E8" w:rsidRDefault="00965C26" w:rsidP="005A3876">
            <w:pPr>
              <w:pStyle w:val="ListParagraph"/>
              <w:numPr>
                <w:ilvl w:val="0"/>
                <w:numId w:val="26"/>
              </w:numPr>
              <w:spacing w:line="360" w:lineRule="auto"/>
              <w:ind w:left="0" w:firstLine="0"/>
              <w:jc w:val="both"/>
              <w:rPr>
                <w:rFonts w:ascii="Arial" w:eastAsia="Arial" w:hAnsi="Arial" w:cs="Arial"/>
                <w:sz w:val="24"/>
                <w:szCs w:val="24"/>
              </w:rPr>
            </w:pPr>
            <w:r w:rsidRPr="009813E8">
              <w:rPr>
                <w:rFonts w:ascii="Arial" w:eastAsia="Calibri" w:hAnsi="Arial" w:cs="Arial"/>
                <w:color w:val="000000"/>
                <w:sz w:val="24"/>
                <w:szCs w:val="24"/>
              </w:rPr>
              <w:t>In my view, it is</w:t>
            </w:r>
            <w:r w:rsidRPr="009813E8">
              <w:rPr>
                <w:rFonts w:ascii="Arial" w:hAnsi="Arial" w:cs="Arial"/>
                <w:color w:val="242121"/>
                <w:sz w:val="24"/>
                <w:szCs w:val="24"/>
                <w:shd w:val="clear" w:color="auto" w:fill="FFFFFF"/>
              </w:rPr>
              <w:t xml:space="preserve"> not prudent to allow an amendment that would make the pleadings worse than they already are. The purpose of pleadings is to clearly outline the issues for both parties and the court. If the pleadings are confusing, vague and embarrassing or do not disclose a cause of action, it hinders the pursuit of justice. Therefore, an amendment that could potentially create such confusion should be discouraged early on, before the other party is forced to raise an exception. </w:t>
            </w:r>
            <w:r>
              <w:rPr>
                <w:rFonts w:ascii="Arial" w:hAnsi="Arial" w:cs="Arial"/>
                <w:color w:val="242121"/>
                <w:sz w:val="24"/>
                <w:szCs w:val="24"/>
                <w:shd w:val="clear" w:color="auto" w:fill="FFFFFF"/>
              </w:rPr>
              <w:t>In the current matter, t</w:t>
            </w:r>
            <w:r w:rsidRPr="009813E8">
              <w:rPr>
                <w:rFonts w:ascii="Arial" w:hAnsi="Arial" w:cs="Arial"/>
                <w:sz w:val="24"/>
                <w:szCs w:val="24"/>
              </w:rPr>
              <w:t xml:space="preserve">he intended amended counterclaim might </w:t>
            </w:r>
            <w:r w:rsidR="00B76012" w:rsidRPr="00006D05">
              <w:rPr>
                <w:rFonts w:ascii="Arial" w:hAnsi="Arial" w:cs="Arial"/>
                <w:sz w:val="24"/>
                <w:szCs w:val="24"/>
              </w:rPr>
              <w:t xml:space="preserve">as </w:t>
            </w:r>
            <w:r w:rsidRPr="00006D05">
              <w:rPr>
                <w:rFonts w:ascii="Arial" w:hAnsi="Arial" w:cs="Arial"/>
                <w:sz w:val="24"/>
                <w:szCs w:val="24"/>
              </w:rPr>
              <w:t>well</w:t>
            </w:r>
            <w:r w:rsidRPr="009813E8">
              <w:rPr>
                <w:rFonts w:ascii="Arial" w:hAnsi="Arial" w:cs="Arial"/>
                <w:sz w:val="24"/>
                <w:szCs w:val="24"/>
              </w:rPr>
              <w:t xml:space="preserve"> be excipiable. However, before an amendment is</w:t>
            </w:r>
            <w:r w:rsidRPr="009813E8">
              <w:rPr>
                <w:rFonts w:ascii="Arial" w:eastAsia="Arial" w:hAnsi="Arial" w:cs="Arial"/>
                <w:sz w:val="24"/>
                <w:szCs w:val="24"/>
              </w:rPr>
              <w:t xml:space="preserve"> refused on the grounds of excipiability, it must be clear that the amendment will (not may) render the pleadings excipiable.</w:t>
            </w:r>
            <w:r w:rsidRPr="006E3BA3">
              <w:rPr>
                <w:rStyle w:val="FootnoteReference"/>
                <w:rFonts w:ascii="Arial" w:eastAsia="Arial" w:hAnsi="Arial" w:cs="Arial"/>
                <w:sz w:val="24"/>
                <w:szCs w:val="24"/>
              </w:rPr>
              <w:footnoteReference w:id="10"/>
            </w:r>
          </w:p>
          <w:p w:rsidR="00965C26" w:rsidRPr="006E3BA3" w:rsidRDefault="00965C26" w:rsidP="00965C26">
            <w:pPr>
              <w:pStyle w:val="ListParagraph"/>
              <w:rPr>
                <w:rFonts w:ascii="Arial" w:eastAsia="Arial" w:hAnsi="Arial" w:cs="Arial"/>
                <w:sz w:val="24"/>
                <w:szCs w:val="24"/>
              </w:rPr>
            </w:pPr>
          </w:p>
          <w:p w:rsidR="00965C26" w:rsidRDefault="00965C26" w:rsidP="005A3876">
            <w:pPr>
              <w:pStyle w:val="ListParagraph"/>
              <w:numPr>
                <w:ilvl w:val="0"/>
                <w:numId w:val="26"/>
              </w:numPr>
              <w:spacing w:line="360" w:lineRule="auto"/>
              <w:ind w:left="0" w:firstLine="0"/>
              <w:jc w:val="both"/>
              <w:rPr>
                <w:rFonts w:ascii="Arial" w:eastAsia="Arial" w:hAnsi="Arial" w:cs="Arial"/>
                <w:sz w:val="24"/>
                <w:szCs w:val="24"/>
              </w:rPr>
            </w:pPr>
            <w:r>
              <w:rPr>
                <w:rFonts w:ascii="Arial" w:eastAsia="Arial" w:hAnsi="Arial" w:cs="Arial"/>
                <w:sz w:val="24"/>
                <w:szCs w:val="24"/>
              </w:rPr>
              <w:t xml:space="preserve">For the reasons set out above, I am not satisfied that a proper case </w:t>
            </w:r>
            <w:r w:rsidR="00BA2576" w:rsidRPr="0071022A">
              <w:rPr>
                <w:rFonts w:ascii="Arial" w:eastAsia="Arial" w:hAnsi="Arial" w:cs="Arial"/>
                <w:sz w:val="24"/>
                <w:szCs w:val="24"/>
              </w:rPr>
              <w:t>has been made out</w:t>
            </w:r>
            <w:r w:rsidR="00BA2576">
              <w:rPr>
                <w:rFonts w:ascii="Arial" w:eastAsia="Arial" w:hAnsi="Arial" w:cs="Arial"/>
                <w:sz w:val="24"/>
                <w:szCs w:val="24"/>
              </w:rPr>
              <w:t xml:space="preserve"> </w:t>
            </w:r>
            <w:r>
              <w:rPr>
                <w:rFonts w:ascii="Arial" w:eastAsia="Arial" w:hAnsi="Arial" w:cs="Arial"/>
                <w:sz w:val="24"/>
                <w:szCs w:val="24"/>
              </w:rPr>
              <w:t xml:space="preserve">for the refusal of the amendment on the basis of excipiability. </w:t>
            </w:r>
          </w:p>
          <w:p w:rsidR="00965C26" w:rsidRPr="009813E8" w:rsidRDefault="00965C26" w:rsidP="00965C26">
            <w:pPr>
              <w:pStyle w:val="ListParagraph"/>
              <w:rPr>
                <w:rFonts w:ascii="Arial" w:eastAsia="Arial" w:hAnsi="Arial" w:cs="Arial"/>
                <w:sz w:val="24"/>
                <w:szCs w:val="24"/>
              </w:rPr>
            </w:pPr>
          </w:p>
          <w:p w:rsidR="00965C26" w:rsidRDefault="00965C26" w:rsidP="00965C26">
            <w:pPr>
              <w:pStyle w:val="ListParagraph"/>
              <w:spacing w:line="360" w:lineRule="auto"/>
              <w:ind w:left="0"/>
              <w:jc w:val="both"/>
              <w:rPr>
                <w:rFonts w:ascii="Arial" w:hAnsi="Arial" w:cs="Arial"/>
                <w:i/>
                <w:sz w:val="24"/>
                <w:szCs w:val="24"/>
              </w:rPr>
            </w:pPr>
            <w:r>
              <w:rPr>
                <w:rFonts w:ascii="Arial" w:hAnsi="Arial" w:cs="Arial"/>
                <w:i/>
                <w:sz w:val="24"/>
                <w:szCs w:val="24"/>
              </w:rPr>
              <w:t>Prescription</w:t>
            </w:r>
          </w:p>
          <w:p w:rsidR="00965C26" w:rsidRPr="009813E8" w:rsidRDefault="00965C26" w:rsidP="00965C26">
            <w:pPr>
              <w:pStyle w:val="ListParagraph"/>
              <w:spacing w:line="360" w:lineRule="auto"/>
              <w:ind w:left="0"/>
              <w:jc w:val="both"/>
              <w:rPr>
                <w:rFonts w:ascii="Arial" w:hAnsi="Arial" w:cs="Arial"/>
                <w:i/>
                <w:sz w:val="24"/>
                <w:szCs w:val="24"/>
              </w:rPr>
            </w:pPr>
          </w:p>
          <w:p w:rsidR="00965C26" w:rsidRPr="009813E8"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eastAsia="Arial" w:hAnsi="Arial" w:cs="Arial"/>
                <w:sz w:val="24"/>
                <w:szCs w:val="24"/>
              </w:rPr>
              <w:t xml:space="preserve">In respect of the third claim the plaintiff is quite correct that it is a new claim that was not advanced in the original particulars of claim. </w:t>
            </w:r>
            <w:r w:rsidR="00156C35">
              <w:rPr>
                <w:rFonts w:ascii="Arial" w:eastAsia="Arial" w:hAnsi="Arial" w:cs="Arial"/>
                <w:sz w:val="24"/>
                <w:szCs w:val="24"/>
              </w:rPr>
              <w:t>The p</w:t>
            </w:r>
            <w:r>
              <w:rPr>
                <w:rFonts w:ascii="Arial" w:eastAsia="Arial" w:hAnsi="Arial" w:cs="Arial"/>
                <w:sz w:val="24"/>
                <w:szCs w:val="24"/>
              </w:rPr>
              <w:t xml:space="preserve">ossible prescription of this claim was raised in passing and suffers </w:t>
            </w:r>
            <w:r w:rsidR="0071022A">
              <w:rPr>
                <w:rFonts w:ascii="Arial" w:eastAsia="Arial" w:hAnsi="Arial" w:cs="Arial"/>
                <w:sz w:val="24"/>
                <w:szCs w:val="24"/>
              </w:rPr>
              <w:t>from</w:t>
            </w:r>
            <w:r>
              <w:rPr>
                <w:rFonts w:ascii="Arial" w:eastAsia="Arial" w:hAnsi="Arial" w:cs="Arial"/>
                <w:sz w:val="24"/>
                <w:szCs w:val="24"/>
              </w:rPr>
              <w:t xml:space="preserve"> the same lack of particularity</w:t>
            </w:r>
            <w:r w:rsidR="00156C35">
              <w:rPr>
                <w:rFonts w:ascii="Arial" w:eastAsia="Arial" w:hAnsi="Arial" w:cs="Arial"/>
                <w:sz w:val="24"/>
                <w:szCs w:val="24"/>
              </w:rPr>
              <w:t xml:space="preserve"> as </w:t>
            </w:r>
            <w:r w:rsidR="00C07922">
              <w:rPr>
                <w:rFonts w:ascii="Arial" w:eastAsia="Arial" w:hAnsi="Arial" w:cs="Arial"/>
                <w:sz w:val="24"/>
                <w:szCs w:val="24"/>
              </w:rPr>
              <w:t>the issue of excipiability</w:t>
            </w:r>
            <w:r>
              <w:rPr>
                <w:rFonts w:ascii="Arial" w:eastAsia="Arial" w:hAnsi="Arial" w:cs="Arial"/>
                <w:sz w:val="24"/>
                <w:szCs w:val="24"/>
              </w:rPr>
              <w:t xml:space="preserve">. </w:t>
            </w:r>
          </w:p>
          <w:p w:rsidR="00965C26" w:rsidRPr="009813E8" w:rsidRDefault="00965C26" w:rsidP="00965C26">
            <w:pPr>
              <w:pStyle w:val="ListParagraph"/>
              <w:spacing w:line="360" w:lineRule="auto"/>
              <w:ind w:left="0"/>
              <w:jc w:val="both"/>
              <w:rPr>
                <w:rFonts w:ascii="Arial" w:hAnsi="Arial" w:cs="Arial"/>
                <w:sz w:val="24"/>
                <w:szCs w:val="24"/>
              </w:rPr>
            </w:pPr>
          </w:p>
          <w:p w:rsidR="00965C26"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eastAsia="Arial" w:hAnsi="Arial" w:cs="Arial"/>
                <w:sz w:val="24"/>
                <w:szCs w:val="24"/>
              </w:rPr>
              <w:lastRenderedPageBreak/>
              <w:t>On the issue of</w:t>
            </w:r>
            <w:r w:rsidR="0071022A">
              <w:rPr>
                <w:rFonts w:ascii="Arial" w:eastAsia="Arial" w:hAnsi="Arial" w:cs="Arial"/>
                <w:sz w:val="24"/>
                <w:szCs w:val="24"/>
              </w:rPr>
              <w:t xml:space="preserve"> </w:t>
            </w:r>
            <w:r>
              <w:rPr>
                <w:rFonts w:ascii="Arial" w:eastAsia="Arial" w:hAnsi="Arial" w:cs="Arial"/>
                <w:sz w:val="24"/>
                <w:szCs w:val="24"/>
              </w:rPr>
              <w:t>prescription</w:t>
            </w:r>
            <w:r w:rsidR="00156C35">
              <w:rPr>
                <w:rFonts w:ascii="Arial" w:eastAsia="Arial" w:hAnsi="Arial" w:cs="Arial"/>
                <w:sz w:val="24"/>
                <w:szCs w:val="24"/>
              </w:rPr>
              <w:t xml:space="preserve">, I will refer to </w:t>
            </w:r>
            <w:r w:rsidR="00156C35" w:rsidRPr="000675FE">
              <w:rPr>
                <w:rFonts w:ascii="Arial" w:eastAsia="Arial" w:hAnsi="Arial" w:cs="Arial"/>
                <w:i/>
                <w:sz w:val="24"/>
                <w:szCs w:val="24"/>
              </w:rPr>
              <w:t>Grindrod (Pty) Ltd v Seaman</w:t>
            </w:r>
            <w:r w:rsidR="00156C35">
              <w:rPr>
                <w:rFonts w:ascii="Arial" w:eastAsia="Arial" w:hAnsi="Arial" w:cs="Arial"/>
                <w:sz w:val="24"/>
                <w:szCs w:val="24"/>
              </w:rPr>
              <w:t>,</w:t>
            </w:r>
            <w:r w:rsidR="002F5CEB">
              <w:rPr>
                <w:rStyle w:val="FootnoteReference"/>
                <w:rFonts w:ascii="Arial" w:eastAsia="Arial" w:hAnsi="Arial" w:cs="Arial"/>
                <w:sz w:val="24"/>
                <w:szCs w:val="24"/>
              </w:rPr>
              <w:footnoteReference w:id="11"/>
            </w:r>
            <w:r w:rsidR="00156C35">
              <w:rPr>
                <w:rFonts w:ascii="Arial" w:eastAsia="Arial" w:hAnsi="Arial" w:cs="Arial"/>
                <w:sz w:val="24"/>
                <w:szCs w:val="24"/>
              </w:rPr>
              <w:t xml:space="preserve">  wherein Foxcroft J held that prescription could be raised during an application for an amendment that prescription either if it were the </w:t>
            </w:r>
            <w:r w:rsidRPr="007D64E5">
              <w:rPr>
                <w:rFonts w:ascii="Arial" w:hAnsi="Arial" w:cs="Arial"/>
                <w:sz w:val="24"/>
                <w:szCs w:val="24"/>
              </w:rPr>
              <w:t>common cause or in situations where the claim or right to claim were 'known to have prescribed'. The court was of the view that no purpose would be served in allowing the amendment sought, only to have it dismissed after the success of a special plea.</w:t>
            </w:r>
            <w:r>
              <w:rPr>
                <w:rFonts w:ascii="Arial" w:hAnsi="Arial" w:cs="Arial"/>
                <w:sz w:val="24"/>
                <w:szCs w:val="24"/>
              </w:rPr>
              <w:t xml:space="preserve"> However, the issue of prescription was, in my view, not properly raised by the plaintiff and as a result, I do not deem it sufficient to refuse the plaintiff’s application for leave to amend on the basis of possible prescription.  </w:t>
            </w:r>
          </w:p>
          <w:p w:rsidR="00965C26" w:rsidRPr="009813E8" w:rsidRDefault="00965C26" w:rsidP="00965C26">
            <w:pPr>
              <w:pStyle w:val="ListParagraph"/>
              <w:rPr>
                <w:rFonts w:ascii="Arial" w:hAnsi="Arial" w:cs="Arial"/>
                <w:sz w:val="24"/>
                <w:szCs w:val="24"/>
              </w:rPr>
            </w:pPr>
          </w:p>
          <w:p w:rsidR="00965C26" w:rsidRPr="009813E8" w:rsidRDefault="00965C26" w:rsidP="00965C26">
            <w:pPr>
              <w:pStyle w:val="ListParagraph"/>
              <w:spacing w:line="360" w:lineRule="auto"/>
              <w:ind w:left="0"/>
              <w:jc w:val="both"/>
              <w:rPr>
                <w:rFonts w:ascii="Arial" w:hAnsi="Arial" w:cs="Arial"/>
                <w:sz w:val="24"/>
                <w:szCs w:val="24"/>
                <w:u w:val="single"/>
              </w:rPr>
            </w:pPr>
            <w:r w:rsidRPr="009813E8">
              <w:rPr>
                <w:rFonts w:ascii="Arial" w:hAnsi="Arial" w:cs="Arial"/>
                <w:sz w:val="24"/>
                <w:szCs w:val="24"/>
                <w:u w:val="single"/>
              </w:rPr>
              <w:t>Conclusion</w:t>
            </w:r>
          </w:p>
          <w:p w:rsidR="00965C26" w:rsidRDefault="00965C26" w:rsidP="00965C26">
            <w:pPr>
              <w:pStyle w:val="ListParagraph"/>
              <w:spacing w:line="360" w:lineRule="auto"/>
              <w:ind w:left="0"/>
              <w:jc w:val="both"/>
              <w:rPr>
                <w:rFonts w:ascii="Arial" w:eastAsia="Arial" w:hAnsi="Arial" w:cs="Arial"/>
                <w:sz w:val="24"/>
                <w:szCs w:val="24"/>
              </w:rPr>
            </w:pPr>
          </w:p>
          <w:p w:rsidR="00965C26" w:rsidRPr="009813E8" w:rsidRDefault="00965C26" w:rsidP="005A3876">
            <w:pPr>
              <w:pStyle w:val="ListParagraph"/>
              <w:numPr>
                <w:ilvl w:val="0"/>
                <w:numId w:val="26"/>
              </w:numPr>
              <w:spacing w:line="360" w:lineRule="auto"/>
              <w:ind w:left="0" w:firstLine="0"/>
              <w:jc w:val="both"/>
              <w:rPr>
                <w:rFonts w:ascii="Arial" w:hAnsi="Arial" w:cs="Arial"/>
                <w:sz w:val="24"/>
                <w:szCs w:val="24"/>
              </w:rPr>
            </w:pPr>
            <w:r w:rsidRPr="009813E8">
              <w:rPr>
                <w:rFonts w:ascii="Arial" w:hAnsi="Arial" w:cs="Arial"/>
                <w:sz w:val="24"/>
                <w:szCs w:val="24"/>
              </w:rPr>
              <w:t>In conclusion</w:t>
            </w:r>
            <w:r>
              <w:rPr>
                <w:rFonts w:ascii="Arial" w:hAnsi="Arial" w:cs="Arial"/>
                <w:sz w:val="24"/>
                <w:szCs w:val="24"/>
              </w:rPr>
              <w:t>,</w:t>
            </w:r>
            <w:r w:rsidRPr="009813E8">
              <w:rPr>
                <w:rFonts w:ascii="Arial" w:hAnsi="Arial" w:cs="Arial"/>
                <w:sz w:val="24"/>
                <w:szCs w:val="24"/>
              </w:rPr>
              <w:t xml:space="preserve"> I must </w:t>
            </w:r>
            <w:r w:rsidR="00C07922">
              <w:rPr>
                <w:rFonts w:ascii="Arial" w:hAnsi="Arial" w:cs="Arial"/>
                <w:sz w:val="24"/>
                <w:szCs w:val="24"/>
              </w:rPr>
              <w:t xml:space="preserve">reiterate what has been said many times </w:t>
            </w:r>
            <w:r w:rsidRPr="009813E8">
              <w:rPr>
                <w:rFonts w:ascii="Arial" w:hAnsi="Arial" w:cs="Arial"/>
                <w:sz w:val="24"/>
                <w:szCs w:val="24"/>
              </w:rPr>
              <w:t>in this jurisdiction</w:t>
            </w:r>
            <w:r>
              <w:rPr>
                <w:rFonts w:ascii="Arial" w:hAnsi="Arial" w:cs="Arial"/>
                <w:sz w:val="24"/>
                <w:szCs w:val="24"/>
              </w:rPr>
              <w:t>. Legal practitioners must desist from deposing to affidavits on behalf of their clients, save for exceptional and compelling reasons. Such reasons must be disclosed in the</w:t>
            </w:r>
            <w:r w:rsidRPr="009813E8">
              <w:rPr>
                <w:rFonts w:ascii="Arial" w:hAnsi="Arial" w:cs="Arial"/>
                <w:sz w:val="24"/>
                <w:szCs w:val="24"/>
                <w:shd w:val="clear" w:color="auto" w:fill="FFFFFF"/>
              </w:rPr>
              <w:t xml:space="preserve"> affidavit and must be exceptional.</w:t>
            </w:r>
            <w:r>
              <w:rPr>
                <w:rFonts w:ascii="Arial" w:hAnsi="Arial" w:cs="Arial"/>
                <w:sz w:val="24"/>
                <w:szCs w:val="24"/>
                <w:shd w:val="clear" w:color="auto" w:fill="FFFFFF"/>
              </w:rPr>
              <w:t xml:space="preserve"> </w:t>
            </w:r>
          </w:p>
          <w:p w:rsidR="00965C26" w:rsidRPr="009813E8" w:rsidRDefault="00965C26" w:rsidP="00965C26">
            <w:pPr>
              <w:pStyle w:val="ListParagraph"/>
              <w:spacing w:line="360" w:lineRule="auto"/>
              <w:ind w:left="0"/>
              <w:jc w:val="both"/>
              <w:rPr>
                <w:rFonts w:ascii="Arial" w:hAnsi="Arial" w:cs="Arial"/>
                <w:sz w:val="24"/>
                <w:szCs w:val="24"/>
              </w:rPr>
            </w:pPr>
          </w:p>
          <w:p w:rsidR="00965C26"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hAnsi="Arial" w:cs="Arial"/>
                <w:sz w:val="24"/>
                <w:szCs w:val="24"/>
              </w:rPr>
              <w:t>Although the plaintiff did not raise this issue, I cannot emphasise</w:t>
            </w:r>
            <w:r w:rsidR="00006D05">
              <w:rPr>
                <w:rFonts w:ascii="Arial" w:hAnsi="Arial" w:cs="Arial"/>
                <w:sz w:val="24"/>
                <w:szCs w:val="24"/>
              </w:rPr>
              <w:t xml:space="preserve"> </w:t>
            </w:r>
            <w:r>
              <w:rPr>
                <w:rFonts w:ascii="Arial" w:hAnsi="Arial" w:cs="Arial"/>
                <w:sz w:val="24"/>
                <w:szCs w:val="24"/>
              </w:rPr>
              <w:t>enough that even where the defendant’s legal practitioner indicates that some of the claims were omitted due to her oversight as in the current matter, the client must depose to the founding affidavit.</w:t>
            </w:r>
            <w:r>
              <w:rPr>
                <w:rStyle w:val="FootnoteReference"/>
                <w:rFonts w:ascii="Arial" w:hAnsi="Arial" w:cs="Arial"/>
                <w:sz w:val="24"/>
                <w:szCs w:val="24"/>
              </w:rPr>
              <w:footnoteReference w:id="12"/>
            </w:r>
            <w:r>
              <w:rPr>
                <w:rFonts w:ascii="Arial" w:hAnsi="Arial" w:cs="Arial"/>
                <w:sz w:val="24"/>
                <w:szCs w:val="24"/>
              </w:rPr>
              <w:t xml:space="preserve"> </w:t>
            </w:r>
          </w:p>
          <w:p w:rsidR="00965C26" w:rsidRPr="001976BE" w:rsidRDefault="00965C26" w:rsidP="00965C26">
            <w:pPr>
              <w:pStyle w:val="ListParagraph"/>
              <w:rPr>
                <w:rFonts w:ascii="Arial" w:hAnsi="Arial" w:cs="Arial"/>
                <w:sz w:val="24"/>
                <w:szCs w:val="24"/>
              </w:rPr>
            </w:pPr>
          </w:p>
          <w:p w:rsidR="00965C26" w:rsidRDefault="00965C26" w:rsidP="00965C26">
            <w:pPr>
              <w:pStyle w:val="ListParagraph"/>
              <w:spacing w:line="360" w:lineRule="auto"/>
              <w:ind w:left="0"/>
              <w:jc w:val="both"/>
              <w:rPr>
                <w:rFonts w:ascii="Arial" w:hAnsi="Arial" w:cs="Arial"/>
                <w:sz w:val="24"/>
                <w:szCs w:val="24"/>
                <w:u w:val="single"/>
              </w:rPr>
            </w:pPr>
            <w:r w:rsidRPr="001976BE">
              <w:rPr>
                <w:rFonts w:ascii="Arial" w:hAnsi="Arial" w:cs="Arial"/>
                <w:sz w:val="24"/>
                <w:szCs w:val="24"/>
                <w:u w:val="single"/>
              </w:rPr>
              <w:t>Costs</w:t>
            </w:r>
          </w:p>
          <w:p w:rsidR="00156C35" w:rsidRPr="001976BE" w:rsidRDefault="00156C35" w:rsidP="00965C26">
            <w:pPr>
              <w:pStyle w:val="ListParagraph"/>
              <w:spacing w:line="360" w:lineRule="auto"/>
              <w:ind w:left="0"/>
              <w:jc w:val="both"/>
              <w:rPr>
                <w:rFonts w:ascii="Arial" w:hAnsi="Arial" w:cs="Arial"/>
                <w:sz w:val="24"/>
                <w:szCs w:val="24"/>
                <w:u w:val="single"/>
              </w:rPr>
            </w:pPr>
          </w:p>
          <w:p w:rsidR="00965C26" w:rsidRDefault="00965C26" w:rsidP="005A3876">
            <w:pPr>
              <w:pStyle w:val="ListParagraph"/>
              <w:numPr>
                <w:ilvl w:val="0"/>
                <w:numId w:val="26"/>
              </w:numPr>
              <w:spacing w:line="360" w:lineRule="auto"/>
              <w:ind w:left="0" w:firstLine="0"/>
              <w:jc w:val="both"/>
              <w:rPr>
                <w:rFonts w:ascii="Arial" w:hAnsi="Arial" w:cs="Arial"/>
                <w:sz w:val="24"/>
                <w:szCs w:val="24"/>
              </w:rPr>
            </w:pPr>
            <w:r w:rsidRPr="001976BE">
              <w:rPr>
                <w:rFonts w:ascii="Arial" w:hAnsi="Arial" w:cs="Arial"/>
                <w:sz w:val="24"/>
                <w:szCs w:val="24"/>
              </w:rPr>
              <w:t>In terms of rule 52(8)</w:t>
            </w:r>
            <w:r w:rsidR="00156C35">
              <w:rPr>
                <w:rFonts w:ascii="Arial" w:hAnsi="Arial" w:cs="Arial"/>
                <w:sz w:val="24"/>
                <w:szCs w:val="24"/>
              </w:rPr>
              <w:t>,</w:t>
            </w:r>
            <w:r w:rsidRPr="001976BE">
              <w:rPr>
                <w:rFonts w:ascii="Arial" w:hAnsi="Arial" w:cs="Arial"/>
                <w:sz w:val="24"/>
                <w:szCs w:val="24"/>
              </w:rPr>
              <w:t xml:space="preserve"> the defendant is liable for the cost of this application, limited to rule 32(11).</w:t>
            </w:r>
          </w:p>
          <w:p w:rsidR="00965C26" w:rsidRDefault="00965C26" w:rsidP="00965C26">
            <w:pPr>
              <w:pStyle w:val="ListParagraph"/>
              <w:spacing w:line="360" w:lineRule="auto"/>
              <w:ind w:left="0"/>
              <w:jc w:val="both"/>
              <w:rPr>
                <w:rFonts w:ascii="Arial" w:hAnsi="Arial" w:cs="Arial"/>
                <w:sz w:val="24"/>
                <w:szCs w:val="24"/>
              </w:rPr>
            </w:pPr>
          </w:p>
          <w:p w:rsidR="00965C26" w:rsidRPr="00965C26" w:rsidRDefault="00965C26" w:rsidP="00965C26">
            <w:pPr>
              <w:pStyle w:val="ListParagraph"/>
              <w:spacing w:line="360" w:lineRule="auto"/>
              <w:ind w:left="0"/>
              <w:jc w:val="both"/>
              <w:rPr>
                <w:rFonts w:ascii="Arial" w:hAnsi="Arial" w:cs="Arial"/>
                <w:sz w:val="24"/>
                <w:szCs w:val="24"/>
                <w:u w:val="single"/>
              </w:rPr>
            </w:pPr>
            <w:r w:rsidRPr="00965C26">
              <w:rPr>
                <w:rFonts w:ascii="Arial" w:hAnsi="Arial" w:cs="Arial"/>
                <w:sz w:val="24"/>
                <w:szCs w:val="24"/>
                <w:u w:val="single"/>
              </w:rPr>
              <w:t>Order</w:t>
            </w:r>
          </w:p>
          <w:p w:rsidR="00965C26" w:rsidRDefault="00965C26" w:rsidP="00965C26">
            <w:pPr>
              <w:pStyle w:val="ListParagraph"/>
              <w:spacing w:line="360" w:lineRule="auto"/>
              <w:ind w:left="0"/>
              <w:jc w:val="both"/>
              <w:rPr>
                <w:rFonts w:ascii="Arial" w:hAnsi="Arial" w:cs="Arial"/>
                <w:sz w:val="24"/>
                <w:szCs w:val="24"/>
              </w:rPr>
            </w:pPr>
          </w:p>
          <w:p w:rsidR="00965C26" w:rsidRPr="001976BE" w:rsidRDefault="00965C26" w:rsidP="005A3876">
            <w:pPr>
              <w:pStyle w:val="ListParagraph"/>
              <w:numPr>
                <w:ilvl w:val="0"/>
                <w:numId w:val="26"/>
              </w:numPr>
              <w:spacing w:line="360" w:lineRule="auto"/>
              <w:ind w:left="0" w:firstLine="0"/>
              <w:jc w:val="both"/>
              <w:rPr>
                <w:rFonts w:ascii="Arial" w:hAnsi="Arial" w:cs="Arial"/>
                <w:sz w:val="24"/>
                <w:szCs w:val="24"/>
              </w:rPr>
            </w:pPr>
            <w:r>
              <w:rPr>
                <w:rFonts w:ascii="Arial" w:hAnsi="Arial" w:cs="Arial"/>
                <w:sz w:val="24"/>
                <w:szCs w:val="24"/>
              </w:rPr>
              <w:t>My order is set out above.</w:t>
            </w:r>
          </w:p>
          <w:p w:rsidR="00C04F28" w:rsidRPr="00CA7995" w:rsidRDefault="00C04F28" w:rsidP="008C3F75">
            <w:pPr>
              <w:pStyle w:val="BodyText"/>
            </w:pPr>
          </w:p>
        </w:tc>
      </w:tr>
      <w:tr w:rsidR="00CA7995" w:rsidRPr="00CA7995" w:rsidTr="0000513F">
        <w:tc>
          <w:tcPr>
            <w:tcW w:w="5232" w:type="dxa"/>
          </w:tcPr>
          <w:p w:rsidR="00B40844" w:rsidRPr="00CA7995" w:rsidRDefault="005A127F" w:rsidP="00ED76B2">
            <w:pPr>
              <w:spacing w:line="360" w:lineRule="auto"/>
              <w:jc w:val="center"/>
              <w:rPr>
                <w:rFonts w:ascii="Arial" w:hAnsi="Arial" w:cs="Arial"/>
                <w:b/>
                <w:sz w:val="24"/>
                <w:szCs w:val="24"/>
              </w:rPr>
            </w:pPr>
            <w:r>
              <w:rPr>
                <w:rFonts w:ascii="Arial" w:hAnsi="Arial" w:cs="Arial"/>
                <w:b/>
                <w:sz w:val="24"/>
                <w:szCs w:val="24"/>
              </w:rPr>
              <w:lastRenderedPageBreak/>
              <w:t xml:space="preserve"> </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6761B0" w:rsidP="00937C89">
            <w:pPr>
              <w:spacing w:line="360" w:lineRule="auto"/>
              <w:jc w:val="center"/>
              <w:rPr>
                <w:rFonts w:ascii="Arial" w:hAnsi="Arial" w:cs="Arial"/>
                <w:b/>
                <w:sz w:val="24"/>
                <w:szCs w:val="24"/>
              </w:rPr>
            </w:pPr>
            <w:r>
              <w:rPr>
                <w:rFonts w:ascii="Arial" w:hAnsi="Arial" w:cs="Arial"/>
                <w:b/>
                <w:sz w:val="24"/>
                <w:szCs w:val="24"/>
              </w:rPr>
              <w:lastRenderedPageBreak/>
              <w:t>Plaintiff</w:t>
            </w:r>
          </w:p>
        </w:tc>
        <w:tc>
          <w:tcPr>
            <w:tcW w:w="5244" w:type="dxa"/>
            <w:gridSpan w:val="2"/>
          </w:tcPr>
          <w:p w:rsidR="00B40844" w:rsidRPr="00CA7995" w:rsidRDefault="006761B0"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00513F">
        <w:tc>
          <w:tcPr>
            <w:tcW w:w="5232" w:type="dxa"/>
          </w:tcPr>
          <w:p w:rsidR="006761B0" w:rsidRDefault="00965C26" w:rsidP="00937C89">
            <w:pPr>
              <w:spacing w:line="360" w:lineRule="auto"/>
              <w:jc w:val="center"/>
              <w:rPr>
                <w:rFonts w:ascii="Arial" w:hAnsi="Arial" w:cs="Arial"/>
                <w:sz w:val="24"/>
                <w:szCs w:val="24"/>
              </w:rPr>
            </w:pPr>
            <w:r>
              <w:rPr>
                <w:rFonts w:ascii="Arial" w:hAnsi="Arial" w:cs="Arial"/>
                <w:sz w:val="24"/>
                <w:szCs w:val="24"/>
              </w:rPr>
              <w:t>S Namandje</w:t>
            </w:r>
          </w:p>
          <w:p w:rsidR="00394F42" w:rsidRDefault="00A76107" w:rsidP="00A76107">
            <w:pPr>
              <w:spacing w:line="360" w:lineRule="auto"/>
              <w:jc w:val="center"/>
              <w:rPr>
                <w:rFonts w:ascii="Arial" w:hAnsi="Arial" w:cs="Arial"/>
                <w:sz w:val="24"/>
                <w:szCs w:val="24"/>
              </w:rPr>
            </w:pPr>
            <w:r>
              <w:rPr>
                <w:rFonts w:ascii="Arial" w:hAnsi="Arial" w:cs="Arial"/>
                <w:sz w:val="24"/>
                <w:szCs w:val="24"/>
              </w:rPr>
              <w:t xml:space="preserve">Of </w:t>
            </w:r>
            <w:r w:rsidR="00965C26">
              <w:rPr>
                <w:rFonts w:ascii="Arial" w:hAnsi="Arial" w:cs="Arial"/>
                <w:sz w:val="24"/>
                <w:szCs w:val="24"/>
              </w:rPr>
              <w:t>Sisa Namandje &amp; Co Inc.</w:t>
            </w:r>
          </w:p>
          <w:p w:rsidR="00B40844" w:rsidRPr="00B11B99" w:rsidRDefault="0078733C" w:rsidP="00937C89">
            <w:pPr>
              <w:spacing w:line="360" w:lineRule="auto"/>
              <w:jc w:val="center"/>
              <w:rPr>
                <w:rFonts w:ascii="Arial" w:hAnsi="Arial" w:cs="Arial"/>
                <w:sz w:val="24"/>
                <w:szCs w:val="24"/>
              </w:rPr>
            </w:pPr>
            <w:r w:rsidRPr="00B11B99">
              <w:rPr>
                <w:rFonts w:ascii="Arial" w:hAnsi="Arial" w:cs="Arial"/>
                <w:sz w:val="24"/>
                <w:szCs w:val="24"/>
              </w:rPr>
              <w:t xml:space="preserve">Windhoek </w:t>
            </w:r>
          </w:p>
          <w:p w:rsidR="00B40844" w:rsidRPr="00D24453" w:rsidRDefault="00B40844" w:rsidP="00937C89">
            <w:pPr>
              <w:spacing w:line="360" w:lineRule="auto"/>
              <w:jc w:val="center"/>
              <w:rPr>
                <w:rFonts w:ascii="Arial" w:hAnsi="Arial" w:cs="Arial"/>
                <w:sz w:val="24"/>
                <w:szCs w:val="24"/>
              </w:rPr>
            </w:pPr>
          </w:p>
        </w:tc>
        <w:tc>
          <w:tcPr>
            <w:tcW w:w="5244" w:type="dxa"/>
            <w:gridSpan w:val="2"/>
          </w:tcPr>
          <w:p w:rsidR="00B40844" w:rsidRDefault="00965C26" w:rsidP="00937C89">
            <w:pPr>
              <w:spacing w:line="360" w:lineRule="auto"/>
              <w:jc w:val="center"/>
              <w:rPr>
                <w:rFonts w:ascii="Arial" w:hAnsi="Arial" w:cs="Arial"/>
                <w:sz w:val="24"/>
                <w:szCs w:val="24"/>
              </w:rPr>
            </w:pPr>
            <w:r>
              <w:rPr>
                <w:rFonts w:ascii="Arial" w:hAnsi="Arial" w:cs="Arial"/>
                <w:sz w:val="24"/>
                <w:szCs w:val="24"/>
              </w:rPr>
              <w:t>K Angula</w:t>
            </w:r>
          </w:p>
          <w:p w:rsidR="00692710" w:rsidRPr="00A76107" w:rsidRDefault="00A76107" w:rsidP="00A76107">
            <w:pPr>
              <w:spacing w:line="360" w:lineRule="auto"/>
              <w:jc w:val="center"/>
              <w:rPr>
                <w:rFonts w:ascii="Arial" w:hAnsi="Arial" w:cs="Arial"/>
                <w:sz w:val="24"/>
                <w:szCs w:val="24"/>
              </w:rPr>
            </w:pPr>
            <w:r>
              <w:rPr>
                <w:rFonts w:ascii="Arial" w:hAnsi="Arial" w:cs="Arial"/>
                <w:sz w:val="24"/>
                <w:szCs w:val="24"/>
              </w:rPr>
              <w:t xml:space="preserve">Of </w:t>
            </w:r>
            <w:r w:rsidR="00965C26">
              <w:rPr>
                <w:rFonts w:ascii="Arial" w:hAnsi="Arial" w:cs="Arial"/>
                <w:sz w:val="24"/>
                <w:szCs w:val="24"/>
              </w:rPr>
              <w:t>Angula Co.</w:t>
            </w:r>
          </w:p>
          <w:p w:rsidR="0000513F" w:rsidRPr="00734146" w:rsidRDefault="00692710" w:rsidP="00734146">
            <w:pPr>
              <w:pStyle w:val="BodyText2"/>
              <w:jc w:val="center"/>
              <w:rPr>
                <w:i/>
                <w:color w:val="auto"/>
              </w:rPr>
            </w:pPr>
            <w:r>
              <w:rPr>
                <w:color w:val="auto"/>
              </w:rPr>
              <w:t>Windhoek</w:t>
            </w:r>
          </w:p>
        </w:tc>
      </w:tr>
    </w:tbl>
    <w:p w:rsidR="00B845CF" w:rsidRDefault="00B845CF"/>
    <w:sectPr w:rsidR="00B845CF" w:rsidSect="00002E9A">
      <w:head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BD" w:rsidRDefault="006F4EBD" w:rsidP="00B40844">
      <w:pPr>
        <w:spacing w:after="0" w:line="240" w:lineRule="auto"/>
      </w:pPr>
      <w:r>
        <w:separator/>
      </w:r>
    </w:p>
  </w:endnote>
  <w:endnote w:type="continuationSeparator" w:id="0">
    <w:p w:rsidR="006F4EBD" w:rsidRDefault="006F4EBD"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BD" w:rsidRDefault="006F4EBD" w:rsidP="00B40844">
      <w:pPr>
        <w:spacing w:after="0" w:line="240" w:lineRule="auto"/>
      </w:pPr>
      <w:r>
        <w:separator/>
      </w:r>
    </w:p>
  </w:footnote>
  <w:footnote w:type="continuationSeparator" w:id="0">
    <w:p w:rsidR="006F4EBD" w:rsidRDefault="006F4EBD" w:rsidP="00B40844">
      <w:pPr>
        <w:spacing w:after="0" w:line="240" w:lineRule="auto"/>
      </w:pPr>
      <w:r>
        <w:continuationSeparator/>
      </w:r>
    </w:p>
  </w:footnote>
  <w:footnote w:id="1">
    <w:p w:rsidR="00965C26" w:rsidRPr="00791F57" w:rsidRDefault="00965C26" w:rsidP="00965C26">
      <w:pPr>
        <w:pStyle w:val="FootnoteText"/>
        <w:rPr>
          <w:rFonts w:ascii="Arial" w:hAnsi="Arial" w:cs="Arial"/>
          <w:b/>
        </w:rPr>
      </w:pPr>
      <w:r w:rsidRPr="004A30C5">
        <w:rPr>
          <w:rStyle w:val="FootnoteReference"/>
        </w:rPr>
        <w:footnoteRef/>
      </w:r>
      <w:r>
        <w:rPr>
          <w:rFonts w:ascii="Arial" w:hAnsi="Arial" w:cs="Arial"/>
        </w:rPr>
        <w:t xml:space="preserve"> </w:t>
      </w:r>
      <w:r w:rsidRPr="00791F57">
        <w:rPr>
          <w:rFonts w:ascii="Arial" w:hAnsi="Arial" w:cs="Arial"/>
          <w:i/>
        </w:rPr>
        <w:t>IA Bell Equipment Company (Namibia) (Pty) Ltd v Roadstone Quarries CC</w:t>
      </w:r>
      <w:r w:rsidRPr="00791F57">
        <w:rPr>
          <w:rFonts w:ascii="Arial" w:hAnsi="Arial" w:cs="Arial"/>
        </w:rPr>
        <w:t xml:space="preserve"> (I 601-2013 &amp; I 4084-2010) [2014] NAHCMD 306 (17 October 2014) at para</w:t>
      </w:r>
      <w:r w:rsidR="0071022A" w:rsidRPr="00791F57">
        <w:rPr>
          <w:rFonts w:ascii="Arial" w:hAnsi="Arial" w:cs="Arial"/>
        </w:rPr>
        <w:t>s</w:t>
      </w:r>
      <w:r w:rsidRPr="00791F57">
        <w:rPr>
          <w:rFonts w:ascii="Arial" w:hAnsi="Arial" w:cs="Arial"/>
        </w:rPr>
        <w:t xml:space="preserve"> 33 - 36.</w:t>
      </w:r>
    </w:p>
  </w:footnote>
  <w:footnote w:id="2">
    <w:p w:rsidR="0071022A" w:rsidRPr="00791F57" w:rsidRDefault="0071022A">
      <w:pPr>
        <w:pStyle w:val="FootnoteText"/>
        <w:rPr>
          <w:rFonts w:ascii="Arial" w:hAnsi="Arial" w:cs="Arial"/>
          <w:lang w:val="en-US"/>
        </w:rPr>
      </w:pPr>
      <w:r w:rsidRPr="00791F57">
        <w:rPr>
          <w:rStyle w:val="FootnoteReference"/>
          <w:rFonts w:ascii="Arial" w:hAnsi="Arial" w:cs="Arial"/>
        </w:rPr>
        <w:footnoteRef/>
      </w:r>
      <w:r w:rsidRPr="00791F57">
        <w:rPr>
          <w:rFonts w:ascii="Arial" w:hAnsi="Arial" w:cs="Arial"/>
        </w:rPr>
        <w:t xml:space="preserve"> </w:t>
      </w:r>
      <w:r w:rsidRPr="00791F57">
        <w:rPr>
          <w:rFonts w:ascii="Arial" w:hAnsi="Arial" w:cs="Arial"/>
          <w:i/>
          <w:color w:val="000000"/>
        </w:rPr>
        <w:t xml:space="preserve">Windhoek Municipal Council v Pioneerspark Dam Investment </w:t>
      </w:r>
      <w:r w:rsidRPr="00791F57">
        <w:rPr>
          <w:rFonts w:ascii="Arial" w:hAnsi="Arial" w:cs="Arial"/>
          <w:color w:val="000000"/>
        </w:rPr>
        <w:t>CC (SA 70/2019) NASC (23 June 2021).</w:t>
      </w:r>
    </w:p>
  </w:footnote>
  <w:footnote w:id="3">
    <w:p w:rsidR="00965C26" w:rsidRPr="00791F57" w:rsidRDefault="00965C26" w:rsidP="00965C26">
      <w:pPr>
        <w:pStyle w:val="FootnoteText"/>
        <w:jc w:val="both"/>
        <w:rPr>
          <w:rFonts w:ascii="Arial" w:hAnsi="Arial" w:cs="Arial"/>
        </w:rPr>
      </w:pPr>
      <w:r w:rsidRPr="00791F57">
        <w:rPr>
          <w:rStyle w:val="FootnoteReference"/>
          <w:rFonts w:ascii="Arial" w:hAnsi="Arial" w:cs="Arial"/>
        </w:rPr>
        <w:footnoteRef/>
      </w:r>
      <w:r w:rsidRPr="00791F57">
        <w:rPr>
          <w:rFonts w:ascii="Arial" w:hAnsi="Arial" w:cs="Arial"/>
        </w:rPr>
        <w:t xml:space="preserve"> Rule 52 (9).</w:t>
      </w:r>
    </w:p>
  </w:footnote>
  <w:footnote w:id="4">
    <w:p w:rsidR="00965C26" w:rsidRPr="00791F57" w:rsidRDefault="00965C26" w:rsidP="00965C26">
      <w:pPr>
        <w:pStyle w:val="FootnoteText"/>
        <w:jc w:val="both"/>
        <w:rPr>
          <w:rFonts w:ascii="Arial" w:hAnsi="Arial" w:cs="Arial"/>
        </w:rPr>
      </w:pPr>
      <w:r w:rsidRPr="00791F57">
        <w:rPr>
          <w:rStyle w:val="FootnoteReference"/>
          <w:rFonts w:ascii="Arial" w:hAnsi="Arial" w:cs="Arial"/>
        </w:rPr>
        <w:footnoteRef/>
      </w:r>
      <w:r w:rsidRPr="00791F57">
        <w:rPr>
          <w:rFonts w:ascii="Arial" w:hAnsi="Arial" w:cs="Arial"/>
        </w:rPr>
        <w:t xml:space="preserve"> Supra</w:t>
      </w:r>
      <w:r w:rsidR="0071022A" w:rsidRPr="00791F57">
        <w:rPr>
          <w:rFonts w:ascii="Arial" w:hAnsi="Arial" w:cs="Arial"/>
        </w:rPr>
        <w:t xml:space="preserve"> at footnote 1</w:t>
      </w:r>
      <w:r w:rsidRPr="00791F57">
        <w:rPr>
          <w:rFonts w:ascii="Arial" w:hAnsi="Arial" w:cs="Arial"/>
        </w:rPr>
        <w:t>.</w:t>
      </w:r>
    </w:p>
  </w:footnote>
  <w:footnote w:id="5">
    <w:p w:rsidR="00965C26" w:rsidRPr="00380DB3" w:rsidRDefault="00965C26" w:rsidP="00380DB3">
      <w:pPr>
        <w:pStyle w:val="FootnoteText"/>
        <w:spacing w:line="360" w:lineRule="auto"/>
        <w:jc w:val="both"/>
        <w:rPr>
          <w:rFonts w:ascii="Arial" w:hAnsi="Arial" w:cs="Arial"/>
        </w:rPr>
      </w:pPr>
      <w:r w:rsidRPr="00F66131">
        <w:rPr>
          <w:rStyle w:val="FootnoteReference"/>
        </w:rPr>
        <w:footnoteRef/>
      </w:r>
      <w:r w:rsidRPr="00F66131">
        <w:rPr>
          <w:rFonts w:ascii="Arial" w:hAnsi="Arial" w:cs="Arial"/>
        </w:rPr>
        <w:t xml:space="preserve"> </w:t>
      </w:r>
      <w:r w:rsidRPr="00380DB3">
        <w:rPr>
          <w:rFonts w:ascii="Arial" w:hAnsi="Arial" w:cs="Arial"/>
        </w:rPr>
        <w:t>Para 50 as embodied in the erstwhile Rule 1A, now replaced and expanded in rule 1 (3) of the current rules of the High Court.</w:t>
      </w:r>
    </w:p>
  </w:footnote>
  <w:footnote w:id="6">
    <w:p w:rsidR="00965C26" w:rsidRPr="00380DB3" w:rsidRDefault="00965C26" w:rsidP="00380DB3">
      <w:pPr>
        <w:pStyle w:val="FootnoteText"/>
        <w:spacing w:line="360" w:lineRule="auto"/>
        <w:rPr>
          <w:rFonts w:ascii="Arial" w:hAnsi="Arial" w:cs="Arial"/>
          <w:lang w:val="en-US"/>
        </w:rPr>
      </w:pPr>
      <w:r w:rsidRPr="00380DB3">
        <w:rPr>
          <w:rStyle w:val="FootnoteReference"/>
          <w:rFonts w:ascii="Arial" w:hAnsi="Arial" w:cs="Arial"/>
        </w:rPr>
        <w:footnoteRef/>
      </w:r>
      <w:r w:rsidRPr="00380DB3">
        <w:rPr>
          <w:rFonts w:ascii="Arial" w:hAnsi="Arial" w:cs="Arial"/>
        </w:rPr>
        <w:t xml:space="preserve"> </w:t>
      </w:r>
      <w:r w:rsidRPr="00380DB3">
        <w:rPr>
          <w:rFonts w:ascii="Arial" w:hAnsi="Arial" w:cs="Arial"/>
          <w:i/>
          <w:color w:val="212529"/>
          <w:shd w:val="clear" w:color="auto" w:fill="FFFFFF"/>
        </w:rPr>
        <w:t>Frankly Enterprises CC v Ohiozebau</w:t>
      </w:r>
      <w:r w:rsidRPr="00380DB3">
        <w:rPr>
          <w:rFonts w:ascii="Arial" w:hAnsi="Arial" w:cs="Arial"/>
          <w:color w:val="212529"/>
          <w:shd w:val="clear" w:color="auto" w:fill="FFFFFF"/>
        </w:rPr>
        <w:t xml:space="preserve"> (HC-MD-CIV-ACT-CON-2017/04092) [2023] NAHCMD 368 (30 June 2023) at para 81.</w:t>
      </w:r>
    </w:p>
  </w:footnote>
  <w:footnote w:id="7">
    <w:p w:rsidR="00965C26" w:rsidRPr="00380DB3" w:rsidRDefault="00965C26" w:rsidP="00965C26">
      <w:pPr>
        <w:pStyle w:val="FootnoteText"/>
        <w:rPr>
          <w:rFonts w:ascii="Arial" w:hAnsi="Arial" w:cs="Arial"/>
          <w:color w:val="212529"/>
          <w:shd w:val="clear" w:color="auto" w:fill="FFFFFF"/>
        </w:rPr>
      </w:pPr>
      <w:r w:rsidRPr="00380DB3">
        <w:rPr>
          <w:rStyle w:val="FootnoteReference"/>
          <w:rFonts w:ascii="Arial" w:hAnsi="Arial" w:cs="Arial"/>
        </w:rPr>
        <w:footnoteRef/>
      </w:r>
      <w:r w:rsidRPr="00380DB3">
        <w:rPr>
          <w:rFonts w:ascii="Arial" w:hAnsi="Arial" w:cs="Arial"/>
        </w:rPr>
        <w:t xml:space="preserve"> </w:t>
      </w:r>
      <w:r w:rsidRPr="00380DB3">
        <w:rPr>
          <w:rFonts w:ascii="Arial" w:hAnsi="Arial" w:cs="Arial"/>
          <w:i/>
          <w:iCs/>
          <w:color w:val="212529"/>
          <w:shd w:val="clear" w:color="auto" w:fill="FFFFFF"/>
        </w:rPr>
        <w:t>Nash v Golden Dumps (Pty) Ltd</w:t>
      </w:r>
      <w:r w:rsidRPr="00380DB3">
        <w:rPr>
          <w:rFonts w:ascii="Arial" w:hAnsi="Arial" w:cs="Arial"/>
          <w:color w:val="212529"/>
          <w:shd w:val="clear" w:color="auto" w:fill="FFFFFF"/>
        </w:rPr>
        <w:t> [1985] 2 All SA 161 (A); 1985 (3) SA 1 (A) at 22D-F.</w:t>
      </w:r>
    </w:p>
    <w:p w:rsidR="00965C26" w:rsidRPr="00323920" w:rsidRDefault="00965C26" w:rsidP="00965C26">
      <w:pPr>
        <w:pStyle w:val="FootnoteText"/>
        <w:rPr>
          <w:lang w:val="en-US"/>
        </w:rPr>
      </w:pPr>
    </w:p>
  </w:footnote>
  <w:footnote w:id="8">
    <w:p w:rsidR="00965C26" w:rsidRPr="00062589" w:rsidRDefault="00965C26" w:rsidP="00965C26">
      <w:pPr>
        <w:pStyle w:val="FootnoteText"/>
        <w:spacing w:line="360" w:lineRule="auto"/>
        <w:rPr>
          <w:rFonts w:ascii="Arial" w:hAnsi="Arial" w:cs="Arial"/>
          <w:lang w:val="en-US"/>
        </w:rPr>
      </w:pPr>
      <w:r w:rsidRPr="00062589">
        <w:rPr>
          <w:rStyle w:val="FootnoteReference"/>
          <w:rFonts w:ascii="Arial" w:hAnsi="Arial" w:cs="Arial"/>
        </w:rPr>
        <w:footnoteRef/>
      </w:r>
      <w:r w:rsidRPr="00062589">
        <w:rPr>
          <w:rFonts w:ascii="Arial" w:hAnsi="Arial" w:cs="Arial"/>
        </w:rPr>
        <w:t xml:space="preserve"> </w:t>
      </w:r>
      <w:r w:rsidRPr="00062589">
        <w:rPr>
          <w:rFonts w:ascii="Arial" w:eastAsia="Calibri" w:hAnsi="Arial" w:cs="Arial"/>
          <w:i/>
          <w:color w:val="000000"/>
        </w:rPr>
        <w:t>Fischer Seelenbinder Associates CC v Steelforce CC</w:t>
      </w:r>
      <w:r w:rsidRPr="00062589">
        <w:rPr>
          <w:rFonts w:ascii="Arial" w:eastAsia="Calibri" w:hAnsi="Arial" w:cs="Arial"/>
          <w:color w:val="000000"/>
        </w:rPr>
        <w:t xml:space="preserve"> 2010 (2) NR 684 (HC) para 22</w:t>
      </w:r>
      <w:r w:rsidR="00C07922">
        <w:rPr>
          <w:rFonts w:ascii="Arial" w:eastAsia="Calibri" w:hAnsi="Arial" w:cs="Arial"/>
          <w:color w:val="000000"/>
        </w:rPr>
        <w:t>.</w:t>
      </w:r>
    </w:p>
  </w:footnote>
  <w:footnote w:id="9">
    <w:p w:rsidR="00965C26" w:rsidRPr="00062589" w:rsidRDefault="00965C26" w:rsidP="00965C26">
      <w:pPr>
        <w:pStyle w:val="FootnoteText"/>
        <w:spacing w:line="360" w:lineRule="auto"/>
        <w:rPr>
          <w:rFonts w:ascii="Arial" w:hAnsi="Arial" w:cs="Arial"/>
          <w:lang w:val="en-US"/>
        </w:rPr>
      </w:pPr>
      <w:r w:rsidRPr="00062589">
        <w:rPr>
          <w:rStyle w:val="FootnoteReference"/>
          <w:rFonts w:ascii="Arial" w:hAnsi="Arial" w:cs="Arial"/>
        </w:rPr>
        <w:footnoteRef/>
      </w:r>
      <w:r w:rsidRPr="00062589">
        <w:rPr>
          <w:rFonts w:ascii="Arial" w:hAnsi="Arial" w:cs="Arial"/>
        </w:rPr>
        <w:t xml:space="preserve"> </w:t>
      </w:r>
      <w:r w:rsidRPr="00062589">
        <w:rPr>
          <w:rFonts w:ascii="Arial" w:hAnsi="Arial" w:cs="Arial"/>
          <w:lang w:val="en-US"/>
        </w:rPr>
        <w:t xml:space="preserve">Also see </w:t>
      </w:r>
      <w:r w:rsidRPr="00062589">
        <w:rPr>
          <w:rFonts w:ascii="Arial" w:hAnsi="Arial" w:cs="Arial"/>
          <w:i/>
          <w:lang w:val="af-ZA"/>
        </w:rPr>
        <w:t>Cross v Ferreira</w:t>
      </w:r>
      <w:r w:rsidRPr="00062589">
        <w:rPr>
          <w:rFonts w:ascii="Arial" w:hAnsi="Arial" w:cs="Arial"/>
          <w:lang w:val="af-ZA"/>
        </w:rPr>
        <w:t xml:space="preserve"> 1950 (3) SA 443 (C) at 449G-450 G.</w:t>
      </w:r>
    </w:p>
  </w:footnote>
  <w:footnote w:id="10">
    <w:p w:rsidR="00965C26" w:rsidRPr="00F7195A" w:rsidRDefault="00965C26" w:rsidP="00965C26">
      <w:pPr>
        <w:pStyle w:val="FootnoteText"/>
        <w:spacing w:line="360" w:lineRule="auto"/>
        <w:jc w:val="both"/>
        <w:rPr>
          <w:rFonts w:ascii="Arial" w:hAnsi="Arial" w:cs="Arial"/>
          <w:lang w:val="af-ZA"/>
        </w:rPr>
      </w:pPr>
      <w:r w:rsidRPr="00062589">
        <w:rPr>
          <w:rStyle w:val="FootnoteReference"/>
          <w:rFonts w:ascii="Arial" w:hAnsi="Arial" w:cs="Arial"/>
        </w:rPr>
        <w:footnoteRef/>
      </w:r>
      <w:r w:rsidRPr="00062589">
        <w:rPr>
          <w:rFonts w:ascii="Arial" w:hAnsi="Arial" w:cs="Arial"/>
        </w:rPr>
        <w:t xml:space="preserve"> </w:t>
      </w:r>
      <w:r w:rsidRPr="00062589">
        <w:rPr>
          <w:rFonts w:ascii="Arial" w:hAnsi="Arial" w:cs="Arial"/>
          <w:i/>
        </w:rPr>
        <w:t>Bowring Barclays &amp; Genote (Edms) Bpk v De Kock</w:t>
      </w:r>
      <w:r w:rsidRPr="00062589">
        <w:rPr>
          <w:rFonts w:ascii="Arial" w:hAnsi="Arial" w:cs="Arial"/>
        </w:rPr>
        <w:t xml:space="preserve"> 1991 (1) SA 145 (SWA).</w:t>
      </w:r>
    </w:p>
  </w:footnote>
  <w:footnote w:id="11">
    <w:p w:rsidR="002F5CEB" w:rsidRPr="002F5CEB" w:rsidRDefault="002F5CEB" w:rsidP="00006D05">
      <w:pPr>
        <w:pStyle w:val="FootnoteText"/>
        <w:spacing w:line="360" w:lineRule="auto"/>
        <w:rPr>
          <w:lang w:val="en-US"/>
        </w:rPr>
      </w:pPr>
      <w:r>
        <w:rPr>
          <w:rStyle w:val="FootnoteReference"/>
        </w:rPr>
        <w:footnoteRef/>
      </w:r>
      <w:r>
        <w:t xml:space="preserve"> </w:t>
      </w:r>
      <w:r w:rsidRPr="00006D05">
        <w:rPr>
          <w:rFonts w:ascii="Arial" w:hAnsi="Arial" w:cs="Arial"/>
          <w:i/>
        </w:rPr>
        <w:t>Grindrod (Pty) Ltd v Seaman</w:t>
      </w:r>
      <w:r w:rsidRPr="00006D05">
        <w:rPr>
          <w:rFonts w:ascii="Arial" w:hAnsi="Arial" w:cs="Arial"/>
        </w:rPr>
        <w:t xml:space="preserve"> 1998 (2) SA 347 (C).</w:t>
      </w:r>
    </w:p>
  </w:footnote>
  <w:footnote w:id="12">
    <w:p w:rsidR="00965C26" w:rsidRPr="001976BE" w:rsidRDefault="00965C26" w:rsidP="00006D05">
      <w:pPr>
        <w:pStyle w:val="FootnoteText"/>
        <w:spacing w:line="360" w:lineRule="auto"/>
        <w:rPr>
          <w:lang w:val="en-US"/>
        </w:rPr>
      </w:pPr>
      <w:r w:rsidRPr="001976BE">
        <w:rPr>
          <w:rStyle w:val="FootnoteReference"/>
          <w:rFonts w:ascii="Arial" w:hAnsi="Arial" w:cs="Arial"/>
        </w:rPr>
        <w:footnoteRef/>
      </w:r>
      <w:r w:rsidRPr="001976BE">
        <w:rPr>
          <w:rFonts w:ascii="Arial" w:hAnsi="Arial" w:cs="Arial"/>
        </w:rPr>
        <w:t xml:space="preserve"> See</w:t>
      </w:r>
      <w:r w:rsidRPr="001976BE">
        <w:t xml:space="preserve"> </w:t>
      </w:r>
      <w:r w:rsidRPr="001976BE">
        <w:rPr>
          <w:rFonts w:ascii="Arial" w:hAnsi="Arial" w:cs="Arial"/>
          <w:i/>
          <w:iCs/>
          <w:color w:val="212529"/>
          <w:shd w:val="clear" w:color="auto" w:fill="FFFFFF"/>
        </w:rPr>
        <w:t>Prosecutor-General v Paulo and Another</w:t>
      </w:r>
      <w:r w:rsidRPr="001976BE">
        <w:rPr>
          <w:rFonts w:ascii="Arial" w:hAnsi="Arial" w:cs="Arial"/>
          <w:color w:val="212529"/>
          <w:shd w:val="clear" w:color="auto" w:fill="FFFFFF"/>
        </w:rPr>
        <w:t> 2017 (1) NR 178 (HC), at p.184, para 16,</w:t>
      </w:r>
      <w:r w:rsidRPr="001976BE">
        <w:rPr>
          <w:rFonts w:ascii="Arial" w:hAnsi="Arial" w:cs="Arial"/>
          <w:shd w:val="clear" w:color="auto" w:fill="FFFFFF"/>
        </w:rPr>
        <w:t xml:space="preserve"> </w:t>
      </w:r>
      <w:r w:rsidRPr="00156C35">
        <w:rPr>
          <w:rFonts w:ascii="Arial" w:hAnsi="Arial" w:cs="Arial"/>
          <w:i/>
          <w:shd w:val="clear" w:color="auto" w:fill="FFFFFF"/>
        </w:rPr>
        <w:t>Shihepo v Project Hope Namibia (</w:t>
      </w:r>
      <w:r w:rsidR="00791F57">
        <w:rPr>
          <w:rFonts w:ascii="Arial" w:hAnsi="Arial" w:cs="Arial"/>
          <w:shd w:val="clear" w:color="auto" w:fill="FFFFFF"/>
        </w:rPr>
        <w:t>HC-NLD-CIV-ACT-CON 218</w:t>
      </w:r>
      <w:r w:rsidR="00DB7193" w:rsidRPr="00156C35">
        <w:rPr>
          <w:rFonts w:ascii="Arial" w:hAnsi="Arial" w:cs="Arial"/>
          <w:shd w:val="clear" w:color="auto" w:fill="FFFFFF"/>
        </w:rPr>
        <w:t>-</w:t>
      </w:r>
      <w:r w:rsidRPr="00156C35">
        <w:rPr>
          <w:rFonts w:ascii="Arial" w:hAnsi="Arial" w:cs="Arial"/>
          <w:shd w:val="clear" w:color="auto" w:fill="FFFFFF"/>
        </w:rPr>
        <w:t>2021) [2022] NAHCNLD 61 (13 June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74223"/>
      <w:docPartObj>
        <w:docPartGallery w:val="Page Numbers (Top of Page)"/>
        <w:docPartUnique/>
      </w:docPartObj>
    </w:sdtPr>
    <w:sdtEndPr>
      <w:rPr>
        <w:noProof/>
      </w:rPr>
    </w:sdtEndPr>
    <w:sdtContent>
      <w:p w:rsidR="00965C26" w:rsidRDefault="00965C26">
        <w:pPr>
          <w:pStyle w:val="Header"/>
          <w:jc w:val="right"/>
        </w:pPr>
        <w:r>
          <w:fldChar w:fldCharType="begin"/>
        </w:r>
        <w:r>
          <w:instrText xml:space="preserve"> PAGE   \* MERGEFORMAT </w:instrText>
        </w:r>
        <w:r>
          <w:fldChar w:fldCharType="separate"/>
        </w:r>
        <w:r w:rsidR="00357541">
          <w:rPr>
            <w:noProof/>
          </w:rPr>
          <w:t>10</w:t>
        </w:r>
        <w:r>
          <w:rPr>
            <w:noProof/>
          </w:rPr>
          <w:fldChar w:fldCharType="end"/>
        </w:r>
      </w:p>
    </w:sdtContent>
  </w:sdt>
  <w:p w:rsidR="00965C26" w:rsidRDefault="00965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1F7038A"/>
    <w:multiLevelType w:val="hybridMultilevel"/>
    <w:tmpl w:val="D76841E0"/>
    <w:lvl w:ilvl="0" w:tplc="28DE282E">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4">
    <w:nsid w:val="07FB4E9B"/>
    <w:multiLevelType w:val="hybridMultilevel"/>
    <w:tmpl w:val="A43051AC"/>
    <w:lvl w:ilvl="0" w:tplc="B31CC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5BD4"/>
    <w:multiLevelType w:val="hybridMultilevel"/>
    <w:tmpl w:val="3574ED52"/>
    <w:lvl w:ilvl="0" w:tplc="A0F6A74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E3DB1"/>
    <w:multiLevelType w:val="hybridMultilevel"/>
    <w:tmpl w:val="97AC1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BBA"/>
    <w:multiLevelType w:val="hybridMultilevel"/>
    <w:tmpl w:val="8EB64BCA"/>
    <w:lvl w:ilvl="0" w:tplc="D95642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70443"/>
    <w:multiLevelType w:val="hybridMultilevel"/>
    <w:tmpl w:val="65A6F596"/>
    <w:lvl w:ilvl="0" w:tplc="5808A720">
      <w:start w:val="17"/>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C2F99"/>
    <w:multiLevelType w:val="hybridMultilevel"/>
    <w:tmpl w:val="34A025DE"/>
    <w:lvl w:ilvl="0" w:tplc="1206B95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F4420"/>
    <w:multiLevelType w:val="hybridMultilevel"/>
    <w:tmpl w:val="1EA270EA"/>
    <w:lvl w:ilvl="0" w:tplc="7980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C4C30"/>
    <w:multiLevelType w:val="hybridMultilevel"/>
    <w:tmpl w:val="587AD1CA"/>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15F99"/>
    <w:multiLevelType w:val="hybridMultilevel"/>
    <w:tmpl w:val="9A789E54"/>
    <w:lvl w:ilvl="0" w:tplc="4DDC790C">
      <w:start w:val="34"/>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558A"/>
    <w:multiLevelType w:val="hybridMultilevel"/>
    <w:tmpl w:val="F864C16A"/>
    <w:lvl w:ilvl="0" w:tplc="31666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211A84"/>
    <w:multiLevelType w:val="hybridMultilevel"/>
    <w:tmpl w:val="8EC6E7AC"/>
    <w:lvl w:ilvl="0" w:tplc="439058C0">
      <w:start w:val="30"/>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5644BDB"/>
    <w:multiLevelType w:val="hybridMultilevel"/>
    <w:tmpl w:val="91F25AF8"/>
    <w:lvl w:ilvl="0" w:tplc="69708FAE">
      <w:start w:val="17"/>
      <w:numFmt w:val="decimal"/>
      <w:lvlText w:val="%1."/>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8CE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FAD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C81C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5ECB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C0AE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8C5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820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CB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nsid w:val="4B802CA4"/>
    <w:multiLevelType w:val="hybridMultilevel"/>
    <w:tmpl w:val="9E7A5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845E0"/>
    <w:multiLevelType w:val="hybridMultilevel"/>
    <w:tmpl w:val="B0D467CA"/>
    <w:lvl w:ilvl="0" w:tplc="B3461F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07D56"/>
    <w:multiLevelType w:val="hybridMultilevel"/>
    <w:tmpl w:val="CB6EE64C"/>
    <w:lvl w:ilvl="0" w:tplc="1B6C5474">
      <w:start w:val="28"/>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C52CC"/>
    <w:multiLevelType w:val="hybridMultilevel"/>
    <w:tmpl w:val="A9547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C535B"/>
    <w:multiLevelType w:val="hybridMultilevel"/>
    <w:tmpl w:val="E06ACA5A"/>
    <w:lvl w:ilvl="0" w:tplc="8DEADEFE">
      <w:start w:val="1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24516"/>
    <w:multiLevelType w:val="hybridMultilevel"/>
    <w:tmpl w:val="1CFEAE1A"/>
    <w:lvl w:ilvl="0" w:tplc="85D2710A">
      <w:start w:val="3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8"/>
  </w:num>
  <w:num w:numId="4">
    <w:abstractNumId w:val="3"/>
  </w:num>
  <w:num w:numId="5">
    <w:abstractNumId w:val="1"/>
  </w:num>
  <w:num w:numId="6">
    <w:abstractNumId w:val="16"/>
  </w:num>
  <w:num w:numId="7">
    <w:abstractNumId w:val="14"/>
  </w:num>
  <w:num w:numId="8">
    <w:abstractNumId w:val="17"/>
  </w:num>
  <w:num w:numId="9">
    <w:abstractNumId w:val="9"/>
  </w:num>
  <w:num w:numId="10">
    <w:abstractNumId w:val="2"/>
  </w:num>
  <w:num w:numId="11">
    <w:abstractNumId w:val="25"/>
  </w:num>
  <w:num w:numId="12">
    <w:abstractNumId w:val="15"/>
  </w:num>
  <w:num w:numId="13">
    <w:abstractNumId w:val="5"/>
  </w:num>
  <w:num w:numId="14">
    <w:abstractNumId w:val="12"/>
  </w:num>
  <w:num w:numId="15">
    <w:abstractNumId w:val="11"/>
  </w:num>
  <w:num w:numId="16">
    <w:abstractNumId w:val="21"/>
  </w:num>
  <w:num w:numId="17">
    <w:abstractNumId w:val="10"/>
  </w:num>
  <w:num w:numId="18">
    <w:abstractNumId w:val="6"/>
  </w:num>
  <w:num w:numId="19">
    <w:abstractNumId w:val="19"/>
  </w:num>
  <w:num w:numId="20">
    <w:abstractNumId w:val="13"/>
  </w:num>
  <w:num w:numId="21">
    <w:abstractNumId w:val="4"/>
  </w:num>
  <w:num w:numId="22">
    <w:abstractNumId w:val="22"/>
  </w:num>
  <w:num w:numId="23">
    <w:abstractNumId w:val="24"/>
  </w:num>
  <w:num w:numId="24">
    <w:abstractNumId w:val="7"/>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0108"/>
    <w:rsid w:val="00002E9A"/>
    <w:rsid w:val="0000467D"/>
    <w:rsid w:val="0000513F"/>
    <w:rsid w:val="00006D05"/>
    <w:rsid w:val="00007B32"/>
    <w:rsid w:val="000142CE"/>
    <w:rsid w:val="00015808"/>
    <w:rsid w:val="00025869"/>
    <w:rsid w:val="0002753F"/>
    <w:rsid w:val="00030A66"/>
    <w:rsid w:val="00032152"/>
    <w:rsid w:val="00051C0E"/>
    <w:rsid w:val="00052806"/>
    <w:rsid w:val="00052A0F"/>
    <w:rsid w:val="00053646"/>
    <w:rsid w:val="00067499"/>
    <w:rsid w:val="000675FE"/>
    <w:rsid w:val="00074F29"/>
    <w:rsid w:val="00080C9B"/>
    <w:rsid w:val="00080E56"/>
    <w:rsid w:val="000862C9"/>
    <w:rsid w:val="000929C5"/>
    <w:rsid w:val="00093454"/>
    <w:rsid w:val="000979F3"/>
    <w:rsid w:val="000A358F"/>
    <w:rsid w:val="000A4391"/>
    <w:rsid w:val="000A6E7F"/>
    <w:rsid w:val="000B07EA"/>
    <w:rsid w:val="000B55BA"/>
    <w:rsid w:val="000C03BB"/>
    <w:rsid w:val="000C3FEC"/>
    <w:rsid w:val="000D00E4"/>
    <w:rsid w:val="000D3BDD"/>
    <w:rsid w:val="000D3C9C"/>
    <w:rsid w:val="000D732A"/>
    <w:rsid w:val="000E05A2"/>
    <w:rsid w:val="000E2366"/>
    <w:rsid w:val="000F1377"/>
    <w:rsid w:val="000F287A"/>
    <w:rsid w:val="000F3512"/>
    <w:rsid w:val="000F39A3"/>
    <w:rsid w:val="000F40F8"/>
    <w:rsid w:val="000F681E"/>
    <w:rsid w:val="00101BD9"/>
    <w:rsid w:val="001112BA"/>
    <w:rsid w:val="00113CEA"/>
    <w:rsid w:val="00116AFB"/>
    <w:rsid w:val="001223B7"/>
    <w:rsid w:val="00124C63"/>
    <w:rsid w:val="00127D04"/>
    <w:rsid w:val="001327E5"/>
    <w:rsid w:val="0013587A"/>
    <w:rsid w:val="00141F58"/>
    <w:rsid w:val="00152FEA"/>
    <w:rsid w:val="00155AA0"/>
    <w:rsid w:val="00156C35"/>
    <w:rsid w:val="001676F3"/>
    <w:rsid w:val="001744E0"/>
    <w:rsid w:val="001823E1"/>
    <w:rsid w:val="0018718C"/>
    <w:rsid w:val="001905B2"/>
    <w:rsid w:val="001B3825"/>
    <w:rsid w:val="001C3B87"/>
    <w:rsid w:val="001C5EDB"/>
    <w:rsid w:val="001D34F1"/>
    <w:rsid w:val="001E00B8"/>
    <w:rsid w:val="001E097B"/>
    <w:rsid w:val="001E0CEE"/>
    <w:rsid w:val="001E12B3"/>
    <w:rsid w:val="001E6D6B"/>
    <w:rsid w:val="001F1138"/>
    <w:rsid w:val="0020219D"/>
    <w:rsid w:val="00204DCA"/>
    <w:rsid w:val="002065A1"/>
    <w:rsid w:val="002123CA"/>
    <w:rsid w:val="00212D37"/>
    <w:rsid w:val="00217744"/>
    <w:rsid w:val="00217821"/>
    <w:rsid w:val="00224808"/>
    <w:rsid w:val="002317B0"/>
    <w:rsid w:val="002346D4"/>
    <w:rsid w:val="0023549A"/>
    <w:rsid w:val="00235A79"/>
    <w:rsid w:val="00236FFD"/>
    <w:rsid w:val="00241219"/>
    <w:rsid w:val="002457E7"/>
    <w:rsid w:val="002536EA"/>
    <w:rsid w:val="00263E30"/>
    <w:rsid w:val="0026588D"/>
    <w:rsid w:val="00266C6D"/>
    <w:rsid w:val="00272F4E"/>
    <w:rsid w:val="00276736"/>
    <w:rsid w:val="00280EB1"/>
    <w:rsid w:val="002A4AA3"/>
    <w:rsid w:val="002A4D60"/>
    <w:rsid w:val="002B0E84"/>
    <w:rsid w:val="002B0FE5"/>
    <w:rsid w:val="002B38E0"/>
    <w:rsid w:val="002C1EF6"/>
    <w:rsid w:val="002D20C5"/>
    <w:rsid w:val="002E738E"/>
    <w:rsid w:val="002F5CEB"/>
    <w:rsid w:val="0031179F"/>
    <w:rsid w:val="00311D3E"/>
    <w:rsid w:val="0031523D"/>
    <w:rsid w:val="0031547D"/>
    <w:rsid w:val="00322F39"/>
    <w:rsid w:val="00323AAF"/>
    <w:rsid w:val="00323E22"/>
    <w:rsid w:val="0032410B"/>
    <w:rsid w:val="00326B51"/>
    <w:rsid w:val="00331313"/>
    <w:rsid w:val="00335443"/>
    <w:rsid w:val="00340EA6"/>
    <w:rsid w:val="003413C7"/>
    <w:rsid w:val="00341C0F"/>
    <w:rsid w:val="00344AA0"/>
    <w:rsid w:val="0035617B"/>
    <w:rsid w:val="00357541"/>
    <w:rsid w:val="00357914"/>
    <w:rsid w:val="00366466"/>
    <w:rsid w:val="00371B8F"/>
    <w:rsid w:val="00380DB3"/>
    <w:rsid w:val="0038382D"/>
    <w:rsid w:val="00384B95"/>
    <w:rsid w:val="0038750B"/>
    <w:rsid w:val="0039196F"/>
    <w:rsid w:val="00391CC7"/>
    <w:rsid w:val="00391DE0"/>
    <w:rsid w:val="00394F42"/>
    <w:rsid w:val="003A18AD"/>
    <w:rsid w:val="003A49EA"/>
    <w:rsid w:val="003B1871"/>
    <w:rsid w:val="003B5557"/>
    <w:rsid w:val="003C2574"/>
    <w:rsid w:val="003C4613"/>
    <w:rsid w:val="003D165C"/>
    <w:rsid w:val="003D3059"/>
    <w:rsid w:val="003D36B2"/>
    <w:rsid w:val="003D517E"/>
    <w:rsid w:val="003D7D94"/>
    <w:rsid w:val="003E1B3E"/>
    <w:rsid w:val="003F4BD4"/>
    <w:rsid w:val="00404B70"/>
    <w:rsid w:val="0041133A"/>
    <w:rsid w:val="00412278"/>
    <w:rsid w:val="004169A8"/>
    <w:rsid w:val="004200FD"/>
    <w:rsid w:val="00426C60"/>
    <w:rsid w:val="00431A65"/>
    <w:rsid w:val="004352E5"/>
    <w:rsid w:val="004358E2"/>
    <w:rsid w:val="00435953"/>
    <w:rsid w:val="00436C2B"/>
    <w:rsid w:val="00437201"/>
    <w:rsid w:val="00441476"/>
    <w:rsid w:val="0044191C"/>
    <w:rsid w:val="00442AD9"/>
    <w:rsid w:val="00445FA5"/>
    <w:rsid w:val="004531EB"/>
    <w:rsid w:val="00463486"/>
    <w:rsid w:val="00464D0A"/>
    <w:rsid w:val="004665B1"/>
    <w:rsid w:val="00466B36"/>
    <w:rsid w:val="00473F96"/>
    <w:rsid w:val="00474C2A"/>
    <w:rsid w:val="00475B7A"/>
    <w:rsid w:val="004907E4"/>
    <w:rsid w:val="004936A7"/>
    <w:rsid w:val="004A1B08"/>
    <w:rsid w:val="004A2D48"/>
    <w:rsid w:val="004A52A8"/>
    <w:rsid w:val="004B4D93"/>
    <w:rsid w:val="004C25B3"/>
    <w:rsid w:val="004C485D"/>
    <w:rsid w:val="004C646F"/>
    <w:rsid w:val="004D18F4"/>
    <w:rsid w:val="004E0908"/>
    <w:rsid w:val="004E1437"/>
    <w:rsid w:val="004E6D55"/>
    <w:rsid w:val="004F0805"/>
    <w:rsid w:val="004F3089"/>
    <w:rsid w:val="004F4FAF"/>
    <w:rsid w:val="004F6A2A"/>
    <w:rsid w:val="00503F36"/>
    <w:rsid w:val="00505444"/>
    <w:rsid w:val="005114E6"/>
    <w:rsid w:val="00514B48"/>
    <w:rsid w:val="005224F4"/>
    <w:rsid w:val="00531A71"/>
    <w:rsid w:val="00535F29"/>
    <w:rsid w:val="00536EFF"/>
    <w:rsid w:val="00543CE0"/>
    <w:rsid w:val="0054734C"/>
    <w:rsid w:val="00550465"/>
    <w:rsid w:val="00552964"/>
    <w:rsid w:val="00553B2A"/>
    <w:rsid w:val="00560068"/>
    <w:rsid w:val="00562322"/>
    <w:rsid w:val="005629DA"/>
    <w:rsid w:val="005642CA"/>
    <w:rsid w:val="005676AD"/>
    <w:rsid w:val="00587422"/>
    <w:rsid w:val="00594F6C"/>
    <w:rsid w:val="00595374"/>
    <w:rsid w:val="005A127F"/>
    <w:rsid w:val="005A3876"/>
    <w:rsid w:val="005A4D90"/>
    <w:rsid w:val="005A5672"/>
    <w:rsid w:val="005A7989"/>
    <w:rsid w:val="005B62A0"/>
    <w:rsid w:val="005C0E24"/>
    <w:rsid w:val="005C21D7"/>
    <w:rsid w:val="005C3354"/>
    <w:rsid w:val="005C3ABD"/>
    <w:rsid w:val="005C5AB4"/>
    <w:rsid w:val="005C7050"/>
    <w:rsid w:val="005C7608"/>
    <w:rsid w:val="005D7BD0"/>
    <w:rsid w:val="005F033D"/>
    <w:rsid w:val="005F325C"/>
    <w:rsid w:val="005F32EB"/>
    <w:rsid w:val="00601890"/>
    <w:rsid w:val="00603F88"/>
    <w:rsid w:val="006056FB"/>
    <w:rsid w:val="00610BF1"/>
    <w:rsid w:val="006115E2"/>
    <w:rsid w:val="006160F2"/>
    <w:rsid w:val="006277B4"/>
    <w:rsid w:val="00633B86"/>
    <w:rsid w:val="00641030"/>
    <w:rsid w:val="00645F86"/>
    <w:rsid w:val="0066520E"/>
    <w:rsid w:val="00672C76"/>
    <w:rsid w:val="0067606C"/>
    <w:rsid w:val="006761B0"/>
    <w:rsid w:val="006771F2"/>
    <w:rsid w:val="00684AAE"/>
    <w:rsid w:val="006916C9"/>
    <w:rsid w:val="00692710"/>
    <w:rsid w:val="0069318B"/>
    <w:rsid w:val="00695745"/>
    <w:rsid w:val="006976D9"/>
    <w:rsid w:val="006A0BA4"/>
    <w:rsid w:val="006A5064"/>
    <w:rsid w:val="006B7210"/>
    <w:rsid w:val="006B7521"/>
    <w:rsid w:val="006D0991"/>
    <w:rsid w:val="006D1814"/>
    <w:rsid w:val="006D7450"/>
    <w:rsid w:val="006E0FD4"/>
    <w:rsid w:val="006E4C31"/>
    <w:rsid w:val="006E610D"/>
    <w:rsid w:val="006F0A4C"/>
    <w:rsid w:val="006F1B9B"/>
    <w:rsid w:val="006F4EBD"/>
    <w:rsid w:val="006F641D"/>
    <w:rsid w:val="00702C62"/>
    <w:rsid w:val="00703171"/>
    <w:rsid w:val="0071022A"/>
    <w:rsid w:val="00710D39"/>
    <w:rsid w:val="007261C4"/>
    <w:rsid w:val="00734146"/>
    <w:rsid w:val="00736DA4"/>
    <w:rsid w:val="00737C3D"/>
    <w:rsid w:val="00742FDE"/>
    <w:rsid w:val="00746C0C"/>
    <w:rsid w:val="00746F26"/>
    <w:rsid w:val="00750584"/>
    <w:rsid w:val="0075246F"/>
    <w:rsid w:val="00766C68"/>
    <w:rsid w:val="0078274D"/>
    <w:rsid w:val="00784253"/>
    <w:rsid w:val="007853D8"/>
    <w:rsid w:val="0078733C"/>
    <w:rsid w:val="00791F57"/>
    <w:rsid w:val="00793238"/>
    <w:rsid w:val="007950C8"/>
    <w:rsid w:val="00796B9C"/>
    <w:rsid w:val="007B774E"/>
    <w:rsid w:val="007D0792"/>
    <w:rsid w:val="007D18AE"/>
    <w:rsid w:val="007D6C74"/>
    <w:rsid w:val="007E0B2C"/>
    <w:rsid w:val="007E28C5"/>
    <w:rsid w:val="007E4B40"/>
    <w:rsid w:val="007F397E"/>
    <w:rsid w:val="007F4D99"/>
    <w:rsid w:val="007F68C4"/>
    <w:rsid w:val="008006A3"/>
    <w:rsid w:val="00805692"/>
    <w:rsid w:val="00812409"/>
    <w:rsid w:val="00815969"/>
    <w:rsid w:val="00816D5D"/>
    <w:rsid w:val="00821A0C"/>
    <w:rsid w:val="0082316B"/>
    <w:rsid w:val="008275AC"/>
    <w:rsid w:val="00835300"/>
    <w:rsid w:val="008365E9"/>
    <w:rsid w:val="0084650C"/>
    <w:rsid w:val="008473F9"/>
    <w:rsid w:val="008604EF"/>
    <w:rsid w:val="00882F73"/>
    <w:rsid w:val="008873A0"/>
    <w:rsid w:val="00887BFA"/>
    <w:rsid w:val="00890A20"/>
    <w:rsid w:val="00890C38"/>
    <w:rsid w:val="00892D9A"/>
    <w:rsid w:val="008943D8"/>
    <w:rsid w:val="008A1447"/>
    <w:rsid w:val="008B171D"/>
    <w:rsid w:val="008C2200"/>
    <w:rsid w:val="008C3F75"/>
    <w:rsid w:val="008C74AA"/>
    <w:rsid w:val="008D59FE"/>
    <w:rsid w:val="008E0730"/>
    <w:rsid w:val="008E14E7"/>
    <w:rsid w:val="008F3CA2"/>
    <w:rsid w:val="008F5871"/>
    <w:rsid w:val="008F59A0"/>
    <w:rsid w:val="00904635"/>
    <w:rsid w:val="00905337"/>
    <w:rsid w:val="0091061F"/>
    <w:rsid w:val="00916D1F"/>
    <w:rsid w:val="009279BE"/>
    <w:rsid w:val="0093211F"/>
    <w:rsid w:val="00937C89"/>
    <w:rsid w:val="00943501"/>
    <w:rsid w:val="0094364A"/>
    <w:rsid w:val="009617AA"/>
    <w:rsid w:val="00965C26"/>
    <w:rsid w:val="00972F1D"/>
    <w:rsid w:val="00972FA6"/>
    <w:rsid w:val="009733A9"/>
    <w:rsid w:val="009765E1"/>
    <w:rsid w:val="00987ED8"/>
    <w:rsid w:val="009919F6"/>
    <w:rsid w:val="00993484"/>
    <w:rsid w:val="00997C11"/>
    <w:rsid w:val="00997C83"/>
    <w:rsid w:val="009A4BA3"/>
    <w:rsid w:val="009A7A59"/>
    <w:rsid w:val="009A7ECE"/>
    <w:rsid w:val="009C35C9"/>
    <w:rsid w:val="009C4903"/>
    <w:rsid w:val="009C4BD7"/>
    <w:rsid w:val="009C6F3F"/>
    <w:rsid w:val="009D27E8"/>
    <w:rsid w:val="009D2C2F"/>
    <w:rsid w:val="009E6375"/>
    <w:rsid w:val="009F24BF"/>
    <w:rsid w:val="00A03231"/>
    <w:rsid w:val="00A04E1C"/>
    <w:rsid w:val="00A10E40"/>
    <w:rsid w:val="00A15288"/>
    <w:rsid w:val="00A15CD1"/>
    <w:rsid w:val="00A16D7F"/>
    <w:rsid w:val="00A22E0F"/>
    <w:rsid w:val="00A26B7B"/>
    <w:rsid w:val="00A3327E"/>
    <w:rsid w:val="00A33C3D"/>
    <w:rsid w:val="00A410D0"/>
    <w:rsid w:val="00A50F13"/>
    <w:rsid w:val="00A531DB"/>
    <w:rsid w:val="00A561D3"/>
    <w:rsid w:val="00A61F12"/>
    <w:rsid w:val="00A66511"/>
    <w:rsid w:val="00A71C58"/>
    <w:rsid w:val="00A75ED6"/>
    <w:rsid w:val="00A76107"/>
    <w:rsid w:val="00AA2ED1"/>
    <w:rsid w:val="00AA3ECB"/>
    <w:rsid w:val="00AA5FD6"/>
    <w:rsid w:val="00AA6DF3"/>
    <w:rsid w:val="00AB04B8"/>
    <w:rsid w:val="00AC6531"/>
    <w:rsid w:val="00AC7F32"/>
    <w:rsid w:val="00AD0B9B"/>
    <w:rsid w:val="00AD344A"/>
    <w:rsid w:val="00AD72DD"/>
    <w:rsid w:val="00AE4E72"/>
    <w:rsid w:val="00AF482A"/>
    <w:rsid w:val="00B01B6C"/>
    <w:rsid w:val="00B11B99"/>
    <w:rsid w:val="00B121EA"/>
    <w:rsid w:val="00B13154"/>
    <w:rsid w:val="00B228C7"/>
    <w:rsid w:val="00B27B81"/>
    <w:rsid w:val="00B40844"/>
    <w:rsid w:val="00B42982"/>
    <w:rsid w:val="00B44025"/>
    <w:rsid w:val="00B44C2B"/>
    <w:rsid w:val="00B45E94"/>
    <w:rsid w:val="00B463CA"/>
    <w:rsid w:val="00B47800"/>
    <w:rsid w:val="00B50C99"/>
    <w:rsid w:val="00B51514"/>
    <w:rsid w:val="00B56E34"/>
    <w:rsid w:val="00B5737E"/>
    <w:rsid w:val="00B57DF2"/>
    <w:rsid w:val="00B601AD"/>
    <w:rsid w:val="00B61AC7"/>
    <w:rsid w:val="00B66380"/>
    <w:rsid w:val="00B76012"/>
    <w:rsid w:val="00B808CB"/>
    <w:rsid w:val="00B845CF"/>
    <w:rsid w:val="00B92DE7"/>
    <w:rsid w:val="00B9407E"/>
    <w:rsid w:val="00B949DE"/>
    <w:rsid w:val="00BA2576"/>
    <w:rsid w:val="00BA31AF"/>
    <w:rsid w:val="00BB13F4"/>
    <w:rsid w:val="00BB277C"/>
    <w:rsid w:val="00BB3273"/>
    <w:rsid w:val="00BB51A9"/>
    <w:rsid w:val="00BC5503"/>
    <w:rsid w:val="00BC5931"/>
    <w:rsid w:val="00BC593B"/>
    <w:rsid w:val="00BE2BD2"/>
    <w:rsid w:val="00BE30F8"/>
    <w:rsid w:val="00BE31AD"/>
    <w:rsid w:val="00BE5BCF"/>
    <w:rsid w:val="00BF4F06"/>
    <w:rsid w:val="00C0210B"/>
    <w:rsid w:val="00C04F28"/>
    <w:rsid w:val="00C06EB4"/>
    <w:rsid w:val="00C073D6"/>
    <w:rsid w:val="00C07922"/>
    <w:rsid w:val="00C25477"/>
    <w:rsid w:val="00C2633E"/>
    <w:rsid w:val="00C3264E"/>
    <w:rsid w:val="00C333CC"/>
    <w:rsid w:val="00C40252"/>
    <w:rsid w:val="00C42987"/>
    <w:rsid w:val="00C42B6D"/>
    <w:rsid w:val="00C43F4A"/>
    <w:rsid w:val="00C545FA"/>
    <w:rsid w:val="00C7285A"/>
    <w:rsid w:val="00C73D5D"/>
    <w:rsid w:val="00C77314"/>
    <w:rsid w:val="00C92B3B"/>
    <w:rsid w:val="00C9305A"/>
    <w:rsid w:val="00C96890"/>
    <w:rsid w:val="00CA32E6"/>
    <w:rsid w:val="00CA7995"/>
    <w:rsid w:val="00CB5856"/>
    <w:rsid w:val="00CC7431"/>
    <w:rsid w:val="00CD0FB3"/>
    <w:rsid w:val="00CD62C0"/>
    <w:rsid w:val="00CE0873"/>
    <w:rsid w:val="00CE5E5B"/>
    <w:rsid w:val="00CF00D3"/>
    <w:rsid w:val="00CF413C"/>
    <w:rsid w:val="00D01723"/>
    <w:rsid w:val="00D0174E"/>
    <w:rsid w:val="00D072F5"/>
    <w:rsid w:val="00D07B3B"/>
    <w:rsid w:val="00D113DD"/>
    <w:rsid w:val="00D12350"/>
    <w:rsid w:val="00D12B62"/>
    <w:rsid w:val="00D14EF6"/>
    <w:rsid w:val="00D15A0A"/>
    <w:rsid w:val="00D24453"/>
    <w:rsid w:val="00D25285"/>
    <w:rsid w:val="00D26255"/>
    <w:rsid w:val="00D30D4D"/>
    <w:rsid w:val="00D34FA4"/>
    <w:rsid w:val="00D3724C"/>
    <w:rsid w:val="00D37DAA"/>
    <w:rsid w:val="00D5070E"/>
    <w:rsid w:val="00D535DC"/>
    <w:rsid w:val="00D547B6"/>
    <w:rsid w:val="00D6224D"/>
    <w:rsid w:val="00D63ED9"/>
    <w:rsid w:val="00D647CD"/>
    <w:rsid w:val="00D65FAA"/>
    <w:rsid w:val="00D7272F"/>
    <w:rsid w:val="00D76A2A"/>
    <w:rsid w:val="00D80947"/>
    <w:rsid w:val="00D82604"/>
    <w:rsid w:val="00D837ED"/>
    <w:rsid w:val="00D83BAD"/>
    <w:rsid w:val="00D8568E"/>
    <w:rsid w:val="00D85FB1"/>
    <w:rsid w:val="00D913E4"/>
    <w:rsid w:val="00D91FF4"/>
    <w:rsid w:val="00D92090"/>
    <w:rsid w:val="00D923E9"/>
    <w:rsid w:val="00D95D97"/>
    <w:rsid w:val="00D960EA"/>
    <w:rsid w:val="00DA1C85"/>
    <w:rsid w:val="00DA29C9"/>
    <w:rsid w:val="00DA3571"/>
    <w:rsid w:val="00DB4719"/>
    <w:rsid w:val="00DB4EF4"/>
    <w:rsid w:val="00DB5AA2"/>
    <w:rsid w:val="00DB7193"/>
    <w:rsid w:val="00DD40DA"/>
    <w:rsid w:val="00DD76E7"/>
    <w:rsid w:val="00DE2F19"/>
    <w:rsid w:val="00DF340A"/>
    <w:rsid w:val="00DF367C"/>
    <w:rsid w:val="00DF5778"/>
    <w:rsid w:val="00E0573A"/>
    <w:rsid w:val="00E11E88"/>
    <w:rsid w:val="00E221FD"/>
    <w:rsid w:val="00E27101"/>
    <w:rsid w:val="00E2753C"/>
    <w:rsid w:val="00E31489"/>
    <w:rsid w:val="00E31539"/>
    <w:rsid w:val="00E33022"/>
    <w:rsid w:val="00E37BD0"/>
    <w:rsid w:val="00E40778"/>
    <w:rsid w:val="00E40ABB"/>
    <w:rsid w:val="00E41BE5"/>
    <w:rsid w:val="00E47852"/>
    <w:rsid w:val="00E533BE"/>
    <w:rsid w:val="00E540B7"/>
    <w:rsid w:val="00E62DB3"/>
    <w:rsid w:val="00E6481E"/>
    <w:rsid w:val="00E70A30"/>
    <w:rsid w:val="00E71FD9"/>
    <w:rsid w:val="00E74D53"/>
    <w:rsid w:val="00E83C8A"/>
    <w:rsid w:val="00E96F9E"/>
    <w:rsid w:val="00EA2DE2"/>
    <w:rsid w:val="00EA5A80"/>
    <w:rsid w:val="00EB1AE0"/>
    <w:rsid w:val="00EC29B1"/>
    <w:rsid w:val="00EC4F7C"/>
    <w:rsid w:val="00ED5B76"/>
    <w:rsid w:val="00ED7008"/>
    <w:rsid w:val="00ED76B2"/>
    <w:rsid w:val="00EF184A"/>
    <w:rsid w:val="00EF2FFD"/>
    <w:rsid w:val="00EF32EA"/>
    <w:rsid w:val="00F0045A"/>
    <w:rsid w:val="00F0235A"/>
    <w:rsid w:val="00F02767"/>
    <w:rsid w:val="00F0488E"/>
    <w:rsid w:val="00F05CAB"/>
    <w:rsid w:val="00F0783D"/>
    <w:rsid w:val="00F17002"/>
    <w:rsid w:val="00F17BE3"/>
    <w:rsid w:val="00F258A0"/>
    <w:rsid w:val="00F26CEA"/>
    <w:rsid w:val="00F2784F"/>
    <w:rsid w:val="00F33468"/>
    <w:rsid w:val="00F437B9"/>
    <w:rsid w:val="00F502F0"/>
    <w:rsid w:val="00F51335"/>
    <w:rsid w:val="00F52EEA"/>
    <w:rsid w:val="00F5775E"/>
    <w:rsid w:val="00F62BCA"/>
    <w:rsid w:val="00F64D44"/>
    <w:rsid w:val="00F65529"/>
    <w:rsid w:val="00F65903"/>
    <w:rsid w:val="00F65A80"/>
    <w:rsid w:val="00F72231"/>
    <w:rsid w:val="00F758E9"/>
    <w:rsid w:val="00F7691A"/>
    <w:rsid w:val="00F81CC9"/>
    <w:rsid w:val="00F82EDF"/>
    <w:rsid w:val="00F8480F"/>
    <w:rsid w:val="00F92D04"/>
    <w:rsid w:val="00F95E5F"/>
    <w:rsid w:val="00FA07D9"/>
    <w:rsid w:val="00FA45D6"/>
    <w:rsid w:val="00FB2E9E"/>
    <w:rsid w:val="00FB5F14"/>
    <w:rsid w:val="00FB7918"/>
    <w:rsid w:val="00FC2237"/>
    <w:rsid w:val="00FC6F2E"/>
    <w:rsid w:val="00FC7060"/>
    <w:rsid w:val="00FD180D"/>
    <w:rsid w:val="00FD3799"/>
    <w:rsid w:val="00FD68B7"/>
    <w:rsid w:val="00FE4B59"/>
    <w:rsid w:val="00FE64B9"/>
    <w:rsid w:val="00FE66D0"/>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0B07EA"/>
    <w:pPr>
      <w:keepNext/>
      <w:spacing w:after="0" w:line="360" w:lineRule="auto"/>
      <w:jc w:val="both"/>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B51514"/>
    <w:pPr>
      <w:keepNext/>
      <w:spacing w:after="0" w:line="360" w:lineRule="auto"/>
      <w:jc w:val="both"/>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93211F"/>
    <w:pPr>
      <w:keepNext/>
      <w:spacing w:after="0" w:line="360" w:lineRule="auto"/>
      <w:jc w:val="center"/>
      <w:outlineLvl w:val="2"/>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14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F58"/>
    <w:rPr>
      <w:lang w:val="en-ZA"/>
    </w:rPr>
  </w:style>
  <w:style w:type="character" w:customStyle="1" w:styleId="Heading1Char">
    <w:name w:val="Heading 1 Char"/>
    <w:basedOn w:val="DefaultParagraphFont"/>
    <w:link w:val="Heading1"/>
    <w:uiPriority w:val="9"/>
    <w:rsid w:val="000B07EA"/>
    <w:rPr>
      <w:rFonts w:ascii="Arial" w:hAnsi="Arial" w:cs="Arial"/>
      <w:i/>
      <w:sz w:val="24"/>
      <w:szCs w:val="24"/>
      <w:lang w:val="en-ZA"/>
    </w:rPr>
  </w:style>
  <w:style w:type="character" w:styleId="Hyperlink">
    <w:name w:val="Hyperlink"/>
    <w:basedOn w:val="DefaultParagraphFont"/>
    <w:uiPriority w:val="99"/>
    <w:semiHidden/>
    <w:unhideWhenUsed/>
    <w:rsid w:val="00441476"/>
    <w:rPr>
      <w:color w:val="0000FF"/>
      <w:u w:val="single"/>
    </w:rPr>
  </w:style>
  <w:style w:type="paragraph" w:styleId="BodyText3">
    <w:name w:val="Body Text 3"/>
    <w:basedOn w:val="Normal"/>
    <w:link w:val="BodyText3Char"/>
    <w:uiPriority w:val="99"/>
    <w:unhideWhenUsed/>
    <w:rsid w:val="00815969"/>
    <w:pPr>
      <w:spacing w:after="0" w:line="360" w:lineRule="auto"/>
      <w:jc w:val="both"/>
    </w:pPr>
    <w:rPr>
      <w:rFonts w:ascii="Arial" w:hAnsi="Arial" w:cs="Arial"/>
      <w:lang w:val="en-US"/>
    </w:rPr>
  </w:style>
  <w:style w:type="character" w:customStyle="1" w:styleId="BodyText3Char">
    <w:name w:val="Body Text 3 Char"/>
    <w:basedOn w:val="DefaultParagraphFont"/>
    <w:link w:val="BodyText3"/>
    <w:uiPriority w:val="99"/>
    <w:rsid w:val="00815969"/>
    <w:rPr>
      <w:rFonts w:ascii="Arial" w:hAnsi="Arial" w:cs="Arial"/>
    </w:rPr>
  </w:style>
  <w:style w:type="character" w:customStyle="1" w:styleId="Heading2Char">
    <w:name w:val="Heading 2 Char"/>
    <w:basedOn w:val="DefaultParagraphFont"/>
    <w:link w:val="Heading2"/>
    <w:uiPriority w:val="9"/>
    <w:rsid w:val="00B51514"/>
    <w:rPr>
      <w:rFonts w:ascii="Arial" w:hAnsi="Arial" w:cs="Arial"/>
      <w:sz w:val="24"/>
      <w:szCs w:val="24"/>
      <w:u w:val="single"/>
      <w:lang w:val="en-ZA"/>
    </w:rPr>
  </w:style>
  <w:style w:type="character" w:customStyle="1" w:styleId="Heading3Char">
    <w:name w:val="Heading 3 Char"/>
    <w:basedOn w:val="DefaultParagraphFont"/>
    <w:link w:val="Heading3"/>
    <w:uiPriority w:val="9"/>
    <w:rsid w:val="0093211F"/>
    <w:rPr>
      <w:rFonts w:ascii="Arial" w:eastAsia="Times New Roman" w:hAnsi="Arial" w:cs="Arial"/>
      <w:b/>
      <w:sz w:val="24"/>
      <w:szCs w:val="24"/>
    </w:rPr>
  </w:style>
  <w:style w:type="paragraph" w:styleId="EndnoteText">
    <w:name w:val="endnote text"/>
    <w:basedOn w:val="Normal"/>
    <w:link w:val="EndnoteTextChar"/>
    <w:uiPriority w:val="99"/>
    <w:semiHidden/>
    <w:unhideWhenUsed/>
    <w:rsid w:val="00C92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2B3B"/>
    <w:rPr>
      <w:sz w:val="20"/>
      <w:szCs w:val="20"/>
      <w:lang w:val="en-ZA"/>
    </w:rPr>
  </w:style>
  <w:style w:type="character" w:styleId="EndnoteReference">
    <w:name w:val="endnote reference"/>
    <w:basedOn w:val="DefaultParagraphFont"/>
    <w:uiPriority w:val="99"/>
    <w:semiHidden/>
    <w:unhideWhenUsed/>
    <w:rsid w:val="00C92B3B"/>
    <w:rPr>
      <w:vertAlign w:val="superscript"/>
    </w:rPr>
  </w:style>
  <w:style w:type="paragraph" w:styleId="NoSpacing">
    <w:name w:val="No Spacing"/>
    <w:uiPriority w:val="1"/>
    <w:qFormat/>
    <w:rsid w:val="00965C26"/>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96">
      <w:bodyDiv w:val="1"/>
      <w:marLeft w:val="0"/>
      <w:marRight w:val="0"/>
      <w:marTop w:val="0"/>
      <w:marBottom w:val="0"/>
      <w:divBdr>
        <w:top w:val="none" w:sz="0" w:space="0" w:color="auto"/>
        <w:left w:val="none" w:sz="0" w:space="0" w:color="auto"/>
        <w:bottom w:val="none" w:sz="0" w:space="0" w:color="auto"/>
        <w:right w:val="none" w:sz="0" w:space="0" w:color="auto"/>
      </w:divBdr>
    </w:div>
    <w:div w:id="1551528162">
      <w:bodyDiv w:val="1"/>
      <w:marLeft w:val="0"/>
      <w:marRight w:val="0"/>
      <w:marTop w:val="0"/>
      <w:marBottom w:val="0"/>
      <w:divBdr>
        <w:top w:val="none" w:sz="0" w:space="0" w:color="auto"/>
        <w:left w:val="none" w:sz="0" w:space="0" w:color="auto"/>
        <w:bottom w:val="none" w:sz="0" w:space="0" w:color="auto"/>
        <w:right w:val="none" w:sz="0" w:space="0" w:color="auto"/>
      </w:divBdr>
    </w:div>
    <w:div w:id="1993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iblii.org/akn/na/judgment/nahcmd/2023/368/eng@2023-06-3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c1afb1bd-f2fb-40fd-9abb-aea55b4d7662">2024</Year>
  </documentManagement>
</p:properties>
</file>

<file path=customXml/itemProps1.xml><?xml version="1.0" encoding="utf-8"?>
<ds:datastoreItem xmlns:ds="http://schemas.openxmlformats.org/officeDocument/2006/customXml" ds:itemID="{7AC0429C-AE1E-4081-B742-150726A00151}"/>
</file>

<file path=customXml/itemProps2.xml><?xml version="1.0" encoding="utf-8"?>
<ds:datastoreItem xmlns:ds="http://schemas.openxmlformats.org/officeDocument/2006/customXml" ds:itemID="{BE5307C4-22F1-4865-958C-7AF7DDCBC979}"/>
</file>

<file path=customXml/itemProps3.xml><?xml version="1.0" encoding="utf-8"?>
<ds:datastoreItem xmlns:ds="http://schemas.openxmlformats.org/officeDocument/2006/customXml" ds:itemID="{5E0256B9-A7E1-4A66-8245-E66F79B452F9}"/>
</file>

<file path=customXml/itemProps4.xml><?xml version="1.0" encoding="utf-8"?>
<ds:datastoreItem xmlns:ds="http://schemas.openxmlformats.org/officeDocument/2006/customXml" ds:itemID="{BD87D792-2111-4389-BDB8-BAC075A387C0}"/>
</file>

<file path=docProps/app.xml><?xml version="1.0" encoding="utf-8"?>
<Properties xmlns="http://schemas.openxmlformats.org/officeDocument/2006/extended-properties" xmlns:vt="http://schemas.openxmlformats.org/officeDocument/2006/docPropsVTypes">
  <Template>Normal</Template>
  <TotalTime>2</TotalTime>
  <Pages>10</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Hospital v Haufiku (HC-MD-CIV-ACT-CON-2022-04594) [2024] NAHCMD 151 (5 April 2024)</dc:title>
  <dc:subject/>
  <dc:creator>shomany keister</dc:creator>
  <cp:keywords/>
  <dc:description/>
  <cp:lastModifiedBy>Charlet Mokomele</cp:lastModifiedBy>
  <cp:revision>3</cp:revision>
  <cp:lastPrinted>2024-04-05T06:35:00Z</cp:lastPrinted>
  <dcterms:created xsi:type="dcterms:W3CDTF">2024-04-05T07:30:00Z</dcterms:created>
  <dcterms:modified xsi:type="dcterms:W3CDTF">2024-04-05T07:31:00Z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