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2266950</wp:posOffset>
            </wp:positionH>
            <wp:positionV relativeFrom="paragraph">
              <wp:posOffset>80010</wp:posOffset>
            </wp:positionV>
            <wp:extent cx="1282065" cy="1333500"/>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596"/>
        <w:gridCol w:w="3827"/>
      </w:tblGrid>
      <w:tr w:rsidR="00CA7995" w:rsidRPr="00CA7995" w:rsidTr="00C504FC">
        <w:trPr>
          <w:trHeight w:val="1978"/>
        </w:trPr>
        <w:tc>
          <w:tcPr>
            <w:tcW w:w="6805"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2A5C0F" w:rsidRDefault="00206B05" w:rsidP="00206B05">
            <w:pPr>
              <w:jc w:val="both"/>
              <w:rPr>
                <w:rFonts w:ascii="Arial" w:hAnsi="Arial" w:cs="Arial"/>
                <w:sz w:val="24"/>
                <w:szCs w:val="24"/>
                <w:shd w:val="clear" w:color="auto" w:fill="FFFFFF"/>
              </w:rPr>
            </w:pPr>
          </w:p>
          <w:p w:rsidR="0022592E" w:rsidRDefault="0022592E" w:rsidP="003B0F1E">
            <w:pPr>
              <w:spacing w:line="360" w:lineRule="auto"/>
              <w:jc w:val="both"/>
              <w:rPr>
                <w:rFonts w:ascii="Arial" w:hAnsi="Arial" w:cs="Arial"/>
                <w:sz w:val="24"/>
                <w:szCs w:val="24"/>
              </w:rPr>
            </w:pPr>
            <w:r w:rsidRPr="0022592E">
              <w:rPr>
                <w:rFonts w:ascii="Arial" w:hAnsi="Arial" w:cs="Arial"/>
                <w:sz w:val="24"/>
                <w:szCs w:val="24"/>
              </w:rPr>
              <w:t xml:space="preserve">NAMIBIAN OFFICE EQUIPMENT COMPANY </w:t>
            </w:r>
          </w:p>
          <w:p w:rsidR="003B0F1E" w:rsidRPr="00EB0606" w:rsidRDefault="0022592E" w:rsidP="003B0F1E">
            <w:pPr>
              <w:spacing w:line="360" w:lineRule="auto"/>
              <w:jc w:val="both"/>
              <w:rPr>
                <w:rFonts w:ascii="Arial" w:hAnsi="Arial" w:cs="Arial"/>
                <w:sz w:val="24"/>
                <w:szCs w:val="24"/>
                <w:shd w:val="clear" w:color="auto" w:fill="FFFFFF"/>
              </w:rPr>
            </w:pPr>
            <w:r w:rsidRPr="0022592E">
              <w:rPr>
                <w:rFonts w:ascii="Arial" w:hAnsi="Arial" w:cs="Arial"/>
                <w:sz w:val="24"/>
                <w:szCs w:val="24"/>
              </w:rPr>
              <w:t>(PTY) LTD T/A NASHUA NAMIBIA</w:t>
            </w:r>
            <w:r w:rsidR="00801B03" w:rsidRPr="0022592E">
              <w:rPr>
                <w:rFonts w:ascii="Arial" w:hAnsi="Arial" w:cs="Arial"/>
                <w:sz w:val="24"/>
                <w:szCs w:val="24"/>
              </w:rPr>
              <w:t xml:space="preserve">    </w:t>
            </w:r>
            <w:r w:rsidR="00801B03">
              <w:t xml:space="preserve">                                  </w:t>
            </w:r>
            <w:r w:rsidR="00EB0606" w:rsidRPr="00EB0606">
              <w:rPr>
                <w:rFonts w:ascii="Arial" w:hAnsi="Arial" w:cs="Arial"/>
                <w:sz w:val="24"/>
                <w:szCs w:val="24"/>
              </w:rPr>
              <w:t>PLAINTIFF</w:t>
            </w:r>
          </w:p>
          <w:p w:rsidR="002A5C0F" w:rsidRPr="002A5C0F" w:rsidRDefault="002A5C0F" w:rsidP="003B0F1E">
            <w:pPr>
              <w:spacing w:line="360" w:lineRule="auto"/>
              <w:jc w:val="both"/>
              <w:rPr>
                <w:rFonts w:ascii="Arial" w:hAnsi="Arial" w:cs="Arial"/>
                <w:sz w:val="24"/>
                <w:szCs w:val="24"/>
                <w:shd w:val="clear" w:color="auto" w:fill="FFFFFF"/>
              </w:rPr>
            </w:pPr>
          </w:p>
          <w:p w:rsidR="00206B05" w:rsidRPr="00C71A4D" w:rsidRDefault="00206B05" w:rsidP="003B0F1E">
            <w:pPr>
              <w:spacing w:line="360" w:lineRule="auto"/>
              <w:jc w:val="both"/>
              <w:rPr>
                <w:rFonts w:ascii="Arial" w:hAnsi="Arial" w:cs="Arial"/>
                <w:sz w:val="24"/>
                <w:szCs w:val="24"/>
                <w:shd w:val="clear" w:color="auto" w:fill="FFFFFF"/>
              </w:rPr>
            </w:pPr>
            <w:r w:rsidRPr="00C71A4D">
              <w:rPr>
                <w:rFonts w:ascii="Arial" w:hAnsi="Arial" w:cs="Arial"/>
                <w:sz w:val="24"/>
                <w:szCs w:val="24"/>
                <w:shd w:val="clear" w:color="auto" w:fill="FFFFFF"/>
              </w:rPr>
              <w:t>and</w:t>
            </w:r>
          </w:p>
          <w:p w:rsidR="00206B05" w:rsidRPr="002A5C0F" w:rsidRDefault="00206B05" w:rsidP="003B0F1E">
            <w:pPr>
              <w:spacing w:line="360" w:lineRule="auto"/>
              <w:jc w:val="both"/>
              <w:rPr>
                <w:rFonts w:ascii="Arial" w:hAnsi="Arial" w:cs="Arial"/>
                <w:sz w:val="24"/>
                <w:szCs w:val="24"/>
                <w:shd w:val="clear" w:color="auto" w:fill="FFFFFF"/>
              </w:rPr>
            </w:pPr>
          </w:p>
          <w:p w:rsidR="003B0F1E" w:rsidRDefault="0022592E" w:rsidP="003B0F1E">
            <w:pPr>
              <w:spacing w:line="360" w:lineRule="auto"/>
              <w:jc w:val="both"/>
              <w:rPr>
                <w:rFonts w:ascii="Arial" w:hAnsi="Arial" w:cs="Arial"/>
                <w:sz w:val="24"/>
                <w:szCs w:val="24"/>
              </w:rPr>
            </w:pPr>
            <w:r w:rsidRPr="0022592E">
              <w:rPr>
                <w:rFonts w:ascii="Arial" w:hAnsi="Arial" w:cs="Arial"/>
                <w:sz w:val="24"/>
                <w:szCs w:val="24"/>
              </w:rPr>
              <w:t>DEIDRE DE WAAL</w:t>
            </w:r>
            <w:r w:rsidR="00EB0606" w:rsidRPr="0022592E">
              <w:rPr>
                <w:rFonts w:ascii="Arial" w:hAnsi="Arial" w:cs="Arial"/>
                <w:sz w:val="24"/>
                <w:szCs w:val="24"/>
              </w:rPr>
              <w:t xml:space="preserve">   </w:t>
            </w:r>
            <w:r w:rsidR="00EB0606" w:rsidRPr="00EB0606">
              <w:rPr>
                <w:rFonts w:ascii="Arial" w:hAnsi="Arial" w:cs="Arial"/>
                <w:sz w:val="24"/>
                <w:szCs w:val="24"/>
              </w:rPr>
              <w:t xml:space="preserve">            </w:t>
            </w:r>
            <w:r w:rsidR="00801B03">
              <w:rPr>
                <w:rFonts w:ascii="Arial" w:hAnsi="Arial" w:cs="Arial"/>
                <w:sz w:val="24"/>
                <w:szCs w:val="24"/>
              </w:rPr>
              <w:t xml:space="preserve">                              </w:t>
            </w:r>
            <w:r w:rsidR="00EB0606" w:rsidRPr="00EB0606">
              <w:rPr>
                <w:rFonts w:ascii="Arial" w:hAnsi="Arial" w:cs="Arial"/>
                <w:sz w:val="24"/>
                <w:szCs w:val="24"/>
              </w:rPr>
              <w:t>DEFENDANT</w:t>
            </w:r>
          </w:p>
          <w:p w:rsidR="00206B05" w:rsidRPr="00C504FC" w:rsidRDefault="00206B05" w:rsidP="0022592E">
            <w:pPr>
              <w:spacing w:line="360" w:lineRule="auto"/>
              <w:jc w:val="both"/>
              <w:rPr>
                <w:rFonts w:ascii="Arial" w:hAnsi="Arial" w:cs="Arial"/>
                <w:sz w:val="20"/>
                <w:szCs w:val="20"/>
              </w:rPr>
            </w:pPr>
          </w:p>
        </w:tc>
        <w:tc>
          <w:tcPr>
            <w:tcW w:w="3827" w:type="dxa"/>
          </w:tcPr>
          <w:p w:rsidR="00B40844" w:rsidRPr="00C97B0A" w:rsidRDefault="00B40844" w:rsidP="00937C89">
            <w:pPr>
              <w:spacing w:line="360" w:lineRule="auto"/>
              <w:jc w:val="both"/>
              <w:rPr>
                <w:rFonts w:ascii="Arial" w:hAnsi="Arial" w:cs="Arial"/>
                <w:b/>
                <w:sz w:val="24"/>
                <w:szCs w:val="24"/>
              </w:rPr>
            </w:pPr>
            <w:r w:rsidRPr="00C97B0A">
              <w:rPr>
                <w:rFonts w:ascii="Arial" w:hAnsi="Arial" w:cs="Arial"/>
                <w:b/>
                <w:sz w:val="24"/>
                <w:szCs w:val="24"/>
              </w:rPr>
              <w:t>Case No:</w:t>
            </w:r>
          </w:p>
          <w:p w:rsidR="003F3D99" w:rsidRPr="0022592E" w:rsidRDefault="0022592E" w:rsidP="00C71A4D">
            <w:pPr>
              <w:spacing w:line="360" w:lineRule="auto"/>
              <w:jc w:val="both"/>
              <w:rPr>
                <w:rFonts w:ascii="Arial" w:hAnsi="Arial" w:cs="Arial"/>
                <w:sz w:val="24"/>
                <w:szCs w:val="24"/>
              </w:rPr>
            </w:pPr>
            <w:r w:rsidRPr="0022592E">
              <w:rPr>
                <w:rFonts w:ascii="Arial" w:hAnsi="Arial" w:cs="Arial"/>
                <w:sz w:val="24"/>
                <w:szCs w:val="24"/>
              </w:rPr>
              <w:t>HC-MD-CIV-ACT-CON-2023/03755</w:t>
            </w:r>
          </w:p>
        </w:tc>
      </w:tr>
      <w:tr w:rsidR="00CA7995" w:rsidRPr="00CA7995" w:rsidTr="00C97B0A">
        <w:trPr>
          <w:trHeight w:val="968"/>
        </w:trPr>
        <w:tc>
          <w:tcPr>
            <w:tcW w:w="6805" w:type="dxa"/>
            <w:gridSpan w:val="2"/>
            <w:vMerge/>
          </w:tcPr>
          <w:p w:rsidR="00B40844" w:rsidRPr="00015DC1" w:rsidRDefault="00B40844" w:rsidP="00937C89">
            <w:pPr>
              <w:spacing w:line="360" w:lineRule="auto"/>
              <w:jc w:val="both"/>
              <w:rPr>
                <w:rFonts w:ascii="Arial" w:hAnsi="Arial" w:cs="Arial"/>
                <w:sz w:val="24"/>
                <w:szCs w:val="24"/>
              </w:rPr>
            </w:pPr>
          </w:p>
        </w:tc>
        <w:tc>
          <w:tcPr>
            <w:tcW w:w="3827" w:type="dxa"/>
          </w:tcPr>
          <w:p w:rsidR="00B40844" w:rsidRPr="00C97B0A" w:rsidRDefault="00B40844" w:rsidP="00937C89">
            <w:pPr>
              <w:spacing w:line="360" w:lineRule="auto"/>
              <w:jc w:val="both"/>
              <w:rPr>
                <w:rFonts w:ascii="Arial" w:hAnsi="Arial" w:cs="Arial"/>
                <w:sz w:val="24"/>
                <w:szCs w:val="24"/>
              </w:rPr>
            </w:pPr>
            <w:r w:rsidRPr="00C97B0A">
              <w:rPr>
                <w:rFonts w:ascii="Arial" w:hAnsi="Arial" w:cs="Arial"/>
                <w:b/>
                <w:sz w:val="24"/>
                <w:szCs w:val="24"/>
              </w:rPr>
              <w:t>Division of Court:</w:t>
            </w:r>
          </w:p>
          <w:p w:rsidR="00B40844" w:rsidRPr="00C97B0A" w:rsidRDefault="00B40844" w:rsidP="00937C89">
            <w:pPr>
              <w:spacing w:line="360" w:lineRule="auto"/>
              <w:jc w:val="both"/>
              <w:rPr>
                <w:rFonts w:ascii="Arial" w:hAnsi="Arial" w:cs="Arial"/>
                <w:sz w:val="24"/>
                <w:szCs w:val="24"/>
              </w:rPr>
            </w:pPr>
            <w:r w:rsidRPr="00C97B0A">
              <w:rPr>
                <w:rFonts w:ascii="Arial" w:hAnsi="Arial" w:cs="Arial"/>
                <w:sz w:val="24"/>
                <w:szCs w:val="24"/>
              </w:rPr>
              <w:t>HIGH COURT (MAIN DIVISION)</w:t>
            </w:r>
          </w:p>
        </w:tc>
      </w:tr>
      <w:tr w:rsidR="00CA7995" w:rsidRPr="00CA7995" w:rsidTr="00C97B0A">
        <w:trPr>
          <w:trHeight w:val="768"/>
        </w:trPr>
        <w:tc>
          <w:tcPr>
            <w:tcW w:w="6805"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22592E" w:rsidP="00801B03">
            <w:pPr>
              <w:spacing w:line="360" w:lineRule="auto"/>
              <w:jc w:val="both"/>
              <w:rPr>
                <w:rFonts w:ascii="Arial" w:hAnsi="Arial" w:cs="Arial"/>
                <w:sz w:val="24"/>
                <w:szCs w:val="24"/>
              </w:rPr>
            </w:pPr>
            <w:r>
              <w:rPr>
                <w:rFonts w:ascii="Arial" w:hAnsi="Arial" w:cs="Arial"/>
                <w:sz w:val="24"/>
                <w:szCs w:val="24"/>
              </w:rPr>
              <w:t>3</w:t>
            </w:r>
            <w:r w:rsidR="00EB0606">
              <w:rPr>
                <w:rFonts w:ascii="Arial" w:hAnsi="Arial" w:cs="Arial"/>
                <w:sz w:val="24"/>
                <w:szCs w:val="24"/>
              </w:rPr>
              <w:t xml:space="preserve"> </w:t>
            </w:r>
            <w:r w:rsidR="00801B03">
              <w:rPr>
                <w:rFonts w:ascii="Arial" w:hAnsi="Arial" w:cs="Arial"/>
                <w:sz w:val="24"/>
                <w:szCs w:val="24"/>
              </w:rPr>
              <w:t>APRIL</w:t>
            </w:r>
            <w:r w:rsidR="00EB0606">
              <w:rPr>
                <w:rFonts w:ascii="Arial" w:hAnsi="Arial" w:cs="Arial"/>
                <w:sz w:val="24"/>
                <w:szCs w:val="24"/>
              </w:rPr>
              <w:t xml:space="preserve"> 2024</w:t>
            </w:r>
          </w:p>
        </w:tc>
      </w:tr>
      <w:tr w:rsidR="00CA7995" w:rsidRPr="00CA7995" w:rsidTr="00C97B0A">
        <w:trPr>
          <w:trHeight w:val="796"/>
        </w:trPr>
        <w:tc>
          <w:tcPr>
            <w:tcW w:w="6805" w:type="dxa"/>
            <w:gridSpan w:val="2"/>
            <w:vMerge/>
          </w:tcPr>
          <w:p w:rsidR="00B40844" w:rsidRPr="00015DC1" w:rsidRDefault="00B40844" w:rsidP="00937C89">
            <w:pPr>
              <w:spacing w:line="360" w:lineRule="auto"/>
              <w:jc w:val="both"/>
              <w:rPr>
                <w:rFonts w:ascii="Arial" w:hAnsi="Arial" w:cs="Arial"/>
                <w:b/>
                <w:sz w:val="24"/>
                <w:szCs w:val="24"/>
              </w:rPr>
            </w:pP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801B03" w:rsidP="00801B03">
            <w:pPr>
              <w:spacing w:line="360" w:lineRule="auto"/>
              <w:jc w:val="both"/>
              <w:rPr>
                <w:rFonts w:ascii="Arial" w:hAnsi="Arial" w:cs="Arial"/>
                <w:b/>
                <w:sz w:val="24"/>
                <w:szCs w:val="24"/>
              </w:rPr>
            </w:pPr>
            <w:r>
              <w:rPr>
                <w:rFonts w:ascii="Arial" w:hAnsi="Arial" w:cs="Arial"/>
                <w:sz w:val="24"/>
                <w:szCs w:val="24"/>
              </w:rPr>
              <w:t>24</w:t>
            </w:r>
            <w:r w:rsidR="00C97B0A">
              <w:rPr>
                <w:rFonts w:ascii="Arial" w:hAnsi="Arial" w:cs="Arial"/>
                <w:sz w:val="24"/>
                <w:szCs w:val="24"/>
              </w:rPr>
              <w:t xml:space="preserve"> </w:t>
            </w:r>
            <w:r>
              <w:rPr>
                <w:rFonts w:ascii="Arial" w:hAnsi="Arial" w:cs="Arial"/>
                <w:sz w:val="24"/>
                <w:szCs w:val="24"/>
              </w:rPr>
              <w:t>APRIL</w:t>
            </w:r>
            <w:r w:rsidR="003F3D99">
              <w:rPr>
                <w:rFonts w:ascii="Arial" w:hAnsi="Arial" w:cs="Arial"/>
                <w:sz w:val="24"/>
                <w:szCs w:val="24"/>
              </w:rPr>
              <w:t xml:space="preserve"> 2024</w:t>
            </w:r>
          </w:p>
        </w:tc>
      </w:tr>
      <w:tr w:rsidR="00CA7995" w:rsidRPr="00CA7995" w:rsidTr="003B0F1E">
        <w:trPr>
          <w:trHeight w:val="876"/>
        </w:trPr>
        <w:tc>
          <w:tcPr>
            <w:tcW w:w="10632" w:type="dxa"/>
            <w:gridSpan w:val="3"/>
          </w:tcPr>
          <w:p w:rsidR="00B40844" w:rsidRPr="00CA7995" w:rsidRDefault="00B40844" w:rsidP="00D14228">
            <w:pPr>
              <w:spacing w:line="360" w:lineRule="auto"/>
              <w:ind w:left="2019" w:hanging="2019"/>
              <w:jc w:val="both"/>
              <w:rPr>
                <w:rFonts w:ascii="Arial" w:hAnsi="Arial" w:cs="Arial"/>
                <w:sz w:val="24"/>
                <w:szCs w:val="24"/>
              </w:rPr>
            </w:pPr>
            <w:r w:rsidRPr="00CA7995">
              <w:rPr>
                <w:rFonts w:ascii="Arial" w:hAnsi="Arial" w:cs="Arial"/>
                <w:b/>
                <w:sz w:val="24"/>
                <w:szCs w:val="24"/>
              </w:rPr>
              <w:t xml:space="preserve">Neutral </w:t>
            </w:r>
            <w:r w:rsidRPr="00C71A4D">
              <w:rPr>
                <w:rFonts w:ascii="Arial" w:hAnsi="Arial" w:cs="Arial"/>
                <w:b/>
                <w:sz w:val="24"/>
                <w:szCs w:val="24"/>
              </w:rPr>
              <w:t>citation:</w:t>
            </w:r>
            <w:r w:rsidRPr="00C71A4D">
              <w:rPr>
                <w:rFonts w:ascii="Arial" w:hAnsi="Arial" w:cs="Arial"/>
                <w:sz w:val="24"/>
                <w:szCs w:val="24"/>
              </w:rPr>
              <w:t xml:space="preserve"> </w:t>
            </w:r>
            <w:r w:rsidR="00AE57BB">
              <w:rPr>
                <w:rFonts w:ascii="Arial" w:hAnsi="Arial" w:cs="Arial"/>
                <w:sz w:val="24"/>
                <w:szCs w:val="24"/>
              </w:rPr>
              <w:t xml:space="preserve"> </w:t>
            </w:r>
            <w:r w:rsidR="009840E2">
              <w:rPr>
                <w:rFonts w:ascii="Arial" w:hAnsi="Arial" w:cs="Arial"/>
                <w:sz w:val="24"/>
                <w:szCs w:val="24"/>
              </w:rPr>
              <w:t xml:space="preserve"> </w:t>
            </w:r>
            <w:r w:rsidR="0022592E">
              <w:rPr>
                <w:rFonts w:ascii="Arial" w:hAnsi="Arial" w:cs="Arial"/>
                <w:i/>
                <w:sz w:val="24"/>
                <w:szCs w:val="24"/>
              </w:rPr>
              <w:t>N</w:t>
            </w:r>
            <w:r w:rsidR="0022592E" w:rsidRPr="0022592E">
              <w:rPr>
                <w:rFonts w:ascii="Arial" w:hAnsi="Arial" w:cs="Arial"/>
                <w:i/>
                <w:sz w:val="24"/>
                <w:szCs w:val="24"/>
              </w:rPr>
              <w:t xml:space="preserve">amibian </w:t>
            </w:r>
            <w:r w:rsidR="0022592E">
              <w:rPr>
                <w:rFonts w:ascii="Arial" w:hAnsi="Arial" w:cs="Arial"/>
                <w:i/>
                <w:sz w:val="24"/>
                <w:szCs w:val="24"/>
              </w:rPr>
              <w:t>O</w:t>
            </w:r>
            <w:r w:rsidR="0022592E" w:rsidRPr="0022592E">
              <w:rPr>
                <w:rFonts w:ascii="Arial" w:hAnsi="Arial" w:cs="Arial"/>
                <w:i/>
                <w:sz w:val="24"/>
                <w:szCs w:val="24"/>
              </w:rPr>
              <w:t xml:space="preserve">ffice </w:t>
            </w:r>
            <w:r w:rsidR="0022592E">
              <w:rPr>
                <w:rFonts w:ascii="Arial" w:hAnsi="Arial" w:cs="Arial"/>
                <w:i/>
                <w:sz w:val="24"/>
                <w:szCs w:val="24"/>
              </w:rPr>
              <w:t>E</w:t>
            </w:r>
            <w:r w:rsidR="0022592E" w:rsidRPr="0022592E">
              <w:rPr>
                <w:rFonts w:ascii="Arial" w:hAnsi="Arial" w:cs="Arial"/>
                <w:i/>
                <w:sz w:val="24"/>
                <w:szCs w:val="24"/>
              </w:rPr>
              <w:t xml:space="preserve">quipment </w:t>
            </w:r>
            <w:r w:rsidR="0022592E">
              <w:rPr>
                <w:rFonts w:ascii="Arial" w:hAnsi="Arial" w:cs="Arial"/>
                <w:i/>
                <w:sz w:val="24"/>
                <w:szCs w:val="24"/>
              </w:rPr>
              <w:t>C</w:t>
            </w:r>
            <w:r w:rsidR="0022592E" w:rsidRPr="0022592E">
              <w:rPr>
                <w:rFonts w:ascii="Arial" w:hAnsi="Arial" w:cs="Arial"/>
                <w:i/>
                <w:sz w:val="24"/>
                <w:szCs w:val="24"/>
              </w:rPr>
              <w:t>ompany (</w:t>
            </w:r>
            <w:r w:rsidR="0022592E">
              <w:rPr>
                <w:rFonts w:ascii="Arial" w:hAnsi="Arial" w:cs="Arial"/>
                <w:i/>
                <w:sz w:val="24"/>
                <w:szCs w:val="24"/>
              </w:rPr>
              <w:t>P</w:t>
            </w:r>
            <w:r w:rsidR="0022592E" w:rsidRPr="0022592E">
              <w:rPr>
                <w:rFonts w:ascii="Arial" w:hAnsi="Arial" w:cs="Arial"/>
                <w:i/>
                <w:sz w:val="24"/>
                <w:szCs w:val="24"/>
              </w:rPr>
              <w:t xml:space="preserve">ty) </w:t>
            </w:r>
            <w:r w:rsidR="0022592E">
              <w:rPr>
                <w:rFonts w:ascii="Arial" w:hAnsi="Arial" w:cs="Arial"/>
                <w:i/>
                <w:sz w:val="24"/>
                <w:szCs w:val="24"/>
              </w:rPr>
              <w:t>L</w:t>
            </w:r>
            <w:r w:rsidR="0022592E" w:rsidRPr="0022592E">
              <w:rPr>
                <w:rFonts w:ascii="Arial" w:hAnsi="Arial" w:cs="Arial"/>
                <w:i/>
                <w:sz w:val="24"/>
                <w:szCs w:val="24"/>
              </w:rPr>
              <w:t xml:space="preserve">td t/a </w:t>
            </w:r>
            <w:r w:rsidR="0022592E">
              <w:rPr>
                <w:rFonts w:ascii="Arial" w:hAnsi="Arial" w:cs="Arial"/>
                <w:i/>
                <w:sz w:val="24"/>
                <w:szCs w:val="24"/>
              </w:rPr>
              <w:t>N</w:t>
            </w:r>
            <w:r w:rsidR="0022592E" w:rsidRPr="0022592E">
              <w:rPr>
                <w:rFonts w:ascii="Arial" w:hAnsi="Arial" w:cs="Arial"/>
                <w:i/>
                <w:sz w:val="24"/>
                <w:szCs w:val="24"/>
              </w:rPr>
              <w:t xml:space="preserve">ashua </w:t>
            </w:r>
            <w:r w:rsidR="0022592E">
              <w:rPr>
                <w:rFonts w:ascii="Arial" w:hAnsi="Arial" w:cs="Arial"/>
                <w:i/>
                <w:sz w:val="24"/>
                <w:szCs w:val="24"/>
              </w:rPr>
              <w:t>N</w:t>
            </w:r>
            <w:r w:rsidR="0022592E" w:rsidRPr="0022592E">
              <w:rPr>
                <w:rFonts w:ascii="Arial" w:hAnsi="Arial" w:cs="Arial"/>
                <w:i/>
                <w:sz w:val="24"/>
                <w:szCs w:val="24"/>
              </w:rPr>
              <w:t>amibia</w:t>
            </w:r>
            <w:r w:rsidR="008E1D44" w:rsidRPr="00EB0606">
              <w:rPr>
                <w:rFonts w:ascii="Arial" w:hAnsi="Arial" w:cs="Arial"/>
                <w:i/>
                <w:sz w:val="24"/>
                <w:szCs w:val="24"/>
              </w:rPr>
              <w:t xml:space="preserve"> </w:t>
            </w:r>
            <w:r w:rsidR="003F3D99" w:rsidRPr="00EB0606">
              <w:rPr>
                <w:rFonts w:ascii="Arial" w:hAnsi="Arial" w:cs="Arial"/>
                <w:i/>
                <w:sz w:val="24"/>
                <w:szCs w:val="24"/>
              </w:rPr>
              <w:t xml:space="preserve">v </w:t>
            </w:r>
            <w:r w:rsidR="0022592E">
              <w:rPr>
                <w:rFonts w:ascii="Arial" w:hAnsi="Arial" w:cs="Arial"/>
                <w:i/>
                <w:sz w:val="24"/>
                <w:szCs w:val="24"/>
              </w:rPr>
              <w:t>D</w:t>
            </w:r>
            <w:r w:rsidR="0022592E" w:rsidRPr="0022592E">
              <w:rPr>
                <w:rFonts w:ascii="Arial" w:hAnsi="Arial" w:cs="Arial"/>
                <w:i/>
                <w:sz w:val="24"/>
                <w:szCs w:val="24"/>
              </w:rPr>
              <w:t xml:space="preserve">e </w:t>
            </w:r>
            <w:r w:rsidR="0022592E">
              <w:rPr>
                <w:rFonts w:ascii="Arial" w:hAnsi="Arial" w:cs="Arial"/>
                <w:i/>
                <w:sz w:val="24"/>
                <w:szCs w:val="24"/>
              </w:rPr>
              <w:t>W</w:t>
            </w:r>
            <w:r w:rsidR="0022592E" w:rsidRPr="0022592E">
              <w:rPr>
                <w:rFonts w:ascii="Arial" w:hAnsi="Arial" w:cs="Arial"/>
                <w:i/>
                <w:sz w:val="24"/>
                <w:szCs w:val="24"/>
              </w:rPr>
              <w:t>aal</w:t>
            </w:r>
            <w:r w:rsidR="00801B03" w:rsidRPr="00801B03">
              <w:rPr>
                <w:rFonts w:ascii="Arial" w:hAnsi="Arial" w:cs="Arial"/>
                <w:sz w:val="24"/>
                <w:szCs w:val="24"/>
              </w:rPr>
              <w:t xml:space="preserve"> </w:t>
            </w:r>
            <w:r w:rsidR="00801B03">
              <w:rPr>
                <w:rFonts w:ascii="Arial" w:hAnsi="Arial" w:cs="Arial"/>
                <w:sz w:val="24"/>
                <w:szCs w:val="24"/>
              </w:rPr>
              <w:t>CC</w:t>
            </w:r>
            <w:r w:rsidR="008E1D44" w:rsidRPr="00C71A4D">
              <w:rPr>
                <w:rFonts w:ascii="Arial" w:hAnsi="Arial" w:cs="Arial"/>
                <w:sz w:val="24"/>
                <w:szCs w:val="24"/>
              </w:rPr>
              <w:t xml:space="preserve"> </w:t>
            </w:r>
            <w:r w:rsidR="003F3D99" w:rsidRPr="00C71A4D">
              <w:rPr>
                <w:rFonts w:ascii="Arial" w:hAnsi="Arial" w:cs="Arial"/>
                <w:sz w:val="24"/>
                <w:szCs w:val="24"/>
              </w:rPr>
              <w:t>(</w:t>
            </w:r>
            <w:r w:rsidR="0022592E" w:rsidRPr="0022592E">
              <w:rPr>
                <w:rFonts w:ascii="Arial" w:hAnsi="Arial" w:cs="Arial"/>
                <w:sz w:val="24"/>
                <w:szCs w:val="24"/>
              </w:rPr>
              <w:t>HC-MD-CIV-ACT-CON-2023/03755</w:t>
            </w:r>
            <w:r w:rsidR="003F3D99" w:rsidRPr="00C71A4D">
              <w:rPr>
                <w:rFonts w:ascii="Arial" w:hAnsi="Arial" w:cs="Arial"/>
                <w:sz w:val="24"/>
                <w:szCs w:val="24"/>
              </w:rPr>
              <w:t xml:space="preserve">) [2024] NAHCMD </w:t>
            </w:r>
            <w:r w:rsidR="00D14228">
              <w:rPr>
                <w:rFonts w:ascii="Arial" w:hAnsi="Arial" w:cs="Arial"/>
                <w:sz w:val="24"/>
                <w:szCs w:val="24"/>
              </w:rPr>
              <w:t>188</w:t>
            </w:r>
            <w:r w:rsidR="003F3D99" w:rsidRPr="00C71A4D">
              <w:rPr>
                <w:rFonts w:ascii="Arial" w:hAnsi="Arial" w:cs="Arial"/>
                <w:sz w:val="24"/>
                <w:szCs w:val="24"/>
              </w:rPr>
              <w:t xml:space="preserve"> (</w:t>
            </w:r>
            <w:r w:rsidR="00801B03">
              <w:rPr>
                <w:rFonts w:ascii="Arial" w:hAnsi="Arial" w:cs="Arial"/>
                <w:sz w:val="24"/>
                <w:szCs w:val="24"/>
              </w:rPr>
              <w:t>24</w:t>
            </w:r>
            <w:r w:rsidR="00C97B0A" w:rsidRPr="00C71A4D">
              <w:rPr>
                <w:rFonts w:ascii="Arial" w:hAnsi="Arial" w:cs="Arial"/>
                <w:sz w:val="24"/>
                <w:szCs w:val="24"/>
              </w:rPr>
              <w:t xml:space="preserve"> </w:t>
            </w:r>
            <w:r w:rsidR="00801B03">
              <w:rPr>
                <w:rFonts w:ascii="Arial" w:hAnsi="Arial" w:cs="Arial"/>
                <w:sz w:val="24"/>
                <w:szCs w:val="24"/>
              </w:rPr>
              <w:t>April</w:t>
            </w:r>
            <w:r w:rsidR="003F3D99" w:rsidRPr="00C71A4D">
              <w:rPr>
                <w:rFonts w:ascii="Arial" w:hAnsi="Arial" w:cs="Arial"/>
                <w:sz w:val="24"/>
                <w:szCs w:val="24"/>
              </w:rPr>
              <w:t xml:space="preserve"> 2024)</w:t>
            </w:r>
          </w:p>
        </w:tc>
      </w:tr>
      <w:tr w:rsidR="00CA7995" w:rsidRPr="00CA7995" w:rsidTr="003B0F1E">
        <w:tc>
          <w:tcPr>
            <w:tcW w:w="10632" w:type="dxa"/>
            <w:gridSpan w:val="3"/>
          </w:tcPr>
          <w:p w:rsidR="00B40844" w:rsidRPr="000F238E" w:rsidRDefault="00B40844" w:rsidP="000F238E">
            <w:pPr>
              <w:spacing w:line="360" w:lineRule="auto"/>
              <w:jc w:val="both"/>
              <w:rPr>
                <w:rFonts w:ascii="Arial" w:hAnsi="Arial" w:cs="Arial"/>
                <w:b/>
                <w:sz w:val="24"/>
                <w:szCs w:val="24"/>
              </w:rPr>
            </w:pPr>
            <w:r w:rsidRPr="000F238E">
              <w:rPr>
                <w:rFonts w:ascii="Arial" w:hAnsi="Arial" w:cs="Arial"/>
                <w:b/>
                <w:sz w:val="24"/>
                <w:szCs w:val="24"/>
              </w:rPr>
              <w:t>IT IS ORDERED THAT:</w:t>
            </w:r>
          </w:p>
          <w:p w:rsidR="007C34C0" w:rsidRDefault="007C34C0" w:rsidP="00667B57">
            <w:pPr>
              <w:spacing w:line="360" w:lineRule="auto"/>
              <w:ind w:left="743" w:hanging="743"/>
              <w:jc w:val="both"/>
              <w:rPr>
                <w:rFonts w:ascii="Arial" w:hAnsi="Arial" w:cs="Arial"/>
                <w:b/>
                <w:sz w:val="24"/>
                <w:szCs w:val="24"/>
              </w:rPr>
            </w:pPr>
          </w:p>
          <w:p w:rsidR="000B4B0A" w:rsidRDefault="000B4B0A" w:rsidP="000B4B0A">
            <w:pPr>
              <w:numPr>
                <w:ilvl w:val="0"/>
                <w:numId w:val="15"/>
              </w:numPr>
              <w:spacing w:line="360" w:lineRule="auto"/>
              <w:ind w:left="743" w:hanging="709"/>
              <w:jc w:val="both"/>
              <w:rPr>
                <w:rFonts w:ascii="Arial" w:hAnsi="Arial" w:cs="Arial"/>
                <w:sz w:val="24"/>
                <w:szCs w:val="24"/>
              </w:rPr>
            </w:pPr>
            <w:r>
              <w:rPr>
                <w:rFonts w:ascii="Arial" w:hAnsi="Arial" w:cs="Arial"/>
                <w:sz w:val="24"/>
                <w:szCs w:val="24"/>
              </w:rPr>
              <w:t>The proposed amendments based on quasi-mutual assent or tacit agreement are allowed and the plaintiff shall deliver the amendment on or before 10 May 2024.</w:t>
            </w:r>
          </w:p>
          <w:p w:rsidR="000B4B0A" w:rsidRDefault="000B4B0A" w:rsidP="000B4B0A">
            <w:pPr>
              <w:spacing w:line="360" w:lineRule="auto"/>
              <w:ind w:left="743"/>
              <w:jc w:val="both"/>
              <w:rPr>
                <w:rFonts w:ascii="Arial" w:hAnsi="Arial" w:cs="Arial"/>
                <w:sz w:val="24"/>
                <w:szCs w:val="24"/>
              </w:rPr>
            </w:pPr>
          </w:p>
          <w:p w:rsidR="000B4B0A" w:rsidRDefault="000B4B0A" w:rsidP="000B4B0A">
            <w:pPr>
              <w:numPr>
                <w:ilvl w:val="0"/>
                <w:numId w:val="15"/>
              </w:numPr>
              <w:spacing w:line="360" w:lineRule="auto"/>
              <w:ind w:left="743" w:hanging="709"/>
              <w:jc w:val="both"/>
              <w:rPr>
                <w:rFonts w:ascii="Arial" w:hAnsi="Arial" w:cs="Arial"/>
                <w:sz w:val="24"/>
                <w:szCs w:val="24"/>
              </w:rPr>
            </w:pPr>
            <w:r w:rsidRPr="00CC43F7">
              <w:rPr>
                <w:rFonts w:ascii="Arial" w:hAnsi="Arial" w:cs="Arial"/>
                <w:sz w:val="24"/>
                <w:szCs w:val="24"/>
              </w:rPr>
              <w:t>The proposed amendment based on the claim in enrichment is refused.</w:t>
            </w:r>
          </w:p>
          <w:p w:rsidR="000B4B0A" w:rsidRPr="00CC43F7" w:rsidRDefault="000B4B0A" w:rsidP="000B4B0A">
            <w:pPr>
              <w:spacing w:line="360" w:lineRule="auto"/>
              <w:ind w:left="743"/>
              <w:jc w:val="both"/>
              <w:rPr>
                <w:rFonts w:ascii="Arial" w:hAnsi="Arial" w:cs="Arial"/>
                <w:sz w:val="24"/>
                <w:szCs w:val="24"/>
              </w:rPr>
            </w:pPr>
          </w:p>
          <w:p w:rsidR="000B4B0A" w:rsidRDefault="000B4B0A" w:rsidP="000B4B0A">
            <w:pPr>
              <w:numPr>
                <w:ilvl w:val="0"/>
                <w:numId w:val="15"/>
              </w:numPr>
              <w:spacing w:line="360" w:lineRule="auto"/>
              <w:ind w:left="743" w:hanging="709"/>
              <w:jc w:val="both"/>
              <w:rPr>
                <w:rFonts w:ascii="Arial" w:hAnsi="Arial" w:cs="Arial"/>
                <w:sz w:val="24"/>
                <w:szCs w:val="24"/>
              </w:rPr>
            </w:pPr>
            <w:r>
              <w:rPr>
                <w:rFonts w:ascii="Arial" w:hAnsi="Arial" w:cs="Arial"/>
                <w:sz w:val="24"/>
                <w:szCs w:val="24"/>
              </w:rPr>
              <w:lastRenderedPageBreak/>
              <w:t>The legal practitioners or the parties (if unrepresented) are directed to attend a status hearing at 08H30 on 15 May 2024 for the court to determine the further conduct of the matter.</w:t>
            </w:r>
          </w:p>
          <w:p w:rsidR="000B4B0A" w:rsidRDefault="000B4B0A" w:rsidP="000B4B0A">
            <w:pPr>
              <w:spacing w:line="360" w:lineRule="auto"/>
              <w:ind w:left="743"/>
              <w:jc w:val="both"/>
              <w:rPr>
                <w:rFonts w:ascii="Arial" w:hAnsi="Arial" w:cs="Arial"/>
                <w:sz w:val="24"/>
                <w:szCs w:val="24"/>
              </w:rPr>
            </w:pPr>
          </w:p>
          <w:p w:rsidR="000B4B0A" w:rsidRDefault="000B4B0A" w:rsidP="000B4B0A">
            <w:pPr>
              <w:numPr>
                <w:ilvl w:val="0"/>
                <w:numId w:val="15"/>
              </w:numPr>
              <w:spacing w:line="360" w:lineRule="auto"/>
              <w:ind w:left="743" w:hanging="709"/>
              <w:jc w:val="both"/>
              <w:rPr>
                <w:rFonts w:ascii="Arial" w:hAnsi="Arial" w:cs="Arial"/>
                <w:sz w:val="24"/>
                <w:szCs w:val="24"/>
              </w:rPr>
            </w:pPr>
            <w:r>
              <w:rPr>
                <w:rFonts w:ascii="Arial" w:hAnsi="Arial" w:cs="Arial"/>
                <w:sz w:val="24"/>
                <w:szCs w:val="24"/>
              </w:rPr>
              <w:t>There is no order as to costs.</w:t>
            </w:r>
          </w:p>
          <w:p w:rsidR="000F238E" w:rsidRPr="000F238E" w:rsidRDefault="000F238E" w:rsidP="000B4B0A">
            <w:pPr>
              <w:pStyle w:val="NormalWeb"/>
              <w:shd w:val="clear" w:color="auto" w:fill="FFFFFF"/>
              <w:spacing w:before="0" w:beforeAutospacing="0" w:after="0" w:afterAutospacing="0" w:line="360" w:lineRule="auto"/>
              <w:ind w:left="743"/>
              <w:jc w:val="both"/>
              <w:rPr>
                <w:rFonts w:ascii="Arial" w:hAnsi="Arial" w:cs="Arial"/>
                <w:lang w:val="en-US"/>
              </w:rPr>
            </w:pPr>
          </w:p>
        </w:tc>
      </w:tr>
      <w:tr w:rsidR="00CA7995" w:rsidRPr="00CA7995" w:rsidTr="00F75046">
        <w:trPr>
          <w:trHeight w:val="558"/>
        </w:trPr>
        <w:tc>
          <w:tcPr>
            <w:tcW w:w="10632" w:type="dxa"/>
            <w:gridSpan w:val="3"/>
            <w:vAlign w:val="center"/>
          </w:tcPr>
          <w:p w:rsidR="00705A2C" w:rsidRPr="00CA7995" w:rsidRDefault="00B40844" w:rsidP="00F75046">
            <w:pPr>
              <w:tabs>
                <w:tab w:val="right" w:pos="9693"/>
              </w:tabs>
              <w:spacing w:line="360" w:lineRule="auto"/>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rsidTr="003B0F1E">
        <w:tc>
          <w:tcPr>
            <w:tcW w:w="10632" w:type="dxa"/>
            <w:gridSpan w:val="3"/>
          </w:tcPr>
          <w:p w:rsidR="000B4B0A" w:rsidRDefault="000B4B0A" w:rsidP="001B494D">
            <w:pPr>
              <w:tabs>
                <w:tab w:val="left" w:pos="729"/>
              </w:tabs>
              <w:spacing w:line="360" w:lineRule="auto"/>
              <w:rPr>
                <w:rFonts w:ascii="Arial" w:hAnsi="Arial" w:cs="Arial"/>
                <w:sz w:val="24"/>
                <w:szCs w:val="24"/>
              </w:rPr>
            </w:pPr>
          </w:p>
          <w:p w:rsidR="001B494D" w:rsidRPr="00AE57BB" w:rsidRDefault="00AE57BB" w:rsidP="001B494D">
            <w:pPr>
              <w:tabs>
                <w:tab w:val="left" w:pos="729"/>
              </w:tabs>
              <w:spacing w:line="360" w:lineRule="auto"/>
              <w:rPr>
                <w:rFonts w:ascii="Arial" w:hAnsi="Arial" w:cs="Arial"/>
                <w:sz w:val="24"/>
                <w:szCs w:val="24"/>
              </w:rPr>
            </w:pPr>
            <w:r w:rsidRPr="00193C9D">
              <w:rPr>
                <w:rFonts w:ascii="Arial" w:hAnsi="Arial" w:cs="Arial"/>
                <w:sz w:val="24"/>
                <w:szCs w:val="24"/>
              </w:rPr>
              <w:t>PARKER AJ</w:t>
            </w:r>
            <w:r>
              <w:rPr>
                <w:rFonts w:ascii="Arial" w:hAnsi="Arial" w:cs="Arial"/>
                <w:sz w:val="24"/>
                <w:szCs w:val="24"/>
              </w:rPr>
              <w:t>:</w:t>
            </w:r>
          </w:p>
          <w:p w:rsidR="00AE57BB" w:rsidRPr="006979B3" w:rsidRDefault="00AE57BB" w:rsidP="001B494D">
            <w:pPr>
              <w:tabs>
                <w:tab w:val="left" w:pos="729"/>
              </w:tabs>
              <w:spacing w:line="360" w:lineRule="auto"/>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plaintiff brought the instant application to amend its particulars of claim (‘POC’). The summons, together with the POC, was filed on 14 August 2023. The defendant’s plea was filed on 2 October 2023. The plaintiff’s notice to amend was filed some 16 court days (on 25 October 2023) after the filing of the plea.</w:t>
            </w:r>
          </w:p>
          <w:p w:rsidR="000B4B0A" w:rsidRDefault="000B4B0A" w:rsidP="000B4B0A">
            <w:pPr>
              <w:spacing w:line="360" w:lineRule="auto"/>
              <w:jc w:val="both"/>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 have set out the foregoing dates for the filing of process to make the crucial point, with reference to </w:t>
            </w:r>
            <w:r>
              <w:rPr>
                <w:rFonts w:ascii="Arial" w:hAnsi="Arial" w:cs="Arial"/>
                <w:i/>
                <w:iCs/>
                <w:sz w:val="24"/>
                <w:szCs w:val="24"/>
              </w:rPr>
              <w:t>I A Bel</w:t>
            </w:r>
            <w:r w:rsidR="00A80DFA">
              <w:rPr>
                <w:rFonts w:ascii="Arial" w:hAnsi="Arial" w:cs="Arial"/>
                <w:i/>
                <w:iCs/>
                <w:sz w:val="24"/>
                <w:szCs w:val="24"/>
              </w:rPr>
              <w:t>l</w:t>
            </w:r>
            <w:r>
              <w:rPr>
                <w:rFonts w:ascii="Arial" w:hAnsi="Arial" w:cs="Arial"/>
                <w:i/>
                <w:iCs/>
                <w:sz w:val="24"/>
                <w:szCs w:val="24"/>
              </w:rPr>
              <w:t xml:space="preserve"> Equipment Company (Namibia) (Pty) Ltd v </w:t>
            </w:r>
            <w:proofErr w:type="spellStart"/>
            <w:r>
              <w:rPr>
                <w:rFonts w:ascii="Arial" w:hAnsi="Arial" w:cs="Arial"/>
                <w:i/>
                <w:iCs/>
                <w:sz w:val="24"/>
                <w:szCs w:val="24"/>
              </w:rPr>
              <w:t>Roadstone</w:t>
            </w:r>
            <w:proofErr w:type="spellEnd"/>
            <w:r>
              <w:rPr>
                <w:rFonts w:ascii="Arial" w:hAnsi="Arial" w:cs="Arial"/>
                <w:i/>
                <w:iCs/>
                <w:sz w:val="24"/>
                <w:szCs w:val="24"/>
              </w:rPr>
              <w:t xml:space="preserve"> Quarries CC</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that the court is not presented with ‘a late amendment’. In that regard, it has been said that the requisite of ‘a reasonably satisfactory explanation for a proposed amendment is strongest where it is brought late in the proceedings’.</w:t>
            </w:r>
            <w:r>
              <w:rPr>
                <w:rStyle w:val="FootnoteReference"/>
                <w:rFonts w:ascii="Arial" w:hAnsi="Arial" w:cs="Arial"/>
                <w:sz w:val="24"/>
                <w:szCs w:val="24"/>
              </w:rPr>
              <w:footnoteReference w:id="2"/>
            </w:r>
            <w:r>
              <w:rPr>
                <w:rFonts w:ascii="Arial" w:hAnsi="Arial" w:cs="Arial"/>
                <w:sz w:val="24"/>
                <w:szCs w:val="24"/>
              </w:rPr>
              <w:t xml:space="preserve"> As I have found, the amendment was not brought late in the proceedings as the notice to amend was filed on 25 October 2023 and the application to amend was brought on 27 March 2024 after going through the procedures prescribed in rule 32 (9) and (10) of the rules of court. In any case, in the circumstances, I find that the plaintiff has given a reasonably satisfactory explanation for the proposed amendment. The plaintiff has explained that it was the nature of the defendant’s defence that prompted the amendment.</w:t>
            </w:r>
          </w:p>
          <w:p w:rsidR="000B4B0A" w:rsidRDefault="000B4B0A" w:rsidP="000B4B0A">
            <w:pPr>
              <w:spacing w:line="360" w:lineRule="auto"/>
              <w:jc w:val="both"/>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That being the case, </w:t>
            </w:r>
            <w:r w:rsidRPr="002641AE">
              <w:rPr>
                <w:rFonts w:ascii="Arial" w:hAnsi="Arial" w:cs="Arial"/>
              </w:rPr>
              <w:t xml:space="preserve">this court cannot compel </w:t>
            </w:r>
            <w:r>
              <w:rPr>
                <w:rFonts w:ascii="Arial" w:hAnsi="Arial" w:cs="Arial"/>
              </w:rPr>
              <w:t xml:space="preserve">the plaintiff </w:t>
            </w:r>
            <w:r>
              <w:rPr>
                <w:rFonts w:ascii="Arial" w:hAnsi="Arial" w:cs="Arial"/>
                <w:sz w:val="24"/>
                <w:szCs w:val="24"/>
              </w:rPr>
              <w:t>–</w:t>
            </w:r>
          </w:p>
          <w:p w:rsidR="000B4B0A" w:rsidRDefault="000B4B0A" w:rsidP="000B4B0A">
            <w:pPr>
              <w:spacing w:line="360" w:lineRule="auto"/>
              <w:jc w:val="both"/>
              <w:rPr>
                <w:rFonts w:ascii="Arial" w:hAnsi="Arial" w:cs="Arial"/>
                <w:sz w:val="24"/>
                <w:szCs w:val="24"/>
              </w:rPr>
            </w:pPr>
          </w:p>
          <w:p w:rsidR="000B4B0A" w:rsidRPr="002641AE" w:rsidRDefault="000B4B0A" w:rsidP="000B4B0A">
            <w:pPr>
              <w:spacing w:line="360" w:lineRule="auto"/>
              <w:jc w:val="both"/>
              <w:rPr>
                <w:rFonts w:ascii="Arial" w:hAnsi="Arial" w:cs="Arial"/>
              </w:rPr>
            </w:pPr>
            <w:r>
              <w:rPr>
                <w:rFonts w:ascii="Arial" w:hAnsi="Arial" w:cs="Arial"/>
                <w:sz w:val="24"/>
                <w:szCs w:val="24"/>
              </w:rPr>
              <w:tab/>
            </w:r>
            <w:r w:rsidRPr="002641AE">
              <w:rPr>
                <w:rFonts w:ascii="Arial" w:hAnsi="Arial" w:cs="Arial"/>
              </w:rPr>
              <w:t xml:space="preserve"> ‘</w:t>
            </w:r>
            <w:proofErr w:type="gramStart"/>
            <w:r w:rsidRPr="002641AE">
              <w:rPr>
                <w:rFonts w:ascii="Arial" w:hAnsi="Arial" w:cs="Arial"/>
              </w:rPr>
              <w:t>to</w:t>
            </w:r>
            <w:proofErr w:type="gramEnd"/>
            <w:r w:rsidRPr="002641AE">
              <w:rPr>
                <w:rFonts w:ascii="Arial" w:hAnsi="Arial" w:cs="Arial"/>
              </w:rPr>
              <w:t xml:space="preserve"> stick to a version either of fact or law that it says no longer represents its stance. That is so because litigants must be allowed in our adversarial system to ventilate what they believe to be the real issue(s) between themselves and the other side’.</w:t>
            </w:r>
            <w:r w:rsidRPr="002641AE">
              <w:rPr>
                <w:rStyle w:val="FootnoteReference"/>
                <w:rFonts w:ascii="Arial" w:hAnsi="Arial" w:cs="Arial"/>
              </w:rPr>
              <w:footnoteReference w:id="3"/>
            </w:r>
          </w:p>
          <w:p w:rsidR="000B4B0A" w:rsidRDefault="000B4B0A" w:rsidP="000B4B0A">
            <w:pPr>
              <w:spacing w:line="360" w:lineRule="auto"/>
              <w:jc w:val="both"/>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But that is not the end of the matter. Under the first and second claims, the plaintiff seeks to introduce two alternative claims. One relies on the doctrine of quasi-mutual assent, alternatively on tacit agreement. The other relies on a claim in enrichment.</w:t>
            </w:r>
          </w:p>
          <w:p w:rsidR="000B4B0A" w:rsidRDefault="000B4B0A" w:rsidP="000B4B0A">
            <w:pPr>
              <w:spacing w:line="360" w:lineRule="auto"/>
              <w:jc w:val="both"/>
              <w:rPr>
                <w:rFonts w:ascii="Arial" w:hAnsi="Arial" w:cs="Arial"/>
                <w:sz w:val="24"/>
                <w:szCs w:val="24"/>
              </w:rPr>
            </w:pPr>
          </w:p>
          <w:p w:rsidR="000B4B0A" w:rsidRPr="00AC54E4" w:rsidRDefault="000B4B0A" w:rsidP="000B4B0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doctrine </w:t>
            </w:r>
            <w:r w:rsidR="00A80DFA">
              <w:rPr>
                <w:rFonts w:ascii="Arial" w:hAnsi="Arial" w:cs="Arial"/>
                <w:sz w:val="24"/>
                <w:szCs w:val="24"/>
              </w:rPr>
              <w:t xml:space="preserve">of </w:t>
            </w:r>
            <w:r>
              <w:rPr>
                <w:rFonts w:ascii="Arial" w:hAnsi="Arial" w:cs="Arial"/>
                <w:sz w:val="24"/>
                <w:szCs w:val="24"/>
              </w:rPr>
              <w:t>quasi-mutual assent may be applied where in the absence of true mutual assent to the agreement, a contract might be founded upon what is termed quasi-mutual assent. Thus, in the absence of true mutual assent, a contract can be founded on quasi-mutual assent. The doctrine is in line with the proposition that in South African law and Namibian law, there are two bases on which to establish a valid contract: consensus and reasonable reliance.</w:t>
            </w:r>
            <w:r>
              <w:rPr>
                <w:rStyle w:val="FootnoteReference"/>
                <w:rFonts w:ascii="Arial" w:hAnsi="Arial" w:cs="Arial"/>
                <w:sz w:val="24"/>
                <w:szCs w:val="24"/>
              </w:rPr>
              <w:footnoteReference w:id="4"/>
            </w:r>
          </w:p>
          <w:p w:rsidR="000B4B0A" w:rsidRDefault="000B4B0A" w:rsidP="000B4B0A">
            <w:pPr>
              <w:spacing w:line="360" w:lineRule="auto"/>
              <w:jc w:val="both"/>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‘Reasonable reliance’ connotes quasi-mutual assent. Therefore, I see no legal impediment prohibiting a plaintiff to plead ‘quasi-mutual assent’ as an alternative to an express contract or plead a tacit contract as an alternative to an express contract.</w:t>
            </w:r>
            <w:r>
              <w:rPr>
                <w:rStyle w:val="FootnoteReference"/>
                <w:rFonts w:ascii="Arial" w:hAnsi="Arial" w:cs="Arial"/>
                <w:sz w:val="24"/>
                <w:szCs w:val="24"/>
              </w:rPr>
              <w:footnoteReference w:id="5"/>
            </w:r>
            <w:r>
              <w:rPr>
                <w:rFonts w:ascii="Arial" w:hAnsi="Arial" w:cs="Arial"/>
                <w:sz w:val="24"/>
                <w:szCs w:val="24"/>
              </w:rPr>
              <w:t xml:space="preserve"> In that regard, in terms of rule 45(8) of the rules of court, it is not necessary for the plaintiff to state the circumstances from which an alleged tacit term can be inferred.</w:t>
            </w:r>
          </w:p>
          <w:p w:rsidR="000B4B0A" w:rsidRDefault="000B4B0A" w:rsidP="000B4B0A">
            <w:pPr>
              <w:spacing w:line="360" w:lineRule="auto"/>
              <w:jc w:val="both"/>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 find that under the proposed amendment under the present head, the plaintiff has pleaded the relevant facts, and the allegations made establish a sufficient cause of action as far as the amendments that rely on the doctrine of quasi-mutual assent and tacit agreement are concerned.</w:t>
            </w:r>
          </w:p>
          <w:p w:rsidR="000B4B0A" w:rsidRDefault="000B4B0A" w:rsidP="000B4B0A">
            <w:pPr>
              <w:spacing w:line="360" w:lineRule="auto"/>
              <w:jc w:val="both"/>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same cannot be said of the amendment that is based on a ‘claim in enrichment’. Mr Olivier, counsel for the defendant, submitted that there is no principle in our law that allows the owner to claim from the ‘purchaser’ the value of the use of the land while the ‘purchaser’ was in occupation. I see that Mr </w:t>
            </w:r>
            <w:proofErr w:type="spellStart"/>
            <w:r>
              <w:rPr>
                <w:rFonts w:ascii="Arial" w:hAnsi="Arial" w:cs="Arial"/>
                <w:sz w:val="24"/>
                <w:szCs w:val="24"/>
              </w:rPr>
              <w:t>Loc</w:t>
            </w:r>
            <w:r w:rsidR="00A80DFA">
              <w:rPr>
                <w:rFonts w:ascii="Arial" w:hAnsi="Arial" w:cs="Arial"/>
                <w:sz w:val="24"/>
                <w:szCs w:val="24"/>
              </w:rPr>
              <w:t>h</w:t>
            </w:r>
            <w:r>
              <w:rPr>
                <w:rFonts w:ascii="Arial" w:hAnsi="Arial" w:cs="Arial"/>
                <w:sz w:val="24"/>
                <w:szCs w:val="24"/>
              </w:rPr>
              <w:t>ner</w:t>
            </w:r>
            <w:proofErr w:type="spellEnd"/>
            <w:r>
              <w:rPr>
                <w:rFonts w:ascii="Arial" w:hAnsi="Arial" w:cs="Arial"/>
                <w:sz w:val="24"/>
                <w:szCs w:val="24"/>
              </w:rPr>
              <w:t>, counsel for the plaintiff, agreed with him. It follows that the amendment under the present head in relation to ‘a claim in enrichment’ is offensive of the law and cannot be allowed.</w:t>
            </w:r>
          </w:p>
          <w:p w:rsidR="000B4B0A" w:rsidRDefault="000B4B0A" w:rsidP="000B4B0A">
            <w:pPr>
              <w:spacing w:line="360" w:lineRule="auto"/>
              <w:jc w:val="both"/>
              <w:rPr>
                <w:rFonts w:ascii="Arial" w:hAnsi="Arial" w:cs="Arial"/>
                <w:sz w:val="24"/>
                <w:szCs w:val="24"/>
              </w:rPr>
            </w:pPr>
          </w:p>
          <w:p w:rsidR="000B4B0A" w:rsidRDefault="000B4B0A" w:rsidP="000B4B0A">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Based on these reasons, I hold that the plaintiff has succeeded partially and the defendant, too, has succeeded in resisting part of the amendments sought. That being the case, it is fair and reasonable that I make no order as to costs.</w:t>
            </w:r>
          </w:p>
          <w:p w:rsidR="00714241" w:rsidRPr="00A949AE" w:rsidRDefault="00714241" w:rsidP="00A949AE">
            <w:pPr>
              <w:spacing w:line="360" w:lineRule="auto"/>
              <w:jc w:val="both"/>
              <w:rPr>
                <w:rFonts w:ascii="Arial" w:eastAsia="Times New Roman" w:hAnsi="Arial" w:cs="Arial"/>
                <w:sz w:val="24"/>
                <w:szCs w:val="24"/>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F31BD5" w:rsidRDefault="00F31BD5" w:rsidP="00937C89">
            <w:pPr>
              <w:spacing w:line="360" w:lineRule="auto"/>
              <w:jc w:val="both"/>
              <w:rPr>
                <w:rFonts w:ascii="Arial" w:hAnsi="Arial" w:cs="Arial"/>
                <w:sz w:val="24"/>
                <w:szCs w:val="24"/>
              </w:rPr>
            </w:pPr>
          </w:p>
          <w:p w:rsidR="00714241" w:rsidRPr="00CA7995" w:rsidRDefault="00714241"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C71A4D">
        <w:trPr>
          <w:trHeight w:val="499"/>
        </w:trPr>
        <w:tc>
          <w:tcPr>
            <w:tcW w:w="10632" w:type="dxa"/>
            <w:gridSpan w:val="3"/>
            <w:vAlign w:val="center"/>
          </w:tcPr>
          <w:p w:rsidR="00B40844" w:rsidRPr="00CA7995" w:rsidRDefault="00B40844" w:rsidP="00C71A4D">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C71A4D">
        <w:trPr>
          <w:trHeight w:val="462"/>
        </w:trPr>
        <w:tc>
          <w:tcPr>
            <w:tcW w:w="5209" w:type="dxa"/>
            <w:vAlign w:val="center"/>
          </w:tcPr>
          <w:p w:rsidR="00B40844" w:rsidRPr="00CA7995" w:rsidRDefault="00751A8C" w:rsidP="00C97B0A">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vAlign w:val="center"/>
          </w:tcPr>
          <w:p w:rsidR="00B40844" w:rsidRPr="00CA7995" w:rsidRDefault="00751A8C" w:rsidP="009E411A">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3B0F1E">
        <w:tc>
          <w:tcPr>
            <w:tcW w:w="5209" w:type="dxa"/>
          </w:tcPr>
          <w:p w:rsidR="004309DE" w:rsidRDefault="004309DE" w:rsidP="004309DE">
            <w:pPr>
              <w:spacing w:line="360" w:lineRule="auto"/>
              <w:jc w:val="center"/>
              <w:rPr>
                <w:rFonts w:ascii="Arial" w:hAnsi="Arial" w:cs="Arial"/>
                <w:sz w:val="24"/>
                <w:szCs w:val="24"/>
              </w:rPr>
            </w:pPr>
            <w:r>
              <w:rPr>
                <w:rFonts w:ascii="Arial" w:hAnsi="Arial" w:cs="Arial"/>
                <w:sz w:val="24"/>
                <w:szCs w:val="24"/>
              </w:rPr>
              <w:t xml:space="preserve">L </w:t>
            </w:r>
            <w:proofErr w:type="spellStart"/>
            <w:r>
              <w:rPr>
                <w:rFonts w:ascii="Arial" w:hAnsi="Arial" w:cs="Arial"/>
                <w:sz w:val="24"/>
                <w:szCs w:val="24"/>
              </w:rPr>
              <w:t>L</w:t>
            </w:r>
            <w:r w:rsidRPr="00DC6B2A">
              <w:rPr>
                <w:rFonts w:ascii="Arial" w:hAnsi="Arial" w:cs="Arial"/>
                <w:sz w:val="24"/>
                <w:szCs w:val="24"/>
              </w:rPr>
              <w:t>ochner</w:t>
            </w:r>
            <w:proofErr w:type="spellEnd"/>
            <w:r>
              <w:rPr>
                <w:rFonts w:ascii="Arial" w:hAnsi="Arial" w:cs="Arial"/>
                <w:sz w:val="24"/>
                <w:szCs w:val="24"/>
              </w:rPr>
              <w:t xml:space="preserve"> </w:t>
            </w:r>
          </w:p>
          <w:p w:rsidR="00751A8C" w:rsidRPr="00AC43A2" w:rsidRDefault="00751A8C" w:rsidP="00751A8C">
            <w:pPr>
              <w:tabs>
                <w:tab w:val="center" w:pos="2603"/>
                <w:tab w:val="left" w:pos="4476"/>
              </w:tabs>
              <w:spacing w:line="360" w:lineRule="auto"/>
              <w:jc w:val="center"/>
              <w:rPr>
                <w:rFonts w:ascii="Arial" w:hAnsi="Arial" w:cs="Arial"/>
                <w:sz w:val="24"/>
                <w:szCs w:val="24"/>
              </w:rPr>
            </w:pPr>
            <w:r>
              <w:rPr>
                <w:rFonts w:ascii="Arial" w:hAnsi="Arial" w:cs="Arial"/>
                <w:sz w:val="24"/>
                <w:szCs w:val="24"/>
              </w:rPr>
              <w:t>of</w:t>
            </w:r>
            <w:bookmarkStart w:id="0" w:name="_GoBack"/>
            <w:bookmarkEnd w:id="0"/>
          </w:p>
          <w:p w:rsidR="00751A8C" w:rsidRDefault="004309DE" w:rsidP="00751A8C">
            <w:pPr>
              <w:spacing w:line="360" w:lineRule="auto"/>
              <w:jc w:val="center"/>
              <w:rPr>
                <w:rFonts w:ascii="Arial" w:hAnsi="Arial" w:cs="Arial"/>
                <w:sz w:val="24"/>
                <w:szCs w:val="24"/>
              </w:rPr>
            </w:pPr>
            <w:r w:rsidRPr="004309DE">
              <w:rPr>
                <w:rFonts w:ascii="Arial" w:hAnsi="Arial" w:cs="Arial"/>
                <w:sz w:val="24"/>
                <w:szCs w:val="24"/>
              </w:rPr>
              <w:t>Fisher, Quarmby &amp; Pfeifer</w:t>
            </w:r>
            <w:r w:rsidR="00751A8C" w:rsidRPr="00801B03">
              <w:rPr>
                <w:rFonts w:ascii="Arial" w:hAnsi="Arial" w:cs="Arial"/>
                <w:sz w:val="24"/>
                <w:szCs w:val="24"/>
              </w:rPr>
              <w:t>,</w:t>
            </w:r>
            <w:r w:rsidR="00751A8C" w:rsidRPr="00C97B0A">
              <w:rPr>
                <w:rFonts w:ascii="Arial" w:hAnsi="Arial" w:cs="Arial"/>
                <w:sz w:val="24"/>
                <w:szCs w:val="24"/>
              </w:rPr>
              <w:t xml:space="preserve"> Windhoek</w:t>
            </w:r>
          </w:p>
          <w:p w:rsidR="00F639A4" w:rsidRPr="00C97B0A" w:rsidRDefault="00F639A4" w:rsidP="003F3D99">
            <w:pPr>
              <w:spacing w:line="360" w:lineRule="auto"/>
              <w:rPr>
                <w:rFonts w:ascii="Arial" w:hAnsi="Arial" w:cs="Arial"/>
                <w:sz w:val="24"/>
                <w:szCs w:val="24"/>
              </w:rPr>
            </w:pPr>
          </w:p>
        </w:tc>
        <w:tc>
          <w:tcPr>
            <w:tcW w:w="5423" w:type="dxa"/>
            <w:gridSpan w:val="2"/>
          </w:tcPr>
          <w:p w:rsidR="00801B03" w:rsidRPr="001607A1" w:rsidRDefault="00F9209C" w:rsidP="00751A8C">
            <w:pPr>
              <w:spacing w:line="360" w:lineRule="auto"/>
              <w:jc w:val="center"/>
              <w:rPr>
                <w:rFonts w:ascii="Arial" w:hAnsi="Arial" w:cs="Arial"/>
                <w:sz w:val="24"/>
                <w:szCs w:val="24"/>
              </w:rPr>
            </w:pPr>
            <w:r>
              <w:rPr>
                <w:rFonts w:ascii="Arial" w:hAnsi="Arial" w:cs="Arial"/>
                <w:sz w:val="24"/>
                <w:szCs w:val="24"/>
              </w:rPr>
              <w:t>J</w:t>
            </w:r>
            <w:r w:rsidR="000B4B0A">
              <w:rPr>
                <w:rFonts w:ascii="Arial" w:hAnsi="Arial" w:cs="Arial"/>
                <w:sz w:val="24"/>
                <w:szCs w:val="24"/>
              </w:rPr>
              <w:t xml:space="preserve"> </w:t>
            </w:r>
            <w:r w:rsidR="001607A1" w:rsidRPr="001607A1">
              <w:rPr>
                <w:rFonts w:ascii="Arial" w:hAnsi="Arial" w:cs="Arial"/>
                <w:sz w:val="24"/>
                <w:szCs w:val="24"/>
              </w:rPr>
              <w:t>Olivier</w:t>
            </w:r>
          </w:p>
          <w:p w:rsidR="00751A8C" w:rsidRPr="00AC43A2" w:rsidRDefault="00751A8C" w:rsidP="00751A8C">
            <w:pPr>
              <w:spacing w:line="360" w:lineRule="auto"/>
              <w:jc w:val="center"/>
              <w:rPr>
                <w:rFonts w:ascii="Arial" w:hAnsi="Arial" w:cs="Arial"/>
                <w:sz w:val="24"/>
                <w:szCs w:val="24"/>
              </w:rPr>
            </w:pPr>
            <w:r>
              <w:rPr>
                <w:rFonts w:ascii="Arial" w:hAnsi="Arial" w:cs="Arial"/>
                <w:sz w:val="24"/>
                <w:szCs w:val="24"/>
              </w:rPr>
              <w:t>of</w:t>
            </w:r>
          </w:p>
          <w:p w:rsidR="00751A8C" w:rsidRDefault="00F9209C" w:rsidP="00751A8C">
            <w:pPr>
              <w:spacing w:line="360" w:lineRule="auto"/>
              <w:jc w:val="center"/>
              <w:rPr>
                <w:rFonts w:ascii="Arial" w:hAnsi="Arial" w:cs="Arial"/>
                <w:sz w:val="24"/>
                <w:szCs w:val="24"/>
              </w:rPr>
            </w:pPr>
            <w:r>
              <w:rPr>
                <w:rFonts w:ascii="Arial" w:hAnsi="Arial" w:cs="Arial"/>
                <w:sz w:val="24"/>
                <w:szCs w:val="24"/>
              </w:rPr>
              <w:t>Jan Olivier &amp; Co.</w:t>
            </w:r>
            <w:r w:rsidR="00751A8C" w:rsidRPr="00C97B0A">
              <w:rPr>
                <w:rFonts w:ascii="Arial" w:hAnsi="Arial" w:cs="Arial"/>
                <w:sz w:val="24"/>
                <w:szCs w:val="24"/>
              </w:rPr>
              <w:t xml:space="preserve">, </w:t>
            </w:r>
            <w:r>
              <w:rPr>
                <w:rFonts w:ascii="Arial" w:hAnsi="Arial" w:cs="Arial"/>
                <w:sz w:val="24"/>
                <w:szCs w:val="24"/>
              </w:rPr>
              <w:t>Walvis Bay</w:t>
            </w:r>
          </w:p>
          <w:p w:rsidR="00F9209C" w:rsidRPr="00C97B0A" w:rsidRDefault="00F9209C" w:rsidP="00751A8C">
            <w:pPr>
              <w:spacing w:line="360" w:lineRule="auto"/>
              <w:jc w:val="center"/>
              <w:rPr>
                <w:rFonts w:ascii="Arial" w:hAnsi="Arial" w:cs="Arial"/>
                <w:sz w:val="24"/>
                <w:szCs w:val="24"/>
              </w:rPr>
            </w:pPr>
            <w:proofErr w:type="gramStart"/>
            <w:r>
              <w:rPr>
                <w:rFonts w:ascii="Arial" w:hAnsi="Arial" w:cs="Arial"/>
                <w:sz w:val="24"/>
                <w:szCs w:val="24"/>
              </w:rPr>
              <w:t>c/o</w:t>
            </w:r>
            <w:proofErr w:type="gramEnd"/>
            <w:r>
              <w:rPr>
                <w:rFonts w:ascii="Arial" w:hAnsi="Arial" w:cs="Arial"/>
                <w:sz w:val="24"/>
                <w:szCs w:val="24"/>
              </w:rPr>
              <w:t xml:space="preserve"> Ellis </w:t>
            </w:r>
            <w:proofErr w:type="spellStart"/>
            <w:r>
              <w:rPr>
                <w:rFonts w:ascii="Arial" w:hAnsi="Arial" w:cs="Arial"/>
                <w:sz w:val="24"/>
                <w:szCs w:val="24"/>
              </w:rPr>
              <w:t>Shilengudwa</w:t>
            </w:r>
            <w:proofErr w:type="spellEnd"/>
            <w:r>
              <w:rPr>
                <w:rFonts w:ascii="Arial" w:hAnsi="Arial" w:cs="Arial"/>
                <w:sz w:val="24"/>
                <w:szCs w:val="24"/>
              </w:rPr>
              <w:t xml:space="preserve"> Inc.</w:t>
            </w:r>
          </w:p>
          <w:p w:rsidR="002A5C0F" w:rsidRPr="002A5C0F" w:rsidRDefault="002A5C0F" w:rsidP="002A5C0F">
            <w:pPr>
              <w:spacing w:line="360" w:lineRule="auto"/>
              <w:jc w:val="center"/>
              <w:rPr>
                <w:rFonts w:ascii="Arial" w:hAnsi="Arial" w:cs="Arial"/>
                <w:sz w:val="24"/>
                <w:szCs w:val="24"/>
                <w:shd w:val="clear" w:color="auto" w:fill="FFFFFF"/>
              </w:rPr>
            </w:pPr>
          </w:p>
        </w:tc>
      </w:tr>
    </w:tbl>
    <w:p w:rsidR="00B845CF" w:rsidRDefault="00B845CF" w:rsidP="00883004">
      <w:pPr>
        <w:jc w:val="both"/>
        <w:rPr>
          <w:rFonts w:ascii="Arial" w:hAnsi="Arial" w:cs="Arial"/>
          <w:sz w:val="24"/>
          <w:szCs w:val="24"/>
        </w:rPr>
      </w:pPr>
    </w:p>
    <w:p w:rsidR="00751A8C" w:rsidRPr="00883004" w:rsidRDefault="00751A8C" w:rsidP="00883004">
      <w:pPr>
        <w:jc w:val="both"/>
        <w:rPr>
          <w:rFonts w:ascii="Arial" w:hAnsi="Arial" w:cs="Arial"/>
          <w:sz w:val="24"/>
          <w:szCs w:val="24"/>
        </w:rPr>
      </w:pPr>
    </w:p>
    <w:sectPr w:rsidR="00751A8C" w:rsidRPr="00883004" w:rsidSect="00C97B0A">
      <w:headerReference w:type="default" r:id="rId9"/>
      <w:footerReference w:type="default" r:id="rId10"/>
      <w:pgSz w:w="11906" w:h="16838"/>
      <w:pgMar w:top="1440" w:right="1440" w:bottom="1440"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86" w:rsidRDefault="00B25E86" w:rsidP="00B40844">
      <w:pPr>
        <w:spacing w:after="0" w:line="240" w:lineRule="auto"/>
      </w:pPr>
      <w:r>
        <w:separator/>
      </w:r>
    </w:p>
  </w:endnote>
  <w:endnote w:type="continuationSeparator" w:id="0">
    <w:p w:rsidR="00B25E86" w:rsidRDefault="00B25E86"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86" w:rsidRDefault="00B25E86" w:rsidP="00B40844">
      <w:pPr>
        <w:spacing w:after="0" w:line="240" w:lineRule="auto"/>
      </w:pPr>
      <w:r>
        <w:separator/>
      </w:r>
    </w:p>
  </w:footnote>
  <w:footnote w:type="continuationSeparator" w:id="0">
    <w:p w:rsidR="00B25E86" w:rsidRDefault="00B25E86" w:rsidP="00B40844">
      <w:pPr>
        <w:spacing w:after="0" w:line="240" w:lineRule="auto"/>
      </w:pPr>
      <w:r>
        <w:continuationSeparator/>
      </w:r>
    </w:p>
  </w:footnote>
  <w:footnote w:id="1">
    <w:p w:rsidR="000B4B0A" w:rsidRPr="000B4B0A" w:rsidRDefault="000B4B0A" w:rsidP="000B4B0A">
      <w:pPr>
        <w:pStyle w:val="FootnoteText"/>
        <w:jc w:val="both"/>
        <w:rPr>
          <w:rFonts w:ascii="Arial" w:hAnsi="Arial" w:cs="Arial"/>
          <w:lang w:val="en-US"/>
        </w:rPr>
      </w:pPr>
      <w:r w:rsidRPr="000B4B0A">
        <w:rPr>
          <w:rStyle w:val="FootnoteReference"/>
          <w:rFonts w:ascii="Arial" w:hAnsi="Arial" w:cs="Arial"/>
        </w:rPr>
        <w:footnoteRef/>
      </w:r>
      <w:r w:rsidRPr="000B4B0A">
        <w:rPr>
          <w:rFonts w:ascii="Arial" w:hAnsi="Arial" w:cs="Arial"/>
        </w:rPr>
        <w:t xml:space="preserve"> </w:t>
      </w:r>
      <w:r w:rsidRPr="000B4B0A">
        <w:rPr>
          <w:rFonts w:ascii="Arial" w:hAnsi="Arial" w:cs="Arial"/>
          <w:i/>
          <w:iCs/>
          <w:lang w:val="en-US"/>
        </w:rPr>
        <w:t xml:space="preserve">I A Bell Equipment Company (Namibia) (Pty) Ltd v </w:t>
      </w:r>
      <w:proofErr w:type="spellStart"/>
      <w:r w:rsidRPr="000B4B0A">
        <w:rPr>
          <w:rFonts w:ascii="Arial" w:hAnsi="Arial" w:cs="Arial"/>
          <w:i/>
          <w:iCs/>
          <w:lang w:val="en-US"/>
        </w:rPr>
        <w:t>Roadstone</w:t>
      </w:r>
      <w:proofErr w:type="spellEnd"/>
      <w:r w:rsidRPr="000B4B0A">
        <w:rPr>
          <w:rFonts w:ascii="Arial" w:hAnsi="Arial" w:cs="Arial"/>
          <w:i/>
          <w:iCs/>
          <w:lang w:val="en-US"/>
        </w:rPr>
        <w:t xml:space="preserve"> Quarries CC</w:t>
      </w:r>
      <w:r w:rsidRPr="000B4B0A">
        <w:rPr>
          <w:rFonts w:ascii="Arial" w:hAnsi="Arial" w:cs="Arial"/>
          <w:lang w:val="en-US"/>
        </w:rPr>
        <w:t xml:space="preserve"> [2014] NAHCMD 306 (17 October 2014).</w:t>
      </w:r>
    </w:p>
  </w:footnote>
  <w:footnote w:id="2">
    <w:p w:rsidR="000B4B0A" w:rsidRPr="000B4B0A" w:rsidRDefault="000B4B0A" w:rsidP="000B4B0A">
      <w:pPr>
        <w:pStyle w:val="FootnoteText"/>
        <w:jc w:val="both"/>
        <w:rPr>
          <w:rFonts w:ascii="Arial" w:hAnsi="Arial" w:cs="Arial"/>
          <w:lang w:val="en-US"/>
        </w:rPr>
      </w:pPr>
      <w:r w:rsidRPr="000B4B0A">
        <w:rPr>
          <w:rStyle w:val="FootnoteReference"/>
          <w:rFonts w:ascii="Arial" w:hAnsi="Arial" w:cs="Arial"/>
        </w:rPr>
        <w:footnoteRef/>
      </w:r>
      <w:r w:rsidRPr="000B4B0A">
        <w:rPr>
          <w:rFonts w:ascii="Arial" w:hAnsi="Arial" w:cs="Arial"/>
        </w:rPr>
        <w:t xml:space="preserve"> </w:t>
      </w:r>
      <w:r w:rsidRPr="000B4B0A">
        <w:rPr>
          <w:rFonts w:ascii="Arial" w:hAnsi="Arial" w:cs="Arial"/>
          <w:lang w:val="en-US"/>
        </w:rPr>
        <w:t xml:space="preserve">Petrus T </w:t>
      </w:r>
      <w:proofErr w:type="spellStart"/>
      <w:r w:rsidRPr="000B4B0A">
        <w:rPr>
          <w:rFonts w:ascii="Arial" w:hAnsi="Arial" w:cs="Arial"/>
          <w:lang w:val="en-US"/>
        </w:rPr>
        <w:t>Damaseb</w:t>
      </w:r>
      <w:proofErr w:type="spellEnd"/>
      <w:r w:rsidRPr="000B4B0A">
        <w:rPr>
          <w:rFonts w:ascii="Arial" w:hAnsi="Arial" w:cs="Arial"/>
          <w:lang w:val="en-US"/>
        </w:rPr>
        <w:t xml:space="preserve"> </w:t>
      </w:r>
      <w:r w:rsidRPr="000B4B0A">
        <w:rPr>
          <w:rFonts w:ascii="Arial" w:hAnsi="Arial" w:cs="Arial"/>
          <w:i/>
          <w:iCs/>
          <w:lang w:val="en-US"/>
        </w:rPr>
        <w:t>Court-Managed Civil Procedure of the High Court of Namibia: Law, Procedure and Practice</w:t>
      </w:r>
      <w:r w:rsidRPr="000B4B0A">
        <w:rPr>
          <w:rFonts w:ascii="Arial" w:hAnsi="Arial" w:cs="Arial"/>
          <w:lang w:val="en-US"/>
        </w:rPr>
        <w:t xml:space="preserve"> 1 </w:t>
      </w:r>
      <w:proofErr w:type="spellStart"/>
      <w:proofErr w:type="gramStart"/>
      <w:r w:rsidRPr="000B4B0A">
        <w:rPr>
          <w:rFonts w:ascii="Arial" w:hAnsi="Arial" w:cs="Arial"/>
          <w:lang w:val="en-US"/>
        </w:rPr>
        <w:t>ed</w:t>
      </w:r>
      <w:proofErr w:type="spellEnd"/>
      <w:proofErr w:type="gramEnd"/>
      <w:r w:rsidRPr="000B4B0A">
        <w:rPr>
          <w:rFonts w:ascii="Arial" w:hAnsi="Arial" w:cs="Arial"/>
          <w:lang w:val="en-US"/>
        </w:rPr>
        <w:t xml:space="preserve"> (2020) at 143.</w:t>
      </w:r>
    </w:p>
  </w:footnote>
  <w:footnote w:id="3">
    <w:p w:rsidR="000B4B0A" w:rsidRPr="000B4B0A" w:rsidRDefault="000B4B0A" w:rsidP="000B4B0A">
      <w:pPr>
        <w:pStyle w:val="FootnoteText"/>
        <w:jc w:val="both"/>
        <w:rPr>
          <w:rFonts w:ascii="Arial" w:hAnsi="Arial" w:cs="Arial"/>
          <w:lang w:val="en-US"/>
        </w:rPr>
      </w:pPr>
      <w:r w:rsidRPr="000B4B0A">
        <w:rPr>
          <w:rStyle w:val="FootnoteReference"/>
          <w:rFonts w:ascii="Arial" w:hAnsi="Arial" w:cs="Arial"/>
        </w:rPr>
        <w:footnoteRef/>
      </w:r>
      <w:r w:rsidRPr="000B4B0A">
        <w:rPr>
          <w:rFonts w:ascii="Arial" w:hAnsi="Arial" w:cs="Arial"/>
        </w:rPr>
        <w:t xml:space="preserve"> </w:t>
      </w:r>
      <w:r w:rsidRPr="000B4B0A">
        <w:rPr>
          <w:rFonts w:ascii="Arial" w:hAnsi="Arial" w:cs="Arial"/>
          <w:lang w:val="en-US"/>
        </w:rPr>
        <w:t>Ibid at 145.</w:t>
      </w:r>
    </w:p>
  </w:footnote>
  <w:footnote w:id="4">
    <w:p w:rsidR="000B4B0A" w:rsidRPr="000B4B0A" w:rsidRDefault="000B4B0A" w:rsidP="000B4B0A">
      <w:pPr>
        <w:pStyle w:val="FootnoteText"/>
        <w:jc w:val="both"/>
        <w:rPr>
          <w:rFonts w:ascii="Arial" w:hAnsi="Arial" w:cs="Arial"/>
          <w:lang w:val="en-US"/>
        </w:rPr>
      </w:pPr>
      <w:r w:rsidRPr="000B4B0A">
        <w:rPr>
          <w:rStyle w:val="FootnoteReference"/>
          <w:rFonts w:ascii="Arial" w:hAnsi="Arial" w:cs="Arial"/>
        </w:rPr>
        <w:footnoteRef/>
      </w:r>
      <w:r w:rsidRPr="000B4B0A">
        <w:rPr>
          <w:rFonts w:ascii="Arial" w:hAnsi="Arial" w:cs="Arial"/>
        </w:rPr>
        <w:t xml:space="preserve"> </w:t>
      </w:r>
      <w:proofErr w:type="spellStart"/>
      <w:r w:rsidRPr="000B4B0A">
        <w:rPr>
          <w:rFonts w:ascii="Arial" w:hAnsi="Arial" w:cs="Arial"/>
          <w:i/>
          <w:iCs/>
          <w:lang w:val="en-US"/>
        </w:rPr>
        <w:t>Geomar</w:t>
      </w:r>
      <w:proofErr w:type="spellEnd"/>
      <w:r w:rsidRPr="000B4B0A">
        <w:rPr>
          <w:rFonts w:ascii="Arial" w:hAnsi="Arial" w:cs="Arial"/>
          <w:i/>
          <w:iCs/>
          <w:lang w:val="en-US"/>
        </w:rPr>
        <w:t xml:space="preserve"> Consult CC v China </w:t>
      </w:r>
      <w:proofErr w:type="spellStart"/>
      <w:r w:rsidRPr="000B4B0A">
        <w:rPr>
          <w:rFonts w:ascii="Arial" w:hAnsi="Arial" w:cs="Arial"/>
          <w:i/>
          <w:iCs/>
          <w:lang w:val="en-US"/>
        </w:rPr>
        <w:t>Harbour</w:t>
      </w:r>
      <w:proofErr w:type="spellEnd"/>
      <w:r w:rsidRPr="000B4B0A">
        <w:rPr>
          <w:rFonts w:ascii="Arial" w:hAnsi="Arial" w:cs="Arial"/>
          <w:i/>
          <w:iCs/>
          <w:lang w:val="en-US"/>
        </w:rPr>
        <w:t xml:space="preserve"> Engineering Company Ltd Namibia</w:t>
      </w:r>
      <w:r w:rsidRPr="000B4B0A">
        <w:rPr>
          <w:rFonts w:ascii="Arial" w:hAnsi="Arial" w:cs="Arial"/>
          <w:lang w:val="en-US"/>
        </w:rPr>
        <w:t xml:space="preserve"> [2021] NAHCMD 455 (5 October 2021) para 4.</w:t>
      </w:r>
    </w:p>
  </w:footnote>
  <w:footnote w:id="5">
    <w:p w:rsidR="000B4B0A" w:rsidRPr="000B4B0A" w:rsidRDefault="000B4B0A" w:rsidP="000B4B0A">
      <w:pPr>
        <w:pStyle w:val="FootnoteText"/>
        <w:jc w:val="both"/>
        <w:rPr>
          <w:rFonts w:ascii="Arial" w:hAnsi="Arial" w:cs="Arial"/>
          <w:lang w:val="en-US"/>
        </w:rPr>
      </w:pPr>
      <w:r w:rsidRPr="000B4B0A">
        <w:rPr>
          <w:rStyle w:val="FootnoteReference"/>
          <w:rFonts w:ascii="Arial" w:hAnsi="Arial" w:cs="Arial"/>
        </w:rPr>
        <w:footnoteRef/>
      </w:r>
      <w:r w:rsidRPr="000B4B0A">
        <w:rPr>
          <w:rFonts w:ascii="Arial" w:hAnsi="Arial" w:cs="Arial"/>
        </w:rPr>
        <w:t xml:space="preserve"> </w:t>
      </w:r>
      <w:r w:rsidRPr="000B4B0A">
        <w:rPr>
          <w:rFonts w:ascii="Arial" w:hAnsi="Arial" w:cs="Arial"/>
          <w:lang w:val="en-US"/>
        </w:rPr>
        <w:t xml:space="preserve">LTC Harms </w:t>
      </w:r>
      <w:proofErr w:type="spellStart"/>
      <w:r w:rsidRPr="000B4B0A">
        <w:rPr>
          <w:rFonts w:ascii="Arial" w:hAnsi="Arial" w:cs="Arial"/>
          <w:i/>
          <w:iCs/>
          <w:lang w:val="en-US"/>
        </w:rPr>
        <w:t>Amler’s</w:t>
      </w:r>
      <w:proofErr w:type="spellEnd"/>
      <w:r w:rsidRPr="000B4B0A">
        <w:rPr>
          <w:rFonts w:ascii="Arial" w:hAnsi="Arial" w:cs="Arial"/>
          <w:i/>
          <w:iCs/>
          <w:lang w:val="en-US"/>
        </w:rPr>
        <w:t xml:space="preserve"> Precedents of Pleadings</w:t>
      </w:r>
      <w:r w:rsidRPr="000B4B0A">
        <w:rPr>
          <w:rFonts w:ascii="Arial" w:hAnsi="Arial" w:cs="Arial"/>
          <w:lang w:val="en-US"/>
        </w:rPr>
        <w:t xml:space="preserve"> 4ed (1993) at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9E411A">
          <w:rPr>
            <w:rFonts w:ascii="Arial" w:hAnsi="Arial" w:cs="Arial"/>
            <w:noProof/>
            <w:sz w:val="24"/>
            <w:szCs w:val="24"/>
          </w:rPr>
          <w:t>4</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2A27ADF"/>
    <w:multiLevelType w:val="hybridMultilevel"/>
    <w:tmpl w:val="A8F2CD94"/>
    <w:lvl w:ilvl="0" w:tplc="F7BEEA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5F5676"/>
    <w:multiLevelType w:val="hybridMultilevel"/>
    <w:tmpl w:val="41F261F6"/>
    <w:lvl w:ilvl="0" w:tplc="3C587DFA">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6"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E814CAE"/>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1CF6172"/>
    <w:multiLevelType w:val="hybridMultilevel"/>
    <w:tmpl w:val="1646DD16"/>
    <w:lvl w:ilvl="0" w:tplc="90D6DD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15689"/>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5EA10267"/>
    <w:multiLevelType w:val="hybridMultilevel"/>
    <w:tmpl w:val="7B641542"/>
    <w:lvl w:ilvl="0" w:tplc="BA1E9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1"/>
  </w:num>
  <w:num w:numId="6">
    <w:abstractNumId w:val="9"/>
  </w:num>
  <w:num w:numId="7">
    <w:abstractNumId w:val="8"/>
  </w:num>
  <w:num w:numId="8">
    <w:abstractNumId w:val="5"/>
  </w:num>
  <w:num w:numId="9">
    <w:abstractNumId w:val="6"/>
  </w:num>
  <w:num w:numId="10">
    <w:abstractNumId w:val="3"/>
  </w:num>
  <w:num w:numId="11">
    <w:abstractNumId w:val="14"/>
  </w:num>
  <w:num w:numId="12">
    <w:abstractNumId w:val="1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4BC7"/>
    <w:rsid w:val="00015808"/>
    <w:rsid w:val="00015DC1"/>
    <w:rsid w:val="00017ED7"/>
    <w:rsid w:val="00024F0E"/>
    <w:rsid w:val="000251A0"/>
    <w:rsid w:val="000302C5"/>
    <w:rsid w:val="000307BF"/>
    <w:rsid w:val="00030A66"/>
    <w:rsid w:val="00037DF6"/>
    <w:rsid w:val="00052806"/>
    <w:rsid w:val="00053646"/>
    <w:rsid w:val="00054121"/>
    <w:rsid w:val="00054476"/>
    <w:rsid w:val="00072DED"/>
    <w:rsid w:val="00074BC3"/>
    <w:rsid w:val="00081C03"/>
    <w:rsid w:val="00083D1A"/>
    <w:rsid w:val="00086660"/>
    <w:rsid w:val="000870AB"/>
    <w:rsid w:val="00087C9A"/>
    <w:rsid w:val="000929C5"/>
    <w:rsid w:val="000A5883"/>
    <w:rsid w:val="000A6674"/>
    <w:rsid w:val="000A66B9"/>
    <w:rsid w:val="000A6E7F"/>
    <w:rsid w:val="000B4B0A"/>
    <w:rsid w:val="000B631E"/>
    <w:rsid w:val="000C242C"/>
    <w:rsid w:val="000C65B1"/>
    <w:rsid w:val="000C78FC"/>
    <w:rsid w:val="000D1E65"/>
    <w:rsid w:val="000D7F90"/>
    <w:rsid w:val="000E5171"/>
    <w:rsid w:val="000F238E"/>
    <w:rsid w:val="000F2C4D"/>
    <w:rsid w:val="000F39A3"/>
    <w:rsid w:val="000F681E"/>
    <w:rsid w:val="00115ABC"/>
    <w:rsid w:val="00116AFB"/>
    <w:rsid w:val="0011768F"/>
    <w:rsid w:val="001223B7"/>
    <w:rsid w:val="00124C63"/>
    <w:rsid w:val="0012642A"/>
    <w:rsid w:val="00127391"/>
    <w:rsid w:val="00141350"/>
    <w:rsid w:val="00152FEA"/>
    <w:rsid w:val="00153C0E"/>
    <w:rsid w:val="001607A1"/>
    <w:rsid w:val="00175DB1"/>
    <w:rsid w:val="00182992"/>
    <w:rsid w:val="0018718C"/>
    <w:rsid w:val="00193C9D"/>
    <w:rsid w:val="00194D09"/>
    <w:rsid w:val="001A3B00"/>
    <w:rsid w:val="001A4504"/>
    <w:rsid w:val="001B3825"/>
    <w:rsid w:val="001B494D"/>
    <w:rsid w:val="001D4603"/>
    <w:rsid w:val="001D6E3B"/>
    <w:rsid w:val="001E097B"/>
    <w:rsid w:val="001E1B4A"/>
    <w:rsid w:val="001E1D33"/>
    <w:rsid w:val="00200E53"/>
    <w:rsid w:val="00203716"/>
    <w:rsid w:val="00206B05"/>
    <w:rsid w:val="00212413"/>
    <w:rsid w:val="002124D3"/>
    <w:rsid w:val="002125C7"/>
    <w:rsid w:val="0021762B"/>
    <w:rsid w:val="00217744"/>
    <w:rsid w:val="00217A1C"/>
    <w:rsid w:val="002225CB"/>
    <w:rsid w:val="00224808"/>
    <w:rsid w:val="0022592E"/>
    <w:rsid w:val="00225C54"/>
    <w:rsid w:val="00227247"/>
    <w:rsid w:val="002317B0"/>
    <w:rsid w:val="00231ABE"/>
    <w:rsid w:val="002338D0"/>
    <w:rsid w:val="0023549A"/>
    <w:rsid w:val="00236F6F"/>
    <w:rsid w:val="00241115"/>
    <w:rsid w:val="002411C1"/>
    <w:rsid w:val="00241A31"/>
    <w:rsid w:val="002536EA"/>
    <w:rsid w:val="002547AC"/>
    <w:rsid w:val="002647A1"/>
    <w:rsid w:val="00276736"/>
    <w:rsid w:val="00282DB5"/>
    <w:rsid w:val="002836DF"/>
    <w:rsid w:val="002865F4"/>
    <w:rsid w:val="002A4AA3"/>
    <w:rsid w:val="002A5C0F"/>
    <w:rsid w:val="002B38E0"/>
    <w:rsid w:val="002B397D"/>
    <w:rsid w:val="002B5BB9"/>
    <w:rsid w:val="002C1EF6"/>
    <w:rsid w:val="002D0359"/>
    <w:rsid w:val="002D20C5"/>
    <w:rsid w:val="002D6167"/>
    <w:rsid w:val="002E1151"/>
    <w:rsid w:val="002E123F"/>
    <w:rsid w:val="002E198E"/>
    <w:rsid w:val="002E64D8"/>
    <w:rsid w:val="002E738E"/>
    <w:rsid w:val="002F0692"/>
    <w:rsid w:val="00307DB3"/>
    <w:rsid w:val="00312E51"/>
    <w:rsid w:val="0031523D"/>
    <w:rsid w:val="00322F39"/>
    <w:rsid w:val="00323AAF"/>
    <w:rsid w:val="00323E22"/>
    <w:rsid w:val="00325533"/>
    <w:rsid w:val="00340EA6"/>
    <w:rsid w:val="00346B7A"/>
    <w:rsid w:val="0035394D"/>
    <w:rsid w:val="00360DBA"/>
    <w:rsid w:val="00362C10"/>
    <w:rsid w:val="00371B8F"/>
    <w:rsid w:val="003750B1"/>
    <w:rsid w:val="0038382D"/>
    <w:rsid w:val="00386207"/>
    <w:rsid w:val="00387B29"/>
    <w:rsid w:val="003917AF"/>
    <w:rsid w:val="003A06B6"/>
    <w:rsid w:val="003A18AD"/>
    <w:rsid w:val="003B09B0"/>
    <w:rsid w:val="003B0F1E"/>
    <w:rsid w:val="003C2574"/>
    <w:rsid w:val="003D165C"/>
    <w:rsid w:val="003D3059"/>
    <w:rsid w:val="003D4C26"/>
    <w:rsid w:val="003D7FE2"/>
    <w:rsid w:val="003E01ED"/>
    <w:rsid w:val="003F0DD3"/>
    <w:rsid w:val="003F3D99"/>
    <w:rsid w:val="00404B70"/>
    <w:rsid w:val="00412278"/>
    <w:rsid w:val="004163B1"/>
    <w:rsid w:val="0041723B"/>
    <w:rsid w:val="00421B60"/>
    <w:rsid w:val="00422931"/>
    <w:rsid w:val="00426C60"/>
    <w:rsid w:val="00426F4B"/>
    <w:rsid w:val="004309DE"/>
    <w:rsid w:val="00431A65"/>
    <w:rsid w:val="004352E5"/>
    <w:rsid w:val="004358E2"/>
    <w:rsid w:val="00435D03"/>
    <w:rsid w:val="00436C2B"/>
    <w:rsid w:val="00440F37"/>
    <w:rsid w:val="00463486"/>
    <w:rsid w:val="004665B1"/>
    <w:rsid w:val="00466B36"/>
    <w:rsid w:val="00474C2A"/>
    <w:rsid w:val="00475B7A"/>
    <w:rsid w:val="00481A0D"/>
    <w:rsid w:val="00483964"/>
    <w:rsid w:val="0048441F"/>
    <w:rsid w:val="004907E4"/>
    <w:rsid w:val="004936A7"/>
    <w:rsid w:val="00493F46"/>
    <w:rsid w:val="004A2D48"/>
    <w:rsid w:val="004B2315"/>
    <w:rsid w:val="004B6C36"/>
    <w:rsid w:val="004C59BB"/>
    <w:rsid w:val="004C646F"/>
    <w:rsid w:val="004E2A2B"/>
    <w:rsid w:val="004E2D04"/>
    <w:rsid w:val="004E5347"/>
    <w:rsid w:val="004F27A8"/>
    <w:rsid w:val="004F4867"/>
    <w:rsid w:val="004F73A0"/>
    <w:rsid w:val="00501F59"/>
    <w:rsid w:val="00503F36"/>
    <w:rsid w:val="00505256"/>
    <w:rsid w:val="0052303D"/>
    <w:rsid w:val="005234D3"/>
    <w:rsid w:val="00535F29"/>
    <w:rsid w:val="00536EFF"/>
    <w:rsid w:val="005408B2"/>
    <w:rsid w:val="005435B4"/>
    <w:rsid w:val="00556E43"/>
    <w:rsid w:val="005629DA"/>
    <w:rsid w:val="005860DF"/>
    <w:rsid w:val="0059070D"/>
    <w:rsid w:val="00594F6C"/>
    <w:rsid w:val="005A49D3"/>
    <w:rsid w:val="005A4D90"/>
    <w:rsid w:val="005A7B7D"/>
    <w:rsid w:val="005B341E"/>
    <w:rsid w:val="005B6240"/>
    <w:rsid w:val="005B62A0"/>
    <w:rsid w:val="005C0E24"/>
    <w:rsid w:val="005C21D7"/>
    <w:rsid w:val="005C3354"/>
    <w:rsid w:val="005C77F3"/>
    <w:rsid w:val="005D0C1B"/>
    <w:rsid w:val="005D0C34"/>
    <w:rsid w:val="005D543C"/>
    <w:rsid w:val="005E066D"/>
    <w:rsid w:val="005E7FB4"/>
    <w:rsid w:val="005F325C"/>
    <w:rsid w:val="005F32EB"/>
    <w:rsid w:val="0060278E"/>
    <w:rsid w:val="00610BF1"/>
    <w:rsid w:val="006115E2"/>
    <w:rsid w:val="00622B72"/>
    <w:rsid w:val="0063199C"/>
    <w:rsid w:val="0063435A"/>
    <w:rsid w:val="00641331"/>
    <w:rsid w:val="00646C86"/>
    <w:rsid w:val="0065500F"/>
    <w:rsid w:val="006678D1"/>
    <w:rsid w:val="00667B57"/>
    <w:rsid w:val="00672C76"/>
    <w:rsid w:val="00673DB5"/>
    <w:rsid w:val="00692361"/>
    <w:rsid w:val="00695745"/>
    <w:rsid w:val="006959D1"/>
    <w:rsid w:val="006976D9"/>
    <w:rsid w:val="006979B3"/>
    <w:rsid w:val="006A0BA4"/>
    <w:rsid w:val="006A398D"/>
    <w:rsid w:val="006A3F29"/>
    <w:rsid w:val="006B5E01"/>
    <w:rsid w:val="006B7521"/>
    <w:rsid w:val="006C37BD"/>
    <w:rsid w:val="006D0991"/>
    <w:rsid w:val="006D264B"/>
    <w:rsid w:val="006D7450"/>
    <w:rsid w:val="006E0FD4"/>
    <w:rsid w:val="006E7FDA"/>
    <w:rsid w:val="007000BF"/>
    <w:rsid w:val="00702C62"/>
    <w:rsid w:val="00703171"/>
    <w:rsid w:val="00704B78"/>
    <w:rsid w:val="007054D2"/>
    <w:rsid w:val="00705A2C"/>
    <w:rsid w:val="007106C7"/>
    <w:rsid w:val="00713CFF"/>
    <w:rsid w:val="00714241"/>
    <w:rsid w:val="00716E66"/>
    <w:rsid w:val="007242A2"/>
    <w:rsid w:val="0073403B"/>
    <w:rsid w:val="00736DA4"/>
    <w:rsid w:val="00742AB6"/>
    <w:rsid w:val="00746150"/>
    <w:rsid w:val="00746C0C"/>
    <w:rsid w:val="00751A8C"/>
    <w:rsid w:val="0076364F"/>
    <w:rsid w:val="00766C68"/>
    <w:rsid w:val="007752C8"/>
    <w:rsid w:val="0078274D"/>
    <w:rsid w:val="007853D8"/>
    <w:rsid w:val="00786525"/>
    <w:rsid w:val="007947F2"/>
    <w:rsid w:val="007950C8"/>
    <w:rsid w:val="007A30F6"/>
    <w:rsid w:val="007A69B7"/>
    <w:rsid w:val="007C34C0"/>
    <w:rsid w:val="007D0765"/>
    <w:rsid w:val="007D0792"/>
    <w:rsid w:val="007D1177"/>
    <w:rsid w:val="007D6C74"/>
    <w:rsid w:val="007D7388"/>
    <w:rsid w:val="007E0387"/>
    <w:rsid w:val="007E4101"/>
    <w:rsid w:val="007E41E8"/>
    <w:rsid w:val="007E5F04"/>
    <w:rsid w:val="007F1CA7"/>
    <w:rsid w:val="007F6583"/>
    <w:rsid w:val="007F68C4"/>
    <w:rsid w:val="008006A3"/>
    <w:rsid w:val="00800856"/>
    <w:rsid w:val="00801B03"/>
    <w:rsid w:val="0080541A"/>
    <w:rsid w:val="008121AD"/>
    <w:rsid w:val="00812409"/>
    <w:rsid w:val="00812772"/>
    <w:rsid w:val="00813E24"/>
    <w:rsid w:val="00816D42"/>
    <w:rsid w:val="00816D5D"/>
    <w:rsid w:val="00821A0C"/>
    <w:rsid w:val="008275AC"/>
    <w:rsid w:val="00833B9D"/>
    <w:rsid w:val="00835300"/>
    <w:rsid w:val="00840C06"/>
    <w:rsid w:val="0084724D"/>
    <w:rsid w:val="00880DD1"/>
    <w:rsid w:val="00881BC9"/>
    <w:rsid w:val="00881FF2"/>
    <w:rsid w:val="00882F73"/>
    <w:rsid w:val="00883004"/>
    <w:rsid w:val="00884CF9"/>
    <w:rsid w:val="00886BD5"/>
    <w:rsid w:val="00890A20"/>
    <w:rsid w:val="00892D9A"/>
    <w:rsid w:val="00895C5D"/>
    <w:rsid w:val="008A1447"/>
    <w:rsid w:val="008A21E1"/>
    <w:rsid w:val="008A6073"/>
    <w:rsid w:val="008B244F"/>
    <w:rsid w:val="008B4C24"/>
    <w:rsid w:val="008B4F50"/>
    <w:rsid w:val="008B5600"/>
    <w:rsid w:val="008C2200"/>
    <w:rsid w:val="008C27E7"/>
    <w:rsid w:val="008C2DF1"/>
    <w:rsid w:val="008D4A1F"/>
    <w:rsid w:val="008E0730"/>
    <w:rsid w:val="008E1D44"/>
    <w:rsid w:val="008E3A73"/>
    <w:rsid w:val="008E6175"/>
    <w:rsid w:val="008F59A0"/>
    <w:rsid w:val="009018D4"/>
    <w:rsid w:val="00905359"/>
    <w:rsid w:val="009279BE"/>
    <w:rsid w:val="00932509"/>
    <w:rsid w:val="00937C89"/>
    <w:rsid w:val="00944B22"/>
    <w:rsid w:val="00945E92"/>
    <w:rsid w:val="009464D6"/>
    <w:rsid w:val="00956B2A"/>
    <w:rsid w:val="00956E02"/>
    <w:rsid w:val="00964054"/>
    <w:rsid w:val="0097039F"/>
    <w:rsid w:val="009719BD"/>
    <w:rsid w:val="009733A9"/>
    <w:rsid w:val="00974859"/>
    <w:rsid w:val="00980C82"/>
    <w:rsid w:val="009840E2"/>
    <w:rsid w:val="009919F6"/>
    <w:rsid w:val="00992E0B"/>
    <w:rsid w:val="00997C11"/>
    <w:rsid w:val="009A0C8F"/>
    <w:rsid w:val="009A0D5F"/>
    <w:rsid w:val="009A2D54"/>
    <w:rsid w:val="009A7A59"/>
    <w:rsid w:val="009C1846"/>
    <w:rsid w:val="009C35C9"/>
    <w:rsid w:val="009C516F"/>
    <w:rsid w:val="009C6F3F"/>
    <w:rsid w:val="009D1768"/>
    <w:rsid w:val="009D27E8"/>
    <w:rsid w:val="009D73D7"/>
    <w:rsid w:val="009E2D5E"/>
    <w:rsid w:val="009E411A"/>
    <w:rsid w:val="009F1C92"/>
    <w:rsid w:val="009F773F"/>
    <w:rsid w:val="00A10E40"/>
    <w:rsid w:val="00A13B88"/>
    <w:rsid w:val="00A15CD1"/>
    <w:rsid w:val="00A170B1"/>
    <w:rsid w:val="00A22E0F"/>
    <w:rsid w:val="00A26B7B"/>
    <w:rsid w:val="00A2772D"/>
    <w:rsid w:val="00A3327E"/>
    <w:rsid w:val="00A34ECF"/>
    <w:rsid w:val="00A50F13"/>
    <w:rsid w:val="00A51D45"/>
    <w:rsid w:val="00A5520F"/>
    <w:rsid w:val="00A66511"/>
    <w:rsid w:val="00A6703B"/>
    <w:rsid w:val="00A735DB"/>
    <w:rsid w:val="00A75ED6"/>
    <w:rsid w:val="00A80DFA"/>
    <w:rsid w:val="00A81112"/>
    <w:rsid w:val="00A830FB"/>
    <w:rsid w:val="00A87A60"/>
    <w:rsid w:val="00A949AE"/>
    <w:rsid w:val="00A97664"/>
    <w:rsid w:val="00A97D01"/>
    <w:rsid w:val="00AA3ECB"/>
    <w:rsid w:val="00AA6017"/>
    <w:rsid w:val="00AB08C4"/>
    <w:rsid w:val="00AB2D30"/>
    <w:rsid w:val="00AC0D47"/>
    <w:rsid w:val="00AC43A2"/>
    <w:rsid w:val="00AC568F"/>
    <w:rsid w:val="00AD0B66"/>
    <w:rsid w:val="00AD1CEC"/>
    <w:rsid w:val="00AD6E6A"/>
    <w:rsid w:val="00AD72DD"/>
    <w:rsid w:val="00AE0F2B"/>
    <w:rsid w:val="00AE24E7"/>
    <w:rsid w:val="00AE57BB"/>
    <w:rsid w:val="00AF71C0"/>
    <w:rsid w:val="00B01B6C"/>
    <w:rsid w:val="00B05A08"/>
    <w:rsid w:val="00B11A47"/>
    <w:rsid w:val="00B121EA"/>
    <w:rsid w:val="00B14E53"/>
    <w:rsid w:val="00B16601"/>
    <w:rsid w:val="00B16A04"/>
    <w:rsid w:val="00B21FEE"/>
    <w:rsid w:val="00B25E86"/>
    <w:rsid w:val="00B40844"/>
    <w:rsid w:val="00B433BD"/>
    <w:rsid w:val="00B46BB5"/>
    <w:rsid w:val="00B47800"/>
    <w:rsid w:val="00B5067C"/>
    <w:rsid w:val="00B50C99"/>
    <w:rsid w:val="00B50D73"/>
    <w:rsid w:val="00B56457"/>
    <w:rsid w:val="00B56E34"/>
    <w:rsid w:val="00B5737E"/>
    <w:rsid w:val="00B61AC7"/>
    <w:rsid w:val="00B66082"/>
    <w:rsid w:val="00B661B7"/>
    <w:rsid w:val="00B7499F"/>
    <w:rsid w:val="00B74BBB"/>
    <w:rsid w:val="00B75ACC"/>
    <w:rsid w:val="00B75CCB"/>
    <w:rsid w:val="00B76C1F"/>
    <w:rsid w:val="00B808CB"/>
    <w:rsid w:val="00B845CF"/>
    <w:rsid w:val="00B90DA5"/>
    <w:rsid w:val="00B928E9"/>
    <w:rsid w:val="00B92DE7"/>
    <w:rsid w:val="00B9407E"/>
    <w:rsid w:val="00BB13F4"/>
    <w:rsid w:val="00BB2B54"/>
    <w:rsid w:val="00BB3273"/>
    <w:rsid w:val="00BC4B33"/>
    <w:rsid w:val="00BC5931"/>
    <w:rsid w:val="00BD1C5C"/>
    <w:rsid w:val="00BD66C9"/>
    <w:rsid w:val="00BE31AD"/>
    <w:rsid w:val="00C02E2D"/>
    <w:rsid w:val="00C033C2"/>
    <w:rsid w:val="00C04F28"/>
    <w:rsid w:val="00C066B6"/>
    <w:rsid w:val="00C06EB4"/>
    <w:rsid w:val="00C2633E"/>
    <w:rsid w:val="00C327A6"/>
    <w:rsid w:val="00C4587F"/>
    <w:rsid w:val="00C504FC"/>
    <w:rsid w:val="00C54752"/>
    <w:rsid w:val="00C5569F"/>
    <w:rsid w:val="00C57F53"/>
    <w:rsid w:val="00C71A4D"/>
    <w:rsid w:val="00C73D5D"/>
    <w:rsid w:val="00C74D15"/>
    <w:rsid w:val="00C80E16"/>
    <w:rsid w:val="00C82B7B"/>
    <w:rsid w:val="00C837FE"/>
    <w:rsid w:val="00C9684E"/>
    <w:rsid w:val="00C97B0A"/>
    <w:rsid w:val="00CA7995"/>
    <w:rsid w:val="00CA7AA0"/>
    <w:rsid w:val="00CB3530"/>
    <w:rsid w:val="00CB72A6"/>
    <w:rsid w:val="00CC3220"/>
    <w:rsid w:val="00CC5308"/>
    <w:rsid w:val="00CC57E3"/>
    <w:rsid w:val="00CC7431"/>
    <w:rsid w:val="00CD605F"/>
    <w:rsid w:val="00CD62C0"/>
    <w:rsid w:val="00CE000F"/>
    <w:rsid w:val="00CE15C7"/>
    <w:rsid w:val="00CE52F4"/>
    <w:rsid w:val="00CE6B2D"/>
    <w:rsid w:val="00D034F4"/>
    <w:rsid w:val="00D113DD"/>
    <w:rsid w:val="00D1144C"/>
    <w:rsid w:val="00D14228"/>
    <w:rsid w:val="00D15FF5"/>
    <w:rsid w:val="00D24453"/>
    <w:rsid w:val="00D25285"/>
    <w:rsid w:val="00D30D4D"/>
    <w:rsid w:val="00D37DAA"/>
    <w:rsid w:val="00D5070E"/>
    <w:rsid w:val="00D52F48"/>
    <w:rsid w:val="00D547B6"/>
    <w:rsid w:val="00D55E8D"/>
    <w:rsid w:val="00D562F3"/>
    <w:rsid w:val="00D6224D"/>
    <w:rsid w:val="00D65DE4"/>
    <w:rsid w:val="00D702D3"/>
    <w:rsid w:val="00D70B13"/>
    <w:rsid w:val="00D803A8"/>
    <w:rsid w:val="00D80947"/>
    <w:rsid w:val="00D84700"/>
    <w:rsid w:val="00D95D76"/>
    <w:rsid w:val="00D960EA"/>
    <w:rsid w:val="00DB3B82"/>
    <w:rsid w:val="00DB5AA2"/>
    <w:rsid w:val="00DC12E7"/>
    <w:rsid w:val="00DC6D53"/>
    <w:rsid w:val="00DC7FE5"/>
    <w:rsid w:val="00DD2A57"/>
    <w:rsid w:val="00DD76E7"/>
    <w:rsid w:val="00DE2167"/>
    <w:rsid w:val="00DE4AB1"/>
    <w:rsid w:val="00DE6BDE"/>
    <w:rsid w:val="00DE6D49"/>
    <w:rsid w:val="00DE70B5"/>
    <w:rsid w:val="00DF7C91"/>
    <w:rsid w:val="00E01FD9"/>
    <w:rsid w:val="00E0573A"/>
    <w:rsid w:val="00E124E4"/>
    <w:rsid w:val="00E17FF2"/>
    <w:rsid w:val="00E2084A"/>
    <w:rsid w:val="00E21198"/>
    <w:rsid w:val="00E221FD"/>
    <w:rsid w:val="00E31721"/>
    <w:rsid w:val="00E320A7"/>
    <w:rsid w:val="00E41BA4"/>
    <w:rsid w:val="00E41BE5"/>
    <w:rsid w:val="00E42E88"/>
    <w:rsid w:val="00E533BE"/>
    <w:rsid w:val="00E5364C"/>
    <w:rsid w:val="00E62DB3"/>
    <w:rsid w:val="00E71E94"/>
    <w:rsid w:val="00E7426D"/>
    <w:rsid w:val="00E8184C"/>
    <w:rsid w:val="00E8438C"/>
    <w:rsid w:val="00E85DF8"/>
    <w:rsid w:val="00E87F6A"/>
    <w:rsid w:val="00E92DE9"/>
    <w:rsid w:val="00E96F9E"/>
    <w:rsid w:val="00EA2DE2"/>
    <w:rsid w:val="00EB0606"/>
    <w:rsid w:val="00EB1AE0"/>
    <w:rsid w:val="00EC0AD9"/>
    <w:rsid w:val="00EC796F"/>
    <w:rsid w:val="00ED49EE"/>
    <w:rsid w:val="00ED5B76"/>
    <w:rsid w:val="00ED6C6C"/>
    <w:rsid w:val="00ED7008"/>
    <w:rsid w:val="00ED76B2"/>
    <w:rsid w:val="00EE2D11"/>
    <w:rsid w:val="00EF184A"/>
    <w:rsid w:val="00EF2FFD"/>
    <w:rsid w:val="00EF39B5"/>
    <w:rsid w:val="00EF49A1"/>
    <w:rsid w:val="00F0235A"/>
    <w:rsid w:val="00F05272"/>
    <w:rsid w:val="00F05CAB"/>
    <w:rsid w:val="00F0783D"/>
    <w:rsid w:val="00F1221A"/>
    <w:rsid w:val="00F17C62"/>
    <w:rsid w:val="00F2551F"/>
    <w:rsid w:val="00F31BD5"/>
    <w:rsid w:val="00F36245"/>
    <w:rsid w:val="00F403D1"/>
    <w:rsid w:val="00F6380D"/>
    <w:rsid w:val="00F639A4"/>
    <w:rsid w:val="00F65529"/>
    <w:rsid w:val="00F65903"/>
    <w:rsid w:val="00F65D03"/>
    <w:rsid w:val="00F72231"/>
    <w:rsid w:val="00F72273"/>
    <w:rsid w:val="00F75046"/>
    <w:rsid w:val="00F75304"/>
    <w:rsid w:val="00F7691A"/>
    <w:rsid w:val="00F77081"/>
    <w:rsid w:val="00F82EDF"/>
    <w:rsid w:val="00F87F98"/>
    <w:rsid w:val="00F9209C"/>
    <w:rsid w:val="00F92D04"/>
    <w:rsid w:val="00F9321A"/>
    <w:rsid w:val="00F938EC"/>
    <w:rsid w:val="00F975B6"/>
    <w:rsid w:val="00FA208F"/>
    <w:rsid w:val="00FA2278"/>
    <w:rsid w:val="00FB2295"/>
    <w:rsid w:val="00FB2E9E"/>
    <w:rsid w:val="00FB5F14"/>
    <w:rsid w:val="00FC09D0"/>
    <w:rsid w:val="00FC0D5F"/>
    <w:rsid w:val="00FC2237"/>
    <w:rsid w:val="00FC6F2E"/>
    <w:rsid w:val="00FD14A0"/>
    <w:rsid w:val="00FD1B5F"/>
    <w:rsid w:val="00FD68B7"/>
    <w:rsid w:val="00FE0905"/>
    <w:rsid w:val="00FE1DD0"/>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2024-04-23T18:30:00+00:00</Judgment_x0020_Date>
    <Year xmlns="c1afb1bd-f2fb-40fd-9abb-aea55b4d7662">2024</Year>
  </documentManagement>
</p:properties>
</file>

<file path=customXml/itemProps1.xml><?xml version="1.0" encoding="utf-8"?>
<ds:datastoreItem xmlns:ds="http://schemas.openxmlformats.org/officeDocument/2006/customXml" ds:itemID="{0E710498-ABF0-4796-8363-F679CBCBA82A}"/>
</file>

<file path=customXml/itemProps2.xml><?xml version="1.0" encoding="utf-8"?>
<ds:datastoreItem xmlns:ds="http://schemas.openxmlformats.org/officeDocument/2006/customXml" ds:itemID="{051528FF-1778-4994-A4B6-24625331D6B8}"/>
</file>

<file path=customXml/itemProps3.xml><?xml version="1.0" encoding="utf-8"?>
<ds:datastoreItem xmlns:ds="http://schemas.openxmlformats.org/officeDocument/2006/customXml" ds:itemID="{0E8283DC-4ADC-453E-BED6-F878FFA56225}"/>
</file>

<file path=customXml/itemProps4.xml><?xml version="1.0" encoding="utf-8"?>
<ds:datastoreItem xmlns:ds="http://schemas.openxmlformats.org/officeDocument/2006/customXml" ds:itemID="{ABDF0CD4-1F13-4296-8D1C-00AE97685CE6}"/>
</file>

<file path=docProps/app.xml><?xml version="1.0" encoding="utf-8"?>
<Properties xmlns="http://schemas.openxmlformats.org/officeDocument/2006/extended-properties" xmlns:vt="http://schemas.openxmlformats.org/officeDocument/2006/docPropsVTypes">
  <Template>Normal</Template>
  <TotalTime>84</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 Off. Eq. Com. (Pty) Ltd ta Nashua Nam. v De Waal CC (HC-MD-CIV-ACT-CON-2023-03755) [2024] NAHCMD 188 (24 April 2024)</dc:title>
  <dc:subject/>
  <dc:creator>shomany keister</dc:creator>
  <cp:keywords/>
  <dc:description/>
  <cp:lastModifiedBy>Elisia Simon</cp:lastModifiedBy>
  <cp:revision>13</cp:revision>
  <cp:lastPrinted>2024-04-23T14:18:00Z</cp:lastPrinted>
  <dcterms:created xsi:type="dcterms:W3CDTF">2024-04-15T08:35:00Z</dcterms:created>
  <dcterms:modified xsi:type="dcterms:W3CDTF">2024-04-23T14:26:00Z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