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114D91" w:rsidRDefault="00853524" w:rsidP="00C036D4">
      <w:pPr>
        <w:jc w:val="center"/>
        <w:rPr>
          <w:b/>
        </w:rPr>
      </w:pPr>
      <w:r w:rsidRPr="00114D91">
        <w:rPr>
          <w:b/>
        </w:rPr>
        <w:t>REPUBLIC OF NAMIBIA</w:t>
      </w:r>
    </w:p>
    <w:p w14:paraId="4D884DEA" w14:textId="05633A06" w:rsidR="00853524" w:rsidRPr="00114D91" w:rsidRDefault="00853524" w:rsidP="00C036D4">
      <w:pPr>
        <w:jc w:val="center"/>
        <w:rPr>
          <w:b/>
          <w:sz w:val="32"/>
          <w:szCs w:val="32"/>
        </w:rPr>
      </w:pPr>
      <w:r w:rsidRPr="00114D91">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114D91">
        <w:rPr>
          <w:b/>
          <w:sz w:val="32"/>
          <w:szCs w:val="32"/>
        </w:rPr>
        <w:t xml:space="preserve"> </w:t>
      </w:r>
    </w:p>
    <w:p w14:paraId="0121DDEF" w14:textId="77777777" w:rsidR="00853524" w:rsidRPr="00114D91" w:rsidRDefault="00853524" w:rsidP="00C036D4">
      <w:pPr>
        <w:jc w:val="center"/>
        <w:rPr>
          <w:b/>
        </w:rPr>
      </w:pPr>
      <w:r w:rsidRPr="00114D91">
        <w:rPr>
          <w:b/>
        </w:rPr>
        <w:t>HIGH COURT OF NAMIBIA MAIN DIVISION, WINDHOEK</w:t>
      </w:r>
    </w:p>
    <w:p w14:paraId="3FBDE3FE" w14:textId="77777777" w:rsidR="00EF7894" w:rsidRPr="00114D91" w:rsidRDefault="00EF7894" w:rsidP="00C036D4">
      <w:pPr>
        <w:jc w:val="center"/>
        <w:rPr>
          <w:bCs/>
        </w:rPr>
      </w:pPr>
    </w:p>
    <w:p w14:paraId="0B4BB7B9" w14:textId="36649F42" w:rsidR="00853524" w:rsidRPr="00114D91" w:rsidRDefault="00140A9D" w:rsidP="00C036D4">
      <w:pPr>
        <w:jc w:val="center"/>
        <w:rPr>
          <w:b/>
        </w:rPr>
      </w:pPr>
      <w:r w:rsidRPr="00114D91">
        <w:rPr>
          <w:b/>
        </w:rPr>
        <w:t>JUDGMENT</w:t>
      </w:r>
    </w:p>
    <w:p w14:paraId="4AB5AAC2" w14:textId="77777777" w:rsidR="00140A9D" w:rsidRPr="00114D91" w:rsidRDefault="00140A9D" w:rsidP="00C036D4">
      <w:pPr>
        <w:jc w:val="center"/>
        <w:rPr>
          <w:b/>
        </w:rPr>
      </w:pPr>
    </w:p>
    <w:p w14:paraId="656267F7" w14:textId="18FCDB4F" w:rsidR="00853524" w:rsidRPr="00114D91" w:rsidRDefault="00EF7894" w:rsidP="00C036D4">
      <w:pPr>
        <w:jc w:val="right"/>
        <w:rPr>
          <w:b/>
          <w:bCs/>
        </w:rPr>
      </w:pPr>
      <w:r w:rsidRPr="00114D91">
        <w:t xml:space="preserve">             Case no:</w:t>
      </w:r>
      <w:r w:rsidR="00473E6F" w:rsidRPr="00114D91">
        <w:t xml:space="preserve"> HC-MD-CIV-MOT-GEN-2023/00352</w:t>
      </w:r>
    </w:p>
    <w:p w14:paraId="0B3B6951" w14:textId="77777777" w:rsidR="00853524" w:rsidRPr="00114D91" w:rsidRDefault="00853524" w:rsidP="00C036D4"/>
    <w:p w14:paraId="01440233" w14:textId="77777777" w:rsidR="00853524" w:rsidRPr="00114D91" w:rsidRDefault="00853524" w:rsidP="00C036D4">
      <w:r w:rsidRPr="00114D91">
        <w:t>In the matter between:</w:t>
      </w:r>
    </w:p>
    <w:p w14:paraId="291513BA" w14:textId="77777777" w:rsidR="00853524" w:rsidRPr="00114D91" w:rsidRDefault="00853524" w:rsidP="00C036D4"/>
    <w:p w14:paraId="6F922E4C" w14:textId="0597C1C0" w:rsidR="002D436F" w:rsidRPr="00114D91" w:rsidRDefault="00473E6F" w:rsidP="00473E6F">
      <w:pPr>
        <w:pStyle w:val="Heading4"/>
        <w:numPr>
          <w:ilvl w:val="0"/>
          <w:numId w:val="0"/>
        </w:numPr>
        <w:rPr>
          <w:b/>
        </w:rPr>
      </w:pPr>
      <w:r w:rsidRPr="00114D91">
        <w:rPr>
          <w:b/>
        </w:rPr>
        <w:t>MARTHA MITA PAULA HAWANGA</w:t>
      </w:r>
      <w:r w:rsidRPr="00114D91">
        <w:rPr>
          <w:b/>
        </w:rPr>
        <w:tab/>
      </w:r>
      <w:r w:rsidRPr="00114D91">
        <w:rPr>
          <w:b/>
        </w:rPr>
        <w:tab/>
      </w:r>
      <w:r w:rsidRPr="00114D91">
        <w:rPr>
          <w:b/>
        </w:rPr>
        <w:tab/>
        <w:t xml:space="preserve">       FIRST APPLICANT</w:t>
      </w:r>
    </w:p>
    <w:p w14:paraId="29F08452" w14:textId="77777777" w:rsidR="00473E6F" w:rsidRPr="00114D91" w:rsidRDefault="00473E6F" w:rsidP="00473E6F"/>
    <w:p w14:paraId="0B10FFA8" w14:textId="12CC9A46" w:rsidR="00473E6F" w:rsidRPr="00114D91" w:rsidRDefault="00473E6F" w:rsidP="00473E6F">
      <w:pPr>
        <w:rPr>
          <w:b/>
        </w:rPr>
      </w:pPr>
      <w:r w:rsidRPr="00114D91">
        <w:rPr>
          <w:b/>
        </w:rPr>
        <w:t>IMANUEL HAWANGA</w:t>
      </w:r>
      <w:r w:rsidRPr="00114D91">
        <w:rPr>
          <w:b/>
        </w:rPr>
        <w:tab/>
      </w:r>
      <w:r w:rsidRPr="00114D91">
        <w:rPr>
          <w:b/>
        </w:rPr>
        <w:tab/>
      </w:r>
      <w:r w:rsidRPr="00114D91">
        <w:rPr>
          <w:b/>
        </w:rPr>
        <w:tab/>
      </w:r>
      <w:r w:rsidRPr="00114D91">
        <w:rPr>
          <w:b/>
        </w:rPr>
        <w:tab/>
      </w:r>
      <w:proofErr w:type="gramStart"/>
      <w:r w:rsidRPr="00114D91">
        <w:rPr>
          <w:b/>
        </w:rPr>
        <w:tab/>
        <w:t xml:space="preserve">  SECOND</w:t>
      </w:r>
      <w:proofErr w:type="gramEnd"/>
      <w:r w:rsidRPr="00114D91">
        <w:rPr>
          <w:b/>
        </w:rPr>
        <w:t xml:space="preserve"> APPLICANT</w:t>
      </w:r>
    </w:p>
    <w:p w14:paraId="4E4738DC" w14:textId="77777777" w:rsidR="00473E6F" w:rsidRPr="00114D91" w:rsidRDefault="00473E6F" w:rsidP="00C036D4"/>
    <w:p w14:paraId="35124039" w14:textId="40329530" w:rsidR="00853524" w:rsidRPr="00114D91" w:rsidRDefault="00853524" w:rsidP="00C036D4">
      <w:r w:rsidRPr="00114D91">
        <w:t>and</w:t>
      </w:r>
    </w:p>
    <w:p w14:paraId="67AFE6BE" w14:textId="77777777" w:rsidR="002D436F" w:rsidRPr="00114D91" w:rsidRDefault="002D436F" w:rsidP="00C036D4">
      <w:pPr>
        <w:rPr>
          <w:b/>
          <w:color w:val="000000" w:themeColor="text1"/>
        </w:rPr>
      </w:pPr>
    </w:p>
    <w:p w14:paraId="289BA770" w14:textId="77777777" w:rsidR="00473E6F" w:rsidRPr="00114D91" w:rsidRDefault="00473E6F" w:rsidP="00C036D4">
      <w:pPr>
        <w:rPr>
          <w:b/>
          <w:color w:val="000000" w:themeColor="text1"/>
        </w:rPr>
      </w:pPr>
      <w:r w:rsidRPr="00114D91">
        <w:rPr>
          <w:b/>
          <w:color w:val="000000" w:themeColor="text1"/>
        </w:rPr>
        <w:t>THE MUNICIPAL COUNCIL FOR</w:t>
      </w:r>
    </w:p>
    <w:p w14:paraId="2EAE5FF1" w14:textId="47BB332A" w:rsidR="008B1836" w:rsidRPr="00114D91" w:rsidRDefault="00473E6F" w:rsidP="00C036D4">
      <w:pPr>
        <w:rPr>
          <w:b/>
          <w:color w:val="000000" w:themeColor="text1"/>
        </w:rPr>
      </w:pPr>
      <w:r w:rsidRPr="00114D91">
        <w:rPr>
          <w:b/>
          <w:color w:val="000000" w:themeColor="text1"/>
        </w:rPr>
        <w:t>THE CITY OF WINDHOEK</w:t>
      </w:r>
      <w:r w:rsidRPr="00114D91">
        <w:rPr>
          <w:b/>
          <w:color w:val="000000" w:themeColor="text1"/>
        </w:rPr>
        <w:tab/>
      </w:r>
      <w:r w:rsidRPr="00114D91">
        <w:rPr>
          <w:b/>
          <w:color w:val="000000" w:themeColor="text1"/>
        </w:rPr>
        <w:tab/>
      </w:r>
      <w:r w:rsidRPr="00114D91">
        <w:rPr>
          <w:b/>
          <w:color w:val="000000" w:themeColor="text1"/>
        </w:rPr>
        <w:tab/>
      </w:r>
      <w:r w:rsidRPr="00114D91">
        <w:rPr>
          <w:b/>
          <w:color w:val="000000" w:themeColor="text1"/>
        </w:rPr>
        <w:tab/>
      </w:r>
      <w:r w:rsidRPr="00114D91">
        <w:rPr>
          <w:b/>
          <w:color w:val="000000" w:themeColor="text1"/>
        </w:rPr>
        <w:tab/>
      </w:r>
      <w:proofErr w:type="gramStart"/>
      <w:r w:rsidRPr="00114D91">
        <w:rPr>
          <w:b/>
          <w:color w:val="000000" w:themeColor="text1"/>
        </w:rPr>
        <w:tab/>
        <w:t xml:space="preserve">  RESPONDENT</w:t>
      </w:r>
      <w:proofErr w:type="gramEnd"/>
      <w:r w:rsidR="00F40790" w:rsidRPr="00114D91">
        <w:rPr>
          <w:b/>
          <w:color w:val="000000" w:themeColor="text1"/>
        </w:rPr>
        <w:t xml:space="preserve">                                                                                            </w:t>
      </w:r>
    </w:p>
    <w:p w14:paraId="11C06559" w14:textId="77777777" w:rsidR="00853524" w:rsidRPr="00114D91" w:rsidRDefault="00853524" w:rsidP="00C036D4">
      <w:pPr>
        <w:rPr>
          <w:b/>
          <w:u w:val="single"/>
        </w:rPr>
      </w:pPr>
    </w:p>
    <w:p w14:paraId="1CFCD256" w14:textId="650C3DCE" w:rsidR="00853524" w:rsidRPr="00114D91" w:rsidRDefault="00853524" w:rsidP="00473E6F">
      <w:pPr>
        <w:ind w:left="2160" w:hanging="2160"/>
        <w:rPr>
          <w:iCs/>
          <w:color w:val="000000" w:themeColor="text1"/>
        </w:rPr>
      </w:pPr>
      <w:r w:rsidRPr="00114D91">
        <w:rPr>
          <w:b/>
        </w:rPr>
        <w:t>Neutral citation</w:t>
      </w:r>
      <w:r w:rsidR="001076B6" w:rsidRPr="00114D91">
        <w:rPr>
          <w:b/>
        </w:rPr>
        <w:t>:</w:t>
      </w:r>
      <w:r w:rsidRPr="00114D91">
        <w:rPr>
          <w:b/>
        </w:rPr>
        <w:tab/>
      </w:r>
      <w:proofErr w:type="spellStart"/>
      <w:r w:rsidR="00473E6F" w:rsidRPr="00114D91">
        <w:rPr>
          <w:i/>
        </w:rPr>
        <w:t>Hawanga</w:t>
      </w:r>
      <w:proofErr w:type="spellEnd"/>
      <w:r w:rsidR="00473E6F" w:rsidRPr="00114D91">
        <w:rPr>
          <w:i/>
        </w:rPr>
        <w:t xml:space="preserve"> v The Municipal Council for the City of Windhoek</w:t>
      </w:r>
      <w:r w:rsidR="00473E6F" w:rsidRPr="00114D91">
        <w:t xml:space="preserve"> (HC-MD-CIV-MOT-GEN-2023/00352) [2024] NAHCMD </w:t>
      </w:r>
      <w:r w:rsidR="00A357CF" w:rsidRPr="00A357CF">
        <w:t>2</w:t>
      </w:r>
      <w:r w:rsidR="00473E6F" w:rsidRPr="00114D91">
        <w:t xml:space="preserve"> (</w:t>
      </w:r>
      <w:r w:rsidR="002729AA">
        <w:t>12</w:t>
      </w:r>
      <w:r w:rsidR="00473E6F" w:rsidRPr="00114D91">
        <w:t xml:space="preserve"> January 2024)</w:t>
      </w:r>
    </w:p>
    <w:p w14:paraId="2A1E0044" w14:textId="77777777" w:rsidR="00853524" w:rsidRPr="00114D91" w:rsidRDefault="00853524" w:rsidP="00C036D4">
      <w:pPr>
        <w:ind w:left="2160" w:hanging="2160"/>
      </w:pPr>
    </w:p>
    <w:p w14:paraId="6CFF978A" w14:textId="3E4389C7" w:rsidR="006D65BF" w:rsidRPr="00114D91" w:rsidRDefault="00853524" w:rsidP="00C036D4">
      <w:pPr>
        <w:ind w:left="2160" w:hanging="2160"/>
        <w:rPr>
          <w:b/>
          <w:i/>
        </w:rPr>
      </w:pPr>
      <w:r w:rsidRPr="00114D91">
        <w:rPr>
          <w:b/>
        </w:rPr>
        <w:t>Coram</w:t>
      </w:r>
      <w:r w:rsidR="001076B6" w:rsidRPr="00114D91">
        <w:rPr>
          <w:b/>
        </w:rPr>
        <w:t>:</w:t>
      </w:r>
      <w:r w:rsidR="008B1836" w:rsidRPr="00114D91">
        <w:tab/>
      </w:r>
      <w:r w:rsidR="00473E6F" w:rsidRPr="00114D91">
        <w:t>SCHIMMING-CHASE J</w:t>
      </w:r>
    </w:p>
    <w:p w14:paraId="1145F951" w14:textId="26044BB1" w:rsidR="00853524" w:rsidRPr="00114D91" w:rsidRDefault="00853524" w:rsidP="00C036D4">
      <w:pPr>
        <w:ind w:left="2160" w:hanging="2160"/>
        <w:rPr>
          <w:b/>
        </w:rPr>
      </w:pPr>
      <w:r w:rsidRPr="00114D91">
        <w:rPr>
          <w:b/>
          <w:bCs/>
        </w:rPr>
        <w:t>Heard</w:t>
      </w:r>
      <w:r w:rsidR="001076B6" w:rsidRPr="00114D91">
        <w:rPr>
          <w:b/>
          <w:bCs/>
        </w:rPr>
        <w:t>:</w:t>
      </w:r>
      <w:r w:rsidRPr="00114D91">
        <w:tab/>
      </w:r>
      <w:r w:rsidR="00473E6F" w:rsidRPr="00114D91">
        <w:rPr>
          <w:b/>
        </w:rPr>
        <w:t>5 December 2023</w:t>
      </w:r>
    </w:p>
    <w:p w14:paraId="447A448F" w14:textId="4EA9C87C" w:rsidR="00853524" w:rsidRPr="00114D91" w:rsidRDefault="00117DD9" w:rsidP="00C036D4">
      <w:pPr>
        <w:ind w:left="2160" w:hanging="2160"/>
      </w:pPr>
      <w:r w:rsidRPr="00114D91">
        <w:rPr>
          <w:b/>
          <w:bCs/>
        </w:rPr>
        <w:t>Delivered</w:t>
      </w:r>
      <w:r w:rsidR="001076B6" w:rsidRPr="00114D91">
        <w:rPr>
          <w:b/>
          <w:bCs/>
        </w:rPr>
        <w:t>:</w:t>
      </w:r>
      <w:r w:rsidR="00334AFC" w:rsidRPr="00114D91">
        <w:rPr>
          <w:b/>
          <w:bCs/>
        </w:rPr>
        <w:tab/>
      </w:r>
      <w:r w:rsidR="009254C5">
        <w:rPr>
          <w:b/>
          <w:bCs/>
        </w:rPr>
        <w:t>12</w:t>
      </w:r>
      <w:r w:rsidR="00473E6F" w:rsidRPr="00114D91">
        <w:rPr>
          <w:b/>
          <w:bCs/>
        </w:rPr>
        <w:t xml:space="preserve"> January 2024</w:t>
      </w:r>
    </w:p>
    <w:p w14:paraId="514826F6" w14:textId="41065798" w:rsidR="00853524" w:rsidRPr="00114D91" w:rsidRDefault="00853524" w:rsidP="00C036D4">
      <w:pPr>
        <w:ind w:left="1440" w:hanging="1440"/>
      </w:pPr>
    </w:p>
    <w:p w14:paraId="596FCFE0" w14:textId="2BFC33FB" w:rsidR="00B40D41" w:rsidRDefault="00853524" w:rsidP="00EF7894">
      <w:pPr>
        <w:rPr>
          <w:bCs/>
        </w:rPr>
      </w:pPr>
      <w:proofErr w:type="spellStart"/>
      <w:r w:rsidRPr="00114D91">
        <w:rPr>
          <w:b/>
        </w:rPr>
        <w:t>Flynote</w:t>
      </w:r>
      <w:proofErr w:type="spellEnd"/>
      <w:r w:rsidR="00F40790" w:rsidRPr="00114D91">
        <w:rPr>
          <w:b/>
        </w:rPr>
        <w:t>:</w:t>
      </w:r>
      <w:r w:rsidRPr="00114D91">
        <w:rPr>
          <w:b/>
        </w:rPr>
        <w:tab/>
      </w:r>
      <w:r w:rsidR="00B40D41" w:rsidRPr="00B40D41">
        <w:rPr>
          <w:bCs/>
        </w:rPr>
        <w:t xml:space="preserve">Practice </w:t>
      </w:r>
      <w:r w:rsidR="00B40D41">
        <w:rPr>
          <w:bCs/>
        </w:rPr>
        <w:t>–</w:t>
      </w:r>
      <w:r w:rsidR="00B40D41" w:rsidRPr="00B40D41">
        <w:rPr>
          <w:bCs/>
        </w:rPr>
        <w:t xml:space="preserve"> Applications </w:t>
      </w:r>
      <w:bookmarkStart w:id="0" w:name="_Hlk155166728"/>
      <w:r w:rsidR="00B40D41">
        <w:rPr>
          <w:bCs/>
        </w:rPr>
        <w:t>–</w:t>
      </w:r>
      <w:bookmarkEnd w:id="0"/>
      <w:r w:rsidR="00B40D41" w:rsidRPr="00B40D41">
        <w:rPr>
          <w:bCs/>
        </w:rPr>
        <w:t xml:space="preserve"> R</w:t>
      </w:r>
      <w:r w:rsidR="00B40D41">
        <w:rPr>
          <w:bCs/>
        </w:rPr>
        <w:t>eturn date of Rule Nisi issued pendente lite –</w:t>
      </w:r>
      <w:r w:rsidR="00B40D41" w:rsidRPr="00B40D41">
        <w:rPr>
          <w:bCs/>
        </w:rPr>
        <w:t xml:space="preserve"> Purpose to enable applicant to institute proceedings </w:t>
      </w:r>
      <w:r w:rsidR="00B40D41">
        <w:rPr>
          <w:bCs/>
        </w:rPr>
        <w:t>–</w:t>
      </w:r>
      <w:r w:rsidR="00B40D41" w:rsidRPr="00B40D41">
        <w:rPr>
          <w:bCs/>
        </w:rPr>
        <w:t xml:space="preserve"> Delay by </w:t>
      </w:r>
      <w:r w:rsidR="00B40D41" w:rsidRPr="00B40D41">
        <w:rPr>
          <w:bCs/>
        </w:rPr>
        <w:lastRenderedPageBreak/>
        <w:t>applicant in instituting proceedings leading to rule nisi granted pendente lite being discharged</w:t>
      </w:r>
      <w:r w:rsidR="00B40D41">
        <w:rPr>
          <w:bCs/>
        </w:rPr>
        <w:t>.</w:t>
      </w:r>
    </w:p>
    <w:p w14:paraId="4A27FE9F" w14:textId="77777777" w:rsidR="00B40D41" w:rsidRDefault="00B40D41" w:rsidP="00EF7894">
      <w:pPr>
        <w:rPr>
          <w:bCs/>
        </w:rPr>
      </w:pPr>
    </w:p>
    <w:p w14:paraId="08435AAE" w14:textId="42042631" w:rsidR="000B7D5A" w:rsidRPr="000B7D5A" w:rsidRDefault="00473E6F" w:rsidP="00EF7894">
      <w:pPr>
        <w:rPr>
          <w:bCs/>
        </w:rPr>
      </w:pPr>
      <w:r w:rsidRPr="00B40D41">
        <w:rPr>
          <w:bCs/>
        </w:rPr>
        <w:t>Practice</w:t>
      </w:r>
      <w:r w:rsidRPr="00114D91">
        <w:rPr>
          <w:bCs/>
        </w:rPr>
        <w:t xml:space="preserve"> – Applications –</w:t>
      </w:r>
      <w:r w:rsidR="00B40D41">
        <w:rPr>
          <w:bCs/>
        </w:rPr>
        <w:t xml:space="preserve"> </w:t>
      </w:r>
      <w:r w:rsidR="0025231F" w:rsidRPr="00114D91">
        <w:rPr>
          <w:bCs/>
        </w:rPr>
        <w:t>Authority – Institution or opposition of application to be authorised –</w:t>
      </w:r>
      <w:r w:rsidR="000B7D5A">
        <w:rPr>
          <w:bCs/>
        </w:rPr>
        <w:t xml:space="preserve"> Distinction drawn between where authority is alleged in the papers, but challenged, and where no allegation </w:t>
      </w:r>
      <w:r w:rsidR="00B40D41">
        <w:rPr>
          <w:bCs/>
        </w:rPr>
        <w:t xml:space="preserve">whatsoever </w:t>
      </w:r>
      <w:r w:rsidR="000B7D5A">
        <w:rPr>
          <w:bCs/>
        </w:rPr>
        <w:t xml:space="preserve">is made regarding authority – Whether a dispute is authorised before court is a serious matter – </w:t>
      </w:r>
      <w:r w:rsidR="009254C5">
        <w:rPr>
          <w:bCs/>
        </w:rPr>
        <w:t>Re</w:t>
      </w:r>
      <w:r w:rsidR="000B7D5A">
        <w:rPr>
          <w:bCs/>
        </w:rPr>
        <w:t xml:space="preserve">spondent failed to make any averment that the deponent is duly authorised – The applicants’ point in </w:t>
      </w:r>
      <w:proofErr w:type="spellStart"/>
      <w:r w:rsidR="000B7D5A" w:rsidRPr="00246959">
        <w:rPr>
          <w:bCs/>
          <w:iCs/>
        </w:rPr>
        <w:t>limine</w:t>
      </w:r>
      <w:proofErr w:type="spellEnd"/>
      <w:r w:rsidR="000B7D5A">
        <w:rPr>
          <w:bCs/>
          <w:i/>
        </w:rPr>
        <w:t xml:space="preserve"> </w:t>
      </w:r>
      <w:r w:rsidR="000B7D5A">
        <w:rPr>
          <w:bCs/>
        </w:rPr>
        <w:t>upheld.</w:t>
      </w:r>
    </w:p>
    <w:p w14:paraId="2FD2B751" w14:textId="77777777" w:rsidR="000B7D5A" w:rsidRDefault="000B7D5A" w:rsidP="00EF7894">
      <w:pPr>
        <w:rPr>
          <w:bCs/>
        </w:rPr>
      </w:pPr>
    </w:p>
    <w:p w14:paraId="580B7B3D" w14:textId="1C9DE175" w:rsidR="00853524" w:rsidRPr="00114D91" w:rsidRDefault="00853524" w:rsidP="00C036D4"/>
    <w:p w14:paraId="10E66BF9" w14:textId="56DB87C1" w:rsidR="00D268E2" w:rsidRPr="00114D91" w:rsidRDefault="00853524" w:rsidP="00473E6F">
      <w:r w:rsidRPr="00114D91">
        <w:rPr>
          <w:b/>
        </w:rPr>
        <w:t>Summary</w:t>
      </w:r>
      <w:r w:rsidR="00F40790" w:rsidRPr="00114D91">
        <w:rPr>
          <w:b/>
        </w:rPr>
        <w:t>:</w:t>
      </w:r>
      <w:r w:rsidRPr="00114D91">
        <w:rPr>
          <w:b/>
        </w:rPr>
        <w:tab/>
      </w:r>
      <w:r w:rsidR="00DD063D" w:rsidRPr="00114D91">
        <w:rPr>
          <w:bCs/>
        </w:rPr>
        <w:t xml:space="preserve"> </w:t>
      </w:r>
      <w:r w:rsidR="00473E6F" w:rsidRPr="00114D91">
        <w:t xml:space="preserve">The applicants who are married to each other, applied to this court on an urgent basis seeking a rule </w:t>
      </w:r>
      <w:r w:rsidR="00AE3620">
        <w:t>nisi</w:t>
      </w:r>
      <w:r w:rsidR="00473E6F" w:rsidRPr="00114D91">
        <w:t xml:space="preserve"> to operate as an interim interdict, </w:t>
      </w:r>
      <w:r w:rsidR="00AE3620">
        <w:t xml:space="preserve">essentially restoring electricity and water supply, and prohibiting the respondent from disconnecting water and electricity supply pending finalisation of an action to be instituted </w:t>
      </w:r>
      <w:r w:rsidR="00246959">
        <w:t xml:space="preserve">by the applicants </w:t>
      </w:r>
      <w:r w:rsidR="00AE3620">
        <w:t xml:space="preserve">against the respondent. The rule nisi </w:t>
      </w:r>
      <w:r w:rsidR="00473E6F" w:rsidRPr="00114D91">
        <w:t>was granted on 7 August 2023</w:t>
      </w:r>
      <w:r w:rsidR="00AE3620">
        <w:t xml:space="preserve"> and extended to enable further filing of papers. </w:t>
      </w:r>
      <w:r w:rsidR="00530AB9" w:rsidRPr="00114D91">
        <w:t xml:space="preserve">This is the return date of the rule </w:t>
      </w:r>
      <w:r w:rsidR="00530AB9" w:rsidRPr="00246959">
        <w:rPr>
          <w:iCs/>
        </w:rPr>
        <w:t>nisi</w:t>
      </w:r>
      <w:r w:rsidR="009254C5">
        <w:rPr>
          <w:iCs/>
        </w:rPr>
        <w:t>.</w:t>
      </w:r>
    </w:p>
    <w:p w14:paraId="1F9FBD88" w14:textId="77777777" w:rsidR="00D268E2" w:rsidRPr="00114D91" w:rsidRDefault="00D268E2" w:rsidP="00473E6F"/>
    <w:p w14:paraId="0E89D5A7" w14:textId="2C3A39E5" w:rsidR="00D268E2" w:rsidRPr="00114D91" w:rsidRDefault="00473E6F" w:rsidP="00473E6F">
      <w:r w:rsidRPr="00114D91">
        <w:t xml:space="preserve">The applicants raised a point in </w:t>
      </w:r>
      <w:proofErr w:type="spellStart"/>
      <w:r w:rsidRPr="00246959">
        <w:rPr>
          <w:iCs/>
        </w:rPr>
        <w:t>limine</w:t>
      </w:r>
      <w:proofErr w:type="spellEnd"/>
      <w:r w:rsidRPr="00114D91">
        <w:t xml:space="preserve"> that the deponent to the respondent’s an</w:t>
      </w:r>
      <w:r w:rsidR="00530AB9" w:rsidRPr="00114D91">
        <w:t>swering papers failed to allege</w:t>
      </w:r>
      <w:r w:rsidR="006029BB" w:rsidRPr="00114D91">
        <w:t xml:space="preserve"> and prove authority</w:t>
      </w:r>
      <w:r w:rsidRPr="00114D91">
        <w:t xml:space="preserve"> to oppose the relief sought. The respondent argued that by virtue of its legal practitioner entering an appearance, authority i</w:t>
      </w:r>
      <w:r w:rsidR="00D268E2" w:rsidRPr="00114D91">
        <w:t>s derived from such opposition.</w:t>
      </w:r>
    </w:p>
    <w:p w14:paraId="289A0F17" w14:textId="77777777" w:rsidR="00D268E2" w:rsidRPr="00114D91" w:rsidRDefault="00D268E2" w:rsidP="00473E6F"/>
    <w:p w14:paraId="0F7F6B2B" w14:textId="62FD0547" w:rsidR="00473E6F" w:rsidRPr="00114D91" w:rsidRDefault="00473E6F" w:rsidP="00473E6F">
      <w:r w:rsidRPr="00114D91">
        <w:t>The respondent also</w:t>
      </w:r>
      <w:r w:rsidR="00246959">
        <w:t xml:space="preserve"> </w:t>
      </w:r>
      <w:r w:rsidRPr="00114D91">
        <w:t xml:space="preserve">raised a point in </w:t>
      </w:r>
      <w:proofErr w:type="spellStart"/>
      <w:r w:rsidRPr="00246959">
        <w:rPr>
          <w:iCs/>
        </w:rPr>
        <w:t>limine</w:t>
      </w:r>
      <w:proofErr w:type="spellEnd"/>
      <w:r w:rsidRPr="00114D91">
        <w:t xml:space="preserve"> arguing that the applicants failed to institute </w:t>
      </w:r>
      <w:r w:rsidR="001F534D">
        <w:t xml:space="preserve">any form of </w:t>
      </w:r>
      <w:r w:rsidRPr="00114D91">
        <w:t xml:space="preserve">action </w:t>
      </w:r>
      <w:r w:rsidR="001F534D">
        <w:t xml:space="preserve">or proceeding, </w:t>
      </w:r>
      <w:r w:rsidRPr="00114D91">
        <w:t xml:space="preserve">and as a result, the relief sought </w:t>
      </w:r>
      <w:r w:rsidR="001F534D">
        <w:t>was</w:t>
      </w:r>
      <w:r w:rsidRPr="00114D91">
        <w:t xml:space="preserve"> incompetent</w:t>
      </w:r>
      <w:r w:rsidR="001F534D">
        <w:t>.</w:t>
      </w:r>
    </w:p>
    <w:p w14:paraId="6AA0D275" w14:textId="77777777" w:rsidR="00D268E2" w:rsidRPr="00114D91" w:rsidRDefault="00D268E2" w:rsidP="00473E6F"/>
    <w:p w14:paraId="263F0ED0" w14:textId="3EF3E8A1" w:rsidR="00473E6F" w:rsidRPr="00114D91" w:rsidRDefault="00473E6F" w:rsidP="00473E6F">
      <w:r w:rsidRPr="00114D91">
        <w:rPr>
          <w:i/>
        </w:rPr>
        <w:t>Held that</w:t>
      </w:r>
      <w:r w:rsidRPr="00114D91">
        <w:t>, it is the institution (or opposition of proceedings</w:t>
      </w:r>
      <w:r w:rsidR="009254C5">
        <w:t>)</w:t>
      </w:r>
      <w:r w:rsidRPr="00114D91">
        <w:t xml:space="preserve"> that must be authorised</w:t>
      </w:r>
      <w:r w:rsidR="001F534D">
        <w:t>. Wh</w:t>
      </w:r>
      <w:r w:rsidRPr="00114D91">
        <w:t xml:space="preserve">ere a deponent </w:t>
      </w:r>
      <w:r w:rsidR="001F534D">
        <w:t>deposes to</w:t>
      </w:r>
      <w:r w:rsidRPr="00114D91">
        <w:t xml:space="preserve"> an affidavit on behalf of an artificial person, such deponent must state that he or she has the necessary authority to bring (or oppose) the application, which would constitute the minimum proof of authorisation, and should there be any doubt of such authorisation, a resolution may be attached by means of an affidavit, which resolution may be taken </w:t>
      </w:r>
      <w:r w:rsidRPr="00114D91">
        <w:lastRenderedPageBreak/>
        <w:t>retrospectively.</w:t>
      </w:r>
    </w:p>
    <w:p w14:paraId="3941AA71" w14:textId="77777777" w:rsidR="00D268E2" w:rsidRPr="00114D91" w:rsidRDefault="00D268E2" w:rsidP="00473E6F"/>
    <w:p w14:paraId="5C281242" w14:textId="1255C6C4" w:rsidR="00473E6F" w:rsidRPr="00114D91" w:rsidRDefault="00473E6F" w:rsidP="00473E6F">
      <w:r w:rsidRPr="00114D91">
        <w:rPr>
          <w:i/>
        </w:rPr>
        <w:t>Held further that</w:t>
      </w:r>
      <w:r w:rsidRPr="00114D91">
        <w:t xml:space="preserve">, </w:t>
      </w:r>
      <w:r w:rsidR="001F534D">
        <w:t>the</w:t>
      </w:r>
      <w:r w:rsidRPr="00114D91">
        <w:t xml:space="preserve"> issue regarding authority is a serious matter and the court must know, before it lends its processes, that the proceedings before it </w:t>
      </w:r>
      <w:proofErr w:type="gramStart"/>
      <w:r w:rsidRPr="00114D91">
        <w:t>are</w:t>
      </w:r>
      <w:proofErr w:type="gramEnd"/>
      <w:r w:rsidRPr="00114D91">
        <w:t xml:space="preserve"> properly authorised. The respondent</w:t>
      </w:r>
      <w:r w:rsidR="001F534D">
        <w:t xml:space="preserve"> failed, despite same being pertinently raised, to file any form of documentation or resolution showing authority to oppose the application. </w:t>
      </w:r>
      <w:proofErr w:type="gramStart"/>
      <w:r w:rsidR="001F534D">
        <w:t xml:space="preserve">Respondent’s  </w:t>
      </w:r>
      <w:r w:rsidRPr="00114D91">
        <w:t>answering</w:t>
      </w:r>
      <w:proofErr w:type="gramEnd"/>
      <w:r w:rsidRPr="00114D91">
        <w:t xml:space="preserve"> affidavit is accordingly struck.</w:t>
      </w:r>
    </w:p>
    <w:p w14:paraId="273476A9" w14:textId="77777777" w:rsidR="00D268E2" w:rsidRPr="00114D91" w:rsidRDefault="00D268E2" w:rsidP="00473E6F"/>
    <w:p w14:paraId="08515FDF" w14:textId="03D47BA6" w:rsidR="00473E6F" w:rsidRPr="00114D91" w:rsidRDefault="00473E6F" w:rsidP="00473E6F">
      <w:r w:rsidRPr="00114D91">
        <w:rPr>
          <w:i/>
        </w:rPr>
        <w:t>Held further that</w:t>
      </w:r>
      <w:r w:rsidRPr="00114D91">
        <w:t xml:space="preserve">, inherent in an order granted </w:t>
      </w:r>
      <w:r w:rsidRPr="00246959">
        <w:rPr>
          <w:iCs/>
        </w:rPr>
        <w:t>pendente lite</w:t>
      </w:r>
      <w:r w:rsidRPr="00114D91">
        <w:t xml:space="preserve"> is that an applicant shows its </w:t>
      </w:r>
      <w:r w:rsidRPr="009254C5">
        <w:rPr>
          <w:iCs/>
        </w:rPr>
        <w:t>bona fides</w:t>
      </w:r>
      <w:r w:rsidRPr="00114D91">
        <w:t xml:space="preserve"> by instituting action as soon as possible. There is no reason proffered by the applicants as to why these proceedings have not been instituted</w:t>
      </w:r>
      <w:r w:rsidR="001F534D">
        <w:t>.</w:t>
      </w:r>
    </w:p>
    <w:p w14:paraId="22B9016C" w14:textId="77777777" w:rsidR="00D268E2" w:rsidRPr="00114D91" w:rsidRDefault="00D268E2" w:rsidP="00473E6F"/>
    <w:p w14:paraId="16CC0FF2" w14:textId="2E304972" w:rsidR="00487CB0" w:rsidRPr="00114D91" w:rsidRDefault="001F534D" w:rsidP="00EF7894">
      <w:r>
        <w:rPr>
          <w:i/>
          <w:iCs/>
        </w:rPr>
        <w:t>Held further that</w:t>
      </w:r>
      <w:r w:rsidR="009254C5">
        <w:rPr>
          <w:i/>
          <w:iCs/>
        </w:rPr>
        <w:t>,</w:t>
      </w:r>
      <w:r>
        <w:rPr>
          <w:i/>
          <w:iCs/>
        </w:rPr>
        <w:t xml:space="preserve"> </w:t>
      </w:r>
      <w:r>
        <w:t>t</w:t>
      </w:r>
      <w:r w:rsidR="0025231F" w:rsidRPr="00114D91">
        <w:t>he r</w:t>
      </w:r>
      <w:r w:rsidR="00473E6F" w:rsidRPr="00114D91">
        <w:t xml:space="preserve">ule </w:t>
      </w:r>
      <w:r w:rsidR="00473E6F" w:rsidRPr="00246959">
        <w:rPr>
          <w:iCs/>
        </w:rPr>
        <w:t>nisi i</w:t>
      </w:r>
      <w:r w:rsidR="00473E6F" w:rsidRPr="00114D91">
        <w:t>ssued on 7 August 2023 is discharged.</w:t>
      </w:r>
    </w:p>
    <w:p w14:paraId="0CCDB336" w14:textId="4A60D35E" w:rsidR="00F168F9" w:rsidRPr="00114D91" w:rsidRDefault="00F168F9" w:rsidP="00C036D4">
      <w:pPr>
        <w:rPr>
          <w:bCs/>
        </w:rPr>
      </w:pPr>
    </w:p>
    <w:p w14:paraId="6BE47DE3" w14:textId="77777777" w:rsidR="00853524" w:rsidRPr="00114D91" w:rsidRDefault="00000000" w:rsidP="00C036D4">
      <w:pPr>
        <w:rPr>
          <w:bCs/>
        </w:rPr>
      </w:pPr>
      <w:r>
        <w:rPr>
          <w:bCs/>
        </w:rPr>
        <w:pict w14:anchorId="5E7E26FB">
          <v:rect id="_x0000_i1025" style="width:0;height:1.5pt" o:hralign="center" o:hrstd="t" o:hr="t" fillcolor="#a0a0a0" stroked="f"/>
        </w:pict>
      </w:r>
    </w:p>
    <w:p w14:paraId="37BE7084" w14:textId="4192C691" w:rsidR="00853524" w:rsidRPr="00114D91" w:rsidRDefault="001F6CB9" w:rsidP="00C036D4">
      <w:pPr>
        <w:jc w:val="center"/>
        <w:rPr>
          <w:b/>
          <w:bCs/>
        </w:rPr>
      </w:pPr>
      <w:r w:rsidRPr="00114D91">
        <w:rPr>
          <w:b/>
          <w:bCs/>
        </w:rPr>
        <w:t>ORDER</w:t>
      </w:r>
    </w:p>
    <w:p w14:paraId="1FEF45F5" w14:textId="77777777" w:rsidR="00853524" w:rsidRPr="00114D91"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114D91" w:rsidRDefault="00853524" w:rsidP="00C036D4">
      <w:pPr>
        <w:rPr>
          <w:bCs/>
        </w:rPr>
      </w:pPr>
    </w:p>
    <w:p w14:paraId="138C3507" w14:textId="5A78632E" w:rsidR="00473E6F" w:rsidRPr="00D520D0" w:rsidRDefault="00D520D0" w:rsidP="00D520D0">
      <w:pPr>
        <w:ind w:left="1134" w:hanging="567"/>
      </w:pPr>
      <w:bookmarkStart w:id="1" w:name="_Hlk118988738"/>
      <w:bookmarkStart w:id="2" w:name="_Hlk112176695"/>
      <w:r w:rsidRPr="00114D91">
        <w:rPr>
          <w:spacing w:val="0"/>
          <w:szCs w:val="22"/>
        </w:rPr>
        <w:t>1.</w:t>
      </w:r>
      <w:r w:rsidRPr="00114D91">
        <w:rPr>
          <w:spacing w:val="0"/>
          <w:szCs w:val="22"/>
        </w:rPr>
        <w:tab/>
      </w:r>
      <w:r w:rsidR="00473E6F" w:rsidRPr="00D520D0">
        <w:t xml:space="preserve">The rule </w:t>
      </w:r>
      <w:r w:rsidR="00473E6F" w:rsidRPr="00D520D0">
        <w:rPr>
          <w:iCs/>
        </w:rPr>
        <w:t>nisi</w:t>
      </w:r>
      <w:r w:rsidR="00473E6F" w:rsidRPr="00D520D0">
        <w:t xml:space="preserve"> issued on 7 August 2023 is hereby discharged.</w:t>
      </w:r>
    </w:p>
    <w:p w14:paraId="04DB0A50" w14:textId="77777777" w:rsidR="00473E6F" w:rsidRPr="00114D91" w:rsidRDefault="00473E6F" w:rsidP="00473E6F">
      <w:pPr>
        <w:pStyle w:val="ListParagraph"/>
        <w:ind w:left="1134"/>
        <w:rPr>
          <w:rFonts w:cs="Arial"/>
          <w:lang w:val="en-ZA"/>
        </w:rPr>
      </w:pPr>
    </w:p>
    <w:p w14:paraId="62275E73" w14:textId="07A2D14F" w:rsidR="00473E6F" w:rsidRPr="00D520D0" w:rsidRDefault="00D520D0" w:rsidP="00D520D0">
      <w:pPr>
        <w:ind w:left="1134" w:hanging="567"/>
      </w:pPr>
      <w:r w:rsidRPr="00114D91">
        <w:rPr>
          <w:spacing w:val="0"/>
          <w:szCs w:val="22"/>
        </w:rPr>
        <w:t>2.</w:t>
      </w:r>
      <w:r w:rsidRPr="00114D91">
        <w:rPr>
          <w:spacing w:val="0"/>
          <w:szCs w:val="22"/>
        </w:rPr>
        <w:tab/>
      </w:r>
      <w:r w:rsidR="00473E6F" w:rsidRPr="00D520D0">
        <w:t>Each party must pay their own costs.</w:t>
      </w:r>
    </w:p>
    <w:p w14:paraId="1B5F553F" w14:textId="77777777" w:rsidR="00473E6F" w:rsidRPr="00114D91" w:rsidRDefault="00473E6F" w:rsidP="00473E6F">
      <w:pPr>
        <w:pStyle w:val="ListParagraph"/>
        <w:rPr>
          <w:rFonts w:cs="Arial"/>
          <w:lang w:val="en-ZA"/>
        </w:rPr>
      </w:pPr>
    </w:p>
    <w:p w14:paraId="05D47F8D" w14:textId="7BB5449D" w:rsidR="002A217F" w:rsidRPr="00D520D0" w:rsidRDefault="00D520D0" w:rsidP="00D520D0">
      <w:pPr>
        <w:ind w:left="1134" w:hanging="567"/>
      </w:pPr>
      <w:r w:rsidRPr="00114D91">
        <w:rPr>
          <w:spacing w:val="0"/>
          <w:szCs w:val="22"/>
        </w:rPr>
        <w:t>3.</w:t>
      </w:r>
      <w:r w:rsidRPr="00114D91">
        <w:rPr>
          <w:spacing w:val="0"/>
          <w:szCs w:val="22"/>
        </w:rPr>
        <w:tab/>
      </w:r>
      <w:r w:rsidR="00473E6F" w:rsidRPr="00D520D0">
        <w:t>The matter is removed from the roll</w:t>
      </w:r>
      <w:r w:rsidR="009254C5" w:rsidRPr="00D520D0">
        <w:t xml:space="preserve"> and regarded as finalised</w:t>
      </w:r>
      <w:r w:rsidR="00473E6F" w:rsidRPr="00D520D0">
        <w:t>.</w:t>
      </w:r>
    </w:p>
    <w:bookmarkEnd w:id="1"/>
    <w:bookmarkEnd w:id="2"/>
    <w:p w14:paraId="6BCDA908" w14:textId="77777777" w:rsidR="00853524" w:rsidRPr="00114D91" w:rsidRDefault="00000000" w:rsidP="00C036D4">
      <w:pPr>
        <w:rPr>
          <w:bCs/>
        </w:rPr>
      </w:pPr>
      <w:r>
        <w:rPr>
          <w:bCs/>
        </w:rPr>
        <w:pict w14:anchorId="2893D86E">
          <v:rect id="_x0000_i1027" style="width:0;height:1.5pt" o:hralign="center" o:hrstd="t" o:hr="t" fillcolor="#a0a0a0" stroked="f"/>
        </w:pict>
      </w:r>
    </w:p>
    <w:p w14:paraId="4BDA99AF" w14:textId="283B76EE" w:rsidR="00853524" w:rsidRPr="00114D91" w:rsidRDefault="001F6CB9" w:rsidP="00C036D4">
      <w:pPr>
        <w:jc w:val="center"/>
        <w:rPr>
          <w:b/>
        </w:rPr>
      </w:pPr>
      <w:r w:rsidRPr="00114D91">
        <w:rPr>
          <w:b/>
        </w:rPr>
        <w:t>JUDGMENT</w:t>
      </w:r>
    </w:p>
    <w:p w14:paraId="1C469921" w14:textId="77777777" w:rsidR="00853524" w:rsidRPr="00114D91"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Pr="00114D91" w:rsidRDefault="005368A3" w:rsidP="00C036D4"/>
    <w:p w14:paraId="0C9EA869" w14:textId="2FB096E9" w:rsidR="00853524" w:rsidRPr="00114D91" w:rsidRDefault="006F4DCB" w:rsidP="00C036D4">
      <w:r w:rsidRPr="00114D91">
        <w:t>SCHIMMING-CHASE</w:t>
      </w:r>
      <w:r w:rsidR="00853524" w:rsidRPr="00114D91">
        <w:t xml:space="preserve"> J</w:t>
      </w:r>
      <w:r w:rsidRPr="00114D91">
        <w:t>:</w:t>
      </w:r>
    </w:p>
    <w:p w14:paraId="72FE8D7D" w14:textId="799685F5" w:rsidR="00473E6F" w:rsidRPr="00114D91" w:rsidRDefault="00473E6F" w:rsidP="00473E6F">
      <w:pPr>
        <w:pStyle w:val="ListParagraph"/>
        <w:ind w:left="0"/>
        <w:rPr>
          <w:rFonts w:cs="Arial"/>
          <w:u w:val="single"/>
          <w:lang w:val="en-ZA"/>
        </w:rPr>
      </w:pPr>
    </w:p>
    <w:p w14:paraId="2A86F8F6" w14:textId="77777777" w:rsidR="00473E6F" w:rsidRPr="00114D91" w:rsidRDefault="00473E6F" w:rsidP="00473E6F">
      <w:pPr>
        <w:pStyle w:val="ListParagraph"/>
        <w:ind w:left="0"/>
        <w:rPr>
          <w:rFonts w:cs="Arial"/>
          <w:lang w:val="en-ZA"/>
        </w:rPr>
      </w:pPr>
    </w:p>
    <w:p w14:paraId="72B6E8F7" w14:textId="2715C2FA" w:rsidR="001F534D" w:rsidRPr="00D520D0" w:rsidRDefault="00D520D0" w:rsidP="00D520D0">
      <w:r>
        <w:rPr>
          <w:spacing w:val="0"/>
          <w:szCs w:val="22"/>
        </w:rPr>
        <w:t>[1]</w:t>
      </w:r>
      <w:r>
        <w:rPr>
          <w:spacing w:val="0"/>
          <w:szCs w:val="22"/>
        </w:rPr>
        <w:tab/>
      </w:r>
      <w:r w:rsidR="00530AB9" w:rsidRPr="00D520D0">
        <w:t>This is the return da</w:t>
      </w:r>
      <w:r w:rsidR="001F534D" w:rsidRPr="00D520D0">
        <w:t>te</w:t>
      </w:r>
      <w:r w:rsidR="00473E6F" w:rsidRPr="00D520D0">
        <w:t xml:space="preserve"> </w:t>
      </w:r>
      <w:r w:rsidR="009254C5" w:rsidRPr="00D520D0">
        <w:t xml:space="preserve">of </w:t>
      </w:r>
      <w:r w:rsidR="00473E6F" w:rsidRPr="00D520D0">
        <w:t xml:space="preserve">a rule </w:t>
      </w:r>
      <w:r w:rsidR="00473E6F" w:rsidRPr="00D520D0">
        <w:rPr>
          <w:iCs/>
        </w:rPr>
        <w:t>nisi</w:t>
      </w:r>
      <w:r w:rsidR="00473E6F" w:rsidRPr="00D520D0">
        <w:t xml:space="preserve">, </w:t>
      </w:r>
      <w:r w:rsidR="002657EE" w:rsidRPr="00D520D0">
        <w:t xml:space="preserve">operating </w:t>
      </w:r>
      <w:r w:rsidR="00473E6F" w:rsidRPr="00D520D0">
        <w:t>as an interim interdict</w:t>
      </w:r>
      <w:r w:rsidR="001F534D" w:rsidRPr="00D520D0">
        <w:t xml:space="preserve">. </w:t>
      </w:r>
    </w:p>
    <w:p w14:paraId="1709B549" w14:textId="5B56545C" w:rsidR="00473E6F" w:rsidRPr="00D520D0" w:rsidRDefault="00D520D0" w:rsidP="00D520D0">
      <w:r>
        <w:rPr>
          <w:spacing w:val="0"/>
          <w:szCs w:val="22"/>
        </w:rPr>
        <w:lastRenderedPageBreak/>
        <w:t>[2]</w:t>
      </w:r>
      <w:r>
        <w:rPr>
          <w:spacing w:val="0"/>
          <w:szCs w:val="22"/>
        </w:rPr>
        <w:tab/>
      </w:r>
      <w:r w:rsidR="001F534D" w:rsidRPr="00D520D0">
        <w:t xml:space="preserve">On 7 August 2023, this court made an order hearing the applicants’ case as urgent, and called upon the respondent to show cause why, pending the institution and finalisation of an action to be instituted by the applicants against the respondent with respect to recalculation and rectification of the applicants’ rates and taxes as reflected on their accounts/ statements for the immovable property: Erf No 869 37A </w:t>
      </w:r>
      <w:proofErr w:type="spellStart"/>
      <w:r w:rsidR="001F534D" w:rsidRPr="00D520D0">
        <w:t>Garibes</w:t>
      </w:r>
      <w:proofErr w:type="spellEnd"/>
      <w:r w:rsidR="001F534D" w:rsidRPr="00D520D0">
        <w:t xml:space="preserve"> Street</w:t>
      </w:r>
      <w:r w:rsidR="00364113" w:rsidRPr="00D520D0">
        <w:t xml:space="preserve"> (“the property”)</w:t>
      </w:r>
      <w:r w:rsidR="00473E6F" w:rsidRPr="00D520D0">
        <w:t>,</w:t>
      </w:r>
      <w:r w:rsidR="001F534D" w:rsidRPr="00D520D0">
        <w:t xml:space="preserve"> the following order should not be granted:</w:t>
      </w:r>
    </w:p>
    <w:p w14:paraId="1630B9B4" w14:textId="77777777" w:rsidR="00364113" w:rsidRDefault="00364113" w:rsidP="00364113">
      <w:pPr>
        <w:pStyle w:val="ListParagraph"/>
        <w:ind w:left="0"/>
        <w:rPr>
          <w:rFonts w:cs="Arial"/>
          <w:lang w:val="en-ZA"/>
        </w:rPr>
      </w:pPr>
    </w:p>
    <w:p w14:paraId="163722F0" w14:textId="3E242AC2" w:rsidR="001F534D" w:rsidRDefault="00364113" w:rsidP="00364113">
      <w:pPr>
        <w:pStyle w:val="ListParagraph"/>
        <w:rPr>
          <w:rFonts w:cs="Arial"/>
          <w:lang w:val="en-ZA"/>
        </w:rPr>
      </w:pPr>
      <w:r>
        <w:rPr>
          <w:rFonts w:cs="Arial"/>
          <w:lang w:val="en-ZA"/>
        </w:rPr>
        <w:t>2.1</w:t>
      </w:r>
      <w:r>
        <w:rPr>
          <w:rFonts w:cs="Arial"/>
          <w:lang w:val="en-ZA"/>
        </w:rPr>
        <w:tab/>
      </w:r>
      <w:r w:rsidR="001F534D" w:rsidRPr="00364113">
        <w:rPr>
          <w:rFonts w:cs="Arial"/>
          <w:lang w:val="en-ZA"/>
        </w:rPr>
        <w:t>that the respondent be ordered to immediately restore/</w:t>
      </w:r>
      <w:r w:rsidR="00535DE8">
        <w:rPr>
          <w:rFonts w:cs="Arial"/>
          <w:lang w:val="en-ZA"/>
        </w:rPr>
        <w:t>re</w:t>
      </w:r>
      <w:r w:rsidR="001F534D" w:rsidRPr="00364113">
        <w:rPr>
          <w:rFonts w:cs="Arial"/>
          <w:lang w:val="en-ZA"/>
        </w:rPr>
        <w:t>connect or cause to be restored/</w:t>
      </w:r>
      <w:r w:rsidR="00535DE8">
        <w:rPr>
          <w:rFonts w:cs="Arial"/>
          <w:lang w:val="en-ZA"/>
        </w:rPr>
        <w:t>re</w:t>
      </w:r>
      <w:r w:rsidR="001F534D" w:rsidRPr="00364113">
        <w:rPr>
          <w:rFonts w:cs="Arial"/>
          <w:lang w:val="en-ZA"/>
        </w:rPr>
        <w:t xml:space="preserve">connected electricity to the applicants’ electric metre at the </w:t>
      </w:r>
      <w:proofErr w:type="gramStart"/>
      <w:r w:rsidR="001F534D" w:rsidRPr="00364113">
        <w:rPr>
          <w:rFonts w:cs="Arial"/>
          <w:lang w:val="en-ZA"/>
        </w:rPr>
        <w:t>property;</w:t>
      </w:r>
      <w:proofErr w:type="gramEnd"/>
    </w:p>
    <w:p w14:paraId="7E48E1BD" w14:textId="77777777" w:rsidR="00364113" w:rsidRDefault="00364113" w:rsidP="00364113">
      <w:pPr>
        <w:pStyle w:val="ListParagraph"/>
        <w:rPr>
          <w:rFonts w:cs="Arial"/>
          <w:lang w:val="en-ZA"/>
        </w:rPr>
      </w:pPr>
    </w:p>
    <w:p w14:paraId="69E1BCAF" w14:textId="351BD0E2" w:rsidR="001F534D" w:rsidRDefault="00364113" w:rsidP="00364113">
      <w:pPr>
        <w:pStyle w:val="ListParagraph"/>
        <w:rPr>
          <w:rFonts w:cs="Arial"/>
          <w:lang w:val="en-ZA"/>
        </w:rPr>
      </w:pPr>
      <w:r>
        <w:rPr>
          <w:rFonts w:cs="Arial"/>
          <w:lang w:val="en-ZA"/>
        </w:rPr>
        <w:t>2.2</w:t>
      </w:r>
      <w:r>
        <w:rPr>
          <w:rFonts w:cs="Arial"/>
          <w:lang w:val="en-ZA"/>
        </w:rPr>
        <w:tab/>
      </w:r>
      <w:r w:rsidR="001F534D" w:rsidRPr="00364113">
        <w:rPr>
          <w:rFonts w:cs="Arial"/>
          <w:lang w:val="en-ZA"/>
        </w:rPr>
        <w:t>that the respondent be ordered to immediately restore/reconnect water supply to the applicants’</w:t>
      </w:r>
      <w:r>
        <w:rPr>
          <w:rFonts w:cs="Arial"/>
          <w:lang w:val="en-ZA"/>
        </w:rPr>
        <w:t xml:space="preserve"> </w:t>
      </w:r>
      <w:proofErr w:type="gramStart"/>
      <w:r w:rsidR="001F534D" w:rsidRPr="00364113">
        <w:rPr>
          <w:rFonts w:cs="Arial"/>
          <w:lang w:val="en-ZA"/>
        </w:rPr>
        <w:t>property;</w:t>
      </w:r>
      <w:proofErr w:type="gramEnd"/>
    </w:p>
    <w:p w14:paraId="0FE8769E" w14:textId="77777777" w:rsidR="00364113" w:rsidRDefault="00364113" w:rsidP="00364113">
      <w:pPr>
        <w:pStyle w:val="ListParagraph"/>
        <w:rPr>
          <w:rFonts w:cs="Arial"/>
          <w:lang w:val="en-ZA"/>
        </w:rPr>
      </w:pPr>
    </w:p>
    <w:p w14:paraId="0D1CAF43" w14:textId="08176843" w:rsidR="001F534D" w:rsidRDefault="00364113" w:rsidP="00364113">
      <w:pPr>
        <w:pStyle w:val="ListParagraph"/>
        <w:rPr>
          <w:rFonts w:cs="Arial"/>
          <w:lang w:val="en-ZA"/>
        </w:rPr>
      </w:pPr>
      <w:r>
        <w:rPr>
          <w:rFonts w:cs="Arial"/>
          <w:lang w:val="en-ZA"/>
        </w:rPr>
        <w:t>2.3</w:t>
      </w:r>
      <w:r>
        <w:rPr>
          <w:rFonts w:cs="Arial"/>
          <w:lang w:val="en-ZA"/>
        </w:rPr>
        <w:tab/>
      </w:r>
      <w:r w:rsidR="001F534D" w:rsidRPr="00364113">
        <w:rPr>
          <w:rFonts w:cs="Arial"/>
          <w:lang w:val="en-ZA"/>
        </w:rPr>
        <w:t xml:space="preserve">that the respondent be interdicted and restrained from disconnecting the water </w:t>
      </w:r>
      <w:r>
        <w:rPr>
          <w:rFonts w:cs="Arial"/>
          <w:lang w:val="en-ZA"/>
        </w:rPr>
        <w:t xml:space="preserve">and or electricity </w:t>
      </w:r>
      <w:proofErr w:type="gramStart"/>
      <w:r w:rsidR="001F534D" w:rsidRPr="00364113">
        <w:rPr>
          <w:rFonts w:cs="Arial"/>
          <w:lang w:val="en-ZA"/>
        </w:rPr>
        <w:t>supply</w:t>
      </w:r>
      <w:r w:rsidRPr="00364113">
        <w:rPr>
          <w:rFonts w:cs="Arial"/>
          <w:lang w:val="en-ZA"/>
        </w:rPr>
        <w:t>;</w:t>
      </w:r>
      <w:proofErr w:type="gramEnd"/>
    </w:p>
    <w:p w14:paraId="0F09B90E" w14:textId="29D58F12" w:rsidR="00364113" w:rsidRDefault="00364113" w:rsidP="00364113">
      <w:pPr>
        <w:pStyle w:val="ListParagraph"/>
        <w:rPr>
          <w:rFonts w:cs="Arial"/>
          <w:lang w:val="en-ZA"/>
        </w:rPr>
      </w:pPr>
    </w:p>
    <w:p w14:paraId="61982132" w14:textId="13ACE351" w:rsidR="00364113" w:rsidRDefault="00364113" w:rsidP="00364113">
      <w:pPr>
        <w:pStyle w:val="ListParagraph"/>
        <w:rPr>
          <w:rFonts w:cs="Arial"/>
          <w:lang w:val="en-ZA"/>
        </w:rPr>
      </w:pPr>
      <w:r>
        <w:rPr>
          <w:rFonts w:cs="Arial"/>
          <w:lang w:val="en-ZA"/>
        </w:rPr>
        <w:t>2.4</w:t>
      </w:r>
      <w:r>
        <w:rPr>
          <w:rFonts w:cs="Arial"/>
          <w:lang w:val="en-ZA"/>
        </w:rPr>
        <w:tab/>
      </w:r>
      <w:r w:rsidRPr="00364113">
        <w:rPr>
          <w:rFonts w:cs="Arial"/>
          <w:lang w:val="en-ZA"/>
        </w:rPr>
        <w:t xml:space="preserve">that the respondent be ordered to cease and desist from demanding payment of rates and taxes in respect of the applicants’ account number </w:t>
      </w:r>
      <w:proofErr w:type="gramStart"/>
      <w:r w:rsidRPr="00364113">
        <w:rPr>
          <w:rFonts w:cs="Arial"/>
          <w:lang w:val="en-ZA"/>
        </w:rPr>
        <w:t>1277568</w:t>
      </w:r>
      <w:r>
        <w:rPr>
          <w:rFonts w:cs="Arial"/>
          <w:lang w:val="en-ZA"/>
        </w:rPr>
        <w:t>;</w:t>
      </w:r>
      <w:proofErr w:type="gramEnd"/>
    </w:p>
    <w:p w14:paraId="156E32AE" w14:textId="77777777" w:rsidR="00364113" w:rsidRDefault="00364113" w:rsidP="00364113">
      <w:pPr>
        <w:pStyle w:val="ListParagraph"/>
        <w:rPr>
          <w:rFonts w:cs="Arial"/>
          <w:lang w:val="en-ZA"/>
        </w:rPr>
      </w:pPr>
    </w:p>
    <w:p w14:paraId="382CC94C" w14:textId="49223F24" w:rsidR="00364113" w:rsidRPr="00364113" w:rsidRDefault="00364113" w:rsidP="00364113">
      <w:pPr>
        <w:pStyle w:val="ListParagraph"/>
        <w:rPr>
          <w:rFonts w:cs="Arial"/>
          <w:lang w:val="en-ZA"/>
        </w:rPr>
      </w:pPr>
      <w:r>
        <w:rPr>
          <w:rFonts w:cs="Arial"/>
          <w:lang w:val="en-ZA"/>
        </w:rPr>
        <w:t>2.5</w:t>
      </w:r>
      <w:r>
        <w:rPr>
          <w:rFonts w:cs="Arial"/>
          <w:lang w:val="en-ZA"/>
        </w:rPr>
        <w:tab/>
        <w:t xml:space="preserve">that the respondent </w:t>
      </w:r>
      <w:proofErr w:type="gramStart"/>
      <w:r>
        <w:rPr>
          <w:rFonts w:cs="Arial"/>
          <w:lang w:val="en-ZA"/>
        </w:rPr>
        <w:t>pay</w:t>
      </w:r>
      <w:proofErr w:type="gramEnd"/>
      <w:r>
        <w:rPr>
          <w:rFonts w:cs="Arial"/>
          <w:lang w:val="en-ZA"/>
        </w:rPr>
        <w:t xml:space="preserve"> the applicant’s costs of suit on a scale as between attorney and client. </w:t>
      </w:r>
    </w:p>
    <w:p w14:paraId="6A7C62AC" w14:textId="77777777" w:rsidR="00473E6F" w:rsidRPr="00114D91" w:rsidRDefault="00473E6F" w:rsidP="00473E6F">
      <w:pPr>
        <w:pStyle w:val="ListParagraph"/>
        <w:ind w:left="0"/>
        <w:rPr>
          <w:rFonts w:cs="Arial"/>
          <w:lang w:val="en-ZA"/>
        </w:rPr>
      </w:pPr>
    </w:p>
    <w:p w14:paraId="1ECC7456" w14:textId="27CD5091" w:rsidR="008753F7" w:rsidRDefault="008753F7" w:rsidP="008753F7">
      <w:pPr>
        <w:pStyle w:val="ListParagraph"/>
        <w:ind w:left="0" w:firstLine="720"/>
        <w:rPr>
          <w:rFonts w:cs="Arial"/>
          <w:lang w:val="en-ZA"/>
        </w:rPr>
      </w:pPr>
      <w:r>
        <w:rPr>
          <w:rFonts w:cs="Arial"/>
          <w:lang w:val="en-ZA"/>
        </w:rPr>
        <w:t>(</w:t>
      </w:r>
      <w:r w:rsidR="00364113">
        <w:rPr>
          <w:rFonts w:cs="Arial"/>
          <w:lang w:val="en-ZA"/>
        </w:rPr>
        <w:t xml:space="preserve">The </w:t>
      </w:r>
      <w:r w:rsidR="00535DE8">
        <w:rPr>
          <w:rFonts w:cs="Arial"/>
          <w:lang w:val="en-ZA"/>
        </w:rPr>
        <w:t xml:space="preserve">orders set out </w:t>
      </w:r>
      <w:r w:rsidR="009254C5">
        <w:rPr>
          <w:rFonts w:cs="Arial"/>
          <w:lang w:val="en-ZA"/>
        </w:rPr>
        <w:t>above</w:t>
      </w:r>
      <w:r w:rsidR="00535DE8">
        <w:rPr>
          <w:rFonts w:cs="Arial"/>
          <w:lang w:val="en-ZA"/>
        </w:rPr>
        <w:t xml:space="preserve"> operated as an interim interdict pending the return date</w:t>
      </w:r>
      <w:r>
        <w:rPr>
          <w:rFonts w:cs="Arial"/>
          <w:lang w:val="en-ZA"/>
        </w:rPr>
        <w:t>)</w:t>
      </w:r>
      <w:r w:rsidR="00535DE8">
        <w:rPr>
          <w:rFonts w:cs="Arial"/>
          <w:lang w:val="en-ZA"/>
        </w:rPr>
        <w:t xml:space="preserve">. </w:t>
      </w:r>
    </w:p>
    <w:p w14:paraId="6D86A3A2" w14:textId="77777777" w:rsidR="008753F7" w:rsidRDefault="008753F7" w:rsidP="008753F7">
      <w:pPr>
        <w:pStyle w:val="ListParagraph"/>
        <w:ind w:left="0"/>
        <w:rPr>
          <w:rFonts w:cs="Arial"/>
          <w:lang w:val="en-ZA"/>
        </w:rPr>
      </w:pPr>
    </w:p>
    <w:p w14:paraId="5BFABF93" w14:textId="00A69A0B" w:rsidR="00364113" w:rsidRPr="00D520D0" w:rsidRDefault="00D520D0" w:rsidP="00D520D0">
      <w:r>
        <w:rPr>
          <w:spacing w:val="0"/>
          <w:szCs w:val="22"/>
        </w:rPr>
        <w:t>[3]</w:t>
      </w:r>
      <w:r>
        <w:rPr>
          <w:spacing w:val="0"/>
          <w:szCs w:val="22"/>
        </w:rPr>
        <w:tab/>
      </w:r>
      <w:r w:rsidR="008753F7" w:rsidRPr="00D520D0">
        <w:t xml:space="preserve">After hearing this matter as one of urgency on 7 August 2023, the court granted the rule nisi and directed the parties to exchange affidavits and deliver heads of argument in respect of the rule nisi return date. </w:t>
      </w:r>
      <w:r w:rsidR="00535DE8" w:rsidRPr="00D520D0">
        <w:t>T</w:t>
      </w:r>
      <w:r w:rsidR="00364113" w:rsidRPr="00D520D0">
        <w:t>he rule nisi issued on 7 August 2023 was extended to 16 October</w:t>
      </w:r>
      <w:r w:rsidR="009254C5" w:rsidRPr="00D520D0">
        <w:t xml:space="preserve"> 2023</w:t>
      </w:r>
      <w:r w:rsidR="00364113" w:rsidRPr="00D520D0">
        <w:t xml:space="preserve">, and then to 5 December 2023, due to the respondent not filing papers on time. Condonation for the late </w:t>
      </w:r>
      <w:r w:rsidR="00364113" w:rsidRPr="00D520D0">
        <w:lastRenderedPageBreak/>
        <w:t>filing of the answering and replying papers was granted</w:t>
      </w:r>
      <w:r w:rsidR="00535DE8" w:rsidRPr="00D520D0">
        <w:t xml:space="preserve"> for these purposes.</w:t>
      </w:r>
    </w:p>
    <w:p w14:paraId="34A78DBA" w14:textId="77777777" w:rsidR="00535DE8" w:rsidRDefault="00535DE8" w:rsidP="00535DE8">
      <w:pPr>
        <w:pStyle w:val="ListParagraph"/>
        <w:ind w:left="0"/>
        <w:rPr>
          <w:rFonts w:cs="Arial"/>
          <w:lang w:val="en-ZA"/>
        </w:rPr>
      </w:pPr>
    </w:p>
    <w:p w14:paraId="40E24051" w14:textId="7550A50E" w:rsidR="00473E6F" w:rsidRPr="00D520D0" w:rsidRDefault="00D520D0" w:rsidP="00D520D0">
      <w:r w:rsidRPr="00114D91">
        <w:rPr>
          <w:spacing w:val="0"/>
          <w:szCs w:val="22"/>
        </w:rPr>
        <w:t>[4]</w:t>
      </w:r>
      <w:r w:rsidRPr="00114D91">
        <w:rPr>
          <w:spacing w:val="0"/>
          <w:szCs w:val="22"/>
        </w:rPr>
        <w:tab/>
      </w:r>
      <w:r w:rsidR="00473E6F" w:rsidRPr="00D520D0">
        <w:t xml:space="preserve">The </w:t>
      </w:r>
      <w:r w:rsidR="0025231F" w:rsidRPr="00D520D0">
        <w:t>applicants are Martha and Im</w:t>
      </w:r>
      <w:r w:rsidR="00473E6F" w:rsidRPr="00D520D0">
        <w:t xml:space="preserve">anuel </w:t>
      </w:r>
      <w:proofErr w:type="spellStart"/>
      <w:r w:rsidR="00473E6F" w:rsidRPr="00D520D0">
        <w:t>Hawanga</w:t>
      </w:r>
      <w:proofErr w:type="spellEnd"/>
      <w:r w:rsidR="00473E6F" w:rsidRPr="00D520D0">
        <w:t xml:space="preserve">, who are married to each other and who reside at </w:t>
      </w:r>
      <w:r w:rsidR="00535DE8" w:rsidRPr="00D520D0">
        <w:t xml:space="preserve">the property </w:t>
      </w:r>
      <w:r w:rsidR="00473E6F" w:rsidRPr="00D520D0">
        <w:t>which is the subject-matter of this application.</w:t>
      </w:r>
    </w:p>
    <w:p w14:paraId="42CA497A" w14:textId="77777777" w:rsidR="00473E6F" w:rsidRPr="00114D91" w:rsidRDefault="00473E6F" w:rsidP="00473E6F">
      <w:pPr>
        <w:pStyle w:val="ListParagraph"/>
        <w:rPr>
          <w:rFonts w:cs="Arial"/>
          <w:lang w:val="en-ZA"/>
        </w:rPr>
      </w:pPr>
    </w:p>
    <w:p w14:paraId="6CA09EFA" w14:textId="43BBB685" w:rsidR="00473E6F" w:rsidRPr="00D520D0" w:rsidRDefault="00D520D0" w:rsidP="00D520D0">
      <w:r w:rsidRPr="00535DE8">
        <w:rPr>
          <w:spacing w:val="0"/>
          <w:szCs w:val="22"/>
        </w:rPr>
        <w:t>[5]</w:t>
      </w:r>
      <w:r w:rsidRPr="00535DE8">
        <w:rPr>
          <w:spacing w:val="0"/>
          <w:szCs w:val="22"/>
        </w:rPr>
        <w:tab/>
      </w:r>
      <w:r w:rsidR="00473E6F" w:rsidRPr="00D520D0">
        <w:t xml:space="preserve">The respondent is the Municipal Council for the City of Windhoek, which is responsible for, </w:t>
      </w:r>
      <w:r w:rsidR="00473E6F" w:rsidRPr="00D520D0">
        <w:rPr>
          <w:iCs/>
        </w:rPr>
        <w:t>inter alia</w:t>
      </w:r>
      <w:r w:rsidR="00473E6F" w:rsidRPr="00D520D0">
        <w:t xml:space="preserve">, the determination and regulation of the property rates and taxes, charges, </w:t>
      </w:r>
      <w:proofErr w:type="gramStart"/>
      <w:r w:rsidR="00473E6F" w:rsidRPr="00D520D0">
        <w:t>fees</w:t>
      </w:r>
      <w:proofErr w:type="gramEnd"/>
      <w:r w:rsidR="00473E6F" w:rsidRPr="00D520D0">
        <w:t xml:space="preserve"> and other moneys payable in respect of services</w:t>
      </w:r>
      <w:r w:rsidR="00535DE8" w:rsidRPr="00D520D0">
        <w:t xml:space="preserve"> as set out in the Local Authorities Act, No 23 of 1992</w:t>
      </w:r>
      <w:r w:rsidR="00473E6F" w:rsidRPr="00D520D0">
        <w:t xml:space="preserve">. For ease of reference, I will refer to the respondent as </w:t>
      </w:r>
      <w:r w:rsidR="009254C5" w:rsidRPr="00D520D0">
        <w:t>‘</w:t>
      </w:r>
      <w:r w:rsidR="00473E6F" w:rsidRPr="00D520D0">
        <w:t>the City of Windhoek</w:t>
      </w:r>
      <w:r w:rsidR="009254C5" w:rsidRPr="00D520D0">
        <w:t>’</w:t>
      </w:r>
      <w:r w:rsidR="00473E6F" w:rsidRPr="00D520D0">
        <w:t>.</w:t>
      </w:r>
    </w:p>
    <w:p w14:paraId="68FFD05C" w14:textId="77777777" w:rsidR="00473E6F" w:rsidRPr="00114D91" w:rsidRDefault="00473E6F" w:rsidP="00473E6F">
      <w:pPr>
        <w:pStyle w:val="ListParagraph"/>
        <w:rPr>
          <w:rFonts w:cs="Arial"/>
          <w:lang w:val="en-ZA"/>
        </w:rPr>
      </w:pPr>
    </w:p>
    <w:p w14:paraId="38E936DC" w14:textId="0D620CCA" w:rsidR="00473E6F" w:rsidRPr="00D520D0" w:rsidRDefault="00D520D0" w:rsidP="00D520D0">
      <w:r w:rsidRPr="00535DE8">
        <w:rPr>
          <w:spacing w:val="0"/>
          <w:szCs w:val="22"/>
        </w:rPr>
        <w:t>[6]</w:t>
      </w:r>
      <w:r w:rsidRPr="00535DE8">
        <w:rPr>
          <w:spacing w:val="0"/>
          <w:szCs w:val="22"/>
        </w:rPr>
        <w:tab/>
      </w:r>
      <w:r w:rsidR="00473E6F" w:rsidRPr="00D520D0">
        <w:t xml:space="preserve">On 4 August 2023, the applicants lodged an application on an urgent basis, seeking </w:t>
      </w:r>
      <w:r w:rsidR="00535DE8" w:rsidRPr="00D520D0">
        <w:t>inter alia the rule nisi that was eventually issued.</w:t>
      </w:r>
    </w:p>
    <w:p w14:paraId="65EA5CCD" w14:textId="77777777" w:rsidR="00473E6F" w:rsidRPr="00114D91" w:rsidRDefault="00473E6F" w:rsidP="00473E6F">
      <w:pPr>
        <w:pStyle w:val="ListParagraph"/>
        <w:rPr>
          <w:rFonts w:cs="Arial"/>
          <w:lang w:val="en-ZA"/>
        </w:rPr>
      </w:pPr>
    </w:p>
    <w:p w14:paraId="6AF71E3B" w14:textId="5920E208" w:rsidR="00473E6F" w:rsidRPr="00D520D0" w:rsidRDefault="00D520D0" w:rsidP="00D520D0">
      <w:r w:rsidRPr="00114D91">
        <w:rPr>
          <w:spacing w:val="0"/>
          <w:szCs w:val="22"/>
        </w:rPr>
        <w:t>[7]</w:t>
      </w:r>
      <w:r w:rsidRPr="00114D91">
        <w:rPr>
          <w:spacing w:val="0"/>
          <w:szCs w:val="22"/>
        </w:rPr>
        <w:tab/>
      </w:r>
      <w:r w:rsidR="00473E6F" w:rsidRPr="00D520D0">
        <w:t xml:space="preserve">In support of the application, the first applicant, Mrs </w:t>
      </w:r>
      <w:proofErr w:type="spellStart"/>
      <w:r w:rsidR="00473E6F" w:rsidRPr="00D520D0">
        <w:t>Hawanga</w:t>
      </w:r>
      <w:proofErr w:type="spellEnd"/>
      <w:r w:rsidR="00473E6F" w:rsidRPr="00D520D0">
        <w:t>, deposed to the founding affidavit on behalf of the a</w:t>
      </w:r>
      <w:r w:rsidR="00D268E2" w:rsidRPr="00D520D0">
        <w:t>pplicants. In giving a factual background of the dispute</w:t>
      </w:r>
      <w:r w:rsidR="00473E6F" w:rsidRPr="00D520D0">
        <w:t xml:space="preserve">, Mrs </w:t>
      </w:r>
      <w:proofErr w:type="spellStart"/>
      <w:r w:rsidR="00473E6F" w:rsidRPr="00D520D0">
        <w:t>Hawanga</w:t>
      </w:r>
      <w:proofErr w:type="spellEnd"/>
      <w:r w:rsidR="00473E6F" w:rsidRPr="00D520D0">
        <w:t xml:space="preserve"> </w:t>
      </w:r>
      <w:r w:rsidR="00D268E2" w:rsidRPr="00D520D0">
        <w:t xml:space="preserve">averred </w:t>
      </w:r>
      <w:r w:rsidR="00473E6F" w:rsidRPr="00D520D0">
        <w:t xml:space="preserve">that the property was initially owned as one undivided property registered under scheme name </w:t>
      </w:r>
      <w:proofErr w:type="spellStart"/>
      <w:r w:rsidR="00473E6F" w:rsidRPr="00D520D0">
        <w:t>Hafeni</w:t>
      </w:r>
      <w:proofErr w:type="spellEnd"/>
      <w:r w:rsidR="00473E6F" w:rsidRPr="00D520D0">
        <w:t xml:space="preserve"> Village Court, but was divided</w:t>
      </w:r>
      <w:r w:rsidR="002657EE" w:rsidRPr="00D520D0">
        <w:t>,</w:t>
      </w:r>
      <w:r w:rsidR="00473E6F" w:rsidRPr="00D520D0">
        <w:t xml:space="preserve"> </w:t>
      </w:r>
      <w:r w:rsidR="002657EE" w:rsidRPr="00D520D0">
        <w:t xml:space="preserve">after a participation quota was sought in 2019, </w:t>
      </w:r>
      <w:r w:rsidR="00473E6F" w:rsidRPr="00D520D0">
        <w:t>into two separate unit</w:t>
      </w:r>
      <w:r w:rsidR="002657EE" w:rsidRPr="00D520D0">
        <w:t>s, namely, units 37A and 37B.</w:t>
      </w:r>
    </w:p>
    <w:p w14:paraId="254F9DA5" w14:textId="77777777" w:rsidR="00473E6F" w:rsidRPr="00114D91" w:rsidRDefault="00473E6F" w:rsidP="00473E6F">
      <w:pPr>
        <w:pStyle w:val="ListParagraph"/>
        <w:rPr>
          <w:rFonts w:cs="Arial"/>
          <w:lang w:val="en-ZA"/>
        </w:rPr>
      </w:pPr>
    </w:p>
    <w:p w14:paraId="6C5BC46A" w14:textId="52EAEF7B" w:rsidR="00D268E2" w:rsidRPr="00D520D0" w:rsidRDefault="00D520D0" w:rsidP="00D520D0">
      <w:r w:rsidRPr="00114D91">
        <w:rPr>
          <w:spacing w:val="0"/>
          <w:szCs w:val="22"/>
        </w:rPr>
        <w:t>[8]</w:t>
      </w:r>
      <w:r w:rsidRPr="00114D91">
        <w:rPr>
          <w:spacing w:val="0"/>
          <w:szCs w:val="22"/>
        </w:rPr>
        <w:tab/>
      </w:r>
      <w:r w:rsidR="009254C5" w:rsidRPr="00D520D0">
        <w:t xml:space="preserve">During </w:t>
      </w:r>
      <w:r w:rsidR="00473E6F" w:rsidRPr="00D520D0">
        <w:t>2019, the property</w:t>
      </w:r>
      <w:r w:rsidR="002657EE" w:rsidRPr="00D520D0">
        <w:t xml:space="preserve"> (unit 37A)</w:t>
      </w:r>
      <w:r w:rsidR="00473E6F" w:rsidRPr="00D520D0">
        <w:t xml:space="preserve"> was sold to the applicants, which they took possession of in August 2019. </w:t>
      </w:r>
      <w:r w:rsidR="002657EE" w:rsidRPr="00D520D0">
        <w:t>It</w:t>
      </w:r>
      <w:r w:rsidR="00473E6F" w:rsidRPr="00D520D0">
        <w:t xml:space="preserve"> appears that </w:t>
      </w:r>
      <w:r w:rsidR="002657EE" w:rsidRPr="00D520D0">
        <w:t xml:space="preserve">unit </w:t>
      </w:r>
      <w:r w:rsidR="00473E6F" w:rsidRPr="00D520D0">
        <w:t>37B is being occupied by third parties, who have not been joined to these proceedings, and despite the separation of the</w:t>
      </w:r>
      <w:r w:rsidR="002657EE" w:rsidRPr="00D520D0">
        <w:t xml:space="preserve"> units</w:t>
      </w:r>
      <w:r w:rsidR="00473E6F" w:rsidRPr="00D520D0">
        <w:t xml:space="preserve"> 37A and 37B, it is alleged</w:t>
      </w:r>
      <w:r w:rsidR="002657EE" w:rsidRPr="00D520D0">
        <w:t xml:space="preserve"> by the applicants</w:t>
      </w:r>
      <w:r w:rsidR="00473E6F" w:rsidRPr="00D520D0">
        <w:t xml:space="preserve"> that charges on the rates and taxes account have not been se</w:t>
      </w:r>
      <w:r w:rsidR="002657EE" w:rsidRPr="00D520D0">
        <w:t>parated by the City of Windhoek, resulting in the aforesaid account being availed to both units and charges being credited to the aforesaid account for both units.</w:t>
      </w:r>
    </w:p>
    <w:p w14:paraId="4B35B56B" w14:textId="77777777" w:rsidR="00D268E2" w:rsidRPr="00114D91" w:rsidRDefault="00D268E2" w:rsidP="00D268E2">
      <w:pPr>
        <w:pStyle w:val="ListParagraph"/>
        <w:rPr>
          <w:rFonts w:cs="Arial"/>
          <w:lang w:val="en-ZA"/>
        </w:rPr>
      </w:pPr>
    </w:p>
    <w:p w14:paraId="7A5F7F1B" w14:textId="0DD40351" w:rsidR="00473E6F" w:rsidRPr="00D520D0" w:rsidRDefault="00D520D0" w:rsidP="00D520D0">
      <w:r w:rsidRPr="00114D91">
        <w:rPr>
          <w:spacing w:val="0"/>
          <w:szCs w:val="22"/>
        </w:rPr>
        <w:t>[9]</w:t>
      </w:r>
      <w:r w:rsidRPr="00114D91">
        <w:rPr>
          <w:spacing w:val="0"/>
          <w:szCs w:val="22"/>
        </w:rPr>
        <w:tab/>
      </w:r>
      <w:r w:rsidR="00473E6F" w:rsidRPr="00D520D0">
        <w:t>It is</w:t>
      </w:r>
      <w:r w:rsidR="00535DE8" w:rsidRPr="00D520D0">
        <w:t xml:space="preserve"> </w:t>
      </w:r>
      <w:r w:rsidR="00473E6F" w:rsidRPr="00D520D0">
        <w:t xml:space="preserve">the applicants’ case that because their rates and taxes are charged </w:t>
      </w:r>
      <w:r w:rsidR="00473E6F" w:rsidRPr="00D520D0">
        <w:lastRenderedPageBreak/>
        <w:t>together with</w:t>
      </w:r>
      <w:r w:rsidR="00D268E2" w:rsidRPr="00D520D0">
        <w:t xml:space="preserve"> that of</w:t>
      </w:r>
      <w:r w:rsidR="00473E6F" w:rsidRPr="00D520D0">
        <w:t xml:space="preserve"> their </w:t>
      </w:r>
      <w:proofErr w:type="gramStart"/>
      <w:r w:rsidR="00114D91" w:rsidRPr="00D520D0">
        <w:t>neighbours’</w:t>
      </w:r>
      <w:proofErr w:type="gramEnd"/>
      <w:r w:rsidR="00473E6F" w:rsidRPr="00D520D0">
        <w:t xml:space="preserve"> of</w:t>
      </w:r>
      <w:r w:rsidR="00D268E2" w:rsidRPr="00D520D0">
        <w:t xml:space="preserve"> unit</w:t>
      </w:r>
      <w:r w:rsidR="00473E6F" w:rsidRPr="00D520D0">
        <w:t xml:space="preserve"> 37B, the amounts </w:t>
      </w:r>
      <w:r w:rsidR="00D268E2" w:rsidRPr="00D520D0">
        <w:t xml:space="preserve">so </w:t>
      </w:r>
      <w:r w:rsidR="00473E6F" w:rsidRPr="00D520D0">
        <w:t>charged</w:t>
      </w:r>
      <w:r w:rsidR="00D268E2" w:rsidRPr="00D520D0">
        <w:t xml:space="preserve"> for the applicants</w:t>
      </w:r>
      <w:r w:rsidR="00473E6F" w:rsidRPr="00D520D0">
        <w:t xml:space="preserve"> are unascertainable and until the separation is made and</w:t>
      </w:r>
      <w:r w:rsidR="00D268E2" w:rsidRPr="00D520D0">
        <w:t xml:space="preserve"> </w:t>
      </w:r>
      <w:r w:rsidR="00473E6F" w:rsidRPr="00D520D0">
        <w:t>the applicants can ascertain their rates and taxes as per their property, they cannot make payment thereon.</w:t>
      </w:r>
    </w:p>
    <w:p w14:paraId="3C9C298B" w14:textId="77777777" w:rsidR="00473E6F" w:rsidRPr="00114D91" w:rsidRDefault="00473E6F" w:rsidP="00473E6F">
      <w:pPr>
        <w:pStyle w:val="ListParagraph"/>
        <w:rPr>
          <w:rFonts w:cs="Arial"/>
          <w:lang w:val="en-ZA"/>
        </w:rPr>
      </w:pPr>
    </w:p>
    <w:p w14:paraId="4DF2815A" w14:textId="6279964E" w:rsidR="00473E6F" w:rsidRPr="00D520D0" w:rsidRDefault="00D520D0" w:rsidP="00D520D0">
      <w:r w:rsidRPr="00114D91">
        <w:rPr>
          <w:spacing w:val="0"/>
          <w:szCs w:val="22"/>
        </w:rPr>
        <w:t>[10]</w:t>
      </w:r>
      <w:r w:rsidRPr="00114D91">
        <w:rPr>
          <w:spacing w:val="0"/>
          <w:szCs w:val="22"/>
        </w:rPr>
        <w:tab/>
      </w:r>
      <w:r w:rsidR="00473E6F" w:rsidRPr="00D520D0">
        <w:t xml:space="preserve">What gave rise to the </w:t>
      </w:r>
      <w:r w:rsidR="00535DE8" w:rsidRPr="00D520D0">
        <w:t>urgent</w:t>
      </w:r>
      <w:r w:rsidR="00473E6F" w:rsidRPr="00D520D0">
        <w:t xml:space="preserve"> proceeding</w:t>
      </w:r>
      <w:r w:rsidR="00535DE8" w:rsidRPr="00D520D0">
        <w:t>s</w:t>
      </w:r>
      <w:r w:rsidR="00D712B7" w:rsidRPr="00D520D0">
        <w:t>,</w:t>
      </w:r>
      <w:r w:rsidR="00473E6F" w:rsidRPr="00D520D0">
        <w:t xml:space="preserve"> is that on 3 August 2023, Mrs </w:t>
      </w:r>
      <w:proofErr w:type="spellStart"/>
      <w:r w:rsidR="00473E6F" w:rsidRPr="00D520D0">
        <w:t>Hawanga</w:t>
      </w:r>
      <w:proofErr w:type="spellEnd"/>
      <w:r w:rsidR="00473E6F" w:rsidRPr="00D520D0">
        <w:t xml:space="preserve"> </w:t>
      </w:r>
      <w:r w:rsidR="009254C5" w:rsidRPr="00D520D0">
        <w:t>allegedly</w:t>
      </w:r>
      <w:r w:rsidR="00473E6F" w:rsidRPr="00D520D0">
        <w:t xml:space="preserve"> awoke to the electricity and water supply to the property being cut off by the City of Windhoek, which appears to be a regular occurrence since 2021. Mrs </w:t>
      </w:r>
      <w:proofErr w:type="spellStart"/>
      <w:r w:rsidR="00473E6F" w:rsidRPr="00D520D0">
        <w:t>Hawanga</w:t>
      </w:r>
      <w:proofErr w:type="spellEnd"/>
      <w:r w:rsidR="00473E6F" w:rsidRPr="00D520D0">
        <w:t xml:space="preserve"> stated that </w:t>
      </w:r>
      <w:r w:rsidR="009254C5" w:rsidRPr="00D520D0">
        <w:t>during</w:t>
      </w:r>
      <w:r w:rsidR="00473E6F" w:rsidRPr="00D520D0">
        <w:t xml:space="preserve"> 2021 she received a statement of account from the City of Windhoek wherein it reflected that there is an arrears amou</w:t>
      </w:r>
      <w:r w:rsidR="00D712B7" w:rsidRPr="00D520D0">
        <w:t>nt on the rates and taxes account in the sum</w:t>
      </w:r>
      <w:r w:rsidR="00473E6F" w:rsidRPr="00D520D0">
        <w:t xml:space="preserve"> of N$170 000, and by November 2022 the amount had</w:t>
      </w:r>
      <w:r w:rsidR="00D268E2" w:rsidRPr="00D520D0">
        <w:t xml:space="preserve"> apparently</w:t>
      </w:r>
      <w:r w:rsidR="00473E6F" w:rsidRPr="00D520D0">
        <w:t xml:space="preserve"> incr</w:t>
      </w:r>
      <w:r w:rsidR="00D268E2" w:rsidRPr="00D520D0">
        <w:t>eased to N$183 087,85</w:t>
      </w:r>
      <w:r w:rsidR="00473E6F" w:rsidRPr="00D520D0">
        <w:t xml:space="preserve">, which had been backdated to a period prior to the purchase of the property in 2019. According to Mrs </w:t>
      </w:r>
      <w:proofErr w:type="spellStart"/>
      <w:r w:rsidR="00473E6F" w:rsidRPr="00D520D0">
        <w:t>Hawanga</w:t>
      </w:r>
      <w:proofErr w:type="spellEnd"/>
      <w:r w:rsidR="00473E6F" w:rsidRPr="00D520D0">
        <w:t>, the apparent arrears amount also included the rates and taxes of unit 37B.</w:t>
      </w:r>
    </w:p>
    <w:p w14:paraId="6B593AF3" w14:textId="77777777" w:rsidR="00473E6F" w:rsidRPr="00114D91" w:rsidRDefault="00473E6F" w:rsidP="00473E6F">
      <w:pPr>
        <w:pStyle w:val="ListParagraph"/>
        <w:rPr>
          <w:rFonts w:cs="Arial"/>
          <w:lang w:val="en-ZA"/>
        </w:rPr>
      </w:pPr>
    </w:p>
    <w:p w14:paraId="593773A3" w14:textId="25774B09" w:rsidR="00473E6F" w:rsidRPr="00D520D0" w:rsidRDefault="00D520D0" w:rsidP="00D520D0">
      <w:r w:rsidRPr="00114D91">
        <w:rPr>
          <w:spacing w:val="0"/>
          <w:szCs w:val="22"/>
        </w:rPr>
        <w:t>[11]</w:t>
      </w:r>
      <w:r w:rsidRPr="00114D91">
        <w:rPr>
          <w:spacing w:val="0"/>
          <w:szCs w:val="22"/>
        </w:rPr>
        <w:tab/>
      </w:r>
      <w:r w:rsidR="00473E6F" w:rsidRPr="00D520D0">
        <w:t>She requested a rectification and recalculation of the rates and taxes before she made any payment arrangements as she could not agree to make payments on ‘incorrect’ amounts</w:t>
      </w:r>
      <w:r w:rsidR="00D712B7" w:rsidRPr="00D520D0">
        <w:t xml:space="preserve">. The reason for this is because Mrs </w:t>
      </w:r>
      <w:proofErr w:type="spellStart"/>
      <w:r w:rsidR="00D712B7" w:rsidRPr="00D520D0">
        <w:t>Hawanga</w:t>
      </w:r>
      <w:proofErr w:type="spellEnd"/>
      <w:r w:rsidR="00535DE8" w:rsidRPr="00D520D0">
        <w:t xml:space="preserve"> </w:t>
      </w:r>
      <w:r w:rsidR="00473E6F" w:rsidRPr="00D520D0">
        <w:t>had been making payment</w:t>
      </w:r>
      <w:r w:rsidR="00535DE8" w:rsidRPr="00D520D0">
        <w:t>s</w:t>
      </w:r>
      <w:r w:rsidR="00473E6F" w:rsidRPr="00D520D0">
        <w:t xml:space="preserve"> on the rates and taxes account and these payments were apparently not reflected on the statement issued by the City of Windhoek.</w:t>
      </w:r>
      <w:r w:rsidR="00D268E2" w:rsidRPr="00D520D0">
        <w:t xml:space="preserve"> I hasten to add that the applicants ma</w:t>
      </w:r>
      <w:r w:rsidR="00535DE8" w:rsidRPr="00D520D0">
        <w:t>de</w:t>
      </w:r>
      <w:r w:rsidR="00D268E2" w:rsidRPr="00D520D0">
        <w:t xml:space="preserve"> it categorically clear that they have no intention to evade their payment obligations, but merely that they w</w:t>
      </w:r>
      <w:r w:rsidR="00535DE8" w:rsidRPr="00D520D0">
        <w:t xml:space="preserve">ould </w:t>
      </w:r>
      <w:r w:rsidR="00D268E2" w:rsidRPr="00D520D0">
        <w:t>make payment as soon as they are able to ascertain their portion to be paid on the rates and taxes account.</w:t>
      </w:r>
    </w:p>
    <w:p w14:paraId="3F5C1BB1" w14:textId="77777777" w:rsidR="00473E6F" w:rsidRPr="00114D91" w:rsidRDefault="00473E6F" w:rsidP="00473E6F">
      <w:pPr>
        <w:pStyle w:val="ListParagraph"/>
        <w:rPr>
          <w:rFonts w:cs="Arial"/>
          <w:lang w:val="en-ZA"/>
        </w:rPr>
      </w:pPr>
    </w:p>
    <w:p w14:paraId="6F0FA06A" w14:textId="64E40007" w:rsidR="00D268E2" w:rsidRPr="00D520D0" w:rsidRDefault="00D520D0" w:rsidP="00D520D0">
      <w:r w:rsidRPr="00114D91">
        <w:rPr>
          <w:spacing w:val="0"/>
          <w:szCs w:val="22"/>
        </w:rPr>
        <w:t>[12]</w:t>
      </w:r>
      <w:r w:rsidRPr="00114D91">
        <w:rPr>
          <w:spacing w:val="0"/>
          <w:szCs w:val="22"/>
        </w:rPr>
        <w:tab/>
      </w:r>
      <w:r w:rsidR="00D268E2" w:rsidRPr="00D520D0">
        <w:t>It was</w:t>
      </w:r>
      <w:r w:rsidR="00473E6F" w:rsidRPr="00D520D0">
        <w:t xml:space="preserve"> intimated by Mrs </w:t>
      </w:r>
      <w:proofErr w:type="spellStart"/>
      <w:r w:rsidR="00473E6F" w:rsidRPr="00D520D0">
        <w:t>Hawanga</w:t>
      </w:r>
      <w:proofErr w:type="spellEnd"/>
      <w:r w:rsidR="00473E6F" w:rsidRPr="00D520D0">
        <w:t xml:space="preserve"> that since January 2022, she has corresponded with the City of Windhoek to ad</w:t>
      </w:r>
      <w:r w:rsidR="00D268E2" w:rsidRPr="00D520D0">
        <w:t>dress this issue to no avail</w:t>
      </w:r>
      <w:r w:rsidR="00473E6F" w:rsidRPr="00D520D0">
        <w:t>, but she remains steadfast that the arrear rates and taxes account does not reflect the correct balance, which is currently</w:t>
      </w:r>
      <w:r w:rsidR="00D268E2" w:rsidRPr="00D520D0">
        <w:t xml:space="preserve"> at the balance of N$66 207,53.</w:t>
      </w:r>
    </w:p>
    <w:p w14:paraId="5B20CBA8" w14:textId="77777777" w:rsidR="00D268E2" w:rsidRPr="00114D91" w:rsidRDefault="00D268E2" w:rsidP="00D268E2">
      <w:pPr>
        <w:pStyle w:val="ListParagraph"/>
        <w:rPr>
          <w:rFonts w:cs="Arial"/>
          <w:lang w:val="en-ZA"/>
        </w:rPr>
      </w:pPr>
    </w:p>
    <w:p w14:paraId="4B9F2938" w14:textId="2EAA8F75" w:rsidR="00473E6F" w:rsidRPr="00D520D0" w:rsidRDefault="00D520D0" w:rsidP="00D520D0">
      <w:r w:rsidRPr="00114D91">
        <w:rPr>
          <w:spacing w:val="0"/>
          <w:szCs w:val="22"/>
        </w:rPr>
        <w:t>[13]</w:t>
      </w:r>
      <w:r w:rsidRPr="00114D91">
        <w:rPr>
          <w:spacing w:val="0"/>
          <w:szCs w:val="22"/>
        </w:rPr>
        <w:tab/>
      </w:r>
      <w:r w:rsidR="00473E6F" w:rsidRPr="00D520D0">
        <w:t xml:space="preserve">Notwithstanding the applicants’ payments, it was Mrs </w:t>
      </w:r>
      <w:proofErr w:type="spellStart"/>
      <w:r w:rsidR="00473E6F" w:rsidRPr="00D520D0">
        <w:t>Hawanga’s</w:t>
      </w:r>
      <w:proofErr w:type="spellEnd"/>
      <w:r w:rsidR="00473E6F" w:rsidRPr="00D520D0">
        <w:t xml:space="preserve"> </w:t>
      </w:r>
      <w:r w:rsidR="00473E6F" w:rsidRPr="00D520D0">
        <w:lastRenderedPageBreak/>
        <w:t>evidence that given that the rates and taxes account of the two units are not separated and given that her neighbours at unit 37B apparently do not make any payment consistently, the unpaid amounts</w:t>
      </w:r>
      <w:r w:rsidR="00535DE8" w:rsidRPr="00D520D0">
        <w:t xml:space="preserve"> reflected</w:t>
      </w:r>
      <w:r w:rsidR="00473E6F" w:rsidRPr="00D520D0">
        <w:t xml:space="preserve"> on the rates and taxes account are exorbitant. She stated that this prejudices the applicants as they are unable to ascertain their portion of the moneys owing to the City of Windhoek, who fails to take any action to rectify the same</w:t>
      </w:r>
      <w:r w:rsidR="009254C5" w:rsidRPr="00D520D0">
        <w:t>,</w:t>
      </w:r>
      <w:r w:rsidR="00473E6F" w:rsidRPr="00D520D0">
        <w:t xml:space="preserve"> save for </w:t>
      </w:r>
      <w:r w:rsidR="00D712B7" w:rsidRPr="00D520D0">
        <w:t>regularly</w:t>
      </w:r>
      <w:r w:rsidR="00473E6F" w:rsidRPr="00D520D0">
        <w:t xml:space="preserve"> disconnecting the applicants’ water and electricity supply at the property.</w:t>
      </w:r>
    </w:p>
    <w:p w14:paraId="33FD33F8" w14:textId="77777777" w:rsidR="00473E6F" w:rsidRPr="00114D91" w:rsidRDefault="00473E6F" w:rsidP="00473E6F">
      <w:pPr>
        <w:pStyle w:val="ListParagraph"/>
        <w:rPr>
          <w:rFonts w:cs="Arial"/>
          <w:lang w:val="en-ZA"/>
        </w:rPr>
      </w:pPr>
    </w:p>
    <w:p w14:paraId="333C8749" w14:textId="2AD07B54" w:rsidR="00473E6F" w:rsidRPr="00D520D0" w:rsidRDefault="00D520D0" w:rsidP="00D520D0">
      <w:r w:rsidRPr="00D712B7">
        <w:rPr>
          <w:spacing w:val="0"/>
          <w:szCs w:val="22"/>
        </w:rPr>
        <w:t>[14]</w:t>
      </w:r>
      <w:r w:rsidRPr="00D712B7">
        <w:rPr>
          <w:spacing w:val="0"/>
          <w:szCs w:val="22"/>
        </w:rPr>
        <w:tab/>
      </w:r>
      <w:r w:rsidR="00473E6F" w:rsidRPr="00D520D0">
        <w:t xml:space="preserve">I pause here to </w:t>
      </w:r>
      <w:r w:rsidR="00D712B7" w:rsidRPr="00D520D0">
        <w:t>observe</w:t>
      </w:r>
      <w:r w:rsidR="00473E6F" w:rsidRPr="00D520D0">
        <w:t xml:space="preserve"> that Mrs </w:t>
      </w:r>
      <w:proofErr w:type="spellStart"/>
      <w:r w:rsidR="00473E6F" w:rsidRPr="00D520D0">
        <w:t>Hawanga</w:t>
      </w:r>
      <w:proofErr w:type="spellEnd"/>
      <w:r w:rsidR="00473E6F" w:rsidRPr="00D520D0">
        <w:t xml:space="preserve"> made bold assertions regarding her neighbours’ apparent failure to make payment on the rates and taxes account without firstly,</w:t>
      </w:r>
      <w:r w:rsidR="00535DE8" w:rsidRPr="00D520D0">
        <w:t xml:space="preserve"> providing </w:t>
      </w:r>
      <w:r w:rsidR="00473E6F" w:rsidRPr="00D520D0">
        <w:t xml:space="preserve">the neighbours an opportunity to be granted </w:t>
      </w:r>
      <w:proofErr w:type="spellStart"/>
      <w:r w:rsidR="00473E6F" w:rsidRPr="00D520D0">
        <w:rPr>
          <w:iCs/>
        </w:rPr>
        <w:t>audi</w:t>
      </w:r>
      <w:proofErr w:type="spellEnd"/>
      <w:r w:rsidR="007239E7" w:rsidRPr="00D520D0">
        <w:t xml:space="preserve"> having failed to </w:t>
      </w:r>
      <w:r w:rsidR="00473E6F" w:rsidRPr="00D520D0">
        <w:t>join them to these proceedings and, secondly, failing to provide this court with any evidence to that effect. I say no further on this point.</w:t>
      </w:r>
    </w:p>
    <w:p w14:paraId="557C5EED" w14:textId="77777777" w:rsidR="00D268E2" w:rsidRPr="00114D91" w:rsidRDefault="00D268E2" w:rsidP="00D268E2">
      <w:pPr>
        <w:pStyle w:val="ListParagraph"/>
        <w:rPr>
          <w:rFonts w:cs="Arial"/>
          <w:lang w:val="en-ZA"/>
        </w:rPr>
      </w:pPr>
    </w:p>
    <w:p w14:paraId="5E7C90C4" w14:textId="44F4F6FE" w:rsidR="00D712B7" w:rsidRPr="00D520D0" w:rsidRDefault="00D520D0" w:rsidP="00D520D0">
      <w:r w:rsidRPr="008753F7">
        <w:rPr>
          <w:spacing w:val="0"/>
          <w:szCs w:val="22"/>
        </w:rPr>
        <w:t>[15]</w:t>
      </w:r>
      <w:r w:rsidRPr="008753F7">
        <w:rPr>
          <w:spacing w:val="0"/>
          <w:szCs w:val="22"/>
        </w:rPr>
        <w:tab/>
      </w:r>
      <w:r w:rsidR="00535DE8" w:rsidRPr="00D520D0">
        <w:t xml:space="preserve">The City of Windhoek delivered answering papers, and the applicants </w:t>
      </w:r>
      <w:r w:rsidR="008753F7" w:rsidRPr="00D520D0">
        <w:t xml:space="preserve">replying papers. The applicants take the point in </w:t>
      </w:r>
      <w:proofErr w:type="spellStart"/>
      <w:r w:rsidR="008753F7" w:rsidRPr="00D520D0">
        <w:t>limine</w:t>
      </w:r>
      <w:proofErr w:type="spellEnd"/>
      <w:r w:rsidR="008753F7" w:rsidRPr="00D520D0">
        <w:t xml:space="preserve"> that </w:t>
      </w:r>
      <w:r w:rsidR="00D712B7" w:rsidRPr="00D520D0">
        <w:t>the deponent on behalf of the City of Windhoek</w:t>
      </w:r>
      <w:r w:rsidR="009254C5" w:rsidRPr="00D520D0">
        <w:t>,</w:t>
      </w:r>
      <w:r w:rsidR="00D712B7" w:rsidRPr="00D520D0">
        <w:t xml:space="preserve"> </w:t>
      </w:r>
      <w:r w:rsidR="008753F7" w:rsidRPr="00D520D0">
        <w:t>does not have t</w:t>
      </w:r>
      <w:r w:rsidR="00D712B7" w:rsidRPr="00D520D0">
        <w:t>he necessary authority to oppose the applicants’ relief</w:t>
      </w:r>
      <w:r w:rsidR="008753F7" w:rsidRPr="00D520D0">
        <w:t xml:space="preserve">. I deal with this point in </w:t>
      </w:r>
      <w:proofErr w:type="spellStart"/>
      <w:r w:rsidR="008753F7" w:rsidRPr="00D520D0">
        <w:t>limine</w:t>
      </w:r>
      <w:proofErr w:type="spellEnd"/>
      <w:r w:rsidR="008753F7" w:rsidRPr="00D520D0">
        <w:t>.</w:t>
      </w:r>
    </w:p>
    <w:p w14:paraId="6B56CEDB" w14:textId="77777777" w:rsidR="008B5A99" w:rsidRPr="00114D91" w:rsidRDefault="008B5A99" w:rsidP="008B5A99">
      <w:pPr>
        <w:pStyle w:val="ListParagraph"/>
        <w:ind w:left="0"/>
        <w:rPr>
          <w:rFonts w:cs="Arial"/>
          <w:lang w:val="en-ZA"/>
        </w:rPr>
      </w:pPr>
    </w:p>
    <w:p w14:paraId="6D0D5CF3" w14:textId="0F1EF7D6" w:rsidR="00473E6F" w:rsidRPr="00D520D0" w:rsidRDefault="00D520D0" w:rsidP="00D520D0">
      <w:r w:rsidRPr="00114D91">
        <w:rPr>
          <w:spacing w:val="0"/>
          <w:szCs w:val="22"/>
        </w:rPr>
        <w:t>[16]</w:t>
      </w:r>
      <w:r w:rsidRPr="00114D91">
        <w:rPr>
          <w:spacing w:val="0"/>
          <w:szCs w:val="22"/>
        </w:rPr>
        <w:tab/>
      </w:r>
      <w:r w:rsidR="008B5A99" w:rsidRPr="00D520D0">
        <w:t>The answering affidavit by the City of Windhoek was deposed to</w:t>
      </w:r>
      <w:r w:rsidR="00336B37" w:rsidRPr="00D520D0">
        <w:t xml:space="preserve"> at length</w:t>
      </w:r>
      <w:r w:rsidR="008B5A99" w:rsidRPr="00D520D0">
        <w:t xml:space="preserve"> by its purported</w:t>
      </w:r>
      <w:r w:rsidR="00473E6F" w:rsidRPr="00D520D0">
        <w:t xml:space="preserve"> acting Chief Executive</w:t>
      </w:r>
      <w:r w:rsidR="008B5A99" w:rsidRPr="00D520D0">
        <w:t xml:space="preserve"> Officer</w:t>
      </w:r>
      <w:r w:rsidR="00473E6F" w:rsidRPr="00D520D0">
        <w:t xml:space="preserve">, Mr Faniel </w:t>
      </w:r>
      <w:proofErr w:type="spellStart"/>
      <w:r w:rsidR="00473E6F" w:rsidRPr="00D520D0">
        <w:t>Ilukena</w:t>
      </w:r>
      <w:proofErr w:type="spellEnd"/>
      <w:r w:rsidR="00473E6F" w:rsidRPr="00D520D0">
        <w:t xml:space="preserve"> </w:t>
      </w:r>
      <w:r w:rsidR="008B5A99" w:rsidRPr="00D520D0">
        <w:t xml:space="preserve">Maanda. </w:t>
      </w:r>
      <w:r w:rsidR="00473E6F" w:rsidRPr="00D520D0">
        <w:t>As regards his authority to oppose the applicants’</w:t>
      </w:r>
      <w:r w:rsidR="00D712B7" w:rsidRPr="00D520D0">
        <w:t xml:space="preserve"> relief</w:t>
      </w:r>
      <w:r w:rsidR="008B5A99" w:rsidRPr="00D520D0">
        <w:t>, Mr Maanda</w:t>
      </w:r>
      <w:r w:rsidR="00473E6F" w:rsidRPr="00D520D0">
        <w:t xml:space="preserve"> stated that he was appointed as the acting Chief Executive Officer of the City of Windhoek under s 27(1)(</w:t>
      </w:r>
      <w:r w:rsidR="00473E6F" w:rsidRPr="00D520D0">
        <w:rPr>
          <w:i/>
        </w:rPr>
        <w:t>a</w:t>
      </w:r>
      <w:r w:rsidR="00473E6F" w:rsidRPr="00D520D0">
        <w:t>)(</w:t>
      </w:r>
      <w:proofErr w:type="spellStart"/>
      <w:r w:rsidR="00473E6F" w:rsidRPr="00D520D0">
        <w:t>i</w:t>
      </w:r>
      <w:proofErr w:type="spellEnd"/>
      <w:r w:rsidR="00473E6F" w:rsidRPr="00D520D0">
        <w:t>) of the Local Authorities Act 23 of 1992 and, further, stated that</w:t>
      </w:r>
      <w:r w:rsidR="00D712B7" w:rsidRPr="00D520D0">
        <w:t xml:space="preserve"> he deposed to the affidavit, seemingly, by virtue of his aforesaid appointment. </w:t>
      </w:r>
      <w:r w:rsidR="00473E6F" w:rsidRPr="00D520D0">
        <w:t xml:space="preserve">No further allegations were made in respect of his </w:t>
      </w:r>
      <w:r w:rsidR="008753F7" w:rsidRPr="00D520D0">
        <w:t xml:space="preserve">authority to depose to the affidavit, or, more importantly, his </w:t>
      </w:r>
      <w:r w:rsidR="00473E6F" w:rsidRPr="00D520D0">
        <w:t>authori</w:t>
      </w:r>
      <w:r w:rsidR="00336B37" w:rsidRPr="00D520D0">
        <w:t>ty</w:t>
      </w:r>
      <w:r w:rsidR="00473E6F" w:rsidRPr="00D520D0">
        <w:t xml:space="preserve"> to oppose the </w:t>
      </w:r>
      <w:r w:rsidR="00336B37" w:rsidRPr="00D520D0">
        <w:t>relief sought</w:t>
      </w:r>
      <w:r w:rsidR="008753F7" w:rsidRPr="00D520D0">
        <w:t xml:space="preserve"> on behalf of the City of Windhoek</w:t>
      </w:r>
      <w:r w:rsidR="00336B37" w:rsidRPr="00D520D0">
        <w:t>.</w:t>
      </w:r>
    </w:p>
    <w:p w14:paraId="34B3D655" w14:textId="77777777" w:rsidR="00473E6F" w:rsidRPr="00114D91" w:rsidRDefault="00473E6F" w:rsidP="00473E6F">
      <w:pPr>
        <w:pStyle w:val="ListParagraph"/>
        <w:rPr>
          <w:rFonts w:cs="Arial"/>
          <w:lang w:val="en-ZA"/>
        </w:rPr>
      </w:pPr>
    </w:p>
    <w:p w14:paraId="72323EB0" w14:textId="5CC4EF24" w:rsidR="00473E6F" w:rsidRPr="00D520D0" w:rsidRDefault="00D520D0" w:rsidP="00D520D0">
      <w:r w:rsidRPr="00114D91">
        <w:rPr>
          <w:spacing w:val="0"/>
          <w:szCs w:val="22"/>
        </w:rPr>
        <w:t>[17]</w:t>
      </w:r>
      <w:r w:rsidRPr="00114D91">
        <w:rPr>
          <w:spacing w:val="0"/>
          <w:szCs w:val="22"/>
        </w:rPr>
        <w:tab/>
      </w:r>
      <w:r w:rsidR="00473E6F" w:rsidRPr="00D520D0">
        <w:t xml:space="preserve">In reply, </w:t>
      </w:r>
      <w:r w:rsidR="00437297" w:rsidRPr="00D520D0">
        <w:t>the applicants</w:t>
      </w:r>
      <w:r w:rsidR="00473E6F" w:rsidRPr="00D520D0">
        <w:t xml:space="preserve"> took issue that Mr Maanda did not have the necessary authority to oppose the </w:t>
      </w:r>
      <w:r w:rsidR="008B5A99" w:rsidRPr="00D520D0">
        <w:t xml:space="preserve">relief sought by the applicants and </w:t>
      </w:r>
      <w:r w:rsidR="00D712B7" w:rsidRPr="00D520D0">
        <w:t xml:space="preserve">it was </w:t>
      </w:r>
      <w:r w:rsidR="00D712B7" w:rsidRPr="00D520D0">
        <w:lastRenderedPageBreak/>
        <w:t xml:space="preserve">contended </w:t>
      </w:r>
      <w:r w:rsidR="008B5A99" w:rsidRPr="00D520D0">
        <w:t>that he failed to make the necessary averments to establish authority and to provide proof thereof.</w:t>
      </w:r>
    </w:p>
    <w:p w14:paraId="0C9BCE8A" w14:textId="77777777" w:rsidR="00473E6F" w:rsidRPr="00114D91" w:rsidRDefault="00473E6F" w:rsidP="00473E6F">
      <w:pPr>
        <w:pStyle w:val="ListParagraph"/>
        <w:rPr>
          <w:rFonts w:cs="Arial"/>
          <w:lang w:val="en-ZA"/>
        </w:rPr>
      </w:pPr>
    </w:p>
    <w:p w14:paraId="504F4D7D" w14:textId="1B3E104A" w:rsidR="00473E6F" w:rsidRPr="00D520D0" w:rsidRDefault="00D520D0" w:rsidP="00D520D0">
      <w:r w:rsidRPr="00114D91">
        <w:rPr>
          <w:spacing w:val="0"/>
          <w:szCs w:val="22"/>
        </w:rPr>
        <w:t>[18]</w:t>
      </w:r>
      <w:r w:rsidRPr="00114D91">
        <w:rPr>
          <w:spacing w:val="0"/>
          <w:szCs w:val="22"/>
        </w:rPr>
        <w:tab/>
      </w:r>
      <w:r w:rsidR="00473E6F" w:rsidRPr="00D520D0">
        <w:t xml:space="preserve">Ms </w:t>
      </w:r>
      <w:proofErr w:type="spellStart"/>
      <w:r w:rsidR="00473E6F" w:rsidRPr="00D520D0">
        <w:t>Kahengombe</w:t>
      </w:r>
      <w:proofErr w:type="spellEnd"/>
      <w:r w:rsidR="00473E6F" w:rsidRPr="00D520D0">
        <w:t xml:space="preserve">, appearing for the City of Windhoek, argued that </w:t>
      </w:r>
      <w:r w:rsidR="008753F7" w:rsidRPr="00D520D0">
        <w:t>the deponent</w:t>
      </w:r>
      <w:r w:rsidR="00473E6F" w:rsidRPr="00D520D0">
        <w:t xml:space="preserve"> does not </w:t>
      </w:r>
      <w:r w:rsidR="008753F7" w:rsidRPr="00D520D0">
        <w:t>require</w:t>
      </w:r>
      <w:r w:rsidR="00473E6F" w:rsidRPr="00D520D0">
        <w:t xml:space="preserve"> authority to depose to an affidavit</w:t>
      </w:r>
      <w:r w:rsidR="008753F7" w:rsidRPr="00D520D0">
        <w:t xml:space="preserve"> due to his position as CEO</w:t>
      </w:r>
      <w:r w:rsidR="00473E6F" w:rsidRPr="00D520D0">
        <w:t xml:space="preserve">. </w:t>
      </w:r>
      <w:r w:rsidR="008753F7" w:rsidRPr="00D520D0">
        <w:t xml:space="preserve">She </w:t>
      </w:r>
      <w:r w:rsidR="00336B37" w:rsidRPr="00D520D0">
        <w:t>further</w:t>
      </w:r>
      <w:r w:rsidR="008753F7" w:rsidRPr="00D520D0">
        <w:t xml:space="preserve"> </w:t>
      </w:r>
      <w:r w:rsidR="008B5A99" w:rsidRPr="00D520D0">
        <w:t xml:space="preserve">advanced an argument that authority is established by the mere fact that she – the City of Windhoek’s legal practitioner – entered an appearance on </w:t>
      </w:r>
      <w:r w:rsidR="00246959" w:rsidRPr="00D520D0">
        <w:t xml:space="preserve">its </w:t>
      </w:r>
      <w:r w:rsidR="008B5A99" w:rsidRPr="00D520D0">
        <w:t>behalf.</w:t>
      </w:r>
      <w:r w:rsidR="008753F7" w:rsidRPr="00D520D0">
        <w:t xml:space="preserve"> No authority was cited to this court for the </w:t>
      </w:r>
      <w:proofErr w:type="gramStart"/>
      <w:r w:rsidR="008753F7" w:rsidRPr="00D520D0">
        <w:t>aforementioned proposition</w:t>
      </w:r>
      <w:proofErr w:type="gramEnd"/>
      <w:r w:rsidR="008753F7" w:rsidRPr="00D520D0">
        <w:t>.</w:t>
      </w:r>
    </w:p>
    <w:p w14:paraId="0D5C8795" w14:textId="77777777" w:rsidR="00473E6F" w:rsidRPr="00114D91" w:rsidRDefault="00473E6F" w:rsidP="00473E6F">
      <w:pPr>
        <w:pStyle w:val="ListParagraph"/>
        <w:rPr>
          <w:rFonts w:cs="Arial"/>
          <w:lang w:val="en-ZA"/>
        </w:rPr>
      </w:pPr>
    </w:p>
    <w:p w14:paraId="31CA2A6F" w14:textId="5C734531" w:rsidR="00473E6F" w:rsidRPr="00D520D0" w:rsidRDefault="00D520D0" w:rsidP="00D520D0">
      <w:r w:rsidRPr="00114D91">
        <w:rPr>
          <w:spacing w:val="0"/>
          <w:szCs w:val="22"/>
        </w:rPr>
        <w:t>[19]</w:t>
      </w:r>
      <w:r w:rsidRPr="00114D91">
        <w:rPr>
          <w:spacing w:val="0"/>
          <w:szCs w:val="22"/>
        </w:rPr>
        <w:tab/>
      </w:r>
      <w:r w:rsidR="00473E6F" w:rsidRPr="00D520D0">
        <w:t>The issue of authority has been tried and test</w:t>
      </w:r>
      <w:r w:rsidR="008B5A99" w:rsidRPr="00D520D0">
        <w:t>ed</w:t>
      </w:r>
      <w:r w:rsidR="00473E6F" w:rsidRPr="00D520D0">
        <w:t xml:space="preserve"> by our courts and the principles related thereto are </w:t>
      </w:r>
      <w:r w:rsidR="00E03A72" w:rsidRPr="00D520D0">
        <w:t xml:space="preserve">now </w:t>
      </w:r>
      <w:r w:rsidR="00473E6F" w:rsidRPr="00D520D0">
        <w:t>trite. It is the institution (or opposition) of proceedings that must be authorised.</w:t>
      </w:r>
      <w:r w:rsidR="00473E6F" w:rsidRPr="00114D91">
        <w:rPr>
          <w:rStyle w:val="FootnoteReference"/>
        </w:rPr>
        <w:footnoteReference w:id="1"/>
      </w:r>
      <w:r w:rsidR="00473E6F" w:rsidRPr="00D520D0">
        <w:t xml:space="preserve"> </w:t>
      </w:r>
    </w:p>
    <w:p w14:paraId="33CAACDB" w14:textId="77777777" w:rsidR="00473E6F" w:rsidRPr="00114D91" w:rsidRDefault="00473E6F" w:rsidP="00473E6F">
      <w:pPr>
        <w:pStyle w:val="ListParagraph"/>
        <w:rPr>
          <w:rFonts w:cs="Arial"/>
          <w:lang w:val="en-ZA"/>
        </w:rPr>
      </w:pPr>
    </w:p>
    <w:p w14:paraId="78756394" w14:textId="5799154F" w:rsidR="00473E6F" w:rsidRPr="00D520D0" w:rsidRDefault="00D520D0" w:rsidP="00D520D0">
      <w:r w:rsidRPr="00E03A72">
        <w:rPr>
          <w:spacing w:val="0"/>
          <w:szCs w:val="22"/>
        </w:rPr>
        <w:t>[20]</w:t>
      </w:r>
      <w:r w:rsidRPr="00E03A72">
        <w:rPr>
          <w:spacing w:val="0"/>
          <w:szCs w:val="22"/>
        </w:rPr>
        <w:tab/>
      </w:r>
      <w:r w:rsidR="00473E6F" w:rsidRPr="00D520D0">
        <w:t xml:space="preserve">In </w:t>
      </w:r>
      <w:r w:rsidR="00473E6F" w:rsidRPr="00D520D0">
        <w:rPr>
          <w:i/>
          <w:iCs/>
        </w:rPr>
        <w:t>Mall (Cape) (Pty) Ltd v Merino Ko-</w:t>
      </w:r>
      <w:proofErr w:type="spellStart"/>
      <w:r w:rsidR="00473E6F" w:rsidRPr="00D520D0">
        <w:rPr>
          <w:i/>
          <w:iCs/>
        </w:rPr>
        <w:t>operasie</w:t>
      </w:r>
      <w:proofErr w:type="spellEnd"/>
      <w:r w:rsidR="00473E6F" w:rsidRPr="00D520D0">
        <w:rPr>
          <w:i/>
          <w:iCs/>
        </w:rPr>
        <w:t xml:space="preserve"> </w:t>
      </w:r>
      <w:proofErr w:type="spellStart"/>
      <w:r w:rsidR="00473E6F" w:rsidRPr="00D520D0">
        <w:rPr>
          <w:i/>
          <w:iCs/>
        </w:rPr>
        <w:t>Bpk</w:t>
      </w:r>
      <w:proofErr w:type="spellEnd"/>
      <w:r w:rsidR="00473E6F" w:rsidRPr="00114D91">
        <w:rPr>
          <w:rStyle w:val="FootnoteReference"/>
          <w:i/>
          <w:iCs/>
        </w:rPr>
        <w:footnoteReference w:id="2"/>
      </w:r>
      <w:r w:rsidR="00473E6F" w:rsidRPr="00D520D0">
        <w:rPr>
          <w:iCs/>
        </w:rPr>
        <w:t xml:space="preserve"> the </w:t>
      </w:r>
      <w:r w:rsidR="00E03A72" w:rsidRPr="00D520D0">
        <w:rPr>
          <w:iCs/>
        </w:rPr>
        <w:t xml:space="preserve">issue was </w:t>
      </w:r>
      <w:r w:rsidR="00473E6F" w:rsidRPr="00D520D0">
        <w:rPr>
          <w:iCs/>
        </w:rPr>
        <w:t xml:space="preserve">discussed and </w:t>
      </w:r>
      <w:r w:rsidR="00E03A72" w:rsidRPr="00D520D0">
        <w:rPr>
          <w:iCs/>
        </w:rPr>
        <w:t xml:space="preserve">it was </w:t>
      </w:r>
      <w:r w:rsidR="00473E6F" w:rsidRPr="00D520D0">
        <w:t xml:space="preserve">held that where a natural person is the applicant and </w:t>
      </w:r>
      <w:r w:rsidR="008B5A99" w:rsidRPr="00D520D0">
        <w:t xml:space="preserve">a notice of motion is issued </w:t>
      </w:r>
      <w:r w:rsidR="00473E6F" w:rsidRPr="00D520D0">
        <w:t>in the name of such natural person purported to be signed by an attorney, the court will presume that the attorney is duly authorised to institute the proceedings, in the absence of anything to show that the application is not in fact authorised.</w:t>
      </w:r>
      <w:r w:rsidR="00E03A72" w:rsidRPr="00D520D0">
        <w:t xml:space="preserve"> T</w:t>
      </w:r>
      <w:r w:rsidR="00473E6F" w:rsidRPr="00D520D0">
        <w:t xml:space="preserve">he court had to consider whether the deponent to the papers had the necessary authority to do so on behalf of </w:t>
      </w:r>
      <w:r w:rsidR="00E03A72" w:rsidRPr="00D520D0">
        <w:t>an</w:t>
      </w:r>
      <w:r w:rsidR="00473E6F" w:rsidRPr="00D520D0">
        <w:t xml:space="preserve"> artificial person and held at 351G-352A as follows:</w:t>
      </w:r>
    </w:p>
    <w:p w14:paraId="4A7A2A36" w14:textId="77777777" w:rsidR="00473E6F" w:rsidRPr="00114D91" w:rsidRDefault="00473E6F" w:rsidP="00473E6F">
      <w:pPr>
        <w:pStyle w:val="ListParagraph"/>
        <w:rPr>
          <w:rFonts w:cs="Arial"/>
          <w:lang w:val="en-ZA"/>
        </w:rPr>
      </w:pPr>
    </w:p>
    <w:p w14:paraId="11527FD0" w14:textId="4A0307DD" w:rsidR="00473E6F" w:rsidRPr="00114D91" w:rsidRDefault="00473E6F" w:rsidP="008B5A99">
      <w:pPr>
        <w:pStyle w:val="ListParagraph"/>
        <w:spacing w:after="0"/>
        <w:ind w:left="0" w:firstLine="720"/>
        <w:rPr>
          <w:rFonts w:cs="Arial"/>
          <w:szCs w:val="24"/>
          <w:lang w:val="en-ZA"/>
        </w:rPr>
      </w:pPr>
      <w:r w:rsidRPr="00114D91">
        <w:rPr>
          <w:rFonts w:cs="Arial"/>
          <w:sz w:val="22"/>
          <w:szCs w:val="24"/>
          <w:lang w:val="en-ZA"/>
        </w:rPr>
        <w:t xml:space="preserve">‘There is a considerable amount of authority for the proposition that, where a company commences proceedings by way of petition, it must appear that the person who makes the petition on behalf of the company is duly authorised by the company to do so … This seems to me to be a salutary rule and one which should apply also to notice of motion proceedings where the applicant is an artificial person. </w:t>
      </w:r>
      <w:r w:rsidRPr="00114D91">
        <w:rPr>
          <w:rFonts w:cs="Arial"/>
          <w:sz w:val="22"/>
          <w:szCs w:val="24"/>
          <w:u w:val="single"/>
          <w:lang w:val="en-ZA"/>
        </w:rPr>
        <w:t xml:space="preserve">In such </w:t>
      </w:r>
      <w:r w:rsidRPr="00114D91">
        <w:rPr>
          <w:rFonts w:cs="Arial"/>
          <w:sz w:val="22"/>
          <w:szCs w:val="24"/>
          <w:u w:val="single"/>
          <w:lang w:val="en-ZA"/>
        </w:rPr>
        <w:lastRenderedPageBreak/>
        <w:t xml:space="preserve">cases some evidence should be placed before the Court to show that the applicant is duly resolved to institute the proceedings and that </w:t>
      </w:r>
      <w:r w:rsidR="008B5A99" w:rsidRPr="00114D91">
        <w:rPr>
          <w:rFonts w:cs="Arial"/>
          <w:sz w:val="22"/>
          <w:szCs w:val="24"/>
          <w:u w:val="single"/>
          <w:lang w:val="en-ZA"/>
        </w:rPr>
        <w:t>t</w:t>
      </w:r>
      <w:r w:rsidRPr="00114D91">
        <w:rPr>
          <w:rFonts w:cs="Arial"/>
          <w:sz w:val="22"/>
          <w:szCs w:val="24"/>
          <w:u w:val="single"/>
          <w:lang w:val="en-ZA"/>
        </w:rPr>
        <w:t>he proceedings are instituted at this instance. Unlike the case of an individual, the mere signature of the notice of motion by an attorney and the fact that the proceedings purport to be brought in the name of the applicant are in my view insufficient. The best evidence that the proceeding</w:t>
      </w:r>
      <w:r w:rsidR="009254C5">
        <w:rPr>
          <w:rFonts w:cs="Arial"/>
          <w:sz w:val="22"/>
          <w:szCs w:val="24"/>
          <w:u w:val="single"/>
          <w:lang w:val="en-ZA"/>
        </w:rPr>
        <w:t>s</w:t>
      </w:r>
      <w:r w:rsidRPr="00114D91">
        <w:rPr>
          <w:rFonts w:cs="Arial"/>
          <w:sz w:val="22"/>
          <w:szCs w:val="24"/>
          <w:u w:val="single"/>
          <w:lang w:val="en-ZA"/>
        </w:rPr>
        <w:t xml:space="preserve"> have been properly authorised would be provided by an affidavit made by an official of the company annexing a copy of the resolution</w:t>
      </w:r>
      <w:r w:rsidR="009254C5">
        <w:rPr>
          <w:rFonts w:cs="Arial"/>
          <w:sz w:val="22"/>
          <w:szCs w:val="24"/>
          <w:u w:val="single"/>
          <w:lang w:val="en-ZA"/>
        </w:rPr>
        <w:t>,</w:t>
      </w:r>
      <w:r w:rsidRPr="00114D91">
        <w:rPr>
          <w:rFonts w:cs="Arial"/>
          <w:sz w:val="22"/>
          <w:szCs w:val="24"/>
          <w:u w:val="single"/>
          <w:lang w:val="en-ZA"/>
        </w:rPr>
        <w:t xml:space="preserve"> but I do not consider that that form is necessary in every case.</w:t>
      </w:r>
      <w:r w:rsidRPr="00114D91">
        <w:rPr>
          <w:rFonts w:cs="Arial"/>
          <w:sz w:val="22"/>
          <w:szCs w:val="24"/>
          <w:lang w:val="en-ZA"/>
        </w:rPr>
        <w:t xml:space="preserve"> Each case must be considered on its own merits and the Court must decide whether enough has been placed before it to warrant the conclusion that it is the applicant which is litigating and not some unauthorised person</w:t>
      </w:r>
      <w:r w:rsidR="008B5A99" w:rsidRPr="00114D91">
        <w:rPr>
          <w:rFonts w:cs="Arial"/>
          <w:sz w:val="22"/>
          <w:szCs w:val="24"/>
          <w:lang w:val="en-ZA"/>
        </w:rPr>
        <w:t xml:space="preserve"> on it</w:t>
      </w:r>
      <w:r w:rsidRPr="00114D91">
        <w:rPr>
          <w:rFonts w:cs="Arial"/>
          <w:sz w:val="22"/>
          <w:szCs w:val="24"/>
          <w:lang w:val="en-ZA"/>
        </w:rPr>
        <w:t xml:space="preserve">s behalf.’ </w:t>
      </w:r>
      <w:r w:rsidRPr="00114D91">
        <w:rPr>
          <w:rFonts w:cs="Arial"/>
          <w:szCs w:val="24"/>
          <w:lang w:val="en-ZA"/>
        </w:rPr>
        <w:t xml:space="preserve">(Emphasis </w:t>
      </w:r>
      <w:r w:rsidR="009254C5">
        <w:rPr>
          <w:rFonts w:cs="Arial"/>
          <w:szCs w:val="24"/>
          <w:lang w:val="en-ZA"/>
        </w:rPr>
        <w:t>added</w:t>
      </w:r>
      <w:r w:rsidRPr="00114D91">
        <w:rPr>
          <w:rFonts w:cs="Arial"/>
          <w:szCs w:val="24"/>
          <w:lang w:val="en-ZA"/>
        </w:rPr>
        <w:t>.)</w:t>
      </w:r>
    </w:p>
    <w:p w14:paraId="24FE0C88" w14:textId="77777777" w:rsidR="00473E6F" w:rsidRPr="00114D91" w:rsidRDefault="00473E6F" w:rsidP="00473E6F">
      <w:pPr>
        <w:pStyle w:val="ListParagraph"/>
        <w:rPr>
          <w:rFonts w:cs="Arial"/>
          <w:lang w:val="en-ZA"/>
        </w:rPr>
      </w:pPr>
    </w:p>
    <w:p w14:paraId="41337933" w14:textId="5B019C83" w:rsidR="00473E6F" w:rsidRPr="00D520D0" w:rsidRDefault="00D520D0" w:rsidP="00D520D0">
      <w:r w:rsidRPr="00114D91">
        <w:rPr>
          <w:spacing w:val="0"/>
          <w:szCs w:val="22"/>
        </w:rPr>
        <w:t>[21]</w:t>
      </w:r>
      <w:r w:rsidRPr="00114D91">
        <w:rPr>
          <w:spacing w:val="0"/>
          <w:szCs w:val="22"/>
        </w:rPr>
        <w:tab/>
      </w:r>
      <w:r w:rsidR="00473E6F" w:rsidRPr="00D520D0">
        <w:t xml:space="preserve">The court in </w:t>
      </w:r>
      <w:r w:rsidR="00473E6F" w:rsidRPr="00D520D0">
        <w:rPr>
          <w:i/>
        </w:rPr>
        <w:t>Mall (Cape)</w:t>
      </w:r>
      <w:r w:rsidR="00473E6F" w:rsidRPr="00D520D0">
        <w:t xml:space="preserve"> found that the applicant had placed sufficient evidence before it as regards authority</w:t>
      </w:r>
      <w:r w:rsidR="00E03A72" w:rsidRPr="00D520D0">
        <w:t>,</w:t>
      </w:r>
      <w:r w:rsidR="00473E6F" w:rsidRPr="00D520D0">
        <w:t xml:space="preserve"> given that the deponent averred that he was ‘duly au</w:t>
      </w:r>
      <w:r w:rsidR="00046B36" w:rsidRPr="00D520D0">
        <w:t>thorised to make this affidavit</w:t>
      </w:r>
      <w:r w:rsidR="009254C5" w:rsidRPr="00D520D0">
        <w:t>’</w:t>
      </w:r>
      <w:r w:rsidR="00473E6F" w:rsidRPr="00D520D0">
        <w:t>. The court agreed with counsel that the word ‘duly’ conferred authority upon the deponent, notwithstanding, that the issue of authority had not been raised by the respondent, on the papers.</w:t>
      </w:r>
    </w:p>
    <w:p w14:paraId="6EBD716A" w14:textId="77777777" w:rsidR="00473E6F" w:rsidRPr="00114D91" w:rsidRDefault="00473E6F" w:rsidP="00473E6F">
      <w:pPr>
        <w:pStyle w:val="ListParagraph"/>
        <w:ind w:left="0"/>
        <w:rPr>
          <w:rFonts w:cs="Arial"/>
          <w:lang w:val="en-ZA"/>
        </w:rPr>
      </w:pPr>
    </w:p>
    <w:p w14:paraId="74B4F22E" w14:textId="19FA594F" w:rsidR="00473E6F" w:rsidRPr="00D520D0" w:rsidRDefault="00D520D0" w:rsidP="00D520D0">
      <w:r w:rsidRPr="00114D91">
        <w:rPr>
          <w:spacing w:val="0"/>
          <w:szCs w:val="22"/>
        </w:rPr>
        <w:t>[22]</w:t>
      </w:r>
      <w:r w:rsidRPr="00114D91">
        <w:rPr>
          <w:spacing w:val="0"/>
          <w:szCs w:val="22"/>
        </w:rPr>
        <w:tab/>
      </w:r>
      <w:proofErr w:type="spellStart"/>
      <w:r w:rsidR="00473E6F" w:rsidRPr="00D520D0">
        <w:t>Damaseb</w:t>
      </w:r>
      <w:proofErr w:type="spellEnd"/>
      <w:r w:rsidR="00473E6F" w:rsidRPr="00D520D0">
        <w:t xml:space="preserve"> JP in </w:t>
      </w:r>
      <w:r w:rsidR="00473E6F" w:rsidRPr="00D520D0">
        <w:rPr>
          <w:i/>
        </w:rPr>
        <w:t xml:space="preserve">Purity Manganese (Pty) Ltd v </w:t>
      </w:r>
      <w:proofErr w:type="spellStart"/>
      <w:r w:rsidR="00473E6F" w:rsidRPr="00D520D0">
        <w:rPr>
          <w:i/>
        </w:rPr>
        <w:t>Otjozundu</w:t>
      </w:r>
      <w:proofErr w:type="spellEnd"/>
      <w:r w:rsidR="00473E6F" w:rsidRPr="00D520D0">
        <w:rPr>
          <w:i/>
        </w:rPr>
        <w:t xml:space="preserve"> Mining (Pty) Ltd</w:t>
      </w:r>
      <w:r w:rsidR="00473E6F" w:rsidRPr="00114D91">
        <w:rPr>
          <w:rStyle w:val="FootnoteReference"/>
          <w:i/>
        </w:rPr>
        <w:footnoteReference w:id="3"/>
      </w:r>
      <w:r w:rsidR="00473E6F" w:rsidRPr="00D520D0">
        <w:rPr>
          <w:i/>
        </w:rPr>
        <w:t xml:space="preserve"> </w:t>
      </w:r>
      <w:r w:rsidR="00473E6F" w:rsidRPr="00D520D0">
        <w:t>held that –</w:t>
      </w:r>
    </w:p>
    <w:p w14:paraId="5CBBC685" w14:textId="77777777" w:rsidR="00473E6F" w:rsidRPr="00114D91" w:rsidRDefault="00473E6F" w:rsidP="00473E6F">
      <w:pPr>
        <w:pStyle w:val="ListParagraph"/>
        <w:rPr>
          <w:rFonts w:cs="Arial"/>
          <w:lang w:val="en-ZA"/>
        </w:rPr>
      </w:pPr>
    </w:p>
    <w:p w14:paraId="2ABBC73E" w14:textId="2D4167FD" w:rsidR="00473E6F" w:rsidRPr="00114D91" w:rsidRDefault="00473E6F" w:rsidP="00473E6F">
      <w:pPr>
        <w:pStyle w:val="ListParagraph"/>
        <w:ind w:left="0" w:firstLine="720"/>
        <w:rPr>
          <w:rFonts w:cs="Arial"/>
          <w:lang w:val="en-ZA"/>
        </w:rPr>
      </w:pPr>
      <w:r w:rsidRPr="00114D91">
        <w:rPr>
          <w:rFonts w:cs="Arial"/>
          <w:sz w:val="22"/>
          <w:lang w:val="en-ZA"/>
        </w:rPr>
        <w:t>‘It is now trite that the applicant need not do more in the founding affidavit than allege that authorisation has been granted. Where that is alleged, it is open to the respondent to challenge the averments regarding authorisation. When the challenge to the authority is a weak one, a minimum of evidence will suffi</w:t>
      </w:r>
      <w:r w:rsidR="00336B37" w:rsidRPr="00114D91">
        <w:rPr>
          <w:rFonts w:cs="Arial"/>
          <w:sz w:val="22"/>
          <w:lang w:val="en-ZA"/>
        </w:rPr>
        <w:t>ce to establish such authority.’</w:t>
      </w:r>
    </w:p>
    <w:p w14:paraId="00D750B9" w14:textId="77777777" w:rsidR="00473E6F" w:rsidRPr="00114D91" w:rsidRDefault="00473E6F" w:rsidP="00473E6F">
      <w:pPr>
        <w:pStyle w:val="ListParagraph"/>
        <w:rPr>
          <w:rFonts w:cs="Arial"/>
          <w:lang w:val="en-ZA"/>
        </w:rPr>
      </w:pPr>
    </w:p>
    <w:p w14:paraId="5F40695A" w14:textId="25C3BCCC" w:rsidR="00473E6F" w:rsidRPr="00D520D0" w:rsidRDefault="00D520D0" w:rsidP="00D520D0">
      <w:r w:rsidRPr="00114D91">
        <w:rPr>
          <w:spacing w:val="0"/>
          <w:szCs w:val="22"/>
        </w:rPr>
        <w:t>[23]</w:t>
      </w:r>
      <w:r w:rsidRPr="00114D91">
        <w:rPr>
          <w:spacing w:val="0"/>
          <w:szCs w:val="22"/>
        </w:rPr>
        <w:tab/>
      </w:r>
      <w:r w:rsidR="00473E6F" w:rsidRPr="00D520D0">
        <w:t xml:space="preserve">To my mind, Ms </w:t>
      </w:r>
      <w:proofErr w:type="spellStart"/>
      <w:r w:rsidR="00473E6F" w:rsidRPr="00D520D0">
        <w:t>Kahengombe’s</w:t>
      </w:r>
      <w:proofErr w:type="spellEnd"/>
      <w:r w:rsidR="00473E6F" w:rsidRPr="00D520D0">
        <w:t xml:space="preserve"> submission that the City of Windhoek had the necessary authority to oppose the relief sought by the </w:t>
      </w:r>
      <w:r w:rsidR="00E03A72" w:rsidRPr="00D520D0">
        <w:t xml:space="preserve">mere </w:t>
      </w:r>
      <w:r w:rsidR="00473E6F" w:rsidRPr="00D520D0">
        <w:t>fact that she entered an appearance on behalf o</w:t>
      </w:r>
      <w:r w:rsidR="00437297" w:rsidRPr="00D520D0">
        <w:t>f the City of Windhoek</w:t>
      </w:r>
      <w:r w:rsidR="009254C5" w:rsidRPr="00D520D0">
        <w:t>,</w:t>
      </w:r>
      <w:r w:rsidR="00437297" w:rsidRPr="00D520D0">
        <w:t xml:space="preserve"> stands to be rejected</w:t>
      </w:r>
      <w:r w:rsidR="00473E6F" w:rsidRPr="00D520D0">
        <w:t>. I</w:t>
      </w:r>
      <w:r w:rsidR="00437297" w:rsidRPr="00D520D0">
        <w:t xml:space="preserve"> say so on the </w:t>
      </w:r>
      <w:r w:rsidR="00E03A72" w:rsidRPr="00D520D0">
        <w:t>basis</w:t>
      </w:r>
      <w:r w:rsidR="00437297" w:rsidRPr="00D520D0">
        <w:t xml:space="preserve"> </w:t>
      </w:r>
      <w:r w:rsidR="00473E6F" w:rsidRPr="00D520D0">
        <w:t xml:space="preserve">that where a deponent makes an affidavit on behalf of an artificial person, such deponent must state that he or she has the </w:t>
      </w:r>
      <w:r w:rsidR="00473E6F" w:rsidRPr="00D520D0">
        <w:lastRenderedPageBreak/>
        <w:t>necessary authority to bring (or oppose) the application, which would constitute th</w:t>
      </w:r>
      <w:r w:rsidR="00046B36" w:rsidRPr="00D520D0">
        <w:t>e minimum proof of authority</w:t>
      </w:r>
      <w:r w:rsidR="00473E6F" w:rsidRPr="00D520D0">
        <w:t xml:space="preserve">, and should there be any doubt </w:t>
      </w:r>
      <w:r w:rsidR="00046B36" w:rsidRPr="00D520D0">
        <w:t>of such authority</w:t>
      </w:r>
      <w:r w:rsidR="00473E6F" w:rsidRPr="00D520D0">
        <w:t>, a resolution may be attached by means of an affidavit, which resolution may be taken retrospectively</w:t>
      </w:r>
      <w:r w:rsidR="00336B37" w:rsidRPr="00D520D0">
        <w:t>.</w:t>
      </w:r>
      <w:r w:rsidR="0015555B">
        <w:rPr>
          <w:rStyle w:val="FootnoteReference"/>
        </w:rPr>
        <w:footnoteReference w:id="4"/>
      </w:r>
      <w:r w:rsidR="0015555B" w:rsidRPr="00D520D0">
        <w:t xml:space="preserve"> </w:t>
      </w:r>
      <w:r w:rsidR="00246959" w:rsidRPr="00D520D0">
        <w:t>No application was made to deliver a further affidavit dealing with this issue.</w:t>
      </w:r>
    </w:p>
    <w:p w14:paraId="4516789D" w14:textId="77777777" w:rsidR="00473E6F" w:rsidRPr="00114D91" w:rsidRDefault="00473E6F" w:rsidP="00473E6F">
      <w:pPr>
        <w:pStyle w:val="ListParagraph"/>
        <w:rPr>
          <w:rFonts w:cs="Arial"/>
          <w:lang w:val="en-ZA"/>
        </w:rPr>
      </w:pPr>
    </w:p>
    <w:p w14:paraId="28757EB8" w14:textId="65998DC6" w:rsidR="008B5A99" w:rsidRPr="00D520D0" w:rsidRDefault="00D520D0" w:rsidP="00D520D0">
      <w:r w:rsidRPr="00114D91">
        <w:rPr>
          <w:spacing w:val="0"/>
          <w:szCs w:val="22"/>
        </w:rPr>
        <w:t>[24]</w:t>
      </w:r>
      <w:r w:rsidRPr="00114D91">
        <w:rPr>
          <w:spacing w:val="0"/>
          <w:szCs w:val="22"/>
        </w:rPr>
        <w:tab/>
      </w:r>
      <w:r w:rsidR="00473E6F" w:rsidRPr="00D520D0">
        <w:t xml:space="preserve">Prinsloo J in </w:t>
      </w:r>
      <w:proofErr w:type="spellStart"/>
      <w:r w:rsidR="00473E6F" w:rsidRPr="00D520D0">
        <w:rPr>
          <w:i/>
        </w:rPr>
        <w:t>Boabab</w:t>
      </w:r>
      <w:proofErr w:type="spellEnd"/>
      <w:r w:rsidR="00473E6F" w:rsidRPr="00D520D0">
        <w:rPr>
          <w:i/>
        </w:rPr>
        <w:t xml:space="preserve"> Capital (Pty) Ltd v </w:t>
      </w:r>
      <w:proofErr w:type="spellStart"/>
      <w:r w:rsidR="00473E6F" w:rsidRPr="00D520D0">
        <w:rPr>
          <w:i/>
        </w:rPr>
        <w:t>Shaziza</w:t>
      </w:r>
      <w:proofErr w:type="spellEnd"/>
      <w:r w:rsidR="00473E6F" w:rsidRPr="00D520D0">
        <w:rPr>
          <w:i/>
        </w:rPr>
        <w:t xml:space="preserve"> Auto One (Pty) Ltd</w:t>
      </w:r>
      <w:r w:rsidR="00473E6F" w:rsidRPr="00114D91">
        <w:rPr>
          <w:rStyle w:val="FootnoteReference"/>
          <w:i/>
        </w:rPr>
        <w:footnoteReference w:id="5"/>
      </w:r>
      <w:r w:rsidR="00473E6F" w:rsidRPr="00D520D0">
        <w:t xml:space="preserve"> held that a distinction must be drawn between matters where authority to launch the application is averred in the founding papers and objected to by the opposing party and the matters whereby no allegations were made whatsoever regarding authority. In this regard, the learned Judge placed reliance on the dictum by Masuku J in </w:t>
      </w:r>
      <w:r w:rsidR="00473E6F" w:rsidRPr="00D520D0">
        <w:rPr>
          <w:i/>
        </w:rPr>
        <w:t xml:space="preserve">Standard Bank Namibia Limited v </w:t>
      </w:r>
      <w:proofErr w:type="spellStart"/>
      <w:r w:rsidR="00473E6F" w:rsidRPr="00D520D0">
        <w:rPr>
          <w:i/>
        </w:rPr>
        <w:t>Nekwaya</w:t>
      </w:r>
      <w:proofErr w:type="spellEnd"/>
      <w:r w:rsidR="00473E6F" w:rsidRPr="00114D91">
        <w:rPr>
          <w:rStyle w:val="FootnoteReference"/>
          <w:i/>
        </w:rPr>
        <w:footnoteReference w:id="6"/>
      </w:r>
      <w:r w:rsidR="00473E6F" w:rsidRPr="00D520D0">
        <w:rPr>
          <w:i/>
        </w:rPr>
        <w:t xml:space="preserve"> </w:t>
      </w:r>
      <w:r w:rsidR="00473E6F" w:rsidRPr="00D520D0">
        <w:t xml:space="preserve">where it was held </w:t>
      </w:r>
      <w:r w:rsidR="00E03A72" w:rsidRPr="00D520D0">
        <w:t xml:space="preserve">that </w:t>
      </w:r>
      <w:r w:rsidR="00473E6F" w:rsidRPr="00D520D0">
        <w:t>–</w:t>
      </w:r>
    </w:p>
    <w:p w14:paraId="7B470AB6" w14:textId="77777777" w:rsidR="008B5A99" w:rsidRPr="00114D91" w:rsidRDefault="008B5A99" w:rsidP="008B5A99">
      <w:pPr>
        <w:pStyle w:val="ListParagraph"/>
        <w:rPr>
          <w:sz w:val="22"/>
          <w:lang w:val="en-ZA" w:eastAsia="en-ZA"/>
        </w:rPr>
      </w:pPr>
    </w:p>
    <w:p w14:paraId="6580BEA3" w14:textId="3E8B263F" w:rsidR="00473E6F" w:rsidRPr="00114D91" w:rsidRDefault="00473E6F" w:rsidP="008B5A99">
      <w:pPr>
        <w:pStyle w:val="ListParagraph"/>
        <w:ind w:left="0" w:firstLine="720"/>
        <w:rPr>
          <w:rFonts w:cs="Arial"/>
          <w:lang w:val="en-ZA"/>
        </w:rPr>
      </w:pPr>
      <w:r w:rsidRPr="00114D91">
        <w:rPr>
          <w:sz w:val="22"/>
          <w:lang w:val="en-ZA" w:eastAsia="en-ZA"/>
        </w:rPr>
        <w:t xml:space="preserve">‘[11]      It is a matter of note that the applicant did not address this issue at all in its founding affidavit and thus </w:t>
      </w:r>
      <w:r w:rsidRPr="00114D91">
        <w:rPr>
          <w:sz w:val="22"/>
          <w:u w:val="single"/>
          <w:lang w:val="en-ZA" w:eastAsia="en-ZA"/>
        </w:rPr>
        <w:t>could not, in reply, place proof of the authority as no authority whatsoever, was alleged</w:t>
      </w:r>
      <w:r w:rsidRPr="00114D91">
        <w:rPr>
          <w:sz w:val="22"/>
          <w:lang w:val="en-ZA" w:eastAsia="en-ZA"/>
        </w:rPr>
        <w:t xml:space="preserve">.  It is a trite principle of law that a party stands or falls on its founding affidavit. In the instant case, the applicant did not make out a case for the authority in the founding papers, nor did or could it do so in reply as that opportunity never came.’ </w:t>
      </w:r>
      <w:r w:rsidRPr="00114D91">
        <w:rPr>
          <w:lang w:val="en-ZA" w:eastAsia="en-ZA"/>
        </w:rPr>
        <w:t>(Emphasis supplied.)</w:t>
      </w:r>
    </w:p>
    <w:p w14:paraId="171E682E" w14:textId="77777777" w:rsidR="00473E6F" w:rsidRPr="00114D91" w:rsidRDefault="00473E6F" w:rsidP="00473E6F">
      <w:pPr>
        <w:pStyle w:val="ListParagraph"/>
        <w:rPr>
          <w:rFonts w:cs="Arial"/>
          <w:lang w:val="en-ZA"/>
        </w:rPr>
      </w:pPr>
    </w:p>
    <w:p w14:paraId="048F74F2" w14:textId="064194A6" w:rsidR="00473E6F" w:rsidRPr="00D520D0" w:rsidRDefault="00D520D0" w:rsidP="00D520D0">
      <w:r w:rsidRPr="00114D91">
        <w:rPr>
          <w:spacing w:val="0"/>
          <w:szCs w:val="22"/>
        </w:rPr>
        <w:t>[25]</w:t>
      </w:r>
      <w:r w:rsidRPr="00114D91">
        <w:rPr>
          <w:spacing w:val="0"/>
          <w:szCs w:val="22"/>
        </w:rPr>
        <w:tab/>
      </w:r>
      <w:r w:rsidR="0015555B" w:rsidRPr="00D520D0">
        <w:t xml:space="preserve">It was further held </w:t>
      </w:r>
      <w:r w:rsidR="00473E6F" w:rsidRPr="00D520D0">
        <w:t>at paras 19-20 that:</w:t>
      </w:r>
    </w:p>
    <w:p w14:paraId="0E861F4A" w14:textId="77777777" w:rsidR="00473E6F" w:rsidRPr="00114D91" w:rsidRDefault="00473E6F" w:rsidP="00473E6F">
      <w:pPr>
        <w:pStyle w:val="ListParagraph"/>
        <w:ind w:left="0"/>
        <w:rPr>
          <w:rFonts w:cs="Arial"/>
          <w:lang w:val="en-ZA"/>
        </w:rPr>
      </w:pPr>
    </w:p>
    <w:p w14:paraId="4A6B1646" w14:textId="77777777" w:rsidR="00473E6F" w:rsidRPr="00114D91" w:rsidRDefault="00473E6F" w:rsidP="00473E6F">
      <w:pPr>
        <w:ind w:firstLine="720"/>
        <w:rPr>
          <w:sz w:val="22"/>
        </w:rPr>
      </w:pPr>
      <w:r w:rsidRPr="00114D91">
        <w:rPr>
          <w:sz w:val="22"/>
        </w:rPr>
        <w:t>‘[19]</w:t>
      </w:r>
      <w:r w:rsidRPr="00114D91">
        <w:rPr>
          <w:sz w:val="22"/>
        </w:rPr>
        <w:tab/>
        <w:t>Once this is not stated in the founding affidavit, the only conclusion that may be reached is that the proceedings are not properly authorised and that inevitably, is the applicant’s fate in these proceedings. It is accordingly unnecessary to consider the other issues raised by the 1</w:t>
      </w:r>
      <w:r w:rsidRPr="00114D91">
        <w:rPr>
          <w:sz w:val="22"/>
          <w:vertAlign w:val="superscript"/>
        </w:rPr>
        <w:t>st</w:t>
      </w:r>
      <w:r w:rsidRPr="00114D91">
        <w:rPr>
          <w:sz w:val="22"/>
        </w:rPr>
        <w:t xml:space="preserve"> respondent in his notice.</w:t>
      </w:r>
    </w:p>
    <w:p w14:paraId="094264B5" w14:textId="77777777" w:rsidR="00473E6F" w:rsidRPr="00114D91" w:rsidRDefault="00473E6F" w:rsidP="00473E6F">
      <w:pPr>
        <w:ind w:firstLine="720"/>
        <w:rPr>
          <w:sz w:val="22"/>
        </w:rPr>
      </w:pPr>
    </w:p>
    <w:p w14:paraId="531E2F19" w14:textId="77777777" w:rsidR="00473E6F" w:rsidRPr="00114D91" w:rsidRDefault="00473E6F" w:rsidP="00473E6F">
      <w:pPr>
        <w:pStyle w:val="ListParagraph"/>
        <w:spacing w:after="0"/>
        <w:ind w:left="0"/>
        <w:rPr>
          <w:rFonts w:cs="Arial"/>
          <w:sz w:val="22"/>
          <w:lang w:val="en-ZA"/>
        </w:rPr>
      </w:pPr>
      <w:r w:rsidRPr="00114D91">
        <w:rPr>
          <w:rFonts w:cs="Arial"/>
          <w:sz w:val="22"/>
          <w:lang w:val="en-ZA"/>
        </w:rPr>
        <w:t>[20]</w:t>
      </w:r>
      <w:r w:rsidRPr="00114D91">
        <w:rPr>
          <w:rFonts w:cs="Arial"/>
          <w:sz w:val="22"/>
          <w:lang w:val="en-ZA"/>
        </w:rPr>
        <w:tab/>
        <w:t xml:space="preserve">The learned authors Herbstein &amp; Van </w:t>
      </w:r>
      <w:proofErr w:type="spellStart"/>
      <w:r w:rsidRPr="00114D91">
        <w:rPr>
          <w:rFonts w:cs="Arial"/>
          <w:sz w:val="22"/>
          <w:lang w:val="en-ZA"/>
        </w:rPr>
        <w:t>Winsen</w:t>
      </w:r>
      <w:proofErr w:type="spellEnd"/>
      <w:r w:rsidRPr="00114D91">
        <w:rPr>
          <w:rStyle w:val="FootnoteReference"/>
          <w:rFonts w:cs="Arial"/>
          <w:sz w:val="22"/>
          <w:lang w:val="en-ZA"/>
        </w:rPr>
        <w:footnoteReference w:id="7"/>
      </w:r>
      <w:r w:rsidRPr="00114D91">
        <w:rPr>
          <w:rFonts w:cs="Arial"/>
          <w:sz w:val="22"/>
          <w:lang w:val="en-ZA"/>
        </w:rPr>
        <w:t xml:space="preserve"> say, ‘The necessary allegations must appear in the supporting affidavits, for the court will not, save in exceptional circumstances, allow the applicant to make or supplement a case in a replying affidavit and will order any matter appearing in it that should have been in the supporting affidavits to be struck out.’ This is the law even in this Republic as propounded in what has become known as the </w:t>
      </w:r>
      <w:r w:rsidRPr="00114D91">
        <w:rPr>
          <w:rFonts w:cs="Arial"/>
          <w:i/>
          <w:sz w:val="22"/>
          <w:lang w:val="en-ZA"/>
        </w:rPr>
        <w:t xml:space="preserve">Stipp </w:t>
      </w:r>
      <w:r w:rsidRPr="00114D91">
        <w:rPr>
          <w:rFonts w:cs="Arial"/>
          <w:sz w:val="22"/>
          <w:lang w:val="en-ZA"/>
        </w:rPr>
        <w:t>principle.’</w:t>
      </w:r>
    </w:p>
    <w:p w14:paraId="4801A687" w14:textId="77777777" w:rsidR="00473E6F" w:rsidRPr="00114D91" w:rsidRDefault="00473E6F" w:rsidP="00473E6F">
      <w:pPr>
        <w:pStyle w:val="ListParagraph"/>
        <w:ind w:left="0"/>
        <w:rPr>
          <w:rFonts w:cs="Arial"/>
          <w:lang w:val="en-ZA"/>
        </w:rPr>
      </w:pPr>
    </w:p>
    <w:p w14:paraId="025E57B9" w14:textId="7FE7887F" w:rsidR="00473E6F" w:rsidRPr="00D520D0" w:rsidRDefault="00D520D0" w:rsidP="00D520D0">
      <w:r w:rsidRPr="00114D91">
        <w:rPr>
          <w:spacing w:val="0"/>
          <w:szCs w:val="22"/>
        </w:rPr>
        <w:t>[26]</w:t>
      </w:r>
      <w:r w:rsidRPr="00114D91">
        <w:rPr>
          <w:spacing w:val="0"/>
          <w:szCs w:val="22"/>
        </w:rPr>
        <w:tab/>
      </w:r>
      <w:r w:rsidR="00473E6F" w:rsidRPr="00D520D0">
        <w:t>The present instance falls squarely within the four corners of</w:t>
      </w:r>
      <w:r w:rsidR="00437297" w:rsidRPr="00D520D0">
        <w:t xml:space="preserve"> what is expressed by the learned Judge in</w:t>
      </w:r>
      <w:r w:rsidR="00473E6F" w:rsidRPr="00D520D0">
        <w:t xml:space="preserve"> the </w:t>
      </w:r>
      <w:proofErr w:type="spellStart"/>
      <w:r w:rsidR="00473E6F" w:rsidRPr="00D520D0">
        <w:rPr>
          <w:i/>
        </w:rPr>
        <w:t>Nekwaya</w:t>
      </w:r>
      <w:proofErr w:type="spellEnd"/>
      <w:r w:rsidR="00473E6F" w:rsidRPr="00D520D0">
        <w:t xml:space="preserve"> matter in that Mr Maanda failed to make any averment that he has the necessary authority to oppose the application by the applicants. It must not be forgotten that an issue regarding authority is a serious matter and ‘the court must know, before it lends its processes, that the proceedings before it </w:t>
      </w:r>
      <w:proofErr w:type="gramStart"/>
      <w:r w:rsidR="00473E6F" w:rsidRPr="00D520D0">
        <w:t>are</w:t>
      </w:r>
      <w:proofErr w:type="gramEnd"/>
      <w:r w:rsidR="00473E6F" w:rsidRPr="00D520D0">
        <w:t xml:space="preserve"> properly authorised. This is done by a statement on oath, where applicable, with evidence thereof that the person who institutes or defends the proceedings is properly authorised and is not on a reckless, self-serving frolic of his or her own.’</w:t>
      </w:r>
      <w:r w:rsidR="00473E6F" w:rsidRPr="00114D91">
        <w:rPr>
          <w:rStyle w:val="FootnoteReference"/>
        </w:rPr>
        <w:footnoteReference w:id="8"/>
      </w:r>
    </w:p>
    <w:p w14:paraId="7857FD0A" w14:textId="77777777" w:rsidR="00473E6F" w:rsidRPr="00114D91" w:rsidRDefault="00473E6F" w:rsidP="00473E6F">
      <w:pPr>
        <w:pStyle w:val="ListParagraph"/>
        <w:ind w:left="0"/>
        <w:rPr>
          <w:rFonts w:cs="Arial"/>
          <w:lang w:val="en-ZA"/>
        </w:rPr>
      </w:pPr>
    </w:p>
    <w:p w14:paraId="6293689C" w14:textId="6771E6B1" w:rsidR="00473E6F" w:rsidRPr="00D520D0" w:rsidRDefault="00D520D0" w:rsidP="00D520D0">
      <w:r w:rsidRPr="00114D91">
        <w:rPr>
          <w:spacing w:val="0"/>
          <w:szCs w:val="22"/>
        </w:rPr>
        <w:t>[27]</w:t>
      </w:r>
      <w:r w:rsidRPr="00114D91">
        <w:rPr>
          <w:spacing w:val="0"/>
          <w:szCs w:val="22"/>
        </w:rPr>
        <w:tab/>
      </w:r>
      <w:r w:rsidR="00473E6F" w:rsidRPr="00D520D0">
        <w:t xml:space="preserve">In the end, I am bound to uphold the applicants’ point in </w:t>
      </w:r>
      <w:proofErr w:type="spellStart"/>
      <w:r w:rsidR="00473E6F" w:rsidRPr="00D520D0">
        <w:rPr>
          <w:iCs/>
        </w:rPr>
        <w:t>limine</w:t>
      </w:r>
      <w:proofErr w:type="spellEnd"/>
      <w:r w:rsidR="00473E6F" w:rsidRPr="00D520D0">
        <w:t xml:space="preserve"> that Mr Maanda has failed to evince that he has the necessary authority to oppose the relief sought and as such, the City of Windhoek’s answering affidavit filed on 22 September 2023 </w:t>
      </w:r>
      <w:r w:rsidR="00336B37" w:rsidRPr="00D520D0">
        <w:t>is accordingly</w:t>
      </w:r>
      <w:r w:rsidR="00473E6F" w:rsidRPr="00D520D0">
        <w:t xml:space="preserve"> struck. </w:t>
      </w:r>
    </w:p>
    <w:p w14:paraId="4C2122E1" w14:textId="77777777" w:rsidR="00473E6F" w:rsidRPr="00114D91" w:rsidRDefault="00473E6F" w:rsidP="00473E6F">
      <w:pPr>
        <w:pStyle w:val="ListParagraph"/>
        <w:rPr>
          <w:rFonts w:cs="Arial"/>
          <w:lang w:val="en-ZA"/>
        </w:rPr>
      </w:pPr>
    </w:p>
    <w:p w14:paraId="6388F7C1" w14:textId="10B32569" w:rsidR="00473E6F" w:rsidRPr="00D520D0" w:rsidRDefault="00D520D0" w:rsidP="00D520D0">
      <w:r w:rsidRPr="00E03A72">
        <w:rPr>
          <w:spacing w:val="0"/>
          <w:szCs w:val="22"/>
        </w:rPr>
        <w:t>[28]</w:t>
      </w:r>
      <w:r w:rsidRPr="00E03A72">
        <w:rPr>
          <w:spacing w:val="0"/>
          <w:szCs w:val="22"/>
        </w:rPr>
        <w:tab/>
      </w:r>
      <w:r w:rsidR="00473E6F" w:rsidRPr="00D520D0">
        <w:t xml:space="preserve">I now proceed to consider the applicants’ founding and </w:t>
      </w:r>
      <w:proofErr w:type="gramStart"/>
      <w:r w:rsidR="00473E6F" w:rsidRPr="00D520D0">
        <w:t>replying</w:t>
      </w:r>
      <w:proofErr w:type="gramEnd"/>
      <w:r w:rsidR="00473E6F" w:rsidRPr="00D520D0">
        <w:t xml:space="preserve"> affidavits and the legal arguments presented by both parties in determining this matter.</w:t>
      </w:r>
    </w:p>
    <w:p w14:paraId="1895800F" w14:textId="77777777" w:rsidR="00473E6F" w:rsidRPr="00114D91" w:rsidRDefault="00473E6F" w:rsidP="00473E6F">
      <w:pPr>
        <w:pStyle w:val="ListParagraph"/>
        <w:rPr>
          <w:rFonts w:cs="Arial"/>
          <w:lang w:val="en-ZA"/>
        </w:rPr>
      </w:pPr>
    </w:p>
    <w:p w14:paraId="3A5E7240" w14:textId="248CF60A" w:rsidR="00473E6F" w:rsidRPr="00D520D0" w:rsidRDefault="00D520D0" w:rsidP="00D520D0">
      <w:r w:rsidRPr="00114D91">
        <w:rPr>
          <w:spacing w:val="0"/>
          <w:szCs w:val="22"/>
        </w:rPr>
        <w:t>[29]</w:t>
      </w:r>
      <w:r w:rsidRPr="00114D91">
        <w:rPr>
          <w:spacing w:val="0"/>
          <w:szCs w:val="22"/>
        </w:rPr>
        <w:tab/>
      </w:r>
      <w:r w:rsidR="00473E6F" w:rsidRPr="00D520D0">
        <w:t xml:space="preserve">I am alive to the fact that this court is only burdened to either confirm or discharge the rule </w:t>
      </w:r>
      <w:r w:rsidR="00473E6F" w:rsidRPr="00D520D0">
        <w:rPr>
          <w:iCs/>
        </w:rPr>
        <w:t>nisi</w:t>
      </w:r>
      <w:r w:rsidR="00BD5929" w:rsidRPr="00D520D0">
        <w:rPr>
          <w:iCs/>
        </w:rPr>
        <w:t xml:space="preserve"> i</w:t>
      </w:r>
      <w:r w:rsidR="00BD5929" w:rsidRPr="00D520D0">
        <w:t>ssued on 7</w:t>
      </w:r>
      <w:r w:rsidR="00473E6F" w:rsidRPr="00D520D0">
        <w:t xml:space="preserve"> August 2023 and t</w:t>
      </w:r>
      <w:r w:rsidR="00336B37" w:rsidRPr="00D520D0">
        <w:t xml:space="preserve">hat the City of Windhoek is </w:t>
      </w:r>
      <w:r w:rsidR="00336B37" w:rsidRPr="00D520D0">
        <w:lastRenderedPageBreak/>
        <w:t>burden</w:t>
      </w:r>
      <w:r w:rsidR="00473E6F" w:rsidRPr="00D520D0">
        <w:t xml:space="preserve">ed to show cause why </w:t>
      </w:r>
      <w:r w:rsidR="00336B37" w:rsidRPr="00D520D0">
        <w:t xml:space="preserve">the </w:t>
      </w:r>
      <w:r w:rsidR="00473E6F" w:rsidRPr="00D520D0">
        <w:t xml:space="preserve">aforesaid rule </w:t>
      </w:r>
      <w:r w:rsidR="00473E6F" w:rsidRPr="00D520D0">
        <w:rPr>
          <w:iCs/>
        </w:rPr>
        <w:t xml:space="preserve">nisi </w:t>
      </w:r>
      <w:r w:rsidR="00473E6F" w:rsidRPr="00D520D0">
        <w:t>should not be made final.</w:t>
      </w:r>
      <w:r w:rsidR="00473E6F" w:rsidRPr="00114D91">
        <w:rPr>
          <w:rStyle w:val="FootnoteReference"/>
        </w:rPr>
        <w:footnoteReference w:id="9"/>
      </w:r>
    </w:p>
    <w:p w14:paraId="5451E0EF" w14:textId="77777777" w:rsidR="00473E6F" w:rsidRPr="00114D91" w:rsidRDefault="00473E6F" w:rsidP="00473E6F">
      <w:pPr>
        <w:pStyle w:val="ListParagraph"/>
        <w:ind w:left="0"/>
        <w:rPr>
          <w:rFonts w:cs="Arial"/>
          <w:lang w:val="en-ZA"/>
        </w:rPr>
      </w:pPr>
    </w:p>
    <w:p w14:paraId="642F08F0" w14:textId="5C13986C" w:rsidR="00473E6F" w:rsidRPr="00D520D0" w:rsidRDefault="00D520D0" w:rsidP="00D520D0">
      <w:r w:rsidRPr="00114D91">
        <w:rPr>
          <w:spacing w:val="0"/>
          <w:szCs w:val="22"/>
        </w:rPr>
        <w:t>[30]</w:t>
      </w:r>
      <w:r w:rsidRPr="00114D91">
        <w:rPr>
          <w:spacing w:val="0"/>
          <w:szCs w:val="22"/>
        </w:rPr>
        <w:tab/>
      </w:r>
      <w:r w:rsidR="00473E6F" w:rsidRPr="00D520D0">
        <w:t xml:space="preserve">Ms </w:t>
      </w:r>
      <w:proofErr w:type="spellStart"/>
      <w:r w:rsidR="00473E6F" w:rsidRPr="00D520D0">
        <w:t>Kahengombe</w:t>
      </w:r>
      <w:proofErr w:type="spellEnd"/>
      <w:r w:rsidR="00437297" w:rsidRPr="00D520D0">
        <w:t xml:space="preserve"> raised a legal point and</w:t>
      </w:r>
      <w:r w:rsidR="00473E6F" w:rsidRPr="00D520D0">
        <w:t xml:space="preserve"> submitted that the applicants’ relief sought is incompetent given that the applicants have failed to institute any proceeding either as part B to this </w:t>
      </w:r>
      <w:r w:rsidR="00670100" w:rsidRPr="00D520D0">
        <w:t>application</w:t>
      </w:r>
      <w:r w:rsidR="00473E6F" w:rsidRPr="00D520D0">
        <w:t xml:space="preserve">, or by means of action proceedings, that would </w:t>
      </w:r>
      <w:r w:rsidR="00670100" w:rsidRPr="00D520D0">
        <w:t xml:space="preserve">inter alia </w:t>
      </w:r>
      <w:r w:rsidR="00473E6F" w:rsidRPr="00D520D0">
        <w:t>deal with the recalculation and rectification of the applicant’s rates and taxes as reflected in their statements. In this regard, it was submitted that the relief sought cannot stand alone without there being an action or motion proceeding before this court dealing with the merits of the case.</w:t>
      </w:r>
    </w:p>
    <w:p w14:paraId="7B76D067" w14:textId="77777777" w:rsidR="00473E6F" w:rsidRPr="00114D91" w:rsidRDefault="00473E6F" w:rsidP="00473E6F">
      <w:pPr>
        <w:pStyle w:val="ListParagraph"/>
        <w:rPr>
          <w:rFonts w:cs="Arial"/>
          <w:lang w:val="en-ZA"/>
        </w:rPr>
      </w:pPr>
    </w:p>
    <w:p w14:paraId="1825EADE" w14:textId="2CAB973F" w:rsidR="00473E6F" w:rsidRPr="00D520D0" w:rsidRDefault="00D520D0" w:rsidP="00D520D0">
      <w:r w:rsidRPr="00114D91">
        <w:rPr>
          <w:spacing w:val="0"/>
          <w:szCs w:val="22"/>
        </w:rPr>
        <w:t>[31]</w:t>
      </w:r>
      <w:r w:rsidRPr="00114D91">
        <w:rPr>
          <w:spacing w:val="0"/>
          <w:szCs w:val="22"/>
        </w:rPr>
        <w:tab/>
      </w:r>
      <w:r w:rsidR="00670100" w:rsidRPr="00D520D0">
        <w:t xml:space="preserve">Ms </w:t>
      </w:r>
      <w:proofErr w:type="spellStart"/>
      <w:r w:rsidR="00670100" w:rsidRPr="00D520D0">
        <w:t>Amupolo</w:t>
      </w:r>
      <w:proofErr w:type="spellEnd"/>
      <w:r w:rsidR="00670100" w:rsidRPr="00D520D0">
        <w:t xml:space="preserve"> on behalf of the applicants </w:t>
      </w:r>
      <w:r w:rsidR="00473E6F" w:rsidRPr="00D520D0">
        <w:t>submitted ‘there is nothing in law preventing this [c]</w:t>
      </w:r>
      <w:proofErr w:type="spellStart"/>
      <w:r w:rsidR="00473E6F" w:rsidRPr="00D520D0">
        <w:t>ourt</w:t>
      </w:r>
      <w:proofErr w:type="spellEnd"/>
      <w:r w:rsidR="00473E6F" w:rsidRPr="00D520D0">
        <w:t xml:space="preserve"> from granting an order for the relief sought merely on the grounds that the proceedings intended to be instituted in respect of the applicants’ rates and taxes account have yet to be instituted.’ It was submitted further that the court enjoys discretion to grant an order limiting the operation of the interdict and that such an order can be made by this court</w:t>
      </w:r>
      <w:r w:rsidR="00670100" w:rsidRPr="00D520D0">
        <w:t>, thereby</w:t>
      </w:r>
      <w:r w:rsidR="00473E6F" w:rsidRPr="00D520D0">
        <w:t xml:space="preserve"> allowing the applicants to institute these proceedings.</w:t>
      </w:r>
    </w:p>
    <w:p w14:paraId="01B00C69" w14:textId="77777777" w:rsidR="00473E6F" w:rsidRPr="00114D91" w:rsidRDefault="00473E6F" w:rsidP="00473E6F">
      <w:pPr>
        <w:pStyle w:val="ListParagraph"/>
        <w:rPr>
          <w:rFonts w:cs="Arial"/>
          <w:lang w:val="en-ZA"/>
        </w:rPr>
      </w:pPr>
    </w:p>
    <w:p w14:paraId="59D8CFBD" w14:textId="1E177D25" w:rsidR="00473E6F" w:rsidRPr="00D520D0" w:rsidRDefault="00D520D0" w:rsidP="00D520D0">
      <w:r w:rsidRPr="00114D91">
        <w:rPr>
          <w:spacing w:val="0"/>
          <w:szCs w:val="22"/>
        </w:rPr>
        <w:t>[32]</w:t>
      </w:r>
      <w:r w:rsidRPr="00114D91">
        <w:rPr>
          <w:spacing w:val="0"/>
          <w:szCs w:val="22"/>
        </w:rPr>
        <w:tab/>
      </w:r>
      <w:r w:rsidR="00473E6F" w:rsidRPr="00D520D0">
        <w:t>If I under</w:t>
      </w:r>
      <w:r w:rsidR="00BD5929" w:rsidRPr="00D520D0">
        <w:t xml:space="preserve">stand </w:t>
      </w:r>
      <w:r w:rsidR="00670100" w:rsidRPr="00D520D0">
        <w:t xml:space="preserve">Ms </w:t>
      </w:r>
      <w:proofErr w:type="spellStart"/>
      <w:r w:rsidR="00670100" w:rsidRPr="00D520D0">
        <w:t>Amupolo’s</w:t>
      </w:r>
      <w:proofErr w:type="spellEnd"/>
      <w:r w:rsidR="00670100" w:rsidRPr="00D520D0">
        <w:t xml:space="preserve"> </w:t>
      </w:r>
      <w:r w:rsidR="00473E6F" w:rsidRPr="00D520D0">
        <w:t xml:space="preserve">argument correctly, it </w:t>
      </w:r>
      <w:r w:rsidR="00670100" w:rsidRPr="00D520D0">
        <w:t>appears</w:t>
      </w:r>
      <w:r w:rsidR="00473E6F" w:rsidRPr="00D520D0">
        <w:t xml:space="preserve"> that the applicants contend that regardless of </w:t>
      </w:r>
      <w:r w:rsidR="00670100" w:rsidRPr="00D520D0">
        <w:t xml:space="preserve">whether an action or proceeding is instituted or not, </w:t>
      </w:r>
      <w:r w:rsidR="00473E6F" w:rsidRPr="00D520D0">
        <w:t>the court has discretion</w:t>
      </w:r>
      <w:r w:rsidR="00437297" w:rsidRPr="00D520D0">
        <w:t xml:space="preserve"> </w:t>
      </w:r>
      <w:r w:rsidR="0015555B" w:rsidRPr="00D520D0">
        <w:t xml:space="preserve">to </w:t>
      </w:r>
      <w:r w:rsidR="00437297" w:rsidRPr="00D520D0">
        <w:t xml:space="preserve">confirm the rule </w:t>
      </w:r>
      <w:r w:rsidR="00437297" w:rsidRPr="00D520D0">
        <w:rPr>
          <w:iCs/>
        </w:rPr>
        <w:t xml:space="preserve">nisi </w:t>
      </w:r>
      <w:r w:rsidR="00437297" w:rsidRPr="00D520D0">
        <w:t>and to place a time limit when the applicants should i</w:t>
      </w:r>
      <w:r w:rsidR="00473E6F" w:rsidRPr="00D520D0">
        <w:t xml:space="preserve">nstitute </w:t>
      </w:r>
      <w:r w:rsidR="00B03CD7" w:rsidRPr="00D520D0">
        <w:t>the action.</w:t>
      </w:r>
    </w:p>
    <w:p w14:paraId="6DA67D52" w14:textId="77777777" w:rsidR="00473E6F" w:rsidRPr="00114D91" w:rsidRDefault="00473E6F" w:rsidP="00473E6F">
      <w:pPr>
        <w:pStyle w:val="ListParagraph"/>
        <w:rPr>
          <w:rFonts w:cs="Arial"/>
          <w:lang w:val="en-ZA"/>
        </w:rPr>
      </w:pPr>
    </w:p>
    <w:p w14:paraId="766E3358" w14:textId="6DD83994" w:rsidR="00473E6F" w:rsidRPr="00D520D0" w:rsidRDefault="00D520D0" w:rsidP="00D520D0">
      <w:r>
        <w:rPr>
          <w:spacing w:val="0"/>
          <w:szCs w:val="22"/>
        </w:rPr>
        <w:t>[33]</w:t>
      </w:r>
      <w:r>
        <w:rPr>
          <w:spacing w:val="0"/>
          <w:szCs w:val="22"/>
        </w:rPr>
        <w:tab/>
      </w:r>
      <w:r w:rsidR="00473E6F" w:rsidRPr="00D520D0">
        <w:t xml:space="preserve">To consider the applicants’ argument, I consider </w:t>
      </w:r>
      <w:r w:rsidR="00670100" w:rsidRPr="00D520D0">
        <w:t xml:space="preserve">that </w:t>
      </w:r>
      <w:r w:rsidR="00473E6F" w:rsidRPr="00D520D0">
        <w:t xml:space="preserve">the </w:t>
      </w:r>
      <w:r w:rsidR="00670100" w:rsidRPr="00D520D0">
        <w:t xml:space="preserve">rule nisi issued </w:t>
      </w:r>
      <w:r w:rsidR="00473E6F" w:rsidRPr="00D520D0">
        <w:t>on 7 August 2023</w:t>
      </w:r>
      <w:r w:rsidR="00670100" w:rsidRPr="00D520D0">
        <w:t xml:space="preserve"> (which was extended and heard eventually on 5 December 2023)</w:t>
      </w:r>
      <w:r w:rsidR="00473E6F" w:rsidRPr="00D520D0">
        <w:t xml:space="preserve">, </w:t>
      </w:r>
      <w:r w:rsidR="00670100" w:rsidRPr="00D520D0">
        <w:t xml:space="preserve">granted interim relief pending the return date of the rule nisi for purposes of instituting action against the City. Some four months have passed and absolutely nothing has been done by the applicants. </w:t>
      </w:r>
    </w:p>
    <w:p w14:paraId="36912D7B" w14:textId="77777777" w:rsidR="00670100" w:rsidRPr="00114D91" w:rsidRDefault="00670100" w:rsidP="00670100">
      <w:pPr>
        <w:pStyle w:val="ListParagraph"/>
        <w:ind w:left="0"/>
        <w:rPr>
          <w:rFonts w:cs="Arial"/>
          <w:lang w:val="en-ZA"/>
        </w:rPr>
      </w:pPr>
    </w:p>
    <w:p w14:paraId="7CB4B97E" w14:textId="1671A4D7" w:rsidR="00473E6F" w:rsidRPr="00D520D0" w:rsidRDefault="00D520D0" w:rsidP="00D520D0">
      <w:r w:rsidRPr="00114D91">
        <w:rPr>
          <w:spacing w:val="0"/>
          <w:szCs w:val="22"/>
        </w:rPr>
        <w:lastRenderedPageBreak/>
        <w:t>[34]</w:t>
      </w:r>
      <w:r w:rsidRPr="00114D91">
        <w:rPr>
          <w:spacing w:val="0"/>
          <w:szCs w:val="22"/>
        </w:rPr>
        <w:tab/>
      </w:r>
      <w:r w:rsidR="00670100" w:rsidRPr="00D520D0">
        <w:t>T</w:t>
      </w:r>
      <w:r w:rsidR="00473E6F" w:rsidRPr="00D520D0">
        <w:t xml:space="preserve">he motivation for granting the rule </w:t>
      </w:r>
      <w:r w:rsidR="00473E6F" w:rsidRPr="00D520D0">
        <w:rPr>
          <w:iCs/>
        </w:rPr>
        <w:t>nisi</w:t>
      </w:r>
      <w:r w:rsidR="00336B37" w:rsidRPr="00D520D0">
        <w:rPr>
          <w:iCs/>
        </w:rPr>
        <w:t xml:space="preserve"> </w:t>
      </w:r>
      <w:r w:rsidR="00336B37" w:rsidRPr="00D520D0">
        <w:t xml:space="preserve">was </w:t>
      </w:r>
      <w:r w:rsidR="00473E6F" w:rsidRPr="00D520D0">
        <w:t xml:space="preserve">that proceedings would be instituted for the recalculation and rectification of the applicants’ rates and taxes as reflected on their account statements in relation to the property. ‘Inherent in an order granted </w:t>
      </w:r>
      <w:r w:rsidR="00473E6F" w:rsidRPr="00D520D0">
        <w:rPr>
          <w:i/>
        </w:rPr>
        <w:t>pendente lite</w:t>
      </w:r>
      <w:r w:rsidR="00473E6F" w:rsidRPr="00D520D0">
        <w:t xml:space="preserve"> is that an applicant show[s] its </w:t>
      </w:r>
      <w:r w:rsidR="00473E6F" w:rsidRPr="00D520D0">
        <w:rPr>
          <w:i/>
        </w:rPr>
        <w:t>bona fides</w:t>
      </w:r>
      <w:r w:rsidR="00473E6F" w:rsidRPr="00D520D0">
        <w:t xml:space="preserve"> by institut</w:t>
      </w:r>
      <w:r w:rsidR="00336B37" w:rsidRPr="00D520D0">
        <w:t>ing action as soon as possible.’</w:t>
      </w:r>
      <w:r w:rsidR="00473E6F" w:rsidRPr="00114D91">
        <w:rPr>
          <w:rStyle w:val="FootnoteReference"/>
        </w:rPr>
        <w:footnoteReference w:id="10"/>
      </w:r>
      <w:r w:rsidR="00336B37" w:rsidRPr="00D520D0">
        <w:t xml:space="preserve"> Presently, t</w:t>
      </w:r>
      <w:r w:rsidR="00473E6F" w:rsidRPr="00D520D0">
        <w:t xml:space="preserve">here </w:t>
      </w:r>
      <w:r w:rsidR="00336B37" w:rsidRPr="00D520D0">
        <w:t>are no</w:t>
      </w:r>
      <w:r w:rsidR="00473E6F" w:rsidRPr="00D520D0">
        <w:t xml:space="preserve"> reason</w:t>
      </w:r>
      <w:r w:rsidR="00336B37" w:rsidRPr="00D520D0">
        <w:t>s</w:t>
      </w:r>
      <w:r w:rsidR="00473E6F" w:rsidRPr="00D520D0">
        <w:t xml:space="preserve"> proffered by the applicants as to why these proceedings have not been instituted.</w:t>
      </w:r>
    </w:p>
    <w:p w14:paraId="3C3D00CC" w14:textId="77777777" w:rsidR="00473E6F" w:rsidRPr="00114D91" w:rsidRDefault="00473E6F" w:rsidP="00473E6F">
      <w:pPr>
        <w:pStyle w:val="ListParagraph"/>
        <w:ind w:left="0"/>
        <w:rPr>
          <w:rFonts w:cs="Arial"/>
          <w:lang w:val="en-ZA"/>
        </w:rPr>
      </w:pPr>
    </w:p>
    <w:p w14:paraId="09CAC79F" w14:textId="230FE936" w:rsidR="00EC401C" w:rsidRPr="00D520D0" w:rsidRDefault="00D520D0" w:rsidP="00D520D0">
      <w:r w:rsidRPr="00EC401C">
        <w:rPr>
          <w:spacing w:val="0"/>
          <w:szCs w:val="22"/>
        </w:rPr>
        <w:t>[35]</w:t>
      </w:r>
      <w:r w:rsidRPr="00EC401C">
        <w:rPr>
          <w:spacing w:val="0"/>
          <w:szCs w:val="22"/>
        </w:rPr>
        <w:tab/>
      </w:r>
      <w:r w:rsidR="00473E6F" w:rsidRPr="00D520D0">
        <w:t xml:space="preserve">In </w:t>
      </w:r>
      <w:r w:rsidR="00473E6F" w:rsidRPr="00D520D0">
        <w:rPr>
          <w:i/>
        </w:rPr>
        <w:t>Juta &amp; Co Ltd v Legal and Financial Publishing Co (Pty) Ltd</w:t>
      </w:r>
      <w:r w:rsidR="00473E6F" w:rsidRPr="00114D91">
        <w:rPr>
          <w:rStyle w:val="FootnoteReference"/>
          <w:i/>
        </w:rPr>
        <w:footnoteReference w:id="11"/>
      </w:r>
      <w:r w:rsidR="00473E6F" w:rsidRPr="00D520D0">
        <w:t xml:space="preserve"> the court granted an interdict </w:t>
      </w:r>
      <w:r w:rsidR="00473E6F" w:rsidRPr="00D520D0">
        <w:rPr>
          <w:i/>
        </w:rPr>
        <w:t>pendente lite</w:t>
      </w:r>
      <w:r w:rsidR="00473E6F" w:rsidRPr="00D520D0">
        <w:t xml:space="preserve"> and despite the lapse of some five months, the applicant had failed to issue summons to institute the action. The court discharged the rule </w:t>
      </w:r>
      <w:r w:rsidR="00473E6F" w:rsidRPr="00D520D0">
        <w:rPr>
          <w:iCs/>
        </w:rPr>
        <w:t>nisi</w:t>
      </w:r>
      <w:r w:rsidR="00473E6F" w:rsidRPr="00D520D0">
        <w:t xml:space="preserve"> and held </w:t>
      </w:r>
      <w:r w:rsidR="000B7D5A" w:rsidRPr="00D520D0">
        <w:t>that ‘there is such a thing as the tyranny of litigation and a [c]</w:t>
      </w:r>
      <w:proofErr w:type="spellStart"/>
      <w:r w:rsidR="000B7D5A" w:rsidRPr="00D520D0">
        <w:t>ourt</w:t>
      </w:r>
      <w:proofErr w:type="spellEnd"/>
      <w:r w:rsidR="000B7D5A" w:rsidRPr="00D520D0">
        <w:t xml:space="preserve"> of law should not allow a party to drag out proceedings unduly … an interdict </w:t>
      </w:r>
      <w:r w:rsidR="000B7D5A" w:rsidRPr="00D520D0">
        <w:rPr>
          <w:i/>
        </w:rPr>
        <w:t>pendente lite</w:t>
      </w:r>
      <w:r w:rsidR="000B7D5A" w:rsidRPr="00D520D0">
        <w:t xml:space="preserve"> which from its very nature, requires the maximum expedition on the part of an applicant.’</w:t>
      </w:r>
    </w:p>
    <w:p w14:paraId="7458436B" w14:textId="77777777" w:rsidR="00EC401C" w:rsidRPr="000B7D5A" w:rsidRDefault="00EC401C" w:rsidP="00EC401C">
      <w:pPr>
        <w:pStyle w:val="ListParagraph"/>
        <w:ind w:left="0"/>
        <w:rPr>
          <w:rFonts w:cs="Arial"/>
          <w:lang w:val="en-ZA"/>
        </w:rPr>
      </w:pPr>
    </w:p>
    <w:p w14:paraId="5CFF04D4" w14:textId="19F88D5A" w:rsidR="00473E6F" w:rsidRPr="00D520D0" w:rsidRDefault="00D520D0" w:rsidP="00D520D0">
      <w:r w:rsidRPr="00670100">
        <w:rPr>
          <w:spacing w:val="0"/>
          <w:szCs w:val="22"/>
        </w:rPr>
        <w:t>[36]</w:t>
      </w:r>
      <w:r w:rsidRPr="00670100">
        <w:rPr>
          <w:spacing w:val="0"/>
          <w:szCs w:val="22"/>
        </w:rPr>
        <w:tab/>
      </w:r>
      <w:r w:rsidR="00473E6F" w:rsidRPr="00D520D0">
        <w:t xml:space="preserve">It cannot be gainsaid that the dictum in </w:t>
      </w:r>
      <w:r w:rsidR="00473E6F" w:rsidRPr="00D520D0">
        <w:rPr>
          <w:i/>
        </w:rPr>
        <w:t xml:space="preserve">Juta </w:t>
      </w:r>
      <w:r w:rsidR="00473E6F" w:rsidRPr="00D520D0">
        <w:t xml:space="preserve">supra is applicable in this instance. The applicants sought this court’s </w:t>
      </w:r>
      <w:r w:rsidR="00670100" w:rsidRPr="00D520D0">
        <w:t xml:space="preserve">assistance </w:t>
      </w:r>
      <w:r w:rsidR="00473E6F" w:rsidRPr="00D520D0">
        <w:t xml:space="preserve">to hear </w:t>
      </w:r>
      <w:r w:rsidR="00670100" w:rsidRPr="00D520D0">
        <w:t>their</w:t>
      </w:r>
      <w:r w:rsidR="00473E6F" w:rsidRPr="00D520D0">
        <w:t xml:space="preserve"> plea on an urgent basis and </w:t>
      </w:r>
      <w:r w:rsidR="000B7D5A" w:rsidRPr="00D520D0">
        <w:t>this court came to</w:t>
      </w:r>
      <w:r w:rsidR="00EC401C" w:rsidRPr="00D520D0">
        <w:t xml:space="preserve"> </w:t>
      </w:r>
      <w:r w:rsidR="00670100" w:rsidRPr="00D520D0">
        <w:t>their assistance</w:t>
      </w:r>
      <w:r w:rsidR="000B7D5A" w:rsidRPr="00D520D0">
        <w:t xml:space="preserve">. </w:t>
      </w:r>
      <w:r w:rsidR="00473E6F" w:rsidRPr="00D520D0">
        <w:t>In the premise</w:t>
      </w:r>
      <w:r w:rsidR="00670100" w:rsidRPr="00D520D0">
        <w:t>s</w:t>
      </w:r>
      <w:r w:rsidR="00473E6F" w:rsidRPr="00D520D0">
        <w:t xml:space="preserve">, it is my considered view that the rule </w:t>
      </w:r>
      <w:r w:rsidR="00473E6F" w:rsidRPr="00D520D0">
        <w:rPr>
          <w:iCs/>
        </w:rPr>
        <w:t>nisi</w:t>
      </w:r>
      <w:r w:rsidR="000B7D5A" w:rsidRPr="00D520D0">
        <w:t xml:space="preserve"> cannot be confirmed and must accordingly be discharged.</w:t>
      </w:r>
    </w:p>
    <w:p w14:paraId="3E69206B" w14:textId="77777777" w:rsidR="00473E6F" w:rsidRPr="00114D91" w:rsidRDefault="00473E6F" w:rsidP="00473E6F">
      <w:pPr>
        <w:pStyle w:val="ListParagraph"/>
        <w:ind w:left="0"/>
        <w:rPr>
          <w:rFonts w:cs="Arial"/>
          <w:lang w:val="en-ZA"/>
        </w:rPr>
      </w:pPr>
    </w:p>
    <w:p w14:paraId="620D75D2" w14:textId="2CB679FD" w:rsidR="00473E6F" w:rsidRPr="00D520D0" w:rsidRDefault="00D520D0" w:rsidP="00D520D0">
      <w:r w:rsidRPr="00114D91">
        <w:rPr>
          <w:spacing w:val="0"/>
          <w:szCs w:val="22"/>
        </w:rPr>
        <w:t>[37]</w:t>
      </w:r>
      <w:r w:rsidRPr="00114D91">
        <w:rPr>
          <w:spacing w:val="0"/>
          <w:szCs w:val="22"/>
        </w:rPr>
        <w:tab/>
      </w:r>
      <w:r w:rsidR="00473E6F" w:rsidRPr="00D520D0">
        <w:t>Before I conclude, it would be remiss of me not to mention what I deem to be unbecoming conduct of the legal practitioners for the parties as officers of this court. It is trite</w:t>
      </w:r>
      <w:r w:rsidR="00BD5929" w:rsidRPr="00D520D0">
        <w:t xml:space="preserve"> </w:t>
      </w:r>
      <w:r w:rsidR="00473E6F" w:rsidRPr="00D520D0">
        <w:t>that legal practitioners are duty</w:t>
      </w:r>
      <w:r w:rsidR="00BD5929" w:rsidRPr="00D520D0">
        <w:t xml:space="preserve"> bound to act, </w:t>
      </w:r>
      <w:proofErr w:type="gramStart"/>
      <w:r w:rsidR="00BD5929" w:rsidRPr="00D520D0">
        <w:t>at all times</w:t>
      </w:r>
      <w:proofErr w:type="gramEnd"/>
      <w:r w:rsidR="00BD5929" w:rsidRPr="00D520D0">
        <w:t xml:space="preserve">, in </w:t>
      </w:r>
      <w:r w:rsidR="00473E6F" w:rsidRPr="00D520D0">
        <w:t>the best interest of</w:t>
      </w:r>
      <w:r w:rsidR="00336B37" w:rsidRPr="00D520D0">
        <w:t xml:space="preserve"> justice and</w:t>
      </w:r>
      <w:r w:rsidR="00670100" w:rsidRPr="00D520D0">
        <w:t xml:space="preserve"> to assist the court</w:t>
      </w:r>
      <w:r w:rsidR="00336B37" w:rsidRPr="00D520D0">
        <w:t>.</w:t>
      </w:r>
    </w:p>
    <w:p w14:paraId="396DE809" w14:textId="77777777" w:rsidR="00473E6F" w:rsidRPr="00114D91" w:rsidRDefault="00473E6F" w:rsidP="00473E6F">
      <w:pPr>
        <w:pStyle w:val="ListParagraph"/>
        <w:ind w:left="0"/>
        <w:rPr>
          <w:rFonts w:cs="Arial"/>
          <w:lang w:val="en-ZA"/>
        </w:rPr>
      </w:pPr>
    </w:p>
    <w:p w14:paraId="3722A2AE" w14:textId="427DE385" w:rsidR="00241762" w:rsidRPr="00D520D0" w:rsidRDefault="00D520D0" w:rsidP="00D520D0">
      <w:r w:rsidRPr="00114D91">
        <w:rPr>
          <w:spacing w:val="0"/>
          <w:szCs w:val="22"/>
        </w:rPr>
        <w:t>[38]</w:t>
      </w:r>
      <w:r w:rsidRPr="00114D91">
        <w:rPr>
          <w:spacing w:val="0"/>
          <w:szCs w:val="22"/>
        </w:rPr>
        <w:tab/>
      </w:r>
      <w:r w:rsidR="00473E6F" w:rsidRPr="00D520D0">
        <w:t>Neither counsel for the applicants nor th</w:t>
      </w:r>
      <w:r w:rsidR="00EC401C" w:rsidRPr="00D520D0">
        <w:t xml:space="preserve">e City of Windhoek presented </w:t>
      </w:r>
      <w:r w:rsidR="00473E6F" w:rsidRPr="00D520D0">
        <w:t xml:space="preserve">the </w:t>
      </w:r>
      <w:r w:rsidR="00473E6F" w:rsidRPr="00D520D0">
        <w:lastRenderedPageBreak/>
        <w:t xml:space="preserve">court </w:t>
      </w:r>
      <w:r w:rsidR="00EC401C" w:rsidRPr="00D520D0">
        <w:t xml:space="preserve">with </w:t>
      </w:r>
      <w:r w:rsidR="00473E6F" w:rsidRPr="00D520D0">
        <w:t xml:space="preserve">any authority in respect of the points in </w:t>
      </w:r>
      <w:proofErr w:type="spellStart"/>
      <w:r w:rsidR="00473E6F" w:rsidRPr="00D520D0">
        <w:rPr>
          <w:iCs/>
        </w:rPr>
        <w:t>limine</w:t>
      </w:r>
      <w:proofErr w:type="spellEnd"/>
      <w:r w:rsidR="00473E6F" w:rsidRPr="00D520D0">
        <w:rPr>
          <w:iCs/>
        </w:rPr>
        <w:t xml:space="preserve"> </w:t>
      </w:r>
      <w:r w:rsidR="00473E6F" w:rsidRPr="00D520D0">
        <w:t>raised by the City of Windhoek, specifically that the relief sought by the applicants cannot stand alone without the institution of an action before this court. Thus, le</w:t>
      </w:r>
      <w:r w:rsidR="00241762" w:rsidRPr="00D520D0">
        <w:t xml:space="preserve">aving it up to this court to hunt and gather relevant authority to assist it in determining this matter. I </w:t>
      </w:r>
      <w:r w:rsidR="00B65146" w:rsidRPr="00D520D0">
        <w:t>concur with</w:t>
      </w:r>
      <w:r w:rsidR="00241762" w:rsidRPr="00D520D0">
        <w:t xml:space="preserve"> the remarks made in </w:t>
      </w:r>
      <w:r w:rsidR="00241762" w:rsidRPr="00D520D0">
        <w:rPr>
          <w:i/>
        </w:rPr>
        <w:t>Development Bank of Namibia v Vero Group CC</w:t>
      </w:r>
      <w:r w:rsidR="00241762" w:rsidRPr="00114D91">
        <w:rPr>
          <w:rStyle w:val="FootnoteReference"/>
          <w:i/>
        </w:rPr>
        <w:footnoteReference w:id="12"/>
      </w:r>
      <w:r w:rsidR="00241762" w:rsidRPr="00D520D0">
        <w:rPr>
          <w:i/>
        </w:rPr>
        <w:t xml:space="preserve"> </w:t>
      </w:r>
      <w:r w:rsidR="00B65146" w:rsidRPr="00D520D0">
        <w:t xml:space="preserve">wherein Masuku J </w:t>
      </w:r>
      <w:r w:rsidR="00B03CD7" w:rsidRPr="00D520D0">
        <w:t xml:space="preserve">succinctly </w:t>
      </w:r>
      <w:r w:rsidR="00B65146" w:rsidRPr="00D520D0">
        <w:t>stated</w:t>
      </w:r>
      <w:r w:rsidR="00241762" w:rsidRPr="00D520D0">
        <w:t xml:space="preserve"> –</w:t>
      </w:r>
    </w:p>
    <w:p w14:paraId="1D0E94C1" w14:textId="77777777" w:rsidR="00241762" w:rsidRPr="00114D91" w:rsidRDefault="00241762" w:rsidP="00241762">
      <w:pPr>
        <w:pStyle w:val="ListParagraph"/>
        <w:rPr>
          <w:rFonts w:cs="Arial"/>
          <w:lang w:val="en-ZA"/>
        </w:rPr>
      </w:pPr>
    </w:p>
    <w:p w14:paraId="6FAEB97B" w14:textId="4731D997" w:rsidR="00241762" w:rsidRPr="00114D91" w:rsidRDefault="00241762" w:rsidP="00241762">
      <w:pPr>
        <w:pStyle w:val="ListParagraph"/>
        <w:ind w:left="0" w:firstLine="720"/>
        <w:rPr>
          <w:rFonts w:cs="Arial"/>
          <w:sz w:val="22"/>
          <w:lang w:val="en-ZA"/>
        </w:rPr>
      </w:pPr>
      <w:r w:rsidRPr="00114D91">
        <w:rPr>
          <w:rFonts w:cs="Arial"/>
          <w:sz w:val="22"/>
          <w:lang w:val="en-ZA"/>
        </w:rPr>
        <w:t>‘To leave the court in the dense forest of authority to hunt and find the relevant ones is clearly irresponsible and is to be deprecated. In future, where this scenario repeats itself, I will send the matter back to the legal practitioners involved for them to perform their legal and ethical duty to the court.’</w:t>
      </w:r>
    </w:p>
    <w:p w14:paraId="4ECFFF1F" w14:textId="77777777" w:rsidR="00241762" w:rsidRPr="00114D91" w:rsidRDefault="00241762" w:rsidP="00241762">
      <w:pPr>
        <w:pStyle w:val="ListParagraph"/>
        <w:ind w:left="0"/>
        <w:rPr>
          <w:rFonts w:cs="Arial"/>
          <w:lang w:val="en-ZA"/>
        </w:rPr>
      </w:pPr>
    </w:p>
    <w:p w14:paraId="6AA28BD0" w14:textId="532B27BE" w:rsidR="00473E6F" w:rsidRPr="00D520D0" w:rsidRDefault="00D520D0" w:rsidP="00D520D0">
      <w:r w:rsidRPr="00114D91">
        <w:rPr>
          <w:spacing w:val="0"/>
          <w:szCs w:val="22"/>
        </w:rPr>
        <w:t>[39]</w:t>
      </w:r>
      <w:r w:rsidRPr="00114D91">
        <w:rPr>
          <w:spacing w:val="0"/>
          <w:szCs w:val="22"/>
        </w:rPr>
        <w:tab/>
      </w:r>
      <w:r w:rsidR="00473E6F" w:rsidRPr="00D520D0">
        <w:t>Albeit in a different context where</w:t>
      </w:r>
      <w:r w:rsidR="00670100" w:rsidRPr="00D520D0">
        <w:t xml:space="preserve"> </w:t>
      </w:r>
      <w:r w:rsidR="00473E6F" w:rsidRPr="00D520D0">
        <w:t xml:space="preserve">counsel withheld </w:t>
      </w:r>
      <w:r w:rsidR="00246959" w:rsidRPr="00D520D0">
        <w:t xml:space="preserve">presenting </w:t>
      </w:r>
      <w:r w:rsidR="00473E6F" w:rsidRPr="00D520D0">
        <w:t xml:space="preserve">authority from the court, I find the dictum by the Supreme Court in </w:t>
      </w:r>
      <w:proofErr w:type="spellStart"/>
      <w:r w:rsidR="00473E6F" w:rsidRPr="00D520D0">
        <w:rPr>
          <w:i/>
        </w:rPr>
        <w:t>Gariseb</w:t>
      </w:r>
      <w:proofErr w:type="spellEnd"/>
      <w:r w:rsidR="00473E6F" w:rsidRPr="00D520D0">
        <w:rPr>
          <w:i/>
        </w:rPr>
        <w:t xml:space="preserve"> v </w:t>
      </w:r>
      <w:proofErr w:type="spellStart"/>
      <w:r w:rsidR="00473E6F" w:rsidRPr="00D520D0">
        <w:rPr>
          <w:i/>
        </w:rPr>
        <w:t>Ulimate</w:t>
      </w:r>
      <w:proofErr w:type="spellEnd"/>
      <w:r w:rsidR="00473E6F" w:rsidRPr="00D520D0">
        <w:rPr>
          <w:i/>
        </w:rPr>
        <w:t xml:space="preserve"> Safaris (Pty) Ltd</w:t>
      </w:r>
      <w:r w:rsidR="00473E6F" w:rsidRPr="00114D91">
        <w:rPr>
          <w:rStyle w:val="FootnoteReference"/>
          <w:i/>
        </w:rPr>
        <w:footnoteReference w:id="13"/>
      </w:r>
      <w:r w:rsidR="00473E6F" w:rsidRPr="00D520D0">
        <w:t xml:space="preserve"> quite fitting in the present instance, which dictum reads as follows:</w:t>
      </w:r>
    </w:p>
    <w:p w14:paraId="78DAAB96" w14:textId="77777777" w:rsidR="00473E6F" w:rsidRPr="00114D91" w:rsidRDefault="00473E6F" w:rsidP="00473E6F">
      <w:pPr>
        <w:pStyle w:val="ListParagraph"/>
        <w:rPr>
          <w:rFonts w:cs="Arial"/>
          <w:lang w:val="en-ZA"/>
        </w:rPr>
      </w:pPr>
    </w:p>
    <w:p w14:paraId="77F59173" w14:textId="4A1D33F0" w:rsidR="00473E6F" w:rsidRPr="00114D91" w:rsidRDefault="00473E6F" w:rsidP="00473E6F">
      <w:pPr>
        <w:pStyle w:val="ListParagraph"/>
        <w:ind w:left="0" w:firstLine="720"/>
        <w:rPr>
          <w:rFonts w:cs="Arial"/>
          <w:lang w:val="en-ZA"/>
        </w:rPr>
      </w:pPr>
      <w:r w:rsidRPr="00114D91">
        <w:rPr>
          <w:rFonts w:cs="Arial"/>
          <w:sz w:val="22"/>
          <w:lang w:val="en-ZA"/>
        </w:rPr>
        <w:t>‘</w:t>
      </w:r>
      <w:r w:rsidRPr="00114D91">
        <w:rPr>
          <w:rFonts w:cs="Arial"/>
          <w:sz w:val="22"/>
          <w:u w:val="single"/>
          <w:lang w:val="en-ZA"/>
        </w:rPr>
        <w:t>Counsel has a duty both to the client and the court. The latter duty compels him to cite to the court all authorities that are relevant to the dispute – both those that favour his client and those that favour the opponent.</w:t>
      </w:r>
      <w:r w:rsidRPr="00114D91">
        <w:rPr>
          <w:rFonts w:cs="Arial"/>
          <w:sz w:val="22"/>
          <w:lang w:val="en-ZA"/>
        </w:rPr>
        <w:t xml:space="preserve"> In the present case, counsel failed in his duty to the court, resulting in an erroneous judgment being entered against the appellant. </w:t>
      </w:r>
      <w:r w:rsidRPr="00114D91">
        <w:rPr>
          <w:rFonts w:cs="Arial"/>
          <w:sz w:val="22"/>
          <w:u w:val="single"/>
          <w:lang w:val="en-ZA"/>
        </w:rPr>
        <w:t xml:space="preserve">Anyone who takes the trouble to monitor the daily rolls published by the Registrar of the High Court on e-justice will notice that judges in the action stream on average manage not less than 200 cases and that the volume of interlocutory activity is frightfully high. Legal practitioners must therefore </w:t>
      </w:r>
      <w:proofErr w:type="gramStart"/>
      <w:r w:rsidRPr="00114D91">
        <w:rPr>
          <w:rFonts w:cs="Arial"/>
          <w:sz w:val="22"/>
          <w:u w:val="single"/>
          <w:lang w:val="en-ZA"/>
        </w:rPr>
        <w:t>offer assistance to</w:t>
      </w:r>
      <w:proofErr w:type="gramEnd"/>
      <w:r w:rsidRPr="00114D91">
        <w:rPr>
          <w:rFonts w:cs="Arial"/>
          <w:sz w:val="22"/>
          <w:u w:val="single"/>
          <w:lang w:val="en-ZA"/>
        </w:rPr>
        <w:t xml:space="preserve"> the managing judges by citing all relevant authorities.</w:t>
      </w:r>
      <w:r w:rsidRPr="00114D91">
        <w:rPr>
          <w:rFonts w:cs="Arial"/>
          <w:sz w:val="22"/>
          <w:lang w:val="en-ZA"/>
        </w:rPr>
        <w:t xml:space="preserve"> In the present case the failure to do so has resulted in costs being unnecessarily incurred and finalisation of the matter being duly prolonged.’ </w:t>
      </w:r>
      <w:r w:rsidRPr="00114D91">
        <w:rPr>
          <w:rFonts w:cs="Arial"/>
          <w:lang w:val="en-ZA"/>
        </w:rPr>
        <w:t xml:space="preserve">(Emphasis </w:t>
      </w:r>
      <w:r w:rsidR="0015555B">
        <w:rPr>
          <w:rFonts w:cs="Arial"/>
          <w:lang w:val="en-ZA"/>
        </w:rPr>
        <w:t>added</w:t>
      </w:r>
      <w:r w:rsidRPr="00114D91">
        <w:rPr>
          <w:rFonts w:cs="Arial"/>
          <w:lang w:val="en-ZA"/>
        </w:rPr>
        <w:t>)</w:t>
      </w:r>
    </w:p>
    <w:p w14:paraId="1BB2039B" w14:textId="088F3865" w:rsidR="00473E6F" w:rsidRPr="00114D91" w:rsidRDefault="00473E6F" w:rsidP="00473E6F">
      <w:pPr>
        <w:pStyle w:val="ListParagraph"/>
        <w:ind w:left="0"/>
        <w:rPr>
          <w:rFonts w:cs="Arial"/>
          <w:u w:val="single"/>
          <w:lang w:val="en-ZA"/>
        </w:rPr>
      </w:pPr>
    </w:p>
    <w:p w14:paraId="38639686" w14:textId="30097C23" w:rsidR="00473E6F" w:rsidRPr="00D520D0" w:rsidRDefault="00D520D0" w:rsidP="00D520D0">
      <w:r w:rsidRPr="00114D91">
        <w:rPr>
          <w:spacing w:val="0"/>
          <w:szCs w:val="22"/>
        </w:rPr>
        <w:t>[40]</w:t>
      </w:r>
      <w:r w:rsidRPr="00114D91">
        <w:rPr>
          <w:spacing w:val="0"/>
          <w:szCs w:val="22"/>
        </w:rPr>
        <w:tab/>
      </w:r>
      <w:r w:rsidR="00670100" w:rsidRPr="00D520D0">
        <w:t>As regards costs, t</w:t>
      </w:r>
      <w:r w:rsidR="00473E6F" w:rsidRPr="00D520D0">
        <w:t xml:space="preserve">he applicants submitted that should they be successful, an order for costs should be made in their favour. Should the </w:t>
      </w:r>
      <w:r w:rsidR="00473E6F" w:rsidRPr="00D520D0">
        <w:lastRenderedPageBreak/>
        <w:t xml:space="preserve">applicants not be successful, it was </w:t>
      </w:r>
      <w:r w:rsidR="00B65146" w:rsidRPr="00D520D0">
        <w:t>submitted that each party must</w:t>
      </w:r>
      <w:r w:rsidR="00473E6F" w:rsidRPr="00D520D0">
        <w:t xml:space="preserve"> pay their own costs. No submissions were made</w:t>
      </w:r>
      <w:r w:rsidR="00087FDF" w:rsidRPr="00D520D0">
        <w:t xml:space="preserve"> on behalf of</w:t>
      </w:r>
      <w:r w:rsidR="00473E6F" w:rsidRPr="00D520D0">
        <w:t xml:space="preserve"> City of Windhoek in respect of costs.</w:t>
      </w:r>
    </w:p>
    <w:p w14:paraId="5F925EA8" w14:textId="77777777" w:rsidR="00473E6F" w:rsidRPr="00114D91" w:rsidRDefault="00473E6F" w:rsidP="00473E6F">
      <w:pPr>
        <w:pStyle w:val="ListParagraph"/>
        <w:ind w:left="0"/>
        <w:rPr>
          <w:rFonts w:cs="Arial"/>
          <w:lang w:val="en-ZA"/>
        </w:rPr>
      </w:pPr>
    </w:p>
    <w:p w14:paraId="0D4633EB" w14:textId="4A2991EB" w:rsidR="00473E6F" w:rsidRPr="00D520D0" w:rsidRDefault="00D520D0" w:rsidP="00D520D0">
      <w:r w:rsidRPr="00114D91">
        <w:rPr>
          <w:spacing w:val="0"/>
          <w:szCs w:val="22"/>
        </w:rPr>
        <w:t>[41]</w:t>
      </w:r>
      <w:r w:rsidRPr="00114D91">
        <w:rPr>
          <w:spacing w:val="0"/>
          <w:szCs w:val="22"/>
        </w:rPr>
        <w:tab/>
      </w:r>
      <w:r w:rsidR="00473E6F" w:rsidRPr="00D520D0">
        <w:t xml:space="preserve">The principles relating to costs are trite and denote that the successful litigant must be indemnified with costs to the discretion of the court. </w:t>
      </w:r>
      <w:r w:rsidR="00670100" w:rsidRPr="00D520D0">
        <w:t>As</w:t>
      </w:r>
      <w:r w:rsidR="00473E6F" w:rsidRPr="00D520D0">
        <w:t xml:space="preserve"> both parties are </w:t>
      </w:r>
      <w:r w:rsidR="00670100" w:rsidRPr="00D520D0">
        <w:t xml:space="preserve">essentially </w:t>
      </w:r>
      <w:r w:rsidR="00473E6F" w:rsidRPr="00D520D0">
        <w:t xml:space="preserve">equally successful in upholding their respective points in </w:t>
      </w:r>
      <w:proofErr w:type="spellStart"/>
      <w:r w:rsidR="00473E6F" w:rsidRPr="00D520D0">
        <w:rPr>
          <w:iCs/>
        </w:rPr>
        <w:t>limine</w:t>
      </w:r>
      <w:proofErr w:type="spellEnd"/>
      <w:r w:rsidR="00B65146" w:rsidRPr="00D520D0">
        <w:t>, I do not</w:t>
      </w:r>
      <w:r w:rsidR="00473E6F" w:rsidRPr="00D520D0">
        <w:t xml:space="preserve"> see the need for either of the parties to be indemnified for their costs and</w:t>
      </w:r>
      <w:r w:rsidR="00670100" w:rsidRPr="00D520D0">
        <w:t xml:space="preserve"> I</w:t>
      </w:r>
      <w:r w:rsidR="00473E6F" w:rsidRPr="00D520D0">
        <w:t xml:space="preserve"> do not see the need for either of the parties to be burdened with a cost order. </w:t>
      </w:r>
      <w:r w:rsidR="00670100" w:rsidRPr="00D520D0">
        <w:t>Therefore, each party shall pay its own costs</w:t>
      </w:r>
      <w:r w:rsidR="00473E6F" w:rsidRPr="00D520D0">
        <w:t xml:space="preserve"> in this matter.</w:t>
      </w:r>
    </w:p>
    <w:p w14:paraId="644A4CAF" w14:textId="0BE550CF" w:rsidR="00473E6F" w:rsidRPr="00114D91" w:rsidRDefault="00473E6F" w:rsidP="00473E6F">
      <w:pPr>
        <w:pStyle w:val="ListParagraph"/>
        <w:ind w:left="0"/>
        <w:rPr>
          <w:rFonts w:cs="Arial"/>
          <w:u w:val="single"/>
          <w:lang w:val="en-ZA"/>
        </w:rPr>
      </w:pPr>
    </w:p>
    <w:p w14:paraId="116CC705" w14:textId="77777777" w:rsidR="00473E6F" w:rsidRPr="00114D91" w:rsidRDefault="00473E6F" w:rsidP="00473E6F">
      <w:pPr>
        <w:pStyle w:val="ListParagraph"/>
        <w:ind w:left="0"/>
        <w:rPr>
          <w:rFonts w:cs="Arial"/>
          <w:lang w:val="en-ZA"/>
        </w:rPr>
      </w:pPr>
    </w:p>
    <w:p w14:paraId="151BBE72" w14:textId="72F0663E" w:rsidR="00473E6F" w:rsidRPr="00D520D0" w:rsidRDefault="00D520D0" w:rsidP="00D520D0">
      <w:r w:rsidRPr="00114D91">
        <w:rPr>
          <w:spacing w:val="0"/>
          <w:szCs w:val="22"/>
        </w:rPr>
        <w:t>[42]</w:t>
      </w:r>
      <w:r w:rsidRPr="00114D91">
        <w:rPr>
          <w:spacing w:val="0"/>
          <w:szCs w:val="22"/>
        </w:rPr>
        <w:tab/>
      </w:r>
      <w:r w:rsidR="00670100" w:rsidRPr="00D520D0">
        <w:t>F</w:t>
      </w:r>
      <w:r w:rsidR="00473E6F" w:rsidRPr="00D520D0">
        <w:t xml:space="preserve">or the foregoing reasons, </w:t>
      </w:r>
      <w:r w:rsidR="000B7D5A" w:rsidRPr="00D520D0">
        <w:t>the following order is made</w:t>
      </w:r>
      <w:r w:rsidR="00473E6F" w:rsidRPr="00D520D0">
        <w:t>:</w:t>
      </w:r>
    </w:p>
    <w:p w14:paraId="6465D4A8" w14:textId="77777777" w:rsidR="00473E6F" w:rsidRPr="00114D91" w:rsidRDefault="00473E6F" w:rsidP="00473E6F">
      <w:pPr>
        <w:pStyle w:val="ListParagraph"/>
        <w:ind w:left="0"/>
        <w:rPr>
          <w:rFonts w:cs="Arial"/>
          <w:lang w:val="en-ZA"/>
        </w:rPr>
      </w:pPr>
    </w:p>
    <w:p w14:paraId="658F1807" w14:textId="6FA14C68" w:rsidR="00473E6F" w:rsidRPr="00D520D0" w:rsidRDefault="00D520D0" w:rsidP="00D520D0">
      <w:pPr>
        <w:ind w:left="1134" w:hanging="567"/>
      </w:pPr>
      <w:r w:rsidRPr="00114D91">
        <w:rPr>
          <w:spacing w:val="0"/>
          <w:szCs w:val="22"/>
        </w:rPr>
        <w:t>1.</w:t>
      </w:r>
      <w:r w:rsidRPr="00114D91">
        <w:rPr>
          <w:spacing w:val="0"/>
          <w:szCs w:val="22"/>
        </w:rPr>
        <w:tab/>
      </w:r>
      <w:r w:rsidR="00473E6F" w:rsidRPr="00D520D0">
        <w:t xml:space="preserve">The rule </w:t>
      </w:r>
      <w:r w:rsidR="00473E6F" w:rsidRPr="00D520D0">
        <w:rPr>
          <w:iCs/>
        </w:rPr>
        <w:t xml:space="preserve">nisi </w:t>
      </w:r>
      <w:r w:rsidR="00473E6F" w:rsidRPr="00D520D0">
        <w:t>issued on 7 August 2023 is hereby discharged.</w:t>
      </w:r>
    </w:p>
    <w:p w14:paraId="308B863F" w14:textId="77777777" w:rsidR="00473E6F" w:rsidRPr="00114D91" w:rsidRDefault="00473E6F" w:rsidP="00473E6F">
      <w:pPr>
        <w:pStyle w:val="ListParagraph"/>
        <w:ind w:left="1134"/>
        <w:rPr>
          <w:rFonts w:cs="Arial"/>
          <w:lang w:val="en-ZA"/>
        </w:rPr>
      </w:pPr>
    </w:p>
    <w:p w14:paraId="6AA251EE" w14:textId="503EC4E8" w:rsidR="00473E6F" w:rsidRPr="00D520D0" w:rsidRDefault="00D520D0" w:rsidP="00D520D0">
      <w:pPr>
        <w:ind w:left="1134" w:hanging="567"/>
      </w:pPr>
      <w:r w:rsidRPr="00114D91">
        <w:rPr>
          <w:spacing w:val="0"/>
          <w:szCs w:val="22"/>
        </w:rPr>
        <w:t>2.</w:t>
      </w:r>
      <w:r w:rsidRPr="00114D91">
        <w:rPr>
          <w:spacing w:val="0"/>
          <w:szCs w:val="22"/>
        </w:rPr>
        <w:tab/>
      </w:r>
      <w:r w:rsidR="00473E6F" w:rsidRPr="00D520D0">
        <w:t>Each party must pay their own costs.</w:t>
      </w:r>
    </w:p>
    <w:p w14:paraId="73A9E23F" w14:textId="77777777" w:rsidR="00473E6F" w:rsidRPr="00114D91" w:rsidRDefault="00473E6F" w:rsidP="00473E6F">
      <w:pPr>
        <w:pStyle w:val="ListParagraph"/>
        <w:ind w:left="1134"/>
        <w:rPr>
          <w:rFonts w:cs="Arial"/>
          <w:lang w:val="en-ZA"/>
        </w:rPr>
      </w:pPr>
    </w:p>
    <w:p w14:paraId="5D460DE1" w14:textId="5C2AC4F9" w:rsidR="00473E6F" w:rsidRPr="00D520D0" w:rsidRDefault="00D520D0" w:rsidP="00D520D0">
      <w:pPr>
        <w:ind w:left="1134" w:hanging="567"/>
      </w:pPr>
      <w:r w:rsidRPr="00114D91">
        <w:rPr>
          <w:spacing w:val="0"/>
          <w:szCs w:val="22"/>
        </w:rPr>
        <w:t>3.</w:t>
      </w:r>
      <w:r w:rsidRPr="00114D91">
        <w:rPr>
          <w:spacing w:val="0"/>
          <w:szCs w:val="22"/>
        </w:rPr>
        <w:tab/>
      </w:r>
      <w:r w:rsidR="00473E6F" w:rsidRPr="00D520D0">
        <w:t>The matter is removed from the roll</w:t>
      </w:r>
      <w:r w:rsidR="0015555B" w:rsidRPr="00D520D0">
        <w:t xml:space="preserve"> and regarded as finalised</w:t>
      </w:r>
      <w:r w:rsidR="00473E6F" w:rsidRPr="00D520D0">
        <w:t>.</w:t>
      </w:r>
    </w:p>
    <w:p w14:paraId="2E4CA60E" w14:textId="77777777" w:rsidR="00473E6F" w:rsidRPr="00114D91" w:rsidRDefault="00473E6F" w:rsidP="00C036D4">
      <w:pPr>
        <w:ind w:left="1440" w:hanging="1440"/>
      </w:pPr>
    </w:p>
    <w:p w14:paraId="57C51389" w14:textId="77777777" w:rsidR="00BB03B8" w:rsidRPr="00114D91" w:rsidRDefault="00BB03B8" w:rsidP="00C036D4">
      <w:pPr>
        <w:widowControl/>
        <w:jc w:val="left"/>
      </w:pPr>
    </w:p>
    <w:p w14:paraId="00509BA4" w14:textId="77777777" w:rsidR="00BB03B8" w:rsidRPr="00114D91" w:rsidRDefault="00BB03B8" w:rsidP="00C036D4">
      <w:pPr>
        <w:widowControl/>
        <w:ind w:left="4320"/>
        <w:jc w:val="left"/>
      </w:pPr>
    </w:p>
    <w:p w14:paraId="31A68FCF" w14:textId="77777777" w:rsidR="00BD5929" w:rsidRPr="00114D91" w:rsidRDefault="00BD5929" w:rsidP="008A5EE8">
      <w:pPr>
        <w:widowControl/>
        <w:ind w:left="4320" w:firstLine="720"/>
        <w:jc w:val="left"/>
      </w:pPr>
    </w:p>
    <w:p w14:paraId="5DE7CF1D" w14:textId="77777777" w:rsidR="00BD5929" w:rsidRPr="00114D91" w:rsidRDefault="00BD5929" w:rsidP="008A5EE8">
      <w:pPr>
        <w:widowControl/>
        <w:ind w:left="4320" w:firstLine="720"/>
        <w:jc w:val="left"/>
      </w:pPr>
    </w:p>
    <w:p w14:paraId="7B24043E" w14:textId="676E29B8" w:rsidR="00853524" w:rsidRPr="00114D91" w:rsidRDefault="00853524" w:rsidP="008A5EE8">
      <w:pPr>
        <w:widowControl/>
        <w:ind w:left="4320" w:firstLine="720"/>
        <w:jc w:val="left"/>
      </w:pPr>
      <w:r w:rsidRPr="00114D91">
        <w:t>____________________</w:t>
      </w:r>
      <w:r w:rsidR="000B7D5A">
        <w:t>_</w:t>
      </w:r>
    </w:p>
    <w:p w14:paraId="2FC3ACD2" w14:textId="138029EB" w:rsidR="00853524" w:rsidRPr="00114D91" w:rsidRDefault="00853524" w:rsidP="008A5EE8">
      <w:pPr>
        <w:ind w:left="4320" w:firstLine="720"/>
      </w:pPr>
      <w:r w:rsidRPr="00114D91">
        <w:t>E</w:t>
      </w:r>
      <w:r w:rsidR="009A4927" w:rsidRPr="00114D91">
        <w:t xml:space="preserve"> </w:t>
      </w:r>
      <w:r w:rsidRPr="00114D91">
        <w:t>M SCHIMMING-CHASE</w:t>
      </w:r>
    </w:p>
    <w:p w14:paraId="46B13592" w14:textId="47A21FB0" w:rsidR="00147336" w:rsidRPr="00114D91" w:rsidRDefault="00053826" w:rsidP="00C036D4">
      <w:r w:rsidRPr="00114D91">
        <w:t xml:space="preserve">                                                                   </w:t>
      </w:r>
      <w:r w:rsidR="008A5EE8" w:rsidRPr="00114D91">
        <w:tab/>
      </w:r>
      <w:r w:rsidR="008A5EE8" w:rsidRPr="00114D91">
        <w:tab/>
      </w:r>
      <w:r w:rsidR="00853524" w:rsidRPr="00114D91">
        <w:t>Judg</w:t>
      </w:r>
      <w:r w:rsidR="0012505E" w:rsidRPr="00114D91">
        <w:t>e</w:t>
      </w:r>
      <w:r w:rsidR="00147336" w:rsidRPr="00114D91">
        <w:br w:type="page"/>
      </w:r>
    </w:p>
    <w:p w14:paraId="1C4F74C7" w14:textId="24680C6B" w:rsidR="00853524" w:rsidRPr="00114D91" w:rsidRDefault="00853524" w:rsidP="00C036D4">
      <w:pPr>
        <w:widowControl/>
        <w:jc w:val="left"/>
      </w:pPr>
      <w:r w:rsidRPr="00114D91">
        <w:lastRenderedPageBreak/>
        <w:t>APPEARANCES</w:t>
      </w:r>
    </w:p>
    <w:p w14:paraId="2F3FACC4" w14:textId="77777777" w:rsidR="00853524" w:rsidRPr="00114D91" w:rsidRDefault="00853524" w:rsidP="00C036D4">
      <w:pPr>
        <w:pStyle w:val="BodyText"/>
        <w:autoSpaceDE w:val="0"/>
        <w:autoSpaceDN w:val="0"/>
        <w:adjustRightInd w:val="0"/>
        <w:spacing w:line="360" w:lineRule="auto"/>
        <w:jc w:val="both"/>
        <w:rPr>
          <w:rFonts w:ascii="Arial" w:hAnsi="Arial" w:cs="Arial"/>
        </w:rPr>
      </w:pPr>
    </w:p>
    <w:p w14:paraId="28063060" w14:textId="5D83F57B" w:rsidR="00473E6F" w:rsidRPr="00114D91" w:rsidRDefault="00BD5929" w:rsidP="00EF7894">
      <w:r w:rsidRPr="00114D91">
        <w:t>APPLICANTS:</w:t>
      </w:r>
      <w:r w:rsidRPr="00114D91">
        <w:tab/>
      </w:r>
      <w:r w:rsidRPr="00114D91">
        <w:tab/>
      </w:r>
      <w:r w:rsidR="00473E6F" w:rsidRPr="00114D91">
        <w:t xml:space="preserve">M </w:t>
      </w:r>
      <w:proofErr w:type="spellStart"/>
      <w:r w:rsidR="00473E6F" w:rsidRPr="00114D91">
        <w:t>Amupolo</w:t>
      </w:r>
      <w:proofErr w:type="spellEnd"/>
    </w:p>
    <w:p w14:paraId="2C58FC8F" w14:textId="5EFCB4DD" w:rsidR="00853524" w:rsidRPr="00114D91" w:rsidRDefault="00BD5929" w:rsidP="00BD5929">
      <w:pPr>
        <w:ind w:left="2880"/>
      </w:pPr>
      <w:r w:rsidRPr="00114D91">
        <w:t xml:space="preserve">Of Jacobs </w:t>
      </w:r>
      <w:proofErr w:type="spellStart"/>
      <w:r w:rsidR="00473E6F" w:rsidRPr="00114D91">
        <w:t>Amupolo</w:t>
      </w:r>
      <w:proofErr w:type="spellEnd"/>
      <w:r w:rsidR="00473E6F" w:rsidRPr="00114D91">
        <w:t xml:space="preserve"> </w:t>
      </w:r>
      <w:r w:rsidRPr="00114D91">
        <w:t>Lawyers &amp; Conveyancers, Windhoek</w:t>
      </w:r>
      <w:r w:rsidR="000E59B9" w:rsidRPr="00114D91">
        <w:tab/>
      </w:r>
      <w:r w:rsidR="000E59B9" w:rsidRPr="00114D91">
        <w:tab/>
      </w:r>
      <w:r w:rsidR="000E59B9" w:rsidRPr="00114D91">
        <w:tab/>
      </w:r>
      <w:r w:rsidR="000E59B9" w:rsidRPr="00114D91">
        <w:tab/>
      </w:r>
      <w:r w:rsidR="00053826" w:rsidRPr="00114D91">
        <w:tab/>
      </w:r>
    </w:p>
    <w:p w14:paraId="3CAA1AD7" w14:textId="77777777" w:rsidR="00053826" w:rsidRPr="00114D91" w:rsidRDefault="00053826" w:rsidP="00C036D4">
      <w:pPr>
        <w:ind w:left="3600"/>
        <w:jc w:val="left"/>
      </w:pPr>
    </w:p>
    <w:p w14:paraId="64D1943B" w14:textId="3E066737" w:rsidR="00EC1726" w:rsidRPr="00114D91" w:rsidRDefault="00473E6F" w:rsidP="00473E6F">
      <w:pPr>
        <w:autoSpaceDE w:val="0"/>
        <w:autoSpaceDN w:val="0"/>
        <w:adjustRightInd w:val="0"/>
      </w:pPr>
      <w:r w:rsidRPr="00114D91">
        <w:t>RESPONDENT</w:t>
      </w:r>
      <w:r w:rsidR="000E59B9" w:rsidRPr="00114D91">
        <w:t>:</w:t>
      </w:r>
      <w:r w:rsidR="00853524" w:rsidRPr="00114D91">
        <w:tab/>
      </w:r>
      <w:r w:rsidR="00BD5929" w:rsidRPr="00114D91">
        <w:tab/>
      </w:r>
      <w:r w:rsidRPr="00114D91">
        <w:t xml:space="preserve">S </w:t>
      </w:r>
      <w:proofErr w:type="spellStart"/>
      <w:r w:rsidRPr="00114D91">
        <w:t>Kahengombe</w:t>
      </w:r>
      <w:proofErr w:type="spellEnd"/>
    </w:p>
    <w:p w14:paraId="03524F3F" w14:textId="20A869E0" w:rsidR="00473E6F" w:rsidRPr="00114D91" w:rsidRDefault="00BD5929" w:rsidP="00473E6F">
      <w:pPr>
        <w:autoSpaceDE w:val="0"/>
        <w:autoSpaceDN w:val="0"/>
        <w:adjustRightInd w:val="0"/>
      </w:pPr>
      <w:r w:rsidRPr="00114D91">
        <w:tab/>
      </w:r>
      <w:r w:rsidRPr="00114D91">
        <w:tab/>
      </w:r>
      <w:r w:rsidRPr="00114D91">
        <w:tab/>
      </w:r>
      <w:r w:rsidRPr="00114D91">
        <w:tab/>
      </w:r>
      <w:r w:rsidR="00473E6F" w:rsidRPr="00114D91">
        <w:t xml:space="preserve">Of </w:t>
      </w:r>
      <w:proofErr w:type="spellStart"/>
      <w:r w:rsidR="00473E6F" w:rsidRPr="00114D91">
        <w:t>Kahengombe</w:t>
      </w:r>
      <w:proofErr w:type="spellEnd"/>
      <w:r w:rsidR="00473E6F" w:rsidRPr="00114D91">
        <w:t xml:space="preserve"> Law Chambers, Windhoek</w:t>
      </w:r>
    </w:p>
    <w:sectPr w:rsidR="00473E6F" w:rsidRPr="00114D91" w:rsidSect="0095086B">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33C9" w14:textId="77777777" w:rsidR="0095086B" w:rsidRDefault="0095086B" w:rsidP="00867D73">
      <w:pPr>
        <w:spacing w:line="240" w:lineRule="auto"/>
      </w:pPr>
      <w:r>
        <w:separator/>
      </w:r>
    </w:p>
  </w:endnote>
  <w:endnote w:type="continuationSeparator" w:id="0">
    <w:p w14:paraId="0B9729C1" w14:textId="77777777" w:rsidR="0095086B" w:rsidRDefault="0095086B"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A68A" w14:textId="77777777" w:rsidR="0095086B" w:rsidRDefault="0095086B" w:rsidP="00867D73">
      <w:pPr>
        <w:spacing w:line="240" w:lineRule="auto"/>
      </w:pPr>
      <w:r>
        <w:separator/>
      </w:r>
    </w:p>
  </w:footnote>
  <w:footnote w:type="continuationSeparator" w:id="0">
    <w:p w14:paraId="55BE7EE0" w14:textId="77777777" w:rsidR="0095086B" w:rsidRDefault="0095086B" w:rsidP="00867D73">
      <w:pPr>
        <w:spacing w:line="240" w:lineRule="auto"/>
      </w:pPr>
      <w:r>
        <w:continuationSeparator/>
      </w:r>
    </w:p>
  </w:footnote>
  <w:footnote w:id="1">
    <w:p w14:paraId="638F4867" w14:textId="77777777" w:rsidR="00473E6F" w:rsidRPr="00B7213B" w:rsidRDefault="00473E6F" w:rsidP="00473E6F">
      <w:pPr>
        <w:pStyle w:val="FootnoteText"/>
        <w:rPr>
          <w:lang w:val="en-US"/>
        </w:rPr>
      </w:pPr>
      <w:r>
        <w:rPr>
          <w:rStyle w:val="FootnoteReference"/>
        </w:rPr>
        <w:footnoteRef/>
      </w:r>
      <w:r>
        <w:t xml:space="preserve"> </w:t>
      </w:r>
      <w:r>
        <w:rPr>
          <w:i/>
          <w:lang w:val="en-US"/>
        </w:rPr>
        <w:t>Minister of Safety and Security v Inyemba</w:t>
      </w:r>
      <w:r>
        <w:rPr>
          <w:lang w:val="en-US"/>
        </w:rPr>
        <w:t xml:space="preserve"> </w:t>
      </w:r>
      <w:r w:rsidRPr="007D739C">
        <w:rPr>
          <w:lang w:val="en-US"/>
        </w:rPr>
        <w:t xml:space="preserve">(HC-MD-CIV-MOT-GEN-2019/00247) </w:t>
      </w:r>
      <w:r>
        <w:rPr>
          <w:lang w:val="en-US"/>
        </w:rPr>
        <w:t>[2020] NAHCMD 170 (13 May 2020) paras 16 and 18-29.</w:t>
      </w:r>
    </w:p>
  </w:footnote>
  <w:footnote w:id="2">
    <w:p w14:paraId="0AD98531" w14:textId="77777777" w:rsidR="00473E6F" w:rsidRPr="00B7213B" w:rsidRDefault="00473E6F" w:rsidP="00473E6F">
      <w:pPr>
        <w:pStyle w:val="FootnoteText"/>
        <w:rPr>
          <w:lang w:val="en-US"/>
        </w:rPr>
      </w:pPr>
      <w:r>
        <w:rPr>
          <w:rStyle w:val="FootnoteReference"/>
        </w:rPr>
        <w:footnoteRef/>
      </w:r>
      <w:r>
        <w:t xml:space="preserve"> </w:t>
      </w:r>
      <w:r w:rsidRPr="00B7213B">
        <w:rPr>
          <w:szCs w:val="24"/>
          <w:lang w:val="en-US"/>
        </w:rPr>
        <w:t>M</w:t>
      </w:r>
      <w:r w:rsidRPr="00B7213B">
        <w:rPr>
          <w:i/>
          <w:iCs/>
          <w:szCs w:val="24"/>
        </w:rPr>
        <w:t xml:space="preserve">all (Cape) (Pty) Ltd v Merino Ko-operasie Bpk </w:t>
      </w:r>
      <w:r w:rsidRPr="00B7213B">
        <w:rPr>
          <w:szCs w:val="24"/>
        </w:rPr>
        <w:t>1957 (2) SA 347 (C) 351H-352C</w:t>
      </w:r>
      <w:r>
        <w:rPr>
          <w:szCs w:val="24"/>
        </w:rPr>
        <w:t xml:space="preserve"> cited with approval in </w:t>
      </w:r>
      <w:r w:rsidRPr="004A5D78">
        <w:rPr>
          <w:bCs/>
          <w:i/>
          <w:iCs/>
          <w:szCs w:val="24"/>
          <w:lang w:val="en-US"/>
        </w:rPr>
        <w:t>Agricultural Bank of Namibia v Kapolo</w:t>
      </w:r>
      <w:r w:rsidRPr="004A5D78">
        <w:rPr>
          <w:bCs/>
          <w:iCs/>
          <w:szCs w:val="24"/>
          <w:lang w:val="en-US"/>
        </w:rPr>
        <w:t xml:space="preserve"> (HC-MD-LAB-MOT-2023/00140) [2023] NALCMD 29 (6 July 2023).</w:t>
      </w:r>
    </w:p>
  </w:footnote>
  <w:footnote w:id="3">
    <w:p w14:paraId="55D7603F" w14:textId="77777777" w:rsidR="00473E6F" w:rsidRPr="004A1210" w:rsidRDefault="00473E6F" w:rsidP="00473E6F">
      <w:pPr>
        <w:pStyle w:val="FootnoteText"/>
        <w:rPr>
          <w:lang w:val="en-US"/>
        </w:rPr>
      </w:pPr>
      <w:r>
        <w:rPr>
          <w:rStyle w:val="FootnoteReference"/>
        </w:rPr>
        <w:footnoteRef/>
      </w:r>
      <w:r>
        <w:t xml:space="preserve"> </w:t>
      </w:r>
      <w:r w:rsidRPr="004A1210">
        <w:rPr>
          <w:i/>
        </w:rPr>
        <w:t xml:space="preserve">Purity Manganese (Pty) Ltd v Otjozundu Mining (Pty) Ltd </w:t>
      </w:r>
      <w:r w:rsidRPr="004A1210">
        <w:t>2011 NR 289 (HC).</w:t>
      </w:r>
    </w:p>
  </w:footnote>
  <w:footnote w:id="4">
    <w:p w14:paraId="2D4908D5" w14:textId="1CFE9211" w:rsidR="0015555B" w:rsidRPr="0015555B" w:rsidRDefault="0015555B">
      <w:pPr>
        <w:pStyle w:val="FootnoteText"/>
        <w:rPr>
          <w:iCs/>
          <w:lang w:val="en-GB"/>
        </w:rPr>
      </w:pPr>
      <w:r>
        <w:rPr>
          <w:rStyle w:val="FootnoteReference"/>
        </w:rPr>
        <w:footnoteRef/>
      </w:r>
      <w:r>
        <w:t xml:space="preserve"> </w:t>
      </w:r>
      <w:r>
        <w:rPr>
          <w:i/>
        </w:rPr>
        <w:t xml:space="preserve">Namibia Protection Services (Pty) Ltd v Hainghumbi </w:t>
      </w:r>
      <w:r>
        <w:rPr>
          <w:iCs/>
        </w:rPr>
        <w:t>(</w:t>
      </w:r>
      <w:r w:rsidRPr="002F1831">
        <w:rPr>
          <w:color w:val="000000"/>
          <w:shd w:val="clear" w:color="auto" w:fill="FFFFFF"/>
        </w:rPr>
        <w:t>HC-MD-LAB</w:t>
      </w:r>
      <w:bookmarkStart w:id="3" w:name="_Hlk155784044"/>
      <w:r w:rsidRPr="0015555B">
        <w:rPr>
          <w:color w:val="000000"/>
          <w:shd w:val="clear" w:color="auto" w:fill="FFFFFF"/>
        </w:rPr>
        <w:t xml:space="preserve"> </w:t>
      </w:r>
      <w:r w:rsidRPr="002F1831">
        <w:rPr>
          <w:color w:val="000000"/>
          <w:shd w:val="clear" w:color="auto" w:fill="FFFFFF"/>
        </w:rPr>
        <w:t>APP-AAA-2021/00046</w:t>
      </w:r>
      <w:r>
        <w:t>) [2022] NALCMD 15 (23 March 2022)</w:t>
      </w:r>
      <w:bookmarkEnd w:id="3"/>
      <w:r>
        <w:t xml:space="preserve"> at par 24 and 29.</w:t>
      </w:r>
    </w:p>
  </w:footnote>
  <w:footnote w:id="5">
    <w:p w14:paraId="4B9957D3" w14:textId="77777777" w:rsidR="00473E6F" w:rsidRPr="00681A93" w:rsidRDefault="00473E6F" w:rsidP="00473E6F">
      <w:pPr>
        <w:pStyle w:val="FootnoteText"/>
        <w:rPr>
          <w:lang w:val="en-US"/>
        </w:rPr>
      </w:pPr>
      <w:r>
        <w:rPr>
          <w:rStyle w:val="FootnoteReference"/>
        </w:rPr>
        <w:footnoteRef/>
      </w:r>
      <w:r>
        <w:t xml:space="preserve"> </w:t>
      </w:r>
      <w:r w:rsidRPr="00681A93">
        <w:rPr>
          <w:i/>
        </w:rPr>
        <w:t>Boabab Capital (Pty) Ltd v Shaziza Auto One (Pty) Ltd</w:t>
      </w:r>
      <w:r w:rsidRPr="00681A93">
        <w:t xml:space="preserve"> (HC-MD-CIV-ACT-CON-2019/02613) [2020] NAHCMD 290 (10 July 2020) para 55.</w:t>
      </w:r>
    </w:p>
  </w:footnote>
  <w:footnote w:id="6">
    <w:p w14:paraId="54CB1BBC" w14:textId="77777777" w:rsidR="00473E6F" w:rsidRPr="00B152D6" w:rsidRDefault="00473E6F" w:rsidP="00473E6F">
      <w:pPr>
        <w:pStyle w:val="FootnoteText"/>
        <w:rPr>
          <w:lang w:val="en-US"/>
        </w:rPr>
      </w:pPr>
      <w:r>
        <w:rPr>
          <w:rStyle w:val="FootnoteReference"/>
        </w:rPr>
        <w:footnoteRef/>
      </w:r>
      <w:r>
        <w:t xml:space="preserve"> </w:t>
      </w:r>
      <w:r w:rsidRPr="00B152D6">
        <w:rPr>
          <w:i/>
        </w:rPr>
        <w:t xml:space="preserve">Standard Bank Namibia Limited v Nekwaya </w:t>
      </w:r>
      <w:r w:rsidRPr="00B152D6">
        <w:t>(HC-MD-MOT-GEN-2020/00089) [2020] NAHCMD 122 (26 March 2020) para 11.</w:t>
      </w:r>
    </w:p>
  </w:footnote>
  <w:footnote w:id="7">
    <w:p w14:paraId="0EF3CC39" w14:textId="77777777" w:rsidR="00473E6F" w:rsidRPr="00B85840" w:rsidRDefault="00473E6F" w:rsidP="00473E6F">
      <w:pPr>
        <w:pStyle w:val="FootnoteText"/>
        <w:rPr>
          <w:rFonts w:ascii="Arial Narrow" w:hAnsi="Arial Narrow"/>
          <w:lang w:val="en-US"/>
        </w:rPr>
      </w:pPr>
      <w:r w:rsidRPr="00B85840">
        <w:rPr>
          <w:rStyle w:val="FootnoteReference"/>
          <w:rFonts w:ascii="Arial Narrow" w:hAnsi="Arial Narrow"/>
        </w:rPr>
        <w:footnoteRef/>
      </w:r>
      <w:r w:rsidRPr="00B85840">
        <w:rPr>
          <w:rFonts w:ascii="Arial Narrow" w:hAnsi="Arial Narrow"/>
        </w:rPr>
        <w:t xml:space="preserve"> </w:t>
      </w:r>
      <w:r w:rsidRPr="00B152D6">
        <w:rPr>
          <w:shd w:val="clear" w:color="auto" w:fill="FFFFFF"/>
        </w:rPr>
        <w:t>Herbstein &amp; Van Winsen </w:t>
      </w:r>
      <w:r w:rsidRPr="00B152D6">
        <w:rPr>
          <w:i/>
          <w:shd w:val="clear" w:color="auto" w:fill="FFFFFF"/>
        </w:rPr>
        <w:t>The Civil Practice of the High Courts of South Africa</w:t>
      </w:r>
      <w:r w:rsidRPr="00B152D6">
        <w:rPr>
          <w:shd w:val="clear" w:color="auto" w:fill="FFFFFF"/>
        </w:rPr>
        <w:t xml:space="preserve"> 5</w:t>
      </w:r>
      <w:r w:rsidRPr="00B152D6">
        <w:rPr>
          <w:shd w:val="clear" w:color="auto" w:fill="FFFFFF"/>
          <w:vertAlign w:val="superscript"/>
        </w:rPr>
        <w:t>th</w:t>
      </w:r>
      <w:r w:rsidRPr="00B152D6">
        <w:rPr>
          <w:shd w:val="clear" w:color="auto" w:fill="FFFFFF"/>
        </w:rPr>
        <w:t> ed vol 1 Juta &amp; Co 2009</w:t>
      </w:r>
      <w:r w:rsidRPr="00B152D6">
        <w:rPr>
          <w:i/>
          <w:lang w:val="en-US"/>
        </w:rPr>
        <w:t xml:space="preserve"> </w:t>
      </w:r>
      <w:r w:rsidRPr="00B152D6">
        <w:rPr>
          <w:lang w:val="en-US"/>
        </w:rPr>
        <w:t>at 439-440.</w:t>
      </w:r>
    </w:p>
  </w:footnote>
  <w:footnote w:id="8">
    <w:p w14:paraId="39EE60C7" w14:textId="77777777" w:rsidR="00473E6F" w:rsidRPr="00B152D6" w:rsidRDefault="00473E6F" w:rsidP="00473E6F">
      <w:pPr>
        <w:pStyle w:val="FootnoteText"/>
        <w:rPr>
          <w:lang w:val="en-US"/>
        </w:rPr>
      </w:pPr>
      <w:r>
        <w:rPr>
          <w:rStyle w:val="FootnoteReference"/>
        </w:rPr>
        <w:footnoteRef/>
      </w:r>
      <w:r>
        <w:t xml:space="preserve"> Supra fn 6.</w:t>
      </w:r>
    </w:p>
  </w:footnote>
  <w:footnote w:id="9">
    <w:p w14:paraId="0903835E" w14:textId="77777777" w:rsidR="00473E6F" w:rsidRPr="004A3CE1" w:rsidRDefault="00473E6F" w:rsidP="00473E6F">
      <w:pPr>
        <w:pStyle w:val="FootnoteText"/>
        <w:rPr>
          <w:lang w:val="en-US"/>
        </w:rPr>
      </w:pPr>
      <w:r>
        <w:rPr>
          <w:rStyle w:val="FootnoteReference"/>
        </w:rPr>
        <w:footnoteRef/>
      </w:r>
      <w:r>
        <w:t xml:space="preserve"> </w:t>
      </w:r>
      <w:r w:rsidRPr="004A3CE1">
        <w:rPr>
          <w:i/>
          <w:szCs w:val="24"/>
        </w:rPr>
        <w:t>Theron v The Village Council of Stampriet</w:t>
      </w:r>
      <w:r w:rsidRPr="004A3CE1">
        <w:rPr>
          <w:szCs w:val="24"/>
        </w:rPr>
        <w:t xml:space="preserve"> (HC-MD-CIV-MOT-GEN-2020/00028) [2020] NAHCMD 129 (22 April 2020) para 2.</w:t>
      </w:r>
    </w:p>
  </w:footnote>
  <w:footnote w:id="10">
    <w:p w14:paraId="66D37527" w14:textId="77777777" w:rsidR="00473E6F" w:rsidRPr="0035569D" w:rsidRDefault="00473E6F" w:rsidP="00473E6F">
      <w:pPr>
        <w:pStyle w:val="FootnoteText"/>
        <w:rPr>
          <w:lang w:val="en-US"/>
        </w:rPr>
      </w:pPr>
      <w:r>
        <w:rPr>
          <w:rStyle w:val="FootnoteReference"/>
        </w:rPr>
        <w:footnoteRef/>
      </w:r>
      <w:r>
        <w:t xml:space="preserve"> </w:t>
      </w:r>
      <w:r>
        <w:rPr>
          <w:i/>
        </w:rPr>
        <w:t xml:space="preserve">Jantjies v Jantjies and Others </w:t>
      </w:r>
      <w:r>
        <w:t>2001 NR 26 (HC) para 30.</w:t>
      </w:r>
    </w:p>
  </w:footnote>
  <w:footnote w:id="11">
    <w:p w14:paraId="5942485C" w14:textId="77777777" w:rsidR="00473E6F" w:rsidRPr="00B0414E" w:rsidRDefault="00473E6F" w:rsidP="00473E6F">
      <w:pPr>
        <w:pStyle w:val="FootnoteText"/>
      </w:pPr>
      <w:r>
        <w:rPr>
          <w:rStyle w:val="FootnoteReference"/>
        </w:rPr>
        <w:footnoteRef/>
      </w:r>
      <w:r>
        <w:t xml:space="preserve"> </w:t>
      </w:r>
      <w:r w:rsidRPr="0035569D">
        <w:rPr>
          <w:i/>
        </w:rPr>
        <w:t xml:space="preserve">Juta &amp; Co Ltd v Legal and Financial Publishing Co (Pty) Ltd </w:t>
      </w:r>
      <w:r w:rsidRPr="0035569D">
        <w:t>1969 (4) SA 443 (C)</w:t>
      </w:r>
      <w:r>
        <w:t xml:space="preserve"> cited with approval in </w:t>
      </w:r>
      <w:r>
        <w:rPr>
          <w:i/>
        </w:rPr>
        <w:t xml:space="preserve">Jantjies </w:t>
      </w:r>
      <w:r>
        <w:t>supra fn 10.</w:t>
      </w:r>
    </w:p>
  </w:footnote>
  <w:footnote w:id="12">
    <w:p w14:paraId="43698E08" w14:textId="1DD6C1C7" w:rsidR="00241762" w:rsidRPr="00241762" w:rsidRDefault="00241762">
      <w:pPr>
        <w:pStyle w:val="FootnoteText"/>
        <w:rPr>
          <w:lang w:val="en-US"/>
        </w:rPr>
      </w:pPr>
      <w:r>
        <w:rPr>
          <w:rStyle w:val="FootnoteReference"/>
        </w:rPr>
        <w:footnoteRef/>
      </w:r>
      <w:r>
        <w:t xml:space="preserve"> </w:t>
      </w:r>
      <w:r w:rsidRPr="00D625B7">
        <w:rPr>
          <w:i/>
        </w:rPr>
        <w:t xml:space="preserve">Development Bank of Namibia v Vero Group CC </w:t>
      </w:r>
      <w:r w:rsidRPr="00D625B7">
        <w:t xml:space="preserve">(HC-MD-CIV-CON-2021/02716) [2022] NAHCMD </w:t>
      </w:r>
      <w:r>
        <w:t>50</w:t>
      </w:r>
      <w:r w:rsidRPr="00D625B7">
        <w:t xml:space="preserve"> (11 Februa</w:t>
      </w:r>
      <w:r>
        <w:t>ry 2022) para 21.</w:t>
      </w:r>
    </w:p>
  </w:footnote>
  <w:footnote w:id="13">
    <w:p w14:paraId="5EDEE08A" w14:textId="5D5E534E" w:rsidR="00473E6F" w:rsidRPr="004A39A6" w:rsidRDefault="00473E6F" w:rsidP="00473E6F">
      <w:pPr>
        <w:pStyle w:val="FootnoteText"/>
        <w:rPr>
          <w:lang w:val="en-US"/>
        </w:rPr>
      </w:pPr>
      <w:r>
        <w:rPr>
          <w:rStyle w:val="FootnoteReference"/>
        </w:rPr>
        <w:footnoteRef/>
      </w:r>
      <w:r>
        <w:t xml:space="preserve"> </w:t>
      </w:r>
      <w:r w:rsidRPr="004A39A6">
        <w:rPr>
          <w:i/>
        </w:rPr>
        <w:t>Gariseb v Ul</w:t>
      </w:r>
      <w:r w:rsidR="0015555B">
        <w:rPr>
          <w:i/>
        </w:rPr>
        <w:t>t</w:t>
      </w:r>
      <w:r w:rsidRPr="004A39A6">
        <w:rPr>
          <w:i/>
        </w:rPr>
        <w:t xml:space="preserve">imate Safaris (Pty) Ltd </w:t>
      </w:r>
      <w:r w:rsidRPr="004A39A6">
        <w:t>2020 (3) NR 786 (SC) at 791.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473E6F" w:rsidRDefault="00473E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473E6F" w:rsidRDefault="00473E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473E6F" w:rsidRDefault="00473E6F" w:rsidP="0025231F">
    <w:pPr>
      <w:ind w:right="85"/>
      <w:jc w:val="right"/>
    </w:pPr>
    <w:r>
      <w:rPr>
        <w:rStyle w:val="PageNumber"/>
      </w:rPr>
      <w:fldChar w:fldCharType="begin"/>
    </w:r>
    <w:r>
      <w:rPr>
        <w:rStyle w:val="PageNumber"/>
      </w:rPr>
      <w:instrText xml:space="preserve"> PAGE </w:instrText>
    </w:r>
    <w:r>
      <w:rPr>
        <w:rStyle w:val="PageNumber"/>
      </w:rPr>
      <w:fldChar w:fldCharType="separate"/>
    </w:r>
    <w:r w:rsidR="00F046D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5" w15:restartNumberingAfterBreak="0">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1"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4"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5"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0"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2"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3733A"/>
    <w:multiLevelType w:val="multilevel"/>
    <w:tmpl w:val="72F825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F65D0"/>
    <w:multiLevelType w:val="hybridMultilevel"/>
    <w:tmpl w:val="FB826076"/>
    <w:lvl w:ilvl="0" w:tplc="67FE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4735D5"/>
    <w:multiLevelType w:val="hybridMultilevel"/>
    <w:tmpl w:val="457E82D6"/>
    <w:lvl w:ilvl="0" w:tplc="597EAB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0A10D80"/>
    <w:multiLevelType w:val="hybridMultilevel"/>
    <w:tmpl w:val="5016C1E2"/>
    <w:lvl w:ilvl="0" w:tplc="73888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91547"/>
    <w:multiLevelType w:val="hybridMultilevel"/>
    <w:tmpl w:val="C7BAD6DE"/>
    <w:lvl w:ilvl="0" w:tplc="219CE6C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434205793">
    <w:abstractNumId w:val="0"/>
  </w:num>
  <w:num w:numId="2" w16cid:durableId="1870947525">
    <w:abstractNumId w:val="0"/>
  </w:num>
  <w:num w:numId="3" w16cid:durableId="1975671360">
    <w:abstractNumId w:val="24"/>
  </w:num>
  <w:num w:numId="4" w16cid:durableId="246888333">
    <w:abstractNumId w:val="10"/>
  </w:num>
  <w:num w:numId="5" w16cid:durableId="1655332571">
    <w:abstractNumId w:val="21"/>
  </w:num>
  <w:num w:numId="6" w16cid:durableId="2020573179">
    <w:abstractNumId w:val="10"/>
    <w:lvlOverride w:ilvl="0">
      <w:startOverride w:val="1"/>
    </w:lvlOverride>
  </w:num>
  <w:num w:numId="7" w16cid:durableId="1395161458">
    <w:abstractNumId w:val="10"/>
    <w:lvlOverride w:ilvl="0">
      <w:startOverride w:val="1"/>
    </w:lvlOverride>
  </w:num>
  <w:num w:numId="8" w16cid:durableId="90979673">
    <w:abstractNumId w:val="10"/>
    <w:lvlOverride w:ilvl="0">
      <w:startOverride w:val="1"/>
    </w:lvlOverride>
  </w:num>
  <w:num w:numId="9" w16cid:durableId="431365651">
    <w:abstractNumId w:val="10"/>
    <w:lvlOverride w:ilvl="0">
      <w:startOverride w:val="1"/>
    </w:lvlOverride>
  </w:num>
  <w:num w:numId="10" w16cid:durableId="659626087">
    <w:abstractNumId w:val="10"/>
    <w:lvlOverride w:ilvl="0">
      <w:startOverride w:val="1"/>
    </w:lvlOverride>
  </w:num>
  <w:num w:numId="11" w16cid:durableId="821384908">
    <w:abstractNumId w:val="10"/>
    <w:lvlOverride w:ilvl="0">
      <w:startOverride w:val="5"/>
    </w:lvlOverride>
  </w:num>
  <w:num w:numId="12" w16cid:durableId="1783105300">
    <w:abstractNumId w:val="10"/>
    <w:lvlOverride w:ilvl="0">
      <w:startOverride w:val="1"/>
    </w:lvlOverride>
  </w:num>
  <w:num w:numId="13" w16cid:durableId="599217861">
    <w:abstractNumId w:val="11"/>
  </w:num>
  <w:num w:numId="14" w16cid:durableId="482357601">
    <w:abstractNumId w:val="13"/>
  </w:num>
  <w:num w:numId="15" w16cid:durableId="2102411459">
    <w:abstractNumId w:val="4"/>
  </w:num>
  <w:num w:numId="16" w16cid:durableId="63919699">
    <w:abstractNumId w:val="19"/>
  </w:num>
  <w:num w:numId="17" w16cid:durableId="1916159013">
    <w:abstractNumId w:val="2"/>
  </w:num>
  <w:num w:numId="18" w16cid:durableId="160661145">
    <w:abstractNumId w:val="30"/>
  </w:num>
  <w:num w:numId="19" w16cid:durableId="501120777">
    <w:abstractNumId w:val="6"/>
  </w:num>
  <w:num w:numId="20" w16cid:durableId="112024428">
    <w:abstractNumId w:val="14"/>
  </w:num>
  <w:num w:numId="21" w16cid:durableId="1633754965">
    <w:abstractNumId w:val="15"/>
  </w:num>
  <w:num w:numId="22" w16cid:durableId="1308391740">
    <w:abstractNumId w:val="8"/>
  </w:num>
  <w:num w:numId="23" w16cid:durableId="1755975685">
    <w:abstractNumId w:val="1"/>
  </w:num>
  <w:num w:numId="24" w16cid:durableId="67851390">
    <w:abstractNumId w:val="22"/>
  </w:num>
  <w:num w:numId="25" w16cid:durableId="1848398719">
    <w:abstractNumId w:val="18"/>
  </w:num>
  <w:num w:numId="26" w16cid:durableId="152840557">
    <w:abstractNumId w:val="20"/>
  </w:num>
  <w:num w:numId="27" w16cid:durableId="1689022284">
    <w:abstractNumId w:val="3"/>
  </w:num>
  <w:num w:numId="28" w16cid:durableId="925766288">
    <w:abstractNumId w:val="26"/>
  </w:num>
  <w:num w:numId="29" w16cid:durableId="1849363625">
    <w:abstractNumId w:val="9"/>
  </w:num>
  <w:num w:numId="30" w16cid:durableId="732121059">
    <w:abstractNumId w:val="17"/>
  </w:num>
  <w:num w:numId="31" w16cid:durableId="1631591423">
    <w:abstractNumId w:val="27"/>
  </w:num>
  <w:num w:numId="32" w16cid:durableId="1118374958">
    <w:abstractNumId w:val="7"/>
  </w:num>
  <w:num w:numId="33" w16cid:durableId="304048699">
    <w:abstractNumId w:val="28"/>
  </w:num>
  <w:num w:numId="34" w16cid:durableId="205336816">
    <w:abstractNumId w:val="33"/>
  </w:num>
  <w:num w:numId="35" w16cid:durableId="2021857265">
    <w:abstractNumId w:val="12"/>
  </w:num>
  <w:num w:numId="36" w16cid:durableId="1349914875">
    <w:abstractNumId w:val="16"/>
  </w:num>
  <w:num w:numId="37" w16cid:durableId="320471740">
    <w:abstractNumId w:val="23"/>
  </w:num>
  <w:num w:numId="38" w16cid:durableId="1936279554">
    <w:abstractNumId w:val="5"/>
  </w:num>
  <w:num w:numId="39" w16cid:durableId="1002006894">
    <w:abstractNumId w:val="10"/>
    <w:lvlOverride w:ilvl="0">
      <w:startOverride w:val="1"/>
    </w:lvlOverride>
  </w:num>
  <w:num w:numId="40" w16cid:durableId="878510179">
    <w:abstractNumId w:val="10"/>
    <w:lvlOverride w:ilvl="0">
      <w:startOverride w:val="1"/>
    </w:lvlOverride>
  </w:num>
  <w:num w:numId="41" w16cid:durableId="427968990">
    <w:abstractNumId w:val="10"/>
    <w:lvlOverride w:ilvl="0">
      <w:startOverride w:val="1"/>
    </w:lvlOverride>
  </w:num>
  <w:num w:numId="42" w16cid:durableId="284846384">
    <w:abstractNumId w:val="32"/>
  </w:num>
  <w:num w:numId="43" w16cid:durableId="2108495579">
    <w:abstractNumId w:val="29"/>
  </w:num>
  <w:num w:numId="44" w16cid:durableId="578054328">
    <w:abstractNumId w:val="31"/>
  </w:num>
  <w:num w:numId="45" w16cid:durableId="670109863">
    <w:abstractNumId w:val="34"/>
  </w:num>
  <w:num w:numId="46" w16cid:durableId="111090374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8BA"/>
    <w:rsid w:val="000226A9"/>
    <w:rsid w:val="00027D48"/>
    <w:rsid w:val="000324F3"/>
    <w:rsid w:val="00045453"/>
    <w:rsid w:val="00046B36"/>
    <w:rsid w:val="0005086D"/>
    <w:rsid w:val="00051121"/>
    <w:rsid w:val="00051574"/>
    <w:rsid w:val="00053826"/>
    <w:rsid w:val="00063685"/>
    <w:rsid w:val="000650A6"/>
    <w:rsid w:val="00070A8F"/>
    <w:rsid w:val="0007119C"/>
    <w:rsid w:val="00072ED7"/>
    <w:rsid w:val="00072F8E"/>
    <w:rsid w:val="00083864"/>
    <w:rsid w:val="00083B84"/>
    <w:rsid w:val="00085D64"/>
    <w:rsid w:val="00087A71"/>
    <w:rsid w:val="00087FDF"/>
    <w:rsid w:val="00093246"/>
    <w:rsid w:val="00093CE9"/>
    <w:rsid w:val="000975CD"/>
    <w:rsid w:val="00097B54"/>
    <w:rsid w:val="000B1663"/>
    <w:rsid w:val="000B66A4"/>
    <w:rsid w:val="000B7750"/>
    <w:rsid w:val="000B7D5A"/>
    <w:rsid w:val="000C20ED"/>
    <w:rsid w:val="000C4BBF"/>
    <w:rsid w:val="000C4C61"/>
    <w:rsid w:val="000C54BA"/>
    <w:rsid w:val="000C75F9"/>
    <w:rsid w:val="000C7A3B"/>
    <w:rsid w:val="000D3986"/>
    <w:rsid w:val="000D490E"/>
    <w:rsid w:val="000D617B"/>
    <w:rsid w:val="000D661F"/>
    <w:rsid w:val="000E0AC9"/>
    <w:rsid w:val="000E1E31"/>
    <w:rsid w:val="000E321B"/>
    <w:rsid w:val="000E3CA3"/>
    <w:rsid w:val="000E59B9"/>
    <w:rsid w:val="000E61B8"/>
    <w:rsid w:val="000E6332"/>
    <w:rsid w:val="000F3ED7"/>
    <w:rsid w:val="000F7F8A"/>
    <w:rsid w:val="0010488E"/>
    <w:rsid w:val="00105F5C"/>
    <w:rsid w:val="001063BC"/>
    <w:rsid w:val="001076B6"/>
    <w:rsid w:val="00110892"/>
    <w:rsid w:val="00114D91"/>
    <w:rsid w:val="00115C5D"/>
    <w:rsid w:val="001173DC"/>
    <w:rsid w:val="00117DD9"/>
    <w:rsid w:val="0012505E"/>
    <w:rsid w:val="0013471F"/>
    <w:rsid w:val="00135CE1"/>
    <w:rsid w:val="001367FF"/>
    <w:rsid w:val="00140A9D"/>
    <w:rsid w:val="0014460F"/>
    <w:rsid w:val="0014505C"/>
    <w:rsid w:val="00145ADF"/>
    <w:rsid w:val="00147336"/>
    <w:rsid w:val="0015555B"/>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782"/>
    <w:rsid w:val="001A4178"/>
    <w:rsid w:val="001A7011"/>
    <w:rsid w:val="001B3027"/>
    <w:rsid w:val="001B39A8"/>
    <w:rsid w:val="001B6D0D"/>
    <w:rsid w:val="001C373C"/>
    <w:rsid w:val="001C5C4C"/>
    <w:rsid w:val="001C727F"/>
    <w:rsid w:val="001D4C80"/>
    <w:rsid w:val="001D4E59"/>
    <w:rsid w:val="001E1CC2"/>
    <w:rsid w:val="001E20BF"/>
    <w:rsid w:val="001E46B3"/>
    <w:rsid w:val="001E5489"/>
    <w:rsid w:val="001F04DF"/>
    <w:rsid w:val="001F4D61"/>
    <w:rsid w:val="001F5190"/>
    <w:rsid w:val="001F534D"/>
    <w:rsid w:val="001F6CB9"/>
    <w:rsid w:val="002023D0"/>
    <w:rsid w:val="002025F8"/>
    <w:rsid w:val="002076B9"/>
    <w:rsid w:val="00210D9A"/>
    <w:rsid w:val="00211B5D"/>
    <w:rsid w:val="00214E82"/>
    <w:rsid w:val="00216928"/>
    <w:rsid w:val="00222B92"/>
    <w:rsid w:val="00231AB5"/>
    <w:rsid w:val="00237278"/>
    <w:rsid w:val="0024093F"/>
    <w:rsid w:val="00240999"/>
    <w:rsid w:val="00241762"/>
    <w:rsid w:val="00241AD6"/>
    <w:rsid w:val="0024419B"/>
    <w:rsid w:val="00244899"/>
    <w:rsid w:val="00246959"/>
    <w:rsid w:val="00247EF9"/>
    <w:rsid w:val="0025231F"/>
    <w:rsid w:val="0025315E"/>
    <w:rsid w:val="0025677F"/>
    <w:rsid w:val="00257636"/>
    <w:rsid w:val="00257D35"/>
    <w:rsid w:val="00264113"/>
    <w:rsid w:val="002657EE"/>
    <w:rsid w:val="00266D54"/>
    <w:rsid w:val="0027073E"/>
    <w:rsid w:val="002719BF"/>
    <w:rsid w:val="002729AA"/>
    <w:rsid w:val="00275A78"/>
    <w:rsid w:val="00277B56"/>
    <w:rsid w:val="00277E0C"/>
    <w:rsid w:val="002812F7"/>
    <w:rsid w:val="00285FF7"/>
    <w:rsid w:val="00287908"/>
    <w:rsid w:val="00290268"/>
    <w:rsid w:val="002A0EEB"/>
    <w:rsid w:val="002A217F"/>
    <w:rsid w:val="002A4EDC"/>
    <w:rsid w:val="002A7773"/>
    <w:rsid w:val="002A7BCD"/>
    <w:rsid w:val="002B1453"/>
    <w:rsid w:val="002B24D7"/>
    <w:rsid w:val="002B6CD0"/>
    <w:rsid w:val="002B7099"/>
    <w:rsid w:val="002C5751"/>
    <w:rsid w:val="002D035C"/>
    <w:rsid w:val="002D08EE"/>
    <w:rsid w:val="002D0A9C"/>
    <w:rsid w:val="002D1C5A"/>
    <w:rsid w:val="002D31C9"/>
    <w:rsid w:val="002D436F"/>
    <w:rsid w:val="002D47EB"/>
    <w:rsid w:val="002D4990"/>
    <w:rsid w:val="002D6750"/>
    <w:rsid w:val="002D6836"/>
    <w:rsid w:val="002D6B87"/>
    <w:rsid w:val="002D786B"/>
    <w:rsid w:val="002E30DE"/>
    <w:rsid w:val="002E380C"/>
    <w:rsid w:val="002E3BF2"/>
    <w:rsid w:val="002E6D61"/>
    <w:rsid w:val="002F09FA"/>
    <w:rsid w:val="002F1084"/>
    <w:rsid w:val="002F3C44"/>
    <w:rsid w:val="003016C4"/>
    <w:rsid w:val="0030298A"/>
    <w:rsid w:val="00307C87"/>
    <w:rsid w:val="00311B99"/>
    <w:rsid w:val="00316EA0"/>
    <w:rsid w:val="003209AD"/>
    <w:rsid w:val="00321344"/>
    <w:rsid w:val="003219ED"/>
    <w:rsid w:val="00333E79"/>
    <w:rsid w:val="00334677"/>
    <w:rsid w:val="00334AFC"/>
    <w:rsid w:val="00336B37"/>
    <w:rsid w:val="00340D6A"/>
    <w:rsid w:val="003428D2"/>
    <w:rsid w:val="00347D03"/>
    <w:rsid w:val="00350278"/>
    <w:rsid w:val="003504E0"/>
    <w:rsid w:val="003517F4"/>
    <w:rsid w:val="00352F30"/>
    <w:rsid w:val="00354402"/>
    <w:rsid w:val="00364113"/>
    <w:rsid w:val="00365991"/>
    <w:rsid w:val="0037192F"/>
    <w:rsid w:val="00373CDF"/>
    <w:rsid w:val="00376F2E"/>
    <w:rsid w:val="003770DD"/>
    <w:rsid w:val="00382515"/>
    <w:rsid w:val="003831BA"/>
    <w:rsid w:val="00383735"/>
    <w:rsid w:val="00383E88"/>
    <w:rsid w:val="00384959"/>
    <w:rsid w:val="00391047"/>
    <w:rsid w:val="00392518"/>
    <w:rsid w:val="0039415D"/>
    <w:rsid w:val="00394CCF"/>
    <w:rsid w:val="003A3CF2"/>
    <w:rsid w:val="003A3E0C"/>
    <w:rsid w:val="003A5FD0"/>
    <w:rsid w:val="003A636A"/>
    <w:rsid w:val="003A667E"/>
    <w:rsid w:val="003A7C97"/>
    <w:rsid w:val="003B1674"/>
    <w:rsid w:val="003C07FB"/>
    <w:rsid w:val="003C1894"/>
    <w:rsid w:val="003C30BF"/>
    <w:rsid w:val="003C3175"/>
    <w:rsid w:val="003C3E52"/>
    <w:rsid w:val="003C3EA1"/>
    <w:rsid w:val="003C42F0"/>
    <w:rsid w:val="003C6F64"/>
    <w:rsid w:val="003D158E"/>
    <w:rsid w:val="003D180E"/>
    <w:rsid w:val="003D1B0D"/>
    <w:rsid w:val="003D70E6"/>
    <w:rsid w:val="003E2C84"/>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448F"/>
    <w:rsid w:val="00406D74"/>
    <w:rsid w:val="00410928"/>
    <w:rsid w:val="00414D46"/>
    <w:rsid w:val="00414F89"/>
    <w:rsid w:val="00415368"/>
    <w:rsid w:val="00422636"/>
    <w:rsid w:val="004229A8"/>
    <w:rsid w:val="00430666"/>
    <w:rsid w:val="0043111A"/>
    <w:rsid w:val="00437297"/>
    <w:rsid w:val="004375AE"/>
    <w:rsid w:val="00437C3B"/>
    <w:rsid w:val="00440A23"/>
    <w:rsid w:val="004412A9"/>
    <w:rsid w:val="0044133E"/>
    <w:rsid w:val="00441FD6"/>
    <w:rsid w:val="00442B69"/>
    <w:rsid w:val="00444DD0"/>
    <w:rsid w:val="00452D35"/>
    <w:rsid w:val="00457F74"/>
    <w:rsid w:val="00462A5A"/>
    <w:rsid w:val="00467F45"/>
    <w:rsid w:val="0047151B"/>
    <w:rsid w:val="00472891"/>
    <w:rsid w:val="00473E6F"/>
    <w:rsid w:val="00480A13"/>
    <w:rsid w:val="00487CB0"/>
    <w:rsid w:val="00493180"/>
    <w:rsid w:val="00495BDE"/>
    <w:rsid w:val="00497186"/>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BF8"/>
    <w:rsid w:val="004F3395"/>
    <w:rsid w:val="004F3D79"/>
    <w:rsid w:val="00500299"/>
    <w:rsid w:val="0050055E"/>
    <w:rsid w:val="005011FC"/>
    <w:rsid w:val="00502403"/>
    <w:rsid w:val="00504963"/>
    <w:rsid w:val="00504DF7"/>
    <w:rsid w:val="00507804"/>
    <w:rsid w:val="0051036D"/>
    <w:rsid w:val="00515B97"/>
    <w:rsid w:val="00520746"/>
    <w:rsid w:val="00521176"/>
    <w:rsid w:val="0052144B"/>
    <w:rsid w:val="00522C0C"/>
    <w:rsid w:val="00524FCF"/>
    <w:rsid w:val="00530AB9"/>
    <w:rsid w:val="00531A75"/>
    <w:rsid w:val="00534EC6"/>
    <w:rsid w:val="00535DE8"/>
    <w:rsid w:val="005368A3"/>
    <w:rsid w:val="00536902"/>
    <w:rsid w:val="00536A0A"/>
    <w:rsid w:val="00536C1B"/>
    <w:rsid w:val="00547F1F"/>
    <w:rsid w:val="0055152A"/>
    <w:rsid w:val="00556AB7"/>
    <w:rsid w:val="00562A56"/>
    <w:rsid w:val="00564D69"/>
    <w:rsid w:val="00564FD2"/>
    <w:rsid w:val="0056666C"/>
    <w:rsid w:val="0056674E"/>
    <w:rsid w:val="0056681E"/>
    <w:rsid w:val="00570A7D"/>
    <w:rsid w:val="005718E1"/>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F13"/>
    <w:rsid w:val="005E2068"/>
    <w:rsid w:val="005E3952"/>
    <w:rsid w:val="005E51A6"/>
    <w:rsid w:val="005F05E6"/>
    <w:rsid w:val="005F2313"/>
    <w:rsid w:val="005F2BBE"/>
    <w:rsid w:val="005F3EC0"/>
    <w:rsid w:val="005F7044"/>
    <w:rsid w:val="0060209D"/>
    <w:rsid w:val="006029BB"/>
    <w:rsid w:val="00603B05"/>
    <w:rsid w:val="00604C91"/>
    <w:rsid w:val="006050CC"/>
    <w:rsid w:val="00607C68"/>
    <w:rsid w:val="006146AC"/>
    <w:rsid w:val="00615357"/>
    <w:rsid w:val="006201EB"/>
    <w:rsid w:val="0062079B"/>
    <w:rsid w:val="00622353"/>
    <w:rsid w:val="00624A13"/>
    <w:rsid w:val="00625494"/>
    <w:rsid w:val="00630E6B"/>
    <w:rsid w:val="006313FB"/>
    <w:rsid w:val="00633456"/>
    <w:rsid w:val="00635001"/>
    <w:rsid w:val="00635820"/>
    <w:rsid w:val="00636471"/>
    <w:rsid w:val="00640853"/>
    <w:rsid w:val="00642C9C"/>
    <w:rsid w:val="00643D8B"/>
    <w:rsid w:val="006461DE"/>
    <w:rsid w:val="00646AA0"/>
    <w:rsid w:val="00647FE5"/>
    <w:rsid w:val="006517D3"/>
    <w:rsid w:val="006539B7"/>
    <w:rsid w:val="00655DE0"/>
    <w:rsid w:val="006563E5"/>
    <w:rsid w:val="006573D4"/>
    <w:rsid w:val="00667C0B"/>
    <w:rsid w:val="00670100"/>
    <w:rsid w:val="00677BD3"/>
    <w:rsid w:val="00680C7F"/>
    <w:rsid w:val="006814B2"/>
    <w:rsid w:val="00682AC4"/>
    <w:rsid w:val="006860BD"/>
    <w:rsid w:val="00687B62"/>
    <w:rsid w:val="00691776"/>
    <w:rsid w:val="00692E4F"/>
    <w:rsid w:val="00693E19"/>
    <w:rsid w:val="00695CD4"/>
    <w:rsid w:val="006A1816"/>
    <w:rsid w:val="006A42D1"/>
    <w:rsid w:val="006A7D62"/>
    <w:rsid w:val="006A7DBE"/>
    <w:rsid w:val="006B04EC"/>
    <w:rsid w:val="006B3EE2"/>
    <w:rsid w:val="006B4221"/>
    <w:rsid w:val="006B4A65"/>
    <w:rsid w:val="006C1B65"/>
    <w:rsid w:val="006C22CB"/>
    <w:rsid w:val="006C3CB3"/>
    <w:rsid w:val="006C4FAE"/>
    <w:rsid w:val="006C7366"/>
    <w:rsid w:val="006D524F"/>
    <w:rsid w:val="006D6564"/>
    <w:rsid w:val="006D65BF"/>
    <w:rsid w:val="006E0D29"/>
    <w:rsid w:val="006E0F9A"/>
    <w:rsid w:val="006E3EA2"/>
    <w:rsid w:val="006E5F8D"/>
    <w:rsid w:val="006E69A8"/>
    <w:rsid w:val="006F133F"/>
    <w:rsid w:val="006F3377"/>
    <w:rsid w:val="006F4C6B"/>
    <w:rsid w:val="006F4DCB"/>
    <w:rsid w:val="006F720F"/>
    <w:rsid w:val="00705977"/>
    <w:rsid w:val="007070E0"/>
    <w:rsid w:val="00710297"/>
    <w:rsid w:val="00712D16"/>
    <w:rsid w:val="007155E4"/>
    <w:rsid w:val="007200FB"/>
    <w:rsid w:val="00721509"/>
    <w:rsid w:val="007233E5"/>
    <w:rsid w:val="007239E7"/>
    <w:rsid w:val="00723A0A"/>
    <w:rsid w:val="00724FDC"/>
    <w:rsid w:val="0072692A"/>
    <w:rsid w:val="00726BD2"/>
    <w:rsid w:val="0072728C"/>
    <w:rsid w:val="00732EFE"/>
    <w:rsid w:val="007330E9"/>
    <w:rsid w:val="00740067"/>
    <w:rsid w:val="00740AB0"/>
    <w:rsid w:val="007420AD"/>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5B5"/>
    <w:rsid w:val="007935D2"/>
    <w:rsid w:val="00793607"/>
    <w:rsid w:val="007A5F4E"/>
    <w:rsid w:val="007B1D29"/>
    <w:rsid w:val="007B2F5C"/>
    <w:rsid w:val="007B52EA"/>
    <w:rsid w:val="007B7AF6"/>
    <w:rsid w:val="007D1502"/>
    <w:rsid w:val="007D3D85"/>
    <w:rsid w:val="007D4F0A"/>
    <w:rsid w:val="007D71AB"/>
    <w:rsid w:val="007D7ABE"/>
    <w:rsid w:val="007E0468"/>
    <w:rsid w:val="007E0621"/>
    <w:rsid w:val="007E12E4"/>
    <w:rsid w:val="007E2130"/>
    <w:rsid w:val="007E248D"/>
    <w:rsid w:val="007E76C8"/>
    <w:rsid w:val="007F2B89"/>
    <w:rsid w:val="007F3450"/>
    <w:rsid w:val="007F5084"/>
    <w:rsid w:val="007F6100"/>
    <w:rsid w:val="007F6554"/>
    <w:rsid w:val="007F7ABD"/>
    <w:rsid w:val="0080635A"/>
    <w:rsid w:val="00806373"/>
    <w:rsid w:val="008077F3"/>
    <w:rsid w:val="00810377"/>
    <w:rsid w:val="00814E3A"/>
    <w:rsid w:val="00814FE2"/>
    <w:rsid w:val="00815061"/>
    <w:rsid w:val="0081590F"/>
    <w:rsid w:val="008173A5"/>
    <w:rsid w:val="00822342"/>
    <w:rsid w:val="00824AE6"/>
    <w:rsid w:val="00824C4F"/>
    <w:rsid w:val="00834AA4"/>
    <w:rsid w:val="008358E8"/>
    <w:rsid w:val="00836131"/>
    <w:rsid w:val="00840FFD"/>
    <w:rsid w:val="008411B2"/>
    <w:rsid w:val="00844780"/>
    <w:rsid w:val="008507E5"/>
    <w:rsid w:val="00851776"/>
    <w:rsid w:val="00853524"/>
    <w:rsid w:val="008552C7"/>
    <w:rsid w:val="00856842"/>
    <w:rsid w:val="00862509"/>
    <w:rsid w:val="00862DBC"/>
    <w:rsid w:val="008665CF"/>
    <w:rsid w:val="00866EC4"/>
    <w:rsid w:val="00867D73"/>
    <w:rsid w:val="0087008D"/>
    <w:rsid w:val="008753F7"/>
    <w:rsid w:val="0088248A"/>
    <w:rsid w:val="008844A5"/>
    <w:rsid w:val="00885655"/>
    <w:rsid w:val="0088723F"/>
    <w:rsid w:val="00892889"/>
    <w:rsid w:val="00893153"/>
    <w:rsid w:val="008939CB"/>
    <w:rsid w:val="008A1B50"/>
    <w:rsid w:val="008A443F"/>
    <w:rsid w:val="008A5EE8"/>
    <w:rsid w:val="008A670E"/>
    <w:rsid w:val="008A7105"/>
    <w:rsid w:val="008B1118"/>
    <w:rsid w:val="008B1836"/>
    <w:rsid w:val="008B2C30"/>
    <w:rsid w:val="008B5984"/>
    <w:rsid w:val="008B5A99"/>
    <w:rsid w:val="008B61FB"/>
    <w:rsid w:val="008C14B2"/>
    <w:rsid w:val="008C3EE3"/>
    <w:rsid w:val="008C3F7C"/>
    <w:rsid w:val="008C724F"/>
    <w:rsid w:val="008D5327"/>
    <w:rsid w:val="008D5FB6"/>
    <w:rsid w:val="008D7A77"/>
    <w:rsid w:val="008E1361"/>
    <w:rsid w:val="008E35C3"/>
    <w:rsid w:val="008E3D66"/>
    <w:rsid w:val="008E5D02"/>
    <w:rsid w:val="008E6309"/>
    <w:rsid w:val="008F29DB"/>
    <w:rsid w:val="008F59B4"/>
    <w:rsid w:val="008F6648"/>
    <w:rsid w:val="008F70BF"/>
    <w:rsid w:val="00900D62"/>
    <w:rsid w:val="00900EFC"/>
    <w:rsid w:val="0090176D"/>
    <w:rsid w:val="00903C6E"/>
    <w:rsid w:val="00904FF4"/>
    <w:rsid w:val="00906BF4"/>
    <w:rsid w:val="00906D61"/>
    <w:rsid w:val="00913B34"/>
    <w:rsid w:val="00913E2F"/>
    <w:rsid w:val="00914691"/>
    <w:rsid w:val="00914E59"/>
    <w:rsid w:val="00915DAC"/>
    <w:rsid w:val="0092066C"/>
    <w:rsid w:val="00920F28"/>
    <w:rsid w:val="0092115E"/>
    <w:rsid w:val="0092146F"/>
    <w:rsid w:val="009240AC"/>
    <w:rsid w:val="00925473"/>
    <w:rsid w:val="009254C5"/>
    <w:rsid w:val="0093023C"/>
    <w:rsid w:val="00932E18"/>
    <w:rsid w:val="00934A94"/>
    <w:rsid w:val="009366F1"/>
    <w:rsid w:val="00937089"/>
    <w:rsid w:val="00942B5B"/>
    <w:rsid w:val="00942F45"/>
    <w:rsid w:val="009462CD"/>
    <w:rsid w:val="009462FC"/>
    <w:rsid w:val="0095086B"/>
    <w:rsid w:val="00950943"/>
    <w:rsid w:val="00950B99"/>
    <w:rsid w:val="00952D40"/>
    <w:rsid w:val="0095329C"/>
    <w:rsid w:val="00953461"/>
    <w:rsid w:val="00953FFC"/>
    <w:rsid w:val="0096179E"/>
    <w:rsid w:val="00965051"/>
    <w:rsid w:val="0097405C"/>
    <w:rsid w:val="00976BDB"/>
    <w:rsid w:val="00980D52"/>
    <w:rsid w:val="009824E5"/>
    <w:rsid w:val="00986AC9"/>
    <w:rsid w:val="009930C3"/>
    <w:rsid w:val="009933FE"/>
    <w:rsid w:val="00993D08"/>
    <w:rsid w:val="009A4927"/>
    <w:rsid w:val="009A707B"/>
    <w:rsid w:val="009B026F"/>
    <w:rsid w:val="009B07B0"/>
    <w:rsid w:val="009B4960"/>
    <w:rsid w:val="009C0647"/>
    <w:rsid w:val="009C2458"/>
    <w:rsid w:val="009C43E4"/>
    <w:rsid w:val="009C45F1"/>
    <w:rsid w:val="009C4958"/>
    <w:rsid w:val="009D0A59"/>
    <w:rsid w:val="009D1158"/>
    <w:rsid w:val="009D2A5B"/>
    <w:rsid w:val="009D555E"/>
    <w:rsid w:val="009D6CC5"/>
    <w:rsid w:val="009E215A"/>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091C"/>
    <w:rsid w:val="00A11A32"/>
    <w:rsid w:val="00A134C3"/>
    <w:rsid w:val="00A164F9"/>
    <w:rsid w:val="00A20919"/>
    <w:rsid w:val="00A26A4B"/>
    <w:rsid w:val="00A3136C"/>
    <w:rsid w:val="00A341ED"/>
    <w:rsid w:val="00A357CF"/>
    <w:rsid w:val="00A4258A"/>
    <w:rsid w:val="00A44195"/>
    <w:rsid w:val="00A46120"/>
    <w:rsid w:val="00A514A6"/>
    <w:rsid w:val="00A52125"/>
    <w:rsid w:val="00A53A05"/>
    <w:rsid w:val="00A55F19"/>
    <w:rsid w:val="00A57B46"/>
    <w:rsid w:val="00A57E84"/>
    <w:rsid w:val="00A6569C"/>
    <w:rsid w:val="00A65B85"/>
    <w:rsid w:val="00A66A69"/>
    <w:rsid w:val="00A67FA9"/>
    <w:rsid w:val="00A72A55"/>
    <w:rsid w:val="00A72E3E"/>
    <w:rsid w:val="00A7452A"/>
    <w:rsid w:val="00A8094D"/>
    <w:rsid w:val="00A824DB"/>
    <w:rsid w:val="00A83182"/>
    <w:rsid w:val="00A87EE2"/>
    <w:rsid w:val="00A9094A"/>
    <w:rsid w:val="00A92315"/>
    <w:rsid w:val="00A9317E"/>
    <w:rsid w:val="00A94D0B"/>
    <w:rsid w:val="00A973AE"/>
    <w:rsid w:val="00AA420E"/>
    <w:rsid w:val="00AA4837"/>
    <w:rsid w:val="00AA4D49"/>
    <w:rsid w:val="00AA58B7"/>
    <w:rsid w:val="00AA5C68"/>
    <w:rsid w:val="00AA73BA"/>
    <w:rsid w:val="00AA7A97"/>
    <w:rsid w:val="00AB2B3C"/>
    <w:rsid w:val="00AB56AC"/>
    <w:rsid w:val="00AB5D12"/>
    <w:rsid w:val="00AB6647"/>
    <w:rsid w:val="00AC552E"/>
    <w:rsid w:val="00AC6678"/>
    <w:rsid w:val="00AD1D1B"/>
    <w:rsid w:val="00AD4E77"/>
    <w:rsid w:val="00AD4FF1"/>
    <w:rsid w:val="00AD5017"/>
    <w:rsid w:val="00AE2106"/>
    <w:rsid w:val="00AE3620"/>
    <w:rsid w:val="00AE477D"/>
    <w:rsid w:val="00AF09D9"/>
    <w:rsid w:val="00B01433"/>
    <w:rsid w:val="00B023C5"/>
    <w:rsid w:val="00B03CD7"/>
    <w:rsid w:val="00B05917"/>
    <w:rsid w:val="00B15B75"/>
    <w:rsid w:val="00B17B51"/>
    <w:rsid w:val="00B211D8"/>
    <w:rsid w:val="00B217A5"/>
    <w:rsid w:val="00B21F75"/>
    <w:rsid w:val="00B2259D"/>
    <w:rsid w:val="00B23222"/>
    <w:rsid w:val="00B234EC"/>
    <w:rsid w:val="00B263DA"/>
    <w:rsid w:val="00B308EF"/>
    <w:rsid w:val="00B322D3"/>
    <w:rsid w:val="00B32CC1"/>
    <w:rsid w:val="00B33DAF"/>
    <w:rsid w:val="00B40D41"/>
    <w:rsid w:val="00B4256E"/>
    <w:rsid w:val="00B43B5B"/>
    <w:rsid w:val="00B46439"/>
    <w:rsid w:val="00B50397"/>
    <w:rsid w:val="00B5074D"/>
    <w:rsid w:val="00B50EF2"/>
    <w:rsid w:val="00B51244"/>
    <w:rsid w:val="00B512B8"/>
    <w:rsid w:val="00B5234D"/>
    <w:rsid w:val="00B52869"/>
    <w:rsid w:val="00B57D38"/>
    <w:rsid w:val="00B630F5"/>
    <w:rsid w:val="00B65146"/>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540C"/>
    <w:rsid w:val="00BB7C52"/>
    <w:rsid w:val="00BC0919"/>
    <w:rsid w:val="00BC303B"/>
    <w:rsid w:val="00BC5027"/>
    <w:rsid w:val="00BD04DE"/>
    <w:rsid w:val="00BD09A7"/>
    <w:rsid w:val="00BD48E2"/>
    <w:rsid w:val="00BD5929"/>
    <w:rsid w:val="00BE0263"/>
    <w:rsid w:val="00BE72A7"/>
    <w:rsid w:val="00BF37FD"/>
    <w:rsid w:val="00BF4616"/>
    <w:rsid w:val="00BF5362"/>
    <w:rsid w:val="00C00517"/>
    <w:rsid w:val="00C02A42"/>
    <w:rsid w:val="00C036D4"/>
    <w:rsid w:val="00C03808"/>
    <w:rsid w:val="00C07101"/>
    <w:rsid w:val="00C077DA"/>
    <w:rsid w:val="00C148C6"/>
    <w:rsid w:val="00C15F41"/>
    <w:rsid w:val="00C2159C"/>
    <w:rsid w:val="00C22E73"/>
    <w:rsid w:val="00C30673"/>
    <w:rsid w:val="00C3146B"/>
    <w:rsid w:val="00C35AEF"/>
    <w:rsid w:val="00C4026A"/>
    <w:rsid w:val="00C44B26"/>
    <w:rsid w:val="00C45A81"/>
    <w:rsid w:val="00C522FD"/>
    <w:rsid w:val="00C53115"/>
    <w:rsid w:val="00C53E83"/>
    <w:rsid w:val="00C54B9D"/>
    <w:rsid w:val="00C55FFE"/>
    <w:rsid w:val="00C5721E"/>
    <w:rsid w:val="00C64774"/>
    <w:rsid w:val="00C65F21"/>
    <w:rsid w:val="00C66999"/>
    <w:rsid w:val="00C66DC7"/>
    <w:rsid w:val="00C670F1"/>
    <w:rsid w:val="00C7534F"/>
    <w:rsid w:val="00C76811"/>
    <w:rsid w:val="00C8033C"/>
    <w:rsid w:val="00C81590"/>
    <w:rsid w:val="00C83803"/>
    <w:rsid w:val="00C860B6"/>
    <w:rsid w:val="00C91BD0"/>
    <w:rsid w:val="00C95706"/>
    <w:rsid w:val="00CA0000"/>
    <w:rsid w:val="00CA6F10"/>
    <w:rsid w:val="00CB37F9"/>
    <w:rsid w:val="00CB50B6"/>
    <w:rsid w:val="00CB73FA"/>
    <w:rsid w:val="00CC2442"/>
    <w:rsid w:val="00CD1079"/>
    <w:rsid w:val="00CD23C2"/>
    <w:rsid w:val="00CD266B"/>
    <w:rsid w:val="00CD2876"/>
    <w:rsid w:val="00CD6D81"/>
    <w:rsid w:val="00CE736A"/>
    <w:rsid w:val="00CE7F02"/>
    <w:rsid w:val="00CF196E"/>
    <w:rsid w:val="00CF3519"/>
    <w:rsid w:val="00CF4FDD"/>
    <w:rsid w:val="00CF62D7"/>
    <w:rsid w:val="00CF68DF"/>
    <w:rsid w:val="00CF7085"/>
    <w:rsid w:val="00D01238"/>
    <w:rsid w:val="00D03261"/>
    <w:rsid w:val="00D03BE9"/>
    <w:rsid w:val="00D05290"/>
    <w:rsid w:val="00D06B02"/>
    <w:rsid w:val="00D07B8E"/>
    <w:rsid w:val="00D1074F"/>
    <w:rsid w:val="00D16257"/>
    <w:rsid w:val="00D2082C"/>
    <w:rsid w:val="00D22901"/>
    <w:rsid w:val="00D24E4F"/>
    <w:rsid w:val="00D25820"/>
    <w:rsid w:val="00D268E2"/>
    <w:rsid w:val="00D31624"/>
    <w:rsid w:val="00D316B5"/>
    <w:rsid w:val="00D32E28"/>
    <w:rsid w:val="00D35271"/>
    <w:rsid w:val="00D520D0"/>
    <w:rsid w:val="00D52ADD"/>
    <w:rsid w:val="00D56C6C"/>
    <w:rsid w:val="00D6339D"/>
    <w:rsid w:val="00D644EE"/>
    <w:rsid w:val="00D6476E"/>
    <w:rsid w:val="00D65318"/>
    <w:rsid w:val="00D66CB1"/>
    <w:rsid w:val="00D6713E"/>
    <w:rsid w:val="00D70565"/>
    <w:rsid w:val="00D709D1"/>
    <w:rsid w:val="00D70F34"/>
    <w:rsid w:val="00D712B7"/>
    <w:rsid w:val="00D7245B"/>
    <w:rsid w:val="00D83A3C"/>
    <w:rsid w:val="00D846C8"/>
    <w:rsid w:val="00D84C43"/>
    <w:rsid w:val="00D85042"/>
    <w:rsid w:val="00D86343"/>
    <w:rsid w:val="00D877B1"/>
    <w:rsid w:val="00D920BA"/>
    <w:rsid w:val="00D92F77"/>
    <w:rsid w:val="00D9358D"/>
    <w:rsid w:val="00D944AE"/>
    <w:rsid w:val="00D96B8A"/>
    <w:rsid w:val="00DA04DF"/>
    <w:rsid w:val="00DA7497"/>
    <w:rsid w:val="00DB33AA"/>
    <w:rsid w:val="00DB4581"/>
    <w:rsid w:val="00DB5EC5"/>
    <w:rsid w:val="00DB652D"/>
    <w:rsid w:val="00DC0A0D"/>
    <w:rsid w:val="00DC2989"/>
    <w:rsid w:val="00DC52B4"/>
    <w:rsid w:val="00DC5B78"/>
    <w:rsid w:val="00DC620E"/>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3A72"/>
    <w:rsid w:val="00E05C98"/>
    <w:rsid w:val="00E06B6F"/>
    <w:rsid w:val="00E070CA"/>
    <w:rsid w:val="00E07289"/>
    <w:rsid w:val="00E121F1"/>
    <w:rsid w:val="00E13FE5"/>
    <w:rsid w:val="00E157C7"/>
    <w:rsid w:val="00E168BC"/>
    <w:rsid w:val="00E17D36"/>
    <w:rsid w:val="00E207D2"/>
    <w:rsid w:val="00E20D1F"/>
    <w:rsid w:val="00E2339A"/>
    <w:rsid w:val="00E251D5"/>
    <w:rsid w:val="00E30A24"/>
    <w:rsid w:val="00E335FF"/>
    <w:rsid w:val="00E37357"/>
    <w:rsid w:val="00E403C2"/>
    <w:rsid w:val="00E42669"/>
    <w:rsid w:val="00E432D1"/>
    <w:rsid w:val="00E539DE"/>
    <w:rsid w:val="00E54F9E"/>
    <w:rsid w:val="00E5618B"/>
    <w:rsid w:val="00E562FB"/>
    <w:rsid w:val="00E574E7"/>
    <w:rsid w:val="00E6075F"/>
    <w:rsid w:val="00E60D91"/>
    <w:rsid w:val="00E6196B"/>
    <w:rsid w:val="00E6327F"/>
    <w:rsid w:val="00E669F4"/>
    <w:rsid w:val="00E66A15"/>
    <w:rsid w:val="00E7645E"/>
    <w:rsid w:val="00E82B50"/>
    <w:rsid w:val="00E83597"/>
    <w:rsid w:val="00E84EC5"/>
    <w:rsid w:val="00E87B59"/>
    <w:rsid w:val="00E90BE3"/>
    <w:rsid w:val="00E90C91"/>
    <w:rsid w:val="00E92B40"/>
    <w:rsid w:val="00E930A8"/>
    <w:rsid w:val="00E940F5"/>
    <w:rsid w:val="00E9475D"/>
    <w:rsid w:val="00E952DA"/>
    <w:rsid w:val="00E9744D"/>
    <w:rsid w:val="00E97F85"/>
    <w:rsid w:val="00EA1B5F"/>
    <w:rsid w:val="00EA2D24"/>
    <w:rsid w:val="00EA50DB"/>
    <w:rsid w:val="00EA6D85"/>
    <w:rsid w:val="00EA7AB5"/>
    <w:rsid w:val="00EB17AD"/>
    <w:rsid w:val="00EB60B6"/>
    <w:rsid w:val="00EB71C4"/>
    <w:rsid w:val="00EC1167"/>
    <w:rsid w:val="00EC1726"/>
    <w:rsid w:val="00EC401C"/>
    <w:rsid w:val="00EC40A6"/>
    <w:rsid w:val="00EC5429"/>
    <w:rsid w:val="00EC587D"/>
    <w:rsid w:val="00ED4799"/>
    <w:rsid w:val="00EE3A01"/>
    <w:rsid w:val="00EF1A8B"/>
    <w:rsid w:val="00EF4530"/>
    <w:rsid w:val="00EF46F6"/>
    <w:rsid w:val="00EF504B"/>
    <w:rsid w:val="00EF638E"/>
    <w:rsid w:val="00EF7894"/>
    <w:rsid w:val="00F0054C"/>
    <w:rsid w:val="00F03820"/>
    <w:rsid w:val="00F03D55"/>
    <w:rsid w:val="00F046D2"/>
    <w:rsid w:val="00F071D4"/>
    <w:rsid w:val="00F079AF"/>
    <w:rsid w:val="00F12DCC"/>
    <w:rsid w:val="00F14228"/>
    <w:rsid w:val="00F14D6F"/>
    <w:rsid w:val="00F168F9"/>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2F17"/>
    <w:rsid w:val="00F84F29"/>
    <w:rsid w:val="00F85335"/>
    <w:rsid w:val="00F92D72"/>
    <w:rsid w:val="00F97355"/>
    <w:rsid w:val="00F97417"/>
    <w:rsid w:val="00F9779C"/>
    <w:rsid w:val="00F977CD"/>
    <w:rsid w:val="00F97D17"/>
    <w:rsid w:val="00FB1263"/>
    <w:rsid w:val="00FB2E23"/>
    <w:rsid w:val="00FB30C6"/>
    <w:rsid w:val="00FB3696"/>
    <w:rsid w:val="00FC2247"/>
    <w:rsid w:val="00FC2E89"/>
    <w:rsid w:val="00FC67C0"/>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A7BA886E-462B-460B-A81E-70450C4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qFormat/>
    <w:rsid w:val="00853524"/>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2024-01-11T18:30:00+00:00</Judgment_x0020_Date>
    <Year xmlns="c1afb1bd-f2fb-40fd-9abb-aea55b4d7662">2024</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46BC3-268B-4F40-8F20-0AB1FA9C4741}">
  <ds:schemaRefs>
    <ds:schemaRef ds:uri="http://schemas.openxmlformats.org/officeDocument/2006/bibliography"/>
  </ds:schemaRefs>
</ds:datastoreItem>
</file>

<file path=customXml/itemProps2.xml><?xml version="1.0" encoding="utf-8"?>
<ds:datastoreItem xmlns:ds="http://schemas.openxmlformats.org/officeDocument/2006/customXml" ds:itemID="{6B66E6BF-25FC-45B7-A061-47FCF9841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2F0C2-A094-4B36-9747-F79869BDD855}">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174F9B14-E10F-4134-85EA-ED609720E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Hawanga v The Municipal Council for the City of Windhoek (HC-MD-CIV-MOT-GEN-2023-00352) [2024] NAHCMD 2  (12 January 2024)</dc:title>
  <dc:creator>Monica</dc:creator>
  <cp:lastModifiedBy>Mariana Anguelov</cp:lastModifiedBy>
  <cp:revision>7</cp:revision>
  <cp:lastPrinted>2024-01-03T09:34:00Z</cp:lastPrinted>
  <dcterms:created xsi:type="dcterms:W3CDTF">2024-01-10T13:18:00Z</dcterms:created>
  <dcterms:modified xsi:type="dcterms:W3CDTF">2024-01-20T08:51:00Z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