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0AD66" w14:textId="77777777" w:rsidR="00B40844" w:rsidRPr="006E026B" w:rsidRDefault="00B40844" w:rsidP="008E4F65">
      <w:pPr>
        <w:pStyle w:val="Title"/>
      </w:pPr>
      <w:r w:rsidRPr="006E026B">
        <w:t>REPUBLIC OF NAMIBIA</w:t>
      </w:r>
    </w:p>
    <w:p w14:paraId="3F78DFF2" w14:textId="77777777"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451EEDE" wp14:editId="76456FB2">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14:paraId="1B34221B" w14:textId="77777777" w:rsidR="00B40844" w:rsidRPr="006E026B" w:rsidRDefault="00F679DE" w:rsidP="00B40844">
      <w:pPr>
        <w:spacing w:after="0" w:line="360" w:lineRule="auto"/>
        <w:jc w:val="center"/>
        <w:rPr>
          <w:rFonts w:ascii="Arial" w:hAnsi="Arial" w:cs="Arial"/>
          <w:bCs/>
          <w:sz w:val="24"/>
          <w:szCs w:val="24"/>
        </w:rPr>
      </w:pPr>
      <w:r>
        <w:rPr>
          <w:rFonts w:ascii="Arial" w:hAnsi="Arial" w:cs="Arial"/>
          <w:b/>
          <w:sz w:val="24"/>
          <w:szCs w:val="24"/>
        </w:rPr>
        <w:t xml:space="preserve">IN THE </w:t>
      </w:r>
      <w:r w:rsidR="00B40844" w:rsidRPr="006E026B">
        <w:rPr>
          <w:rFonts w:ascii="Arial" w:hAnsi="Arial" w:cs="Arial"/>
          <w:b/>
          <w:sz w:val="24"/>
          <w:szCs w:val="24"/>
        </w:rPr>
        <w:t>HIGH COURT OF NAMIBIA MAIN DIVISION, WINDHOEK</w:t>
      </w:r>
    </w:p>
    <w:p w14:paraId="3A0D1B75" w14:textId="77777777" w:rsidR="00B40844" w:rsidRPr="00D60924" w:rsidRDefault="00B40844" w:rsidP="00B40844">
      <w:pPr>
        <w:spacing w:after="0" w:line="360" w:lineRule="auto"/>
        <w:jc w:val="center"/>
        <w:rPr>
          <w:rFonts w:ascii="Arial" w:hAnsi="Arial" w:cs="Arial"/>
          <w:b/>
          <w:sz w:val="24"/>
          <w:szCs w:val="24"/>
        </w:rPr>
      </w:pPr>
    </w:p>
    <w:p w14:paraId="23E33371" w14:textId="77777777" w:rsidR="00B40844" w:rsidRPr="0093211F" w:rsidRDefault="008006A3" w:rsidP="0093211F">
      <w:pPr>
        <w:pStyle w:val="Heading3"/>
        <w:rPr>
          <w:rFonts w:eastAsiaTheme="minorHAnsi"/>
          <w:lang w:val="en-ZA"/>
        </w:rPr>
      </w:pPr>
      <w:r w:rsidRPr="0093211F">
        <w:rPr>
          <w:rFonts w:eastAsiaTheme="minorHAnsi"/>
          <w:lang w:val="en-ZA"/>
        </w:rPr>
        <w:t>RULING</w:t>
      </w:r>
    </w:p>
    <w:p w14:paraId="5E394B05" w14:textId="77777777" w:rsidR="0093211F" w:rsidRDefault="0093211F" w:rsidP="00B40844">
      <w:pPr>
        <w:spacing w:after="0" w:line="360" w:lineRule="auto"/>
        <w:jc w:val="center"/>
        <w:rPr>
          <w:rFonts w:ascii="Arial" w:hAnsi="Arial" w:cs="Arial"/>
          <w:b/>
          <w:sz w:val="24"/>
          <w:szCs w:val="24"/>
        </w:rPr>
      </w:pPr>
    </w:p>
    <w:p w14:paraId="56FFD7E8" w14:textId="77777777" w:rsidR="00002E9A" w:rsidRDefault="00002E9A" w:rsidP="0093211F">
      <w:pPr>
        <w:pStyle w:val="Heading3"/>
      </w:pPr>
      <w:r>
        <w:t>PRACTICE DIRECTIVE 61</w:t>
      </w:r>
    </w:p>
    <w:tbl>
      <w:tblPr>
        <w:tblStyle w:val="TableGrid"/>
        <w:tblW w:w="10476" w:type="dxa"/>
        <w:tblInd w:w="-275" w:type="dxa"/>
        <w:tblLook w:val="04A0" w:firstRow="1" w:lastRow="0" w:firstColumn="1" w:lastColumn="0" w:noHBand="0" w:noVBand="1"/>
      </w:tblPr>
      <w:tblGrid>
        <w:gridCol w:w="5232"/>
        <w:gridCol w:w="1134"/>
        <w:gridCol w:w="4110"/>
      </w:tblGrid>
      <w:tr w:rsidR="00CA7995" w:rsidRPr="00CA7995" w14:paraId="19F925AF" w14:textId="77777777" w:rsidTr="00002E9A">
        <w:trPr>
          <w:trHeight w:val="1396"/>
        </w:trPr>
        <w:tc>
          <w:tcPr>
            <w:tcW w:w="6366" w:type="dxa"/>
            <w:gridSpan w:val="2"/>
            <w:vMerge w:val="restart"/>
          </w:tcPr>
          <w:p w14:paraId="300AB7FF" w14:textId="77777777" w:rsidR="00B40844" w:rsidRDefault="00B40844" w:rsidP="00F210AD">
            <w:pPr>
              <w:spacing w:line="360" w:lineRule="auto"/>
              <w:jc w:val="both"/>
              <w:rPr>
                <w:rFonts w:ascii="Arial" w:hAnsi="Arial" w:cs="Arial"/>
                <w:b/>
                <w:sz w:val="24"/>
                <w:szCs w:val="24"/>
              </w:rPr>
            </w:pPr>
            <w:r w:rsidRPr="00CA7995">
              <w:rPr>
                <w:rFonts w:ascii="Arial" w:hAnsi="Arial" w:cs="Arial"/>
                <w:b/>
                <w:sz w:val="24"/>
                <w:szCs w:val="24"/>
              </w:rPr>
              <w:t>Case Title:</w:t>
            </w:r>
          </w:p>
          <w:p w14:paraId="26418DE0" w14:textId="77777777" w:rsidR="00F210AD" w:rsidRPr="00F210AD" w:rsidRDefault="00F210AD" w:rsidP="00F210AD">
            <w:pPr>
              <w:spacing w:line="360" w:lineRule="auto"/>
              <w:jc w:val="both"/>
              <w:rPr>
                <w:rFonts w:ascii="Arial" w:hAnsi="Arial" w:cs="Arial"/>
                <w:b/>
                <w:sz w:val="24"/>
                <w:szCs w:val="24"/>
              </w:rPr>
            </w:pPr>
          </w:p>
          <w:p w14:paraId="3BEC94DB" w14:textId="319D3C15" w:rsidR="00D9349D" w:rsidRDefault="00F95CC2" w:rsidP="00002E9A">
            <w:pPr>
              <w:spacing w:line="360" w:lineRule="auto"/>
              <w:jc w:val="both"/>
              <w:rPr>
                <w:rFonts w:ascii="Arial" w:hAnsi="Arial" w:cs="Arial"/>
                <w:sz w:val="24"/>
                <w:szCs w:val="24"/>
              </w:rPr>
            </w:pPr>
            <w:r w:rsidRPr="00F95CC2">
              <w:rPr>
                <w:rFonts w:ascii="Arial" w:hAnsi="Arial" w:cs="Arial"/>
                <w:sz w:val="24"/>
                <w:szCs w:val="24"/>
              </w:rPr>
              <w:t xml:space="preserve">SEAL PRODUCTS </w:t>
            </w:r>
            <w:r w:rsidR="008E4F65">
              <w:rPr>
                <w:rFonts w:ascii="Arial" w:hAnsi="Arial" w:cs="Arial"/>
                <w:sz w:val="24"/>
                <w:szCs w:val="24"/>
              </w:rPr>
              <w:t>(</w:t>
            </w:r>
            <w:r w:rsidRPr="00F95CC2">
              <w:rPr>
                <w:rFonts w:ascii="Arial" w:hAnsi="Arial" w:cs="Arial"/>
                <w:sz w:val="24"/>
                <w:szCs w:val="24"/>
              </w:rPr>
              <w:t>PTY</w:t>
            </w:r>
            <w:r w:rsidR="008E4F65">
              <w:rPr>
                <w:rFonts w:ascii="Arial" w:hAnsi="Arial" w:cs="Arial"/>
                <w:sz w:val="24"/>
                <w:szCs w:val="24"/>
              </w:rPr>
              <w:t>)</w:t>
            </w:r>
            <w:r w:rsidRPr="00F95CC2">
              <w:rPr>
                <w:rFonts w:ascii="Arial" w:hAnsi="Arial" w:cs="Arial"/>
                <w:sz w:val="24"/>
                <w:szCs w:val="24"/>
              </w:rPr>
              <w:t xml:space="preserve"> LTD </w:t>
            </w:r>
            <w:r>
              <w:rPr>
                <w:rFonts w:ascii="Arial" w:hAnsi="Arial" w:cs="Arial"/>
                <w:sz w:val="24"/>
                <w:szCs w:val="24"/>
              </w:rPr>
              <w:t xml:space="preserve">                          </w:t>
            </w:r>
            <w:r w:rsidR="00D9349D">
              <w:rPr>
                <w:rFonts w:ascii="Arial" w:hAnsi="Arial" w:cs="Arial"/>
                <w:sz w:val="24"/>
                <w:szCs w:val="24"/>
              </w:rPr>
              <w:t xml:space="preserve">APPLICANT                        </w:t>
            </w:r>
          </w:p>
          <w:p w14:paraId="7E175E29" w14:textId="77777777" w:rsidR="009F24BF" w:rsidRDefault="00F95CC2" w:rsidP="00F95CC2">
            <w:pPr>
              <w:tabs>
                <w:tab w:val="left" w:pos="2100"/>
              </w:tabs>
              <w:spacing w:line="360" w:lineRule="auto"/>
              <w:jc w:val="both"/>
              <w:rPr>
                <w:rFonts w:ascii="Arial" w:hAnsi="Arial" w:cs="Arial"/>
                <w:sz w:val="24"/>
                <w:szCs w:val="24"/>
              </w:rPr>
            </w:pPr>
            <w:r>
              <w:rPr>
                <w:rFonts w:ascii="Arial" w:hAnsi="Arial" w:cs="Arial"/>
                <w:sz w:val="24"/>
                <w:szCs w:val="24"/>
              </w:rPr>
              <w:tab/>
            </w:r>
          </w:p>
          <w:p w14:paraId="61844B78" w14:textId="3503A78E" w:rsidR="00002E9A" w:rsidRDefault="00F03D12" w:rsidP="00002E9A">
            <w:pPr>
              <w:spacing w:line="360" w:lineRule="auto"/>
              <w:jc w:val="both"/>
              <w:rPr>
                <w:rFonts w:ascii="Arial" w:hAnsi="Arial" w:cs="Arial"/>
                <w:sz w:val="24"/>
                <w:szCs w:val="24"/>
              </w:rPr>
            </w:pPr>
            <w:r>
              <w:rPr>
                <w:rFonts w:ascii="Arial" w:hAnsi="Arial" w:cs="Arial"/>
                <w:sz w:val="24"/>
                <w:szCs w:val="24"/>
              </w:rPr>
              <w:t>v</w:t>
            </w:r>
          </w:p>
          <w:p w14:paraId="2B502F1C" w14:textId="77777777" w:rsidR="00D95D97" w:rsidRDefault="00F95CC2" w:rsidP="00767A42">
            <w:pPr>
              <w:spacing w:line="360" w:lineRule="auto"/>
              <w:rPr>
                <w:rFonts w:ascii="Arial" w:eastAsia="Times New Roman" w:hAnsi="Arial" w:cs="Arial"/>
                <w:sz w:val="24"/>
                <w:szCs w:val="24"/>
              </w:rPr>
            </w:pPr>
            <w:r w:rsidRPr="00F95CC2">
              <w:rPr>
                <w:rFonts w:ascii="Arial" w:hAnsi="Arial" w:cs="Arial"/>
                <w:sz w:val="24"/>
                <w:szCs w:val="24"/>
              </w:rPr>
              <w:t>INSPECTOR GENERAL OF THE NAMIBIAN POLICE</w:t>
            </w:r>
            <w:r w:rsidR="00767A42" w:rsidRPr="00767A42">
              <w:rPr>
                <w:rFonts w:ascii="Arial" w:eastAsia="Times New Roman" w:hAnsi="Arial" w:cs="Arial"/>
                <w:sz w:val="24"/>
                <w:szCs w:val="24"/>
              </w:rPr>
              <w:tab/>
            </w:r>
            <w:r w:rsidR="00767A42" w:rsidRPr="00767A42">
              <w:rPr>
                <w:rFonts w:ascii="Arial" w:eastAsia="Times New Roman" w:hAnsi="Arial" w:cs="Arial"/>
                <w:sz w:val="24"/>
                <w:szCs w:val="24"/>
              </w:rPr>
              <w:tab/>
            </w:r>
            <w:r w:rsidR="00767A42" w:rsidRPr="00767A42">
              <w:rPr>
                <w:rFonts w:ascii="Arial" w:eastAsia="Times New Roman" w:hAnsi="Arial" w:cs="Arial"/>
                <w:sz w:val="24"/>
                <w:szCs w:val="24"/>
              </w:rPr>
              <w:tab/>
            </w:r>
            <w:r w:rsidR="00767A42" w:rsidRPr="00767A42">
              <w:rPr>
                <w:rFonts w:ascii="Arial" w:eastAsia="Times New Roman" w:hAnsi="Arial" w:cs="Arial"/>
                <w:sz w:val="24"/>
                <w:szCs w:val="24"/>
              </w:rPr>
              <w:tab/>
            </w:r>
            <w:r w:rsidR="00767A42">
              <w:rPr>
                <w:rFonts w:ascii="Arial" w:eastAsia="Times New Roman" w:hAnsi="Arial" w:cs="Arial"/>
                <w:sz w:val="24"/>
                <w:szCs w:val="24"/>
              </w:rPr>
              <w:tab/>
              <w:t xml:space="preserve">       </w:t>
            </w:r>
            <w:r>
              <w:rPr>
                <w:rFonts w:ascii="Arial" w:eastAsia="Times New Roman" w:hAnsi="Arial" w:cs="Arial"/>
                <w:sz w:val="24"/>
                <w:szCs w:val="24"/>
              </w:rPr>
              <w:t xml:space="preserve">          </w:t>
            </w:r>
            <w:r w:rsidR="00D60924">
              <w:rPr>
                <w:rFonts w:ascii="Arial" w:eastAsia="Times New Roman" w:hAnsi="Arial" w:cs="Arial"/>
                <w:sz w:val="24"/>
                <w:szCs w:val="24"/>
              </w:rPr>
              <w:t>1</w:t>
            </w:r>
            <w:r w:rsidR="00D60924" w:rsidRPr="00D60924">
              <w:rPr>
                <w:rFonts w:ascii="Arial" w:eastAsia="Times New Roman" w:hAnsi="Arial" w:cs="Arial"/>
                <w:sz w:val="24"/>
                <w:szCs w:val="24"/>
                <w:vertAlign w:val="superscript"/>
              </w:rPr>
              <w:t>ST</w:t>
            </w:r>
            <w:r w:rsidR="00D60924">
              <w:rPr>
                <w:rFonts w:ascii="Arial" w:eastAsia="Times New Roman" w:hAnsi="Arial" w:cs="Arial"/>
                <w:sz w:val="24"/>
                <w:szCs w:val="24"/>
              </w:rPr>
              <w:t xml:space="preserve"> RESPONDENT</w:t>
            </w:r>
          </w:p>
          <w:p w14:paraId="3E2C09F5" w14:textId="77777777" w:rsidR="00002E9A" w:rsidRPr="00F95CC2" w:rsidRDefault="00F95CC2" w:rsidP="00F95CC2">
            <w:pPr>
              <w:spacing w:line="360" w:lineRule="auto"/>
              <w:rPr>
                <w:rFonts w:ascii="Arial" w:eastAsia="Times New Roman" w:hAnsi="Arial" w:cs="Arial"/>
                <w:sz w:val="24"/>
                <w:szCs w:val="24"/>
              </w:rPr>
            </w:pPr>
            <w:r w:rsidRPr="00F95CC2">
              <w:rPr>
                <w:rFonts w:ascii="Arial" w:eastAsia="Times New Roman" w:hAnsi="Arial" w:cs="Arial"/>
                <w:sz w:val="24"/>
                <w:szCs w:val="24"/>
              </w:rPr>
              <w:t xml:space="preserve">INSPECTOR FELIX NDIKOMA </w:t>
            </w:r>
            <w:r>
              <w:rPr>
                <w:rFonts w:ascii="Arial" w:eastAsia="Times New Roman" w:hAnsi="Arial" w:cs="Arial"/>
                <w:sz w:val="24"/>
                <w:szCs w:val="24"/>
              </w:rPr>
              <w:t xml:space="preserve">         </w:t>
            </w:r>
            <w:r w:rsidR="00D9349D">
              <w:rPr>
                <w:rFonts w:ascii="Arial" w:eastAsia="Times New Roman" w:hAnsi="Arial" w:cs="Arial"/>
                <w:sz w:val="24"/>
                <w:szCs w:val="24"/>
              </w:rPr>
              <w:t>2</w:t>
            </w:r>
            <w:r w:rsidR="00D9349D" w:rsidRPr="00D9349D">
              <w:rPr>
                <w:rFonts w:ascii="Arial" w:eastAsia="Times New Roman" w:hAnsi="Arial" w:cs="Arial"/>
                <w:sz w:val="24"/>
                <w:szCs w:val="24"/>
                <w:vertAlign w:val="superscript"/>
              </w:rPr>
              <w:t>ND</w:t>
            </w:r>
            <w:r w:rsidR="00D9349D">
              <w:rPr>
                <w:rFonts w:ascii="Arial" w:eastAsia="Times New Roman" w:hAnsi="Arial" w:cs="Arial"/>
                <w:sz w:val="24"/>
                <w:szCs w:val="24"/>
              </w:rPr>
              <w:t xml:space="preserve"> RESPONDENT</w:t>
            </w:r>
          </w:p>
        </w:tc>
        <w:tc>
          <w:tcPr>
            <w:tcW w:w="4110" w:type="dxa"/>
          </w:tcPr>
          <w:p w14:paraId="3A86CC1A" w14:textId="77777777"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14:paraId="6050E1F4" w14:textId="77777777" w:rsidR="0093211F" w:rsidRPr="0093211F" w:rsidRDefault="00F95CC2" w:rsidP="00937C89">
            <w:pPr>
              <w:spacing w:line="360" w:lineRule="auto"/>
              <w:jc w:val="both"/>
              <w:rPr>
                <w:rFonts w:ascii="Arial" w:hAnsi="Arial" w:cs="Arial"/>
                <w:sz w:val="24"/>
                <w:szCs w:val="24"/>
                <w:shd w:val="clear" w:color="auto" w:fill="FFFFFF"/>
              </w:rPr>
            </w:pPr>
            <w:r w:rsidRPr="00F95CC2">
              <w:rPr>
                <w:rFonts w:ascii="Arial" w:hAnsi="Arial" w:cs="Arial"/>
                <w:sz w:val="24"/>
                <w:szCs w:val="24"/>
                <w:shd w:val="clear" w:color="auto" w:fill="FFFFFF"/>
              </w:rPr>
              <w:t>HC-MD-CIV-MOT-GEN-2024/00133</w:t>
            </w:r>
          </w:p>
        </w:tc>
      </w:tr>
      <w:tr w:rsidR="00CA7995" w:rsidRPr="00CA7995" w14:paraId="296BD643" w14:textId="77777777" w:rsidTr="00002E9A">
        <w:trPr>
          <w:trHeight w:val="968"/>
        </w:trPr>
        <w:tc>
          <w:tcPr>
            <w:tcW w:w="6366" w:type="dxa"/>
            <w:gridSpan w:val="2"/>
            <w:vMerge/>
          </w:tcPr>
          <w:p w14:paraId="06276E77" w14:textId="77777777" w:rsidR="00B40844" w:rsidRPr="00CA7995" w:rsidRDefault="00B40844" w:rsidP="00937C89">
            <w:pPr>
              <w:spacing w:line="360" w:lineRule="auto"/>
              <w:jc w:val="both"/>
              <w:rPr>
                <w:rFonts w:ascii="Arial" w:hAnsi="Arial" w:cs="Arial"/>
                <w:sz w:val="24"/>
                <w:szCs w:val="24"/>
              </w:rPr>
            </w:pPr>
          </w:p>
        </w:tc>
        <w:tc>
          <w:tcPr>
            <w:tcW w:w="4110" w:type="dxa"/>
          </w:tcPr>
          <w:p w14:paraId="31C56E13" w14:textId="77777777"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14:paraId="7E1C9422" w14:textId="77777777"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w:t>
            </w:r>
            <w:bookmarkStart w:id="0" w:name="_GoBack"/>
            <w:bookmarkEnd w:id="0"/>
            <w:r w:rsidRPr="00CA7995">
              <w:rPr>
                <w:rFonts w:ascii="Arial" w:hAnsi="Arial" w:cs="Arial"/>
                <w:sz w:val="24"/>
                <w:szCs w:val="24"/>
              </w:rPr>
              <w:t>ON)</w:t>
            </w:r>
          </w:p>
        </w:tc>
      </w:tr>
      <w:tr w:rsidR="00CA7995" w:rsidRPr="00CA7995" w14:paraId="27C64FB2" w14:textId="77777777" w:rsidTr="00002E9A">
        <w:trPr>
          <w:trHeight w:val="965"/>
        </w:trPr>
        <w:tc>
          <w:tcPr>
            <w:tcW w:w="6366" w:type="dxa"/>
            <w:gridSpan w:val="2"/>
            <w:vMerge w:val="restart"/>
          </w:tcPr>
          <w:p w14:paraId="29079033" w14:textId="77777777"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14:paraId="2233AF6C" w14:textId="77777777"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14:paraId="33DD933C" w14:textId="77777777" w:rsidR="00B40844" w:rsidRPr="00D9349D" w:rsidRDefault="00B40844" w:rsidP="00937C89">
            <w:pPr>
              <w:spacing w:line="360" w:lineRule="auto"/>
              <w:jc w:val="both"/>
              <w:rPr>
                <w:rFonts w:ascii="Arial" w:hAnsi="Arial" w:cs="Arial"/>
                <w:b/>
                <w:sz w:val="24"/>
                <w:szCs w:val="24"/>
              </w:rPr>
            </w:pPr>
            <w:r w:rsidRPr="00D9349D">
              <w:rPr>
                <w:rFonts w:ascii="Arial" w:hAnsi="Arial" w:cs="Arial"/>
                <w:b/>
                <w:sz w:val="24"/>
                <w:szCs w:val="24"/>
              </w:rPr>
              <w:t>Date of hearing:</w:t>
            </w:r>
          </w:p>
          <w:p w14:paraId="566625D5" w14:textId="77777777" w:rsidR="00B40844" w:rsidRPr="00D9349D" w:rsidRDefault="00F95CC2" w:rsidP="00F95CC2">
            <w:pPr>
              <w:spacing w:line="360" w:lineRule="auto"/>
              <w:jc w:val="both"/>
              <w:rPr>
                <w:rFonts w:ascii="Arial" w:hAnsi="Arial" w:cs="Arial"/>
                <w:sz w:val="24"/>
                <w:szCs w:val="24"/>
              </w:rPr>
            </w:pPr>
            <w:r>
              <w:rPr>
                <w:rFonts w:ascii="Arial" w:hAnsi="Arial" w:cs="Arial"/>
                <w:sz w:val="24"/>
                <w:szCs w:val="24"/>
                <w:lang w:val="en-US"/>
              </w:rPr>
              <w:t>18 April 2024</w:t>
            </w:r>
            <w:r w:rsidR="009F24BF" w:rsidRPr="00D9349D">
              <w:rPr>
                <w:rFonts w:ascii="Arial" w:hAnsi="Arial" w:cs="Arial"/>
                <w:sz w:val="24"/>
                <w:szCs w:val="24"/>
                <w:lang w:val="en-US"/>
              </w:rPr>
              <w:t xml:space="preserve"> </w:t>
            </w:r>
          </w:p>
        </w:tc>
      </w:tr>
      <w:tr w:rsidR="00CA7995" w:rsidRPr="00CA7995" w14:paraId="499803BF" w14:textId="77777777" w:rsidTr="00002E9A">
        <w:trPr>
          <w:trHeight w:val="991"/>
        </w:trPr>
        <w:tc>
          <w:tcPr>
            <w:tcW w:w="6366" w:type="dxa"/>
            <w:gridSpan w:val="2"/>
            <w:vMerge/>
          </w:tcPr>
          <w:p w14:paraId="7DEC280B" w14:textId="77777777" w:rsidR="00B40844" w:rsidRPr="00CA7995" w:rsidRDefault="00B40844" w:rsidP="00937C89">
            <w:pPr>
              <w:spacing w:line="360" w:lineRule="auto"/>
              <w:jc w:val="both"/>
              <w:rPr>
                <w:rFonts w:ascii="Arial" w:hAnsi="Arial" w:cs="Arial"/>
                <w:b/>
                <w:sz w:val="24"/>
                <w:szCs w:val="24"/>
              </w:rPr>
            </w:pPr>
          </w:p>
        </w:tc>
        <w:tc>
          <w:tcPr>
            <w:tcW w:w="4110" w:type="dxa"/>
          </w:tcPr>
          <w:p w14:paraId="67C919AA" w14:textId="77777777"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14:paraId="28EA8FB6" w14:textId="77777777" w:rsidR="00B40844" w:rsidRPr="00CA7995" w:rsidRDefault="00F95CC2" w:rsidP="00C2633E">
            <w:pPr>
              <w:spacing w:line="360" w:lineRule="auto"/>
              <w:jc w:val="both"/>
              <w:rPr>
                <w:rFonts w:ascii="Arial" w:hAnsi="Arial" w:cs="Arial"/>
                <w:b/>
                <w:sz w:val="24"/>
                <w:szCs w:val="24"/>
              </w:rPr>
            </w:pPr>
            <w:r>
              <w:rPr>
                <w:rFonts w:ascii="Arial" w:hAnsi="Arial" w:cs="Arial"/>
                <w:sz w:val="24"/>
                <w:szCs w:val="24"/>
                <w:lang w:val="en-US"/>
              </w:rPr>
              <w:t>10 May</w:t>
            </w:r>
            <w:r w:rsidRPr="00D9349D">
              <w:rPr>
                <w:rFonts w:ascii="Arial" w:hAnsi="Arial" w:cs="Arial"/>
                <w:sz w:val="24"/>
                <w:szCs w:val="24"/>
                <w:lang w:val="en-US"/>
              </w:rPr>
              <w:t xml:space="preserve"> 2024</w:t>
            </w:r>
          </w:p>
        </w:tc>
      </w:tr>
      <w:tr w:rsidR="00CA7995" w:rsidRPr="00CA7995" w14:paraId="602F586E" w14:textId="77777777" w:rsidTr="00002E9A">
        <w:trPr>
          <w:trHeight w:val="876"/>
        </w:trPr>
        <w:tc>
          <w:tcPr>
            <w:tcW w:w="10476" w:type="dxa"/>
            <w:gridSpan w:val="3"/>
          </w:tcPr>
          <w:p w14:paraId="3A65EC9C" w14:textId="2D2199D2" w:rsidR="008427B9" w:rsidRDefault="00B40844" w:rsidP="00083A49">
            <w:pPr>
              <w:spacing w:line="360" w:lineRule="auto"/>
              <w:jc w:val="both"/>
              <w:rPr>
                <w:rFonts w:ascii="Arial" w:hAnsi="Arial" w:cs="Arial"/>
                <w:sz w:val="24"/>
                <w:szCs w:val="24"/>
                <w:shd w:val="clear" w:color="auto" w:fill="FFFFFF"/>
              </w:rPr>
            </w:pPr>
            <w:r w:rsidRPr="00CA7995">
              <w:rPr>
                <w:rFonts w:ascii="Arial" w:hAnsi="Arial" w:cs="Arial"/>
                <w:b/>
                <w:sz w:val="24"/>
                <w:szCs w:val="24"/>
              </w:rPr>
              <w:t xml:space="preserve">Neutral citation: </w:t>
            </w:r>
            <w:r w:rsidR="00F95CC2" w:rsidRPr="008353E8">
              <w:rPr>
                <w:rFonts w:ascii="Arial" w:eastAsia="Times New Roman" w:hAnsi="Arial" w:cs="Arial"/>
                <w:i/>
                <w:sz w:val="24"/>
                <w:szCs w:val="24"/>
              </w:rPr>
              <w:t xml:space="preserve">Seal Products </w:t>
            </w:r>
            <w:r w:rsidR="008E4F65">
              <w:rPr>
                <w:rFonts w:ascii="Arial" w:eastAsia="Times New Roman" w:hAnsi="Arial" w:cs="Arial"/>
                <w:i/>
                <w:sz w:val="24"/>
                <w:szCs w:val="24"/>
              </w:rPr>
              <w:t>(</w:t>
            </w:r>
            <w:r w:rsidR="00F95CC2" w:rsidRPr="008353E8">
              <w:rPr>
                <w:rFonts w:ascii="Arial" w:eastAsia="Times New Roman" w:hAnsi="Arial" w:cs="Arial"/>
                <w:i/>
                <w:sz w:val="24"/>
                <w:szCs w:val="24"/>
              </w:rPr>
              <w:t>Pty</w:t>
            </w:r>
            <w:r w:rsidR="008E4F65">
              <w:rPr>
                <w:rFonts w:ascii="Arial" w:eastAsia="Times New Roman" w:hAnsi="Arial" w:cs="Arial"/>
                <w:i/>
                <w:sz w:val="24"/>
                <w:szCs w:val="24"/>
              </w:rPr>
              <w:t>)</w:t>
            </w:r>
            <w:r w:rsidR="00F95CC2" w:rsidRPr="008353E8">
              <w:rPr>
                <w:rFonts w:ascii="Arial" w:eastAsia="Times New Roman" w:hAnsi="Arial" w:cs="Arial"/>
                <w:i/>
                <w:sz w:val="24"/>
                <w:szCs w:val="24"/>
              </w:rPr>
              <w:t xml:space="preserve"> </w:t>
            </w:r>
            <w:r w:rsidR="008E4F65">
              <w:rPr>
                <w:rFonts w:ascii="Arial" w:eastAsia="Times New Roman" w:hAnsi="Arial" w:cs="Arial"/>
                <w:i/>
                <w:sz w:val="24"/>
                <w:szCs w:val="24"/>
              </w:rPr>
              <w:t xml:space="preserve">Ltd </w:t>
            </w:r>
            <w:r w:rsidR="00D85FB1" w:rsidRPr="008353E8">
              <w:rPr>
                <w:rFonts w:ascii="Arial" w:eastAsia="Times New Roman" w:hAnsi="Arial" w:cs="Arial"/>
                <w:i/>
                <w:sz w:val="24"/>
                <w:szCs w:val="24"/>
              </w:rPr>
              <w:t xml:space="preserve">v </w:t>
            </w:r>
            <w:r w:rsidR="008353E8" w:rsidRPr="008353E8">
              <w:rPr>
                <w:rFonts w:ascii="Arial" w:hAnsi="Arial" w:cs="Arial"/>
                <w:i/>
                <w:sz w:val="24"/>
                <w:szCs w:val="24"/>
              </w:rPr>
              <w:t>Inspector General Of The Namibian Polic</w:t>
            </w:r>
            <w:r w:rsidR="008353E8" w:rsidRPr="008353E8">
              <w:rPr>
                <w:rFonts w:ascii="Arial" w:eastAsia="Times New Roman" w:hAnsi="Arial" w:cs="Arial"/>
                <w:i/>
                <w:sz w:val="24"/>
                <w:szCs w:val="24"/>
              </w:rPr>
              <w:t xml:space="preserve">e </w:t>
            </w:r>
            <w:r w:rsidR="00002E9A" w:rsidRPr="008353E8">
              <w:rPr>
                <w:rFonts w:ascii="Arial" w:eastAsia="Times New Roman" w:hAnsi="Arial" w:cs="Arial"/>
                <w:sz w:val="24"/>
                <w:szCs w:val="24"/>
              </w:rPr>
              <w:t>(</w:t>
            </w:r>
            <w:r w:rsidR="008353E8" w:rsidRPr="00F95CC2">
              <w:rPr>
                <w:rFonts w:ascii="Arial" w:hAnsi="Arial" w:cs="Arial"/>
                <w:sz w:val="24"/>
                <w:szCs w:val="24"/>
                <w:shd w:val="clear" w:color="auto" w:fill="FFFFFF"/>
              </w:rPr>
              <w:t>HC-MD-</w:t>
            </w:r>
          </w:p>
          <w:p w14:paraId="67D48CED" w14:textId="7012CCA9" w:rsidR="00B40844" w:rsidRPr="0089635D" w:rsidRDefault="008427B9" w:rsidP="00083A4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89635D">
              <w:rPr>
                <w:rFonts w:ascii="Arial" w:hAnsi="Arial" w:cs="Arial"/>
                <w:sz w:val="24"/>
                <w:szCs w:val="24"/>
                <w:shd w:val="clear" w:color="auto" w:fill="FFFFFF"/>
              </w:rPr>
              <w:t>CIV-MOT-GEN-2024/</w:t>
            </w:r>
            <w:r w:rsidR="008353E8" w:rsidRPr="00F95CC2">
              <w:rPr>
                <w:rFonts w:ascii="Arial" w:hAnsi="Arial" w:cs="Arial"/>
                <w:sz w:val="24"/>
                <w:szCs w:val="24"/>
                <w:shd w:val="clear" w:color="auto" w:fill="FFFFFF"/>
              </w:rPr>
              <w:t>00133</w:t>
            </w:r>
            <w:r w:rsidR="00002E9A" w:rsidRPr="008353E8">
              <w:rPr>
                <w:rFonts w:ascii="Arial" w:hAnsi="Arial" w:cs="Arial"/>
                <w:sz w:val="24"/>
                <w:szCs w:val="24"/>
              </w:rPr>
              <w:t>) [202</w:t>
            </w:r>
            <w:r w:rsidR="00D60924" w:rsidRPr="008353E8">
              <w:rPr>
                <w:rFonts w:ascii="Arial" w:hAnsi="Arial" w:cs="Arial"/>
                <w:sz w:val="24"/>
                <w:szCs w:val="24"/>
              </w:rPr>
              <w:t>4</w:t>
            </w:r>
            <w:r w:rsidR="00002E9A" w:rsidRPr="008353E8">
              <w:rPr>
                <w:rFonts w:ascii="Arial" w:hAnsi="Arial" w:cs="Arial"/>
                <w:sz w:val="24"/>
                <w:szCs w:val="24"/>
              </w:rPr>
              <w:t>] NAHCMD</w:t>
            </w:r>
            <w:r w:rsidR="00856803" w:rsidRPr="008353E8">
              <w:rPr>
                <w:rFonts w:ascii="Arial" w:hAnsi="Arial" w:cs="Arial"/>
                <w:sz w:val="24"/>
                <w:szCs w:val="24"/>
              </w:rPr>
              <w:t xml:space="preserve"> </w:t>
            </w:r>
            <w:r w:rsidR="00083A49">
              <w:rPr>
                <w:rFonts w:ascii="Arial" w:hAnsi="Arial" w:cs="Arial"/>
                <w:sz w:val="24"/>
                <w:szCs w:val="24"/>
              </w:rPr>
              <w:t>221</w:t>
            </w:r>
            <w:r w:rsidR="00856803" w:rsidRPr="008353E8">
              <w:rPr>
                <w:rFonts w:ascii="Arial" w:hAnsi="Arial" w:cs="Arial"/>
                <w:sz w:val="24"/>
                <w:szCs w:val="24"/>
              </w:rPr>
              <w:t xml:space="preserve"> </w:t>
            </w:r>
            <w:r w:rsidR="00D60924" w:rsidRPr="008353E8">
              <w:rPr>
                <w:rFonts w:ascii="Arial" w:hAnsi="Arial" w:cs="Arial"/>
                <w:sz w:val="24"/>
                <w:szCs w:val="24"/>
              </w:rPr>
              <w:t>(</w:t>
            </w:r>
            <w:r w:rsidR="008353E8">
              <w:rPr>
                <w:rFonts w:ascii="Arial" w:hAnsi="Arial" w:cs="Arial"/>
                <w:sz w:val="24"/>
                <w:szCs w:val="24"/>
              </w:rPr>
              <w:t>10 May</w:t>
            </w:r>
            <w:r w:rsidR="009F24BF" w:rsidRPr="008353E8">
              <w:rPr>
                <w:rFonts w:ascii="Arial" w:hAnsi="Arial" w:cs="Arial"/>
                <w:sz w:val="24"/>
                <w:szCs w:val="24"/>
              </w:rPr>
              <w:t xml:space="preserve"> </w:t>
            </w:r>
            <w:r w:rsidR="00D60924" w:rsidRPr="008353E8">
              <w:rPr>
                <w:rFonts w:ascii="Arial" w:hAnsi="Arial" w:cs="Arial"/>
                <w:sz w:val="24"/>
                <w:szCs w:val="24"/>
              </w:rPr>
              <w:t>2024</w:t>
            </w:r>
            <w:r w:rsidR="00002E9A" w:rsidRPr="008353E8">
              <w:rPr>
                <w:rFonts w:ascii="Arial" w:hAnsi="Arial" w:cs="Arial"/>
                <w:sz w:val="24"/>
                <w:szCs w:val="24"/>
              </w:rPr>
              <w:t>)</w:t>
            </w:r>
          </w:p>
        </w:tc>
      </w:tr>
      <w:tr w:rsidR="00002E9A" w:rsidRPr="00CA7995" w14:paraId="66E892E4" w14:textId="77777777" w:rsidTr="00002E9A">
        <w:trPr>
          <w:trHeight w:val="876"/>
        </w:trPr>
        <w:tc>
          <w:tcPr>
            <w:tcW w:w="10476" w:type="dxa"/>
            <w:gridSpan w:val="3"/>
          </w:tcPr>
          <w:p w14:paraId="1360693A" w14:textId="77777777"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t>Results on merits:</w:t>
            </w:r>
          </w:p>
          <w:p w14:paraId="74B193CF" w14:textId="77777777" w:rsidR="00002E9A" w:rsidRPr="00002E9A" w:rsidRDefault="00002E9A" w:rsidP="00002E9A">
            <w:pPr>
              <w:shd w:val="clear" w:color="auto" w:fill="FFFFFF"/>
              <w:rPr>
                <w:rFonts w:ascii="Arial" w:eastAsia="Times New Roman" w:hAnsi="Arial" w:cs="Arial"/>
                <w:sz w:val="24"/>
                <w:szCs w:val="24"/>
                <w:lang w:val="en-US"/>
              </w:rPr>
            </w:pPr>
          </w:p>
          <w:p w14:paraId="5B805FD0" w14:textId="77777777" w:rsidR="00002E9A" w:rsidRPr="00CA7995" w:rsidRDefault="00002E9A" w:rsidP="00002E9A">
            <w:pPr>
              <w:spacing w:line="360" w:lineRule="auto"/>
              <w:jc w:val="both"/>
              <w:rPr>
                <w:rFonts w:ascii="Arial" w:hAnsi="Arial" w:cs="Arial"/>
                <w:b/>
                <w:sz w:val="24"/>
                <w:szCs w:val="24"/>
              </w:rPr>
            </w:pPr>
            <w:r w:rsidRPr="00A2352A">
              <w:rPr>
                <w:rFonts w:ascii="Arial" w:eastAsia="Times New Roman" w:hAnsi="Arial" w:cs="Arial"/>
                <w:sz w:val="24"/>
                <w:szCs w:val="24"/>
                <w:lang w:val="en-US"/>
              </w:rPr>
              <w:t>Merits not considered.</w:t>
            </w:r>
          </w:p>
        </w:tc>
      </w:tr>
      <w:tr w:rsidR="00CA7995" w:rsidRPr="00CA7995" w14:paraId="5BBC7743" w14:textId="77777777" w:rsidTr="00002E9A">
        <w:tc>
          <w:tcPr>
            <w:tcW w:w="10476" w:type="dxa"/>
            <w:gridSpan w:val="3"/>
          </w:tcPr>
          <w:p w14:paraId="035816FD" w14:textId="77777777" w:rsidR="008E7AC0" w:rsidRDefault="008E7AC0" w:rsidP="008E7AC0">
            <w:pPr>
              <w:spacing w:line="360" w:lineRule="auto"/>
              <w:jc w:val="both"/>
              <w:rPr>
                <w:rFonts w:ascii="Arial" w:hAnsi="Arial" w:cs="Arial"/>
                <w:b/>
                <w:sz w:val="24"/>
                <w:szCs w:val="24"/>
              </w:rPr>
            </w:pPr>
          </w:p>
          <w:p w14:paraId="65769970" w14:textId="77777777" w:rsidR="008E7AC0" w:rsidRDefault="00B40844" w:rsidP="008E7AC0">
            <w:pPr>
              <w:spacing w:line="360" w:lineRule="auto"/>
              <w:jc w:val="both"/>
              <w:rPr>
                <w:rFonts w:ascii="Arial" w:hAnsi="Arial" w:cs="Arial"/>
                <w:b/>
                <w:sz w:val="24"/>
                <w:szCs w:val="24"/>
              </w:rPr>
            </w:pPr>
            <w:r w:rsidRPr="00CA7995">
              <w:rPr>
                <w:rFonts w:ascii="Arial" w:hAnsi="Arial" w:cs="Arial"/>
                <w:b/>
                <w:sz w:val="24"/>
                <w:szCs w:val="24"/>
              </w:rPr>
              <w:t>The order:</w:t>
            </w:r>
          </w:p>
          <w:p w14:paraId="4384F6BF" w14:textId="0D94BCB4" w:rsidR="00707EA1" w:rsidRPr="00707EA1" w:rsidRDefault="00707EA1" w:rsidP="008E7AC0">
            <w:pPr>
              <w:pStyle w:val="ListParagraph"/>
              <w:numPr>
                <w:ilvl w:val="0"/>
                <w:numId w:val="18"/>
              </w:numPr>
              <w:spacing w:line="360" w:lineRule="auto"/>
              <w:jc w:val="both"/>
              <w:rPr>
                <w:rFonts w:ascii="Arial" w:hAnsi="Arial" w:cs="Arial"/>
                <w:sz w:val="24"/>
                <w:szCs w:val="24"/>
              </w:rPr>
            </w:pPr>
            <w:r w:rsidRPr="00707EA1">
              <w:rPr>
                <w:rFonts w:ascii="Arial" w:hAnsi="Arial" w:cs="Arial"/>
                <w:sz w:val="24"/>
                <w:szCs w:val="24"/>
              </w:rPr>
              <w:t xml:space="preserve">The preliminary point </w:t>
            </w:r>
            <w:r>
              <w:rPr>
                <w:rFonts w:ascii="Arial" w:hAnsi="Arial" w:cs="Arial"/>
                <w:sz w:val="24"/>
                <w:szCs w:val="24"/>
              </w:rPr>
              <w:t>raised</w:t>
            </w:r>
            <w:r w:rsidRPr="00707EA1">
              <w:rPr>
                <w:rFonts w:ascii="Arial" w:hAnsi="Arial" w:cs="Arial"/>
                <w:sz w:val="24"/>
                <w:szCs w:val="24"/>
              </w:rPr>
              <w:t xml:space="preserve"> on authority is upheld.</w:t>
            </w:r>
          </w:p>
          <w:p w14:paraId="11E93A01" w14:textId="17C23D1C" w:rsidR="00D8568E" w:rsidRPr="008E7AC0" w:rsidRDefault="008E7AC0" w:rsidP="008E7AC0">
            <w:pPr>
              <w:pStyle w:val="ListParagraph"/>
              <w:numPr>
                <w:ilvl w:val="0"/>
                <w:numId w:val="18"/>
              </w:numPr>
              <w:spacing w:line="360" w:lineRule="auto"/>
              <w:jc w:val="both"/>
              <w:rPr>
                <w:rFonts w:ascii="Arial" w:hAnsi="Arial" w:cs="Arial"/>
                <w:b/>
                <w:sz w:val="24"/>
                <w:szCs w:val="24"/>
              </w:rPr>
            </w:pPr>
            <w:r w:rsidRPr="008E7AC0">
              <w:rPr>
                <w:rFonts w:ascii="Arial" w:hAnsi="Arial" w:cs="Arial"/>
                <w:sz w:val="24"/>
                <w:szCs w:val="24"/>
              </w:rPr>
              <w:t>The application is</w:t>
            </w:r>
            <w:r>
              <w:rPr>
                <w:rFonts w:ascii="Arial" w:hAnsi="Arial" w:cs="Arial"/>
                <w:sz w:val="24"/>
                <w:szCs w:val="24"/>
              </w:rPr>
              <w:t xml:space="preserve"> struck from the roll with costs.</w:t>
            </w:r>
          </w:p>
          <w:p w14:paraId="3B62E373" w14:textId="77777777" w:rsidR="008E7AC0" w:rsidRPr="008E7AC0" w:rsidRDefault="008E7AC0" w:rsidP="008E7AC0">
            <w:pPr>
              <w:spacing w:line="360" w:lineRule="auto"/>
              <w:jc w:val="both"/>
              <w:rPr>
                <w:rFonts w:ascii="Arial" w:hAnsi="Arial" w:cs="Arial"/>
                <w:b/>
                <w:sz w:val="24"/>
                <w:szCs w:val="24"/>
              </w:rPr>
            </w:pPr>
          </w:p>
        </w:tc>
      </w:tr>
      <w:tr w:rsidR="00CA7995" w:rsidRPr="00CA7995" w14:paraId="4C2DB817" w14:textId="77777777" w:rsidTr="00002E9A">
        <w:trPr>
          <w:trHeight w:val="548"/>
        </w:trPr>
        <w:tc>
          <w:tcPr>
            <w:tcW w:w="10476" w:type="dxa"/>
            <w:gridSpan w:val="3"/>
          </w:tcPr>
          <w:p w14:paraId="68381FED" w14:textId="77777777"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t>Reasons for orders:</w:t>
            </w:r>
          </w:p>
        </w:tc>
      </w:tr>
      <w:tr w:rsidR="00CA7995" w:rsidRPr="00CA7995" w14:paraId="0F201417" w14:textId="77777777" w:rsidTr="00002E9A">
        <w:tc>
          <w:tcPr>
            <w:tcW w:w="10476" w:type="dxa"/>
            <w:gridSpan w:val="3"/>
          </w:tcPr>
          <w:p w14:paraId="10FC20E7" w14:textId="77777777" w:rsidR="00CA32E6" w:rsidRDefault="008E7AC0" w:rsidP="008E7AC0">
            <w:pPr>
              <w:tabs>
                <w:tab w:val="left" w:pos="1620"/>
              </w:tabs>
              <w:spacing w:line="360" w:lineRule="auto"/>
              <w:jc w:val="both"/>
              <w:rPr>
                <w:rFonts w:ascii="Arial" w:hAnsi="Arial" w:cs="Arial"/>
                <w:sz w:val="24"/>
                <w:szCs w:val="24"/>
              </w:rPr>
            </w:pPr>
            <w:r>
              <w:rPr>
                <w:rFonts w:ascii="Arial" w:hAnsi="Arial" w:cs="Arial"/>
                <w:sz w:val="24"/>
                <w:szCs w:val="24"/>
              </w:rPr>
              <w:lastRenderedPageBreak/>
              <w:tab/>
            </w:r>
          </w:p>
          <w:p w14:paraId="3386E987" w14:textId="77777777" w:rsidR="00CA32E6" w:rsidRDefault="00CA32E6" w:rsidP="00ED76B2">
            <w:pPr>
              <w:spacing w:line="360" w:lineRule="auto"/>
              <w:jc w:val="both"/>
              <w:rPr>
                <w:rFonts w:ascii="Arial" w:hAnsi="Arial" w:cs="Arial"/>
                <w:sz w:val="24"/>
                <w:szCs w:val="24"/>
              </w:rPr>
            </w:pPr>
            <w:r>
              <w:rPr>
                <w:rFonts w:ascii="Arial" w:hAnsi="Arial" w:cs="Arial"/>
                <w:sz w:val="24"/>
                <w:szCs w:val="24"/>
              </w:rPr>
              <w:t>Prinsloo J:</w:t>
            </w:r>
          </w:p>
          <w:p w14:paraId="59B9AEF1" w14:textId="77777777" w:rsidR="00CA32E6" w:rsidRPr="00EA2DE2" w:rsidRDefault="00CA32E6" w:rsidP="00ED76B2">
            <w:pPr>
              <w:spacing w:line="360" w:lineRule="auto"/>
              <w:jc w:val="both"/>
              <w:rPr>
                <w:rFonts w:ascii="Arial" w:hAnsi="Arial" w:cs="Arial"/>
                <w:sz w:val="24"/>
                <w:szCs w:val="24"/>
              </w:rPr>
            </w:pPr>
          </w:p>
          <w:p w14:paraId="437937A8" w14:textId="77777777" w:rsidR="00B40844" w:rsidRPr="00CA7995" w:rsidRDefault="00B40844" w:rsidP="00ED76B2">
            <w:pPr>
              <w:spacing w:line="360" w:lineRule="auto"/>
              <w:jc w:val="both"/>
              <w:rPr>
                <w:rFonts w:ascii="Arial" w:hAnsi="Arial" w:cs="Arial"/>
                <w:sz w:val="24"/>
                <w:szCs w:val="24"/>
                <w:u w:val="single"/>
              </w:rPr>
            </w:pPr>
            <w:r w:rsidRPr="00CA7995">
              <w:rPr>
                <w:rFonts w:ascii="Arial" w:hAnsi="Arial" w:cs="Arial"/>
                <w:sz w:val="24"/>
                <w:szCs w:val="24"/>
                <w:u w:val="single"/>
              </w:rPr>
              <w:t>Introduction</w:t>
            </w:r>
          </w:p>
          <w:p w14:paraId="1C58F549" w14:textId="77777777" w:rsidR="00B40844" w:rsidRPr="00CA7995" w:rsidRDefault="00B40844" w:rsidP="00ED76B2">
            <w:pPr>
              <w:spacing w:line="360" w:lineRule="auto"/>
              <w:jc w:val="both"/>
              <w:rPr>
                <w:rFonts w:ascii="Arial" w:hAnsi="Arial" w:cs="Arial"/>
                <w:sz w:val="24"/>
                <w:szCs w:val="24"/>
              </w:rPr>
            </w:pPr>
          </w:p>
          <w:p w14:paraId="1BC6AF6A" w14:textId="427ACC5D" w:rsidR="008E7AC0" w:rsidRDefault="008E7AC0" w:rsidP="008E7AC0">
            <w:pPr>
              <w:pStyle w:val="BodyText"/>
              <w:numPr>
                <w:ilvl w:val="0"/>
                <w:numId w:val="19"/>
              </w:numPr>
              <w:tabs>
                <w:tab w:val="clear" w:pos="729"/>
              </w:tabs>
              <w:ind w:left="0" w:firstLine="0"/>
            </w:pPr>
            <w:r w:rsidRPr="00314E01">
              <w:t>The applicant, Seal Products Pty Ltd</w:t>
            </w:r>
            <w:r w:rsidR="00901D7E">
              <w:t xml:space="preserve"> (Seal Products</w:t>
            </w:r>
            <w:r>
              <w:t>)</w:t>
            </w:r>
            <w:r w:rsidRPr="00314E01">
              <w:t xml:space="preserve">, approached this court on an urgent basis seeking relief against the Inspector General of the Namibian Police and Inspector Felix </w:t>
            </w:r>
            <w:r w:rsidR="00BC1BB0">
              <w:t>N</w:t>
            </w:r>
            <w:r w:rsidRPr="00AD1604">
              <w:t>dikoma</w:t>
            </w:r>
            <w:r w:rsidR="000F3709" w:rsidRPr="00AD1604">
              <w:t xml:space="preserve"> (Inspector Ndikoma)</w:t>
            </w:r>
            <w:r w:rsidRPr="00AD1604">
              <w:t xml:space="preserve"> in</w:t>
            </w:r>
            <w:r w:rsidRPr="00314E01">
              <w:t xml:space="preserve"> the following </w:t>
            </w:r>
            <w:r>
              <w:t>terms</w:t>
            </w:r>
            <w:r w:rsidRPr="00314E01">
              <w:t>:</w:t>
            </w:r>
          </w:p>
          <w:p w14:paraId="30442A55" w14:textId="77777777" w:rsidR="00901D7E" w:rsidRPr="00314E01" w:rsidRDefault="00901D7E" w:rsidP="00901D7E">
            <w:pPr>
              <w:pStyle w:val="BodyText"/>
              <w:tabs>
                <w:tab w:val="clear" w:pos="729"/>
              </w:tabs>
            </w:pPr>
          </w:p>
          <w:p w14:paraId="4218DAE4" w14:textId="7C84C6EF" w:rsidR="008E7AC0" w:rsidRPr="00314E01" w:rsidRDefault="00BA6E53" w:rsidP="008E7AC0">
            <w:pPr>
              <w:spacing w:line="360" w:lineRule="auto"/>
              <w:ind w:firstLine="720"/>
              <w:jc w:val="both"/>
              <w:rPr>
                <w:rFonts w:ascii="Arial" w:hAnsi="Arial" w:cs="Arial"/>
              </w:rPr>
            </w:pPr>
            <w:r>
              <w:rPr>
                <w:rFonts w:ascii="Arial" w:hAnsi="Arial" w:cs="Arial"/>
              </w:rPr>
              <w:t>‘</w:t>
            </w:r>
            <w:r w:rsidR="008E7AC0" w:rsidRPr="00314E01">
              <w:rPr>
                <w:rFonts w:ascii="Arial" w:hAnsi="Arial" w:cs="Arial"/>
              </w:rPr>
              <w:t xml:space="preserve">1. Condoning the applicant's non-compliance with the Rules of this Court pertaining to time periods and service of the application, as well as giving notice to parties, as contemplated in terms of Rule 73 of the Rules of this Court; and directing the application to be heard on an urgent basis; </w:t>
            </w:r>
          </w:p>
          <w:p w14:paraId="4E9238C4" w14:textId="77777777" w:rsidR="008E7AC0" w:rsidRPr="00314E01" w:rsidRDefault="008E7AC0" w:rsidP="008E7AC0">
            <w:pPr>
              <w:spacing w:line="360" w:lineRule="auto"/>
              <w:jc w:val="both"/>
              <w:rPr>
                <w:rFonts w:ascii="Arial" w:hAnsi="Arial" w:cs="Arial"/>
              </w:rPr>
            </w:pPr>
            <w:r w:rsidRPr="00314E01">
              <w:rPr>
                <w:rFonts w:ascii="Arial" w:hAnsi="Arial" w:cs="Arial"/>
              </w:rPr>
              <w:t xml:space="preserve">2.  That a rule nisi is hereby issued calling upon the respondents to show cause, if any, on a date to be determined by this </w:t>
            </w:r>
            <w:r w:rsidR="00901D7E">
              <w:rPr>
                <w:rFonts w:ascii="Arial" w:hAnsi="Arial" w:cs="Arial"/>
              </w:rPr>
              <w:t>honourable</w:t>
            </w:r>
            <w:r w:rsidRPr="00314E01">
              <w:rPr>
                <w:rFonts w:ascii="Arial" w:hAnsi="Arial" w:cs="Arial"/>
              </w:rPr>
              <w:t xml:space="preserve"> court, why an order in the following terms should not be granted; </w:t>
            </w:r>
          </w:p>
          <w:p w14:paraId="5A988C2C" w14:textId="77777777" w:rsidR="008E7AC0" w:rsidRPr="00314E01" w:rsidRDefault="008E7AC0" w:rsidP="008E7AC0">
            <w:pPr>
              <w:spacing w:line="360" w:lineRule="auto"/>
              <w:jc w:val="both"/>
              <w:rPr>
                <w:rFonts w:ascii="Arial" w:hAnsi="Arial" w:cs="Arial"/>
              </w:rPr>
            </w:pPr>
            <w:r w:rsidRPr="00314E01">
              <w:rPr>
                <w:rFonts w:ascii="Arial" w:hAnsi="Arial" w:cs="Arial"/>
              </w:rPr>
              <w:t>3.  Declaring that the warrantless seizure and continued detention of Applicant's 501 boxes</w:t>
            </w:r>
            <w:r>
              <w:rPr>
                <w:rFonts w:ascii="Arial" w:hAnsi="Arial" w:cs="Arial"/>
              </w:rPr>
              <w:t>,</w:t>
            </w:r>
            <w:r w:rsidRPr="00314E01">
              <w:rPr>
                <w:rFonts w:ascii="Arial" w:hAnsi="Arial" w:cs="Arial"/>
              </w:rPr>
              <w:t xml:space="preserve"> which </w:t>
            </w:r>
            <w:r>
              <w:rPr>
                <w:rFonts w:ascii="Arial" w:hAnsi="Arial" w:cs="Arial"/>
              </w:rPr>
              <w:t>contain</w:t>
            </w:r>
            <w:r w:rsidRPr="00314E01">
              <w:rPr>
                <w:rFonts w:ascii="Arial" w:hAnsi="Arial" w:cs="Arial"/>
              </w:rPr>
              <w:t xml:space="preserve"> around 285 kilograms of seal products </w:t>
            </w:r>
            <w:r>
              <w:rPr>
                <w:rFonts w:ascii="Arial" w:hAnsi="Arial" w:cs="Arial"/>
              </w:rPr>
              <w:t>were</w:t>
            </w:r>
            <w:r w:rsidRPr="00314E01">
              <w:rPr>
                <w:rFonts w:ascii="Arial" w:hAnsi="Arial" w:cs="Arial"/>
              </w:rPr>
              <w:t xml:space="preserve"> unlawful and setting it aside; </w:t>
            </w:r>
          </w:p>
          <w:p w14:paraId="29464D13" w14:textId="77777777" w:rsidR="008E7AC0" w:rsidRPr="00314E01" w:rsidRDefault="008E7AC0" w:rsidP="008E7AC0">
            <w:pPr>
              <w:spacing w:line="360" w:lineRule="auto"/>
              <w:jc w:val="both"/>
              <w:rPr>
                <w:rFonts w:ascii="Arial" w:hAnsi="Arial" w:cs="Arial"/>
              </w:rPr>
            </w:pPr>
            <w:r w:rsidRPr="00314E01">
              <w:rPr>
                <w:rFonts w:ascii="Arial" w:hAnsi="Arial" w:cs="Arial"/>
              </w:rPr>
              <w:t>4. Directing the first respondent to immediately restore possession of the 501 boxes which contains around 285 kilograms of seal products to Applicant;</w:t>
            </w:r>
          </w:p>
          <w:p w14:paraId="0907AA9F" w14:textId="77777777" w:rsidR="008E7AC0" w:rsidRPr="00314E01" w:rsidRDefault="008E7AC0" w:rsidP="008E7AC0">
            <w:pPr>
              <w:spacing w:line="360" w:lineRule="auto"/>
              <w:jc w:val="both"/>
              <w:rPr>
                <w:rFonts w:ascii="Arial" w:hAnsi="Arial" w:cs="Arial"/>
              </w:rPr>
            </w:pPr>
            <w:r w:rsidRPr="00314E01">
              <w:rPr>
                <w:rFonts w:ascii="Arial" w:hAnsi="Arial" w:cs="Arial"/>
              </w:rPr>
              <w:t xml:space="preserve">5.  Directing the respondent to pay the applicant's costs of suit on the scale as between attorney-own-client; and </w:t>
            </w:r>
          </w:p>
          <w:p w14:paraId="06294BA4" w14:textId="77777777" w:rsidR="008E7AC0" w:rsidRDefault="008E7AC0" w:rsidP="008E7AC0">
            <w:pPr>
              <w:spacing w:line="360" w:lineRule="auto"/>
              <w:jc w:val="both"/>
              <w:rPr>
                <w:rFonts w:ascii="Arial" w:hAnsi="Arial" w:cs="Arial"/>
              </w:rPr>
            </w:pPr>
            <w:r w:rsidRPr="00314E01">
              <w:rPr>
                <w:rFonts w:ascii="Arial" w:hAnsi="Arial" w:cs="Arial"/>
              </w:rPr>
              <w:t xml:space="preserve"> 6.  Alternative or other relief</w:t>
            </w:r>
            <w:r>
              <w:rPr>
                <w:rFonts w:ascii="Arial" w:hAnsi="Arial" w:cs="Arial"/>
              </w:rPr>
              <w:t>.’</w:t>
            </w:r>
          </w:p>
          <w:p w14:paraId="794776B1" w14:textId="77777777" w:rsidR="00901D7E" w:rsidRDefault="00901D7E" w:rsidP="008E7AC0">
            <w:pPr>
              <w:spacing w:line="360" w:lineRule="auto"/>
              <w:jc w:val="both"/>
              <w:rPr>
                <w:rFonts w:ascii="Arial" w:hAnsi="Arial" w:cs="Arial"/>
              </w:rPr>
            </w:pPr>
          </w:p>
          <w:p w14:paraId="45A15345" w14:textId="77777777" w:rsidR="008E7AC0" w:rsidRPr="008E4F65" w:rsidRDefault="008E7AC0" w:rsidP="008E7AC0">
            <w:pPr>
              <w:pStyle w:val="Heading1"/>
              <w:outlineLvl w:val="0"/>
              <w:rPr>
                <w:i w:val="0"/>
                <w:u w:val="single"/>
              </w:rPr>
            </w:pPr>
            <w:r w:rsidRPr="008E4F65">
              <w:rPr>
                <w:i w:val="0"/>
                <w:u w:val="single"/>
              </w:rPr>
              <w:t>Background</w:t>
            </w:r>
          </w:p>
          <w:p w14:paraId="5904585B" w14:textId="77777777" w:rsidR="00901D7E" w:rsidRPr="00901D7E" w:rsidRDefault="00901D7E" w:rsidP="00901D7E"/>
          <w:p w14:paraId="16BE702E" w14:textId="7A1B5B0E" w:rsidR="008E7AC0" w:rsidRDefault="008E7AC0" w:rsidP="008E7AC0">
            <w:pPr>
              <w:pStyle w:val="ListParagraph"/>
              <w:numPr>
                <w:ilvl w:val="0"/>
                <w:numId w:val="19"/>
              </w:numPr>
              <w:spacing w:line="360" w:lineRule="auto"/>
              <w:ind w:left="0" w:firstLine="0"/>
              <w:jc w:val="both"/>
              <w:rPr>
                <w:rFonts w:ascii="Arial" w:hAnsi="Arial" w:cs="Arial"/>
                <w:sz w:val="24"/>
                <w:szCs w:val="24"/>
              </w:rPr>
            </w:pPr>
            <w:r>
              <w:rPr>
                <w:rFonts w:ascii="Arial" w:hAnsi="Arial" w:cs="Arial"/>
                <w:sz w:val="24"/>
                <w:szCs w:val="24"/>
              </w:rPr>
              <w:t>Seal Products</w:t>
            </w:r>
            <w:r w:rsidRPr="00314E01">
              <w:rPr>
                <w:rFonts w:ascii="Arial" w:hAnsi="Arial" w:cs="Arial"/>
                <w:sz w:val="24"/>
                <w:szCs w:val="24"/>
              </w:rPr>
              <w:t xml:space="preserve"> is a company that owns two seal harvesting and processing factories situ</w:t>
            </w:r>
            <w:r>
              <w:rPr>
                <w:rFonts w:ascii="Arial" w:hAnsi="Arial" w:cs="Arial"/>
                <w:sz w:val="24"/>
                <w:szCs w:val="24"/>
              </w:rPr>
              <w:t>ated in Henties Bay and L</w:t>
            </w:r>
            <w:r w:rsidR="00BC1BB0">
              <w:rPr>
                <w:rFonts w:ascii="Arial" w:hAnsi="Arial" w:cs="Arial"/>
                <w:sz w:val="24"/>
                <w:szCs w:val="24"/>
              </w:rPr>
              <w:t>ü</w:t>
            </w:r>
            <w:r>
              <w:rPr>
                <w:rFonts w:ascii="Arial" w:hAnsi="Arial" w:cs="Arial"/>
                <w:sz w:val="24"/>
                <w:szCs w:val="24"/>
              </w:rPr>
              <w:t xml:space="preserve">deritz. It has been harvesting and processing seal products since 1994. The applicant exports seal products internationally and sells some of the products locally. </w:t>
            </w:r>
          </w:p>
          <w:p w14:paraId="22E25560" w14:textId="77777777" w:rsidR="008E7AC0" w:rsidRDefault="008E7AC0" w:rsidP="008E7AC0">
            <w:pPr>
              <w:pStyle w:val="ListParagraph"/>
              <w:spacing w:line="360" w:lineRule="auto"/>
              <w:ind w:left="0"/>
              <w:jc w:val="both"/>
              <w:rPr>
                <w:rFonts w:ascii="Arial" w:hAnsi="Arial" w:cs="Arial"/>
                <w:sz w:val="24"/>
                <w:szCs w:val="24"/>
              </w:rPr>
            </w:pPr>
          </w:p>
          <w:p w14:paraId="5FF21459" w14:textId="5ECF29D9" w:rsidR="008E7AC0" w:rsidRDefault="008E7AC0" w:rsidP="008E7AC0">
            <w:pPr>
              <w:pStyle w:val="ListParagraph"/>
              <w:numPr>
                <w:ilvl w:val="0"/>
                <w:numId w:val="19"/>
              </w:numPr>
              <w:spacing w:line="360" w:lineRule="auto"/>
              <w:ind w:left="0" w:firstLine="0"/>
              <w:jc w:val="both"/>
              <w:rPr>
                <w:rFonts w:ascii="Arial" w:hAnsi="Arial" w:cs="Arial"/>
                <w:sz w:val="24"/>
                <w:szCs w:val="24"/>
              </w:rPr>
            </w:pPr>
            <w:r>
              <w:rPr>
                <w:rFonts w:ascii="Arial" w:hAnsi="Arial" w:cs="Arial"/>
                <w:sz w:val="24"/>
                <w:szCs w:val="24"/>
              </w:rPr>
              <w:t>According to the applicant, some of these seal products were stored in its warehouse situated in Lafrenz, Windhoek, whe</w:t>
            </w:r>
            <w:r w:rsidR="00BC1BB0">
              <w:rPr>
                <w:rFonts w:ascii="Arial" w:hAnsi="Arial" w:cs="Arial"/>
                <w:sz w:val="24"/>
                <w:szCs w:val="24"/>
              </w:rPr>
              <w:t>re</w:t>
            </w:r>
            <w:r>
              <w:rPr>
                <w:rFonts w:ascii="Arial" w:hAnsi="Arial" w:cs="Arial"/>
                <w:sz w:val="24"/>
                <w:szCs w:val="24"/>
              </w:rPr>
              <w:t xml:space="preserve"> containers of seal products were seized by Inspector Ndikoma without a search warrant or valid court order. </w:t>
            </w:r>
          </w:p>
          <w:p w14:paraId="65037751" w14:textId="77777777" w:rsidR="008E7AC0" w:rsidRPr="005B7B41" w:rsidRDefault="008E7AC0" w:rsidP="008E7AC0">
            <w:pPr>
              <w:pStyle w:val="ListParagraph"/>
              <w:rPr>
                <w:rFonts w:ascii="Arial" w:hAnsi="Arial" w:cs="Arial"/>
                <w:sz w:val="24"/>
                <w:szCs w:val="24"/>
              </w:rPr>
            </w:pPr>
          </w:p>
          <w:p w14:paraId="51054839" w14:textId="77777777" w:rsidR="008E7AC0" w:rsidRDefault="008E7AC0" w:rsidP="008E7AC0">
            <w:pPr>
              <w:pStyle w:val="ListParagraph"/>
              <w:numPr>
                <w:ilvl w:val="0"/>
                <w:numId w:val="19"/>
              </w:numPr>
              <w:spacing w:line="360" w:lineRule="auto"/>
              <w:ind w:left="0" w:firstLine="0"/>
              <w:jc w:val="both"/>
              <w:rPr>
                <w:rFonts w:ascii="Arial" w:hAnsi="Arial" w:cs="Arial"/>
                <w:sz w:val="24"/>
                <w:szCs w:val="24"/>
              </w:rPr>
            </w:pPr>
            <w:r>
              <w:rPr>
                <w:rFonts w:ascii="Arial" w:hAnsi="Arial" w:cs="Arial"/>
                <w:sz w:val="24"/>
                <w:szCs w:val="24"/>
              </w:rPr>
              <w:t>Inspector Ndikoma is a member of the Blue Rhino Task Team, which was established to combat and investigate wildlife crimes in Namibia. This task team comprised of a coalition between several government agencies, which includes the Namibian Police Force, Protected Resources Division, Forestry and Tourism, Namibian Defence Force and the Namibian Revenue Agency (NAMRA).</w:t>
            </w:r>
          </w:p>
          <w:p w14:paraId="52B09ED4" w14:textId="77777777" w:rsidR="008E7AC0" w:rsidRPr="005B7B41" w:rsidRDefault="008E7AC0" w:rsidP="008E7AC0">
            <w:pPr>
              <w:pStyle w:val="ListParagraph"/>
              <w:rPr>
                <w:rFonts w:ascii="Arial" w:hAnsi="Arial" w:cs="Arial"/>
                <w:sz w:val="24"/>
                <w:szCs w:val="24"/>
              </w:rPr>
            </w:pPr>
          </w:p>
          <w:p w14:paraId="5CCA08F9" w14:textId="7BF74CB5" w:rsidR="008E7AC0" w:rsidRPr="00AD1604" w:rsidRDefault="008E7AC0" w:rsidP="008E7AC0">
            <w:pPr>
              <w:pStyle w:val="ListParagraph"/>
              <w:numPr>
                <w:ilvl w:val="0"/>
                <w:numId w:val="19"/>
              </w:numPr>
              <w:spacing w:line="360" w:lineRule="auto"/>
              <w:ind w:left="0" w:firstLine="0"/>
              <w:jc w:val="both"/>
              <w:rPr>
                <w:rFonts w:ascii="Arial" w:hAnsi="Arial" w:cs="Arial"/>
                <w:sz w:val="24"/>
                <w:szCs w:val="24"/>
              </w:rPr>
            </w:pPr>
            <w:r w:rsidRPr="00AD1604">
              <w:rPr>
                <w:rFonts w:ascii="Arial" w:hAnsi="Arial" w:cs="Arial"/>
                <w:sz w:val="24"/>
                <w:szCs w:val="24"/>
              </w:rPr>
              <w:t>On</w:t>
            </w:r>
            <w:r w:rsidR="00403EB6" w:rsidRPr="00AD1604">
              <w:rPr>
                <w:rFonts w:ascii="Arial" w:hAnsi="Arial" w:cs="Arial"/>
                <w:sz w:val="24"/>
                <w:szCs w:val="24"/>
              </w:rPr>
              <w:t xml:space="preserve"> or about </w:t>
            </w:r>
            <w:r w:rsidR="00BC1BB0">
              <w:rPr>
                <w:rFonts w:ascii="Arial" w:hAnsi="Arial" w:cs="Arial"/>
                <w:sz w:val="24"/>
                <w:szCs w:val="24"/>
              </w:rPr>
              <w:t>10</w:t>
            </w:r>
            <w:r w:rsidR="00403EB6" w:rsidRPr="00AD1604">
              <w:rPr>
                <w:rFonts w:ascii="Arial" w:hAnsi="Arial" w:cs="Arial"/>
                <w:sz w:val="24"/>
                <w:szCs w:val="24"/>
              </w:rPr>
              <w:t xml:space="preserve"> </w:t>
            </w:r>
            <w:r w:rsidRPr="00AD1604">
              <w:rPr>
                <w:rFonts w:ascii="Arial" w:hAnsi="Arial" w:cs="Arial"/>
                <w:sz w:val="24"/>
                <w:szCs w:val="24"/>
              </w:rPr>
              <w:t>January</w:t>
            </w:r>
            <w:r w:rsidR="00403EB6" w:rsidRPr="00AD1604">
              <w:rPr>
                <w:rFonts w:ascii="Arial" w:hAnsi="Arial" w:cs="Arial"/>
                <w:sz w:val="24"/>
                <w:szCs w:val="24"/>
              </w:rPr>
              <w:t xml:space="preserve"> </w:t>
            </w:r>
            <w:r w:rsidRPr="00AD1604">
              <w:rPr>
                <w:rFonts w:ascii="Arial" w:hAnsi="Arial" w:cs="Arial"/>
                <w:sz w:val="24"/>
                <w:szCs w:val="24"/>
              </w:rPr>
              <w:t xml:space="preserve">2024, NAMRA had a coordinated intervention at a warehouse situated at Erf 233, Sun Industrial Park, Lafrenz, Windhoek. The warehouse is </w:t>
            </w:r>
            <w:r w:rsidR="00403EB6" w:rsidRPr="00AD1604">
              <w:rPr>
                <w:rFonts w:ascii="Arial" w:hAnsi="Arial" w:cs="Arial"/>
                <w:sz w:val="24"/>
                <w:szCs w:val="24"/>
              </w:rPr>
              <w:t>alleged to be</w:t>
            </w:r>
            <w:r w:rsidRPr="00AD1604">
              <w:rPr>
                <w:rFonts w:ascii="Arial" w:hAnsi="Arial" w:cs="Arial"/>
                <w:sz w:val="24"/>
                <w:szCs w:val="24"/>
              </w:rPr>
              <w:t xml:space="preserve"> shared between Seal Products and Golden Lion Investment CC. One Mr Hou Xue Cheng </w:t>
            </w:r>
            <w:r w:rsidR="00403EB6" w:rsidRPr="00AD1604">
              <w:rPr>
                <w:rFonts w:ascii="Arial" w:hAnsi="Arial" w:cs="Arial"/>
                <w:sz w:val="24"/>
                <w:szCs w:val="24"/>
              </w:rPr>
              <w:t xml:space="preserve">(Mr Cheng) </w:t>
            </w:r>
            <w:r w:rsidRPr="00AD1604">
              <w:rPr>
                <w:rFonts w:ascii="Arial" w:hAnsi="Arial" w:cs="Arial"/>
                <w:sz w:val="24"/>
                <w:szCs w:val="24"/>
              </w:rPr>
              <w:t xml:space="preserve">is </w:t>
            </w:r>
            <w:r w:rsidR="00403EB6" w:rsidRPr="00AD1604">
              <w:rPr>
                <w:rFonts w:ascii="Arial" w:hAnsi="Arial" w:cs="Arial"/>
                <w:sz w:val="24"/>
                <w:szCs w:val="24"/>
              </w:rPr>
              <w:t>seemingly</w:t>
            </w:r>
            <w:r w:rsidRPr="00AD1604">
              <w:rPr>
                <w:rFonts w:ascii="Arial" w:hAnsi="Arial" w:cs="Arial"/>
                <w:sz w:val="24"/>
                <w:szCs w:val="24"/>
              </w:rPr>
              <w:t xml:space="preserve"> a director of Seal Products and the majority shareholder of Golden Lion Investments CC. </w:t>
            </w:r>
          </w:p>
          <w:p w14:paraId="4DC7301E" w14:textId="77777777" w:rsidR="008E7AC0" w:rsidRPr="00335498" w:rsidRDefault="008E7AC0" w:rsidP="008E7AC0">
            <w:pPr>
              <w:pStyle w:val="ListParagraph"/>
              <w:rPr>
                <w:rFonts w:ascii="Arial" w:hAnsi="Arial" w:cs="Arial"/>
                <w:sz w:val="24"/>
                <w:szCs w:val="24"/>
              </w:rPr>
            </w:pPr>
          </w:p>
          <w:p w14:paraId="6D8DCBCF" w14:textId="30CA01BE" w:rsidR="008E7AC0" w:rsidRDefault="008E7AC0" w:rsidP="008E7AC0">
            <w:pPr>
              <w:pStyle w:val="ListParagraph"/>
              <w:numPr>
                <w:ilvl w:val="0"/>
                <w:numId w:val="19"/>
              </w:numPr>
              <w:spacing w:line="360" w:lineRule="auto"/>
              <w:ind w:left="0" w:firstLine="0"/>
              <w:jc w:val="both"/>
              <w:rPr>
                <w:rFonts w:ascii="Arial" w:hAnsi="Arial" w:cs="Arial"/>
                <w:sz w:val="24"/>
                <w:szCs w:val="24"/>
              </w:rPr>
            </w:pPr>
            <w:r>
              <w:rPr>
                <w:rFonts w:ascii="Arial" w:hAnsi="Arial" w:cs="Arial"/>
                <w:sz w:val="24"/>
                <w:szCs w:val="24"/>
              </w:rPr>
              <w:t>During the operation, NAMRA seized a number of wildlife products and ammunition. Amongst the wildlife products</w:t>
            </w:r>
            <w:r w:rsidR="00403EB6">
              <w:rPr>
                <w:rFonts w:ascii="Arial" w:hAnsi="Arial" w:cs="Arial"/>
                <w:sz w:val="24"/>
                <w:szCs w:val="24"/>
              </w:rPr>
              <w:t xml:space="preserve"> </w:t>
            </w:r>
            <w:r>
              <w:rPr>
                <w:rFonts w:ascii="Arial" w:hAnsi="Arial" w:cs="Arial"/>
                <w:sz w:val="24"/>
                <w:szCs w:val="24"/>
              </w:rPr>
              <w:t xml:space="preserve">(skins and ivory), NAMRA recovered seal products, more specifically seal genitals. Inspector Ndikoma was called to the scene by Senior Customs Officer Jesaya Kandove. Mr Kandove handed </w:t>
            </w:r>
            <w:r w:rsidR="00BC1BB0">
              <w:rPr>
                <w:rFonts w:ascii="Arial" w:hAnsi="Arial" w:cs="Arial"/>
                <w:sz w:val="24"/>
                <w:szCs w:val="24"/>
              </w:rPr>
              <w:t xml:space="preserve">over </w:t>
            </w:r>
            <w:r>
              <w:rPr>
                <w:rFonts w:ascii="Arial" w:hAnsi="Arial" w:cs="Arial"/>
                <w:sz w:val="24"/>
                <w:szCs w:val="24"/>
              </w:rPr>
              <w:t>the items seized to Inspector Ndikoma.</w:t>
            </w:r>
          </w:p>
          <w:p w14:paraId="73D0A707" w14:textId="77777777" w:rsidR="008E7AC0" w:rsidRPr="00C13065" w:rsidRDefault="008E7AC0" w:rsidP="008E7AC0">
            <w:pPr>
              <w:pStyle w:val="ListParagraph"/>
              <w:rPr>
                <w:rFonts w:ascii="Arial" w:hAnsi="Arial" w:cs="Arial"/>
                <w:sz w:val="24"/>
                <w:szCs w:val="24"/>
              </w:rPr>
            </w:pPr>
          </w:p>
          <w:p w14:paraId="26A4A7DD" w14:textId="77777777" w:rsidR="008E7AC0" w:rsidRDefault="008E7AC0" w:rsidP="008E7AC0">
            <w:pPr>
              <w:pStyle w:val="ListParagraph"/>
              <w:numPr>
                <w:ilvl w:val="0"/>
                <w:numId w:val="19"/>
              </w:numPr>
              <w:spacing w:line="360" w:lineRule="auto"/>
              <w:ind w:left="0" w:firstLine="0"/>
              <w:jc w:val="both"/>
              <w:rPr>
                <w:rFonts w:ascii="Arial" w:hAnsi="Arial" w:cs="Arial"/>
                <w:sz w:val="24"/>
                <w:szCs w:val="24"/>
              </w:rPr>
            </w:pPr>
            <w:r>
              <w:rPr>
                <w:rFonts w:ascii="Arial" w:hAnsi="Arial" w:cs="Arial"/>
                <w:sz w:val="24"/>
                <w:szCs w:val="24"/>
              </w:rPr>
              <w:t xml:space="preserve">Inspector Ndikoma conducted a search in the presence of the applicant’s legal practitioner and Mr Cheng. During the search, Inspector Ndikoma seized several boxes of seal products, and these seal products are the subject matter of the current application. </w:t>
            </w:r>
          </w:p>
          <w:p w14:paraId="15C8878E" w14:textId="77777777" w:rsidR="008E7AC0" w:rsidRPr="00050EB7" w:rsidRDefault="008E7AC0" w:rsidP="008E7AC0">
            <w:pPr>
              <w:pStyle w:val="ListParagraph"/>
              <w:rPr>
                <w:rFonts w:ascii="Arial" w:hAnsi="Arial" w:cs="Arial"/>
                <w:sz w:val="24"/>
                <w:szCs w:val="24"/>
              </w:rPr>
            </w:pPr>
          </w:p>
          <w:p w14:paraId="490503E3" w14:textId="4C95FEAD" w:rsidR="008E7AC0" w:rsidRDefault="008E7AC0" w:rsidP="008E7AC0">
            <w:pPr>
              <w:pStyle w:val="ListParagraph"/>
              <w:numPr>
                <w:ilvl w:val="0"/>
                <w:numId w:val="19"/>
              </w:numPr>
              <w:spacing w:line="360" w:lineRule="auto"/>
              <w:ind w:left="0" w:firstLine="0"/>
              <w:jc w:val="both"/>
              <w:rPr>
                <w:rFonts w:ascii="Arial" w:hAnsi="Arial" w:cs="Arial"/>
                <w:sz w:val="24"/>
                <w:szCs w:val="24"/>
              </w:rPr>
            </w:pPr>
            <w:r>
              <w:rPr>
                <w:rFonts w:ascii="Arial" w:hAnsi="Arial" w:cs="Arial"/>
                <w:sz w:val="24"/>
                <w:szCs w:val="24"/>
              </w:rPr>
              <w:t xml:space="preserve">As a result of the search, Mr Cheng was arrested and charged inter alia with contravening the Controlled Wildlife Products and Trade Act 9 of 2008. The matter was subsequently withdrawn against Mr Cheng. The matter was re-enrolled at the Katutura Magistrate Court via summons for 25 April 2024. </w:t>
            </w:r>
          </w:p>
          <w:p w14:paraId="6073093C" w14:textId="77777777" w:rsidR="008E7AC0" w:rsidRPr="004438A3" w:rsidRDefault="008E7AC0" w:rsidP="008E7AC0">
            <w:pPr>
              <w:pStyle w:val="ListParagraph"/>
              <w:rPr>
                <w:rFonts w:ascii="Arial" w:hAnsi="Arial" w:cs="Arial"/>
                <w:sz w:val="24"/>
                <w:szCs w:val="24"/>
              </w:rPr>
            </w:pPr>
          </w:p>
          <w:p w14:paraId="3836209C" w14:textId="77777777" w:rsidR="008E7AC0" w:rsidRPr="00335498" w:rsidRDefault="008E7AC0" w:rsidP="008E7AC0">
            <w:pPr>
              <w:pStyle w:val="ListParagraph"/>
              <w:rPr>
                <w:rFonts w:ascii="Arial" w:hAnsi="Arial" w:cs="Arial"/>
                <w:sz w:val="24"/>
                <w:szCs w:val="24"/>
              </w:rPr>
            </w:pPr>
          </w:p>
          <w:p w14:paraId="0F8DC409" w14:textId="04474421" w:rsidR="008E7AC0" w:rsidRDefault="008E7AC0" w:rsidP="008E7AC0">
            <w:pPr>
              <w:pStyle w:val="ListParagraph"/>
              <w:numPr>
                <w:ilvl w:val="0"/>
                <w:numId w:val="19"/>
              </w:numPr>
              <w:spacing w:line="360" w:lineRule="auto"/>
              <w:ind w:left="0" w:firstLine="0"/>
              <w:jc w:val="both"/>
              <w:rPr>
                <w:rFonts w:ascii="Arial" w:hAnsi="Arial" w:cs="Arial"/>
                <w:sz w:val="24"/>
                <w:szCs w:val="24"/>
              </w:rPr>
            </w:pPr>
            <w:r>
              <w:rPr>
                <w:rFonts w:ascii="Arial" w:hAnsi="Arial" w:cs="Arial"/>
                <w:sz w:val="24"/>
                <w:szCs w:val="24"/>
              </w:rPr>
              <w:t xml:space="preserve">Mr Charles </w:t>
            </w:r>
            <w:r w:rsidRPr="00AD1604">
              <w:rPr>
                <w:rFonts w:ascii="Arial" w:hAnsi="Arial" w:cs="Arial"/>
                <w:sz w:val="24"/>
                <w:szCs w:val="24"/>
              </w:rPr>
              <w:t xml:space="preserve">Jiang </w:t>
            </w:r>
            <w:r w:rsidR="00026DA4" w:rsidRPr="00AD1604">
              <w:rPr>
                <w:rFonts w:ascii="Arial" w:hAnsi="Arial" w:cs="Arial"/>
                <w:sz w:val="24"/>
                <w:szCs w:val="24"/>
              </w:rPr>
              <w:t>(Mr Jiang)</w:t>
            </w:r>
            <w:r w:rsidR="00026DA4">
              <w:rPr>
                <w:rFonts w:ascii="Arial" w:hAnsi="Arial" w:cs="Arial"/>
                <w:sz w:val="24"/>
                <w:szCs w:val="24"/>
              </w:rPr>
              <w:t xml:space="preserve"> </w:t>
            </w:r>
            <w:r>
              <w:rPr>
                <w:rFonts w:ascii="Arial" w:hAnsi="Arial" w:cs="Arial"/>
                <w:sz w:val="24"/>
                <w:szCs w:val="24"/>
              </w:rPr>
              <w:t xml:space="preserve">deposed to the founding affidavit in the current application, purportedly in his capacity as the General Manager of Seal Products. </w:t>
            </w:r>
          </w:p>
          <w:p w14:paraId="4CA64C0F" w14:textId="77777777" w:rsidR="008E7AC0" w:rsidRDefault="008E7AC0" w:rsidP="008E7AC0">
            <w:pPr>
              <w:pStyle w:val="ListParagraph"/>
              <w:spacing w:line="360" w:lineRule="auto"/>
              <w:ind w:left="0"/>
              <w:jc w:val="both"/>
              <w:rPr>
                <w:rFonts w:ascii="Arial" w:hAnsi="Arial" w:cs="Arial"/>
                <w:sz w:val="24"/>
                <w:szCs w:val="24"/>
              </w:rPr>
            </w:pPr>
          </w:p>
          <w:p w14:paraId="22C0BD88" w14:textId="77777777" w:rsidR="008E7AC0" w:rsidRPr="00451F59" w:rsidRDefault="008E7AC0" w:rsidP="008E7AC0">
            <w:pPr>
              <w:pStyle w:val="ListParagraph"/>
              <w:spacing w:line="360" w:lineRule="auto"/>
              <w:ind w:left="0"/>
              <w:jc w:val="both"/>
              <w:rPr>
                <w:rFonts w:ascii="Arial" w:hAnsi="Arial" w:cs="Arial"/>
                <w:sz w:val="24"/>
                <w:szCs w:val="24"/>
                <w:u w:val="single"/>
              </w:rPr>
            </w:pPr>
            <w:r w:rsidRPr="00451F59">
              <w:rPr>
                <w:rFonts w:ascii="Arial" w:hAnsi="Arial" w:cs="Arial"/>
                <w:sz w:val="24"/>
                <w:szCs w:val="24"/>
                <w:u w:val="single"/>
              </w:rPr>
              <w:t>Purpose of the application</w:t>
            </w:r>
          </w:p>
          <w:p w14:paraId="5733DB54" w14:textId="77777777" w:rsidR="008E7AC0" w:rsidRDefault="008E7AC0" w:rsidP="008E7AC0">
            <w:pPr>
              <w:pStyle w:val="ListParagraph"/>
              <w:spacing w:line="360" w:lineRule="auto"/>
              <w:ind w:left="0"/>
              <w:jc w:val="both"/>
              <w:rPr>
                <w:rFonts w:ascii="Arial" w:hAnsi="Arial" w:cs="Arial"/>
                <w:sz w:val="24"/>
                <w:szCs w:val="24"/>
              </w:rPr>
            </w:pPr>
          </w:p>
          <w:p w14:paraId="7B7205F2" w14:textId="77777777" w:rsidR="008E7AC0" w:rsidRDefault="008E7AC0" w:rsidP="008E7AC0">
            <w:pPr>
              <w:pStyle w:val="ListParagraph"/>
              <w:numPr>
                <w:ilvl w:val="0"/>
                <w:numId w:val="19"/>
              </w:numPr>
              <w:spacing w:line="360" w:lineRule="auto"/>
              <w:ind w:left="0" w:firstLine="0"/>
              <w:jc w:val="both"/>
              <w:rPr>
                <w:rFonts w:ascii="Arial" w:hAnsi="Arial" w:cs="Arial"/>
                <w:sz w:val="24"/>
                <w:szCs w:val="24"/>
              </w:rPr>
            </w:pPr>
            <w:r>
              <w:rPr>
                <w:rFonts w:ascii="Arial" w:hAnsi="Arial" w:cs="Arial"/>
                <w:sz w:val="24"/>
                <w:szCs w:val="24"/>
              </w:rPr>
              <w:t xml:space="preserve">The applicant is seeking an order that the court declare the seizure and continued detaining of some 501 boxes containing 285 kilograms of seal products belonging to the applicant unlawful. The application is further aimed at obtaining an order to return these items to the applicant. </w:t>
            </w:r>
          </w:p>
          <w:p w14:paraId="605B0C59" w14:textId="77777777" w:rsidR="008E7AC0" w:rsidRPr="00451F59" w:rsidRDefault="008E7AC0" w:rsidP="008E7AC0">
            <w:pPr>
              <w:pStyle w:val="ListParagraph"/>
              <w:rPr>
                <w:rFonts w:ascii="Arial" w:hAnsi="Arial" w:cs="Arial"/>
                <w:sz w:val="24"/>
                <w:szCs w:val="24"/>
              </w:rPr>
            </w:pPr>
          </w:p>
          <w:p w14:paraId="1FF5A0DB" w14:textId="1A58C8B3" w:rsidR="008E7AC0" w:rsidRDefault="008E7AC0" w:rsidP="008E7AC0">
            <w:pPr>
              <w:pStyle w:val="ListParagraph"/>
              <w:numPr>
                <w:ilvl w:val="0"/>
                <w:numId w:val="19"/>
              </w:numPr>
              <w:spacing w:line="360" w:lineRule="auto"/>
              <w:ind w:left="0" w:firstLine="0"/>
              <w:jc w:val="both"/>
              <w:rPr>
                <w:rFonts w:ascii="Arial" w:hAnsi="Arial" w:cs="Arial"/>
                <w:sz w:val="24"/>
                <w:szCs w:val="24"/>
              </w:rPr>
            </w:pPr>
            <w:r>
              <w:rPr>
                <w:rFonts w:ascii="Arial" w:hAnsi="Arial" w:cs="Arial"/>
                <w:sz w:val="24"/>
                <w:szCs w:val="24"/>
              </w:rPr>
              <w:t>At this point, it should be noted that the parties are at odds regarding the number of boxes</w:t>
            </w:r>
            <w:r w:rsidR="00901D7E">
              <w:rPr>
                <w:rFonts w:ascii="Arial" w:hAnsi="Arial" w:cs="Arial"/>
                <w:sz w:val="24"/>
                <w:szCs w:val="24"/>
              </w:rPr>
              <w:t xml:space="preserve"> </w:t>
            </w:r>
            <w:r w:rsidR="00901D7E" w:rsidRPr="00AD1604">
              <w:rPr>
                <w:rFonts w:ascii="Arial" w:hAnsi="Arial" w:cs="Arial"/>
                <w:sz w:val="24"/>
                <w:szCs w:val="24"/>
              </w:rPr>
              <w:t>and</w:t>
            </w:r>
            <w:r w:rsidRPr="00AD1604">
              <w:rPr>
                <w:rFonts w:ascii="Arial" w:hAnsi="Arial" w:cs="Arial"/>
                <w:sz w:val="24"/>
                <w:szCs w:val="24"/>
              </w:rPr>
              <w:t xml:space="preserve"> products that were </w:t>
            </w:r>
            <w:r w:rsidR="00901D7E" w:rsidRPr="00AD1604">
              <w:rPr>
                <w:rFonts w:ascii="Arial" w:hAnsi="Arial" w:cs="Arial"/>
                <w:sz w:val="24"/>
                <w:szCs w:val="24"/>
              </w:rPr>
              <w:t>seized</w:t>
            </w:r>
            <w:r w:rsidRPr="00AD1604">
              <w:rPr>
                <w:rFonts w:ascii="Arial" w:hAnsi="Arial" w:cs="Arial"/>
                <w:sz w:val="24"/>
                <w:szCs w:val="24"/>
              </w:rPr>
              <w:t>. The</w:t>
            </w:r>
            <w:r>
              <w:rPr>
                <w:rFonts w:ascii="Arial" w:hAnsi="Arial" w:cs="Arial"/>
                <w:sz w:val="24"/>
                <w:szCs w:val="24"/>
              </w:rPr>
              <w:t xml:space="preserve"> applicant claims the return of 510 boxes, whereas Inspector Ndikoma alleges that he confiscated 39 boxes (containing 382 sachets) weighing 217.1 kilograms of dried seal genitals.</w:t>
            </w:r>
          </w:p>
          <w:p w14:paraId="2D28A1F7" w14:textId="77777777" w:rsidR="008E7AC0" w:rsidRDefault="008E7AC0" w:rsidP="008E7AC0">
            <w:pPr>
              <w:spacing w:line="360" w:lineRule="auto"/>
              <w:jc w:val="both"/>
              <w:rPr>
                <w:rFonts w:ascii="Arial" w:hAnsi="Arial" w:cs="Arial"/>
                <w:sz w:val="24"/>
                <w:szCs w:val="24"/>
              </w:rPr>
            </w:pPr>
          </w:p>
          <w:p w14:paraId="5BCD33DF" w14:textId="77777777" w:rsidR="00BC1BB0" w:rsidRDefault="00BC1BB0" w:rsidP="008E7AC0">
            <w:pPr>
              <w:spacing w:line="360" w:lineRule="auto"/>
              <w:jc w:val="both"/>
              <w:rPr>
                <w:rFonts w:ascii="Arial" w:hAnsi="Arial" w:cs="Arial"/>
                <w:sz w:val="24"/>
                <w:szCs w:val="24"/>
              </w:rPr>
            </w:pPr>
          </w:p>
          <w:p w14:paraId="0ADA413F" w14:textId="7F6188E2" w:rsidR="008E7AC0" w:rsidRPr="004438A3" w:rsidRDefault="00BC1BB0" w:rsidP="008E7AC0">
            <w:pPr>
              <w:pStyle w:val="Heading1"/>
              <w:outlineLvl w:val="0"/>
            </w:pPr>
            <w:r>
              <w:lastRenderedPageBreak/>
              <w:t>Preliminary points</w:t>
            </w:r>
          </w:p>
          <w:p w14:paraId="7205D06C" w14:textId="77777777" w:rsidR="008E7AC0" w:rsidRPr="00335498" w:rsidRDefault="008E7AC0" w:rsidP="008E7AC0">
            <w:pPr>
              <w:rPr>
                <w:rFonts w:ascii="Arial" w:hAnsi="Arial" w:cs="Arial"/>
                <w:sz w:val="24"/>
                <w:szCs w:val="24"/>
              </w:rPr>
            </w:pPr>
          </w:p>
          <w:p w14:paraId="6419A476" w14:textId="77777777" w:rsidR="008E7AC0" w:rsidRDefault="008E7AC0" w:rsidP="008E7AC0">
            <w:pPr>
              <w:pStyle w:val="ListParagraph"/>
              <w:numPr>
                <w:ilvl w:val="0"/>
                <w:numId w:val="19"/>
              </w:numPr>
              <w:spacing w:line="360" w:lineRule="auto"/>
              <w:ind w:left="0" w:firstLine="0"/>
              <w:jc w:val="both"/>
              <w:rPr>
                <w:rFonts w:ascii="Arial" w:hAnsi="Arial" w:cs="Arial"/>
                <w:sz w:val="24"/>
                <w:szCs w:val="24"/>
              </w:rPr>
            </w:pPr>
            <w:r>
              <w:rPr>
                <w:rFonts w:ascii="Arial" w:hAnsi="Arial" w:cs="Arial"/>
                <w:sz w:val="24"/>
                <w:szCs w:val="24"/>
              </w:rPr>
              <w:t xml:space="preserve">The respondents opposed the application and raised a number of points in limine, which are: </w:t>
            </w:r>
          </w:p>
          <w:p w14:paraId="46C72BFE" w14:textId="77777777" w:rsidR="008E7AC0" w:rsidRDefault="008E7AC0" w:rsidP="008E7AC0">
            <w:pPr>
              <w:pStyle w:val="ListParagraph"/>
              <w:numPr>
                <w:ilvl w:val="0"/>
                <w:numId w:val="20"/>
              </w:numPr>
              <w:spacing w:line="360" w:lineRule="auto"/>
              <w:jc w:val="both"/>
              <w:rPr>
                <w:rFonts w:ascii="Arial" w:hAnsi="Arial" w:cs="Arial"/>
                <w:sz w:val="24"/>
                <w:szCs w:val="24"/>
              </w:rPr>
            </w:pPr>
            <w:r>
              <w:rPr>
                <w:rFonts w:ascii="Arial" w:hAnsi="Arial" w:cs="Arial"/>
                <w:sz w:val="24"/>
                <w:szCs w:val="24"/>
              </w:rPr>
              <w:t xml:space="preserve">Mr Jiang brought the urgent application without a validly signed board resolution by the directors of the applicant, authorising him to do so. </w:t>
            </w:r>
          </w:p>
          <w:p w14:paraId="61EF830B" w14:textId="77777777" w:rsidR="008E7AC0" w:rsidRDefault="008E7AC0" w:rsidP="008E7AC0">
            <w:pPr>
              <w:pStyle w:val="ListParagraph"/>
              <w:numPr>
                <w:ilvl w:val="0"/>
                <w:numId w:val="20"/>
              </w:numPr>
              <w:spacing w:line="360" w:lineRule="auto"/>
              <w:jc w:val="both"/>
              <w:rPr>
                <w:rFonts w:ascii="Arial" w:hAnsi="Arial" w:cs="Arial"/>
                <w:sz w:val="24"/>
                <w:szCs w:val="24"/>
              </w:rPr>
            </w:pPr>
            <w:r>
              <w:rPr>
                <w:rFonts w:ascii="Arial" w:hAnsi="Arial" w:cs="Arial"/>
                <w:sz w:val="24"/>
                <w:szCs w:val="24"/>
              </w:rPr>
              <w:t xml:space="preserve">The applicant has not established locus standi as the seal products were seized at a warehouse purported to belong to Gold Lion Investment CC. </w:t>
            </w:r>
          </w:p>
          <w:p w14:paraId="3C8319AF" w14:textId="77777777" w:rsidR="008E7AC0" w:rsidRDefault="008E7AC0" w:rsidP="008E7AC0">
            <w:pPr>
              <w:pStyle w:val="ListParagraph"/>
              <w:numPr>
                <w:ilvl w:val="0"/>
                <w:numId w:val="20"/>
              </w:numPr>
              <w:spacing w:line="360" w:lineRule="auto"/>
              <w:jc w:val="both"/>
              <w:rPr>
                <w:rFonts w:ascii="Arial" w:hAnsi="Arial" w:cs="Arial"/>
                <w:sz w:val="24"/>
                <w:szCs w:val="24"/>
              </w:rPr>
            </w:pPr>
            <w:r>
              <w:rPr>
                <w:rFonts w:ascii="Arial" w:hAnsi="Arial" w:cs="Arial"/>
                <w:sz w:val="24"/>
                <w:szCs w:val="24"/>
              </w:rPr>
              <w:t>That the deponent to the application, Mr Jiang, is not an employee of Seal Products.</w:t>
            </w:r>
          </w:p>
          <w:p w14:paraId="0C7D1C81" w14:textId="797374E1" w:rsidR="008E7AC0" w:rsidRDefault="008E7AC0" w:rsidP="008E7AC0">
            <w:pPr>
              <w:pStyle w:val="ListParagraph"/>
              <w:numPr>
                <w:ilvl w:val="0"/>
                <w:numId w:val="20"/>
              </w:numPr>
              <w:spacing w:line="360" w:lineRule="auto"/>
              <w:jc w:val="both"/>
              <w:rPr>
                <w:rFonts w:ascii="Arial" w:hAnsi="Arial" w:cs="Arial"/>
                <w:sz w:val="24"/>
                <w:szCs w:val="24"/>
              </w:rPr>
            </w:pPr>
            <w:r>
              <w:rPr>
                <w:rFonts w:ascii="Arial" w:hAnsi="Arial" w:cs="Arial"/>
                <w:sz w:val="24"/>
                <w:szCs w:val="24"/>
              </w:rPr>
              <w:t>The legal practitioner of the applicant has not presented a power of attorney appointing or bestowing him with the authority to represent th</w:t>
            </w:r>
            <w:r w:rsidR="00BC1BB0">
              <w:rPr>
                <w:rFonts w:ascii="Arial" w:hAnsi="Arial" w:cs="Arial"/>
                <w:sz w:val="24"/>
                <w:szCs w:val="24"/>
              </w:rPr>
              <w:t>e</w:t>
            </w:r>
            <w:r>
              <w:rPr>
                <w:rFonts w:ascii="Arial" w:hAnsi="Arial" w:cs="Arial"/>
                <w:sz w:val="24"/>
                <w:szCs w:val="24"/>
              </w:rPr>
              <w:t xml:space="preserve"> applicant in the current proceedings.</w:t>
            </w:r>
          </w:p>
          <w:p w14:paraId="36BB30BE" w14:textId="77777777" w:rsidR="008E7AC0" w:rsidRDefault="008E7AC0" w:rsidP="008E7AC0">
            <w:pPr>
              <w:pStyle w:val="ListParagraph"/>
              <w:numPr>
                <w:ilvl w:val="0"/>
                <w:numId w:val="20"/>
              </w:numPr>
              <w:spacing w:line="360" w:lineRule="auto"/>
              <w:jc w:val="both"/>
              <w:rPr>
                <w:rFonts w:ascii="Arial" w:hAnsi="Arial" w:cs="Arial"/>
                <w:sz w:val="24"/>
                <w:szCs w:val="24"/>
              </w:rPr>
            </w:pPr>
            <w:r>
              <w:rPr>
                <w:rFonts w:ascii="Arial" w:hAnsi="Arial" w:cs="Arial"/>
                <w:sz w:val="24"/>
                <w:szCs w:val="24"/>
              </w:rPr>
              <w:t>Criminal proceedings are pending before the Katutura Magistrate’s Court pertaining to the seizure of the seal products, and the cause of action in both proceedings are the same, i.e. search and seizure conducted on 10 January 2024.</w:t>
            </w:r>
          </w:p>
          <w:p w14:paraId="4649C57C" w14:textId="77777777" w:rsidR="008E7AC0" w:rsidRDefault="008E7AC0" w:rsidP="008E7AC0">
            <w:pPr>
              <w:spacing w:line="360" w:lineRule="auto"/>
              <w:jc w:val="both"/>
              <w:rPr>
                <w:rFonts w:ascii="Arial" w:hAnsi="Arial" w:cs="Arial"/>
                <w:sz w:val="24"/>
                <w:szCs w:val="24"/>
              </w:rPr>
            </w:pPr>
          </w:p>
          <w:p w14:paraId="172A056F" w14:textId="77777777" w:rsidR="008E7AC0" w:rsidRPr="0014400A" w:rsidRDefault="008E7AC0" w:rsidP="008E7AC0">
            <w:pPr>
              <w:pStyle w:val="Heading2"/>
              <w:outlineLvl w:val="1"/>
            </w:pPr>
            <w:r w:rsidRPr="0014400A">
              <w:t>Discussion</w:t>
            </w:r>
            <w:r>
              <w:t xml:space="preserve"> on the points in limine</w:t>
            </w:r>
          </w:p>
          <w:p w14:paraId="421F2F91" w14:textId="77777777" w:rsidR="008E7AC0" w:rsidRDefault="008E7AC0" w:rsidP="008E7AC0">
            <w:pPr>
              <w:spacing w:line="360" w:lineRule="auto"/>
              <w:jc w:val="both"/>
              <w:rPr>
                <w:rFonts w:ascii="Arial" w:hAnsi="Arial" w:cs="Arial"/>
                <w:bCs/>
                <w:sz w:val="26"/>
                <w:szCs w:val="26"/>
              </w:rPr>
            </w:pPr>
          </w:p>
          <w:p w14:paraId="4170A903" w14:textId="77777777" w:rsidR="008E7AC0" w:rsidRDefault="008E7AC0" w:rsidP="008E7AC0">
            <w:pPr>
              <w:pStyle w:val="ListParagraph"/>
              <w:numPr>
                <w:ilvl w:val="0"/>
                <w:numId w:val="21"/>
              </w:numPr>
              <w:spacing w:line="360" w:lineRule="auto"/>
              <w:ind w:left="0" w:firstLine="0"/>
              <w:jc w:val="both"/>
              <w:rPr>
                <w:rFonts w:ascii="Arial" w:hAnsi="Arial" w:cs="Arial"/>
                <w:bCs/>
                <w:sz w:val="24"/>
                <w:szCs w:val="24"/>
              </w:rPr>
            </w:pPr>
            <w:r w:rsidRPr="005D0A86">
              <w:rPr>
                <w:rFonts w:ascii="Arial" w:hAnsi="Arial" w:cs="Arial"/>
                <w:bCs/>
                <w:sz w:val="24"/>
                <w:szCs w:val="24"/>
              </w:rPr>
              <w:t xml:space="preserve">One of the main points raised by the respondents is the issue of </w:t>
            </w:r>
            <w:r>
              <w:rPr>
                <w:rFonts w:ascii="Arial" w:hAnsi="Arial" w:cs="Arial"/>
                <w:bCs/>
                <w:sz w:val="24"/>
                <w:szCs w:val="24"/>
              </w:rPr>
              <w:t>Mr Jiang's authority</w:t>
            </w:r>
            <w:r w:rsidRPr="005D0A86">
              <w:rPr>
                <w:rFonts w:ascii="Arial" w:hAnsi="Arial" w:cs="Arial"/>
                <w:bCs/>
                <w:sz w:val="24"/>
                <w:szCs w:val="24"/>
              </w:rPr>
              <w:t xml:space="preserve"> to bring the current application. </w:t>
            </w:r>
          </w:p>
          <w:p w14:paraId="1A10C20B" w14:textId="77777777" w:rsidR="00901D7E" w:rsidRPr="005D0A86" w:rsidRDefault="00901D7E" w:rsidP="00901D7E">
            <w:pPr>
              <w:pStyle w:val="ListParagraph"/>
              <w:spacing w:line="360" w:lineRule="auto"/>
              <w:ind w:left="0"/>
              <w:jc w:val="both"/>
              <w:rPr>
                <w:rFonts w:ascii="Arial" w:hAnsi="Arial" w:cs="Arial"/>
                <w:bCs/>
                <w:sz w:val="24"/>
                <w:szCs w:val="24"/>
              </w:rPr>
            </w:pPr>
          </w:p>
          <w:p w14:paraId="0FF0CD55" w14:textId="77777777" w:rsidR="008E7AC0" w:rsidRDefault="008E7AC0" w:rsidP="008E7AC0">
            <w:pPr>
              <w:pStyle w:val="ListParagraph"/>
              <w:numPr>
                <w:ilvl w:val="0"/>
                <w:numId w:val="21"/>
              </w:numPr>
              <w:spacing w:line="360" w:lineRule="auto"/>
              <w:ind w:left="0" w:firstLine="0"/>
              <w:jc w:val="both"/>
              <w:rPr>
                <w:rFonts w:ascii="Arial" w:hAnsi="Arial" w:cs="Arial"/>
                <w:bCs/>
                <w:sz w:val="24"/>
                <w:szCs w:val="24"/>
              </w:rPr>
            </w:pPr>
            <w:r w:rsidRPr="005D0A86">
              <w:rPr>
                <w:rFonts w:ascii="Arial" w:hAnsi="Arial" w:cs="Arial"/>
                <w:bCs/>
                <w:sz w:val="24"/>
                <w:szCs w:val="24"/>
              </w:rPr>
              <w:t>The parties are not in agreement on whether Mr Jiang, who deposes to the founding affidavit, is an employee of the applicant and whether he could have deposed to the founding affidavit.</w:t>
            </w:r>
          </w:p>
          <w:p w14:paraId="2401E53C" w14:textId="77777777" w:rsidR="008E7AC0" w:rsidRPr="005D0A86" w:rsidRDefault="008E7AC0" w:rsidP="008E7AC0">
            <w:pPr>
              <w:pStyle w:val="ListParagraph"/>
              <w:spacing w:line="360" w:lineRule="auto"/>
              <w:ind w:left="0"/>
              <w:jc w:val="both"/>
              <w:rPr>
                <w:rFonts w:ascii="Arial" w:hAnsi="Arial" w:cs="Arial"/>
                <w:bCs/>
                <w:sz w:val="24"/>
                <w:szCs w:val="24"/>
              </w:rPr>
            </w:pPr>
          </w:p>
          <w:p w14:paraId="77C400D7" w14:textId="43FEE263" w:rsidR="008E7AC0" w:rsidRDefault="008E7AC0" w:rsidP="008E7AC0">
            <w:pPr>
              <w:pStyle w:val="ListParagraph"/>
              <w:numPr>
                <w:ilvl w:val="0"/>
                <w:numId w:val="21"/>
              </w:numPr>
              <w:spacing w:line="360" w:lineRule="auto"/>
              <w:ind w:left="0" w:firstLine="0"/>
              <w:jc w:val="both"/>
              <w:rPr>
                <w:rFonts w:ascii="Arial" w:hAnsi="Arial" w:cs="Arial"/>
                <w:bCs/>
                <w:sz w:val="24"/>
                <w:szCs w:val="24"/>
              </w:rPr>
            </w:pPr>
            <w:r w:rsidRPr="005D0A86">
              <w:rPr>
                <w:rFonts w:ascii="Arial" w:hAnsi="Arial" w:cs="Arial"/>
                <w:bCs/>
                <w:sz w:val="24"/>
                <w:szCs w:val="24"/>
              </w:rPr>
              <w:t xml:space="preserve">The </w:t>
            </w:r>
            <w:r>
              <w:rPr>
                <w:rFonts w:ascii="Arial" w:hAnsi="Arial" w:cs="Arial"/>
                <w:bCs/>
                <w:sz w:val="24"/>
                <w:szCs w:val="24"/>
              </w:rPr>
              <w:t xml:space="preserve">reason for this dispute of fact between the parties in this regard is the fact that the respondents filed a confirmatory affidavit of one Mr </w:t>
            </w:r>
            <w:r w:rsidRPr="00AD1604">
              <w:rPr>
                <w:rFonts w:ascii="Arial" w:hAnsi="Arial" w:cs="Arial"/>
                <w:bCs/>
                <w:sz w:val="24"/>
                <w:szCs w:val="24"/>
              </w:rPr>
              <w:t>Gabriel Uahengo</w:t>
            </w:r>
            <w:r w:rsidR="00026DA4" w:rsidRPr="00AD1604">
              <w:rPr>
                <w:rFonts w:ascii="Arial" w:hAnsi="Arial" w:cs="Arial"/>
                <w:bCs/>
                <w:sz w:val="24"/>
                <w:szCs w:val="24"/>
              </w:rPr>
              <w:t xml:space="preserve"> (Mr Uahengo)</w:t>
            </w:r>
            <w:r w:rsidRPr="00AD1604">
              <w:rPr>
                <w:rFonts w:ascii="Arial" w:hAnsi="Arial" w:cs="Arial"/>
                <w:bCs/>
                <w:sz w:val="24"/>
                <w:szCs w:val="24"/>
              </w:rPr>
              <w:t>, who stated that he is a director and shareholder of Seal Products and owns 45</w:t>
            </w:r>
            <w:r w:rsidR="0033629F" w:rsidRPr="00AD1604">
              <w:rPr>
                <w:rFonts w:ascii="Arial" w:hAnsi="Arial" w:cs="Arial"/>
                <w:bCs/>
                <w:strike/>
                <w:sz w:val="24"/>
                <w:szCs w:val="24"/>
              </w:rPr>
              <w:t xml:space="preserve"> </w:t>
            </w:r>
            <w:r w:rsidR="0033629F" w:rsidRPr="00AD1604">
              <w:rPr>
                <w:rFonts w:ascii="Arial" w:hAnsi="Arial" w:cs="Arial"/>
                <w:bCs/>
                <w:sz w:val="24"/>
                <w:szCs w:val="24"/>
              </w:rPr>
              <w:t>per cent</w:t>
            </w:r>
            <w:r w:rsidRPr="00AD1604">
              <w:rPr>
                <w:rFonts w:ascii="Arial" w:hAnsi="Arial" w:cs="Arial"/>
                <w:bCs/>
                <w:sz w:val="24"/>
                <w:szCs w:val="24"/>
              </w:rPr>
              <w:t xml:space="preserve"> shareholding in the company. Mr Uahengo</w:t>
            </w:r>
            <w:r w:rsidR="00026DA4" w:rsidRPr="00AD1604">
              <w:rPr>
                <w:rFonts w:ascii="Arial" w:hAnsi="Arial" w:cs="Arial"/>
                <w:bCs/>
                <w:sz w:val="24"/>
                <w:szCs w:val="24"/>
              </w:rPr>
              <w:t xml:space="preserve"> further</w:t>
            </w:r>
            <w:r w:rsidRPr="00AD1604">
              <w:rPr>
                <w:rFonts w:ascii="Arial" w:hAnsi="Arial" w:cs="Arial"/>
                <w:bCs/>
                <w:sz w:val="24"/>
                <w:szCs w:val="24"/>
              </w:rPr>
              <w:t xml:space="preserve"> </w:t>
            </w:r>
            <w:r w:rsidR="00026DA4" w:rsidRPr="00AD1604">
              <w:rPr>
                <w:rFonts w:ascii="Arial" w:hAnsi="Arial" w:cs="Arial"/>
                <w:bCs/>
                <w:sz w:val="24"/>
                <w:szCs w:val="24"/>
              </w:rPr>
              <w:t>states</w:t>
            </w:r>
            <w:r w:rsidRPr="00AD1604">
              <w:rPr>
                <w:rFonts w:ascii="Arial" w:hAnsi="Arial" w:cs="Arial"/>
                <w:bCs/>
                <w:sz w:val="24"/>
                <w:szCs w:val="24"/>
              </w:rPr>
              <w:t xml:space="preserve"> that the other directors and shareholders are Mr Josias Petrus Swart (now deceased) and Mr Zacharias Petrus Cilliers. Mr Uahengo</w:t>
            </w:r>
            <w:r w:rsidRPr="00BC1BB0">
              <w:rPr>
                <w:rFonts w:ascii="Arial" w:hAnsi="Arial" w:cs="Arial"/>
                <w:bCs/>
                <w:sz w:val="24"/>
                <w:szCs w:val="24"/>
              </w:rPr>
              <w:t xml:space="preserve"> </w:t>
            </w:r>
            <w:r w:rsidR="00026DA4" w:rsidRPr="00AD1604">
              <w:rPr>
                <w:rFonts w:ascii="Arial" w:hAnsi="Arial" w:cs="Arial"/>
                <w:bCs/>
                <w:sz w:val="24"/>
                <w:szCs w:val="24"/>
              </w:rPr>
              <w:t>indicated</w:t>
            </w:r>
            <w:r>
              <w:rPr>
                <w:rFonts w:ascii="Arial" w:hAnsi="Arial" w:cs="Arial"/>
                <w:bCs/>
                <w:sz w:val="24"/>
                <w:szCs w:val="24"/>
              </w:rPr>
              <w:t xml:space="preserve"> that he is the only active shareholder of Seal Products as Mr Celliers resigned from the company. Mr Uahengo denied that Mr Jiang is an employee of Seal Products or that he was authorised to depose to the founding affidavit or to bring this urgent application.</w:t>
            </w:r>
          </w:p>
          <w:p w14:paraId="35613456" w14:textId="77777777" w:rsidR="008E7AC0" w:rsidRPr="0058329A" w:rsidRDefault="008E7AC0" w:rsidP="008E7AC0">
            <w:pPr>
              <w:pStyle w:val="ListParagraph"/>
              <w:rPr>
                <w:rFonts w:ascii="Arial" w:hAnsi="Arial" w:cs="Arial"/>
                <w:bCs/>
                <w:sz w:val="24"/>
                <w:szCs w:val="24"/>
              </w:rPr>
            </w:pPr>
          </w:p>
          <w:p w14:paraId="6D21A75F" w14:textId="77777777" w:rsidR="008E7AC0" w:rsidRDefault="008E7AC0" w:rsidP="008E7AC0">
            <w:pPr>
              <w:pStyle w:val="ListParagraph"/>
              <w:numPr>
                <w:ilvl w:val="0"/>
                <w:numId w:val="21"/>
              </w:numPr>
              <w:spacing w:line="360" w:lineRule="auto"/>
              <w:ind w:left="0" w:firstLine="0"/>
              <w:jc w:val="both"/>
              <w:rPr>
                <w:rFonts w:ascii="Arial" w:hAnsi="Arial" w:cs="Arial"/>
                <w:bCs/>
                <w:sz w:val="24"/>
                <w:szCs w:val="24"/>
              </w:rPr>
            </w:pPr>
            <w:r>
              <w:rPr>
                <w:rFonts w:ascii="Arial" w:hAnsi="Arial" w:cs="Arial"/>
                <w:bCs/>
                <w:sz w:val="24"/>
                <w:szCs w:val="24"/>
              </w:rPr>
              <w:t>The respondents also filed the Business and Intellectual Property Authority record of the Company Registrar’s records dated January 2024, which reflects Mr Uahengo as the majority shareholder of Seal Products.</w:t>
            </w:r>
          </w:p>
          <w:p w14:paraId="3F1EE970" w14:textId="77777777" w:rsidR="008E7AC0" w:rsidRPr="005D0A86" w:rsidRDefault="008E7AC0" w:rsidP="008E7AC0">
            <w:pPr>
              <w:pStyle w:val="ListParagraph"/>
              <w:spacing w:line="360" w:lineRule="auto"/>
              <w:ind w:left="0"/>
              <w:jc w:val="both"/>
              <w:rPr>
                <w:rFonts w:ascii="Arial" w:hAnsi="Arial" w:cs="Arial"/>
                <w:bCs/>
                <w:sz w:val="24"/>
                <w:szCs w:val="24"/>
              </w:rPr>
            </w:pPr>
          </w:p>
          <w:p w14:paraId="1FEE4654" w14:textId="07CE7C3C" w:rsidR="008E7AC0" w:rsidRPr="0058329A" w:rsidRDefault="008E7AC0" w:rsidP="008E7AC0">
            <w:pPr>
              <w:pStyle w:val="ListParagraph"/>
              <w:numPr>
                <w:ilvl w:val="0"/>
                <w:numId w:val="21"/>
              </w:numPr>
              <w:spacing w:line="360" w:lineRule="auto"/>
              <w:ind w:left="0" w:firstLine="0"/>
              <w:jc w:val="both"/>
              <w:rPr>
                <w:rFonts w:ascii="Arial" w:hAnsi="Arial" w:cs="Arial"/>
                <w:bCs/>
                <w:sz w:val="26"/>
                <w:szCs w:val="26"/>
              </w:rPr>
            </w:pPr>
            <w:r w:rsidRPr="005D0A86">
              <w:rPr>
                <w:rFonts w:ascii="Arial" w:hAnsi="Arial" w:cs="Arial"/>
                <w:bCs/>
                <w:sz w:val="24"/>
                <w:szCs w:val="24"/>
              </w:rPr>
              <w:t>The applicant filed a confirmatory affidavit of Mr</w:t>
            </w:r>
            <w:r>
              <w:rPr>
                <w:rFonts w:ascii="Arial" w:hAnsi="Arial" w:cs="Arial"/>
                <w:bCs/>
                <w:sz w:val="26"/>
                <w:szCs w:val="26"/>
              </w:rPr>
              <w:t xml:space="preserve"> </w:t>
            </w:r>
            <w:r w:rsidRPr="003520C1">
              <w:rPr>
                <w:rFonts w:ascii="Arial" w:hAnsi="Arial" w:cs="Arial"/>
                <w:sz w:val="24"/>
                <w:szCs w:val="24"/>
              </w:rPr>
              <w:t>Cheng</w:t>
            </w:r>
            <w:r>
              <w:rPr>
                <w:rFonts w:ascii="Arial" w:hAnsi="Arial" w:cs="Arial"/>
                <w:sz w:val="24"/>
                <w:szCs w:val="24"/>
              </w:rPr>
              <w:t>, who states that he is the majority shareholder and director of Seal Products. He alleged that Mr Uahengo, the minority shareholder in the applicant, had been obstructive to the operations of the applicant, and as a result, the applicant instituted the current proceeding</w:t>
            </w:r>
            <w:r w:rsidR="00BC1BB0">
              <w:rPr>
                <w:rFonts w:ascii="Arial" w:hAnsi="Arial" w:cs="Arial"/>
                <w:sz w:val="24"/>
                <w:szCs w:val="24"/>
              </w:rPr>
              <w:t>s</w:t>
            </w:r>
            <w:r>
              <w:rPr>
                <w:rFonts w:ascii="Arial" w:hAnsi="Arial" w:cs="Arial"/>
                <w:sz w:val="24"/>
                <w:szCs w:val="24"/>
              </w:rPr>
              <w:t xml:space="preserve"> through its managing member. Mr Cheng also filed a share certificate indicating that he owns 55</w:t>
            </w:r>
            <w:r w:rsidR="0033629F">
              <w:rPr>
                <w:rFonts w:ascii="Arial" w:hAnsi="Arial" w:cs="Arial"/>
                <w:sz w:val="24"/>
                <w:szCs w:val="24"/>
              </w:rPr>
              <w:t xml:space="preserve"> </w:t>
            </w:r>
            <w:r w:rsidR="0033629F" w:rsidRPr="00AD1604">
              <w:rPr>
                <w:rFonts w:ascii="Arial" w:hAnsi="Arial" w:cs="Arial"/>
                <w:sz w:val="24"/>
                <w:szCs w:val="24"/>
              </w:rPr>
              <w:t>per cent</w:t>
            </w:r>
            <w:r w:rsidRPr="00AD1604">
              <w:rPr>
                <w:rFonts w:ascii="Arial" w:hAnsi="Arial" w:cs="Arial"/>
                <w:sz w:val="24"/>
                <w:szCs w:val="24"/>
              </w:rPr>
              <w:t xml:space="preserve"> shares</w:t>
            </w:r>
            <w:r>
              <w:rPr>
                <w:rFonts w:ascii="Arial" w:hAnsi="Arial" w:cs="Arial"/>
                <w:sz w:val="24"/>
                <w:szCs w:val="24"/>
              </w:rPr>
              <w:t xml:space="preserve"> in the applicant as well as a letter directed to NAMRA from ENS Africa Legal Practitioners</w:t>
            </w:r>
            <w:r w:rsidR="00026DA4">
              <w:rPr>
                <w:rFonts w:ascii="Arial" w:hAnsi="Arial" w:cs="Arial"/>
                <w:sz w:val="24"/>
                <w:szCs w:val="24"/>
              </w:rPr>
              <w:t>,</w:t>
            </w:r>
            <w:r>
              <w:rPr>
                <w:rFonts w:ascii="Arial" w:hAnsi="Arial" w:cs="Arial"/>
                <w:sz w:val="24"/>
                <w:szCs w:val="24"/>
              </w:rPr>
              <w:t xml:space="preserve"> that </w:t>
            </w:r>
            <w:r w:rsidRPr="00AD1604">
              <w:rPr>
                <w:rFonts w:ascii="Arial" w:hAnsi="Arial" w:cs="Arial"/>
                <w:sz w:val="24"/>
                <w:szCs w:val="24"/>
              </w:rPr>
              <w:t xml:space="preserve">it </w:t>
            </w:r>
            <w:r w:rsidR="0033629F" w:rsidRPr="00AD1604">
              <w:rPr>
                <w:rFonts w:ascii="Arial" w:hAnsi="Arial" w:cs="Arial"/>
                <w:sz w:val="24"/>
                <w:szCs w:val="24"/>
              </w:rPr>
              <w:t xml:space="preserve">holds </w:t>
            </w:r>
            <w:r w:rsidRPr="00AD1604">
              <w:rPr>
                <w:rFonts w:ascii="Arial" w:hAnsi="Arial" w:cs="Arial"/>
                <w:sz w:val="24"/>
                <w:szCs w:val="24"/>
              </w:rPr>
              <w:t>funds</w:t>
            </w:r>
            <w:r>
              <w:rPr>
                <w:rFonts w:ascii="Arial" w:hAnsi="Arial" w:cs="Arial"/>
                <w:sz w:val="24"/>
                <w:szCs w:val="24"/>
              </w:rPr>
              <w:t xml:space="preserve"> in its trust account paid by Mr Hou</w:t>
            </w:r>
            <w:r w:rsidR="00BC1BB0">
              <w:rPr>
                <w:rFonts w:ascii="Arial" w:hAnsi="Arial" w:cs="Arial"/>
                <w:sz w:val="24"/>
                <w:szCs w:val="24"/>
              </w:rPr>
              <w:t xml:space="preserve"> Cheng</w:t>
            </w:r>
            <w:r>
              <w:rPr>
                <w:rFonts w:ascii="Arial" w:hAnsi="Arial" w:cs="Arial"/>
                <w:sz w:val="24"/>
                <w:szCs w:val="24"/>
              </w:rPr>
              <w:t xml:space="preserve"> in favour of Mr Uahengo. This letter states that the ‘funds constitute the purchase price for shares in Seal Products Limited being purported to be sold’ by Mr Uahengo to Mr Hou. </w:t>
            </w:r>
          </w:p>
          <w:p w14:paraId="130CD9C9" w14:textId="77777777" w:rsidR="008E7AC0" w:rsidRPr="0058329A" w:rsidRDefault="008E7AC0" w:rsidP="008E7AC0">
            <w:pPr>
              <w:pStyle w:val="ListParagraph"/>
              <w:rPr>
                <w:rFonts w:ascii="Arial" w:hAnsi="Arial" w:cs="Arial"/>
                <w:bCs/>
                <w:sz w:val="26"/>
                <w:szCs w:val="26"/>
              </w:rPr>
            </w:pPr>
          </w:p>
          <w:p w14:paraId="6F0BC29E" w14:textId="77777777" w:rsidR="008E7AC0" w:rsidRDefault="008E7AC0" w:rsidP="008E7AC0">
            <w:pPr>
              <w:pStyle w:val="ListParagraph"/>
              <w:numPr>
                <w:ilvl w:val="0"/>
                <w:numId w:val="21"/>
              </w:numPr>
              <w:spacing w:line="360" w:lineRule="auto"/>
              <w:ind w:left="0" w:firstLine="0"/>
              <w:jc w:val="both"/>
              <w:rPr>
                <w:rFonts w:ascii="Arial" w:hAnsi="Arial" w:cs="Arial"/>
                <w:bCs/>
                <w:sz w:val="24"/>
                <w:szCs w:val="24"/>
              </w:rPr>
            </w:pPr>
            <w:r w:rsidRPr="00D5223C">
              <w:rPr>
                <w:rFonts w:ascii="Arial" w:hAnsi="Arial" w:cs="Arial"/>
                <w:bCs/>
                <w:sz w:val="24"/>
                <w:szCs w:val="24"/>
              </w:rPr>
              <w:t xml:space="preserve">Given the fact that Mr Cheng </w:t>
            </w:r>
            <w:r>
              <w:rPr>
                <w:rFonts w:ascii="Arial" w:hAnsi="Arial" w:cs="Arial"/>
                <w:bCs/>
                <w:sz w:val="24"/>
                <w:szCs w:val="24"/>
              </w:rPr>
              <w:t>refers to Mr Uahengo as the minority shareholder of the applicant, it would be safe to infer that the sale of Mr Uahengo was not finalised and that Mr Uahengo’s supplementary affidavit cannot be disregarded.</w:t>
            </w:r>
          </w:p>
          <w:p w14:paraId="313615FE" w14:textId="77777777" w:rsidR="008E7AC0" w:rsidRPr="00D5223C" w:rsidRDefault="008E7AC0" w:rsidP="008E7AC0">
            <w:pPr>
              <w:pStyle w:val="ListParagraph"/>
              <w:rPr>
                <w:rFonts w:ascii="Arial" w:hAnsi="Arial" w:cs="Arial"/>
                <w:bCs/>
                <w:sz w:val="24"/>
                <w:szCs w:val="24"/>
              </w:rPr>
            </w:pPr>
          </w:p>
          <w:p w14:paraId="02F68F03" w14:textId="7394B7B3" w:rsidR="008E7AC0" w:rsidRPr="00D5223C" w:rsidRDefault="008E7AC0" w:rsidP="008E7AC0">
            <w:pPr>
              <w:pStyle w:val="ListParagraph"/>
              <w:numPr>
                <w:ilvl w:val="0"/>
                <w:numId w:val="21"/>
              </w:numPr>
              <w:spacing w:line="360" w:lineRule="auto"/>
              <w:ind w:left="0" w:firstLine="0"/>
              <w:jc w:val="both"/>
              <w:rPr>
                <w:rFonts w:ascii="Arial" w:hAnsi="Arial" w:cs="Arial"/>
                <w:bCs/>
                <w:sz w:val="24"/>
                <w:szCs w:val="24"/>
              </w:rPr>
            </w:pPr>
            <w:r>
              <w:rPr>
                <w:rFonts w:ascii="Arial" w:hAnsi="Arial" w:cs="Arial"/>
                <w:bCs/>
                <w:sz w:val="24"/>
                <w:szCs w:val="24"/>
              </w:rPr>
              <w:t xml:space="preserve">Mr Khadila advanced an argument that Mr Jiang stated that he was duly authorised to bring the application and to deposed to the founding affidavit but conceded that </w:t>
            </w:r>
            <w:r w:rsidR="00BC1BB0">
              <w:rPr>
                <w:rFonts w:ascii="Arial" w:hAnsi="Arial" w:cs="Arial"/>
                <w:bCs/>
                <w:sz w:val="24"/>
                <w:szCs w:val="24"/>
              </w:rPr>
              <w:t xml:space="preserve">after </w:t>
            </w:r>
            <w:r>
              <w:rPr>
                <w:rFonts w:ascii="Arial" w:hAnsi="Arial" w:cs="Arial"/>
                <w:bCs/>
                <w:sz w:val="24"/>
                <w:szCs w:val="24"/>
              </w:rPr>
              <w:t xml:space="preserve">the respondents raised the issue of authority the applicant failed to file the resolution authorising the institution of the application.  </w:t>
            </w:r>
          </w:p>
          <w:p w14:paraId="47D9227B" w14:textId="77777777" w:rsidR="008E7AC0" w:rsidRPr="00D5223C" w:rsidRDefault="008E7AC0" w:rsidP="008E7AC0">
            <w:pPr>
              <w:pStyle w:val="ListParagraph"/>
              <w:rPr>
                <w:rFonts w:ascii="Arial" w:hAnsi="Arial" w:cs="Arial"/>
                <w:bCs/>
                <w:sz w:val="26"/>
                <w:szCs w:val="26"/>
              </w:rPr>
            </w:pPr>
          </w:p>
          <w:p w14:paraId="700CB1F5" w14:textId="77777777" w:rsidR="008E7AC0" w:rsidRPr="0051307C" w:rsidRDefault="008E7AC0" w:rsidP="008E7AC0">
            <w:pPr>
              <w:pStyle w:val="ListParagraph"/>
              <w:numPr>
                <w:ilvl w:val="0"/>
                <w:numId w:val="21"/>
              </w:numPr>
              <w:spacing w:line="360" w:lineRule="auto"/>
              <w:ind w:left="0" w:firstLine="0"/>
              <w:jc w:val="both"/>
              <w:rPr>
                <w:rFonts w:ascii="Arial" w:hAnsi="Arial" w:cs="Arial"/>
                <w:bCs/>
                <w:sz w:val="26"/>
                <w:szCs w:val="26"/>
              </w:rPr>
            </w:pPr>
            <w:r w:rsidRPr="0051307C">
              <w:rPr>
                <w:rFonts w:ascii="Arial" w:hAnsi="Arial" w:cs="Arial"/>
                <w:sz w:val="24"/>
                <w:szCs w:val="24"/>
              </w:rPr>
              <w:t>Mr Khadila argued that documents have also been attached to the replying affidavit</w:t>
            </w:r>
            <w:r>
              <w:rPr>
                <w:rFonts w:ascii="Arial" w:hAnsi="Arial" w:cs="Arial"/>
                <w:sz w:val="24"/>
                <w:szCs w:val="24"/>
              </w:rPr>
              <w:t>,</w:t>
            </w:r>
            <w:r w:rsidRPr="0051307C">
              <w:rPr>
                <w:rFonts w:ascii="Arial" w:hAnsi="Arial" w:cs="Arial"/>
                <w:sz w:val="24"/>
                <w:szCs w:val="24"/>
              </w:rPr>
              <w:t xml:space="preserve"> demonstrating that the deponent with the founding affidavit is the </w:t>
            </w:r>
            <w:r>
              <w:rPr>
                <w:rFonts w:ascii="Arial" w:hAnsi="Arial" w:cs="Arial"/>
                <w:sz w:val="24"/>
                <w:szCs w:val="24"/>
              </w:rPr>
              <w:t>applicant's general manager</w:t>
            </w:r>
            <w:r w:rsidRPr="0051307C">
              <w:rPr>
                <w:rFonts w:ascii="Arial" w:hAnsi="Arial" w:cs="Arial"/>
                <w:sz w:val="24"/>
                <w:szCs w:val="24"/>
              </w:rPr>
              <w:t xml:space="preserve">. He submitted that a confirmatory affidavit has been filed that demonstrates that the deponent of the founding affidavit has the authority to launch the application. </w:t>
            </w:r>
          </w:p>
          <w:p w14:paraId="3213FCB7" w14:textId="77777777" w:rsidR="008E7AC0" w:rsidRPr="0051307C" w:rsidRDefault="008E7AC0" w:rsidP="008E7AC0">
            <w:pPr>
              <w:pStyle w:val="ListParagraph"/>
              <w:rPr>
                <w:rFonts w:ascii="Arial" w:hAnsi="Arial" w:cs="Arial"/>
                <w:bCs/>
                <w:sz w:val="26"/>
                <w:szCs w:val="26"/>
              </w:rPr>
            </w:pPr>
          </w:p>
          <w:p w14:paraId="43D2C3EF" w14:textId="4E563A3C" w:rsidR="008E7AC0" w:rsidRDefault="008E7AC0" w:rsidP="008E7AC0">
            <w:pPr>
              <w:pStyle w:val="ListParagraph"/>
              <w:numPr>
                <w:ilvl w:val="0"/>
                <w:numId w:val="21"/>
              </w:numPr>
              <w:spacing w:line="360" w:lineRule="auto"/>
              <w:ind w:left="0" w:firstLine="0"/>
              <w:jc w:val="both"/>
              <w:rPr>
                <w:rFonts w:ascii="Arial" w:hAnsi="Arial" w:cs="Arial"/>
                <w:bCs/>
                <w:sz w:val="24"/>
                <w:szCs w:val="24"/>
              </w:rPr>
            </w:pPr>
            <w:r w:rsidRPr="00F436E2">
              <w:rPr>
                <w:rFonts w:ascii="Arial" w:hAnsi="Arial" w:cs="Arial"/>
                <w:bCs/>
                <w:sz w:val="24"/>
                <w:szCs w:val="24"/>
              </w:rPr>
              <w:t xml:space="preserve">In </w:t>
            </w:r>
            <w:r w:rsidRPr="00F436E2">
              <w:rPr>
                <w:rFonts w:ascii="Arial" w:hAnsi="Arial" w:cs="Arial"/>
                <w:bCs/>
                <w:i/>
                <w:sz w:val="24"/>
                <w:szCs w:val="24"/>
              </w:rPr>
              <w:t>Griffiths &amp; Inglis (Pty) Ltd v Southern Cape Blasters (Pty) Ltd,</w:t>
            </w:r>
            <w:r w:rsidRPr="00BC1BB0">
              <w:rPr>
                <w:rStyle w:val="FootnoteReference"/>
                <w:rFonts w:ascii="Arial" w:hAnsi="Arial" w:cs="Arial"/>
                <w:bCs/>
                <w:sz w:val="24"/>
                <w:szCs w:val="24"/>
              </w:rPr>
              <w:footnoteReference w:id="1"/>
            </w:r>
            <w:r w:rsidRPr="00F436E2">
              <w:rPr>
                <w:rFonts w:ascii="Arial" w:hAnsi="Arial" w:cs="Arial"/>
                <w:b/>
                <w:bCs/>
                <w:sz w:val="24"/>
                <w:szCs w:val="24"/>
              </w:rPr>
              <w:t xml:space="preserve"> </w:t>
            </w:r>
            <w:r>
              <w:rPr>
                <w:rFonts w:ascii="Arial" w:hAnsi="Arial" w:cs="Arial"/>
                <w:bCs/>
                <w:sz w:val="24"/>
                <w:szCs w:val="24"/>
              </w:rPr>
              <w:t>i</w:t>
            </w:r>
            <w:r w:rsidRPr="00F436E2">
              <w:rPr>
                <w:rFonts w:ascii="Arial" w:hAnsi="Arial" w:cs="Arial"/>
                <w:bCs/>
                <w:sz w:val="24"/>
                <w:szCs w:val="24"/>
              </w:rPr>
              <w:t>n an application by a company</w:t>
            </w:r>
            <w:r>
              <w:rPr>
                <w:rFonts w:ascii="Arial" w:hAnsi="Arial" w:cs="Arial"/>
                <w:bCs/>
                <w:sz w:val="24"/>
                <w:szCs w:val="24"/>
              </w:rPr>
              <w:t>,</w:t>
            </w:r>
            <w:r w:rsidRPr="00F436E2">
              <w:rPr>
                <w:rFonts w:ascii="Arial" w:hAnsi="Arial" w:cs="Arial"/>
                <w:bCs/>
                <w:sz w:val="24"/>
                <w:szCs w:val="24"/>
              </w:rPr>
              <w:t xml:space="preserve"> the respondent took an objection in limine that there was no proper proof before the </w:t>
            </w:r>
            <w:r w:rsidR="00BC1BB0">
              <w:rPr>
                <w:rFonts w:ascii="Arial" w:hAnsi="Arial" w:cs="Arial"/>
                <w:bCs/>
                <w:sz w:val="24"/>
                <w:szCs w:val="24"/>
              </w:rPr>
              <w:t>c</w:t>
            </w:r>
            <w:r w:rsidRPr="00F436E2">
              <w:rPr>
                <w:rFonts w:ascii="Arial" w:hAnsi="Arial" w:cs="Arial"/>
                <w:bCs/>
                <w:sz w:val="24"/>
                <w:szCs w:val="24"/>
              </w:rPr>
              <w:t>ourt that the application had been duly authorised by the applicant. The applicant contended that it was implied in the affidavit of the managing director</w:t>
            </w:r>
            <w:r>
              <w:rPr>
                <w:rFonts w:ascii="Arial" w:hAnsi="Arial" w:cs="Arial"/>
                <w:bCs/>
                <w:sz w:val="24"/>
                <w:szCs w:val="24"/>
              </w:rPr>
              <w:t>,</w:t>
            </w:r>
            <w:r w:rsidRPr="00F436E2">
              <w:rPr>
                <w:rFonts w:ascii="Arial" w:hAnsi="Arial" w:cs="Arial"/>
                <w:bCs/>
                <w:sz w:val="24"/>
                <w:szCs w:val="24"/>
              </w:rPr>
              <w:t xml:space="preserve"> who was also the majority shareholder. The question of authority having been challenged in the opposing affidavit, the applicant had produced a further affidavit by the managing director stating that the board of directors consisted of himself and three others who were all aware of the application and the circumstances surrounding it and had authorised his bringing the application on behalf of the applicant.</w:t>
            </w:r>
          </w:p>
          <w:p w14:paraId="07B37E4C" w14:textId="77777777" w:rsidR="008E7AC0" w:rsidRPr="00891FCC" w:rsidRDefault="008E7AC0" w:rsidP="008E7AC0">
            <w:pPr>
              <w:pStyle w:val="ListParagraph"/>
              <w:rPr>
                <w:rFonts w:ascii="Arial" w:hAnsi="Arial" w:cs="Arial"/>
                <w:bCs/>
                <w:sz w:val="24"/>
                <w:szCs w:val="24"/>
              </w:rPr>
            </w:pPr>
          </w:p>
          <w:p w14:paraId="0C00CE41" w14:textId="77777777" w:rsidR="008E7AC0" w:rsidRPr="00F436E2" w:rsidRDefault="008E7AC0" w:rsidP="008E7AC0">
            <w:pPr>
              <w:pStyle w:val="ListParagraph"/>
              <w:numPr>
                <w:ilvl w:val="0"/>
                <w:numId w:val="21"/>
              </w:numPr>
              <w:spacing w:line="360" w:lineRule="auto"/>
              <w:ind w:left="0" w:firstLine="0"/>
              <w:jc w:val="both"/>
              <w:rPr>
                <w:rFonts w:ascii="Arial" w:hAnsi="Arial" w:cs="Arial"/>
                <w:bCs/>
                <w:sz w:val="24"/>
                <w:szCs w:val="24"/>
              </w:rPr>
            </w:pPr>
            <w:r w:rsidRPr="00F436E2">
              <w:rPr>
                <w:rFonts w:ascii="Arial" w:hAnsi="Arial" w:cs="Arial"/>
                <w:bCs/>
                <w:sz w:val="24"/>
                <w:szCs w:val="24"/>
              </w:rPr>
              <w:t>Corbett J said the following</w:t>
            </w:r>
            <w:r>
              <w:rPr>
                <w:rFonts w:ascii="Arial" w:hAnsi="Arial" w:cs="Arial"/>
                <w:bCs/>
                <w:sz w:val="24"/>
                <w:szCs w:val="24"/>
              </w:rPr>
              <w:t>:</w:t>
            </w:r>
            <w:r>
              <w:rPr>
                <w:rStyle w:val="FootnoteReference"/>
                <w:rFonts w:ascii="Arial" w:hAnsi="Arial"/>
                <w:bCs/>
                <w:sz w:val="24"/>
                <w:szCs w:val="24"/>
              </w:rPr>
              <w:footnoteReference w:id="2"/>
            </w:r>
            <w:r w:rsidRPr="00F436E2">
              <w:rPr>
                <w:rFonts w:ascii="Arial" w:hAnsi="Arial" w:cs="Arial"/>
                <w:bCs/>
                <w:sz w:val="24"/>
                <w:szCs w:val="24"/>
              </w:rPr>
              <w:t xml:space="preserve"> </w:t>
            </w:r>
          </w:p>
          <w:p w14:paraId="15F54046" w14:textId="3DEFDA6D" w:rsidR="008E7AC0" w:rsidRPr="00891FCC" w:rsidRDefault="008E7AC0" w:rsidP="008E7AC0">
            <w:pPr>
              <w:spacing w:line="360" w:lineRule="auto"/>
              <w:jc w:val="both"/>
              <w:rPr>
                <w:rFonts w:ascii="Arial" w:hAnsi="Arial" w:cs="Arial"/>
                <w:bCs/>
              </w:rPr>
            </w:pPr>
            <w:r>
              <w:rPr>
                <w:rFonts w:ascii="Arial" w:hAnsi="Arial" w:cs="Arial"/>
                <w:bCs/>
                <w:sz w:val="26"/>
                <w:szCs w:val="26"/>
              </w:rPr>
              <w:lastRenderedPageBreak/>
              <w:tab/>
            </w:r>
            <w:r w:rsidRPr="00891FCC">
              <w:rPr>
                <w:rFonts w:ascii="Arial" w:hAnsi="Arial" w:cs="Arial"/>
                <w:bCs/>
              </w:rPr>
              <w:t>“In the present case the founding affidavit makes no express mention of authorization by the Company acting through its board of directors. The question of authority has been challenged in the opposing affidavit, and thus the onus is upon the applicant to show that the application has been authorised by the directors of the Company. In as much as no contrary evidence had been placed before the Court by the respondent, the “minimum of evidence” to use the words of Watermeyer J in Mall’s case will suffice.</w:t>
            </w:r>
            <w:r w:rsidR="00BA6E53">
              <w:rPr>
                <w:rFonts w:ascii="Arial" w:hAnsi="Arial" w:cs="Arial"/>
                <w:bCs/>
              </w:rPr>
              <w:t>’</w:t>
            </w:r>
          </w:p>
          <w:p w14:paraId="7CAF7ACB" w14:textId="77777777" w:rsidR="008E7AC0" w:rsidRDefault="008E7AC0" w:rsidP="008E7AC0">
            <w:pPr>
              <w:spacing w:line="480" w:lineRule="auto"/>
              <w:jc w:val="both"/>
              <w:rPr>
                <w:rFonts w:ascii="Arial" w:hAnsi="Arial" w:cs="Arial"/>
                <w:bCs/>
                <w:i/>
                <w:sz w:val="26"/>
                <w:szCs w:val="26"/>
              </w:rPr>
            </w:pPr>
          </w:p>
          <w:p w14:paraId="7306B4E1" w14:textId="77777777" w:rsidR="008E7AC0" w:rsidRPr="00891FCC" w:rsidRDefault="008E7AC0" w:rsidP="008E7AC0">
            <w:pPr>
              <w:pStyle w:val="ListParagraph"/>
              <w:numPr>
                <w:ilvl w:val="0"/>
                <w:numId w:val="21"/>
              </w:numPr>
              <w:spacing w:line="360" w:lineRule="auto"/>
              <w:ind w:left="0" w:firstLine="0"/>
              <w:jc w:val="both"/>
              <w:rPr>
                <w:rFonts w:ascii="Arial" w:hAnsi="Arial" w:cs="Arial"/>
                <w:bCs/>
                <w:sz w:val="24"/>
                <w:szCs w:val="24"/>
              </w:rPr>
            </w:pPr>
            <w:r w:rsidRPr="00891FCC">
              <w:rPr>
                <w:rFonts w:ascii="Arial" w:hAnsi="Arial" w:cs="Arial"/>
                <w:bCs/>
                <w:sz w:val="24"/>
                <w:szCs w:val="24"/>
              </w:rPr>
              <w:t xml:space="preserve">The </w:t>
            </w:r>
            <w:r>
              <w:rPr>
                <w:rFonts w:ascii="Arial" w:hAnsi="Arial" w:cs="Arial"/>
                <w:bCs/>
                <w:sz w:val="24"/>
                <w:szCs w:val="24"/>
              </w:rPr>
              <w:t>Chief Justice</w:t>
            </w:r>
            <w:r w:rsidRPr="00891FCC">
              <w:rPr>
                <w:rFonts w:ascii="Arial" w:hAnsi="Arial" w:cs="Arial"/>
                <w:bCs/>
                <w:sz w:val="24"/>
                <w:szCs w:val="24"/>
              </w:rPr>
              <w:t xml:space="preserve"> went on to raise some unanswered questions to come to a conclusion that the proceedings by the applicant were not authorised:</w:t>
            </w:r>
            <w:r>
              <w:rPr>
                <w:rStyle w:val="FootnoteReference"/>
                <w:rFonts w:ascii="Arial" w:hAnsi="Arial"/>
                <w:bCs/>
                <w:sz w:val="24"/>
                <w:szCs w:val="24"/>
              </w:rPr>
              <w:footnoteReference w:id="3"/>
            </w:r>
          </w:p>
          <w:p w14:paraId="635614BF" w14:textId="77777777" w:rsidR="008E7AC0" w:rsidRDefault="008E7AC0" w:rsidP="008E7AC0">
            <w:pPr>
              <w:spacing w:line="360" w:lineRule="auto"/>
              <w:jc w:val="both"/>
              <w:rPr>
                <w:rFonts w:ascii="Arial" w:hAnsi="Arial" w:cs="Arial"/>
                <w:bCs/>
                <w:sz w:val="26"/>
                <w:szCs w:val="26"/>
              </w:rPr>
            </w:pPr>
          </w:p>
          <w:p w14:paraId="7866CAB6" w14:textId="69BE8377" w:rsidR="008E7AC0" w:rsidRPr="00891FCC" w:rsidRDefault="00BA6E53" w:rsidP="008E7AC0">
            <w:pPr>
              <w:spacing w:line="360" w:lineRule="auto"/>
              <w:ind w:firstLine="720"/>
              <w:jc w:val="both"/>
              <w:rPr>
                <w:rFonts w:ascii="Arial" w:hAnsi="Arial" w:cs="Arial"/>
                <w:bCs/>
              </w:rPr>
            </w:pPr>
            <w:r>
              <w:rPr>
                <w:rFonts w:ascii="Arial" w:hAnsi="Arial" w:cs="Arial"/>
                <w:bCs/>
              </w:rPr>
              <w:t>‘</w:t>
            </w:r>
            <w:r w:rsidR="008E7AC0" w:rsidRPr="00891FCC">
              <w:rPr>
                <w:rFonts w:ascii="Arial" w:hAnsi="Arial" w:cs="Arial"/>
                <w:bCs/>
              </w:rPr>
              <w:t>If, as seems possible, no formal resolution of the board of directors was taken, then in what way was this application authorised?</w:t>
            </w:r>
            <w:r w:rsidR="008E7AC0">
              <w:rPr>
                <w:rFonts w:ascii="Arial" w:hAnsi="Arial" w:cs="Arial"/>
                <w:bCs/>
              </w:rPr>
              <w:t xml:space="preserve"> </w:t>
            </w:r>
            <w:r w:rsidR="008E7AC0" w:rsidRPr="00891FCC">
              <w:rPr>
                <w:rFonts w:ascii="Arial" w:hAnsi="Arial" w:cs="Arial"/>
                <w:bCs/>
              </w:rPr>
              <w:t>And, if the board did purport to authorize the application in some manner other than by formal resolution, was such manner of authorization in accordance with the constitution of the applicant?</w:t>
            </w:r>
            <w:r>
              <w:rPr>
                <w:rFonts w:ascii="Arial" w:hAnsi="Arial" w:cs="Arial"/>
                <w:bCs/>
              </w:rPr>
              <w:t>’</w:t>
            </w:r>
            <w:r w:rsidR="008E7AC0" w:rsidRPr="00891FCC">
              <w:rPr>
                <w:rFonts w:ascii="Arial" w:hAnsi="Arial" w:cs="Arial"/>
                <w:bCs/>
              </w:rPr>
              <w:t xml:space="preserve"> </w:t>
            </w:r>
          </w:p>
          <w:p w14:paraId="1A7B9477" w14:textId="77777777" w:rsidR="008E7AC0" w:rsidRDefault="008E7AC0" w:rsidP="008E7AC0">
            <w:pPr>
              <w:spacing w:line="480" w:lineRule="auto"/>
              <w:jc w:val="both"/>
              <w:rPr>
                <w:rFonts w:ascii="Arial" w:hAnsi="Arial" w:cs="Arial"/>
                <w:bCs/>
                <w:sz w:val="26"/>
                <w:szCs w:val="26"/>
              </w:rPr>
            </w:pPr>
          </w:p>
          <w:p w14:paraId="11FB65E3" w14:textId="3C06028B" w:rsidR="008E7AC0" w:rsidRDefault="008E7AC0" w:rsidP="008E7AC0">
            <w:pPr>
              <w:pStyle w:val="ListParagraph"/>
              <w:numPr>
                <w:ilvl w:val="0"/>
                <w:numId w:val="21"/>
              </w:numPr>
              <w:spacing w:line="360" w:lineRule="auto"/>
              <w:ind w:left="0" w:firstLine="0"/>
              <w:jc w:val="both"/>
              <w:rPr>
                <w:rFonts w:ascii="Arial" w:hAnsi="Arial" w:cs="Arial"/>
                <w:bCs/>
                <w:sz w:val="24"/>
                <w:szCs w:val="24"/>
              </w:rPr>
            </w:pPr>
            <w:r w:rsidRPr="00891FCC">
              <w:rPr>
                <w:rFonts w:ascii="Arial" w:hAnsi="Arial" w:cs="Arial"/>
                <w:bCs/>
                <w:sz w:val="24"/>
                <w:szCs w:val="24"/>
              </w:rPr>
              <w:t xml:space="preserve">The </w:t>
            </w:r>
            <w:r>
              <w:rPr>
                <w:rFonts w:ascii="Arial" w:hAnsi="Arial" w:cs="Arial"/>
                <w:bCs/>
                <w:sz w:val="24"/>
                <w:szCs w:val="24"/>
              </w:rPr>
              <w:t>learned</w:t>
            </w:r>
            <w:r w:rsidRPr="00891FCC">
              <w:rPr>
                <w:rFonts w:ascii="Arial" w:hAnsi="Arial" w:cs="Arial"/>
                <w:bCs/>
                <w:sz w:val="24"/>
                <w:szCs w:val="24"/>
              </w:rPr>
              <w:t xml:space="preserve"> Judge concluded that to simply aver that directors have authorised an application amounts to an assertion of a legal conclusion rather than a factual allegation.</w:t>
            </w:r>
            <w:r>
              <w:rPr>
                <w:rFonts w:ascii="Arial" w:hAnsi="Arial" w:cs="Arial"/>
                <w:bCs/>
                <w:sz w:val="24"/>
                <w:szCs w:val="24"/>
              </w:rPr>
              <w:t xml:space="preserve"> The court proceeded to refer to </w:t>
            </w:r>
            <w:r w:rsidRPr="00891FCC">
              <w:rPr>
                <w:rFonts w:ascii="Arial" w:hAnsi="Arial" w:cs="Arial"/>
                <w:bCs/>
                <w:i/>
                <w:sz w:val="24"/>
                <w:szCs w:val="24"/>
              </w:rPr>
              <w:t>Mall (Cape) (Pty) Ltd v Merino Ko-operative Bpk</w:t>
            </w:r>
            <w:r>
              <w:rPr>
                <w:rFonts w:ascii="Arial" w:hAnsi="Arial" w:cs="Arial"/>
                <w:bCs/>
                <w:sz w:val="24"/>
                <w:szCs w:val="24"/>
              </w:rPr>
              <w:t>,</w:t>
            </w:r>
            <w:r>
              <w:rPr>
                <w:rStyle w:val="FootnoteReference"/>
                <w:rFonts w:ascii="Arial" w:hAnsi="Arial" w:cs="Arial"/>
                <w:bCs/>
                <w:sz w:val="26"/>
                <w:szCs w:val="26"/>
              </w:rPr>
              <w:footnoteReference w:id="4"/>
            </w:r>
            <w:r>
              <w:rPr>
                <w:rFonts w:ascii="Arial" w:hAnsi="Arial" w:cs="Arial"/>
                <w:bCs/>
                <w:sz w:val="24"/>
                <w:szCs w:val="24"/>
              </w:rPr>
              <w:t xml:space="preserve"> wherein the question as </w:t>
            </w:r>
            <w:r w:rsidR="00BA6E53">
              <w:rPr>
                <w:rFonts w:ascii="Arial" w:hAnsi="Arial" w:cs="Arial"/>
                <w:bCs/>
                <w:sz w:val="24"/>
                <w:szCs w:val="24"/>
              </w:rPr>
              <w:t xml:space="preserve">to </w:t>
            </w:r>
            <w:r>
              <w:rPr>
                <w:rFonts w:ascii="Arial" w:hAnsi="Arial" w:cs="Arial"/>
                <w:bCs/>
                <w:sz w:val="24"/>
                <w:szCs w:val="24"/>
              </w:rPr>
              <w:t>authority to institute legal proceedings on behalf of an artificial person such as a company was considered by Watermeyer J, who stated as follows:</w:t>
            </w:r>
          </w:p>
          <w:p w14:paraId="748061F8" w14:textId="77777777" w:rsidR="008E7AC0" w:rsidRPr="00891FCC" w:rsidRDefault="008E7AC0" w:rsidP="008E7AC0">
            <w:pPr>
              <w:pStyle w:val="ListParagraph"/>
              <w:spacing w:line="360" w:lineRule="auto"/>
              <w:ind w:left="0"/>
              <w:jc w:val="both"/>
              <w:rPr>
                <w:rFonts w:ascii="Arial" w:hAnsi="Arial" w:cs="Arial"/>
                <w:bCs/>
                <w:sz w:val="24"/>
                <w:szCs w:val="24"/>
              </w:rPr>
            </w:pPr>
          </w:p>
          <w:p w14:paraId="7C3B633F" w14:textId="77777777" w:rsidR="008E7AC0" w:rsidRPr="00891FCC" w:rsidRDefault="008E7AC0" w:rsidP="008E7AC0">
            <w:pPr>
              <w:spacing w:line="360" w:lineRule="auto"/>
              <w:ind w:firstLine="720"/>
              <w:jc w:val="both"/>
              <w:rPr>
                <w:rFonts w:ascii="Arial" w:hAnsi="Arial" w:cs="Arial"/>
                <w:bCs/>
              </w:rPr>
            </w:pPr>
            <w:r w:rsidRPr="00891FCC">
              <w:rPr>
                <w:rFonts w:ascii="Arial" w:hAnsi="Arial" w:cs="Arial"/>
                <w:bCs/>
              </w:rPr>
              <w:t xml:space="preserve">“I proceed now to consider the case of an artificial person, like a company or co-operative society. In such a case there is judicial precedent for holding that objection may be taken if there is nothing before Court to show that the applicant has duly authorised the institution of notice of motion proceedings. (see for example </w:t>
            </w:r>
            <w:r w:rsidRPr="000A1EA1">
              <w:rPr>
                <w:rFonts w:ascii="Arial" w:hAnsi="Arial" w:cs="Arial"/>
                <w:bCs/>
                <w:i/>
              </w:rPr>
              <w:t>Royal Worcester Corset Co. v Kesler’s Stores</w:t>
            </w:r>
            <w:r w:rsidRPr="00891FCC">
              <w:rPr>
                <w:rFonts w:ascii="Arial" w:hAnsi="Arial" w:cs="Arial"/>
                <w:bCs/>
              </w:rPr>
              <w:t xml:space="preserve">, 1927 C.P.D. 143; </w:t>
            </w:r>
            <w:r w:rsidRPr="000A1EA1">
              <w:rPr>
                <w:rFonts w:ascii="Arial" w:hAnsi="Arial" w:cs="Arial"/>
                <w:bCs/>
                <w:i/>
              </w:rPr>
              <w:t>Langeberg Ko-operasie Beperk v Folscher and Another</w:t>
            </w:r>
            <w:r w:rsidRPr="00891FCC">
              <w:rPr>
                <w:rFonts w:ascii="Arial" w:hAnsi="Arial" w:cs="Arial"/>
                <w:bCs/>
              </w:rPr>
              <w:t xml:space="preserve">, 1950 (2) S.A. 618 (C)). Unlike an individual, an artificial person can only function through its agents and it can only take decisions by the passing of resolution in the manner provided by its constitution. An attorney instructed to commence notice of motion proceedings by, say, the secretary or general manager of a company would not necessarily know whether the company had resolved to do so, nor whether the necessary formalities had been complied with in regard to the passing of the resolution. It seems to me, therefore, that in the case of an artificial person there is more room for mistakes to occur and less reason to presume that it is properly before the Court or that proceedings which purport to be brought in its name have in fact been authorised by it. There is a considerable amount of authority for the proposition that, where a company commences proceedings by way of petition, it must appear that the person who makes the petition on behalf of the company is duly authorised by the company </w:t>
            </w:r>
            <w:r w:rsidRPr="00891FCC">
              <w:rPr>
                <w:rFonts w:ascii="Arial" w:hAnsi="Arial" w:cs="Arial"/>
                <w:bCs/>
              </w:rPr>
              <w:lastRenderedPageBreak/>
              <w:t xml:space="preserve">to do so (see for example </w:t>
            </w:r>
            <w:r w:rsidRPr="00891FCC">
              <w:rPr>
                <w:rFonts w:ascii="Arial" w:hAnsi="Arial" w:cs="Arial"/>
                <w:bCs/>
                <w:i/>
              </w:rPr>
              <w:t>Lurie Brothers Ltd v Archache</w:t>
            </w:r>
            <w:r w:rsidRPr="00891FCC">
              <w:rPr>
                <w:rFonts w:ascii="Arial" w:hAnsi="Arial" w:cs="Arial"/>
                <w:bCs/>
              </w:rPr>
              <w:t xml:space="preserve">, 1927 N.P.D 139, and the other cases mentioned in Herbstein and van Winsen, Civil Practice of the Superior Courts in South Africa, at pp. 37, 38). This seems to me to be a salutary rule and one which should apply also to notice of motion proceedings where the applicant is an artificial person. In such cases some evidence should be placed before the Court to show that the applicant has duly resolved to institute the proceedings and that the proceedings are instituted at its instance. Unlike the case of an individual, the mere signature of the notice of motion by an attorney and the fact that the proceedings purport to be evidence that the proceedings have been properly authorised would be provided by an affidavit made by an official of the company annexing a copy of the resolution but I do not consider that form of proof is necessary in every case. Each case must be considered on its own merits and the Court must decide whether enough has been placed before it to warrant the conclusion that it is the applicant which is litigating and not some unauthorized person on its behalf. Where, as in the present case, the respondent has offered no evidence at all to suggest that the applicant is not properly before Court, then I consider that a minimum evidence will be required from the applicant (cf. </w:t>
            </w:r>
            <w:r w:rsidRPr="00891FCC">
              <w:rPr>
                <w:rFonts w:ascii="Arial" w:hAnsi="Arial" w:cs="Arial"/>
                <w:bCs/>
                <w:i/>
              </w:rPr>
              <w:t>Parons v Barkly East Municipality</w:t>
            </w:r>
            <w:r w:rsidRPr="00891FCC">
              <w:rPr>
                <w:rFonts w:ascii="Arial" w:hAnsi="Arial" w:cs="Arial"/>
                <w:bCs/>
              </w:rPr>
              <w:t xml:space="preserve">, supra; </w:t>
            </w:r>
            <w:r w:rsidRPr="00891FCC">
              <w:rPr>
                <w:rFonts w:ascii="Arial" w:hAnsi="Arial" w:cs="Arial"/>
                <w:bCs/>
                <w:i/>
              </w:rPr>
              <w:t>Thelma Court Flats (Pty) v McSwigin</w:t>
            </w:r>
            <w:r w:rsidRPr="00891FCC">
              <w:rPr>
                <w:rFonts w:ascii="Arial" w:hAnsi="Arial" w:cs="Arial"/>
                <w:bCs/>
              </w:rPr>
              <w:t>, 1954 (3) S.A 457 (C)).”</w:t>
            </w:r>
          </w:p>
          <w:p w14:paraId="0D5B6758" w14:textId="77777777" w:rsidR="008E7AC0" w:rsidRDefault="008E7AC0" w:rsidP="008E7AC0">
            <w:pPr>
              <w:spacing w:line="480" w:lineRule="auto"/>
              <w:jc w:val="both"/>
              <w:rPr>
                <w:rFonts w:ascii="Arial" w:hAnsi="Arial" w:cs="Arial"/>
                <w:bCs/>
                <w:sz w:val="26"/>
                <w:szCs w:val="26"/>
              </w:rPr>
            </w:pPr>
          </w:p>
          <w:p w14:paraId="06984D66" w14:textId="77777777" w:rsidR="008E7AC0" w:rsidRPr="000A1EA1" w:rsidRDefault="008E7AC0" w:rsidP="008E7AC0">
            <w:pPr>
              <w:pStyle w:val="ListParagraph"/>
              <w:numPr>
                <w:ilvl w:val="0"/>
                <w:numId w:val="21"/>
              </w:numPr>
              <w:spacing w:line="360" w:lineRule="auto"/>
              <w:ind w:left="0" w:firstLine="0"/>
              <w:jc w:val="both"/>
              <w:rPr>
                <w:rFonts w:ascii="Arial" w:hAnsi="Arial" w:cs="Arial"/>
                <w:bCs/>
                <w:sz w:val="24"/>
                <w:szCs w:val="24"/>
              </w:rPr>
            </w:pPr>
            <w:r w:rsidRPr="000A1EA1">
              <w:rPr>
                <w:rFonts w:ascii="Arial" w:hAnsi="Arial" w:cs="Arial"/>
                <w:bCs/>
                <w:sz w:val="24"/>
                <w:szCs w:val="24"/>
              </w:rPr>
              <w:t xml:space="preserve">The decision in </w:t>
            </w:r>
            <w:r w:rsidRPr="00891FCC">
              <w:rPr>
                <w:rFonts w:ascii="Arial" w:hAnsi="Arial" w:cs="Arial"/>
                <w:bCs/>
                <w:i/>
                <w:sz w:val="24"/>
                <w:szCs w:val="24"/>
              </w:rPr>
              <w:t>Mall (Cape) (Pty) Ltd</w:t>
            </w:r>
            <w:r w:rsidRPr="000A1EA1">
              <w:rPr>
                <w:rFonts w:ascii="Arial" w:hAnsi="Arial" w:cs="Arial"/>
                <w:bCs/>
                <w:sz w:val="24"/>
                <w:szCs w:val="24"/>
              </w:rPr>
              <w:t xml:space="preserve"> was referred to with approval by Ogilv</w:t>
            </w:r>
            <w:r>
              <w:rPr>
                <w:rFonts w:ascii="Arial" w:hAnsi="Arial" w:cs="Arial"/>
                <w:bCs/>
                <w:sz w:val="24"/>
                <w:szCs w:val="24"/>
              </w:rPr>
              <w:t>i</w:t>
            </w:r>
            <w:r w:rsidRPr="000A1EA1">
              <w:rPr>
                <w:rFonts w:ascii="Arial" w:hAnsi="Arial" w:cs="Arial"/>
                <w:bCs/>
                <w:sz w:val="24"/>
                <w:szCs w:val="24"/>
              </w:rPr>
              <w:t xml:space="preserve">e Thompson JA in </w:t>
            </w:r>
            <w:r w:rsidRPr="000624B6">
              <w:rPr>
                <w:rFonts w:ascii="Arial" w:hAnsi="Arial" w:cs="Arial"/>
                <w:bCs/>
                <w:i/>
                <w:sz w:val="24"/>
                <w:szCs w:val="24"/>
              </w:rPr>
              <w:t>Pretoria City Council v Meerlust Investments Ltd</w:t>
            </w:r>
            <w:r>
              <w:rPr>
                <w:rFonts w:ascii="Arial" w:hAnsi="Arial" w:cs="Arial"/>
                <w:bCs/>
                <w:i/>
                <w:sz w:val="24"/>
                <w:szCs w:val="24"/>
              </w:rPr>
              <w:t>,</w:t>
            </w:r>
            <w:r w:rsidRPr="000A1EA1">
              <w:rPr>
                <w:rStyle w:val="FootnoteReference"/>
                <w:rFonts w:ascii="Arial" w:hAnsi="Arial" w:cs="Arial"/>
                <w:b/>
                <w:bCs/>
                <w:sz w:val="24"/>
                <w:szCs w:val="24"/>
              </w:rPr>
              <w:footnoteReference w:id="5"/>
            </w:r>
            <w:r w:rsidRPr="000A1EA1">
              <w:rPr>
                <w:rFonts w:ascii="Arial" w:hAnsi="Arial" w:cs="Arial"/>
                <w:bCs/>
                <w:sz w:val="24"/>
                <w:szCs w:val="24"/>
              </w:rPr>
              <w:t xml:space="preserve"> where the</w:t>
            </w:r>
            <w:r>
              <w:rPr>
                <w:rFonts w:ascii="Arial" w:hAnsi="Arial" w:cs="Arial"/>
                <w:bCs/>
                <w:sz w:val="24"/>
                <w:szCs w:val="24"/>
              </w:rPr>
              <w:t xml:space="preserve"> learned Judge of Appeal stated as follows</w:t>
            </w:r>
            <w:r w:rsidRPr="000A1EA1">
              <w:rPr>
                <w:rFonts w:ascii="Arial" w:hAnsi="Arial" w:cs="Arial"/>
                <w:bCs/>
                <w:sz w:val="24"/>
                <w:szCs w:val="24"/>
              </w:rPr>
              <w:t>:</w:t>
            </w:r>
          </w:p>
          <w:p w14:paraId="1BDDFEE6" w14:textId="77777777" w:rsidR="008E7AC0" w:rsidRPr="000624B6" w:rsidRDefault="008E7AC0" w:rsidP="008E7AC0">
            <w:pPr>
              <w:spacing w:line="360" w:lineRule="auto"/>
              <w:jc w:val="both"/>
              <w:rPr>
                <w:rFonts w:ascii="Arial" w:hAnsi="Arial" w:cs="Arial"/>
                <w:bCs/>
                <w:sz w:val="26"/>
                <w:szCs w:val="26"/>
              </w:rPr>
            </w:pPr>
            <w:r>
              <w:rPr>
                <w:rFonts w:ascii="Arial" w:hAnsi="Arial" w:cs="Arial"/>
                <w:bCs/>
                <w:sz w:val="26"/>
                <w:szCs w:val="26"/>
              </w:rPr>
              <w:tab/>
            </w:r>
          </w:p>
          <w:p w14:paraId="2E8883EA" w14:textId="77777777" w:rsidR="008E7AC0" w:rsidRDefault="008E7AC0" w:rsidP="008E7AC0">
            <w:pPr>
              <w:spacing w:line="360" w:lineRule="auto"/>
              <w:ind w:firstLine="720"/>
              <w:jc w:val="both"/>
              <w:rPr>
                <w:rFonts w:ascii="Arial" w:hAnsi="Arial" w:cs="Arial"/>
                <w:bCs/>
                <w:sz w:val="26"/>
                <w:szCs w:val="26"/>
              </w:rPr>
            </w:pPr>
            <w:r w:rsidRPr="000624B6">
              <w:rPr>
                <w:rFonts w:ascii="Arial" w:hAnsi="Arial" w:cs="Arial"/>
                <w:bCs/>
              </w:rPr>
              <w:t>'The question of authority having been raised</w:t>
            </w:r>
            <w:r w:rsidRPr="00074CD9">
              <w:rPr>
                <w:rFonts w:ascii="Arial" w:hAnsi="Arial" w:cs="Arial"/>
                <w:bCs/>
                <w:u w:val="single"/>
              </w:rPr>
              <w:t>, the onus is on the petitioner to show that the prosecution of the appeal in this Court has been duly authorised by the Council; that it is the Council which is prosecuting the appeal, and not some unauthorised person on its behalf</w:t>
            </w:r>
            <w:r w:rsidRPr="000624B6">
              <w:rPr>
                <w:rFonts w:ascii="Arial" w:hAnsi="Arial" w:cs="Arial"/>
                <w:bCs/>
              </w:rPr>
              <w:t xml:space="preserve"> (cf. </w:t>
            </w:r>
            <w:r w:rsidRPr="000624B6">
              <w:rPr>
                <w:rFonts w:ascii="Arial" w:hAnsi="Arial" w:cs="Arial"/>
                <w:bCs/>
                <w:i/>
              </w:rPr>
              <w:t>Mall (Cape) (Pty.) Ltd. v Merino Ko-operasie Bpk</w:t>
            </w:r>
            <w:r w:rsidRPr="000624B6">
              <w:rPr>
                <w:rFonts w:ascii="Arial" w:hAnsi="Arial" w:cs="Arial"/>
                <w:bCs/>
              </w:rPr>
              <w:t xml:space="preserve">., 1957 (2) SA 347 (C) at pp. 351 - 2). </w:t>
            </w:r>
            <w:r w:rsidRPr="00074CD9">
              <w:rPr>
                <w:rFonts w:ascii="Arial" w:hAnsi="Arial" w:cs="Arial"/>
                <w:bCs/>
                <w:u w:val="single"/>
              </w:rPr>
              <w:t>As was pointed out in that case, since an artificial person, unlike an individual, can only function through its agents, and can only take decisions by the passing of resolutions in the manner prescribed by its constitution, less reason exists to assume, from the mere fact that proceedings have been brought in its name, that those proceedings have in fact been authorised by the artificial person concerned.</w:t>
            </w:r>
            <w:r w:rsidRPr="000624B6">
              <w:rPr>
                <w:rFonts w:ascii="Arial" w:hAnsi="Arial" w:cs="Arial"/>
                <w:bCs/>
              </w:rPr>
              <w:t xml:space="preserve"> </w:t>
            </w:r>
            <w:r w:rsidRPr="00074CD9">
              <w:rPr>
                <w:rFonts w:ascii="Arial" w:hAnsi="Arial" w:cs="Arial"/>
                <w:bCs/>
                <w:u w:val="single"/>
              </w:rPr>
              <w:t>In order to discharge the above-mentioned onus, the petitioner ought to have placed before this Court an appropriately worded resolution of the Council</w:t>
            </w:r>
            <w:r w:rsidRPr="000624B6">
              <w:rPr>
                <w:rFonts w:ascii="Arial" w:hAnsi="Arial" w:cs="Arial"/>
                <w:bCs/>
              </w:rPr>
              <w:t>.'</w:t>
            </w:r>
            <w:r>
              <w:rPr>
                <w:rFonts w:ascii="Arial" w:hAnsi="Arial" w:cs="Arial"/>
                <w:bCs/>
                <w:sz w:val="26"/>
                <w:szCs w:val="26"/>
              </w:rPr>
              <w:t xml:space="preserve"> </w:t>
            </w:r>
            <w:r w:rsidRPr="00993F59">
              <w:rPr>
                <w:rFonts w:ascii="Arial" w:hAnsi="Arial" w:cs="Arial"/>
                <w:bCs/>
              </w:rPr>
              <w:t>(my emphasis)</w:t>
            </w:r>
          </w:p>
          <w:p w14:paraId="463970FD" w14:textId="77777777" w:rsidR="008E7AC0" w:rsidRDefault="008E7AC0" w:rsidP="008E7AC0">
            <w:pPr>
              <w:spacing w:line="360" w:lineRule="auto"/>
              <w:ind w:firstLine="720"/>
              <w:jc w:val="both"/>
              <w:rPr>
                <w:rFonts w:ascii="Arial" w:hAnsi="Arial" w:cs="Arial"/>
                <w:bCs/>
                <w:sz w:val="26"/>
                <w:szCs w:val="26"/>
              </w:rPr>
            </w:pPr>
          </w:p>
          <w:p w14:paraId="24B0709B" w14:textId="18195B6F" w:rsidR="008E7AC0" w:rsidRPr="00993F59" w:rsidRDefault="008E7AC0" w:rsidP="008E7AC0">
            <w:pPr>
              <w:pStyle w:val="western"/>
              <w:numPr>
                <w:ilvl w:val="0"/>
                <w:numId w:val="21"/>
              </w:numPr>
              <w:shd w:val="clear" w:color="auto" w:fill="FFFFFF"/>
              <w:spacing w:before="0" w:beforeAutospacing="0" w:after="0" w:afterAutospacing="0" w:line="360" w:lineRule="auto"/>
              <w:ind w:left="0" w:firstLine="0"/>
              <w:jc w:val="both"/>
              <w:rPr>
                <w:rFonts w:ascii="Arial" w:hAnsi="Arial" w:cs="Arial"/>
                <w:iCs/>
                <w:color w:val="000000"/>
                <w:shd w:val="clear" w:color="auto" w:fill="FFFFFF"/>
              </w:rPr>
            </w:pPr>
            <w:r w:rsidRPr="00074CD9">
              <w:rPr>
                <w:rFonts w:ascii="Arial" w:hAnsi="Arial" w:cs="Arial"/>
                <w:bCs/>
              </w:rPr>
              <w:t xml:space="preserve">In </w:t>
            </w:r>
            <w:r>
              <w:rPr>
                <w:rFonts w:ascii="Arial" w:hAnsi="Arial" w:cs="Arial"/>
                <w:bCs/>
              </w:rPr>
              <w:t>the matter in casu,</w:t>
            </w:r>
            <w:r w:rsidRPr="00074CD9">
              <w:rPr>
                <w:rFonts w:ascii="Arial" w:hAnsi="Arial" w:cs="Arial"/>
                <w:bCs/>
              </w:rPr>
              <w:t xml:space="preserve"> the founding affidavit makes no express mention of authorisation by the company acting through its board of directors.</w:t>
            </w:r>
            <w:r>
              <w:rPr>
                <w:rFonts w:ascii="Arial" w:hAnsi="Arial" w:cs="Arial"/>
                <w:bCs/>
              </w:rPr>
              <w:t xml:space="preserve"> </w:t>
            </w:r>
            <w:r w:rsidRPr="00AD1604">
              <w:rPr>
                <w:rFonts w:ascii="Arial" w:hAnsi="Arial" w:cs="Arial"/>
                <w:bCs/>
              </w:rPr>
              <w:t xml:space="preserve">There is </w:t>
            </w:r>
            <w:r w:rsidR="00590980" w:rsidRPr="00AD1604">
              <w:rPr>
                <w:rFonts w:ascii="Arial" w:hAnsi="Arial" w:cs="Arial"/>
                <w:bCs/>
              </w:rPr>
              <w:t xml:space="preserve">merely </w:t>
            </w:r>
            <w:r w:rsidRPr="00AD1604">
              <w:rPr>
                <w:rFonts w:ascii="Arial" w:hAnsi="Arial" w:cs="Arial"/>
                <w:bCs/>
              </w:rPr>
              <w:t xml:space="preserve">a general statement that he was authorised to file the </w:t>
            </w:r>
            <w:r w:rsidR="00590980" w:rsidRPr="00AD1604">
              <w:rPr>
                <w:rFonts w:ascii="Arial" w:hAnsi="Arial" w:cs="Arial"/>
                <w:bCs/>
              </w:rPr>
              <w:t>application on behalf of the applicant</w:t>
            </w:r>
            <w:r w:rsidRPr="00AD1604">
              <w:rPr>
                <w:rFonts w:ascii="Arial" w:hAnsi="Arial" w:cs="Arial"/>
                <w:bCs/>
              </w:rPr>
              <w:t xml:space="preserve">. The question of authority has been challenged in the opposing affidavit, and thus the onus is </w:t>
            </w:r>
            <w:r w:rsidR="00590980" w:rsidRPr="00AD1604">
              <w:rPr>
                <w:rFonts w:ascii="Arial" w:hAnsi="Arial" w:cs="Arial"/>
                <w:bCs/>
              </w:rPr>
              <w:t xml:space="preserve">placed </w:t>
            </w:r>
            <w:r w:rsidRPr="00AD1604">
              <w:rPr>
                <w:rFonts w:ascii="Arial" w:hAnsi="Arial" w:cs="Arial"/>
                <w:bCs/>
              </w:rPr>
              <w:t>upon</w:t>
            </w:r>
            <w:r w:rsidRPr="00074CD9">
              <w:rPr>
                <w:rFonts w:ascii="Arial" w:hAnsi="Arial" w:cs="Arial"/>
                <w:bCs/>
              </w:rPr>
              <w:t xml:space="preserve"> the applicant to show that the application has been authorised by the directors of the </w:t>
            </w:r>
            <w:r>
              <w:rPr>
                <w:rFonts w:ascii="Arial" w:hAnsi="Arial" w:cs="Arial"/>
                <w:bCs/>
              </w:rPr>
              <w:t>applicant</w:t>
            </w:r>
            <w:r w:rsidRPr="00074CD9">
              <w:rPr>
                <w:rFonts w:ascii="Arial" w:hAnsi="Arial" w:cs="Arial"/>
                <w:bCs/>
              </w:rPr>
              <w:t>.</w:t>
            </w:r>
          </w:p>
          <w:p w14:paraId="1FDCA3DB" w14:textId="77777777" w:rsidR="008E7AC0" w:rsidRPr="00993F59" w:rsidRDefault="008E7AC0" w:rsidP="008E7AC0">
            <w:pPr>
              <w:pStyle w:val="western"/>
              <w:shd w:val="clear" w:color="auto" w:fill="FFFFFF"/>
              <w:spacing w:before="0" w:beforeAutospacing="0" w:after="0" w:afterAutospacing="0" w:line="360" w:lineRule="auto"/>
              <w:jc w:val="both"/>
              <w:rPr>
                <w:rFonts w:ascii="Arial" w:hAnsi="Arial" w:cs="Arial"/>
                <w:iCs/>
                <w:color w:val="000000"/>
                <w:shd w:val="clear" w:color="auto" w:fill="FFFFFF"/>
              </w:rPr>
            </w:pPr>
          </w:p>
          <w:p w14:paraId="6E86CF37" w14:textId="77777777" w:rsidR="008E7AC0" w:rsidRDefault="008E7AC0" w:rsidP="008E7AC0">
            <w:pPr>
              <w:pStyle w:val="western"/>
              <w:numPr>
                <w:ilvl w:val="0"/>
                <w:numId w:val="21"/>
              </w:numPr>
              <w:shd w:val="clear" w:color="auto" w:fill="FFFFFF"/>
              <w:spacing w:before="0" w:beforeAutospacing="0" w:after="0" w:afterAutospacing="0" w:line="360" w:lineRule="auto"/>
              <w:ind w:left="0" w:firstLine="0"/>
              <w:jc w:val="both"/>
              <w:rPr>
                <w:rFonts w:ascii="Arial" w:hAnsi="Arial" w:cs="Arial"/>
                <w:iCs/>
                <w:color w:val="000000"/>
                <w:shd w:val="clear" w:color="auto" w:fill="FFFFFF"/>
              </w:rPr>
            </w:pPr>
            <w:r>
              <w:rPr>
                <w:rFonts w:ascii="Arial" w:hAnsi="Arial" w:cs="Arial"/>
                <w:bCs/>
              </w:rPr>
              <w:t xml:space="preserve">In </w:t>
            </w:r>
            <w:r w:rsidRPr="00993F59">
              <w:rPr>
                <w:rFonts w:ascii="Arial" w:hAnsi="Arial" w:cs="Arial"/>
                <w:bCs/>
                <w:i/>
              </w:rPr>
              <w:t>Boabab Capital (Pty) Ltd v Shaziza Auto One (Pty) Ltd</w:t>
            </w:r>
            <w:r>
              <w:rPr>
                <w:rStyle w:val="FootnoteReference"/>
                <w:rFonts w:ascii="Arial" w:hAnsi="Arial"/>
                <w:bCs/>
                <w:i/>
              </w:rPr>
              <w:footnoteReference w:id="6"/>
            </w:r>
            <w:r>
              <w:rPr>
                <w:rFonts w:ascii="Arial" w:hAnsi="Arial" w:cs="Arial"/>
                <w:bCs/>
              </w:rPr>
              <w:t xml:space="preserve"> this court stated as follows: </w:t>
            </w:r>
          </w:p>
          <w:p w14:paraId="44C855D6" w14:textId="77777777" w:rsidR="008E7AC0" w:rsidRDefault="008E7AC0" w:rsidP="008E7AC0">
            <w:pPr>
              <w:pStyle w:val="western"/>
              <w:shd w:val="clear" w:color="auto" w:fill="FFFFFF"/>
              <w:spacing w:before="0" w:beforeAutospacing="0" w:after="0" w:afterAutospacing="0" w:line="360" w:lineRule="auto"/>
              <w:jc w:val="both"/>
              <w:rPr>
                <w:rFonts w:ascii="Arial" w:hAnsi="Arial" w:cs="Arial"/>
                <w:iCs/>
                <w:color w:val="000000"/>
                <w:shd w:val="clear" w:color="auto" w:fill="FFFFFF"/>
              </w:rPr>
            </w:pPr>
          </w:p>
          <w:p w14:paraId="5491B919" w14:textId="77777777" w:rsidR="008E7AC0" w:rsidRPr="00993F59" w:rsidRDefault="008E7AC0" w:rsidP="008E7AC0">
            <w:pPr>
              <w:pStyle w:val="western"/>
              <w:shd w:val="clear" w:color="auto" w:fill="FFFFFF"/>
              <w:spacing w:before="0" w:beforeAutospacing="0" w:after="0" w:afterAutospacing="0" w:line="360" w:lineRule="auto"/>
              <w:ind w:firstLine="720"/>
              <w:jc w:val="both"/>
              <w:rPr>
                <w:rFonts w:ascii="Arial" w:hAnsi="Arial" w:cs="Arial"/>
                <w:iCs/>
                <w:color w:val="000000"/>
                <w:sz w:val="22"/>
                <w:szCs w:val="22"/>
                <w:shd w:val="clear" w:color="auto" w:fill="FFFFFF"/>
              </w:rPr>
            </w:pPr>
            <w:r w:rsidRPr="00993F59">
              <w:rPr>
                <w:rFonts w:ascii="Arial" w:hAnsi="Arial" w:cs="Arial"/>
              </w:rPr>
              <w:t>[51]</w:t>
            </w:r>
            <w:r w:rsidRPr="00993F59">
              <w:rPr>
                <w:rFonts w:ascii="Arial" w:hAnsi="Arial" w:cs="Arial"/>
              </w:rPr>
              <w:tab/>
            </w:r>
            <w:r w:rsidRPr="00993F59">
              <w:rPr>
                <w:rFonts w:ascii="Arial" w:hAnsi="Arial" w:cs="Arial"/>
                <w:sz w:val="22"/>
                <w:szCs w:val="22"/>
              </w:rPr>
              <w:t xml:space="preserve">A distinction must be drawn between matters where authority </w:t>
            </w:r>
            <w:r w:rsidRPr="0018313B">
              <w:rPr>
                <w:rFonts w:ascii="Arial" w:hAnsi="Arial" w:cs="Arial"/>
                <w:sz w:val="22"/>
                <w:szCs w:val="22"/>
                <w:u w:val="single"/>
              </w:rPr>
              <w:t>to launch the application</w:t>
            </w:r>
            <w:r w:rsidRPr="00993F59">
              <w:rPr>
                <w:rFonts w:ascii="Arial" w:hAnsi="Arial" w:cs="Arial"/>
                <w:sz w:val="22"/>
                <w:szCs w:val="22"/>
              </w:rPr>
              <w:t xml:space="preserve"> is averred in the founding affidavit and objected to by the opposing party </w:t>
            </w:r>
            <w:r w:rsidRPr="0018313B">
              <w:rPr>
                <w:rFonts w:ascii="Arial" w:hAnsi="Arial" w:cs="Arial"/>
                <w:sz w:val="22"/>
                <w:szCs w:val="22"/>
                <w:u w:val="single"/>
              </w:rPr>
              <w:t>and those matters where absolutely no averments are made regarding authority</w:t>
            </w:r>
            <w:r w:rsidRPr="00993F59">
              <w:rPr>
                <w:rFonts w:ascii="Arial" w:hAnsi="Arial" w:cs="Arial"/>
                <w:sz w:val="22"/>
                <w:szCs w:val="22"/>
              </w:rPr>
              <w:t xml:space="preserve">. In the former instance the principles as set out in </w:t>
            </w:r>
            <w:r w:rsidRPr="00993F59">
              <w:rPr>
                <w:rFonts w:ascii="Arial" w:hAnsi="Arial" w:cs="Arial"/>
                <w:bCs/>
                <w:i/>
                <w:sz w:val="22"/>
                <w:szCs w:val="22"/>
              </w:rPr>
              <w:t>O</w:t>
            </w:r>
            <w:r w:rsidRPr="00993F59">
              <w:rPr>
                <w:rFonts w:ascii="Arial" w:hAnsi="Arial" w:cs="Arial"/>
                <w:i/>
                <w:iCs/>
                <w:color w:val="000000"/>
                <w:sz w:val="22"/>
                <w:szCs w:val="22"/>
                <w:shd w:val="clear" w:color="auto" w:fill="FFFFFF"/>
              </w:rPr>
              <w:t>tjozondjupa Regional Council v Dr Ndahafa Aino-Cecilia Nghifindaka &amp; Two Others</w:t>
            </w:r>
            <w:r w:rsidRPr="00993F59">
              <w:rPr>
                <w:rStyle w:val="FootnoteReference"/>
                <w:rFonts w:ascii="Arial" w:hAnsi="Arial" w:cs="Arial"/>
                <w:bCs/>
                <w:sz w:val="22"/>
                <w:szCs w:val="22"/>
              </w:rPr>
              <w:footnoteReference w:id="7"/>
            </w:r>
            <w:r w:rsidRPr="00993F59">
              <w:rPr>
                <w:rFonts w:ascii="Arial" w:hAnsi="Arial" w:cs="Arial"/>
                <w:i/>
                <w:iCs/>
                <w:color w:val="000000"/>
                <w:sz w:val="22"/>
                <w:szCs w:val="22"/>
                <w:shd w:val="clear" w:color="auto" w:fill="FFFFFF"/>
              </w:rPr>
              <w:t xml:space="preserve"> </w:t>
            </w:r>
            <w:r w:rsidRPr="00993F59">
              <w:rPr>
                <w:rFonts w:ascii="Arial" w:hAnsi="Arial" w:cs="Arial"/>
                <w:iCs/>
                <w:color w:val="000000"/>
                <w:sz w:val="22"/>
                <w:szCs w:val="22"/>
                <w:shd w:val="clear" w:color="auto" w:fill="FFFFFF"/>
              </w:rPr>
              <w:t>applies</w:t>
            </w:r>
            <w:r w:rsidRPr="00993F59">
              <w:rPr>
                <w:rFonts w:ascii="Arial" w:hAnsi="Arial" w:cs="Arial"/>
                <w:i/>
                <w:iCs/>
                <w:color w:val="000000"/>
                <w:sz w:val="22"/>
                <w:szCs w:val="22"/>
                <w:shd w:val="clear" w:color="auto" w:fill="FFFFFF"/>
              </w:rPr>
              <w:t xml:space="preserve">. </w:t>
            </w:r>
            <w:r w:rsidRPr="00993F59">
              <w:rPr>
                <w:rFonts w:ascii="Arial" w:hAnsi="Arial" w:cs="Arial"/>
                <w:iCs/>
                <w:color w:val="000000"/>
                <w:sz w:val="22"/>
                <w:szCs w:val="22"/>
                <w:shd w:val="clear" w:color="auto" w:fill="FFFFFF"/>
              </w:rPr>
              <w:t xml:space="preserve"> In the </w:t>
            </w:r>
            <w:r w:rsidRPr="00993F59">
              <w:rPr>
                <w:rFonts w:ascii="Arial" w:hAnsi="Arial" w:cs="Arial"/>
                <w:i/>
                <w:iCs/>
                <w:color w:val="000000"/>
                <w:sz w:val="22"/>
                <w:szCs w:val="22"/>
                <w:shd w:val="clear" w:color="auto" w:fill="FFFFFF"/>
              </w:rPr>
              <w:t>Otjozondjupa Regional Council</w:t>
            </w:r>
            <w:r w:rsidRPr="00993F59">
              <w:rPr>
                <w:rFonts w:ascii="Arial" w:hAnsi="Arial" w:cs="Arial"/>
                <w:iCs/>
                <w:color w:val="000000"/>
                <w:sz w:val="22"/>
                <w:szCs w:val="22"/>
                <w:shd w:val="clear" w:color="auto" w:fill="FFFFFF"/>
              </w:rPr>
              <w:t xml:space="preserve"> matter Muller J (as he then was) sets out the principles as follows: </w:t>
            </w:r>
          </w:p>
          <w:p w14:paraId="7576E36C" w14:textId="77777777" w:rsidR="008E7AC0" w:rsidRPr="00F83BD7" w:rsidRDefault="008E7AC0" w:rsidP="008E7AC0">
            <w:pPr>
              <w:pStyle w:val="western"/>
              <w:shd w:val="clear" w:color="auto" w:fill="FFFFFF"/>
              <w:spacing w:before="0" w:beforeAutospacing="0" w:after="0" w:afterAutospacing="0" w:line="360" w:lineRule="auto"/>
              <w:jc w:val="both"/>
              <w:rPr>
                <w:rFonts w:ascii="Arial" w:hAnsi="Arial" w:cs="Arial"/>
              </w:rPr>
            </w:pPr>
          </w:p>
          <w:p w14:paraId="6CFFA34A" w14:textId="77777777" w:rsidR="008E7AC0" w:rsidRPr="00993F59" w:rsidRDefault="008E7AC0" w:rsidP="008E7AC0">
            <w:pPr>
              <w:pStyle w:val="ListParagraph"/>
              <w:shd w:val="clear" w:color="auto" w:fill="FFFFFF"/>
              <w:spacing w:line="360" w:lineRule="auto"/>
              <w:ind w:left="0"/>
              <w:jc w:val="both"/>
              <w:rPr>
                <w:rFonts w:ascii="Arial" w:eastAsia="Times New Roman" w:hAnsi="Arial" w:cs="Arial"/>
                <w:iCs/>
                <w:color w:val="000000"/>
                <w:lang w:eastAsia="en-ZA"/>
              </w:rPr>
            </w:pPr>
            <w:r w:rsidRPr="00993F59">
              <w:rPr>
                <w:rFonts w:ascii="Arial" w:eastAsia="Times New Roman" w:hAnsi="Arial" w:cs="Arial"/>
                <w:iCs/>
                <w:color w:val="000000"/>
                <w:lang w:eastAsia="en-ZA"/>
              </w:rPr>
              <w:t xml:space="preserve">‘(a) The deponent of an affidavit on behalf of an artificial person has to state that he or she was duly authorised </w:t>
            </w:r>
            <w:r w:rsidRPr="0018313B">
              <w:rPr>
                <w:rFonts w:ascii="Arial" w:eastAsia="Times New Roman" w:hAnsi="Arial" w:cs="Arial"/>
                <w:iCs/>
                <w:color w:val="000000"/>
                <w:u w:val="single"/>
                <w:lang w:eastAsia="en-ZA"/>
              </w:rPr>
              <w:t>to bring the application</w:t>
            </w:r>
            <w:r w:rsidRPr="00993F59">
              <w:rPr>
                <w:rFonts w:ascii="Arial" w:eastAsia="Times New Roman" w:hAnsi="Arial" w:cs="Arial"/>
                <w:iCs/>
                <w:color w:val="000000"/>
                <w:lang w:eastAsia="en-ZA"/>
              </w:rPr>
              <w:t xml:space="preserve"> and this will constitute that some evidence in respect of the authorization has been placed before Court;</w:t>
            </w:r>
          </w:p>
          <w:p w14:paraId="26282DDE" w14:textId="77777777" w:rsidR="008E7AC0" w:rsidRPr="00993F59" w:rsidRDefault="008E7AC0" w:rsidP="008E7AC0">
            <w:pPr>
              <w:pStyle w:val="ListParagraph"/>
              <w:shd w:val="clear" w:color="auto" w:fill="FFFFFF"/>
              <w:spacing w:line="360" w:lineRule="auto"/>
              <w:ind w:left="0"/>
              <w:jc w:val="both"/>
              <w:rPr>
                <w:rFonts w:ascii="Arial" w:eastAsia="Times New Roman" w:hAnsi="Arial" w:cs="Arial"/>
                <w:iCs/>
                <w:color w:val="000000"/>
                <w:lang w:eastAsia="en-ZA"/>
              </w:rPr>
            </w:pPr>
            <w:r w:rsidRPr="00993F59">
              <w:rPr>
                <w:rFonts w:ascii="Arial" w:eastAsia="Times New Roman" w:hAnsi="Arial" w:cs="Arial"/>
                <w:iCs/>
                <w:color w:val="000000"/>
                <w:lang w:eastAsia="en-ZA"/>
              </w:rPr>
              <w:t xml:space="preserve">(b) If there is any objection to the authority to bring the application, </w:t>
            </w:r>
            <w:r w:rsidRPr="00DD08B5">
              <w:rPr>
                <w:rFonts w:ascii="Arial" w:eastAsia="Times New Roman" w:hAnsi="Arial" w:cs="Arial"/>
                <w:iCs/>
                <w:color w:val="000000"/>
                <w:u w:val="single"/>
                <w:lang w:eastAsia="en-ZA"/>
              </w:rPr>
              <w:t xml:space="preserve">such authorisation </w:t>
            </w:r>
            <w:r w:rsidRPr="00DD08B5">
              <w:rPr>
                <w:rFonts w:ascii="Arial" w:hAnsi="Arial" w:cs="Arial"/>
                <w:u w:val="single"/>
              </w:rPr>
              <w:t>can be provided in the replying affidavit</w:t>
            </w:r>
            <w:r w:rsidRPr="00993F59">
              <w:rPr>
                <w:rFonts w:ascii="Arial" w:hAnsi="Arial" w:cs="Arial"/>
              </w:rPr>
              <w:t>;</w:t>
            </w:r>
          </w:p>
          <w:p w14:paraId="6E746B59" w14:textId="77777777" w:rsidR="008E7AC0" w:rsidRPr="00993F59" w:rsidRDefault="008E7AC0" w:rsidP="008E7AC0">
            <w:pPr>
              <w:pStyle w:val="ListParagraph"/>
              <w:shd w:val="clear" w:color="auto" w:fill="FFFFFF"/>
              <w:spacing w:line="360" w:lineRule="auto"/>
              <w:ind w:left="0"/>
              <w:jc w:val="both"/>
              <w:rPr>
                <w:rFonts w:ascii="Arial" w:eastAsia="Times New Roman" w:hAnsi="Arial" w:cs="Arial"/>
                <w:iCs/>
                <w:color w:val="000000"/>
                <w:lang w:eastAsia="en-ZA"/>
              </w:rPr>
            </w:pPr>
            <w:r w:rsidRPr="00993F59">
              <w:rPr>
                <w:rFonts w:ascii="Arial" w:eastAsia="Times New Roman" w:hAnsi="Arial" w:cs="Arial"/>
                <w:iCs/>
                <w:color w:val="000000"/>
                <w:lang w:eastAsia="en-ZA"/>
              </w:rPr>
              <w:t xml:space="preserve">(c) </w:t>
            </w:r>
            <w:r w:rsidRPr="00993F59">
              <w:rPr>
                <w:rFonts w:ascii="Arial" w:hAnsi="Arial" w:cs="Arial"/>
              </w:rPr>
              <w:t>Even if there was no proper resolution in respect of authority, it can be taken and provided at a later stage and operates retrospectively</w:t>
            </w:r>
            <w:r w:rsidRPr="00993F59">
              <w:rPr>
                <w:rFonts w:ascii="Arial" w:eastAsia="Times New Roman" w:hAnsi="Arial" w:cs="Arial"/>
                <w:iCs/>
                <w:color w:val="000000"/>
                <w:lang w:eastAsia="en-ZA"/>
              </w:rPr>
              <w:t>;</w:t>
            </w:r>
          </w:p>
          <w:p w14:paraId="03471D09" w14:textId="77777777" w:rsidR="008E7AC0" w:rsidRPr="00993F59" w:rsidRDefault="008E7AC0" w:rsidP="008E7AC0">
            <w:pPr>
              <w:pStyle w:val="ListParagraph"/>
              <w:shd w:val="clear" w:color="auto" w:fill="FFFFFF"/>
              <w:spacing w:line="360" w:lineRule="auto"/>
              <w:ind w:left="0"/>
              <w:jc w:val="both"/>
              <w:rPr>
                <w:rFonts w:ascii="Arial" w:eastAsia="Times New Roman" w:hAnsi="Arial" w:cs="Arial"/>
                <w:iCs/>
                <w:color w:val="000000"/>
                <w:lang w:eastAsia="en-ZA"/>
              </w:rPr>
            </w:pPr>
            <w:r w:rsidRPr="00993F59">
              <w:rPr>
                <w:rFonts w:ascii="Arial" w:eastAsia="Times New Roman" w:hAnsi="Arial" w:cs="Arial"/>
                <w:iCs/>
                <w:color w:val="000000"/>
                <w:lang w:eastAsia="en-ZA"/>
              </w:rPr>
              <w:t>(d) Each case will in any event be considered in respect of its own circumstances; and</w:t>
            </w:r>
          </w:p>
          <w:p w14:paraId="5A31A4BB" w14:textId="77777777" w:rsidR="008E7AC0" w:rsidRPr="00993F59" w:rsidRDefault="008E7AC0" w:rsidP="008E7AC0">
            <w:pPr>
              <w:pStyle w:val="ListParagraph"/>
              <w:shd w:val="clear" w:color="auto" w:fill="FFFFFF"/>
              <w:spacing w:line="360" w:lineRule="auto"/>
              <w:ind w:left="0"/>
              <w:jc w:val="both"/>
              <w:rPr>
                <w:rFonts w:ascii="Arial" w:eastAsia="Times New Roman" w:hAnsi="Arial" w:cs="Arial"/>
                <w:iCs/>
                <w:color w:val="000000"/>
                <w:lang w:eastAsia="en-ZA"/>
              </w:rPr>
            </w:pPr>
            <w:r w:rsidRPr="00993F59">
              <w:rPr>
                <w:rFonts w:ascii="Arial" w:eastAsia="Times New Roman" w:hAnsi="Arial" w:cs="Arial"/>
                <w:iCs/>
                <w:color w:val="000000"/>
                <w:lang w:eastAsia="en-ZA"/>
              </w:rPr>
              <w:t>(e) It is in the discretion of the Court to decide whether enough has been placed before it to conclude that it is the applicant who is litigating and not some unauthorised person on its behalf.’</w:t>
            </w:r>
            <w:r w:rsidRPr="00651C9C">
              <w:t xml:space="preserve"> </w:t>
            </w:r>
            <w:r w:rsidRPr="0018313B">
              <w:rPr>
                <w:rFonts w:ascii="Arial" w:hAnsi="Arial" w:cs="Arial"/>
              </w:rPr>
              <w:t>(my emphasis)</w:t>
            </w:r>
          </w:p>
          <w:p w14:paraId="3D897832" w14:textId="77777777" w:rsidR="008E7AC0" w:rsidRDefault="008E7AC0" w:rsidP="008E7AC0">
            <w:pPr>
              <w:pStyle w:val="ListParagraph"/>
              <w:spacing w:line="360" w:lineRule="auto"/>
              <w:ind w:left="0"/>
              <w:jc w:val="both"/>
              <w:rPr>
                <w:rFonts w:ascii="Arial" w:hAnsi="Arial" w:cs="Arial"/>
                <w:bCs/>
                <w:sz w:val="24"/>
                <w:szCs w:val="24"/>
              </w:rPr>
            </w:pPr>
          </w:p>
          <w:p w14:paraId="5DD4F3F9" w14:textId="59F81D2D" w:rsidR="008E7AC0" w:rsidRPr="00C036F8" w:rsidRDefault="008E7AC0" w:rsidP="008E7AC0">
            <w:pPr>
              <w:pStyle w:val="ListParagraph"/>
              <w:numPr>
                <w:ilvl w:val="0"/>
                <w:numId w:val="21"/>
              </w:numPr>
              <w:spacing w:line="360" w:lineRule="auto"/>
              <w:ind w:left="0" w:firstLine="0"/>
              <w:jc w:val="both"/>
              <w:rPr>
                <w:rFonts w:ascii="Arial" w:hAnsi="Arial" w:cs="Arial"/>
                <w:bCs/>
                <w:sz w:val="24"/>
                <w:szCs w:val="24"/>
              </w:rPr>
            </w:pPr>
            <w:r>
              <w:rPr>
                <w:rFonts w:ascii="Arial" w:hAnsi="Arial" w:cs="Arial"/>
                <w:bCs/>
                <w:sz w:val="24"/>
                <w:szCs w:val="24"/>
              </w:rPr>
              <w:t>Given the challenge to Mr Jiang’s authority to file the application, one would reasonably expect</w:t>
            </w:r>
            <w:r w:rsidR="002314C3">
              <w:rPr>
                <w:rFonts w:ascii="Arial" w:hAnsi="Arial" w:cs="Arial"/>
                <w:bCs/>
                <w:sz w:val="24"/>
                <w:szCs w:val="24"/>
              </w:rPr>
              <w:t xml:space="preserve"> </w:t>
            </w:r>
            <w:r w:rsidR="002314C3" w:rsidRPr="00AD1604">
              <w:rPr>
                <w:rFonts w:ascii="Arial" w:hAnsi="Arial" w:cs="Arial"/>
                <w:bCs/>
                <w:sz w:val="24"/>
                <w:szCs w:val="24"/>
              </w:rPr>
              <w:t>that</w:t>
            </w:r>
            <w:r>
              <w:rPr>
                <w:rFonts w:ascii="Arial" w:hAnsi="Arial" w:cs="Arial"/>
                <w:bCs/>
                <w:sz w:val="24"/>
                <w:szCs w:val="24"/>
              </w:rPr>
              <w:t xml:space="preserve"> the resolution by the Board of Directors to be filed, but he could not do so as Mr </w:t>
            </w:r>
            <w:r>
              <w:rPr>
                <w:rFonts w:ascii="Arial" w:hAnsi="Arial" w:cs="Arial"/>
                <w:sz w:val="24"/>
                <w:szCs w:val="24"/>
              </w:rPr>
              <w:t xml:space="preserve">Uahengo, who is also a director, stated in no uncertain terms that there was no such authority. In fact, Mr Uahengo stated that Mr Jiang was not even the general manager of Seal Products. However, I do not intend to dwell on this issue at this stage. </w:t>
            </w:r>
          </w:p>
          <w:p w14:paraId="4DA0812E" w14:textId="77777777" w:rsidR="008E7AC0" w:rsidRPr="00C036F8" w:rsidRDefault="008E7AC0" w:rsidP="008E7AC0">
            <w:pPr>
              <w:pStyle w:val="ListParagraph"/>
              <w:spacing w:line="360" w:lineRule="auto"/>
              <w:ind w:left="0"/>
              <w:jc w:val="both"/>
              <w:rPr>
                <w:rFonts w:ascii="Arial" w:hAnsi="Arial" w:cs="Arial"/>
                <w:bCs/>
                <w:sz w:val="24"/>
                <w:szCs w:val="24"/>
              </w:rPr>
            </w:pPr>
          </w:p>
          <w:p w14:paraId="2188A6DE" w14:textId="77777777" w:rsidR="008E7AC0" w:rsidRDefault="008E7AC0" w:rsidP="008E7AC0">
            <w:pPr>
              <w:pStyle w:val="ListParagraph"/>
              <w:numPr>
                <w:ilvl w:val="0"/>
                <w:numId w:val="21"/>
              </w:numPr>
              <w:spacing w:line="360" w:lineRule="auto"/>
              <w:ind w:left="0" w:firstLine="0"/>
              <w:jc w:val="both"/>
              <w:rPr>
                <w:rFonts w:ascii="Arial" w:hAnsi="Arial" w:cs="Arial"/>
                <w:bCs/>
                <w:sz w:val="24"/>
                <w:szCs w:val="24"/>
              </w:rPr>
            </w:pPr>
            <w:r w:rsidRPr="000C304E">
              <w:rPr>
                <w:rFonts w:ascii="Arial" w:hAnsi="Arial" w:cs="Arial"/>
                <w:bCs/>
                <w:sz w:val="24"/>
                <w:szCs w:val="24"/>
              </w:rPr>
              <w:t xml:space="preserve">Mr Cheng contended that he, as the managing director, could authorise the filing of the application. However, the official BIPA CM 23 record dated 22 January 2024 does not reflect him as a shareholder in the applicant. In response to the averments </w:t>
            </w:r>
            <w:r>
              <w:rPr>
                <w:rFonts w:ascii="Arial" w:hAnsi="Arial" w:cs="Arial"/>
                <w:bCs/>
                <w:sz w:val="24"/>
                <w:szCs w:val="24"/>
              </w:rPr>
              <w:t>of Inspector</w:t>
            </w:r>
            <w:r w:rsidRPr="000C304E">
              <w:rPr>
                <w:rFonts w:ascii="Arial" w:hAnsi="Arial" w:cs="Arial"/>
                <w:bCs/>
                <w:sz w:val="24"/>
                <w:szCs w:val="24"/>
              </w:rPr>
              <w:t xml:space="preserve"> Ndikoma in this regard, the applicant, through Mr Jiang, merely denied Inspector Ndikoma’s statement that Mr Cheng is not reflected as a director of Seal Products. Mr Jiang refers to two judgments by this court stating that the court held that Mr Cheng is the majority shareholder in the applicant. The </w:t>
            </w:r>
            <w:r w:rsidRPr="000C304E">
              <w:rPr>
                <w:rFonts w:ascii="Arial" w:hAnsi="Arial" w:cs="Arial"/>
                <w:bCs/>
                <w:sz w:val="24"/>
                <w:szCs w:val="24"/>
              </w:rPr>
              <w:lastRenderedPageBreak/>
              <w:t xml:space="preserve">cases referred to are </w:t>
            </w:r>
            <w:r w:rsidRPr="000C304E">
              <w:rPr>
                <w:rFonts w:ascii="Arial" w:hAnsi="Arial" w:cs="Arial"/>
                <w:bCs/>
                <w:i/>
                <w:sz w:val="24"/>
                <w:szCs w:val="24"/>
              </w:rPr>
              <w:t>Uahengo v Seal Products (Pty) Ltd and Others</w:t>
            </w:r>
            <w:r>
              <w:rPr>
                <w:rStyle w:val="FootnoteReference"/>
                <w:rFonts w:ascii="Arial" w:hAnsi="Arial"/>
                <w:bCs/>
                <w:i/>
                <w:sz w:val="24"/>
                <w:szCs w:val="24"/>
              </w:rPr>
              <w:footnoteReference w:id="8"/>
            </w:r>
            <w:r w:rsidRPr="000C304E">
              <w:rPr>
                <w:rFonts w:ascii="Arial" w:hAnsi="Arial" w:cs="Arial"/>
                <w:bCs/>
                <w:sz w:val="24"/>
                <w:szCs w:val="24"/>
              </w:rPr>
              <w:t xml:space="preserve"> and </w:t>
            </w:r>
            <w:r w:rsidRPr="000C304E">
              <w:rPr>
                <w:rFonts w:ascii="Arial" w:hAnsi="Arial" w:cs="Arial"/>
                <w:bCs/>
                <w:i/>
                <w:sz w:val="24"/>
                <w:szCs w:val="24"/>
              </w:rPr>
              <w:t>Uahengo v Seal Products (Pty) Ltd and Others</w:t>
            </w:r>
            <w:r>
              <w:rPr>
                <w:rStyle w:val="FootnoteReference"/>
                <w:rFonts w:ascii="Arial" w:hAnsi="Arial"/>
                <w:bCs/>
                <w:i/>
                <w:sz w:val="24"/>
                <w:szCs w:val="24"/>
              </w:rPr>
              <w:footnoteReference w:id="9"/>
            </w:r>
            <w:r w:rsidRPr="000C304E">
              <w:rPr>
                <w:rFonts w:ascii="Arial" w:hAnsi="Arial" w:cs="Arial"/>
                <w:bCs/>
                <w:sz w:val="24"/>
                <w:szCs w:val="24"/>
              </w:rPr>
              <w:t xml:space="preserve">. </w:t>
            </w:r>
          </w:p>
          <w:p w14:paraId="12764E5F" w14:textId="77777777" w:rsidR="008E7AC0" w:rsidRPr="000C304E" w:rsidRDefault="008E7AC0" w:rsidP="008E7AC0">
            <w:pPr>
              <w:pStyle w:val="ListParagraph"/>
              <w:rPr>
                <w:rFonts w:ascii="Arial" w:hAnsi="Arial" w:cs="Arial"/>
                <w:bCs/>
                <w:sz w:val="24"/>
                <w:szCs w:val="24"/>
              </w:rPr>
            </w:pPr>
          </w:p>
          <w:p w14:paraId="5FA93D12" w14:textId="28360640" w:rsidR="008E7AC0" w:rsidRDefault="008E7AC0" w:rsidP="008E7AC0">
            <w:pPr>
              <w:pStyle w:val="ListParagraph"/>
              <w:numPr>
                <w:ilvl w:val="0"/>
                <w:numId w:val="21"/>
              </w:numPr>
              <w:spacing w:line="360" w:lineRule="auto"/>
              <w:ind w:left="0" w:firstLine="0"/>
              <w:jc w:val="both"/>
              <w:rPr>
                <w:rFonts w:ascii="Arial" w:hAnsi="Arial" w:cs="Arial"/>
                <w:bCs/>
                <w:sz w:val="24"/>
                <w:szCs w:val="24"/>
              </w:rPr>
            </w:pPr>
            <w:r w:rsidRPr="000C304E">
              <w:rPr>
                <w:rFonts w:ascii="Arial" w:hAnsi="Arial" w:cs="Arial"/>
                <w:bCs/>
                <w:sz w:val="24"/>
                <w:szCs w:val="24"/>
              </w:rPr>
              <w:t xml:space="preserve">I have carefully </w:t>
            </w:r>
            <w:r>
              <w:rPr>
                <w:rFonts w:ascii="Arial" w:hAnsi="Arial" w:cs="Arial"/>
                <w:bCs/>
                <w:sz w:val="24"/>
                <w:szCs w:val="24"/>
              </w:rPr>
              <w:t>scrutinised</w:t>
            </w:r>
            <w:r w:rsidRPr="000C304E">
              <w:rPr>
                <w:rFonts w:ascii="Arial" w:hAnsi="Arial" w:cs="Arial"/>
                <w:bCs/>
                <w:sz w:val="24"/>
                <w:szCs w:val="24"/>
              </w:rPr>
              <w:t xml:space="preserve"> the </w:t>
            </w:r>
            <w:r>
              <w:rPr>
                <w:rFonts w:ascii="Arial" w:hAnsi="Arial" w:cs="Arial"/>
                <w:bCs/>
                <w:sz w:val="24"/>
                <w:szCs w:val="24"/>
              </w:rPr>
              <w:t>judgments above</w:t>
            </w:r>
            <w:r w:rsidRPr="000C304E">
              <w:rPr>
                <w:rFonts w:ascii="Arial" w:hAnsi="Arial" w:cs="Arial"/>
                <w:bCs/>
                <w:sz w:val="24"/>
                <w:szCs w:val="24"/>
              </w:rPr>
              <w:t xml:space="preserve"> and could not find any reference in any of the two judgments </w:t>
            </w:r>
            <w:r>
              <w:rPr>
                <w:rFonts w:ascii="Arial" w:hAnsi="Arial" w:cs="Arial"/>
                <w:bCs/>
                <w:sz w:val="24"/>
                <w:szCs w:val="24"/>
              </w:rPr>
              <w:t>finding that Mr Cheng is</w:t>
            </w:r>
            <w:r w:rsidRPr="000C304E">
              <w:rPr>
                <w:rFonts w:ascii="Arial" w:hAnsi="Arial" w:cs="Arial"/>
                <w:bCs/>
                <w:sz w:val="24"/>
                <w:szCs w:val="24"/>
              </w:rPr>
              <w:t xml:space="preserve"> the managing director</w:t>
            </w:r>
            <w:r>
              <w:rPr>
                <w:rFonts w:ascii="Arial" w:hAnsi="Arial" w:cs="Arial"/>
                <w:bCs/>
                <w:sz w:val="24"/>
                <w:szCs w:val="24"/>
              </w:rPr>
              <w:t xml:space="preserve"> of the applicant</w:t>
            </w:r>
            <w:r w:rsidRPr="000C304E">
              <w:rPr>
                <w:rFonts w:ascii="Arial" w:hAnsi="Arial" w:cs="Arial"/>
                <w:bCs/>
                <w:sz w:val="24"/>
                <w:szCs w:val="24"/>
              </w:rPr>
              <w:t xml:space="preserve">. Both these cases essentially </w:t>
            </w:r>
            <w:r>
              <w:rPr>
                <w:rFonts w:ascii="Arial" w:hAnsi="Arial" w:cs="Arial"/>
                <w:bCs/>
                <w:sz w:val="24"/>
                <w:szCs w:val="24"/>
              </w:rPr>
              <w:t>deal</w:t>
            </w:r>
            <w:r w:rsidRPr="000C304E">
              <w:rPr>
                <w:rFonts w:ascii="Arial" w:hAnsi="Arial" w:cs="Arial"/>
                <w:bCs/>
                <w:sz w:val="24"/>
                <w:szCs w:val="24"/>
              </w:rPr>
              <w:t xml:space="preserve"> with Mr Uahengo seeking orders against the other shareholders, Messrs Celliers and Swart. In HC-MD-CIV-MOT-GEN-2021/00212</w:t>
            </w:r>
            <w:r>
              <w:rPr>
                <w:rFonts w:ascii="Arial" w:hAnsi="Arial" w:cs="Arial"/>
                <w:bCs/>
                <w:sz w:val="24"/>
                <w:szCs w:val="24"/>
              </w:rPr>
              <w:t>, he sought an order for the other shareholders to</w:t>
            </w:r>
            <w:r w:rsidRPr="000C304E">
              <w:rPr>
                <w:rFonts w:ascii="Arial" w:hAnsi="Arial" w:cs="Arial"/>
                <w:bCs/>
                <w:sz w:val="24"/>
                <w:szCs w:val="24"/>
              </w:rPr>
              <w:t xml:space="preserve"> sell </w:t>
            </w:r>
            <w:r>
              <w:rPr>
                <w:rFonts w:ascii="Arial" w:hAnsi="Arial" w:cs="Arial"/>
                <w:bCs/>
                <w:sz w:val="24"/>
                <w:szCs w:val="24"/>
              </w:rPr>
              <w:t>him their shares in Seal Products</w:t>
            </w:r>
            <w:r w:rsidRPr="000C304E">
              <w:rPr>
                <w:rFonts w:ascii="Arial" w:hAnsi="Arial" w:cs="Arial"/>
                <w:bCs/>
                <w:sz w:val="24"/>
                <w:szCs w:val="24"/>
              </w:rPr>
              <w:t>.</w:t>
            </w:r>
            <w:r w:rsidR="002314C3">
              <w:rPr>
                <w:rFonts w:ascii="Arial" w:hAnsi="Arial" w:cs="Arial"/>
                <w:bCs/>
                <w:sz w:val="24"/>
                <w:szCs w:val="24"/>
              </w:rPr>
              <w:t xml:space="preserve"> </w:t>
            </w:r>
            <w:r w:rsidR="002314C3" w:rsidRPr="00AD1604">
              <w:rPr>
                <w:rFonts w:ascii="Arial" w:hAnsi="Arial" w:cs="Arial"/>
                <w:bCs/>
                <w:sz w:val="24"/>
                <w:szCs w:val="24"/>
              </w:rPr>
              <w:t>Similarly, in</w:t>
            </w:r>
            <w:r w:rsidRPr="00AD1604">
              <w:rPr>
                <w:rFonts w:ascii="Arial" w:hAnsi="Arial" w:cs="Arial"/>
                <w:bCs/>
                <w:sz w:val="24"/>
                <w:szCs w:val="24"/>
              </w:rPr>
              <w:t xml:space="preserve"> HC</w:t>
            </w:r>
            <w:r w:rsidRPr="000C304E">
              <w:rPr>
                <w:rFonts w:ascii="Arial" w:hAnsi="Arial" w:cs="Arial"/>
                <w:bCs/>
                <w:sz w:val="24"/>
                <w:szCs w:val="24"/>
              </w:rPr>
              <w:t>-MD-CIV-MOT-GEN-2021/00442</w:t>
            </w:r>
            <w:r w:rsidRPr="00AC094C">
              <w:rPr>
                <w:rFonts w:ascii="Arial" w:hAnsi="Arial" w:cs="Arial"/>
                <w:bCs/>
                <w:sz w:val="24"/>
                <w:szCs w:val="24"/>
              </w:rPr>
              <w:t>, he again sought an order compelling the other shareholders to sell their shares in Seal Products to him.</w:t>
            </w:r>
            <w:r w:rsidRPr="000C304E">
              <w:rPr>
                <w:rFonts w:ascii="Arial" w:hAnsi="Arial" w:cs="Arial"/>
                <w:bCs/>
                <w:sz w:val="24"/>
                <w:szCs w:val="24"/>
              </w:rPr>
              <w:t xml:space="preserve">  </w:t>
            </w:r>
            <w:r>
              <w:rPr>
                <w:rFonts w:ascii="Arial" w:hAnsi="Arial" w:cs="Arial"/>
                <w:bCs/>
                <w:sz w:val="24"/>
                <w:szCs w:val="24"/>
              </w:rPr>
              <w:t xml:space="preserve">Mr Uahengo also sought an order to have a lease agreement between Seal Products and Mr Cheng </w:t>
            </w:r>
            <w:r w:rsidR="00BA6E53">
              <w:rPr>
                <w:rFonts w:ascii="Arial" w:hAnsi="Arial" w:cs="Arial"/>
                <w:bCs/>
                <w:sz w:val="24"/>
                <w:szCs w:val="24"/>
              </w:rPr>
              <w:t xml:space="preserve">set </w:t>
            </w:r>
            <w:r>
              <w:rPr>
                <w:rFonts w:ascii="Arial" w:hAnsi="Arial" w:cs="Arial"/>
                <w:bCs/>
                <w:sz w:val="24"/>
                <w:szCs w:val="24"/>
              </w:rPr>
              <w:t xml:space="preserve">aside. </w:t>
            </w:r>
          </w:p>
          <w:p w14:paraId="7A98BBF8" w14:textId="77777777" w:rsidR="008E7AC0" w:rsidRPr="000C304E" w:rsidRDefault="008E7AC0" w:rsidP="008E7AC0">
            <w:pPr>
              <w:pStyle w:val="ListParagraph"/>
              <w:rPr>
                <w:rFonts w:ascii="Arial" w:hAnsi="Arial" w:cs="Arial"/>
                <w:bCs/>
                <w:sz w:val="24"/>
                <w:szCs w:val="24"/>
              </w:rPr>
            </w:pPr>
          </w:p>
          <w:p w14:paraId="50701087" w14:textId="77777777" w:rsidR="008E7AC0" w:rsidRDefault="008E7AC0" w:rsidP="008E7AC0">
            <w:pPr>
              <w:pStyle w:val="ListParagraph"/>
              <w:numPr>
                <w:ilvl w:val="0"/>
                <w:numId w:val="21"/>
              </w:numPr>
              <w:spacing w:line="360" w:lineRule="auto"/>
              <w:ind w:left="0" w:firstLine="0"/>
              <w:jc w:val="both"/>
              <w:rPr>
                <w:rFonts w:ascii="Arial" w:hAnsi="Arial" w:cs="Arial"/>
                <w:bCs/>
                <w:sz w:val="24"/>
                <w:szCs w:val="24"/>
              </w:rPr>
            </w:pPr>
            <w:r>
              <w:rPr>
                <w:rFonts w:ascii="Arial" w:hAnsi="Arial" w:cs="Arial"/>
                <w:bCs/>
                <w:sz w:val="24"/>
                <w:szCs w:val="24"/>
              </w:rPr>
              <w:t xml:space="preserve">The state of affairs in the upper management of the applicant is unclear to this court, and there is a definite dispute of fact in this regard. What is, however, clear from the affidavits of Mr Cheng and Mr </w:t>
            </w:r>
            <w:r>
              <w:rPr>
                <w:rFonts w:ascii="Arial" w:hAnsi="Arial" w:cs="Arial"/>
                <w:sz w:val="24"/>
                <w:szCs w:val="24"/>
              </w:rPr>
              <w:t>Uahengo is</w:t>
            </w:r>
            <w:r>
              <w:rPr>
                <w:rFonts w:ascii="Arial" w:hAnsi="Arial" w:cs="Arial"/>
                <w:bCs/>
                <w:sz w:val="24"/>
                <w:szCs w:val="24"/>
              </w:rPr>
              <w:t xml:space="preserve"> that there was no board resolution concerning the current application. </w:t>
            </w:r>
          </w:p>
          <w:p w14:paraId="7636F98F" w14:textId="77777777" w:rsidR="008E7AC0" w:rsidRPr="006B0282" w:rsidRDefault="008E7AC0" w:rsidP="008E7AC0">
            <w:pPr>
              <w:pStyle w:val="ListParagraph"/>
              <w:rPr>
                <w:rFonts w:ascii="Arial" w:hAnsi="Arial" w:cs="Arial"/>
                <w:bCs/>
                <w:sz w:val="24"/>
                <w:szCs w:val="24"/>
              </w:rPr>
            </w:pPr>
          </w:p>
          <w:p w14:paraId="3610E015" w14:textId="77777777" w:rsidR="008E7AC0" w:rsidRDefault="008E7AC0" w:rsidP="008E7AC0">
            <w:pPr>
              <w:pStyle w:val="ListParagraph"/>
              <w:numPr>
                <w:ilvl w:val="0"/>
                <w:numId w:val="21"/>
              </w:numPr>
              <w:spacing w:line="360" w:lineRule="auto"/>
              <w:ind w:left="0" w:firstLine="0"/>
              <w:jc w:val="both"/>
              <w:rPr>
                <w:rFonts w:ascii="Arial" w:hAnsi="Arial" w:cs="Arial"/>
                <w:bCs/>
                <w:sz w:val="24"/>
                <w:szCs w:val="24"/>
              </w:rPr>
            </w:pPr>
            <w:r>
              <w:rPr>
                <w:rFonts w:ascii="Arial" w:hAnsi="Arial" w:cs="Arial"/>
                <w:bCs/>
                <w:sz w:val="24"/>
                <w:szCs w:val="24"/>
              </w:rPr>
              <w:t>I am of the view that the point on the issue of authority was well taken by the respondents and must be upheld. It is accordingly unnecessary for me to consider the remainder of the points in limine raised by the respondents as the point on authority is dispositive of the application.</w:t>
            </w:r>
          </w:p>
          <w:p w14:paraId="4071464B" w14:textId="77777777" w:rsidR="008E7AC0" w:rsidRPr="006403DE" w:rsidRDefault="008E7AC0" w:rsidP="008E7AC0">
            <w:pPr>
              <w:pStyle w:val="ListParagraph"/>
              <w:rPr>
                <w:rFonts w:ascii="Arial" w:hAnsi="Arial" w:cs="Arial"/>
                <w:bCs/>
                <w:sz w:val="24"/>
                <w:szCs w:val="24"/>
              </w:rPr>
            </w:pPr>
          </w:p>
          <w:p w14:paraId="54A27BB8" w14:textId="77777777" w:rsidR="008E7AC0" w:rsidRDefault="008E7AC0" w:rsidP="008E7AC0">
            <w:pPr>
              <w:pStyle w:val="ListParagraph"/>
              <w:spacing w:line="360" w:lineRule="auto"/>
              <w:ind w:left="0"/>
              <w:jc w:val="both"/>
              <w:rPr>
                <w:rFonts w:ascii="Arial" w:hAnsi="Arial" w:cs="Arial"/>
                <w:bCs/>
                <w:sz w:val="24"/>
                <w:szCs w:val="24"/>
              </w:rPr>
            </w:pPr>
            <w:r>
              <w:rPr>
                <w:rFonts w:ascii="Arial" w:hAnsi="Arial" w:cs="Arial"/>
                <w:bCs/>
                <w:sz w:val="24"/>
                <w:szCs w:val="24"/>
              </w:rPr>
              <w:t>Urgency</w:t>
            </w:r>
          </w:p>
          <w:p w14:paraId="78711ED4" w14:textId="77777777" w:rsidR="008E7AC0" w:rsidRPr="006403DE" w:rsidRDefault="008E7AC0" w:rsidP="008E7AC0">
            <w:pPr>
              <w:pStyle w:val="ListParagraph"/>
              <w:rPr>
                <w:rFonts w:ascii="Arial" w:hAnsi="Arial" w:cs="Arial"/>
                <w:bCs/>
                <w:sz w:val="24"/>
                <w:szCs w:val="24"/>
              </w:rPr>
            </w:pPr>
          </w:p>
          <w:p w14:paraId="26B894D1" w14:textId="77777777" w:rsidR="008E7AC0" w:rsidRDefault="008E7AC0" w:rsidP="008E7AC0">
            <w:pPr>
              <w:pStyle w:val="ListParagraph"/>
              <w:numPr>
                <w:ilvl w:val="0"/>
                <w:numId w:val="21"/>
              </w:numPr>
              <w:spacing w:line="360" w:lineRule="auto"/>
              <w:ind w:left="0" w:firstLine="0"/>
              <w:jc w:val="both"/>
              <w:rPr>
                <w:rFonts w:ascii="Arial" w:hAnsi="Arial" w:cs="Arial"/>
                <w:bCs/>
                <w:sz w:val="24"/>
                <w:szCs w:val="24"/>
              </w:rPr>
            </w:pPr>
            <w:r>
              <w:rPr>
                <w:rFonts w:ascii="Arial" w:hAnsi="Arial" w:cs="Arial"/>
                <w:bCs/>
                <w:sz w:val="24"/>
                <w:szCs w:val="24"/>
              </w:rPr>
              <w:t xml:space="preserve">I do not intend to deal with the issue of urgency as the matter is not properly before this court as a result of my findings above. </w:t>
            </w:r>
          </w:p>
          <w:p w14:paraId="1231DBB0" w14:textId="77777777" w:rsidR="008E7AC0" w:rsidRPr="00895A39" w:rsidRDefault="008E7AC0" w:rsidP="008E7AC0">
            <w:pPr>
              <w:pStyle w:val="ListParagraph"/>
              <w:rPr>
                <w:rFonts w:ascii="Arial" w:hAnsi="Arial" w:cs="Arial"/>
                <w:bCs/>
                <w:sz w:val="24"/>
                <w:szCs w:val="24"/>
              </w:rPr>
            </w:pPr>
          </w:p>
          <w:p w14:paraId="1DC5A689" w14:textId="77777777" w:rsidR="008E7AC0" w:rsidRPr="008E7AC0" w:rsidRDefault="008E7AC0" w:rsidP="008E7AC0">
            <w:pPr>
              <w:pStyle w:val="ListParagraph"/>
              <w:numPr>
                <w:ilvl w:val="0"/>
                <w:numId w:val="21"/>
              </w:numPr>
              <w:spacing w:line="360" w:lineRule="auto"/>
              <w:ind w:left="0" w:firstLine="0"/>
              <w:jc w:val="both"/>
              <w:rPr>
                <w:rFonts w:ascii="Arial" w:hAnsi="Arial" w:cs="Arial"/>
                <w:bCs/>
                <w:sz w:val="24"/>
                <w:szCs w:val="24"/>
              </w:rPr>
            </w:pPr>
            <w:r>
              <w:rPr>
                <w:rFonts w:ascii="Arial" w:hAnsi="Arial" w:cs="Arial"/>
                <w:bCs/>
                <w:sz w:val="24"/>
                <w:szCs w:val="24"/>
              </w:rPr>
              <w:t>My order is as set out above.</w:t>
            </w:r>
          </w:p>
          <w:p w14:paraId="4292A711" w14:textId="77777777" w:rsidR="00C04F28" w:rsidRPr="00CA7995" w:rsidRDefault="00C04F28" w:rsidP="00D60924">
            <w:pPr>
              <w:pStyle w:val="BodyText"/>
            </w:pPr>
          </w:p>
        </w:tc>
      </w:tr>
      <w:tr w:rsidR="00CA7995" w:rsidRPr="00CA7995" w14:paraId="6C9D88FD" w14:textId="77777777" w:rsidTr="0000513F">
        <w:tc>
          <w:tcPr>
            <w:tcW w:w="5232" w:type="dxa"/>
          </w:tcPr>
          <w:p w14:paraId="5CAF72D2" w14:textId="77777777"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244" w:type="dxa"/>
            <w:gridSpan w:val="2"/>
          </w:tcPr>
          <w:p w14:paraId="51D4D288" w14:textId="77777777"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14:paraId="28576074" w14:textId="77777777" w:rsidTr="0000513F">
        <w:trPr>
          <w:trHeight w:val="1114"/>
        </w:trPr>
        <w:tc>
          <w:tcPr>
            <w:tcW w:w="5232" w:type="dxa"/>
          </w:tcPr>
          <w:p w14:paraId="729D4D17" w14:textId="77777777" w:rsidR="0000513F" w:rsidRPr="00CA7995" w:rsidRDefault="0000513F" w:rsidP="00937C89">
            <w:pPr>
              <w:spacing w:line="360" w:lineRule="auto"/>
              <w:jc w:val="both"/>
              <w:rPr>
                <w:rFonts w:ascii="Arial" w:hAnsi="Arial" w:cs="Arial"/>
                <w:sz w:val="24"/>
                <w:szCs w:val="24"/>
              </w:rPr>
            </w:pPr>
          </w:p>
          <w:p w14:paraId="17A35CE0" w14:textId="77777777" w:rsidR="00B40844" w:rsidRPr="00CA7995" w:rsidRDefault="00B40844" w:rsidP="00937C89">
            <w:pPr>
              <w:spacing w:line="360" w:lineRule="auto"/>
              <w:jc w:val="both"/>
              <w:rPr>
                <w:rFonts w:ascii="Arial" w:hAnsi="Arial" w:cs="Arial"/>
                <w:sz w:val="24"/>
                <w:szCs w:val="24"/>
              </w:rPr>
            </w:pPr>
          </w:p>
        </w:tc>
        <w:tc>
          <w:tcPr>
            <w:tcW w:w="5244" w:type="dxa"/>
            <w:gridSpan w:val="2"/>
          </w:tcPr>
          <w:p w14:paraId="712EB80B" w14:textId="77777777"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14:paraId="21B7FDE2" w14:textId="77777777" w:rsidTr="0000513F">
        <w:tc>
          <w:tcPr>
            <w:tcW w:w="5232" w:type="dxa"/>
          </w:tcPr>
          <w:p w14:paraId="3B1C0FB1" w14:textId="77777777" w:rsidR="00B40844" w:rsidRPr="00E41B11" w:rsidRDefault="00B207A1" w:rsidP="00937C89">
            <w:pPr>
              <w:spacing w:line="360" w:lineRule="auto"/>
              <w:jc w:val="center"/>
              <w:rPr>
                <w:rFonts w:ascii="Arial" w:hAnsi="Arial" w:cs="Arial"/>
                <w:b/>
                <w:sz w:val="24"/>
                <w:szCs w:val="24"/>
              </w:rPr>
            </w:pPr>
            <w:r w:rsidRPr="00E41B11">
              <w:rPr>
                <w:rFonts w:ascii="Arial" w:hAnsi="Arial" w:cs="Arial"/>
                <w:b/>
                <w:sz w:val="24"/>
                <w:szCs w:val="24"/>
              </w:rPr>
              <w:t>Applicant</w:t>
            </w:r>
          </w:p>
        </w:tc>
        <w:tc>
          <w:tcPr>
            <w:tcW w:w="5244" w:type="dxa"/>
            <w:gridSpan w:val="2"/>
          </w:tcPr>
          <w:p w14:paraId="3E92D311" w14:textId="529D1859" w:rsidR="00B40844" w:rsidRPr="00CA7995" w:rsidRDefault="00B207A1" w:rsidP="00937C89">
            <w:pPr>
              <w:spacing w:line="360" w:lineRule="auto"/>
              <w:jc w:val="center"/>
              <w:rPr>
                <w:rFonts w:ascii="Arial" w:hAnsi="Arial" w:cs="Arial"/>
                <w:b/>
                <w:sz w:val="24"/>
                <w:szCs w:val="24"/>
              </w:rPr>
            </w:pPr>
            <w:r>
              <w:rPr>
                <w:rFonts w:ascii="Arial" w:hAnsi="Arial" w:cs="Arial"/>
                <w:b/>
                <w:sz w:val="24"/>
                <w:szCs w:val="24"/>
              </w:rPr>
              <w:t>Respondent</w:t>
            </w:r>
            <w:r w:rsidR="00F36D0F">
              <w:rPr>
                <w:rFonts w:ascii="Arial" w:hAnsi="Arial" w:cs="Arial"/>
                <w:b/>
                <w:sz w:val="24"/>
                <w:szCs w:val="24"/>
              </w:rPr>
              <w:t>s</w:t>
            </w:r>
          </w:p>
        </w:tc>
      </w:tr>
      <w:tr w:rsidR="00CA7995" w:rsidRPr="00CA7995" w14:paraId="12BBCDDF" w14:textId="77777777" w:rsidTr="0000513F">
        <w:tc>
          <w:tcPr>
            <w:tcW w:w="5232" w:type="dxa"/>
          </w:tcPr>
          <w:p w14:paraId="775F2B19" w14:textId="005EEF4D" w:rsidR="006761B0" w:rsidRPr="00F36D0F" w:rsidRDefault="00F36D0F" w:rsidP="00937C89">
            <w:pPr>
              <w:spacing w:line="360" w:lineRule="auto"/>
              <w:jc w:val="center"/>
              <w:rPr>
                <w:rFonts w:ascii="Arial" w:hAnsi="Arial" w:cs="Arial"/>
                <w:sz w:val="24"/>
                <w:szCs w:val="24"/>
              </w:rPr>
            </w:pPr>
            <w:r w:rsidRPr="00F36D0F">
              <w:rPr>
                <w:rFonts w:ascii="Arial" w:hAnsi="Arial" w:cs="Arial"/>
                <w:sz w:val="24"/>
                <w:szCs w:val="24"/>
              </w:rPr>
              <w:t>K</w:t>
            </w:r>
            <w:r>
              <w:rPr>
                <w:rFonts w:ascii="Arial" w:hAnsi="Arial" w:cs="Arial"/>
                <w:sz w:val="24"/>
                <w:szCs w:val="24"/>
              </w:rPr>
              <w:t xml:space="preserve"> </w:t>
            </w:r>
            <w:r w:rsidRPr="00F36D0F">
              <w:rPr>
                <w:rFonts w:ascii="Arial" w:hAnsi="Arial" w:cs="Arial"/>
                <w:sz w:val="24"/>
                <w:szCs w:val="24"/>
              </w:rPr>
              <w:t xml:space="preserve">AMOOMO </w:t>
            </w:r>
          </w:p>
          <w:p w14:paraId="4AABE39C" w14:textId="1709ED61" w:rsidR="00F36D0F" w:rsidRDefault="00F36D0F" w:rsidP="00937C89">
            <w:pPr>
              <w:spacing w:line="360" w:lineRule="auto"/>
              <w:jc w:val="center"/>
              <w:rPr>
                <w:rFonts w:ascii="Arial" w:hAnsi="Arial" w:cs="Arial"/>
                <w:sz w:val="24"/>
                <w:szCs w:val="24"/>
              </w:rPr>
            </w:pPr>
            <w:r>
              <w:rPr>
                <w:rFonts w:ascii="Arial" w:hAnsi="Arial" w:cs="Arial"/>
                <w:sz w:val="24"/>
                <w:szCs w:val="24"/>
              </w:rPr>
              <w:lastRenderedPageBreak/>
              <w:t xml:space="preserve">Of </w:t>
            </w:r>
            <w:r w:rsidRPr="00F36D0F">
              <w:rPr>
                <w:rFonts w:ascii="Arial" w:hAnsi="Arial" w:cs="Arial"/>
                <w:sz w:val="24"/>
                <w:szCs w:val="24"/>
              </w:rPr>
              <w:t xml:space="preserve">Kadhila Amoomo Legal Practitioners </w:t>
            </w:r>
          </w:p>
          <w:p w14:paraId="7C699A93" w14:textId="3F47BE40" w:rsidR="00B40844" w:rsidRPr="00E41B11" w:rsidRDefault="00F36D0F" w:rsidP="00937C89">
            <w:pPr>
              <w:spacing w:line="360" w:lineRule="auto"/>
              <w:jc w:val="center"/>
              <w:rPr>
                <w:rFonts w:ascii="Arial" w:hAnsi="Arial" w:cs="Arial"/>
                <w:sz w:val="24"/>
                <w:szCs w:val="24"/>
              </w:rPr>
            </w:pPr>
            <w:r w:rsidRPr="00F36D0F">
              <w:rPr>
                <w:rFonts w:ascii="Arial" w:hAnsi="Arial" w:cs="Arial"/>
                <w:sz w:val="24"/>
                <w:szCs w:val="24"/>
              </w:rPr>
              <w:t>Windhoek</w:t>
            </w:r>
          </w:p>
          <w:p w14:paraId="7A5BE658" w14:textId="77777777" w:rsidR="00B40844" w:rsidRPr="00E41B11" w:rsidRDefault="00B40844" w:rsidP="00937C89">
            <w:pPr>
              <w:spacing w:line="360" w:lineRule="auto"/>
              <w:jc w:val="center"/>
              <w:rPr>
                <w:rFonts w:ascii="Arial" w:hAnsi="Arial" w:cs="Arial"/>
                <w:sz w:val="24"/>
                <w:szCs w:val="24"/>
              </w:rPr>
            </w:pPr>
          </w:p>
        </w:tc>
        <w:tc>
          <w:tcPr>
            <w:tcW w:w="5244" w:type="dxa"/>
            <w:gridSpan w:val="2"/>
          </w:tcPr>
          <w:p w14:paraId="2636FED7" w14:textId="4FBB08A9" w:rsidR="00F36D0F" w:rsidRDefault="00F36D0F" w:rsidP="00692710">
            <w:pPr>
              <w:pStyle w:val="BodyText2"/>
              <w:jc w:val="center"/>
              <w:rPr>
                <w:color w:val="auto"/>
              </w:rPr>
            </w:pPr>
            <w:r w:rsidRPr="00F36D0F">
              <w:rPr>
                <w:color w:val="auto"/>
              </w:rPr>
              <w:lastRenderedPageBreak/>
              <w:t>C</w:t>
            </w:r>
            <w:r>
              <w:rPr>
                <w:color w:val="auto"/>
              </w:rPr>
              <w:t xml:space="preserve"> </w:t>
            </w:r>
            <w:r w:rsidRPr="00F36D0F">
              <w:rPr>
                <w:color w:val="auto"/>
              </w:rPr>
              <w:t>ENDJAMBI</w:t>
            </w:r>
          </w:p>
          <w:p w14:paraId="5D1F47B4" w14:textId="30A49DD4" w:rsidR="00692710" w:rsidRPr="00E41B11" w:rsidRDefault="002314C3" w:rsidP="00692710">
            <w:pPr>
              <w:pStyle w:val="BodyText2"/>
              <w:jc w:val="center"/>
              <w:rPr>
                <w:color w:val="auto"/>
              </w:rPr>
            </w:pPr>
            <w:r>
              <w:rPr>
                <w:color w:val="auto"/>
              </w:rPr>
              <w:lastRenderedPageBreak/>
              <w:t xml:space="preserve">Of </w:t>
            </w:r>
            <w:r w:rsidR="00F36D0F" w:rsidRPr="00F36D0F">
              <w:rPr>
                <w:color w:val="auto"/>
              </w:rPr>
              <w:t>Office of the Government Attorney</w:t>
            </w:r>
          </w:p>
          <w:p w14:paraId="140EB17D" w14:textId="77777777" w:rsidR="0000513F" w:rsidRPr="00D34860" w:rsidRDefault="00692710" w:rsidP="00734146">
            <w:pPr>
              <w:pStyle w:val="BodyText2"/>
              <w:jc w:val="center"/>
              <w:rPr>
                <w:i/>
                <w:color w:val="auto"/>
                <w:highlight w:val="yellow"/>
              </w:rPr>
            </w:pPr>
            <w:r w:rsidRPr="00E41B11">
              <w:rPr>
                <w:color w:val="auto"/>
              </w:rPr>
              <w:t>Windhoek</w:t>
            </w:r>
          </w:p>
        </w:tc>
      </w:tr>
    </w:tbl>
    <w:p w14:paraId="49D5A619" w14:textId="77777777" w:rsidR="00B845CF" w:rsidRDefault="00B845CF"/>
    <w:sectPr w:rsidR="00B845CF" w:rsidSect="00002E9A">
      <w:headerReference w:type="default" r:id="rId9"/>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B686B" w14:textId="77777777" w:rsidR="001340BF" w:rsidRDefault="001340BF" w:rsidP="00B40844">
      <w:pPr>
        <w:spacing w:after="0" w:line="240" w:lineRule="auto"/>
      </w:pPr>
      <w:r>
        <w:separator/>
      </w:r>
    </w:p>
  </w:endnote>
  <w:endnote w:type="continuationSeparator" w:id="0">
    <w:p w14:paraId="7FFBA2E5" w14:textId="77777777" w:rsidR="001340BF" w:rsidRDefault="001340BF"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E7CA0" w14:textId="77777777" w:rsidR="001340BF" w:rsidRDefault="001340BF" w:rsidP="00B40844">
      <w:pPr>
        <w:spacing w:after="0" w:line="240" w:lineRule="auto"/>
      </w:pPr>
      <w:r>
        <w:separator/>
      </w:r>
    </w:p>
  </w:footnote>
  <w:footnote w:type="continuationSeparator" w:id="0">
    <w:p w14:paraId="569B5E09" w14:textId="77777777" w:rsidR="001340BF" w:rsidRDefault="001340BF" w:rsidP="00B40844">
      <w:pPr>
        <w:spacing w:after="0" w:line="240" w:lineRule="auto"/>
      </w:pPr>
      <w:r>
        <w:continuationSeparator/>
      </w:r>
    </w:p>
  </w:footnote>
  <w:footnote w:id="1">
    <w:p w14:paraId="0FD8BDA2" w14:textId="77777777" w:rsidR="008E7AC0" w:rsidRPr="00891FCC" w:rsidRDefault="008E7AC0" w:rsidP="00DD0498">
      <w:pPr>
        <w:pStyle w:val="FootnoteText"/>
        <w:spacing w:line="360" w:lineRule="auto"/>
        <w:jc w:val="both"/>
        <w:rPr>
          <w:rFonts w:ascii="Arial" w:hAnsi="Arial" w:cs="Arial"/>
        </w:rPr>
      </w:pPr>
      <w:r w:rsidRPr="0051307C">
        <w:rPr>
          <w:rStyle w:val="FootnoteReference"/>
          <w:rFonts w:ascii="Arial" w:hAnsi="Arial" w:cs="Arial"/>
        </w:rPr>
        <w:footnoteRef/>
      </w:r>
      <w:r w:rsidRPr="0051307C">
        <w:rPr>
          <w:rFonts w:ascii="Arial" w:hAnsi="Arial" w:cs="Arial"/>
        </w:rPr>
        <w:t xml:space="preserve"> </w:t>
      </w:r>
      <w:r w:rsidRPr="00891FCC">
        <w:rPr>
          <w:rFonts w:ascii="Arial" w:hAnsi="Arial" w:cs="Arial"/>
          <w:bCs/>
          <w:i/>
        </w:rPr>
        <w:t>Griffiths &amp; Inglis (Pty) Ltd v Southern Cape Blasters (Pty) Ltd</w:t>
      </w:r>
      <w:r w:rsidRPr="00891FCC">
        <w:rPr>
          <w:rFonts w:ascii="Arial" w:hAnsi="Arial" w:cs="Arial"/>
        </w:rPr>
        <w:t xml:space="preserve"> 1972 (4) SA 249 (CPD)</w:t>
      </w:r>
      <w:r>
        <w:rPr>
          <w:rFonts w:ascii="Arial" w:hAnsi="Arial" w:cs="Arial"/>
        </w:rPr>
        <w:t>.</w:t>
      </w:r>
    </w:p>
  </w:footnote>
  <w:footnote w:id="2">
    <w:p w14:paraId="08EFABF3" w14:textId="77777777" w:rsidR="008E7AC0" w:rsidRPr="00891FCC" w:rsidRDefault="008E7AC0" w:rsidP="00DD0498">
      <w:pPr>
        <w:pStyle w:val="FootnoteText"/>
        <w:spacing w:line="360" w:lineRule="auto"/>
        <w:jc w:val="both"/>
        <w:rPr>
          <w:lang w:val="en-US"/>
        </w:rPr>
      </w:pPr>
      <w:r w:rsidRPr="00891FCC">
        <w:rPr>
          <w:rStyle w:val="FootnoteReference"/>
          <w:rFonts w:ascii="Arial" w:hAnsi="Arial" w:cs="Arial"/>
        </w:rPr>
        <w:footnoteRef/>
      </w:r>
      <w:r w:rsidRPr="00891FCC">
        <w:rPr>
          <w:rFonts w:ascii="Arial" w:hAnsi="Arial" w:cs="Arial"/>
        </w:rPr>
        <w:t xml:space="preserve"> </w:t>
      </w:r>
      <w:r w:rsidRPr="00891FCC">
        <w:rPr>
          <w:rFonts w:ascii="Arial" w:hAnsi="Arial" w:cs="Arial"/>
          <w:lang w:val="en-US"/>
        </w:rPr>
        <w:t>Supra at 252 F.</w:t>
      </w:r>
    </w:p>
  </w:footnote>
  <w:footnote w:id="3">
    <w:p w14:paraId="6DA43050" w14:textId="1423C4DC" w:rsidR="008E7AC0" w:rsidRPr="00891FCC" w:rsidRDefault="008E7AC0" w:rsidP="008E7AC0">
      <w:pPr>
        <w:pStyle w:val="FootnoteText"/>
        <w:spacing w:line="360" w:lineRule="auto"/>
        <w:rPr>
          <w:rFonts w:ascii="Arial" w:hAnsi="Arial" w:cs="Arial"/>
          <w:b/>
          <w:lang w:val="en-US"/>
        </w:rPr>
      </w:pPr>
      <w:r w:rsidRPr="00891FCC">
        <w:rPr>
          <w:rStyle w:val="FootnoteReference"/>
          <w:rFonts w:ascii="Arial" w:hAnsi="Arial" w:cs="Arial"/>
        </w:rPr>
        <w:footnoteRef/>
      </w:r>
      <w:r w:rsidRPr="00891FCC">
        <w:rPr>
          <w:rFonts w:ascii="Arial" w:hAnsi="Arial" w:cs="Arial"/>
        </w:rPr>
        <w:t xml:space="preserve"> </w:t>
      </w:r>
      <w:r w:rsidRPr="00891FCC">
        <w:rPr>
          <w:rFonts w:ascii="Arial" w:hAnsi="Arial" w:cs="Arial"/>
          <w:lang w:val="en-US"/>
        </w:rPr>
        <w:t xml:space="preserve">Supra </w:t>
      </w:r>
      <w:r w:rsidRPr="00891FCC">
        <w:rPr>
          <w:rFonts w:ascii="Arial" w:hAnsi="Arial" w:cs="Arial"/>
          <w:bCs/>
        </w:rPr>
        <w:t>255G-H</w:t>
      </w:r>
      <w:r w:rsidR="00F03D12" w:rsidRPr="00BA6E53">
        <w:rPr>
          <w:rFonts w:ascii="Arial" w:hAnsi="Arial" w:cs="Arial"/>
          <w:bCs/>
        </w:rPr>
        <w:t>.</w:t>
      </w:r>
    </w:p>
  </w:footnote>
  <w:footnote w:id="4">
    <w:p w14:paraId="4EDE5F41" w14:textId="77777777" w:rsidR="008E7AC0" w:rsidRDefault="008E7AC0" w:rsidP="008E7AC0">
      <w:pPr>
        <w:pStyle w:val="FootnoteText"/>
        <w:spacing w:line="360" w:lineRule="auto"/>
      </w:pPr>
      <w:r w:rsidRPr="00891FCC">
        <w:rPr>
          <w:rStyle w:val="FootnoteReference"/>
          <w:rFonts w:ascii="Arial" w:hAnsi="Arial" w:cs="Arial"/>
        </w:rPr>
        <w:footnoteRef/>
      </w:r>
      <w:r w:rsidRPr="00891FCC">
        <w:rPr>
          <w:rFonts w:ascii="Arial" w:hAnsi="Arial" w:cs="Arial"/>
        </w:rPr>
        <w:t xml:space="preserve"> </w:t>
      </w:r>
      <w:r w:rsidRPr="00891FCC">
        <w:rPr>
          <w:rFonts w:ascii="Arial" w:hAnsi="Arial" w:cs="Arial"/>
          <w:bCs/>
          <w:i/>
        </w:rPr>
        <w:t>Mall (Cape) (Pty) Ltd v Merino Ko-operative Bpk</w:t>
      </w:r>
      <w:r w:rsidRPr="00891FCC">
        <w:rPr>
          <w:rFonts w:ascii="Arial" w:hAnsi="Arial" w:cs="Arial"/>
        </w:rPr>
        <w:t xml:space="preserve"> 1957 (2) SA 347 (CPD)</w:t>
      </w:r>
      <w:r>
        <w:rPr>
          <w:rFonts w:ascii="Arial" w:hAnsi="Arial" w:cs="Arial"/>
        </w:rPr>
        <w:t xml:space="preserve"> at 351-352.</w:t>
      </w:r>
    </w:p>
  </w:footnote>
  <w:footnote w:id="5">
    <w:p w14:paraId="43F9138F" w14:textId="6B937CB3" w:rsidR="008E7AC0" w:rsidRDefault="008E7AC0" w:rsidP="008E7AC0">
      <w:pPr>
        <w:pStyle w:val="FootnoteText"/>
      </w:pPr>
      <w:r>
        <w:rPr>
          <w:rStyle w:val="FootnoteReference"/>
        </w:rPr>
        <w:footnoteRef/>
      </w:r>
      <w:r>
        <w:t xml:space="preserve"> </w:t>
      </w:r>
      <w:r w:rsidRPr="000624B6">
        <w:rPr>
          <w:rFonts w:ascii="Arial" w:hAnsi="Arial" w:cs="Arial"/>
          <w:bCs/>
          <w:i/>
        </w:rPr>
        <w:t>Pretoria City Council v Meerlust Investments Ltd</w:t>
      </w:r>
      <w:r w:rsidRPr="000624B6">
        <w:rPr>
          <w:rFonts w:ascii="Arial" w:hAnsi="Arial" w:cs="Arial"/>
        </w:rPr>
        <w:t xml:space="preserve"> 1962 (1) SA 321 (AD) at page 32</w:t>
      </w:r>
      <w:r w:rsidRPr="00BA6E53">
        <w:rPr>
          <w:rFonts w:ascii="Arial" w:hAnsi="Arial" w:cs="Arial"/>
        </w:rPr>
        <w:t>5</w:t>
      </w:r>
      <w:r w:rsidR="00F03D12" w:rsidRPr="00BA6E53">
        <w:rPr>
          <w:rFonts w:ascii="Arial" w:hAnsi="Arial" w:cs="Arial"/>
        </w:rPr>
        <w:t>.</w:t>
      </w:r>
    </w:p>
  </w:footnote>
  <w:footnote w:id="6">
    <w:p w14:paraId="457031B6" w14:textId="315515E7" w:rsidR="008E7AC0" w:rsidRPr="00F03D12" w:rsidRDefault="008E7AC0" w:rsidP="008E7AC0">
      <w:pPr>
        <w:spacing w:after="0" w:line="360" w:lineRule="auto"/>
        <w:jc w:val="both"/>
        <w:rPr>
          <w:rFonts w:ascii="Arial" w:hAnsi="Arial" w:cs="Arial"/>
          <w:sz w:val="20"/>
          <w:szCs w:val="20"/>
        </w:rPr>
      </w:pPr>
      <w:r w:rsidRPr="00F03D12">
        <w:rPr>
          <w:rStyle w:val="FootnoteReference"/>
          <w:rFonts w:ascii="Arial" w:hAnsi="Arial" w:cs="Arial"/>
          <w:sz w:val="20"/>
          <w:szCs w:val="20"/>
        </w:rPr>
        <w:footnoteRef/>
      </w:r>
      <w:r w:rsidRPr="00F03D12">
        <w:rPr>
          <w:rFonts w:ascii="Arial" w:hAnsi="Arial" w:cs="Arial"/>
          <w:sz w:val="20"/>
          <w:szCs w:val="20"/>
        </w:rPr>
        <w:t xml:space="preserve"> </w:t>
      </w:r>
      <w:r w:rsidRPr="00F03D12">
        <w:rPr>
          <w:rFonts w:ascii="Arial" w:hAnsi="Arial" w:cs="Arial"/>
          <w:i/>
          <w:sz w:val="20"/>
          <w:szCs w:val="20"/>
          <w:shd w:val="clear" w:color="auto" w:fill="FFFFFF"/>
        </w:rPr>
        <w:t>Baobab Capital (Pty) Ltd</w:t>
      </w:r>
      <w:r w:rsidRPr="00F03D12">
        <w:rPr>
          <w:rFonts w:ascii="Arial" w:hAnsi="Arial" w:cs="Arial"/>
          <w:i/>
          <w:sz w:val="20"/>
          <w:szCs w:val="20"/>
        </w:rPr>
        <w:t xml:space="preserve"> v Shaziza Auto One (Pty) Ltd </w:t>
      </w:r>
      <w:r w:rsidRPr="00F03D12">
        <w:rPr>
          <w:rFonts w:ascii="Arial" w:hAnsi="Arial" w:cs="Arial"/>
          <w:sz w:val="20"/>
          <w:szCs w:val="20"/>
        </w:rPr>
        <w:t>(HC-MD-CIV-ACT-CON-2019/02613) [2020] NAHCMD 290 (10 July 2020).</w:t>
      </w:r>
    </w:p>
  </w:footnote>
  <w:footnote w:id="7">
    <w:p w14:paraId="7C2FE802" w14:textId="77777777" w:rsidR="008E7AC0" w:rsidRPr="00C036F8" w:rsidRDefault="008E7AC0" w:rsidP="008E7AC0">
      <w:pPr>
        <w:pStyle w:val="Heading1"/>
        <w:rPr>
          <w:sz w:val="20"/>
          <w:szCs w:val="20"/>
        </w:rPr>
      </w:pPr>
      <w:r w:rsidRPr="00F03D12">
        <w:rPr>
          <w:rStyle w:val="FootnoteReference"/>
          <w:sz w:val="20"/>
          <w:szCs w:val="20"/>
        </w:rPr>
        <w:footnoteRef/>
      </w:r>
      <w:r w:rsidRPr="00F03D12">
        <w:rPr>
          <w:sz w:val="20"/>
          <w:szCs w:val="20"/>
        </w:rPr>
        <w:t xml:space="preserve"> </w:t>
      </w:r>
      <w:r w:rsidRPr="00F03D12">
        <w:rPr>
          <w:bCs/>
          <w:sz w:val="20"/>
          <w:szCs w:val="20"/>
        </w:rPr>
        <w:t>O</w:t>
      </w:r>
      <w:r w:rsidRPr="00F03D12">
        <w:rPr>
          <w:iCs/>
          <w:color w:val="000000"/>
          <w:sz w:val="20"/>
          <w:szCs w:val="20"/>
          <w:shd w:val="clear" w:color="auto" w:fill="FFFFFF"/>
        </w:rPr>
        <w:t xml:space="preserve">tjozondjupa Regional Council v Dr Ndahafa Aino-Cecilia Nghifindaka &amp; Two </w:t>
      </w:r>
      <w:r w:rsidRPr="00AD1604">
        <w:rPr>
          <w:iCs/>
          <w:color w:val="000000"/>
          <w:sz w:val="20"/>
          <w:szCs w:val="20"/>
          <w:shd w:val="clear" w:color="auto" w:fill="FFFFFF"/>
        </w:rPr>
        <w:t>Others</w:t>
      </w:r>
      <w:r w:rsidRPr="00AD1604">
        <w:rPr>
          <w:bCs/>
          <w:i w:val="0"/>
          <w:sz w:val="20"/>
          <w:szCs w:val="20"/>
        </w:rPr>
        <w:t xml:space="preserve"> (LC 7/2010) [2010] NAHC 29 (26 March 2010).</w:t>
      </w:r>
    </w:p>
  </w:footnote>
  <w:footnote w:id="8">
    <w:p w14:paraId="54E48D36" w14:textId="77777777" w:rsidR="008E7AC0" w:rsidRPr="00F03D12" w:rsidRDefault="008E7AC0" w:rsidP="00F03D12">
      <w:pPr>
        <w:pStyle w:val="FootnoteText"/>
        <w:spacing w:line="360" w:lineRule="auto"/>
        <w:jc w:val="both"/>
        <w:rPr>
          <w:rFonts w:ascii="Arial" w:hAnsi="Arial" w:cs="Arial"/>
          <w:lang w:val="en-US"/>
        </w:rPr>
      </w:pPr>
      <w:r w:rsidRPr="00F03D12">
        <w:rPr>
          <w:rStyle w:val="FootnoteReference"/>
          <w:rFonts w:ascii="Arial" w:hAnsi="Arial" w:cs="Arial"/>
        </w:rPr>
        <w:footnoteRef/>
      </w:r>
      <w:r w:rsidRPr="00F03D12">
        <w:rPr>
          <w:rFonts w:ascii="Arial" w:hAnsi="Arial" w:cs="Arial"/>
        </w:rPr>
        <w:t xml:space="preserve"> </w:t>
      </w:r>
      <w:r w:rsidRPr="00F03D12">
        <w:rPr>
          <w:rFonts w:ascii="Arial" w:hAnsi="Arial" w:cs="Arial"/>
          <w:bCs/>
          <w:i/>
        </w:rPr>
        <w:t>Uahengo v Seal Products (Pty) Ltd and Others</w:t>
      </w:r>
      <w:r w:rsidRPr="00F03D12">
        <w:rPr>
          <w:rStyle w:val="FootnoteReference"/>
          <w:rFonts w:ascii="Arial" w:hAnsi="Arial" w:cs="Arial"/>
          <w:bCs/>
          <w:i/>
        </w:rPr>
        <w:t xml:space="preserve"> </w:t>
      </w:r>
      <w:r w:rsidRPr="00F03D12">
        <w:rPr>
          <w:rFonts w:ascii="Arial" w:hAnsi="Arial" w:cs="Arial"/>
          <w:bCs/>
        </w:rPr>
        <w:t xml:space="preserve"> (HC-MD-CIV-MOT-GEN-2021/00212) [2021] NAHCMD 351 (30 July 2021).</w:t>
      </w:r>
    </w:p>
  </w:footnote>
  <w:footnote w:id="9">
    <w:p w14:paraId="5F0A2D74" w14:textId="77777777" w:rsidR="008E7AC0" w:rsidRPr="00AE242E" w:rsidRDefault="008E7AC0" w:rsidP="00F03D12">
      <w:pPr>
        <w:pStyle w:val="FootnoteText"/>
        <w:spacing w:line="360" w:lineRule="auto"/>
        <w:jc w:val="both"/>
        <w:rPr>
          <w:lang w:val="en-US"/>
        </w:rPr>
      </w:pPr>
      <w:r w:rsidRPr="00F03D12">
        <w:rPr>
          <w:rStyle w:val="FootnoteReference"/>
          <w:rFonts w:ascii="Arial" w:hAnsi="Arial" w:cs="Arial"/>
        </w:rPr>
        <w:footnoteRef/>
      </w:r>
      <w:r w:rsidRPr="00F03D12">
        <w:rPr>
          <w:rFonts w:ascii="Arial" w:hAnsi="Arial" w:cs="Arial"/>
        </w:rPr>
        <w:t xml:space="preserve"> </w:t>
      </w:r>
      <w:r w:rsidRPr="00F03D12">
        <w:rPr>
          <w:rFonts w:ascii="Arial" w:hAnsi="Arial" w:cs="Arial"/>
          <w:bCs/>
          <w:i/>
        </w:rPr>
        <w:t xml:space="preserve">Uahengo v Seal Products (Pty) Ltd and Others </w:t>
      </w:r>
      <w:r w:rsidRPr="00F03D12">
        <w:rPr>
          <w:rFonts w:ascii="Arial" w:hAnsi="Arial" w:cs="Arial"/>
          <w:bCs/>
        </w:rPr>
        <w:t>(HC-MD-CIV-MOT-GEN-2021/00442) [2021] NAHCMD 599 (17 December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374223"/>
      <w:docPartObj>
        <w:docPartGallery w:val="Page Numbers (Top of Page)"/>
        <w:docPartUnique/>
      </w:docPartObj>
    </w:sdtPr>
    <w:sdtEndPr>
      <w:rPr>
        <w:noProof/>
      </w:rPr>
    </w:sdtEndPr>
    <w:sdtContent>
      <w:p w14:paraId="7DAA8A31" w14:textId="77777777" w:rsidR="000F3512" w:rsidRDefault="000F3512">
        <w:pPr>
          <w:pStyle w:val="Header"/>
          <w:jc w:val="right"/>
        </w:pPr>
        <w:r>
          <w:fldChar w:fldCharType="begin"/>
        </w:r>
        <w:r>
          <w:instrText xml:space="preserve"> PAGE   \* MERGEFORMAT </w:instrText>
        </w:r>
        <w:r>
          <w:fldChar w:fldCharType="separate"/>
        </w:r>
        <w:r w:rsidR="0089635D">
          <w:rPr>
            <w:noProof/>
          </w:rPr>
          <w:t>10</w:t>
        </w:r>
        <w:r>
          <w:rPr>
            <w:noProof/>
          </w:rPr>
          <w:fldChar w:fldCharType="end"/>
        </w:r>
      </w:p>
    </w:sdtContent>
  </w:sdt>
  <w:p w14:paraId="12846793" w14:textId="77777777" w:rsidR="000F3512" w:rsidRDefault="000F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1F7038A"/>
    <w:multiLevelType w:val="hybridMultilevel"/>
    <w:tmpl w:val="D76841E0"/>
    <w:lvl w:ilvl="0" w:tplc="28DE282E">
      <w:start w:val="30"/>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
    <w:nsid w:val="081C5BD4"/>
    <w:multiLevelType w:val="hybridMultilevel"/>
    <w:tmpl w:val="3574ED52"/>
    <w:lvl w:ilvl="0" w:tplc="A0F6A74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C2F99"/>
    <w:multiLevelType w:val="hybridMultilevel"/>
    <w:tmpl w:val="34A025DE"/>
    <w:lvl w:ilvl="0" w:tplc="1206B95A">
      <w:start w:val="3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C4C30"/>
    <w:multiLevelType w:val="hybridMultilevel"/>
    <w:tmpl w:val="587AD1CA"/>
    <w:lvl w:ilvl="0" w:tplc="1B6C5474">
      <w:start w:val="28"/>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15F99"/>
    <w:multiLevelType w:val="hybridMultilevel"/>
    <w:tmpl w:val="9A789E54"/>
    <w:lvl w:ilvl="0" w:tplc="4DDC790C">
      <w:start w:val="34"/>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139B1"/>
    <w:multiLevelType w:val="hybridMultilevel"/>
    <w:tmpl w:val="03EE2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211A84"/>
    <w:multiLevelType w:val="hybridMultilevel"/>
    <w:tmpl w:val="8EC6E7AC"/>
    <w:lvl w:ilvl="0" w:tplc="439058C0">
      <w:start w:val="30"/>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55F11AE"/>
    <w:multiLevelType w:val="hybridMultilevel"/>
    <w:tmpl w:val="4D5049EA"/>
    <w:lvl w:ilvl="0" w:tplc="B4328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44BDB"/>
    <w:multiLevelType w:val="hybridMultilevel"/>
    <w:tmpl w:val="91F25AF8"/>
    <w:lvl w:ilvl="0" w:tplc="69708FAE">
      <w:start w:val="17"/>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8CE8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FAD4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BC81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5ECB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C0AE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8C5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7820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CACB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5">
    <w:nsid w:val="52607D56"/>
    <w:multiLevelType w:val="hybridMultilevel"/>
    <w:tmpl w:val="CB6EE64C"/>
    <w:lvl w:ilvl="0" w:tplc="1B6C5474">
      <w:start w:val="28"/>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85514F"/>
    <w:multiLevelType w:val="hybridMultilevel"/>
    <w:tmpl w:val="293A1EFE"/>
    <w:lvl w:ilvl="0" w:tplc="3B708C9C">
      <w:start w:val="1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324516"/>
    <w:multiLevelType w:val="hybridMultilevel"/>
    <w:tmpl w:val="1CFEAE1A"/>
    <w:lvl w:ilvl="0" w:tplc="85D2710A">
      <w:start w:val="3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541B8"/>
    <w:multiLevelType w:val="hybridMultilevel"/>
    <w:tmpl w:val="80CCB978"/>
    <w:lvl w:ilvl="0" w:tplc="6FA6ACC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BC68AF"/>
    <w:multiLevelType w:val="hybridMultilevel"/>
    <w:tmpl w:val="CD527AD0"/>
    <w:lvl w:ilvl="0" w:tplc="0E6EE6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3"/>
  </w:num>
  <w:num w:numId="5">
    <w:abstractNumId w:val="1"/>
  </w:num>
  <w:num w:numId="6">
    <w:abstractNumId w:val="11"/>
  </w:num>
  <w:num w:numId="7">
    <w:abstractNumId w:val="9"/>
  </w:num>
  <w:num w:numId="8">
    <w:abstractNumId w:val="13"/>
  </w:num>
  <w:num w:numId="9">
    <w:abstractNumId w:val="5"/>
  </w:num>
  <w:num w:numId="10">
    <w:abstractNumId w:val="2"/>
  </w:num>
  <w:num w:numId="11">
    <w:abstractNumId w:val="18"/>
  </w:num>
  <w:num w:numId="12">
    <w:abstractNumId w:val="10"/>
  </w:num>
  <w:num w:numId="13">
    <w:abstractNumId w:val="4"/>
  </w:num>
  <w:num w:numId="14">
    <w:abstractNumId w:val="7"/>
  </w:num>
  <w:num w:numId="15">
    <w:abstractNumId w:val="6"/>
  </w:num>
  <w:num w:numId="16">
    <w:abstractNumId w:val="15"/>
  </w:num>
  <w:num w:numId="17">
    <w:abstractNumId w:val="12"/>
  </w:num>
  <w:num w:numId="18">
    <w:abstractNumId w:val="20"/>
  </w:num>
  <w:num w:numId="19">
    <w:abstractNumId w:val="19"/>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0108"/>
    <w:rsid w:val="00002E9A"/>
    <w:rsid w:val="0000513F"/>
    <w:rsid w:val="00007B32"/>
    <w:rsid w:val="000142CE"/>
    <w:rsid w:val="00015808"/>
    <w:rsid w:val="000168AD"/>
    <w:rsid w:val="00025869"/>
    <w:rsid w:val="00026DA4"/>
    <w:rsid w:val="0002753F"/>
    <w:rsid w:val="00030A66"/>
    <w:rsid w:val="00052806"/>
    <w:rsid w:val="00053646"/>
    <w:rsid w:val="00067499"/>
    <w:rsid w:val="00080C9B"/>
    <w:rsid w:val="00083A49"/>
    <w:rsid w:val="000929C5"/>
    <w:rsid w:val="00093454"/>
    <w:rsid w:val="000979F3"/>
    <w:rsid w:val="000A358F"/>
    <w:rsid w:val="000A4391"/>
    <w:rsid w:val="000A6E7F"/>
    <w:rsid w:val="000B07EA"/>
    <w:rsid w:val="000B55BA"/>
    <w:rsid w:val="000C03BB"/>
    <w:rsid w:val="000D00E4"/>
    <w:rsid w:val="000D3BDD"/>
    <w:rsid w:val="000D3C9C"/>
    <w:rsid w:val="000D5A13"/>
    <w:rsid w:val="000D732A"/>
    <w:rsid w:val="000E05A2"/>
    <w:rsid w:val="000E2366"/>
    <w:rsid w:val="000F1377"/>
    <w:rsid w:val="000F287A"/>
    <w:rsid w:val="000F3512"/>
    <w:rsid w:val="000F3709"/>
    <w:rsid w:val="000F39A3"/>
    <w:rsid w:val="000F681E"/>
    <w:rsid w:val="00104A0E"/>
    <w:rsid w:val="001112BA"/>
    <w:rsid w:val="00113CEA"/>
    <w:rsid w:val="00116AFB"/>
    <w:rsid w:val="001223B7"/>
    <w:rsid w:val="00124C63"/>
    <w:rsid w:val="00127D04"/>
    <w:rsid w:val="001340BF"/>
    <w:rsid w:val="00141F58"/>
    <w:rsid w:val="00152FEA"/>
    <w:rsid w:val="00155AA0"/>
    <w:rsid w:val="001744E0"/>
    <w:rsid w:val="0018718C"/>
    <w:rsid w:val="001905B2"/>
    <w:rsid w:val="001B3825"/>
    <w:rsid w:val="001B5728"/>
    <w:rsid w:val="001C3B87"/>
    <w:rsid w:val="001C5EDB"/>
    <w:rsid w:val="001D34F1"/>
    <w:rsid w:val="001E097B"/>
    <w:rsid w:val="001E0CEE"/>
    <w:rsid w:val="001E12B3"/>
    <w:rsid w:val="001E6D6B"/>
    <w:rsid w:val="001F1138"/>
    <w:rsid w:val="0020219D"/>
    <w:rsid w:val="002065A1"/>
    <w:rsid w:val="002123CA"/>
    <w:rsid w:val="00212D37"/>
    <w:rsid w:val="00217744"/>
    <w:rsid w:val="00217821"/>
    <w:rsid w:val="00224808"/>
    <w:rsid w:val="002314C3"/>
    <w:rsid w:val="002317B0"/>
    <w:rsid w:val="002346D4"/>
    <w:rsid w:val="0023549A"/>
    <w:rsid w:val="00237093"/>
    <w:rsid w:val="00241219"/>
    <w:rsid w:val="002457E7"/>
    <w:rsid w:val="00245854"/>
    <w:rsid w:val="002536EA"/>
    <w:rsid w:val="0026588D"/>
    <w:rsid w:val="00272F4E"/>
    <w:rsid w:val="00276736"/>
    <w:rsid w:val="002767A2"/>
    <w:rsid w:val="00280EB1"/>
    <w:rsid w:val="002A4AA3"/>
    <w:rsid w:val="002A4D60"/>
    <w:rsid w:val="002A553F"/>
    <w:rsid w:val="002B0E84"/>
    <w:rsid w:val="002B0FE5"/>
    <w:rsid w:val="002B38E0"/>
    <w:rsid w:val="002C1EF6"/>
    <w:rsid w:val="002C2CF2"/>
    <w:rsid w:val="002D20C5"/>
    <w:rsid w:val="002E738E"/>
    <w:rsid w:val="002E73C8"/>
    <w:rsid w:val="002F23DF"/>
    <w:rsid w:val="0031179F"/>
    <w:rsid w:val="00311D3E"/>
    <w:rsid w:val="0031523D"/>
    <w:rsid w:val="0031547D"/>
    <w:rsid w:val="00322F39"/>
    <w:rsid w:val="00323AAF"/>
    <w:rsid w:val="00323E22"/>
    <w:rsid w:val="0032410B"/>
    <w:rsid w:val="00326B51"/>
    <w:rsid w:val="00331313"/>
    <w:rsid w:val="00335443"/>
    <w:rsid w:val="0033629F"/>
    <w:rsid w:val="00340EA6"/>
    <w:rsid w:val="003413C7"/>
    <w:rsid w:val="00341C0F"/>
    <w:rsid w:val="00344AA0"/>
    <w:rsid w:val="0035617B"/>
    <w:rsid w:val="00357914"/>
    <w:rsid w:val="00366466"/>
    <w:rsid w:val="00371B8F"/>
    <w:rsid w:val="0038382D"/>
    <w:rsid w:val="00384B95"/>
    <w:rsid w:val="0039196F"/>
    <w:rsid w:val="00391CC7"/>
    <w:rsid w:val="00394F42"/>
    <w:rsid w:val="003A18AD"/>
    <w:rsid w:val="003A49EA"/>
    <w:rsid w:val="003B1871"/>
    <w:rsid w:val="003B5557"/>
    <w:rsid w:val="003C2574"/>
    <w:rsid w:val="003C4613"/>
    <w:rsid w:val="003D165C"/>
    <w:rsid w:val="003D2008"/>
    <w:rsid w:val="003D3059"/>
    <w:rsid w:val="003D36B2"/>
    <w:rsid w:val="003D517E"/>
    <w:rsid w:val="003D7D94"/>
    <w:rsid w:val="003E1B3E"/>
    <w:rsid w:val="003F4BD4"/>
    <w:rsid w:val="00403EB6"/>
    <w:rsid w:val="00404B70"/>
    <w:rsid w:val="00412278"/>
    <w:rsid w:val="004169A8"/>
    <w:rsid w:val="004200FD"/>
    <w:rsid w:val="00426C60"/>
    <w:rsid w:val="00431A65"/>
    <w:rsid w:val="004352E5"/>
    <w:rsid w:val="004358E2"/>
    <w:rsid w:val="00435953"/>
    <w:rsid w:val="00436C2B"/>
    <w:rsid w:val="00441476"/>
    <w:rsid w:val="0044191C"/>
    <w:rsid w:val="00442AD9"/>
    <w:rsid w:val="004531EB"/>
    <w:rsid w:val="004614D6"/>
    <w:rsid w:val="00463486"/>
    <w:rsid w:val="004665B1"/>
    <w:rsid w:val="00466B36"/>
    <w:rsid w:val="00474C2A"/>
    <w:rsid w:val="00475B7A"/>
    <w:rsid w:val="004907E4"/>
    <w:rsid w:val="004936A7"/>
    <w:rsid w:val="00497341"/>
    <w:rsid w:val="004A1B08"/>
    <w:rsid w:val="004A2D48"/>
    <w:rsid w:val="004A52A8"/>
    <w:rsid w:val="004B4D93"/>
    <w:rsid w:val="004C25B3"/>
    <w:rsid w:val="004C646F"/>
    <w:rsid w:val="004D0D1C"/>
    <w:rsid w:val="004D18F4"/>
    <w:rsid w:val="004D369D"/>
    <w:rsid w:val="004E0908"/>
    <w:rsid w:val="004F27EB"/>
    <w:rsid w:val="004F3089"/>
    <w:rsid w:val="004F4FAF"/>
    <w:rsid w:val="004F6A2A"/>
    <w:rsid w:val="00503F36"/>
    <w:rsid w:val="00505444"/>
    <w:rsid w:val="00514B48"/>
    <w:rsid w:val="005224F4"/>
    <w:rsid w:val="00526ACD"/>
    <w:rsid w:val="00535F29"/>
    <w:rsid w:val="00536EFF"/>
    <w:rsid w:val="00552964"/>
    <w:rsid w:val="00553B2A"/>
    <w:rsid w:val="00560068"/>
    <w:rsid w:val="00562322"/>
    <w:rsid w:val="005629DA"/>
    <w:rsid w:val="0056426F"/>
    <w:rsid w:val="005642CA"/>
    <w:rsid w:val="005642F1"/>
    <w:rsid w:val="00564DAB"/>
    <w:rsid w:val="005676AD"/>
    <w:rsid w:val="00590980"/>
    <w:rsid w:val="00594F6C"/>
    <w:rsid w:val="00595374"/>
    <w:rsid w:val="005A4D90"/>
    <w:rsid w:val="005A5672"/>
    <w:rsid w:val="005B62A0"/>
    <w:rsid w:val="005C0E24"/>
    <w:rsid w:val="005C21D7"/>
    <w:rsid w:val="005C3354"/>
    <w:rsid w:val="005C3ABD"/>
    <w:rsid w:val="005C7050"/>
    <w:rsid w:val="005C7608"/>
    <w:rsid w:val="005D7BD0"/>
    <w:rsid w:val="005F033D"/>
    <w:rsid w:val="005F325C"/>
    <w:rsid w:val="005F32EB"/>
    <w:rsid w:val="00601890"/>
    <w:rsid w:val="00603F88"/>
    <w:rsid w:val="006056FB"/>
    <w:rsid w:val="006064F8"/>
    <w:rsid w:val="00610BF1"/>
    <w:rsid w:val="006115E2"/>
    <w:rsid w:val="006160F2"/>
    <w:rsid w:val="00633B86"/>
    <w:rsid w:val="00641030"/>
    <w:rsid w:val="00645F86"/>
    <w:rsid w:val="00657C65"/>
    <w:rsid w:val="00661535"/>
    <w:rsid w:val="0066520E"/>
    <w:rsid w:val="00672132"/>
    <w:rsid w:val="00672C76"/>
    <w:rsid w:val="006761B0"/>
    <w:rsid w:val="006771F2"/>
    <w:rsid w:val="00684AAE"/>
    <w:rsid w:val="00687E14"/>
    <w:rsid w:val="006916C9"/>
    <w:rsid w:val="00692710"/>
    <w:rsid w:val="00695745"/>
    <w:rsid w:val="006976D9"/>
    <w:rsid w:val="006A0BA4"/>
    <w:rsid w:val="006A5064"/>
    <w:rsid w:val="006B7210"/>
    <w:rsid w:val="006B7521"/>
    <w:rsid w:val="006D0991"/>
    <w:rsid w:val="006D1814"/>
    <w:rsid w:val="006D7450"/>
    <w:rsid w:val="006E0FD4"/>
    <w:rsid w:val="006E610D"/>
    <w:rsid w:val="006F1B9B"/>
    <w:rsid w:val="006F641D"/>
    <w:rsid w:val="00702C62"/>
    <w:rsid w:val="00703171"/>
    <w:rsid w:val="00707EA1"/>
    <w:rsid w:val="00710D39"/>
    <w:rsid w:val="00721EE5"/>
    <w:rsid w:val="007261C4"/>
    <w:rsid w:val="00734146"/>
    <w:rsid w:val="00736DA4"/>
    <w:rsid w:val="00737C3D"/>
    <w:rsid w:val="00742FDE"/>
    <w:rsid w:val="00746C0C"/>
    <w:rsid w:val="00746F26"/>
    <w:rsid w:val="0075246F"/>
    <w:rsid w:val="00766C68"/>
    <w:rsid w:val="00767A42"/>
    <w:rsid w:val="0078274D"/>
    <w:rsid w:val="00784253"/>
    <w:rsid w:val="007853D8"/>
    <w:rsid w:val="00787118"/>
    <w:rsid w:val="00787166"/>
    <w:rsid w:val="0078733C"/>
    <w:rsid w:val="00793238"/>
    <w:rsid w:val="007950C8"/>
    <w:rsid w:val="00796B9C"/>
    <w:rsid w:val="007B774E"/>
    <w:rsid w:val="007C1D18"/>
    <w:rsid w:val="007D0792"/>
    <w:rsid w:val="007D259C"/>
    <w:rsid w:val="007D6C74"/>
    <w:rsid w:val="007E4B40"/>
    <w:rsid w:val="007F397E"/>
    <w:rsid w:val="007F6100"/>
    <w:rsid w:val="007F68C4"/>
    <w:rsid w:val="008006A3"/>
    <w:rsid w:val="00805692"/>
    <w:rsid w:val="00812409"/>
    <w:rsid w:val="00815969"/>
    <w:rsid w:val="00816D5D"/>
    <w:rsid w:val="00821A0C"/>
    <w:rsid w:val="0082316B"/>
    <w:rsid w:val="008275AC"/>
    <w:rsid w:val="00835300"/>
    <w:rsid w:val="008353E8"/>
    <w:rsid w:val="008427B9"/>
    <w:rsid w:val="0084650C"/>
    <w:rsid w:val="008473F9"/>
    <w:rsid w:val="00856803"/>
    <w:rsid w:val="00870519"/>
    <w:rsid w:val="00882F73"/>
    <w:rsid w:val="00890A20"/>
    <w:rsid w:val="00890C38"/>
    <w:rsid w:val="00892D9A"/>
    <w:rsid w:val="008943D8"/>
    <w:rsid w:val="0089635D"/>
    <w:rsid w:val="008A1447"/>
    <w:rsid w:val="008B171D"/>
    <w:rsid w:val="008C2200"/>
    <w:rsid w:val="008C74AA"/>
    <w:rsid w:val="008D30AD"/>
    <w:rsid w:val="008E0730"/>
    <w:rsid w:val="008E0C7C"/>
    <w:rsid w:val="008E14E7"/>
    <w:rsid w:val="008E4F65"/>
    <w:rsid w:val="008E7AC0"/>
    <w:rsid w:val="008F3CA2"/>
    <w:rsid w:val="008F5871"/>
    <w:rsid w:val="008F59A0"/>
    <w:rsid w:val="008F61AA"/>
    <w:rsid w:val="008F79C8"/>
    <w:rsid w:val="00901D7E"/>
    <w:rsid w:val="00904635"/>
    <w:rsid w:val="0091061F"/>
    <w:rsid w:val="00916D1F"/>
    <w:rsid w:val="009279BE"/>
    <w:rsid w:val="0093211F"/>
    <w:rsid w:val="00937C89"/>
    <w:rsid w:val="0094364A"/>
    <w:rsid w:val="009617AA"/>
    <w:rsid w:val="009624A4"/>
    <w:rsid w:val="00972F1D"/>
    <w:rsid w:val="009733A9"/>
    <w:rsid w:val="009765E1"/>
    <w:rsid w:val="009919F6"/>
    <w:rsid w:val="00993484"/>
    <w:rsid w:val="00997C11"/>
    <w:rsid w:val="009A7A59"/>
    <w:rsid w:val="009B4C82"/>
    <w:rsid w:val="009C35C9"/>
    <w:rsid w:val="009C4BD7"/>
    <w:rsid w:val="009C6F3F"/>
    <w:rsid w:val="009D27E8"/>
    <w:rsid w:val="009D2C2F"/>
    <w:rsid w:val="009D7B45"/>
    <w:rsid w:val="009E6375"/>
    <w:rsid w:val="009F24BF"/>
    <w:rsid w:val="00A04E1C"/>
    <w:rsid w:val="00A06A3F"/>
    <w:rsid w:val="00A10E40"/>
    <w:rsid w:val="00A15CD1"/>
    <w:rsid w:val="00A22E0F"/>
    <w:rsid w:val="00A26B7B"/>
    <w:rsid w:val="00A3327E"/>
    <w:rsid w:val="00A33C3D"/>
    <w:rsid w:val="00A44F80"/>
    <w:rsid w:val="00A50F13"/>
    <w:rsid w:val="00A531DB"/>
    <w:rsid w:val="00A561D3"/>
    <w:rsid w:val="00A61F12"/>
    <w:rsid w:val="00A66511"/>
    <w:rsid w:val="00A71C58"/>
    <w:rsid w:val="00A75ED6"/>
    <w:rsid w:val="00AA3ECB"/>
    <w:rsid w:val="00AA5FD6"/>
    <w:rsid w:val="00AA6DF3"/>
    <w:rsid w:val="00AB04B8"/>
    <w:rsid w:val="00AC094C"/>
    <w:rsid w:val="00AC6531"/>
    <w:rsid w:val="00AC7681"/>
    <w:rsid w:val="00AD0B9B"/>
    <w:rsid w:val="00AD1604"/>
    <w:rsid w:val="00AD344A"/>
    <w:rsid w:val="00AD72DD"/>
    <w:rsid w:val="00AE4E72"/>
    <w:rsid w:val="00AE6ADB"/>
    <w:rsid w:val="00AF482A"/>
    <w:rsid w:val="00B01B6C"/>
    <w:rsid w:val="00B11B99"/>
    <w:rsid w:val="00B121EA"/>
    <w:rsid w:val="00B13154"/>
    <w:rsid w:val="00B207A1"/>
    <w:rsid w:val="00B40844"/>
    <w:rsid w:val="00B45E94"/>
    <w:rsid w:val="00B463CA"/>
    <w:rsid w:val="00B47800"/>
    <w:rsid w:val="00B50C99"/>
    <w:rsid w:val="00B51514"/>
    <w:rsid w:val="00B56E34"/>
    <w:rsid w:val="00B5737E"/>
    <w:rsid w:val="00B601AD"/>
    <w:rsid w:val="00B61AC7"/>
    <w:rsid w:val="00B65C31"/>
    <w:rsid w:val="00B66380"/>
    <w:rsid w:val="00B808CB"/>
    <w:rsid w:val="00B845CF"/>
    <w:rsid w:val="00B9227A"/>
    <w:rsid w:val="00B92DE7"/>
    <w:rsid w:val="00B9407E"/>
    <w:rsid w:val="00BA31AF"/>
    <w:rsid w:val="00BA6E53"/>
    <w:rsid w:val="00BB13F4"/>
    <w:rsid w:val="00BB277C"/>
    <w:rsid w:val="00BB3273"/>
    <w:rsid w:val="00BB51A9"/>
    <w:rsid w:val="00BC1BB0"/>
    <w:rsid w:val="00BC5931"/>
    <w:rsid w:val="00BC593B"/>
    <w:rsid w:val="00BD11B2"/>
    <w:rsid w:val="00BE30F8"/>
    <w:rsid w:val="00BE31AD"/>
    <w:rsid w:val="00BF4F06"/>
    <w:rsid w:val="00C0146D"/>
    <w:rsid w:val="00C04F28"/>
    <w:rsid w:val="00C06EB4"/>
    <w:rsid w:val="00C2633E"/>
    <w:rsid w:val="00C3264E"/>
    <w:rsid w:val="00C43AFF"/>
    <w:rsid w:val="00C545FA"/>
    <w:rsid w:val="00C7285A"/>
    <w:rsid w:val="00C73D5D"/>
    <w:rsid w:val="00C77314"/>
    <w:rsid w:val="00C80E78"/>
    <w:rsid w:val="00C9305A"/>
    <w:rsid w:val="00C96890"/>
    <w:rsid w:val="00CA32E6"/>
    <w:rsid w:val="00CA3B01"/>
    <w:rsid w:val="00CA7995"/>
    <w:rsid w:val="00CB4AF1"/>
    <w:rsid w:val="00CB5856"/>
    <w:rsid w:val="00CC7431"/>
    <w:rsid w:val="00CD0FB3"/>
    <w:rsid w:val="00CD62C0"/>
    <w:rsid w:val="00CE5E5B"/>
    <w:rsid w:val="00CF00D3"/>
    <w:rsid w:val="00CF413C"/>
    <w:rsid w:val="00D0174E"/>
    <w:rsid w:val="00D072F5"/>
    <w:rsid w:val="00D07B3B"/>
    <w:rsid w:val="00D113DD"/>
    <w:rsid w:val="00D12350"/>
    <w:rsid w:val="00D14EF6"/>
    <w:rsid w:val="00D15A0A"/>
    <w:rsid w:val="00D20708"/>
    <w:rsid w:val="00D24453"/>
    <w:rsid w:val="00D25285"/>
    <w:rsid w:val="00D30D4D"/>
    <w:rsid w:val="00D34860"/>
    <w:rsid w:val="00D37DAA"/>
    <w:rsid w:val="00D456F7"/>
    <w:rsid w:val="00D5070E"/>
    <w:rsid w:val="00D535DC"/>
    <w:rsid w:val="00D54317"/>
    <w:rsid w:val="00D547B6"/>
    <w:rsid w:val="00D60924"/>
    <w:rsid w:val="00D6224D"/>
    <w:rsid w:val="00D63ED9"/>
    <w:rsid w:val="00D647CD"/>
    <w:rsid w:val="00D7272F"/>
    <w:rsid w:val="00D73E01"/>
    <w:rsid w:val="00D80947"/>
    <w:rsid w:val="00D82604"/>
    <w:rsid w:val="00D82A01"/>
    <w:rsid w:val="00D837ED"/>
    <w:rsid w:val="00D8568E"/>
    <w:rsid w:val="00D85FB1"/>
    <w:rsid w:val="00D913E4"/>
    <w:rsid w:val="00D91FF4"/>
    <w:rsid w:val="00D923E9"/>
    <w:rsid w:val="00D92673"/>
    <w:rsid w:val="00D9349D"/>
    <w:rsid w:val="00D95445"/>
    <w:rsid w:val="00D95D97"/>
    <w:rsid w:val="00D960EA"/>
    <w:rsid w:val="00DA1C85"/>
    <w:rsid w:val="00DB5AA2"/>
    <w:rsid w:val="00DD0498"/>
    <w:rsid w:val="00DD40DA"/>
    <w:rsid w:val="00DD76E7"/>
    <w:rsid w:val="00DE2F19"/>
    <w:rsid w:val="00DF2E7E"/>
    <w:rsid w:val="00DF340A"/>
    <w:rsid w:val="00E014AA"/>
    <w:rsid w:val="00E0573A"/>
    <w:rsid w:val="00E11E88"/>
    <w:rsid w:val="00E221FD"/>
    <w:rsid w:val="00E27101"/>
    <w:rsid w:val="00E33022"/>
    <w:rsid w:val="00E40778"/>
    <w:rsid w:val="00E41B11"/>
    <w:rsid w:val="00E41BE5"/>
    <w:rsid w:val="00E533BE"/>
    <w:rsid w:val="00E540B7"/>
    <w:rsid w:val="00E62BB1"/>
    <w:rsid w:val="00E62DB3"/>
    <w:rsid w:val="00E6481E"/>
    <w:rsid w:val="00E70A30"/>
    <w:rsid w:val="00E71FD9"/>
    <w:rsid w:val="00E83C8A"/>
    <w:rsid w:val="00E96F9E"/>
    <w:rsid w:val="00EA2DE2"/>
    <w:rsid w:val="00EA5A80"/>
    <w:rsid w:val="00EB1AE0"/>
    <w:rsid w:val="00EC29B1"/>
    <w:rsid w:val="00EC4F7C"/>
    <w:rsid w:val="00ED5B76"/>
    <w:rsid w:val="00ED7008"/>
    <w:rsid w:val="00ED76B2"/>
    <w:rsid w:val="00EF137B"/>
    <w:rsid w:val="00EF184A"/>
    <w:rsid w:val="00EF2FFD"/>
    <w:rsid w:val="00F0235A"/>
    <w:rsid w:val="00F02767"/>
    <w:rsid w:val="00F03D12"/>
    <w:rsid w:val="00F0488E"/>
    <w:rsid w:val="00F05CAB"/>
    <w:rsid w:val="00F0783D"/>
    <w:rsid w:val="00F210AD"/>
    <w:rsid w:val="00F258A0"/>
    <w:rsid w:val="00F26CEA"/>
    <w:rsid w:val="00F2784F"/>
    <w:rsid w:val="00F36D0F"/>
    <w:rsid w:val="00F42910"/>
    <w:rsid w:val="00F502F0"/>
    <w:rsid w:val="00F51335"/>
    <w:rsid w:val="00F52EEA"/>
    <w:rsid w:val="00F5775E"/>
    <w:rsid w:val="00F62BCA"/>
    <w:rsid w:val="00F65529"/>
    <w:rsid w:val="00F65903"/>
    <w:rsid w:val="00F65A80"/>
    <w:rsid w:val="00F679DE"/>
    <w:rsid w:val="00F72231"/>
    <w:rsid w:val="00F758E9"/>
    <w:rsid w:val="00F7691A"/>
    <w:rsid w:val="00F81CC9"/>
    <w:rsid w:val="00F82EDF"/>
    <w:rsid w:val="00F8480F"/>
    <w:rsid w:val="00F92D04"/>
    <w:rsid w:val="00F95CC2"/>
    <w:rsid w:val="00F95E5F"/>
    <w:rsid w:val="00FA07D9"/>
    <w:rsid w:val="00FB2E9E"/>
    <w:rsid w:val="00FB4FDD"/>
    <w:rsid w:val="00FB5F14"/>
    <w:rsid w:val="00FB7918"/>
    <w:rsid w:val="00FC2237"/>
    <w:rsid w:val="00FC6F2E"/>
    <w:rsid w:val="00FD3799"/>
    <w:rsid w:val="00FD68B7"/>
    <w:rsid w:val="00FE64B9"/>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413B1"/>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0B07EA"/>
    <w:pPr>
      <w:keepNext/>
      <w:spacing w:after="0" w:line="360" w:lineRule="auto"/>
      <w:jc w:val="both"/>
      <w:outlineLvl w:val="0"/>
    </w:pPr>
    <w:rPr>
      <w:rFonts w:ascii="Arial" w:hAnsi="Arial" w:cs="Arial"/>
      <w:i/>
      <w:sz w:val="24"/>
      <w:szCs w:val="24"/>
    </w:rPr>
  </w:style>
  <w:style w:type="paragraph" w:styleId="Heading2">
    <w:name w:val="heading 2"/>
    <w:basedOn w:val="Normal"/>
    <w:next w:val="Normal"/>
    <w:link w:val="Heading2Char"/>
    <w:uiPriority w:val="9"/>
    <w:unhideWhenUsed/>
    <w:qFormat/>
    <w:rsid w:val="00B51514"/>
    <w:pPr>
      <w:keepNext/>
      <w:spacing w:after="0" w:line="360" w:lineRule="auto"/>
      <w:jc w:val="both"/>
      <w:outlineLvl w:val="1"/>
    </w:pPr>
    <w:rPr>
      <w:rFonts w:ascii="Arial" w:hAnsi="Arial" w:cs="Arial"/>
      <w:sz w:val="24"/>
      <w:szCs w:val="24"/>
      <w:u w:val="single"/>
    </w:rPr>
  </w:style>
  <w:style w:type="paragraph" w:styleId="Heading3">
    <w:name w:val="heading 3"/>
    <w:basedOn w:val="Normal"/>
    <w:next w:val="Normal"/>
    <w:link w:val="Heading3Char"/>
    <w:uiPriority w:val="9"/>
    <w:unhideWhenUsed/>
    <w:qFormat/>
    <w:rsid w:val="0093211F"/>
    <w:pPr>
      <w:keepNext/>
      <w:spacing w:after="0" w:line="360" w:lineRule="auto"/>
      <w:jc w:val="center"/>
      <w:outlineLvl w:val="2"/>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78733C"/>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78733C"/>
    <w:rPr>
      <w:rFonts w:ascii="Arial" w:hAnsi="Arial" w:cs="Arial"/>
      <w:sz w:val="24"/>
      <w:szCs w:val="24"/>
      <w:lang w:val="en-ZA"/>
    </w:rPr>
  </w:style>
  <w:style w:type="paragraph" w:styleId="BodyTextIndent">
    <w:name w:val="Body Text Indent"/>
    <w:basedOn w:val="Normal"/>
    <w:link w:val="BodyTextIndentChar"/>
    <w:uiPriority w:val="99"/>
    <w:unhideWhenUsed/>
    <w:rsid w:val="0078733C"/>
    <w:pPr>
      <w:spacing w:after="0" w:line="360" w:lineRule="auto"/>
      <w:ind w:left="20" w:hanging="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8733C"/>
    <w:rPr>
      <w:rFonts w:ascii="Arial" w:hAnsi="Arial" w:cs="Arial"/>
      <w:sz w:val="24"/>
      <w:szCs w:val="24"/>
      <w:lang w:val="en-ZA"/>
    </w:rPr>
  </w:style>
  <w:style w:type="paragraph" w:styleId="BodyText2">
    <w:name w:val="Body Text 2"/>
    <w:basedOn w:val="Normal"/>
    <w:link w:val="BodyText2Char"/>
    <w:uiPriority w:val="99"/>
    <w:unhideWhenUsed/>
    <w:rsid w:val="0078733C"/>
    <w:pPr>
      <w:spacing w:after="0" w:line="360" w:lineRule="auto"/>
    </w:pPr>
    <w:rPr>
      <w:rFonts w:ascii="Arial" w:hAnsi="Arial" w:cs="Arial"/>
      <w:color w:val="7030A0"/>
      <w:sz w:val="24"/>
      <w:szCs w:val="24"/>
    </w:rPr>
  </w:style>
  <w:style w:type="character" w:customStyle="1" w:styleId="BodyText2Char">
    <w:name w:val="Body Text 2 Char"/>
    <w:basedOn w:val="DefaultParagraphFont"/>
    <w:link w:val="BodyText2"/>
    <w:uiPriority w:val="99"/>
    <w:rsid w:val="0078733C"/>
    <w:rPr>
      <w:rFonts w:ascii="Arial" w:hAnsi="Arial" w:cs="Arial"/>
      <w:color w:val="7030A0"/>
      <w:sz w:val="24"/>
      <w:szCs w:val="24"/>
      <w:lang w:val="en-ZA"/>
    </w:rPr>
  </w:style>
  <w:style w:type="paragraph" w:styleId="Header">
    <w:name w:val="header"/>
    <w:basedOn w:val="Normal"/>
    <w:link w:val="HeaderChar"/>
    <w:uiPriority w:val="99"/>
    <w:unhideWhenUsed/>
    <w:rsid w:val="00141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F58"/>
    <w:rPr>
      <w:lang w:val="en-ZA"/>
    </w:rPr>
  </w:style>
  <w:style w:type="character" w:customStyle="1" w:styleId="Heading1Char">
    <w:name w:val="Heading 1 Char"/>
    <w:basedOn w:val="DefaultParagraphFont"/>
    <w:link w:val="Heading1"/>
    <w:uiPriority w:val="9"/>
    <w:rsid w:val="000B07EA"/>
    <w:rPr>
      <w:rFonts w:ascii="Arial" w:hAnsi="Arial" w:cs="Arial"/>
      <w:i/>
      <w:sz w:val="24"/>
      <w:szCs w:val="24"/>
      <w:lang w:val="en-ZA"/>
    </w:rPr>
  </w:style>
  <w:style w:type="character" w:styleId="Hyperlink">
    <w:name w:val="Hyperlink"/>
    <w:basedOn w:val="DefaultParagraphFont"/>
    <w:uiPriority w:val="99"/>
    <w:semiHidden/>
    <w:unhideWhenUsed/>
    <w:rsid w:val="00441476"/>
    <w:rPr>
      <w:color w:val="0000FF"/>
      <w:u w:val="single"/>
    </w:rPr>
  </w:style>
  <w:style w:type="paragraph" w:styleId="BodyText3">
    <w:name w:val="Body Text 3"/>
    <w:basedOn w:val="Normal"/>
    <w:link w:val="BodyText3Char"/>
    <w:uiPriority w:val="99"/>
    <w:unhideWhenUsed/>
    <w:rsid w:val="00815969"/>
    <w:pPr>
      <w:spacing w:after="0" w:line="360" w:lineRule="auto"/>
      <w:jc w:val="both"/>
    </w:pPr>
    <w:rPr>
      <w:rFonts w:ascii="Arial" w:hAnsi="Arial" w:cs="Arial"/>
      <w:lang w:val="en-US"/>
    </w:rPr>
  </w:style>
  <w:style w:type="character" w:customStyle="1" w:styleId="BodyText3Char">
    <w:name w:val="Body Text 3 Char"/>
    <w:basedOn w:val="DefaultParagraphFont"/>
    <w:link w:val="BodyText3"/>
    <w:uiPriority w:val="99"/>
    <w:rsid w:val="00815969"/>
    <w:rPr>
      <w:rFonts w:ascii="Arial" w:hAnsi="Arial" w:cs="Arial"/>
    </w:rPr>
  </w:style>
  <w:style w:type="character" w:customStyle="1" w:styleId="Heading2Char">
    <w:name w:val="Heading 2 Char"/>
    <w:basedOn w:val="DefaultParagraphFont"/>
    <w:link w:val="Heading2"/>
    <w:uiPriority w:val="9"/>
    <w:rsid w:val="00B51514"/>
    <w:rPr>
      <w:rFonts w:ascii="Arial" w:hAnsi="Arial" w:cs="Arial"/>
      <w:sz w:val="24"/>
      <w:szCs w:val="24"/>
      <w:u w:val="single"/>
      <w:lang w:val="en-ZA"/>
    </w:rPr>
  </w:style>
  <w:style w:type="character" w:customStyle="1" w:styleId="Heading3Char">
    <w:name w:val="Heading 3 Char"/>
    <w:basedOn w:val="DefaultParagraphFont"/>
    <w:link w:val="Heading3"/>
    <w:uiPriority w:val="9"/>
    <w:rsid w:val="0093211F"/>
    <w:rPr>
      <w:rFonts w:ascii="Arial" w:eastAsia="Times New Roman" w:hAnsi="Arial" w:cs="Arial"/>
      <w:b/>
      <w:sz w:val="24"/>
      <w:szCs w:val="24"/>
    </w:rPr>
  </w:style>
  <w:style w:type="paragraph" w:customStyle="1" w:styleId="western">
    <w:name w:val="western"/>
    <w:basedOn w:val="Normal"/>
    <w:rsid w:val="008E7AC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DD0498"/>
    <w:rPr>
      <w:sz w:val="16"/>
      <w:szCs w:val="16"/>
    </w:rPr>
  </w:style>
  <w:style w:type="paragraph" w:styleId="CommentText">
    <w:name w:val="annotation text"/>
    <w:basedOn w:val="Normal"/>
    <w:link w:val="CommentTextChar"/>
    <w:uiPriority w:val="99"/>
    <w:semiHidden/>
    <w:unhideWhenUsed/>
    <w:rsid w:val="00DD0498"/>
    <w:pPr>
      <w:spacing w:line="240" w:lineRule="auto"/>
    </w:pPr>
    <w:rPr>
      <w:sz w:val="20"/>
      <w:szCs w:val="20"/>
    </w:rPr>
  </w:style>
  <w:style w:type="character" w:customStyle="1" w:styleId="CommentTextChar">
    <w:name w:val="Comment Text Char"/>
    <w:basedOn w:val="DefaultParagraphFont"/>
    <w:link w:val="CommentText"/>
    <w:uiPriority w:val="99"/>
    <w:semiHidden/>
    <w:rsid w:val="00DD0498"/>
    <w:rPr>
      <w:sz w:val="20"/>
      <w:szCs w:val="20"/>
      <w:lang w:val="en-ZA"/>
    </w:rPr>
  </w:style>
  <w:style w:type="paragraph" w:styleId="CommentSubject">
    <w:name w:val="annotation subject"/>
    <w:basedOn w:val="CommentText"/>
    <w:next w:val="CommentText"/>
    <w:link w:val="CommentSubjectChar"/>
    <w:uiPriority w:val="99"/>
    <w:semiHidden/>
    <w:unhideWhenUsed/>
    <w:rsid w:val="00DD0498"/>
    <w:rPr>
      <w:b/>
      <w:bCs/>
    </w:rPr>
  </w:style>
  <w:style w:type="character" w:customStyle="1" w:styleId="CommentSubjectChar">
    <w:name w:val="Comment Subject Char"/>
    <w:basedOn w:val="CommentTextChar"/>
    <w:link w:val="CommentSubject"/>
    <w:uiPriority w:val="99"/>
    <w:semiHidden/>
    <w:rsid w:val="00DD0498"/>
    <w:rPr>
      <w:b/>
      <w:bCs/>
      <w:sz w:val="20"/>
      <w:szCs w:val="20"/>
      <w:lang w:val="en-ZA"/>
    </w:rPr>
  </w:style>
  <w:style w:type="paragraph" w:styleId="Title">
    <w:name w:val="Title"/>
    <w:basedOn w:val="Normal"/>
    <w:next w:val="Normal"/>
    <w:link w:val="TitleChar"/>
    <w:uiPriority w:val="10"/>
    <w:qFormat/>
    <w:rsid w:val="008E4F65"/>
    <w:pPr>
      <w:spacing w:after="0" w:line="360" w:lineRule="auto"/>
      <w:jc w:val="center"/>
    </w:pPr>
    <w:rPr>
      <w:rFonts w:ascii="Arial" w:hAnsi="Arial" w:cs="Arial"/>
      <w:b/>
      <w:sz w:val="24"/>
      <w:szCs w:val="24"/>
    </w:rPr>
  </w:style>
  <w:style w:type="character" w:customStyle="1" w:styleId="TitleChar">
    <w:name w:val="Title Char"/>
    <w:basedOn w:val="DefaultParagraphFont"/>
    <w:link w:val="Title"/>
    <w:uiPriority w:val="10"/>
    <w:rsid w:val="008E4F65"/>
    <w:rPr>
      <w:rFonts w:ascii="Arial" w:hAnsi="Arial" w:cs="Arial"/>
      <w:b/>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4596">
      <w:bodyDiv w:val="1"/>
      <w:marLeft w:val="0"/>
      <w:marRight w:val="0"/>
      <w:marTop w:val="0"/>
      <w:marBottom w:val="0"/>
      <w:divBdr>
        <w:top w:val="none" w:sz="0" w:space="0" w:color="auto"/>
        <w:left w:val="none" w:sz="0" w:space="0" w:color="auto"/>
        <w:bottom w:val="none" w:sz="0" w:space="0" w:color="auto"/>
        <w:right w:val="none" w:sz="0" w:space="0" w:color="auto"/>
      </w:divBdr>
    </w:div>
    <w:div w:id="1551528162">
      <w:bodyDiv w:val="1"/>
      <w:marLeft w:val="0"/>
      <w:marRight w:val="0"/>
      <w:marTop w:val="0"/>
      <w:marBottom w:val="0"/>
      <w:divBdr>
        <w:top w:val="none" w:sz="0" w:space="0" w:color="auto"/>
        <w:left w:val="none" w:sz="0" w:space="0" w:color="auto"/>
        <w:bottom w:val="none" w:sz="0" w:space="0" w:color="auto"/>
        <w:right w:val="none" w:sz="0" w:space="0" w:color="auto"/>
      </w:divBdr>
    </w:div>
    <w:div w:id="19938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2024-05-09T18:30:00+00:00</Judgment_x0020_Date>
    <Year xmlns="c1afb1bd-f2fb-40fd-9abb-aea55b4d7662">2024</Year>
  </documentManagement>
</p:properties>
</file>

<file path=customXml/itemProps1.xml><?xml version="1.0" encoding="utf-8"?>
<ds:datastoreItem xmlns:ds="http://schemas.openxmlformats.org/officeDocument/2006/customXml" ds:itemID="{0E8D81AC-7669-4472-8BE4-B9C9B2DC9CC7}"/>
</file>

<file path=customXml/itemProps2.xml><?xml version="1.0" encoding="utf-8"?>
<ds:datastoreItem xmlns:ds="http://schemas.openxmlformats.org/officeDocument/2006/customXml" ds:itemID="{76945AB3-1882-407B-A3EC-76CD47080490}"/>
</file>

<file path=customXml/itemProps3.xml><?xml version="1.0" encoding="utf-8"?>
<ds:datastoreItem xmlns:ds="http://schemas.openxmlformats.org/officeDocument/2006/customXml" ds:itemID="{FCC9B4A5-A901-4ABE-A717-D88BA102AA57}"/>
</file>

<file path=customXml/itemProps4.xml><?xml version="1.0" encoding="utf-8"?>
<ds:datastoreItem xmlns:ds="http://schemas.openxmlformats.org/officeDocument/2006/customXml" ds:itemID="{3A738BC5-1B99-40D0-B30B-C7ED16453C36}"/>
</file>

<file path=docProps/app.xml><?xml version="1.0" encoding="utf-8"?>
<Properties xmlns="http://schemas.openxmlformats.org/officeDocument/2006/extended-properties" xmlns:vt="http://schemas.openxmlformats.org/officeDocument/2006/docPropsVTypes">
  <Template>Normal</Template>
  <TotalTime>1</TotalTime>
  <Pages>10</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 Products (Pty) Ltd v IG Of The Namibian Police (HC-MD-CIV-MOT-GEN-2024-00133) [2024] NAHCMD 221 (10 May 2024)</dc:title>
  <dc:subject/>
  <dc:creator>shomany keister</dc:creator>
  <cp:keywords/>
  <dc:description/>
  <cp:lastModifiedBy>Bregitha Coetzee</cp:lastModifiedBy>
  <cp:revision>5</cp:revision>
  <cp:lastPrinted>2024-05-10T12:59:00Z</cp:lastPrinted>
  <dcterms:created xsi:type="dcterms:W3CDTF">2024-05-10T13:06:00Z</dcterms:created>
  <dcterms:modified xsi:type="dcterms:W3CDTF">2024-05-14T07:07:00Z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2cdfba32e7b52501905398caff7c37cc1126380f00be713e6bfbfe12cbdb4e62</vt:lpwstr>
  </property>
  <property fmtid="{D5CDD505-2E9C-101B-9397-08002B2CF9AE}" pid="3" name="ContentTypeId">
    <vt:lpwstr>0x0101000ECE0F99B3F8644397ECB0C536651393</vt:lpwstr>
  </property>
</Properties>
</file>