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3B0F1E" w:rsidRPr="00EB0606" w:rsidRDefault="00226676" w:rsidP="003B0F1E">
            <w:pPr>
              <w:spacing w:line="360" w:lineRule="auto"/>
              <w:jc w:val="both"/>
              <w:rPr>
                <w:rFonts w:ascii="Arial" w:hAnsi="Arial" w:cs="Arial"/>
                <w:sz w:val="24"/>
                <w:szCs w:val="24"/>
                <w:shd w:val="clear" w:color="auto" w:fill="FFFFFF"/>
              </w:rPr>
            </w:pPr>
            <w:r w:rsidRPr="00226676">
              <w:rPr>
                <w:rFonts w:ascii="Arial" w:hAnsi="Arial" w:cs="Arial"/>
                <w:sz w:val="24"/>
                <w:szCs w:val="24"/>
              </w:rPr>
              <w:t>JOSEPH GERSON GARISEB</w:t>
            </w:r>
            <w:r w:rsidR="00D45AD2">
              <w:rPr>
                <w:rFonts w:ascii="Arial" w:hAnsi="Arial" w:cs="Arial"/>
                <w:sz w:val="24"/>
                <w:szCs w:val="24"/>
              </w:rPr>
              <w:t xml:space="preserve">    </w:t>
            </w:r>
            <w:r>
              <w:rPr>
                <w:rFonts w:ascii="Arial" w:hAnsi="Arial" w:cs="Arial"/>
                <w:sz w:val="24"/>
                <w:szCs w:val="24"/>
              </w:rPr>
              <w:t xml:space="preserve">                              </w:t>
            </w:r>
            <w:r w:rsidR="00EB0606" w:rsidRPr="00EB0606">
              <w:rPr>
                <w:rFonts w:ascii="Arial" w:hAnsi="Arial" w:cs="Arial"/>
                <w:sz w:val="24"/>
                <w:szCs w:val="24"/>
              </w:rPr>
              <w:t>PLAINTIFF</w:t>
            </w:r>
          </w:p>
          <w:p w:rsidR="002A5C0F" w:rsidRPr="002A5C0F" w:rsidRDefault="002A5C0F" w:rsidP="00630CCB">
            <w:pPr>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3B0F1E">
            <w:pPr>
              <w:spacing w:line="360" w:lineRule="auto"/>
              <w:jc w:val="both"/>
              <w:rPr>
                <w:rFonts w:ascii="Arial" w:hAnsi="Arial" w:cs="Arial"/>
                <w:sz w:val="24"/>
                <w:szCs w:val="24"/>
                <w:shd w:val="clear" w:color="auto" w:fill="FFFFFF"/>
              </w:rPr>
            </w:pPr>
          </w:p>
          <w:p w:rsidR="00226676" w:rsidRDefault="00226676" w:rsidP="003B0F1E">
            <w:pPr>
              <w:spacing w:line="360" w:lineRule="auto"/>
              <w:jc w:val="both"/>
              <w:rPr>
                <w:rFonts w:ascii="Arial" w:hAnsi="Arial" w:cs="Arial"/>
                <w:sz w:val="24"/>
                <w:szCs w:val="24"/>
              </w:rPr>
            </w:pPr>
            <w:r w:rsidRPr="00226676">
              <w:rPr>
                <w:rFonts w:ascii="Arial" w:hAnsi="Arial" w:cs="Arial"/>
                <w:sz w:val="24"/>
                <w:szCs w:val="24"/>
              </w:rPr>
              <w:t>MINISTRY OF SAFETY AND SECURITY</w:t>
            </w:r>
          </w:p>
          <w:p w:rsidR="003B0F1E" w:rsidRDefault="00226676" w:rsidP="003B0F1E">
            <w:pPr>
              <w:spacing w:line="360" w:lineRule="auto"/>
              <w:jc w:val="both"/>
              <w:rPr>
                <w:rFonts w:ascii="Arial" w:hAnsi="Arial" w:cs="Arial"/>
                <w:sz w:val="24"/>
                <w:szCs w:val="24"/>
              </w:rPr>
            </w:pPr>
            <w:r w:rsidRPr="00226676">
              <w:rPr>
                <w:rFonts w:ascii="Arial" w:hAnsi="Arial" w:cs="Arial"/>
                <w:sz w:val="24"/>
                <w:szCs w:val="24"/>
              </w:rPr>
              <w:t>ALBERT KAWANA</w:t>
            </w:r>
            <w:r w:rsidR="00EB0606" w:rsidRPr="0022592E">
              <w:rPr>
                <w:rFonts w:ascii="Arial" w:hAnsi="Arial" w:cs="Arial"/>
                <w:sz w:val="24"/>
                <w:szCs w:val="24"/>
              </w:rPr>
              <w:t xml:space="preserve">   </w:t>
            </w:r>
            <w:r w:rsidR="00D45AD2">
              <w:rPr>
                <w:rFonts w:ascii="Arial" w:hAnsi="Arial" w:cs="Arial"/>
                <w:sz w:val="24"/>
                <w:szCs w:val="24"/>
              </w:rPr>
              <w:t xml:space="preserve">  </w:t>
            </w:r>
            <w:r>
              <w:rPr>
                <w:rFonts w:ascii="Arial" w:hAnsi="Arial" w:cs="Arial"/>
                <w:sz w:val="24"/>
                <w:szCs w:val="24"/>
              </w:rPr>
              <w:t xml:space="preserve">                               </w:t>
            </w:r>
            <w:r w:rsidR="00D45AD2">
              <w:rPr>
                <w:rFonts w:ascii="Arial" w:hAnsi="Arial" w:cs="Arial"/>
                <w:sz w:val="24"/>
                <w:szCs w:val="24"/>
              </w:rPr>
              <w:t xml:space="preserve">FIRST </w:t>
            </w:r>
            <w:r w:rsidR="00EB0606" w:rsidRPr="00EB0606">
              <w:rPr>
                <w:rFonts w:ascii="Arial" w:hAnsi="Arial" w:cs="Arial"/>
                <w:sz w:val="24"/>
                <w:szCs w:val="24"/>
              </w:rPr>
              <w:t>DEFENDANT</w:t>
            </w:r>
          </w:p>
          <w:p w:rsidR="00226676" w:rsidRDefault="00226676" w:rsidP="003B0F1E">
            <w:pPr>
              <w:spacing w:line="360" w:lineRule="auto"/>
              <w:jc w:val="both"/>
              <w:rPr>
                <w:rFonts w:ascii="Arial" w:hAnsi="Arial" w:cs="Arial"/>
                <w:sz w:val="24"/>
                <w:szCs w:val="24"/>
              </w:rPr>
            </w:pPr>
            <w:r w:rsidRPr="00226676">
              <w:rPr>
                <w:rFonts w:ascii="Arial" w:hAnsi="Arial" w:cs="Arial"/>
                <w:sz w:val="24"/>
                <w:szCs w:val="24"/>
              </w:rPr>
              <w:t xml:space="preserve">C/GENERAL </w:t>
            </w:r>
          </w:p>
          <w:p w:rsidR="00D45AD2" w:rsidRDefault="00226676" w:rsidP="003B0F1E">
            <w:pPr>
              <w:spacing w:line="360" w:lineRule="auto"/>
              <w:jc w:val="both"/>
              <w:rPr>
                <w:rFonts w:ascii="Arial" w:hAnsi="Arial" w:cs="Arial"/>
                <w:sz w:val="24"/>
                <w:szCs w:val="24"/>
              </w:rPr>
            </w:pPr>
            <w:r w:rsidRPr="00226676">
              <w:rPr>
                <w:rFonts w:ascii="Arial" w:hAnsi="Arial" w:cs="Arial"/>
                <w:sz w:val="24"/>
                <w:szCs w:val="24"/>
              </w:rPr>
              <w:t>RAPHAEL HAMUNYELA</w:t>
            </w:r>
            <w:r w:rsidR="00D45AD2">
              <w:rPr>
                <w:rFonts w:ascii="Arial" w:hAnsi="Arial" w:cs="Arial"/>
                <w:sz w:val="24"/>
                <w:szCs w:val="24"/>
              </w:rPr>
              <w:t xml:space="preserve">                          SECOND DEFENDANT</w:t>
            </w:r>
          </w:p>
          <w:p w:rsidR="00226676" w:rsidRDefault="00226676" w:rsidP="003B0F1E">
            <w:pPr>
              <w:spacing w:line="360" w:lineRule="auto"/>
              <w:jc w:val="both"/>
              <w:rPr>
                <w:rFonts w:ascii="Arial" w:hAnsi="Arial" w:cs="Arial"/>
                <w:sz w:val="24"/>
                <w:szCs w:val="24"/>
              </w:rPr>
            </w:pPr>
            <w:r w:rsidRPr="00226676">
              <w:rPr>
                <w:rFonts w:ascii="Arial" w:hAnsi="Arial" w:cs="Arial"/>
                <w:sz w:val="24"/>
                <w:szCs w:val="24"/>
              </w:rPr>
              <w:t>IKOSA LEONARD MAHUNDU</w:t>
            </w:r>
            <w:r>
              <w:rPr>
                <w:rFonts w:ascii="Arial" w:hAnsi="Arial" w:cs="Arial"/>
                <w:sz w:val="24"/>
                <w:szCs w:val="24"/>
              </w:rPr>
              <w:t xml:space="preserve">                THIRD DEFENDANT</w:t>
            </w:r>
          </w:p>
          <w:p w:rsidR="00226676" w:rsidRDefault="00CC657E" w:rsidP="003B0F1E">
            <w:pPr>
              <w:spacing w:line="360" w:lineRule="auto"/>
              <w:jc w:val="both"/>
              <w:rPr>
                <w:rFonts w:ascii="Arial" w:hAnsi="Arial" w:cs="Arial"/>
              </w:rPr>
            </w:pPr>
            <w:r w:rsidRPr="00CC657E">
              <w:rPr>
                <w:rFonts w:ascii="Arial" w:hAnsi="Arial" w:cs="Arial"/>
              </w:rPr>
              <w:t>G ASHIMBANGA</w:t>
            </w:r>
            <w:r>
              <w:rPr>
                <w:rFonts w:ascii="Arial" w:hAnsi="Arial" w:cs="Arial"/>
              </w:rPr>
              <w:t xml:space="preserve">                                           FOURTH DEFENDANT</w:t>
            </w:r>
          </w:p>
          <w:p w:rsidR="00CC657E" w:rsidRDefault="00CC657E" w:rsidP="003B0F1E">
            <w:pPr>
              <w:spacing w:line="360" w:lineRule="auto"/>
              <w:jc w:val="both"/>
              <w:rPr>
                <w:rFonts w:ascii="Arial" w:hAnsi="Arial" w:cs="Arial"/>
                <w:sz w:val="24"/>
                <w:szCs w:val="24"/>
              </w:rPr>
            </w:pPr>
            <w:r w:rsidRPr="00CC657E">
              <w:rPr>
                <w:rFonts w:ascii="Arial" w:hAnsi="Arial" w:cs="Arial"/>
                <w:sz w:val="24"/>
                <w:szCs w:val="24"/>
              </w:rPr>
              <w:t>HAFENI KASHINDUKA</w:t>
            </w:r>
            <w:r>
              <w:rPr>
                <w:rFonts w:ascii="Arial" w:hAnsi="Arial" w:cs="Arial"/>
                <w:sz w:val="24"/>
                <w:szCs w:val="24"/>
              </w:rPr>
              <w:t xml:space="preserve">                            FIFTH DEFENDANT</w:t>
            </w:r>
          </w:p>
          <w:p w:rsidR="00206B05" w:rsidRPr="00CC657E" w:rsidRDefault="00CC657E" w:rsidP="0022592E">
            <w:pPr>
              <w:spacing w:line="360" w:lineRule="auto"/>
              <w:jc w:val="both"/>
              <w:rPr>
                <w:rFonts w:ascii="Arial" w:hAnsi="Arial" w:cs="Arial"/>
                <w:sz w:val="24"/>
                <w:szCs w:val="24"/>
              </w:rPr>
            </w:pPr>
            <w:r w:rsidRPr="00CC657E">
              <w:rPr>
                <w:rFonts w:ascii="Arial" w:hAnsi="Arial" w:cs="Arial"/>
                <w:sz w:val="24"/>
                <w:szCs w:val="24"/>
              </w:rPr>
              <w:t>CS NUUYOMA</w:t>
            </w:r>
            <w:r>
              <w:rPr>
                <w:rFonts w:ascii="Arial" w:hAnsi="Arial" w:cs="Arial"/>
                <w:sz w:val="24"/>
                <w:szCs w:val="24"/>
              </w:rPr>
              <w:t xml:space="preserve">                                         SIXTH DEFENDANT</w:t>
            </w: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226676" w:rsidRDefault="00226676" w:rsidP="00C71A4D">
            <w:pPr>
              <w:spacing w:line="360" w:lineRule="auto"/>
              <w:jc w:val="both"/>
              <w:rPr>
                <w:rFonts w:ascii="Arial" w:hAnsi="Arial" w:cs="Arial"/>
                <w:sz w:val="24"/>
                <w:szCs w:val="24"/>
              </w:rPr>
            </w:pPr>
            <w:r w:rsidRPr="00226676">
              <w:rPr>
                <w:rFonts w:ascii="Arial" w:hAnsi="Arial" w:cs="Arial"/>
                <w:sz w:val="24"/>
                <w:szCs w:val="24"/>
              </w:rPr>
              <w:t>HC-MD-CIV-ACT-OTH-2022/04053</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CC657E" w:rsidP="00801B03">
            <w:pPr>
              <w:spacing w:line="360" w:lineRule="auto"/>
              <w:jc w:val="both"/>
              <w:rPr>
                <w:rFonts w:ascii="Arial" w:hAnsi="Arial" w:cs="Arial"/>
                <w:sz w:val="24"/>
                <w:szCs w:val="24"/>
              </w:rPr>
            </w:pPr>
            <w:r>
              <w:rPr>
                <w:rFonts w:ascii="Arial" w:hAnsi="Arial" w:cs="Arial"/>
                <w:sz w:val="24"/>
                <w:szCs w:val="24"/>
              </w:rPr>
              <w:t>24</w:t>
            </w:r>
            <w:r w:rsidR="00EB0606">
              <w:rPr>
                <w:rFonts w:ascii="Arial" w:hAnsi="Arial" w:cs="Arial"/>
                <w:sz w:val="24"/>
                <w:szCs w:val="24"/>
              </w:rPr>
              <w:t xml:space="preserve"> </w:t>
            </w:r>
            <w:r w:rsidR="00801B03">
              <w:rPr>
                <w:rFonts w:ascii="Arial" w:hAnsi="Arial" w:cs="Arial"/>
                <w:sz w:val="24"/>
                <w:szCs w:val="24"/>
              </w:rPr>
              <w:t>APRIL</w:t>
            </w:r>
            <w:r w:rsidR="00EB0606">
              <w:rPr>
                <w:rFonts w:ascii="Arial" w:hAnsi="Arial" w:cs="Arial"/>
                <w:sz w:val="24"/>
                <w:szCs w:val="24"/>
              </w:rPr>
              <w:t xml:space="preserve">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AE350A" w:rsidP="00AE350A">
            <w:pPr>
              <w:spacing w:line="360" w:lineRule="auto"/>
              <w:jc w:val="both"/>
              <w:rPr>
                <w:rFonts w:ascii="Arial" w:hAnsi="Arial" w:cs="Arial"/>
                <w:b/>
                <w:sz w:val="24"/>
                <w:szCs w:val="24"/>
              </w:rPr>
            </w:pPr>
            <w:r>
              <w:rPr>
                <w:rFonts w:ascii="Arial" w:hAnsi="Arial" w:cs="Arial"/>
                <w:sz w:val="24"/>
                <w:szCs w:val="24"/>
              </w:rPr>
              <w:t>15</w:t>
            </w:r>
            <w:r w:rsidR="00C97B0A">
              <w:rPr>
                <w:rFonts w:ascii="Arial" w:hAnsi="Arial" w:cs="Arial"/>
                <w:sz w:val="24"/>
                <w:szCs w:val="24"/>
              </w:rPr>
              <w:t xml:space="preserve"> </w:t>
            </w:r>
            <w:r>
              <w:rPr>
                <w:rFonts w:ascii="Arial" w:hAnsi="Arial" w:cs="Arial"/>
                <w:sz w:val="24"/>
                <w:szCs w:val="24"/>
              </w:rPr>
              <w:t>MAY</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CA7995" w:rsidRDefault="00B40844" w:rsidP="00A45AD6">
            <w:pPr>
              <w:spacing w:line="360" w:lineRule="auto"/>
              <w:ind w:left="2161" w:hanging="2161"/>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9840E2">
              <w:rPr>
                <w:rFonts w:ascii="Arial" w:hAnsi="Arial" w:cs="Arial"/>
                <w:sz w:val="24"/>
                <w:szCs w:val="24"/>
              </w:rPr>
              <w:t xml:space="preserve"> </w:t>
            </w:r>
            <w:bookmarkStart w:id="0" w:name="_GoBack"/>
            <w:proofErr w:type="spellStart"/>
            <w:r w:rsidR="00CC657E">
              <w:rPr>
                <w:rFonts w:ascii="Arial" w:hAnsi="Arial" w:cs="Arial"/>
                <w:i/>
                <w:sz w:val="24"/>
                <w:szCs w:val="24"/>
              </w:rPr>
              <w:t>G</w:t>
            </w:r>
            <w:r w:rsidR="00CC657E" w:rsidRPr="00CC657E">
              <w:rPr>
                <w:rFonts w:ascii="Arial" w:hAnsi="Arial" w:cs="Arial"/>
                <w:i/>
                <w:sz w:val="24"/>
                <w:szCs w:val="24"/>
              </w:rPr>
              <w:t>ariseb</w:t>
            </w:r>
            <w:proofErr w:type="spellEnd"/>
            <w:r w:rsidR="00CC657E" w:rsidRPr="00CC657E">
              <w:rPr>
                <w:rFonts w:ascii="Arial" w:hAnsi="Arial" w:cs="Arial"/>
                <w:i/>
                <w:sz w:val="24"/>
                <w:szCs w:val="24"/>
              </w:rPr>
              <w:t xml:space="preserve">  v </w:t>
            </w:r>
            <w:r w:rsidR="00CC657E">
              <w:rPr>
                <w:rFonts w:ascii="Arial" w:hAnsi="Arial" w:cs="Arial"/>
                <w:i/>
                <w:sz w:val="24"/>
                <w:szCs w:val="24"/>
              </w:rPr>
              <w:t>M</w:t>
            </w:r>
            <w:r w:rsidR="00CC657E" w:rsidRPr="00CC657E">
              <w:rPr>
                <w:rFonts w:ascii="Arial" w:hAnsi="Arial" w:cs="Arial"/>
                <w:i/>
                <w:sz w:val="24"/>
                <w:szCs w:val="24"/>
              </w:rPr>
              <w:t xml:space="preserve">inistry of </w:t>
            </w:r>
            <w:r w:rsidR="00CC657E">
              <w:rPr>
                <w:rFonts w:ascii="Arial" w:hAnsi="Arial" w:cs="Arial"/>
                <w:i/>
                <w:sz w:val="24"/>
                <w:szCs w:val="24"/>
              </w:rPr>
              <w:t>S</w:t>
            </w:r>
            <w:r w:rsidR="00CC657E" w:rsidRPr="00CC657E">
              <w:rPr>
                <w:rFonts w:ascii="Arial" w:hAnsi="Arial" w:cs="Arial"/>
                <w:i/>
                <w:sz w:val="24"/>
                <w:szCs w:val="24"/>
              </w:rPr>
              <w:t xml:space="preserve">afety and </w:t>
            </w:r>
            <w:r w:rsidR="00CC657E">
              <w:rPr>
                <w:rFonts w:ascii="Arial" w:hAnsi="Arial" w:cs="Arial"/>
                <w:i/>
                <w:sz w:val="24"/>
                <w:szCs w:val="24"/>
              </w:rPr>
              <w:t>S</w:t>
            </w:r>
            <w:r w:rsidR="00CC657E" w:rsidRPr="00CC657E">
              <w:rPr>
                <w:rFonts w:ascii="Arial" w:hAnsi="Arial" w:cs="Arial"/>
                <w:i/>
                <w:sz w:val="24"/>
                <w:szCs w:val="24"/>
              </w:rPr>
              <w:t>ecurity</w:t>
            </w:r>
            <w:r w:rsidR="00CC657E">
              <w:rPr>
                <w:rFonts w:ascii="Arial" w:hAnsi="Arial" w:cs="Arial"/>
                <w:i/>
                <w:sz w:val="24"/>
                <w:szCs w:val="24"/>
              </w:rPr>
              <w:t xml:space="preserve"> A</w:t>
            </w:r>
            <w:r w:rsidR="00CC657E" w:rsidRPr="00CC657E">
              <w:rPr>
                <w:rFonts w:ascii="Arial" w:hAnsi="Arial" w:cs="Arial"/>
                <w:i/>
                <w:sz w:val="24"/>
                <w:szCs w:val="24"/>
              </w:rPr>
              <w:t xml:space="preserve">lbert </w:t>
            </w:r>
            <w:proofErr w:type="spellStart"/>
            <w:r w:rsidR="00CC657E">
              <w:rPr>
                <w:rFonts w:ascii="Arial" w:hAnsi="Arial" w:cs="Arial"/>
                <w:i/>
                <w:sz w:val="24"/>
                <w:szCs w:val="24"/>
              </w:rPr>
              <w:t>K</w:t>
            </w:r>
            <w:r w:rsidR="00CC657E" w:rsidRPr="00CC657E">
              <w:rPr>
                <w:rFonts w:ascii="Arial" w:hAnsi="Arial" w:cs="Arial"/>
                <w:i/>
                <w:sz w:val="24"/>
                <w:szCs w:val="24"/>
              </w:rPr>
              <w:t>awana</w:t>
            </w:r>
            <w:proofErr w:type="spellEnd"/>
            <w:r w:rsidR="00CC657E" w:rsidRPr="00C71A4D">
              <w:rPr>
                <w:rFonts w:ascii="Arial" w:hAnsi="Arial" w:cs="Arial"/>
                <w:sz w:val="24"/>
                <w:szCs w:val="24"/>
              </w:rPr>
              <w:t xml:space="preserve"> </w:t>
            </w:r>
            <w:r w:rsidR="003F3D99" w:rsidRPr="00C71A4D">
              <w:rPr>
                <w:rFonts w:ascii="Arial" w:hAnsi="Arial" w:cs="Arial"/>
                <w:sz w:val="24"/>
                <w:szCs w:val="24"/>
              </w:rPr>
              <w:t>(</w:t>
            </w:r>
            <w:r w:rsidR="003B3F7F" w:rsidRPr="00226676">
              <w:rPr>
                <w:rFonts w:ascii="Arial" w:hAnsi="Arial" w:cs="Arial"/>
                <w:sz w:val="24"/>
                <w:szCs w:val="24"/>
              </w:rPr>
              <w:t>HC-MD-CIV-ACT-OTH-2022/04053</w:t>
            </w:r>
            <w:r w:rsidR="003F3D99" w:rsidRPr="00C71A4D">
              <w:rPr>
                <w:rFonts w:ascii="Arial" w:hAnsi="Arial" w:cs="Arial"/>
                <w:sz w:val="24"/>
                <w:szCs w:val="24"/>
              </w:rPr>
              <w:t xml:space="preserve">) [2024] NAHCMD </w:t>
            </w:r>
            <w:r w:rsidR="00A45AD6">
              <w:rPr>
                <w:rFonts w:ascii="Arial" w:hAnsi="Arial" w:cs="Arial"/>
                <w:sz w:val="24"/>
                <w:szCs w:val="24"/>
              </w:rPr>
              <w:t>226</w:t>
            </w:r>
            <w:r w:rsidR="003F3D99" w:rsidRPr="00C71A4D">
              <w:rPr>
                <w:rFonts w:ascii="Arial" w:hAnsi="Arial" w:cs="Arial"/>
                <w:sz w:val="24"/>
                <w:szCs w:val="24"/>
              </w:rPr>
              <w:t xml:space="preserve"> (</w:t>
            </w:r>
            <w:r w:rsidR="00D45AD2">
              <w:rPr>
                <w:rFonts w:ascii="Arial" w:hAnsi="Arial" w:cs="Arial"/>
                <w:sz w:val="24"/>
                <w:szCs w:val="24"/>
              </w:rPr>
              <w:t>15</w:t>
            </w:r>
            <w:r w:rsidR="00C97B0A" w:rsidRPr="00C71A4D">
              <w:rPr>
                <w:rFonts w:ascii="Arial" w:hAnsi="Arial" w:cs="Arial"/>
                <w:sz w:val="24"/>
                <w:szCs w:val="24"/>
              </w:rPr>
              <w:t xml:space="preserve"> </w:t>
            </w:r>
            <w:r w:rsidR="00D45AD2">
              <w:rPr>
                <w:rFonts w:ascii="Arial" w:hAnsi="Arial" w:cs="Arial"/>
                <w:sz w:val="24"/>
                <w:szCs w:val="24"/>
              </w:rPr>
              <w:t>May</w:t>
            </w:r>
            <w:r w:rsidR="003F3D99" w:rsidRPr="00C71A4D">
              <w:rPr>
                <w:rFonts w:ascii="Arial" w:hAnsi="Arial" w:cs="Arial"/>
                <w:sz w:val="24"/>
                <w:szCs w:val="24"/>
              </w:rPr>
              <w:t xml:space="preserve"> 2024)</w:t>
            </w:r>
            <w:bookmarkEnd w:id="0"/>
          </w:p>
        </w:tc>
      </w:tr>
      <w:tr w:rsidR="00CA7995" w:rsidRPr="00CA7995" w:rsidTr="003B0F1E">
        <w:tc>
          <w:tcPr>
            <w:tcW w:w="10632" w:type="dxa"/>
            <w:gridSpan w:val="3"/>
          </w:tcPr>
          <w:p w:rsidR="00B40844" w:rsidRPr="00CA1ACD" w:rsidRDefault="00B40844" w:rsidP="000F238E">
            <w:pPr>
              <w:spacing w:line="360" w:lineRule="auto"/>
              <w:jc w:val="both"/>
              <w:rPr>
                <w:rFonts w:ascii="Arial" w:hAnsi="Arial" w:cs="Arial"/>
                <w:b/>
                <w:sz w:val="24"/>
                <w:szCs w:val="24"/>
              </w:rPr>
            </w:pPr>
            <w:r w:rsidRPr="00CA1ACD">
              <w:rPr>
                <w:rFonts w:ascii="Arial" w:hAnsi="Arial" w:cs="Arial"/>
                <w:b/>
                <w:sz w:val="24"/>
                <w:szCs w:val="24"/>
              </w:rPr>
              <w:t>IT IS ORDERED THAT:</w:t>
            </w:r>
          </w:p>
          <w:p w:rsidR="00801711" w:rsidRPr="00630CCB" w:rsidRDefault="00801711" w:rsidP="000F238E">
            <w:pPr>
              <w:spacing w:line="360" w:lineRule="auto"/>
              <w:jc w:val="both"/>
              <w:rPr>
                <w:rFonts w:ascii="Arial" w:hAnsi="Arial" w:cs="Arial"/>
                <w:b/>
              </w:rPr>
            </w:pPr>
          </w:p>
          <w:p w:rsidR="000B4B0A" w:rsidRPr="00CA1ACD" w:rsidRDefault="00CA1ACD"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 special plea of prescription is upheld.</w:t>
            </w:r>
          </w:p>
          <w:p w:rsidR="000B4B0A" w:rsidRPr="00CA1ACD" w:rsidRDefault="000B4B0A" w:rsidP="000B4B0A">
            <w:pPr>
              <w:spacing w:line="360" w:lineRule="auto"/>
              <w:ind w:left="743"/>
              <w:jc w:val="both"/>
              <w:rPr>
                <w:rFonts w:ascii="Arial" w:hAnsi="Arial" w:cs="Arial"/>
                <w:sz w:val="24"/>
                <w:szCs w:val="24"/>
              </w:rPr>
            </w:pPr>
          </w:p>
          <w:p w:rsidR="000B4B0A" w:rsidRPr="00CA1ACD" w:rsidRDefault="00CA1ACD"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 plaintiff’s claim is dismissed.</w:t>
            </w:r>
          </w:p>
          <w:p w:rsidR="000B4B0A" w:rsidRPr="00CA1ACD" w:rsidRDefault="000B4B0A" w:rsidP="000B4B0A">
            <w:pPr>
              <w:spacing w:line="360" w:lineRule="auto"/>
              <w:ind w:left="743"/>
              <w:jc w:val="both"/>
              <w:rPr>
                <w:rFonts w:ascii="Arial" w:hAnsi="Arial" w:cs="Arial"/>
                <w:sz w:val="24"/>
                <w:szCs w:val="24"/>
              </w:rPr>
            </w:pPr>
          </w:p>
          <w:p w:rsidR="000B4B0A" w:rsidRPr="00CA1ACD" w:rsidRDefault="00CA1ACD" w:rsidP="000B4B0A">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There is no order as to costs.</w:t>
            </w:r>
          </w:p>
          <w:p w:rsidR="000B4B0A" w:rsidRPr="00CA1ACD" w:rsidRDefault="000B4B0A" w:rsidP="000B4B0A">
            <w:pPr>
              <w:spacing w:line="360" w:lineRule="auto"/>
              <w:ind w:left="743"/>
              <w:jc w:val="both"/>
              <w:rPr>
                <w:rFonts w:ascii="Arial" w:hAnsi="Arial" w:cs="Arial"/>
                <w:sz w:val="24"/>
                <w:szCs w:val="24"/>
              </w:rPr>
            </w:pPr>
          </w:p>
          <w:p w:rsidR="000B4B0A" w:rsidRPr="00CA1ACD" w:rsidRDefault="00043173" w:rsidP="000B4B0A">
            <w:pPr>
              <w:numPr>
                <w:ilvl w:val="0"/>
                <w:numId w:val="15"/>
              </w:numPr>
              <w:spacing w:line="360" w:lineRule="auto"/>
              <w:ind w:left="743" w:hanging="709"/>
              <w:jc w:val="both"/>
              <w:rPr>
                <w:rFonts w:ascii="Arial" w:hAnsi="Arial" w:cs="Arial"/>
                <w:sz w:val="24"/>
                <w:szCs w:val="24"/>
              </w:rPr>
            </w:pPr>
            <w:r w:rsidRPr="00CA1ACD">
              <w:rPr>
                <w:rFonts w:ascii="Arial" w:hAnsi="Arial" w:cs="Arial"/>
                <w:sz w:val="24"/>
                <w:szCs w:val="24"/>
              </w:rPr>
              <w:t>The matter is finalised and removed from the roll.</w:t>
            </w:r>
          </w:p>
          <w:p w:rsidR="000F238E" w:rsidRPr="00CA1ACD" w:rsidRDefault="000F238E" w:rsidP="000B4B0A">
            <w:pPr>
              <w:pStyle w:val="NormalWeb"/>
              <w:shd w:val="clear" w:color="auto" w:fill="FFFFFF"/>
              <w:spacing w:before="0" w:beforeAutospacing="0" w:after="0" w:afterAutospacing="0" w:line="360" w:lineRule="auto"/>
              <w:ind w:left="743"/>
              <w:jc w:val="both"/>
              <w:rPr>
                <w:rFonts w:ascii="Arial" w:hAnsi="Arial" w:cs="Arial"/>
                <w:lang w:val="en-US"/>
              </w:rPr>
            </w:pPr>
          </w:p>
        </w:tc>
      </w:tr>
      <w:tr w:rsidR="00CA7995" w:rsidRPr="00CA7995" w:rsidTr="00F75046">
        <w:trPr>
          <w:trHeight w:val="558"/>
        </w:trPr>
        <w:tc>
          <w:tcPr>
            <w:tcW w:w="10632" w:type="dxa"/>
            <w:gridSpan w:val="3"/>
            <w:vAlign w:val="center"/>
          </w:tcPr>
          <w:p w:rsidR="00705A2C" w:rsidRPr="00CA1ACD" w:rsidRDefault="00B40844" w:rsidP="00F75046">
            <w:pPr>
              <w:tabs>
                <w:tab w:val="right" w:pos="9693"/>
              </w:tabs>
              <w:spacing w:line="360" w:lineRule="auto"/>
              <w:rPr>
                <w:rFonts w:ascii="Arial" w:hAnsi="Arial" w:cs="Arial"/>
                <w:b/>
                <w:sz w:val="24"/>
                <w:szCs w:val="24"/>
              </w:rPr>
            </w:pPr>
            <w:r w:rsidRPr="00CA1ACD">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0B4B0A" w:rsidRPr="00CA1ACD" w:rsidRDefault="000B4B0A" w:rsidP="001B494D">
            <w:pPr>
              <w:tabs>
                <w:tab w:val="left" w:pos="729"/>
              </w:tabs>
              <w:spacing w:line="360" w:lineRule="auto"/>
              <w:rPr>
                <w:rFonts w:ascii="Arial" w:hAnsi="Arial" w:cs="Arial"/>
                <w:sz w:val="24"/>
                <w:szCs w:val="24"/>
              </w:rPr>
            </w:pPr>
          </w:p>
          <w:p w:rsidR="001B494D" w:rsidRPr="00CA1ACD" w:rsidRDefault="00AE57BB" w:rsidP="001B494D">
            <w:pPr>
              <w:tabs>
                <w:tab w:val="left" w:pos="729"/>
              </w:tabs>
              <w:spacing w:line="360" w:lineRule="auto"/>
              <w:rPr>
                <w:rFonts w:ascii="Arial" w:hAnsi="Arial" w:cs="Arial"/>
                <w:sz w:val="24"/>
                <w:szCs w:val="24"/>
              </w:rPr>
            </w:pPr>
            <w:r w:rsidRPr="00CA1ACD">
              <w:rPr>
                <w:rFonts w:ascii="Arial" w:hAnsi="Arial" w:cs="Arial"/>
                <w:sz w:val="24"/>
                <w:szCs w:val="24"/>
              </w:rPr>
              <w:t>PARKER AJ:</w:t>
            </w:r>
          </w:p>
          <w:p w:rsidR="00AE57BB" w:rsidRPr="00CA1ACD" w:rsidRDefault="00AE57BB" w:rsidP="001B494D">
            <w:pPr>
              <w:tabs>
                <w:tab w:val="left" w:pos="729"/>
              </w:tabs>
              <w:spacing w:line="360" w:lineRule="auto"/>
              <w:rPr>
                <w:rFonts w:ascii="Arial" w:hAnsi="Arial" w:cs="Arial"/>
                <w:sz w:val="24"/>
                <w:szCs w:val="24"/>
              </w:rPr>
            </w:pPr>
          </w:p>
          <w:p w:rsidR="000B4B0A" w:rsidRPr="00CA1ACD" w:rsidRDefault="000B4B0A" w:rsidP="000B4B0A">
            <w:pPr>
              <w:spacing w:line="360" w:lineRule="auto"/>
              <w:jc w:val="both"/>
              <w:rPr>
                <w:rFonts w:ascii="Arial" w:hAnsi="Arial" w:cs="Arial"/>
                <w:sz w:val="24"/>
                <w:szCs w:val="24"/>
              </w:rPr>
            </w:pPr>
            <w:r w:rsidRPr="00CA1ACD">
              <w:rPr>
                <w:rFonts w:ascii="Arial" w:hAnsi="Arial" w:cs="Arial"/>
                <w:sz w:val="24"/>
                <w:szCs w:val="24"/>
              </w:rPr>
              <w:t>[1]</w:t>
            </w:r>
            <w:r w:rsidRPr="00CA1ACD">
              <w:rPr>
                <w:rFonts w:ascii="Arial" w:hAnsi="Arial" w:cs="Arial"/>
                <w:sz w:val="24"/>
                <w:szCs w:val="24"/>
              </w:rPr>
              <w:tab/>
            </w:r>
            <w:r w:rsidR="00BB02B6" w:rsidRPr="00CA1ACD">
              <w:rPr>
                <w:rFonts w:ascii="Arial" w:hAnsi="Arial" w:cs="Arial"/>
                <w:sz w:val="24"/>
                <w:szCs w:val="24"/>
              </w:rPr>
              <w:t xml:space="preserve">The plaintiff, who appeared in person, is an inmate at the </w:t>
            </w:r>
            <w:proofErr w:type="spellStart"/>
            <w:r w:rsidR="00BB02B6" w:rsidRPr="00CA1ACD">
              <w:rPr>
                <w:rFonts w:ascii="Arial" w:hAnsi="Arial" w:cs="Arial"/>
                <w:sz w:val="24"/>
                <w:szCs w:val="24"/>
              </w:rPr>
              <w:t>Evaristus</w:t>
            </w:r>
            <w:proofErr w:type="spellEnd"/>
            <w:r w:rsidR="00BB02B6" w:rsidRPr="00CA1ACD">
              <w:rPr>
                <w:rFonts w:ascii="Arial" w:hAnsi="Arial" w:cs="Arial"/>
                <w:sz w:val="24"/>
                <w:szCs w:val="24"/>
              </w:rPr>
              <w:t xml:space="preserve"> Correctional Facility.  He instituted action against the defendants by summons filed and issued on 15 September 2020.  Thus, the civil action was entered into against the State for the acts in question (to use the language of the Correctional Service Act 9 of 2012) on 15 September 2020.</w:t>
            </w:r>
          </w:p>
          <w:p w:rsidR="000B4B0A" w:rsidRPr="00CA1ACD" w:rsidRDefault="000B4B0A" w:rsidP="000B4B0A">
            <w:pPr>
              <w:spacing w:line="360" w:lineRule="auto"/>
              <w:jc w:val="both"/>
              <w:rPr>
                <w:rFonts w:ascii="Arial" w:hAnsi="Arial" w:cs="Arial"/>
                <w:sz w:val="24"/>
                <w:szCs w:val="24"/>
              </w:rPr>
            </w:pPr>
          </w:p>
          <w:p w:rsidR="000B4B0A" w:rsidRPr="00CA1ACD" w:rsidRDefault="000B4B0A" w:rsidP="000B4B0A">
            <w:pPr>
              <w:spacing w:line="360" w:lineRule="auto"/>
              <w:jc w:val="both"/>
              <w:rPr>
                <w:rFonts w:ascii="Arial" w:hAnsi="Arial" w:cs="Arial"/>
                <w:sz w:val="24"/>
                <w:szCs w:val="24"/>
              </w:rPr>
            </w:pPr>
            <w:r w:rsidRPr="00CA1ACD">
              <w:rPr>
                <w:rFonts w:ascii="Arial" w:hAnsi="Arial" w:cs="Arial"/>
                <w:sz w:val="24"/>
                <w:szCs w:val="24"/>
              </w:rPr>
              <w:t>[2]</w:t>
            </w:r>
            <w:r w:rsidRPr="00CA1ACD">
              <w:rPr>
                <w:rFonts w:ascii="Arial" w:hAnsi="Arial" w:cs="Arial"/>
                <w:sz w:val="24"/>
                <w:szCs w:val="24"/>
              </w:rPr>
              <w:tab/>
            </w:r>
            <w:r w:rsidR="00D152AB" w:rsidRPr="00CA1ACD">
              <w:rPr>
                <w:rFonts w:ascii="Arial" w:hAnsi="Arial" w:cs="Arial"/>
                <w:sz w:val="24"/>
                <w:szCs w:val="24"/>
              </w:rPr>
              <w:t xml:space="preserve">The respondents, represented by Ms </w:t>
            </w:r>
            <w:proofErr w:type="spellStart"/>
            <w:r w:rsidR="00D152AB" w:rsidRPr="00CA1ACD">
              <w:rPr>
                <w:rFonts w:ascii="Arial" w:hAnsi="Arial" w:cs="Arial"/>
                <w:sz w:val="24"/>
                <w:szCs w:val="24"/>
              </w:rPr>
              <w:t>Fenyeho</w:t>
            </w:r>
            <w:proofErr w:type="spellEnd"/>
            <w:r w:rsidR="00D152AB" w:rsidRPr="00CA1ACD">
              <w:rPr>
                <w:rFonts w:ascii="Arial" w:hAnsi="Arial" w:cs="Arial"/>
                <w:sz w:val="24"/>
                <w:szCs w:val="24"/>
              </w:rPr>
              <w:t xml:space="preserve">, have raised a special plea of prescription in terms of s 133 (3) of the Correctional Service Act 9 of 2012 (‘the Act’).  The respondents aver </w:t>
            </w:r>
            <w:r w:rsidR="00D47473">
              <w:rPr>
                <w:rFonts w:ascii="Arial" w:hAnsi="Arial" w:cs="Arial"/>
                <w:sz w:val="24"/>
                <w:szCs w:val="24"/>
              </w:rPr>
              <w:t xml:space="preserve">that </w:t>
            </w:r>
            <w:r w:rsidR="00D152AB" w:rsidRPr="00CA1ACD">
              <w:rPr>
                <w:rFonts w:ascii="Arial" w:hAnsi="Arial" w:cs="Arial"/>
                <w:sz w:val="24"/>
                <w:szCs w:val="24"/>
              </w:rPr>
              <w:t>the time limit within which the plaintiff was entitled to enter into the action has expired, and so the plaintiff’s claim has prescribed.</w:t>
            </w:r>
          </w:p>
          <w:p w:rsidR="000B4B0A" w:rsidRPr="00CA1ACD" w:rsidRDefault="000B4B0A" w:rsidP="000B4B0A">
            <w:pPr>
              <w:spacing w:line="360" w:lineRule="auto"/>
              <w:jc w:val="both"/>
              <w:rPr>
                <w:rFonts w:ascii="Arial" w:hAnsi="Arial" w:cs="Arial"/>
                <w:sz w:val="24"/>
                <w:szCs w:val="24"/>
              </w:rPr>
            </w:pPr>
          </w:p>
          <w:p w:rsidR="000B4B0A" w:rsidRPr="00CA1ACD" w:rsidRDefault="000B4B0A" w:rsidP="00D45AD2">
            <w:pPr>
              <w:spacing w:line="360" w:lineRule="auto"/>
              <w:jc w:val="both"/>
              <w:rPr>
                <w:rFonts w:ascii="Arial" w:hAnsi="Arial" w:cs="Arial"/>
                <w:sz w:val="24"/>
                <w:szCs w:val="24"/>
              </w:rPr>
            </w:pPr>
            <w:r w:rsidRPr="00CA1ACD">
              <w:rPr>
                <w:rFonts w:ascii="Arial" w:hAnsi="Arial" w:cs="Arial"/>
                <w:sz w:val="24"/>
                <w:szCs w:val="24"/>
              </w:rPr>
              <w:t>[3]</w:t>
            </w:r>
            <w:r w:rsidRPr="00CA1ACD">
              <w:rPr>
                <w:rFonts w:ascii="Arial" w:hAnsi="Arial" w:cs="Arial"/>
                <w:sz w:val="24"/>
                <w:szCs w:val="24"/>
              </w:rPr>
              <w:tab/>
            </w:r>
            <w:r w:rsidR="00D152AB" w:rsidRPr="00CA1ACD">
              <w:rPr>
                <w:rFonts w:ascii="Arial" w:hAnsi="Arial" w:cs="Arial"/>
                <w:sz w:val="24"/>
                <w:szCs w:val="24"/>
              </w:rPr>
              <w:t>It is undisputed and indisputable that the cause of action, according to the particulars of claim, arose on 7 May 2021, 7 September 2021 and 6 October</w:t>
            </w:r>
            <w:r w:rsidR="00643DE0">
              <w:rPr>
                <w:rFonts w:ascii="Arial" w:hAnsi="Arial" w:cs="Arial"/>
                <w:sz w:val="24"/>
                <w:szCs w:val="24"/>
              </w:rPr>
              <w:t xml:space="preserve"> 2021. </w:t>
            </w:r>
            <w:r w:rsidR="00D152AB" w:rsidRPr="00CA1ACD">
              <w:rPr>
                <w:rFonts w:ascii="Arial" w:hAnsi="Arial" w:cs="Arial"/>
                <w:sz w:val="24"/>
                <w:szCs w:val="24"/>
              </w:rPr>
              <w:t>Therefore, as respects the claim based on the cause of action that arose on</w:t>
            </w:r>
            <w:r w:rsidR="00D47473">
              <w:rPr>
                <w:rFonts w:ascii="Arial" w:hAnsi="Arial" w:cs="Arial"/>
                <w:sz w:val="24"/>
                <w:szCs w:val="24"/>
              </w:rPr>
              <w:t>-</w:t>
            </w:r>
          </w:p>
          <w:p w:rsidR="00D152AB" w:rsidRPr="00CA1ACD" w:rsidRDefault="00D152AB" w:rsidP="00D45AD2">
            <w:pPr>
              <w:spacing w:line="360" w:lineRule="auto"/>
              <w:jc w:val="both"/>
              <w:rPr>
                <w:rFonts w:ascii="Arial" w:hAnsi="Arial" w:cs="Arial"/>
                <w:sz w:val="24"/>
                <w:szCs w:val="24"/>
              </w:rPr>
            </w:pPr>
          </w:p>
          <w:p w:rsidR="00D152AB" w:rsidRPr="00CA1ACD" w:rsidRDefault="00D152AB" w:rsidP="00643DE0">
            <w:pPr>
              <w:pStyle w:val="ListParagraph"/>
              <w:numPr>
                <w:ilvl w:val="0"/>
                <w:numId w:val="16"/>
              </w:numPr>
              <w:spacing w:line="360" w:lineRule="auto"/>
              <w:ind w:left="601" w:hanging="601"/>
              <w:jc w:val="both"/>
              <w:rPr>
                <w:rFonts w:ascii="Arial" w:hAnsi="Arial" w:cs="Arial"/>
                <w:sz w:val="24"/>
                <w:szCs w:val="24"/>
              </w:rPr>
            </w:pPr>
            <w:r w:rsidRPr="00CA1ACD">
              <w:rPr>
                <w:rFonts w:ascii="Arial" w:hAnsi="Arial" w:cs="Arial"/>
                <w:sz w:val="24"/>
                <w:szCs w:val="24"/>
              </w:rPr>
              <w:t>7 May 2021, the claim prescribed on 6 November 2021;</w:t>
            </w:r>
          </w:p>
          <w:p w:rsidR="00D152AB" w:rsidRPr="00CA1ACD" w:rsidRDefault="00D152AB" w:rsidP="00643DE0">
            <w:pPr>
              <w:pStyle w:val="ListParagraph"/>
              <w:numPr>
                <w:ilvl w:val="0"/>
                <w:numId w:val="16"/>
              </w:numPr>
              <w:spacing w:line="360" w:lineRule="auto"/>
              <w:ind w:left="601" w:hanging="601"/>
              <w:jc w:val="both"/>
              <w:rPr>
                <w:rFonts w:ascii="Arial" w:hAnsi="Arial" w:cs="Arial"/>
                <w:sz w:val="24"/>
                <w:szCs w:val="24"/>
              </w:rPr>
            </w:pPr>
            <w:r w:rsidRPr="00CA1ACD">
              <w:rPr>
                <w:rFonts w:ascii="Arial" w:hAnsi="Arial" w:cs="Arial"/>
                <w:sz w:val="24"/>
                <w:szCs w:val="24"/>
              </w:rPr>
              <w:t>7 September 2021, the claim prescribed on 6 March 2022;</w:t>
            </w:r>
          </w:p>
          <w:p w:rsidR="00D152AB" w:rsidRPr="00CA1ACD" w:rsidRDefault="00D152AB" w:rsidP="00643DE0">
            <w:pPr>
              <w:pStyle w:val="ListParagraph"/>
              <w:numPr>
                <w:ilvl w:val="0"/>
                <w:numId w:val="16"/>
              </w:numPr>
              <w:spacing w:line="360" w:lineRule="auto"/>
              <w:ind w:left="601" w:hanging="601"/>
              <w:jc w:val="both"/>
              <w:rPr>
                <w:rFonts w:ascii="Arial" w:hAnsi="Arial" w:cs="Arial"/>
                <w:sz w:val="24"/>
                <w:szCs w:val="24"/>
              </w:rPr>
            </w:pPr>
            <w:r w:rsidRPr="00CA1ACD">
              <w:rPr>
                <w:rFonts w:ascii="Arial" w:hAnsi="Arial" w:cs="Arial"/>
                <w:sz w:val="24"/>
                <w:szCs w:val="24"/>
              </w:rPr>
              <w:t>6 October 2021, the claim prescribed on 5 April 2022.</w:t>
            </w:r>
          </w:p>
          <w:p w:rsidR="000B4B0A" w:rsidRPr="00CA1ACD" w:rsidRDefault="000B4B0A" w:rsidP="000B4B0A">
            <w:pPr>
              <w:spacing w:line="360" w:lineRule="auto"/>
              <w:jc w:val="both"/>
              <w:rPr>
                <w:rFonts w:ascii="Arial" w:hAnsi="Arial" w:cs="Arial"/>
                <w:sz w:val="24"/>
                <w:szCs w:val="24"/>
              </w:rPr>
            </w:pPr>
          </w:p>
          <w:p w:rsidR="000B4B0A" w:rsidRPr="00CA1ACD" w:rsidRDefault="000B4B0A" w:rsidP="000B4B0A">
            <w:pPr>
              <w:spacing w:line="360" w:lineRule="auto"/>
              <w:jc w:val="both"/>
              <w:rPr>
                <w:rFonts w:ascii="Arial" w:hAnsi="Arial" w:cs="Arial"/>
                <w:sz w:val="24"/>
                <w:szCs w:val="24"/>
              </w:rPr>
            </w:pPr>
            <w:r w:rsidRPr="00CA1ACD">
              <w:rPr>
                <w:rFonts w:ascii="Arial" w:hAnsi="Arial" w:cs="Arial"/>
                <w:sz w:val="24"/>
                <w:szCs w:val="24"/>
              </w:rPr>
              <w:t>[4]</w:t>
            </w:r>
            <w:r w:rsidRPr="00CA1ACD">
              <w:rPr>
                <w:rFonts w:ascii="Arial" w:hAnsi="Arial" w:cs="Arial"/>
                <w:sz w:val="24"/>
                <w:szCs w:val="24"/>
              </w:rPr>
              <w:tab/>
            </w:r>
            <w:r w:rsidR="008433B8" w:rsidRPr="00CA1ACD">
              <w:rPr>
                <w:rFonts w:ascii="Arial" w:hAnsi="Arial" w:cs="Arial"/>
                <w:sz w:val="24"/>
                <w:szCs w:val="24"/>
              </w:rPr>
              <w:t>I find and hold that there is nothing that a person (a plaintiff) can do to be allowed to sue after the expiry of the time limit</w:t>
            </w:r>
            <w:r w:rsidR="00D47473">
              <w:rPr>
                <w:rFonts w:ascii="Arial" w:hAnsi="Arial" w:cs="Arial"/>
                <w:sz w:val="24"/>
                <w:szCs w:val="24"/>
              </w:rPr>
              <w:t>.</w:t>
            </w:r>
            <w:r w:rsidR="008433B8" w:rsidRPr="00CA1ACD">
              <w:rPr>
                <w:rFonts w:ascii="Arial" w:hAnsi="Arial" w:cs="Arial"/>
                <w:sz w:val="24"/>
                <w:szCs w:val="24"/>
              </w:rPr>
              <w:t xml:space="preserve"> </w:t>
            </w:r>
            <w:r w:rsidR="00D47473">
              <w:rPr>
                <w:rFonts w:ascii="Arial" w:hAnsi="Arial" w:cs="Arial"/>
                <w:sz w:val="24"/>
                <w:szCs w:val="24"/>
              </w:rPr>
              <w:t xml:space="preserve"> H</w:t>
            </w:r>
            <w:r w:rsidR="008433B8" w:rsidRPr="00CA1ACD">
              <w:rPr>
                <w:rFonts w:ascii="Arial" w:hAnsi="Arial" w:cs="Arial"/>
                <w:sz w:val="24"/>
                <w:szCs w:val="24"/>
              </w:rPr>
              <w:t>e or she was time barred.  Even if the plaintiff gave one-month notice to institute the action in terms of s 133(4) of the Act, that will not lift the bar.</w:t>
            </w:r>
            <w:r w:rsidR="008433B8" w:rsidRPr="00CA1ACD">
              <w:rPr>
                <w:rStyle w:val="FootnoteReference"/>
                <w:rFonts w:ascii="Arial" w:hAnsi="Arial" w:cs="Arial"/>
                <w:sz w:val="24"/>
                <w:szCs w:val="24"/>
              </w:rPr>
              <w:footnoteReference w:id="1"/>
            </w:r>
            <w:r w:rsidR="008433B8" w:rsidRPr="00CA1ACD">
              <w:rPr>
                <w:rFonts w:ascii="Arial" w:hAnsi="Arial" w:cs="Arial"/>
                <w:sz w:val="24"/>
                <w:szCs w:val="24"/>
              </w:rPr>
              <w:t xml:space="preserve"> The width of the wording </w:t>
            </w:r>
            <w:r w:rsidR="008433B8" w:rsidRPr="00CA1ACD">
              <w:rPr>
                <w:rFonts w:ascii="Arial" w:hAnsi="Arial" w:cs="Arial"/>
                <w:sz w:val="24"/>
                <w:szCs w:val="24"/>
              </w:rPr>
              <w:lastRenderedPageBreak/>
              <w:t>of s 133(3), whose provisions are peremptory, compels the conclusion that there is no provision in the Act that would entitle the court to condone the late entering into the action by the plaintiff after the expiry of the six months’ time limitation.</w:t>
            </w:r>
            <w:r w:rsidR="008433B8" w:rsidRPr="00CA1ACD">
              <w:rPr>
                <w:rStyle w:val="FootnoteReference"/>
                <w:rFonts w:ascii="Arial" w:hAnsi="Arial" w:cs="Arial"/>
                <w:sz w:val="24"/>
                <w:szCs w:val="24"/>
              </w:rPr>
              <w:footnoteReference w:id="2"/>
            </w:r>
            <w:r w:rsidR="009F4D3F">
              <w:rPr>
                <w:rFonts w:ascii="Arial" w:hAnsi="Arial" w:cs="Arial"/>
                <w:sz w:val="24"/>
                <w:szCs w:val="24"/>
              </w:rPr>
              <w:t xml:space="preserve"> </w:t>
            </w:r>
            <w:r w:rsidR="00CC6906" w:rsidRPr="00CA1ACD">
              <w:rPr>
                <w:rFonts w:ascii="Arial" w:hAnsi="Arial" w:cs="Arial"/>
                <w:sz w:val="24"/>
                <w:szCs w:val="24"/>
              </w:rPr>
              <w:t xml:space="preserve">Any contrary view would undoubtedly defeat the purpose of the limitation provision and undermine the intention of the Legislature </w:t>
            </w:r>
            <w:proofErr w:type="spellStart"/>
            <w:r w:rsidR="00CC6906" w:rsidRPr="00CA1ACD">
              <w:rPr>
                <w:rFonts w:ascii="Arial" w:hAnsi="Arial" w:cs="Arial"/>
                <w:sz w:val="24"/>
                <w:szCs w:val="24"/>
              </w:rPr>
              <w:t>thereanent</w:t>
            </w:r>
            <w:proofErr w:type="spellEnd"/>
            <w:r w:rsidR="00CC6906" w:rsidRPr="00CA1ACD">
              <w:rPr>
                <w:rFonts w:ascii="Arial" w:hAnsi="Arial" w:cs="Arial"/>
                <w:sz w:val="24"/>
                <w:szCs w:val="24"/>
              </w:rPr>
              <w:t>. In sum, failure to institute action for acts or omissions complained of within the time limit disentitled the plaintiff to seek relief in the court.</w:t>
            </w:r>
          </w:p>
          <w:p w:rsidR="000B4B0A" w:rsidRPr="00CA1ACD" w:rsidRDefault="000B4B0A" w:rsidP="000B4B0A">
            <w:pPr>
              <w:spacing w:line="360" w:lineRule="auto"/>
              <w:jc w:val="both"/>
              <w:rPr>
                <w:rFonts w:ascii="Arial" w:hAnsi="Arial" w:cs="Arial"/>
                <w:sz w:val="24"/>
                <w:szCs w:val="24"/>
              </w:rPr>
            </w:pPr>
          </w:p>
          <w:p w:rsidR="000B4B0A" w:rsidRPr="00CA1ACD" w:rsidRDefault="000B4B0A" w:rsidP="000B4B0A">
            <w:pPr>
              <w:spacing w:line="360" w:lineRule="auto"/>
              <w:jc w:val="both"/>
              <w:rPr>
                <w:rFonts w:ascii="Arial" w:hAnsi="Arial" w:cs="Arial"/>
                <w:sz w:val="24"/>
                <w:szCs w:val="24"/>
              </w:rPr>
            </w:pPr>
            <w:r w:rsidRPr="00CA1ACD">
              <w:rPr>
                <w:rFonts w:ascii="Arial" w:hAnsi="Arial" w:cs="Arial"/>
                <w:sz w:val="24"/>
                <w:szCs w:val="24"/>
              </w:rPr>
              <w:t>[5]</w:t>
            </w:r>
            <w:r w:rsidRPr="00CA1ACD">
              <w:rPr>
                <w:rFonts w:ascii="Arial" w:hAnsi="Arial" w:cs="Arial"/>
                <w:sz w:val="24"/>
                <w:szCs w:val="24"/>
              </w:rPr>
              <w:tab/>
            </w:r>
            <w:r w:rsidR="00010E45" w:rsidRPr="00CA1ACD">
              <w:rPr>
                <w:rFonts w:ascii="Arial" w:hAnsi="Arial" w:cs="Arial"/>
                <w:sz w:val="24"/>
                <w:szCs w:val="24"/>
              </w:rPr>
              <w:t xml:space="preserve">The giving </w:t>
            </w:r>
            <w:r w:rsidR="002C7ABA">
              <w:rPr>
                <w:rFonts w:ascii="Arial" w:hAnsi="Arial" w:cs="Arial"/>
                <w:sz w:val="24"/>
                <w:szCs w:val="24"/>
              </w:rPr>
              <w:t xml:space="preserve">of </w:t>
            </w:r>
            <w:r w:rsidR="00010E45" w:rsidRPr="00CA1ACD">
              <w:rPr>
                <w:rFonts w:ascii="Arial" w:hAnsi="Arial" w:cs="Arial"/>
                <w:sz w:val="24"/>
                <w:szCs w:val="24"/>
              </w:rPr>
              <w:t>the said notice and the s 133(3) limitation provision as are contained in s 133(3) and (4) of the Act serve a legitimate and reasonable governmental purpose and are justified by reference to the public interest.</w:t>
            </w:r>
            <w:r w:rsidR="00010E45" w:rsidRPr="00CA1ACD">
              <w:rPr>
                <w:rStyle w:val="FootnoteReference"/>
                <w:rFonts w:ascii="Arial" w:hAnsi="Arial" w:cs="Arial"/>
                <w:sz w:val="24"/>
                <w:szCs w:val="24"/>
              </w:rPr>
              <w:footnoteReference w:id="3"/>
            </w:r>
            <w:r w:rsidR="001E1BD4" w:rsidRPr="00CA1ACD">
              <w:rPr>
                <w:rFonts w:ascii="Arial" w:hAnsi="Arial" w:cs="Arial"/>
                <w:sz w:val="24"/>
                <w:szCs w:val="24"/>
              </w:rPr>
              <w:t xml:space="preserve"> Indeed, the time limitation provisions in the Act merely restricts the institution of action ‘by imposing a time limit within which the matter must be brought to court.’</w:t>
            </w:r>
            <w:r w:rsidR="001E1BD4" w:rsidRPr="00CA1ACD">
              <w:rPr>
                <w:rStyle w:val="FootnoteReference"/>
                <w:rFonts w:ascii="Arial" w:hAnsi="Arial" w:cs="Arial"/>
                <w:sz w:val="24"/>
                <w:szCs w:val="24"/>
              </w:rPr>
              <w:footnoteReference w:id="4"/>
            </w:r>
            <w:r w:rsidR="00D52CB3" w:rsidRPr="00CA1ACD">
              <w:rPr>
                <w:rFonts w:ascii="Arial" w:hAnsi="Arial" w:cs="Arial"/>
                <w:sz w:val="24"/>
                <w:szCs w:val="24"/>
              </w:rPr>
              <w:t xml:space="preserve"> They do not prevent </w:t>
            </w:r>
            <w:r w:rsidR="00D47473">
              <w:rPr>
                <w:rFonts w:ascii="Arial" w:hAnsi="Arial" w:cs="Arial"/>
                <w:sz w:val="24"/>
                <w:szCs w:val="24"/>
              </w:rPr>
              <w:t>an</w:t>
            </w:r>
            <w:r w:rsidR="00D52CB3" w:rsidRPr="00CA1ACD">
              <w:rPr>
                <w:rFonts w:ascii="Arial" w:hAnsi="Arial" w:cs="Arial"/>
                <w:sz w:val="24"/>
                <w:szCs w:val="24"/>
              </w:rPr>
              <w:t xml:space="preserve"> aggrieved </w:t>
            </w:r>
            <w:r w:rsidR="00D47473">
              <w:rPr>
                <w:rFonts w:ascii="Arial" w:hAnsi="Arial" w:cs="Arial"/>
                <w:sz w:val="24"/>
                <w:szCs w:val="24"/>
              </w:rPr>
              <w:t xml:space="preserve">person </w:t>
            </w:r>
            <w:r w:rsidR="00D52CB3" w:rsidRPr="00CA1ACD">
              <w:rPr>
                <w:rFonts w:ascii="Arial" w:hAnsi="Arial" w:cs="Arial"/>
                <w:sz w:val="24"/>
                <w:szCs w:val="24"/>
              </w:rPr>
              <w:t>from vindicating his or her right in the court.</w:t>
            </w:r>
          </w:p>
          <w:p w:rsidR="00D52CB3" w:rsidRPr="00CA1ACD" w:rsidRDefault="00D52CB3" w:rsidP="000B4B0A">
            <w:pPr>
              <w:spacing w:line="360" w:lineRule="auto"/>
              <w:jc w:val="both"/>
              <w:rPr>
                <w:rFonts w:ascii="Arial" w:hAnsi="Arial" w:cs="Arial"/>
                <w:sz w:val="24"/>
                <w:szCs w:val="24"/>
              </w:rPr>
            </w:pPr>
          </w:p>
          <w:p w:rsidR="00D52CB3" w:rsidRPr="00CA1ACD" w:rsidRDefault="00D52CB3" w:rsidP="000B4B0A">
            <w:pPr>
              <w:spacing w:line="360" w:lineRule="auto"/>
              <w:jc w:val="both"/>
              <w:rPr>
                <w:rFonts w:ascii="Arial" w:hAnsi="Arial" w:cs="Arial"/>
                <w:sz w:val="24"/>
                <w:szCs w:val="24"/>
              </w:rPr>
            </w:pPr>
            <w:r w:rsidRPr="00CA1ACD">
              <w:rPr>
                <w:rFonts w:ascii="Arial" w:hAnsi="Arial" w:cs="Arial"/>
                <w:sz w:val="24"/>
                <w:szCs w:val="24"/>
              </w:rPr>
              <w:t>[6]</w:t>
            </w:r>
            <w:r w:rsidR="00104B9C" w:rsidRPr="00CA1ACD">
              <w:rPr>
                <w:rFonts w:ascii="Arial" w:hAnsi="Arial" w:cs="Arial"/>
                <w:sz w:val="24"/>
                <w:szCs w:val="24"/>
              </w:rPr>
              <w:t xml:space="preserve"> </w:t>
            </w:r>
            <w:r w:rsidR="00104B9C" w:rsidRPr="00CA1ACD">
              <w:rPr>
                <w:rFonts w:ascii="Arial" w:hAnsi="Arial" w:cs="Arial"/>
                <w:sz w:val="24"/>
                <w:szCs w:val="24"/>
              </w:rPr>
              <w:tab/>
              <w:t>The preponderance of the foregoing findings and conclusions are unaffected by the plaintiff’s unproved assertion in his submission that the authorities at the said correctional facility frustrated his effort to enter into the action within the statutory time limit. Considering the nature and circumstances of the case, I make no order as to costs.</w:t>
            </w:r>
          </w:p>
          <w:p w:rsidR="00104B9C" w:rsidRPr="00CA1ACD" w:rsidRDefault="00104B9C" w:rsidP="000B4B0A">
            <w:pPr>
              <w:spacing w:line="360" w:lineRule="auto"/>
              <w:jc w:val="both"/>
              <w:rPr>
                <w:rFonts w:ascii="Arial" w:hAnsi="Arial" w:cs="Arial"/>
                <w:sz w:val="24"/>
                <w:szCs w:val="24"/>
              </w:rPr>
            </w:pPr>
          </w:p>
          <w:p w:rsidR="00104B9C" w:rsidRPr="00CA1ACD" w:rsidRDefault="00104B9C" w:rsidP="000B4B0A">
            <w:pPr>
              <w:spacing w:line="360" w:lineRule="auto"/>
              <w:jc w:val="both"/>
              <w:rPr>
                <w:rFonts w:ascii="Arial" w:hAnsi="Arial" w:cs="Arial"/>
                <w:sz w:val="24"/>
                <w:szCs w:val="24"/>
              </w:rPr>
            </w:pPr>
            <w:r w:rsidRPr="00CA1ACD">
              <w:rPr>
                <w:rFonts w:ascii="Arial" w:hAnsi="Arial" w:cs="Arial"/>
                <w:sz w:val="24"/>
                <w:szCs w:val="24"/>
              </w:rPr>
              <w:t xml:space="preserve">[7] </w:t>
            </w:r>
            <w:r w:rsidRPr="00CA1ACD">
              <w:rPr>
                <w:rFonts w:ascii="Arial" w:hAnsi="Arial" w:cs="Arial"/>
                <w:sz w:val="24"/>
                <w:szCs w:val="24"/>
              </w:rPr>
              <w:tab/>
            </w:r>
            <w:r w:rsidR="00EE3000" w:rsidRPr="00CA1ACD">
              <w:rPr>
                <w:rFonts w:ascii="Arial" w:hAnsi="Arial" w:cs="Arial"/>
                <w:sz w:val="24"/>
                <w:szCs w:val="24"/>
              </w:rPr>
              <w:t>Based on these reasons, I conclude that the respondents have made out a case for the relief sought.</w:t>
            </w:r>
          </w:p>
          <w:p w:rsidR="00714241" w:rsidRPr="00CA1ACD" w:rsidRDefault="00714241" w:rsidP="00801711">
            <w:pPr>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C71A4D">
        <w:trPr>
          <w:trHeight w:val="462"/>
        </w:trPr>
        <w:tc>
          <w:tcPr>
            <w:tcW w:w="5209" w:type="dxa"/>
            <w:vAlign w:val="center"/>
          </w:tcPr>
          <w:p w:rsidR="00B40844" w:rsidRPr="00CA7995" w:rsidRDefault="00751A8C" w:rsidP="00C97B0A">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751A8C" w:rsidP="009E411A">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3B0F1E">
        <w:tc>
          <w:tcPr>
            <w:tcW w:w="5209" w:type="dxa"/>
          </w:tcPr>
          <w:p w:rsidR="003B3F7F" w:rsidRPr="003B3F7F" w:rsidRDefault="003B3F7F" w:rsidP="00751A8C">
            <w:pPr>
              <w:tabs>
                <w:tab w:val="center" w:pos="2603"/>
                <w:tab w:val="left" w:pos="4476"/>
              </w:tabs>
              <w:spacing w:line="360" w:lineRule="auto"/>
              <w:jc w:val="center"/>
              <w:rPr>
                <w:rFonts w:ascii="Arial" w:hAnsi="Arial" w:cs="Arial"/>
                <w:sz w:val="24"/>
                <w:szCs w:val="24"/>
              </w:rPr>
            </w:pPr>
            <w:r w:rsidRPr="003B3F7F">
              <w:rPr>
                <w:rFonts w:ascii="Arial" w:hAnsi="Arial" w:cs="Arial"/>
                <w:sz w:val="24"/>
                <w:szCs w:val="24"/>
              </w:rPr>
              <w:t xml:space="preserve">Mr </w:t>
            </w:r>
            <w:proofErr w:type="spellStart"/>
            <w:r>
              <w:rPr>
                <w:rFonts w:ascii="Arial" w:hAnsi="Arial" w:cs="Arial"/>
                <w:sz w:val="24"/>
                <w:szCs w:val="24"/>
              </w:rPr>
              <w:t>G</w:t>
            </w:r>
            <w:r w:rsidRPr="003B3F7F">
              <w:rPr>
                <w:rFonts w:ascii="Arial" w:hAnsi="Arial" w:cs="Arial"/>
                <w:sz w:val="24"/>
                <w:szCs w:val="24"/>
              </w:rPr>
              <w:t>ariseb</w:t>
            </w:r>
            <w:proofErr w:type="spellEnd"/>
            <w:r w:rsidRPr="003B3F7F">
              <w:rPr>
                <w:rFonts w:ascii="Arial" w:hAnsi="Arial" w:cs="Arial"/>
                <w:sz w:val="24"/>
                <w:szCs w:val="24"/>
              </w:rPr>
              <w:t xml:space="preserve"> – In Person</w:t>
            </w:r>
          </w:p>
          <w:p w:rsidR="00F639A4" w:rsidRPr="00C97B0A" w:rsidRDefault="00F639A4" w:rsidP="003B3F7F">
            <w:pPr>
              <w:spacing w:line="360" w:lineRule="auto"/>
              <w:jc w:val="center"/>
              <w:rPr>
                <w:rFonts w:ascii="Arial" w:hAnsi="Arial" w:cs="Arial"/>
                <w:sz w:val="24"/>
                <w:szCs w:val="24"/>
              </w:rPr>
            </w:pPr>
          </w:p>
        </w:tc>
        <w:tc>
          <w:tcPr>
            <w:tcW w:w="5423" w:type="dxa"/>
            <w:gridSpan w:val="2"/>
          </w:tcPr>
          <w:p w:rsidR="003B3F7F" w:rsidRPr="003B3F7F" w:rsidRDefault="003B3F7F" w:rsidP="002A5C0F">
            <w:pPr>
              <w:spacing w:line="360" w:lineRule="auto"/>
              <w:jc w:val="center"/>
              <w:rPr>
                <w:rFonts w:ascii="Arial" w:hAnsi="Arial" w:cs="Arial"/>
                <w:sz w:val="24"/>
                <w:szCs w:val="24"/>
              </w:rPr>
            </w:pPr>
            <w:r w:rsidRPr="003B3F7F">
              <w:rPr>
                <w:rFonts w:ascii="Arial" w:hAnsi="Arial" w:cs="Arial"/>
                <w:sz w:val="24"/>
                <w:szCs w:val="24"/>
              </w:rPr>
              <w:t xml:space="preserve">Ms  </w:t>
            </w:r>
            <w:proofErr w:type="spellStart"/>
            <w:r>
              <w:rPr>
                <w:rFonts w:ascii="Arial" w:hAnsi="Arial" w:cs="Arial"/>
                <w:sz w:val="24"/>
                <w:szCs w:val="24"/>
              </w:rPr>
              <w:t>F</w:t>
            </w:r>
            <w:r w:rsidRPr="003B3F7F">
              <w:rPr>
                <w:rFonts w:ascii="Arial" w:hAnsi="Arial" w:cs="Arial"/>
                <w:sz w:val="24"/>
                <w:szCs w:val="24"/>
              </w:rPr>
              <w:t>enyeho</w:t>
            </w:r>
            <w:proofErr w:type="spellEnd"/>
          </w:p>
          <w:p w:rsidR="003B3F7F" w:rsidRPr="003B3F7F" w:rsidRDefault="003B3F7F" w:rsidP="002A5C0F">
            <w:pPr>
              <w:spacing w:line="360" w:lineRule="auto"/>
              <w:jc w:val="center"/>
              <w:rPr>
                <w:rFonts w:ascii="Arial" w:hAnsi="Arial" w:cs="Arial"/>
                <w:sz w:val="24"/>
                <w:szCs w:val="24"/>
              </w:rPr>
            </w:pPr>
            <w:r w:rsidRPr="003B3F7F">
              <w:rPr>
                <w:rFonts w:ascii="Arial" w:hAnsi="Arial" w:cs="Arial"/>
                <w:sz w:val="24"/>
                <w:szCs w:val="24"/>
              </w:rPr>
              <w:t>of</w:t>
            </w:r>
          </w:p>
          <w:p w:rsidR="002A5C0F" w:rsidRPr="00AE350A" w:rsidRDefault="003B3F7F" w:rsidP="002A5C0F">
            <w:pPr>
              <w:spacing w:line="360" w:lineRule="auto"/>
              <w:jc w:val="center"/>
              <w:rPr>
                <w:rFonts w:ascii="Arial" w:hAnsi="Arial" w:cs="Arial"/>
                <w:sz w:val="24"/>
                <w:szCs w:val="24"/>
                <w:shd w:val="clear" w:color="auto" w:fill="FFFFFF"/>
              </w:rPr>
            </w:pPr>
            <w:r w:rsidRPr="003B3F7F">
              <w:rPr>
                <w:rFonts w:ascii="Arial" w:hAnsi="Arial" w:cs="Arial"/>
                <w:sz w:val="24"/>
                <w:szCs w:val="24"/>
              </w:rPr>
              <w:t>Office of the Government Attorney</w:t>
            </w:r>
            <w:r w:rsidR="00AE350A" w:rsidRPr="003B3F7F">
              <w:rPr>
                <w:rFonts w:ascii="Arial" w:hAnsi="Arial" w:cs="Arial"/>
                <w:sz w:val="24"/>
                <w:szCs w:val="24"/>
              </w:rPr>
              <w:t>, Windhoek</w:t>
            </w:r>
          </w:p>
        </w:tc>
      </w:tr>
    </w:tbl>
    <w:p w:rsidR="00751A8C" w:rsidRPr="00883004" w:rsidRDefault="00751A8C" w:rsidP="00630CCB">
      <w:pPr>
        <w:jc w:val="both"/>
        <w:rPr>
          <w:rFonts w:ascii="Arial" w:hAnsi="Arial" w:cs="Arial"/>
          <w:sz w:val="24"/>
          <w:szCs w:val="24"/>
        </w:rPr>
      </w:pPr>
    </w:p>
    <w:sectPr w:rsidR="00751A8C" w:rsidRPr="00883004" w:rsidSect="00C97B0A">
      <w:headerReference w:type="default" r:id="rId9"/>
      <w:footerReference w:type="default" r:id="rId10"/>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B7" w:rsidRDefault="00243DB7" w:rsidP="00B40844">
      <w:pPr>
        <w:spacing w:after="0" w:line="240" w:lineRule="auto"/>
      </w:pPr>
      <w:r>
        <w:separator/>
      </w:r>
    </w:p>
  </w:endnote>
  <w:endnote w:type="continuationSeparator" w:id="0">
    <w:p w:rsidR="00243DB7" w:rsidRDefault="00243DB7"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B7" w:rsidRDefault="00243DB7" w:rsidP="00B40844">
      <w:pPr>
        <w:spacing w:after="0" w:line="240" w:lineRule="auto"/>
      </w:pPr>
      <w:r>
        <w:separator/>
      </w:r>
    </w:p>
  </w:footnote>
  <w:footnote w:type="continuationSeparator" w:id="0">
    <w:p w:rsidR="00243DB7" w:rsidRDefault="00243DB7" w:rsidP="00B40844">
      <w:pPr>
        <w:spacing w:after="0" w:line="240" w:lineRule="auto"/>
      </w:pPr>
      <w:r>
        <w:continuationSeparator/>
      </w:r>
    </w:p>
  </w:footnote>
  <w:footnote w:id="1">
    <w:p w:rsidR="008433B8" w:rsidRPr="009F4D3F" w:rsidRDefault="008433B8" w:rsidP="009F4D3F">
      <w:pPr>
        <w:pStyle w:val="FootnoteText"/>
        <w:jc w:val="both"/>
        <w:rPr>
          <w:rFonts w:ascii="Arial" w:hAnsi="Arial" w:cs="Arial"/>
        </w:rPr>
      </w:pPr>
      <w:r w:rsidRPr="009F4D3F">
        <w:rPr>
          <w:rStyle w:val="FootnoteReference"/>
          <w:rFonts w:ascii="Arial" w:hAnsi="Arial" w:cs="Arial"/>
        </w:rPr>
        <w:footnoteRef/>
      </w:r>
      <w:r w:rsidRPr="009F4D3F">
        <w:rPr>
          <w:rFonts w:ascii="Arial" w:hAnsi="Arial" w:cs="Arial"/>
        </w:rPr>
        <w:t xml:space="preserve"> </w:t>
      </w:r>
      <w:r w:rsidRPr="009F4D3F">
        <w:rPr>
          <w:rFonts w:ascii="Arial" w:hAnsi="Arial" w:cs="Arial"/>
          <w:i/>
        </w:rPr>
        <w:t>Kruger v Ministry of Safety and Security</w:t>
      </w:r>
      <w:r w:rsidRPr="009F4D3F">
        <w:rPr>
          <w:rFonts w:ascii="Arial" w:hAnsi="Arial" w:cs="Arial"/>
        </w:rPr>
        <w:t xml:space="preserve"> [2020] NAHCMD 334 (6 August 2020) para 6.</w:t>
      </w:r>
    </w:p>
  </w:footnote>
  <w:footnote w:id="2">
    <w:p w:rsidR="008433B8" w:rsidRPr="009F4D3F" w:rsidRDefault="008433B8" w:rsidP="009F4D3F">
      <w:pPr>
        <w:pStyle w:val="FootnoteText"/>
        <w:jc w:val="both"/>
        <w:rPr>
          <w:rFonts w:ascii="Arial" w:hAnsi="Arial" w:cs="Arial"/>
        </w:rPr>
      </w:pPr>
      <w:r w:rsidRPr="009F4D3F">
        <w:rPr>
          <w:rStyle w:val="FootnoteReference"/>
          <w:rFonts w:ascii="Arial" w:hAnsi="Arial" w:cs="Arial"/>
        </w:rPr>
        <w:footnoteRef/>
      </w:r>
      <w:r w:rsidRPr="009F4D3F">
        <w:rPr>
          <w:rFonts w:ascii="Arial" w:hAnsi="Arial" w:cs="Arial"/>
        </w:rPr>
        <w:t xml:space="preserve"> </w:t>
      </w:r>
      <w:r w:rsidRPr="009F4D3F">
        <w:rPr>
          <w:rFonts w:ascii="Arial" w:hAnsi="Arial" w:cs="Arial"/>
          <w:i/>
        </w:rPr>
        <w:t>Elia v Minister of Safety and Security</w:t>
      </w:r>
      <w:r w:rsidRPr="009F4D3F">
        <w:rPr>
          <w:rFonts w:ascii="Arial" w:hAnsi="Arial" w:cs="Arial"/>
        </w:rPr>
        <w:t xml:space="preserve"> </w:t>
      </w:r>
      <w:r w:rsidR="002C7ABA">
        <w:rPr>
          <w:rFonts w:ascii="Arial" w:hAnsi="Arial" w:cs="Arial"/>
        </w:rPr>
        <w:t>NAHCMD 477 (13 September 2022).</w:t>
      </w:r>
    </w:p>
  </w:footnote>
  <w:footnote w:id="3">
    <w:p w:rsidR="00010E45" w:rsidRPr="009F4D3F" w:rsidRDefault="00010E45" w:rsidP="009F4D3F">
      <w:pPr>
        <w:pStyle w:val="FootnoteText"/>
        <w:jc w:val="both"/>
        <w:rPr>
          <w:rFonts w:ascii="Arial" w:hAnsi="Arial" w:cs="Arial"/>
        </w:rPr>
      </w:pPr>
      <w:r w:rsidRPr="009F4D3F">
        <w:rPr>
          <w:rStyle w:val="FootnoteReference"/>
          <w:rFonts w:ascii="Arial" w:hAnsi="Arial" w:cs="Arial"/>
        </w:rPr>
        <w:footnoteRef/>
      </w:r>
      <w:r w:rsidRPr="009F4D3F">
        <w:rPr>
          <w:rFonts w:ascii="Arial" w:hAnsi="Arial" w:cs="Arial"/>
        </w:rPr>
        <w:t xml:space="preserve"> </w:t>
      </w:r>
      <w:r w:rsidR="001E1BD4" w:rsidRPr="009F4D3F">
        <w:rPr>
          <w:rFonts w:ascii="Arial" w:hAnsi="Arial" w:cs="Arial"/>
        </w:rPr>
        <w:t xml:space="preserve">See Lawrence Baxter </w:t>
      </w:r>
      <w:r w:rsidR="001E1BD4" w:rsidRPr="00630CCB">
        <w:rPr>
          <w:rFonts w:ascii="Arial" w:hAnsi="Arial" w:cs="Arial"/>
          <w:i/>
        </w:rPr>
        <w:t>Administrative Law</w:t>
      </w:r>
      <w:r w:rsidR="001E1BD4" w:rsidRPr="009F4D3F">
        <w:rPr>
          <w:rFonts w:ascii="Arial" w:hAnsi="Arial" w:cs="Arial"/>
        </w:rPr>
        <w:t xml:space="preserve"> (1984) at 734 – 735.</w:t>
      </w:r>
    </w:p>
  </w:footnote>
  <w:footnote w:id="4">
    <w:p w:rsidR="001E1BD4" w:rsidRPr="009F4D3F" w:rsidRDefault="001E1BD4" w:rsidP="009F4D3F">
      <w:pPr>
        <w:pStyle w:val="FootnoteText"/>
        <w:jc w:val="both"/>
        <w:rPr>
          <w:rFonts w:ascii="Arial" w:hAnsi="Arial" w:cs="Arial"/>
        </w:rPr>
      </w:pPr>
      <w:r w:rsidRPr="009F4D3F">
        <w:rPr>
          <w:rStyle w:val="FootnoteReference"/>
          <w:rFonts w:ascii="Arial" w:hAnsi="Arial" w:cs="Arial"/>
        </w:rPr>
        <w:footnoteRef/>
      </w:r>
      <w:r w:rsidRPr="009F4D3F">
        <w:rPr>
          <w:rFonts w:ascii="Arial" w:hAnsi="Arial" w:cs="Arial"/>
        </w:rPr>
        <w:t xml:space="preserve"> </w:t>
      </w:r>
      <w:r w:rsidR="00D52CB3" w:rsidRPr="009F4D3F">
        <w:rPr>
          <w:rFonts w:ascii="Arial" w:hAnsi="Arial" w:cs="Arial"/>
        </w:rPr>
        <w:t>Ibid at 733.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A45AD6">
          <w:rPr>
            <w:rFonts w:ascii="Arial" w:hAnsi="Arial" w:cs="Arial"/>
            <w:noProof/>
            <w:sz w:val="24"/>
            <w:szCs w:val="24"/>
          </w:rPr>
          <w:t>3</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2A27ADF"/>
    <w:multiLevelType w:val="hybridMultilevel"/>
    <w:tmpl w:val="A8F2CD94"/>
    <w:lvl w:ilvl="0" w:tplc="F7BEEA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F5676"/>
    <w:multiLevelType w:val="hybridMultilevel"/>
    <w:tmpl w:val="41F261F6"/>
    <w:lvl w:ilvl="0" w:tplc="3C587DFA">
      <w:start w:val="1"/>
      <w:numFmt w:val="decimal"/>
      <w:lvlText w:val="%1."/>
      <w:lvlJc w:val="left"/>
      <w:pPr>
        <w:ind w:left="2556" w:hanging="57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5"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6"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E814CAE"/>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CF6172"/>
    <w:multiLevelType w:val="hybridMultilevel"/>
    <w:tmpl w:val="1646DD16"/>
    <w:lvl w:ilvl="0" w:tplc="90D6DD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15689"/>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5EA10267"/>
    <w:multiLevelType w:val="hybridMultilevel"/>
    <w:tmpl w:val="7B641542"/>
    <w:lvl w:ilvl="0" w:tplc="BA1E9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9A07A4F"/>
    <w:multiLevelType w:val="hybridMultilevel"/>
    <w:tmpl w:val="47948588"/>
    <w:lvl w:ilvl="0" w:tplc="91943D5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1"/>
  </w:num>
  <w:num w:numId="6">
    <w:abstractNumId w:val="9"/>
  </w:num>
  <w:num w:numId="7">
    <w:abstractNumId w:val="8"/>
  </w:num>
  <w:num w:numId="8">
    <w:abstractNumId w:val="5"/>
  </w:num>
  <w:num w:numId="9">
    <w:abstractNumId w:val="6"/>
  </w:num>
  <w:num w:numId="10">
    <w:abstractNumId w:val="3"/>
  </w:num>
  <w:num w:numId="11">
    <w:abstractNumId w:val="14"/>
  </w:num>
  <w:num w:numId="12">
    <w:abstractNumId w:val="10"/>
  </w:num>
  <w:num w:numId="13">
    <w:abstractNumId w:val="7"/>
  </w:num>
  <w:num w:numId="14">
    <w:abstractNumId w:val="1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0E45"/>
    <w:rsid w:val="000142CE"/>
    <w:rsid w:val="00014BC7"/>
    <w:rsid w:val="00015808"/>
    <w:rsid w:val="00015DC1"/>
    <w:rsid w:val="00017ED7"/>
    <w:rsid w:val="00024F0E"/>
    <w:rsid w:val="000251A0"/>
    <w:rsid w:val="000302C5"/>
    <w:rsid w:val="000307BF"/>
    <w:rsid w:val="00030A66"/>
    <w:rsid w:val="00037DF6"/>
    <w:rsid w:val="00043173"/>
    <w:rsid w:val="00052806"/>
    <w:rsid w:val="00053646"/>
    <w:rsid w:val="00054121"/>
    <w:rsid w:val="00054476"/>
    <w:rsid w:val="00072DED"/>
    <w:rsid w:val="00074BC3"/>
    <w:rsid w:val="00081C03"/>
    <w:rsid w:val="00083D1A"/>
    <w:rsid w:val="00086660"/>
    <w:rsid w:val="000870AB"/>
    <w:rsid w:val="00087C9A"/>
    <w:rsid w:val="000929C5"/>
    <w:rsid w:val="00093552"/>
    <w:rsid w:val="000A5883"/>
    <w:rsid w:val="000A6674"/>
    <w:rsid w:val="000A66B9"/>
    <w:rsid w:val="000A6E7F"/>
    <w:rsid w:val="000B4B0A"/>
    <w:rsid w:val="000B631E"/>
    <w:rsid w:val="000C242C"/>
    <w:rsid w:val="000C65B1"/>
    <w:rsid w:val="000C78FC"/>
    <w:rsid w:val="000D1E65"/>
    <w:rsid w:val="000D7F90"/>
    <w:rsid w:val="000E5171"/>
    <w:rsid w:val="000F238E"/>
    <w:rsid w:val="000F2C4D"/>
    <w:rsid w:val="000F39A3"/>
    <w:rsid w:val="000F51F3"/>
    <w:rsid w:val="000F681E"/>
    <w:rsid w:val="00104B9C"/>
    <w:rsid w:val="00115ABC"/>
    <w:rsid w:val="00116AFB"/>
    <w:rsid w:val="0011768F"/>
    <w:rsid w:val="001223B7"/>
    <w:rsid w:val="00124C63"/>
    <w:rsid w:val="0012642A"/>
    <w:rsid w:val="00127391"/>
    <w:rsid w:val="00141350"/>
    <w:rsid w:val="00147899"/>
    <w:rsid w:val="00152FEA"/>
    <w:rsid w:val="00153C0E"/>
    <w:rsid w:val="001607A1"/>
    <w:rsid w:val="00175DB1"/>
    <w:rsid w:val="00182992"/>
    <w:rsid w:val="0018718C"/>
    <w:rsid w:val="00193C9D"/>
    <w:rsid w:val="00194D09"/>
    <w:rsid w:val="001A3B00"/>
    <w:rsid w:val="001A4504"/>
    <w:rsid w:val="001B3825"/>
    <w:rsid w:val="001B494D"/>
    <w:rsid w:val="001D4603"/>
    <w:rsid w:val="001D6E3B"/>
    <w:rsid w:val="001E097B"/>
    <w:rsid w:val="001E1B4A"/>
    <w:rsid w:val="001E1BD4"/>
    <w:rsid w:val="001E1D33"/>
    <w:rsid w:val="00200E53"/>
    <w:rsid w:val="00203716"/>
    <w:rsid w:val="00206B05"/>
    <w:rsid w:val="00212413"/>
    <w:rsid w:val="002124D3"/>
    <w:rsid w:val="002125C7"/>
    <w:rsid w:val="0021762B"/>
    <w:rsid w:val="00217744"/>
    <w:rsid w:val="00217A1C"/>
    <w:rsid w:val="002225CB"/>
    <w:rsid w:val="00224808"/>
    <w:rsid w:val="0022592E"/>
    <w:rsid w:val="00225C54"/>
    <w:rsid w:val="00226676"/>
    <w:rsid w:val="00227247"/>
    <w:rsid w:val="002317B0"/>
    <w:rsid w:val="00231ABE"/>
    <w:rsid w:val="002338D0"/>
    <w:rsid w:val="0023549A"/>
    <w:rsid w:val="00236F6F"/>
    <w:rsid w:val="00241115"/>
    <w:rsid w:val="002411C1"/>
    <w:rsid w:val="00241A31"/>
    <w:rsid w:val="00242188"/>
    <w:rsid w:val="00243DB7"/>
    <w:rsid w:val="002536EA"/>
    <w:rsid w:val="002547AC"/>
    <w:rsid w:val="002647A1"/>
    <w:rsid w:val="00276736"/>
    <w:rsid w:val="00282DB5"/>
    <w:rsid w:val="002836DF"/>
    <w:rsid w:val="002865F4"/>
    <w:rsid w:val="002A4AA3"/>
    <w:rsid w:val="002A5C0F"/>
    <w:rsid w:val="002B38E0"/>
    <w:rsid w:val="002B397D"/>
    <w:rsid w:val="002B5BB9"/>
    <w:rsid w:val="002C1EF6"/>
    <w:rsid w:val="002C7ABA"/>
    <w:rsid w:val="002D0359"/>
    <w:rsid w:val="002D20C5"/>
    <w:rsid w:val="002D6167"/>
    <w:rsid w:val="002E1151"/>
    <w:rsid w:val="002E123F"/>
    <w:rsid w:val="002E198E"/>
    <w:rsid w:val="002E64D8"/>
    <w:rsid w:val="002E738E"/>
    <w:rsid w:val="002F0692"/>
    <w:rsid w:val="00300FCD"/>
    <w:rsid w:val="00307DB3"/>
    <w:rsid w:val="00312E51"/>
    <w:rsid w:val="0031523D"/>
    <w:rsid w:val="00322F39"/>
    <w:rsid w:val="00323AAF"/>
    <w:rsid w:val="00323E22"/>
    <w:rsid w:val="00325533"/>
    <w:rsid w:val="00340EA6"/>
    <w:rsid w:val="00346B7A"/>
    <w:rsid w:val="0035394D"/>
    <w:rsid w:val="00360DBA"/>
    <w:rsid w:val="00362C10"/>
    <w:rsid w:val="00371B8F"/>
    <w:rsid w:val="003750B1"/>
    <w:rsid w:val="00382FA1"/>
    <w:rsid w:val="0038382D"/>
    <w:rsid w:val="00386207"/>
    <w:rsid w:val="00387B29"/>
    <w:rsid w:val="003917AF"/>
    <w:rsid w:val="003A06B6"/>
    <w:rsid w:val="003A18AD"/>
    <w:rsid w:val="003B09B0"/>
    <w:rsid w:val="003B0F1E"/>
    <w:rsid w:val="003B3F7F"/>
    <w:rsid w:val="003C2574"/>
    <w:rsid w:val="003D165C"/>
    <w:rsid w:val="003D3059"/>
    <w:rsid w:val="003D4C26"/>
    <w:rsid w:val="003D7FE2"/>
    <w:rsid w:val="003E01ED"/>
    <w:rsid w:val="003F0DD3"/>
    <w:rsid w:val="003F3D99"/>
    <w:rsid w:val="00404B70"/>
    <w:rsid w:val="00412278"/>
    <w:rsid w:val="004163B1"/>
    <w:rsid w:val="0041723B"/>
    <w:rsid w:val="00421B60"/>
    <w:rsid w:val="00422931"/>
    <w:rsid w:val="00426C60"/>
    <w:rsid w:val="00426F4B"/>
    <w:rsid w:val="004309DE"/>
    <w:rsid w:val="00431A65"/>
    <w:rsid w:val="004352E5"/>
    <w:rsid w:val="004358E2"/>
    <w:rsid w:val="00435D03"/>
    <w:rsid w:val="00436C2B"/>
    <w:rsid w:val="00440F37"/>
    <w:rsid w:val="00463486"/>
    <w:rsid w:val="004665B1"/>
    <w:rsid w:val="00466B36"/>
    <w:rsid w:val="00474C2A"/>
    <w:rsid w:val="00475B7A"/>
    <w:rsid w:val="00481A0D"/>
    <w:rsid w:val="00483964"/>
    <w:rsid w:val="0048441F"/>
    <w:rsid w:val="004907E4"/>
    <w:rsid w:val="004936A7"/>
    <w:rsid w:val="00493F46"/>
    <w:rsid w:val="004A2D48"/>
    <w:rsid w:val="004B2315"/>
    <w:rsid w:val="004B6C36"/>
    <w:rsid w:val="004C59BB"/>
    <w:rsid w:val="004C646F"/>
    <w:rsid w:val="004D282F"/>
    <w:rsid w:val="004D381F"/>
    <w:rsid w:val="004D4B27"/>
    <w:rsid w:val="004E2A2B"/>
    <w:rsid w:val="004E2D04"/>
    <w:rsid w:val="004E5347"/>
    <w:rsid w:val="004F27A8"/>
    <w:rsid w:val="004F4867"/>
    <w:rsid w:val="004F73A0"/>
    <w:rsid w:val="00501F59"/>
    <w:rsid w:val="00503F36"/>
    <w:rsid w:val="00505256"/>
    <w:rsid w:val="00521F86"/>
    <w:rsid w:val="00522360"/>
    <w:rsid w:val="0052303D"/>
    <w:rsid w:val="005234D3"/>
    <w:rsid w:val="0053571E"/>
    <w:rsid w:val="00535F29"/>
    <w:rsid w:val="00536EFF"/>
    <w:rsid w:val="005408B2"/>
    <w:rsid w:val="005435B4"/>
    <w:rsid w:val="00556E43"/>
    <w:rsid w:val="005629DA"/>
    <w:rsid w:val="005860DF"/>
    <w:rsid w:val="00590152"/>
    <w:rsid w:val="0059070D"/>
    <w:rsid w:val="00594F6C"/>
    <w:rsid w:val="005A49D3"/>
    <w:rsid w:val="005A4D90"/>
    <w:rsid w:val="005A7B7D"/>
    <w:rsid w:val="005B341E"/>
    <w:rsid w:val="005B6240"/>
    <w:rsid w:val="005B62A0"/>
    <w:rsid w:val="005C0E24"/>
    <w:rsid w:val="005C21D7"/>
    <w:rsid w:val="005C3354"/>
    <w:rsid w:val="005C77F3"/>
    <w:rsid w:val="005D0C1B"/>
    <w:rsid w:val="005D0C34"/>
    <w:rsid w:val="005D543C"/>
    <w:rsid w:val="005E066D"/>
    <w:rsid w:val="005E7FB4"/>
    <w:rsid w:val="005F325C"/>
    <w:rsid w:val="005F32EB"/>
    <w:rsid w:val="0060278E"/>
    <w:rsid w:val="00610BF1"/>
    <w:rsid w:val="006115E2"/>
    <w:rsid w:val="00622B72"/>
    <w:rsid w:val="00630CCB"/>
    <w:rsid w:val="0063199C"/>
    <w:rsid w:val="0063435A"/>
    <w:rsid w:val="00641331"/>
    <w:rsid w:val="00643DE0"/>
    <w:rsid w:val="00646C86"/>
    <w:rsid w:val="0065500F"/>
    <w:rsid w:val="006678D1"/>
    <w:rsid w:val="00667B57"/>
    <w:rsid w:val="00672C76"/>
    <w:rsid w:val="00673DB5"/>
    <w:rsid w:val="00692361"/>
    <w:rsid w:val="00695745"/>
    <w:rsid w:val="006959D1"/>
    <w:rsid w:val="006976D9"/>
    <w:rsid w:val="006979B3"/>
    <w:rsid w:val="006A0BA4"/>
    <w:rsid w:val="006A398D"/>
    <w:rsid w:val="006A3F29"/>
    <w:rsid w:val="006B5E01"/>
    <w:rsid w:val="006B7521"/>
    <w:rsid w:val="006C37BD"/>
    <w:rsid w:val="006D0991"/>
    <w:rsid w:val="006D264B"/>
    <w:rsid w:val="006D7450"/>
    <w:rsid w:val="006E0FD4"/>
    <w:rsid w:val="006E7FDA"/>
    <w:rsid w:val="007000BF"/>
    <w:rsid w:val="00702C62"/>
    <w:rsid w:val="00703171"/>
    <w:rsid w:val="00704B78"/>
    <w:rsid w:val="007054D2"/>
    <w:rsid w:val="00705A2C"/>
    <w:rsid w:val="007106C7"/>
    <w:rsid w:val="00713CFF"/>
    <w:rsid w:val="00714241"/>
    <w:rsid w:val="00716E66"/>
    <w:rsid w:val="007242A2"/>
    <w:rsid w:val="0073403B"/>
    <w:rsid w:val="00736DA4"/>
    <w:rsid w:val="00742AB6"/>
    <w:rsid w:val="00746150"/>
    <w:rsid w:val="00746C0C"/>
    <w:rsid w:val="00751A8C"/>
    <w:rsid w:val="0076364F"/>
    <w:rsid w:val="00766C68"/>
    <w:rsid w:val="007752C8"/>
    <w:rsid w:val="0078274D"/>
    <w:rsid w:val="007853D8"/>
    <w:rsid w:val="00786525"/>
    <w:rsid w:val="007947F2"/>
    <w:rsid w:val="007950C8"/>
    <w:rsid w:val="007A30F6"/>
    <w:rsid w:val="007A69B7"/>
    <w:rsid w:val="007C34C0"/>
    <w:rsid w:val="007D0765"/>
    <w:rsid w:val="007D0792"/>
    <w:rsid w:val="007D1177"/>
    <w:rsid w:val="007D6C74"/>
    <w:rsid w:val="007D7388"/>
    <w:rsid w:val="007E0387"/>
    <w:rsid w:val="007E4101"/>
    <w:rsid w:val="007E41E8"/>
    <w:rsid w:val="007E5F04"/>
    <w:rsid w:val="007F1CA7"/>
    <w:rsid w:val="007F6583"/>
    <w:rsid w:val="007F68C4"/>
    <w:rsid w:val="008006A3"/>
    <w:rsid w:val="00800856"/>
    <w:rsid w:val="00801711"/>
    <w:rsid w:val="00801B03"/>
    <w:rsid w:val="0080541A"/>
    <w:rsid w:val="008121AD"/>
    <w:rsid w:val="00812409"/>
    <w:rsid w:val="00812772"/>
    <w:rsid w:val="00813E24"/>
    <w:rsid w:val="00816D42"/>
    <w:rsid w:val="00816D5D"/>
    <w:rsid w:val="00821A0C"/>
    <w:rsid w:val="008275AC"/>
    <w:rsid w:val="00833B9D"/>
    <w:rsid w:val="00835300"/>
    <w:rsid w:val="00840C06"/>
    <w:rsid w:val="008433B8"/>
    <w:rsid w:val="0084724D"/>
    <w:rsid w:val="00880DD1"/>
    <w:rsid w:val="00881BC9"/>
    <w:rsid w:val="00881FF2"/>
    <w:rsid w:val="00882F73"/>
    <w:rsid w:val="00883004"/>
    <w:rsid w:val="00884CF9"/>
    <w:rsid w:val="00886BD5"/>
    <w:rsid w:val="00890A20"/>
    <w:rsid w:val="00892D9A"/>
    <w:rsid w:val="00895C5D"/>
    <w:rsid w:val="008A1447"/>
    <w:rsid w:val="008A21E1"/>
    <w:rsid w:val="008A6073"/>
    <w:rsid w:val="008B244F"/>
    <w:rsid w:val="008B4C24"/>
    <w:rsid w:val="008B4F50"/>
    <w:rsid w:val="008B5600"/>
    <w:rsid w:val="008C2200"/>
    <w:rsid w:val="008C231D"/>
    <w:rsid w:val="008C27E7"/>
    <w:rsid w:val="008C2DF1"/>
    <w:rsid w:val="008D3F5A"/>
    <w:rsid w:val="008D4A1F"/>
    <w:rsid w:val="008E0730"/>
    <w:rsid w:val="008E1D44"/>
    <w:rsid w:val="008E3A73"/>
    <w:rsid w:val="008E6175"/>
    <w:rsid w:val="008F59A0"/>
    <w:rsid w:val="009018D4"/>
    <w:rsid w:val="00905359"/>
    <w:rsid w:val="009279BE"/>
    <w:rsid w:val="00932509"/>
    <w:rsid w:val="00937C89"/>
    <w:rsid w:val="00944B22"/>
    <w:rsid w:val="00945E92"/>
    <w:rsid w:val="009464D6"/>
    <w:rsid w:val="00956B2A"/>
    <w:rsid w:val="00956E02"/>
    <w:rsid w:val="00964054"/>
    <w:rsid w:val="0097039F"/>
    <w:rsid w:val="009719BD"/>
    <w:rsid w:val="009733A9"/>
    <w:rsid w:val="00974859"/>
    <w:rsid w:val="00980C82"/>
    <w:rsid w:val="009840E2"/>
    <w:rsid w:val="009919F6"/>
    <w:rsid w:val="00992E0B"/>
    <w:rsid w:val="00997C11"/>
    <w:rsid w:val="009A0C8F"/>
    <w:rsid w:val="009A0D5F"/>
    <w:rsid w:val="009A2D54"/>
    <w:rsid w:val="009A7A59"/>
    <w:rsid w:val="009C1846"/>
    <w:rsid w:val="009C35C9"/>
    <w:rsid w:val="009C516F"/>
    <w:rsid w:val="009C6F3F"/>
    <w:rsid w:val="009D1768"/>
    <w:rsid w:val="009D27E8"/>
    <w:rsid w:val="009D73D7"/>
    <w:rsid w:val="009E2D5E"/>
    <w:rsid w:val="009E411A"/>
    <w:rsid w:val="009F1C92"/>
    <w:rsid w:val="009F4D3F"/>
    <w:rsid w:val="009F773F"/>
    <w:rsid w:val="00A10E40"/>
    <w:rsid w:val="00A13B88"/>
    <w:rsid w:val="00A15CD1"/>
    <w:rsid w:val="00A170B1"/>
    <w:rsid w:val="00A22E0F"/>
    <w:rsid w:val="00A22FBF"/>
    <w:rsid w:val="00A26B7B"/>
    <w:rsid w:val="00A2772D"/>
    <w:rsid w:val="00A3327E"/>
    <w:rsid w:val="00A34ECF"/>
    <w:rsid w:val="00A45AD6"/>
    <w:rsid w:val="00A50F13"/>
    <w:rsid w:val="00A51D45"/>
    <w:rsid w:val="00A5520F"/>
    <w:rsid w:val="00A64765"/>
    <w:rsid w:val="00A66511"/>
    <w:rsid w:val="00A6703B"/>
    <w:rsid w:val="00A735DB"/>
    <w:rsid w:val="00A75ED6"/>
    <w:rsid w:val="00A80DFA"/>
    <w:rsid w:val="00A81112"/>
    <w:rsid w:val="00A830FB"/>
    <w:rsid w:val="00A87A60"/>
    <w:rsid w:val="00A949AE"/>
    <w:rsid w:val="00A97664"/>
    <w:rsid w:val="00A97D01"/>
    <w:rsid w:val="00AA3ECB"/>
    <w:rsid w:val="00AA6017"/>
    <w:rsid w:val="00AB08C4"/>
    <w:rsid w:val="00AB2D30"/>
    <w:rsid w:val="00AC0D47"/>
    <w:rsid w:val="00AC43A2"/>
    <w:rsid w:val="00AC568F"/>
    <w:rsid w:val="00AD0B66"/>
    <w:rsid w:val="00AD1CEC"/>
    <w:rsid w:val="00AD6E6A"/>
    <w:rsid w:val="00AD72DD"/>
    <w:rsid w:val="00AE0F2B"/>
    <w:rsid w:val="00AE24E7"/>
    <w:rsid w:val="00AE350A"/>
    <w:rsid w:val="00AE57BB"/>
    <w:rsid w:val="00AF71C0"/>
    <w:rsid w:val="00B01B6C"/>
    <w:rsid w:val="00B05A08"/>
    <w:rsid w:val="00B11A47"/>
    <w:rsid w:val="00B121EA"/>
    <w:rsid w:val="00B14E53"/>
    <w:rsid w:val="00B16601"/>
    <w:rsid w:val="00B16A04"/>
    <w:rsid w:val="00B21FEE"/>
    <w:rsid w:val="00B25E86"/>
    <w:rsid w:val="00B40844"/>
    <w:rsid w:val="00B415F5"/>
    <w:rsid w:val="00B433BD"/>
    <w:rsid w:val="00B46BB5"/>
    <w:rsid w:val="00B47800"/>
    <w:rsid w:val="00B5067C"/>
    <w:rsid w:val="00B50C99"/>
    <w:rsid w:val="00B50D73"/>
    <w:rsid w:val="00B56457"/>
    <w:rsid w:val="00B56E34"/>
    <w:rsid w:val="00B5737E"/>
    <w:rsid w:val="00B61AC7"/>
    <w:rsid w:val="00B66082"/>
    <w:rsid w:val="00B661B7"/>
    <w:rsid w:val="00B7499F"/>
    <w:rsid w:val="00B74BBB"/>
    <w:rsid w:val="00B75ACC"/>
    <w:rsid w:val="00B75CCB"/>
    <w:rsid w:val="00B76C1F"/>
    <w:rsid w:val="00B808CB"/>
    <w:rsid w:val="00B83683"/>
    <w:rsid w:val="00B845CF"/>
    <w:rsid w:val="00B90DA5"/>
    <w:rsid w:val="00B928E9"/>
    <w:rsid w:val="00B92DE7"/>
    <w:rsid w:val="00B9407E"/>
    <w:rsid w:val="00BA34AD"/>
    <w:rsid w:val="00BB02B6"/>
    <w:rsid w:val="00BB13F4"/>
    <w:rsid w:val="00BB2B54"/>
    <w:rsid w:val="00BB3273"/>
    <w:rsid w:val="00BC4B33"/>
    <w:rsid w:val="00BC5931"/>
    <w:rsid w:val="00BD1C5C"/>
    <w:rsid w:val="00BD66C9"/>
    <w:rsid w:val="00BE31AD"/>
    <w:rsid w:val="00BF0F6A"/>
    <w:rsid w:val="00BF5899"/>
    <w:rsid w:val="00C02E2D"/>
    <w:rsid w:val="00C033C2"/>
    <w:rsid w:val="00C04F28"/>
    <w:rsid w:val="00C066B6"/>
    <w:rsid w:val="00C06EB4"/>
    <w:rsid w:val="00C2633E"/>
    <w:rsid w:val="00C27E0A"/>
    <w:rsid w:val="00C327A6"/>
    <w:rsid w:val="00C4587F"/>
    <w:rsid w:val="00C504FC"/>
    <w:rsid w:val="00C54752"/>
    <w:rsid w:val="00C5569F"/>
    <w:rsid w:val="00C57F53"/>
    <w:rsid w:val="00C71A4D"/>
    <w:rsid w:val="00C73D5D"/>
    <w:rsid w:val="00C74D15"/>
    <w:rsid w:val="00C80E16"/>
    <w:rsid w:val="00C82B7B"/>
    <w:rsid w:val="00C837FE"/>
    <w:rsid w:val="00C90E85"/>
    <w:rsid w:val="00C9684E"/>
    <w:rsid w:val="00C97B0A"/>
    <w:rsid w:val="00CA1ACD"/>
    <w:rsid w:val="00CA7995"/>
    <w:rsid w:val="00CA7AA0"/>
    <w:rsid w:val="00CB3530"/>
    <w:rsid w:val="00CB72A6"/>
    <w:rsid w:val="00CC3220"/>
    <w:rsid w:val="00CC5308"/>
    <w:rsid w:val="00CC57E3"/>
    <w:rsid w:val="00CC657E"/>
    <w:rsid w:val="00CC6906"/>
    <w:rsid w:val="00CC7431"/>
    <w:rsid w:val="00CD605F"/>
    <w:rsid w:val="00CD62C0"/>
    <w:rsid w:val="00CE000F"/>
    <w:rsid w:val="00CE15C7"/>
    <w:rsid w:val="00CE52F4"/>
    <w:rsid w:val="00CE6B2D"/>
    <w:rsid w:val="00D034F4"/>
    <w:rsid w:val="00D113DD"/>
    <w:rsid w:val="00D1144C"/>
    <w:rsid w:val="00D14228"/>
    <w:rsid w:val="00D152AB"/>
    <w:rsid w:val="00D15FF5"/>
    <w:rsid w:val="00D24453"/>
    <w:rsid w:val="00D25285"/>
    <w:rsid w:val="00D30D4D"/>
    <w:rsid w:val="00D37DAA"/>
    <w:rsid w:val="00D45AD2"/>
    <w:rsid w:val="00D47473"/>
    <w:rsid w:val="00D5070E"/>
    <w:rsid w:val="00D5189F"/>
    <w:rsid w:val="00D52CB3"/>
    <w:rsid w:val="00D52F48"/>
    <w:rsid w:val="00D547B6"/>
    <w:rsid w:val="00D55E8D"/>
    <w:rsid w:val="00D562F3"/>
    <w:rsid w:val="00D6224D"/>
    <w:rsid w:val="00D65DE4"/>
    <w:rsid w:val="00D702D3"/>
    <w:rsid w:val="00D70B13"/>
    <w:rsid w:val="00D803A8"/>
    <w:rsid w:val="00D80947"/>
    <w:rsid w:val="00D84700"/>
    <w:rsid w:val="00D95D76"/>
    <w:rsid w:val="00D960EA"/>
    <w:rsid w:val="00DB3B82"/>
    <w:rsid w:val="00DB5AA2"/>
    <w:rsid w:val="00DC12E7"/>
    <w:rsid w:val="00DC6D53"/>
    <w:rsid w:val="00DC7FE5"/>
    <w:rsid w:val="00DD2A57"/>
    <w:rsid w:val="00DD76E7"/>
    <w:rsid w:val="00DE2167"/>
    <w:rsid w:val="00DE4AB1"/>
    <w:rsid w:val="00DE6BDE"/>
    <w:rsid w:val="00DE6D49"/>
    <w:rsid w:val="00DE70B5"/>
    <w:rsid w:val="00DF7C91"/>
    <w:rsid w:val="00E01FD9"/>
    <w:rsid w:val="00E0573A"/>
    <w:rsid w:val="00E124E4"/>
    <w:rsid w:val="00E17FF2"/>
    <w:rsid w:val="00E2084A"/>
    <w:rsid w:val="00E21198"/>
    <w:rsid w:val="00E221FD"/>
    <w:rsid w:val="00E31721"/>
    <w:rsid w:val="00E320A7"/>
    <w:rsid w:val="00E338B2"/>
    <w:rsid w:val="00E41BA4"/>
    <w:rsid w:val="00E41BE5"/>
    <w:rsid w:val="00E42E88"/>
    <w:rsid w:val="00E51C88"/>
    <w:rsid w:val="00E533BE"/>
    <w:rsid w:val="00E5364C"/>
    <w:rsid w:val="00E62DB3"/>
    <w:rsid w:val="00E71E94"/>
    <w:rsid w:val="00E7426D"/>
    <w:rsid w:val="00E8184C"/>
    <w:rsid w:val="00E8438C"/>
    <w:rsid w:val="00E85DF8"/>
    <w:rsid w:val="00E87F6A"/>
    <w:rsid w:val="00E92DE9"/>
    <w:rsid w:val="00E96F9E"/>
    <w:rsid w:val="00EA2DE2"/>
    <w:rsid w:val="00EB0606"/>
    <w:rsid w:val="00EB1AE0"/>
    <w:rsid w:val="00EB7941"/>
    <w:rsid w:val="00EC0AD9"/>
    <w:rsid w:val="00EC796F"/>
    <w:rsid w:val="00ED49EE"/>
    <w:rsid w:val="00ED5B76"/>
    <w:rsid w:val="00ED6C6C"/>
    <w:rsid w:val="00ED7008"/>
    <w:rsid w:val="00ED76B2"/>
    <w:rsid w:val="00EE2D11"/>
    <w:rsid w:val="00EE3000"/>
    <w:rsid w:val="00EF184A"/>
    <w:rsid w:val="00EF2FFD"/>
    <w:rsid w:val="00EF39B5"/>
    <w:rsid w:val="00EF49A1"/>
    <w:rsid w:val="00F0235A"/>
    <w:rsid w:val="00F05272"/>
    <w:rsid w:val="00F05CAB"/>
    <w:rsid w:val="00F0783D"/>
    <w:rsid w:val="00F1221A"/>
    <w:rsid w:val="00F17C62"/>
    <w:rsid w:val="00F2551F"/>
    <w:rsid w:val="00F31BD5"/>
    <w:rsid w:val="00F36245"/>
    <w:rsid w:val="00F403D1"/>
    <w:rsid w:val="00F6380D"/>
    <w:rsid w:val="00F639A4"/>
    <w:rsid w:val="00F65529"/>
    <w:rsid w:val="00F65903"/>
    <w:rsid w:val="00F65D03"/>
    <w:rsid w:val="00F72231"/>
    <w:rsid w:val="00F72273"/>
    <w:rsid w:val="00F75046"/>
    <w:rsid w:val="00F75304"/>
    <w:rsid w:val="00F7691A"/>
    <w:rsid w:val="00F77081"/>
    <w:rsid w:val="00F82EDF"/>
    <w:rsid w:val="00F87F98"/>
    <w:rsid w:val="00F9209C"/>
    <w:rsid w:val="00F92D04"/>
    <w:rsid w:val="00F9321A"/>
    <w:rsid w:val="00F938EC"/>
    <w:rsid w:val="00F975B6"/>
    <w:rsid w:val="00FA208F"/>
    <w:rsid w:val="00FA2278"/>
    <w:rsid w:val="00FA78DF"/>
    <w:rsid w:val="00FB0593"/>
    <w:rsid w:val="00FB2295"/>
    <w:rsid w:val="00FB2E9E"/>
    <w:rsid w:val="00FB5F14"/>
    <w:rsid w:val="00FC09D0"/>
    <w:rsid w:val="00FC0D5F"/>
    <w:rsid w:val="00FC2237"/>
    <w:rsid w:val="00FC6F2E"/>
    <w:rsid w:val="00FD14A0"/>
    <w:rsid w:val="00FD1B5F"/>
    <w:rsid w:val="00FD68B7"/>
    <w:rsid w:val="00FE0905"/>
    <w:rsid w:val="00FE1DD0"/>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2024-05-14T18:30:00+00:00</Judgment_x0020_Date>
    <Year xmlns="c1afb1bd-f2fb-40fd-9abb-aea55b4d7662">2024</Year>
  </documentManagement>
</p:properties>
</file>

<file path=customXml/itemProps1.xml><?xml version="1.0" encoding="utf-8"?>
<ds:datastoreItem xmlns:ds="http://schemas.openxmlformats.org/officeDocument/2006/customXml" ds:itemID="{42A3659F-7D9A-4783-8F10-255720C9C35F}"/>
</file>

<file path=customXml/itemProps2.xml><?xml version="1.0" encoding="utf-8"?>
<ds:datastoreItem xmlns:ds="http://schemas.openxmlformats.org/officeDocument/2006/customXml" ds:itemID="{92E57115-026C-4D58-8E34-A75D414C65AE}"/>
</file>

<file path=customXml/itemProps3.xml><?xml version="1.0" encoding="utf-8"?>
<ds:datastoreItem xmlns:ds="http://schemas.openxmlformats.org/officeDocument/2006/customXml" ds:itemID="{921A53B6-DDD9-4CF4-A122-3A7EFA69142B}"/>
</file>

<file path=customXml/itemProps4.xml><?xml version="1.0" encoding="utf-8"?>
<ds:datastoreItem xmlns:ds="http://schemas.openxmlformats.org/officeDocument/2006/customXml" ds:itemID="{A629BEEC-2884-4D90-A423-279D3DE44D6E}"/>
</file>

<file path=docProps/app.xml><?xml version="1.0" encoding="utf-8"?>
<Properties xmlns="http://schemas.openxmlformats.org/officeDocument/2006/extended-properties" xmlns:vt="http://schemas.openxmlformats.org/officeDocument/2006/docPropsVTypes">
  <Template>Normal</Template>
  <TotalTime>75</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Gariseb  v Min. of SS Albert Kawana (HC-MD-CIV-ACT-OTH-2022-04053) [2024] NAHCMD 226 (15 May 2024)</dc:title>
  <dc:subject/>
  <dc:creator>shomany keister</dc:creator>
  <cp:keywords/>
  <dc:description/>
  <cp:lastModifiedBy>Elisia Simon</cp:lastModifiedBy>
  <cp:revision>21</cp:revision>
  <cp:lastPrinted>2024-05-14T14:07:00Z</cp:lastPrinted>
  <dcterms:created xsi:type="dcterms:W3CDTF">2024-05-08T09:22:00Z</dcterms:created>
  <dcterms:modified xsi:type="dcterms:W3CDTF">2024-05-14T14:08:00Z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