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A7" w:rsidRPr="00392DA7" w:rsidRDefault="00392DA7" w:rsidP="00392DA7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92DA7">
        <w:rPr>
          <w:rFonts w:ascii="Arial" w:eastAsia="Calibri" w:hAnsi="Arial" w:cs="Arial"/>
          <w:b/>
          <w:sz w:val="24"/>
          <w:szCs w:val="24"/>
        </w:rPr>
        <w:t>REPUBLIC OF NAMIBIA</w:t>
      </w:r>
    </w:p>
    <w:p w:rsidR="00392DA7" w:rsidRPr="00392DA7" w:rsidRDefault="00392DA7" w:rsidP="00392DA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392DA7" w:rsidRPr="00392DA7" w:rsidRDefault="00392DA7" w:rsidP="00392DA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392DA7" w:rsidRPr="00392DA7" w:rsidRDefault="00392DA7" w:rsidP="00392DA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392DA7" w:rsidRPr="00392DA7" w:rsidRDefault="00392DA7" w:rsidP="00392DA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92DA7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-723900</wp:posOffset>
            </wp:positionV>
            <wp:extent cx="1276350" cy="1323975"/>
            <wp:effectExtent l="0" t="0" r="0" b="9525"/>
            <wp:wrapSquare wrapText="right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DA7" w:rsidRPr="00392DA7" w:rsidRDefault="00392DA7" w:rsidP="00392DA7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92DA7" w:rsidRPr="00392DA7" w:rsidRDefault="00392DA7" w:rsidP="00392DA7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92DA7" w:rsidRPr="00392DA7" w:rsidRDefault="00392DA7" w:rsidP="00392DA7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92DA7">
        <w:rPr>
          <w:rFonts w:ascii="Arial" w:eastAsia="Calibri" w:hAnsi="Arial" w:cs="Arial"/>
          <w:b/>
          <w:sz w:val="24"/>
          <w:szCs w:val="24"/>
        </w:rPr>
        <w:t xml:space="preserve">IN THE HIGH COURT OF NAMIBIA, MAIN DIVISION, WINDHOEK </w:t>
      </w:r>
    </w:p>
    <w:p w:rsidR="00392DA7" w:rsidRPr="00392DA7" w:rsidRDefault="00392DA7" w:rsidP="00392DA7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92DA7" w:rsidRPr="00392DA7" w:rsidRDefault="00392DA7" w:rsidP="00392DA7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92DA7">
        <w:rPr>
          <w:rFonts w:ascii="Arial" w:eastAsia="Calibri" w:hAnsi="Arial" w:cs="Arial"/>
          <w:b/>
          <w:sz w:val="24"/>
          <w:szCs w:val="24"/>
        </w:rPr>
        <w:t>REVIEW JUDGMENT</w:t>
      </w:r>
    </w:p>
    <w:p w:rsidR="00392DA7" w:rsidRPr="00392DA7" w:rsidRDefault="00392DA7" w:rsidP="00392DA7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92DA7" w:rsidRPr="00392DA7" w:rsidRDefault="00392DA7" w:rsidP="00392DA7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PRACTICE DIRECTION</w:t>
      </w:r>
      <w:r w:rsidRPr="00392DA7">
        <w:rPr>
          <w:rFonts w:ascii="Arial" w:eastAsia="Calibri" w:hAnsi="Arial" w:cs="Arial"/>
          <w:b/>
          <w:sz w:val="24"/>
          <w:szCs w:val="24"/>
        </w:rPr>
        <w:t xml:space="preserve"> 61</w:t>
      </w:r>
    </w:p>
    <w:p w:rsidR="00392DA7" w:rsidRPr="00392DA7" w:rsidRDefault="00392DA7" w:rsidP="00392DA7">
      <w:pPr>
        <w:spacing w:after="0" w:line="360" w:lineRule="auto"/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7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392DA7" w:rsidRPr="00392DA7" w:rsidTr="00083697">
        <w:trPr>
          <w:trHeight w:val="1385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DA7" w:rsidRPr="00392DA7" w:rsidRDefault="00392DA7" w:rsidP="00160FE3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2DA7">
              <w:rPr>
                <w:rFonts w:ascii="Arial" w:eastAsia="Calibri" w:hAnsi="Arial" w:cs="Arial"/>
                <w:b/>
                <w:sz w:val="24"/>
                <w:szCs w:val="24"/>
              </w:rPr>
              <w:t>Case Title:</w:t>
            </w:r>
          </w:p>
          <w:p w:rsidR="00392DA7" w:rsidRPr="00392DA7" w:rsidRDefault="00392DA7" w:rsidP="00392DA7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92DA7">
              <w:rPr>
                <w:rFonts w:ascii="Arial" w:eastAsia="Calibri" w:hAnsi="Arial" w:cs="Arial"/>
                <w:sz w:val="24"/>
                <w:szCs w:val="24"/>
              </w:rPr>
              <w:t>The State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v Delano Benito Jagger</w:t>
            </w:r>
            <w:r w:rsidRPr="00392DA7">
              <w:rPr>
                <w:rFonts w:ascii="Arial" w:eastAsia="Calibri" w:hAnsi="Arial" w:cs="Arial"/>
                <w:sz w:val="24"/>
                <w:szCs w:val="24"/>
              </w:rPr>
              <w:t xml:space="preserve"> and another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FF2" w:rsidRDefault="00392DA7" w:rsidP="00392DA7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2DA7">
              <w:rPr>
                <w:rFonts w:ascii="Arial" w:eastAsia="Calibri" w:hAnsi="Arial" w:cs="Arial"/>
                <w:b/>
                <w:sz w:val="24"/>
                <w:szCs w:val="24"/>
              </w:rPr>
              <w:t xml:space="preserve">Case No: </w:t>
            </w:r>
          </w:p>
          <w:p w:rsidR="00392DA7" w:rsidRPr="00477FF2" w:rsidRDefault="00BB01D1" w:rsidP="00392DA7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CR 38</w:t>
            </w:r>
            <w:r w:rsidR="00392DA7" w:rsidRPr="00477FF2">
              <w:rPr>
                <w:rFonts w:ascii="Arial" w:eastAsia="Calibri" w:hAnsi="Arial" w:cs="Arial"/>
                <w:sz w:val="24"/>
                <w:szCs w:val="24"/>
              </w:rPr>
              <w:t>/2024</w:t>
            </w:r>
          </w:p>
        </w:tc>
      </w:tr>
      <w:tr w:rsidR="00392DA7" w:rsidRPr="00392DA7" w:rsidTr="00083697">
        <w:trPr>
          <w:trHeight w:val="126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A7" w:rsidRPr="00392DA7" w:rsidRDefault="00392DA7" w:rsidP="00392DA7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2DA7">
              <w:rPr>
                <w:rFonts w:ascii="Arial" w:eastAsia="Calibri" w:hAnsi="Arial" w:cs="Arial"/>
                <w:b/>
                <w:sz w:val="24"/>
                <w:szCs w:val="24"/>
              </w:rPr>
              <w:t>High Court MD Review No:</w:t>
            </w:r>
          </w:p>
          <w:p w:rsidR="00392DA7" w:rsidRPr="00392DA7" w:rsidRDefault="00392DA7" w:rsidP="00392DA7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459/2024</w:t>
            </w:r>
          </w:p>
          <w:p w:rsidR="00392DA7" w:rsidRPr="00392DA7" w:rsidRDefault="00392DA7" w:rsidP="00392DA7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DA7" w:rsidRPr="00392DA7" w:rsidRDefault="00392DA7" w:rsidP="00392DA7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92DA7">
              <w:rPr>
                <w:rFonts w:ascii="Arial" w:eastAsia="Calibri" w:hAnsi="Arial" w:cs="Arial"/>
                <w:b/>
                <w:sz w:val="24"/>
                <w:szCs w:val="24"/>
              </w:rPr>
              <w:t>Division of Court:</w:t>
            </w:r>
          </w:p>
          <w:p w:rsidR="00392DA7" w:rsidRPr="00392DA7" w:rsidRDefault="00392DA7" w:rsidP="00392DA7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92DA7">
              <w:rPr>
                <w:rFonts w:ascii="Arial" w:eastAsia="Calibri" w:hAnsi="Arial" w:cs="Arial"/>
                <w:sz w:val="24"/>
                <w:szCs w:val="24"/>
              </w:rPr>
              <w:t>High Court, Main Division</w:t>
            </w:r>
          </w:p>
        </w:tc>
      </w:tr>
      <w:tr w:rsidR="00392DA7" w:rsidRPr="00392DA7" w:rsidTr="00083697">
        <w:trPr>
          <w:trHeight w:val="5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2DA7" w:rsidRPr="00392DA7" w:rsidRDefault="00392DA7" w:rsidP="00392DA7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92DA7">
              <w:rPr>
                <w:rFonts w:ascii="Arial" w:eastAsia="Calibri" w:hAnsi="Arial" w:cs="Arial"/>
                <w:b/>
                <w:sz w:val="24"/>
                <w:szCs w:val="24"/>
              </w:rPr>
              <w:t>Coram:</w:t>
            </w:r>
            <w:r w:rsidRPr="00392DA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392DA7">
              <w:rPr>
                <w:rFonts w:ascii="Arial" w:eastAsia="Calibri" w:hAnsi="Arial" w:cs="Arial"/>
                <w:sz w:val="24"/>
                <w:szCs w:val="24"/>
              </w:rPr>
              <w:t>Shivute</w:t>
            </w:r>
            <w:proofErr w:type="spellEnd"/>
            <w:r w:rsidRPr="00392DA7">
              <w:rPr>
                <w:rFonts w:ascii="Arial" w:eastAsia="Calibri" w:hAnsi="Arial" w:cs="Arial"/>
                <w:sz w:val="24"/>
                <w:szCs w:val="24"/>
              </w:rPr>
              <w:t xml:space="preserve"> J </w:t>
            </w:r>
            <w:r w:rsidRPr="00392DA7">
              <w:rPr>
                <w:rFonts w:ascii="Arial" w:eastAsia="Calibri" w:hAnsi="Arial" w:cs="Arial"/>
                <w:i/>
                <w:sz w:val="24"/>
                <w:szCs w:val="24"/>
              </w:rPr>
              <w:t>et</w:t>
            </w:r>
            <w:r w:rsidR="00A56A98">
              <w:rPr>
                <w:rFonts w:ascii="Arial" w:eastAsia="Calibri" w:hAnsi="Arial" w:cs="Arial"/>
                <w:sz w:val="24"/>
                <w:szCs w:val="24"/>
              </w:rPr>
              <w:t xml:space="preserve"> January</w:t>
            </w:r>
            <w:r w:rsidRPr="00392DA7">
              <w:rPr>
                <w:rFonts w:ascii="Arial" w:eastAsia="Calibri" w:hAnsi="Arial" w:cs="Arial"/>
                <w:sz w:val="24"/>
                <w:szCs w:val="24"/>
              </w:rPr>
              <w:t xml:space="preserve"> J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A7" w:rsidRPr="00392DA7" w:rsidRDefault="00392DA7" w:rsidP="00392DA7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2DA7">
              <w:rPr>
                <w:rFonts w:ascii="Arial" w:eastAsia="Calibri" w:hAnsi="Arial" w:cs="Arial"/>
                <w:b/>
                <w:sz w:val="24"/>
                <w:szCs w:val="24"/>
              </w:rPr>
              <w:t>Delivered on:</w:t>
            </w:r>
          </w:p>
          <w:p w:rsidR="00392DA7" w:rsidRPr="00392DA7" w:rsidRDefault="002A16F6" w:rsidP="00392DA7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="00392DA7">
              <w:rPr>
                <w:rFonts w:ascii="Arial" w:eastAsia="Calibri" w:hAnsi="Arial" w:cs="Arial"/>
                <w:sz w:val="24"/>
                <w:szCs w:val="24"/>
              </w:rPr>
              <w:t xml:space="preserve"> May 2024</w:t>
            </w:r>
          </w:p>
        </w:tc>
      </w:tr>
      <w:tr w:rsidR="00392DA7" w:rsidRPr="00392DA7" w:rsidTr="00083697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A7" w:rsidRPr="00392DA7" w:rsidRDefault="00392DA7" w:rsidP="00392DA7">
            <w:pPr>
              <w:spacing w:before="240" w:after="0" w:line="360" w:lineRule="auto"/>
              <w:ind w:left="2160" w:hanging="216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92DA7">
              <w:rPr>
                <w:rFonts w:ascii="Arial" w:eastAsia="Calibri" w:hAnsi="Arial" w:cs="Arial"/>
                <w:b/>
                <w:sz w:val="24"/>
                <w:szCs w:val="24"/>
              </w:rPr>
              <w:t xml:space="preserve">Neutral citation: 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S v Jagger</w:t>
            </w:r>
            <w:r w:rsidRPr="00392DA7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="00BB01D1">
              <w:rPr>
                <w:rFonts w:ascii="Arial" w:eastAsia="Calibri" w:hAnsi="Arial" w:cs="Arial"/>
                <w:sz w:val="24"/>
                <w:szCs w:val="24"/>
                <w:lang w:val="en-US"/>
              </w:rPr>
              <w:t>(CR 38</w:t>
            </w:r>
            <w:r w:rsidRPr="00392DA7">
              <w:rPr>
                <w:rFonts w:ascii="Arial" w:eastAsia="Calibri" w:hAnsi="Arial" w:cs="Arial"/>
                <w:sz w:val="24"/>
                <w:szCs w:val="24"/>
                <w:lang w:val="en-US"/>
              </w:rPr>
              <w:t>/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2024) [2024</w:t>
            </w:r>
            <w:r w:rsidR="00BB01D1">
              <w:rPr>
                <w:rFonts w:ascii="Arial" w:eastAsia="Calibri" w:hAnsi="Arial" w:cs="Arial"/>
                <w:sz w:val="24"/>
                <w:szCs w:val="24"/>
                <w:lang w:val="en-US"/>
              </w:rPr>
              <w:t>] NAHCMD 231</w:t>
            </w:r>
            <w:r w:rsidRPr="00392DA7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(</w:t>
            </w:r>
            <w:r w:rsidR="00BB01D1">
              <w:rPr>
                <w:rFonts w:ascii="Arial" w:eastAsia="Calibri" w:hAnsi="Arial" w:cs="Arial"/>
                <w:sz w:val="24"/>
                <w:szCs w:val="24"/>
                <w:lang w:val="en-US"/>
              </w:rPr>
              <w:t>16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May 2024</w:t>
            </w:r>
            <w:r w:rsidRPr="00392DA7">
              <w:rPr>
                <w:rFonts w:ascii="Arial" w:eastAsia="Calibri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392DA7" w:rsidRPr="00392DA7" w:rsidTr="00083697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A7" w:rsidRPr="00392DA7" w:rsidRDefault="00392DA7" w:rsidP="00392DA7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2DA7">
              <w:rPr>
                <w:rFonts w:ascii="Arial" w:eastAsia="Calibri" w:hAnsi="Arial" w:cs="Arial"/>
                <w:b/>
                <w:sz w:val="24"/>
                <w:szCs w:val="24"/>
              </w:rPr>
              <w:t>ORDER:</w:t>
            </w:r>
          </w:p>
          <w:p w:rsidR="00392DA7" w:rsidRPr="00392DA7" w:rsidRDefault="009A6743" w:rsidP="00160FE3">
            <w:pPr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The convictions are</w:t>
            </w:r>
            <w:r w:rsidR="00392DA7" w:rsidRPr="00392DA7">
              <w:rPr>
                <w:rFonts w:ascii="Arial" w:eastAsia="Calibri" w:hAnsi="Arial" w:cs="Arial"/>
                <w:sz w:val="24"/>
                <w:szCs w:val="24"/>
              </w:rPr>
              <w:t xml:space="preserve"> confirmed</w:t>
            </w:r>
            <w:bookmarkStart w:id="0" w:name="_GoBack"/>
            <w:bookmarkEnd w:id="0"/>
            <w:r w:rsidR="00392DA7" w:rsidRPr="00392DA7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2D365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160FE3" w:rsidRPr="00160FE3" w:rsidRDefault="00392DA7" w:rsidP="00160FE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92DA7">
              <w:rPr>
                <w:rFonts w:ascii="Arial" w:eastAsia="Calibri" w:hAnsi="Arial" w:cs="Arial"/>
                <w:sz w:val="24"/>
                <w:szCs w:val="24"/>
              </w:rPr>
              <w:t>The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sentence</w:t>
            </w:r>
            <w:r w:rsidR="009A674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</w:t>
            </w: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are altered as follows:</w:t>
            </w:r>
          </w:p>
          <w:p w:rsidR="00392DA7" w:rsidRPr="00392DA7" w:rsidRDefault="00392DA7" w:rsidP="00160FE3">
            <w:pPr>
              <w:tabs>
                <w:tab w:val="left" w:pos="720"/>
                <w:tab w:val="left" w:pos="2268"/>
              </w:tabs>
              <w:spacing w:after="0" w:line="360" w:lineRule="auto"/>
              <w:ind w:left="1080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Accused 1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and 2 are each sentenced to 18 </w:t>
            </w:r>
            <w:r w:rsidR="009A674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(eighteen) 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months’</w:t>
            </w: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imprisonment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of which 6</w:t>
            </w:r>
            <w:r w:rsidR="009A674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(six)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months are suspended</w:t>
            </w:r>
            <w:r w:rsidR="009A674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for a period of 3 (three) years on condition </w:t>
            </w:r>
            <w:r w:rsidR="009A674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lastRenderedPageBreak/>
              <w:t>that the accused is not convicted of housebreaking with intent to steal and theft committed during the period of suspension</w:t>
            </w: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392DA7" w:rsidRPr="00392DA7" w:rsidTr="00160FE3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DA7" w:rsidRPr="00392DA7" w:rsidRDefault="00392DA7" w:rsidP="00392DA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92DA7" w:rsidRPr="00392DA7" w:rsidRDefault="00392DA7" w:rsidP="00392DA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2DA7">
              <w:rPr>
                <w:rFonts w:ascii="Arial" w:eastAsia="Calibri" w:hAnsi="Arial" w:cs="Arial"/>
                <w:b/>
                <w:sz w:val="24"/>
                <w:szCs w:val="24"/>
              </w:rPr>
              <w:t>REASONS FOR ORDERS:</w:t>
            </w:r>
          </w:p>
        </w:tc>
      </w:tr>
      <w:tr w:rsidR="00392DA7" w:rsidRPr="00392DA7" w:rsidTr="00160FE3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A7" w:rsidRPr="00392DA7" w:rsidRDefault="00392DA7" w:rsidP="00392DA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392DA7" w:rsidRPr="00392DA7" w:rsidRDefault="00392DA7" w:rsidP="00392DA7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SHIVUTE J (</w:t>
            </w:r>
            <w:r w:rsidR="00A56A9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JANUARY</w:t>
            </w: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J concurring):</w:t>
            </w:r>
          </w:p>
          <w:p w:rsidR="00392DA7" w:rsidRPr="00392DA7" w:rsidRDefault="00392DA7" w:rsidP="00392DA7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392DA7" w:rsidRPr="00392DA7" w:rsidRDefault="00392DA7" w:rsidP="00392DA7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[1]</w:t>
            </w: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>This is a review matter which came before me in terms of section 302(1) of the Criminal Procedure Act 51 of 1977</w:t>
            </w:r>
            <w:r w:rsidR="009A674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as amended (the CPA)</w:t>
            </w: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</w:p>
          <w:p w:rsidR="00392DA7" w:rsidRPr="00392DA7" w:rsidRDefault="00392DA7" w:rsidP="00392DA7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392DA7" w:rsidRPr="00392DA7" w:rsidRDefault="00392DA7" w:rsidP="00392DA7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[2]</w:t>
            </w: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 xml:space="preserve">The </w:t>
            </w:r>
            <w:r w:rsidR="009A674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two</w:t>
            </w:r>
            <w:r w:rsidR="0016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accused</w:t>
            </w: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appeared in the Magistrate’s Court </w:t>
            </w:r>
            <w:r w:rsidR="009A674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for the district of </w:t>
            </w:r>
            <w:proofErr w:type="spellStart"/>
            <w:r w:rsidR="009A674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Mariental</w:t>
            </w:r>
            <w:proofErr w:type="spellEnd"/>
            <w:r w:rsidR="009A674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, held at </w:t>
            </w:r>
            <w:proofErr w:type="spellStart"/>
            <w:r w:rsidR="009A674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Kalkrand</w:t>
            </w:r>
            <w:proofErr w:type="spellEnd"/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on a charge of</w:t>
            </w:r>
            <w:r w:rsidR="009A674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housebreaking with intent to steal and theft</w:t>
            </w: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. </w:t>
            </w:r>
            <w:r w:rsidR="009A674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Both</w:t>
            </w:r>
            <w:r w:rsidR="0016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accused</w:t>
            </w:r>
            <w:r w:rsidR="009A674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pleaded </w:t>
            </w:r>
            <w:r w:rsidR="009A674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guilty and the c</w:t>
            </w:r>
            <w:r w:rsidR="005710F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ourt proceeded to question </w:t>
            </w:r>
            <w:r w:rsidR="009A674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each</w:t>
            </w:r>
            <w:r w:rsidR="005710F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of them</w:t>
            </w:r>
            <w:r w:rsidR="009A674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in terms of sec</w:t>
            </w:r>
            <w:r w:rsidR="005710F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</w:t>
            </w:r>
            <w:r w:rsidR="009A674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ion 112(1</w:t>
            </w:r>
            <w:proofErr w:type="gramStart"/>
            <w:r w:rsidR="009A674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)</w:t>
            </w:r>
            <w:r w:rsidR="009A6743" w:rsidRPr="005710F9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>(</w:t>
            </w:r>
            <w:proofErr w:type="gramEnd"/>
            <w:r w:rsidR="009A6743" w:rsidRPr="005710F9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 xml:space="preserve">b) </w:t>
            </w:r>
            <w:r w:rsidR="009A674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of the CPA</w:t>
            </w:r>
            <w:r w:rsidR="005710F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  <w:r w:rsidR="0016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After the questioning, both accused were found guilty as charged.</w:t>
            </w:r>
          </w:p>
          <w:p w:rsidR="00392DA7" w:rsidRPr="00392DA7" w:rsidRDefault="00392DA7" w:rsidP="00392DA7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392DA7" w:rsidRPr="00392DA7" w:rsidRDefault="00392DA7" w:rsidP="00392DA7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[3]</w:t>
            </w:r>
            <w:r w:rsidRPr="00392DA7">
              <w:rPr>
                <w:rFonts w:ascii="Calibri" w:eastAsia="Calibri" w:hAnsi="Calibri" w:cs="Times New Roman"/>
              </w:rPr>
              <w:t xml:space="preserve"> </w:t>
            </w: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 xml:space="preserve">The court </w:t>
            </w:r>
            <w:r w:rsidR="005710F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a quo </w:t>
            </w: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proceeded to sentence the </w:t>
            </w:r>
            <w:r w:rsidR="0016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two </w:t>
            </w: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accused as follows:</w:t>
            </w:r>
          </w:p>
          <w:p w:rsidR="00392DA7" w:rsidRPr="00392DA7" w:rsidRDefault="00392DA7" w:rsidP="00392DA7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392DA7" w:rsidRPr="00392DA7" w:rsidRDefault="00392DA7" w:rsidP="00392DA7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392DA7">
              <w:rPr>
                <w:rFonts w:ascii="Calibri" w:eastAsia="Calibri" w:hAnsi="Calibri" w:cs="Times New Roman"/>
              </w:rPr>
              <w:t xml:space="preserve"> </w:t>
            </w: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  <w:r w:rsidRPr="00392DA7">
              <w:rPr>
                <w:rFonts w:ascii="Arial" w:eastAsia="Times New Roman" w:hAnsi="Arial" w:cs="Arial"/>
                <w:lang w:val="en-GB"/>
              </w:rPr>
              <w:t>‘Accused 1 and 2</w:t>
            </w:r>
            <w:r w:rsidR="005710F9">
              <w:rPr>
                <w:rFonts w:ascii="Arial" w:eastAsia="Times New Roman" w:hAnsi="Arial" w:cs="Arial"/>
                <w:lang w:val="en-GB"/>
              </w:rPr>
              <w:t>- Count 1</w:t>
            </w:r>
            <w:r w:rsidRPr="00392DA7">
              <w:rPr>
                <w:rFonts w:ascii="Arial" w:eastAsia="Times New Roman" w:hAnsi="Arial" w:cs="Arial"/>
                <w:lang w:val="en-GB"/>
              </w:rPr>
              <w:t xml:space="preserve">: </w:t>
            </w:r>
            <w:r w:rsidR="005710F9" w:rsidRPr="005710F9">
              <w:rPr>
                <w:rFonts w:ascii="Arial" w:eastAsia="Times New Roman" w:hAnsi="Arial" w:cs="Arial"/>
                <w:lang w:val="en-GB"/>
              </w:rPr>
              <w:t>18 (eighteen) months’ imprisonment of which 6 (six) months are suspended for a period of 3 (three) years on condition that the accused is not convicted of housebreaking with intent to steal and theft committed during the period of suspension</w:t>
            </w:r>
            <w:r w:rsidR="005710F9">
              <w:rPr>
                <w:rFonts w:ascii="Arial" w:eastAsia="Times New Roman" w:hAnsi="Arial" w:cs="Arial"/>
                <w:lang w:val="en-GB"/>
              </w:rPr>
              <w:t>.</w:t>
            </w:r>
            <w:r w:rsidR="00160FE3">
              <w:rPr>
                <w:rFonts w:ascii="Arial" w:eastAsia="Times New Roman" w:hAnsi="Arial" w:cs="Arial"/>
                <w:lang w:val="en-GB"/>
              </w:rPr>
              <w:t>’</w:t>
            </w:r>
          </w:p>
          <w:p w:rsidR="00392DA7" w:rsidRPr="00392DA7" w:rsidRDefault="00392DA7" w:rsidP="00392DA7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392DA7" w:rsidRPr="00392DA7" w:rsidRDefault="00392DA7" w:rsidP="005710F9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[4]</w:t>
            </w: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 xml:space="preserve"> </w:t>
            </w:r>
            <w:r w:rsidR="0016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The two accused were properly convicted, h</w:t>
            </w: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owever, the sentence is vague. Accordingly, I enquired from the magistrate what he meant with the sentence. </w:t>
            </w:r>
            <w:r w:rsidR="005710F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The magistrate responded that he omitted the word ‘each’ to mean that each of the sentenced accused in the matter received the imposed sentence.</w:t>
            </w:r>
          </w:p>
          <w:p w:rsidR="00392DA7" w:rsidRPr="00392DA7" w:rsidRDefault="00392DA7" w:rsidP="00392DA7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392DA7" w:rsidRPr="00392DA7" w:rsidRDefault="00392DA7" w:rsidP="00392DA7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[5]</w:t>
            </w:r>
            <w:r w:rsidRPr="00392DA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 xml:space="preserve">The magistrate’s response </w:t>
            </w:r>
            <w:r w:rsidR="005710F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is well placed.</w:t>
            </w:r>
          </w:p>
          <w:p w:rsidR="00392DA7" w:rsidRPr="00392DA7" w:rsidRDefault="00392DA7" w:rsidP="00392DA7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392DA7" w:rsidRPr="00392DA7" w:rsidRDefault="00392DA7" w:rsidP="00392DA7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[6]</w:t>
            </w:r>
            <w:r w:rsidRPr="00392DA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 xml:space="preserve">In regard to the sentence imposed on accused 1 and 2, it is not clear whether or not </w:t>
            </w:r>
            <w:r w:rsidR="005710F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the 18</w:t>
            </w: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months’ imprisonment imposed is in respect of each of the 2 accused persons. In regard to the condition of suspension of sentence </w:t>
            </w:r>
            <w:r w:rsidR="005710F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imposed on each accused</w:t>
            </w: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, it must be </w:t>
            </w: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lastRenderedPageBreak/>
              <w:t xml:space="preserve">clear </w:t>
            </w:r>
            <w:r w:rsidR="005710F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to both accused</w:t>
            </w: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the period during whi</w:t>
            </w:r>
            <w:r w:rsidR="005710F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ch another conviction on housebreaking with intent to steal and theft</w:t>
            </w: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would or might bring the</w:t>
            </w:r>
            <w:r w:rsidR="0016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ir own</w:t>
            </w: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suspended sentence into operation. </w:t>
            </w:r>
          </w:p>
          <w:p w:rsidR="00392DA7" w:rsidRPr="00392DA7" w:rsidRDefault="00392DA7" w:rsidP="00392DA7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392DA7" w:rsidRPr="00392DA7" w:rsidRDefault="00392DA7" w:rsidP="00392DA7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[7]</w:t>
            </w:r>
            <w:r w:rsidRPr="00392DA7">
              <w:rPr>
                <w:rFonts w:ascii="Calibri" w:eastAsia="Calibri" w:hAnsi="Calibri" w:cs="Times New Roman"/>
              </w:rPr>
              <w:t xml:space="preserve"> </w:t>
            </w: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 xml:space="preserve"> As a result, the conviction</w:t>
            </w:r>
            <w:r w:rsidR="005710F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</w:t>
            </w:r>
            <w:r w:rsidRPr="00392DA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and sentences are confirmed, however, considering the above and to remove any cause of confusion, misinterpretation or uncertainty, the sentences are altered as follows:</w:t>
            </w:r>
          </w:p>
          <w:p w:rsidR="00392DA7" w:rsidRPr="00392DA7" w:rsidRDefault="00392DA7" w:rsidP="00392DA7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160FE3" w:rsidRDefault="00392DA7" w:rsidP="00160FE3">
            <w:pPr>
              <w:pStyle w:val="ListParagraph"/>
              <w:tabs>
                <w:tab w:val="left" w:pos="720"/>
                <w:tab w:val="left" w:pos="2268"/>
              </w:tabs>
              <w:spacing w:after="0" w:line="360" w:lineRule="auto"/>
              <w:ind w:left="1080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6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Accused 1 and 2 are</w:t>
            </w:r>
            <w:r w:rsidR="005710F9" w:rsidRPr="0016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each sentenced to 18 (eighteen) months’ imprisonment of which 6 (six) months are suspended for a period of 3 (three) years on condition that the accused is not convicted of housebreaking with intent to steal and theft committed during the period of suspension.</w:t>
            </w:r>
          </w:p>
          <w:p w:rsidR="00160FE3" w:rsidRPr="00160FE3" w:rsidRDefault="00160FE3" w:rsidP="00160FE3">
            <w:pPr>
              <w:pStyle w:val="ListParagraph"/>
              <w:tabs>
                <w:tab w:val="left" w:pos="720"/>
                <w:tab w:val="left" w:pos="2268"/>
              </w:tabs>
              <w:spacing w:after="0" w:line="360" w:lineRule="auto"/>
              <w:ind w:left="1080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392DA7" w:rsidRPr="00392DA7" w:rsidTr="00160FE3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DA7" w:rsidRPr="00392DA7" w:rsidRDefault="00392DA7" w:rsidP="00392DA7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92DA7" w:rsidRPr="00392DA7" w:rsidTr="00083697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A7" w:rsidRPr="00392DA7" w:rsidRDefault="00392DA7" w:rsidP="00392DA7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92DA7" w:rsidRDefault="00392DA7" w:rsidP="00392DA7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60FE3" w:rsidRPr="00392DA7" w:rsidRDefault="00160FE3" w:rsidP="00392DA7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A7" w:rsidRPr="00392DA7" w:rsidRDefault="00392DA7" w:rsidP="00392DA7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92DA7" w:rsidRPr="00392DA7" w:rsidTr="00083697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A7" w:rsidRPr="00392DA7" w:rsidRDefault="00392DA7" w:rsidP="00392DA7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92DA7" w:rsidRPr="00392DA7" w:rsidRDefault="00392DA7" w:rsidP="00392DA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2DA7">
              <w:rPr>
                <w:rFonts w:ascii="Arial" w:eastAsia="Calibri" w:hAnsi="Arial" w:cs="Arial"/>
                <w:b/>
                <w:sz w:val="24"/>
                <w:szCs w:val="24"/>
              </w:rPr>
              <w:t xml:space="preserve">N </w:t>
            </w:r>
            <w:proofErr w:type="spellStart"/>
            <w:r w:rsidRPr="00392DA7">
              <w:rPr>
                <w:rFonts w:ascii="Arial" w:eastAsia="Calibri" w:hAnsi="Arial" w:cs="Arial"/>
                <w:b/>
                <w:sz w:val="24"/>
                <w:szCs w:val="24"/>
              </w:rPr>
              <w:t>N</w:t>
            </w:r>
            <w:proofErr w:type="spellEnd"/>
            <w:r w:rsidRPr="00392DA7">
              <w:rPr>
                <w:rFonts w:ascii="Arial" w:eastAsia="Calibri" w:hAnsi="Arial" w:cs="Arial"/>
                <w:b/>
                <w:sz w:val="24"/>
                <w:szCs w:val="24"/>
              </w:rPr>
              <w:t xml:space="preserve"> SHIVUTE </w:t>
            </w:r>
          </w:p>
          <w:p w:rsidR="00392DA7" w:rsidRPr="00392DA7" w:rsidRDefault="00392DA7" w:rsidP="00392DA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2DA7">
              <w:rPr>
                <w:rFonts w:ascii="Arial" w:eastAsia="Calibri" w:hAnsi="Arial" w:cs="Arial"/>
                <w:b/>
                <w:sz w:val="24"/>
                <w:szCs w:val="24"/>
              </w:rPr>
              <w:t>JUDGE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A7" w:rsidRPr="00392DA7" w:rsidRDefault="00392DA7" w:rsidP="00392DA7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92DA7" w:rsidRPr="00392DA7" w:rsidRDefault="00A56A98" w:rsidP="00392DA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H C JANUARY</w:t>
            </w:r>
          </w:p>
          <w:p w:rsidR="00392DA7" w:rsidRPr="00392DA7" w:rsidRDefault="00392DA7" w:rsidP="00392DA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2DA7">
              <w:rPr>
                <w:rFonts w:ascii="Arial" w:eastAsia="Calibri" w:hAnsi="Arial" w:cs="Arial"/>
                <w:b/>
                <w:sz w:val="24"/>
                <w:szCs w:val="24"/>
              </w:rPr>
              <w:t>JUDGE</w:t>
            </w:r>
          </w:p>
        </w:tc>
      </w:tr>
    </w:tbl>
    <w:p w:rsidR="00392DA7" w:rsidRPr="00392DA7" w:rsidRDefault="00392DA7" w:rsidP="00392DA7">
      <w:pPr>
        <w:spacing w:line="256" w:lineRule="auto"/>
        <w:rPr>
          <w:rFonts w:ascii="Calibri" w:eastAsia="Calibri" w:hAnsi="Calibri" w:cs="Times New Roman"/>
        </w:rPr>
      </w:pPr>
    </w:p>
    <w:p w:rsidR="00AE32C3" w:rsidRDefault="00AE32C3"/>
    <w:sectPr w:rsidR="00AE32C3" w:rsidSect="003D15A3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45" w:rsidRDefault="000F5C45">
      <w:pPr>
        <w:spacing w:after="0" w:line="240" w:lineRule="auto"/>
      </w:pPr>
      <w:r>
        <w:separator/>
      </w:r>
    </w:p>
  </w:endnote>
  <w:endnote w:type="continuationSeparator" w:id="0">
    <w:p w:rsidR="000F5C45" w:rsidRDefault="000F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45" w:rsidRDefault="000F5C45">
      <w:pPr>
        <w:spacing w:after="0" w:line="240" w:lineRule="auto"/>
      </w:pPr>
      <w:r>
        <w:separator/>
      </w:r>
    </w:p>
  </w:footnote>
  <w:footnote w:type="continuationSeparator" w:id="0">
    <w:p w:rsidR="000F5C45" w:rsidRDefault="000F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5A3" w:rsidRDefault="00A56A9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365A">
      <w:rPr>
        <w:noProof/>
      </w:rPr>
      <w:t>3</w:t>
    </w:r>
    <w:r>
      <w:rPr>
        <w:noProof/>
      </w:rPr>
      <w:fldChar w:fldCharType="end"/>
    </w:r>
  </w:p>
  <w:p w:rsidR="003D15A3" w:rsidRDefault="000F5C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13A85"/>
    <w:multiLevelType w:val="hybridMultilevel"/>
    <w:tmpl w:val="58CE2988"/>
    <w:lvl w:ilvl="0" w:tplc="C284DB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1D0D96"/>
    <w:multiLevelType w:val="hybridMultilevel"/>
    <w:tmpl w:val="61567D66"/>
    <w:lvl w:ilvl="0" w:tplc="2660B8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A7"/>
    <w:rsid w:val="000F5C45"/>
    <w:rsid w:val="001573F4"/>
    <w:rsid w:val="00160FE3"/>
    <w:rsid w:val="002A16F6"/>
    <w:rsid w:val="002D365A"/>
    <w:rsid w:val="00304D9B"/>
    <w:rsid w:val="00392DA7"/>
    <w:rsid w:val="00477FF2"/>
    <w:rsid w:val="005710F9"/>
    <w:rsid w:val="00817023"/>
    <w:rsid w:val="009A6743"/>
    <w:rsid w:val="00A56A98"/>
    <w:rsid w:val="00AE32C3"/>
    <w:rsid w:val="00BB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2B383-4A4C-46F2-A883-1E1220DA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2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DA7"/>
  </w:style>
  <w:style w:type="paragraph" w:styleId="BalloonText">
    <w:name w:val="Balloon Text"/>
    <w:basedOn w:val="Normal"/>
    <w:link w:val="BalloonTextChar"/>
    <w:uiPriority w:val="99"/>
    <w:semiHidden/>
    <w:unhideWhenUsed/>
    <w:rsid w:val="0039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2024</Year>
    <Judgment_x0020_Date xmlns="17a0f4bd-1162-49ac-b85f-dfe96a90bc01">2024-05-15T18:30:00+00:00</Judgment_x0020_Date>
  </documentManagement>
</p:properties>
</file>

<file path=customXml/itemProps1.xml><?xml version="1.0" encoding="utf-8"?>
<ds:datastoreItem xmlns:ds="http://schemas.openxmlformats.org/officeDocument/2006/customXml" ds:itemID="{10BC3148-9F90-4FB8-A762-52058EA1211F}"/>
</file>

<file path=customXml/itemProps2.xml><?xml version="1.0" encoding="utf-8"?>
<ds:datastoreItem xmlns:ds="http://schemas.openxmlformats.org/officeDocument/2006/customXml" ds:itemID="{93EDE786-5E29-4532-AF03-66413F83AF9A}"/>
</file>

<file path=customXml/itemProps3.xml><?xml version="1.0" encoding="utf-8"?>
<ds:datastoreItem xmlns:ds="http://schemas.openxmlformats.org/officeDocument/2006/customXml" ds:itemID="{222890CC-92FA-4A77-9D66-469606E5B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Jagger (CR 38-2024) [2024] NAHCMD 231 (16 May 2024)</dc:title>
  <dc:subject/>
  <dc:creator>Patience Brendell</dc:creator>
  <cp:keywords/>
  <dc:description/>
  <cp:lastModifiedBy>Patience Brendell</cp:lastModifiedBy>
  <cp:revision>7</cp:revision>
  <cp:lastPrinted>2024-05-16T07:58:00Z</cp:lastPrinted>
  <dcterms:created xsi:type="dcterms:W3CDTF">2024-05-13T10:43:00Z</dcterms:created>
  <dcterms:modified xsi:type="dcterms:W3CDTF">2024-05-16T11:07:00Z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