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C0" w:rsidRPr="005967D7" w:rsidRDefault="00F34EC0" w:rsidP="008D659B">
      <w:pPr>
        <w:tabs>
          <w:tab w:val="left" w:pos="5670"/>
          <w:tab w:val="right" w:pos="8222"/>
        </w:tabs>
        <w:spacing w:line="360" w:lineRule="auto"/>
        <w:contextualSpacing/>
        <w:jc w:val="center"/>
        <w:rPr>
          <w:rFonts w:ascii="Arial" w:hAnsi="Arial"/>
          <w:b/>
          <w:lang w:val="en-US"/>
        </w:rPr>
      </w:pPr>
      <w:r w:rsidRPr="005967D7">
        <w:rPr>
          <w:rFonts w:ascii="Arial" w:hAnsi="Arial"/>
          <w:b/>
          <w:lang w:val="en-US"/>
        </w:rPr>
        <w:t>REPUBLIC OF NAMIBIA</w:t>
      </w:r>
    </w:p>
    <w:p w:rsidR="00F34EC0" w:rsidRPr="005967D7" w:rsidRDefault="00F34EC0" w:rsidP="008D659B">
      <w:pPr>
        <w:tabs>
          <w:tab w:val="left" w:pos="5670"/>
        </w:tabs>
        <w:spacing w:line="360" w:lineRule="auto"/>
        <w:contextualSpacing/>
        <w:jc w:val="center"/>
        <w:rPr>
          <w:rFonts w:ascii="Arial" w:hAnsi="Arial"/>
          <w:b/>
        </w:rPr>
      </w:pPr>
      <w:r w:rsidRPr="005967D7">
        <w:rPr>
          <w:rFonts w:ascii="Arial" w:hAnsi="Arial"/>
          <w:b/>
          <w:noProof/>
          <w:lang w:val="en-US"/>
        </w:rPr>
        <w:drawing>
          <wp:inline distT="0" distB="0" distL="0" distR="0" wp14:anchorId="4273043B" wp14:editId="517631DC">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6E486A" w:rsidRDefault="00053F06" w:rsidP="008D659B">
      <w:pPr>
        <w:spacing w:line="360" w:lineRule="auto"/>
        <w:contextualSpacing/>
        <w:jc w:val="center"/>
        <w:rPr>
          <w:rFonts w:ascii="Arial" w:hAnsi="Arial"/>
          <w:b/>
        </w:rPr>
      </w:pPr>
      <w:r>
        <w:rPr>
          <w:rFonts w:ascii="Arial" w:hAnsi="Arial"/>
          <w:b/>
        </w:rPr>
        <w:t>HIGH COURT OF NAMIBIA, MAIN DIVISION, WINDHOEK</w:t>
      </w:r>
    </w:p>
    <w:p w:rsidR="002B0468" w:rsidRPr="009043E9" w:rsidRDefault="002B0468" w:rsidP="008D659B">
      <w:pPr>
        <w:spacing w:line="360" w:lineRule="auto"/>
        <w:contextualSpacing/>
        <w:jc w:val="both"/>
        <w:rPr>
          <w:rFonts w:ascii="Arial" w:hAnsi="Arial" w:cs="Arial"/>
          <w:b/>
          <w:lang w:val="en-US"/>
        </w:rPr>
      </w:pPr>
    </w:p>
    <w:p w:rsidR="002B0468" w:rsidRPr="009043E9" w:rsidRDefault="002B0468" w:rsidP="008D659B">
      <w:pPr>
        <w:spacing w:line="360" w:lineRule="auto"/>
        <w:contextualSpacing/>
        <w:jc w:val="center"/>
        <w:rPr>
          <w:rFonts w:ascii="Arial" w:eastAsia="MS Mincho" w:hAnsi="Arial" w:cs="Arial"/>
          <w:b/>
          <w:i/>
          <w:iCs/>
        </w:rPr>
      </w:pPr>
      <w:r>
        <w:rPr>
          <w:rStyle w:val="IntenseEmphasis"/>
          <w:rFonts w:ascii="Arial" w:eastAsia="MS Mincho" w:hAnsi="Arial" w:cs="Arial"/>
          <w:b/>
          <w:i w:val="0"/>
          <w:color w:val="auto"/>
        </w:rPr>
        <w:t>RULING</w:t>
      </w:r>
    </w:p>
    <w:p w:rsidR="002B0468" w:rsidRPr="009043E9" w:rsidRDefault="002B0468" w:rsidP="008D659B">
      <w:pPr>
        <w:spacing w:line="360" w:lineRule="auto"/>
        <w:contextualSpacing/>
        <w:jc w:val="both"/>
        <w:rPr>
          <w:rFonts w:ascii="Arial" w:hAnsi="Arial" w:cs="Arial"/>
          <w:b/>
          <w:lang w:val="en-US"/>
        </w:rPr>
      </w:pPr>
    </w:p>
    <w:p w:rsidR="00777DD7" w:rsidRPr="00777DD7" w:rsidRDefault="002B0468" w:rsidP="00777DD7">
      <w:pPr>
        <w:spacing w:line="360" w:lineRule="auto"/>
        <w:jc w:val="both"/>
        <w:rPr>
          <w:rFonts w:ascii="Arial" w:hAnsi="Arial"/>
        </w:rPr>
      </w:pPr>
      <w:r w:rsidRPr="009043E9">
        <w:rPr>
          <w:rFonts w:ascii="Arial" w:hAnsi="Arial" w:cs="Arial"/>
          <w:b/>
          <w:lang w:val="en-US"/>
        </w:rPr>
        <w:tab/>
      </w:r>
      <w:r w:rsidR="00777DD7">
        <w:rPr>
          <w:rFonts w:ascii="Arial" w:hAnsi="Arial" w:cs="Arial"/>
          <w:b/>
          <w:lang w:val="en-US"/>
        </w:rPr>
        <w:t xml:space="preserve">                         </w:t>
      </w:r>
    </w:p>
    <w:p w:rsidR="002B0468" w:rsidRDefault="00777DD7" w:rsidP="00777DD7">
      <w:pPr>
        <w:tabs>
          <w:tab w:val="right" w:pos="9000"/>
        </w:tabs>
        <w:spacing w:line="360" w:lineRule="auto"/>
        <w:contextualSpacing/>
        <w:jc w:val="both"/>
        <w:rPr>
          <w:rFonts w:ascii="Arial" w:hAnsi="Arial" w:cs="Arial"/>
        </w:rPr>
      </w:pPr>
      <w:r>
        <w:rPr>
          <w:rFonts w:ascii="Arial" w:hAnsi="Arial" w:cs="Arial"/>
        </w:rPr>
        <w:tab/>
        <w:t>C</w:t>
      </w:r>
      <w:r w:rsidR="002B0468" w:rsidRPr="009043E9">
        <w:rPr>
          <w:rFonts w:ascii="Arial" w:hAnsi="Arial" w:cs="Arial"/>
        </w:rPr>
        <w:t>ase Number: HC-MD-CIV-MOT-</w:t>
      </w:r>
      <w:r w:rsidR="002B0468">
        <w:rPr>
          <w:rFonts w:ascii="Arial" w:hAnsi="Arial" w:cs="Arial"/>
        </w:rPr>
        <w:t>POCA</w:t>
      </w:r>
      <w:r w:rsidR="002B0468" w:rsidRPr="009043E9">
        <w:rPr>
          <w:rFonts w:ascii="Arial" w:hAnsi="Arial" w:cs="Arial"/>
        </w:rPr>
        <w:t>-2022/</w:t>
      </w:r>
      <w:r w:rsidR="002B0468">
        <w:rPr>
          <w:rFonts w:ascii="Arial" w:hAnsi="Arial" w:cs="Arial"/>
        </w:rPr>
        <w:t>00487</w:t>
      </w:r>
    </w:p>
    <w:p w:rsidR="007E594E" w:rsidRPr="00777DD7" w:rsidRDefault="007E594E" w:rsidP="007E594E">
      <w:pPr>
        <w:spacing w:line="360" w:lineRule="auto"/>
        <w:jc w:val="right"/>
        <w:rPr>
          <w:rFonts w:ascii="Arial" w:hAnsi="Arial"/>
        </w:rPr>
      </w:pPr>
      <w:r>
        <w:rPr>
          <w:rFonts w:ascii="Arial" w:hAnsi="Arial" w:cs="Arial"/>
        </w:rPr>
        <w:t xml:space="preserve">Interlocutory case number: </w:t>
      </w:r>
      <w:r w:rsidRPr="009E27F5">
        <w:rPr>
          <w:rFonts w:ascii="Arial" w:hAnsi="Arial"/>
        </w:rPr>
        <w:t>INT-HC-RECOD-2023/00481</w:t>
      </w:r>
    </w:p>
    <w:p w:rsidR="007E594E" w:rsidRPr="009043E9" w:rsidRDefault="007E594E" w:rsidP="007E594E">
      <w:pPr>
        <w:tabs>
          <w:tab w:val="right" w:pos="9000"/>
        </w:tabs>
        <w:spacing w:line="360" w:lineRule="auto"/>
        <w:contextualSpacing/>
        <w:jc w:val="right"/>
        <w:rPr>
          <w:rFonts w:ascii="Arial" w:hAnsi="Arial" w:cs="Arial"/>
          <w:lang w:val="en-US"/>
        </w:rPr>
      </w:pPr>
    </w:p>
    <w:p w:rsidR="00053F06" w:rsidRDefault="00053F06" w:rsidP="008D659B">
      <w:pPr>
        <w:spacing w:line="360" w:lineRule="auto"/>
        <w:contextualSpacing/>
        <w:jc w:val="right"/>
        <w:rPr>
          <w:rFonts w:ascii="Arial" w:hAnsi="Arial"/>
        </w:rPr>
      </w:pPr>
    </w:p>
    <w:p w:rsidR="00053F06" w:rsidRDefault="00053F06" w:rsidP="008D659B">
      <w:pPr>
        <w:spacing w:line="360" w:lineRule="auto"/>
        <w:contextualSpacing/>
        <w:rPr>
          <w:rFonts w:ascii="Arial" w:hAnsi="Arial"/>
        </w:rPr>
      </w:pPr>
      <w:r>
        <w:rPr>
          <w:rFonts w:ascii="Arial" w:hAnsi="Arial"/>
        </w:rPr>
        <w:t>In matter between:</w:t>
      </w:r>
    </w:p>
    <w:p w:rsidR="00053F06" w:rsidRDefault="00053F06" w:rsidP="008D659B">
      <w:pPr>
        <w:spacing w:line="360" w:lineRule="auto"/>
        <w:contextualSpacing/>
        <w:rPr>
          <w:rFonts w:ascii="Arial" w:hAnsi="Arial"/>
        </w:rPr>
      </w:pPr>
    </w:p>
    <w:p w:rsidR="00421D91" w:rsidRDefault="00421D91" w:rsidP="008D659B">
      <w:pPr>
        <w:tabs>
          <w:tab w:val="left" w:pos="6804"/>
        </w:tabs>
        <w:spacing w:line="360" w:lineRule="auto"/>
        <w:contextualSpacing/>
        <w:jc w:val="both"/>
        <w:rPr>
          <w:rFonts w:ascii="Arial" w:hAnsi="Arial"/>
          <w:b/>
        </w:rPr>
      </w:pPr>
      <w:r w:rsidRPr="00421D91">
        <w:rPr>
          <w:rFonts w:ascii="Arial" w:hAnsi="Arial"/>
          <w:b/>
        </w:rPr>
        <w:t>MAREN BRYNARD DE KLERK</w:t>
      </w:r>
      <w:r>
        <w:rPr>
          <w:rFonts w:ascii="Arial" w:hAnsi="Arial"/>
          <w:b/>
        </w:rPr>
        <w:tab/>
      </w:r>
      <w:r w:rsidR="002B0468">
        <w:rPr>
          <w:rFonts w:ascii="Arial" w:hAnsi="Arial"/>
          <w:b/>
        </w:rPr>
        <w:t xml:space="preserve">   </w:t>
      </w:r>
      <w:r w:rsidRPr="00421D91">
        <w:rPr>
          <w:rFonts w:ascii="Arial" w:hAnsi="Arial"/>
          <w:b/>
        </w:rPr>
        <w:t xml:space="preserve">APPLICANT </w:t>
      </w:r>
    </w:p>
    <w:p w:rsidR="00421D91" w:rsidRDefault="00421D91" w:rsidP="008D659B">
      <w:pPr>
        <w:tabs>
          <w:tab w:val="left" w:pos="6804"/>
        </w:tabs>
        <w:spacing w:line="360" w:lineRule="auto"/>
        <w:contextualSpacing/>
        <w:jc w:val="both"/>
        <w:rPr>
          <w:rFonts w:ascii="Arial" w:hAnsi="Arial"/>
          <w:b/>
        </w:rPr>
      </w:pPr>
    </w:p>
    <w:p w:rsidR="00421D91" w:rsidRPr="007867D7" w:rsidRDefault="00421D91" w:rsidP="008D659B">
      <w:pPr>
        <w:tabs>
          <w:tab w:val="left" w:pos="6804"/>
        </w:tabs>
        <w:spacing w:line="360" w:lineRule="auto"/>
        <w:contextualSpacing/>
        <w:jc w:val="both"/>
        <w:rPr>
          <w:rFonts w:ascii="Arial" w:hAnsi="Arial"/>
        </w:rPr>
      </w:pPr>
      <w:proofErr w:type="gramStart"/>
      <w:r w:rsidRPr="007867D7">
        <w:rPr>
          <w:rFonts w:ascii="Arial" w:hAnsi="Arial"/>
        </w:rPr>
        <w:t>and</w:t>
      </w:r>
      <w:proofErr w:type="gramEnd"/>
      <w:r w:rsidRPr="007867D7">
        <w:rPr>
          <w:rFonts w:ascii="Arial" w:hAnsi="Arial"/>
        </w:rPr>
        <w:t xml:space="preserve"> </w:t>
      </w:r>
    </w:p>
    <w:p w:rsidR="00421D91" w:rsidRDefault="00421D91" w:rsidP="008D659B">
      <w:pPr>
        <w:tabs>
          <w:tab w:val="left" w:pos="6804"/>
        </w:tabs>
        <w:spacing w:line="360" w:lineRule="auto"/>
        <w:contextualSpacing/>
        <w:jc w:val="both"/>
        <w:rPr>
          <w:rFonts w:ascii="Arial" w:hAnsi="Arial"/>
          <w:b/>
        </w:rPr>
      </w:pPr>
    </w:p>
    <w:p w:rsidR="00053F06" w:rsidRDefault="00421D91" w:rsidP="008D659B">
      <w:pPr>
        <w:tabs>
          <w:tab w:val="left" w:pos="5812"/>
        </w:tabs>
        <w:spacing w:line="360" w:lineRule="auto"/>
        <w:contextualSpacing/>
        <w:jc w:val="both"/>
        <w:rPr>
          <w:rFonts w:ascii="Arial" w:hAnsi="Arial"/>
          <w:b/>
        </w:rPr>
      </w:pPr>
      <w:r w:rsidRPr="00421D91">
        <w:rPr>
          <w:rFonts w:ascii="Arial" w:hAnsi="Arial"/>
          <w:b/>
        </w:rPr>
        <w:t>THE PROSECUTOR – GENERAL</w:t>
      </w:r>
      <w:r>
        <w:rPr>
          <w:rFonts w:ascii="Arial" w:hAnsi="Arial"/>
          <w:b/>
        </w:rPr>
        <w:tab/>
      </w:r>
      <w:r w:rsidR="002B0468">
        <w:rPr>
          <w:rFonts w:ascii="Arial" w:hAnsi="Arial"/>
          <w:b/>
        </w:rPr>
        <w:t xml:space="preserve">  </w:t>
      </w:r>
      <w:r w:rsidR="009E27F5">
        <w:rPr>
          <w:rFonts w:ascii="Arial" w:hAnsi="Arial"/>
          <w:b/>
        </w:rPr>
        <w:t xml:space="preserve">FIRST </w:t>
      </w:r>
      <w:r w:rsidRPr="00421D91">
        <w:rPr>
          <w:rFonts w:ascii="Arial" w:hAnsi="Arial"/>
          <w:b/>
        </w:rPr>
        <w:t>RESPONDENT</w:t>
      </w:r>
    </w:p>
    <w:p w:rsidR="009E27F5" w:rsidRDefault="009E27F5" w:rsidP="008D659B">
      <w:pPr>
        <w:tabs>
          <w:tab w:val="left" w:pos="5245"/>
          <w:tab w:val="left" w:pos="5529"/>
        </w:tabs>
        <w:spacing w:line="360" w:lineRule="auto"/>
        <w:contextualSpacing/>
        <w:rPr>
          <w:rFonts w:ascii="Arial" w:hAnsi="Arial"/>
          <w:b/>
        </w:rPr>
      </w:pPr>
      <w:r w:rsidRPr="009E27F5">
        <w:rPr>
          <w:rFonts w:ascii="Arial" w:hAnsi="Arial"/>
          <w:b/>
        </w:rPr>
        <w:t xml:space="preserve">CELAX INVESTMENT (PTY) LTD </w:t>
      </w:r>
      <w:r>
        <w:rPr>
          <w:rFonts w:ascii="Arial" w:hAnsi="Arial"/>
          <w:b/>
        </w:rPr>
        <w:tab/>
      </w:r>
      <w:r>
        <w:rPr>
          <w:rFonts w:ascii="Arial" w:hAnsi="Arial"/>
          <w:b/>
        </w:rPr>
        <w:tab/>
      </w:r>
      <w:r w:rsidR="002B0468">
        <w:rPr>
          <w:rFonts w:ascii="Arial" w:hAnsi="Arial"/>
          <w:b/>
        </w:rPr>
        <w:t xml:space="preserve"> </w:t>
      </w:r>
      <w:r>
        <w:rPr>
          <w:rFonts w:ascii="Arial" w:hAnsi="Arial"/>
          <w:b/>
        </w:rPr>
        <w:t xml:space="preserve">SECOND </w:t>
      </w:r>
      <w:r w:rsidRPr="009E27F5">
        <w:rPr>
          <w:rFonts w:ascii="Arial" w:hAnsi="Arial"/>
          <w:b/>
        </w:rPr>
        <w:t>RESPONDENT</w:t>
      </w:r>
    </w:p>
    <w:p w:rsidR="009E27F5" w:rsidRDefault="009E27F5" w:rsidP="008D659B">
      <w:pPr>
        <w:tabs>
          <w:tab w:val="left" w:pos="5245"/>
        </w:tabs>
        <w:spacing w:line="360" w:lineRule="auto"/>
        <w:contextualSpacing/>
        <w:rPr>
          <w:rFonts w:ascii="Arial" w:hAnsi="Arial"/>
          <w:b/>
        </w:rPr>
      </w:pPr>
      <w:r w:rsidRPr="009E27F5">
        <w:rPr>
          <w:rFonts w:ascii="Arial" w:hAnsi="Arial"/>
          <w:b/>
        </w:rPr>
        <w:t>THE CURATOR BONIS OF</w:t>
      </w:r>
      <w:r>
        <w:rPr>
          <w:rFonts w:ascii="Arial" w:hAnsi="Arial"/>
          <w:b/>
        </w:rPr>
        <w:t xml:space="preserve"> </w:t>
      </w:r>
      <w:r w:rsidRPr="009E27F5">
        <w:rPr>
          <w:rFonts w:ascii="Arial" w:hAnsi="Arial"/>
          <w:b/>
        </w:rPr>
        <w:t>DE KLERK,</w:t>
      </w:r>
    </w:p>
    <w:p w:rsidR="00132CC3" w:rsidRDefault="009E27F5" w:rsidP="008D659B">
      <w:pPr>
        <w:spacing w:line="360" w:lineRule="auto"/>
        <w:contextualSpacing/>
        <w:rPr>
          <w:rFonts w:ascii="Arial" w:hAnsi="Arial"/>
          <w:b/>
        </w:rPr>
      </w:pPr>
      <w:r w:rsidRPr="009E27F5">
        <w:rPr>
          <w:rFonts w:ascii="Arial" w:hAnsi="Arial"/>
          <w:b/>
        </w:rPr>
        <w:t xml:space="preserve">HORN </w:t>
      </w:r>
      <w:r>
        <w:rPr>
          <w:rFonts w:ascii="Arial" w:hAnsi="Arial"/>
          <w:b/>
        </w:rPr>
        <w:t>&amp;</w:t>
      </w:r>
      <w:r w:rsidRPr="009E27F5">
        <w:rPr>
          <w:rFonts w:ascii="Arial" w:hAnsi="Arial"/>
          <w:b/>
        </w:rPr>
        <w:t xml:space="preserve"> COETZEE </w:t>
      </w:r>
      <w:r w:rsidR="00132CC3">
        <w:rPr>
          <w:rFonts w:ascii="Arial" w:hAnsi="Arial"/>
          <w:b/>
        </w:rPr>
        <w:t xml:space="preserve">LEGAL PRACTITIONERS </w:t>
      </w:r>
    </w:p>
    <w:p w:rsidR="00053F06" w:rsidRDefault="009E27F5" w:rsidP="008D659B">
      <w:pPr>
        <w:spacing w:line="360" w:lineRule="auto"/>
        <w:contextualSpacing/>
        <w:rPr>
          <w:rFonts w:ascii="Arial" w:hAnsi="Arial"/>
          <w:b/>
        </w:rPr>
      </w:pPr>
      <w:r w:rsidRPr="009E27F5">
        <w:rPr>
          <w:rFonts w:ascii="Arial" w:hAnsi="Arial"/>
          <w:b/>
        </w:rPr>
        <w:t xml:space="preserve">INC (PTY) LTD </w:t>
      </w:r>
      <w:r>
        <w:rPr>
          <w:rFonts w:ascii="Arial" w:hAnsi="Arial"/>
          <w:b/>
        </w:rPr>
        <w:tab/>
      </w:r>
      <w:r>
        <w:rPr>
          <w:rFonts w:ascii="Arial" w:hAnsi="Arial"/>
          <w:b/>
        </w:rPr>
        <w:tab/>
      </w:r>
      <w:r w:rsidR="00132CC3">
        <w:rPr>
          <w:rFonts w:ascii="Arial" w:hAnsi="Arial"/>
          <w:b/>
        </w:rPr>
        <w:tab/>
      </w:r>
      <w:r w:rsidR="00132CC3">
        <w:rPr>
          <w:rFonts w:ascii="Arial" w:hAnsi="Arial"/>
          <w:b/>
        </w:rPr>
        <w:tab/>
      </w:r>
      <w:r w:rsidR="00132CC3">
        <w:rPr>
          <w:rFonts w:ascii="Arial" w:hAnsi="Arial"/>
          <w:b/>
        </w:rPr>
        <w:tab/>
      </w:r>
      <w:r>
        <w:rPr>
          <w:rFonts w:ascii="Arial" w:hAnsi="Arial"/>
          <w:b/>
        </w:rPr>
        <w:tab/>
      </w:r>
      <w:r w:rsidR="008D659B">
        <w:rPr>
          <w:rFonts w:ascii="Arial" w:hAnsi="Arial"/>
          <w:b/>
        </w:rPr>
        <w:t xml:space="preserve">  </w:t>
      </w:r>
      <w:r>
        <w:rPr>
          <w:rFonts w:ascii="Arial" w:hAnsi="Arial"/>
          <w:b/>
        </w:rPr>
        <w:t>THIRD</w:t>
      </w:r>
      <w:r w:rsidRPr="009E27F5">
        <w:rPr>
          <w:rFonts w:ascii="Arial" w:hAnsi="Arial"/>
          <w:b/>
        </w:rPr>
        <w:t xml:space="preserve"> RESPONDENT</w:t>
      </w:r>
    </w:p>
    <w:p w:rsidR="009E27F5" w:rsidRDefault="009E27F5" w:rsidP="008D659B">
      <w:pPr>
        <w:spacing w:line="360" w:lineRule="auto"/>
        <w:contextualSpacing/>
        <w:rPr>
          <w:rFonts w:ascii="Arial" w:hAnsi="Arial"/>
          <w:b/>
        </w:rPr>
      </w:pPr>
    </w:p>
    <w:p w:rsidR="008D659B" w:rsidRPr="009043E9" w:rsidRDefault="008D659B" w:rsidP="00C52495">
      <w:pPr>
        <w:spacing w:line="360" w:lineRule="auto"/>
        <w:ind w:left="2268" w:hanging="2268"/>
        <w:contextualSpacing/>
        <w:jc w:val="both"/>
        <w:rPr>
          <w:rFonts w:ascii="Arial" w:hAnsi="Arial" w:cs="Arial"/>
          <w:lang w:val="en-US"/>
        </w:rPr>
      </w:pPr>
      <w:r w:rsidRPr="009043E9">
        <w:rPr>
          <w:rFonts w:ascii="Arial" w:hAnsi="Arial" w:cs="Arial"/>
          <w:b/>
          <w:lang w:val="en-US"/>
        </w:rPr>
        <w:t xml:space="preserve">Neutral citation: </w:t>
      </w:r>
      <w:r w:rsidRPr="009043E9">
        <w:rPr>
          <w:rFonts w:ascii="Arial" w:hAnsi="Arial" w:cs="Arial"/>
          <w:i/>
          <w:lang w:val="en-US"/>
        </w:rPr>
        <w:t xml:space="preserve"> </w:t>
      </w:r>
      <w:r w:rsidR="00C52495">
        <w:rPr>
          <w:rFonts w:ascii="Arial" w:hAnsi="Arial" w:cs="Arial"/>
          <w:i/>
          <w:lang w:val="en-US"/>
        </w:rPr>
        <w:t xml:space="preserve"> </w:t>
      </w:r>
      <w:r>
        <w:rPr>
          <w:rFonts w:ascii="Arial" w:hAnsi="Arial" w:cs="Arial"/>
          <w:i/>
          <w:lang w:val="en-US"/>
        </w:rPr>
        <w:t xml:space="preserve">De </w:t>
      </w:r>
      <w:r w:rsidR="0097368A">
        <w:rPr>
          <w:rFonts w:ascii="Arial" w:hAnsi="Arial" w:cs="Arial"/>
          <w:i/>
          <w:lang w:val="en-US"/>
        </w:rPr>
        <w:t>Klerk</w:t>
      </w:r>
      <w:r w:rsidRPr="009043E9">
        <w:rPr>
          <w:rFonts w:ascii="Arial" w:hAnsi="Arial" w:cs="Arial"/>
          <w:i/>
          <w:lang w:val="en-US"/>
        </w:rPr>
        <w:t xml:space="preserve"> v </w:t>
      </w:r>
      <w:r>
        <w:rPr>
          <w:rFonts w:ascii="Arial" w:hAnsi="Arial" w:cs="Arial"/>
          <w:i/>
          <w:lang w:val="en-US"/>
        </w:rPr>
        <w:t>The Prosecutor-General</w:t>
      </w:r>
      <w:r w:rsidRPr="009043E9">
        <w:rPr>
          <w:rFonts w:ascii="Arial" w:hAnsi="Arial" w:cs="Arial"/>
          <w:i/>
          <w:lang w:val="en-US"/>
        </w:rPr>
        <w:t xml:space="preserve"> (</w:t>
      </w:r>
      <w:r>
        <w:rPr>
          <w:rFonts w:ascii="Arial" w:hAnsi="Arial" w:cs="Arial"/>
        </w:rPr>
        <w:t>HC-MD-CIV-MOT</w:t>
      </w:r>
      <w:r w:rsidR="007E594E">
        <w:rPr>
          <w:rFonts w:ascii="Arial" w:hAnsi="Arial" w:cs="Arial"/>
        </w:rPr>
        <w:t>-</w:t>
      </w:r>
      <w:bookmarkStart w:id="0" w:name="_GoBack"/>
      <w:bookmarkEnd w:id="0"/>
      <w:r>
        <w:rPr>
          <w:rFonts w:ascii="Arial" w:hAnsi="Arial" w:cs="Arial"/>
        </w:rPr>
        <w:t xml:space="preserve"> POCA</w:t>
      </w:r>
      <w:r w:rsidRPr="009043E9">
        <w:rPr>
          <w:rFonts w:ascii="Arial" w:hAnsi="Arial" w:cs="Arial"/>
        </w:rPr>
        <w:t>-2022/</w:t>
      </w:r>
      <w:r>
        <w:rPr>
          <w:rFonts w:ascii="Arial" w:hAnsi="Arial" w:cs="Arial"/>
        </w:rPr>
        <w:t>00487</w:t>
      </w:r>
      <w:r w:rsidRPr="009043E9">
        <w:rPr>
          <w:rFonts w:ascii="Arial" w:hAnsi="Arial" w:cs="Arial"/>
        </w:rPr>
        <w:t xml:space="preserve">) [2024] </w:t>
      </w:r>
      <w:r w:rsidRPr="009043E9">
        <w:rPr>
          <w:rFonts w:ascii="Arial" w:hAnsi="Arial" w:cs="Arial"/>
          <w:lang w:val="en-US"/>
        </w:rPr>
        <w:t xml:space="preserve">NAHCMD </w:t>
      </w:r>
      <w:r w:rsidR="00C52495">
        <w:rPr>
          <w:rFonts w:ascii="Arial" w:hAnsi="Arial" w:cs="Arial"/>
          <w:lang w:val="en-US"/>
        </w:rPr>
        <w:t>247</w:t>
      </w:r>
      <w:r w:rsidRPr="009043E9">
        <w:rPr>
          <w:rFonts w:ascii="Arial" w:hAnsi="Arial" w:cs="Arial"/>
          <w:lang w:val="en-US"/>
        </w:rPr>
        <w:t xml:space="preserve"> (</w:t>
      </w:r>
      <w:r>
        <w:rPr>
          <w:rFonts w:ascii="Arial" w:hAnsi="Arial" w:cs="Arial"/>
          <w:lang w:val="en-US"/>
        </w:rPr>
        <w:t>24 May</w:t>
      </w:r>
      <w:r w:rsidRPr="009043E9">
        <w:rPr>
          <w:rFonts w:ascii="Arial" w:hAnsi="Arial" w:cs="Arial"/>
          <w:lang w:val="en-US"/>
        </w:rPr>
        <w:t xml:space="preserve"> 2024)</w:t>
      </w:r>
    </w:p>
    <w:p w:rsidR="008D659B" w:rsidRPr="009043E9" w:rsidRDefault="008D659B" w:rsidP="008D659B">
      <w:pPr>
        <w:spacing w:line="360" w:lineRule="auto"/>
        <w:ind w:left="2160" w:hanging="2160"/>
        <w:contextualSpacing/>
        <w:jc w:val="both"/>
        <w:rPr>
          <w:rFonts w:ascii="Arial" w:hAnsi="Arial" w:cs="Arial"/>
          <w:lang w:val="en-US"/>
        </w:rPr>
      </w:pPr>
    </w:p>
    <w:p w:rsidR="008D659B" w:rsidRPr="009043E9" w:rsidRDefault="008D659B" w:rsidP="008D659B">
      <w:pPr>
        <w:spacing w:line="360" w:lineRule="auto"/>
        <w:ind w:left="1440" w:hanging="1440"/>
        <w:contextualSpacing/>
        <w:jc w:val="both"/>
        <w:rPr>
          <w:rFonts w:ascii="Arial" w:hAnsi="Arial" w:cs="Arial"/>
          <w:lang w:val="en-US"/>
        </w:rPr>
      </w:pPr>
      <w:r w:rsidRPr="009043E9">
        <w:rPr>
          <w:rFonts w:ascii="Arial" w:hAnsi="Arial" w:cs="Arial"/>
          <w:b/>
          <w:lang w:val="en-US"/>
        </w:rPr>
        <w:t>Coram:</w:t>
      </w:r>
      <w:r w:rsidRPr="009043E9">
        <w:rPr>
          <w:rFonts w:ascii="Arial" w:hAnsi="Arial" w:cs="Arial"/>
          <w:lang w:val="en-US"/>
        </w:rPr>
        <w:tab/>
      </w:r>
      <w:r w:rsidRPr="009043E9">
        <w:rPr>
          <w:rFonts w:ascii="Arial" w:hAnsi="Arial" w:cs="Arial"/>
          <w:lang w:val="en-US"/>
        </w:rPr>
        <w:tab/>
        <w:t>UEITELE J</w:t>
      </w:r>
    </w:p>
    <w:p w:rsidR="008D659B" w:rsidRPr="009043E9" w:rsidRDefault="008D659B" w:rsidP="008D659B">
      <w:pPr>
        <w:spacing w:line="360" w:lineRule="auto"/>
        <w:contextualSpacing/>
        <w:jc w:val="both"/>
        <w:rPr>
          <w:rFonts w:ascii="Arial" w:hAnsi="Arial" w:cs="Arial"/>
          <w:b/>
          <w:bCs/>
          <w:lang w:val="en-US"/>
        </w:rPr>
      </w:pPr>
      <w:r w:rsidRPr="009043E9">
        <w:rPr>
          <w:rFonts w:ascii="Arial" w:hAnsi="Arial" w:cs="Arial"/>
          <w:b/>
          <w:bCs/>
          <w:lang w:val="en-US"/>
        </w:rPr>
        <w:t xml:space="preserve">Heard </w:t>
      </w:r>
      <w:r w:rsidRPr="009043E9">
        <w:rPr>
          <w:rFonts w:ascii="Arial" w:hAnsi="Arial" w:cs="Arial"/>
          <w:b/>
          <w:bCs/>
          <w:lang w:val="en-US"/>
        </w:rPr>
        <w:tab/>
      </w:r>
      <w:r w:rsidRPr="009043E9">
        <w:rPr>
          <w:rFonts w:ascii="Arial" w:hAnsi="Arial" w:cs="Arial"/>
          <w:b/>
          <w:bCs/>
          <w:lang w:val="en-US"/>
        </w:rPr>
        <w:tab/>
      </w:r>
      <w:r>
        <w:rPr>
          <w:rFonts w:ascii="Arial" w:hAnsi="Arial" w:cs="Arial"/>
          <w:b/>
          <w:bCs/>
          <w:lang w:val="en-US"/>
        </w:rPr>
        <w:t>04 April 2024</w:t>
      </w:r>
    </w:p>
    <w:p w:rsidR="008D659B" w:rsidRPr="009043E9" w:rsidRDefault="008D659B" w:rsidP="008D659B">
      <w:pPr>
        <w:spacing w:line="360" w:lineRule="auto"/>
        <w:contextualSpacing/>
        <w:jc w:val="both"/>
        <w:rPr>
          <w:rFonts w:ascii="Arial" w:hAnsi="Arial" w:cs="Arial"/>
          <w:b/>
          <w:lang w:val="en-US"/>
        </w:rPr>
      </w:pPr>
      <w:r w:rsidRPr="009043E9">
        <w:rPr>
          <w:rFonts w:ascii="Arial" w:hAnsi="Arial" w:cs="Arial"/>
          <w:b/>
          <w:bCs/>
          <w:lang w:val="en-US"/>
        </w:rPr>
        <w:t>Delivered</w:t>
      </w:r>
      <w:r w:rsidRPr="009043E9">
        <w:rPr>
          <w:rFonts w:ascii="Arial" w:hAnsi="Arial" w:cs="Arial"/>
          <w:b/>
          <w:lang w:val="en-US"/>
        </w:rPr>
        <w:t>:</w:t>
      </w:r>
      <w:r w:rsidRPr="009043E9">
        <w:rPr>
          <w:rFonts w:ascii="Arial" w:hAnsi="Arial" w:cs="Arial"/>
          <w:b/>
          <w:lang w:val="en-US"/>
        </w:rPr>
        <w:tab/>
      </w:r>
      <w:r w:rsidRPr="009043E9">
        <w:rPr>
          <w:rFonts w:ascii="Arial" w:hAnsi="Arial" w:cs="Arial"/>
          <w:b/>
          <w:lang w:val="en-US"/>
        </w:rPr>
        <w:tab/>
      </w:r>
      <w:r>
        <w:rPr>
          <w:rFonts w:ascii="Arial" w:hAnsi="Arial" w:cs="Arial"/>
          <w:b/>
          <w:lang w:val="en-US"/>
        </w:rPr>
        <w:t>24 May</w:t>
      </w:r>
      <w:r w:rsidRPr="009043E9">
        <w:rPr>
          <w:rFonts w:ascii="Arial" w:hAnsi="Arial" w:cs="Arial"/>
          <w:b/>
          <w:lang w:val="en-US"/>
        </w:rPr>
        <w:t xml:space="preserve"> 2024</w:t>
      </w:r>
    </w:p>
    <w:p w:rsidR="00053F06" w:rsidRDefault="00053F06" w:rsidP="008D659B">
      <w:pPr>
        <w:spacing w:line="360" w:lineRule="auto"/>
        <w:contextualSpacing/>
        <w:rPr>
          <w:rFonts w:ascii="Arial" w:hAnsi="Arial"/>
        </w:rPr>
      </w:pPr>
    </w:p>
    <w:p w:rsidR="00691951" w:rsidRPr="00691951" w:rsidRDefault="00D848B0" w:rsidP="00691951">
      <w:pPr>
        <w:spacing w:line="360" w:lineRule="auto"/>
        <w:jc w:val="both"/>
        <w:rPr>
          <w:rFonts w:ascii="Roboto" w:hAnsi="Roboto"/>
          <w:color w:val="212529"/>
          <w:sz w:val="23"/>
          <w:szCs w:val="23"/>
          <w:shd w:val="clear" w:color="auto" w:fill="FFFFFF"/>
        </w:rPr>
      </w:pPr>
      <w:proofErr w:type="spellStart"/>
      <w:r w:rsidRPr="00D04778">
        <w:rPr>
          <w:rFonts w:ascii="Arial" w:hAnsi="Arial" w:cs="Arial"/>
          <w:b/>
        </w:rPr>
        <w:t>Flynote</w:t>
      </w:r>
      <w:proofErr w:type="spellEnd"/>
      <w:r w:rsidR="00D04778" w:rsidRPr="00D04778">
        <w:rPr>
          <w:rFonts w:ascii="Arial" w:hAnsi="Arial" w:cs="Arial"/>
          <w:b/>
        </w:rPr>
        <w:t>:</w:t>
      </w:r>
      <w:r w:rsidR="00691951">
        <w:rPr>
          <w:rFonts w:ascii="Arial" w:hAnsi="Arial" w:cs="Arial"/>
          <w:b/>
        </w:rPr>
        <w:tab/>
      </w:r>
      <w:r w:rsidR="00691951" w:rsidRPr="00691951">
        <w:rPr>
          <w:rFonts w:ascii="Arial" w:hAnsi="Arial" w:cs="Arial"/>
        </w:rPr>
        <w:t>Legislation</w:t>
      </w:r>
      <w:r w:rsidR="00691951" w:rsidRPr="00691951">
        <w:rPr>
          <w:rFonts w:ascii="Roboto" w:hAnsi="Roboto"/>
          <w:sz w:val="23"/>
          <w:szCs w:val="23"/>
          <w:shd w:val="clear" w:color="auto" w:fill="FFFFFF"/>
        </w:rPr>
        <w:t xml:space="preserve"> </w:t>
      </w:r>
      <w:r w:rsidR="00691951" w:rsidRPr="00691951">
        <w:rPr>
          <w:rFonts w:ascii="Arial" w:hAnsi="Arial" w:cs="Arial"/>
        </w:rPr>
        <w:t xml:space="preserve">— </w:t>
      </w:r>
      <w:r w:rsidR="00691951" w:rsidRPr="00691951">
        <w:rPr>
          <w:rFonts w:ascii="Arial" w:hAnsi="Arial"/>
        </w:rPr>
        <w:t xml:space="preserve">Prevention of Organised Crime Act 29 of 2004 (POCA) </w:t>
      </w:r>
      <w:r w:rsidR="00691951" w:rsidRPr="00691951">
        <w:rPr>
          <w:rFonts w:ascii="Arial" w:hAnsi="Arial" w:cs="Arial"/>
        </w:rPr>
        <w:t xml:space="preserve">— Warrant of Arrest — </w:t>
      </w:r>
      <w:r w:rsidR="00691951" w:rsidRPr="00691951">
        <w:rPr>
          <w:rFonts w:ascii="Arial" w:hAnsi="Arial"/>
        </w:rPr>
        <w:t xml:space="preserve">Rescission of the order preserving the property </w:t>
      </w:r>
      <w:r w:rsidR="00691951" w:rsidRPr="00691951">
        <w:rPr>
          <w:rFonts w:ascii="Arial" w:hAnsi="Arial" w:cs="Arial"/>
        </w:rPr>
        <w:t xml:space="preserve">— Section 99 of POCA — </w:t>
      </w:r>
      <w:r w:rsidR="00691951" w:rsidRPr="00691951">
        <w:rPr>
          <w:rFonts w:ascii="Arial" w:hAnsi="Arial"/>
        </w:rPr>
        <w:t>A person who may be classified as a fugitive from justice may not participate in any proceedings under chapter 5 and 6 of POCA for as long as he or she remains a fugitive from justice.</w:t>
      </w:r>
    </w:p>
    <w:p w:rsidR="0097368A" w:rsidRDefault="0097368A" w:rsidP="0097368A">
      <w:pPr>
        <w:spacing w:line="360" w:lineRule="auto"/>
        <w:contextualSpacing/>
        <w:jc w:val="both"/>
        <w:rPr>
          <w:rFonts w:ascii="Arial" w:hAnsi="Arial" w:cs="Arial"/>
          <w:b/>
        </w:rPr>
      </w:pPr>
    </w:p>
    <w:p w:rsidR="00C52495" w:rsidRDefault="0097368A" w:rsidP="00C52495">
      <w:pPr>
        <w:spacing w:line="360" w:lineRule="auto"/>
        <w:contextualSpacing/>
        <w:jc w:val="both"/>
        <w:rPr>
          <w:rFonts w:ascii="Arial" w:hAnsi="Arial"/>
        </w:rPr>
      </w:pPr>
      <w:r w:rsidRPr="0097368A">
        <w:rPr>
          <w:rFonts w:ascii="Arial" w:hAnsi="Arial" w:cs="Arial"/>
          <w:b/>
        </w:rPr>
        <w:t>Summary:</w:t>
      </w:r>
      <w:r>
        <w:rPr>
          <w:rFonts w:ascii="Arial" w:hAnsi="Arial" w:cs="Arial"/>
        </w:rPr>
        <w:tab/>
      </w:r>
      <w:r w:rsidRPr="00913FAC">
        <w:rPr>
          <w:rFonts w:ascii="Arial" w:hAnsi="Arial" w:cs="Arial"/>
        </w:rPr>
        <w:t>On</w:t>
      </w:r>
      <w:r w:rsidRPr="00563375">
        <w:rPr>
          <w:rFonts w:ascii="Arial" w:hAnsi="Arial" w:cs="Arial"/>
        </w:rPr>
        <w:t xml:space="preserve"> </w:t>
      </w:r>
      <w:r w:rsidR="007867D7">
        <w:rPr>
          <w:rFonts w:ascii="Arial" w:hAnsi="Arial" w:cs="Arial"/>
        </w:rPr>
        <w:t>18 October 2022</w:t>
      </w:r>
      <w:r>
        <w:rPr>
          <w:rFonts w:ascii="Arial" w:hAnsi="Arial" w:cs="Arial"/>
        </w:rPr>
        <w:t xml:space="preserve">, the </w:t>
      </w:r>
      <w:r w:rsidR="00C52495">
        <w:rPr>
          <w:rFonts w:ascii="Arial" w:hAnsi="Arial" w:cs="Arial"/>
        </w:rPr>
        <w:t xml:space="preserve">first </w:t>
      </w:r>
      <w:r>
        <w:rPr>
          <w:rFonts w:ascii="Arial" w:hAnsi="Arial" w:cs="Arial"/>
        </w:rPr>
        <w:t xml:space="preserve">respondent, on an ex parte basis, approached this court by way of notice of motion seeking, amongst other, a preservation of property order as contemplated in s 51 of the </w:t>
      </w:r>
      <w:r w:rsidR="00C52495" w:rsidRPr="00132CC3">
        <w:rPr>
          <w:rFonts w:ascii="Arial" w:hAnsi="Arial"/>
        </w:rPr>
        <w:t>Prevention of Organised Crime Act 29 of 2004</w:t>
      </w:r>
      <w:r w:rsidR="00C52495">
        <w:rPr>
          <w:rFonts w:ascii="Arial" w:hAnsi="Arial"/>
        </w:rPr>
        <w:t xml:space="preserve"> (POCA). The Court, amongst other orders, ordered that an amount of N$4 681 518</w:t>
      </w:r>
      <w:proofErr w:type="gramStart"/>
      <w:r w:rsidR="00C52495">
        <w:rPr>
          <w:rFonts w:ascii="Arial" w:hAnsi="Arial"/>
        </w:rPr>
        <w:t>,</w:t>
      </w:r>
      <w:r w:rsidR="00C52495" w:rsidRPr="00132CC3">
        <w:rPr>
          <w:rFonts w:ascii="Arial" w:hAnsi="Arial"/>
        </w:rPr>
        <w:t>28</w:t>
      </w:r>
      <w:proofErr w:type="gramEnd"/>
      <w:r w:rsidR="00C52495" w:rsidRPr="00132CC3">
        <w:rPr>
          <w:rFonts w:ascii="Arial" w:hAnsi="Arial"/>
        </w:rPr>
        <w:t xml:space="preserve"> in the B</w:t>
      </w:r>
      <w:r w:rsidR="00C52495">
        <w:rPr>
          <w:rFonts w:ascii="Arial" w:hAnsi="Arial"/>
        </w:rPr>
        <w:t xml:space="preserve">ank Windhoek account number NPD </w:t>
      </w:r>
      <w:r w:rsidR="00C52495" w:rsidRPr="00132CC3">
        <w:rPr>
          <w:rFonts w:ascii="Arial" w:hAnsi="Arial"/>
        </w:rPr>
        <w:t>3001930059 in the name of De Klerk, Horn and Coetzee Legal Practitione</w:t>
      </w:r>
      <w:r w:rsidR="00C52495">
        <w:rPr>
          <w:rFonts w:ascii="Arial" w:hAnsi="Arial"/>
        </w:rPr>
        <w:t>rs Inc. (Pty) Ltd 2017/00 Trust and an amount of N$1 870 941,</w:t>
      </w:r>
      <w:r w:rsidR="00C52495" w:rsidRPr="00132CC3">
        <w:rPr>
          <w:rFonts w:ascii="Arial" w:hAnsi="Arial"/>
        </w:rPr>
        <w:t>54 in Nedbank account number 110</w:t>
      </w:r>
      <w:r w:rsidR="00C52495">
        <w:rPr>
          <w:rFonts w:ascii="Arial" w:hAnsi="Arial"/>
        </w:rPr>
        <w:t>00055095 held in the name of Mr</w:t>
      </w:r>
      <w:r w:rsidR="00C52495" w:rsidRPr="00132CC3">
        <w:rPr>
          <w:rFonts w:ascii="Arial" w:hAnsi="Arial"/>
        </w:rPr>
        <w:t xml:space="preserve"> de Klerk</w:t>
      </w:r>
      <w:r w:rsidR="00C52495">
        <w:rPr>
          <w:rFonts w:ascii="Arial" w:hAnsi="Arial"/>
        </w:rPr>
        <w:t>, be preserved</w:t>
      </w:r>
      <w:r w:rsidR="00C52495" w:rsidRPr="00132CC3">
        <w:rPr>
          <w:rFonts w:ascii="Arial" w:hAnsi="Arial"/>
        </w:rPr>
        <w:t xml:space="preserve">. The </w:t>
      </w:r>
      <w:r w:rsidR="00C52495">
        <w:rPr>
          <w:rFonts w:ascii="Arial" w:hAnsi="Arial"/>
        </w:rPr>
        <w:t xml:space="preserve">Court further </w:t>
      </w:r>
      <w:r w:rsidR="00C52495" w:rsidRPr="00132CC3">
        <w:rPr>
          <w:rFonts w:ascii="Arial" w:hAnsi="Arial"/>
        </w:rPr>
        <w:t>granted</w:t>
      </w:r>
      <w:r w:rsidR="00C52495">
        <w:rPr>
          <w:rFonts w:ascii="Arial" w:hAnsi="Arial"/>
        </w:rPr>
        <w:t xml:space="preserve"> the Prosecutor General </w:t>
      </w:r>
      <w:r w:rsidR="00C52495" w:rsidRPr="00132CC3">
        <w:rPr>
          <w:rFonts w:ascii="Arial" w:hAnsi="Arial"/>
        </w:rPr>
        <w:t xml:space="preserve">leave to serve </w:t>
      </w:r>
      <w:r w:rsidR="00C52495">
        <w:rPr>
          <w:rFonts w:ascii="Arial" w:hAnsi="Arial"/>
        </w:rPr>
        <w:t>the preservation order on Mr de Klerk</w:t>
      </w:r>
      <w:r w:rsidR="00C52495" w:rsidRPr="00132CC3">
        <w:rPr>
          <w:rFonts w:ascii="Arial" w:hAnsi="Arial"/>
        </w:rPr>
        <w:t xml:space="preserve"> and </w:t>
      </w:r>
      <w:proofErr w:type="spellStart"/>
      <w:r w:rsidR="00C52495" w:rsidRPr="00132CC3">
        <w:rPr>
          <w:rFonts w:ascii="Arial" w:hAnsi="Arial"/>
        </w:rPr>
        <w:t>Celax</w:t>
      </w:r>
      <w:proofErr w:type="spellEnd"/>
      <w:r w:rsidR="00C52495" w:rsidRPr="00132CC3">
        <w:rPr>
          <w:rFonts w:ascii="Arial" w:hAnsi="Arial"/>
        </w:rPr>
        <w:t xml:space="preserve"> Investment (Pty) Ltd, by way of substituted service</w:t>
      </w:r>
      <w:r w:rsidR="00C52495">
        <w:rPr>
          <w:rFonts w:ascii="Arial" w:hAnsi="Arial"/>
        </w:rPr>
        <w:t>.</w:t>
      </w:r>
    </w:p>
    <w:p w:rsidR="00C52495" w:rsidRDefault="00C52495" w:rsidP="00C52495">
      <w:pPr>
        <w:spacing w:line="360" w:lineRule="auto"/>
        <w:contextualSpacing/>
        <w:jc w:val="both"/>
        <w:rPr>
          <w:rFonts w:ascii="Arial" w:hAnsi="Arial" w:cs="Arial"/>
        </w:rPr>
      </w:pPr>
    </w:p>
    <w:p w:rsidR="0097368A" w:rsidRPr="00C52495" w:rsidRDefault="0097368A" w:rsidP="00C52495">
      <w:pPr>
        <w:spacing w:line="360" w:lineRule="auto"/>
        <w:contextualSpacing/>
        <w:jc w:val="both"/>
        <w:rPr>
          <w:rFonts w:ascii="Arial" w:hAnsi="Arial" w:cs="Arial"/>
        </w:rPr>
      </w:pPr>
      <w:r w:rsidRPr="00AD2C69">
        <w:rPr>
          <w:rFonts w:ascii="Arial" w:hAnsi="Arial" w:cs="Arial"/>
        </w:rPr>
        <w:t xml:space="preserve">When the </w:t>
      </w:r>
      <w:r w:rsidR="00C52495">
        <w:rPr>
          <w:rFonts w:ascii="Arial" w:hAnsi="Arial" w:cs="Arial"/>
        </w:rPr>
        <w:t>first respondent approached this C</w:t>
      </w:r>
      <w:r w:rsidRPr="00AD2C69">
        <w:rPr>
          <w:rFonts w:ascii="Arial" w:hAnsi="Arial" w:cs="Arial"/>
        </w:rPr>
        <w:t xml:space="preserve">ourt seeking a preservation of property order, she premised the application on the </w:t>
      </w:r>
      <w:r w:rsidR="00C52495">
        <w:rPr>
          <w:rFonts w:ascii="Arial" w:hAnsi="Arial" w:cs="Arial"/>
        </w:rPr>
        <w:t>basis</w:t>
      </w:r>
      <w:r w:rsidRPr="00AD2C69">
        <w:rPr>
          <w:rFonts w:ascii="Arial" w:hAnsi="Arial" w:cs="Arial"/>
        </w:rPr>
        <w:t xml:space="preserve"> that there are reasonable grounds to believe that the properties sought to be preserved are the proceeds of unlawful activities, namely: fraud, alternatively theft under false pretences; corrupt activities in contravention of the Anti-Corruption Act;</w:t>
      </w:r>
      <w:r w:rsidRPr="00AD2C69">
        <w:rPr>
          <w:rStyle w:val="FootnoteReference"/>
          <w:rFonts w:ascii="Arial" w:hAnsi="Arial" w:cs="Arial"/>
        </w:rPr>
        <w:footnoteReference w:id="1"/>
      </w:r>
      <w:r w:rsidRPr="00AD2C69">
        <w:rPr>
          <w:rFonts w:ascii="Arial" w:hAnsi="Arial" w:cs="Arial"/>
        </w:rPr>
        <w:t xml:space="preserve"> money laundering offences in contravention of sections 4, 5 and 6 of </w:t>
      </w:r>
      <w:r>
        <w:rPr>
          <w:rFonts w:ascii="Arial" w:hAnsi="Arial" w:cs="Arial"/>
        </w:rPr>
        <w:t>POCA</w:t>
      </w:r>
      <w:r w:rsidRPr="00AD2C69">
        <w:rPr>
          <w:rFonts w:ascii="Arial" w:hAnsi="Arial" w:cs="Arial"/>
        </w:rPr>
        <w:t xml:space="preserve"> and racketeering offences in contravention of s 2(1) of </w:t>
      </w:r>
      <w:r>
        <w:rPr>
          <w:rFonts w:ascii="Arial" w:hAnsi="Arial" w:cs="Arial"/>
        </w:rPr>
        <w:t>POCA</w:t>
      </w:r>
      <w:r w:rsidRPr="00AD2C69">
        <w:rPr>
          <w:rFonts w:ascii="Arial" w:hAnsi="Arial" w:cs="Arial"/>
        </w:rPr>
        <w:t xml:space="preserve">. </w:t>
      </w:r>
    </w:p>
    <w:p w:rsidR="0097368A" w:rsidRPr="004131CB" w:rsidRDefault="0097368A" w:rsidP="0097368A">
      <w:pPr>
        <w:pStyle w:val="BodyText"/>
        <w:tabs>
          <w:tab w:val="left" w:pos="709"/>
        </w:tabs>
        <w:spacing w:after="0" w:line="360" w:lineRule="auto"/>
        <w:jc w:val="both"/>
        <w:rPr>
          <w:rFonts w:ascii="Arial" w:hAnsi="Arial" w:cs="Arial"/>
        </w:rPr>
      </w:pPr>
    </w:p>
    <w:p w:rsidR="00C52495" w:rsidRDefault="00C52495" w:rsidP="0097368A">
      <w:pPr>
        <w:pStyle w:val="BodyText"/>
        <w:tabs>
          <w:tab w:val="left" w:pos="709"/>
        </w:tabs>
        <w:spacing w:after="0" w:line="360" w:lineRule="auto"/>
        <w:contextualSpacing/>
        <w:jc w:val="both"/>
        <w:rPr>
          <w:rFonts w:ascii="Arial" w:hAnsi="Arial"/>
          <w:lang w:val="en-US"/>
        </w:rPr>
      </w:pPr>
      <w:r>
        <w:rPr>
          <w:rFonts w:ascii="Arial" w:hAnsi="Arial"/>
        </w:rPr>
        <w:t xml:space="preserve">On 15 December 2022, the first respondent served the Court Order of 02 December 2022 (the preservation order) through electronic mail on both Mr de Klerk and </w:t>
      </w:r>
      <w:proofErr w:type="spellStart"/>
      <w:r>
        <w:rPr>
          <w:rFonts w:ascii="Arial" w:hAnsi="Arial"/>
        </w:rPr>
        <w:t>Celax</w:t>
      </w:r>
      <w:proofErr w:type="spellEnd"/>
      <w:r>
        <w:rPr>
          <w:rFonts w:ascii="Arial" w:hAnsi="Arial"/>
        </w:rPr>
        <w:t xml:space="preserve"> Investment (Pty) Ltd. Approximately three months after the preservation order was served on Mr de Klerk, he (that is de Klerk) on 29 March 2023, launched an application to rescind the preservation order of 02 December </w:t>
      </w:r>
      <w:r>
        <w:rPr>
          <w:rFonts w:ascii="Arial" w:hAnsi="Arial"/>
        </w:rPr>
        <w:lastRenderedPageBreak/>
        <w:t>2022 and to be granted leave to file an affidavit contemplated under s</w:t>
      </w:r>
      <w:r w:rsidRPr="00D938E7">
        <w:rPr>
          <w:rFonts w:ascii="Arial" w:hAnsi="Arial"/>
          <w:lang w:val="en-US"/>
        </w:rPr>
        <w:t xml:space="preserve"> 52(3) </w:t>
      </w:r>
      <w:r>
        <w:rPr>
          <w:rFonts w:ascii="Arial" w:hAnsi="Arial"/>
          <w:lang w:val="en-US"/>
        </w:rPr>
        <w:t>of POCA</w:t>
      </w:r>
      <w:r w:rsidRPr="00D938E7">
        <w:rPr>
          <w:rFonts w:ascii="Arial" w:hAnsi="Arial"/>
          <w:lang w:val="en-US"/>
        </w:rPr>
        <w:t>.</w:t>
      </w:r>
      <w:r>
        <w:rPr>
          <w:rFonts w:ascii="Arial" w:hAnsi="Arial"/>
          <w:lang w:val="en-US"/>
        </w:rPr>
        <w:t xml:space="preserve"> It is this application which is the subject of this ruling. </w:t>
      </w:r>
    </w:p>
    <w:p w:rsidR="00C52495" w:rsidRDefault="00C52495" w:rsidP="0097368A">
      <w:pPr>
        <w:pStyle w:val="BodyText"/>
        <w:tabs>
          <w:tab w:val="left" w:pos="709"/>
        </w:tabs>
        <w:spacing w:after="0" w:line="360" w:lineRule="auto"/>
        <w:contextualSpacing/>
        <w:jc w:val="both"/>
        <w:rPr>
          <w:rFonts w:ascii="Arial" w:hAnsi="Arial"/>
          <w:lang w:val="en-US"/>
        </w:rPr>
      </w:pPr>
    </w:p>
    <w:p w:rsidR="00C52495" w:rsidRDefault="00C52495" w:rsidP="00C52495">
      <w:pPr>
        <w:spacing w:line="360" w:lineRule="auto"/>
        <w:contextualSpacing/>
        <w:jc w:val="both"/>
        <w:rPr>
          <w:rFonts w:ascii="Arial" w:hAnsi="Arial"/>
        </w:rPr>
      </w:pPr>
      <w:r w:rsidRPr="00691951">
        <w:rPr>
          <w:rFonts w:ascii="Arial" w:hAnsi="Arial"/>
          <w:i/>
          <w:lang w:val="en-US"/>
        </w:rPr>
        <w:t>Held that:</w:t>
      </w:r>
      <w:r>
        <w:rPr>
          <w:rFonts w:ascii="Arial" w:hAnsi="Arial"/>
          <w:lang w:val="en-US"/>
        </w:rPr>
        <w:t xml:space="preserve"> </w:t>
      </w:r>
      <w:r w:rsidR="00691951">
        <w:rPr>
          <w:rFonts w:ascii="Arial" w:hAnsi="Arial"/>
        </w:rPr>
        <w:t>s</w:t>
      </w:r>
      <w:r w:rsidRPr="008172D3">
        <w:rPr>
          <w:rFonts w:ascii="Arial" w:hAnsi="Arial"/>
        </w:rPr>
        <w:t xml:space="preserve">ection </w:t>
      </w:r>
      <w:r>
        <w:rPr>
          <w:rFonts w:ascii="Arial" w:hAnsi="Arial"/>
        </w:rPr>
        <w:t xml:space="preserve">99 identifies two classes </w:t>
      </w:r>
      <w:r w:rsidRPr="008172D3">
        <w:rPr>
          <w:rFonts w:ascii="Arial" w:hAnsi="Arial"/>
        </w:rPr>
        <w:t>of</w:t>
      </w:r>
      <w:r>
        <w:rPr>
          <w:rFonts w:ascii="Arial" w:hAnsi="Arial"/>
        </w:rPr>
        <w:t xml:space="preserve"> persons</w:t>
      </w:r>
      <w:r w:rsidRPr="008172D3">
        <w:rPr>
          <w:rFonts w:ascii="Arial" w:hAnsi="Arial"/>
        </w:rPr>
        <w:t xml:space="preserve">. </w:t>
      </w:r>
      <w:r>
        <w:rPr>
          <w:rFonts w:ascii="Arial" w:hAnsi="Arial"/>
        </w:rPr>
        <w:t xml:space="preserve">The first class of persons identified by the section is a person </w:t>
      </w:r>
      <w:r w:rsidRPr="008172D3">
        <w:rPr>
          <w:rFonts w:ascii="Arial" w:hAnsi="Arial"/>
        </w:rPr>
        <w:t>who has been s</w:t>
      </w:r>
      <w:r>
        <w:rPr>
          <w:rFonts w:ascii="Arial" w:hAnsi="Arial"/>
        </w:rPr>
        <w:t>ummoned or warned to appear in C</w:t>
      </w:r>
      <w:r w:rsidRPr="008172D3">
        <w:rPr>
          <w:rFonts w:ascii="Arial" w:hAnsi="Arial"/>
        </w:rPr>
        <w:t>ourt on a specific date or otherwise made aware t</w:t>
      </w:r>
      <w:r>
        <w:rPr>
          <w:rFonts w:ascii="Arial" w:hAnsi="Arial"/>
        </w:rPr>
        <w:t>hat he or she has to appear in C</w:t>
      </w:r>
      <w:r w:rsidRPr="008172D3">
        <w:rPr>
          <w:rFonts w:ascii="Arial" w:hAnsi="Arial"/>
        </w:rPr>
        <w:t>ourt on a specifi</w:t>
      </w:r>
      <w:r>
        <w:rPr>
          <w:rFonts w:ascii="Arial" w:hAnsi="Arial"/>
        </w:rPr>
        <w:t>c date and failed to appear in C</w:t>
      </w:r>
      <w:r w:rsidRPr="008172D3">
        <w:rPr>
          <w:rFonts w:ascii="Arial" w:hAnsi="Arial"/>
        </w:rPr>
        <w:t>ourt on that date</w:t>
      </w:r>
      <w:r>
        <w:rPr>
          <w:rFonts w:ascii="Arial" w:hAnsi="Arial"/>
        </w:rPr>
        <w:t xml:space="preserve">. The second class of persons identified is a person </w:t>
      </w:r>
      <w:r w:rsidRPr="008172D3">
        <w:rPr>
          <w:rFonts w:ascii="Arial" w:hAnsi="Arial"/>
        </w:rPr>
        <w:t xml:space="preserve">in respect of whom a warrant for his or her arrest has been </w:t>
      </w:r>
      <w:r>
        <w:rPr>
          <w:rFonts w:ascii="Arial" w:hAnsi="Arial"/>
        </w:rPr>
        <w:t>issued and whose attendance in C</w:t>
      </w:r>
      <w:r w:rsidRPr="008172D3">
        <w:rPr>
          <w:rFonts w:ascii="Arial" w:hAnsi="Arial"/>
        </w:rPr>
        <w:t xml:space="preserve">ourt cannot be secured </w:t>
      </w:r>
      <w:r>
        <w:rPr>
          <w:rFonts w:ascii="Arial" w:hAnsi="Arial"/>
        </w:rPr>
        <w:t>despite</w:t>
      </w:r>
      <w:r w:rsidRPr="008172D3">
        <w:rPr>
          <w:rFonts w:ascii="Arial" w:hAnsi="Arial"/>
        </w:rPr>
        <w:t xml:space="preserve"> all reasonable steps having been taken to execute the warrant</w:t>
      </w:r>
      <w:r>
        <w:rPr>
          <w:rFonts w:ascii="Arial" w:hAnsi="Arial"/>
        </w:rPr>
        <w:t>. In addition to identifying the classes of persons</w:t>
      </w:r>
      <w:r w:rsidR="00691951">
        <w:rPr>
          <w:rFonts w:ascii="Arial" w:hAnsi="Arial"/>
        </w:rPr>
        <w:t>,</w:t>
      </w:r>
      <w:r>
        <w:rPr>
          <w:rFonts w:ascii="Arial" w:hAnsi="Arial"/>
        </w:rPr>
        <w:t xml:space="preserve"> the section prohibits a person who falls in any of the two identified classes to participate in proceedings under chapter 5 or chapter 6 of the POCA.</w:t>
      </w:r>
    </w:p>
    <w:p w:rsidR="00C52495" w:rsidRDefault="00C52495" w:rsidP="00C52495">
      <w:pPr>
        <w:spacing w:line="360" w:lineRule="auto"/>
        <w:contextualSpacing/>
        <w:jc w:val="both"/>
        <w:rPr>
          <w:rFonts w:ascii="Arial" w:hAnsi="Arial"/>
        </w:rPr>
      </w:pPr>
    </w:p>
    <w:p w:rsidR="00C52495" w:rsidRDefault="00C52495" w:rsidP="00C52495">
      <w:pPr>
        <w:spacing w:line="360" w:lineRule="auto"/>
        <w:contextualSpacing/>
        <w:jc w:val="both"/>
        <w:rPr>
          <w:rFonts w:ascii="Arial" w:hAnsi="Arial"/>
          <w:lang w:val="en-US"/>
        </w:rPr>
      </w:pPr>
      <w:r w:rsidRPr="00691951">
        <w:rPr>
          <w:rFonts w:ascii="Arial" w:hAnsi="Arial"/>
          <w:i/>
        </w:rPr>
        <w:t>Held that</w:t>
      </w:r>
      <w:r>
        <w:rPr>
          <w:rFonts w:ascii="Arial" w:hAnsi="Arial"/>
        </w:rPr>
        <w:t xml:space="preserve">: </w:t>
      </w:r>
      <w:r w:rsidR="00452ACF">
        <w:rPr>
          <w:rFonts w:ascii="Arial" w:hAnsi="Arial"/>
          <w:lang w:val="en-US"/>
        </w:rPr>
        <w:t>the</w:t>
      </w:r>
      <w:r>
        <w:rPr>
          <w:rFonts w:ascii="Arial" w:hAnsi="Arial"/>
          <w:lang w:val="en-US"/>
        </w:rPr>
        <w:t xml:space="preserve"> </w:t>
      </w:r>
      <w:r w:rsidRPr="003A1E33">
        <w:rPr>
          <w:rFonts w:ascii="Arial" w:hAnsi="Arial"/>
          <w:lang w:val="en-US"/>
        </w:rPr>
        <w:t xml:space="preserve">general principle </w:t>
      </w:r>
      <w:r w:rsidR="00452ACF">
        <w:rPr>
          <w:rFonts w:ascii="Arial" w:hAnsi="Arial"/>
          <w:lang w:val="en-US"/>
        </w:rPr>
        <w:t xml:space="preserve">is </w:t>
      </w:r>
      <w:r w:rsidRPr="003A1E33">
        <w:rPr>
          <w:rFonts w:ascii="Arial" w:hAnsi="Arial"/>
          <w:lang w:val="en-US"/>
        </w:rPr>
        <w:t>that, unless the contrary is expressly enacted or so plainly implied</w:t>
      </w:r>
      <w:r>
        <w:rPr>
          <w:rFonts w:ascii="Arial" w:hAnsi="Arial"/>
          <w:lang w:val="en-US"/>
        </w:rPr>
        <w:t>, the C</w:t>
      </w:r>
      <w:r w:rsidRPr="003A1E33">
        <w:rPr>
          <w:rFonts w:ascii="Arial" w:hAnsi="Arial"/>
          <w:lang w:val="en-US"/>
        </w:rPr>
        <w:t xml:space="preserve">ourts </w:t>
      </w:r>
      <w:r>
        <w:rPr>
          <w:rFonts w:ascii="Arial" w:hAnsi="Arial"/>
          <w:lang w:val="en-US"/>
        </w:rPr>
        <w:t xml:space="preserve">must give effect to it, legislation is </w:t>
      </w:r>
      <w:r w:rsidRPr="003A1E33">
        <w:rPr>
          <w:rFonts w:ascii="Arial" w:hAnsi="Arial"/>
          <w:lang w:val="en-US"/>
        </w:rPr>
        <w:t>applicable only to persons in the country or doing business in the country in a way that subjects the person to local jurisdiction. Extraterritorially effective jurisdiction is possible if the terms of the legislation cannot effectually be applied or</w:t>
      </w:r>
      <w:r>
        <w:rPr>
          <w:rFonts w:ascii="Arial" w:hAnsi="Arial"/>
          <w:lang w:val="en-US"/>
        </w:rPr>
        <w:t xml:space="preserve"> its purpose cannot be achieved, </w:t>
      </w:r>
      <w:r w:rsidRPr="003A1E33">
        <w:rPr>
          <w:rFonts w:ascii="Arial" w:hAnsi="Arial"/>
          <w:lang w:val="en-US"/>
        </w:rPr>
        <w:t>unless it has extraterritorial effect</w:t>
      </w:r>
      <w:r>
        <w:rPr>
          <w:rFonts w:ascii="Arial" w:hAnsi="Arial"/>
          <w:lang w:val="en-US"/>
        </w:rPr>
        <w:t>s</w:t>
      </w:r>
      <w:r w:rsidRPr="003A1E33">
        <w:rPr>
          <w:rFonts w:ascii="Arial" w:hAnsi="Arial"/>
          <w:lang w:val="en-US"/>
        </w:rPr>
        <w:t xml:space="preserve"> or the legislation gives effect to a policy that the particular legislature must have intended to apply beyond the borders of the country</w:t>
      </w:r>
      <w:r>
        <w:rPr>
          <w:rFonts w:ascii="Arial" w:hAnsi="Arial"/>
          <w:lang w:val="en-US"/>
        </w:rPr>
        <w:t>.</w:t>
      </w:r>
    </w:p>
    <w:p w:rsidR="00691951" w:rsidRDefault="00691951" w:rsidP="00C52495">
      <w:pPr>
        <w:spacing w:line="360" w:lineRule="auto"/>
        <w:contextualSpacing/>
        <w:jc w:val="both"/>
        <w:rPr>
          <w:rFonts w:ascii="Arial" w:hAnsi="Arial"/>
          <w:lang w:val="en-US"/>
        </w:rPr>
      </w:pPr>
    </w:p>
    <w:p w:rsidR="00691951" w:rsidRDefault="00691951" w:rsidP="00691951">
      <w:pPr>
        <w:spacing w:line="360" w:lineRule="auto"/>
        <w:contextualSpacing/>
        <w:jc w:val="both"/>
        <w:rPr>
          <w:rFonts w:ascii="Arial" w:hAnsi="Arial"/>
        </w:rPr>
      </w:pPr>
      <w:r w:rsidRPr="00452ACF">
        <w:rPr>
          <w:rFonts w:ascii="Arial" w:hAnsi="Arial"/>
          <w:i/>
          <w:lang w:val="en-US"/>
        </w:rPr>
        <w:t>Held that:</w:t>
      </w:r>
      <w:r>
        <w:rPr>
          <w:rFonts w:ascii="Arial" w:hAnsi="Arial"/>
          <w:lang w:val="en-US"/>
        </w:rPr>
        <w:t xml:space="preserve"> </w:t>
      </w:r>
      <w:r w:rsidR="00452ACF">
        <w:rPr>
          <w:rFonts w:ascii="Arial" w:hAnsi="Arial"/>
        </w:rPr>
        <w:t>c</w:t>
      </w:r>
      <w:r w:rsidRPr="00513E92">
        <w:rPr>
          <w:rFonts w:ascii="Arial" w:hAnsi="Arial"/>
        </w:rPr>
        <w:t xml:space="preserve">hapter 6 of POCA </w:t>
      </w:r>
      <w:r>
        <w:rPr>
          <w:rFonts w:ascii="Arial" w:hAnsi="Arial"/>
        </w:rPr>
        <w:t xml:space="preserve">(which consists of sections 50 to 73) </w:t>
      </w:r>
      <w:r w:rsidRPr="00513E92">
        <w:rPr>
          <w:rFonts w:ascii="Arial" w:hAnsi="Arial"/>
        </w:rPr>
        <w:t>provides for a two-stage procedure for the forfeiture of proceeds of unlawful activities. The two stages are complex and tightly intertwined, both as a matter of process and substance.</w:t>
      </w:r>
      <w:r>
        <w:rPr>
          <w:rFonts w:ascii="Arial" w:hAnsi="Arial"/>
        </w:rPr>
        <w:t xml:space="preserve"> </w:t>
      </w:r>
    </w:p>
    <w:p w:rsidR="00691951" w:rsidRDefault="00691951" w:rsidP="00691951">
      <w:pPr>
        <w:spacing w:line="360" w:lineRule="auto"/>
        <w:contextualSpacing/>
        <w:jc w:val="both"/>
        <w:rPr>
          <w:rFonts w:ascii="Arial" w:hAnsi="Arial"/>
        </w:rPr>
      </w:pPr>
    </w:p>
    <w:p w:rsidR="00691951" w:rsidRDefault="00691951" w:rsidP="00452ACF">
      <w:pPr>
        <w:spacing w:line="360" w:lineRule="auto"/>
        <w:jc w:val="both"/>
        <w:rPr>
          <w:rFonts w:ascii="Arial" w:hAnsi="Arial"/>
        </w:rPr>
      </w:pPr>
      <w:r w:rsidRPr="00691951">
        <w:rPr>
          <w:rFonts w:ascii="Arial" w:hAnsi="Arial"/>
          <w:i/>
        </w:rPr>
        <w:t>Held further that:</w:t>
      </w:r>
      <w:r>
        <w:rPr>
          <w:rFonts w:ascii="Arial" w:hAnsi="Arial"/>
        </w:rPr>
        <w:t xml:space="preserve"> the High Court cannot simply ignore an Act of Parliament and place </w:t>
      </w:r>
      <w:r w:rsidRPr="008B6310">
        <w:rPr>
          <w:rFonts w:ascii="Arial" w:hAnsi="Arial"/>
        </w:rPr>
        <w:t>reliance directly on a provision in the Constitution, nor is it permissible to side-step an Act of Parlia</w:t>
      </w:r>
      <w:r>
        <w:rPr>
          <w:rFonts w:ascii="Arial" w:hAnsi="Arial"/>
        </w:rPr>
        <w:t xml:space="preserve">ment by resorting to the common </w:t>
      </w:r>
      <w:r w:rsidRPr="008B6310">
        <w:rPr>
          <w:rFonts w:ascii="Arial" w:hAnsi="Arial"/>
        </w:rPr>
        <w:t>law.</w:t>
      </w:r>
      <w:r>
        <w:rPr>
          <w:rFonts w:ascii="Arial" w:hAnsi="Arial"/>
        </w:rPr>
        <w:t xml:space="preserve"> </w:t>
      </w:r>
    </w:p>
    <w:p w:rsidR="00D40591" w:rsidRDefault="00D40591" w:rsidP="008D659B">
      <w:pPr>
        <w:pBdr>
          <w:bottom w:val="single" w:sz="6" w:space="1" w:color="auto"/>
        </w:pBdr>
        <w:spacing w:line="360" w:lineRule="auto"/>
        <w:contextualSpacing/>
        <w:rPr>
          <w:rFonts w:ascii="Arial" w:hAnsi="Arial"/>
          <w:lang w:val="en-US"/>
        </w:rPr>
      </w:pPr>
    </w:p>
    <w:p w:rsidR="00D40591" w:rsidRDefault="00D40591" w:rsidP="008D659B">
      <w:pPr>
        <w:pBdr>
          <w:bottom w:val="single" w:sz="6" w:space="1" w:color="auto"/>
        </w:pBdr>
        <w:spacing w:line="360" w:lineRule="auto"/>
        <w:contextualSpacing/>
        <w:rPr>
          <w:rFonts w:ascii="Arial" w:hAnsi="Arial"/>
          <w:lang w:val="en-US"/>
        </w:rPr>
      </w:pPr>
    </w:p>
    <w:p w:rsidR="00001A69" w:rsidRDefault="00001A69" w:rsidP="008D659B">
      <w:pPr>
        <w:pBdr>
          <w:bottom w:val="single" w:sz="6" w:space="1" w:color="auto"/>
        </w:pBdr>
        <w:spacing w:line="360" w:lineRule="auto"/>
        <w:contextualSpacing/>
        <w:rPr>
          <w:rFonts w:ascii="Arial" w:hAnsi="Arial"/>
        </w:rPr>
      </w:pPr>
    </w:p>
    <w:p w:rsidR="00C26BBD" w:rsidRDefault="00C26BBD" w:rsidP="008D659B">
      <w:pPr>
        <w:spacing w:line="360" w:lineRule="auto"/>
        <w:contextualSpacing/>
        <w:rPr>
          <w:rFonts w:ascii="Arial" w:hAnsi="Arial"/>
        </w:rPr>
      </w:pPr>
    </w:p>
    <w:p w:rsidR="00C26BBD" w:rsidRDefault="00C26BBD" w:rsidP="008D659B">
      <w:pPr>
        <w:spacing w:line="360" w:lineRule="auto"/>
        <w:contextualSpacing/>
        <w:jc w:val="center"/>
        <w:rPr>
          <w:rFonts w:ascii="Arial" w:hAnsi="Arial"/>
          <w:b/>
        </w:rPr>
      </w:pPr>
      <w:r>
        <w:rPr>
          <w:rFonts w:ascii="Arial" w:hAnsi="Arial"/>
          <w:b/>
        </w:rPr>
        <w:t>ORDER</w:t>
      </w:r>
    </w:p>
    <w:p w:rsidR="00C26BBD" w:rsidRDefault="00C26BBD" w:rsidP="008D659B">
      <w:pPr>
        <w:pBdr>
          <w:bottom w:val="single" w:sz="6" w:space="1" w:color="auto"/>
        </w:pBdr>
        <w:spacing w:line="360" w:lineRule="auto"/>
        <w:contextualSpacing/>
        <w:jc w:val="center"/>
        <w:rPr>
          <w:rFonts w:ascii="Arial" w:hAnsi="Arial"/>
          <w:b/>
        </w:rPr>
      </w:pPr>
    </w:p>
    <w:p w:rsidR="00C26BBD" w:rsidRDefault="00C26BBD" w:rsidP="008D659B">
      <w:pPr>
        <w:spacing w:line="360" w:lineRule="auto"/>
        <w:contextualSpacing/>
        <w:rPr>
          <w:rFonts w:ascii="Arial" w:hAnsi="Arial"/>
        </w:rPr>
      </w:pPr>
    </w:p>
    <w:p w:rsidR="008D659B" w:rsidRDefault="008D659B" w:rsidP="00777DD7">
      <w:pPr>
        <w:spacing w:line="360" w:lineRule="auto"/>
        <w:ind w:left="720" w:hanging="720"/>
        <w:contextualSpacing/>
        <w:jc w:val="both"/>
        <w:rPr>
          <w:rFonts w:ascii="Arial" w:hAnsi="Arial"/>
        </w:rPr>
      </w:pPr>
      <w:r>
        <w:rPr>
          <w:rFonts w:ascii="Arial" w:hAnsi="Arial"/>
        </w:rPr>
        <w:t>1.</w:t>
      </w:r>
      <w:r>
        <w:rPr>
          <w:rFonts w:ascii="Arial" w:hAnsi="Arial"/>
        </w:rPr>
        <w:tab/>
      </w:r>
      <w:r w:rsidR="009E5E2B" w:rsidRPr="008D659B">
        <w:rPr>
          <w:rFonts w:ascii="Arial" w:hAnsi="Arial"/>
        </w:rPr>
        <w:t xml:space="preserve">Mr Maren </w:t>
      </w:r>
      <w:proofErr w:type="spellStart"/>
      <w:r w:rsidR="009E5E2B" w:rsidRPr="008D659B">
        <w:rPr>
          <w:rFonts w:ascii="Arial" w:hAnsi="Arial"/>
        </w:rPr>
        <w:t>Brynard</w:t>
      </w:r>
      <w:proofErr w:type="spellEnd"/>
      <w:r w:rsidR="009E5E2B" w:rsidRPr="008D659B">
        <w:rPr>
          <w:rFonts w:ascii="Arial" w:hAnsi="Arial"/>
        </w:rPr>
        <w:t xml:space="preserve"> De Klerk is a person falling under the class of persons identified under s 99</w:t>
      </w:r>
      <w:r w:rsidR="00AF327F">
        <w:rPr>
          <w:rFonts w:ascii="Arial" w:hAnsi="Arial"/>
        </w:rPr>
        <w:t>,</w:t>
      </w:r>
      <w:r w:rsidR="009E5E2B" w:rsidRPr="008D659B">
        <w:rPr>
          <w:rFonts w:ascii="Arial" w:hAnsi="Arial"/>
        </w:rPr>
        <w:t xml:space="preserve"> who are prohibited from participating  in proceedings under chapter 5 or 6 of the Prevention of Organised Crime Act, 2004 (Act No. 29 of 2004).</w:t>
      </w:r>
    </w:p>
    <w:p w:rsidR="008D659B" w:rsidRDefault="008D659B" w:rsidP="008D659B">
      <w:pPr>
        <w:spacing w:line="360" w:lineRule="auto"/>
        <w:contextualSpacing/>
        <w:jc w:val="both"/>
        <w:rPr>
          <w:rFonts w:ascii="Arial" w:hAnsi="Arial"/>
        </w:rPr>
      </w:pPr>
    </w:p>
    <w:p w:rsidR="008D659B" w:rsidRDefault="008D659B" w:rsidP="00777DD7">
      <w:pPr>
        <w:spacing w:line="360" w:lineRule="auto"/>
        <w:ind w:left="720" w:hanging="720"/>
        <w:contextualSpacing/>
        <w:jc w:val="both"/>
        <w:rPr>
          <w:rFonts w:ascii="Arial" w:hAnsi="Arial"/>
        </w:rPr>
      </w:pPr>
      <w:r>
        <w:rPr>
          <w:rFonts w:ascii="Arial" w:hAnsi="Arial"/>
        </w:rPr>
        <w:t>2.</w:t>
      </w:r>
      <w:r>
        <w:rPr>
          <w:rFonts w:ascii="Arial" w:hAnsi="Arial"/>
        </w:rPr>
        <w:tab/>
      </w:r>
      <w:r w:rsidR="009E5E2B" w:rsidRPr="008D659B">
        <w:rPr>
          <w:rFonts w:ascii="Arial" w:hAnsi="Arial"/>
        </w:rPr>
        <w:t xml:space="preserve">Mr Maren </w:t>
      </w:r>
      <w:proofErr w:type="spellStart"/>
      <w:r w:rsidR="009E5E2B" w:rsidRPr="008D659B">
        <w:rPr>
          <w:rFonts w:ascii="Arial" w:hAnsi="Arial"/>
        </w:rPr>
        <w:t>Brynard</w:t>
      </w:r>
      <w:proofErr w:type="spellEnd"/>
      <w:r w:rsidR="009E5E2B" w:rsidRPr="008D659B">
        <w:rPr>
          <w:rFonts w:ascii="Arial" w:hAnsi="Arial"/>
        </w:rPr>
        <w:t xml:space="preserve"> De Klerk’s application for the rescission of the preservation order granted on 02 December 2022 and leave to file a section 52(3) of POCA affidavit </w:t>
      </w:r>
      <w:r w:rsidR="00AF327F">
        <w:rPr>
          <w:rFonts w:ascii="Arial" w:hAnsi="Arial"/>
        </w:rPr>
        <w:t>is</w:t>
      </w:r>
      <w:r w:rsidR="009E5E2B" w:rsidRPr="008D659B">
        <w:rPr>
          <w:rFonts w:ascii="Arial" w:hAnsi="Arial"/>
        </w:rPr>
        <w:t xml:space="preserve"> struck.</w:t>
      </w:r>
    </w:p>
    <w:p w:rsidR="008D659B" w:rsidRDefault="008D659B" w:rsidP="008D659B">
      <w:pPr>
        <w:spacing w:line="360" w:lineRule="auto"/>
        <w:contextualSpacing/>
        <w:jc w:val="both"/>
        <w:rPr>
          <w:rFonts w:ascii="Arial" w:hAnsi="Arial"/>
        </w:rPr>
      </w:pPr>
    </w:p>
    <w:p w:rsidR="008D659B" w:rsidRDefault="008D659B" w:rsidP="00777DD7">
      <w:pPr>
        <w:spacing w:line="360" w:lineRule="auto"/>
        <w:ind w:left="720" w:hanging="720"/>
        <w:contextualSpacing/>
        <w:jc w:val="both"/>
        <w:rPr>
          <w:rFonts w:ascii="Arial" w:hAnsi="Arial"/>
        </w:rPr>
      </w:pPr>
      <w:r>
        <w:rPr>
          <w:rFonts w:ascii="Arial" w:hAnsi="Arial"/>
        </w:rPr>
        <w:t>3.</w:t>
      </w:r>
      <w:r>
        <w:rPr>
          <w:rFonts w:ascii="Arial" w:hAnsi="Arial"/>
        </w:rPr>
        <w:tab/>
      </w:r>
      <w:r w:rsidR="00B50F3C" w:rsidRPr="008D659B">
        <w:rPr>
          <w:rFonts w:ascii="Arial" w:hAnsi="Arial"/>
        </w:rPr>
        <w:t xml:space="preserve">The </w:t>
      </w:r>
      <w:r w:rsidR="00AF327F">
        <w:rPr>
          <w:rFonts w:ascii="Arial" w:hAnsi="Arial"/>
        </w:rPr>
        <w:t>applicant</w:t>
      </w:r>
      <w:r w:rsidR="00B50F3C" w:rsidRPr="008D659B">
        <w:rPr>
          <w:rFonts w:ascii="Arial" w:hAnsi="Arial"/>
        </w:rPr>
        <w:t xml:space="preserve">, Maren </w:t>
      </w:r>
      <w:proofErr w:type="spellStart"/>
      <w:r w:rsidR="00B50F3C" w:rsidRPr="008D659B">
        <w:rPr>
          <w:rFonts w:ascii="Arial" w:hAnsi="Arial"/>
        </w:rPr>
        <w:t>Brynard</w:t>
      </w:r>
      <w:proofErr w:type="spellEnd"/>
      <w:r w:rsidR="00B50F3C" w:rsidRPr="008D659B">
        <w:rPr>
          <w:rFonts w:ascii="Arial" w:hAnsi="Arial"/>
        </w:rPr>
        <w:t xml:space="preserve"> De Klerk must pay the Prosecutor General’s costs of this application.</w:t>
      </w:r>
    </w:p>
    <w:p w:rsidR="008D659B" w:rsidRDefault="008D659B" w:rsidP="008D659B">
      <w:pPr>
        <w:spacing w:line="360" w:lineRule="auto"/>
        <w:contextualSpacing/>
        <w:jc w:val="both"/>
        <w:rPr>
          <w:rFonts w:ascii="Arial" w:hAnsi="Arial"/>
        </w:rPr>
      </w:pPr>
    </w:p>
    <w:p w:rsidR="00B50F3C" w:rsidRPr="008D659B" w:rsidRDefault="008D659B" w:rsidP="008D659B">
      <w:pPr>
        <w:spacing w:line="360" w:lineRule="auto"/>
        <w:contextualSpacing/>
        <w:jc w:val="both"/>
        <w:rPr>
          <w:rFonts w:ascii="Arial" w:hAnsi="Arial"/>
        </w:rPr>
      </w:pPr>
      <w:r>
        <w:rPr>
          <w:rFonts w:ascii="Arial" w:hAnsi="Arial"/>
        </w:rPr>
        <w:t>4.</w:t>
      </w:r>
      <w:r>
        <w:rPr>
          <w:rFonts w:ascii="Arial" w:hAnsi="Arial"/>
        </w:rPr>
        <w:tab/>
      </w:r>
      <w:r w:rsidR="00B50F3C" w:rsidRPr="008D659B">
        <w:rPr>
          <w:rFonts w:ascii="Arial" w:hAnsi="Arial"/>
        </w:rPr>
        <w:t>The matter is removed from the roll and regarded as finalised.</w:t>
      </w:r>
    </w:p>
    <w:p w:rsidR="009F3D65" w:rsidRDefault="009F3D65" w:rsidP="008D659B">
      <w:pPr>
        <w:pBdr>
          <w:bottom w:val="single" w:sz="6" w:space="1" w:color="auto"/>
        </w:pBdr>
        <w:spacing w:line="360" w:lineRule="auto"/>
        <w:contextualSpacing/>
        <w:jc w:val="center"/>
        <w:rPr>
          <w:rFonts w:ascii="Arial" w:hAnsi="Arial"/>
          <w:b/>
        </w:rPr>
      </w:pPr>
    </w:p>
    <w:p w:rsidR="009F3D65" w:rsidRDefault="009F3D65" w:rsidP="008D659B">
      <w:pPr>
        <w:spacing w:line="360" w:lineRule="auto"/>
        <w:contextualSpacing/>
        <w:rPr>
          <w:rFonts w:ascii="Arial" w:hAnsi="Arial"/>
          <w:b/>
        </w:rPr>
      </w:pPr>
    </w:p>
    <w:p w:rsidR="009F3D65" w:rsidRDefault="009E27F5" w:rsidP="008D659B">
      <w:pPr>
        <w:spacing w:line="360" w:lineRule="auto"/>
        <w:contextualSpacing/>
        <w:jc w:val="center"/>
        <w:rPr>
          <w:rFonts w:ascii="Arial" w:hAnsi="Arial"/>
          <w:b/>
        </w:rPr>
      </w:pPr>
      <w:r>
        <w:rPr>
          <w:rFonts w:ascii="Arial" w:hAnsi="Arial"/>
          <w:b/>
        </w:rPr>
        <w:t>RULING</w:t>
      </w:r>
    </w:p>
    <w:p w:rsidR="009F3D65" w:rsidRDefault="009F3D65" w:rsidP="008D659B">
      <w:pPr>
        <w:pBdr>
          <w:bottom w:val="single" w:sz="6" w:space="1" w:color="auto"/>
        </w:pBdr>
        <w:spacing w:line="360" w:lineRule="auto"/>
        <w:contextualSpacing/>
        <w:jc w:val="center"/>
        <w:rPr>
          <w:rFonts w:ascii="Arial" w:hAnsi="Arial"/>
          <w:b/>
        </w:rPr>
      </w:pPr>
    </w:p>
    <w:p w:rsidR="009F3D65" w:rsidRDefault="009F3D65" w:rsidP="008D659B">
      <w:pPr>
        <w:spacing w:line="360" w:lineRule="auto"/>
        <w:contextualSpacing/>
        <w:jc w:val="both"/>
        <w:rPr>
          <w:rFonts w:ascii="Arial" w:hAnsi="Arial"/>
        </w:rPr>
      </w:pPr>
    </w:p>
    <w:p w:rsidR="009F3D65" w:rsidRDefault="009E27F5" w:rsidP="008D659B">
      <w:pPr>
        <w:spacing w:line="360" w:lineRule="auto"/>
        <w:contextualSpacing/>
        <w:jc w:val="both"/>
        <w:rPr>
          <w:rFonts w:ascii="Arial" w:hAnsi="Arial"/>
          <w:b/>
        </w:rPr>
      </w:pPr>
      <w:r>
        <w:rPr>
          <w:rFonts w:ascii="Arial" w:hAnsi="Arial"/>
          <w:b/>
        </w:rPr>
        <w:t>UEITELE</w:t>
      </w:r>
      <w:r w:rsidR="009F3D65">
        <w:rPr>
          <w:rFonts w:ascii="Arial" w:hAnsi="Arial"/>
          <w:b/>
        </w:rPr>
        <w:t xml:space="preserve"> J:</w:t>
      </w:r>
    </w:p>
    <w:p w:rsidR="009F3D65" w:rsidRDefault="009F3D65" w:rsidP="008D659B">
      <w:pPr>
        <w:spacing w:line="360" w:lineRule="auto"/>
        <w:contextualSpacing/>
        <w:rPr>
          <w:rFonts w:ascii="Arial" w:hAnsi="Arial"/>
          <w:b/>
        </w:rPr>
      </w:pPr>
    </w:p>
    <w:p w:rsidR="009F3D65" w:rsidRDefault="009F3D65" w:rsidP="008D659B">
      <w:pPr>
        <w:spacing w:line="360" w:lineRule="auto"/>
        <w:contextualSpacing/>
        <w:rPr>
          <w:rFonts w:ascii="Arial" w:hAnsi="Arial"/>
          <w:u w:val="single"/>
        </w:rPr>
      </w:pPr>
      <w:r>
        <w:rPr>
          <w:rFonts w:ascii="Arial" w:hAnsi="Arial"/>
          <w:u w:val="single"/>
        </w:rPr>
        <w:t>Introduction</w:t>
      </w:r>
    </w:p>
    <w:p w:rsidR="009F3D65" w:rsidRDefault="009F3D65" w:rsidP="008D659B">
      <w:pPr>
        <w:spacing w:line="360" w:lineRule="auto"/>
        <w:contextualSpacing/>
        <w:rPr>
          <w:rFonts w:ascii="Arial" w:hAnsi="Arial"/>
          <w:u w:val="single"/>
        </w:rPr>
      </w:pPr>
    </w:p>
    <w:p w:rsidR="00706E47" w:rsidRDefault="00F34EF5" w:rsidP="008D659B">
      <w:pPr>
        <w:spacing w:line="360" w:lineRule="auto"/>
        <w:contextualSpacing/>
        <w:jc w:val="both"/>
        <w:rPr>
          <w:rFonts w:ascii="Arial" w:hAnsi="Arial"/>
        </w:rPr>
      </w:pPr>
      <w:r>
        <w:rPr>
          <w:rFonts w:ascii="Arial" w:hAnsi="Arial"/>
        </w:rPr>
        <w:t>[1]</w:t>
      </w:r>
      <w:r>
        <w:rPr>
          <w:rFonts w:ascii="Arial" w:hAnsi="Arial"/>
        </w:rPr>
        <w:tab/>
      </w:r>
      <w:r w:rsidR="00706E47" w:rsidRPr="00706E47">
        <w:rPr>
          <w:rFonts w:ascii="Arial" w:hAnsi="Arial"/>
        </w:rPr>
        <w:t>The applicant</w:t>
      </w:r>
      <w:r w:rsidR="00706E47">
        <w:rPr>
          <w:rFonts w:ascii="Arial" w:hAnsi="Arial"/>
        </w:rPr>
        <w:t xml:space="preserve">, </w:t>
      </w:r>
      <w:r w:rsidR="00706E47" w:rsidRPr="00706E47">
        <w:rPr>
          <w:rFonts w:ascii="Arial" w:hAnsi="Arial"/>
        </w:rPr>
        <w:t xml:space="preserve">Maren </w:t>
      </w:r>
      <w:proofErr w:type="spellStart"/>
      <w:r w:rsidR="00706E47" w:rsidRPr="00706E47">
        <w:rPr>
          <w:rFonts w:ascii="Arial" w:hAnsi="Arial"/>
        </w:rPr>
        <w:t>Brynard</w:t>
      </w:r>
      <w:proofErr w:type="spellEnd"/>
      <w:r w:rsidR="00706E47" w:rsidRPr="00706E47">
        <w:rPr>
          <w:rFonts w:ascii="Arial" w:hAnsi="Arial"/>
        </w:rPr>
        <w:t xml:space="preserve"> </w:t>
      </w:r>
      <w:r w:rsidR="00706E47">
        <w:rPr>
          <w:rFonts w:ascii="Arial" w:hAnsi="Arial"/>
        </w:rPr>
        <w:t>d</w:t>
      </w:r>
      <w:r w:rsidR="00706E47" w:rsidRPr="00706E47">
        <w:rPr>
          <w:rFonts w:ascii="Arial" w:hAnsi="Arial"/>
        </w:rPr>
        <w:t>e Klerk</w:t>
      </w:r>
      <w:r w:rsidR="00C245D0">
        <w:rPr>
          <w:rFonts w:ascii="Arial" w:hAnsi="Arial"/>
        </w:rPr>
        <w:t xml:space="preserve"> (Mr de Klerk)</w:t>
      </w:r>
      <w:r w:rsidR="00C917E8">
        <w:rPr>
          <w:rFonts w:ascii="Arial" w:hAnsi="Arial"/>
        </w:rPr>
        <w:t>,</w:t>
      </w:r>
      <w:r w:rsidR="00706E47" w:rsidRPr="00706E47">
        <w:rPr>
          <w:rFonts w:ascii="Arial" w:hAnsi="Arial"/>
        </w:rPr>
        <w:t xml:space="preserve"> was until </w:t>
      </w:r>
      <w:r w:rsidR="00E12453">
        <w:rPr>
          <w:rFonts w:ascii="Arial" w:hAnsi="Arial"/>
        </w:rPr>
        <w:t>January 2020</w:t>
      </w:r>
      <w:r w:rsidR="00706E47" w:rsidRPr="00706E47">
        <w:rPr>
          <w:rFonts w:ascii="Arial" w:hAnsi="Arial"/>
        </w:rPr>
        <w:t xml:space="preserve"> in practice as </w:t>
      </w:r>
      <w:r w:rsidR="00706E47">
        <w:rPr>
          <w:rFonts w:ascii="Arial" w:hAnsi="Arial"/>
        </w:rPr>
        <w:t xml:space="preserve">a legal practitioner </w:t>
      </w:r>
      <w:r w:rsidR="00706E47" w:rsidRPr="00706E47">
        <w:rPr>
          <w:rFonts w:ascii="Arial" w:hAnsi="Arial"/>
        </w:rPr>
        <w:t xml:space="preserve">in </w:t>
      </w:r>
      <w:r w:rsidR="00706E47">
        <w:rPr>
          <w:rFonts w:ascii="Arial" w:hAnsi="Arial"/>
        </w:rPr>
        <w:t>Windhoek</w:t>
      </w:r>
      <w:r w:rsidR="00706E47" w:rsidRPr="00706E47">
        <w:rPr>
          <w:rFonts w:ascii="Arial" w:hAnsi="Arial"/>
        </w:rPr>
        <w:t xml:space="preserve"> in the firm or style of </w:t>
      </w:r>
      <w:r w:rsidR="00706E47">
        <w:rPr>
          <w:rFonts w:ascii="Arial" w:hAnsi="Arial"/>
        </w:rPr>
        <w:t>De Klerk, Horn &amp; Coetzee Incorporated</w:t>
      </w:r>
      <w:r w:rsidR="007226F0">
        <w:rPr>
          <w:rFonts w:ascii="Arial" w:hAnsi="Arial"/>
        </w:rPr>
        <w:t xml:space="preserve"> (</w:t>
      </w:r>
      <w:r w:rsidR="007226F0">
        <w:rPr>
          <w:rFonts w:ascii="Arial" w:hAnsi="Arial"/>
          <w:color w:val="000000"/>
          <w:spacing w:val="-5"/>
          <w:lang w:val="en-US"/>
        </w:rPr>
        <w:t xml:space="preserve">DHC </w:t>
      </w:r>
      <w:proofErr w:type="spellStart"/>
      <w:r w:rsidR="007226F0">
        <w:rPr>
          <w:rFonts w:ascii="Arial" w:hAnsi="Arial"/>
          <w:color w:val="000000"/>
          <w:spacing w:val="-5"/>
          <w:lang w:val="en-US"/>
        </w:rPr>
        <w:t>Inc</w:t>
      </w:r>
      <w:proofErr w:type="spellEnd"/>
      <w:r w:rsidR="007226F0">
        <w:rPr>
          <w:rFonts w:ascii="Arial" w:hAnsi="Arial"/>
          <w:color w:val="000000"/>
          <w:spacing w:val="-5"/>
          <w:lang w:val="en-US"/>
        </w:rPr>
        <w:t>)</w:t>
      </w:r>
      <w:r w:rsidR="008D659B">
        <w:rPr>
          <w:rFonts w:ascii="Arial" w:hAnsi="Arial"/>
        </w:rPr>
        <w:t xml:space="preserve">. During January 2020, </w:t>
      </w:r>
      <w:r w:rsidR="00706E47">
        <w:rPr>
          <w:rFonts w:ascii="Arial" w:hAnsi="Arial"/>
        </w:rPr>
        <w:t xml:space="preserve">Mr de Klerk left Namibia and has since not returned. </w:t>
      </w:r>
    </w:p>
    <w:p w:rsidR="00777DD7" w:rsidRDefault="00777DD7" w:rsidP="008D659B">
      <w:pPr>
        <w:spacing w:line="360" w:lineRule="auto"/>
        <w:contextualSpacing/>
        <w:jc w:val="both"/>
        <w:rPr>
          <w:rFonts w:ascii="Arial" w:hAnsi="Arial"/>
        </w:rPr>
      </w:pPr>
    </w:p>
    <w:p w:rsidR="00F4004A" w:rsidRDefault="00706E47" w:rsidP="008D659B">
      <w:pPr>
        <w:spacing w:line="360" w:lineRule="auto"/>
        <w:contextualSpacing/>
        <w:jc w:val="both"/>
        <w:rPr>
          <w:rFonts w:ascii="Arial" w:hAnsi="Arial"/>
        </w:rPr>
      </w:pPr>
      <w:r>
        <w:rPr>
          <w:rFonts w:ascii="Arial" w:hAnsi="Arial"/>
        </w:rPr>
        <w:lastRenderedPageBreak/>
        <w:t>[2]</w:t>
      </w:r>
      <w:r>
        <w:rPr>
          <w:rFonts w:ascii="Arial" w:hAnsi="Arial"/>
        </w:rPr>
        <w:tab/>
      </w:r>
      <w:r w:rsidRPr="00706E47">
        <w:rPr>
          <w:rFonts w:ascii="Arial" w:hAnsi="Arial"/>
        </w:rPr>
        <w:t xml:space="preserve">On </w:t>
      </w:r>
      <w:r w:rsidR="00132CC3">
        <w:rPr>
          <w:rFonts w:ascii="Arial" w:hAnsi="Arial"/>
        </w:rPr>
        <w:t>02 December 2022</w:t>
      </w:r>
      <w:r w:rsidR="00777DD7">
        <w:rPr>
          <w:rFonts w:ascii="Arial" w:hAnsi="Arial"/>
        </w:rPr>
        <w:t>,</w:t>
      </w:r>
      <w:r w:rsidR="00132CC3">
        <w:rPr>
          <w:rFonts w:ascii="Arial" w:hAnsi="Arial"/>
        </w:rPr>
        <w:t xml:space="preserve"> this Court granted </w:t>
      </w:r>
      <w:r w:rsidR="00132CC3" w:rsidRPr="00132CC3">
        <w:rPr>
          <w:rFonts w:ascii="Arial" w:hAnsi="Arial"/>
        </w:rPr>
        <w:t>a final preservation of property order in terms of s 51 of the Prevention of Organised Crime Act 29 of 2004</w:t>
      </w:r>
      <w:r w:rsidR="00452ACF">
        <w:rPr>
          <w:rFonts w:ascii="Arial" w:hAnsi="Arial"/>
        </w:rPr>
        <w:t xml:space="preserve"> (POCA). The </w:t>
      </w:r>
      <w:r w:rsidR="00132CC3">
        <w:rPr>
          <w:rFonts w:ascii="Arial" w:hAnsi="Arial"/>
        </w:rPr>
        <w:t>Court</w:t>
      </w:r>
      <w:r w:rsidR="00777DD7">
        <w:rPr>
          <w:rFonts w:ascii="Arial" w:hAnsi="Arial"/>
        </w:rPr>
        <w:t>,</w:t>
      </w:r>
      <w:r w:rsidR="00132CC3">
        <w:rPr>
          <w:rFonts w:ascii="Arial" w:hAnsi="Arial"/>
        </w:rPr>
        <w:t xml:space="preserve"> amongst other</w:t>
      </w:r>
      <w:r w:rsidR="00452ACF">
        <w:rPr>
          <w:rFonts w:ascii="Arial" w:hAnsi="Arial"/>
        </w:rPr>
        <w:t>s</w:t>
      </w:r>
      <w:r w:rsidR="00777DD7">
        <w:rPr>
          <w:rFonts w:ascii="Arial" w:hAnsi="Arial"/>
        </w:rPr>
        <w:t>,</w:t>
      </w:r>
      <w:r w:rsidR="00E12453">
        <w:rPr>
          <w:rFonts w:ascii="Arial" w:hAnsi="Arial"/>
        </w:rPr>
        <w:t xml:space="preserve"> ordered that</w:t>
      </w:r>
      <w:r w:rsidR="00132CC3">
        <w:rPr>
          <w:rFonts w:ascii="Arial" w:hAnsi="Arial"/>
        </w:rPr>
        <w:t xml:space="preserve"> an </w:t>
      </w:r>
      <w:r w:rsidR="008D659B">
        <w:rPr>
          <w:rFonts w:ascii="Arial" w:hAnsi="Arial"/>
        </w:rPr>
        <w:t>amount of N$</w:t>
      </w:r>
      <w:r w:rsidR="00777DD7">
        <w:rPr>
          <w:rFonts w:ascii="Arial" w:hAnsi="Arial"/>
        </w:rPr>
        <w:t>4 681 518,</w:t>
      </w:r>
      <w:r w:rsidR="00132CC3" w:rsidRPr="00132CC3">
        <w:rPr>
          <w:rFonts w:ascii="Arial" w:hAnsi="Arial"/>
        </w:rPr>
        <w:t>28 in the B</w:t>
      </w:r>
      <w:r w:rsidR="00777DD7">
        <w:rPr>
          <w:rFonts w:ascii="Arial" w:hAnsi="Arial"/>
        </w:rPr>
        <w:t xml:space="preserve">ank Windhoek account number NPD </w:t>
      </w:r>
      <w:r w:rsidR="00132CC3" w:rsidRPr="00132CC3">
        <w:rPr>
          <w:rFonts w:ascii="Arial" w:hAnsi="Arial"/>
        </w:rPr>
        <w:t>3001930059 in the name of De Klerk, Horn and Coetzee Legal Practitione</w:t>
      </w:r>
      <w:r w:rsidR="00452ACF">
        <w:rPr>
          <w:rFonts w:ascii="Arial" w:hAnsi="Arial"/>
        </w:rPr>
        <w:t xml:space="preserve">rs </w:t>
      </w:r>
      <w:proofErr w:type="spellStart"/>
      <w:r w:rsidR="00452ACF">
        <w:rPr>
          <w:rFonts w:ascii="Arial" w:hAnsi="Arial"/>
        </w:rPr>
        <w:t>Inc</w:t>
      </w:r>
      <w:proofErr w:type="spellEnd"/>
      <w:r w:rsidR="00132CC3">
        <w:rPr>
          <w:rFonts w:ascii="Arial" w:hAnsi="Arial"/>
        </w:rPr>
        <w:t xml:space="preserve"> </w:t>
      </w:r>
      <w:r w:rsidR="00452ACF">
        <w:rPr>
          <w:rFonts w:ascii="Arial" w:hAnsi="Arial"/>
        </w:rPr>
        <w:t>(DHC)</w:t>
      </w:r>
      <w:r w:rsidR="00132CC3">
        <w:rPr>
          <w:rFonts w:ascii="Arial" w:hAnsi="Arial"/>
        </w:rPr>
        <w:t xml:space="preserve"> 2017/00 Trust</w:t>
      </w:r>
      <w:r w:rsidR="0057395F">
        <w:rPr>
          <w:rFonts w:ascii="Arial" w:hAnsi="Arial"/>
        </w:rPr>
        <w:t xml:space="preserve"> </w:t>
      </w:r>
      <w:r w:rsidR="00132CC3">
        <w:rPr>
          <w:rFonts w:ascii="Arial" w:hAnsi="Arial"/>
        </w:rPr>
        <w:t xml:space="preserve">and an amount </w:t>
      </w:r>
      <w:r w:rsidR="003F66AB">
        <w:rPr>
          <w:rFonts w:ascii="Arial" w:hAnsi="Arial"/>
        </w:rPr>
        <w:t xml:space="preserve">of </w:t>
      </w:r>
      <w:r w:rsidR="008D659B">
        <w:rPr>
          <w:rFonts w:ascii="Arial" w:hAnsi="Arial"/>
        </w:rPr>
        <w:t>N$</w:t>
      </w:r>
      <w:r w:rsidR="00777DD7">
        <w:rPr>
          <w:rFonts w:ascii="Arial" w:hAnsi="Arial"/>
        </w:rPr>
        <w:t>1 870 941,</w:t>
      </w:r>
      <w:r w:rsidR="00132CC3" w:rsidRPr="00132CC3">
        <w:rPr>
          <w:rFonts w:ascii="Arial" w:hAnsi="Arial"/>
        </w:rPr>
        <w:t>54 in Nedbank account number 110</w:t>
      </w:r>
      <w:r w:rsidR="008D659B">
        <w:rPr>
          <w:rFonts w:ascii="Arial" w:hAnsi="Arial"/>
        </w:rPr>
        <w:t>00055095 held in the name of Mr</w:t>
      </w:r>
      <w:r w:rsidR="00132CC3" w:rsidRPr="00132CC3">
        <w:rPr>
          <w:rFonts w:ascii="Arial" w:hAnsi="Arial"/>
        </w:rPr>
        <w:t xml:space="preserve"> de Klerk</w:t>
      </w:r>
      <w:r w:rsidR="00375A61">
        <w:rPr>
          <w:rFonts w:ascii="Arial" w:hAnsi="Arial"/>
        </w:rPr>
        <w:t xml:space="preserve">, be </w:t>
      </w:r>
      <w:r w:rsidR="00C917E8">
        <w:rPr>
          <w:rFonts w:ascii="Arial" w:hAnsi="Arial"/>
        </w:rPr>
        <w:t>preserved</w:t>
      </w:r>
      <w:r w:rsidR="00132CC3" w:rsidRPr="00132CC3">
        <w:rPr>
          <w:rFonts w:ascii="Arial" w:hAnsi="Arial"/>
        </w:rPr>
        <w:t xml:space="preserve">. The </w:t>
      </w:r>
      <w:r w:rsidR="00C917E8">
        <w:rPr>
          <w:rFonts w:ascii="Arial" w:hAnsi="Arial"/>
        </w:rPr>
        <w:t xml:space="preserve">Court further </w:t>
      </w:r>
      <w:r w:rsidR="00132CC3" w:rsidRPr="00132CC3">
        <w:rPr>
          <w:rFonts w:ascii="Arial" w:hAnsi="Arial"/>
        </w:rPr>
        <w:t>granted</w:t>
      </w:r>
      <w:r w:rsidR="00C917E8">
        <w:rPr>
          <w:rFonts w:ascii="Arial" w:hAnsi="Arial"/>
        </w:rPr>
        <w:t xml:space="preserve"> the Prosecutor General </w:t>
      </w:r>
      <w:r w:rsidR="00C917E8" w:rsidRPr="00132CC3">
        <w:rPr>
          <w:rFonts w:ascii="Arial" w:hAnsi="Arial"/>
        </w:rPr>
        <w:t>leave</w:t>
      </w:r>
      <w:r w:rsidR="00132CC3" w:rsidRPr="00132CC3">
        <w:rPr>
          <w:rFonts w:ascii="Arial" w:hAnsi="Arial"/>
        </w:rPr>
        <w:t xml:space="preserve"> to serve </w:t>
      </w:r>
      <w:r w:rsidR="00C917E8">
        <w:rPr>
          <w:rFonts w:ascii="Arial" w:hAnsi="Arial"/>
        </w:rPr>
        <w:t xml:space="preserve">the preservation order on </w:t>
      </w:r>
      <w:r w:rsidR="008D659B">
        <w:rPr>
          <w:rFonts w:ascii="Arial" w:hAnsi="Arial"/>
        </w:rPr>
        <w:t xml:space="preserve">Mr </w:t>
      </w:r>
      <w:r w:rsidR="00375A61">
        <w:rPr>
          <w:rFonts w:ascii="Arial" w:hAnsi="Arial"/>
        </w:rPr>
        <w:t>d</w:t>
      </w:r>
      <w:r w:rsidR="00C917E8">
        <w:rPr>
          <w:rFonts w:ascii="Arial" w:hAnsi="Arial"/>
        </w:rPr>
        <w:t>e Klerk</w:t>
      </w:r>
      <w:r w:rsidR="00132CC3" w:rsidRPr="00132CC3">
        <w:rPr>
          <w:rFonts w:ascii="Arial" w:hAnsi="Arial"/>
        </w:rPr>
        <w:t xml:space="preserve"> and </w:t>
      </w:r>
      <w:proofErr w:type="spellStart"/>
      <w:r w:rsidR="00132CC3" w:rsidRPr="00132CC3">
        <w:rPr>
          <w:rFonts w:ascii="Arial" w:hAnsi="Arial"/>
        </w:rPr>
        <w:t>Celax</w:t>
      </w:r>
      <w:proofErr w:type="spellEnd"/>
      <w:r w:rsidR="00132CC3" w:rsidRPr="00132CC3">
        <w:rPr>
          <w:rFonts w:ascii="Arial" w:hAnsi="Arial"/>
        </w:rPr>
        <w:t xml:space="preserve"> Investment (Pty) Ltd, by way of substituted service</w:t>
      </w:r>
      <w:r w:rsidR="00F4004A">
        <w:rPr>
          <w:rFonts w:ascii="Arial" w:hAnsi="Arial"/>
        </w:rPr>
        <w:t>.</w:t>
      </w:r>
    </w:p>
    <w:p w:rsidR="00F4004A" w:rsidRDefault="00F4004A" w:rsidP="008D659B">
      <w:pPr>
        <w:spacing w:line="360" w:lineRule="auto"/>
        <w:contextualSpacing/>
        <w:jc w:val="both"/>
        <w:rPr>
          <w:rFonts w:ascii="Arial" w:hAnsi="Arial"/>
        </w:rPr>
      </w:pPr>
    </w:p>
    <w:p w:rsidR="00D938E7" w:rsidRPr="00D938E7" w:rsidRDefault="00F4004A" w:rsidP="008D659B">
      <w:pPr>
        <w:spacing w:line="360" w:lineRule="auto"/>
        <w:contextualSpacing/>
        <w:jc w:val="both"/>
        <w:rPr>
          <w:rFonts w:ascii="Arial" w:hAnsi="Arial"/>
          <w:b/>
          <w:lang w:val="en-US"/>
        </w:rPr>
      </w:pPr>
      <w:r>
        <w:rPr>
          <w:rFonts w:ascii="Arial" w:hAnsi="Arial"/>
        </w:rPr>
        <w:t>[3]</w:t>
      </w:r>
      <w:r>
        <w:rPr>
          <w:rFonts w:ascii="Arial" w:hAnsi="Arial"/>
        </w:rPr>
        <w:tab/>
      </w:r>
      <w:r w:rsidR="00777DD7">
        <w:rPr>
          <w:rFonts w:ascii="Arial" w:hAnsi="Arial"/>
        </w:rPr>
        <w:t xml:space="preserve">On 15 December 2022, </w:t>
      </w:r>
      <w:r w:rsidR="00066F44">
        <w:rPr>
          <w:rFonts w:ascii="Arial" w:hAnsi="Arial"/>
        </w:rPr>
        <w:t xml:space="preserve">the Prosecutor General served the Court Order </w:t>
      </w:r>
      <w:r w:rsidR="008D659B">
        <w:rPr>
          <w:rFonts w:ascii="Arial" w:hAnsi="Arial"/>
        </w:rPr>
        <w:t>of</w:t>
      </w:r>
      <w:r w:rsidR="00066F44">
        <w:rPr>
          <w:rFonts w:ascii="Arial" w:hAnsi="Arial"/>
        </w:rPr>
        <w:t xml:space="preserve"> 02 December</w:t>
      </w:r>
      <w:r w:rsidR="00D938E7">
        <w:rPr>
          <w:rFonts w:ascii="Arial" w:hAnsi="Arial"/>
        </w:rPr>
        <w:t xml:space="preserve"> 2022</w:t>
      </w:r>
      <w:r w:rsidR="00066F44">
        <w:rPr>
          <w:rFonts w:ascii="Arial" w:hAnsi="Arial"/>
        </w:rPr>
        <w:t xml:space="preserve"> (the preservation order) through electronic mail on both Mr de Klerk and </w:t>
      </w:r>
      <w:proofErr w:type="spellStart"/>
      <w:r w:rsidR="00066F44">
        <w:rPr>
          <w:rFonts w:ascii="Arial" w:hAnsi="Arial"/>
        </w:rPr>
        <w:t>Celax</w:t>
      </w:r>
      <w:proofErr w:type="spellEnd"/>
      <w:r w:rsidR="00066F44">
        <w:rPr>
          <w:rFonts w:ascii="Arial" w:hAnsi="Arial"/>
        </w:rPr>
        <w:t xml:space="preserve"> Investment </w:t>
      </w:r>
      <w:r w:rsidR="00C245D0">
        <w:rPr>
          <w:rFonts w:ascii="Arial" w:hAnsi="Arial"/>
        </w:rPr>
        <w:t>(</w:t>
      </w:r>
      <w:r w:rsidR="00066F44">
        <w:rPr>
          <w:rFonts w:ascii="Arial" w:hAnsi="Arial"/>
        </w:rPr>
        <w:t>Pty</w:t>
      </w:r>
      <w:r w:rsidR="00C245D0">
        <w:rPr>
          <w:rFonts w:ascii="Arial" w:hAnsi="Arial"/>
        </w:rPr>
        <w:t>)</w:t>
      </w:r>
      <w:r w:rsidR="00066F44">
        <w:rPr>
          <w:rFonts w:ascii="Arial" w:hAnsi="Arial"/>
        </w:rPr>
        <w:t xml:space="preserve"> Ltd</w:t>
      </w:r>
      <w:r w:rsidR="00C245D0">
        <w:rPr>
          <w:rFonts w:ascii="Arial" w:hAnsi="Arial"/>
        </w:rPr>
        <w:t>.</w:t>
      </w:r>
      <w:r w:rsidR="00005C32">
        <w:rPr>
          <w:rFonts w:ascii="Arial" w:hAnsi="Arial"/>
        </w:rPr>
        <w:t xml:space="preserve"> </w:t>
      </w:r>
      <w:r w:rsidR="00EE5A49">
        <w:rPr>
          <w:rFonts w:ascii="Arial" w:hAnsi="Arial"/>
        </w:rPr>
        <w:t xml:space="preserve">Approximately three </w:t>
      </w:r>
      <w:r w:rsidR="00005C32">
        <w:rPr>
          <w:rFonts w:ascii="Arial" w:hAnsi="Arial"/>
        </w:rPr>
        <w:t xml:space="preserve">months after the preservation order </w:t>
      </w:r>
      <w:r w:rsidR="00D938E7">
        <w:rPr>
          <w:rFonts w:ascii="Arial" w:hAnsi="Arial"/>
        </w:rPr>
        <w:t>was served</w:t>
      </w:r>
      <w:r w:rsidR="00005C32">
        <w:rPr>
          <w:rFonts w:ascii="Arial" w:hAnsi="Arial"/>
        </w:rPr>
        <w:t xml:space="preserve"> on </w:t>
      </w:r>
      <w:r w:rsidR="00D938E7">
        <w:rPr>
          <w:rFonts w:ascii="Arial" w:hAnsi="Arial"/>
        </w:rPr>
        <w:t>Mr de</w:t>
      </w:r>
      <w:r w:rsidR="00005C32">
        <w:rPr>
          <w:rFonts w:ascii="Arial" w:hAnsi="Arial"/>
        </w:rPr>
        <w:t xml:space="preserve"> Klerk</w:t>
      </w:r>
      <w:r w:rsidR="00CB2E6E">
        <w:rPr>
          <w:rFonts w:ascii="Arial" w:hAnsi="Arial"/>
        </w:rPr>
        <w:t>, he (that is de Klerk)</w:t>
      </w:r>
      <w:r w:rsidR="00005C32">
        <w:rPr>
          <w:rFonts w:ascii="Arial" w:hAnsi="Arial"/>
        </w:rPr>
        <w:t xml:space="preserve"> </w:t>
      </w:r>
      <w:r w:rsidR="00EE5A49">
        <w:rPr>
          <w:rFonts w:ascii="Arial" w:hAnsi="Arial"/>
        </w:rPr>
        <w:t>on 29 March 2023</w:t>
      </w:r>
      <w:r w:rsidR="00777DD7">
        <w:rPr>
          <w:rFonts w:ascii="Arial" w:hAnsi="Arial"/>
        </w:rPr>
        <w:t>,</w:t>
      </w:r>
      <w:r w:rsidR="00EE5A49">
        <w:rPr>
          <w:rFonts w:ascii="Arial" w:hAnsi="Arial"/>
        </w:rPr>
        <w:t xml:space="preserve"> </w:t>
      </w:r>
      <w:r w:rsidR="00005C32">
        <w:rPr>
          <w:rFonts w:ascii="Arial" w:hAnsi="Arial"/>
        </w:rPr>
        <w:t xml:space="preserve">launched an application to rescind the </w:t>
      </w:r>
      <w:r w:rsidR="00777DD7">
        <w:rPr>
          <w:rFonts w:ascii="Arial" w:hAnsi="Arial"/>
        </w:rPr>
        <w:t xml:space="preserve">preservation </w:t>
      </w:r>
      <w:r w:rsidR="00005C32">
        <w:rPr>
          <w:rFonts w:ascii="Arial" w:hAnsi="Arial"/>
        </w:rPr>
        <w:t xml:space="preserve">order of </w:t>
      </w:r>
      <w:r w:rsidR="008D659B">
        <w:rPr>
          <w:rFonts w:ascii="Arial" w:hAnsi="Arial"/>
        </w:rPr>
        <w:t>0</w:t>
      </w:r>
      <w:r w:rsidR="00005C32">
        <w:rPr>
          <w:rFonts w:ascii="Arial" w:hAnsi="Arial"/>
        </w:rPr>
        <w:t xml:space="preserve">2 December 2022 and to be granted leave to file </w:t>
      </w:r>
      <w:r w:rsidR="008D659B">
        <w:rPr>
          <w:rFonts w:ascii="Arial" w:hAnsi="Arial"/>
        </w:rPr>
        <w:t>an</w:t>
      </w:r>
      <w:r w:rsidR="00005C32">
        <w:rPr>
          <w:rFonts w:ascii="Arial" w:hAnsi="Arial"/>
        </w:rPr>
        <w:t xml:space="preserve"> affidavit contemplated </w:t>
      </w:r>
      <w:r w:rsidR="00D938E7">
        <w:rPr>
          <w:rFonts w:ascii="Arial" w:hAnsi="Arial"/>
        </w:rPr>
        <w:t xml:space="preserve">under </w:t>
      </w:r>
      <w:r w:rsidR="008D659B">
        <w:rPr>
          <w:rFonts w:ascii="Arial" w:hAnsi="Arial"/>
        </w:rPr>
        <w:t>s</w:t>
      </w:r>
      <w:r w:rsidR="00D938E7" w:rsidRPr="00D938E7">
        <w:rPr>
          <w:rFonts w:ascii="Arial" w:hAnsi="Arial"/>
          <w:lang w:val="en-US"/>
        </w:rPr>
        <w:t xml:space="preserve"> 52(3) </w:t>
      </w:r>
      <w:r w:rsidR="00D938E7">
        <w:rPr>
          <w:rFonts w:ascii="Arial" w:hAnsi="Arial"/>
          <w:lang w:val="en-US"/>
        </w:rPr>
        <w:t>of POCA</w:t>
      </w:r>
      <w:r w:rsidR="00D938E7" w:rsidRPr="00D938E7">
        <w:rPr>
          <w:rFonts w:ascii="Arial" w:hAnsi="Arial"/>
          <w:lang w:val="en-US"/>
        </w:rPr>
        <w:t>.</w:t>
      </w:r>
      <w:r w:rsidR="00D938E7">
        <w:rPr>
          <w:rFonts w:ascii="Arial" w:hAnsi="Arial"/>
          <w:lang w:val="en-US"/>
        </w:rPr>
        <w:t xml:space="preserve"> It is this application which is the subject of this ruling</w:t>
      </w:r>
      <w:r w:rsidR="00C53066">
        <w:rPr>
          <w:rFonts w:ascii="Arial" w:hAnsi="Arial"/>
          <w:lang w:val="en-US"/>
        </w:rPr>
        <w:t>.</w:t>
      </w:r>
      <w:r w:rsidR="00777DD7">
        <w:rPr>
          <w:rFonts w:ascii="Arial" w:hAnsi="Arial"/>
          <w:lang w:val="en-US"/>
        </w:rPr>
        <w:t xml:space="preserve"> </w:t>
      </w:r>
    </w:p>
    <w:p w:rsidR="00657E98" w:rsidRDefault="00657E98" w:rsidP="008D659B">
      <w:pPr>
        <w:spacing w:line="360" w:lineRule="auto"/>
        <w:contextualSpacing/>
        <w:jc w:val="both"/>
        <w:rPr>
          <w:rFonts w:ascii="Arial" w:hAnsi="Arial"/>
          <w:u w:val="single"/>
        </w:rPr>
      </w:pPr>
    </w:p>
    <w:p w:rsidR="00E0044F" w:rsidRDefault="00E0044F" w:rsidP="008D659B">
      <w:pPr>
        <w:spacing w:line="360" w:lineRule="auto"/>
        <w:contextualSpacing/>
        <w:jc w:val="both"/>
        <w:rPr>
          <w:rFonts w:ascii="Arial" w:hAnsi="Arial"/>
          <w:u w:val="single"/>
        </w:rPr>
      </w:pPr>
      <w:r>
        <w:rPr>
          <w:rFonts w:ascii="Arial" w:hAnsi="Arial"/>
          <w:u w:val="single"/>
        </w:rPr>
        <w:t>Background</w:t>
      </w:r>
    </w:p>
    <w:p w:rsidR="00E0044F" w:rsidRDefault="00E0044F" w:rsidP="008D659B">
      <w:pPr>
        <w:spacing w:line="360" w:lineRule="auto"/>
        <w:contextualSpacing/>
        <w:jc w:val="both"/>
        <w:rPr>
          <w:rFonts w:ascii="Arial" w:hAnsi="Arial"/>
          <w:u w:val="single"/>
        </w:rPr>
      </w:pPr>
    </w:p>
    <w:p w:rsidR="00012310" w:rsidRDefault="00B83F1A" w:rsidP="008D659B">
      <w:pPr>
        <w:spacing w:line="360" w:lineRule="auto"/>
        <w:contextualSpacing/>
        <w:jc w:val="both"/>
        <w:rPr>
          <w:rFonts w:ascii="Arial" w:hAnsi="Arial"/>
        </w:rPr>
      </w:pPr>
      <w:r>
        <w:rPr>
          <w:rFonts w:ascii="Arial" w:hAnsi="Arial"/>
        </w:rPr>
        <w:t>[</w:t>
      </w:r>
      <w:r w:rsidR="00C53066">
        <w:rPr>
          <w:rFonts w:ascii="Arial" w:hAnsi="Arial"/>
        </w:rPr>
        <w:t>4</w:t>
      </w:r>
      <w:r w:rsidR="00E0044F">
        <w:rPr>
          <w:rFonts w:ascii="Arial" w:hAnsi="Arial"/>
        </w:rPr>
        <w:t>]</w:t>
      </w:r>
      <w:r w:rsidR="008D659B">
        <w:rPr>
          <w:rFonts w:ascii="Arial" w:hAnsi="Arial"/>
        </w:rPr>
        <w:tab/>
        <w:t>It is necessary for the reader</w:t>
      </w:r>
      <w:r w:rsidR="00E0044F">
        <w:rPr>
          <w:rFonts w:ascii="Arial" w:hAnsi="Arial"/>
        </w:rPr>
        <w:t xml:space="preserve"> to place the matter and the present application in proper perspective. Most of the issues giving rise to the application </w:t>
      </w:r>
      <w:r w:rsidR="0097368A">
        <w:rPr>
          <w:rFonts w:ascii="Arial" w:hAnsi="Arial"/>
        </w:rPr>
        <w:t>is</w:t>
      </w:r>
      <w:r w:rsidR="00C53066">
        <w:rPr>
          <w:rFonts w:ascii="Arial" w:hAnsi="Arial"/>
        </w:rPr>
        <w:t xml:space="preserve"> largely common cause</w:t>
      </w:r>
      <w:r w:rsidR="00012310">
        <w:rPr>
          <w:rFonts w:ascii="Arial" w:hAnsi="Arial"/>
        </w:rPr>
        <w:t>.</w:t>
      </w:r>
    </w:p>
    <w:p w:rsidR="00012310" w:rsidRDefault="00012310" w:rsidP="008D659B">
      <w:pPr>
        <w:spacing w:line="360" w:lineRule="auto"/>
        <w:contextualSpacing/>
        <w:jc w:val="both"/>
        <w:rPr>
          <w:rFonts w:ascii="Arial" w:hAnsi="Arial"/>
        </w:rPr>
      </w:pPr>
    </w:p>
    <w:p w:rsidR="005B7AA1" w:rsidRDefault="00B83F1A" w:rsidP="008D659B">
      <w:pPr>
        <w:spacing w:line="360" w:lineRule="auto"/>
        <w:contextualSpacing/>
        <w:jc w:val="both"/>
        <w:rPr>
          <w:rFonts w:ascii="Arial" w:hAnsi="Arial"/>
        </w:rPr>
      </w:pPr>
      <w:r>
        <w:rPr>
          <w:rFonts w:ascii="Arial" w:hAnsi="Arial"/>
        </w:rPr>
        <w:t>[</w:t>
      </w:r>
      <w:r w:rsidR="00C53066">
        <w:rPr>
          <w:rFonts w:ascii="Arial" w:hAnsi="Arial"/>
        </w:rPr>
        <w:t>5</w:t>
      </w:r>
      <w:r w:rsidR="00012310">
        <w:rPr>
          <w:rFonts w:ascii="Arial" w:hAnsi="Arial"/>
        </w:rPr>
        <w:t>]</w:t>
      </w:r>
      <w:r w:rsidR="00012310">
        <w:rPr>
          <w:rFonts w:ascii="Arial" w:hAnsi="Arial"/>
        </w:rPr>
        <w:tab/>
      </w:r>
      <w:r w:rsidR="00C53066">
        <w:rPr>
          <w:rFonts w:ascii="Arial" w:hAnsi="Arial"/>
        </w:rPr>
        <w:t>During</w:t>
      </w:r>
      <w:r w:rsidR="00E0044F">
        <w:rPr>
          <w:rFonts w:ascii="Arial" w:hAnsi="Arial"/>
        </w:rPr>
        <w:t xml:space="preserve"> November 2019, the Namibian public</w:t>
      </w:r>
      <w:r w:rsidR="00762C69">
        <w:rPr>
          <w:rFonts w:ascii="Arial" w:hAnsi="Arial"/>
        </w:rPr>
        <w:t xml:space="preserve"> </w:t>
      </w:r>
      <w:r w:rsidR="00E0044F">
        <w:rPr>
          <w:rFonts w:ascii="Arial" w:hAnsi="Arial"/>
        </w:rPr>
        <w:t>was consumed by certain revelations re</w:t>
      </w:r>
      <w:r w:rsidR="00A7431B">
        <w:rPr>
          <w:rFonts w:ascii="Arial" w:hAnsi="Arial"/>
        </w:rPr>
        <w:t>lating to the fishing industry in Namibia</w:t>
      </w:r>
      <w:r w:rsidR="00E0044F">
        <w:rPr>
          <w:rFonts w:ascii="Arial" w:hAnsi="Arial"/>
        </w:rPr>
        <w:t>.</w:t>
      </w:r>
      <w:r w:rsidR="00A7431B">
        <w:rPr>
          <w:rFonts w:ascii="Arial" w:hAnsi="Arial"/>
        </w:rPr>
        <w:t xml:space="preserve"> The revelations were produced by </w:t>
      </w:r>
      <w:r w:rsidR="002A7BFA">
        <w:rPr>
          <w:rFonts w:ascii="Arial" w:hAnsi="Arial"/>
        </w:rPr>
        <w:t>WikiLeaks</w:t>
      </w:r>
      <w:r w:rsidR="00A7431B">
        <w:rPr>
          <w:rFonts w:ascii="Arial" w:hAnsi="Arial"/>
        </w:rPr>
        <w:t xml:space="preserve"> and aired on Al </w:t>
      </w:r>
      <w:r w:rsidR="007B3790">
        <w:rPr>
          <w:rFonts w:ascii="Arial" w:hAnsi="Arial"/>
        </w:rPr>
        <w:t>Jazeera</w:t>
      </w:r>
      <w:r w:rsidR="00015574">
        <w:rPr>
          <w:rFonts w:ascii="Arial" w:hAnsi="Arial"/>
        </w:rPr>
        <w:t>. A</w:t>
      </w:r>
      <w:r w:rsidR="00A7431B">
        <w:rPr>
          <w:rFonts w:ascii="Arial" w:hAnsi="Arial"/>
        </w:rPr>
        <w:t xml:space="preserve">llegations which suggest impropriety, including alleged acts of bribery and corruption, </w:t>
      </w:r>
      <w:r w:rsidR="007B3790">
        <w:rPr>
          <w:rFonts w:ascii="Arial" w:hAnsi="Arial"/>
        </w:rPr>
        <w:t>money laundering</w:t>
      </w:r>
      <w:r w:rsidR="00B712B3">
        <w:rPr>
          <w:rFonts w:ascii="Arial" w:hAnsi="Arial"/>
        </w:rPr>
        <w:t xml:space="preserve"> and oth</w:t>
      </w:r>
      <w:r w:rsidR="00E41BFC">
        <w:rPr>
          <w:rFonts w:ascii="Arial" w:hAnsi="Arial"/>
        </w:rPr>
        <w:t>er alleged crimes</w:t>
      </w:r>
      <w:r w:rsidR="00015574">
        <w:rPr>
          <w:rFonts w:ascii="Arial" w:hAnsi="Arial"/>
        </w:rPr>
        <w:t xml:space="preserve"> were aired and widely disseminated</w:t>
      </w:r>
      <w:r w:rsidR="00404304">
        <w:rPr>
          <w:rFonts w:ascii="Arial" w:hAnsi="Arial"/>
        </w:rPr>
        <w:t xml:space="preserve"> in Namibia</w:t>
      </w:r>
      <w:r w:rsidR="00E41BFC">
        <w:rPr>
          <w:rFonts w:ascii="Arial" w:hAnsi="Arial"/>
        </w:rPr>
        <w:t>.</w:t>
      </w:r>
      <w:r w:rsidR="00404304">
        <w:rPr>
          <w:rFonts w:ascii="Arial" w:hAnsi="Arial"/>
        </w:rPr>
        <w:t xml:space="preserve"> Certain individuals were arrested</w:t>
      </w:r>
      <w:r w:rsidR="00B712B3">
        <w:rPr>
          <w:rFonts w:ascii="Arial" w:hAnsi="Arial"/>
        </w:rPr>
        <w:t xml:space="preserve"> in the aftermath</w:t>
      </w:r>
      <w:r w:rsidR="003F66AB">
        <w:rPr>
          <w:rFonts w:ascii="Arial" w:hAnsi="Arial"/>
        </w:rPr>
        <w:t xml:space="preserve"> of the WikiLeaks revelations</w:t>
      </w:r>
      <w:r w:rsidR="00B712B3">
        <w:rPr>
          <w:rFonts w:ascii="Arial" w:hAnsi="Arial"/>
        </w:rPr>
        <w:t>.</w:t>
      </w:r>
      <w:r w:rsidR="00777DD7">
        <w:rPr>
          <w:rFonts w:ascii="Arial" w:hAnsi="Arial"/>
        </w:rPr>
        <w:t xml:space="preserve"> </w:t>
      </w:r>
      <w:r w:rsidR="00E41BFC">
        <w:rPr>
          <w:rFonts w:ascii="Arial" w:hAnsi="Arial"/>
        </w:rPr>
        <w:t>The entire scenario has</w:t>
      </w:r>
      <w:r w:rsidR="00E0044F">
        <w:rPr>
          <w:rFonts w:ascii="Arial" w:hAnsi="Arial"/>
        </w:rPr>
        <w:t xml:space="preserve"> since been </w:t>
      </w:r>
      <w:r w:rsidR="00A7431B">
        <w:rPr>
          <w:rFonts w:ascii="Arial" w:hAnsi="Arial"/>
        </w:rPr>
        <w:t xml:space="preserve">colloquially </w:t>
      </w:r>
      <w:r w:rsidR="00E0044F">
        <w:rPr>
          <w:rFonts w:ascii="Arial" w:hAnsi="Arial"/>
        </w:rPr>
        <w:t xml:space="preserve">referred to </w:t>
      </w:r>
      <w:r w:rsidR="00015574">
        <w:rPr>
          <w:rFonts w:ascii="Arial" w:hAnsi="Arial"/>
        </w:rPr>
        <w:t xml:space="preserve">in Namibia </w:t>
      </w:r>
      <w:r w:rsidR="00E0044F">
        <w:rPr>
          <w:rFonts w:ascii="Arial" w:hAnsi="Arial"/>
        </w:rPr>
        <w:t xml:space="preserve">as the </w:t>
      </w:r>
      <w:r w:rsidR="00E0044F" w:rsidRPr="00777DD7">
        <w:rPr>
          <w:rFonts w:ascii="Arial" w:hAnsi="Arial"/>
        </w:rPr>
        <w:t>‘</w:t>
      </w:r>
      <w:r w:rsidR="00B712B3" w:rsidRPr="00777DD7">
        <w:rPr>
          <w:rFonts w:ascii="Arial" w:hAnsi="Arial"/>
        </w:rPr>
        <w:t>Fish</w:t>
      </w:r>
      <w:r w:rsidR="007B3790" w:rsidRPr="00777DD7">
        <w:rPr>
          <w:rFonts w:ascii="Arial" w:hAnsi="Arial"/>
        </w:rPr>
        <w:t>rot</w:t>
      </w:r>
      <w:r w:rsidR="00E41BFC" w:rsidRPr="00777DD7">
        <w:rPr>
          <w:rFonts w:ascii="Arial" w:hAnsi="Arial"/>
        </w:rPr>
        <w:t xml:space="preserve"> scandal’.</w:t>
      </w:r>
    </w:p>
    <w:p w:rsidR="005B7AA1" w:rsidRDefault="005B7AA1" w:rsidP="008D659B">
      <w:pPr>
        <w:spacing w:line="360" w:lineRule="auto"/>
        <w:contextualSpacing/>
        <w:jc w:val="both"/>
        <w:rPr>
          <w:rFonts w:ascii="Arial" w:hAnsi="Arial"/>
        </w:rPr>
      </w:pPr>
    </w:p>
    <w:p w:rsidR="005B7AA1" w:rsidRDefault="00B83F1A" w:rsidP="008D659B">
      <w:pPr>
        <w:spacing w:line="360" w:lineRule="auto"/>
        <w:contextualSpacing/>
        <w:jc w:val="both"/>
        <w:rPr>
          <w:rFonts w:ascii="Arial" w:hAnsi="Arial"/>
        </w:rPr>
      </w:pPr>
      <w:r>
        <w:rPr>
          <w:rFonts w:ascii="Arial" w:hAnsi="Arial"/>
        </w:rPr>
        <w:lastRenderedPageBreak/>
        <w:t>[</w:t>
      </w:r>
      <w:r w:rsidR="00E04E92">
        <w:rPr>
          <w:rFonts w:ascii="Arial" w:hAnsi="Arial"/>
        </w:rPr>
        <w:t>6</w:t>
      </w:r>
      <w:r w:rsidR="005B7AA1">
        <w:rPr>
          <w:rFonts w:ascii="Arial" w:hAnsi="Arial"/>
        </w:rPr>
        <w:t>]</w:t>
      </w:r>
      <w:r w:rsidR="005B7AA1">
        <w:rPr>
          <w:rFonts w:ascii="Arial" w:hAnsi="Arial"/>
        </w:rPr>
        <w:tab/>
      </w:r>
      <w:r w:rsidR="00E04E92">
        <w:rPr>
          <w:rFonts w:ascii="Arial" w:hAnsi="Arial"/>
        </w:rPr>
        <w:t xml:space="preserve">On 17 </w:t>
      </w:r>
      <w:r w:rsidR="005B7AA1">
        <w:rPr>
          <w:rFonts w:ascii="Arial" w:hAnsi="Arial"/>
        </w:rPr>
        <w:t xml:space="preserve">January 2020, </w:t>
      </w:r>
      <w:r w:rsidR="00E04E92">
        <w:rPr>
          <w:rFonts w:ascii="Arial" w:hAnsi="Arial"/>
        </w:rPr>
        <w:t xml:space="preserve">Mr </w:t>
      </w:r>
      <w:r w:rsidR="00AE13B8">
        <w:rPr>
          <w:rFonts w:ascii="Arial" w:hAnsi="Arial"/>
        </w:rPr>
        <w:t>d</w:t>
      </w:r>
      <w:r w:rsidR="00E04E92">
        <w:rPr>
          <w:rFonts w:ascii="Arial" w:hAnsi="Arial"/>
        </w:rPr>
        <w:t>e Klerk</w:t>
      </w:r>
      <w:r w:rsidR="006214A7">
        <w:rPr>
          <w:rFonts w:ascii="Arial" w:hAnsi="Arial"/>
        </w:rPr>
        <w:t>, in respect of whom allegations circulated that he also participate</w:t>
      </w:r>
      <w:r w:rsidR="00452ACF">
        <w:rPr>
          <w:rFonts w:ascii="Arial" w:hAnsi="Arial"/>
        </w:rPr>
        <w:t>d</w:t>
      </w:r>
      <w:r w:rsidR="006214A7">
        <w:rPr>
          <w:rFonts w:ascii="Arial" w:hAnsi="Arial"/>
        </w:rPr>
        <w:t xml:space="preserve"> in the </w:t>
      </w:r>
      <w:r w:rsidR="00F743C6">
        <w:rPr>
          <w:rFonts w:ascii="Arial" w:hAnsi="Arial"/>
        </w:rPr>
        <w:t>‘</w:t>
      </w:r>
      <w:r w:rsidR="006214A7">
        <w:rPr>
          <w:rFonts w:ascii="Arial" w:hAnsi="Arial"/>
        </w:rPr>
        <w:t>Fishrot s</w:t>
      </w:r>
      <w:r w:rsidR="00AE13B8">
        <w:rPr>
          <w:rFonts w:ascii="Arial" w:hAnsi="Arial"/>
        </w:rPr>
        <w:t>candal</w:t>
      </w:r>
      <w:r w:rsidR="00F743C6">
        <w:rPr>
          <w:rFonts w:ascii="Arial" w:hAnsi="Arial"/>
        </w:rPr>
        <w:t>’</w:t>
      </w:r>
      <w:r w:rsidR="00E41BFC">
        <w:rPr>
          <w:rFonts w:ascii="Arial" w:hAnsi="Arial"/>
        </w:rPr>
        <w:t xml:space="preserve">, </w:t>
      </w:r>
      <w:r w:rsidR="00E04E92">
        <w:rPr>
          <w:rFonts w:ascii="Arial" w:hAnsi="Arial"/>
        </w:rPr>
        <w:t>after he</w:t>
      </w:r>
      <w:r w:rsidR="00452ACF">
        <w:rPr>
          <w:rFonts w:ascii="Arial" w:hAnsi="Arial"/>
        </w:rPr>
        <w:t>,</w:t>
      </w:r>
      <w:r w:rsidR="00E04E92">
        <w:rPr>
          <w:rFonts w:ascii="Arial" w:hAnsi="Arial"/>
        </w:rPr>
        <w:t xml:space="preserve"> </w:t>
      </w:r>
      <w:r w:rsidR="00AE13B8">
        <w:rPr>
          <w:rFonts w:ascii="Arial" w:hAnsi="Arial"/>
        </w:rPr>
        <w:t xml:space="preserve">on 15 and 16 </w:t>
      </w:r>
      <w:r w:rsidR="00452ACF">
        <w:rPr>
          <w:rFonts w:ascii="Arial" w:hAnsi="Arial"/>
        </w:rPr>
        <w:t xml:space="preserve">January 2020, </w:t>
      </w:r>
      <w:r w:rsidR="00F743C6">
        <w:rPr>
          <w:rFonts w:ascii="Arial" w:hAnsi="Arial"/>
        </w:rPr>
        <w:t xml:space="preserve">gave a statement </w:t>
      </w:r>
      <w:r w:rsidR="00E04E92">
        <w:rPr>
          <w:rFonts w:ascii="Arial" w:hAnsi="Arial"/>
        </w:rPr>
        <w:t>to the Namibian Police and the Anti-Corruption Commission</w:t>
      </w:r>
      <w:r w:rsidR="006214A7">
        <w:rPr>
          <w:rFonts w:ascii="Arial" w:hAnsi="Arial"/>
        </w:rPr>
        <w:t xml:space="preserve"> respectively</w:t>
      </w:r>
      <w:r w:rsidR="00F743C6">
        <w:rPr>
          <w:rFonts w:ascii="Arial" w:hAnsi="Arial"/>
        </w:rPr>
        <w:t>,</w:t>
      </w:r>
      <w:r w:rsidR="006214A7">
        <w:rPr>
          <w:rFonts w:ascii="Arial" w:hAnsi="Arial"/>
        </w:rPr>
        <w:t xml:space="preserve"> </w:t>
      </w:r>
      <w:r w:rsidR="00E04E92">
        <w:rPr>
          <w:rFonts w:ascii="Arial" w:hAnsi="Arial"/>
        </w:rPr>
        <w:t xml:space="preserve">left </w:t>
      </w:r>
      <w:r w:rsidR="005B7AA1">
        <w:rPr>
          <w:rFonts w:ascii="Arial" w:hAnsi="Arial"/>
        </w:rPr>
        <w:t>Namibia and has been out of thi</w:t>
      </w:r>
      <w:r w:rsidR="00AE13B8">
        <w:rPr>
          <w:rFonts w:ascii="Arial" w:hAnsi="Arial"/>
        </w:rPr>
        <w:t>s Republic since then.</w:t>
      </w:r>
      <w:r w:rsidR="006214A7">
        <w:rPr>
          <w:rFonts w:ascii="Arial" w:hAnsi="Arial"/>
        </w:rPr>
        <w:t xml:space="preserve"> He does not disclose his</w:t>
      </w:r>
      <w:r w:rsidR="00F743C6">
        <w:rPr>
          <w:rFonts w:ascii="Arial" w:hAnsi="Arial"/>
        </w:rPr>
        <w:t xml:space="preserve"> whereabouts and even the C</w:t>
      </w:r>
      <w:r w:rsidR="005B7AA1">
        <w:rPr>
          <w:rFonts w:ascii="Arial" w:hAnsi="Arial"/>
        </w:rPr>
        <w:t>ourt is in the dark as to where exactly he is</w:t>
      </w:r>
      <w:r w:rsidR="00232752">
        <w:rPr>
          <w:rFonts w:ascii="Arial" w:hAnsi="Arial"/>
        </w:rPr>
        <w:t xml:space="preserve">. </w:t>
      </w:r>
      <w:r w:rsidR="006214A7">
        <w:rPr>
          <w:rFonts w:ascii="Arial" w:hAnsi="Arial"/>
        </w:rPr>
        <w:t>The affidavit in support of the rescission application appears to have been commission</w:t>
      </w:r>
      <w:r w:rsidR="00452ACF">
        <w:rPr>
          <w:rFonts w:ascii="Arial" w:hAnsi="Arial"/>
        </w:rPr>
        <w:t>ed</w:t>
      </w:r>
      <w:r w:rsidR="006214A7">
        <w:rPr>
          <w:rFonts w:ascii="Arial" w:hAnsi="Arial"/>
        </w:rPr>
        <w:t xml:space="preserve"> in </w:t>
      </w:r>
      <w:proofErr w:type="spellStart"/>
      <w:r w:rsidR="006214A7">
        <w:rPr>
          <w:rFonts w:ascii="Arial" w:hAnsi="Arial"/>
        </w:rPr>
        <w:t>Kwazulu</w:t>
      </w:r>
      <w:proofErr w:type="spellEnd"/>
      <w:r w:rsidR="006214A7">
        <w:rPr>
          <w:rFonts w:ascii="Arial" w:hAnsi="Arial"/>
        </w:rPr>
        <w:t xml:space="preserve"> Natal whereas in his affidavit he appears to intimate that he is in the Western Cape.</w:t>
      </w:r>
    </w:p>
    <w:p w:rsidR="002C2F1F" w:rsidRDefault="002C2F1F" w:rsidP="008D659B">
      <w:pPr>
        <w:spacing w:line="360" w:lineRule="auto"/>
        <w:contextualSpacing/>
        <w:jc w:val="both"/>
        <w:rPr>
          <w:rFonts w:ascii="Arial" w:hAnsi="Arial"/>
        </w:rPr>
      </w:pPr>
    </w:p>
    <w:p w:rsidR="002C2F1F" w:rsidRDefault="002C2F1F" w:rsidP="008D659B">
      <w:pPr>
        <w:spacing w:line="360" w:lineRule="auto"/>
        <w:contextualSpacing/>
        <w:jc w:val="both"/>
        <w:rPr>
          <w:rFonts w:ascii="Arial" w:hAnsi="Arial"/>
        </w:rPr>
      </w:pPr>
      <w:r>
        <w:rPr>
          <w:rFonts w:ascii="Arial" w:hAnsi="Arial"/>
        </w:rPr>
        <w:t>[7]</w:t>
      </w:r>
      <w:r>
        <w:rPr>
          <w:rFonts w:ascii="Arial" w:hAnsi="Arial"/>
        </w:rPr>
        <w:tab/>
        <w:t>On 29 April 2021</w:t>
      </w:r>
      <w:r w:rsidR="00F743C6">
        <w:rPr>
          <w:rFonts w:ascii="Arial" w:hAnsi="Arial"/>
        </w:rPr>
        <w:t>,</w:t>
      </w:r>
      <w:r>
        <w:rPr>
          <w:rFonts w:ascii="Arial" w:hAnsi="Arial"/>
        </w:rPr>
        <w:t xml:space="preserve"> the Prosecutor General applied, under s 43</w:t>
      </w:r>
      <w:r w:rsidR="00F743C6">
        <w:rPr>
          <w:rFonts w:ascii="Arial" w:hAnsi="Arial"/>
        </w:rPr>
        <w:t xml:space="preserve"> of the Criminal Procedure Act 51 of 1977</w:t>
      </w:r>
      <w:r>
        <w:rPr>
          <w:rFonts w:ascii="Arial" w:hAnsi="Arial"/>
        </w:rPr>
        <w:t xml:space="preserve">, to </w:t>
      </w:r>
      <w:r w:rsidR="007018A7">
        <w:rPr>
          <w:rFonts w:ascii="Arial" w:hAnsi="Arial"/>
        </w:rPr>
        <w:t>the Magistrate’s C</w:t>
      </w:r>
      <w:r>
        <w:rPr>
          <w:rFonts w:ascii="Arial" w:hAnsi="Arial"/>
        </w:rPr>
        <w:t>ourt of Windhoek for a warrant for the apprehension of Mr de Klerk. The warrant for the arrest of Mr de Klerk was made on the strength of criminal charges relating to racke</w:t>
      </w:r>
      <w:r w:rsidR="007018A7">
        <w:rPr>
          <w:rFonts w:ascii="Arial" w:hAnsi="Arial"/>
        </w:rPr>
        <w:t>teering, contraventions of POCA</w:t>
      </w:r>
      <w:r>
        <w:rPr>
          <w:rFonts w:ascii="Arial" w:hAnsi="Arial"/>
        </w:rPr>
        <w:t xml:space="preserve"> and fraud levelled agains</w:t>
      </w:r>
      <w:r w:rsidR="007018A7">
        <w:rPr>
          <w:rFonts w:ascii="Arial" w:hAnsi="Arial"/>
        </w:rPr>
        <w:t>t Mr de Klerk. On the same day (</w:t>
      </w:r>
      <w:r>
        <w:rPr>
          <w:rFonts w:ascii="Arial" w:hAnsi="Arial"/>
        </w:rPr>
        <w:t>that is on 29 April 2021</w:t>
      </w:r>
      <w:r w:rsidR="007018A7">
        <w:rPr>
          <w:rFonts w:ascii="Arial" w:hAnsi="Arial"/>
        </w:rPr>
        <w:t>)</w:t>
      </w:r>
      <w:r>
        <w:rPr>
          <w:rFonts w:ascii="Arial" w:hAnsi="Arial"/>
        </w:rPr>
        <w:t xml:space="preserve"> a Magistrate </w:t>
      </w:r>
      <w:r w:rsidR="007018A7">
        <w:rPr>
          <w:rFonts w:ascii="Arial" w:hAnsi="Arial"/>
        </w:rPr>
        <w:t>of the Magistrate’s C</w:t>
      </w:r>
      <w:r>
        <w:rPr>
          <w:rFonts w:ascii="Arial" w:hAnsi="Arial"/>
        </w:rPr>
        <w:t xml:space="preserve">ourt </w:t>
      </w:r>
      <w:r w:rsidR="007018A7">
        <w:rPr>
          <w:rFonts w:ascii="Arial" w:hAnsi="Arial"/>
        </w:rPr>
        <w:t xml:space="preserve">of </w:t>
      </w:r>
      <w:r>
        <w:rPr>
          <w:rFonts w:ascii="Arial" w:hAnsi="Arial"/>
        </w:rPr>
        <w:t xml:space="preserve">Windhoek issued a warrant </w:t>
      </w:r>
      <w:r w:rsidR="00DA1955">
        <w:rPr>
          <w:rFonts w:ascii="Arial" w:hAnsi="Arial"/>
        </w:rPr>
        <w:t>of arrest</w:t>
      </w:r>
      <w:r>
        <w:rPr>
          <w:rFonts w:ascii="Arial" w:hAnsi="Arial"/>
        </w:rPr>
        <w:t xml:space="preserve"> and ordered any peace officer </w:t>
      </w:r>
      <w:r w:rsidR="00DA1955">
        <w:rPr>
          <w:rFonts w:ascii="Arial" w:hAnsi="Arial"/>
        </w:rPr>
        <w:t>empowered by law</w:t>
      </w:r>
      <w:r w:rsidR="00452ACF">
        <w:rPr>
          <w:rFonts w:ascii="Arial" w:hAnsi="Arial"/>
        </w:rPr>
        <w:t>,</w:t>
      </w:r>
      <w:r w:rsidR="00DA1955">
        <w:rPr>
          <w:rFonts w:ascii="Arial" w:hAnsi="Arial"/>
        </w:rPr>
        <w:t xml:space="preserve"> </w:t>
      </w:r>
      <w:r w:rsidR="007018A7">
        <w:rPr>
          <w:rFonts w:ascii="Arial" w:hAnsi="Arial"/>
        </w:rPr>
        <w:t>to execute criminal warrants</w:t>
      </w:r>
      <w:r w:rsidR="00452ACF">
        <w:rPr>
          <w:rFonts w:ascii="Arial" w:hAnsi="Arial"/>
        </w:rPr>
        <w:t xml:space="preserve"> to,</w:t>
      </w:r>
      <w:r w:rsidR="007018A7">
        <w:rPr>
          <w:rFonts w:ascii="Arial" w:hAnsi="Arial"/>
        </w:rPr>
        <w:t xml:space="preserve"> upon sight of </w:t>
      </w:r>
      <w:r w:rsidR="007018A7" w:rsidRPr="007018A7">
        <w:rPr>
          <w:rFonts w:ascii="Arial" w:hAnsi="Arial"/>
        </w:rPr>
        <w:t>Mr de Klerk</w:t>
      </w:r>
      <w:r w:rsidR="007018A7">
        <w:rPr>
          <w:rFonts w:ascii="Arial" w:hAnsi="Arial"/>
        </w:rPr>
        <w:t xml:space="preserve">, </w:t>
      </w:r>
      <w:r w:rsidR="00DA1955">
        <w:rPr>
          <w:rFonts w:ascii="Arial" w:hAnsi="Arial"/>
        </w:rPr>
        <w:t xml:space="preserve">apprehend or detain him and to bring him before the High Court of Namibia (Main Division) </w:t>
      </w:r>
      <w:r w:rsidR="00452ACF">
        <w:rPr>
          <w:rFonts w:ascii="Arial" w:hAnsi="Arial"/>
        </w:rPr>
        <w:t>to</w:t>
      </w:r>
      <w:r w:rsidR="00DA1955">
        <w:rPr>
          <w:rFonts w:ascii="Arial" w:hAnsi="Arial"/>
        </w:rPr>
        <w:t xml:space="preserve"> be examined and </w:t>
      </w:r>
      <w:r w:rsidR="00452ACF">
        <w:rPr>
          <w:rFonts w:ascii="Arial" w:hAnsi="Arial"/>
        </w:rPr>
        <w:t xml:space="preserve">to </w:t>
      </w:r>
      <w:r w:rsidR="00DA1955">
        <w:rPr>
          <w:rFonts w:ascii="Arial" w:hAnsi="Arial"/>
        </w:rPr>
        <w:t xml:space="preserve">answer to the charges levelled against him. </w:t>
      </w:r>
    </w:p>
    <w:p w:rsidR="00DA1955" w:rsidRDefault="00DA1955" w:rsidP="008D659B">
      <w:pPr>
        <w:spacing w:line="360" w:lineRule="auto"/>
        <w:contextualSpacing/>
        <w:jc w:val="both"/>
        <w:rPr>
          <w:rFonts w:ascii="Arial" w:hAnsi="Arial"/>
        </w:rPr>
      </w:pPr>
    </w:p>
    <w:p w:rsidR="00DA1955" w:rsidRDefault="00DA1955" w:rsidP="008D659B">
      <w:pPr>
        <w:spacing w:line="360" w:lineRule="auto"/>
        <w:contextualSpacing/>
        <w:jc w:val="both"/>
        <w:rPr>
          <w:rFonts w:ascii="Arial" w:hAnsi="Arial"/>
        </w:rPr>
      </w:pPr>
      <w:r>
        <w:rPr>
          <w:rFonts w:ascii="Arial" w:hAnsi="Arial"/>
        </w:rPr>
        <w:t>[8]</w:t>
      </w:r>
      <w:r>
        <w:rPr>
          <w:rFonts w:ascii="Arial" w:hAnsi="Arial"/>
        </w:rPr>
        <w:tab/>
        <w:t>On 19 May 2021</w:t>
      </w:r>
      <w:r w:rsidR="007018A7">
        <w:rPr>
          <w:rFonts w:ascii="Arial" w:hAnsi="Arial"/>
        </w:rPr>
        <w:t>,</w:t>
      </w:r>
      <w:r>
        <w:rPr>
          <w:rFonts w:ascii="Arial" w:hAnsi="Arial"/>
        </w:rPr>
        <w:t xml:space="preserve"> the Minister </w:t>
      </w:r>
      <w:r w:rsidR="00452ACF">
        <w:rPr>
          <w:rFonts w:ascii="Arial" w:hAnsi="Arial"/>
        </w:rPr>
        <w:t>of</w:t>
      </w:r>
      <w:r>
        <w:rPr>
          <w:rFonts w:ascii="Arial" w:hAnsi="Arial"/>
        </w:rPr>
        <w:t xml:space="preserve"> Justice in Namibia addressed a</w:t>
      </w:r>
      <w:r w:rsidR="0074659B">
        <w:rPr>
          <w:rFonts w:ascii="Arial" w:hAnsi="Arial"/>
        </w:rPr>
        <w:t xml:space="preserve">n </w:t>
      </w:r>
      <w:r w:rsidR="0074659B">
        <w:rPr>
          <w:rFonts w:ascii="Arial" w:hAnsi="Arial"/>
          <w:lang w:val="en-US"/>
        </w:rPr>
        <w:t>e</w:t>
      </w:r>
      <w:r w:rsidR="0074659B" w:rsidRPr="0074659B">
        <w:rPr>
          <w:rFonts w:ascii="Arial" w:hAnsi="Arial"/>
          <w:lang w:val="en-US"/>
        </w:rPr>
        <w:t xml:space="preserve">xtradition </w:t>
      </w:r>
      <w:r w:rsidR="0074659B">
        <w:rPr>
          <w:rFonts w:ascii="Arial" w:hAnsi="Arial"/>
          <w:lang w:val="en-US"/>
        </w:rPr>
        <w:t>r</w:t>
      </w:r>
      <w:r w:rsidR="0074659B" w:rsidRPr="0074659B">
        <w:rPr>
          <w:rFonts w:ascii="Arial" w:hAnsi="Arial"/>
          <w:lang w:val="en-US"/>
        </w:rPr>
        <w:t xml:space="preserve">equest </w:t>
      </w:r>
      <w:r w:rsidR="007018A7">
        <w:rPr>
          <w:rFonts w:ascii="Arial" w:hAnsi="Arial"/>
        </w:rPr>
        <w:t>to the Minster responsible for Justice and Correctional Services in South Africa</w:t>
      </w:r>
      <w:r w:rsidR="007018A7" w:rsidRPr="0074659B">
        <w:rPr>
          <w:rFonts w:ascii="Arial" w:hAnsi="Arial"/>
          <w:lang w:val="en-US"/>
        </w:rPr>
        <w:t xml:space="preserve"> </w:t>
      </w:r>
      <w:r w:rsidR="0074659B" w:rsidRPr="0074659B">
        <w:rPr>
          <w:rFonts w:ascii="Arial" w:hAnsi="Arial"/>
          <w:lang w:val="en-US"/>
        </w:rPr>
        <w:t xml:space="preserve">for the </w:t>
      </w:r>
      <w:r w:rsidR="0074659B">
        <w:rPr>
          <w:rFonts w:ascii="Arial" w:hAnsi="Arial"/>
          <w:lang w:val="en-US"/>
        </w:rPr>
        <w:t>s</w:t>
      </w:r>
      <w:r w:rsidR="0074659B" w:rsidRPr="0074659B">
        <w:rPr>
          <w:rFonts w:ascii="Arial" w:hAnsi="Arial"/>
          <w:lang w:val="en-US"/>
        </w:rPr>
        <w:t>urrender of</w:t>
      </w:r>
      <w:r w:rsidR="0074659B">
        <w:rPr>
          <w:rFonts w:ascii="Arial" w:hAnsi="Arial"/>
          <w:lang w:val="en-US"/>
        </w:rPr>
        <w:t xml:space="preserve"> Mr de Klerk </w:t>
      </w:r>
      <w:r w:rsidR="0074659B" w:rsidRPr="0074659B">
        <w:rPr>
          <w:rFonts w:ascii="Arial" w:hAnsi="Arial"/>
          <w:lang w:val="en-US"/>
        </w:rPr>
        <w:t xml:space="preserve">from </w:t>
      </w:r>
      <w:r w:rsidR="0074659B">
        <w:rPr>
          <w:rFonts w:ascii="Arial" w:hAnsi="Arial"/>
          <w:lang w:val="en-US"/>
        </w:rPr>
        <w:t xml:space="preserve">the </w:t>
      </w:r>
      <w:r w:rsidR="0074659B" w:rsidRPr="0074659B">
        <w:rPr>
          <w:rFonts w:ascii="Arial" w:hAnsi="Arial"/>
          <w:lang w:val="en-US"/>
        </w:rPr>
        <w:t xml:space="preserve">Republic </w:t>
      </w:r>
      <w:r w:rsidR="0074659B">
        <w:rPr>
          <w:rFonts w:ascii="Arial" w:hAnsi="Arial"/>
          <w:lang w:val="en-US"/>
        </w:rPr>
        <w:t>o</w:t>
      </w:r>
      <w:r w:rsidR="0074659B" w:rsidRPr="0074659B">
        <w:rPr>
          <w:rFonts w:ascii="Arial" w:hAnsi="Arial"/>
          <w:lang w:val="en-US"/>
        </w:rPr>
        <w:t xml:space="preserve">f South Africa </w:t>
      </w:r>
      <w:r w:rsidR="0074659B">
        <w:rPr>
          <w:rFonts w:ascii="Arial" w:hAnsi="Arial"/>
          <w:lang w:val="en-US"/>
        </w:rPr>
        <w:t>to the Republic o</w:t>
      </w:r>
      <w:r w:rsidR="0074659B" w:rsidRPr="0074659B">
        <w:rPr>
          <w:rFonts w:ascii="Arial" w:hAnsi="Arial"/>
          <w:lang w:val="en-US"/>
        </w:rPr>
        <w:t>f Namibia</w:t>
      </w:r>
      <w:r w:rsidR="007018A7">
        <w:rPr>
          <w:rFonts w:ascii="Arial" w:hAnsi="Arial"/>
        </w:rPr>
        <w:t xml:space="preserve">. </w:t>
      </w:r>
      <w:r w:rsidR="002B678E">
        <w:rPr>
          <w:rFonts w:ascii="Arial" w:hAnsi="Arial"/>
        </w:rPr>
        <w:t>The request for the extradition of Mr de Klerk was based on s</w:t>
      </w:r>
      <w:r w:rsidR="007018A7">
        <w:rPr>
          <w:rFonts w:ascii="Arial" w:hAnsi="Arial"/>
          <w:lang w:val="en-US"/>
        </w:rPr>
        <w:t xml:space="preserve"> 4</w:t>
      </w:r>
      <w:r w:rsidR="0074659B" w:rsidRPr="0074659B">
        <w:rPr>
          <w:rFonts w:ascii="Arial" w:hAnsi="Arial"/>
          <w:lang w:val="en-US"/>
        </w:rPr>
        <w:t>(1) of th</w:t>
      </w:r>
      <w:r w:rsidR="007018A7">
        <w:rPr>
          <w:rFonts w:ascii="Arial" w:hAnsi="Arial"/>
          <w:lang w:val="en-US"/>
        </w:rPr>
        <w:t>e South African Extradition Act 67 of 1962,</w:t>
      </w:r>
      <w:r w:rsidR="0074659B" w:rsidRPr="0074659B">
        <w:rPr>
          <w:rFonts w:ascii="Arial" w:hAnsi="Arial"/>
          <w:lang w:val="en-US"/>
        </w:rPr>
        <w:t xml:space="preserve"> as amended</w:t>
      </w:r>
      <w:r w:rsidR="002B678E">
        <w:rPr>
          <w:rFonts w:ascii="Arial" w:hAnsi="Arial"/>
          <w:lang w:val="en-US"/>
        </w:rPr>
        <w:t>. The purpose for the extradition request was stated to be for prosecuting him on the criminal charges levelled against him</w:t>
      </w:r>
      <w:r w:rsidR="007018A7">
        <w:rPr>
          <w:rFonts w:ascii="Arial" w:hAnsi="Arial"/>
          <w:lang w:val="en-US"/>
        </w:rPr>
        <w:t xml:space="preserve"> in the Republic o</w:t>
      </w:r>
      <w:r w:rsidR="007018A7" w:rsidRPr="0074659B">
        <w:rPr>
          <w:rFonts w:ascii="Arial" w:hAnsi="Arial"/>
          <w:lang w:val="en-US"/>
        </w:rPr>
        <w:t xml:space="preserve">f </w:t>
      </w:r>
      <w:r w:rsidR="007018A7">
        <w:rPr>
          <w:rFonts w:ascii="Arial" w:hAnsi="Arial"/>
          <w:lang w:val="en-US"/>
        </w:rPr>
        <w:t>Namibia</w:t>
      </w:r>
      <w:r w:rsidR="002B678E">
        <w:rPr>
          <w:rFonts w:ascii="Arial" w:hAnsi="Arial"/>
          <w:lang w:val="en-US"/>
        </w:rPr>
        <w:t>. The proceedings for the extradition of Mr de Klerk are still pending in the South African Courts.</w:t>
      </w:r>
      <w:r w:rsidR="002B678E" w:rsidRPr="002B678E">
        <w:rPr>
          <w:rFonts w:ascii="Arial" w:hAnsi="Arial"/>
          <w:lang w:val="en-US"/>
        </w:rPr>
        <w:t xml:space="preserve"> </w:t>
      </w:r>
      <w:r w:rsidR="007018A7">
        <w:rPr>
          <w:rFonts w:ascii="Arial" w:hAnsi="Arial"/>
          <w:lang w:val="en-US"/>
        </w:rPr>
        <w:t xml:space="preserve">  </w:t>
      </w:r>
    </w:p>
    <w:p w:rsidR="00232752" w:rsidRPr="00232752" w:rsidRDefault="00232752" w:rsidP="008D659B">
      <w:pPr>
        <w:spacing w:line="360" w:lineRule="auto"/>
        <w:contextualSpacing/>
        <w:jc w:val="both"/>
        <w:rPr>
          <w:rFonts w:ascii="Arial" w:hAnsi="Arial"/>
        </w:rPr>
      </w:pPr>
    </w:p>
    <w:p w:rsidR="00232752" w:rsidRPr="00232752" w:rsidRDefault="00232752" w:rsidP="008D659B">
      <w:pPr>
        <w:spacing w:line="360" w:lineRule="auto"/>
        <w:contextualSpacing/>
        <w:jc w:val="both"/>
        <w:rPr>
          <w:rFonts w:ascii="Arial" w:hAnsi="Arial"/>
        </w:rPr>
      </w:pPr>
      <w:r w:rsidRPr="00232752">
        <w:rPr>
          <w:rFonts w:ascii="Arial" w:hAnsi="Arial"/>
        </w:rPr>
        <w:t>[</w:t>
      </w:r>
      <w:r w:rsidR="002B678E">
        <w:rPr>
          <w:rFonts w:ascii="Arial" w:hAnsi="Arial"/>
        </w:rPr>
        <w:t>9</w:t>
      </w:r>
      <w:r w:rsidRPr="00232752">
        <w:rPr>
          <w:rFonts w:ascii="Arial" w:hAnsi="Arial"/>
        </w:rPr>
        <w:t>]</w:t>
      </w:r>
      <w:r w:rsidRPr="00232752">
        <w:rPr>
          <w:rFonts w:ascii="Arial" w:hAnsi="Arial"/>
        </w:rPr>
        <w:tab/>
      </w:r>
      <w:r w:rsidR="004A5D35">
        <w:rPr>
          <w:rFonts w:ascii="Arial" w:hAnsi="Arial"/>
        </w:rPr>
        <w:t xml:space="preserve">On 18 </w:t>
      </w:r>
      <w:r w:rsidRPr="00232752">
        <w:rPr>
          <w:rFonts w:ascii="Arial" w:hAnsi="Arial"/>
        </w:rPr>
        <w:t>October 2022</w:t>
      </w:r>
      <w:r w:rsidR="006214A7">
        <w:rPr>
          <w:rFonts w:ascii="Arial" w:hAnsi="Arial"/>
        </w:rPr>
        <w:t>,</w:t>
      </w:r>
      <w:r w:rsidRPr="00232752">
        <w:rPr>
          <w:rFonts w:ascii="Arial" w:hAnsi="Arial"/>
        </w:rPr>
        <w:t xml:space="preserve"> </w:t>
      </w:r>
      <w:r w:rsidR="004A5D35">
        <w:rPr>
          <w:rFonts w:ascii="Arial" w:hAnsi="Arial"/>
        </w:rPr>
        <w:t>that is approximately</w:t>
      </w:r>
      <w:r w:rsidR="006214A7">
        <w:rPr>
          <w:rFonts w:ascii="Arial" w:hAnsi="Arial"/>
        </w:rPr>
        <w:t xml:space="preserve"> two years after the ‘Fishrot scandal</w:t>
      </w:r>
      <w:r w:rsidR="007018A7">
        <w:rPr>
          <w:rFonts w:ascii="Arial" w:hAnsi="Arial"/>
        </w:rPr>
        <w:t>’</w:t>
      </w:r>
      <w:r w:rsidR="006214A7">
        <w:rPr>
          <w:rFonts w:ascii="Arial" w:hAnsi="Arial"/>
        </w:rPr>
        <w:t xml:space="preserve"> exploded,</w:t>
      </w:r>
      <w:r w:rsidR="006214A7" w:rsidRPr="006214A7">
        <w:rPr>
          <w:rFonts w:ascii="Arial" w:hAnsi="Arial"/>
        </w:rPr>
        <w:t xml:space="preserve"> </w:t>
      </w:r>
      <w:r w:rsidR="006214A7" w:rsidRPr="00232752">
        <w:rPr>
          <w:rFonts w:ascii="Arial" w:hAnsi="Arial"/>
        </w:rPr>
        <w:t>the Prosecutor General</w:t>
      </w:r>
      <w:r w:rsidR="007018A7">
        <w:rPr>
          <w:rFonts w:ascii="Arial" w:hAnsi="Arial"/>
        </w:rPr>
        <w:t xml:space="preserve">, </w:t>
      </w:r>
      <w:r w:rsidR="004A5D35">
        <w:rPr>
          <w:rFonts w:ascii="Arial" w:hAnsi="Arial"/>
        </w:rPr>
        <w:t xml:space="preserve">on an </w:t>
      </w:r>
      <w:r w:rsidR="004A5D35" w:rsidRPr="004A5D35">
        <w:rPr>
          <w:rFonts w:ascii="Arial" w:hAnsi="Arial"/>
          <w:i/>
        </w:rPr>
        <w:t>ex parte</w:t>
      </w:r>
      <w:r w:rsidR="007018A7">
        <w:rPr>
          <w:rFonts w:ascii="Arial" w:hAnsi="Arial"/>
        </w:rPr>
        <w:t xml:space="preserve"> basis, </w:t>
      </w:r>
      <w:r w:rsidRPr="00232752">
        <w:rPr>
          <w:rFonts w:ascii="Arial" w:hAnsi="Arial"/>
        </w:rPr>
        <w:t xml:space="preserve">launched an application in this Court under </w:t>
      </w:r>
      <w:r w:rsidR="007018A7">
        <w:rPr>
          <w:rFonts w:ascii="Arial" w:hAnsi="Arial"/>
        </w:rPr>
        <w:t xml:space="preserve">s 51, </w:t>
      </w:r>
      <w:r w:rsidRPr="00232752">
        <w:rPr>
          <w:rFonts w:ascii="Arial" w:hAnsi="Arial"/>
        </w:rPr>
        <w:t>Chapter 6 of POCA to preserve certain p</w:t>
      </w:r>
      <w:r w:rsidR="007018A7">
        <w:rPr>
          <w:rFonts w:ascii="Arial" w:hAnsi="Arial"/>
        </w:rPr>
        <w:t>roperties being an amount of N$4 681 518,</w:t>
      </w:r>
      <w:r w:rsidRPr="00232752">
        <w:rPr>
          <w:rFonts w:ascii="Arial" w:hAnsi="Arial"/>
        </w:rPr>
        <w:t xml:space="preserve">28 in a Bank Windhoek account </w:t>
      </w:r>
      <w:r w:rsidRPr="00232752">
        <w:rPr>
          <w:rFonts w:ascii="Arial" w:hAnsi="Arial"/>
        </w:rPr>
        <w:lastRenderedPageBreak/>
        <w:t xml:space="preserve">number NPD-3001930059 held in the name of De Klerk, Horn and </w:t>
      </w:r>
      <w:r w:rsidR="007018A7">
        <w:rPr>
          <w:rFonts w:ascii="Arial" w:hAnsi="Arial"/>
        </w:rPr>
        <w:t xml:space="preserve">Coetzee Legal Practitioners </w:t>
      </w:r>
      <w:proofErr w:type="spellStart"/>
      <w:r w:rsidR="007018A7">
        <w:rPr>
          <w:rFonts w:ascii="Arial" w:hAnsi="Arial"/>
        </w:rPr>
        <w:t>Inc</w:t>
      </w:r>
      <w:proofErr w:type="spellEnd"/>
      <w:r w:rsidRPr="00232752">
        <w:rPr>
          <w:rFonts w:ascii="Arial" w:hAnsi="Arial"/>
        </w:rPr>
        <w:t xml:space="preserve"> </w:t>
      </w:r>
      <w:r w:rsidR="007018A7">
        <w:rPr>
          <w:rFonts w:ascii="Arial" w:hAnsi="Arial"/>
        </w:rPr>
        <w:t>2017/00 Trust and an amount N$1 870 941,</w:t>
      </w:r>
      <w:r w:rsidRPr="00232752">
        <w:rPr>
          <w:rFonts w:ascii="Arial" w:hAnsi="Arial"/>
        </w:rPr>
        <w:t xml:space="preserve">54 in </w:t>
      </w:r>
      <w:r w:rsidR="007018A7">
        <w:rPr>
          <w:rFonts w:ascii="Arial" w:hAnsi="Arial"/>
        </w:rPr>
        <w:t xml:space="preserve">a </w:t>
      </w:r>
      <w:r w:rsidRPr="00232752">
        <w:rPr>
          <w:rFonts w:ascii="Arial" w:hAnsi="Arial"/>
        </w:rPr>
        <w:t xml:space="preserve">Nedbank account number 11000055095 held in the name of Mr de Klerk (the preservation application). </w:t>
      </w:r>
    </w:p>
    <w:p w:rsidR="00232752" w:rsidRPr="00232752" w:rsidRDefault="00232752" w:rsidP="008D659B">
      <w:pPr>
        <w:spacing w:line="360" w:lineRule="auto"/>
        <w:contextualSpacing/>
        <w:jc w:val="both"/>
        <w:rPr>
          <w:rFonts w:ascii="Arial" w:hAnsi="Arial"/>
        </w:rPr>
      </w:pPr>
    </w:p>
    <w:p w:rsidR="00232752" w:rsidRPr="00232752" w:rsidRDefault="00232752" w:rsidP="008D659B">
      <w:pPr>
        <w:spacing w:line="360" w:lineRule="auto"/>
        <w:contextualSpacing/>
        <w:jc w:val="both"/>
        <w:rPr>
          <w:rFonts w:ascii="Arial" w:hAnsi="Arial"/>
          <w:lang w:val="en-US"/>
        </w:rPr>
      </w:pPr>
      <w:r w:rsidRPr="00232752">
        <w:rPr>
          <w:rFonts w:ascii="Arial" w:hAnsi="Arial"/>
        </w:rPr>
        <w:t>[</w:t>
      </w:r>
      <w:r w:rsidR="002B678E">
        <w:rPr>
          <w:rFonts w:ascii="Arial" w:hAnsi="Arial"/>
        </w:rPr>
        <w:t>10</w:t>
      </w:r>
      <w:r w:rsidRPr="00232752">
        <w:rPr>
          <w:rFonts w:ascii="Arial" w:hAnsi="Arial"/>
        </w:rPr>
        <w:t>]</w:t>
      </w:r>
      <w:r w:rsidRPr="00232752">
        <w:rPr>
          <w:rFonts w:ascii="Arial" w:hAnsi="Arial"/>
        </w:rPr>
        <w:tab/>
        <w:t xml:space="preserve">In the preservation application the Prosecutor General made the allegations that a scheme was hedged by certain individuals to unlawfully sell off state fishing quotas through a company known as Fishcor. The Prosecutor General alleged that, in </w:t>
      </w:r>
      <w:r w:rsidRPr="00232752">
        <w:rPr>
          <w:rFonts w:ascii="Arial" w:hAnsi="Arial"/>
          <w:lang w:val="en-US"/>
        </w:rPr>
        <w:t>order for the individuals and entities to unlawfully receive the payments for the selling of</w:t>
      </w:r>
      <w:r w:rsidR="002B678E">
        <w:rPr>
          <w:rFonts w:ascii="Arial" w:hAnsi="Arial"/>
          <w:lang w:val="en-US"/>
        </w:rPr>
        <w:t>f</w:t>
      </w:r>
      <w:r w:rsidR="007018A7">
        <w:rPr>
          <w:rFonts w:ascii="Arial" w:hAnsi="Arial"/>
          <w:lang w:val="en-US"/>
        </w:rPr>
        <w:t xml:space="preserve"> the state fishing quotas, Mr de Klerk</w:t>
      </w:r>
      <w:r w:rsidRPr="00232752">
        <w:rPr>
          <w:rFonts w:ascii="Arial" w:hAnsi="Arial"/>
          <w:lang w:val="en-US"/>
        </w:rPr>
        <w:t xml:space="preserve"> was approached to allow DHC </w:t>
      </w:r>
      <w:proofErr w:type="spellStart"/>
      <w:r w:rsidRPr="00232752">
        <w:rPr>
          <w:rFonts w:ascii="Arial" w:hAnsi="Arial"/>
          <w:lang w:val="en-US"/>
        </w:rPr>
        <w:t>Inc’s</w:t>
      </w:r>
      <w:proofErr w:type="spellEnd"/>
      <w:r w:rsidRPr="00232752">
        <w:rPr>
          <w:rFonts w:ascii="Arial" w:hAnsi="Arial"/>
          <w:lang w:val="en-US"/>
        </w:rPr>
        <w:t xml:space="preserve"> trust account to be used as conduit to receive and pay moneys from the sale of the fishing quotas. The Prosecutor General furthermore alleged that Mr de Klerk consented to allow DHC </w:t>
      </w:r>
      <w:proofErr w:type="spellStart"/>
      <w:r w:rsidRPr="00232752">
        <w:rPr>
          <w:rFonts w:ascii="Arial" w:hAnsi="Arial"/>
          <w:lang w:val="en-US"/>
        </w:rPr>
        <w:t>Inc’s</w:t>
      </w:r>
      <w:proofErr w:type="spellEnd"/>
      <w:r w:rsidRPr="00232752">
        <w:rPr>
          <w:rFonts w:ascii="Arial" w:hAnsi="Arial"/>
          <w:lang w:val="en-US"/>
        </w:rPr>
        <w:t xml:space="preserve"> trust account to receive moneys from</w:t>
      </w:r>
      <w:r w:rsidR="007018A7">
        <w:rPr>
          <w:rFonts w:ascii="Arial" w:hAnsi="Arial"/>
          <w:lang w:val="en-US"/>
        </w:rPr>
        <w:t>,</w:t>
      </w:r>
      <w:r w:rsidRPr="00232752">
        <w:rPr>
          <w:rFonts w:ascii="Arial" w:hAnsi="Arial"/>
          <w:lang w:val="en-US"/>
        </w:rPr>
        <w:t xml:space="preserve"> amongst other companies</w:t>
      </w:r>
      <w:r w:rsidR="007018A7">
        <w:rPr>
          <w:rFonts w:ascii="Arial" w:hAnsi="Arial"/>
          <w:lang w:val="en-US"/>
        </w:rPr>
        <w:t>,</w:t>
      </w:r>
      <w:r w:rsidRPr="00232752">
        <w:rPr>
          <w:rFonts w:ascii="Arial" w:hAnsi="Arial"/>
          <w:lang w:val="en-US"/>
        </w:rPr>
        <w:t xml:space="preserve"> Fishcor</w:t>
      </w:r>
      <w:r w:rsidR="004A5D35" w:rsidRPr="004A5D35">
        <w:rPr>
          <w:rFonts w:ascii="Arial" w:hAnsi="Arial"/>
          <w:lang w:val="en-US"/>
        </w:rPr>
        <w:t xml:space="preserve"> </w:t>
      </w:r>
      <w:r w:rsidR="004A5D35" w:rsidRPr="00232752">
        <w:rPr>
          <w:rFonts w:ascii="Arial" w:hAnsi="Arial"/>
          <w:lang w:val="en-US"/>
        </w:rPr>
        <w:t xml:space="preserve">and </w:t>
      </w:r>
      <w:r w:rsidR="004A5D35">
        <w:rPr>
          <w:rFonts w:ascii="Arial" w:hAnsi="Arial"/>
          <w:lang w:val="en-US"/>
        </w:rPr>
        <w:t xml:space="preserve">to pay the moneys so received to </w:t>
      </w:r>
      <w:proofErr w:type="gramStart"/>
      <w:r w:rsidR="004A5D35">
        <w:rPr>
          <w:rFonts w:ascii="Arial" w:hAnsi="Arial"/>
          <w:lang w:val="en-US"/>
        </w:rPr>
        <w:t>identified</w:t>
      </w:r>
      <w:proofErr w:type="gramEnd"/>
      <w:r w:rsidR="004A5D35">
        <w:rPr>
          <w:rFonts w:ascii="Arial" w:hAnsi="Arial"/>
          <w:lang w:val="en-US"/>
        </w:rPr>
        <w:t xml:space="preserve"> individuals, entities and companies.</w:t>
      </w:r>
      <w:r w:rsidRPr="00232752">
        <w:rPr>
          <w:rFonts w:ascii="Arial" w:hAnsi="Arial"/>
          <w:lang w:val="en-US"/>
        </w:rPr>
        <w:t xml:space="preserve"> </w:t>
      </w:r>
    </w:p>
    <w:p w:rsidR="00232752" w:rsidRPr="00232752" w:rsidRDefault="00232752" w:rsidP="008D659B">
      <w:pPr>
        <w:spacing w:line="360" w:lineRule="auto"/>
        <w:contextualSpacing/>
        <w:jc w:val="both"/>
        <w:rPr>
          <w:rFonts w:ascii="Arial" w:hAnsi="Arial"/>
          <w:lang w:val="en-US"/>
        </w:rPr>
      </w:pPr>
    </w:p>
    <w:p w:rsidR="00232752" w:rsidRPr="00232752" w:rsidRDefault="00232752" w:rsidP="008D659B">
      <w:pPr>
        <w:spacing w:line="360" w:lineRule="auto"/>
        <w:contextualSpacing/>
        <w:jc w:val="both"/>
        <w:rPr>
          <w:rFonts w:ascii="Arial" w:hAnsi="Arial"/>
          <w:lang w:val="en-US"/>
        </w:rPr>
      </w:pPr>
      <w:r w:rsidRPr="00232752">
        <w:rPr>
          <w:rFonts w:ascii="Arial" w:hAnsi="Arial"/>
          <w:lang w:val="en-US"/>
        </w:rPr>
        <w:t>[</w:t>
      </w:r>
      <w:r w:rsidR="002B678E">
        <w:rPr>
          <w:rFonts w:ascii="Arial" w:hAnsi="Arial"/>
          <w:lang w:val="en-US"/>
        </w:rPr>
        <w:t>11</w:t>
      </w:r>
      <w:r w:rsidRPr="00232752">
        <w:rPr>
          <w:rFonts w:ascii="Arial" w:hAnsi="Arial"/>
          <w:lang w:val="en-US"/>
        </w:rPr>
        <w:t>]</w:t>
      </w:r>
      <w:r w:rsidRPr="00232752">
        <w:rPr>
          <w:rFonts w:ascii="Arial" w:hAnsi="Arial"/>
          <w:lang w:val="en-US"/>
        </w:rPr>
        <w:tab/>
        <w:t>The Pr</w:t>
      </w:r>
      <w:r w:rsidR="004A5D35">
        <w:rPr>
          <w:rFonts w:ascii="Arial" w:hAnsi="Arial"/>
          <w:lang w:val="en-US"/>
        </w:rPr>
        <w:t>osecutor General further alleged</w:t>
      </w:r>
      <w:r w:rsidRPr="00232752">
        <w:rPr>
          <w:rFonts w:ascii="Arial" w:hAnsi="Arial"/>
          <w:lang w:val="en-US"/>
        </w:rPr>
        <w:t xml:space="preserve"> that Mr de Klerk was also instructed to create a special purposes vehicle, by means of a private company, of which he would be the nominee shareholder and director on behalf of two </w:t>
      </w:r>
      <w:r w:rsidR="004A5D35">
        <w:rPr>
          <w:rFonts w:ascii="Arial" w:hAnsi="Arial"/>
          <w:lang w:val="en-US"/>
        </w:rPr>
        <w:t xml:space="preserve">of the </w:t>
      </w:r>
      <w:r w:rsidRPr="00232752">
        <w:rPr>
          <w:rFonts w:ascii="Arial" w:hAnsi="Arial"/>
          <w:lang w:val="en-US"/>
        </w:rPr>
        <w:t xml:space="preserve">persons who are accused persons in the </w:t>
      </w:r>
      <w:r w:rsidR="007018A7">
        <w:rPr>
          <w:rFonts w:ascii="Arial" w:hAnsi="Arial"/>
          <w:lang w:val="en-US"/>
        </w:rPr>
        <w:t>‘</w:t>
      </w:r>
      <w:r w:rsidRPr="00232752">
        <w:rPr>
          <w:rFonts w:ascii="Arial" w:hAnsi="Arial"/>
          <w:lang w:val="en-US"/>
        </w:rPr>
        <w:t>Fishrot scandal</w:t>
      </w:r>
      <w:r w:rsidR="007018A7">
        <w:rPr>
          <w:rFonts w:ascii="Arial" w:hAnsi="Arial"/>
          <w:lang w:val="en-US"/>
        </w:rPr>
        <w:t>’</w:t>
      </w:r>
      <w:r w:rsidRPr="00232752">
        <w:rPr>
          <w:rFonts w:ascii="Arial" w:hAnsi="Arial"/>
          <w:lang w:val="en-US"/>
        </w:rPr>
        <w:t xml:space="preserve">. The company so created was </w:t>
      </w:r>
      <w:proofErr w:type="spellStart"/>
      <w:r w:rsidRPr="00232752">
        <w:rPr>
          <w:rFonts w:ascii="Arial" w:hAnsi="Arial"/>
          <w:lang w:val="en-US"/>
        </w:rPr>
        <w:t>Celax</w:t>
      </w:r>
      <w:proofErr w:type="spellEnd"/>
      <w:r w:rsidRPr="00232752">
        <w:rPr>
          <w:rFonts w:ascii="Arial" w:hAnsi="Arial"/>
          <w:lang w:val="en-US"/>
        </w:rPr>
        <w:t xml:space="preserve"> Inv</w:t>
      </w:r>
      <w:r w:rsidR="007018A7">
        <w:rPr>
          <w:rFonts w:ascii="Arial" w:hAnsi="Arial"/>
          <w:lang w:val="en-US"/>
        </w:rPr>
        <w:t>estments Number One (Pty) Ltd (</w:t>
      </w:r>
      <w:proofErr w:type="spellStart"/>
      <w:r w:rsidR="007018A7">
        <w:rPr>
          <w:rFonts w:ascii="Arial" w:hAnsi="Arial"/>
          <w:lang w:val="en-US"/>
        </w:rPr>
        <w:t>Celax</w:t>
      </w:r>
      <w:proofErr w:type="spellEnd"/>
      <w:r w:rsidR="007018A7">
        <w:rPr>
          <w:rFonts w:ascii="Arial" w:hAnsi="Arial"/>
          <w:lang w:val="en-US"/>
        </w:rPr>
        <w:t xml:space="preserve"> Investments</w:t>
      </w:r>
      <w:r w:rsidRPr="00232752">
        <w:rPr>
          <w:rFonts w:ascii="Arial" w:hAnsi="Arial"/>
          <w:lang w:val="en-US"/>
        </w:rPr>
        <w:t>).</w:t>
      </w:r>
    </w:p>
    <w:p w:rsidR="00232752" w:rsidRPr="00232752" w:rsidRDefault="00232752" w:rsidP="008D659B">
      <w:pPr>
        <w:spacing w:line="360" w:lineRule="auto"/>
        <w:contextualSpacing/>
        <w:jc w:val="both"/>
        <w:rPr>
          <w:rFonts w:ascii="Arial" w:hAnsi="Arial"/>
          <w:lang w:val="en-US"/>
        </w:rPr>
      </w:pPr>
    </w:p>
    <w:p w:rsidR="00232752" w:rsidRPr="00232752" w:rsidRDefault="00232752" w:rsidP="008D659B">
      <w:pPr>
        <w:spacing w:line="360" w:lineRule="auto"/>
        <w:contextualSpacing/>
        <w:jc w:val="both"/>
        <w:rPr>
          <w:rFonts w:ascii="Arial" w:hAnsi="Arial"/>
        </w:rPr>
      </w:pPr>
      <w:r w:rsidRPr="00232752">
        <w:rPr>
          <w:rFonts w:ascii="Arial" w:hAnsi="Arial"/>
          <w:lang w:val="en-US"/>
        </w:rPr>
        <w:t>[1</w:t>
      </w:r>
      <w:r w:rsidR="002B678E">
        <w:rPr>
          <w:rFonts w:ascii="Arial" w:hAnsi="Arial"/>
          <w:lang w:val="en-US"/>
        </w:rPr>
        <w:t>2</w:t>
      </w:r>
      <w:r w:rsidRPr="00232752">
        <w:rPr>
          <w:rFonts w:ascii="Arial" w:hAnsi="Arial"/>
          <w:lang w:val="en-US"/>
        </w:rPr>
        <w:t>]</w:t>
      </w:r>
      <w:r w:rsidRPr="00232752">
        <w:rPr>
          <w:rFonts w:ascii="Arial" w:hAnsi="Arial"/>
          <w:lang w:val="en-US"/>
        </w:rPr>
        <w:tab/>
        <w:t xml:space="preserve">The Prosecutor General furthermore </w:t>
      </w:r>
      <w:r w:rsidR="00001A69">
        <w:rPr>
          <w:rFonts w:ascii="Arial" w:hAnsi="Arial"/>
          <w:lang w:val="en-US"/>
        </w:rPr>
        <w:t>alleged</w:t>
      </w:r>
      <w:r w:rsidRPr="00232752">
        <w:rPr>
          <w:rFonts w:ascii="Arial" w:hAnsi="Arial"/>
          <w:lang w:val="en-US"/>
        </w:rPr>
        <w:t xml:space="preserve"> that Mr de Klerk made use of </w:t>
      </w:r>
      <w:proofErr w:type="spellStart"/>
      <w:r w:rsidRPr="00232752">
        <w:rPr>
          <w:rFonts w:ascii="Arial" w:hAnsi="Arial"/>
          <w:lang w:val="en-US"/>
        </w:rPr>
        <w:t>Celax</w:t>
      </w:r>
      <w:proofErr w:type="spellEnd"/>
      <w:r w:rsidRPr="00232752">
        <w:rPr>
          <w:rFonts w:ascii="Arial" w:hAnsi="Arial"/>
          <w:lang w:val="en-US"/>
        </w:rPr>
        <w:t xml:space="preserve"> Investments on the instructions of the two accused persons and acted as their intermediary to receive funds from different companies and entities</w:t>
      </w:r>
      <w:r w:rsidR="007018A7">
        <w:rPr>
          <w:rFonts w:ascii="Arial" w:hAnsi="Arial"/>
          <w:lang w:val="en-US"/>
        </w:rPr>
        <w:t>,</w:t>
      </w:r>
      <w:r w:rsidRPr="00232752">
        <w:rPr>
          <w:rFonts w:ascii="Arial" w:hAnsi="Arial"/>
          <w:lang w:val="en-US"/>
        </w:rPr>
        <w:t xml:space="preserve"> and to </w:t>
      </w:r>
      <w:r w:rsidR="00001A69">
        <w:rPr>
          <w:rFonts w:ascii="Arial" w:hAnsi="Arial"/>
          <w:lang w:val="en-US"/>
        </w:rPr>
        <w:t xml:space="preserve">further </w:t>
      </w:r>
      <w:r w:rsidRPr="00232752">
        <w:rPr>
          <w:rFonts w:ascii="Arial" w:hAnsi="Arial"/>
          <w:lang w:val="en-US"/>
        </w:rPr>
        <w:t xml:space="preserve">distribute the funds to persons involved in the fraudulent scheme or to their entities and other beneficiaries. It is the Prosecutor General’s allegations that by means of this </w:t>
      </w:r>
      <w:r w:rsidRPr="00232752">
        <w:rPr>
          <w:rFonts w:ascii="Arial" w:hAnsi="Arial"/>
          <w:i/>
          <w:lang w:val="en-US"/>
        </w:rPr>
        <w:t>modus operandi</w:t>
      </w:r>
      <w:r w:rsidR="00001A69">
        <w:rPr>
          <w:rFonts w:ascii="Arial" w:hAnsi="Arial"/>
          <w:lang w:val="en-US"/>
        </w:rPr>
        <w:t xml:space="preserve">, </w:t>
      </w:r>
      <w:r w:rsidRPr="002B678E">
        <w:rPr>
          <w:rFonts w:ascii="Arial" w:hAnsi="Arial"/>
          <w:lang w:val="en-US"/>
        </w:rPr>
        <w:t xml:space="preserve">an </w:t>
      </w:r>
      <w:r w:rsidR="002B678E" w:rsidRPr="002B678E">
        <w:rPr>
          <w:rFonts w:ascii="Arial" w:hAnsi="Arial"/>
          <w:lang w:val="en-US"/>
        </w:rPr>
        <w:t>amount</w:t>
      </w:r>
      <w:r w:rsidR="002B678E">
        <w:rPr>
          <w:rFonts w:ascii="Arial" w:hAnsi="Arial"/>
          <w:lang w:val="en-US"/>
        </w:rPr>
        <w:t xml:space="preserve"> of approximately </w:t>
      </w:r>
      <w:r w:rsidR="007018A7">
        <w:rPr>
          <w:rFonts w:ascii="Arial" w:hAnsi="Arial"/>
          <w:lang w:val="en-US"/>
        </w:rPr>
        <w:t>N$</w:t>
      </w:r>
      <w:r w:rsidRPr="00232752">
        <w:rPr>
          <w:rFonts w:ascii="Arial" w:hAnsi="Arial"/>
          <w:lang w:val="en-US"/>
        </w:rPr>
        <w:t xml:space="preserve">81 880 500 was paid to DHC </w:t>
      </w:r>
      <w:proofErr w:type="spellStart"/>
      <w:r w:rsidRPr="00232752">
        <w:rPr>
          <w:rFonts w:ascii="Arial" w:hAnsi="Arial"/>
          <w:lang w:val="en-US"/>
        </w:rPr>
        <w:t>Inc’s</w:t>
      </w:r>
      <w:proofErr w:type="spellEnd"/>
      <w:r w:rsidRPr="00232752">
        <w:rPr>
          <w:rFonts w:ascii="Arial" w:hAnsi="Arial"/>
          <w:lang w:val="en-US"/>
        </w:rPr>
        <w:t xml:space="preserve"> trust account and was from that trust account paid</w:t>
      </w:r>
      <w:r w:rsidR="004A5D35">
        <w:rPr>
          <w:rFonts w:ascii="Arial" w:hAnsi="Arial"/>
          <w:lang w:val="en-US"/>
        </w:rPr>
        <w:t xml:space="preserve"> directly </w:t>
      </w:r>
      <w:r w:rsidR="007018A7">
        <w:rPr>
          <w:rFonts w:ascii="Arial" w:hAnsi="Arial"/>
          <w:lang w:val="en-US"/>
        </w:rPr>
        <w:t>to</w:t>
      </w:r>
      <w:r w:rsidR="004A5D35">
        <w:rPr>
          <w:rFonts w:ascii="Arial" w:hAnsi="Arial"/>
          <w:lang w:val="en-US"/>
        </w:rPr>
        <w:t xml:space="preserve"> </w:t>
      </w:r>
      <w:proofErr w:type="spellStart"/>
      <w:r w:rsidR="004A5D35" w:rsidRPr="00232752">
        <w:rPr>
          <w:rFonts w:ascii="Arial" w:hAnsi="Arial"/>
          <w:lang w:val="en-US"/>
        </w:rPr>
        <w:t>Celax</w:t>
      </w:r>
      <w:proofErr w:type="spellEnd"/>
      <w:r w:rsidR="004A5D35" w:rsidRPr="00232752">
        <w:rPr>
          <w:rFonts w:ascii="Arial" w:hAnsi="Arial"/>
          <w:lang w:val="en-US"/>
        </w:rPr>
        <w:t xml:space="preserve"> Investments </w:t>
      </w:r>
      <w:r w:rsidRPr="00232752">
        <w:rPr>
          <w:rFonts w:ascii="Arial" w:hAnsi="Arial"/>
          <w:lang w:val="en-US"/>
        </w:rPr>
        <w:t xml:space="preserve">and distributed to </w:t>
      </w:r>
      <w:r w:rsidR="004A5D35">
        <w:rPr>
          <w:rFonts w:ascii="Arial" w:hAnsi="Arial"/>
          <w:lang w:val="en-US"/>
        </w:rPr>
        <w:t xml:space="preserve">the </w:t>
      </w:r>
      <w:r w:rsidRPr="00232752">
        <w:rPr>
          <w:rFonts w:ascii="Arial" w:hAnsi="Arial"/>
          <w:lang w:val="en-US"/>
        </w:rPr>
        <w:t xml:space="preserve">different individuals, companies and entities. </w:t>
      </w:r>
    </w:p>
    <w:p w:rsidR="00232752" w:rsidRPr="00232752" w:rsidRDefault="00232752" w:rsidP="008D659B">
      <w:pPr>
        <w:spacing w:line="360" w:lineRule="auto"/>
        <w:contextualSpacing/>
        <w:jc w:val="both"/>
        <w:rPr>
          <w:rFonts w:ascii="Arial" w:hAnsi="Arial"/>
          <w:lang w:val="en-US"/>
        </w:rPr>
      </w:pPr>
    </w:p>
    <w:p w:rsidR="00232752" w:rsidRDefault="00232752" w:rsidP="008D659B">
      <w:pPr>
        <w:spacing w:line="360" w:lineRule="auto"/>
        <w:contextualSpacing/>
        <w:jc w:val="both"/>
        <w:rPr>
          <w:rFonts w:ascii="Arial" w:hAnsi="Arial"/>
          <w:lang w:val="en-US"/>
        </w:rPr>
      </w:pPr>
      <w:r w:rsidRPr="00232752">
        <w:rPr>
          <w:rFonts w:ascii="Arial" w:hAnsi="Arial"/>
          <w:lang w:val="en-US"/>
        </w:rPr>
        <w:t>[1</w:t>
      </w:r>
      <w:r w:rsidR="000962FB">
        <w:rPr>
          <w:rFonts w:ascii="Arial" w:hAnsi="Arial"/>
          <w:lang w:val="en-US"/>
        </w:rPr>
        <w:t>3</w:t>
      </w:r>
      <w:r w:rsidRPr="00232752">
        <w:rPr>
          <w:rFonts w:ascii="Arial" w:hAnsi="Arial"/>
          <w:lang w:val="en-US"/>
        </w:rPr>
        <w:t>]</w:t>
      </w:r>
      <w:r w:rsidRPr="00232752">
        <w:rPr>
          <w:rFonts w:ascii="Arial" w:hAnsi="Arial"/>
          <w:lang w:val="en-US"/>
        </w:rPr>
        <w:tab/>
        <w:t>The Prosecutor General further alleged that the amounts of</w:t>
      </w:r>
      <w:r w:rsidR="007018A7">
        <w:rPr>
          <w:rFonts w:ascii="Arial" w:hAnsi="Arial"/>
        </w:rPr>
        <w:t xml:space="preserve"> N$</w:t>
      </w:r>
      <w:r w:rsidR="004F1795">
        <w:rPr>
          <w:rFonts w:ascii="Arial" w:hAnsi="Arial"/>
        </w:rPr>
        <w:t>4 681 518,</w:t>
      </w:r>
      <w:r w:rsidRPr="00232752">
        <w:rPr>
          <w:rFonts w:ascii="Arial" w:hAnsi="Arial"/>
        </w:rPr>
        <w:t xml:space="preserve">28 held at Bank Windhoek in the name DHC </w:t>
      </w:r>
      <w:proofErr w:type="spellStart"/>
      <w:r w:rsidRPr="00232752">
        <w:rPr>
          <w:rFonts w:ascii="Arial" w:hAnsi="Arial"/>
        </w:rPr>
        <w:t>Inc</w:t>
      </w:r>
      <w:proofErr w:type="spellEnd"/>
      <w:r w:rsidRPr="00232752">
        <w:rPr>
          <w:rFonts w:ascii="Arial" w:hAnsi="Arial"/>
        </w:rPr>
        <w:t xml:space="preserve"> Tru</w:t>
      </w:r>
      <w:r w:rsidR="007018A7">
        <w:rPr>
          <w:rFonts w:ascii="Arial" w:hAnsi="Arial"/>
        </w:rPr>
        <w:t xml:space="preserve">st Account and the </w:t>
      </w:r>
      <w:r w:rsidR="007018A7">
        <w:rPr>
          <w:rFonts w:ascii="Arial" w:hAnsi="Arial"/>
        </w:rPr>
        <w:lastRenderedPageBreak/>
        <w:t>amount of N$</w:t>
      </w:r>
      <w:r w:rsidR="004F1795">
        <w:rPr>
          <w:rFonts w:ascii="Arial" w:hAnsi="Arial"/>
        </w:rPr>
        <w:t>1 870 941,</w:t>
      </w:r>
      <w:r w:rsidRPr="00232752">
        <w:rPr>
          <w:rFonts w:ascii="Arial" w:hAnsi="Arial"/>
        </w:rPr>
        <w:t>54 in the Nedbank account number 1100</w:t>
      </w:r>
      <w:r w:rsidR="007018A7">
        <w:rPr>
          <w:rFonts w:ascii="Arial" w:hAnsi="Arial"/>
        </w:rPr>
        <w:t xml:space="preserve">0055095 held in the name of Mr </w:t>
      </w:r>
      <w:r w:rsidRPr="00232752">
        <w:rPr>
          <w:rFonts w:ascii="Arial" w:hAnsi="Arial"/>
        </w:rPr>
        <w:t>de Klerk</w:t>
      </w:r>
      <w:r w:rsidRPr="00232752">
        <w:rPr>
          <w:rFonts w:ascii="Arial" w:hAnsi="Arial"/>
          <w:lang w:val="en-US"/>
        </w:rPr>
        <w:t xml:space="preserve"> ar</w:t>
      </w:r>
      <w:r w:rsidR="007018A7">
        <w:rPr>
          <w:rFonts w:ascii="Arial" w:hAnsi="Arial"/>
          <w:lang w:val="en-US"/>
        </w:rPr>
        <w:t>e the balances left from the N$</w:t>
      </w:r>
      <w:r w:rsidRPr="00232752">
        <w:rPr>
          <w:rFonts w:ascii="Arial" w:hAnsi="Arial"/>
          <w:lang w:val="en-US"/>
        </w:rPr>
        <w:t>81 880 500. It is on that basis that she applied for the preservation of those amounts.</w:t>
      </w:r>
    </w:p>
    <w:p w:rsidR="00232752" w:rsidRDefault="00232752" w:rsidP="008D659B">
      <w:pPr>
        <w:spacing w:line="360" w:lineRule="auto"/>
        <w:contextualSpacing/>
        <w:jc w:val="both"/>
        <w:rPr>
          <w:rFonts w:ascii="Arial" w:hAnsi="Arial"/>
          <w:lang w:val="en-US"/>
        </w:rPr>
      </w:pPr>
    </w:p>
    <w:p w:rsidR="00232752" w:rsidRDefault="00232752" w:rsidP="008D659B">
      <w:pPr>
        <w:spacing w:line="360" w:lineRule="auto"/>
        <w:contextualSpacing/>
        <w:jc w:val="both"/>
        <w:rPr>
          <w:rFonts w:ascii="Arial" w:hAnsi="Arial"/>
        </w:rPr>
      </w:pPr>
      <w:r>
        <w:rPr>
          <w:rFonts w:ascii="Arial" w:hAnsi="Arial"/>
        </w:rPr>
        <w:t>[1</w:t>
      </w:r>
      <w:r w:rsidR="000962FB">
        <w:rPr>
          <w:rFonts w:ascii="Arial" w:hAnsi="Arial"/>
        </w:rPr>
        <w:t>4</w:t>
      </w:r>
      <w:r>
        <w:rPr>
          <w:rFonts w:ascii="Arial" w:hAnsi="Arial"/>
        </w:rPr>
        <w:t>]</w:t>
      </w:r>
      <w:r>
        <w:rPr>
          <w:rFonts w:ascii="Arial" w:hAnsi="Arial"/>
        </w:rPr>
        <w:tab/>
        <w:t xml:space="preserve">On 28 October </w:t>
      </w:r>
      <w:r w:rsidR="004F1795">
        <w:rPr>
          <w:rFonts w:ascii="Arial" w:hAnsi="Arial"/>
        </w:rPr>
        <w:t>2022</w:t>
      </w:r>
      <w:r w:rsidR="00F077C4">
        <w:rPr>
          <w:rFonts w:ascii="Arial" w:hAnsi="Arial"/>
        </w:rPr>
        <w:t>,</w:t>
      </w:r>
      <w:r>
        <w:rPr>
          <w:rFonts w:ascii="Arial" w:hAnsi="Arial"/>
        </w:rPr>
        <w:t xml:space="preserve"> this Court issued a </w:t>
      </w:r>
      <w:r w:rsidRPr="004F1795">
        <w:rPr>
          <w:rFonts w:ascii="Arial" w:hAnsi="Arial"/>
        </w:rPr>
        <w:t>rule nisi</w:t>
      </w:r>
      <w:r>
        <w:rPr>
          <w:rFonts w:ascii="Arial" w:hAnsi="Arial"/>
        </w:rPr>
        <w:t xml:space="preserve"> preserving the property. The Court furthermore ordered</w:t>
      </w:r>
      <w:r w:rsidR="00486584">
        <w:rPr>
          <w:rFonts w:ascii="Arial" w:hAnsi="Arial"/>
        </w:rPr>
        <w:t xml:space="preserve"> in </w:t>
      </w:r>
      <w:r w:rsidR="00001A69">
        <w:rPr>
          <w:rFonts w:ascii="Arial" w:hAnsi="Arial"/>
        </w:rPr>
        <w:t>para</w:t>
      </w:r>
      <w:r w:rsidR="00486584">
        <w:rPr>
          <w:rFonts w:ascii="Arial" w:hAnsi="Arial"/>
        </w:rPr>
        <w:t xml:space="preserve"> 4 of that order, that</w:t>
      </w:r>
      <w:r>
        <w:rPr>
          <w:rFonts w:ascii="Arial" w:hAnsi="Arial"/>
        </w:rPr>
        <w:t xml:space="preserve"> the Prosecutor General</w:t>
      </w:r>
      <w:r w:rsidR="00486584" w:rsidRPr="00486584">
        <w:t xml:space="preserve"> </w:t>
      </w:r>
      <w:r w:rsidR="00486584">
        <w:rPr>
          <w:rFonts w:ascii="Arial" w:hAnsi="Arial"/>
        </w:rPr>
        <w:t>effect</w:t>
      </w:r>
      <w:r w:rsidR="00486584" w:rsidRPr="00486584">
        <w:rPr>
          <w:rFonts w:ascii="Arial" w:hAnsi="Arial"/>
        </w:rPr>
        <w:t xml:space="preserve"> service of the preservation of property order and the application on Mr </w:t>
      </w:r>
      <w:r w:rsidR="004F1795">
        <w:rPr>
          <w:rFonts w:ascii="Arial" w:hAnsi="Arial"/>
        </w:rPr>
        <w:t>d</w:t>
      </w:r>
      <w:r w:rsidR="00486584" w:rsidRPr="00486584">
        <w:rPr>
          <w:rFonts w:ascii="Arial" w:hAnsi="Arial"/>
        </w:rPr>
        <w:t xml:space="preserve">e Klerk and the </w:t>
      </w:r>
      <w:r w:rsidR="00486584" w:rsidRPr="00486584">
        <w:rPr>
          <w:rFonts w:ascii="Arial" w:hAnsi="Arial"/>
          <w:i/>
        </w:rPr>
        <w:t xml:space="preserve">curator </w:t>
      </w:r>
      <w:proofErr w:type="spellStart"/>
      <w:r w:rsidR="00486584" w:rsidRPr="00486584">
        <w:rPr>
          <w:rFonts w:ascii="Arial" w:hAnsi="Arial"/>
          <w:i/>
        </w:rPr>
        <w:t>bonis</w:t>
      </w:r>
      <w:proofErr w:type="spellEnd"/>
      <w:r w:rsidR="00486584" w:rsidRPr="00486584">
        <w:rPr>
          <w:rFonts w:ascii="Arial" w:hAnsi="Arial"/>
        </w:rPr>
        <w:t xml:space="preserve"> of DHC </w:t>
      </w:r>
      <w:proofErr w:type="spellStart"/>
      <w:r w:rsidR="00486584" w:rsidRPr="00486584">
        <w:rPr>
          <w:rFonts w:ascii="Arial" w:hAnsi="Arial"/>
        </w:rPr>
        <w:t>Inc</w:t>
      </w:r>
      <w:proofErr w:type="spellEnd"/>
      <w:r w:rsidR="00001A69">
        <w:rPr>
          <w:rFonts w:ascii="Arial" w:hAnsi="Arial"/>
        </w:rPr>
        <w:t xml:space="preserve">, </w:t>
      </w:r>
      <w:r w:rsidR="00486584">
        <w:rPr>
          <w:rFonts w:ascii="Arial" w:hAnsi="Arial"/>
        </w:rPr>
        <w:t>and in</w:t>
      </w:r>
      <w:r w:rsidR="00486584" w:rsidRPr="00486584">
        <w:rPr>
          <w:rFonts w:ascii="Arial" w:hAnsi="Arial"/>
        </w:rPr>
        <w:t xml:space="preserve"> terms of </w:t>
      </w:r>
      <w:r w:rsidR="00001A69">
        <w:rPr>
          <w:rFonts w:ascii="Arial" w:hAnsi="Arial"/>
        </w:rPr>
        <w:t>s 52</w:t>
      </w:r>
      <w:r w:rsidR="004F1795">
        <w:rPr>
          <w:rFonts w:ascii="Arial" w:hAnsi="Arial"/>
        </w:rPr>
        <w:t>(1</w:t>
      </w:r>
      <w:proofErr w:type="gramStart"/>
      <w:r w:rsidR="004F1795">
        <w:rPr>
          <w:rFonts w:ascii="Arial" w:hAnsi="Arial"/>
        </w:rPr>
        <w:t>)</w:t>
      </w:r>
      <w:r w:rsidR="00486584" w:rsidRPr="00486584">
        <w:rPr>
          <w:rFonts w:ascii="Arial" w:hAnsi="Arial"/>
        </w:rPr>
        <w:t>(</w:t>
      </w:r>
      <w:proofErr w:type="gramEnd"/>
      <w:r w:rsidR="00486584" w:rsidRPr="00486584">
        <w:rPr>
          <w:rFonts w:ascii="Arial" w:hAnsi="Arial"/>
        </w:rPr>
        <w:t xml:space="preserve">b) </w:t>
      </w:r>
      <w:r w:rsidR="004F1795">
        <w:rPr>
          <w:rFonts w:ascii="Arial" w:hAnsi="Arial"/>
        </w:rPr>
        <w:t xml:space="preserve">of POCA </w:t>
      </w:r>
      <w:r w:rsidR="00486584" w:rsidRPr="00486584">
        <w:rPr>
          <w:rFonts w:ascii="Arial" w:hAnsi="Arial"/>
        </w:rPr>
        <w:t>cause notice of this order</w:t>
      </w:r>
      <w:r w:rsidR="004F1795">
        <w:rPr>
          <w:rFonts w:ascii="Arial" w:hAnsi="Arial"/>
        </w:rPr>
        <w:t xml:space="preserve"> (</w:t>
      </w:r>
      <w:r w:rsidR="00486584">
        <w:rPr>
          <w:rFonts w:ascii="Arial" w:hAnsi="Arial"/>
        </w:rPr>
        <w:t xml:space="preserve">that is the order of 28 October </w:t>
      </w:r>
      <w:r w:rsidR="004F1795">
        <w:rPr>
          <w:rFonts w:ascii="Arial" w:hAnsi="Arial"/>
        </w:rPr>
        <w:t>2023)</w:t>
      </w:r>
      <w:r w:rsidR="00001A69">
        <w:rPr>
          <w:rFonts w:ascii="Arial" w:hAnsi="Arial"/>
        </w:rPr>
        <w:t xml:space="preserve"> </w:t>
      </w:r>
      <w:r w:rsidR="00486584" w:rsidRPr="00486584">
        <w:rPr>
          <w:rFonts w:ascii="Arial" w:hAnsi="Arial"/>
        </w:rPr>
        <w:t xml:space="preserve">to be published in the </w:t>
      </w:r>
      <w:r w:rsidR="00486584" w:rsidRPr="000962FB">
        <w:rPr>
          <w:rFonts w:ascii="Arial" w:hAnsi="Arial"/>
          <w:i/>
        </w:rPr>
        <w:t>Government Gazette</w:t>
      </w:r>
      <w:r w:rsidR="00486584" w:rsidRPr="00486584">
        <w:rPr>
          <w:rFonts w:ascii="Arial" w:hAnsi="Arial"/>
        </w:rPr>
        <w:t xml:space="preserve"> as soon as practicable after the final preservation of property order is granted.</w:t>
      </w:r>
    </w:p>
    <w:p w:rsidR="00633928" w:rsidRDefault="00633928" w:rsidP="008D659B">
      <w:pPr>
        <w:spacing w:line="360" w:lineRule="auto"/>
        <w:contextualSpacing/>
        <w:jc w:val="both"/>
        <w:rPr>
          <w:rFonts w:ascii="Arial" w:hAnsi="Arial"/>
        </w:rPr>
      </w:pPr>
    </w:p>
    <w:p w:rsidR="005016AB" w:rsidRDefault="000962FB" w:rsidP="008D659B">
      <w:pPr>
        <w:spacing w:line="360" w:lineRule="auto"/>
        <w:contextualSpacing/>
        <w:jc w:val="both"/>
        <w:rPr>
          <w:rFonts w:ascii="Arial" w:hAnsi="Arial"/>
        </w:rPr>
      </w:pPr>
      <w:r>
        <w:rPr>
          <w:rFonts w:ascii="Arial" w:hAnsi="Arial"/>
        </w:rPr>
        <w:t>[15</w:t>
      </w:r>
      <w:r w:rsidR="00633928">
        <w:rPr>
          <w:rFonts w:ascii="Arial" w:hAnsi="Arial"/>
        </w:rPr>
        <w:t>]</w:t>
      </w:r>
      <w:r w:rsidR="00633928">
        <w:rPr>
          <w:rFonts w:ascii="Arial" w:hAnsi="Arial"/>
        </w:rPr>
        <w:tab/>
      </w:r>
      <w:r w:rsidR="00486584" w:rsidRPr="00486584">
        <w:rPr>
          <w:rFonts w:ascii="Arial" w:hAnsi="Arial"/>
        </w:rPr>
        <w:t>On 03 November 2022</w:t>
      </w:r>
      <w:r w:rsidR="004F1795">
        <w:rPr>
          <w:rFonts w:ascii="Arial" w:hAnsi="Arial"/>
        </w:rPr>
        <w:t>,</w:t>
      </w:r>
      <w:r w:rsidR="00486584" w:rsidRPr="00486584">
        <w:rPr>
          <w:rFonts w:ascii="Arial" w:hAnsi="Arial"/>
        </w:rPr>
        <w:t xml:space="preserve"> the </w:t>
      </w:r>
      <w:r w:rsidR="00486584">
        <w:rPr>
          <w:rFonts w:ascii="Arial" w:hAnsi="Arial"/>
        </w:rPr>
        <w:t xml:space="preserve">order issued on 28 October 2022 was varied. The effect of the </w:t>
      </w:r>
      <w:r>
        <w:rPr>
          <w:rFonts w:ascii="Arial" w:hAnsi="Arial"/>
        </w:rPr>
        <w:t xml:space="preserve">Varied Order </w:t>
      </w:r>
      <w:r w:rsidR="00486584">
        <w:rPr>
          <w:rFonts w:ascii="Arial" w:hAnsi="Arial"/>
        </w:rPr>
        <w:t>was to delete para</w:t>
      </w:r>
      <w:r w:rsidR="00001A69">
        <w:rPr>
          <w:rFonts w:ascii="Arial" w:hAnsi="Arial"/>
        </w:rPr>
        <w:t xml:space="preserve"> 4, </w:t>
      </w:r>
      <w:r w:rsidR="00486584">
        <w:rPr>
          <w:rFonts w:ascii="Arial" w:hAnsi="Arial"/>
        </w:rPr>
        <w:t>which directed the Prosecutor General to effect</w:t>
      </w:r>
      <w:r w:rsidR="00486584" w:rsidRPr="00486584">
        <w:rPr>
          <w:rFonts w:ascii="Arial" w:hAnsi="Arial"/>
        </w:rPr>
        <w:t xml:space="preserve"> service of the preservation of property order and the application on Mr </w:t>
      </w:r>
      <w:r w:rsidR="004F1795">
        <w:rPr>
          <w:rFonts w:ascii="Arial" w:hAnsi="Arial"/>
        </w:rPr>
        <w:t>d</w:t>
      </w:r>
      <w:r w:rsidR="00486584" w:rsidRPr="00486584">
        <w:rPr>
          <w:rFonts w:ascii="Arial" w:hAnsi="Arial"/>
        </w:rPr>
        <w:t xml:space="preserve">e Klerk and the </w:t>
      </w:r>
      <w:r w:rsidR="00486584" w:rsidRPr="00486584">
        <w:rPr>
          <w:rFonts w:ascii="Arial" w:hAnsi="Arial"/>
          <w:i/>
        </w:rPr>
        <w:t xml:space="preserve">curator </w:t>
      </w:r>
      <w:proofErr w:type="spellStart"/>
      <w:r w:rsidR="00486584" w:rsidRPr="00486584">
        <w:rPr>
          <w:rFonts w:ascii="Arial" w:hAnsi="Arial"/>
          <w:i/>
        </w:rPr>
        <w:t>bonis</w:t>
      </w:r>
      <w:proofErr w:type="spellEnd"/>
      <w:r w:rsidR="00486584" w:rsidRPr="00486584">
        <w:rPr>
          <w:rFonts w:ascii="Arial" w:hAnsi="Arial"/>
        </w:rPr>
        <w:t xml:space="preserve"> of DHC </w:t>
      </w:r>
      <w:proofErr w:type="spellStart"/>
      <w:r w:rsidR="00486584" w:rsidRPr="00486584">
        <w:rPr>
          <w:rFonts w:ascii="Arial" w:hAnsi="Arial"/>
        </w:rPr>
        <w:t>Inc</w:t>
      </w:r>
      <w:proofErr w:type="spellEnd"/>
      <w:r w:rsidR="004F1795">
        <w:rPr>
          <w:rFonts w:ascii="Arial" w:hAnsi="Arial"/>
        </w:rPr>
        <w:t xml:space="preserve">, </w:t>
      </w:r>
      <w:r w:rsidR="00486584">
        <w:rPr>
          <w:rFonts w:ascii="Arial" w:hAnsi="Arial"/>
        </w:rPr>
        <w:t>and to</w:t>
      </w:r>
      <w:r w:rsidR="004F1795">
        <w:rPr>
          <w:rFonts w:ascii="Arial" w:hAnsi="Arial"/>
        </w:rPr>
        <w:t>,</w:t>
      </w:r>
      <w:r w:rsidR="00486584">
        <w:rPr>
          <w:rFonts w:ascii="Arial" w:hAnsi="Arial"/>
        </w:rPr>
        <w:t xml:space="preserve"> in</w:t>
      </w:r>
      <w:r w:rsidR="00486584" w:rsidRPr="00486584">
        <w:rPr>
          <w:rFonts w:ascii="Arial" w:hAnsi="Arial"/>
        </w:rPr>
        <w:t xml:space="preserve"> terms of </w:t>
      </w:r>
      <w:r w:rsidR="00001A69">
        <w:rPr>
          <w:rFonts w:ascii="Arial" w:hAnsi="Arial"/>
        </w:rPr>
        <w:t>s 52</w:t>
      </w:r>
      <w:r w:rsidR="004F1795">
        <w:rPr>
          <w:rFonts w:ascii="Arial" w:hAnsi="Arial"/>
        </w:rPr>
        <w:t>(1</w:t>
      </w:r>
      <w:proofErr w:type="gramStart"/>
      <w:r w:rsidR="004F1795">
        <w:rPr>
          <w:rFonts w:ascii="Arial" w:hAnsi="Arial"/>
        </w:rPr>
        <w:t>)</w:t>
      </w:r>
      <w:r w:rsidR="00486584" w:rsidRPr="00486584">
        <w:rPr>
          <w:rFonts w:ascii="Arial" w:hAnsi="Arial"/>
        </w:rPr>
        <w:t>(</w:t>
      </w:r>
      <w:proofErr w:type="gramEnd"/>
      <w:r w:rsidR="00486584" w:rsidRPr="00486584">
        <w:rPr>
          <w:rFonts w:ascii="Arial" w:hAnsi="Arial"/>
        </w:rPr>
        <w:t xml:space="preserve">b) </w:t>
      </w:r>
      <w:r w:rsidR="004F1795">
        <w:rPr>
          <w:rFonts w:ascii="Arial" w:hAnsi="Arial"/>
        </w:rPr>
        <w:t xml:space="preserve">of POCA, </w:t>
      </w:r>
      <w:r w:rsidR="00486584" w:rsidRPr="00486584">
        <w:rPr>
          <w:rFonts w:ascii="Arial" w:hAnsi="Arial"/>
        </w:rPr>
        <w:t xml:space="preserve">cause notice of </w:t>
      </w:r>
      <w:r w:rsidR="00486584">
        <w:rPr>
          <w:rFonts w:ascii="Arial" w:hAnsi="Arial"/>
        </w:rPr>
        <w:t xml:space="preserve">the </w:t>
      </w:r>
      <w:r w:rsidR="00486584" w:rsidRPr="00486584">
        <w:rPr>
          <w:rFonts w:ascii="Arial" w:hAnsi="Arial"/>
        </w:rPr>
        <w:t>order</w:t>
      </w:r>
      <w:r w:rsidR="00486584">
        <w:rPr>
          <w:rFonts w:ascii="Arial" w:hAnsi="Arial"/>
        </w:rPr>
        <w:t xml:space="preserve"> </w:t>
      </w:r>
      <w:r w:rsidR="00486584" w:rsidRPr="00486584">
        <w:rPr>
          <w:rFonts w:ascii="Arial" w:hAnsi="Arial"/>
        </w:rPr>
        <w:t xml:space="preserve">to be published in the </w:t>
      </w:r>
      <w:r w:rsidR="00486584" w:rsidRPr="004F1795">
        <w:rPr>
          <w:rFonts w:ascii="Arial" w:hAnsi="Arial"/>
          <w:i/>
        </w:rPr>
        <w:t>Government Gazette</w:t>
      </w:r>
      <w:r w:rsidR="00486584">
        <w:rPr>
          <w:rFonts w:ascii="Arial" w:hAnsi="Arial"/>
        </w:rPr>
        <w:t xml:space="preserve">. In the </w:t>
      </w:r>
      <w:r>
        <w:rPr>
          <w:rFonts w:ascii="Arial" w:hAnsi="Arial"/>
        </w:rPr>
        <w:t xml:space="preserve">Varied Order </w:t>
      </w:r>
      <w:r w:rsidR="005016AB">
        <w:rPr>
          <w:rFonts w:ascii="Arial" w:hAnsi="Arial"/>
        </w:rPr>
        <w:t>paragraphs 8 and 9 read as follows:</w:t>
      </w:r>
    </w:p>
    <w:p w:rsidR="005016AB" w:rsidRDefault="005016AB" w:rsidP="008D659B">
      <w:pPr>
        <w:spacing w:line="360" w:lineRule="auto"/>
        <w:contextualSpacing/>
        <w:jc w:val="both"/>
        <w:rPr>
          <w:rFonts w:ascii="Arial" w:hAnsi="Arial"/>
        </w:rPr>
      </w:pPr>
    </w:p>
    <w:p w:rsidR="005016AB" w:rsidRDefault="005016AB" w:rsidP="008D659B">
      <w:pPr>
        <w:spacing w:line="360" w:lineRule="auto"/>
        <w:ind w:firstLine="709"/>
        <w:contextualSpacing/>
        <w:jc w:val="both"/>
        <w:rPr>
          <w:rFonts w:ascii="Arial" w:hAnsi="Arial"/>
          <w:sz w:val="22"/>
          <w:szCs w:val="22"/>
        </w:rPr>
      </w:pPr>
      <w:r w:rsidRPr="005016AB">
        <w:rPr>
          <w:rFonts w:ascii="Arial" w:hAnsi="Arial"/>
          <w:sz w:val="22"/>
          <w:szCs w:val="22"/>
        </w:rPr>
        <w:t>‘8.</w:t>
      </w:r>
      <w:r w:rsidRPr="005016AB">
        <w:rPr>
          <w:rFonts w:ascii="Arial" w:hAnsi="Arial"/>
          <w:sz w:val="22"/>
          <w:szCs w:val="22"/>
        </w:rPr>
        <w:tab/>
        <w:t xml:space="preserve"> Once the provisional preservation of property order is confirmed, prayers 9</w:t>
      </w:r>
      <w:r w:rsidR="004F1795">
        <w:rPr>
          <w:rFonts w:ascii="Arial" w:hAnsi="Arial"/>
          <w:sz w:val="22"/>
          <w:szCs w:val="22"/>
        </w:rPr>
        <w:t xml:space="preserve"> </w:t>
      </w:r>
      <w:r w:rsidRPr="005016AB">
        <w:rPr>
          <w:rFonts w:ascii="Arial" w:hAnsi="Arial"/>
          <w:sz w:val="22"/>
          <w:szCs w:val="22"/>
        </w:rPr>
        <w:t xml:space="preserve">-13 will come into effect. </w:t>
      </w:r>
    </w:p>
    <w:p w:rsidR="005016AB" w:rsidRDefault="005016AB" w:rsidP="008D659B">
      <w:pPr>
        <w:spacing w:line="360" w:lineRule="auto"/>
        <w:contextualSpacing/>
        <w:jc w:val="both"/>
        <w:rPr>
          <w:rFonts w:ascii="Arial" w:hAnsi="Arial"/>
          <w:sz w:val="22"/>
          <w:szCs w:val="22"/>
        </w:rPr>
      </w:pPr>
    </w:p>
    <w:p w:rsidR="005016AB" w:rsidRDefault="005016AB" w:rsidP="008D659B">
      <w:pPr>
        <w:spacing w:line="360" w:lineRule="auto"/>
        <w:contextualSpacing/>
        <w:jc w:val="both"/>
        <w:rPr>
          <w:rFonts w:ascii="Arial" w:hAnsi="Arial"/>
          <w:sz w:val="22"/>
          <w:szCs w:val="22"/>
        </w:rPr>
      </w:pPr>
      <w:r w:rsidRPr="005016AB">
        <w:rPr>
          <w:rFonts w:ascii="Arial" w:hAnsi="Arial"/>
          <w:sz w:val="22"/>
          <w:szCs w:val="22"/>
        </w:rPr>
        <w:t>9.</w:t>
      </w:r>
      <w:r>
        <w:rPr>
          <w:rFonts w:ascii="Arial" w:hAnsi="Arial"/>
          <w:sz w:val="22"/>
          <w:szCs w:val="22"/>
        </w:rPr>
        <w:tab/>
      </w:r>
      <w:r w:rsidRPr="005016AB">
        <w:rPr>
          <w:rFonts w:ascii="Arial" w:hAnsi="Arial"/>
          <w:sz w:val="22"/>
          <w:szCs w:val="22"/>
        </w:rPr>
        <w:t>The applicant</w:t>
      </w:r>
      <w:r w:rsidR="004F1795">
        <w:rPr>
          <w:rFonts w:ascii="Arial" w:hAnsi="Arial"/>
          <w:sz w:val="22"/>
          <w:szCs w:val="22"/>
        </w:rPr>
        <w:t xml:space="preserve"> (</w:t>
      </w:r>
      <w:r>
        <w:rPr>
          <w:rFonts w:ascii="Arial" w:hAnsi="Arial"/>
          <w:sz w:val="22"/>
          <w:szCs w:val="22"/>
        </w:rPr>
        <w:t>that is the Prosecutor G</w:t>
      </w:r>
      <w:r w:rsidR="004F1795">
        <w:rPr>
          <w:rFonts w:ascii="Arial" w:hAnsi="Arial"/>
          <w:sz w:val="22"/>
          <w:szCs w:val="22"/>
        </w:rPr>
        <w:t>eneral)</w:t>
      </w:r>
      <w:r w:rsidRPr="005016AB">
        <w:rPr>
          <w:rFonts w:ascii="Arial" w:hAnsi="Arial"/>
          <w:sz w:val="22"/>
          <w:szCs w:val="22"/>
        </w:rPr>
        <w:t xml:space="preserve"> must: </w:t>
      </w:r>
      <w:r w:rsidR="004F1795">
        <w:rPr>
          <w:rFonts w:ascii="Arial" w:hAnsi="Arial"/>
          <w:sz w:val="22"/>
          <w:szCs w:val="22"/>
        </w:rPr>
        <w:t xml:space="preserve"> </w:t>
      </w:r>
    </w:p>
    <w:p w:rsidR="004F1795" w:rsidRDefault="004F1795" w:rsidP="004F1795">
      <w:pPr>
        <w:spacing w:line="360" w:lineRule="auto"/>
        <w:contextualSpacing/>
        <w:jc w:val="both"/>
        <w:rPr>
          <w:rFonts w:ascii="Arial" w:hAnsi="Arial"/>
          <w:sz w:val="22"/>
          <w:szCs w:val="22"/>
        </w:rPr>
      </w:pPr>
    </w:p>
    <w:p w:rsidR="004F1795" w:rsidRDefault="005016AB" w:rsidP="004F1795">
      <w:pPr>
        <w:spacing w:line="360" w:lineRule="auto"/>
        <w:contextualSpacing/>
        <w:jc w:val="both"/>
        <w:rPr>
          <w:rFonts w:ascii="Arial" w:hAnsi="Arial"/>
          <w:sz w:val="22"/>
          <w:szCs w:val="22"/>
        </w:rPr>
      </w:pPr>
      <w:r w:rsidRPr="005016AB">
        <w:rPr>
          <w:rFonts w:ascii="Arial" w:hAnsi="Arial"/>
          <w:sz w:val="22"/>
          <w:szCs w:val="22"/>
        </w:rPr>
        <w:t>9.1.</w:t>
      </w:r>
      <w:r>
        <w:rPr>
          <w:rFonts w:ascii="Arial" w:hAnsi="Arial"/>
          <w:sz w:val="22"/>
          <w:szCs w:val="22"/>
        </w:rPr>
        <w:tab/>
      </w:r>
      <w:r w:rsidRPr="005016AB">
        <w:rPr>
          <w:rFonts w:ascii="Arial" w:hAnsi="Arial"/>
          <w:sz w:val="22"/>
          <w:szCs w:val="22"/>
        </w:rPr>
        <w:t xml:space="preserve">Effect service of the preservation of property order and the application on Mr Maren De Klerk, </w:t>
      </w:r>
      <w:proofErr w:type="spellStart"/>
      <w:r w:rsidRPr="005016AB">
        <w:rPr>
          <w:rFonts w:ascii="Arial" w:hAnsi="Arial"/>
          <w:sz w:val="22"/>
          <w:szCs w:val="22"/>
        </w:rPr>
        <w:t>Celax</w:t>
      </w:r>
      <w:proofErr w:type="spellEnd"/>
      <w:r w:rsidRPr="005016AB">
        <w:rPr>
          <w:rFonts w:ascii="Arial" w:hAnsi="Arial"/>
          <w:sz w:val="22"/>
          <w:szCs w:val="22"/>
        </w:rPr>
        <w:t xml:space="preserve"> Investments Number One (Pty) Ltd and the </w:t>
      </w:r>
      <w:r w:rsidRPr="005016AB">
        <w:rPr>
          <w:rFonts w:ascii="Arial" w:hAnsi="Arial"/>
          <w:i/>
          <w:sz w:val="22"/>
          <w:szCs w:val="22"/>
        </w:rPr>
        <w:t xml:space="preserve">curator </w:t>
      </w:r>
      <w:proofErr w:type="spellStart"/>
      <w:r w:rsidRPr="005016AB">
        <w:rPr>
          <w:rFonts w:ascii="Arial" w:hAnsi="Arial"/>
          <w:i/>
          <w:sz w:val="22"/>
          <w:szCs w:val="22"/>
        </w:rPr>
        <w:t>bonis</w:t>
      </w:r>
      <w:proofErr w:type="spellEnd"/>
      <w:r w:rsidRPr="005016AB">
        <w:rPr>
          <w:rFonts w:ascii="Arial" w:hAnsi="Arial"/>
          <w:sz w:val="22"/>
          <w:szCs w:val="22"/>
        </w:rPr>
        <w:t xml:space="preserve"> of DHC Inc. </w:t>
      </w:r>
    </w:p>
    <w:p w:rsidR="005016AB" w:rsidRPr="005016AB" w:rsidRDefault="005016AB" w:rsidP="004F1795">
      <w:pPr>
        <w:spacing w:line="360" w:lineRule="auto"/>
        <w:contextualSpacing/>
        <w:jc w:val="both"/>
        <w:rPr>
          <w:rFonts w:ascii="Arial" w:hAnsi="Arial"/>
          <w:sz w:val="22"/>
          <w:szCs w:val="22"/>
        </w:rPr>
      </w:pPr>
      <w:r w:rsidRPr="005016AB">
        <w:rPr>
          <w:rFonts w:ascii="Arial" w:hAnsi="Arial"/>
          <w:sz w:val="22"/>
          <w:szCs w:val="22"/>
        </w:rPr>
        <w:t>9.2.</w:t>
      </w:r>
      <w:r>
        <w:rPr>
          <w:rFonts w:ascii="Arial" w:hAnsi="Arial"/>
          <w:sz w:val="22"/>
          <w:szCs w:val="22"/>
        </w:rPr>
        <w:tab/>
      </w:r>
      <w:r w:rsidRPr="005016AB">
        <w:rPr>
          <w:rFonts w:ascii="Arial" w:hAnsi="Arial"/>
          <w:sz w:val="22"/>
          <w:szCs w:val="22"/>
        </w:rPr>
        <w:t>In terms of section 52 (1) (b) cause notice of this order, in the form set out in Annexure A and Annexure B hereto, to be published in the Government Gazette as soon as practicable after the final preservation of property order is granted.</w:t>
      </w:r>
      <w:r>
        <w:rPr>
          <w:rFonts w:ascii="Arial" w:hAnsi="Arial"/>
          <w:sz w:val="22"/>
          <w:szCs w:val="22"/>
        </w:rPr>
        <w:t>’</w:t>
      </w:r>
    </w:p>
    <w:p w:rsidR="005016AB" w:rsidRDefault="005016AB" w:rsidP="008D659B">
      <w:pPr>
        <w:spacing w:line="360" w:lineRule="auto"/>
        <w:contextualSpacing/>
        <w:jc w:val="both"/>
        <w:rPr>
          <w:rFonts w:ascii="Arial" w:hAnsi="Arial"/>
        </w:rPr>
      </w:pPr>
    </w:p>
    <w:p w:rsidR="00633928" w:rsidRPr="00232752" w:rsidRDefault="005016AB" w:rsidP="008D659B">
      <w:pPr>
        <w:spacing w:line="360" w:lineRule="auto"/>
        <w:contextualSpacing/>
        <w:jc w:val="both"/>
        <w:rPr>
          <w:rFonts w:ascii="Arial" w:hAnsi="Arial"/>
        </w:rPr>
      </w:pPr>
      <w:r>
        <w:rPr>
          <w:rFonts w:ascii="Arial" w:hAnsi="Arial"/>
        </w:rPr>
        <w:t>[1</w:t>
      </w:r>
      <w:r w:rsidR="000962FB">
        <w:rPr>
          <w:rFonts w:ascii="Arial" w:hAnsi="Arial"/>
        </w:rPr>
        <w:t>6</w:t>
      </w:r>
      <w:r>
        <w:rPr>
          <w:rFonts w:ascii="Arial" w:hAnsi="Arial"/>
        </w:rPr>
        <w:t>]</w:t>
      </w:r>
      <w:r>
        <w:rPr>
          <w:rFonts w:ascii="Arial" w:hAnsi="Arial"/>
        </w:rPr>
        <w:tab/>
      </w:r>
      <w:r w:rsidR="00633928">
        <w:rPr>
          <w:rFonts w:ascii="Arial" w:hAnsi="Arial"/>
        </w:rPr>
        <w:t>During November 202</w:t>
      </w:r>
      <w:r w:rsidR="000962FB">
        <w:rPr>
          <w:rFonts w:ascii="Arial" w:hAnsi="Arial"/>
        </w:rPr>
        <w:t>2</w:t>
      </w:r>
      <w:r w:rsidR="004F1795">
        <w:rPr>
          <w:rFonts w:ascii="Arial" w:hAnsi="Arial"/>
        </w:rPr>
        <w:t>,</w:t>
      </w:r>
      <w:r w:rsidR="00633928">
        <w:rPr>
          <w:rFonts w:ascii="Arial" w:hAnsi="Arial"/>
        </w:rPr>
        <w:t xml:space="preserve"> the Prosecutor General attempted </w:t>
      </w:r>
      <w:r w:rsidR="002C76D0">
        <w:rPr>
          <w:rFonts w:ascii="Arial" w:hAnsi="Arial"/>
        </w:rPr>
        <w:t xml:space="preserve">to serve the provisional preservation of property order and the </w:t>
      </w:r>
      <w:r w:rsidR="002C76D0" w:rsidRPr="004F1795">
        <w:rPr>
          <w:rFonts w:ascii="Arial" w:hAnsi="Arial"/>
        </w:rPr>
        <w:t xml:space="preserve">rule nisi </w:t>
      </w:r>
      <w:r w:rsidR="002C76D0">
        <w:rPr>
          <w:rFonts w:ascii="Arial" w:hAnsi="Arial"/>
        </w:rPr>
        <w:t>on Mr de Klerk. She was, however, un</w:t>
      </w:r>
      <w:r w:rsidR="004F1795">
        <w:rPr>
          <w:rFonts w:ascii="Arial" w:hAnsi="Arial"/>
        </w:rPr>
        <w:t xml:space="preserve">successful in her attempts. She, as a result, approached this </w:t>
      </w:r>
      <w:r w:rsidR="004F1795">
        <w:rPr>
          <w:rFonts w:ascii="Arial" w:hAnsi="Arial"/>
        </w:rPr>
        <w:lastRenderedPageBreak/>
        <w:t>C</w:t>
      </w:r>
      <w:r w:rsidR="002C76D0">
        <w:rPr>
          <w:rFonts w:ascii="Arial" w:hAnsi="Arial"/>
        </w:rPr>
        <w:t xml:space="preserve">ourt and applied for leave to serve </w:t>
      </w:r>
      <w:r w:rsidR="00D62987">
        <w:rPr>
          <w:rFonts w:ascii="Arial" w:hAnsi="Arial"/>
        </w:rPr>
        <w:t xml:space="preserve">the final preservation order on </w:t>
      </w:r>
      <w:r w:rsidR="002C76D0">
        <w:rPr>
          <w:rFonts w:ascii="Arial" w:hAnsi="Arial"/>
        </w:rPr>
        <w:t>Mr de Klerk by way of substituted service, which leave this Court granted. It is in line with the leave granted by this Court that Mr de Klerk was served with the final</w:t>
      </w:r>
      <w:r w:rsidR="00D62987">
        <w:rPr>
          <w:rFonts w:ascii="Arial" w:hAnsi="Arial"/>
        </w:rPr>
        <w:t xml:space="preserve"> preservation order on 15 December 2023 through email.</w:t>
      </w:r>
    </w:p>
    <w:p w:rsidR="00232752" w:rsidRDefault="00232752" w:rsidP="008D659B">
      <w:pPr>
        <w:spacing w:line="360" w:lineRule="auto"/>
        <w:contextualSpacing/>
        <w:jc w:val="both"/>
        <w:rPr>
          <w:rFonts w:ascii="Arial" w:hAnsi="Arial"/>
        </w:rPr>
      </w:pPr>
    </w:p>
    <w:p w:rsidR="00037EE7" w:rsidRDefault="00037EE7" w:rsidP="008D659B">
      <w:pPr>
        <w:spacing w:line="360" w:lineRule="auto"/>
        <w:contextualSpacing/>
        <w:jc w:val="both"/>
        <w:rPr>
          <w:rFonts w:ascii="Arial" w:hAnsi="Arial"/>
          <w:u w:val="single"/>
        </w:rPr>
      </w:pPr>
      <w:r w:rsidRPr="00037EE7">
        <w:rPr>
          <w:rFonts w:ascii="Arial" w:hAnsi="Arial"/>
          <w:u w:val="single"/>
        </w:rPr>
        <w:t xml:space="preserve">The </w:t>
      </w:r>
      <w:r w:rsidR="002B0468" w:rsidRPr="00037EE7">
        <w:rPr>
          <w:rFonts w:ascii="Arial" w:hAnsi="Arial"/>
          <w:u w:val="single"/>
        </w:rPr>
        <w:t>rescission</w:t>
      </w:r>
      <w:r w:rsidR="002B0468">
        <w:rPr>
          <w:rFonts w:ascii="Arial" w:hAnsi="Arial"/>
          <w:u w:val="single"/>
        </w:rPr>
        <w:t xml:space="preserve"> application</w:t>
      </w:r>
    </w:p>
    <w:p w:rsidR="00037EE7" w:rsidRPr="00037EE7" w:rsidRDefault="00037EE7" w:rsidP="008D659B">
      <w:pPr>
        <w:spacing w:line="360" w:lineRule="auto"/>
        <w:contextualSpacing/>
        <w:jc w:val="both"/>
        <w:rPr>
          <w:rFonts w:ascii="Arial" w:hAnsi="Arial"/>
          <w:u w:val="single"/>
        </w:rPr>
      </w:pPr>
    </w:p>
    <w:p w:rsidR="004B6C9D" w:rsidRDefault="00B83F1A" w:rsidP="008D659B">
      <w:pPr>
        <w:spacing w:line="360" w:lineRule="auto"/>
        <w:contextualSpacing/>
        <w:jc w:val="both"/>
        <w:rPr>
          <w:rFonts w:ascii="Arial" w:hAnsi="Arial"/>
        </w:rPr>
      </w:pPr>
      <w:r>
        <w:rPr>
          <w:rFonts w:ascii="Arial" w:hAnsi="Arial"/>
        </w:rPr>
        <w:t>[</w:t>
      </w:r>
      <w:r w:rsidR="005016AB">
        <w:rPr>
          <w:rFonts w:ascii="Arial" w:hAnsi="Arial"/>
        </w:rPr>
        <w:t>1</w:t>
      </w:r>
      <w:r w:rsidR="000962FB">
        <w:rPr>
          <w:rFonts w:ascii="Arial" w:hAnsi="Arial"/>
        </w:rPr>
        <w:t>7</w:t>
      </w:r>
      <w:r w:rsidR="005B7AA1">
        <w:rPr>
          <w:rFonts w:ascii="Arial" w:hAnsi="Arial"/>
        </w:rPr>
        <w:t>]</w:t>
      </w:r>
      <w:r w:rsidR="005B7AA1">
        <w:rPr>
          <w:rFonts w:ascii="Arial" w:hAnsi="Arial"/>
        </w:rPr>
        <w:tab/>
      </w:r>
      <w:r w:rsidR="00037EE7">
        <w:rPr>
          <w:rFonts w:ascii="Arial" w:hAnsi="Arial"/>
        </w:rPr>
        <w:t>I indicated earlier in this judg</w:t>
      </w:r>
      <w:r w:rsidR="004F1795">
        <w:rPr>
          <w:rFonts w:ascii="Arial" w:hAnsi="Arial"/>
        </w:rPr>
        <w:t xml:space="preserve">ment that on 29 March 2023, </w:t>
      </w:r>
      <w:r w:rsidR="00037EE7">
        <w:rPr>
          <w:rFonts w:ascii="Arial" w:hAnsi="Arial"/>
        </w:rPr>
        <w:t>de Klerk approached this Court and applied</w:t>
      </w:r>
      <w:r w:rsidR="005016AB">
        <w:rPr>
          <w:rFonts w:ascii="Arial" w:hAnsi="Arial"/>
        </w:rPr>
        <w:t>,</w:t>
      </w:r>
      <w:r w:rsidR="00037EE7">
        <w:rPr>
          <w:rFonts w:ascii="Arial" w:hAnsi="Arial"/>
        </w:rPr>
        <w:t xml:space="preserve"> under s 58 of POCA</w:t>
      </w:r>
      <w:r w:rsidR="004F1795">
        <w:rPr>
          <w:rFonts w:ascii="Arial" w:hAnsi="Arial"/>
        </w:rPr>
        <w:t xml:space="preserve"> for the rescission of the o</w:t>
      </w:r>
      <w:r w:rsidR="00037EE7">
        <w:rPr>
          <w:rFonts w:ascii="Arial" w:hAnsi="Arial"/>
        </w:rPr>
        <w:t xml:space="preserve">rder preserving the property. </w:t>
      </w:r>
      <w:r w:rsidR="007232B9">
        <w:rPr>
          <w:rFonts w:ascii="Arial" w:hAnsi="Arial"/>
        </w:rPr>
        <w:t>Mr de</w:t>
      </w:r>
      <w:r w:rsidR="00D62987">
        <w:rPr>
          <w:rFonts w:ascii="Arial" w:hAnsi="Arial"/>
        </w:rPr>
        <w:t xml:space="preserve"> Klerk grounds his application on his contention that </w:t>
      </w:r>
      <w:r w:rsidR="007232B9">
        <w:rPr>
          <w:rFonts w:ascii="Arial" w:hAnsi="Arial"/>
        </w:rPr>
        <w:t>this Court, on 28 October 202</w:t>
      </w:r>
      <w:r w:rsidR="005016AB">
        <w:rPr>
          <w:rFonts w:ascii="Arial" w:hAnsi="Arial"/>
        </w:rPr>
        <w:t>2</w:t>
      </w:r>
      <w:r w:rsidR="007232B9">
        <w:rPr>
          <w:rFonts w:ascii="Arial" w:hAnsi="Arial"/>
        </w:rPr>
        <w:t>, erred when it did not order that the provisional preservation order of 28 October 202</w:t>
      </w:r>
      <w:r w:rsidR="005016AB">
        <w:rPr>
          <w:rFonts w:ascii="Arial" w:hAnsi="Arial"/>
        </w:rPr>
        <w:t>2</w:t>
      </w:r>
      <w:r w:rsidR="007232B9">
        <w:rPr>
          <w:rFonts w:ascii="Arial" w:hAnsi="Arial"/>
        </w:rPr>
        <w:t xml:space="preserve"> be served on him. He further contends that the Court prematurely confirmed the </w:t>
      </w:r>
      <w:r w:rsidR="007232B9" w:rsidRPr="004F1795">
        <w:rPr>
          <w:rFonts w:ascii="Arial" w:hAnsi="Arial"/>
        </w:rPr>
        <w:t>rule nisi</w:t>
      </w:r>
      <w:r w:rsidR="007232B9">
        <w:rPr>
          <w:rFonts w:ascii="Arial" w:hAnsi="Arial"/>
        </w:rPr>
        <w:t xml:space="preserve"> on 02 December 2</w:t>
      </w:r>
      <w:r w:rsidR="004F1795">
        <w:rPr>
          <w:rFonts w:ascii="Arial" w:hAnsi="Arial"/>
        </w:rPr>
        <w:t>022, because by that date (</w:t>
      </w:r>
      <w:r w:rsidR="007232B9">
        <w:rPr>
          <w:rFonts w:ascii="Arial" w:hAnsi="Arial"/>
        </w:rPr>
        <w:t xml:space="preserve">02 December 2022) the provisional preservation order had not yet been served on him. He further attributes </w:t>
      </w:r>
      <w:r w:rsidR="004F1795">
        <w:rPr>
          <w:rFonts w:ascii="Arial" w:hAnsi="Arial"/>
        </w:rPr>
        <w:t>his failure to comply with s 52</w:t>
      </w:r>
      <w:r w:rsidR="007232B9">
        <w:rPr>
          <w:rFonts w:ascii="Arial" w:hAnsi="Arial"/>
        </w:rPr>
        <w:t>(3</w:t>
      </w:r>
      <w:r w:rsidR="00AE71DA">
        <w:rPr>
          <w:rFonts w:ascii="Arial" w:hAnsi="Arial"/>
        </w:rPr>
        <w:t>) of POCA on the fact that he was not served with the order of 28 October 2022</w:t>
      </w:r>
      <w:r w:rsidR="00CD7D90">
        <w:rPr>
          <w:rFonts w:ascii="Arial" w:hAnsi="Arial"/>
        </w:rPr>
        <w:t xml:space="preserve"> or the Varied O</w:t>
      </w:r>
      <w:r w:rsidR="005016AB">
        <w:rPr>
          <w:rFonts w:ascii="Arial" w:hAnsi="Arial"/>
        </w:rPr>
        <w:t>rder for that matter</w:t>
      </w:r>
      <w:r w:rsidR="00AE71DA">
        <w:rPr>
          <w:rFonts w:ascii="Arial" w:hAnsi="Arial"/>
        </w:rPr>
        <w:t>.</w:t>
      </w:r>
    </w:p>
    <w:p w:rsidR="002B0468" w:rsidRDefault="002B0468" w:rsidP="008D659B">
      <w:pPr>
        <w:spacing w:line="360" w:lineRule="auto"/>
        <w:contextualSpacing/>
        <w:jc w:val="both"/>
        <w:rPr>
          <w:rFonts w:ascii="Arial" w:hAnsi="Arial"/>
        </w:rPr>
      </w:pPr>
    </w:p>
    <w:p w:rsidR="004B6C9D" w:rsidRDefault="004B6C9D" w:rsidP="008D659B">
      <w:pPr>
        <w:spacing w:line="360" w:lineRule="auto"/>
        <w:contextualSpacing/>
        <w:jc w:val="both"/>
        <w:rPr>
          <w:rFonts w:ascii="Arial" w:hAnsi="Arial"/>
        </w:rPr>
      </w:pPr>
      <w:r>
        <w:rPr>
          <w:rFonts w:ascii="Arial" w:hAnsi="Arial"/>
        </w:rPr>
        <w:t>[1</w:t>
      </w:r>
      <w:r w:rsidR="000962FB">
        <w:rPr>
          <w:rFonts w:ascii="Arial" w:hAnsi="Arial"/>
        </w:rPr>
        <w:t>8</w:t>
      </w:r>
      <w:r>
        <w:rPr>
          <w:rFonts w:ascii="Arial" w:hAnsi="Arial"/>
        </w:rPr>
        <w:t>]</w:t>
      </w:r>
      <w:r>
        <w:rPr>
          <w:rFonts w:ascii="Arial" w:hAnsi="Arial"/>
        </w:rPr>
        <w:tab/>
        <w:t xml:space="preserve">The Prosecutor General opposed the </w:t>
      </w:r>
      <w:r w:rsidR="000B61FC">
        <w:rPr>
          <w:rFonts w:ascii="Arial" w:hAnsi="Arial"/>
        </w:rPr>
        <w:t xml:space="preserve">rescission application. She opposed it on </w:t>
      </w:r>
      <w:r w:rsidR="005016AB">
        <w:rPr>
          <w:rFonts w:ascii="Arial" w:hAnsi="Arial"/>
        </w:rPr>
        <w:t>basically three</w:t>
      </w:r>
      <w:r w:rsidR="000B61FC">
        <w:rPr>
          <w:rFonts w:ascii="Arial" w:hAnsi="Arial"/>
        </w:rPr>
        <w:t xml:space="preserve"> grounds. The first ground of her opposition is based on s 99 of POCA, which provides that a </w:t>
      </w:r>
      <w:r w:rsidR="005016AB">
        <w:rPr>
          <w:rFonts w:ascii="Arial" w:hAnsi="Arial"/>
        </w:rPr>
        <w:t xml:space="preserve">person who may be classified as a </w:t>
      </w:r>
      <w:r w:rsidR="000B61FC">
        <w:rPr>
          <w:rFonts w:ascii="Arial" w:hAnsi="Arial"/>
        </w:rPr>
        <w:t>fugitive from justice may not participate in any proceedings under chapt</w:t>
      </w:r>
      <w:r w:rsidR="00CD7D90">
        <w:rPr>
          <w:rFonts w:ascii="Arial" w:hAnsi="Arial"/>
        </w:rPr>
        <w:t>er 5 and</w:t>
      </w:r>
      <w:r w:rsidR="000B61FC">
        <w:rPr>
          <w:rFonts w:ascii="Arial" w:hAnsi="Arial"/>
        </w:rPr>
        <w:t xml:space="preserve"> 6 of POCA</w:t>
      </w:r>
      <w:r w:rsidR="002940BC">
        <w:rPr>
          <w:rFonts w:ascii="Arial" w:hAnsi="Arial"/>
        </w:rPr>
        <w:t xml:space="preserve"> for as long as he or she remains a fugitive from justice</w:t>
      </w:r>
      <w:r w:rsidR="000B61FC">
        <w:rPr>
          <w:rFonts w:ascii="Arial" w:hAnsi="Arial"/>
        </w:rPr>
        <w:t xml:space="preserve">. The second ground of her opposition is based </w:t>
      </w:r>
      <w:r w:rsidR="002940BC">
        <w:rPr>
          <w:rFonts w:ascii="Arial" w:hAnsi="Arial"/>
        </w:rPr>
        <w:t xml:space="preserve">on s 52(3), </w:t>
      </w:r>
      <w:r w:rsidR="00CD7D90">
        <w:rPr>
          <w:rFonts w:ascii="Arial" w:hAnsi="Arial"/>
        </w:rPr>
        <w:t xml:space="preserve">whereby </w:t>
      </w:r>
      <w:r w:rsidR="002940BC">
        <w:rPr>
          <w:rFonts w:ascii="Arial" w:hAnsi="Arial"/>
        </w:rPr>
        <w:t xml:space="preserve">she contends that Mr de Klerk </w:t>
      </w:r>
      <w:r w:rsidR="002940BC" w:rsidRPr="002940BC">
        <w:rPr>
          <w:rFonts w:ascii="Arial" w:hAnsi="Arial"/>
        </w:rPr>
        <w:t>failed to file a notice in terms</w:t>
      </w:r>
      <w:r w:rsidR="002940BC">
        <w:rPr>
          <w:rFonts w:ascii="Arial" w:hAnsi="Arial"/>
        </w:rPr>
        <w:t xml:space="preserve"> of s 52(3) as required by </w:t>
      </w:r>
      <w:r w:rsidR="00CD7D90">
        <w:rPr>
          <w:rFonts w:ascii="Arial" w:hAnsi="Arial"/>
        </w:rPr>
        <w:t xml:space="preserve">POCA and </w:t>
      </w:r>
      <w:r w:rsidR="002940BC">
        <w:rPr>
          <w:rFonts w:ascii="Arial" w:hAnsi="Arial"/>
        </w:rPr>
        <w:t xml:space="preserve">he </w:t>
      </w:r>
      <w:r w:rsidR="00CD7D90">
        <w:rPr>
          <w:rFonts w:ascii="Arial" w:hAnsi="Arial"/>
        </w:rPr>
        <w:t>therefore</w:t>
      </w:r>
      <w:r w:rsidR="002940BC" w:rsidRPr="002940BC">
        <w:rPr>
          <w:rFonts w:ascii="Arial" w:hAnsi="Arial"/>
        </w:rPr>
        <w:t xml:space="preserve"> </w:t>
      </w:r>
      <w:r w:rsidR="002940BC">
        <w:rPr>
          <w:rFonts w:ascii="Arial" w:hAnsi="Arial"/>
        </w:rPr>
        <w:t xml:space="preserve">lacks the necessary </w:t>
      </w:r>
      <w:r w:rsidR="002940BC" w:rsidRPr="00CD7D90">
        <w:rPr>
          <w:rFonts w:ascii="Arial" w:hAnsi="Arial"/>
        </w:rPr>
        <w:t>locus standi</w:t>
      </w:r>
      <w:r w:rsidR="002940BC" w:rsidRPr="002940BC">
        <w:rPr>
          <w:rFonts w:ascii="Arial" w:hAnsi="Arial"/>
        </w:rPr>
        <w:t xml:space="preserve"> </w:t>
      </w:r>
      <w:r w:rsidR="002940BC">
        <w:rPr>
          <w:rFonts w:ascii="Arial" w:hAnsi="Arial"/>
        </w:rPr>
        <w:t xml:space="preserve">to institute proceedings under s 58. The third </w:t>
      </w:r>
      <w:r w:rsidR="00CD7D90">
        <w:rPr>
          <w:rFonts w:ascii="Arial" w:hAnsi="Arial"/>
        </w:rPr>
        <w:t>ground</w:t>
      </w:r>
      <w:r w:rsidR="002940BC">
        <w:rPr>
          <w:rFonts w:ascii="Arial" w:hAnsi="Arial"/>
        </w:rPr>
        <w:t xml:space="preserve"> is </w:t>
      </w:r>
      <w:r w:rsidR="000B61FC">
        <w:rPr>
          <w:rFonts w:ascii="Arial" w:hAnsi="Arial"/>
        </w:rPr>
        <w:t>her contention that</w:t>
      </w:r>
      <w:r w:rsidR="00CD7D90">
        <w:rPr>
          <w:rFonts w:ascii="Arial" w:hAnsi="Arial"/>
        </w:rPr>
        <w:t>,</w:t>
      </w:r>
      <w:r w:rsidR="000B61FC">
        <w:rPr>
          <w:rFonts w:ascii="Arial" w:hAnsi="Arial"/>
        </w:rPr>
        <w:t xml:space="preserve"> under the </w:t>
      </w:r>
      <w:r w:rsidR="000962FB">
        <w:rPr>
          <w:rFonts w:ascii="Arial" w:hAnsi="Arial"/>
        </w:rPr>
        <w:t>V</w:t>
      </w:r>
      <w:r w:rsidR="002940BC">
        <w:rPr>
          <w:rFonts w:ascii="Arial" w:hAnsi="Arial"/>
        </w:rPr>
        <w:t xml:space="preserve">aried </w:t>
      </w:r>
      <w:r w:rsidR="000B61FC">
        <w:rPr>
          <w:rFonts w:ascii="Arial" w:hAnsi="Arial"/>
        </w:rPr>
        <w:t>Order of 28 October 202</w:t>
      </w:r>
      <w:r w:rsidR="002940BC">
        <w:rPr>
          <w:rFonts w:ascii="Arial" w:hAnsi="Arial"/>
        </w:rPr>
        <w:t>2</w:t>
      </w:r>
      <w:r w:rsidR="00CD7D90">
        <w:rPr>
          <w:rFonts w:ascii="Arial" w:hAnsi="Arial"/>
        </w:rPr>
        <w:t>,</w:t>
      </w:r>
      <w:r w:rsidR="002940BC">
        <w:rPr>
          <w:rFonts w:ascii="Arial" w:hAnsi="Arial"/>
        </w:rPr>
        <w:t xml:space="preserve"> </w:t>
      </w:r>
      <w:r w:rsidR="000B61FC">
        <w:rPr>
          <w:rFonts w:ascii="Arial" w:hAnsi="Arial"/>
        </w:rPr>
        <w:t xml:space="preserve">the obligation to serve the </w:t>
      </w:r>
      <w:r w:rsidR="002940BC">
        <w:rPr>
          <w:rFonts w:ascii="Arial" w:hAnsi="Arial"/>
        </w:rPr>
        <w:t>p</w:t>
      </w:r>
      <w:r w:rsidR="000B61FC">
        <w:rPr>
          <w:rFonts w:ascii="Arial" w:hAnsi="Arial"/>
        </w:rPr>
        <w:t xml:space="preserve">reservation order and the application for a preservation order only arises </w:t>
      </w:r>
      <w:r w:rsidR="002940BC">
        <w:rPr>
          <w:rFonts w:ascii="Arial" w:hAnsi="Arial"/>
        </w:rPr>
        <w:t>once</w:t>
      </w:r>
      <w:r w:rsidR="000B61FC">
        <w:rPr>
          <w:rFonts w:ascii="Arial" w:hAnsi="Arial"/>
        </w:rPr>
        <w:t xml:space="preserve"> the provisional preservation order and </w:t>
      </w:r>
      <w:r w:rsidR="000B61FC" w:rsidRPr="00CD7D90">
        <w:rPr>
          <w:rFonts w:ascii="Arial" w:hAnsi="Arial"/>
        </w:rPr>
        <w:t>the rule nisi are</w:t>
      </w:r>
      <w:r w:rsidR="000B61FC">
        <w:rPr>
          <w:rFonts w:ascii="Arial" w:hAnsi="Arial"/>
        </w:rPr>
        <w:t xml:space="preserve"> confirmed.</w:t>
      </w:r>
    </w:p>
    <w:p w:rsidR="000B61FC" w:rsidRDefault="000B61FC" w:rsidP="008D659B">
      <w:pPr>
        <w:spacing w:line="360" w:lineRule="auto"/>
        <w:contextualSpacing/>
        <w:jc w:val="both"/>
        <w:rPr>
          <w:rFonts w:ascii="Arial" w:hAnsi="Arial"/>
        </w:rPr>
      </w:pPr>
    </w:p>
    <w:p w:rsidR="002B0468" w:rsidRDefault="000B61FC" w:rsidP="008D659B">
      <w:pPr>
        <w:spacing w:line="360" w:lineRule="auto"/>
        <w:contextualSpacing/>
        <w:jc w:val="both"/>
        <w:rPr>
          <w:rFonts w:ascii="Arial" w:hAnsi="Arial"/>
        </w:rPr>
      </w:pPr>
      <w:r>
        <w:rPr>
          <w:rFonts w:ascii="Arial" w:hAnsi="Arial"/>
        </w:rPr>
        <w:t>[1</w:t>
      </w:r>
      <w:r w:rsidR="00A557DB">
        <w:rPr>
          <w:rFonts w:ascii="Arial" w:hAnsi="Arial"/>
        </w:rPr>
        <w:t>9</w:t>
      </w:r>
      <w:r>
        <w:rPr>
          <w:rFonts w:ascii="Arial" w:hAnsi="Arial"/>
        </w:rPr>
        <w:t>]</w:t>
      </w:r>
      <w:r>
        <w:rPr>
          <w:rFonts w:ascii="Arial" w:hAnsi="Arial"/>
        </w:rPr>
        <w:tab/>
        <w:t>If the Prosecutor General’s contention that Mr de Klerk is</w:t>
      </w:r>
      <w:r w:rsidR="00001A69">
        <w:rPr>
          <w:rFonts w:ascii="Arial" w:hAnsi="Arial"/>
        </w:rPr>
        <w:t>,</w:t>
      </w:r>
      <w:r>
        <w:rPr>
          <w:rFonts w:ascii="Arial" w:hAnsi="Arial"/>
        </w:rPr>
        <w:t xml:space="preserve"> in terms of s 99 of </w:t>
      </w:r>
      <w:r w:rsidR="00001A69">
        <w:rPr>
          <w:rFonts w:ascii="Arial" w:hAnsi="Arial"/>
        </w:rPr>
        <w:t xml:space="preserve">POCA, </w:t>
      </w:r>
      <w:r>
        <w:rPr>
          <w:rFonts w:ascii="Arial" w:hAnsi="Arial"/>
        </w:rPr>
        <w:t>barred from participating in th</w:t>
      </w:r>
      <w:r w:rsidR="00CD7D90">
        <w:rPr>
          <w:rFonts w:ascii="Arial" w:hAnsi="Arial"/>
        </w:rPr>
        <w:t>e proceedings under chapters 5 or</w:t>
      </w:r>
      <w:r>
        <w:rPr>
          <w:rFonts w:ascii="Arial" w:hAnsi="Arial"/>
        </w:rPr>
        <w:t xml:space="preserve"> 6 of </w:t>
      </w:r>
      <w:r w:rsidR="00CD7D90">
        <w:rPr>
          <w:rFonts w:ascii="Arial" w:hAnsi="Arial"/>
        </w:rPr>
        <w:t xml:space="preserve">POCA is good, </w:t>
      </w:r>
      <w:r>
        <w:rPr>
          <w:rFonts w:ascii="Arial" w:hAnsi="Arial"/>
        </w:rPr>
        <w:t xml:space="preserve">then that will be the end of Mr de Klerk’s application </w:t>
      </w:r>
      <w:r w:rsidR="00CD7D90">
        <w:rPr>
          <w:rFonts w:ascii="Arial" w:hAnsi="Arial"/>
        </w:rPr>
        <w:t xml:space="preserve">for </w:t>
      </w:r>
      <w:r w:rsidR="00CD7D90">
        <w:rPr>
          <w:rFonts w:ascii="Arial" w:hAnsi="Arial"/>
        </w:rPr>
        <w:lastRenderedPageBreak/>
        <w:t xml:space="preserve">rescission. For that reason, </w:t>
      </w:r>
      <w:r>
        <w:rPr>
          <w:rFonts w:ascii="Arial" w:hAnsi="Arial"/>
        </w:rPr>
        <w:t xml:space="preserve">I </w:t>
      </w:r>
      <w:r w:rsidR="003310CA">
        <w:rPr>
          <w:rFonts w:ascii="Arial" w:hAnsi="Arial"/>
        </w:rPr>
        <w:t xml:space="preserve">will proceed to consider </w:t>
      </w:r>
      <w:r w:rsidR="00A557DB">
        <w:rPr>
          <w:rFonts w:ascii="Arial" w:hAnsi="Arial"/>
        </w:rPr>
        <w:t>the question of whether or not Mr de Klerk is a person contemplated under s 99 of POCA</w:t>
      </w:r>
      <w:r w:rsidR="002B0468">
        <w:rPr>
          <w:rFonts w:ascii="Arial" w:hAnsi="Arial"/>
        </w:rPr>
        <w:t>.</w:t>
      </w:r>
    </w:p>
    <w:p w:rsidR="0078259F" w:rsidRDefault="0078259F" w:rsidP="008D659B">
      <w:pPr>
        <w:spacing w:line="360" w:lineRule="auto"/>
        <w:contextualSpacing/>
        <w:jc w:val="both"/>
        <w:rPr>
          <w:rFonts w:ascii="Arial" w:hAnsi="Arial"/>
        </w:rPr>
      </w:pPr>
    </w:p>
    <w:p w:rsidR="000B61FC" w:rsidRPr="002B0468" w:rsidRDefault="002B0468" w:rsidP="008D659B">
      <w:pPr>
        <w:spacing w:line="360" w:lineRule="auto"/>
        <w:contextualSpacing/>
        <w:jc w:val="both"/>
        <w:rPr>
          <w:rFonts w:ascii="Arial" w:hAnsi="Arial"/>
        </w:rPr>
      </w:pPr>
      <w:r>
        <w:rPr>
          <w:rFonts w:ascii="Arial" w:hAnsi="Arial"/>
          <w:u w:val="single"/>
        </w:rPr>
        <w:t xml:space="preserve">Section 99 of </w:t>
      </w:r>
      <w:r w:rsidR="00CD7D90">
        <w:rPr>
          <w:rFonts w:ascii="Arial" w:hAnsi="Arial"/>
          <w:u w:val="single"/>
        </w:rPr>
        <w:t xml:space="preserve">the </w:t>
      </w:r>
      <w:r>
        <w:rPr>
          <w:rFonts w:ascii="Arial" w:hAnsi="Arial"/>
          <w:u w:val="single"/>
        </w:rPr>
        <w:t>POCA</w:t>
      </w:r>
    </w:p>
    <w:p w:rsidR="00A557DB" w:rsidRPr="003310CA" w:rsidRDefault="00A557DB" w:rsidP="008D659B">
      <w:pPr>
        <w:spacing w:line="360" w:lineRule="auto"/>
        <w:contextualSpacing/>
        <w:jc w:val="both"/>
        <w:rPr>
          <w:rFonts w:ascii="Arial" w:hAnsi="Arial"/>
          <w:u w:val="single"/>
        </w:rPr>
      </w:pPr>
    </w:p>
    <w:p w:rsidR="00A557DB" w:rsidRDefault="00A557DB" w:rsidP="008D659B">
      <w:pPr>
        <w:spacing w:line="360" w:lineRule="auto"/>
        <w:contextualSpacing/>
        <w:jc w:val="both"/>
        <w:rPr>
          <w:rFonts w:ascii="Arial" w:hAnsi="Arial"/>
        </w:rPr>
      </w:pPr>
      <w:r>
        <w:rPr>
          <w:rFonts w:ascii="Arial" w:hAnsi="Arial"/>
        </w:rPr>
        <w:t>[20]</w:t>
      </w:r>
      <w:r>
        <w:rPr>
          <w:rFonts w:ascii="Arial" w:hAnsi="Arial"/>
        </w:rPr>
        <w:tab/>
      </w:r>
      <w:r w:rsidRPr="00A557DB">
        <w:rPr>
          <w:rFonts w:ascii="Arial" w:hAnsi="Arial"/>
        </w:rPr>
        <w:t xml:space="preserve">Section </w:t>
      </w:r>
      <w:r>
        <w:rPr>
          <w:rFonts w:ascii="Arial" w:hAnsi="Arial"/>
        </w:rPr>
        <w:t>99</w:t>
      </w:r>
      <w:r w:rsidRPr="00A557DB">
        <w:rPr>
          <w:rFonts w:ascii="Arial" w:hAnsi="Arial"/>
        </w:rPr>
        <w:t xml:space="preserve"> of the </w:t>
      </w:r>
      <w:r>
        <w:rPr>
          <w:rFonts w:ascii="Arial" w:hAnsi="Arial"/>
        </w:rPr>
        <w:t>POCA</w:t>
      </w:r>
      <w:r w:rsidRPr="00A557DB">
        <w:rPr>
          <w:rFonts w:ascii="Arial" w:hAnsi="Arial"/>
        </w:rPr>
        <w:t xml:space="preserve"> deals with </w:t>
      </w:r>
      <w:r>
        <w:rPr>
          <w:rFonts w:ascii="Arial" w:hAnsi="Arial"/>
        </w:rPr>
        <w:t xml:space="preserve">persons who are prohibited from participating in </w:t>
      </w:r>
      <w:r w:rsidR="008172D3">
        <w:rPr>
          <w:rFonts w:ascii="Arial" w:hAnsi="Arial"/>
        </w:rPr>
        <w:t xml:space="preserve">proceedings under </w:t>
      </w:r>
      <w:r>
        <w:rPr>
          <w:rFonts w:ascii="Arial" w:hAnsi="Arial"/>
        </w:rPr>
        <w:t xml:space="preserve">chapters 5 </w:t>
      </w:r>
      <w:r w:rsidR="008172D3">
        <w:rPr>
          <w:rFonts w:ascii="Arial" w:hAnsi="Arial"/>
        </w:rPr>
        <w:t>or</w:t>
      </w:r>
      <w:r>
        <w:rPr>
          <w:rFonts w:ascii="Arial" w:hAnsi="Arial"/>
        </w:rPr>
        <w:t xml:space="preserve"> 6 of </w:t>
      </w:r>
      <w:r w:rsidR="00CD7D90">
        <w:rPr>
          <w:rFonts w:ascii="Arial" w:hAnsi="Arial"/>
        </w:rPr>
        <w:t xml:space="preserve">the </w:t>
      </w:r>
      <w:r w:rsidR="008172D3">
        <w:rPr>
          <w:rFonts w:ascii="Arial" w:hAnsi="Arial"/>
        </w:rPr>
        <w:t>POCA.</w:t>
      </w:r>
      <w:r w:rsidRPr="00A557DB">
        <w:rPr>
          <w:rFonts w:ascii="Arial" w:hAnsi="Arial"/>
        </w:rPr>
        <w:t xml:space="preserve"> This section states</w:t>
      </w:r>
      <w:r w:rsidR="008172D3">
        <w:rPr>
          <w:rFonts w:ascii="Arial" w:hAnsi="Arial"/>
        </w:rPr>
        <w:t xml:space="preserve"> that:</w:t>
      </w:r>
    </w:p>
    <w:p w:rsidR="00CD7D90" w:rsidRPr="00A557DB" w:rsidRDefault="00CD7D90" w:rsidP="008D659B">
      <w:pPr>
        <w:spacing w:line="360" w:lineRule="auto"/>
        <w:contextualSpacing/>
        <w:jc w:val="both"/>
        <w:rPr>
          <w:rFonts w:ascii="Arial" w:hAnsi="Arial"/>
        </w:rPr>
      </w:pPr>
    </w:p>
    <w:p w:rsidR="003310CA" w:rsidRPr="00CD7D90" w:rsidRDefault="002940BC" w:rsidP="008D659B">
      <w:pPr>
        <w:spacing w:line="360" w:lineRule="auto"/>
        <w:ind w:firstLine="709"/>
        <w:contextualSpacing/>
        <w:jc w:val="both"/>
        <w:rPr>
          <w:rFonts w:ascii="Arial" w:hAnsi="Arial"/>
          <w:sz w:val="22"/>
          <w:szCs w:val="22"/>
        </w:rPr>
      </w:pPr>
      <w:r w:rsidRPr="00CD7D90">
        <w:rPr>
          <w:rFonts w:ascii="Arial" w:hAnsi="Arial"/>
          <w:sz w:val="22"/>
          <w:szCs w:val="22"/>
        </w:rPr>
        <w:t>’99</w:t>
      </w:r>
      <w:r w:rsidRPr="00CD7D90">
        <w:rPr>
          <w:rFonts w:ascii="Arial" w:hAnsi="Arial"/>
          <w:sz w:val="22"/>
          <w:szCs w:val="22"/>
        </w:rPr>
        <w:tab/>
      </w:r>
      <w:r w:rsidR="003310CA" w:rsidRPr="00CD7D90">
        <w:rPr>
          <w:rFonts w:ascii="Arial" w:hAnsi="Arial"/>
          <w:b/>
          <w:sz w:val="22"/>
          <w:szCs w:val="22"/>
        </w:rPr>
        <w:t>Fugitives precluded from participating in proceedings</w:t>
      </w:r>
      <w:r w:rsidR="003310CA" w:rsidRPr="00CD7D90">
        <w:rPr>
          <w:rFonts w:ascii="Arial" w:hAnsi="Arial"/>
          <w:sz w:val="22"/>
          <w:szCs w:val="22"/>
        </w:rPr>
        <w:t xml:space="preserve">. </w:t>
      </w:r>
    </w:p>
    <w:p w:rsidR="0078259F" w:rsidRPr="00CD7D90" w:rsidRDefault="0078259F" w:rsidP="008D659B">
      <w:pPr>
        <w:spacing w:line="360" w:lineRule="auto"/>
        <w:contextualSpacing/>
        <w:jc w:val="both"/>
        <w:rPr>
          <w:rFonts w:ascii="Arial" w:hAnsi="Arial"/>
          <w:sz w:val="22"/>
          <w:szCs w:val="22"/>
        </w:rPr>
      </w:pPr>
    </w:p>
    <w:p w:rsidR="003310CA" w:rsidRPr="00CD7D90" w:rsidRDefault="003310CA" w:rsidP="008D659B">
      <w:pPr>
        <w:spacing w:line="360" w:lineRule="auto"/>
        <w:contextualSpacing/>
        <w:jc w:val="both"/>
        <w:rPr>
          <w:rFonts w:ascii="Arial" w:hAnsi="Arial"/>
          <w:sz w:val="22"/>
          <w:szCs w:val="22"/>
        </w:rPr>
      </w:pPr>
      <w:r w:rsidRPr="00CD7D90">
        <w:rPr>
          <w:rFonts w:ascii="Arial" w:hAnsi="Arial"/>
          <w:sz w:val="22"/>
          <w:szCs w:val="22"/>
        </w:rPr>
        <w:t xml:space="preserve">A person – </w:t>
      </w:r>
    </w:p>
    <w:p w:rsidR="0078259F" w:rsidRPr="00CD7D90" w:rsidRDefault="0078259F" w:rsidP="008D659B">
      <w:pPr>
        <w:spacing w:line="360" w:lineRule="auto"/>
        <w:contextualSpacing/>
        <w:jc w:val="both"/>
        <w:rPr>
          <w:rFonts w:ascii="Arial" w:hAnsi="Arial"/>
          <w:sz w:val="22"/>
          <w:szCs w:val="22"/>
        </w:rPr>
      </w:pPr>
    </w:p>
    <w:p w:rsidR="003310CA" w:rsidRPr="00CD7D90" w:rsidRDefault="003310CA" w:rsidP="008D659B">
      <w:pPr>
        <w:spacing w:line="360" w:lineRule="auto"/>
        <w:contextualSpacing/>
        <w:jc w:val="both"/>
        <w:rPr>
          <w:rFonts w:ascii="Arial" w:hAnsi="Arial"/>
          <w:sz w:val="22"/>
          <w:szCs w:val="22"/>
        </w:rPr>
      </w:pPr>
      <w:r w:rsidRPr="00CD7D90">
        <w:rPr>
          <w:rFonts w:ascii="Arial" w:hAnsi="Arial"/>
          <w:sz w:val="22"/>
          <w:szCs w:val="22"/>
        </w:rPr>
        <w:t xml:space="preserve">(a) </w:t>
      </w:r>
      <w:r w:rsidRPr="00CD7D90">
        <w:rPr>
          <w:rFonts w:ascii="Arial" w:hAnsi="Arial"/>
          <w:sz w:val="22"/>
          <w:szCs w:val="22"/>
        </w:rPr>
        <w:tab/>
        <w:t xml:space="preserve">who has been summoned or warned to appear in court on a specific date or otherwise made aware that he or she has to appear in court on a specific date and failed to appear in court on that date; or </w:t>
      </w:r>
    </w:p>
    <w:p w:rsidR="003310CA" w:rsidRPr="00CD7D90" w:rsidRDefault="003310CA" w:rsidP="008D659B">
      <w:pPr>
        <w:spacing w:line="360" w:lineRule="auto"/>
        <w:contextualSpacing/>
        <w:jc w:val="both"/>
        <w:rPr>
          <w:rFonts w:ascii="Arial" w:hAnsi="Arial"/>
          <w:sz w:val="22"/>
          <w:szCs w:val="22"/>
        </w:rPr>
      </w:pPr>
    </w:p>
    <w:p w:rsidR="003310CA" w:rsidRPr="00CD7D90" w:rsidRDefault="003310CA" w:rsidP="008D659B">
      <w:pPr>
        <w:spacing w:line="360" w:lineRule="auto"/>
        <w:contextualSpacing/>
        <w:jc w:val="both"/>
        <w:rPr>
          <w:rFonts w:ascii="Arial" w:hAnsi="Arial"/>
          <w:sz w:val="22"/>
          <w:szCs w:val="22"/>
        </w:rPr>
      </w:pPr>
      <w:r w:rsidRPr="00CD7D90">
        <w:rPr>
          <w:rFonts w:ascii="Arial" w:hAnsi="Arial"/>
          <w:sz w:val="22"/>
          <w:szCs w:val="22"/>
        </w:rPr>
        <w:t>(b)</w:t>
      </w:r>
      <w:r w:rsidRPr="00CD7D90">
        <w:rPr>
          <w:rFonts w:ascii="Arial" w:hAnsi="Arial"/>
          <w:sz w:val="22"/>
          <w:szCs w:val="22"/>
        </w:rPr>
        <w:tab/>
        <w:t>in respect of whom a warrant for his or her arrest has been issued and whose attendance in court cannot be secured in spite of all reasonable steps having been taken to execute the warrant, must not participate in any proceedings under Chapter 5 or 6 for as long as he or she continues to fail to appear in court or that warrant for arrest remains in force and unexecuted.’</w:t>
      </w:r>
    </w:p>
    <w:p w:rsidR="003310CA" w:rsidRDefault="003310CA" w:rsidP="008D659B">
      <w:pPr>
        <w:spacing w:line="360" w:lineRule="auto"/>
        <w:contextualSpacing/>
        <w:jc w:val="both"/>
        <w:rPr>
          <w:rFonts w:ascii="Arial" w:hAnsi="Arial"/>
        </w:rPr>
      </w:pPr>
    </w:p>
    <w:p w:rsidR="008172D3" w:rsidRDefault="008172D3" w:rsidP="008D659B">
      <w:pPr>
        <w:spacing w:line="360" w:lineRule="auto"/>
        <w:contextualSpacing/>
        <w:jc w:val="both"/>
        <w:rPr>
          <w:rFonts w:ascii="Arial" w:hAnsi="Arial"/>
        </w:rPr>
      </w:pPr>
      <w:r>
        <w:rPr>
          <w:rFonts w:ascii="Arial" w:hAnsi="Arial"/>
        </w:rPr>
        <w:t>[21]</w:t>
      </w:r>
      <w:r>
        <w:rPr>
          <w:rFonts w:ascii="Arial" w:hAnsi="Arial"/>
        </w:rPr>
        <w:tab/>
      </w:r>
      <w:r w:rsidRPr="008172D3">
        <w:rPr>
          <w:rFonts w:ascii="Arial" w:hAnsi="Arial"/>
        </w:rPr>
        <w:t xml:space="preserve">Section </w:t>
      </w:r>
      <w:r>
        <w:rPr>
          <w:rFonts w:ascii="Arial" w:hAnsi="Arial"/>
        </w:rPr>
        <w:t xml:space="preserve">99 identifies two classes </w:t>
      </w:r>
      <w:r w:rsidRPr="008172D3">
        <w:rPr>
          <w:rFonts w:ascii="Arial" w:hAnsi="Arial"/>
        </w:rPr>
        <w:t>of</w:t>
      </w:r>
      <w:r>
        <w:rPr>
          <w:rFonts w:ascii="Arial" w:hAnsi="Arial"/>
        </w:rPr>
        <w:t xml:space="preserve"> persons</w:t>
      </w:r>
      <w:r w:rsidRPr="008172D3">
        <w:rPr>
          <w:rFonts w:ascii="Arial" w:hAnsi="Arial"/>
        </w:rPr>
        <w:t xml:space="preserve">. </w:t>
      </w:r>
      <w:r>
        <w:rPr>
          <w:rFonts w:ascii="Arial" w:hAnsi="Arial"/>
        </w:rPr>
        <w:t>The first class of persons identified by the section is</w:t>
      </w:r>
      <w:r w:rsidR="00001A69">
        <w:rPr>
          <w:rFonts w:ascii="Arial" w:hAnsi="Arial"/>
        </w:rPr>
        <w:t>,</w:t>
      </w:r>
      <w:r>
        <w:rPr>
          <w:rFonts w:ascii="Arial" w:hAnsi="Arial"/>
        </w:rPr>
        <w:t xml:space="preserve"> a person </w:t>
      </w:r>
      <w:r w:rsidRPr="008172D3">
        <w:rPr>
          <w:rFonts w:ascii="Arial" w:hAnsi="Arial"/>
        </w:rPr>
        <w:t>who has been s</w:t>
      </w:r>
      <w:r w:rsidR="00CD7D90">
        <w:rPr>
          <w:rFonts w:ascii="Arial" w:hAnsi="Arial"/>
        </w:rPr>
        <w:t>ummoned or warned to appear in C</w:t>
      </w:r>
      <w:r w:rsidRPr="008172D3">
        <w:rPr>
          <w:rFonts w:ascii="Arial" w:hAnsi="Arial"/>
        </w:rPr>
        <w:t>ourt on a specific date or otherwise made aware t</w:t>
      </w:r>
      <w:r w:rsidR="00CD7D90">
        <w:rPr>
          <w:rFonts w:ascii="Arial" w:hAnsi="Arial"/>
        </w:rPr>
        <w:t>hat he or she has to appear in C</w:t>
      </w:r>
      <w:r w:rsidRPr="008172D3">
        <w:rPr>
          <w:rFonts w:ascii="Arial" w:hAnsi="Arial"/>
        </w:rPr>
        <w:t>ourt on a specifi</w:t>
      </w:r>
      <w:r w:rsidR="00CD7D90">
        <w:rPr>
          <w:rFonts w:ascii="Arial" w:hAnsi="Arial"/>
        </w:rPr>
        <w:t>c date and failed to appear in C</w:t>
      </w:r>
      <w:r w:rsidRPr="008172D3">
        <w:rPr>
          <w:rFonts w:ascii="Arial" w:hAnsi="Arial"/>
        </w:rPr>
        <w:t>ourt on that date</w:t>
      </w:r>
      <w:r>
        <w:rPr>
          <w:rFonts w:ascii="Arial" w:hAnsi="Arial"/>
        </w:rPr>
        <w:t>. The second class of persons identified is</w:t>
      </w:r>
      <w:r w:rsidR="00001A69">
        <w:rPr>
          <w:rFonts w:ascii="Arial" w:hAnsi="Arial"/>
        </w:rPr>
        <w:t>,</w:t>
      </w:r>
      <w:r>
        <w:rPr>
          <w:rFonts w:ascii="Arial" w:hAnsi="Arial"/>
        </w:rPr>
        <w:t xml:space="preserve"> a person </w:t>
      </w:r>
      <w:r w:rsidRPr="008172D3">
        <w:rPr>
          <w:rFonts w:ascii="Arial" w:hAnsi="Arial"/>
        </w:rPr>
        <w:t xml:space="preserve">in respect of whom a warrant for his or her arrest has been </w:t>
      </w:r>
      <w:r w:rsidR="00CD7D90">
        <w:rPr>
          <w:rFonts w:ascii="Arial" w:hAnsi="Arial"/>
        </w:rPr>
        <w:t>issued and whose attendance in C</w:t>
      </w:r>
      <w:r w:rsidR="00001A69">
        <w:rPr>
          <w:rFonts w:ascii="Arial" w:hAnsi="Arial"/>
        </w:rPr>
        <w:t xml:space="preserve">ourt cannot be secured, </w:t>
      </w:r>
      <w:r w:rsidR="00CD7D90">
        <w:rPr>
          <w:rFonts w:ascii="Arial" w:hAnsi="Arial"/>
        </w:rPr>
        <w:t>despite</w:t>
      </w:r>
      <w:r w:rsidRPr="008172D3">
        <w:rPr>
          <w:rFonts w:ascii="Arial" w:hAnsi="Arial"/>
        </w:rPr>
        <w:t xml:space="preserve"> all reasonable steps having been taken to execute the warrant</w:t>
      </w:r>
      <w:r>
        <w:rPr>
          <w:rFonts w:ascii="Arial" w:hAnsi="Arial"/>
        </w:rPr>
        <w:t>. In addition to identifying the classes of persons</w:t>
      </w:r>
      <w:r w:rsidR="00001A69">
        <w:rPr>
          <w:rFonts w:ascii="Arial" w:hAnsi="Arial"/>
        </w:rPr>
        <w:t>,</w:t>
      </w:r>
      <w:r>
        <w:rPr>
          <w:rFonts w:ascii="Arial" w:hAnsi="Arial"/>
        </w:rPr>
        <w:t xml:space="preserve"> the section prohibits a person who falls in any of the two identified classes to participate in proceedings under chapter 5 or chapter 6 of POCA.</w:t>
      </w:r>
    </w:p>
    <w:p w:rsidR="00CD7D90" w:rsidRPr="0078259F" w:rsidRDefault="00CD7D90" w:rsidP="008D659B">
      <w:pPr>
        <w:spacing w:line="360" w:lineRule="auto"/>
        <w:contextualSpacing/>
        <w:jc w:val="both"/>
        <w:rPr>
          <w:rFonts w:ascii="Arial" w:hAnsi="Arial"/>
        </w:rPr>
      </w:pPr>
    </w:p>
    <w:p w:rsidR="00127C6A" w:rsidRDefault="003310CA" w:rsidP="008D659B">
      <w:pPr>
        <w:spacing w:line="360" w:lineRule="auto"/>
        <w:contextualSpacing/>
        <w:jc w:val="both"/>
        <w:rPr>
          <w:rFonts w:ascii="Arial" w:hAnsi="Arial"/>
        </w:rPr>
      </w:pPr>
      <w:r>
        <w:rPr>
          <w:rFonts w:ascii="Arial" w:hAnsi="Arial"/>
        </w:rPr>
        <w:lastRenderedPageBreak/>
        <w:t>[</w:t>
      </w:r>
      <w:r w:rsidR="00A557DB">
        <w:rPr>
          <w:rFonts w:ascii="Arial" w:hAnsi="Arial"/>
        </w:rPr>
        <w:t>2</w:t>
      </w:r>
      <w:r w:rsidR="00841EAA">
        <w:rPr>
          <w:rFonts w:ascii="Arial" w:hAnsi="Arial"/>
        </w:rPr>
        <w:t>2</w:t>
      </w:r>
      <w:r>
        <w:rPr>
          <w:rFonts w:ascii="Arial" w:hAnsi="Arial"/>
        </w:rPr>
        <w:t>]</w:t>
      </w:r>
      <w:r>
        <w:rPr>
          <w:rFonts w:ascii="Arial" w:hAnsi="Arial"/>
        </w:rPr>
        <w:tab/>
        <w:t>The</w:t>
      </w:r>
      <w:r w:rsidR="008172D3">
        <w:rPr>
          <w:rFonts w:ascii="Arial" w:hAnsi="Arial"/>
        </w:rPr>
        <w:t xml:space="preserve">re </w:t>
      </w:r>
      <w:r w:rsidR="00001A69">
        <w:rPr>
          <w:rFonts w:ascii="Arial" w:hAnsi="Arial"/>
        </w:rPr>
        <w:t xml:space="preserve">are </w:t>
      </w:r>
      <w:r w:rsidR="008172D3">
        <w:rPr>
          <w:rFonts w:ascii="Arial" w:hAnsi="Arial"/>
        </w:rPr>
        <w:t xml:space="preserve">thus two </w:t>
      </w:r>
      <w:r>
        <w:rPr>
          <w:rFonts w:ascii="Arial" w:hAnsi="Arial"/>
        </w:rPr>
        <w:t>question</w:t>
      </w:r>
      <w:r w:rsidR="008172D3">
        <w:rPr>
          <w:rFonts w:ascii="Arial" w:hAnsi="Arial"/>
        </w:rPr>
        <w:t>s that need</w:t>
      </w:r>
      <w:r>
        <w:rPr>
          <w:rFonts w:ascii="Arial" w:hAnsi="Arial"/>
        </w:rPr>
        <w:t xml:space="preserve"> to be answered </w:t>
      </w:r>
      <w:r w:rsidR="008172D3">
        <w:rPr>
          <w:rFonts w:ascii="Arial" w:hAnsi="Arial"/>
        </w:rPr>
        <w:t xml:space="preserve">in this matter. The first question </w:t>
      </w:r>
      <w:r>
        <w:rPr>
          <w:rFonts w:ascii="Arial" w:hAnsi="Arial"/>
        </w:rPr>
        <w:t xml:space="preserve">is whether Mr de Klerk is a person </w:t>
      </w:r>
      <w:r w:rsidR="00841EAA">
        <w:rPr>
          <w:rFonts w:ascii="Arial" w:hAnsi="Arial"/>
        </w:rPr>
        <w:t>falling under the classes identified in</w:t>
      </w:r>
      <w:r>
        <w:rPr>
          <w:rFonts w:ascii="Arial" w:hAnsi="Arial"/>
        </w:rPr>
        <w:t xml:space="preserve"> s 99</w:t>
      </w:r>
      <w:r w:rsidR="00127C6A">
        <w:rPr>
          <w:rFonts w:ascii="Arial" w:hAnsi="Arial"/>
        </w:rPr>
        <w:t>.</w:t>
      </w:r>
      <w:r>
        <w:rPr>
          <w:rFonts w:ascii="Arial" w:hAnsi="Arial"/>
        </w:rPr>
        <w:t xml:space="preserve"> </w:t>
      </w:r>
      <w:r w:rsidR="00841EAA">
        <w:rPr>
          <w:rFonts w:ascii="Arial" w:hAnsi="Arial"/>
        </w:rPr>
        <w:t xml:space="preserve">The second question being whether Mr de Klerk’s rescission application amounts to a proceeding under chapter 5 or 6 of </w:t>
      </w:r>
      <w:r w:rsidR="00CD7D90">
        <w:rPr>
          <w:rFonts w:ascii="Arial" w:hAnsi="Arial"/>
        </w:rPr>
        <w:t xml:space="preserve">the </w:t>
      </w:r>
      <w:r w:rsidR="00841EAA">
        <w:rPr>
          <w:rFonts w:ascii="Arial" w:hAnsi="Arial"/>
        </w:rPr>
        <w:t>POCA</w:t>
      </w:r>
      <w:r w:rsidR="00CD7D90">
        <w:rPr>
          <w:rFonts w:ascii="Arial" w:hAnsi="Arial"/>
        </w:rPr>
        <w:t>.</w:t>
      </w:r>
      <w:r w:rsidR="00841EAA">
        <w:rPr>
          <w:rFonts w:ascii="Arial" w:hAnsi="Arial"/>
        </w:rPr>
        <w:t xml:space="preserve"> </w:t>
      </w:r>
      <w:r>
        <w:rPr>
          <w:rFonts w:ascii="Arial" w:hAnsi="Arial"/>
        </w:rPr>
        <w:t>Counsel for the Prosecutor General argued that</w:t>
      </w:r>
      <w:r w:rsidR="00001A69">
        <w:rPr>
          <w:rFonts w:ascii="Arial" w:hAnsi="Arial"/>
        </w:rPr>
        <w:t>,</w:t>
      </w:r>
      <w:r>
        <w:rPr>
          <w:rFonts w:ascii="Arial" w:hAnsi="Arial"/>
        </w:rPr>
        <w:t xml:space="preserve"> Mr de Klerk is a person falling under the class of persons contemplated under s 99.</w:t>
      </w:r>
      <w:r w:rsidR="00CD7D90">
        <w:rPr>
          <w:rFonts w:ascii="Arial" w:hAnsi="Arial"/>
        </w:rPr>
        <w:t xml:space="preserve"> Counsel for Mr de Klerk, on the other hand, </w:t>
      </w:r>
      <w:r w:rsidR="002940BC">
        <w:rPr>
          <w:rFonts w:ascii="Arial" w:hAnsi="Arial"/>
        </w:rPr>
        <w:t>argued that Mr de Klerk</w:t>
      </w:r>
      <w:r w:rsidR="00841EAA">
        <w:rPr>
          <w:rFonts w:ascii="Arial" w:hAnsi="Arial"/>
        </w:rPr>
        <w:t xml:space="preserve"> is not a person falling under the classes identified in s 99</w:t>
      </w:r>
      <w:r w:rsidR="002940BC">
        <w:rPr>
          <w:rFonts w:ascii="Arial" w:hAnsi="Arial"/>
        </w:rPr>
        <w:t>.</w:t>
      </w:r>
      <w:r w:rsidR="00841EAA">
        <w:rPr>
          <w:rFonts w:ascii="Arial" w:hAnsi="Arial"/>
        </w:rPr>
        <w:t xml:space="preserve"> Counsel furthermore argued that Mr de Klerk’s application is not </w:t>
      </w:r>
      <w:r w:rsidR="000711AC">
        <w:rPr>
          <w:rFonts w:ascii="Arial" w:hAnsi="Arial"/>
        </w:rPr>
        <w:t xml:space="preserve">a </w:t>
      </w:r>
      <w:r w:rsidR="00841EAA">
        <w:rPr>
          <w:rFonts w:ascii="Arial" w:hAnsi="Arial"/>
        </w:rPr>
        <w:t xml:space="preserve">proceeding </w:t>
      </w:r>
      <w:r w:rsidR="000711AC">
        <w:rPr>
          <w:rFonts w:ascii="Arial" w:hAnsi="Arial"/>
        </w:rPr>
        <w:t xml:space="preserve">as </w:t>
      </w:r>
      <w:r w:rsidR="00841EAA">
        <w:rPr>
          <w:rFonts w:ascii="Arial" w:hAnsi="Arial"/>
        </w:rPr>
        <w:t>contemplated in s 99.</w:t>
      </w:r>
    </w:p>
    <w:p w:rsidR="005805D5" w:rsidRDefault="005805D5" w:rsidP="008D659B">
      <w:pPr>
        <w:spacing w:line="360" w:lineRule="auto"/>
        <w:contextualSpacing/>
        <w:jc w:val="both"/>
        <w:rPr>
          <w:rFonts w:ascii="Arial" w:hAnsi="Arial"/>
          <w:u w:val="single"/>
        </w:rPr>
      </w:pPr>
    </w:p>
    <w:p w:rsidR="00841EAA" w:rsidRPr="00841EAA" w:rsidRDefault="00841EAA" w:rsidP="008D659B">
      <w:pPr>
        <w:spacing w:line="360" w:lineRule="auto"/>
        <w:contextualSpacing/>
        <w:jc w:val="both"/>
        <w:rPr>
          <w:rFonts w:ascii="Arial" w:hAnsi="Arial"/>
          <w:u w:val="single"/>
        </w:rPr>
      </w:pPr>
      <w:r w:rsidRPr="00841EAA">
        <w:rPr>
          <w:rFonts w:ascii="Arial" w:hAnsi="Arial"/>
          <w:u w:val="single"/>
        </w:rPr>
        <w:t>Does Mr de Klerk fall under a class of persons identified under s 99?</w:t>
      </w:r>
    </w:p>
    <w:p w:rsidR="002E20B2" w:rsidRDefault="002E20B2" w:rsidP="008D659B">
      <w:pPr>
        <w:spacing w:line="360" w:lineRule="auto"/>
        <w:contextualSpacing/>
        <w:jc w:val="both"/>
        <w:rPr>
          <w:rFonts w:ascii="Arial" w:hAnsi="Arial"/>
        </w:rPr>
      </w:pPr>
    </w:p>
    <w:p w:rsidR="002E20B2" w:rsidRDefault="002E20B2" w:rsidP="008D659B">
      <w:pPr>
        <w:spacing w:line="360" w:lineRule="auto"/>
        <w:contextualSpacing/>
        <w:jc w:val="both"/>
        <w:rPr>
          <w:rFonts w:ascii="Arial" w:hAnsi="Arial"/>
          <w:lang w:val="en-US"/>
        </w:rPr>
      </w:pPr>
      <w:r>
        <w:rPr>
          <w:rFonts w:ascii="Arial" w:hAnsi="Arial"/>
        </w:rPr>
        <w:t>[23</w:t>
      </w:r>
      <w:r w:rsidRPr="006D1AED">
        <w:rPr>
          <w:rFonts w:ascii="Arial" w:hAnsi="Arial"/>
          <w:color w:val="000000" w:themeColor="text1"/>
        </w:rPr>
        <w:t>]</w:t>
      </w:r>
      <w:r>
        <w:rPr>
          <w:rFonts w:ascii="Arial" w:hAnsi="Arial"/>
          <w:color w:val="000000" w:themeColor="text1"/>
        </w:rPr>
        <w:t xml:space="preserve"> </w:t>
      </w:r>
      <w:r>
        <w:rPr>
          <w:rFonts w:ascii="Arial" w:hAnsi="Arial"/>
          <w:color w:val="000000" w:themeColor="text1"/>
        </w:rPr>
        <w:tab/>
        <w:t>In his founding affidavit</w:t>
      </w:r>
      <w:r w:rsidR="000711AC">
        <w:rPr>
          <w:rFonts w:ascii="Arial" w:hAnsi="Arial"/>
          <w:color w:val="000000" w:themeColor="text1"/>
        </w:rPr>
        <w:t>,</w:t>
      </w:r>
      <w:r>
        <w:rPr>
          <w:rFonts w:ascii="Arial" w:hAnsi="Arial"/>
          <w:color w:val="000000" w:themeColor="text1"/>
        </w:rPr>
        <w:t xml:space="preserve"> Mr de Klerk states that he </w:t>
      </w:r>
      <w:r w:rsidRPr="005805D5">
        <w:rPr>
          <w:rFonts w:ascii="Arial" w:hAnsi="Arial"/>
          <w:lang w:val="en-US"/>
        </w:rPr>
        <w:t xml:space="preserve">cannot disclose </w:t>
      </w:r>
      <w:r>
        <w:rPr>
          <w:rFonts w:ascii="Arial" w:hAnsi="Arial"/>
          <w:lang w:val="en-US"/>
        </w:rPr>
        <w:t>his</w:t>
      </w:r>
      <w:r w:rsidRPr="005805D5">
        <w:rPr>
          <w:rFonts w:ascii="Arial" w:hAnsi="Arial"/>
          <w:lang w:val="en-US"/>
        </w:rPr>
        <w:t xml:space="preserve"> current whereabouts because</w:t>
      </w:r>
      <w:r>
        <w:rPr>
          <w:rFonts w:ascii="Arial" w:hAnsi="Arial"/>
          <w:lang w:val="en-US"/>
        </w:rPr>
        <w:t xml:space="preserve"> his </w:t>
      </w:r>
      <w:r w:rsidRPr="005805D5">
        <w:rPr>
          <w:rFonts w:ascii="Arial" w:hAnsi="Arial"/>
          <w:lang w:val="en-US"/>
        </w:rPr>
        <w:t>life is in danger and h</w:t>
      </w:r>
      <w:r w:rsidR="000711AC">
        <w:rPr>
          <w:rFonts w:ascii="Arial" w:hAnsi="Arial"/>
          <w:lang w:val="en-US"/>
        </w:rPr>
        <w:t>as been in danger for the past three</w:t>
      </w:r>
      <w:r w:rsidRPr="005805D5">
        <w:rPr>
          <w:rFonts w:ascii="Arial" w:hAnsi="Arial"/>
          <w:lang w:val="en-US"/>
        </w:rPr>
        <w:t xml:space="preserve"> years</w:t>
      </w:r>
      <w:r w:rsidR="000711AC">
        <w:rPr>
          <w:rFonts w:ascii="Arial" w:hAnsi="Arial"/>
          <w:lang w:val="en-US"/>
        </w:rPr>
        <w:t xml:space="preserve">. He alleges that </w:t>
      </w:r>
      <w:r>
        <w:rPr>
          <w:rFonts w:ascii="Arial" w:hAnsi="Arial"/>
          <w:lang w:val="en-US"/>
        </w:rPr>
        <w:t xml:space="preserve">he has been under </w:t>
      </w:r>
      <w:r w:rsidRPr="005805D5">
        <w:rPr>
          <w:rFonts w:ascii="Arial" w:hAnsi="Arial"/>
          <w:lang w:val="en-US"/>
        </w:rPr>
        <w:t xml:space="preserve">immense pressure. For instance, during or about December 2019, the compliance officer of </w:t>
      </w:r>
      <w:r w:rsidRPr="00486584">
        <w:rPr>
          <w:rFonts w:ascii="Arial" w:hAnsi="Arial"/>
        </w:rPr>
        <w:t xml:space="preserve">DHC </w:t>
      </w:r>
      <w:proofErr w:type="spellStart"/>
      <w:r w:rsidRPr="00486584">
        <w:rPr>
          <w:rFonts w:ascii="Arial" w:hAnsi="Arial"/>
        </w:rPr>
        <w:t>Inc</w:t>
      </w:r>
      <w:proofErr w:type="spellEnd"/>
      <w:r>
        <w:rPr>
          <w:rFonts w:ascii="Arial" w:hAnsi="Arial"/>
        </w:rPr>
        <w:t xml:space="preserve">, Ms </w:t>
      </w:r>
      <w:proofErr w:type="spellStart"/>
      <w:r>
        <w:rPr>
          <w:rFonts w:ascii="Arial" w:hAnsi="Arial"/>
        </w:rPr>
        <w:t>Celest</w:t>
      </w:r>
      <w:proofErr w:type="spellEnd"/>
      <w:r>
        <w:rPr>
          <w:rFonts w:ascii="Arial" w:hAnsi="Arial"/>
        </w:rPr>
        <w:t xml:space="preserve"> Coetzee</w:t>
      </w:r>
      <w:r w:rsidR="000711AC">
        <w:rPr>
          <w:rFonts w:ascii="Arial" w:hAnsi="Arial"/>
          <w:lang w:val="en-US"/>
        </w:rPr>
        <w:t xml:space="preserve"> </w:t>
      </w:r>
      <w:r>
        <w:rPr>
          <w:rFonts w:ascii="Arial" w:hAnsi="Arial"/>
          <w:lang w:val="en-US"/>
        </w:rPr>
        <w:t>allegedly received</w:t>
      </w:r>
      <w:r w:rsidRPr="005805D5">
        <w:rPr>
          <w:rFonts w:ascii="Arial" w:hAnsi="Arial"/>
          <w:lang w:val="en-US"/>
        </w:rPr>
        <w:t xml:space="preserve"> an SMS from an unknown number, which stated: </w:t>
      </w:r>
      <w:r w:rsidR="000711AC">
        <w:rPr>
          <w:rFonts w:ascii="Arial" w:hAnsi="Arial"/>
          <w:lang w:val="en-US"/>
        </w:rPr>
        <w:t>“</w:t>
      </w:r>
      <w:r w:rsidRPr="000711AC">
        <w:rPr>
          <w:rFonts w:ascii="Arial" w:hAnsi="Arial"/>
          <w:lang w:val="en-US"/>
        </w:rPr>
        <w:t>Maren can run, but he cannot hide</w:t>
      </w:r>
      <w:r w:rsidR="000711AC">
        <w:rPr>
          <w:rFonts w:ascii="Arial" w:hAnsi="Arial"/>
          <w:lang w:val="en-US"/>
        </w:rPr>
        <w:t>”</w:t>
      </w:r>
      <w:r w:rsidRPr="000711AC">
        <w:rPr>
          <w:rFonts w:ascii="Arial" w:hAnsi="Arial"/>
          <w:lang w:val="en-US"/>
        </w:rPr>
        <w:t>.</w:t>
      </w:r>
      <w:r w:rsidRPr="005805D5">
        <w:rPr>
          <w:rFonts w:ascii="Arial" w:hAnsi="Arial"/>
          <w:i/>
          <w:lang w:val="en-US"/>
        </w:rPr>
        <w:t xml:space="preserve"> </w:t>
      </w:r>
      <w:r>
        <w:rPr>
          <w:rFonts w:ascii="Arial" w:hAnsi="Arial"/>
          <w:lang w:val="en-US"/>
        </w:rPr>
        <w:t>He interpret</w:t>
      </w:r>
      <w:r w:rsidR="00001A69">
        <w:rPr>
          <w:rFonts w:ascii="Arial" w:hAnsi="Arial"/>
          <w:lang w:val="en-US"/>
        </w:rPr>
        <w:t>ed</w:t>
      </w:r>
      <w:r>
        <w:rPr>
          <w:rFonts w:ascii="Arial" w:hAnsi="Arial"/>
          <w:lang w:val="en-US"/>
        </w:rPr>
        <w:t xml:space="preserve"> this SMS </w:t>
      </w:r>
      <w:r w:rsidRPr="005805D5">
        <w:rPr>
          <w:rFonts w:ascii="Arial" w:hAnsi="Arial"/>
          <w:lang w:val="en-US"/>
        </w:rPr>
        <w:t xml:space="preserve">to be a clear, present and direct threat to </w:t>
      </w:r>
      <w:r>
        <w:rPr>
          <w:rFonts w:ascii="Arial" w:hAnsi="Arial"/>
          <w:lang w:val="en-US"/>
        </w:rPr>
        <w:t xml:space="preserve">his </w:t>
      </w:r>
      <w:r w:rsidRPr="005805D5">
        <w:rPr>
          <w:rFonts w:ascii="Arial" w:hAnsi="Arial"/>
          <w:lang w:val="en-US"/>
        </w:rPr>
        <w:t>personal safety.</w:t>
      </w:r>
    </w:p>
    <w:p w:rsidR="002E20B2" w:rsidRPr="005805D5" w:rsidRDefault="002E20B2" w:rsidP="008D659B">
      <w:pPr>
        <w:spacing w:line="360" w:lineRule="auto"/>
        <w:contextualSpacing/>
        <w:jc w:val="both"/>
        <w:rPr>
          <w:rFonts w:ascii="Arial" w:hAnsi="Arial"/>
          <w:lang w:val="en-US"/>
        </w:rPr>
      </w:pPr>
    </w:p>
    <w:p w:rsidR="002E20B2" w:rsidRDefault="002E20B2" w:rsidP="008D659B">
      <w:pPr>
        <w:spacing w:line="360" w:lineRule="auto"/>
        <w:contextualSpacing/>
        <w:jc w:val="both"/>
        <w:rPr>
          <w:rFonts w:ascii="Arial" w:hAnsi="Arial"/>
          <w:lang w:val="en-US"/>
        </w:rPr>
      </w:pPr>
      <w:r>
        <w:rPr>
          <w:rFonts w:ascii="Arial" w:hAnsi="Arial"/>
          <w:lang w:val="en-US"/>
        </w:rPr>
        <w:t>[24]</w:t>
      </w:r>
      <w:r>
        <w:rPr>
          <w:rFonts w:ascii="Arial" w:hAnsi="Arial"/>
          <w:lang w:val="en-US"/>
        </w:rPr>
        <w:tab/>
        <w:t>He states that after his arrival in South Africa on 17 January 2020</w:t>
      </w:r>
      <w:r w:rsidR="000711AC">
        <w:rPr>
          <w:rFonts w:ascii="Arial" w:hAnsi="Arial"/>
          <w:lang w:val="en-US"/>
        </w:rPr>
        <w:t>,</w:t>
      </w:r>
      <w:r>
        <w:rPr>
          <w:rFonts w:ascii="Arial" w:hAnsi="Arial"/>
          <w:lang w:val="en-US"/>
        </w:rPr>
        <w:t xml:space="preserve"> he </w:t>
      </w:r>
      <w:r w:rsidRPr="005805D5">
        <w:rPr>
          <w:rFonts w:ascii="Arial" w:hAnsi="Arial"/>
          <w:lang w:val="en-US"/>
        </w:rPr>
        <w:t>became more stressed</w:t>
      </w:r>
      <w:r>
        <w:rPr>
          <w:rFonts w:ascii="Arial" w:hAnsi="Arial"/>
          <w:lang w:val="en-US"/>
        </w:rPr>
        <w:t xml:space="preserve"> about the whole situation and he s</w:t>
      </w:r>
      <w:r w:rsidRPr="005805D5">
        <w:rPr>
          <w:rFonts w:ascii="Arial" w:hAnsi="Arial"/>
          <w:lang w:val="en-US"/>
        </w:rPr>
        <w:t xml:space="preserve">tarted having heightened fears about </w:t>
      </w:r>
      <w:r>
        <w:rPr>
          <w:rFonts w:ascii="Arial" w:hAnsi="Arial"/>
          <w:lang w:val="en-US"/>
        </w:rPr>
        <w:t>his</w:t>
      </w:r>
      <w:r w:rsidRPr="005805D5">
        <w:rPr>
          <w:rFonts w:ascii="Arial" w:hAnsi="Arial"/>
          <w:lang w:val="en-US"/>
        </w:rPr>
        <w:t xml:space="preserve"> personal safety. Due to </w:t>
      </w:r>
      <w:r w:rsidR="000711AC">
        <w:rPr>
          <w:rFonts w:ascii="Arial" w:hAnsi="Arial"/>
          <w:lang w:val="en-US"/>
        </w:rPr>
        <w:t>his</w:t>
      </w:r>
      <w:r w:rsidRPr="005805D5">
        <w:rPr>
          <w:rFonts w:ascii="Arial" w:hAnsi="Arial"/>
          <w:lang w:val="en-US"/>
        </w:rPr>
        <w:t xml:space="preserve"> extreme anxiety and major depression</w:t>
      </w:r>
      <w:r w:rsidR="000711AC">
        <w:rPr>
          <w:rFonts w:ascii="Arial" w:hAnsi="Arial"/>
          <w:lang w:val="en-US"/>
        </w:rPr>
        <w:t>,</w:t>
      </w:r>
      <w:r>
        <w:rPr>
          <w:rFonts w:ascii="Arial" w:hAnsi="Arial"/>
          <w:lang w:val="en-US"/>
        </w:rPr>
        <w:t xml:space="preserve"> he was</w:t>
      </w:r>
      <w:r w:rsidR="000711AC">
        <w:rPr>
          <w:rFonts w:ascii="Arial" w:hAnsi="Arial"/>
          <w:lang w:val="en-US"/>
        </w:rPr>
        <w:t>,</w:t>
      </w:r>
      <w:r w:rsidRPr="005805D5">
        <w:rPr>
          <w:rFonts w:ascii="Arial" w:hAnsi="Arial"/>
          <w:lang w:val="en-US"/>
        </w:rPr>
        <w:t xml:space="preserve"> on 25 January 2020, adm</w:t>
      </w:r>
      <w:r w:rsidR="000711AC">
        <w:rPr>
          <w:rFonts w:ascii="Arial" w:hAnsi="Arial"/>
          <w:lang w:val="en-US"/>
        </w:rPr>
        <w:t xml:space="preserve">itted to the West Beach Clinic in </w:t>
      </w:r>
      <w:r w:rsidRPr="005805D5">
        <w:rPr>
          <w:rFonts w:ascii="Arial" w:hAnsi="Arial"/>
          <w:lang w:val="en-US"/>
        </w:rPr>
        <w:t>South Afric</w:t>
      </w:r>
      <w:r w:rsidR="000711AC">
        <w:rPr>
          <w:rFonts w:ascii="Arial" w:hAnsi="Arial"/>
          <w:lang w:val="en-US"/>
        </w:rPr>
        <w:t xml:space="preserve">a for observation and treatment. He </w:t>
      </w:r>
      <w:r w:rsidRPr="005805D5">
        <w:rPr>
          <w:rFonts w:ascii="Arial" w:hAnsi="Arial"/>
          <w:lang w:val="en-US"/>
        </w:rPr>
        <w:t xml:space="preserve">was </w:t>
      </w:r>
      <w:r w:rsidR="000711AC">
        <w:rPr>
          <w:rFonts w:ascii="Arial" w:hAnsi="Arial"/>
          <w:lang w:val="en-US"/>
        </w:rPr>
        <w:t xml:space="preserve">then </w:t>
      </w:r>
      <w:r w:rsidRPr="005805D5">
        <w:rPr>
          <w:rFonts w:ascii="Arial" w:hAnsi="Arial"/>
          <w:lang w:val="en-US"/>
        </w:rPr>
        <w:t xml:space="preserve">diagnosed with severe depression and also with severe post-traumatic stress disorder. </w:t>
      </w:r>
    </w:p>
    <w:p w:rsidR="002E20B2" w:rsidRDefault="002E20B2" w:rsidP="008D659B">
      <w:pPr>
        <w:spacing w:line="360" w:lineRule="auto"/>
        <w:contextualSpacing/>
        <w:jc w:val="both"/>
        <w:rPr>
          <w:rFonts w:ascii="Arial" w:hAnsi="Arial"/>
          <w:lang w:val="en-US"/>
        </w:rPr>
      </w:pPr>
    </w:p>
    <w:p w:rsidR="002E20B2" w:rsidRDefault="002E20B2" w:rsidP="008D659B">
      <w:pPr>
        <w:spacing w:line="360" w:lineRule="auto"/>
        <w:contextualSpacing/>
        <w:jc w:val="both"/>
        <w:rPr>
          <w:rFonts w:ascii="Arial" w:hAnsi="Arial"/>
          <w:lang w:val="en-US"/>
        </w:rPr>
      </w:pPr>
      <w:r>
        <w:rPr>
          <w:rFonts w:ascii="Arial" w:hAnsi="Arial"/>
          <w:lang w:val="en-US"/>
        </w:rPr>
        <w:t>[25]</w:t>
      </w:r>
      <w:r>
        <w:rPr>
          <w:rFonts w:ascii="Arial" w:hAnsi="Arial"/>
          <w:lang w:val="en-US"/>
        </w:rPr>
        <w:tab/>
        <w:t>He continue</w:t>
      </w:r>
      <w:r w:rsidR="00001A69">
        <w:rPr>
          <w:rFonts w:ascii="Arial" w:hAnsi="Arial"/>
          <w:lang w:val="en-US"/>
        </w:rPr>
        <w:t xml:space="preserve">d and stated </w:t>
      </w:r>
      <w:r>
        <w:rPr>
          <w:rFonts w:ascii="Arial" w:hAnsi="Arial"/>
          <w:lang w:val="en-US"/>
        </w:rPr>
        <w:t xml:space="preserve">that the </w:t>
      </w:r>
      <w:r w:rsidRPr="005805D5">
        <w:rPr>
          <w:rFonts w:ascii="Arial" w:hAnsi="Arial"/>
          <w:lang w:val="en-US"/>
        </w:rPr>
        <w:t xml:space="preserve">location of </w:t>
      </w:r>
      <w:r>
        <w:rPr>
          <w:rFonts w:ascii="Arial" w:hAnsi="Arial"/>
          <w:lang w:val="en-US"/>
        </w:rPr>
        <w:t>his</w:t>
      </w:r>
      <w:r w:rsidR="000711AC">
        <w:rPr>
          <w:rFonts w:ascii="Arial" w:hAnsi="Arial"/>
          <w:lang w:val="en-US"/>
        </w:rPr>
        <w:t xml:space="preserve"> hospitalization, at the time, </w:t>
      </w:r>
      <w:r w:rsidRPr="005805D5">
        <w:rPr>
          <w:rFonts w:ascii="Arial" w:hAnsi="Arial"/>
          <w:lang w:val="en-US"/>
        </w:rPr>
        <w:t xml:space="preserve">was not known beyond </w:t>
      </w:r>
      <w:r>
        <w:rPr>
          <w:rFonts w:ascii="Arial" w:hAnsi="Arial"/>
          <w:lang w:val="en-US"/>
        </w:rPr>
        <w:t xml:space="preserve">his </w:t>
      </w:r>
      <w:r w:rsidRPr="005805D5">
        <w:rPr>
          <w:rFonts w:ascii="Arial" w:hAnsi="Arial"/>
          <w:lang w:val="en-US"/>
        </w:rPr>
        <w:t>immediate family.</w:t>
      </w:r>
      <w:r>
        <w:rPr>
          <w:rFonts w:ascii="Arial" w:hAnsi="Arial"/>
          <w:lang w:val="en-US"/>
        </w:rPr>
        <w:t xml:space="preserve"> He </w:t>
      </w:r>
      <w:r w:rsidRPr="005805D5">
        <w:rPr>
          <w:rFonts w:ascii="Arial" w:hAnsi="Arial"/>
          <w:lang w:val="en-US"/>
        </w:rPr>
        <w:t>was due to be released from the Cli</w:t>
      </w:r>
      <w:r w:rsidRPr="000711AC">
        <w:rPr>
          <w:rFonts w:ascii="Arial" w:hAnsi="Arial"/>
          <w:lang w:val="en-US"/>
        </w:rPr>
        <w:t>nic on 14 February 2020 at approximatel</w:t>
      </w:r>
      <w:r w:rsidR="000711AC">
        <w:rPr>
          <w:rFonts w:ascii="Arial" w:hAnsi="Arial"/>
          <w:lang w:val="en-US"/>
        </w:rPr>
        <w:t xml:space="preserve">y 12h00. At approximately 10h00 </w:t>
      </w:r>
      <w:r w:rsidRPr="000711AC">
        <w:rPr>
          <w:rFonts w:ascii="Arial" w:hAnsi="Arial"/>
          <w:lang w:val="en-US"/>
        </w:rPr>
        <w:t xml:space="preserve">that day, a nursing sister at the </w:t>
      </w:r>
      <w:r w:rsidR="002B0468" w:rsidRPr="000711AC">
        <w:rPr>
          <w:rFonts w:ascii="Arial" w:hAnsi="Arial"/>
          <w:lang w:val="en-US"/>
        </w:rPr>
        <w:t xml:space="preserve">Clinic </w:t>
      </w:r>
      <w:r w:rsidR="000711AC">
        <w:rPr>
          <w:rFonts w:ascii="Arial" w:hAnsi="Arial"/>
          <w:lang w:val="en-US"/>
        </w:rPr>
        <w:t xml:space="preserve">informed him that </w:t>
      </w:r>
      <w:r w:rsidRPr="000711AC">
        <w:rPr>
          <w:rFonts w:ascii="Arial" w:hAnsi="Arial"/>
          <w:lang w:val="en-US"/>
        </w:rPr>
        <w:t>three males</w:t>
      </w:r>
      <w:r w:rsidR="000711AC">
        <w:rPr>
          <w:rFonts w:ascii="Arial" w:hAnsi="Arial"/>
          <w:lang w:val="en-US"/>
        </w:rPr>
        <w:t xml:space="preserve"> at the reception</w:t>
      </w:r>
      <w:r w:rsidRPr="000711AC">
        <w:rPr>
          <w:rFonts w:ascii="Arial" w:hAnsi="Arial"/>
          <w:lang w:val="en-US"/>
        </w:rPr>
        <w:t xml:space="preserve"> who presented themselves as </w:t>
      </w:r>
      <w:r w:rsidR="000711AC">
        <w:rPr>
          <w:rFonts w:ascii="Arial" w:hAnsi="Arial"/>
          <w:lang w:val="en-US"/>
        </w:rPr>
        <w:t xml:space="preserve">“police officials” were </w:t>
      </w:r>
      <w:r w:rsidRPr="000711AC">
        <w:rPr>
          <w:rFonts w:ascii="Arial" w:hAnsi="Arial"/>
          <w:lang w:val="en-US"/>
        </w:rPr>
        <w:t xml:space="preserve">looking for him. They indicated that they were from </w:t>
      </w:r>
      <w:r w:rsidR="000711AC">
        <w:rPr>
          <w:rFonts w:ascii="Arial" w:hAnsi="Arial"/>
          <w:lang w:val="en-US"/>
        </w:rPr>
        <w:t xml:space="preserve">“Crime Intelligence” </w:t>
      </w:r>
      <w:r w:rsidRPr="000711AC">
        <w:rPr>
          <w:rFonts w:ascii="Arial" w:hAnsi="Arial"/>
          <w:lang w:val="en-US"/>
        </w:rPr>
        <w:t xml:space="preserve">and that they were there to </w:t>
      </w:r>
      <w:r w:rsidR="000711AC">
        <w:rPr>
          <w:rFonts w:ascii="Arial" w:hAnsi="Arial"/>
          <w:lang w:val="en-US"/>
        </w:rPr>
        <w:t>“</w:t>
      </w:r>
      <w:r w:rsidRPr="000711AC">
        <w:rPr>
          <w:rFonts w:ascii="Arial" w:hAnsi="Arial"/>
          <w:lang w:val="en-US"/>
        </w:rPr>
        <w:t>take him</w:t>
      </w:r>
      <w:r w:rsidR="000711AC">
        <w:rPr>
          <w:rFonts w:ascii="Arial" w:hAnsi="Arial"/>
          <w:lang w:val="en-US"/>
        </w:rPr>
        <w:t>”</w:t>
      </w:r>
      <w:r w:rsidRPr="000711AC">
        <w:rPr>
          <w:rFonts w:ascii="Arial" w:hAnsi="Arial"/>
          <w:lang w:val="en-US"/>
        </w:rPr>
        <w:t xml:space="preserve">. They did not show their appointment certificates or identify </w:t>
      </w:r>
      <w:r w:rsidRPr="000711AC">
        <w:rPr>
          <w:rFonts w:ascii="Arial" w:hAnsi="Arial"/>
          <w:lang w:val="en-US"/>
        </w:rPr>
        <w:lastRenderedPageBreak/>
        <w:t>themselves in person to the staff at the Clinic. No documentation, such as a Warrant of Arrest</w:t>
      </w:r>
      <w:r w:rsidR="000711AC">
        <w:rPr>
          <w:rFonts w:ascii="Arial" w:hAnsi="Arial"/>
          <w:lang w:val="en-US"/>
        </w:rPr>
        <w:t>,</w:t>
      </w:r>
      <w:r w:rsidRPr="000711AC">
        <w:rPr>
          <w:rFonts w:ascii="Arial" w:hAnsi="Arial"/>
          <w:lang w:val="en-US"/>
        </w:rPr>
        <w:t xml:space="preserve"> was produced to the staff at the Clinic. The Clinic staff</w:t>
      </w:r>
      <w:r w:rsidR="000711AC">
        <w:rPr>
          <w:rFonts w:ascii="Arial" w:hAnsi="Arial"/>
          <w:lang w:val="en-US"/>
        </w:rPr>
        <w:t xml:space="preserve"> accordingly, </w:t>
      </w:r>
      <w:r w:rsidRPr="000711AC">
        <w:rPr>
          <w:rFonts w:ascii="Arial" w:hAnsi="Arial"/>
          <w:lang w:val="en-US"/>
        </w:rPr>
        <w:t xml:space="preserve">refused to release him </w:t>
      </w:r>
      <w:r w:rsidR="000711AC">
        <w:rPr>
          <w:rFonts w:ascii="Arial" w:hAnsi="Arial"/>
          <w:lang w:val="en-US"/>
        </w:rPr>
        <w:t xml:space="preserve">and </w:t>
      </w:r>
      <w:r w:rsidRPr="000711AC">
        <w:rPr>
          <w:rFonts w:ascii="Arial" w:hAnsi="Arial"/>
          <w:lang w:val="en-US"/>
        </w:rPr>
        <w:t xml:space="preserve">the </w:t>
      </w:r>
      <w:r w:rsidR="000711AC">
        <w:rPr>
          <w:rFonts w:ascii="Arial" w:hAnsi="Arial"/>
          <w:lang w:val="en-US"/>
        </w:rPr>
        <w:t>Psychiatrist</w:t>
      </w:r>
      <w:r w:rsidRPr="000711AC">
        <w:rPr>
          <w:rFonts w:ascii="Arial" w:hAnsi="Arial"/>
          <w:lang w:val="en-US"/>
        </w:rPr>
        <w:t xml:space="preserve"> and the nursing sister indicated to the </w:t>
      </w:r>
      <w:r w:rsidR="000711AC">
        <w:rPr>
          <w:rFonts w:ascii="Arial" w:hAnsi="Arial"/>
          <w:lang w:val="en-US"/>
        </w:rPr>
        <w:t xml:space="preserve">“police officials” </w:t>
      </w:r>
      <w:r w:rsidRPr="000711AC">
        <w:rPr>
          <w:rFonts w:ascii="Arial" w:hAnsi="Arial"/>
          <w:lang w:val="en-US"/>
        </w:rPr>
        <w:t xml:space="preserve">that his treatment had been extended for at least five more days. </w:t>
      </w:r>
    </w:p>
    <w:p w:rsidR="0078259F" w:rsidRDefault="0078259F" w:rsidP="008D659B">
      <w:pPr>
        <w:spacing w:line="360" w:lineRule="auto"/>
        <w:contextualSpacing/>
        <w:jc w:val="both"/>
        <w:rPr>
          <w:rFonts w:ascii="Arial" w:hAnsi="Arial"/>
          <w:lang w:val="en-US"/>
        </w:rPr>
      </w:pPr>
    </w:p>
    <w:p w:rsidR="002E20B2" w:rsidRDefault="000D2246" w:rsidP="008D659B">
      <w:pPr>
        <w:spacing w:line="360" w:lineRule="auto"/>
        <w:contextualSpacing/>
        <w:jc w:val="both"/>
        <w:rPr>
          <w:rFonts w:ascii="Arial" w:hAnsi="Arial"/>
          <w:lang w:val="en-US"/>
        </w:rPr>
      </w:pPr>
      <w:r>
        <w:rPr>
          <w:rFonts w:ascii="Arial" w:hAnsi="Arial"/>
          <w:lang w:val="en-US"/>
        </w:rPr>
        <w:t>[26]</w:t>
      </w:r>
      <w:r>
        <w:rPr>
          <w:rFonts w:ascii="Arial" w:hAnsi="Arial"/>
          <w:lang w:val="en-US"/>
        </w:rPr>
        <w:tab/>
        <w:t xml:space="preserve">He states that, </w:t>
      </w:r>
      <w:r w:rsidR="002E20B2">
        <w:rPr>
          <w:rFonts w:ascii="Arial" w:hAnsi="Arial"/>
          <w:lang w:val="en-US"/>
        </w:rPr>
        <w:t>with the assistan</w:t>
      </w:r>
      <w:r w:rsidR="000711AC">
        <w:rPr>
          <w:rFonts w:ascii="Arial" w:hAnsi="Arial"/>
          <w:lang w:val="en-US"/>
        </w:rPr>
        <w:t>ce of his legal representatives</w:t>
      </w:r>
      <w:r>
        <w:rPr>
          <w:rFonts w:ascii="Arial" w:hAnsi="Arial"/>
          <w:lang w:val="en-US"/>
        </w:rPr>
        <w:t>,</w:t>
      </w:r>
      <w:r w:rsidR="000711AC">
        <w:rPr>
          <w:rFonts w:ascii="Arial" w:hAnsi="Arial"/>
          <w:lang w:val="en-US"/>
        </w:rPr>
        <w:t xml:space="preserve"> </w:t>
      </w:r>
      <w:r w:rsidR="002E20B2">
        <w:rPr>
          <w:rFonts w:ascii="Arial" w:hAnsi="Arial"/>
          <w:lang w:val="en-US"/>
        </w:rPr>
        <w:t xml:space="preserve">he </w:t>
      </w:r>
      <w:r w:rsidR="002E20B2" w:rsidRPr="005805D5">
        <w:rPr>
          <w:rFonts w:ascii="Arial" w:hAnsi="Arial"/>
          <w:lang w:val="en-US"/>
        </w:rPr>
        <w:t xml:space="preserve">established that the three persons who alleged that they were </w:t>
      </w:r>
      <w:r w:rsidR="000711AC">
        <w:rPr>
          <w:rFonts w:ascii="Arial" w:hAnsi="Arial"/>
          <w:lang w:val="en-US"/>
        </w:rPr>
        <w:t xml:space="preserve">“police officials” </w:t>
      </w:r>
      <w:r w:rsidR="002E20B2" w:rsidRPr="005805D5">
        <w:rPr>
          <w:rFonts w:ascii="Arial" w:hAnsi="Arial"/>
          <w:lang w:val="en-US"/>
        </w:rPr>
        <w:t xml:space="preserve">were not from the local Provincial Crime Intelligence Unit operating in the Western Cape. This indicated to </w:t>
      </w:r>
      <w:r w:rsidR="002E20B2">
        <w:rPr>
          <w:rFonts w:ascii="Arial" w:hAnsi="Arial"/>
          <w:lang w:val="en-US"/>
        </w:rPr>
        <w:t xml:space="preserve">him </w:t>
      </w:r>
      <w:r w:rsidR="002E20B2" w:rsidRPr="005805D5">
        <w:rPr>
          <w:rFonts w:ascii="Arial" w:hAnsi="Arial"/>
          <w:lang w:val="en-US"/>
        </w:rPr>
        <w:t xml:space="preserve">that the people that were looking for </w:t>
      </w:r>
      <w:r>
        <w:rPr>
          <w:rFonts w:ascii="Arial" w:hAnsi="Arial"/>
          <w:lang w:val="en-US"/>
        </w:rPr>
        <w:t>him</w:t>
      </w:r>
      <w:r w:rsidR="002E20B2" w:rsidRPr="005805D5">
        <w:rPr>
          <w:rFonts w:ascii="Arial" w:hAnsi="Arial"/>
          <w:lang w:val="en-US"/>
        </w:rPr>
        <w:t xml:space="preserve"> were indeed not </w:t>
      </w:r>
      <w:r>
        <w:rPr>
          <w:rFonts w:ascii="Arial" w:hAnsi="Arial"/>
          <w:lang w:val="en-US"/>
        </w:rPr>
        <w:t xml:space="preserve">South African Police Officials </w:t>
      </w:r>
      <w:r w:rsidR="002E20B2" w:rsidRPr="005805D5">
        <w:rPr>
          <w:rFonts w:ascii="Arial" w:hAnsi="Arial"/>
          <w:lang w:val="en-US"/>
        </w:rPr>
        <w:t xml:space="preserve">but instead rogue agents sent to either abduct or kill </w:t>
      </w:r>
      <w:r w:rsidR="002E20B2">
        <w:rPr>
          <w:rFonts w:ascii="Arial" w:hAnsi="Arial"/>
          <w:lang w:val="en-US"/>
        </w:rPr>
        <w:t>or both abduct and kill him</w:t>
      </w:r>
      <w:r w:rsidR="002E20B2" w:rsidRPr="005805D5">
        <w:rPr>
          <w:rFonts w:ascii="Arial" w:hAnsi="Arial"/>
          <w:lang w:val="en-US"/>
        </w:rPr>
        <w:t xml:space="preserve">. </w:t>
      </w:r>
      <w:r w:rsidR="002E20B2">
        <w:rPr>
          <w:rFonts w:ascii="Arial" w:hAnsi="Arial"/>
          <w:lang w:val="en-US"/>
        </w:rPr>
        <w:t>He states that he</w:t>
      </w:r>
      <w:r w:rsidR="002E20B2" w:rsidRPr="005805D5">
        <w:rPr>
          <w:rFonts w:ascii="Arial" w:hAnsi="Arial"/>
          <w:lang w:val="en-US"/>
        </w:rPr>
        <w:t xml:space="preserve"> believe</w:t>
      </w:r>
      <w:r w:rsidR="002E20B2">
        <w:rPr>
          <w:rFonts w:ascii="Arial" w:hAnsi="Arial"/>
          <w:lang w:val="en-US"/>
        </w:rPr>
        <w:t>s</w:t>
      </w:r>
      <w:r w:rsidR="002E20B2" w:rsidRPr="005805D5">
        <w:rPr>
          <w:rFonts w:ascii="Arial" w:hAnsi="Arial"/>
          <w:lang w:val="en-US"/>
        </w:rPr>
        <w:t xml:space="preserve"> that the three men had the clear intention of kidnapping </w:t>
      </w:r>
      <w:r>
        <w:rPr>
          <w:rFonts w:ascii="Arial" w:hAnsi="Arial"/>
          <w:lang w:val="en-US"/>
        </w:rPr>
        <w:t>him</w:t>
      </w:r>
      <w:r w:rsidR="002E20B2" w:rsidRPr="005805D5">
        <w:rPr>
          <w:rFonts w:ascii="Arial" w:hAnsi="Arial"/>
          <w:lang w:val="en-US"/>
        </w:rPr>
        <w:t xml:space="preserve"> </w:t>
      </w:r>
      <w:r w:rsidR="002E20B2">
        <w:rPr>
          <w:rFonts w:ascii="Arial" w:hAnsi="Arial"/>
          <w:lang w:val="en-US"/>
        </w:rPr>
        <w:t xml:space="preserve">and </w:t>
      </w:r>
      <w:r w:rsidR="002E20B2" w:rsidRPr="005805D5">
        <w:rPr>
          <w:rFonts w:ascii="Arial" w:hAnsi="Arial"/>
          <w:lang w:val="en-US"/>
        </w:rPr>
        <w:t>ultimately, kill</w:t>
      </w:r>
      <w:r w:rsidR="002E20B2">
        <w:rPr>
          <w:rFonts w:ascii="Arial" w:hAnsi="Arial"/>
          <w:lang w:val="en-US"/>
        </w:rPr>
        <w:t xml:space="preserve"> him</w:t>
      </w:r>
      <w:r w:rsidR="002E20B2" w:rsidRPr="005805D5">
        <w:rPr>
          <w:rFonts w:ascii="Arial" w:hAnsi="Arial"/>
          <w:lang w:val="en-US"/>
        </w:rPr>
        <w:t xml:space="preserve"> to prevent </w:t>
      </w:r>
      <w:r w:rsidR="002E20B2">
        <w:rPr>
          <w:rFonts w:ascii="Arial" w:hAnsi="Arial"/>
          <w:lang w:val="en-US"/>
        </w:rPr>
        <w:t>him</w:t>
      </w:r>
      <w:r w:rsidR="002E20B2" w:rsidRPr="005805D5">
        <w:rPr>
          <w:rFonts w:ascii="Arial" w:hAnsi="Arial"/>
          <w:lang w:val="en-US"/>
        </w:rPr>
        <w:t xml:space="preserve"> from revealing any of the evidence in </w:t>
      </w:r>
      <w:r w:rsidR="002E20B2">
        <w:rPr>
          <w:rFonts w:ascii="Arial" w:hAnsi="Arial"/>
          <w:lang w:val="en-US"/>
        </w:rPr>
        <w:t>his</w:t>
      </w:r>
      <w:r w:rsidR="002E20B2" w:rsidRPr="005805D5">
        <w:rPr>
          <w:rFonts w:ascii="Arial" w:hAnsi="Arial"/>
          <w:lang w:val="en-US"/>
        </w:rPr>
        <w:t xml:space="preserve"> possession or testifying in the </w:t>
      </w:r>
      <w:r>
        <w:rPr>
          <w:rFonts w:ascii="Arial" w:hAnsi="Arial"/>
          <w:lang w:val="en-US"/>
        </w:rPr>
        <w:t>“Fishrot”</w:t>
      </w:r>
      <w:r w:rsidR="002E20B2" w:rsidRPr="000D2246">
        <w:rPr>
          <w:rFonts w:ascii="Arial" w:hAnsi="Arial"/>
          <w:lang w:val="en-US"/>
        </w:rPr>
        <w:t xml:space="preserve"> </w:t>
      </w:r>
      <w:r w:rsidR="002E20B2">
        <w:rPr>
          <w:rFonts w:ascii="Arial" w:hAnsi="Arial"/>
          <w:lang w:val="en-US"/>
        </w:rPr>
        <w:t xml:space="preserve">case. He states that this is the primary reason why he has not returned </w:t>
      </w:r>
      <w:r w:rsidR="002E20B2" w:rsidRPr="005805D5">
        <w:rPr>
          <w:rFonts w:ascii="Arial" w:hAnsi="Arial"/>
          <w:lang w:val="en-US"/>
        </w:rPr>
        <w:t xml:space="preserve">to Namibia. </w:t>
      </w:r>
    </w:p>
    <w:p w:rsidR="002E20B2" w:rsidRDefault="002E20B2" w:rsidP="008D659B">
      <w:pPr>
        <w:spacing w:line="360" w:lineRule="auto"/>
        <w:contextualSpacing/>
        <w:jc w:val="both"/>
        <w:rPr>
          <w:rFonts w:ascii="Arial" w:hAnsi="Arial"/>
          <w:lang w:val="en-US"/>
        </w:rPr>
      </w:pPr>
    </w:p>
    <w:p w:rsidR="002E20B2" w:rsidRDefault="002E20B2" w:rsidP="008D659B">
      <w:pPr>
        <w:spacing w:line="360" w:lineRule="auto"/>
        <w:contextualSpacing/>
        <w:jc w:val="both"/>
        <w:rPr>
          <w:rFonts w:ascii="Arial" w:hAnsi="Arial"/>
          <w:lang w:val="en-US"/>
        </w:rPr>
      </w:pPr>
      <w:r>
        <w:rPr>
          <w:rFonts w:ascii="Arial" w:hAnsi="Arial"/>
          <w:lang w:val="en-US"/>
        </w:rPr>
        <w:t>[27]</w:t>
      </w:r>
      <w:r>
        <w:rPr>
          <w:rFonts w:ascii="Arial" w:hAnsi="Arial"/>
          <w:lang w:val="en-US"/>
        </w:rPr>
        <w:tab/>
        <w:t>He deposed that</w:t>
      </w:r>
      <w:r w:rsidR="00001A69">
        <w:rPr>
          <w:rFonts w:ascii="Arial" w:hAnsi="Arial"/>
          <w:lang w:val="en-US"/>
        </w:rPr>
        <w:t>,</w:t>
      </w:r>
      <w:r>
        <w:rPr>
          <w:rFonts w:ascii="Arial" w:hAnsi="Arial"/>
          <w:lang w:val="en-US"/>
        </w:rPr>
        <w:t xml:space="preserve"> s</w:t>
      </w:r>
      <w:r w:rsidRPr="005805D5">
        <w:rPr>
          <w:rFonts w:ascii="Arial" w:hAnsi="Arial"/>
          <w:lang w:val="en-US"/>
        </w:rPr>
        <w:t xml:space="preserve">hould </w:t>
      </w:r>
      <w:r>
        <w:rPr>
          <w:rFonts w:ascii="Arial" w:hAnsi="Arial"/>
          <w:lang w:val="en-US"/>
        </w:rPr>
        <w:t xml:space="preserve">he </w:t>
      </w:r>
      <w:r w:rsidRPr="005805D5">
        <w:rPr>
          <w:rFonts w:ascii="Arial" w:hAnsi="Arial"/>
          <w:lang w:val="en-US"/>
        </w:rPr>
        <w:t>return</w:t>
      </w:r>
      <w:r>
        <w:rPr>
          <w:rFonts w:ascii="Arial" w:hAnsi="Arial"/>
          <w:lang w:val="en-US"/>
        </w:rPr>
        <w:t xml:space="preserve"> to Namibia</w:t>
      </w:r>
      <w:r w:rsidR="00001A69">
        <w:rPr>
          <w:rFonts w:ascii="Arial" w:hAnsi="Arial"/>
          <w:lang w:val="en-US"/>
        </w:rPr>
        <w:t xml:space="preserve">, he fears </w:t>
      </w:r>
      <w:r>
        <w:rPr>
          <w:rFonts w:ascii="Arial" w:hAnsi="Arial"/>
          <w:lang w:val="en-US"/>
        </w:rPr>
        <w:t xml:space="preserve">that he </w:t>
      </w:r>
      <w:r w:rsidRPr="005805D5">
        <w:rPr>
          <w:rFonts w:ascii="Arial" w:hAnsi="Arial"/>
          <w:lang w:val="en-US"/>
        </w:rPr>
        <w:t xml:space="preserve">could be physically harmed or even killed. </w:t>
      </w:r>
      <w:r>
        <w:rPr>
          <w:rFonts w:ascii="Arial" w:hAnsi="Arial"/>
          <w:lang w:val="en-US"/>
        </w:rPr>
        <w:t xml:space="preserve"> He </w:t>
      </w:r>
      <w:r w:rsidR="000D2246">
        <w:rPr>
          <w:rFonts w:ascii="Arial" w:hAnsi="Arial"/>
          <w:lang w:val="en-US"/>
        </w:rPr>
        <w:t xml:space="preserve">further </w:t>
      </w:r>
      <w:r>
        <w:rPr>
          <w:rFonts w:ascii="Arial" w:hAnsi="Arial"/>
          <w:lang w:val="en-US"/>
        </w:rPr>
        <w:t xml:space="preserve">deposes that he is not </w:t>
      </w:r>
      <w:r w:rsidRPr="005805D5">
        <w:rPr>
          <w:rFonts w:ascii="Arial" w:hAnsi="Arial"/>
          <w:lang w:val="en-US"/>
        </w:rPr>
        <w:t xml:space="preserve">hiding from </w:t>
      </w:r>
      <w:r w:rsidR="000D2246">
        <w:rPr>
          <w:rFonts w:ascii="Arial" w:hAnsi="Arial"/>
          <w:lang w:val="en-US"/>
        </w:rPr>
        <w:t>C</w:t>
      </w:r>
      <w:r>
        <w:rPr>
          <w:rFonts w:ascii="Arial" w:hAnsi="Arial"/>
          <w:lang w:val="en-US"/>
        </w:rPr>
        <w:t xml:space="preserve">ourt </w:t>
      </w:r>
      <w:r w:rsidRPr="005805D5">
        <w:rPr>
          <w:rFonts w:ascii="Arial" w:hAnsi="Arial"/>
          <w:lang w:val="en-US"/>
        </w:rPr>
        <w:t xml:space="preserve">but </w:t>
      </w:r>
      <w:r>
        <w:rPr>
          <w:rFonts w:ascii="Arial" w:hAnsi="Arial"/>
          <w:lang w:val="en-US"/>
        </w:rPr>
        <w:t xml:space="preserve">is </w:t>
      </w:r>
      <w:r w:rsidRPr="005805D5">
        <w:rPr>
          <w:rFonts w:ascii="Arial" w:hAnsi="Arial"/>
          <w:lang w:val="en-US"/>
        </w:rPr>
        <w:t xml:space="preserve">literally hiding to protect </w:t>
      </w:r>
      <w:r>
        <w:rPr>
          <w:rFonts w:ascii="Arial" w:hAnsi="Arial"/>
          <w:lang w:val="en-US"/>
        </w:rPr>
        <w:t>his</w:t>
      </w:r>
      <w:r w:rsidRPr="005805D5">
        <w:rPr>
          <w:rFonts w:ascii="Arial" w:hAnsi="Arial"/>
          <w:lang w:val="en-US"/>
        </w:rPr>
        <w:t xml:space="preserve"> own life. </w:t>
      </w:r>
      <w:r>
        <w:rPr>
          <w:rFonts w:ascii="Arial" w:hAnsi="Arial"/>
          <w:lang w:val="en-US"/>
        </w:rPr>
        <w:t xml:space="preserve">He states that he has no choice but to </w:t>
      </w:r>
      <w:r w:rsidRPr="005805D5">
        <w:rPr>
          <w:rFonts w:ascii="Arial" w:hAnsi="Arial"/>
          <w:lang w:val="en-US"/>
        </w:rPr>
        <w:t xml:space="preserve">hide since </w:t>
      </w:r>
      <w:r>
        <w:rPr>
          <w:rFonts w:ascii="Arial" w:hAnsi="Arial"/>
          <w:lang w:val="en-US"/>
        </w:rPr>
        <w:t xml:space="preserve">he </w:t>
      </w:r>
      <w:r w:rsidRPr="005805D5">
        <w:rPr>
          <w:rFonts w:ascii="Arial" w:hAnsi="Arial"/>
          <w:lang w:val="en-US"/>
        </w:rPr>
        <w:t>believe</w:t>
      </w:r>
      <w:r>
        <w:rPr>
          <w:rFonts w:ascii="Arial" w:hAnsi="Arial"/>
          <w:lang w:val="en-US"/>
        </w:rPr>
        <w:t>s</w:t>
      </w:r>
      <w:r w:rsidRPr="005805D5">
        <w:rPr>
          <w:rFonts w:ascii="Arial" w:hAnsi="Arial"/>
          <w:lang w:val="en-US"/>
        </w:rPr>
        <w:t xml:space="preserve"> that </w:t>
      </w:r>
      <w:r>
        <w:rPr>
          <w:rFonts w:ascii="Arial" w:hAnsi="Arial"/>
          <w:lang w:val="en-US"/>
        </w:rPr>
        <w:t>he</w:t>
      </w:r>
      <w:r w:rsidRPr="005805D5">
        <w:rPr>
          <w:rFonts w:ascii="Arial" w:hAnsi="Arial"/>
          <w:lang w:val="en-US"/>
        </w:rPr>
        <w:t xml:space="preserve"> cannot be protected by either the A</w:t>
      </w:r>
      <w:r>
        <w:rPr>
          <w:rFonts w:ascii="Arial" w:hAnsi="Arial"/>
          <w:lang w:val="en-US"/>
        </w:rPr>
        <w:t>nti-Corruption Commission</w:t>
      </w:r>
      <w:r w:rsidRPr="005805D5">
        <w:rPr>
          <w:rFonts w:ascii="Arial" w:hAnsi="Arial"/>
          <w:lang w:val="en-US"/>
        </w:rPr>
        <w:t>, the</w:t>
      </w:r>
      <w:r>
        <w:rPr>
          <w:rFonts w:ascii="Arial" w:hAnsi="Arial"/>
          <w:lang w:val="en-US"/>
        </w:rPr>
        <w:t xml:space="preserve"> Namibia</w:t>
      </w:r>
      <w:r w:rsidR="00001A69">
        <w:rPr>
          <w:rFonts w:ascii="Arial" w:hAnsi="Arial"/>
          <w:lang w:val="en-US"/>
        </w:rPr>
        <w:t>n</w:t>
      </w:r>
      <w:r w:rsidRPr="005805D5">
        <w:rPr>
          <w:rFonts w:ascii="Arial" w:hAnsi="Arial"/>
          <w:lang w:val="en-US"/>
        </w:rPr>
        <w:t xml:space="preserve"> Police or the Prosecutor General. </w:t>
      </w:r>
      <w:r>
        <w:rPr>
          <w:rFonts w:ascii="Arial" w:hAnsi="Arial"/>
          <w:lang w:val="en-US"/>
        </w:rPr>
        <w:t>He furthermore depose</w:t>
      </w:r>
      <w:r w:rsidR="00001A69">
        <w:rPr>
          <w:rFonts w:ascii="Arial" w:hAnsi="Arial"/>
          <w:lang w:val="en-US"/>
        </w:rPr>
        <w:t xml:space="preserve">d that, </w:t>
      </w:r>
      <w:r>
        <w:rPr>
          <w:rFonts w:ascii="Arial" w:hAnsi="Arial"/>
          <w:lang w:val="en-US"/>
        </w:rPr>
        <w:t>during the year 2021</w:t>
      </w:r>
      <w:r w:rsidR="00001A69">
        <w:rPr>
          <w:rFonts w:ascii="Arial" w:hAnsi="Arial"/>
          <w:lang w:val="en-US"/>
        </w:rPr>
        <w:t>,</w:t>
      </w:r>
      <w:r>
        <w:rPr>
          <w:rFonts w:ascii="Arial" w:hAnsi="Arial"/>
          <w:lang w:val="en-US"/>
        </w:rPr>
        <w:t xml:space="preserve"> he was</w:t>
      </w:r>
      <w:r w:rsidRPr="005805D5">
        <w:rPr>
          <w:rFonts w:ascii="Arial" w:hAnsi="Arial"/>
          <w:lang w:val="en-US"/>
        </w:rPr>
        <w:t xml:space="preserve"> informed by persons, whose names </w:t>
      </w:r>
      <w:r>
        <w:rPr>
          <w:rFonts w:ascii="Arial" w:hAnsi="Arial"/>
          <w:lang w:val="en-US"/>
        </w:rPr>
        <w:t>he</w:t>
      </w:r>
      <w:r w:rsidR="000D2246">
        <w:rPr>
          <w:rFonts w:ascii="Arial" w:hAnsi="Arial"/>
          <w:lang w:val="en-US"/>
        </w:rPr>
        <w:t xml:space="preserve"> cannot disclose </w:t>
      </w:r>
      <w:r w:rsidRPr="005805D5">
        <w:rPr>
          <w:rFonts w:ascii="Arial" w:hAnsi="Arial"/>
          <w:lang w:val="en-US"/>
        </w:rPr>
        <w:t>because their careers as Intelligence Officers would b</w:t>
      </w:r>
      <w:r w:rsidR="000D2246">
        <w:rPr>
          <w:rFonts w:ascii="Arial" w:hAnsi="Arial"/>
          <w:lang w:val="en-US"/>
        </w:rPr>
        <w:t>e severely compromised, that a “HIT”</w:t>
      </w:r>
      <w:r w:rsidRPr="005805D5">
        <w:rPr>
          <w:rFonts w:ascii="Arial" w:hAnsi="Arial"/>
          <w:lang w:val="en-US"/>
        </w:rPr>
        <w:t xml:space="preserve"> </w:t>
      </w:r>
      <w:r>
        <w:rPr>
          <w:rFonts w:ascii="Arial" w:hAnsi="Arial"/>
          <w:lang w:val="en-US"/>
        </w:rPr>
        <w:t xml:space="preserve">was </w:t>
      </w:r>
      <w:r w:rsidRPr="005805D5">
        <w:rPr>
          <w:rFonts w:ascii="Arial" w:hAnsi="Arial"/>
          <w:lang w:val="en-US"/>
        </w:rPr>
        <w:t xml:space="preserve">ordered on </w:t>
      </w:r>
      <w:r>
        <w:rPr>
          <w:rFonts w:ascii="Arial" w:hAnsi="Arial"/>
          <w:lang w:val="en-US"/>
        </w:rPr>
        <w:t>his</w:t>
      </w:r>
      <w:r w:rsidRPr="005805D5">
        <w:rPr>
          <w:rFonts w:ascii="Arial" w:hAnsi="Arial"/>
          <w:lang w:val="en-US"/>
        </w:rPr>
        <w:t xml:space="preserve"> life. </w:t>
      </w:r>
    </w:p>
    <w:p w:rsidR="002E20B2" w:rsidRDefault="002E20B2" w:rsidP="008D659B">
      <w:pPr>
        <w:spacing w:line="360" w:lineRule="auto"/>
        <w:contextualSpacing/>
        <w:jc w:val="both"/>
        <w:rPr>
          <w:rFonts w:ascii="Arial" w:hAnsi="Arial"/>
          <w:lang w:val="en-US"/>
        </w:rPr>
      </w:pPr>
    </w:p>
    <w:p w:rsidR="002E20B2" w:rsidRPr="005805D5" w:rsidRDefault="002E20B2" w:rsidP="008D659B">
      <w:pPr>
        <w:spacing w:line="360" w:lineRule="auto"/>
        <w:contextualSpacing/>
        <w:jc w:val="both"/>
        <w:rPr>
          <w:rFonts w:ascii="Arial" w:hAnsi="Arial"/>
          <w:lang w:val="en-US"/>
        </w:rPr>
      </w:pPr>
      <w:r>
        <w:rPr>
          <w:rFonts w:ascii="Arial" w:hAnsi="Arial"/>
          <w:lang w:val="en-US"/>
        </w:rPr>
        <w:t>[28]</w:t>
      </w:r>
      <w:r>
        <w:rPr>
          <w:rFonts w:ascii="Arial" w:hAnsi="Arial"/>
          <w:lang w:val="en-US"/>
        </w:rPr>
        <w:tab/>
        <w:t xml:space="preserve">He states that he is intently </w:t>
      </w:r>
      <w:r w:rsidRPr="005805D5">
        <w:rPr>
          <w:rFonts w:ascii="Arial" w:hAnsi="Arial"/>
          <w:lang w:val="en-US"/>
        </w:rPr>
        <w:t xml:space="preserve">aware of the powerful forces at play in the </w:t>
      </w:r>
      <w:r w:rsidR="000D2246">
        <w:rPr>
          <w:rFonts w:ascii="Arial" w:hAnsi="Arial"/>
          <w:lang w:val="en-US"/>
        </w:rPr>
        <w:t>‘Fishrot</w:t>
      </w:r>
      <w:r w:rsidRPr="005805D5">
        <w:rPr>
          <w:rFonts w:ascii="Arial" w:hAnsi="Arial"/>
          <w:i/>
          <w:lang w:val="en-US"/>
        </w:rPr>
        <w:t xml:space="preserve"> </w:t>
      </w:r>
      <w:r w:rsidRPr="005805D5">
        <w:rPr>
          <w:rFonts w:ascii="Arial" w:hAnsi="Arial"/>
          <w:lang w:val="en-US"/>
        </w:rPr>
        <w:t>scandal</w:t>
      </w:r>
      <w:r w:rsidR="000D2246">
        <w:rPr>
          <w:rFonts w:ascii="Arial" w:hAnsi="Arial"/>
          <w:lang w:val="en-US"/>
        </w:rPr>
        <w:t>’</w:t>
      </w:r>
      <w:r w:rsidRPr="005805D5">
        <w:rPr>
          <w:rFonts w:ascii="Arial" w:hAnsi="Arial"/>
          <w:lang w:val="en-US"/>
        </w:rPr>
        <w:t xml:space="preserve">. </w:t>
      </w:r>
      <w:r>
        <w:rPr>
          <w:rFonts w:ascii="Arial" w:hAnsi="Arial"/>
          <w:lang w:val="en-US"/>
        </w:rPr>
        <w:t xml:space="preserve"> He </w:t>
      </w:r>
      <w:r w:rsidR="000D2246">
        <w:rPr>
          <w:rFonts w:ascii="Arial" w:hAnsi="Arial"/>
          <w:lang w:val="en-US"/>
        </w:rPr>
        <w:t>further states that</w:t>
      </w:r>
      <w:r>
        <w:rPr>
          <w:rFonts w:ascii="Arial" w:hAnsi="Arial"/>
          <w:lang w:val="en-US"/>
        </w:rPr>
        <w:t xml:space="preserve"> he has </w:t>
      </w:r>
      <w:r w:rsidRPr="005805D5">
        <w:rPr>
          <w:rFonts w:ascii="Arial" w:hAnsi="Arial"/>
          <w:lang w:val="en-US"/>
        </w:rPr>
        <w:t>either direc</w:t>
      </w:r>
      <w:r w:rsidR="007867D7">
        <w:rPr>
          <w:rFonts w:ascii="Arial" w:hAnsi="Arial"/>
          <w:lang w:val="en-US"/>
        </w:rPr>
        <w:t>tly or indirectly implicated a</w:t>
      </w:r>
      <w:r w:rsidRPr="005805D5">
        <w:rPr>
          <w:rFonts w:ascii="Arial" w:hAnsi="Arial"/>
          <w:lang w:val="en-US"/>
        </w:rPr>
        <w:t xml:space="preserve"> number of key accused and other persons in the </w:t>
      </w:r>
      <w:r w:rsidR="000D2246">
        <w:rPr>
          <w:rFonts w:ascii="Arial" w:hAnsi="Arial"/>
          <w:lang w:val="en-US"/>
        </w:rPr>
        <w:t>“</w:t>
      </w:r>
      <w:r w:rsidRPr="000D2246">
        <w:rPr>
          <w:rFonts w:ascii="Arial" w:hAnsi="Arial"/>
          <w:lang w:val="en-US"/>
        </w:rPr>
        <w:t>Fishrot</w:t>
      </w:r>
      <w:r w:rsidR="000D2246">
        <w:rPr>
          <w:rFonts w:ascii="Arial" w:hAnsi="Arial"/>
          <w:lang w:val="en-US"/>
        </w:rPr>
        <w:t>”</w:t>
      </w:r>
      <w:r w:rsidRPr="000D2246">
        <w:rPr>
          <w:rFonts w:ascii="Arial" w:hAnsi="Arial"/>
          <w:lang w:val="en-US"/>
        </w:rPr>
        <w:t xml:space="preserve"> </w:t>
      </w:r>
      <w:r>
        <w:rPr>
          <w:rFonts w:ascii="Arial" w:hAnsi="Arial"/>
          <w:lang w:val="en-US"/>
        </w:rPr>
        <w:t>criminal matter. He states that he s</w:t>
      </w:r>
      <w:r w:rsidRPr="005805D5">
        <w:rPr>
          <w:rFonts w:ascii="Arial" w:hAnsi="Arial"/>
          <w:lang w:val="en-US"/>
        </w:rPr>
        <w:t>till continue</w:t>
      </w:r>
      <w:r>
        <w:rPr>
          <w:rFonts w:ascii="Arial" w:hAnsi="Arial"/>
          <w:lang w:val="en-US"/>
        </w:rPr>
        <w:t>s</w:t>
      </w:r>
      <w:r w:rsidRPr="005805D5">
        <w:rPr>
          <w:rFonts w:ascii="Arial" w:hAnsi="Arial"/>
          <w:lang w:val="en-US"/>
        </w:rPr>
        <w:t xml:space="preserve"> to fear for </w:t>
      </w:r>
      <w:r>
        <w:rPr>
          <w:rFonts w:ascii="Arial" w:hAnsi="Arial"/>
          <w:lang w:val="en-US"/>
        </w:rPr>
        <w:t>his</w:t>
      </w:r>
      <w:r w:rsidRPr="005805D5">
        <w:rPr>
          <w:rFonts w:ascii="Arial" w:hAnsi="Arial"/>
          <w:lang w:val="en-US"/>
        </w:rPr>
        <w:t xml:space="preserve"> </w:t>
      </w:r>
      <w:r w:rsidR="000D2246">
        <w:rPr>
          <w:rFonts w:ascii="Arial" w:hAnsi="Arial"/>
          <w:lang w:val="en-US"/>
        </w:rPr>
        <w:t>life</w:t>
      </w:r>
      <w:r w:rsidRPr="005805D5">
        <w:rPr>
          <w:rFonts w:ascii="Arial" w:hAnsi="Arial"/>
          <w:lang w:val="en-US"/>
        </w:rPr>
        <w:t xml:space="preserve"> and frequently </w:t>
      </w:r>
      <w:r w:rsidR="000D2246">
        <w:rPr>
          <w:rFonts w:ascii="Arial" w:hAnsi="Arial"/>
          <w:lang w:val="en-US"/>
        </w:rPr>
        <w:t xml:space="preserve">has to </w:t>
      </w:r>
      <w:r w:rsidRPr="005805D5">
        <w:rPr>
          <w:rFonts w:ascii="Arial" w:hAnsi="Arial"/>
          <w:lang w:val="en-US"/>
        </w:rPr>
        <w:t xml:space="preserve">rotate between residences to protect </w:t>
      </w:r>
      <w:r>
        <w:rPr>
          <w:rFonts w:ascii="Arial" w:hAnsi="Arial"/>
          <w:lang w:val="en-US"/>
        </w:rPr>
        <w:t xml:space="preserve">his </w:t>
      </w:r>
      <w:r w:rsidRPr="005805D5">
        <w:rPr>
          <w:rFonts w:ascii="Arial" w:hAnsi="Arial"/>
          <w:lang w:val="en-US"/>
        </w:rPr>
        <w:t xml:space="preserve">life and safety. </w:t>
      </w:r>
      <w:r>
        <w:rPr>
          <w:rFonts w:ascii="Arial" w:hAnsi="Arial"/>
          <w:lang w:val="en-US"/>
        </w:rPr>
        <w:t xml:space="preserve"> He states that the </w:t>
      </w:r>
      <w:r w:rsidRPr="005805D5">
        <w:rPr>
          <w:rFonts w:ascii="Arial" w:hAnsi="Arial"/>
          <w:lang w:val="en-US"/>
        </w:rPr>
        <w:t xml:space="preserve">reality is further that </w:t>
      </w:r>
      <w:r>
        <w:rPr>
          <w:rFonts w:ascii="Arial" w:hAnsi="Arial"/>
          <w:lang w:val="en-US"/>
        </w:rPr>
        <w:t xml:space="preserve">he has </w:t>
      </w:r>
      <w:r w:rsidR="000D2246">
        <w:rPr>
          <w:rFonts w:ascii="Arial" w:hAnsi="Arial"/>
          <w:lang w:val="en-US"/>
        </w:rPr>
        <w:t>never been given any insurance</w:t>
      </w:r>
      <w:r w:rsidRPr="005805D5">
        <w:rPr>
          <w:rFonts w:ascii="Arial" w:hAnsi="Arial"/>
          <w:lang w:val="en-US"/>
        </w:rPr>
        <w:t xml:space="preserve"> by either the A</w:t>
      </w:r>
      <w:r>
        <w:rPr>
          <w:rFonts w:ascii="Arial" w:hAnsi="Arial"/>
          <w:lang w:val="en-US"/>
        </w:rPr>
        <w:t xml:space="preserve">nti-Corruption Commission </w:t>
      </w:r>
      <w:r w:rsidRPr="005805D5">
        <w:rPr>
          <w:rFonts w:ascii="Arial" w:hAnsi="Arial"/>
          <w:lang w:val="en-US"/>
        </w:rPr>
        <w:t xml:space="preserve">or </w:t>
      </w:r>
      <w:r w:rsidR="000D2246">
        <w:rPr>
          <w:rFonts w:ascii="Arial" w:hAnsi="Arial"/>
          <w:lang w:val="en-US"/>
        </w:rPr>
        <w:t>the Prosecutor General's Office</w:t>
      </w:r>
      <w:r w:rsidRPr="005805D5">
        <w:rPr>
          <w:rFonts w:ascii="Arial" w:hAnsi="Arial"/>
          <w:lang w:val="en-US"/>
        </w:rPr>
        <w:t xml:space="preserve"> that </w:t>
      </w:r>
      <w:r>
        <w:rPr>
          <w:rFonts w:ascii="Arial" w:hAnsi="Arial"/>
          <w:lang w:val="en-US"/>
        </w:rPr>
        <w:t>his</w:t>
      </w:r>
      <w:r w:rsidRPr="005805D5">
        <w:rPr>
          <w:rFonts w:ascii="Arial" w:hAnsi="Arial"/>
          <w:lang w:val="en-US"/>
        </w:rPr>
        <w:t xml:space="preserve"> safety would </w:t>
      </w:r>
      <w:r w:rsidRPr="005805D5">
        <w:rPr>
          <w:rFonts w:ascii="Arial" w:hAnsi="Arial"/>
          <w:lang w:val="en-US"/>
        </w:rPr>
        <w:lastRenderedPageBreak/>
        <w:t>be secured</w:t>
      </w:r>
      <w:r w:rsidR="00001A69">
        <w:rPr>
          <w:rFonts w:ascii="Arial" w:hAnsi="Arial"/>
          <w:lang w:val="en-US"/>
        </w:rPr>
        <w:t>,</w:t>
      </w:r>
      <w:r w:rsidRPr="005805D5">
        <w:rPr>
          <w:rFonts w:ascii="Arial" w:hAnsi="Arial"/>
          <w:lang w:val="en-US"/>
        </w:rPr>
        <w:t xml:space="preserve"> if </w:t>
      </w:r>
      <w:r>
        <w:rPr>
          <w:rFonts w:ascii="Arial" w:hAnsi="Arial"/>
          <w:lang w:val="en-US"/>
        </w:rPr>
        <w:t>he</w:t>
      </w:r>
      <w:r w:rsidRPr="005805D5">
        <w:rPr>
          <w:rFonts w:ascii="Arial" w:hAnsi="Arial"/>
          <w:lang w:val="en-US"/>
        </w:rPr>
        <w:t xml:space="preserve"> return</w:t>
      </w:r>
      <w:r>
        <w:rPr>
          <w:rFonts w:ascii="Arial" w:hAnsi="Arial"/>
          <w:lang w:val="en-US"/>
        </w:rPr>
        <w:t>s</w:t>
      </w:r>
      <w:r w:rsidRPr="005805D5">
        <w:rPr>
          <w:rFonts w:ascii="Arial" w:hAnsi="Arial"/>
          <w:lang w:val="en-US"/>
        </w:rPr>
        <w:t xml:space="preserve"> to Namibia. </w:t>
      </w:r>
      <w:r>
        <w:rPr>
          <w:rFonts w:ascii="Arial" w:hAnsi="Arial"/>
          <w:lang w:val="en-US"/>
        </w:rPr>
        <w:t>He states that this</w:t>
      </w:r>
      <w:r w:rsidRPr="005805D5">
        <w:rPr>
          <w:rFonts w:ascii="Arial" w:hAnsi="Arial"/>
          <w:lang w:val="en-US"/>
        </w:rPr>
        <w:t xml:space="preserve"> clearly distinguishes </w:t>
      </w:r>
      <w:r>
        <w:rPr>
          <w:rFonts w:ascii="Arial" w:hAnsi="Arial"/>
          <w:lang w:val="en-US"/>
        </w:rPr>
        <w:t>him</w:t>
      </w:r>
      <w:r w:rsidRPr="005805D5">
        <w:rPr>
          <w:rFonts w:ascii="Arial" w:hAnsi="Arial"/>
          <w:lang w:val="en-US"/>
        </w:rPr>
        <w:t xml:space="preserve"> from a mere fugitive from justice who tries to escape the jurisdiction of the Court. </w:t>
      </w:r>
    </w:p>
    <w:p w:rsidR="00841EAA" w:rsidRDefault="00841EAA" w:rsidP="008D659B">
      <w:pPr>
        <w:spacing w:line="360" w:lineRule="auto"/>
        <w:contextualSpacing/>
        <w:jc w:val="both"/>
        <w:rPr>
          <w:rFonts w:ascii="Arial" w:hAnsi="Arial"/>
        </w:rPr>
      </w:pPr>
    </w:p>
    <w:p w:rsidR="006D1AED" w:rsidRDefault="00F0677E" w:rsidP="008D659B">
      <w:pPr>
        <w:spacing w:line="360" w:lineRule="auto"/>
        <w:contextualSpacing/>
        <w:jc w:val="both"/>
        <w:rPr>
          <w:rFonts w:ascii="Arial" w:hAnsi="Arial"/>
          <w:color w:val="000000" w:themeColor="text1"/>
        </w:rPr>
      </w:pPr>
      <w:r>
        <w:rPr>
          <w:rFonts w:ascii="Arial" w:hAnsi="Arial"/>
        </w:rPr>
        <w:t>[</w:t>
      </w:r>
      <w:r w:rsidR="007540E8">
        <w:rPr>
          <w:rFonts w:ascii="Arial" w:hAnsi="Arial"/>
        </w:rPr>
        <w:t>29</w:t>
      </w:r>
      <w:r w:rsidRPr="006D1AED">
        <w:rPr>
          <w:rFonts w:ascii="Arial" w:hAnsi="Arial"/>
          <w:color w:val="000000" w:themeColor="text1"/>
        </w:rPr>
        <w:t>]</w:t>
      </w:r>
      <w:r w:rsidRPr="006D1AED">
        <w:rPr>
          <w:rFonts w:ascii="Arial" w:hAnsi="Arial"/>
          <w:color w:val="000000" w:themeColor="text1"/>
        </w:rPr>
        <w:tab/>
        <w:t>I</w:t>
      </w:r>
      <w:r w:rsidR="000D2246">
        <w:rPr>
          <w:rFonts w:ascii="Arial" w:hAnsi="Arial"/>
          <w:color w:val="000000" w:themeColor="text1"/>
        </w:rPr>
        <w:t>n par</w:t>
      </w:r>
      <w:r w:rsidR="00001A69">
        <w:rPr>
          <w:rFonts w:ascii="Arial" w:hAnsi="Arial"/>
          <w:color w:val="000000" w:themeColor="text1"/>
        </w:rPr>
        <w:t>a</w:t>
      </w:r>
      <w:r w:rsidR="000D2246">
        <w:rPr>
          <w:rFonts w:ascii="Arial" w:hAnsi="Arial"/>
          <w:color w:val="000000" w:themeColor="text1"/>
        </w:rPr>
        <w:t xml:space="preserve"> 10 of her </w:t>
      </w:r>
      <w:r w:rsidR="00001A69">
        <w:rPr>
          <w:rFonts w:ascii="Arial" w:hAnsi="Arial"/>
          <w:color w:val="000000" w:themeColor="text1"/>
        </w:rPr>
        <w:t xml:space="preserve">answering affidavit </w:t>
      </w:r>
      <w:r w:rsidRPr="006D1AED">
        <w:rPr>
          <w:rFonts w:ascii="Arial" w:hAnsi="Arial"/>
          <w:color w:val="000000" w:themeColor="text1"/>
        </w:rPr>
        <w:t>to Mr de Klerk’s affidavit in support</w:t>
      </w:r>
      <w:r w:rsidR="0011304F">
        <w:rPr>
          <w:rFonts w:ascii="Arial" w:hAnsi="Arial"/>
          <w:color w:val="000000" w:themeColor="text1"/>
        </w:rPr>
        <w:t xml:space="preserve"> of</w:t>
      </w:r>
      <w:r w:rsidRPr="006D1AED">
        <w:rPr>
          <w:rFonts w:ascii="Arial" w:hAnsi="Arial"/>
          <w:color w:val="000000" w:themeColor="text1"/>
        </w:rPr>
        <w:t xml:space="preserve"> his application for the resci</w:t>
      </w:r>
      <w:r w:rsidR="000D2246">
        <w:rPr>
          <w:rFonts w:ascii="Arial" w:hAnsi="Arial"/>
          <w:color w:val="000000" w:themeColor="text1"/>
        </w:rPr>
        <w:t xml:space="preserve">ssion of the preservation order, </w:t>
      </w:r>
      <w:r w:rsidRPr="006D1AED">
        <w:rPr>
          <w:rFonts w:ascii="Arial" w:hAnsi="Arial"/>
          <w:color w:val="000000" w:themeColor="text1"/>
        </w:rPr>
        <w:t>the Prosecutor General contend</w:t>
      </w:r>
      <w:r w:rsidR="006D1AED" w:rsidRPr="006D1AED">
        <w:rPr>
          <w:rFonts w:ascii="Arial" w:hAnsi="Arial"/>
          <w:color w:val="000000" w:themeColor="text1"/>
        </w:rPr>
        <w:t>s</w:t>
      </w:r>
      <w:r w:rsidRPr="006D1AED">
        <w:rPr>
          <w:rFonts w:ascii="Arial" w:hAnsi="Arial"/>
          <w:color w:val="000000" w:themeColor="text1"/>
        </w:rPr>
        <w:t xml:space="preserve"> that </w:t>
      </w:r>
      <w:r w:rsidR="006D1AED" w:rsidRPr="006D1AED">
        <w:rPr>
          <w:rFonts w:ascii="Arial" w:hAnsi="Arial"/>
          <w:color w:val="000000" w:themeColor="text1"/>
        </w:rPr>
        <w:t xml:space="preserve">it </w:t>
      </w:r>
      <w:r w:rsidRPr="006D1AED">
        <w:rPr>
          <w:rFonts w:ascii="Arial" w:hAnsi="Arial"/>
          <w:color w:val="000000" w:themeColor="text1"/>
        </w:rPr>
        <w:t>is undisputed that on 21 April 2021</w:t>
      </w:r>
      <w:r w:rsidR="0011304F">
        <w:rPr>
          <w:rFonts w:ascii="Arial" w:hAnsi="Arial"/>
          <w:color w:val="000000" w:themeColor="text1"/>
        </w:rPr>
        <w:t>,</w:t>
      </w:r>
      <w:r w:rsidRPr="006D1AED">
        <w:rPr>
          <w:rFonts w:ascii="Arial" w:hAnsi="Arial"/>
          <w:color w:val="000000" w:themeColor="text1"/>
        </w:rPr>
        <w:t xml:space="preserve"> </w:t>
      </w:r>
      <w:r w:rsidR="006D1AED" w:rsidRPr="006D1AED">
        <w:rPr>
          <w:rFonts w:ascii="Arial" w:hAnsi="Arial"/>
          <w:color w:val="000000" w:themeColor="text1"/>
        </w:rPr>
        <w:t xml:space="preserve">a warrant for the arrest of Mr de Klerk </w:t>
      </w:r>
      <w:r w:rsidR="00647CC4">
        <w:rPr>
          <w:rFonts w:ascii="Arial" w:hAnsi="Arial"/>
          <w:color w:val="000000" w:themeColor="text1"/>
        </w:rPr>
        <w:t>was</w:t>
      </w:r>
      <w:r w:rsidR="006D1AED" w:rsidRPr="006D1AED">
        <w:rPr>
          <w:rFonts w:ascii="Arial" w:hAnsi="Arial"/>
          <w:color w:val="000000" w:themeColor="text1"/>
        </w:rPr>
        <w:t xml:space="preserve"> issued out of</w:t>
      </w:r>
      <w:r w:rsidRPr="006D1AED">
        <w:rPr>
          <w:rFonts w:ascii="Arial" w:hAnsi="Arial"/>
          <w:color w:val="000000" w:themeColor="text1"/>
        </w:rPr>
        <w:t xml:space="preserve"> the Windhoek Magistrate’s Court</w:t>
      </w:r>
      <w:r w:rsidR="000D2246">
        <w:rPr>
          <w:rFonts w:ascii="Arial" w:hAnsi="Arial"/>
          <w:color w:val="000000" w:themeColor="text1"/>
        </w:rPr>
        <w:t>, which r</w:t>
      </w:r>
      <w:r w:rsidR="006D1AED" w:rsidRPr="006D1AED">
        <w:rPr>
          <w:rFonts w:ascii="Arial" w:hAnsi="Arial"/>
          <w:color w:val="000000" w:themeColor="text1"/>
        </w:rPr>
        <w:t xml:space="preserve">emains unexecuted. She accordingly submitted that Mr de Klerk </w:t>
      </w:r>
      <w:r w:rsidR="00647CC4">
        <w:rPr>
          <w:rFonts w:ascii="Arial" w:hAnsi="Arial"/>
          <w:color w:val="000000" w:themeColor="text1"/>
        </w:rPr>
        <w:t>meets all the attributes</w:t>
      </w:r>
      <w:r w:rsidR="00841EAA">
        <w:rPr>
          <w:rFonts w:ascii="Arial" w:hAnsi="Arial"/>
          <w:color w:val="000000" w:themeColor="text1"/>
        </w:rPr>
        <w:t xml:space="preserve"> of a person identified </w:t>
      </w:r>
      <w:r w:rsidR="00647CC4">
        <w:rPr>
          <w:rFonts w:ascii="Arial" w:hAnsi="Arial"/>
          <w:color w:val="000000" w:themeColor="text1"/>
        </w:rPr>
        <w:t>in s 99</w:t>
      </w:r>
      <w:r w:rsidR="00841EAA">
        <w:rPr>
          <w:rFonts w:ascii="Arial" w:hAnsi="Arial"/>
          <w:color w:val="000000" w:themeColor="text1"/>
        </w:rPr>
        <w:t xml:space="preserve">(b) of </w:t>
      </w:r>
      <w:r w:rsidR="00710AC5">
        <w:rPr>
          <w:rFonts w:ascii="Arial" w:hAnsi="Arial"/>
          <w:color w:val="000000" w:themeColor="text1"/>
        </w:rPr>
        <w:t xml:space="preserve">the </w:t>
      </w:r>
      <w:r w:rsidR="00841EAA">
        <w:rPr>
          <w:rFonts w:ascii="Arial" w:hAnsi="Arial"/>
          <w:color w:val="000000" w:themeColor="text1"/>
        </w:rPr>
        <w:t>POCA</w:t>
      </w:r>
      <w:r w:rsidR="00647CC4">
        <w:rPr>
          <w:rFonts w:ascii="Arial" w:hAnsi="Arial"/>
          <w:color w:val="000000" w:themeColor="text1"/>
        </w:rPr>
        <w:t xml:space="preserve"> and </w:t>
      </w:r>
      <w:r w:rsidR="006D1AED" w:rsidRPr="006D1AED">
        <w:rPr>
          <w:rFonts w:ascii="Arial" w:hAnsi="Arial"/>
          <w:color w:val="000000" w:themeColor="text1"/>
        </w:rPr>
        <w:t>is</w:t>
      </w:r>
      <w:r w:rsidR="00710AC5">
        <w:rPr>
          <w:rFonts w:ascii="Arial" w:hAnsi="Arial"/>
          <w:color w:val="000000" w:themeColor="text1"/>
        </w:rPr>
        <w:t xml:space="preserve"> thus, de Klerk is </w:t>
      </w:r>
      <w:r w:rsidR="00647CC4">
        <w:rPr>
          <w:rFonts w:ascii="Arial" w:hAnsi="Arial"/>
          <w:color w:val="000000" w:themeColor="text1"/>
        </w:rPr>
        <w:t xml:space="preserve">a person </w:t>
      </w:r>
      <w:r w:rsidR="006D1AED" w:rsidRPr="006D1AED">
        <w:rPr>
          <w:rFonts w:ascii="Arial" w:hAnsi="Arial"/>
          <w:color w:val="000000" w:themeColor="text1"/>
        </w:rPr>
        <w:t>contemplated under s 99</w:t>
      </w:r>
      <w:r w:rsidR="00647CC4">
        <w:rPr>
          <w:rFonts w:ascii="Arial" w:hAnsi="Arial"/>
          <w:color w:val="000000" w:themeColor="text1"/>
        </w:rPr>
        <w:t xml:space="preserve">. </w:t>
      </w:r>
      <w:r w:rsidR="00710AC5">
        <w:rPr>
          <w:rFonts w:ascii="Arial" w:hAnsi="Arial"/>
          <w:color w:val="000000" w:themeColor="text1"/>
        </w:rPr>
        <w:t>Accordingly, de Klerk</w:t>
      </w:r>
      <w:r w:rsidR="00647CC4">
        <w:rPr>
          <w:rFonts w:ascii="Arial" w:hAnsi="Arial"/>
          <w:color w:val="000000" w:themeColor="text1"/>
        </w:rPr>
        <w:t xml:space="preserve"> is </w:t>
      </w:r>
      <w:r w:rsidR="006D1AED" w:rsidRPr="006D1AED">
        <w:rPr>
          <w:rFonts w:ascii="Arial" w:hAnsi="Arial"/>
          <w:color w:val="000000" w:themeColor="text1"/>
        </w:rPr>
        <w:t>a fugitive from justice</w:t>
      </w:r>
      <w:r w:rsidR="00647CC4">
        <w:rPr>
          <w:rFonts w:ascii="Arial" w:hAnsi="Arial"/>
          <w:color w:val="000000" w:themeColor="text1"/>
        </w:rPr>
        <w:t xml:space="preserve"> for the purpose of s 99</w:t>
      </w:r>
      <w:r w:rsidR="00710AC5">
        <w:rPr>
          <w:rFonts w:ascii="Arial" w:hAnsi="Arial"/>
          <w:color w:val="000000" w:themeColor="text1"/>
        </w:rPr>
        <w:t xml:space="preserve"> of the POCA</w:t>
      </w:r>
      <w:r w:rsidR="006D1AED" w:rsidRPr="006D1AED">
        <w:rPr>
          <w:rFonts w:ascii="Arial" w:hAnsi="Arial"/>
          <w:color w:val="000000" w:themeColor="text1"/>
        </w:rPr>
        <w:t>.</w:t>
      </w:r>
    </w:p>
    <w:p w:rsidR="00647CC4" w:rsidRDefault="00647CC4" w:rsidP="008D659B">
      <w:pPr>
        <w:spacing w:line="360" w:lineRule="auto"/>
        <w:contextualSpacing/>
        <w:jc w:val="both"/>
        <w:rPr>
          <w:rFonts w:ascii="Arial" w:hAnsi="Arial"/>
          <w:color w:val="000000" w:themeColor="text1"/>
        </w:rPr>
      </w:pPr>
    </w:p>
    <w:p w:rsidR="00266B57" w:rsidRDefault="006D1AED" w:rsidP="008D659B">
      <w:pPr>
        <w:tabs>
          <w:tab w:val="decimal" w:pos="360"/>
        </w:tabs>
        <w:spacing w:line="360" w:lineRule="auto"/>
        <w:contextualSpacing/>
        <w:jc w:val="both"/>
        <w:rPr>
          <w:rFonts w:ascii="Arial" w:hAnsi="Arial"/>
          <w:lang w:val="en-US"/>
        </w:rPr>
      </w:pPr>
      <w:r>
        <w:rPr>
          <w:rFonts w:ascii="Arial" w:hAnsi="Arial"/>
          <w:color w:val="000000" w:themeColor="text1"/>
        </w:rPr>
        <w:t>[</w:t>
      </w:r>
      <w:r w:rsidR="007540E8">
        <w:rPr>
          <w:rFonts w:ascii="Arial" w:hAnsi="Arial"/>
          <w:color w:val="000000" w:themeColor="text1"/>
        </w:rPr>
        <w:t>30</w:t>
      </w:r>
      <w:r>
        <w:rPr>
          <w:rFonts w:ascii="Arial" w:hAnsi="Arial"/>
          <w:color w:val="000000" w:themeColor="text1"/>
        </w:rPr>
        <w:t>]</w:t>
      </w:r>
      <w:r>
        <w:rPr>
          <w:rFonts w:ascii="Arial" w:hAnsi="Arial"/>
          <w:color w:val="000000" w:themeColor="text1"/>
        </w:rPr>
        <w:tab/>
        <w:t>Mr de Klerk</w:t>
      </w:r>
      <w:r w:rsidR="0011304F">
        <w:rPr>
          <w:rFonts w:ascii="Arial" w:hAnsi="Arial"/>
          <w:color w:val="000000" w:themeColor="text1"/>
        </w:rPr>
        <w:t>,</w:t>
      </w:r>
      <w:r>
        <w:rPr>
          <w:rFonts w:ascii="Arial" w:hAnsi="Arial"/>
          <w:color w:val="000000" w:themeColor="text1"/>
        </w:rPr>
        <w:t xml:space="preserve"> </w:t>
      </w:r>
      <w:r w:rsidR="006301DA">
        <w:rPr>
          <w:rFonts w:ascii="Arial" w:hAnsi="Arial"/>
          <w:color w:val="000000" w:themeColor="text1"/>
        </w:rPr>
        <w:t>in his replying affida</w:t>
      </w:r>
      <w:r w:rsidR="00647CC4">
        <w:rPr>
          <w:rFonts w:ascii="Arial" w:hAnsi="Arial"/>
          <w:color w:val="000000" w:themeColor="text1"/>
        </w:rPr>
        <w:t>vit</w:t>
      </w:r>
      <w:r w:rsidR="0011304F">
        <w:rPr>
          <w:rFonts w:ascii="Arial" w:hAnsi="Arial"/>
          <w:color w:val="000000" w:themeColor="text1"/>
        </w:rPr>
        <w:t>,</w:t>
      </w:r>
      <w:r w:rsidR="006301DA">
        <w:rPr>
          <w:rFonts w:ascii="Arial" w:hAnsi="Arial"/>
          <w:color w:val="000000" w:themeColor="text1"/>
        </w:rPr>
        <w:t xml:space="preserve"> contends that </w:t>
      </w:r>
      <w:r w:rsidR="006301DA">
        <w:rPr>
          <w:rFonts w:ascii="Arial" w:hAnsi="Arial"/>
          <w:lang w:val="en-US"/>
        </w:rPr>
        <w:t xml:space="preserve">the </w:t>
      </w:r>
      <w:r w:rsidR="006301DA" w:rsidRPr="00AF4F83">
        <w:rPr>
          <w:rFonts w:ascii="Arial" w:hAnsi="Arial"/>
          <w:lang w:val="en-US"/>
        </w:rPr>
        <w:t>Prosecutor General's interpretation of s 99 is constitutionally offensive</w:t>
      </w:r>
      <w:r w:rsidR="006301DA">
        <w:rPr>
          <w:rFonts w:ascii="Arial" w:hAnsi="Arial"/>
          <w:lang w:val="en-US"/>
        </w:rPr>
        <w:t>. He</w:t>
      </w:r>
      <w:r w:rsidR="00D93274">
        <w:rPr>
          <w:rFonts w:ascii="Arial" w:hAnsi="Arial"/>
          <w:lang w:val="en-US"/>
        </w:rPr>
        <w:t xml:space="preserve"> </w:t>
      </w:r>
      <w:r w:rsidR="007540E8">
        <w:rPr>
          <w:rFonts w:ascii="Arial" w:hAnsi="Arial"/>
          <w:lang w:val="en-US"/>
        </w:rPr>
        <w:t xml:space="preserve">relies on the reasons that he set out in </w:t>
      </w:r>
      <w:r w:rsidR="0011304F">
        <w:rPr>
          <w:rFonts w:ascii="Arial" w:hAnsi="Arial"/>
          <w:lang w:val="en-US"/>
        </w:rPr>
        <w:t>his</w:t>
      </w:r>
      <w:r w:rsidR="007540E8">
        <w:rPr>
          <w:rFonts w:ascii="Arial" w:hAnsi="Arial"/>
          <w:lang w:val="en-US"/>
        </w:rPr>
        <w:t xml:space="preserve"> founding affidavit a</w:t>
      </w:r>
      <w:r w:rsidR="00D93274">
        <w:rPr>
          <w:rFonts w:ascii="Arial" w:hAnsi="Arial"/>
          <w:lang w:val="en-US"/>
        </w:rPr>
        <w:t xml:space="preserve">s the reasons why he remains outside the jurisdiction of this </w:t>
      </w:r>
      <w:r w:rsidR="007540E8">
        <w:rPr>
          <w:rFonts w:ascii="Arial" w:hAnsi="Arial"/>
          <w:lang w:val="en-US"/>
        </w:rPr>
        <w:t xml:space="preserve">Court. </w:t>
      </w:r>
      <w:r w:rsidR="00B50F3C">
        <w:rPr>
          <w:rFonts w:ascii="Arial" w:hAnsi="Arial"/>
          <w:lang w:val="en-US"/>
        </w:rPr>
        <w:t>He</w:t>
      </w:r>
      <w:r w:rsidR="00D93274">
        <w:rPr>
          <w:rFonts w:ascii="Arial" w:hAnsi="Arial"/>
          <w:lang w:val="en-US"/>
        </w:rPr>
        <w:t xml:space="preserve"> furthermore reasoned that </w:t>
      </w:r>
      <w:r w:rsidR="006301DA">
        <w:rPr>
          <w:rFonts w:ascii="Arial" w:hAnsi="Arial"/>
          <w:lang w:val="en-US"/>
        </w:rPr>
        <w:t xml:space="preserve">on </w:t>
      </w:r>
      <w:r w:rsidR="00710AC5">
        <w:rPr>
          <w:rFonts w:ascii="Arial" w:hAnsi="Arial"/>
          <w:lang w:val="en-US"/>
        </w:rPr>
        <w:t>0</w:t>
      </w:r>
      <w:r w:rsidR="006301DA" w:rsidRPr="00AF4F83">
        <w:rPr>
          <w:rFonts w:ascii="Arial" w:hAnsi="Arial"/>
          <w:lang w:val="en-US"/>
        </w:rPr>
        <w:t>1 June 2023</w:t>
      </w:r>
      <w:r w:rsidR="0011304F">
        <w:rPr>
          <w:rFonts w:ascii="Arial" w:hAnsi="Arial"/>
          <w:lang w:val="en-US"/>
        </w:rPr>
        <w:t>,</w:t>
      </w:r>
      <w:r w:rsidR="006301DA" w:rsidRPr="00AF4F83">
        <w:rPr>
          <w:rFonts w:ascii="Arial" w:hAnsi="Arial"/>
          <w:lang w:val="en-US"/>
        </w:rPr>
        <w:t xml:space="preserve"> </w:t>
      </w:r>
      <w:r w:rsidR="006301DA">
        <w:rPr>
          <w:rFonts w:ascii="Arial" w:hAnsi="Arial"/>
          <w:lang w:val="en-US"/>
        </w:rPr>
        <w:t>he</w:t>
      </w:r>
      <w:r w:rsidR="006301DA" w:rsidRPr="00AF4F83">
        <w:rPr>
          <w:rFonts w:ascii="Arial" w:hAnsi="Arial"/>
          <w:lang w:val="en-US"/>
        </w:rPr>
        <w:t xml:space="preserve"> was arrested by members of the South African Police Service </w:t>
      </w:r>
      <w:r w:rsidR="006301DA">
        <w:rPr>
          <w:rFonts w:ascii="Arial" w:hAnsi="Arial"/>
          <w:lang w:val="en-US"/>
        </w:rPr>
        <w:t>(</w:t>
      </w:r>
      <w:r w:rsidR="006301DA" w:rsidRPr="006301DA">
        <w:rPr>
          <w:rFonts w:ascii="Arial" w:hAnsi="Arial"/>
          <w:lang w:val="en-US"/>
        </w:rPr>
        <w:t>SAPS)</w:t>
      </w:r>
      <w:r w:rsidR="006301DA">
        <w:rPr>
          <w:rFonts w:ascii="Arial" w:hAnsi="Arial"/>
          <w:lang w:val="en-US"/>
        </w:rPr>
        <w:t xml:space="preserve"> </w:t>
      </w:r>
      <w:r w:rsidR="006301DA" w:rsidRPr="00AF4F83">
        <w:rPr>
          <w:rFonts w:ascii="Arial" w:hAnsi="Arial"/>
          <w:lang w:val="en-US"/>
        </w:rPr>
        <w:t xml:space="preserve">pursuant to the execution of a warrant for </w:t>
      </w:r>
      <w:r w:rsidR="006301DA">
        <w:rPr>
          <w:rFonts w:ascii="Arial" w:hAnsi="Arial"/>
          <w:lang w:val="en-US"/>
        </w:rPr>
        <w:t>his</w:t>
      </w:r>
      <w:r w:rsidR="006301DA" w:rsidRPr="00AF4F83">
        <w:rPr>
          <w:rFonts w:ascii="Arial" w:hAnsi="Arial"/>
          <w:lang w:val="en-US"/>
        </w:rPr>
        <w:t xml:space="preserve"> </w:t>
      </w:r>
      <w:r w:rsidR="00710AC5">
        <w:rPr>
          <w:rFonts w:ascii="Arial" w:hAnsi="Arial"/>
          <w:lang w:val="en-US"/>
        </w:rPr>
        <w:t>arrest issued by the Magistrates Court in</w:t>
      </w:r>
      <w:r w:rsidR="006301DA" w:rsidRPr="00AF4F83">
        <w:rPr>
          <w:rFonts w:ascii="Arial" w:hAnsi="Arial"/>
          <w:lang w:val="en-US"/>
        </w:rPr>
        <w:t xml:space="preserve"> Paarl</w:t>
      </w:r>
      <w:r w:rsidR="00647CC4">
        <w:rPr>
          <w:rStyle w:val="FootnoteReference"/>
          <w:rFonts w:ascii="Arial" w:hAnsi="Arial"/>
          <w:lang w:val="en-US"/>
        </w:rPr>
        <w:footnoteReference w:id="2"/>
      </w:r>
      <w:r w:rsidR="006301DA" w:rsidRPr="00AF4F83">
        <w:rPr>
          <w:rFonts w:ascii="Arial" w:hAnsi="Arial"/>
          <w:lang w:val="en-US"/>
        </w:rPr>
        <w:t xml:space="preserve"> on or about </w:t>
      </w:r>
      <w:r w:rsidR="00710AC5">
        <w:rPr>
          <w:rFonts w:ascii="Arial" w:hAnsi="Arial"/>
          <w:lang w:val="en-US"/>
        </w:rPr>
        <w:t>0</w:t>
      </w:r>
      <w:r w:rsidR="006301DA" w:rsidRPr="00AF4F83">
        <w:rPr>
          <w:rFonts w:ascii="Arial" w:hAnsi="Arial"/>
          <w:lang w:val="en-US"/>
        </w:rPr>
        <w:t xml:space="preserve">1 February 2022 in terms of </w:t>
      </w:r>
      <w:r w:rsidR="00710AC5">
        <w:rPr>
          <w:rFonts w:ascii="Arial" w:hAnsi="Arial"/>
          <w:lang w:val="en-US"/>
        </w:rPr>
        <w:t>s</w:t>
      </w:r>
      <w:r w:rsidR="006301DA" w:rsidRPr="00AF4F83">
        <w:rPr>
          <w:rFonts w:ascii="Arial" w:hAnsi="Arial"/>
          <w:lang w:val="en-US"/>
        </w:rPr>
        <w:t xml:space="preserve"> 5</w:t>
      </w:r>
      <w:r w:rsidR="00710AC5">
        <w:rPr>
          <w:rFonts w:ascii="Arial" w:hAnsi="Arial"/>
          <w:lang w:val="en-US"/>
        </w:rPr>
        <w:t xml:space="preserve"> </w:t>
      </w:r>
      <w:r w:rsidR="006301DA" w:rsidRPr="00AF4F83">
        <w:rPr>
          <w:rFonts w:ascii="Arial" w:hAnsi="Arial"/>
          <w:lang w:val="en-US"/>
        </w:rPr>
        <w:t>(1)(</w:t>
      </w:r>
      <w:r w:rsidR="006301DA" w:rsidRPr="007867D7">
        <w:rPr>
          <w:rFonts w:ascii="Arial" w:hAnsi="Arial"/>
          <w:i/>
          <w:lang w:val="en-US"/>
        </w:rPr>
        <w:t>b)</w:t>
      </w:r>
      <w:r w:rsidR="006301DA" w:rsidRPr="00AF4F83">
        <w:rPr>
          <w:rFonts w:ascii="Arial" w:hAnsi="Arial"/>
          <w:lang w:val="en-US"/>
        </w:rPr>
        <w:t xml:space="preserve"> of the South African Extradition Act 67 of 1962</w:t>
      </w:r>
      <w:r w:rsidR="006301DA">
        <w:rPr>
          <w:rFonts w:ascii="Arial" w:hAnsi="Arial"/>
          <w:lang w:val="en-US"/>
        </w:rPr>
        <w:t xml:space="preserve">. He continued and </w:t>
      </w:r>
      <w:r w:rsidR="006912BA">
        <w:rPr>
          <w:rFonts w:ascii="Arial" w:hAnsi="Arial"/>
          <w:lang w:val="en-US"/>
        </w:rPr>
        <w:t>reasoned that following his</w:t>
      </w:r>
      <w:r w:rsidR="006301DA" w:rsidRPr="00AF4F83">
        <w:rPr>
          <w:rFonts w:ascii="Arial" w:hAnsi="Arial"/>
          <w:lang w:val="en-US"/>
        </w:rPr>
        <w:t xml:space="preserve"> arrest, </w:t>
      </w:r>
      <w:r w:rsidR="00BB23D7">
        <w:rPr>
          <w:rFonts w:ascii="Arial" w:hAnsi="Arial"/>
          <w:lang w:val="en-US"/>
        </w:rPr>
        <w:t>he</w:t>
      </w:r>
      <w:r w:rsidR="006301DA" w:rsidRPr="00AF4F83">
        <w:rPr>
          <w:rFonts w:ascii="Arial" w:hAnsi="Arial"/>
          <w:lang w:val="en-US"/>
        </w:rPr>
        <w:t xml:space="preserve"> appeared </w:t>
      </w:r>
      <w:r w:rsidR="00BB23D7" w:rsidRPr="00AF4F83">
        <w:rPr>
          <w:rFonts w:ascii="Arial" w:hAnsi="Arial"/>
          <w:lang w:val="en-US"/>
        </w:rPr>
        <w:t>in</w:t>
      </w:r>
      <w:r w:rsidR="006301DA" w:rsidRPr="00AF4F83">
        <w:rPr>
          <w:rFonts w:ascii="Arial" w:hAnsi="Arial"/>
          <w:lang w:val="en-US"/>
        </w:rPr>
        <w:t xml:space="preserve"> the Paarl Magistrates Court on 2 June 2023</w:t>
      </w:r>
      <w:r w:rsidR="00266B57">
        <w:rPr>
          <w:rFonts w:ascii="Arial" w:hAnsi="Arial"/>
          <w:lang w:val="en-US"/>
        </w:rPr>
        <w:t xml:space="preserve"> and</w:t>
      </w:r>
      <w:r w:rsidR="006301DA" w:rsidRPr="00AF4F83">
        <w:rPr>
          <w:rFonts w:ascii="Arial" w:hAnsi="Arial"/>
          <w:lang w:val="en-US"/>
        </w:rPr>
        <w:t xml:space="preserve"> applied to be released on bail</w:t>
      </w:r>
      <w:r w:rsidR="00266B57">
        <w:rPr>
          <w:rFonts w:ascii="Arial" w:hAnsi="Arial"/>
          <w:lang w:val="en-US"/>
        </w:rPr>
        <w:t>. He states that he was granted bail on c</w:t>
      </w:r>
      <w:r w:rsidR="00710AC5">
        <w:rPr>
          <w:rFonts w:ascii="Arial" w:hAnsi="Arial"/>
          <w:lang w:val="en-US"/>
        </w:rPr>
        <w:t xml:space="preserve">ertain conditions, </w:t>
      </w:r>
      <w:r w:rsidR="00266B57">
        <w:rPr>
          <w:rFonts w:ascii="Arial" w:hAnsi="Arial"/>
          <w:lang w:val="en-US"/>
        </w:rPr>
        <w:t>which conditions he complies with.</w:t>
      </w:r>
    </w:p>
    <w:p w:rsidR="00266B57" w:rsidRPr="00266B57" w:rsidRDefault="00266B57" w:rsidP="008D659B">
      <w:pPr>
        <w:tabs>
          <w:tab w:val="decimal" w:pos="360"/>
        </w:tabs>
        <w:spacing w:line="360" w:lineRule="auto"/>
        <w:contextualSpacing/>
        <w:jc w:val="both"/>
        <w:rPr>
          <w:rFonts w:ascii="Arial" w:hAnsi="Arial"/>
          <w:lang w:val="en-US"/>
        </w:rPr>
      </w:pPr>
    </w:p>
    <w:p w:rsidR="006D1AED" w:rsidRDefault="00266B57" w:rsidP="008D659B">
      <w:pPr>
        <w:spacing w:line="360" w:lineRule="auto"/>
        <w:contextualSpacing/>
        <w:jc w:val="both"/>
        <w:rPr>
          <w:rFonts w:ascii="Arial" w:hAnsi="Arial"/>
          <w:lang w:val="en-US"/>
        </w:rPr>
      </w:pPr>
      <w:r w:rsidRPr="00266B57">
        <w:rPr>
          <w:rFonts w:ascii="Arial" w:hAnsi="Arial"/>
          <w:lang w:val="en-US"/>
        </w:rPr>
        <w:t>[</w:t>
      </w:r>
      <w:r w:rsidR="007540E8">
        <w:rPr>
          <w:rFonts w:ascii="Arial" w:hAnsi="Arial"/>
          <w:lang w:val="en-US"/>
        </w:rPr>
        <w:t>31</w:t>
      </w:r>
      <w:r w:rsidRPr="00266B57">
        <w:rPr>
          <w:rFonts w:ascii="Arial" w:hAnsi="Arial"/>
          <w:lang w:val="en-US"/>
        </w:rPr>
        <w:t>]</w:t>
      </w:r>
      <w:r w:rsidRPr="00266B57">
        <w:rPr>
          <w:rFonts w:ascii="Arial" w:hAnsi="Arial"/>
          <w:lang w:val="en-US"/>
        </w:rPr>
        <w:tab/>
      </w:r>
      <w:r w:rsidRPr="00266B57">
        <w:rPr>
          <w:rFonts w:ascii="Arial" w:hAnsi="Arial"/>
        </w:rPr>
        <w:t>Mr de K</w:t>
      </w:r>
      <w:r w:rsidR="00647CC4">
        <w:rPr>
          <w:rFonts w:ascii="Arial" w:hAnsi="Arial"/>
        </w:rPr>
        <w:t>lerk</w:t>
      </w:r>
      <w:r w:rsidRPr="00266B57">
        <w:rPr>
          <w:rFonts w:ascii="Arial" w:hAnsi="Arial"/>
        </w:rPr>
        <w:t xml:space="preserve"> furthermore reasoned that</w:t>
      </w:r>
      <w:r w:rsidR="0011304F">
        <w:rPr>
          <w:rFonts w:ascii="Arial" w:hAnsi="Arial"/>
        </w:rPr>
        <w:t>,</w:t>
      </w:r>
      <w:r w:rsidRPr="00266B57">
        <w:rPr>
          <w:rFonts w:ascii="Arial" w:hAnsi="Arial"/>
        </w:rPr>
        <w:t xml:space="preserve"> b</w:t>
      </w:r>
      <w:proofErr w:type="spellStart"/>
      <w:r w:rsidR="00710AC5">
        <w:rPr>
          <w:rFonts w:ascii="Arial" w:hAnsi="Arial"/>
          <w:lang w:val="en-US"/>
        </w:rPr>
        <w:t>y</w:t>
      </w:r>
      <w:proofErr w:type="spellEnd"/>
      <w:r w:rsidR="006301DA" w:rsidRPr="00266B57">
        <w:rPr>
          <w:rFonts w:ascii="Arial" w:hAnsi="Arial"/>
          <w:lang w:val="en-US"/>
        </w:rPr>
        <w:t xml:space="preserve"> virtue of the warrant for </w:t>
      </w:r>
      <w:r w:rsidRPr="00266B57">
        <w:rPr>
          <w:rFonts w:ascii="Arial" w:hAnsi="Arial"/>
          <w:lang w:val="en-US"/>
        </w:rPr>
        <w:t>his</w:t>
      </w:r>
      <w:r w:rsidR="0011304F">
        <w:rPr>
          <w:rFonts w:ascii="Arial" w:hAnsi="Arial"/>
          <w:lang w:val="en-US"/>
        </w:rPr>
        <w:t xml:space="preserve"> arrest,</w:t>
      </w:r>
      <w:r w:rsidR="006301DA" w:rsidRPr="00266B57">
        <w:rPr>
          <w:rFonts w:ascii="Arial" w:hAnsi="Arial"/>
          <w:lang w:val="en-US"/>
        </w:rPr>
        <w:t xml:space="preserve"> the filing of an indictment in which </w:t>
      </w:r>
      <w:r w:rsidRPr="00266B57">
        <w:rPr>
          <w:rFonts w:ascii="Arial" w:hAnsi="Arial"/>
          <w:lang w:val="en-US"/>
        </w:rPr>
        <w:t xml:space="preserve">he is </w:t>
      </w:r>
      <w:r w:rsidR="006301DA" w:rsidRPr="00266B57">
        <w:rPr>
          <w:rFonts w:ascii="Arial" w:hAnsi="Arial"/>
          <w:lang w:val="en-US"/>
        </w:rPr>
        <w:t xml:space="preserve">listed as an accused </w:t>
      </w:r>
      <w:r w:rsidR="00710AC5">
        <w:rPr>
          <w:rFonts w:ascii="Arial" w:hAnsi="Arial"/>
          <w:lang w:val="en-US"/>
        </w:rPr>
        <w:t xml:space="preserve">person; </w:t>
      </w:r>
      <w:r w:rsidR="006301DA" w:rsidRPr="00266B57">
        <w:rPr>
          <w:rFonts w:ascii="Arial" w:hAnsi="Arial"/>
          <w:lang w:val="en-US"/>
        </w:rPr>
        <w:t xml:space="preserve">the application for </w:t>
      </w:r>
      <w:r w:rsidRPr="00266B57">
        <w:rPr>
          <w:rFonts w:ascii="Arial" w:hAnsi="Arial"/>
          <w:lang w:val="en-US"/>
        </w:rPr>
        <w:t>his</w:t>
      </w:r>
      <w:r w:rsidR="006301DA" w:rsidRPr="00266B57">
        <w:rPr>
          <w:rFonts w:ascii="Arial" w:hAnsi="Arial"/>
          <w:lang w:val="en-US"/>
        </w:rPr>
        <w:t xml:space="preserve"> extradition and the subsequent granting of bail to </w:t>
      </w:r>
      <w:r w:rsidR="001706D1">
        <w:rPr>
          <w:rFonts w:ascii="Arial" w:hAnsi="Arial"/>
          <w:lang w:val="en-US"/>
        </w:rPr>
        <w:t>him</w:t>
      </w:r>
      <w:r w:rsidR="006301DA" w:rsidRPr="00266B57">
        <w:rPr>
          <w:rFonts w:ascii="Arial" w:hAnsi="Arial"/>
          <w:lang w:val="en-US"/>
        </w:rPr>
        <w:t xml:space="preserve">, </w:t>
      </w:r>
      <w:r w:rsidRPr="00266B57">
        <w:rPr>
          <w:rFonts w:ascii="Arial" w:hAnsi="Arial"/>
          <w:lang w:val="en-US"/>
        </w:rPr>
        <w:t>he has</w:t>
      </w:r>
      <w:r w:rsidR="006301DA" w:rsidRPr="00266B57">
        <w:rPr>
          <w:rFonts w:ascii="Arial" w:hAnsi="Arial"/>
          <w:lang w:val="en-US"/>
        </w:rPr>
        <w:t xml:space="preserve"> the requisite </w:t>
      </w:r>
      <w:r w:rsidR="006301DA" w:rsidRPr="007867D7">
        <w:rPr>
          <w:rFonts w:ascii="Arial" w:hAnsi="Arial"/>
          <w:i/>
          <w:lang w:val="en-US"/>
        </w:rPr>
        <w:t xml:space="preserve">locus </w:t>
      </w:r>
      <w:r w:rsidR="001706D1" w:rsidRPr="007867D7">
        <w:rPr>
          <w:rFonts w:ascii="Arial" w:hAnsi="Arial"/>
          <w:i/>
          <w:lang w:val="en-US"/>
        </w:rPr>
        <w:t>stand</w:t>
      </w:r>
      <w:r w:rsidR="007867D7" w:rsidRPr="007867D7">
        <w:rPr>
          <w:rFonts w:ascii="Arial" w:hAnsi="Arial"/>
          <w:i/>
          <w:lang w:val="en-US"/>
        </w:rPr>
        <w:t>i</w:t>
      </w:r>
      <w:r w:rsidR="006301DA" w:rsidRPr="00266B57">
        <w:rPr>
          <w:rFonts w:ascii="Arial" w:hAnsi="Arial"/>
          <w:i/>
          <w:lang w:val="en-US"/>
        </w:rPr>
        <w:t xml:space="preserve"> </w:t>
      </w:r>
      <w:r w:rsidR="006301DA" w:rsidRPr="00266B57">
        <w:rPr>
          <w:rFonts w:ascii="Arial" w:hAnsi="Arial"/>
          <w:lang w:val="en-US"/>
        </w:rPr>
        <w:t xml:space="preserve">to move </w:t>
      </w:r>
      <w:r w:rsidR="001706D1">
        <w:rPr>
          <w:rFonts w:ascii="Arial" w:hAnsi="Arial"/>
          <w:lang w:val="en-US"/>
        </w:rPr>
        <w:t>the application for rescission</w:t>
      </w:r>
      <w:r w:rsidR="006301DA" w:rsidRPr="00266B57">
        <w:rPr>
          <w:rFonts w:ascii="Arial" w:hAnsi="Arial"/>
          <w:lang w:val="en-US"/>
        </w:rPr>
        <w:t xml:space="preserve"> and more </w:t>
      </w:r>
      <w:r w:rsidR="00710AC5">
        <w:rPr>
          <w:rFonts w:ascii="Arial" w:hAnsi="Arial"/>
          <w:lang w:val="en-US"/>
        </w:rPr>
        <w:t xml:space="preserve">importantly, </w:t>
      </w:r>
      <w:r w:rsidR="006301DA" w:rsidRPr="00266B57">
        <w:rPr>
          <w:rFonts w:ascii="Arial" w:hAnsi="Arial"/>
          <w:lang w:val="en-US"/>
        </w:rPr>
        <w:t xml:space="preserve">since </w:t>
      </w:r>
      <w:r w:rsidRPr="00266B57">
        <w:rPr>
          <w:rFonts w:ascii="Arial" w:hAnsi="Arial"/>
          <w:lang w:val="en-US"/>
        </w:rPr>
        <w:t>he has</w:t>
      </w:r>
      <w:r w:rsidR="006301DA" w:rsidRPr="00266B57">
        <w:rPr>
          <w:rFonts w:ascii="Arial" w:hAnsi="Arial"/>
          <w:lang w:val="en-US"/>
        </w:rPr>
        <w:t xml:space="preserve"> submitted </w:t>
      </w:r>
      <w:r w:rsidRPr="00266B57">
        <w:rPr>
          <w:rFonts w:ascii="Arial" w:hAnsi="Arial"/>
          <w:lang w:val="en-US"/>
        </w:rPr>
        <w:t>him</w:t>
      </w:r>
      <w:r w:rsidR="006301DA" w:rsidRPr="00266B57">
        <w:rPr>
          <w:rFonts w:ascii="Arial" w:hAnsi="Arial"/>
          <w:lang w:val="en-US"/>
        </w:rPr>
        <w:t xml:space="preserve">self to the juristic process initiated by the </w:t>
      </w:r>
      <w:r w:rsidRPr="00266B57">
        <w:rPr>
          <w:rFonts w:ascii="Arial" w:hAnsi="Arial"/>
          <w:lang w:val="en-US"/>
        </w:rPr>
        <w:t>Prosecutor General</w:t>
      </w:r>
      <w:r w:rsidR="006301DA" w:rsidRPr="00266B57">
        <w:rPr>
          <w:rFonts w:ascii="Arial" w:hAnsi="Arial"/>
          <w:lang w:val="en-US"/>
        </w:rPr>
        <w:t>, there ca</w:t>
      </w:r>
      <w:r w:rsidR="00710AC5">
        <w:rPr>
          <w:rFonts w:ascii="Arial" w:hAnsi="Arial"/>
          <w:lang w:val="en-US"/>
        </w:rPr>
        <w:t xml:space="preserve">n be no scintilla of doubt in law that </w:t>
      </w:r>
      <w:r w:rsidRPr="00266B57">
        <w:rPr>
          <w:rFonts w:ascii="Arial" w:hAnsi="Arial"/>
          <w:lang w:val="en-US"/>
        </w:rPr>
        <w:t>he</w:t>
      </w:r>
      <w:r w:rsidR="006301DA" w:rsidRPr="00266B57">
        <w:rPr>
          <w:rFonts w:ascii="Arial" w:hAnsi="Arial"/>
          <w:lang w:val="en-US"/>
        </w:rPr>
        <w:t xml:space="preserve"> can no longer be regarded as a fugitive.</w:t>
      </w:r>
    </w:p>
    <w:p w:rsidR="00710AC5" w:rsidRPr="0078259F" w:rsidRDefault="00710AC5" w:rsidP="008D659B">
      <w:pPr>
        <w:spacing w:line="360" w:lineRule="auto"/>
        <w:contextualSpacing/>
        <w:jc w:val="both"/>
        <w:rPr>
          <w:rFonts w:ascii="Arial" w:hAnsi="Arial"/>
          <w:lang w:val="en-US"/>
        </w:rPr>
      </w:pPr>
    </w:p>
    <w:p w:rsidR="003A1E33" w:rsidRDefault="00266B57" w:rsidP="008D659B">
      <w:pPr>
        <w:spacing w:line="360" w:lineRule="auto"/>
        <w:contextualSpacing/>
        <w:jc w:val="both"/>
        <w:rPr>
          <w:rFonts w:ascii="Arial" w:hAnsi="Arial"/>
          <w:lang w:val="en-US"/>
        </w:rPr>
      </w:pPr>
      <w:r w:rsidRPr="00266B57">
        <w:rPr>
          <w:rFonts w:ascii="Arial" w:hAnsi="Arial"/>
        </w:rPr>
        <w:lastRenderedPageBreak/>
        <w:t>[</w:t>
      </w:r>
      <w:r w:rsidR="007540E8">
        <w:rPr>
          <w:rFonts w:ascii="Arial" w:hAnsi="Arial"/>
        </w:rPr>
        <w:t>32</w:t>
      </w:r>
      <w:r w:rsidRPr="00266B57">
        <w:rPr>
          <w:rFonts w:ascii="Arial" w:hAnsi="Arial"/>
        </w:rPr>
        <w:t>]</w:t>
      </w:r>
      <w:r w:rsidRPr="00266B57">
        <w:rPr>
          <w:rFonts w:ascii="Arial" w:hAnsi="Arial"/>
        </w:rPr>
        <w:tab/>
        <w:t>Mr de Klerk</w:t>
      </w:r>
      <w:r>
        <w:rPr>
          <w:rFonts w:ascii="Arial" w:hAnsi="Arial"/>
        </w:rPr>
        <w:t>’s reasoning is flawed for one simple reason</w:t>
      </w:r>
      <w:r w:rsidR="003A1E33">
        <w:rPr>
          <w:rFonts w:ascii="Arial" w:hAnsi="Arial"/>
        </w:rPr>
        <w:t>.</w:t>
      </w:r>
      <w:r w:rsidR="003A1E33" w:rsidRPr="003A1E33">
        <w:rPr>
          <w:rFonts w:ascii="Arial" w:eastAsia="Times New Roman" w:hAnsi="Arial" w:cs="Arial"/>
          <w:color w:val="333333"/>
          <w:sz w:val="27"/>
          <w:szCs w:val="27"/>
          <w:lang w:val="en-US"/>
        </w:rPr>
        <w:t xml:space="preserve"> </w:t>
      </w:r>
      <w:r w:rsidR="003A1E33">
        <w:rPr>
          <w:rFonts w:ascii="Arial" w:hAnsi="Arial"/>
          <w:lang w:val="en-US"/>
        </w:rPr>
        <w:t xml:space="preserve">There is a </w:t>
      </w:r>
      <w:r w:rsidR="003A1E33" w:rsidRPr="003A1E33">
        <w:rPr>
          <w:rFonts w:ascii="Arial" w:hAnsi="Arial"/>
          <w:lang w:val="en-US"/>
        </w:rPr>
        <w:t>general principle that, unless the contrary is expressly enacted or so plainly implied</w:t>
      </w:r>
      <w:r w:rsidR="00710AC5">
        <w:rPr>
          <w:rFonts w:ascii="Arial" w:hAnsi="Arial"/>
          <w:lang w:val="en-US"/>
        </w:rPr>
        <w:t>, the C</w:t>
      </w:r>
      <w:r w:rsidR="003A1E33" w:rsidRPr="003A1E33">
        <w:rPr>
          <w:rFonts w:ascii="Arial" w:hAnsi="Arial"/>
          <w:lang w:val="en-US"/>
        </w:rPr>
        <w:t xml:space="preserve">ourts </w:t>
      </w:r>
      <w:r w:rsidR="004C17F2">
        <w:rPr>
          <w:rFonts w:ascii="Arial" w:hAnsi="Arial"/>
          <w:lang w:val="en-US"/>
        </w:rPr>
        <w:t xml:space="preserve">must give effect to it, legislation is </w:t>
      </w:r>
      <w:r w:rsidR="003A1E33" w:rsidRPr="003A1E33">
        <w:rPr>
          <w:rFonts w:ascii="Arial" w:hAnsi="Arial"/>
          <w:lang w:val="en-US"/>
        </w:rPr>
        <w:t>applicable only to persons in the country or doing business in the country in a way that subjects the person to local jurisdiction. Extraterritorially effective jurisdiction is possible if the terms of the legislation cannot effectually be applied or</w:t>
      </w:r>
      <w:r w:rsidR="004C17F2">
        <w:rPr>
          <w:rFonts w:ascii="Arial" w:hAnsi="Arial"/>
          <w:lang w:val="en-US"/>
        </w:rPr>
        <w:t xml:space="preserve"> its purpose cannot be achieved, </w:t>
      </w:r>
      <w:r w:rsidR="003A1E33" w:rsidRPr="003A1E33">
        <w:rPr>
          <w:rFonts w:ascii="Arial" w:hAnsi="Arial"/>
          <w:lang w:val="en-US"/>
        </w:rPr>
        <w:t>unless it has extraterritorial effect</w:t>
      </w:r>
      <w:r w:rsidR="004C17F2">
        <w:rPr>
          <w:rFonts w:ascii="Arial" w:hAnsi="Arial"/>
          <w:lang w:val="en-US"/>
        </w:rPr>
        <w:t>s</w:t>
      </w:r>
      <w:r w:rsidR="003A1E33" w:rsidRPr="003A1E33">
        <w:rPr>
          <w:rFonts w:ascii="Arial" w:hAnsi="Arial"/>
          <w:lang w:val="en-US"/>
        </w:rPr>
        <w:t xml:space="preserve"> or the legislation gives effect to a policy that the particular legislature must have intended to apply beyond the borders of the country</w:t>
      </w:r>
      <w:r w:rsidR="00710AC5">
        <w:rPr>
          <w:rFonts w:ascii="Arial" w:hAnsi="Arial"/>
          <w:lang w:val="en-US"/>
        </w:rPr>
        <w:t>.</w:t>
      </w:r>
      <w:r w:rsidR="003A1E33">
        <w:rPr>
          <w:rStyle w:val="FootnoteReference"/>
          <w:rFonts w:ascii="Arial" w:hAnsi="Arial"/>
          <w:lang w:val="en-US"/>
        </w:rPr>
        <w:footnoteReference w:id="3"/>
      </w:r>
    </w:p>
    <w:p w:rsidR="00D93274" w:rsidRDefault="00D93274" w:rsidP="008D659B">
      <w:pPr>
        <w:spacing w:line="360" w:lineRule="auto"/>
        <w:contextualSpacing/>
        <w:jc w:val="both"/>
        <w:rPr>
          <w:rFonts w:ascii="Arial" w:hAnsi="Arial"/>
          <w:lang w:val="en-US"/>
        </w:rPr>
      </w:pPr>
    </w:p>
    <w:p w:rsidR="00EF7F75" w:rsidRDefault="003A1E33" w:rsidP="008D659B">
      <w:pPr>
        <w:spacing w:line="360" w:lineRule="auto"/>
        <w:contextualSpacing/>
        <w:jc w:val="both"/>
        <w:rPr>
          <w:rFonts w:ascii="Arial" w:hAnsi="Arial"/>
        </w:rPr>
      </w:pPr>
      <w:r w:rsidRPr="00185A3D">
        <w:rPr>
          <w:rFonts w:ascii="Arial" w:hAnsi="Arial"/>
        </w:rPr>
        <w:t>[</w:t>
      </w:r>
      <w:r w:rsidR="00535282">
        <w:rPr>
          <w:rFonts w:ascii="Arial" w:hAnsi="Arial"/>
        </w:rPr>
        <w:t>33</w:t>
      </w:r>
      <w:r w:rsidRPr="00185A3D">
        <w:rPr>
          <w:rFonts w:ascii="Arial" w:hAnsi="Arial"/>
        </w:rPr>
        <w:t>]</w:t>
      </w:r>
      <w:r w:rsidRPr="00185A3D">
        <w:rPr>
          <w:rFonts w:ascii="Arial" w:hAnsi="Arial"/>
        </w:rPr>
        <w:tab/>
        <w:t>T</w:t>
      </w:r>
      <w:r w:rsidR="00266B57" w:rsidRPr="00185A3D">
        <w:rPr>
          <w:rFonts w:ascii="Arial" w:hAnsi="Arial"/>
        </w:rPr>
        <w:t xml:space="preserve">he </w:t>
      </w:r>
      <w:r w:rsidR="00F0677E" w:rsidRPr="00185A3D">
        <w:rPr>
          <w:rFonts w:ascii="Arial" w:hAnsi="Arial"/>
        </w:rPr>
        <w:t>warrant</w:t>
      </w:r>
      <w:r w:rsidR="00B46D1A" w:rsidRPr="00185A3D">
        <w:rPr>
          <w:rFonts w:ascii="Arial" w:hAnsi="Arial"/>
        </w:rPr>
        <w:t xml:space="preserve"> for</w:t>
      </w:r>
      <w:r w:rsidR="00F0677E" w:rsidRPr="00185A3D">
        <w:rPr>
          <w:rFonts w:ascii="Arial" w:hAnsi="Arial"/>
        </w:rPr>
        <w:t xml:space="preserve"> </w:t>
      </w:r>
      <w:r w:rsidRPr="00185A3D">
        <w:rPr>
          <w:rFonts w:ascii="Arial" w:hAnsi="Arial"/>
        </w:rPr>
        <w:t xml:space="preserve">the arrest of Mr de Klerk </w:t>
      </w:r>
      <w:r w:rsidR="00266B57" w:rsidRPr="00185A3D">
        <w:rPr>
          <w:rFonts w:ascii="Arial" w:hAnsi="Arial"/>
        </w:rPr>
        <w:t xml:space="preserve">was </w:t>
      </w:r>
      <w:r w:rsidR="00F0677E" w:rsidRPr="00185A3D">
        <w:rPr>
          <w:rFonts w:ascii="Arial" w:hAnsi="Arial"/>
        </w:rPr>
        <w:t>issued</w:t>
      </w:r>
      <w:r w:rsidR="00535282">
        <w:rPr>
          <w:rFonts w:ascii="Arial" w:hAnsi="Arial"/>
        </w:rPr>
        <w:t xml:space="preserve"> by the Windhoek Magistrate’s Court</w:t>
      </w:r>
      <w:r w:rsidR="00F0677E" w:rsidRPr="00185A3D">
        <w:rPr>
          <w:rFonts w:ascii="Arial" w:hAnsi="Arial"/>
        </w:rPr>
        <w:t xml:space="preserve"> in Namibia, u</w:t>
      </w:r>
      <w:r w:rsidR="004C17F2">
        <w:rPr>
          <w:rFonts w:ascii="Arial" w:hAnsi="Arial"/>
        </w:rPr>
        <w:t>nder the Criminal Procedure Act.</w:t>
      </w:r>
      <w:r w:rsidR="00B46D1A" w:rsidRPr="00185A3D">
        <w:rPr>
          <w:rFonts w:ascii="Arial" w:hAnsi="Arial"/>
        </w:rPr>
        <w:t xml:space="preserve"> </w:t>
      </w:r>
      <w:r w:rsidR="004C17F2" w:rsidRPr="00185A3D">
        <w:rPr>
          <w:rFonts w:ascii="Arial" w:hAnsi="Arial"/>
        </w:rPr>
        <w:t>The</w:t>
      </w:r>
      <w:r w:rsidR="00B46D1A" w:rsidRPr="00185A3D">
        <w:rPr>
          <w:rFonts w:ascii="Arial" w:hAnsi="Arial"/>
        </w:rPr>
        <w:t xml:space="preserve"> attendance</w:t>
      </w:r>
      <w:r w:rsidR="004C17F2">
        <w:rPr>
          <w:rFonts w:ascii="Arial" w:hAnsi="Arial"/>
        </w:rPr>
        <w:t xml:space="preserve"> of Mr de Klerk in a C</w:t>
      </w:r>
      <w:r w:rsidR="00185A3D" w:rsidRPr="00185A3D">
        <w:rPr>
          <w:rFonts w:ascii="Arial" w:hAnsi="Arial"/>
        </w:rPr>
        <w:t xml:space="preserve">ourt </w:t>
      </w:r>
      <w:r w:rsidR="00B46D1A" w:rsidRPr="00185A3D">
        <w:rPr>
          <w:rFonts w:ascii="Arial" w:hAnsi="Arial"/>
        </w:rPr>
        <w:t>that cannot be secured</w:t>
      </w:r>
      <w:r w:rsidR="004C17F2">
        <w:rPr>
          <w:rFonts w:ascii="Arial" w:hAnsi="Arial"/>
        </w:rPr>
        <w:t>,</w:t>
      </w:r>
      <w:r w:rsidR="00B46D1A" w:rsidRPr="00185A3D">
        <w:rPr>
          <w:rFonts w:ascii="Arial" w:hAnsi="Arial"/>
        </w:rPr>
        <w:t xml:space="preserve"> </w:t>
      </w:r>
      <w:r w:rsidRPr="00185A3D">
        <w:rPr>
          <w:rFonts w:ascii="Arial" w:hAnsi="Arial"/>
        </w:rPr>
        <w:t xml:space="preserve">is </w:t>
      </w:r>
      <w:r w:rsidR="004C17F2">
        <w:rPr>
          <w:rFonts w:ascii="Arial" w:hAnsi="Arial"/>
        </w:rPr>
        <w:t>his</w:t>
      </w:r>
      <w:r w:rsidRPr="00185A3D">
        <w:rPr>
          <w:rFonts w:ascii="Arial" w:hAnsi="Arial"/>
        </w:rPr>
        <w:t xml:space="preserve"> </w:t>
      </w:r>
      <w:r w:rsidR="004C17F2">
        <w:rPr>
          <w:rFonts w:ascii="Arial" w:hAnsi="Arial"/>
        </w:rPr>
        <w:t>attendance in a Namibian C</w:t>
      </w:r>
      <w:r w:rsidR="00B46D1A" w:rsidRPr="00185A3D">
        <w:rPr>
          <w:rFonts w:ascii="Arial" w:hAnsi="Arial"/>
        </w:rPr>
        <w:t>ourt</w:t>
      </w:r>
      <w:r w:rsidR="00185A3D" w:rsidRPr="00185A3D">
        <w:rPr>
          <w:rFonts w:ascii="Arial" w:hAnsi="Arial"/>
        </w:rPr>
        <w:t>.</w:t>
      </w:r>
      <w:r w:rsidR="001706D1">
        <w:rPr>
          <w:rFonts w:ascii="Arial" w:hAnsi="Arial"/>
        </w:rPr>
        <w:t xml:space="preserve"> The warrant for the arrest of Mr de Klerk that was executed on 02 June 2023</w:t>
      </w:r>
      <w:r w:rsidR="002156C6">
        <w:rPr>
          <w:rFonts w:ascii="Arial" w:hAnsi="Arial"/>
        </w:rPr>
        <w:t>, is a warrant that was issued by a foreign Court</w:t>
      </w:r>
      <w:r w:rsidR="001706D1">
        <w:rPr>
          <w:rFonts w:ascii="Arial" w:hAnsi="Arial"/>
        </w:rPr>
        <w:t xml:space="preserve"> </w:t>
      </w:r>
      <w:r w:rsidR="002156C6">
        <w:rPr>
          <w:rFonts w:ascii="Arial" w:hAnsi="Arial"/>
        </w:rPr>
        <w:t>and</w:t>
      </w:r>
      <w:r w:rsidR="001706D1">
        <w:rPr>
          <w:rFonts w:ascii="Arial" w:hAnsi="Arial"/>
        </w:rPr>
        <w:t xml:space="preserve"> </w:t>
      </w:r>
      <w:r w:rsidR="00535282">
        <w:rPr>
          <w:rFonts w:ascii="Arial" w:hAnsi="Arial"/>
        </w:rPr>
        <w:t>not the warrant of arrest issued out of the Windhoek Mag</w:t>
      </w:r>
      <w:r w:rsidR="002156C6">
        <w:rPr>
          <w:rFonts w:ascii="Arial" w:hAnsi="Arial"/>
        </w:rPr>
        <w:t xml:space="preserve">istrates Court on 29 April 2021. Accordingly, </w:t>
      </w:r>
      <w:r w:rsidR="001706D1">
        <w:rPr>
          <w:rFonts w:ascii="Arial" w:hAnsi="Arial"/>
        </w:rPr>
        <w:t>the attendance o</w:t>
      </w:r>
      <w:r w:rsidR="002156C6">
        <w:rPr>
          <w:rFonts w:ascii="Arial" w:hAnsi="Arial"/>
        </w:rPr>
        <w:t>f Mr de Klerk was in a foreign C</w:t>
      </w:r>
      <w:r w:rsidR="001706D1">
        <w:rPr>
          <w:rFonts w:ascii="Arial" w:hAnsi="Arial"/>
        </w:rPr>
        <w:t xml:space="preserve">ourt and not in a Namibian court. </w:t>
      </w:r>
    </w:p>
    <w:p w:rsidR="00EF7F75" w:rsidRDefault="00EF7F75" w:rsidP="008D659B">
      <w:pPr>
        <w:spacing w:line="360" w:lineRule="auto"/>
        <w:contextualSpacing/>
        <w:jc w:val="both"/>
        <w:rPr>
          <w:rFonts w:ascii="Arial" w:hAnsi="Arial"/>
        </w:rPr>
      </w:pPr>
    </w:p>
    <w:p w:rsidR="00D93274" w:rsidRDefault="00EF7F75" w:rsidP="008D659B">
      <w:pPr>
        <w:spacing w:line="360" w:lineRule="auto"/>
        <w:contextualSpacing/>
        <w:jc w:val="both"/>
        <w:rPr>
          <w:rFonts w:ascii="Arial" w:hAnsi="Arial"/>
        </w:rPr>
      </w:pPr>
      <w:r>
        <w:rPr>
          <w:rFonts w:ascii="Arial" w:hAnsi="Arial"/>
        </w:rPr>
        <w:t>[34]</w:t>
      </w:r>
      <w:r>
        <w:rPr>
          <w:rFonts w:ascii="Arial" w:hAnsi="Arial"/>
        </w:rPr>
        <w:tab/>
      </w:r>
      <w:r w:rsidR="00185A3D" w:rsidRPr="00185A3D">
        <w:rPr>
          <w:rFonts w:ascii="Arial" w:hAnsi="Arial"/>
        </w:rPr>
        <w:t>I agree with the submission by counsel for the Prosecutor General that the</w:t>
      </w:r>
      <w:r w:rsidR="002156C6">
        <w:rPr>
          <w:rFonts w:ascii="Arial" w:hAnsi="Arial"/>
        </w:rPr>
        <w:t xml:space="preserve"> reference to “</w:t>
      </w:r>
      <w:r w:rsidR="00F0677E" w:rsidRPr="00185A3D">
        <w:rPr>
          <w:rFonts w:ascii="Arial" w:hAnsi="Arial"/>
        </w:rPr>
        <w:t>c</w:t>
      </w:r>
      <w:r w:rsidR="002156C6">
        <w:rPr>
          <w:rFonts w:ascii="Arial" w:hAnsi="Arial"/>
        </w:rPr>
        <w:t>ourt”</w:t>
      </w:r>
      <w:r w:rsidR="00F0677E" w:rsidRPr="00185A3D">
        <w:rPr>
          <w:rFonts w:ascii="Arial" w:hAnsi="Arial"/>
        </w:rPr>
        <w:t xml:space="preserve"> in </w:t>
      </w:r>
      <w:r w:rsidR="00185A3D" w:rsidRPr="00185A3D">
        <w:rPr>
          <w:rFonts w:ascii="Arial" w:hAnsi="Arial"/>
        </w:rPr>
        <w:t>s</w:t>
      </w:r>
      <w:r w:rsidR="00F0677E" w:rsidRPr="00185A3D">
        <w:rPr>
          <w:rFonts w:ascii="Arial" w:hAnsi="Arial"/>
        </w:rPr>
        <w:t xml:space="preserve"> 99 </w:t>
      </w:r>
      <w:r w:rsidR="00185A3D" w:rsidRPr="00185A3D">
        <w:rPr>
          <w:rFonts w:ascii="Arial" w:hAnsi="Arial"/>
        </w:rPr>
        <w:t xml:space="preserve">of </w:t>
      </w:r>
      <w:r w:rsidR="002156C6">
        <w:rPr>
          <w:rFonts w:ascii="Arial" w:hAnsi="Arial"/>
        </w:rPr>
        <w:t xml:space="preserve">the </w:t>
      </w:r>
      <w:r w:rsidR="00185A3D" w:rsidRPr="00185A3D">
        <w:rPr>
          <w:rFonts w:ascii="Arial" w:hAnsi="Arial"/>
        </w:rPr>
        <w:t xml:space="preserve">POCA </w:t>
      </w:r>
      <w:r w:rsidR="00F0677E" w:rsidRPr="00185A3D">
        <w:rPr>
          <w:rFonts w:ascii="Arial" w:hAnsi="Arial"/>
        </w:rPr>
        <w:t>can only be interpreted to relate to the appearanc</w:t>
      </w:r>
      <w:r w:rsidR="002156C6">
        <w:rPr>
          <w:rFonts w:ascii="Arial" w:hAnsi="Arial"/>
        </w:rPr>
        <w:t>e of the person in the C</w:t>
      </w:r>
      <w:r w:rsidR="00F0677E" w:rsidRPr="00185A3D">
        <w:rPr>
          <w:rFonts w:ascii="Arial" w:hAnsi="Arial"/>
        </w:rPr>
        <w:t>ourt that issued the warrant of arrest</w:t>
      </w:r>
      <w:r w:rsidR="00185A3D" w:rsidRPr="00185A3D">
        <w:rPr>
          <w:rFonts w:ascii="Arial" w:hAnsi="Arial"/>
        </w:rPr>
        <w:t xml:space="preserve"> and that </w:t>
      </w:r>
      <w:r w:rsidR="001706D1">
        <w:rPr>
          <w:rFonts w:ascii="Arial" w:hAnsi="Arial"/>
        </w:rPr>
        <w:t>c</w:t>
      </w:r>
      <w:r w:rsidR="00185A3D" w:rsidRPr="00185A3D">
        <w:rPr>
          <w:rFonts w:ascii="Arial" w:hAnsi="Arial"/>
        </w:rPr>
        <w:t xml:space="preserve">ourt </w:t>
      </w:r>
      <w:r w:rsidR="001706D1">
        <w:rPr>
          <w:rFonts w:ascii="Arial" w:hAnsi="Arial"/>
        </w:rPr>
        <w:t>must be</w:t>
      </w:r>
      <w:r w:rsidR="002156C6">
        <w:rPr>
          <w:rFonts w:ascii="Arial" w:hAnsi="Arial"/>
        </w:rPr>
        <w:t xml:space="preserve"> a Namibian C</w:t>
      </w:r>
      <w:r w:rsidR="00185A3D" w:rsidRPr="00185A3D">
        <w:rPr>
          <w:rFonts w:ascii="Arial" w:hAnsi="Arial"/>
        </w:rPr>
        <w:t>ourt</w:t>
      </w:r>
      <w:r w:rsidR="00185A3D">
        <w:rPr>
          <w:rFonts w:ascii="Arial" w:hAnsi="Arial"/>
        </w:rPr>
        <w:t>.</w:t>
      </w:r>
      <w:r w:rsidR="00535282">
        <w:rPr>
          <w:rFonts w:ascii="Arial" w:hAnsi="Arial"/>
        </w:rPr>
        <w:t xml:space="preserve"> In fact</w:t>
      </w:r>
      <w:r w:rsidR="002156C6">
        <w:rPr>
          <w:rFonts w:ascii="Arial" w:hAnsi="Arial"/>
        </w:rPr>
        <w:t>,</w:t>
      </w:r>
      <w:r w:rsidR="00535282">
        <w:rPr>
          <w:rFonts w:ascii="Arial" w:hAnsi="Arial"/>
        </w:rPr>
        <w:t xml:space="preserve"> the warrant of arrest which is attached to the Prosecutor General’s answering affidavit specifically commands, any peace officer who is empowered to execute c</w:t>
      </w:r>
      <w:r w:rsidR="002156C6">
        <w:rPr>
          <w:rFonts w:ascii="Arial" w:hAnsi="Arial"/>
        </w:rPr>
        <w:t xml:space="preserve">riminal warrants, to apprehend </w:t>
      </w:r>
      <w:r w:rsidR="00535282">
        <w:rPr>
          <w:rFonts w:ascii="Arial" w:hAnsi="Arial"/>
        </w:rPr>
        <w:t>or arrest and detain Mr de Klerk and bring him before the High Court of Namibia</w:t>
      </w:r>
      <w:r>
        <w:rPr>
          <w:rFonts w:ascii="Arial" w:hAnsi="Arial"/>
        </w:rPr>
        <w:t xml:space="preserve"> </w:t>
      </w:r>
      <w:r w:rsidR="00535282">
        <w:rPr>
          <w:rFonts w:ascii="Arial" w:hAnsi="Arial"/>
        </w:rPr>
        <w:t xml:space="preserve">(Main </w:t>
      </w:r>
      <w:r>
        <w:rPr>
          <w:rFonts w:ascii="Arial" w:hAnsi="Arial"/>
        </w:rPr>
        <w:t>Division</w:t>
      </w:r>
      <w:r w:rsidR="00535282">
        <w:rPr>
          <w:rFonts w:ascii="Arial" w:hAnsi="Arial"/>
        </w:rPr>
        <w:t xml:space="preserve">).  </w:t>
      </w:r>
    </w:p>
    <w:p w:rsidR="00D93274" w:rsidRDefault="00D93274" w:rsidP="008D659B">
      <w:pPr>
        <w:spacing w:line="360" w:lineRule="auto"/>
        <w:contextualSpacing/>
        <w:jc w:val="both"/>
        <w:rPr>
          <w:rFonts w:ascii="Arial" w:hAnsi="Arial"/>
        </w:rPr>
      </w:pPr>
    </w:p>
    <w:p w:rsidR="00EF7F75" w:rsidRDefault="00D93274" w:rsidP="008D659B">
      <w:pPr>
        <w:spacing w:line="360" w:lineRule="auto"/>
        <w:contextualSpacing/>
        <w:jc w:val="both"/>
        <w:rPr>
          <w:rFonts w:ascii="Arial" w:hAnsi="Arial"/>
        </w:rPr>
      </w:pPr>
      <w:r>
        <w:rPr>
          <w:rFonts w:ascii="Arial" w:hAnsi="Arial"/>
        </w:rPr>
        <w:t>[</w:t>
      </w:r>
      <w:r w:rsidR="00EF7F75">
        <w:rPr>
          <w:rFonts w:ascii="Arial" w:hAnsi="Arial"/>
        </w:rPr>
        <w:t>3</w:t>
      </w:r>
      <w:r>
        <w:rPr>
          <w:rFonts w:ascii="Arial" w:hAnsi="Arial"/>
        </w:rPr>
        <w:t>5]</w:t>
      </w:r>
      <w:r>
        <w:rPr>
          <w:rFonts w:ascii="Arial" w:hAnsi="Arial"/>
        </w:rPr>
        <w:tab/>
        <w:t xml:space="preserve">I have regard to the reasons advanced by Mr de Klerk as to why he </w:t>
      </w:r>
      <w:r w:rsidR="000C6754">
        <w:rPr>
          <w:rFonts w:ascii="Arial" w:hAnsi="Arial"/>
        </w:rPr>
        <w:t>has remained outside the jurisdiction of this Court</w:t>
      </w:r>
      <w:r w:rsidR="00EF7F75">
        <w:rPr>
          <w:rFonts w:ascii="Arial" w:hAnsi="Arial"/>
        </w:rPr>
        <w:t xml:space="preserve"> but those reasons are unsubstantiated by objective facts</w:t>
      </w:r>
      <w:r w:rsidR="000C6754">
        <w:rPr>
          <w:rFonts w:ascii="Arial" w:hAnsi="Arial"/>
        </w:rPr>
        <w:t>.</w:t>
      </w:r>
      <w:r w:rsidR="00EF7F75">
        <w:rPr>
          <w:rFonts w:ascii="Arial" w:hAnsi="Arial"/>
        </w:rPr>
        <w:t xml:space="preserve"> What is telling about the reasons is the </w:t>
      </w:r>
      <w:r w:rsidR="00EF7F75">
        <w:rPr>
          <w:rFonts w:ascii="Arial" w:hAnsi="Arial"/>
        </w:rPr>
        <w:lastRenderedPageBreak/>
        <w:t>silence of Mr de Klerk in both his f</w:t>
      </w:r>
      <w:r w:rsidR="002156C6">
        <w:rPr>
          <w:rFonts w:ascii="Arial" w:hAnsi="Arial"/>
        </w:rPr>
        <w:t xml:space="preserve">ounding and replying affidavits. As </w:t>
      </w:r>
      <w:r w:rsidR="00EF7F75">
        <w:rPr>
          <w:rFonts w:ascii="Arial" w:hAnsi="Arial"/>
        </w:rPr>
        <w:t xml:space="preserve">regards his extradition proceedings, he says nothing about those proceeding. He does not inform the Court why he opposes his extradition to Namibia. His reasons also </w:t>
      </w:r>
      <w:r w:rsidR="002156C6">
        <w:rPr>
          <w:rFonts w:ascii="Arial" w:hAnsi="Arial"/>
        </w:rPr>
        <w:t xml:space="preserve">do </w:t>
      </w:r>
      <w:r w:rsidR="00EF7F75">
        <w:rPr>
          <w:rFonts w:ascii="Arial" w:hAnsi="Arial"/>
        </w:rPr>
        <w:t xml:space="preserve">not reveal why South Africa or such other country for that matter is presumed to be a better safe haven than Namibia. </w:t>
      </w:r>
      <w:r w:rsidR="002156C6">
        <w:rPr>
          <w:rFonts w:ascii="Arial" w:hAnsi="Arial"/>
        </w:rPr>
        <w:t>He</w:t>
      </w:r>
      <w:r w:rsidR="00EF7F75">
        <w:rPr>
          <w:rFonts w:ascii="Arial" w:hAnsi="Arial"/>
        </w:rPr>
        <w:t xml:space="preserve"> does not disclose the efforts he has made to ensure </w:t>
      </w:r>
      <w:r w:rsidR="002156C6">
        <w:rPr>
          <w:rFonts w:ascii="Arial" w:hAnsi="Arial"/>
        </w:rPr>
        <w:t xml:space="preserve">that his life will be protected, </w:t>
      </w:r>
      <w:r w:rsidR="00EF7F75">
        <w:rPr>
          <w:rFonts w:ascii="Arial" w:hAnsi="Arial"/>
        </w:rPr>
        <w:t>if he returned to Namibia. He does further not disclose the facts on which his belief that the security agencies (ACC, NAMPOL, and the PG) are i</w:t>
      </w:r>
      <w:r w:rsidR="002156C6">
        <w:rPr>
          <w:rFonts w:ascii="Arial" w:hAnsi="Arial"/>
        </w:rPr>
        <w:t xml:space="preserve">ncapable of securing his safety, </w:t>
      </w:r>
      <w:r w:rsidR="00EF7F75">
        <w:rPr>
          <w:rFonts w:ascii="Arial" w:hAnsi="Arial"/>
        </w:rPr>
        <w:t xml:space="preserve">if </w:t>
      </w:r>
      <w:r w:rsidR="002156C6">
        <w:rPr>
          <w:rFonts w:ascii="Arial" w:hAnsi="Arial"/>
        </w:rPr>
        <w:t>he</w:t>
      </w:r>
      <w:r w:rsidR="00EF7F75">
        <w:rPr>
          <w:rFonts w:ascii="Arial" w:hAnsi="Arial"/>
        </w:rPr>
        <w:t xml:space="preserve"> </w:t>
      </w:r>
      <w:r w:rsidR="0011304F">
        <w:rPr>
          <w:rFonts w:ascii="Arial" w:hAnsi="Arial"/>
        </w:rPr>
        <w:t xml:space="preserve">is </w:t>
      </w:r>
      <w:r w:rsidR="00EF7F75">
        <w:rPr>
          <w:rFonts w:ascii="Arial" w:hAnsi="Arial"/>
        </w:rPr>
        <w:t>to return to Namibia.</w:t>
      </w:r>
    </w:p>
    <w:p w:rsidR="00EF7F75" w:rsidRDefault="00EF7F75" w:rsidP="008D659B">
      <w:pPr>
        <w:spacing w:line="360" w:lineRule="auto"/>
        <w:contextualSpacing/>
        <w:jc w:val="both"/>
        <w:rPr>
          <w:rFonts w:ascii="Arial" w:hAnsi="Arial"/>
        </w:rPr>
      </w:pPr>
    </w:p>
    <w:p w:rsidR="00185A3D" w:rsidRDefault="00EF7F75" w:rsidP="008D659B">
      <w:pPr>
        <w:spacing w:line="360" w:lineRule="auto"/>
        <w:contextualSpacing/>
        <w:jc w:val="both"/>
        <w:rPr>
          <w:rFonts w:ascii="Arial" w:hAnsi="Arial"/>
        </w:rPr>
      </w:pPr>
      <w:r>
        <w:rPr>
          <w:rFonts w:ascii="Arial" w:hAnsi="Arial"/>
        </w:rPr>
        <w:t>[36]</w:t>
      </w:r>
      <w:r>
        <w:rPr>
          <w:rFonts w:ascii="Arial" w:hAnsi="Arial"/>
        </w:rPr>
        <w:tab/>
      </w:r>
      <w:r w:rsidR="002156C6">
        <w:rPr>
          <w:rFonts w:ascii="Arial" w:hAnsi="Arial"/>
        </w:rPr>
        <w:t>The wording of s 99 is relatively straight forward</w:t>
      </w:r>
      <w:r w:rsidR="0011304F">
        <w:rPr>
          <w:rFonts w:ascii="Arial" w:hAnsi="Arial"/>
        </w:rPr>
        <w:t>,</w:t>
      </w:r>
      <w:r w:rsidR="002156C6">
        <w:rPr>
          <w:rFonts w:ascii="Arial" w:hAnsi="Arial"/>
        </w:rPr>
        <w:t xml:space="preserve"> in that it </w:t>
      </w:r>
      <w:r w:rsidR="000C6754">
        <w:rPr>
          <w:rFonts w:ascii="Arial" w:hAnsi="Arial"/>
        </w:rPr>
        <w:t>provide</w:t>
      </w:r>
      <w:r w:rsidR="00EF4926">
        <w:rPr>
          <w:rFonts w:ascii="Arial" w:hAnsi="Arial"/>
        </w:rPr>
        <w:t>s</w:t>
      </w:r>
      <w:r w:rsidR="000C6754">
        <w:rPr>
          <w:rFonts w:ascii="Arial" w:hAnsi="Arial"/>
        </w:rPr>
        <w:t xml:space="preserve"> that a person in respect of whom a warrant </w:t>
      </w:r>
      <w:r w:rsidR="008657C2">
        <w:rPr>
          <w:rFonts w:ascii="Arial" w:hAnsi="Arial"/>
        </w:rPr>
        <w:t xml:space="preserve">of arrest is issued, </w:t>
      </w:r>
      <w:r w:rsidR="000C6754">
        <w:rPr>
          <w:rFonts w:ascii="Arial" w:hAnsi="Arial"/>
        </w:rPr>
        <w:t>and</w:t>
      </w:r>
      <w:r w:rsidR="008657C2">
        <w:rPr>
          <w:rFonts w:ascii="Arial" w:hAnsi="Arial"/>
        </w:rPr>
        <w:t xml:space="preserve"> the warrant remains unexecuted, </w:t>
      </w:r>
      <w:r w:rsidR="000C6754">
        <w:rPr>
          <w:rFonts w:ascii="Arial" w:hAnsi="Arial"/>
        </w:rPr>
        <w:t xml:space="preserve">that person cannot participate in the proceedings under chapters 5 </w:t>
      </w:r>
      <w:r w:rsidR="00EF4926">
        <w:rPr>
          <w:rFonts w:ascii="Arial" w:hAnsi="Arial"/>
        </w:rPr>
        <w:t>or</w:t>
      </w:r>
      <w:r w:rsidR="000C6754">
        <w:rPr>
          <w:rFonts w:ascii="Arial" w:hAnsi="Arial"/>
        </w:rPr>
        <w:t xml:space="preserve"> 6 of POCA for as long as the warrant remains unexecuted. </w:t>
      </w:r>
      <w:r w:rsidR="00185A3D">
        <w:rPr>
          <w:rFonts w:ascii="Arial" w:hAnsi="Arial"/>
        </w:rPr>
        <w:t>I therefore find that</w:t>
      </w:r>
      <w:r w:rsidR="008657C2">
        <w:rPr>
          <w:rFonts w:ascii="Arial" w:hAnsi="Arial"/>
        </w:rPr>
        <w:t>,</w:t>
      </w:r>
      <w:r w:rsidR="00185A3D">
        <w:rPr>
          <w:rFonts w:ascii="Arial" w:hAnsi="Arial"/>
        </w:rPr>
        <w:t xml:space="preserve"> </w:t>
      </w:r>
      <w:r w:rsidR="00513E92">
        <w:rPr>
          <w:rFonts w:ascii="Arial" w:hAnsi="Arial"/>
        </w:rPr>
        <w:t xml:space="preserve">because the warrant for the </w:t>
      </w:r>
      <w:r w:rsidR="001706D1">
        <w:rPr>
          <w:rFonts w:ascii="Arial" w:hAnsi="Arial"/>
        </w:rPr>
        <w:t xml:space="preserve">arrest </w:t>
      </w:r>
      <w:r w:rsidR="00513E92">
        <w:rPr>
          <w:rFonts w:ascii="Arial" w:hAnsi="Arial"/>
        </w:rPr>
        <w:t xml:space="preserve">of Mr de Klerk </w:t>
      </w:r>
      <w:r w:rsidR="008657C2">
        <w:rPr>
          <w:rFonts w:ascii="Arial" w:hAnsi="Arial"/>
        </w:rPr>
        <w:t xml:space="preserve">was </w:t>
      </w:r>
      <w:r w:rsidR="001706D1">
        <w:rPr>
          <w:rFonts w:ascii="Arial" w:hAnsi="Arial"/>
        </w:rPr>
        <w:t>issued by a Nam</w:t>
      </w:r>
      <w:r w:rsidR="008657C2">
        <w:rPr>
          <w:rFonts w:ascii="Arial" w:hAnsi="Arial"/>
        </w:rPr>
        <w:t>ibian C</w:t>
      </w:r>
      <w:r w:rsidR="00513E92">
        <w:rPr>
          <w:rFonts w:ascii="Arial" w:hAnsi="Arial"/>
        </w:rPr>
        <w:t>ourt</w:t>
      </w:r>
      <w:r w:rsidR="00EF4926">
        <w:rPr>
          <w:rFonts w:ascii="Arial" w:hAnsi="Arial"/>
        </w:rPr>
        <w:t xml:space="preserve"> (the Windhoek Magistrates Court)</w:t>
      </w:r>
      <w:r w:rsidR="00513E92">
        <w:rPr>
          <w:rFonts w:ascii="Arial" w:hAnsi="Arial"/>
        </w:rPr>
        <w:t xml:space="preserve"> remains unexecuted</w:t>
      </w:r>
      <w:r w:rsidR="008657C2">
        <w:rPr>
          <w:rFonts w:ascii="Arial" w:hAnsi="Arial"/>
        </w:rPr>
        <w:t>,</w:t>
      </w:r>
      <w:r w:rsidR="00513E92">
        <w:rPr>
          <w:rFonts w:ascii="Arial" w:hAnsi="Arial"/>
        </w:rPr>
        <w:t xml:space="preserve"> </w:t>
      </w:r>
      <w:r w:rsidR="00185A3D">
        <w:rPr>
          <w:rFonts w:ascii="Arial" w:hAnsi="Arial"/>
        </w:rPr>
        <w:t xml:space="preserve">Mr de Klerk is a person </w:t>
      </w:r>
      <w:r w:rsidR="0011304F">
        <w:rPr>
          <w:rFonts w:ascii="Arial" w:hAnsi="Arial"/>
        </w:rPr>
        <w:t>falling with</w:t>
      </w:r>
      <w:r w:rsidR="00EF4926">
        <w:rPr>
          <w:rFonts w:ascii="Arial" w:hAnsi="Arial"/>
        </w:rPr>
        <w:t>in a class of persons contemplated in s 99(b)</w:t>
      </w:r>
      <w:r w:rsidR="008657C2">
        <w:rPr>
          <w:rFonts w:ascii="Arial" w:hAnsi="Arial"/>
        </w:rPr>
        <w:t xml:space="preserve"> of POCA</w:t>
      </w:r>
      <w:r w:rsidR="00EF4926">
        <w:rPr>
          <w:rFonts w:ascii="Arial" w:hAnsi="Arial"/>
        </w:rPr>
        <w:t xml:space="preserve">. He is a person </w:t>
      </w:r>
      <w:r w:rsidR="00185A3D">
        <w:rPr>
          <w:rFonts w:ascii="Arial" w:hAnsi="Arial"/>
        </w:rPr>
        <w:t>i</w:t>
      </w:r>
      <w:r w:rsidR="00185A3D" w:rsidRPr="00185A3D">
        <w:rPr>
          <w:rFonts w:ascii="Arial" w:hAnsi="Arial"/>
        </w:rPr>
        <w:t xml:space="preserve">n respect of whom a warrant </w:t>
      </w:r>
      <w:r w:rsidR="008657C2">
        <w:rPr>
          <w:rFonts w:ascii="Arial" w:hAnsi="Arial"/>
        </w:rPr>
        <w:t>of</w:t>
      </w:r>
      <w:r w:rsidR="00185A3D" w:rsidRPr="00185A3D">
        <w:rPr>
          <w:rFonts w:ascii="Arial" w:hAnsi="Arial"/>
        </w:rPr>
        <w:t xml:space="preserve"> arrest has been issued and </w:t>
      </w:r>
      <w:proofErr w:type="gramStart"/>
      <w:r w:rsidR="00185A3D" w:rsidRPr="00185A3D">
        <w:rPr>
          <w:rFonts w:ascii="Arial" w:hAnsi="Arial"/>
        </w:rPr>
        <w:t>whose</w:t>
      </w:r>
      <w:proofErr w:type="gramEnd"/>
      <w:r w:rsidR="00185A3D" w:rsidRPr="00185A3D">
        <w:rPr>
          <w:rFonts w:ascii="Arial" w:hAnsi="Arial"/>
        </w:rPr>
        <w:t xml:space="preserve"> attendance in </w:t>
      </w:r>
      <w:r w:rsidR="00EF4926">
        <w:rPr>
          <w:rFonts w:ascii="Arial" w:hAnsi="Arial"/>
        </w:rPr>
        <w:t>the High Court of Namibia (Main Division)</w:t>
      </w:r>
      <w:r w:rsidR="00185A3D" w:rsidRPr="00185A3D">
        <w:rPr>
          <w:rFonts w:ascii="Arial" w:hAnsi="Arial"/>
        </w:rPr>
        <w:t xml:space="preserve"> cannot be secured </w:t>
      </w:r>
      <w:r w:rsidR="008657C2">
        <w:rPr>
          <w:rFonts w:ascii="Arial" w:hAnsi="Arial"/>
        </w:rPr>
        <w:t>despite</w:t>
      </w:r>
      <w:r w:rsidR="00185A3D" w:rsidRPr="00185A3D">
        <w:rPr>
          <w:rFonts w:ascii="Arial" w:hAnsi="Arial"/>
        </w:rPr>
        <w:t xml:space="preserve"> all reasonable steps taken to execute the warrant.</w:t>
      </w:r>
      <w:r w:rsidR="00513E92">
        <w:rPr>
          <w:rFonts w:ascii="Arial" w:hAnsi="Arial"/>
        </w:rPr>
        <w:t xml:space="preserve"> </w:t>
      </w:r>
    </w:p>
    <w:p w:rsidR="00185A3D" w:rsidRDefault="00185A3D" w:rsidP="008D659B">
      <w:pPr>
        <w:spacing w:line="360" w:lineRule="auto"/>
        <w:contextualSpacing/>
        <w:jc w:val="both"/>
        <w:rPr>
          <w:rFonts w:ascii="Arial" w:hAnsi="Arial"/>
        </w:rPr>
      </w:pPr>
    </w:p>
    <w:p w:rsidR="00EF4926" w:rsidRDefault="00EF4926" w:rsidP="008D659B">
      <w:pPr>
        <w:spacing w:line="360" w:lineRule="auto"/>
        <w:contextualSpacing/>
        <w:jc w:val="both"/>
        <w:rPr>
          <w:rFonts w:ascii="Arial" w:hAnsi="Arial"/>
        </w:rPr>
      </w:pPr>
      <w:r w:rsidRPr="00EF4926">
        <w:rPr>
          <w:rFonts w:ascii="Arial" w:hAnsi="Arial"/>
          <w:u w:val="single"/>
        </w:rPr>
        <w:t xml:space="preserve">Is Mr de Klerk’s application for </w:t>
      </w:r>
      <w:r w:rsidR="002B0468" w:rsidRPr="00EF4926">
        <w:rPr>
          <w:rFonts w:ascii="Arial" w:hAnsi="Arial"/>
          <w:u w:val="single"/>
        </w:rPr>
        <w:t>rescission</w:t>
      </w:r>
      <w:r w:rsidR="0011304F">
        <w:rPr>
          <w:rFonts w:ascii="Arial" w:hAnsi="Arial"/>
          <w:u w:val="single"/>
        </w:rPr>
        <w:t>,</w:t>
      </w:r>
      <w:r w:rsidRPr="00EF4926">
        <w:rPr>
          <w:rFonts w:ascii="Arial" w:hAnsi="Arial"/>
          <w:u w:val="single"/>
        </w:rPr>
        <w:t xml:space="preserve"> proceedings as contemplated under s 99</w:t>
      </w:r>
      <w:r>
        <w:rPr>
          <w:rFonts w:ascii="Arial" w:hAnsi="Arial"/>
        </w:rPr>
        <w:t>?</w:t>
      </w:r>
    </w:p>
    <w:p w:rsidR="00EF4926" w:rsidRDefault="00EF4926" w:rsidP="008D659B">
      <w:pPr>
        <w:spacing w:line="360" w:lineRule="auto"/>
        <w:contextualSpacing/>
        <w:jc w:val="both"/>
        <w:rPr>
          <w:rFonts w:ascii="Arial" w:hAnsi="Arial"/>
        </w:rPr>
      </w:pPr>
    </w:p>
    <w:p w:rsidR="00185A3D" w:rsidRDefault="00185A3D" w:rsidP="008D659B">
      <w:pPr>
        <w:spacing w:line="360" w:lineRule="auto"/>
        <w:contextualSpacing/>
        <w:jc w:val="both"/>
        <w:rPr>
          <w:rFonts w:ascii="Arial" w:hAnsi="Arial"/>
        </w:rPr>
      </w:pPr>
      <w:r w:rsidRPr="00192448">
        <w:rPr>
          <w:rFonts w:ascii="Arial" w:hAnsi="Arial"/>
        </w:rPr>
        <w:t>[</w:t>
      </w:r>
      <w:r w:rsidR="00EF4926">
        <w:rPr>
          <w:rFonts w:ascii="Arial" w:hAnsi="Arial"/>
        </w:rPr>
        <w:t>37]</w:t>
      </w:r>
      <w:r w:rsidRPr="00192448">
        <w:rPr>
          <w:rFonts w:ascii="Arial" w:hAnsi="Arial"/>
        </w:rPr>
        <w:tab/>
      </w:r>
      <w:r w:rsidR="00EF4926">
        <w:rPr>
          <w:rFonts w:ascii="Arial" w:hAnsi="Arial"/>
        </w:rPr>
        <w:t xml:space="preserve">The second question that I must consider is whether the </w:t>
      </w:r>
      <w:r w:rsidR="00192448" w:rsidRPr="00192448">
        <w:rPr>
          <w:rFonts w:ascii="Arial" w:hAnsi="Arial"/>
        </w:rPr>
        <w:t>res</w:t>
      </w:r>
      <w:r w:rsidR="00EF4926">
        <w:rPr>
          <w:rFonts w:ascii="Arial" w:hAnsi="Arial"/>
        </w:rPr>
        <w:t xml:space="preserve">cission and condonation relief sought by Mr de Klerk are proceedings as contemplated under </w:t>
      </w:r>
      <w:r w:rsidR="00192448" w:rsidRPr="00192448">
        <w:rPr>
          <w:rFonts w:ascii="Arial" w:hAnsi="Arial"/>
        </w:rPr>
        <w:t>s 99</w:t>
      </w:r>
      <w:r w:rsidR="00CD2F24">
        <w:rPr>
          <w:rFonts w:ascii="Arial" w:hAnsi="Arial"/>
        </w:rPr>
        <w:t xml:space="preserve"> of POCA</w:t>
      </w:r>
      <w:r w:rsidR="00192448" w:rsidRPr="00192448">
        <w:rPr>
          <w:rFonts w:ascii="Arial" w:hAnsi="Arial"/>
        </w:rPr>
        <w:t xml:space="preserve">. </w:t>
      </w:r>
      <w:r w:rsidR="00EF4926">
        <w:rPr>
          <w:rFonts w:ascii="Arial" w:hAnsi="Arial"/>
        </w:rPr>
        <w:t xml:space="preserve">Counsel for Mr de Klerk </w:t>
      </w:r>
      <w:r w:rsidR="00EF4926" w:rsidRPr="00192448">
        <w:rPr>
          <w:rFonts w:ascii="Arial" w:hAnsi="Arial"/>
        </w:rPr>
        <w:t>argued</w:t>
      </w:r>
      <w:r w:rsidR="00192448" w:rsidRPr="00192448">
        <w:rPr>
          <w:rFonts w:ascii="Arial" w:hAnsi="Arial"/>
        </w:rPr>
        <w:t xml:space="preserve"> that s 52(6</w:t>
      </w:r>
      <w:proofErr w:type="gramStart"/>
      <w:r w:rsidR="00192448" w:rsidRPr="00192448">
        <w:rPr>
          <w:rFonts w:ascii="Arial" w:hAnsi="Arial"/>
        </w:rPr>
        <w:t>)(</w:t>
      </w:r>
      <w:proofErr w:type="gramEnd"/>
      <w:r w:rsidR="00192448" w:rsidRPr="007867D7">
        <w:rPr>
          <w:rFonts w:ascii="Arial" w:hAnsi="Arial"/>
          <w:i/>
        </w:rPr>
        <w:t>b</w:t>
      </w:r>
      <w:r w:rsidR="00192448" w:rsidRPr="00192448">
        <w:rPr>
          <w:rFonts w:ascii="Arial" w:hAnsi="Arial"/>
        </w:rPr>
        <w:t>) precludes participation in forfeiture proceedi</w:t>
      </w:r>
      <w:r w:rsidR="00CD2F24">
        <w:rPr>
          <w:rFonts w:ascii="Arial" w:hAnsi="Arial"/>
        </w:rPr>
        <w:t>ngs while s 60(4)(</w:t>
      </w:r>
      <w:r w:rsidR="00CD2F24" w:rsidRPr="007867D7">
        <w:rPr>
          <w:rFonts w:ascii="Arial" w:hAnsi="Arial"/>
          <w:i/>
        </w:rPr>
        <w:t>b)</w:t>
      </w:r>
      <w:r w:rsidR="00CD2F24">
        <w:rPr>
          <w:rFonts w:ascii="Arial" w:hAnsi="Arial"/>
        </w:rPr>
        <w:t xml:space="preserve"> permits a C</w:t>
      </w:r>
      <w:r w:rsidR="00192448" w:rsidRPr="00192448">
        <w:rPr>
          <w:rFonts w:ascii="Arial" w:hAnsi="Arial"/>
        </w:rPr>
        <w:t>ourt to regulate further participation in proc</w:t>
      </w:r>
      <w:r w:rsidR="00EF4926">
        <w:rPr>
          <w:rFonts w:ascii="Arial" w:hAnsi="Arial"/>
        </w:rPr>
        <w:t xml:space="preserve">eedings concerning forfeiture. </w:t>
      </w:r>
      <w:r w:rsidR="00192448" w:rsidRPr="00192448">
        <w:rPr>
          <w:rFonts w:ascii="Arial" w:hAnsi="Arial"/>
        </w:rPr>
        <w:t xml:space="preserve">Counsel continued and argued that because both </w:t>
      </w:r>
      <w:proofErr w:type="spellStart"/>
      <w:r w:rsidR="00192448" w:rsidRPr="00192448">
        <w:rPr>
          <w:rFonts w:ascii="Arial" w:hAnsi="Arial"/>
        </w:rPr>
        <w:t>ss</w:t>
      </w:r>
      <w:proofErr w:type="spellEnd"/>
      <w:r w:rsidR="00192448" w:rsidRPr="00192448">
        <w:rPr>
          <w:rFonts w:ascii="Arial" w:hAnsi="Arial"/>
        </w:rPr>
        <w:t xml:space="preserve"> 58(4)(</w:t>
      </w:r>
      <w:r w:rsidR="00192448" w:rsidRPr="007867D7">
        <w:rPr>
          <w:rFonts w:ascii="Arial" w:hAnsi="Arial"/>
          <w:i/>
        </w:rPr>
        <w:t>b</w:t>
      </w:r>
      <w:r w:rsidR="00192448" w:rsidRPr="00192448">
        <w:rPr>
          <w:rFonts w:ascii="Arial" w:hAnsi="Arial"/>
        </w:rPr>
        <w:t>) and 60(1) do</w:t>
      </w:r>
      <w:r w:rsidR="00647CC4">
        <w:rPr>
          <w:rFonts w:ascii="Arial" w:hAnsi="Arial"/>
        </w:rPr>
        <w:t xml:space="preserve"> </w:t>
      </w:r>
      <w:r w:rsidR="00192448" w:rsidRPr="00192448">
        <w:rPr>
          <w:rFonts w:ascii="Arial" w:hAnsi="Arial"/>
        </w:rPr>
        <w:t>not make th</w:t>
      </w:r>
      <w:r w:rsidR="00EF4926">
        <w:rPr>
          <w:rFonts w:ascii="Arial" w:hAnsi="Arial"/>
        </w:rPr>
        <w:t xml:space="preserve">ose </w:t>
      </w:r>
      <w:r w:rsidR="007867D7">
        <w:rPr>
          <w:rFonts w:ascii="Arial" w:hAnsi="Arial"/>
        </w:rPr>
        <w:t xml:space="preserve">sections </w:t>
      </w:r>
      <w:r w:rsidR="00C52F11">
        <w:rPr>
          <w:rFonts w:ascii="Arial" w:hAnsi="Arial"/>
        </w:rPr>
        <w:t xml:space="preserve">subservient to s 99, </w:t>
      </w:r>
      <w:r w:rsidR="00192448" w:rsidRPr="00192448">
        <w:rPr>
          <w:rFonts w:ascii="Arial" w:hAnsi="Arial"/>
        </w:rPr>
        <w:t>a textual, contextual and purposive reading of s 99</w:t>
      </w:r>
      <w:r w:rsidR="00EF4926">
        <w:rPr>
          <w:rFonts w:ascii="Arial" w:hAnsi="Arial"/>
        </w:rPr>
        <w:t xml:space="preserve"> points to a construction that</w:t>
      </w:r>
      <w:r w:rsidR="00C52F11">
        <w:rPr>
          <w:rFonts w:ascii="Arial" w:hAnsi="Arial"/>
        </w:rPr>
        <w:t xml:space="preserve"> the reference to “proceedings” </w:t>
      </w:r>
      <w:r w:rsidR="00EF4926">
        <w:rPr>
          <w:rFonts w:ascii="Arial" w:hAnsi="Arial"/>
        </w:rPr>
        <w:t>is</w:t>
      </w:r>
      <w:r w:rsidR="00192448" w:rsidRPr="00192448">
        <w:rPr>
          <w:rFonts w:ascii="Arial" w:hAnsi="Arial"/>
        </w:rPr>
        <w:t xml:space="preserve"> reference to </w:t>
      </w:r>
      <w:r w:rsidR="00192448" w:rsidRPr="00C52F11">
        <w:rPr>
          <w:rFonts w:ascii="Arial" w:hAnsi="Arial"/>
        </w:rPr>
        <w:t xml:space="preserve">participation in proceedings relating to </w:t>
      </w:r>
      <w:r w:rsidR="00192448" w:rsidRPr="00C52F11">
        <w:rPr>
          <w:rFonts w:ascii="Arial" w:hAnsi="Arial"/>
          <w:u w:val="single"/>
        </w:rPr>
        <w:t>confiscation</w:t>
      </w:r>
      <w:r w:rsidR="00192448" w:rsidRPr="00C52F11">
        <w:rPr>
          <w:rFonts w:ascii="Arial" w:hAnsi="Arial"/>
        </w:rPr>
        <w:t xml:space="preserve"> and </w:t>
      </w:r>
      <w:r w:rsidR="00192448" w:rsidRPr="00C52F11">
        <w:rPr>
          <w:rFonts w:ascii="Arial" w:hAnsi="Arial"/>
          <w:u w:val="single"/>
        </w:rPr>
        <w:t>forfeiture</w:t>
      </w:r>
      <w:r w:rsidR="00192448" w:rsidRPr="00C52F11">
        <w:rPr>
          <w:rFonts w:ascii="Arial" w:hAnsi="Arial"/>
        </w:rPr>
        <w:t xml:space="preserve"> applications</w:t>
      </w:r>
      <w:r w:rsidR="00441F6F" w:rsidRPr="00C52F11">
        <w:rPr>
          <w:rFonts w:ascii="Arial" w:hAnsi="Arial"/>
        </w:rPr>
        <w:t xml:space="preserve"> only</w:t>
      </w:r>
      <w:r w:rsidR="00192448" w:rsidRPr="00C52F11">
        <w:rPr>
          <w:rFonts w:ascii="Arial" w:hAnsi="Arial"/>
        </w:rPr>
        <w:t xml:space="preserve">. </w:t>
      </w:r>
    </w:p>
    <w:p w:rsidR="00185A3D" w:rsidRDefault="00185A3D" w:rsidP="008D659B">
      <w:pPr>
        <w:spacing w:line="360" w:lineRule="auto"/>
        <w:contextualSpacing/>
        <w:jc w:val="both"/>
        <w:rPr>
          <w:rFonts w:ascii="Arial" w:hAnsi="Arial"/>
        </w:rPr>
      </w:pPr>
    </w:p>
    <w:p w:rsidR="00513E92" w:rsidRDefault="00647CC4" w:rsidP="008D659B">
      <w:pPr>
        <w:spacing w:line="360" w:lineRule="auto"/>
        <w:contextualSpacing/>
        <w:jc w:val="both"/>
        <w:rPr>
          <w:rFonts w:ascii="Arial" w:hAnsi="Arial"/>
        </w:rPr>
      </w:pPr>
      <w:r>
        <w:rPr>
          <w:rFonts w:ascii="Arial" w:hAnsi="Arial"/>
        </w:rPr>
        <w:lastRenderedPageBreak/>
        <w:t>[</w:t>
      </w:r>
      <w:r w:rsidR="00EF4926">
        <w:rPr>
          <w:rFonts w:ascii="Arial" w:hAnsi="Arial"/>
        </w:rPr>
        <w:t>38</w:t>
      </w:r>
      <w:r>
        <w:rPr>
          <w:rFonts w:ascii="Arial" w:hAnsi="Arial"/>
        </w:rPr>
        <w:t>]</w:t>
      </w:r>
      <w:r>
        <w:rPr>
          <w:rFonts w:ascii="Arial" w:hAnsi="Arial"/>
        </w:rPr>
        <w:tab/>
        <w:t xml:space="preserve">In </w:t>
      </w:r>
      <w:r w:rsidRPr="00647CC4">
        <w:rPr>
          <w:rFonts w:ascii="Arial" w:hAnsi="Arial"/>
          <w:i/>
        </w:rPr>
        <w:t xml:space="preserve">Prosecutor General </w:t>
      </w:r>
      <w:proofErr w:type="gramStart"/>
      <w:r w:rsidRPr="00647CC4">
        <w:rPr>
          <w:rFonts w:ascii="Arial" w:hAnsi="Arial"/>
          <w:i/>
        </w:rPr>
        <w:t>v</w:t>
      </w:r>
      <w:proofErr w:type="gramEnd"/>
      <w:r w:rsidRPr="00647CC4">
        <w:rPr>
          <w:rFonts w:ascii="Arial" w:hAnsi="Arial"/>
          <w:i/>
        </w:rPr>
        <w:t xml:space="preserve"> </w:t>
      </w:r>
      <w:proofErr w:type="spellStart"/>
      <w:r w:rsidRPr="00647CC4">
        <w:rPr>
          <w:rFonts w:ascii="Arial" w:hAnsi="Arial"/>
          <w:i/>
        </w:rPr>
        <w:t>Kamunguma</w:t>
      </w:r>
      <w:proofErr w:type="spellEnd"/>
      <w:r w:rsidR="0011304F">
        <w:rPr>
          <w:rFonts w:ascii="Arial" w:hAnsi="Arial"/>
          <w:i/>
        </w:rPr>
        <w:t>,</w:t>
      </w:r>
      <w:r>
        <w:rPr>
          <w:rStyle w:val="FootnoteReference"/>
          <w:rFonts w:ascii="Arial" w:hAnsi="Arial"/>
          <w:i/>
        </w:rPr>
        <w:footnoteReference w:id="4"/>
      </w:r>
      <w:r>
        <w:rPr>
          <w:rFonts w:ascii="Arial" w:hAnsi="Arial"/>
        </w:rPr>
        <w:t xml:space="preserve"> </w:t>
      </w:r>
      <w:r w:rsidR="00513E92">
        <w:rPr>
          <w:rFonts w:ascii="Arial" w:hAnsi="Arial"/>
        </w:rPr>
        <w:t xml:space="preserve">the Supreme Court held that </w:t>
      </w:r>
      <w:r w:rsidR="00513E92" w:rsidRPr="00513E92">
        <w:rPr>
          <w:rFonts w:ascii="Arial" w:hAnsi="Arial"/>
        </w:rPr>
        <w:t xml:space="preserve">Chapter 6 of </w:t>
      </w:r>
      <w:r w:rsidR="00C52F11">
        <w:rPr>
          <w:rFonts w:ascii="Arial" w:hAnsi="Arial"/>
        </w:rPr>
        <w:t xml:space="preserve">the </w:t>
      </w:r>
      <w:r w:rsidR="006F24C0" w:rsidRPr="00513E92">
        <w:rPr>
          <w:rFonts w:ascii="Arial" w:hAnsi="Arial"/>
        </w:rPr>
        <w:t xml:space="preserve">POCA </w:t>
      </w:r>
      <w:r w:rsidR="006F24C0">
        <w:rPr>
          <w:rFonts w:ascii="Arial" w:hAnsi="Arial"/>
        </w:rPr>
        <w:t xml:space="preserve">(which consists of </w:t>
      </w:r>
      <w:proofErr w:type="spellStart"/>
      <w:r w:rsidR="006F24C0">
        <w:rPr>
          <w:rFonts w:ascii="Arial" w:hAnsi="Arial"/>
        </w:rPr>
        <w:t>ss</w:t>
      </w:r>
      <w:proofErr w:type="spellEnd"/>
      <w:r w:rsidR="006F24C0">
        <w:rPr>
          <w:rFonts w:ascii="Arial" w:hAnsi="Arial"/>
        </w:rPr>
        <w:t xml:space="preserve"> 50 to 73) </w:t>
      </w:r>
      <w:r w:rsidR="00513E92" w:rsidRPr="00513E92">
        <w:rPr>
          <w:rFonts w:ascii="Arial" w:hAnsi="Arial"/>
        </w:rPr>
        <w:t>provides for a two-stage procedure for the forfeiture of proceeds of unlawful activities. The two stages are complex and tightly intertwined, both as a matter of process and substance.</w:t>
      </w:r>
      <w:r w:rsidR="00513E92">
        <w:rPr>
          <w:rFonts w:ascii="Arial" w:hAnsi="Arial"/>
        </w:rPr>
        <w:t xml:space="preserve"> Section 51(1) of </w:t>
      </w:r>
      <w:r w:rsidR="00C52F11">
        <w:rPr>
          <w:rFonts w:ascii="Arial" w:hAnsi="Arial"/>
        </w:rPr>
        <w:t xml:space="preserve">the </w:t>
      </w:r>
      <w:r w:rsidR="00513E92">
        <w:rPr>
          <w:rFonts w:ascii="Arial" w:hAnsi="Arial"/>
        </w:rPr>
        <w:t>POCA empowers the Prosecutor General to apply to</w:t>
      </w:r>
      <w:r w:rsidR="00513E92" w:rsidRPr="00513E92">
        <w:rPr>
          <w:rFonts w:ascii="Arial" w:hAnsi="Arial"/>
        </w:rPr>
        <w:t xml:space="preserve"> the High Court for a preservation of property order prohibiting any person, subject to such conditions and exceptions as may be specified in the order, from dealing in any manner with any property</w:t>
      </w:r>
      <w:r w:rsidR="00513E92">
        <w:rPr>
          <w:rFonts w:ascii="Arial" w:hAnsi="Arial"/>
        </w:rPr>
        <w:t>.</w:t>
      </w:r>
    </w:p>
    <w:p w:rsidR="00513E92" w:rsidRDefault="00513E92" w:rsidP="008D659B">
      <w:pPr>
        <w:spacing w:line="360" w:lineRule="auto"/>
        <w:contextualSpacing/>
        <w:jc w:val="both"/>
        <w:rPr>
          <w:rFonts w:ascii="Arial" w:hAnsi="Arial"/>
        </w:rPr>
      </w:pPr>
    </w:p>
    <w:p w:rsidR="001C46EC" w:rsidRDefault="00513E92" w:rsidP="008D659B">
      <w:pPr>
        <w:spacing w:line="360" w:lineRule="auto"/>
        <w:contextualSpacing/>
        <w:jc w:val="both"/>
        <w:rPr>
          <w:rFonts w:ascii="Arial" w:hAnsi="Arial"/>
        </w:rPr>
      </w:pPr>
      <w:r>
        <w:rPr>
          <w:rFonts w:ascii="Arial" w:hAnsi="Arial"/>
        </w:rPr>
        <w:t>[</w:t>
      </w:r>
      <w:r w:rsidR="006F24C0">
        <w:rPr>
          <w:rFonts w:ascii="Arial" w:hAnsi="Arial"/>
        </w:rPr>
        <w:t>39</w:t>
      </w:r>
      <w:r>
        <w:rPr>
          <w:rFonts w:ascii="Arial" w:hAnsi="Arial"/>
        </w:rPr>
        <w:t>]</w:t>
      </w:r>
      <w:r>
        <w:rPr>
          <w:rFonts w:ascii="Arial" w:hAnsi="Arial"/>
        </w:rPr>
        <w:tab/>
      </w:r>
      <w:r w:rsidRPr="00513E92">
        <w:rPr>
          <w:rFonts w:ascii="Arial" w:hAnsi="Arial"/>
        </w:rPr>
        <w:t xml:space="preserve">Section 51(2) of </w:t>
      </w:r>
      <w:r w:rsidR="00C52F11">
        <w:rPr>
          <w:rFonts w:ascii="Arial" w:hAnsi="Arial"/>
        </w:rPr>
        <w:t xml:space="preserve">the </w:t>
      </w:r>
      <w:r w:rsidRPr="00513E92">
        <w:rPr>
          <w:rFonts w:ascii="Arial" w:hAnsi="Arial"/>
        </w:rPr>
        <w:t>POCA requires of the P</w:t>
      </w:r>
      <w:r w:rsidR="006F24C0">
        <w:rPr>
          <w:rFonts w:ascii="Arial" w:hAnsi="Arial"/>
        </w:rPr>
        <w:t xml:space="preserve">rosecutor General </w:t>
      </w:r>
      <w:r>
        <w:rPr>
          <w:rFonts w:ascii="Arial" w:hAnsi="Arial"/>
        </w:rPr>
        <w:t xml:space="preserve">to prove that the property </w:t>
      </w:r>
      <w:r w:rsidRPr="00513E92">
        <w:rPr>
          <w:rFonts w:ascii="Arial" w:hAnsi="Arial"/>
        </w:rPr>
        <w:t>sought to be preserved is either the proceeds of unlawful activities or an instrumentality of an offence specified in sch</w:t>
      </w:r>
      <w:r w:rsidR="006F24C0">
        <w:rPr>
          <w:rFonts w:ascii="Arial" w:hAnsi="Arial"/>
        </w:rPr>
        <w:t>edule</w:t>
      </w:r>
      <w:r w:rsidRPr="00513E92">
        <w:rPr>
          <w:rFonts w:ascii="Arial" w:hAnsi="Arial"/>
        </w:rPr>
        <w:t xml:space="preserve"> 1 to </w:t>
      </w:r>
      <w:r w:rsidR="00C52F11">
        <w:rPr>
          <w:rFonts w:ascii="Arial" w:hAnsi="Arial"/>
        </w:rPr>
        <w:t xml:space="preserve">the </w:t>
      </w:r>
      <w:r w:rsidRPr="00513E92">
        <w:rPr>
          <w:rFonts w:ascii="Arial" w:hAnsi="Arial"/>
        </w:rPr>
        <w:t>POCA. The High Court must grant the order if it is satisfied that there are 'reasonable grounds</w:t>
      </w:r>
      <w:r>
        <w:rPr>
          <w:rFonts w:ascii="Arial" w:hAnsi="Arial"/>
        </w:rPr>
        <w:t xml:space="preserve">' for the making of the order. </w:t>
      </w:r>
      <w:r w:rsidRPr="00513E92">
        <w:rPr>
          <w:rFonts w:ascii="Arial" w:hAnsi="Arial"/>
        </w:rPr>
        <w:t>After a preservation of property order has</w:t>
      </w:r>
      <w:r>
        <w:rPr>
          <w:rFonts w:ascii="Arial" w:hAnsi="Arial"/>
        </w:rPr>
        <w:t xml:space="preserve"> </w:t>
      </w:r>
      <w:r w:rsidRPr="00513E92">
        <w:rPr>
          <w:rFonts w:ascii="Arial" w:hAnsi="Arial"/>
        </w:rPr>
        <w:t xml:space="preserve">been granted, the </w:t>
      </w:r>
      <w:r w:rsidR="001C46EC" w:rsidRPr="00513E92">
        <w:rPr>
          <w:rFonts w:ascii="Arial" w:hAnsi="Arial"/>
        </w:rPr>
        <w:t>P</w:t>
      </w:r>
      <w:r w:rsidR="001C46EC">
        <w:rPr>
          <w:rFonts w:ascii="Arial" w:hAnsi="Arial"/>
        </w:rPr>
        <w:t xml:space="preserve">rosecutor General </w:t>
      </w:r>
      <w:r w:rsidRPr="00513E92">
        <w:rPr>
          <w:rFonts w:ascii="Arial" w:hAnsi="Arial"/>
        </w:rPr>
        <w:t>must serve it on any</w:t>
      </w:r>
      <w:r w:rsidR="001C46EC">
        <w:rPr>
          <w:rFonts w:ascii="Arial" w:hAnsi="Arial"/>
        </w:rPr>
        <w:t xml:space="preserve"> party known to her to</w:t>
      </w:r>
      <w:r w:rsidR="001C46EC" w:rsidRPr="00513E92">
        <w:rPr>
          <w:rFonts w:ascii="Arial" w:hAnsi="Arial"/>
        </w:rPr>
        <w:t xml:space="preserve"> have</w:t>
      </w:r>
      <w:r w:rsidRPr="00513E92">
        <w:rPr>
          <w:rFonts w:ascii="Arial" w:hAnsi="Arial"/>
        </w:rPr>
        <w:t xml:space="preserve"> an interest in the preserved property and publish the notice of the order in the </w:t>
      </w:r>
      <w:r w:rsidRPr="00C52F11">
        <w:rPr>
          <w:rFonts w:ascii="Arial" w:hAnsi="Arial"/>
          <w:i/>
        </w:rPr>
        <w:t>Government Gazette</w:t>
      </w:r>
      <w:r w:rsidR="00C52F11">
        <w:rPr>
          <w:rFonts w:ascii="Arial" w:hAnsi="Arial"/>
        </w:rPr>
        <w:t>.</w:t>
      </w:r>
      <w:r w:rsidR="001C46EC">
        <w:rPr>
          <w:rStyle w:val="FootnoteReference"/>
          <w:rFonts w:ascii="Arial" w:hAnsi="Arial"/>
        </w:rPr>
        <w:footnoteReference w:id="5"/>
      </w:r>
    </w:p>
    <w:p w:rsidR="001C46EC" w:rsidRDefault="001C46EC" w:rsidP="008D659B">
      <w:pPr>
        <w:spacing w:line="360" w:lineRule="auto"/>
        <w:contextualSpacing/>
        <w:jc w:val="both"/>
        <w:rPr>
          <w:rFonts w:ascii="Arial" w:hAnsi="Arial"/>
        </w:rPr>
      </w:pPr>
    </w:p>
    <w:p w:rsidR="001C46EC" w:rsidRDefault="00513E92" w:rsidP="008D659B">
      <w:pPr>
        <w:spacing w:line="360" w:lineRule="auto"/>
        <w:contextualSpacing/>
        <w:jc w:val="both"/>
        <w:rPr>
          <w:rFonts w:ascii="Arial" w:hAnsi="Arial"/>
        </w:rPr>
      </w:pPr>
      <w:r w:rsidRPr="00513E92">
        <w:rPr>
          <w:rFonts w:ascii="Arial" w:hAnsi="Arial"/>
        </w:rPr>
        <w:t>[</w:t>
      </w:r>
      <w:r w:rsidR="006F24C0">
        <w:rPr>
          <w:rFonts w:ascii="Arial" w:hAnsi="Arial"/>
        </w:rPr>
        <w:t>40</w:t>
      </w:r>
      <w:r w:rsidRPr="00513E92">
        <w:rPr>
          <w:rFonts w:ascii="Arial" w:hAnsi="Arial"/>
        </w:rPr>
        <w:t>]</w:t>
      </w:r>
      <w:r w:rsidR="001C46EC">
        <w:rPr>
          <w:rFonts w:ascii="Arial" w:hAnsi="Arial"/>
        </w:rPr>
        <w:tab/>
      </w:r>
      <w:r w:rsidRPr="00513E92">
        <w:rPr>
          <w:rFonts w:ascii="Arial" w:hAnsi="Arial"/>
        </w:rPr>
        <w:t>Section 52(3) of</w:t>
      </w:r>
      <w:r w:rsidR="00C52F11">
        <w:rPr>
          <w:rFonts w:ascii="Arial" w:hAnsi="Arial"/>
        </w:rPr>
        <w:t xml:space="preserve"> the</w:t>
      </w:r>
      <w:r w:rsidRPr="00513E92">
        <w:rPr>
          <w:rFonts w:ascii="Arial" w:hAnsi="Arial"/>
        </w:rPr>
        <w:t xml:space="preserve"> POCA requires of any person who has an interest in the preserved property </w:t>
      </w:r>
      <w:r w:rsidR="006F24C0">
        <w:rPr>
          <w:rFonts w:ascii="Arial" w:hAnsi="Arial"/>
        </w:rPr>
        <w:t xml:space="preserve">(preserved in terms of s 51) </w:t>
      </w:r>
      <w:r w:rsidRPr="00513E92">
        <w:rPr>
          <w:rFonts w:ascii="Arial" w:hAnsi="Arial"/>
        </w:rPr>
        <w:t xml:space="preserve">to give notice of his </w:t>
      </w:r>
      <w:r w:rsidR="001C46EC">
        <w:rPr>
          <w:rFonts w:ascii="Arial" w:hAnsi="Arial"/>
        </w:rPr>
        <w:t xml:space="preserve">or her intention to oppose the making of a forfeiture order. </w:t>
      </w:r>
      <w:r w:rsidRPr="00513E92">
        <w:rPr>
          <w:rFonts w:ascii="Arial" w:hAnsi="Arial"/>
        </w:rPr>
        <w:t xml:space="preserve">This must be done within 21 days after the notice of the preservation order has been given to the </w:t>
      </w:r>
      <w:r w:rsidR="001C46EC">
        <w:rPr>
          <w:rFonts w:ascii="Arial" w:hAnsi="Arial"/>
        </w:rPr>
        <w:t xml:space="preserve">person concerned </w:t>
      </w:r>
      <w:r w:rsidR="001C46EC" w:rsidRPr="00513E92">
        <w:rPr>
          <w:rFonts w:ascii="Arial" w:hAnsi="Arial"/>
        </w:rPr>
        <w:t>or</w:t>
      </w:r>
      <w:r w:rsidRPr="00513E92">
        <w:rPr>
          <w:rFonts w:ascii="Arial" w:hAnsi="Arial"/>
        </w:rPr>
        <w:t xml:space="preserve"> 21 days after the notice has been published in the </w:t>
      </w:r>
      <w:r w:rsidRPr="00C52F11">
        <w:rPr>
          <w:rFonts w:ascii="Arial" w:hAnsi="Arial"/>
          <w:i/>
        </w:rPr>
        <w:t>Government Gazette</w:t>
      </w:r>
      <w:r w:rsidR="00C52F11">
        <w:rPr>
          <w:rFonts w:ascii="Arial" w:hAnsi="Arial"/>
        </w:rPr>
        <w:t>.</w:t>
      </w:r>
      <w:r w:rsidR="001C46EC">
        <w:rPr>
          <w:rStyle w:val="FootnoteReference"/>
          <w:rFonts w:ascii="Arial" w:hAnsi="Arial"/>
        </w:rPr>
        <w:footnoteReference w:id="6"/>
      </w:r>
      <w:r w:rsidR="001C46EC">
        <w:rPr>
          <w:rFonts w:ascii="Arial" w:hAnsi="Arial"/>
        </w:rPr>
        <w:t xml:space="preserve"> </w:t>
      </w:r>
      <w:r w:rsidRPr="00513E92">
        <w:rPr>
          <w:rFonts w:ascii="Arial" w:hAnsi="Arial"/>
        </w:rPr>
        <w:t xml:space="preserve">If the person referred to </w:t>
      </w:r>
      <w:r w:rsidR="001C46EC">
        <w:rPr>
          <w:rFonts w:ascii="Arial" w:hAnsi="Arial"/>
        </w:rPr>
        <w:t>s 52(3)</w:t>
      </w:r>
      <w:r w:rsidRPr="00513E92">
        <w:rPr>
          <w:rFonts w:ascii="Arial" w:hAnsi="Arial"/>
        </w:rPr>
        <w:t xml:space="preserve"> has </w:t>
      </w:r>
      <w:r w:rsidR="001C46EC">
        <w:rPr>
          <w:rFonts w:ascii="Arial" w:hAnsi="Arial"/>
        </w:rPr>
        <w:t xml:space="preserve">not given a notice in terms of </w:t>
      </w:r>
      <w:r w:rsidR="00C52F11">
        <w:rPr>
          <w:rFonts w:ascii="Arial" w:hAnsi="Arial"/>
        </w:rPr>
        <w:t xml:space="preserve">s 52(3) </w:t>
      </w:r>
      <w:r w:rsidRPr="00513E92">
        <w:rPr>
          <w:rFonts w:ascii="Arial" w:hAnsi="Arial"/>
        </w:rPr>
        <w:t xml:space="preserve">or the notice is not accompanied by an affidavit as required by s 52(5), then such person is not entitled to receive notice of the application for a forfeiture of property order in terms of s 59(2) and is </w:t>
      </w:r>
      <w:r w:rsidR="00C52F11">
        <w:rPr>
          <w:rFonts w:ascii="Arial" w:hAnsi="Arial"/>
        </w:rPr>
        <w:t xml:space="preserve">therefore </w:t>
      </w:r>
      <w:r w:rsidRPr="00513E92">
        <w:rPr>
          <w:rFonts w:ascii="Arial" w:hAnsi="Arial"/>
        </w:rPr>
        <w:t>not entitled to participate in the forfeiture proceedings</w:t>
      </w:r>
      <w:r w:rsidR="00C52F11">
        <w:rPr>
          <w:rFonts w:ascii="Arial" w:hAnsi="Arial"/>
        </w:rPr>
        <w:t>.</w:t>
      </w:r>
      <w:r w:rsidR="001C46EC">
        <w:rPr>
          <w:rStyle w:val="FootnoteReference"/>
          <w:rFonts w:ascii="Arial" w:hAnsi="Arial"/>
        </w:rPr>
        <w:footnoteReference w:id="7"/>
      </w:r>
    </w:p>
    <w:p w:rsidR="001C46EC" w:rsidRDefault="001C46EC" w:rsidP="008D659B">
      <w:pPr>
        <w:spacing w:line="360" w:lineRule="auto"/>
        <w:contextualSpacing/>
        <w:jc w:val="both"/>
        <w:rPr>
          <w:rFonts w:ascii="Arial" w:hAnsi="Arial"/>
        </w:rPr>
      </w:pPr>
    </w:p>
    <w:p w:rsidR="001A1A30" w:rsidRDefault="001C46EC" w:rsidP="008D659B">
      <w:pPr>
        <w:spacing w:line="360" w:lineRule="auto"/>
        <w:contextualSpacing/>
        <w:jc w:val="both"/>
        <w:rPr>
          <w:rFonts w:ascii="Arial" w:hAnsi="Arial"/>
        </w:rPr>
      </w:pPr>
      <w:r>
        <w:rPr>
          <w:rFonts w:ascii="Arial" w:hAnsi="Arial"/>
        </w:rPr>
        <w:lastRenderedPageBreak/>
        <w:t>[</w:t>
      </w:r>
      <w:r w:rsidR="006F24C0">
        <w:rPr>
          <w:rFonts w:ascii="Arial" w:hAnsi="Arial"/>
        </w:rPr>
        <w:t>41</w:t>
      </w:r>
      <w:r>
        <w:rPr>
          <w:rFonts w:ascii="Arial" w:hAnsi="Arial"/>
        </w:rPr>
        <w:t>]</w:t>
      </w:r>
      <w:r>
        <w:rPr>
          <w:rFonts w:ascii="Arial" w:hAnsi="Arial"/>
        </w:rPr>
        <w:tab/>
        <w:t xml:space="preserve"> Section 60 of </w:t>
      </w:r>
      <w:r w:rsidR="00C52F11">
        <w:rPr>
          <w:rFonts w:ascii="Arial" w:hAnsi="Arial"/>
        </w:rPr>
        <w:t xml:space="preserve">the </w:t>
      </w:r>
      <w:r>
        <w:rPr>
          <w:rFonts w:ascii="Arial" w:hAnsi="Arial"/>
        </w:rPr>
        <w:t>POCA provides for an exception to the provision that a person</w:t>
      </w:r>
      <w:r w:rsidR="00C52F11">
        <w:rPr>
          <w:rFonts w:ascii="Arial" w:hAnsi="Arial"/>
        </w:rPr>
        <w:t xml:space="preserve">, </w:t>
      </w:r>
      <w:r>
        <w:rPr>
          <w:rFonts w:ascii="Arial" w:hAnsi="Arial"/>
        </w:rPr>
        <w:t xml:space="preserve">who has not given </w:t>
      </w:r>
      <w:proofErr w:type="gramStart"/>
      <w:r>
        <w:rPr>
          <w:rFonts w:ascii="Arial" w:hAnsi="Arial"/>
        </w:rPr>
        <w:t>a</w:t>
      </w:r>
      <w:proofErr w:type="gramEnd"/>
      <w:r>
        <w:rPr>
          <w:rFonts w:ascii="Arial" w:hAnsi="Arial"/>
        </w:rPr>
        <w:t xml:space="preserve"> </w:t>
      </w:r>
      <w:r w:rsidR="00C52F11">
        <w:rPr>
          <w:rFonts w:ascii="Arial" w:hAnsi="Arial"/>
        </w:rPr>
        <w:t>s</w:t>
      </w:r>
      <w:r>
        <w:rPr>
          <w:rFonts w:ascii="Arial" w:hAnsi="Arial"/>
        </w:rPr>
        <w:t xml:space="preserve"> 52(3) </w:t>
      </w:r>
      <w:r w:rsidR="00C52F11">
        <w:rPr>
          <w:rFonts w:ascii="Arial" w:hAnsi="Arial"/>
        </w:rPr>
        <w:t xml:space="preserve">notice, </w:t>
      </w:r>
      <w:r>
        <w:rPr>
          <w:rFonts w:ascii="Arial" w:hAnsi="Arial"/>
        </w:rPr>
        <w:t xml:space="preserve">may not participate in the forfeiture proceedings. That section provides </w:t>
      </w:r>
      <w:r w:rsidR="001A1A30">
        <w:rPr>
          <w:rFonts w:ascii="Arial" w:hAnsi="Arial"/>
        </w:rPr>
        <w:t>that</w:t>
      </w:r>
      <w:r w:rsidR="001A1A30" w:rsidRPr="001A1A30">
        <w:t xml:space="preserve"> </w:t>
      </w:r>
      <w:r w:rsidR="00C52F11">
        <w:rPr>
          <w:rFonts w:ascii="Arial" w:hAnsi="Arial"/>
        </w:rPr>
        <w:t>this C</w:t>
      </w:r>
      <w:r w:rsidR="001A1A30" w:rsidRPr="001A1A30">
        <w:rPr>
          <w:rFonts w:ascii="Arial" w:hAnsi="Arial"/>
        </w:rPr>
        <w:t>ourt may condone the failure</w:t>
      </w:r>
      <w:r w:rsidR="001A1A30">
        <w:rPr>
          <w:rFonts w:ascii="Arial" w:hAnsi="Arial"/>
        </w:rPr>
        <w:t xml:space="preserve"> of a person to give a s 52(3) notice</w:t>
      </w:r>
      <w:r w:rsidR="001A1A30" w:rsidRPr="001A1A30">
        <w:rPr>
          <w:rFonts w:ascii="Arial" w:hAnsi="Arial"/>
        </w:rPr>
        <w:t xml:space="preserve"> and grant </w:t>
      </w:r>
      <w:r w:rsidR="00C52F11">
        <w:rPr>
          <w:rFonts w:ascii="Arial" w:hAnsi="Arial"/>
        </w:rPr>
        <w:t>such</w:t>
      </w:r>
      <w:r w:rsidR="001A1A30">
        <w:rPr>
          <w:rFonts w:ascii="Arial" w:hAnsi="Arial"/>
        </w:rPr>
        <w:t xml:space="preserve"> person </w:t>
      </w:r>
      <w:r w:rsidR="001A1A30" w:rsidRPr="001A1A30">
        <w:rPr>
          <w:rFonts w:ascii="Arial" w:hAnsi="Arial"/>
        </w:rPr>
        <w:t xml:space="preserve">leave </w:t>
      </w:r>
      <w:r w:rsidR="001A1A30">
        <w:rPr>
          <w:rFonts w:ascii="Arial" w:hAnsi="Arial"/>
        </w:rPr>
        <w:t>to participate in the forfeiture proceedings</w:t>
      </w:r>
      <w:r w:rsidR="00AF327F">
        <w:rPr>
          <w:rFonts w:ascii="Arial" w:hAnsi="Arial"/>
        </w:rPr>
        <w:t>,</w:t>
      </w:r>
      <w:r w:rsidR="001A1A30">
        <w:rPr>
          <w:rFonts w:ascii="Arial" w:hAnsi="Arial"/>
        </w:rPr>
        <w:t xml:space="preserve"> if </w:t>
      </w:r>
      <w:r w:rsidR="001A1A30" w:rsidRPr="001A1A30">
        <w:rPr>
          <w:rFonts w:ascii="Arial" w:hAnsi="Arial"/>
        </w:rPr>
        <w:t xml:space="preserve">the court is satisfied on good cause shown that the </w:t>
      </w:r>
      <w:r w:rsidR="001A1A30">
        <w:rPr>
          <w:rFonts w:ascii="Arial" w:hAnsi="Arial"/>
        </w:rPr>
        <w:t>person</w:t>
      </w:r>
      <w:r w:rsidR="001A1A30" w:rsidRPr="001A1A30">
        <w:rPr>
          <w:rFonts w:ascii="Arial" w:hAnsi="Arial"/>
        </w:rPr>
        <w:t xml:space="preserve"> was unaware of the preservation of property order or that it was impossible for him or her to give notice in terms of </w:t>
      </w:r>
      <w:r w:rsidR="00AF327F">
        <w:rPr>
          <w:rFonts w:ascii="Arial" w:hAnsi="Arial"/>
        </w:rPr>
        <w:t>s 52(3)</w:t>
      </w:r>
      <w:r w:rsidR="001A1A30" w:rsidRPr="001A1A30">
        <w:rPr>
          <w:rFonts w:ascii="Arial" w:hAnsi="Arial"/>
        </w:rPr>
        <w:t xml:space="preserve"> and has an interest in the property</w:t>
      </w:r>
      <w:r w:rsidR="00AF327F">
        <w:rPr>
          <w:rFonts w:ascii="Arial" w:hAnsi="Arial"/>
        </w:rPr>
        <w:t>,</w:t>
      </w:r>
      <w:r w:rsidR="001A1A30" w:rsidRPr="001A1A30">
        <w:rPr>
          <w:rFonts w:ascii="Arial" w:hAnsi="Arial"/>
        </w:rPr>
        <w:t xml:space="preserve"> which is subject to the preservation of property order</w:t>
      </w:r>
      <w:r w:rsidR="001A1A30">
        <w:rPr>
          <w:rFonts w:ascii="Arial" w:hAnsi="Arial"/>
        </w:rPr>
        <w:t>.</w:t>
      </w:r>
    </w:p>
    <w:p w:rsidR="000C6754" w:rsidRDefault="000C6754" w:rsidP="008D659B">
      <w:pPr>
        <w:spacing w:line="360" w:lineRule="auto"/>
        <w:contextualSpacing/>
        <w:jc w:val="both"/>
        <w:rPr>
          <w:rFonts w:ascii="Arial" w:hAnsi="Arial"/>
        </w:rPr>
      </w:pPr>
    </w:p>
    <w:p w:rsidR="006F24C0" w:rsidRDefault="00513E92" w:rsidP="008D659B">
      <w:pPr>
        <w:spacing w:line="360" w:lineRule="auto"/>
        <w:contextualSpacing/>
        <w:jc w:val="both"/>
        <w:rPr>
          <w:rFonts w:ascii="Arial" w:hAnsi="Arial"/>
        </w:rPr>
      </w:pPr>
      <w:r w:rsidRPr="00513E92">
        <w:rPr>
          <w:rFonts w:ascii="Arial" w:hAnsi="Arial"/>
        </w:rPr>
        <w:t>[</w:t>
      </w:r>
      <w:r w:rsidR="006F24C0">
        <w:rPr>
          <w:rFonts w:ascii="Arial" w:hAnsi="Arial"/>
        </w:rPr>
        <w:t>42</w:t>
      </w:r>
      <w:r w:rsidRPr="00513E92">
        <w:rPr>
          <w:rFonts w:ascii="Arial" w:hAnsi="Arial"/>
        </w:rPr>
        <w:t>]</w:t>
      </w:r>
      <w:r w:rsidR="001A1A30">
        <w:rPr>
          <w:rFonts w:ascii="Arial" w:hAnsi="Arial"/>
        </w:rPr>
        <w:tab/>
      </w:r>
      <w:r w:rsidR="00B14827">
        <w:rPr>
          <w:rFonts w:ascii="Arial" w:hAnsi="Arial"/>
        </w:rPr>
        <w:t xml:space="preserve">The Concise Oxford English Dictionary defines ‘proceedings’ as an event or series of activities with a set procedure. It continues and states that in law the term </w:t>
      </w:r>
      <w:r w:rsidR="006F24C0" w:rsidRPr="00AF327F">
        <w:rPr>
          <w:rFonts w:ascii="Arial" w:hAnsi="Arial"/>
        </w:rPr>
        <w:t>‘</w:t>
      </w:r>
      <w:r w:rsidR="00B14827" w:rsidRPr="00AF327F">
        <w:rPr>
          <w:rFonts w:ascii="Arial" w:hAnsi="Arial"/>
        </w:rPr>
        <w:t>proceedings</w:t>
      </w:r>
      <w:r w:rsidR="006F24C0" w:rsidRPr="00AF327F">
        <w:rPr>
          <w:rFonts w:ascii="Arial" w:hAnsi="Arial"/>
        </w:rPr>
        <w:t>’</w:t>
      </w:r>
      <w:r w:rsidR="00B14827">
        <w:rPr>
          <w:rFonts w:ascii="Arial" w:hAnsi="Arial"/>
        </w:rPr>
        <w:t xml:space="preserve"> refers to action take</w:t>
      </w:r>
      <w:r w:rsidR="006F24C0">
        <w:rPr>
          <w:rFonts w:ascii="Arial" w:hAnsi="Arial"/>
        </w:rPr>
        <w:t>n</w:t>
      </w:r>
      <w:r w:rsidR="00AF327F">
        <w:rPr>
          <w:rFonts w:ascii="Arial" w:hAnsi="Arial"/>
        </w:rPr>
        <w:t xml:space="preserve"> in a C</w:t>
      </w:r>
      <w:r w:rsidR="00B14827">
        <w:rPr>
          <w:rFonts w:ascii="Arial" w:hAnsi="Arial"/>
        </w:rPr>
        <w:t xml:space="preserve">ourt to settle a dispute. It will therefore be fair to state that the term proceedings refers to </w:t>
      </w:r>
      <w:r w:rsidR="00B14827" w:rsidRPr="00B14827">
        <w:rPr>
          <w:rFonts w:ascii="Arial" w:hAnsi="Arial"/>
        </w:rPr>
        <w:t xml:space="preserve">any procedural means of seeking redress from a </w:t>
      </w:r>
      <w:r w:rsidR="00AF327F">
        <w:rPr>
          <w:rFonts w:ascii="Arial" w:hAnsi="Arial"/>
        </w:rPr>
        <w:t>C</w:t>
      </w:r>
      <w:r w:rsidR="00B14827">
        <w:rPr>
          <w:rFonts w:ascii="Arial" w:hAnsi="Arial"/>
        </w:rPr>
        <w:t xml:space="preserve">ourt or </w:t>
      </w:r>
      <w:r w:rsidR="00B14827" w:rsidRPr="00B14827">
        <w:rPr>
          <w:rFonts w:ascii="Arial" w:hAnsi="Arial"/>
        </w:rPr>
        <w:t xml:space="preserve">tribunal; the regular progression of a </w:t>
      </w:r>
      <w:r w:rsidR="00B14827">
        <w:rPr>
          <w:rFonts w:ascii="Arial" w:hAnsi="Arial"/>
        </w:rPr>
        <w:t xml:space="preserve">lawsuit or </w:t>
      </w:r>
      <w:r w:rsidR="00B14827" w:rsidRPr="00B14827">
        <w:rPr>
          <w:rFonts w:ascii="Arial" w:hAnsi="Arial"/>
        </w:rPr>
        <w:t>a legal action.</w:t>
      </w:r>
      <w:r w:rsidR="00B14827">
        <w:rPr>
          <w:rFonts w:ascii="Arial" w:hAnsi="Arial"/>
        </w:rPr>
        <w:t xml:space="preserve"> </w:t>
      </w:r>
    </w:p>
    <w:p w:rsidR="006F24C0" w:rsidRDefault="006F24C0" w:rsidP="008D659B">
      <w:pPr>
        <w:spacing w:line="360" w:lineRule="auto"/>
        <w:contextualSpacing/>
        <w:jc w:val="both"/>
        <w:rPr>
          <w:rFonts w:ascii="Arial" w:hAnsi="Arial"/>
        </w:rPr>
      </w:pPr>
    </w:p>
    <w:p w:rsidR="0060497F" w:rsidRDefault="006F24C0" w:rsidP="008D659B">
      <w:pPr>
        <w:spacing w:line="360" w:lineRule="auto"/>
        <w:contextualSpacing/>
        <w:jc w:val="both"/>
        <w:rPr>
          <w:rFonts w:ascii="Arial" w:hAnsi="Arial"/>
        </w:rPr>
      </w:pPr>
      <w:r>
        <w:rPr>
          <w:rFonts w:ascii="Arial" w:hAnsi="Arial"/>
        </w:rPr>
        <w:t>[43]</w:t>
      </w:r>
      <w:r>
        <w:rPr>
          <w:rFonts w:ascii="Arial" w:hAnsi="Arial"/>
        </w:rPr>
        <w:tab/>
      </w:r>
      <w:r w:rsidR="00B14827">
        <w:rPr>
          <w:rFonts w:ascii="Arial" w:hAnsi="Arial"/>
        </w:rPr>
        <w:t>Having regard to the definition of the term proceedings</w:t>
      </w:r>
      <w:r w:rsidR="00AF327F">
        <w:rPr>
          <w:rFonts w:ascii="Arial" w:hAnsi="Arial"/>
        </w:rPr>
        <w:t>,</w:t>
      </w:r>
      <w:r w:rsidR="00B14827">
        <w:rPr>
          <w:rFonts w:ascii="Arial" w:hAnsi="Arial"/>
        </w:rPr>
        <w:t xml:space="preserve"> it is clear that s 99 is intended to be broader than </w:t>
      </w:r>
      <w:proofErr w:type="spellStart"/>
      <w:r w:rsidR="00B14827">
        <w:rPr>
          <w:rFonts w:ascii="Arial" w:hAnsi="Arial"/>
        </w:rPr>
        <w:t>ss</w:t>
      </w:r>
      <w:proofErr w:type="spellEnd"/>
      <w:r w:rsidR="00B14827">
        <w:rPr>
          <w:rFonts w:ascii="Arial" w:hAnsi="Arial"/>
        </w:rPr>
        <w:t xml:space="preserve"> 52(6)</w:t>
      </w:r>
      <w:r>
        <w:rPr>
          <w:rFonts w:ascii="Arial" w:hAnsi="Arial"/>
        </w:rPr>
        <w:t>, 58(4)</w:t>
      </w:r>
      <w:r w:rsidR="00B14827">
        <w:rPr>
          <w:rFonts w:ascii="Arial" w:hAnsi="Arial"/>
        </w:rPr>
        <w:t xml:space="preserve"> </w:t>
      </w:r>
      <w:r w:rsidR="00AB78C7">
        <w:rPr>
          <w:rFonts w:ascii="Arial" w:hAnsi="Arial"/>
        </w:rPr>
        <w:t>and</w:t>
      </w:r>
      <w:r w:rsidR="00AF327F">
        <w:rPr>
          <w:rFonts w:ascii="Arial" w:hAnsi="Arial"/>
        </w:rPr>
        <w:t xml:space="preserve"> 60</w:t>
      </w:r>
      <w:r w:rsidR="00B14827">
        <w:rPr>
          <w:rFonts w:ascii="Arial" w:hAnsi="Arial"/>
        </w:rPr>
        <w:t>.</w:t>
      </w:r>
      <w:r w:rsidR="00AF327F">
        <w:rPr>
          <w:rFonts w:ascii="Arial" w:hAnsi="Arial"/>
        </w:rPr>
        <w:t xml:space="preserve"> Section 52</w:t>
      </w:r>
      <w:r w:rsidR="00AB78C7">
        <w:rPr>
          <w:rFonts w:ascii="Arial" w:hAnsi="Arial"/>
        </w:rPr>
        <w:t>(6) is limited in its operation to disentitle a person from receiving a notice for forfeiture proceedings</w:t>
      </w:r>
      <w:r w:rsidR="0060497F">
        <w:rPr>
          <w:rFonts w:ascii="Arial" w:hAnsi="Arial"/>
        </w:rPr>
        <w:t>, s 58(4) only identifies the persons who may apply for the variation or rescission of a preservation order and</w:t>
      </w:r>
      <w:r w:rsidR="00AB78C7">
        <w:rPr>
          <w:rFonts w:ascii="Arial" w:hAnsi="Arial"/>
        </w:rPr>
        <w:t xml:space="preserve"> </w:t>
      </w:r>
      <w:r w:rsidR="00AF327F">
        <w:rPr>
          <w:rFonts w:ascii="Arial" w:hAnsi="Arial"/>
        </w:rPr>
        <w:t>s</w:t>
      </w:r>
      <w:r w:rsidR="00AB78C7">
        <w:rPr>
          <w:rFonts w:ascii="Arial" w:hAnsi="Arial"/>
        </w:rPr>
        <w:t xml:space="preserve"> 60 empowers the court to condone the failure of a person to give notice as contemplated in s 52(3) of </w:t>
      </w:r>
      <w:r w:rsidR="00AF327F">
        <w:rPr>
          <w:rFonts w:ascii="Arial" w:hAnsi="Arial"/>
        </w:rPr>
        <w:t xml:space="preserve">the </w:t>
      </w:r>
      <w:r w:rsidR="00AB78C7">
        <w:rPr>
          <w:rFonts w:ascii="Arial" w:hAnsi="Arial"/>
        </w:rPr>
        <w:t xml:space="preserve">POCA. </w:t>
      </w:r>
    </w:p>
    <w:p w:rsidR="0060497F" w:rsidRDefault="0060497F" w:rsidP="008D659B">
      <w:pPr>
        <w:spacing w:line="360" w:lineRule="auto"/>
        <w:contextualSpacing/>
        <w:jc w:val="both"/>
        <w:rPr>
          <w:rFonts w:ascii="Arial" w:hAnsi="Arial"/>
        </w:rPr>
      </w:pPr>
    </w:p>
    <w:p w:rsidR="00AB78C7" w:rsidRDefault="0060497F" w:rsidP="008D659B">
      <w:pPr>
        <w:spacing w:line="360" w:lineRule="auto"/>
        <w:contextualSpacing/>
        <w:jc w:val="both"/>
        <w:rPr>
          <w:rFonts w:ascii="Arial" w:hAnsi="Arial"/>
        </w:rPr>
      </w:pPr>
      <w:r>
        <w:rPr>
          <w:rFonts w:ascii="Arial" w:hAnsi="Arial"/>
        </w:rPr>
        <w:t>[44]</w:t>
      </w:r>
      <w:r>
        <w:rPr>
          <w:rFonts w:ascii="Arial" w:hAnsi="Arial"/>
        </w:rPr>
        <w:tab/>
      </w:r>
      <w:r w:rsidR="00AB78C7">
        <w:rPr>
          <w:rFonts w:ascii="Arial" w:hAnsi="Arial"/>
        </w:rPr>
        <w:t>The t</w:t>
      </w:r>
      <w:r>
        <w:rPr>
          <w:rFonts w:ascii="Arial" w:hAnsi="Arial"/>
        </w:rPr>
        <w:t>hree</w:t>
      </w:r>
      <w:r w:rsidR="00AB78C7">
        <w:rPr>
          <w:rFonts w:ascii="Arial" w:hAnsi="Arial"/>
        </w:rPr>
        <w:t xml:space="preserve"> sections </w:t>
      </w:r>
      <w:r w:rsidR="008D0B94">
        <w:rPr>
          <w:rFonts w:ascii="Arial" w:hAnsi="Arial"/>
        </w:rPr>
        <w:t>(that</w:t>
      </w:r>
      <w:r w:rsidR="00AF327F">
        <w:rPr>
          <w:rFonts w:ascii="Arial" w:hAnsi="Arial"/>
        </w:rPr>
        <w:t xml:space="preserve"> is </w:t>
      </w:r>
      <w:proofErr w:type="spellStart"/>
      <w:r w:rsidR="00AF327F">
        <w:rPr>
          <w:rFonts w:ascii="Arial" w:hAnsi="Arial"/>
        </w:rPr>
        <w:t>ss</w:t>
      </w:r>
      <w:proofErr w:type="spellEnd"/>
      <w:r w:rsidR="00AF327F">
        <w:rPr>
          <w:rFonts w:ascii="Arial" w:hAnsi="Arial"/>
        </w:rPr>
        <w:t xml:space="preserve"> 52(6), 58(4) and </w:t>
      </w:r>
      <w:r>
        <w:rPr>
          <w:rFonts w:ascii="Arial" w:hAnsi="Arial"/>
        </w:rPr>
        <w:t>60</w:t>
      </w:r>
      <w:r w:rsidR="008D0B94">
        <w:rPr>
          <w:rFonts w:ascii="Arial" w:hAnsi="Arial"/>
        </w:rPr>
        <w:t>)</w:t>
      </w:r>
      <w:r>
        <w:rPr>
          <w:rFonts w:ascii="Arial" w:hAnsi="Arial"/>
        </w:rPr>
        <w:t xml:space="preserve"> </w:t>
      </w:r>
      <w:r w:rsidR="00AB78C7">
        <w:rPr>
          <w:rFonts w:ascii="Arial" w:hAnsi="Arial"/>
        </w:rPr>
        <w:t>are therefore activity specific</w:t>
      </w:r>
      <w:r w:rsidR="00AF327F">
        <w:rPr>
          <w:rFonts w:ascii="Arial" w:hAnsi="Arial"/>
        </w:rPr>
        <w:t>,</w:t>
      </w:r>
      <w:r w:rsidR="00AB78C7">
        <w:rPr>
          <w:rFonts w:ascii="Arial" w:hAnsi="Arial"/>
        </w:rPr>
        <w:t xml:space="preserve"> whereas s 99 is broader and disentitles a person from participating in all activities relating to the preservation and forfeiture of properties</w:t>
      </w:r>
      <w:r>
        <w:rPr>
          <w:rFonts w:ascii="Arial" w:hAnsi="Arial"/>
        </w:rPr>
        <w:t xml:space="preserve"> including the activities mentioned in those three sections</w:t>
      </w:r>
      <w:r w:rsidR="00AB78C7">
        <w:rPr>
          <w:rFonts w:ascii="Arial" w:hAnsi="Arial"/>
        </w:rPr>
        <w:t>. I therefore find that</w:t>
      </w:r>
      <w:r w:rsidR="00AF327F">
        <w:rPr>
          <w:rFonts w:ascii="Arial" w:hAnsi="Arial"/>
        </w:rPr>
        <w:t>,</w:t>
      </w:r>
      <w:r w:rsidR="00AB78C7">
        <w:rPr>
          <w:rFonts w:ascii="Arial" w:hAnsi="Arial"/>
        </w:rPr>
        <w:t xml:space="preserve"> there is no substance in the argument that a </w:t>
      </w:r>
      <w:r w:rsidR="002B0468">
        <w:rPr>
          <w:rFonts w:ascii="Arial" w:hAnsi="Arial"/>
        </w:rPr>
        <w:t>rescission</w:t>
      </w:r>
      <w:r w:rsidR="00AB78C7">
        <w:rPr>
          <w:rFonts w:ascii="Arial" w:hAnsi="Arial"/>
        </w:rPr>
        <w:t xml:space="preserve"> application under s 58 is not a proceed</w:t>
      </w:r>
      <w:r w:rsidR="008D46E2">
        <w:rPr>
          <w:rFonts w:ascii="Arial" w:hAnsi="Arial"/>
        </w:rPr>
        <w:t>ing as contemplated under s 99</w:t>
      </w:r>
      <w:r w:rsidR="00AF327F">
        <w:rPr>
          <w:rFonts w:ascii="Arial" w:hAnsi="Arial"/>
        </w:rPr>
        <w:t xml:space="preserve"> of the POCA</w:t>
      </w:r>
      <w:r w:rsidR="008D46E2">
        <w:rPr>
          <w:rFonts w:ascii="Arial" w:hAnsi="Arial"/>
        </w:rPr>
        <w:t>.</w:t>
      </w:r>
    </w:p>
    <w:p w:rsidR="008D46E2" w:rsidRPr="008D46E2" w:rsidRDefault="008D46E2" w:rsidP="008D659B">
      <w:pPr>
        <w:spacing w:line="360" w:lineRule="auto"/>
        <w:contextualSpacing/>
        <w:jc w:val="both"/>
        <w:rPr>
          <w:rFonts w:ascii="Arial" w:hAnsi="Arial"/>
        </w:rPr>
      </w:pPr>
    </w:p>
    <w:p w:rsidR="005805D5" w:rsidRDefault="008D46E2" w:rsidP="008D659B">
      <w:pPr>
        <w:spacing w:line="360" w:lineRule="auto"/>
        <w:contextualSpacing/>
        <w:jc w:val="both"/>
        <w:rPr>
          <w:rFonts w:ascii="Arial" w:hAnsi="Arial"/>
        </w:rPr>
      </w:pPr>
      <w:r w:rsidRPr="008D46E2">
        <w:rPr>
          <w:rFonts w:ascii="Arial" w:hAnsi="Arial"/>
        </w:rPr>
        <w:t>[</w:t>
      </w:r>
      <w:r w:rsidR="0060497F">
        <w:rPr>
          <w:rFonts w:ascii="Arial" w:hAnsi="Arial"/>
        </w:rPr>
        <w:t>45</w:t>
      </w:r>
      <w:r w:rsidRPr="008D46E2">
        <w:rPr>
          <w:rFonts w:ascii="Arial" w:hAnsi="Arial"/>
        </w:rPr>
        <w:t>]</w:t>
      </w:r>
      <w:r w:rsidRPr="008D46E2">
        <w:rPr>
          <w:rFonts w:ascii="Arial" w:hAnsi="Arial"/>
        </w:rPr>
        <w:tab/>
        <w:t xml:space="preserve">Counsel for the applicant invited this court to, in the event </w:t>
      </w:r>
      <w:r>
        <w:rPr>
          <w:rFonts w:ascii="Arial" w:hAnsi="Arial"/>
        </w:rPr>
        <w:t xml:space="preserve">that </w:t>
      </w:r>
      <w:r w:rsidRPr="008D46E2">
        <w:rPr>
          <w:rFonts w:ascii="Arial" w:hAnsi="Arial"/>
        </w:rPr>
        <w:t>it finds that the res</w:t>
      </w:r>
      <w:r w:rsidR="00AF327F">
        <w:rPr>
          <w:rFonts w:ascii="Arial" w:hAnsi="Arial"/>
        </w:rPr>
        <w:t>cission application amounts to ‘participation in proceedings’</w:t>
      </w:r>
      <w:r w:rsidRPr="008D46E2">
        <w:rPr>
          <w:rFonts w:ascii="Arial" w:hAnsi="Arial"/>
        </w:rPr>
        <w:t xml:space="preserve"> for the purpose of </w:t>
      </w:r>
      <w:r w:rsidR="00AF327F">
        <w:rPr>
          <w:rFonts w:ascii="Arial" w:hAnsi="Arial"/>
        </w:rPr>
        <w:t>s</w:t>
      </w:r>
      <w:r w:rsidRPr="008D46E2">
        <w:rPr>
          <w:rFonts w:ascii="Arial" w:hAnsi="Arial"/>
        </w:rPr>
        <w:t xml:space="preserve"> 99, of its own motion consider, and on the available uncontested facts, grant </w:t>
      </w:r>
      <w:r>
        <w:rPr>
          <w:rFonts w:ascii="Arial" w:hAnsi="Arial"/>
        </w:rPr>
        <w:t xml:space="preserve">the </w:t>
      </w:r>
      <w:r w:rsidRPr="008D46E2">
        <w:rPr>
          <w:rFonts w:ascii="Arial" w:hAnsi="Arial"/>
        </w:rPr>
        <w:t xml:space="preserve">rescission relief. </w:t>
      </w:r>
    </w:p>
    <w:p w:rsidR="00AF327F" w:rsidRDefault="008B6310" w:rsidP="008D659B">
      <w:pPr>
        <w:spacing w:line="360" w:lineRule="auto"/>
        <w:contextualSpacing/>
        <w:jc w:val="both"/>
        <w:rPr>
          <w:rFonts w:ascii="Arial" w:hAnsi="Arial"/>
        </w:rPr>
      </w:pPr>
      <w:r>
        <w:rPr>
          <w:rFonts w:ascii="Arial" w:hAnsi="Arial"/>
        </w:rPr>
        <w:lastRenderedPageBreak/>
        <w:t>[</w:t>
      </w:r>
      <w:r w:rsidR="0060497F">
        <w:rPr>
          <w:rFonts w:ascii="Arial" w:hAnsi="Arial"/>
        </w:rPr>
        <w:t>46</w:t>
      </w:r>
      <w:r>
        <w:rPr>
          <w:rFonts w:ascii="Arial" w:hAnsi="Arial"/>
        </w:rPr>
        <w:t>]</w:t>
      </w:r>
      <w:r>
        <w:rPr>
          <w:rFonts w:ascii="Arial" w:hAnsi="Arial"/>
        </w:rPr>
        <w:tab/>
        <w:t xml:space="preserve">In </w:t>
      </w:r>
      <w:r w:rsidRPr="008B6310">
        <w:rPr>
          <w:rFonts w:ascii="Arial" w:hAnsi="Arial"/>
          <w:i/>
        </w:rPr>
        <w:t xml:space="preserve">Prosecutor-General and Others v </w:t>
      </w:r>
      <w:proofErr w:type="spellStart"/>
      <w:r w:rsidRPr="008B6310">
        <w:rPr>
          <w:rFonts w:ascii="Arial" w:hAnsi="Arial"/>
          <w:i/>
        </w:rPr>
        <w:t>Assegaai</w:t>
      </w:r>
      <w:proofErr w:type="spellEnd"/>
      <w:r w:rsidRPr="008B6310">
        <w:rPr>
          <w:rFonts w:ascii="Arial" w:hAnsi="Arial"/>
          <w:i/>
        </w:rPr>
        <w:t xml:space="preserve"> and Others</w:t>
      </w:r>
      <w:r w:rsidR="00AF327F">
        <w:rPr>
          <w:rFonts w:ascii="Arial" w:hAnsi="Arial"/>
          <w:i/>
        </w:rPr>
        <w:t>,</w:t>
      </w:r>
      <w:r>
        <w:rPr>
          <w:rStyle w:val="FootnoteReference"/>
          <w:rFonts w:ascii="Arial" w:hAnsi="Arial"/>
          <w:i/>
        </w:rPr>
        <w:footnoteReference w:id="8"/>
      </w:r>
      <w:r w:rsidRPr="008B6310">
        <w:rPr>
          <w:rFonts w:ascii="Arial" w:hAnsi="Arial"/>
        </w:rPr>
        <w:t xml:space="preserve"> </w:t>
      </w:r>
      <w:r>
        <w:rPr>
          <w:rFonts w:ascii="Arial" w:hAnsi="Arial"/>
        </w:rPr>
        <w:t>this court relying on the South African Constitutional Court</w:t>
      </w:r>
      <w:r w:rsidR="0011304F">
        <w:rPr>
          <w:rFonts w:ascii="Arial" w:hAnsi="Arial"/>
        </w:rPr>
        <w:t>’s</w:t>
      </w:r>
      <w:r>
        <w:rPr>
          <w:rFonts w:ascii="Arial" w:hAnsi="Arial"/>
        </w:rPr>
        <w:t xml:space="preserve"> decision of </w:t>
      </w:r>
      <w:r w:rsidRPr="008B6310">
        <w:rPr>
          <w:rFonts w:ascii="Arial" w:hAnsi="Arial"/>
          <w:i/>
        </w:rPr>
        <w:t>Phillips and Others v National Director of Public Prosecutions</w:t>
      </w:r>
      <w:r w:rsidR="00AF327F">
        <w:rPr>
          <w:rFonts w:ascii="Arial" w:hAnsi="Arial"/>
          <w:i/>
        </w:rPr>
        <w:t>,</w:t>
      </w:r>
      <w:r>
        <w:rPr>
          <w:rStyle w:val="FootnoteReference"/>
          <w:rFonts w:ascii="Arial" w:hAnsi="Arial"/>
          <w:i/>
        </w:rPr>
        <w:footnoteReference w:id="9"/>
      </w:r>
      <w:r>
        <w:rPr>
          <w:rFonts w:ascii="Arial" w:hAnsi="Arial"/>
          <w:i/>
        </w:rPr>
        <w:t xml:space="preserve"> </w:t>
      </w:r>
      <w:r w:rsidRPr="008B6310">
        <w:rPr>
          <w:rFonts w:ascii="Arial" w:hAnsi="Arial"/>
        </w:rPr>
        <w:t xml:space="preserve">reasoned that </w:t>
      </w:r>
      <w:r>
        <w:rPr>
          <w:rFonts w:ascii="Arial" w:hAnsi="Arial"/>
        </w:rPr>
        <w:t xml:space="preserve">the High Court cannot simply ignore an Act of Parliament and place </w:t>
      </w:r>
      <w:r w:rsidRPr="008B6310">
        <w:rPr>
          <w:rFonts w:ascii="Arial" w:hAnsi="Arial"/>
        </w:rPr>
        <w:t>reliance directly on a provision in the Constitution, nor is it permissible to side-step an Act of Parlia</w:t>
      </w:r>
      <w:r w:rsidR="00AF327F">
        <w:rPr>
          <w:rFonts w:ascii="Arial" w:hAnsi="Arial"/>
        </w:rPr>
        <w:t xml:space="preserve">ment by resorting to the common </w:t>
      </w:r>
      <w:r w:rsidRPr="008B6310">
        <w:rPr>
          <w:rFonts w:ascii="Arial" w:hAnsi="Arial"/>
        </w:rPr>
        <w:t>law.</w:t>
      </w:r>
      <w:r>
        <w:rPr>
          <w:rFonts w:ascii="Arial" w:hAnsi="Arial"/>
        </w:rPr>
        <w:t xml:space="preserve"> The Court furthermore expressed its doubt whether t</w:t>
      </w:r>
      <w:r w:rsidRPr="008B6310">
        <w:rPr>
          <w:rFonts w:ascii="Arial" w:hAnsi="Arial"/>
        </w:rPr>
        <w:t>he inherent jurisdict</w:t>
      </w:r>
      <w:r w:rsidR="00AF327F">
        <w:rPr>
          <w:rFonts w:ascii="Arial" w:hAnsi="Arial"/>
        </w:rPr>
        <w:t>ion of the C</w:t>
      </w:r>
      <w:r w:rsidRPr="008B6310">
        <w:rPr>
          <w:rFonts w:ascii="Arial" w:hAnsi="Arial"/>
        </w:rPr>
        <w:t>ourt is such that it empowers a Judge of the High Court to make orders which negate the unambiguous expr</w:t>
      </w:r>
      <w:r w:rsidR="0060497F">
        <w:rPr>
          <w:rFonts w:ascii="Arial" w:hAnsi="Arial"/>
        </w:rPr>
        <w:t>ession of the legislative will.</w:t>
      </w:r>
      <w:r w:rsidR="00AF327F">
        <w:rPr>
          <w:rFonts w:ascii="Arial" w:hAnsi="Arial"/>
        </w:rPr>
        <w:t xml:space="preserve"> </w:t>
      </w:r>
    </w:p>
    <w:p w:rsidR="00AF327F" w:rsidRDefault="00AF327F" w:rsidP="008D659B">
      <w:pPr>
        <w:spacing w:line="360" w:lineRule="auto"/>
        <w:contextualSpacing/>
        <w:jc w:val="both"/>
        <w:rPr>
          <w:rFonts w:ascii="Arial" w:hAnsi="Arial"/>
        </w:rPr>
      </w:pPr>
    </w:p>
    <w:p w:rsidR="0065685B" w:rsidRDefault="00AF327F" w:rsidP="008D659B">
      <w:pPr>
        <w:spacing w:line="360" w:lineRule="auto"/>
        <w:contextualSpacing/>
        <w:jc w:val="both"/>
        <w:rPr>
          <w:rFonts w:ascii="Arial" w:hAnsi="Arial"/>
        </w:rPr>
      </w:pPr>
      <w:r>
        <w:rPr>
          <w:rFonts w:ascii="Arial" w:hAnsi="Arial"/>
        </w:rPr>
        <w:t>[47]</w:t>
      </w:r>
      <w:r>
        <w:rPr>
          <w:rFonts w:ascii="Arial" w:hAnsi="Arial"/>
        </w:rPr>
        <w:tab/>
        <w:t xml:space="preserve">For those reasons, </w:t>
      </w:r>
      <w:r w:rsidR="008B6310">
        <w:rPr>
          <w:rFonts w:ascii="Arial" w:hAnsi="Arial"/>
        </w:rPr>
        <w:t>I cannot accede to counsel’s invitation for the simple reason that s</w:t>
      </w:r>
      <w:r w:rsidR="008B6310" w:rsidRPr="008D46E2">
        <w:rPr>
          <w:rFonts w:ascii="Arial" w:hAnsi="Arial"/>
        </w:rPr>
        <w:t xml:space="preserve"> 99 does not conf</w:t>
      </w:r>
      <w:r w:rsidR="008B6310">
        <w:rPr>
          <w:rFonts w:ascii="Arial" w:hAnsi="Arial"/>
        </w:rPr>
        <w:t xml:space="preserve">er </w:t>
      </w:r>
      <w:r w:rsidR="008B6310" w:rsidRPr="008D46E2">
        <w:rPr>
          <w:rFonts w:ascii="Arial" w:hAnsi="Arial"/>
        </w:rPr>
        <w:t>upon th</w:t>
      </w:r>
      <w:r w:rsidR="0060497F">
        <w:rPr>
          <w:rFonts w:ascii="Arial" w:hAnsi="Arial"/>
        </w:rPr>
        <w:t>is</w:t>
      </w:r>
      <w:r>
        <w:rPr>
          <w:rFonts w:ascii="Arial" w:hAnsi="Arial"/>
        </w:rPr>
        <w:t xml:space="preserve"> C</w:t>
      </w:r>
      <w:r w:rsidR="008B6310" w:rsidRPr="008D46E2">
        <w:rPr>
          <w:rFonts w:ascii="Arial" w:hAnsi="Arial"/>
        </w:rPr>
        <w:t xml:space="preserve">ourt a discretion to allow </w:t>
      </w:r>
      <w:r w:rsidR="008B6310">
        <w:rPr>
          <w:rFonts w:ascii="Arial" w:hAnsi="Arial"/>
        </w:rPr>
        <w:t>a person contemplated under s 99</w:t>
      </w:r>
      <w:r w:rsidR="008B6310" w:rsidRPr="008D46E2">
        <w:rPr>
          <w:rFonts w:ascii="Arial" w:hAnsi="Arial"/>
        </w:rPr>
        <w:t xml:space="preserve"> to participate in the proceedings, including seeking the relief he seeks</w:t>
      </w:r>
      <w:r>
        <w:rPr>
          <w:rFonts w:ascii="Arial" w:hAnsi="Arial"/>
        </w:rPr>
        <w:t>,</w:t>
      </w:r>
      <w:r w:rsidR="008B6310" w:rsidRPr="008D46E2">
        <w:rPr>
          <w:rFonts w:ascii="Arial" w:hAnsi="Arial"/>
        </w:rPr>
        <w:t xml:space="preserve"> </w:t>
      </w:r>
      <w:r w:rsidR="008B6310">
        <w:rPr>
          <w:rFonts w:ascii="Arial" w:hAnsi="Arial"/>
        </w:rPr>
        <w:t>for as long as the warrant for his arrest remains unexecuted.</w:t>
      </w:r>
      <w:r w:rsidR="00D93274">
        <w:rPr>
          <w:rFonts w:ascii="Arial" w:hAnsi="Arial"/>
        </w:rPr>
        <w:t xml:space="preserve"> To do so would be </w:t>
      </w:r>
      <w:r w:rsidR="00D93274" w:rsidRPr="008B6310">
        <w:rPr>
          <w:rFonts w:ascii="Arial" w:hAnsi="Arial"/>
        </w:rPr>
        <w:t>negat</w:t>
      </w:r>
      <w:r w:rsidR="00D93274">
        <w:rPr>
          <w:rFonts w:ascii="Arial" w:hAnsi="Arial"/>
        </w:rPr>
        <w:t>ing</w:t>
      </w:r>
      <w:r w:rsidR="00D93274" w:rsidRPr="008B6310">
        <w:rPr>
          <w:rFonts w:ascii="Arial" w:hAnsi="Arial"/>
        </w:rPr>
        <w:t xml:space="preserve"> the unambiguous expression of the legislative will.</w:t>
      </w:r>
    </w:p>
    <w:p w:rsidR="00AF327F" w:rsidRDefault="00AF327F" w:rsidP="008D659B">
      <w:pPr>
        <w:spacing w:line="360" w:lineRule="auto"/>
        <w:contextualSpacing/>
        <w:jc w:val="both"/>
        <w:rPr>
          <w:rFonts w:ascii="Arial" w:hAnsi="Arial"/>
        </w:rPr>
      </w:pPr>
    </w:p>
    <w:p w:rsidR="0065685B" w:rsidRDefault="0065685B" w:rsidP="008D659B">
      <w:pPr>
        <w:spacing w:line="360" w:lineRule="auto"/>
        <w:contextualSpacing/>
        <w:jc w:val="both"/>
        <w:rPr>
          <w:rFonts w:ascii="Arial" w:hAnsi="Arial"/>
          <w:u w:val="single"/>
        </w:rPr>
      </w:pPr>
      <w:r>
        <w:rPr>
          <w:rFonts w:ascii="Arial" w:hAnsi="Arial"/>
          <w:u w:val="single"/>
        </w:rPr>
        <w:t>Costs</w:t>
      </w:r>
    </w:p>
    <w:p w:rsidR="0065685B" w:rsidRDefault="0065685B" w:rsidP="008D659B">
      <w:pPr>
        <w:spacing w:line="360" w:lineRule="auto"/>
        <w:contextualSpacing/>
        <w:jc w:val="both"/>
        <w:rPr>
          <w:rFonts w:ascii="Arial" w:hAnsi="Arial"/>
          <w:u w:val="single"/>
        </w:rPr>
      </w:pPr>
    </w:p>
    <w:p w:rsidR="0065685B" w:rsidRDefault="002D3677" w:rsidP="008D659B">
      <w:pPr>
        <w:spacing w:line="360" w:lineRule="auto"/>
        <w:contextualSpacing/>
        <w:jc w:val="both"/>
        <w:rPr>
          <w:rFonts w:ascii="Arial" w:hAnsi="Arial"/>
        </w:rPr>
      </w:pPr>
      <w:r>
        <w:rPr>
          <w:rFonts w:ascii="Arial" w:hAnsi="Arial"/>
        </w:rPr>
        <w:t>[</w:t>
      </w:r>
      <w:r w:rsidR="00AF327F">
        <w:rPr>
          <w:rFonts w:ascii="Arial" w:hAnsi="Arial"/>
        </w:rPr>
        <w:t>48</w:t>
      </w:r>
      <w:r w:rsidR="0065685B">
        <w:rPr>
          <w:rFonts w:ascii="Arial" w:hAnsi="Arial"/>
        </w:rPr>
        <w:t>]</w:t>
      </w:r>
      <w:r w:rsidR="0065685B">
        <w:rPr>
          <w:rFonts w:ascii="Arial" w:hAnsi="Arial"/>
        </w:rPr>
        <w:tab/>
        <w:t xml:space="preserve">The ordinary rule that applies in matters of costs is trite. The costs follow the event. It is obvious in this matter that the </w:t>
      </w:r>
      <w:r w:rsidR="000C6754">
        <w:rPr>
          <w:rFonts w:ascii="Arial" w:hAnsi="Arial"/>
        </w:rPr>
        <w:t>Prosecutor General was successful in her opposition of the rescission application</w:t>
      </w:r>
      <w:r w:rsidR="0065685B">
        <w:rPr>
          <w:rFonts w:ascii="Arial" w:hAnsi="Arial"/>
        </w:rPr>
        <w:t xml:space="preserve">. There is, in the circumstances, no reason why the ordinary rule </w:t>
      </w:r>
      <w:r w:rsidR="000C6754">
        <w:rPr>
          <w:rFonts w:ascii="Arial" w:hAnsi="Arial"/>
        </w:rPr>
        <w:t>must not apply in this case.</w:t>
      </w:r>
    </w:p>
    <w:p w:rsidR="000C6754" w:rsidRDefault="000C6754" w:rsidP="008D659B">
      <w:pPr>
        <w:spacing w:line="360" w:lineRule="auto"/>
        <w:contextualSpacing/>
        <w:jc w:val="both"/>
        <w:rPr>
          <w:rFonts w:ascii="Arial" w:hAnsi="Arial"/>
        </w:rPr>
      </w:pPr>
    </w:p>
    <w:p w:rsidR="00C92DD7" w:rsidRDefault="00C92DD7" w:rsidP="008D659B">
      <w:pPr>
        <w:spacing w:line="360" w:lineRule="auto"/>
        <w:contextualSpacing/>
        <w:jc w:val="both"/>
        <w:rPr>
          <w:rFonts w:ascii="Arial" w:hAnsi="Arial"/>
          <w:u w:val="single"/>
        </w:rPr>
      </w:pPr>
      <w:r>
        <w:rPr>
          <w:rFonts w:ascii="Arial" w:hAnsi="Arial"/>
          <w:u w:val="single"/>
        </w:rPr>
        <w:t>Order</w:t>
      </w:r>
    </w:p>
    <w:p w:rsidR="00C92DD7" w:rsidRDefault="00C92DD7" w:rsidP="008D659B">
      <w:pPr>
        <w:spacing w:line="360" w:lineRule="auto"/>
        <w:contextualSpacing/>
        <w:jc w:val="both"/>
        <w:rPr>
          <w:rFonts w:ascii="Arial" w:hAnsi="Arial"/>
          <w:u w:val="single"/>
        </w:rPr>
      </w:pPr>
    </w:p>
    <w:p w:rsidR="000C6754" w:rsidRDefault="002D3677" w:rsidP="008D659B">
      <w:pPr>
        <w:spacing w:line="360" w:lineRule="auto"/>
        <w:contextualSpacing/>
        <w:jc w:val="both"/>
        <w:rPr>
          <w:rFonts w:ascii="Arial" w:hAnsi="Arial"/>
        </w:rPr>
      </w:pPr>
      <w:r>
        <w:rPr>
          <w:rFonts w:ascii="Arial" w:hAnsi="Arial"/>
        </w:rPr>
        <w:t>[</w:t>
      </w:r>
      <w:r w:rsidR="0011304F">
        <w:rPr>
          <w:rFonts w:ascii="Arial" w:hAnsi="Arial"/>
        </w:rPr>
        <w:t>49</w:t>
      </w:r>
      <w:r w:rsidR="00C92DD7">
        <w:rPr>
          <w:rFonts w:ascii="Arial" w:hAnsi="Arial"/>
        </w:rPr>
        <w:t>]</w:t>
      </w:r>
      <w:r w:rsidR="00C92DD7">
        <w:rPr>
          <w:rFonts w:ascii="Arial" w:hAnsi="Arial"/>
        </w:rPr>
        <w:tab/>
      </w:r>
      <w:r w:rsidR="009E5E2B">
        <w:rPr>
          <w:rFonts w:ascii="Arial" w:hAnsi="Arial"/>
        </w:rPr>
        <w:t>For the reasons and conclusions set out in this judgment</w:t>
      </w:r>
      <w:r w:rsidR="000C6754">
        <w:rPr>
          <w:rFonts w:ascii="Arial" w:hAnsi="Arial"/>
        </w:rPr>
        <w:t>, I make the following orders:</w:t>
      </w:r>
    </w:p>
    <w:p w:rsidR="0078259F" w:rsidRDefault="0078259F" w:rsidP="008D659B">
      <w:pPr>
        <w:spacing w:line="360" w:lineRule="auto"/>
        <w:contextualSpacing/>
        <w:jc w:val="both"/>
        <w:rPr>
          <w:rFonts w:ascii="Arial" w:hAnsi="Arial"/>
        </w:rPr>
      </w:pPr>
    </w:p>
    <w:p w:rsidR="00AF327F" w:rsidRDefault="00AF327F" w:rsidP="00AF327F">
      <w:pPr>
        <w:spacing w:line="360" w:lineRule="auto"/>
        <w:ind w:left="720" w:hanging="720"/>
        <w:contextualSpacing/>
        <w:jc w:val="both"/>
        <w:rPr>
          <w:rFonts w:ascii="Arial" w:hAnsi="Arial"/>
        </w:rPr>
      </w:pPr>
      <w:r>
        <w:rPr>
          <w:rFonts w:ascii="Arial" w:hAnsi="Arial"/>
        </w:rPr>
        <w:t>1.</w:t>
      </w:r>
      <w:r>
        <w:rPr>
          <w:rFonts w:ascii="Arial" w:hAnsi="Arial"/>
        </w:rPr>
        <w:tab/>
      </w:r>
      <w:r w:rsidRPr="008D659B">
        <w:rPr>
          <w:rFonts w:ascii="Arial" w:hAnsi="Arial"/>
        </w:rPr>
        <w:t xml:space="preserve">Mr Maren </w:t>
      </w:r>
      <w:proofErr w:type="spellStart"/>
      <w:r w:rsidRPr="008D659B">
        <w:rPr>
          <w:rFonts w:ascii="Arial" w:hAnsi="Arial"/>
        </w:rPr>
        <w:t>Brynard</w:t>
      </w:r>
      <w:proofErr w:type="spellEnd"/>
      <w:r w:rsidRPr="008D659B">
        <w:rPr>
          <w:rFonts w:ascii="Arial" w:hAnsi="Arial"/>
        </w:rPr>
        <w:t xml:space="preserve"> De Klerk is a person falling under the class of persons identified under s 99</w:t>
      </w:r>
      <w:r>
        <w:rPr>
          <w:rFonts w:ascii="Arial" w:hAnsi="Arial"/>
        </w:rPr>
        <w:t>,</w:t>
      </w:r>
      <w:r w:rsidRPr="008D659B">
        <w:rPr>
          <w:rFonts w:ascii="Arial" w:hAnsi="Arial"/>
        </w:rPr>
        <w:t xml:space="preserve"> who are prohibited from participating  in </w:t>
      </w:r>
      <w:r w:rsidRPr="008D659B">
        <w:rPr>
          <w:rFonts w:ascii="Arial" w:hAnsi="Arial"/>
        </w:rPr>
        <w:lastRenderedPageBreak/>
        <w:t>proceedings under chapter 5 or 6 of the Prevention of Organised Crime Act, 2004 (Act No. 29 of 2004).</w:t>
      </w:r>
    </w:p>
    <w:p w:rsidR="00AF327F" w:rsidRDefault="00AF327F" w:rsidP="00AF327F">
      <w:pPr>
        <w:spacing w:line="360" w:lineRule="auto"/>
        <w:contextualSpacing/>
        <w:jc w:val="both"/>
        <w:rPr>
          <w:rFonts w:ascii="Arial" w:hAnsi="Arial"/>
        </w:rPr>
      </w:pPr>
    </w:p>
    <w:p w:rsidR="00AF327F" w:rsidRDefault="00AF327F" w:rsidP="00AF327F">
      <w:pPr>
        <w:spacing w:line="360" w:lineRule="auto"/>
        <w:ind w:left="720" w:hanging="720"/>
        <w:contextualSpacing/>
        <w:jc w:val="both"/>
        <w:rPr>
          <w:rFonts w:ascii="Arial" w:hAnsi="Arial"/>
        </w:rPr>
      </w:pPr>
      <w:r>
        <w:rPr>
          <w:rFonts w:ascii="Arial" w:hAnsi="Arial"/>
        </w:rPr>
        <w:t>2.</w:t>
      </w:r>
      <w:r>
        <w:rPr>
          <w:rFonts w:ascii="Arial" w:hAnsi="Arial"/>
        </w:rPr>
        <w:tab/>
      </w:r>
      <w:r w:rsidRPr="008D659B">
        <w:rPr>
          <w:rFonts w:ascii="Arial" w:hAnsi="Arial"/>
        </w:rPr>
        <w:t xml:space="preserve">Mr Maren </w:t>
      </w:r>
      <w:proofErr w:type="spellStart"/>
      <w:r w:rsidRPr="008D659B">
        <w:rPr>
          <w:rFonts w:ascii="Arial" w:hAnsi="Arial"/>
        </w:rPr>
        <w:t>Brynard</w:t>
      </w:r>
      <w:proofErr w:type="spellEnd"/>
      <w:r w:rsidRPr="008D659B">
        <w:rPr>
          <w:rFonts w:ascii="Arial" w:hAnsi="Arial"/>
        </w:rPr>
        <w:t xml:space="preserve"> De Klerk’s application for the rescission of the preservation order granted on 02 December 2022 and leave to file a section 52(3) of POCA affidavit </w:t>
      </w:r>
      <w:r>
        <w:rPr>
          <w:rFonts w:ascii="Arial" w:hAnsi="Arial"/>
        </w:rPr>
        <w:t>is</w:t>
      </w:r>
      <w:r w:rsidRPr="008D659B">
        <w:rPr>
          <w:rFonts w:ascii="Arial" w:hAnsi="Arial"/>
        </w:rPr>
        <w:t xml:space="preserve"> struck.</w:t>
      </w:r>
    </w:p>
    <w:p w:rsidR="00AF327F" w:rsidRDefault="00AF327F" w:rsidP="00AF327F">
      <w:pPr>
        <w:spacing w:line="360" w:lineRule="auto"/>
        <w:contextualSpacing/>
        <w:jc w:val="both"/>
        <w:rPr>
          <w:rFonts w:ascii="Arial" w:hAnsi="Arial"/>
        </w:rPr>
      </w:pPr>
    </w:p>
    <w:p w:rsidR="00AF327F" w:rsidRDefault="00AF327F" w:rsidP="00AF327F">
      <w:pPr>
        <w:spacing w:line="360" w:lineRule="auto"/>
        <w:ind w:left="720" w:hanging="720"/>
        <w:contextualSpacing/>
        <w:jc w:val="both"/>
        <w:rPr>
          <w:rFonts w:ascii="Arial" w:hAnsi="Arial"/>
        </w:rPr>
      </w:pPr>
      <w:r>
        <w:rPr>
          <w:rFonts w:ascii="Arial" w:hAnsi="Arial"/>
        </w:rPr>
        <w:t>3.</w:t>
      </w:r>
      <w:r>
        <w:rPr>
          <w:rFonts w:ascii="Arial" w:hAnsi="Arial"/>
        </w:rPr>
        <w:tab/>
      </w:r>
      <w:r w:rsidRPr="008D659B">
        <w:rPr>
          <w:rFonts w:ascii="Arial" w:hAnsi="Arial"/>
        </w:rPr>
        <w:t xml:space="preserve">The </w:t>
      </w:r>
      <w:r>
        <w:rPr>
          <w:rFonts w:ascii="Arial" w:hAnsi="Arial"/>
        </w:rPr>
        <w:t>applicant</w:t>
      </w:r>
      <w:r w:rsidRPr="008D659B">
        <w:rPr>
          <w:rFonts w:ascii="Arial" w:hAnsi="Arial"/>
        </w:rPr>
        <w:t xml:space="preserve">, Maren </w:t>
      </w:r>
      <w:proofErr w:type="spellStart"/>
      <w:r w:rsidRPr="008D659B">
        <w:rPr>
          <w:rFonts w:ascii="Arial" w:hAnsi="Arial"/>
        </w:rPr>
        <w:t>Brynard</w:t>
      </w:r>
      <w:proofErr w:type="spellEnd"/>
      <w:r w:rsidRPr="008D659B">
        <w:rPr>
          <w:rFonts w:ascii="Arial" w:hAnsi="Arial"/>
        </w:rPr>
        <w:t xml:space="preserve"> De Klerk must pay the Prosecutor General’s costs of this application.</w:t>
      </w:r>
    </w:p>
    <w:p w:rsidR="00AF327F" w:rsidRDefault="00AF327F" w:rsidP="00AF327F">
      <w:pPr>
        <w:spacing w:line="360" w:lineRule="auto"/>
        <w:contextualSpacing/>
        <w:jc w:val="both"/>
        <w:rPr>
          <w:rFonts w:ascii="Arial" w:hAnsi="Arial"/>
        </w:rPr>
      </w:pPr>
    </w:p>
    <w:p w:rsidR="00AF327F" w:rsidRPr="008D659B" w:rsidRDefault="00AF327F" w:rsidP="00AF327F">
      <w:pPr>
        <w:spacing w:line="360" w:lineRule="auto"/>
        <w:contextualSpacing/>
        <w:jc w:val="both"/>
        <w:rPr>
          <w:rFonts w:ascii="Arial" w:hAnsi="Arial"/>
        </w:rPr>
      </w:pPr>
      <w:r>
        <w:rPr>
          <w:rFonts w:ascii="Arial" w:hAnsi="Arial"/>
        </w:rPr>
        <w:t>4.</w:t>
      </w:r>
      <w:r>
        <w:rPr>
          <w:rFonts w:ascii="Arial" w:hAnsi="Arial"/>
        </w:rPr>
        <w:tab/>
      </w:r>
      <w:r w:rsidRPr="008D659B">
        <w:rPr>
          <w:rFonts w:ascii="Arial" w:hAnsi="Arial"/>
        </w:rPr>
        <w:t>The matter is removed from the roll and regarded as finalised.</w:t>
      </w:r>
    </w:p>
    <w:p w:rsidR="00B50F3C" w:rsidRDefault="00B50F3C" w:rsidP="008D659B">
      <w:pPr>
        <w:spacing w:line="360" w:lineRule="auto"/>
        <w:contextualSpacing/>
        <w:rPr>
          <w:rFonts w:ascii="Arial" w:hAnsi="Arial"/>
        </w:rPr>
      </w:pPr>
    </w:p>
    <w:p w:rsidR="00B50F3C" w:rsidRPr="00B50F3C" w:rsidRDefault="00B50F3C" w:rsidP="008D659B">
      <w:pPr>
        <w:spacing w:line="360" w:lineRule="auto"/>
        <w:contextualSpacing/>
        <w:rPr>
          <w:rFonts w:ascii="Arial" w:hAnsi="Arial"/>
        </w:rPr>
      </w:pPr>
    </w:p>
    <w:p w:rsidR="00B50F3C" w:rsidRPr="00B50F3C" w:rsidRDefault="00B50F3C" w:rsidP="008D659B">
      <w:pPr>
        <w:spacing w:line="360" w:lineRule="auto"/>
        <w:contextualSpacing/>
        <w:jc w:val="both"/>
        <w:rPr>
          <w:rFonts w:ascii="Arial" w:hAnsi="Arial"/>
        </w:rPr>
      </w:pPr>
    </w:p>
    <w:p w:rsidR="00905978" w:rsidRPr="00F0010C" w:rsidRDefault="00905978" w:rsidP="008D659B">
      <w:pPr>
        <w:pStyle w:val="ListParagraph"/>
        <w:spacing w:line="360" w:lineRule="auto"/>
        <w:jc w:val="right"/>
        <w:rPr>
          <w:rFonts w:ascii="Arial" w:hAnsi="Arial"/>
        </w:rPr>
      </w:pPr>
      <w:r w:rsidRPr="00F0010C">
        <w:rPr>
          <w:rFonts w:ascii="Arial" w:hAnsi="Arial"/>
        </w:rPr>
        <w:t>___________</w:t>
      </w:r>
    </w:p>
    <w:p w:rsidR="00905978" w:rsidRPr="00F0010C" w:rsidRDefault="00B50F3C" w:rsidP="008D659B">
      <w:pPr>
        <w:pStyle w:val="ListParagraph"/>
        <w:spacing w:line="360" w:lineRule="auto"/>
        <w:jc w:val="right"/>
        <w:rPr>
          <w:rFonts w:ascii="Arial" w:hAnsi="Arial"/>
        </w:rPr>
      </w:pPr>
      <w:r>
        <w:rPr>
          <w:rFonts w:ascii="Arial" w:hAnsi="Arial"/>
        </w:rPr>
        <w:t xml:space="preserve">S F I </w:t>
      </w:r>
      <w:proofErr w:type="spellStart"/>
      <w:r>
        <w:rPr>
          <w:rFonts w:ascii="Arial" w:hAnsi="Arial"/>
        </w:rPr>
        <w:t>Ueitele</w:t>
      </w:r>
      <w:proofErr w:type="spellEnd"/>
    </w:p>
    <w:p w:rsidR="00905978" w:rsidRDefault="00905978" w:rsidP="008D659B">
      <w:pPr>
        <w:pStyle w:val="ListParagraph"/>
        <w:spacing w:line="360" w:lineRule="auto"/>
        <w:jc w:val="right"/>
        <w:rPr>
          <w:rFonts w:ascii="Arial" w:hAnsi="Arial"/>
        </w:rPr>
      </w:pPr>
      <w:r w:rsidRPr="00F0010C">
        <w:rPr>
          <w:rFonts w:ascii="Arial" w:hAnsi="Arial"/>
        </w:rPr>
        <w:t>Judge</w:t>
      </w:r>
    </w:p>
    <w:p w:rsidR="0018629E" w:rsidRDefault="0018629E" w:rsidP="008D659B">
      <w:pPr>
        <w:spacing w:line="360" w:lineRule="auto"/>
        <w:contextualSpacing/>
        <w:rPr>
          <w:rFonts w:ascii="Arial" w:hAnsi="Arial"/>
        </w:rPr>
      </w:pPr>
      <w:r>
        <w:rPr>
          <w:rFonts w:ascii="Arial" w:hAnsi="Arial"/>
        </w:rPr>
        <w:br w:type="page"/>
      </w:r>
    </w:p>
    <w:p w:rsidR="00905978" w:rsidRDefault="00905978" w:rsidP="008D659B">
      <w:pPr>
        <w:spacing w:line="360" w:lineRule="auto"/>
        <w:contextualSpacing/>
        <w:rPr>
          <w:rFonts w:ascii="Arial" w:hAnsi="Arial"/>
        </w:rPr>
      </w:pPr>
      <w:r>
        <w:rPr>
          <w:rFonts w:ascii="Arial" w:hAnsi="Arial"/>
        </w:rPr>
        <w:lastRenderedPageBreak/>
        <w:t>APPEARANCES:</w:t>
      </w:r>
    </w:p>
    <w:p w:rsidR="00905978" w:rsidRDefault="00905978" w:rsidP="008D659B">
      <w:pPr>
        <w:spacing w:line="360" w:lineRule="auto"/>
        <w:contextualSpacing/>
        <w:rPr>
          <w:rFonts w:ascii="Arial" w:hAnsi="Arial"/>
        </w:rPr>
      </w:pPr>
    </w:p>
    <w:p w:rsidR="00AF327F" w:rsidRDefault="00AF327F" w:rsidP="008D659B">
      <w:pPr>
        <w:spacing w:line="360" w:lineRule="auto"/>
        <w:contextualSpacing/>
        <w:rPr>
          <w:rFonts w:ascii="Arial" w:hAnsi="Arial"/>
        </w:rPr>
      </w:pPr>
    </w:p>
    <w:p w:rsidR="00905978" w:rsidRDefault="000C6754" w:rsidP="008D659B">
      <w:pPr>
        <w:spacing w:line="360" w:lineRule="auto"/>
        <w:contextualSpacing/>
        <w:rPr>
          <w:rFonts w:ascii="Arial" w:hAnsi="Arial"/>
        </w:rPr>
      </w:pPr>
      <w:r>
        <w:rPr>
          <w:rFonts w:ascii="Arial" w:hAnsi="Arial"/>
        </w:rPr>
        <w:t>APPLICANT</w:t>
      </w:r>
      <w:r w:rsidR="00905978">
        <w:rPr>
          <w:rFonts w:ascii="Arial" w:hAnsi="Arial"/>
        </w:rPr>
        <w:t>:</w:t>
      </w:r>
      <w:r w:rsidR="00905978">
        <w:rPr>
          <w:rFonts w:ascii="Arial" w:hAnsi="Arial"/>
        </w:rPr>
        <w:tab/>
      </w:r>
      <w:r w:rsidR="00905978">
        <w:rPr>
          <w:rFonts w:ascii="Arial" w:hAnsi="Arial"/>
        </w:rPr>
        <w:tab/>
      </w:r>
      <w:r>
        <w:rPr>
          <w:rFonts w:ascii="Arial" w:hAnsi="Arial"/>
        </w:rPr>
        <w:tab/>
      </w:r>
      <w:r>
        <w:rPr>
          <w:rFonts w:ascii="Arial" w:hAnsi="Arial"/>
        </w:rPr>
        <w:tab/>
      </w:r>
      <w:r w:rsidR="008D0B94">
        <w:rPr>
          <w:rFonts w:ascii="Arial" w:hAnsi="Arial"/>
        </w:rPr>
        <w:t xml:space="preserve">J </w:t>
      </w:r>
      <w:proofErr w:type="spellStart"/>
      <w:r w:rsidR="008D0B94">
        <w:rPr>
          <w:rFonts w:ascii="Arial" w:hAnsi="Arial"/>
        </w:rPr>
        <w:t>Diedericks</w:t>
      </w:r>
      <w:proofErr w:type="spellEnd"/>
    </w:p>
    <w:p w:rsidR="00665574" w:rsidRDefault="00AF327F" w:rsidP="00AF327F">
      <w:pPr>
        <w:spacing w:line="360" w:lineRule="auto"/>
        <w:ind w:left="2880" w:firstLine="720"/>
        <w:contextualSpacing/>
        <w:rPr>
          <w:rFonts w:ascii="Arial" w:hAnsi="Arial"/>
        </w:rPr>
      </w:pPr>
      <w:r>
        <w:rPr>
          <w:rFonts w:ascii="Arial" w:hAnsi="Arial"/>
        </w:rPr>
        <w:t xml:space="preserve">Instructed by </w:t>
      </w:r>
      <w:r w:rsidR="0078259F">
        <w:rPr>
          <w:rFonts w:ascii="Arial" w:hAnsi="Arial"/>
        </w:rPr>
        <w:t>P D Theron &amp; Associates</w:t>
      </w:r>
      <w:r w:rsidR="00A17917">
        <w:rPr>
          <w:rFonts w:ascii="Arial" w:hAnsi="Arial"/>
        </w:rPr>
        <w:t xml:space="preserve">, </w:t>
      </w:r>
    </w:p>
    <w:p w:rsidR="00905978" w:rsidRDefault="00665574" w:rsidP="008D659B">
      <w:pPr>
        <w:spacing w:line="360" w:lineRule="auto"/>
        <w:ind w:left="2880" w:firstLine="720"/>
        <w:contextualSpacing/>
        <w:rPr>
          <w:rFonts w:ascii="Arial" w:hAnsi="Arial"/>
        </w:rPr>
      </w:pPr>
      <w:r>
        <w:rPr>
          <w:rFonts w:ascii="Arial" w:hAnsi="Arial"/>
        </w:rPr>
        <w:t>Windhoek</w:t>
      </w:r>
    </w:p>
    <w:p w:rsidR="00905978" w:rsidRDefault="00905978" w:rsidP="008D659B">
      <w:pPr>
        <w:spacing w:line="360" w:lineRule="auto"/>
        <w:contextualSpacing/>
        <w:rPr>
          <w:rFonts w:ascii="Arial" w:hAnsi="Arial"/>
        </w:rPr>
      </w:pPr>
    </w:p>
    <w:p w:rsidR="002B0468" w:rsidRDefault="002B0468" w:rsidP="008D659B">
      <w:pPr>
        <w:spacing w:line="360" w:lineRule="auto"/>
        <w:contextualSpacing/>
        <w:rPr>
          <w:rFonts w:ascii="Arial" w:hAnsi="Arial"/>
        </w:rPr>
      </w:pPr>
    </w:p>
    <w:p w:rsidR="00905978" w:rsidRDefault="00905978" w:rsidP="008D659B">
      <w:pPr>
        <w:spacing w:line="360" w:lineRule="auto"/>
        <w:contextualSpacing/>
        <w:rPr>
          <w:rFonts w:ascii="Arial" w:hAnsi="Arial"/>
        </w:rPr>
      </w:pPr>
    </w:p>
    <w:p w:rsidR="00905978" w:rsidRDefault="00A17917" w:rsidP="008D659B">
      <w:pPr>
        <w:spacing w:line="360" w:lineRule="auto"/>
        <w:contextualSpacing/>
        <w:rPr>
          <w:rFonts w:ascii="Arial" w:hAnsi="Arial"/>
        </w:rPr>
      </w:pPr>
      <w:r>
        <w:rPr>
          <w:rFonts w:ascii="Arial" w:hAnsi="Arial"/>
        </w:rPr>
        <w:t>1</w:t>
      </w:r>
      <w:r w:rsidRPr="00A17917">
        <w:rPr>
          <w:rFonts w:ascii="Arial" w:hAnsi="Arial"/>
          <w:vertAlign w:val="superscript"/>
        </w:rPr>
        <w:t>ST</w:t>
      </w:r>
      <w:r>
        <w:rPr>
          <w:rFonts w:ascii="Arial" w:hAnsi="Arial"/>
        </w:rPr>
        <w:t xml:space="preserve"> RESPONDENT</w:t>
      </w:r>
      <w:r w:rsidR="00905978">
        <w:rPr>
          <w:rFonts w:ascii="Arial" w:hAnsi="Arial"/>
        </w:rPr>
        <w:t>:</w:t>
      </w:r>
      <w:r>
        <w:rPr>
          <w:rFonts w:ascii="Arial" w:hAnsi="Arial"/>
        </w:rPr>
        <w:tab/>
      </w:r>
      <w:r>
        <w:rPr>
          <w:rFonts w:ascii="Arial" w:hAnsi="Arial"/>
        </w:rPr>
        <w:tab/>
      </w:r>
      <w:r>
        <w:rPr>
          <w:rFonts w:ascii="Arial" w:hAnsi="Arial"/>
        </w:rPr>
        <w:tab/>
      </w:r>
      <w:r w:rsidR="008D0B94">
        <w:rPr>
          <w:rFonts w:ascii="Arial" w:hAnsi="Arial"/>
        </w:rPr>
        <w:t xml:space="preserve">M </w:t>
      </w:r>
      <w:proofErr w:type="spellStart"/>
      <w:r w:rsidR="008D0B94">
        <w:rPr>
          <w:rFonts w:ascii="Arial" w:hAnsi="Arial"/>
        </w:rPr>
        <w:t>Boonzaier</w:t>
      </w:r>
      <w:proofErr w:type="spellEnd"/>
    </w:p>
    <w:p w:rsidR="00665574" w:rsidRDefault="00AF327F" w:rsidP="00AF327F">
      <w:pPr>
        <w:spacing w:line="360" w:lineRule="auto"/>
        <w:ind w:left="2880" w:right="-666" w:firstLine="720"/>
        <w:contextualSpacing/>
        <w:rPr>
          <w:rFonts w:ascii="Arial" w:hAnsi="Arial"/>
        </w:rPr>
      </w:pPr>
      <w:r>
        <w:rPr>
          <w:rFonts w:ascii="Arial" w:hAnsi="Arial"/>
        </w:rPr>
        <w:t xml:space="preserve">Instructed by Office of the Prosecutor </w:t>
      </w:r>
      <w:r w:rsidR="008D0B94">
        <w:rPr>
          <w:rFonts w:ascii="Arial" w:hAnsi="Arial"/>
        </w:rPr>
        <w:t>General</w:t>
      </w:r>
      <w:r w:rsidR="00A17917">
        <w:rPr>
          <w:rFonts w:ascii="Arial" w:hAnsi="Arial"/>
        </w:rPr>
        <w:t xml:space="preserve">, </w:t>
      </w:r>
    </w:p>
    <w:p w:rsidR="00905978" w:rsidRPr="00901C96" w:rsidRDefault="00665574" w:rsidP="008D659B">
      <w:pPr>
        <w:spacing w:line="360" w:lineRule="auto"/>
        <w:ind w:left="2880" w:firstLine="720"/>
        <w:contextualSpacing/>
        <w:rPr>
          <w:rFonts w:ascii="Arial" w:hAnsi="Arial"/>
        </w:rPr>
      </w:pPr>
      <w:r>
        <w:rPr>
          <w:rFonts w:ascii="Arial" w:hAnsi="Arial"/>
        </w:rPr>
        <w:t>Windhoek</w:t>
      </w:r>
    </w:p>
    <w:p w:rsidR="00234365" w:rsidRDefault="00234365" w:rsidP="008D659B">
      <w:pPr>
        <w:spacing w:line="360" w:lineRule="auto"/>
        <w:contextualSpacing/>
        <w:jc w:val="both"/>
        <w:rPr>
          <w:rFonts w:ascii="Arial" w:hAnsi="Arial"/>
        </w:rPr>
      </w:pPr>
    </w:p>
    <w:p w:rsidR="0078259F" w:rsidRDefault="0078259F" w:rsidP="008D659B">
      <w:pPr>
        <w:spacing w:line="360" w:lineRule="auto"/>
        <w:contextualSpacing/>
        <w:jc w:val="both"/>
        <w:rPr>
          <w:rFonts w:ascii="Arial" w:hAnsi="Arial"/>
        </w:rPr>
      </w:pPr>
    </w:p>
    <w:p w:rsidR="002B0468" w:rsidRDefault="002B0468" w:rsidP="008D659B">
      <w:pPr>
        <w:spacing w:line="360" w:lineRule="auto"/>
        <w:contextualSpacing/>
        <w:jc w:val="both"/>
        <w:rPr>
          <w:rFonts w:ascii="Arial" w:hAnsi="Arial"/>
        </w:rPr>
      </w:pPr>
    </w:p>
    <w:p w:rsidR="00A17917" w:rsidRPr="00844291" w:rsidRDefault="008D0B94" w:rsidP="008D659B">
      <w:pPr>
        <w:spacing w:line="360" w:lineRule="auto"/>
        <w:contextualSpacing/>
        <w:jc w:val="both"/>
        <w:rPr>
          <w:rFonts w:ascii="Arial" w:hAnsi="Arial"/>
        </w:rPr>
      </w:pPr>
      <w:r>
        <w:rPr>
          <w:rFonts w:ascii="Arial" w:hAnsi="Arial"/>
        </w:rPr>
        <w:t>2</w:t>
      </w:r>
      <w:r w:rsidRPr="008D0B94">
        <w:rPr>
          <w:rFonts w:ascii="Arial" w:hAnsi="Arial"/>
          <w:vertAlign w:val="superscript"/>
        </w:rPr>
        <w:t>nd</w:t>
      </w:r>
      <w:r w:rsidR="00A17917">
        <w:rPr>
          <w:rFonts w:ascii="Arial" w:hAnsi="Arial"/>
        </w:rPr>
        <w:t xml:space="preserve"> </w:t>
      </w:r>
      <w:r>
        <w:rPr>
          <w:rFonts w:ascii="Arial" w:hAnsi="Arial"/>
        </w:rPr>
        <w:t>and 3</w:t>
      </w:r>
      <w:r w:rsidRPr="008D0B94">
        <w:rPr>
          <w:rFonts w:ascii="Arial" w:hAnsi="Arial"/>
          <w:vertAlign w:val="superscript"/>
        </w:rPr>
        <w:t>rd</w:t>
      </w:r>
      <w:r>
        <w:rPr>
          <w:rFonts w:ascii="Arial" w:hAnsi="Arial"/>
        </w:rPr>
        <w:t xml:space="preserve"> </w:t>
      </w:r>
      <w:r w:rsidR="00A17917">
        <w:rPr>
          <w:rFonts w:ascii="Arial" w:hAnsi="Arial"/>
        </w:rPr>
        <w:t>RESPONDENTS</w:t>
      </w:r>
      <w:r w:rsidR="00781F1B">
        <w:rPr>
          <w:rFonts w:ascii="Arial" w:hAnsi="Arial"/>
        </w:rPr>
        <w:t>:</w:t>
      </w:r>
      <w:r w:rsidR="00A17917">
        <w:rPr>
          <w:rFonts w:ascii="Arial" w:hAnsi="Arial"/>
        </w:rPr>
        <w:tab/>
      </w:r>
      <w:r>
        <w:rPr>
          <w:rFonts w:ascii="Arial" w:hAnsi="Arial"/>
        </w:rPr>
        <w:t>No appearance.</w:t>
      </w:r>
    </w:p>
    <w:p w:rsidR="005805D5" w:rsidRDefault="005805D5" w:rsidP="008D659B">
      <w:pPr>
        <w:spacing w:line="360" w:lineRule="auto"/>
        <w:contextualSpacing/>
        <w:jc w:val="both"/>
        <w:rPr>
          <w:rFonts w:ascii="Arial" w:hAnsi="Arial"/>
        </w:rPr>
      </w:pPr>
    </w:p>
    <w:p w:rsidR="005805D5" w:rsidRDefault="005805D5" w:rsidP="008D659B">
      <w:pPr>
        <w:spacing w:line="360" w:lineRule="auto"/>
        <w:contextualSpacing/>
        <w:jc w:val="both"/>
        <w:rPr>
          <w:rFonts w:ascii="Arial" w:hAnsi="Arial"/>
        </w:rPr>
      </w:pPr>
    </w:p>
    <w:p w:rsidR="005805D5" w:rsidRPr="00AF4F83" w:rsidRDefault="005805D5" w:rsidP="008D659B">
      <w:pPr>
        <w:spacing w:line="360" w:lineRule="auto"/>
        <w:contextualSpacing/>
        <w:jc w:val="both"/>
        <w:rPr>
          <w:rFonts w:ascii="Arial" w:hAnsi="Arial"/>
        </w:rPr>
      </w:pPr>
    </w:p>
    <w:sectPr w:rsidR="005805D5" w:rsidRPr="00AF4F83" w:rsidSect="00AF4F83">
      <w:headerReference w:type="even" r:id="rId12"/>
      <w:headerReference w:type="default" r:id="rId13"/>
      <w:pgSz w:w="11900" w:h="16840"/>
      <w:pgMar w:top="1440" w:right="169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3C" w:rsidRDefault="0035153C" w:rsidP="003B655E">
      <w:r>
        <w:separator/>
      </w:r>
    </w:p>
  </w:endnote>
  <w:endnote w:type="continuationSeparator" w:id="0">
    <w:p w:rsidR="0035153C" w:rsidRDefault="0035153C" w:rsidP="003B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3C" w:rsidRDefault="0035153C" w:rsidP="003B655E">
      <w:r>
        <w:separator/>
      </w:r>
    </w:p>
  </w:footnote>
  <w:footnote w:type="continuationSeparator" w:id="0">
    <w:p w:rsidR="0035153C" w:rsidRDefault="0035153C" w:rsidP="003B655E">
      <w:r>
        <w:continuationSeparator/>
      </w:r>
    </w:p>
  </w:footnote>
  <w:footnote w:id="1">
    <w:p w:rsidR="0097368A" w:rsidRPr="00C52495" w:rsidRDefault="0097368A" w:rsidP="00C52495">
      <w:pPr>
        <w:pStyle w:val="FootnoteText"/>
        <w:tabs>
          <w:tab w:val="left" w:pos="360"/>
        </w:tabs>
        <w:spacing w:line="276" w:lineRule="auto"/>
        <w:jc w:val="both"/>
        <w:rPr>
          <w:rFonts w:ascii="Arial" w:hAnsi="Arial" w:cs="Arial"/>
          <w:sz w:val="20"/>
          <w:szCs w:val="20"/>
        </w:rPr>
      </w:pPr>
      <w:r w:rsidRPr="00C52495">
        <w:rPr>
          <w:rStyle w:val="FootnoteReference"/>
          <w:rFonts w:ascii="Arial" w:hAnsi="Arial" w:cs="Arial"/>
          <w:sz w:val="20"/>
          <w:szCs w:val="20"/>
        </w:rPr>
        <w:footnoteRef/>
      </w:r>
      <w:r w:rsidRPr="00C52495">
        <w:rPr>
          <w:rFonts w:ascii="Arial" w:hAnsi="Arial" w:cs="Arial"/>
          <w:sz w:val="20"/>
          <w:szCs w:val="20"/>
        </w:rPr>
        <w:t xml:space="preserve"> </w:t>
      </w:r>
      <w:r w:rsidRPr="00C52495">
        <w:rPr>
          <w:rFonts w:ascii="Arial" w:hAnsi="Arial" w:cs="Arial"/>
          <w:sz w:val="20"/>
          <w:szCs w:val="20"/>
        </w:rPr>
        <w:tab/>
        <w:t>Anti-Corruption Act 8 of 2003.</w:t>
      </w:r>
    </w:p>
  </w:footnote>
  <w:footnote w:id="2">
    <w:p w:rsidR="00C52F11" w:rsidRPr="00C52495" w:rsidRDefault="00C52F11" w:rsidP="00C52495">
      <w:pPr>
        <w:pStyle w:val="FootnoteText"/>
        <w:spacing w:line="276" w:lineRule="auto"/>
        <w:jc w:val="both"/>
        <w:rPr>
          <w:rFonts w:ascii="Arial" w:hAnsi="Arial" w:cs="Arial"/>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w:t>
      </w:r>
      <w:r w:rsidRPr="00C52495">
        <w:rPr>
          <w:rFonts w:ascii="Arial" w:hAnsi="Arial" w:cs="Arial"/>
          <w:sz w:val="20"/>
          <w:szCs w:val="20"/>
          <w:lang w:val="en-US"/>
        </w:rPr>
        <w:t xml:space="preserve"> Paarl is a Town situated in the Western Cape Province of South Africa.</w:t>
      </w:r>
    </w:p>
  </w:footnote>
  <w:footnote w:id="3">
    <w:p w:rsidR="00C52F11" w:rsidRPr="00C52495" w:rsidRDefault="00C52F11" w:rsidP="00C52495">
      <w:pPr>
        <w:spacing w:line="276" w:lineRule="auto"/>
        <w:jc w:val="both"/>
        <w:rPr>
          <w:rFonts w:ascii="Arial" w:hAnsi="Arial" w:cs="Arial"/>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See the English case of </w:t>
      </w:r>
      <w:hyperlink r:id="rId1" w:tgtFrame="_blank" w:history="1">
        <w:r w:rsidRPr="00C52495">
          <w:rPr>
            <w:rStyle w:val="Hyperlink"/>
            <w:rFonts w:ascii="Arial" w:hAnsi="Arial" w:cs="Arial"/>
            <w:i/>
            <w:iCs/>
            <w:color w:val="auto"/>
            <w:sz w:val="20"/>
            <w:szCs w:val="20"/>
            <w:u w:val="none"/>
            <w:lang w:val="en-US"/>
          </w:rPr>
          <w:t>R v Secretary of State for the Home Department</w:t>
        </w:r>
        <w:r w:rsidRPr="00C52495">
          <w:rPr>
            <w:rStyle w:val="Hyperlink"/>
            <w:rFonts w:ascii="Arial" w:hAnsi="Arial" w:cs="Arial"/>
            <w:color w:val="auto"/>
            <w:sz w:val="20"/>
            <w:szCs w:val="20"/>
            <w:u w:val="none"/>
            <w:lang w:val="en-US"/>
          </w:rPr>
          <w:t xml:space="preserve"> [2023] UKSC 23</w:t>
        </w:r>
      </w:hyperlink>
      <w:r w:rsidRPr="00C52495">
        <w:rPr>
          <w:rFonts w:ascii="Arial" w:hAnsi="Arial" w:cs="Arial"/>
          <w:sz w:val="20"/>
          <w:szCs w:val="20"/>
        </w:rPr>
        <w:t>.</w:t>
      </w:r>
    </w:p>
    <w:p w:rsidR="00C52F11" w:rsidRPr="00C52495" w:rsidRDefault="00C52F11" w:rsidP="00C52495">
      <w:pPr>
        <w:pStyle w:val="FootnoteText"/>
        <w:spacing w:line="276" w:lineRule="auto"/>
        <w:jc w:val="both"/>
        <w:rPr>
          <w:rFonts w:ascii="Arial" w:hAnsi="Arial" w:cs="Arial"/>
          <w:sz w:val="20"/>
          <w:szCs w:val="20"/>
          <w:u w:val="single"/>
          <w:lang w:val="en-US"/>
        </w:rPr>
      </w:pPr>
    </w:p>
  </w:footnote>
  <w:footnote w:id="4">
    <w:p w:rsidR="00C52F11" w:rsidRPr="00C52495" w:rsidRDefault="00C52F11" w:rsidP="00C52495">
      <w:pPr>
        <w:pStyle w:val="FootnoteText"/>
        <w:spacing w:line="276" w:lineRule="auto"/>
        <w:jc w:val="both"/>
        <w:rPr>
          <w:rFonts w:ascii="Arial" w:hAnsi="Arial" w:cs="Arial"/>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w:t>
      </w:r>
      <w:r w:rsidRPr="00C52495">
        <w:rPr>
          <w:rFonts w:ascii="Arial" w:hAnsi="Arial" w:cs="Arial"/>
          <w:i/>
          <w:sz w:val="20"/>
          <w:szCs w:val="20"/>
        </w:rPr>
        <w:t xml:space="preserve">Prosecutor-General v </w:t>
      </w:r>
      <w:proofErr w:type="spellStart"/>
      <w:r w:rsidRPr="00C52495">
        <w:rPr>
          <w:rFonts w:ascii="Arial" w:hAnsi="Arial" w:cs="Arial"/>
          <w:i/>
          <w:sz w:val="20"/>
          <w:szCs w:val="20"/>
        </w:rPr>
        <w:t>Kamunguma</w:t>
      </w:r>
      <w:proofErr w:type="spellEnd"/>
      <w:r w:rsidRPr="00C52495">
        <w:rPr>
          <w:rFonts w:ascii="Arial" w:hAnsi="Arial" w:cs="Arial"/>
          <w:i/>
          <w:sz w:val="20"/>
          <w:szCs w:val="20"/>
        </w:rPr>
        <w:t xml:space="preserve"> and Another</w:t>
      </w:r>
      <w:r w:rsidRPr="00C52495">
        <w:rPr>
          <w:rFonts w:ascii="Arial" w:hAnsi="Arial" w:cs="Arial"/>
          <w:sz w:val="20"/>
          <w:szCs w:val="20"/>
        </w:rPr>
        <w:t xml:space="preserve"> 2019 (3) NR 651 (SC).</w:t>
      </w:r>
    </w:p>
  </w:footnote>
  <w:footnote w:id="5">
    <w:p w:rsidR="00C52F11" w:rsidRPr="00C52495" w:rsidRDefault="00C52F11" w:rsidP="00C52495">
      <w:pPr>
        <w:pStyle w:val="FootnoteText"/>
        <w:spacing w:line="276" w:lineRule="auto"/>
        <w:jc w:val="both"/>
        <w:rPr>
          <w:rFonts w:ascii="Arial" w:hAnsi="Arial" w:cs="Arial"/>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Section 52(1</w:t>
      </w:r>
      <w:proofErr w:type="gramStart"/>
      <w:r w:rsidRPr="00C52495">
        <w:rPr>
          <w:rFonts w:ascii="Arial" w:hAnsi="Arial" w:cs="Arial"/>
          <w:sz w:val="20"/>
          <w:szCs w:val="20"/>
        </w:rPr>
        <w:t>)(</w:t>
      </w:r>
      <w:proofErr w:type="gramEnd"/>
      <w:r w:rsidRPr="00C52495">
        <w:rPr>
          <w:rFonts w:ascii="Arial" w:hAnsi="Arial" w:cs="Arial"/>
          <w:sz w:val="20"/>
          <w:szCs w:val="20"/>
        </w:rPr>
        <w:t>a) and (b).</w:t>
      </w:r>
    </w:p>
  </w:footnote>
  <w:footnote w:id="6">
    <w:p w:rsidR="00C52F11" w:rsidRPr="00C52495" w:rsidRDefault="00C52F11" w:rsidP="00C52495">
      <w:pPr>
        <w:pStyle w:val="FootnoteText"/>
        <w:spacing w:line="276" w:lineRule="auto"/>
        <w:jc w:val="both"/>
        <w:rPr>
          <w:rFonts w:ascii="Arial" w:hAnsi="Arial" w:cs="Arial"/>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w:t>
      </w:r>
      <w:r w:rsidRPr="00C52495">
        <w:rPr>
          <w:rFonts w:ascii="Arial" w:hAnsi="Arial" w:cs="Arial"/>
          <w:sz w:val="20"/>
          <w:szCs w:val="20"/>
          <w:lang w:val="en-US"/>
        </w:rPr>
        <w:t xml:space="preserve"> Section 52(4</w:t>
      </w:r>
      <w:proofErr w:type="gramStart"/>
      <w:r w:rsidRPr="00C52495">
        <w:rPr>
          <w:rFonts w:ascii="Arial" w:hAnsi="Arial" w:cs="Arial"/>
          <w:sz w:val="20"/>
          <w:szCs w:val="20"/>
          <w:lang w:val="en-US"/>
        </w:rPr>
        <w:t>)(</w:t>
      </w:r>
      <w:proofErr w:type="gramEnd"/>
      <w:r w:rsidRPr="00C52495">
        <w:rPr>
          <w:rFonts w:ascii="Arial" w:hAnsi="Arial" w:cs="Arial"/>
          <w:sz w:val="20"/>
          <w:szCs w:val="20"/>
          <w:lang w:val="en-US"/>
        </w:rPr>
        <w:t>b).</w:t>
      </w:r>
    </w:p>
  </w:footnote>
  <w:footnote w:id="7">
    <w:p w:rsidR="00C52F11" w:rsidRPr="00C52495" w:rsidRDefault="00C52F11" w:rsidP="00C52495">
      <w:pPr>
        <w:pStyle w:val="FootnoteText"/>
        <w:spacing w:line="276" w:lineRule="auto"/>
        <w:jc w:val="both"/>
        <w:rPr>
          <w:rFonts w:ascii="Arial" w:hAnsi="Arial" w:cs="Arial"/>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Section 52(6). </w:t>
      </w:r>
    </w:p>
  </w:footnote>
  <w:footnote w:id="8">
    <w:p w:rsidR="00C52F11" w:rsidRPr="00C52495" w:rsidRDefault="00C52F11" w:rsidP="00C52495">
      <w:pPr>
        <w:pStyle w:val="FootnoteText"/>
        <w:spacing w:line="276" w:lineRule="auto"/>
        <w:jc w:val="both"/>
        <w:rPr>
          <w:rFonts w:ascii="Arial" w:hAnsi="Arial" w:cs="Arial"/>
          <w:i/>
          <w:sz w:val="20"/>
          <w:szCs w:val="20"/>
          <w:lang w:val="en-US"/>
        </w:rPr>
      </w:pPr>
      <w:r w:rsidRPr="00C52495">
        <w:rPr>
          <w:rStyle w:val="FootnoteReference"/>
          <w:rFonts w:ascii="Arial" w:hAnsi="Arial" w:cs="Arial"/>
          <w:sz w:val="20"/>
          <w:szCs w:val="20"/>
        </w:rPr>
        <w:footnoteRef/>
      </w:r>
      <w:r w:rsidRPr="00C52495">
        <w:rPr>
          <w:rFonts w:ascii="Arial" w:hAnsi="Arial" w:cs="Arial"/>
          <w:sz w:val="20"/>
          <w:szCs w:val="20"/>
        </w:rPr>
        <w:t xml:space="preserve">  </w:t>
      </w:r>
      <w:r w:rsidRPr="00C52495">
        <w:rPr>
          <w:rFonts w:ascii="Arial" w:hAnsi="Arial" w:cs="Arial"/>
          <w:i/>
          <w:sz w:val="20"/>
          <w:szCs w:val="20"/>
        </w:rPr>
        <w:t xml:space="preserve">Prosecutor-General and Others v </w:t>
      </w:r>
      <w:proofErr w:type="spellStart"/>
      <w:r w:rsidRPr="00C52495">
        <w:rPr>
          <w:rFonts w:ascii="Arial" w:hAnsi="Arial" w:cs="Arial"/>
          <w:i/>
          <w:sz w:val="20"/>
          <w:szCs w:val="20"/>
        </w:rPr>
        <w:t>Assegaai</w:t>
      </w:r>
      <w:proofErr w:type="spellEnd"/>
      <w:r w:rsidRPr="00C52495">
        <w:rPr>
          <w:rFonts w:ascii="Arial" w:hAnsi="Arial" w:cs="Arial"/>
          <w:i/>
          <w:sz w:val="20"/>
          <w:szCs w:val="20"/>
        </w:rPr>
        <w:t xml:space="preserve"> and </w:t>
      </w:r>
      <w:r w:rsidR="00AF327F" w:rsidRPr="00C52495">
        <w:rPr>
          <w:rFonts w:ascii="Arial" w:hAnsi="Arial" w:cs="Arial"/>
          <w:i/>
          <w:sz w:val="20"/>
          <w:szCs w:val="20"/>
        </w:rPr>
        <w:t>Others 2020</w:t>
      </w:r>
      <w:r w:rsidRPr="00C52495">
        <w:rPr>
          <w:rFonts w:ascii="Arial" w:hAnsi="Arial" w:cs="Arial"/>
          <w:sz w:val="20"/>
          <w:szCs w:val="20"/>
        </w:rPr>
        <w:t xml:space="preserve"> (1) NR 25 (HC)</w:t>
      </w:r>
      <w:r w:rsidR="00AF327F" w:rsidRPr="00C52495">
        <w:rPr>
          <w:rFonts w:ascii="Arial" w:hAnsi="Arial" w:cs="Arial"/>
          <w:sz w:val="20"/>
          <w:szCs w:val="20"/>
        </w:rPr>
        <w:t>.</w:t>
      </w:r>
    </w:p>
  </w:footnote>
  <w:footnote w:id="9">
    <w:p w:rsidR="00C52F11" w:rsidRPr="00C52495" w:rsidRDefault="00C52F11" w:rsidP="00C52495">
      <w:pPr>
        <w:pStyle w:val="FootnoteText"/>
        <w:spacing w:line="276" w:lineRule="auto"/>
        <w:jc w:val="both"/>
        <w:rPr>
          <w:rFonts w:ascii="Arial" w:hAnsi="Arial" w:cs="Arial"/>
          <w:sz w:val="20"/>
          <w:szCs w:val="20"/>
          <w:lang w:val="en-US"/>
        </w:rPr>
      </w:pPr>
      <w:r w:rsidRPr="00C52495">
        <w:rPr>
          <w:rStyle w:val="FootnoteReference"/>
          <w:rFonts w:ascii="Arial" w:hAnsi="Arial" w:cs="Arial"/>
          <w:i/>
          <w:sz w:val="20"/>
          <w:szCs w:val="20"/>
        </w:rPr>
        <w:footnoteRef/>
      </w:r>
      <w:r w:rsidRPr="00C52495">
        <w:rPr>
          <w:rFonts w:ascii="Arial" w:hAnsi="Arial" w:cs="Arial"/>
          <w:i/>
          <w:sz w:val="20"/>
          <w:szCs w:val="20"/>
        </w:rPr>
        <w:t xml:space="preserve">  Phillips and Others v National Director of Public Prosecutions</w:t>
      </w:r>
      <w:r w:rsidRPr="00C52495">
        <w:rPr>
          <w:rFonts w:ascii="Arial" w:hAnsi="Arial" w:cs="Arial"/>
          <w:sz w:val="20"/>
          <w:szCs w:val="20"/>
        </w:rPr>
        <w:t xml:space="preserve"> 2006 (1) SA 505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11" w:rsidRDefault="00C52F11" w:rsidP="001238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F11" w:rsidRDefault="00C52F11" w:rsidP="001238E3">
    <w:pPr>
      <w:pStyle w:val="Header"/>
      <w:ind w:right="360"/>
    </w:pPr>
  </w:p>
  <w:p w:rsidR="00C52F11" w:rsidRDefault="00C52F11"/>
  <w:p w:rsidR="00C52F11" w:rsidRDefault="00C52F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11" w:rsidRPr="00AB78C7" w:rsidRDefault="00C52F11" w:rsidP="001238E3">
    <w:pPr>
      <w:pStyle w:val="Header"/>
      <w:framePr w:wrap="around" w:vAnchor="text" w:hAnchor="margin" w:xAlign="right" w:y="1"/>
      <w:rPr>
        <w:rStyle w:val="PageNumber"/>
        <w:rFonts w:ascii="Arial" w:hAnsi="Arial" w:cs="Arial"/>
        <w:b/>
      </w:rPr>
    </w:pPr>
    <w:r w:rsidRPr="005016AB">
      <w:rPr>
        <w:rStyle w:val="PageNumber"/>
        <w:rFonts w:ascii="Arial" w:hAnsi="Arial" w:cs="Arial"/>
      </w:rPr>
      <w:fldChar w:fldCharType="begin"/>
    </w:r>
    <w:r w:rsidRPr="005016AB">
      <w:rPr>
        <w:rStyle w:val="PageNumber"/>
        <w:rFonts w:ascii="Arial" w:hAnsi="Arial" w:cs="Arial"/>
      </w:rPr>
      <w:instrText xml:space="preserve">PAGE  </w:instrText>
    </w:r>
    <w:r w:rsidRPr="005016AB">
      <w:rPr>
        <w:rStyle w:val="PageNumber"/>
        <w:rFonts w:ascii="Arial" w:hAnsi="Arial" w:cs="Arial"/>
      </w:rPr>
      <w:fldChar w:fldCharType="separate"/>
    </w:r>
    <w:r w:rsidR="007E594E">
      <w:rPr>
        <w:rStyle w:val="PageNumber"/>
        <w:rFonts w:ascii="Arial" w:hAnsi="Arial" w:cs="Arial"/>
        <w:noProof/>
      </w:rPr>
      <w:t>2</w:t>
    </w:r>
    <w:r w:rsidRPr="005016AB">
      <w:rPr>
        <w:rStyle w:val="PageNumber"/>
        <w:rFonts w:ascii="Arial" w:hAnsi="Arial" w:cs="Arial"/>
      </w:rPr>
      <w:fldChar w:fldCharType="end"/>
    </w:r>
  </w:p>
  <w:p w:rsidR="00C52F11" w:rsidRDefault="00C52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42D"/>
    <w:multiLevelType w:val="multilevel"/>
    <w:tmpl w:val="6BBA4DEC"/>
    <w:lvl w:ilvl="0">
      <w:start w:val="13"/>
      <w:numFmt w:val="decimal"/>
      <w:lvlText w:val="%1."/>
      <w:lvlJc w:val="left"/>
      <w:pPr>
        <w:tabs>
          <w:tab w:val="decimal" w:pos="720"/>
        </w:tabs>
        <w:ind w:left="720"/>
      </w:pPr>
      <w:rPr>
        <w:rFonts w:ascii="Arial" w:hAnsi="Arial"/>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253A1E"/>
    <w:multiLevelType w:val="multilevel"/>
    <w:tmpl w:val="8AAC9218"/>
    <w:lvl w:ilvl="0">
      <w:start w:val="2"/>
      <w:numFmt w:val="decimal"/>
      <w:lvlText w:val="%1."/>
      <w:lvlJc w:val="left"/>
      <w:pPr>
        <w:tabs>
          <w:tab w:val="decimal" w:pos="720"/>
        </w:tabs>
        <w:ind w:left="720"/>
      </w:pPr>
      <w:rPr>
        <w:rFonts w:ascii="Arial" w:hAnsi="Arial"/>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32D08"/>
    <w:multiLevelType w:val="multilevel"/>
    <w:tmpl w:val="7A02FE42"/>
    <w:lvl w:ilvl="0">
      <w:start w:val="7"/>
      <w:numFmt w:val="decimal"/>
      <w:lvlText w:val="%1."/>
      <w:lvlJc w:val="left"/>
      <w:pPr>
        <w:tabs>
          <w:tab w:val="decimal" w:pos="720"/>
        </w:tabs>
        <w:ind w:left="720"/>
      </w:pPr>
      <w:rPr>
        <w:rFonts w:ascii="Arial" w:hAnsi="Arial"/>
        <w:b/>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393021"/>
    <w:multiLevelType w:val="hybridMultilevel"/>
    <w:tmpl w:val="39249ABC"/>
    <w:lvl w:ilvl="0" w:tplc="D280E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9575F"/>
    <w:multiLevelType w:val="multilevel"/>
    <w:tmpl w:val="5174496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34C81F2F"/>
    <w:multiLevelType w:val="hybridMultilevel"/>
    <w:tmpl w:val="B622B30E"/>
    <w:lvl w:ilvl="0" w:tplc="683A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24E9F"/>
    <w:multiLevelType w:val="hybridMultilevel"/>
    <w:tmpl w:val="2F5E6E4E"/>
    <w:lvl w:ilvl="0" w:tplc="634A7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711BF"/>
    <w:multiLevelType w:val="multilevel"/>
    <w:tmpl w:val="1F66DB96"/>
    <w:lvl w:ilvl="0">
      <w:start w:val="2"/>
      <w:numFmt w:val="decimal"/>
      <w:lvlText w:val="%1."/>
      <w:lvlJc w:val="left"/>
      <w:pPr>
        <w:tabs>
          <w:tab w:val="decimal" w:pos="720"/>
        </w:tabs>
        <w:ind w:left="720"/>
      </w:pPr>
      <w:rPr>
        <w:rFonts w:ascii="Arial" w:hAnsi="Arial"/>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735485"/>
    <w:multiLevelType w:val="multilevel"/>
    <w:tmpl w:val="8AEE461C"/>
    <w:lvl w:ilvl="0">
      <w:start w:val="11"/>
      <w:numFmt w:val="decimal"/>
      <w:lvlText w:val="%1."/>
      <w:lvlJc w:val="left"/>
      <w:pPr>
        <w:tabs>
          <w:tab w:val="decimal" w:pos="720"/>
        </w:tabs>
        <w:ind w:left="720"/>
      </w:pPr>
      <w:rPr>
        <w:rFonts w:ascii="Arial" w:hAnsi="Arial"/>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9C349A"/>
    <w:multiLevelType w:val="hybridMultilevel"/>
    <w:tmpl w:val="7B723B0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892018"/>
    <w:multiLevelType w:val="multilevel"/>
    <w:tmpl w:val="DCFC5D1C"/>
    <w:lvl w:ilvl="0">
      <w:start w:val="10"/>
      <w:numFmt w:val="decimal"/>
      <w:lvlText w:val="%1."/>
      <w:lvlJc w:val="left"/>
      <w:pPr>
        <w:tabs>
          <w:tab w:val="decimal" w:pos="360"/>
        </w:tabs>
        <w:ind w:left="720"/>
      </w:pPr>
      <w:rPr>
        <w:rFonts w:ascii="Tahoma" w:hAnsi="Tahoma"/>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FA489D"/>
    <w:multiLevelType w:val="hybridMultilevel"/>
    <w:tmpl w:val="8ADA5FE8"/>
    <w:lvl w:ilvl="0" w:tplc="696AA2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10"/>
  </w:num>
  <w:num w:numId="6">
    <w:abstractNumId w:val="11"/>
  </w:num>
  <w:num w:numId="7">
    <w:abstractNumId w:val="3"/>
  </w:num>
  <w:num w:numId="8">
    <w:abstractNumId w:val="1"/>
  </w:num>
  <w:num w:numId="9">
    <w:abstractNumId w:val="2"/>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06"/>
    <w:rsid w:val="00001A69"/>
    <w:rsid w:val="00005C32"/>
    <w:rsid w:val="00012310"/>
    <w:rsid w:val="00015574"/>
    <w:rsid w:val="00015746"/>
    <w:rsid w:val="00025692"/>
    <w:rsid w:val="0002799C"/>
    <w:rsid w:val="0003213B"/>
    <w:rsid w:val="00037EE7"/>
    <w:rsid w:val="000409E7"/>
    <w:rsid w:val="00053F06"/>
    <w:rsid w:val="00056496"/>
    <w:rsid w:val="00064445"/>
    <w:rsid w:val="00064BD3"/>
    <w:rsid w:val="00066F44"/>
    <w:rsid w:val="000677D0"/>
    <w:rsid w:val="000711AC"/>
    <w:rsid w:val="00077DC4"/>
    <w:rsid w:val="00085FBF"/>
    <w:rsid w:val="00092325"/>
    <w:rsid w:val="000962FB"/>
    <w:rsid w:val="000A3F4C"/>
    <w:rsid w:val="000A4C91"/>
    <w:rsid w:val="000B08B9"/>
    <w:rsid w:val="000B0927"/>
    <w:rsid w:val="000B5956"/>
    <w:rsid w:val="000B61FC"/>
    <w:rsid w:val="000C4841"/>
    <w:rsid w:val="000C6754"/>
    <w:rsid w:val="000D2246"/>
    <w:rsid w:val="000E3D18"/>
    <w:rsid w:val="000F396C"/>
    <w:rsid w:val="000F57F2"/>
    <w:rsid w:val="0011304F"/>
    <w:rsid w:val="001238E3"/>
    <w:rsid w:val="00125108"/>
    <w:rsid w:val="00127C6A"/>
    <w:rsid w:val="00132CC3"/>
    <w:rsid w:val="001527B5"/>
    <w:rsid w:val="00157770"/>
    <w:rsid w:val="0016495D"/>
    <w:rsid w:val="001679E5"/>
    <w:rsid w:val="001706D1"/>
    <w:rsid w:val="0018380D"/>
    <w:rsid w:val="00184115"/>
    <w:rsid w:val="00185A3D"/>
    <w:rsid w:val="0018629E"/>
    <w:rsid w:val="00192448"/>
    <w:rsid w:val="0019278D"/>
    <w:rsid w:val="0019413E"/>
    <w:rsid w:val="001A1A30"/>
    <w:rsid w:val="001B68E6"/>
    <w:rsid w:val="001B6ED7"/>
    <w:rsid w:val="001C46EC"/>
    <w:rsid w:val="001E6217"/>
    <w:rsid w:val="001F012E"/>
    <w:rsid w:val="002156C6"/>
    <w:rsid w:val="00217A84"/>
    <w:rsid w:val="002233E5"/>
    <w:rsid w:val="00232752"/>
    <w:rsid w:val="00234365"/>
    <w:rsid w:val="002569E8"/>
    <w:rsid w:val="00266B57"/>
    <w:rsid w:val="00273982"/>
    <w:rsid w:val="00291025"/>
    <w:rsid w:val="00291FB6"/>
    <w:rsid w:val="002940BC"/>
    <w:rsid w:val="002945BC"/>
    <w:rsid w:val="002A7BFA"/>
    <w:rsid w:val="002A7FFB"/>
    <w:rsid w:val="002B0468"/>
    <w:rsid w:val="002B678E"/>
    <w:rsid w:val="002C2F1F"/>
    <w:rsid w:val="002C76D0"/>
    <w:rsid w:val="002D3677"/>
    <w:rsid w:val="002D5151"/>
    <w:rsid w:val="002E20B2"/>
    <w:rsid w:val="003001E6"/>
    <w:rsid w:val="00303C9E"/>
    <w:rsid w:val="003310CA"/>
    <w:rsid w:val="003401B5"/>
    <w:rsid w:val="0035153C"/>
    <w:rsid w:val="003755E3"/>
    <w:rsid w:val="00375A61"/>
    <w:rsid w:val="0037733A"/>
    <w:rsid w:val="00385ED0"/>
    <w:rsid w:val="003942FF"/>
    <w:rsid w:val="00395035"/>
    <w:rsid w:val="00395FB1"/>
    <w:rsid w:val="003A1E33"/>
    <w:rsid w:val="003B655E"/>
    <w:rsid w:val="003D7919"/>
    <w:rsid w:val="003E0F0A"/>
    <w:rsid w:val="003E5330"/>
    <w:rsid w:val="003F66AB"/>
    <w:rsid w:val="00400991"/>
    <w:rsid w:val="00404304"/>
    <w:rsid w:val="00412696"/>
    <w:rsid w:val="00421653"/>
    <w:rsid w:val="00421D91"/>
    <w:rsid w:val="00441F6F"/>
    <w:rsid w:val="004472F1"/>
    <w:rsid w:val="0045096C"/>
    <w:rsid w:val="00452ACF"/>
    <w:rsid w:val="004544F7"/>
    <w:rsid w:val="00472241"/>
    <w:rsid w:val="00482E1C"/>
    <w:rsid w:val="00486584"/>
    <w:rsid w:val="00495F36"/>
    <w:rsid w:val="004A5D35"/>
    <w:rsid w:val="004A6A61"/>
    <w:rsid w:val="004B6C9D"/>
    <w:rsid w:val="004B71A1"/>
    <w:rsid w:val="004C17F2"/>
    <w:rsid w:val="004C70D8"/>
    <w:rsid w:val="004D4FED"/>
    <w:rsid w:val="004E28CB"/>
    <w:rsid w:val="004E3209"/>
    <w:rsid w:val="004E4B2F"/>
    <w:rsid w:val="004F1795"/>
    <w:rsid w:val="004F17E3"/>
    <w:rsid w:val="004F5624"/>
    <w:rsid w:val="005016AB"/>
    <w:rsid w:val="005137C0"/>
    <w:rsid w:val="00513E92"/>
    <w:rsid w:val="00515308"/>
    <w:rsid w:val="00524E82"/>
    <w:rsid w:val="00533C22"/>
    <w:rsid w:val="00535282"/>
    <w:rsid w:val="00544FA4"/>
    <w:rsid w:val="00550A9D"/>
    <w:rsid w:val="00553FC6"/>
    <w:rsid w:val="00557B75"/>
    <w:rsid w:val="0057395F"/>
    <w:rsid w:val="005805D5"/>
    <w:rsid w:val="0058641D"/>
    <w:rsid w:val="00591331"/>
    <w:rsid w:val="005B29AF"/>
    <w:rsid w:val="005B448E"/>
    <w:rsid w:val="005B7AA1"/>
    <w:rsid w:val="005D34DB"/>
    <w:rsid w:val="005E191E"/>
    <w:rsid w:val="0060497F"/>
    <w:rsid w:val="006214A7"/>
    <w:rsid w:val="006301DA"/>
    <w:rsid w:val="00633928"/>
    <w:rsid w:val="00642204"/>
    <w:rsid w:val="00647CC4"/>
    <w:rsid w:val="00654571"/>
    <w:rsid w:val="0065685B"/>
    <w:rsid w:val="00657E98"/>
    <w:rsid w:val="00661973"/>
    <w:rsid w:val="00665574"/>
    <w:rsid w:val="006701C8"/>
    <w:rsid w:val="006912BA"/>
    <w:rsid w:val="00691951"/>
    <w:rsid w:val="00696B28"/>
    <w:rsid w:val="006A1C3C"/>
    <w:rsid w:val="006D1AED"/>
    <w:rsid w:val="006E2C20"/>
    <w:rsid w:val="006E486A"/>
    <w:rsid w:val="006F24C0"/>
    <w:rsid w:val="006F36B7"/>
    <w:rsid w:val="007018A7"/>
    <w:rsid w:val="00706E47"/>
    <w:rsid w:val="00710AC5"/>
    <w:rsid w:val="00711A56"/>
    <w:rsid w:val="00712CB4"/>
    <w:rsid w:val="007159A8"/>
    <w:rsid w:val="007226F0"/>
    <w:rsid w:val="007232B9"/>
    <w:rsid w:val="0073219F"/>
    <w:rsid w:val="00736D4B"/>
    <w:rsid w:val="0074659B"/>
    <w:rsid w:val="007540E8"/>
    <w:rsid w:val="00762C69"/>
    <w:rsid w:val="00777DD7"/>
    <w:rsid w:val="00781F1B"/>
    <w:rsid w:val="0078259F"/>
    <w:rsid w:val="007867D7"/>
    <w:rsid w:val="007A0BF3"/>
    <w:rsid w:val="007B195E"/>
    <w:rsid w:val="007B3790"/>
    <w:rsid w:val="007D3D77"/>
    <w:rsid w:val="007E34DD"/>
    <w:rsid w:val="007E594E"/>
    <w:rsid w:val="007E6002"/>
    <w:rsid w:val="007F1ECC"/>
    <w:rsid w:val="007F49D1"/>
    <w:rsid w:val="008001E4"/>
    <w:rsid w:val="00802531"/>
    <w:rsid w:val="0080348C"/>
    <w:rsid w:val="008172D3"/>
    <w:rsid w:val="00826EEC"/>
    <w:rsid w:val="0084005E"/>
    <w:rsid w:val="00841EAA"/>
    <w:rsid w:val="00844291"/>
    <w:rsid w:val="00846089"/>
    <w:rsid w:val="00864365"/>
    <w:rsid w:val="008657C2"/>
    <w:rsid w:val="00872854"/>
    <w:rsid w:val="00882A2C"/>
    <w:rsid w:val="008B6310"/>
    <w:rsid w:val="008B77C3"/>
    <w:rsid w:val="008D0B94"/>
    <w:rsid w:val="008D46E2"/>
    <w:rsid w:val="008D659B"/>
    <w:rsid w:val="008E5D33"/>
    <w:rsid w:val="008F585B"/>
    <w:rsid w:val="008F59B5"/>
    <w:rsid w:val="00901CE1"/>
    <w:rsid w:val="00905978"/>
    <w:rsid w:val="00933A51"/>
    <w:rsid w:val="00936F0C"/>
    <w:rsid w:val="0097368A"/>
    <w:rsid w:val="00997D98"/>
    <w:rsid w:val="009E27F5"/>
    <w:rsid w:val="009E5E2B"/>
    <w:rsid w:val="009E6A2D"/>
    <w:rsid w:val="009F3D65"/>
    <w:rsid w:val="009F7474"/>
    <w:rsid w:val="00A00996"/>
    <w:rsid w:val="00A17917"/>
    <w:rsid w:val="00A22FF3"/>
    <w:rsid w:val="00A27BB1"/>
    <w:rsid w:val="00A3020C"/>
    <w:rsid w:val="00A458EC"/>
    <w:rsid w:val="00A46576"/>
    <w:rsid w:val="00A557DB"/>
    <w:rsid w:val="00A63F4A"/>
    <w:rsid w:val="00A64806"/>
    <w:rsid w:val="00A7003D"/>
    <w:rsid w:val="00A7431B"/>
    <w:rsid w:val="00A764B4"/>
    <w:rsid w:val="00A81CCF"/>
    <w:rsid w:val="00A90D9A"/>
    <w:rsid w:val="00A91C16"/>
    <w:rsid w:val="00AB78C7"/>
    <w:rsid w:val="00AC2DEA"/>
    <w:rsid w:val="00AD7276"/>
    <w:rsid w:val="00AE13B8"/>
    <w:rsid w:val="00AE1F40"/>
    <w:rsid w:val="00AE71DA"/>
    <w:rsid w:val="00AF327F"/>
    <w:rsid w:val="00AF4F83"/>
    <w:rsid w:val="00AF6453"/>
    <w:rsid w:val="00B12E13"/>
    <w:rsid w:val="00B14827"/>
    <w:rsid w:val="00B31DBE"/>
    <w:rsid w:val="00B46D1A"/>
    <w:rsid w:val="00B50F3C"/>
    <w:rsid w:val="00B62BED"/>
    <w:rsid w:val="00B70448"/>
    <w:rsid w:val="00B712B3"/>
    <w:rsid w:val="00B83F1A"/>
    <w:rsid w:val="00B846CB"/>
    <w:rsid w:val="00B85630"/>
    <w:rsid w:val="00B87530"/>
    <w:rsid w:val="00BA08A5"/>
    <w:rsid w:val="00BA6E0F"/>
    <w:rsid w:val="00BB0BA7"/>
    <w:rsid w:val="00BB23D7"/>
    <w:rsid w:val="00BD51C9"/>
    <w:rsid w:val="00BF1729"/>
    <w:rsid w:val="00C00C8B"/>
    <w:rsid w:val="00C03DFB"/>
    <w:rsid w:val="00C136A5"/>
    <w:rsid w:val="00C148DA"/>
    <w:rsid w:val="00C216EB"/>
    <w:rsid w:val="00C245D0"/>
    <w:rsid w:val="00C26BBD"/>
    <w:rsid w:val="00C317A0"/>
    <w:rsid w:val="00C3465E"/>
    <w:rsid w:val="00C52495"/>
    <w:rsid w:val="00C52F11"/>
    <w:rsid w:val="00C53066"/>
    <w:rsid w:val="00C62669"/>
    <w:rsid w:val="00C917E8"/>
    <w:rsid w:val="00C92DD7"/>
    <w:rsid w:val="00C947F3"/>
    <w:rsid w:val="00CA1A67"/>
    <w:rsid w:val="00CB10BA"/>
    <w:rsid w:val="00CB2E6E"/>
    <w:rsid w:val="00CD2F24"/>
    <w:rsid w:val="00CD69E4"/>
    <w:rsid w:val="00CD7D90"/>
    <w:rsid w:val="00CE66B9"/>
    <w:rsid w:val="00D04778"/>
    <w:rsid w:val="00D14DD7"/>
    <w:rsid w:val="00D172D1"/>
    <w:rsid w:val="00D3518A"/>
    <w:rsid w:val="00D36F90"/>
    <w:rsid w:val="00D40591"/>
    <w:rsid w:val="00D50E5D"/>
    <w:rsid w:val="00D6256A"/>
    <w:rsid w:val="00D62987"/>
    <w:rsid w:val="00D668B1"/>
    <w:rsid w:val="00D848B0"/>
    <w:rsid w:val="00D862FF"/>
    <w:rsid w:val="00D8695D"/>
    <w:rsid w:val="00D93274"/>
    <w:rsid w:val="00D938E7"/>
    <w:rsid w:val="00DA1955"/>
    <w:rsid w:val="00DB572A"/>
    <w:rsid w:val="00DD0AD2"/>
    <w:rsid w:val="00DD6F1F"/>
    <w:rsid w:val="00DE6431"/>
    <w:rsid w:val="00DF7D5E"/>
    <w:rsid w:val="00E0044F"/>
    <w:rsid w:val="00E04E92"/>
    <w:rsid w:val="00E12453"/>
    <w:rsid w:val="00E30BEA"/>
    <w:rsid w:val="00E4132D"/>
    <w:rsid w:val="00E41BFC"/>
    <w:rsid w:val="00E443F8"/>
    <w:rsid w:val="00E46A55"/>
    <w:rsid w:val="00E506C2"/>
    <w:rsid w:val="00E5138A"/>
    <w:rsid w:val="00E651BC"/>
    <w:rsid w:val="00E9687D"/>
    <w:rsid w:val="00EA1100"/>
    <w:rsid w:val="00EA19C9"/>
    <w:rsid w:val="00EC617D"/>
    <w:rsid w:val="00ED5767"/>
    <w:rsid w:val="00EE5A49"/>
    <w:rsid w:val="00EF24F4"/>
    <w:rsid w:val="00EF4926"/>
    <w:rsid w:val="00EF7F75"/>
    <w:rsid w:val="00F0677E"/>
    <w:rsid w:val="00F077C4"/>
    <w:rsid w:val="00F25234"/>
    <w:rsid w:val="00F314FB"/>
    <w:rsid w:val="00F34EC0"/>
    <w:rsid w:val="00F34EF5"/>
    <w:rsid w:val="00F4004A"/>
    <w:rsid w:val="00F505DB"/>
    <w:rsid w:val="00F701FC"/>
    <w:rsid w:val="00F706EE"/>
    <w:rsid w:val="00F743C6"/>
    <w:rsid w:val="00F76780"/>
    <w:rsid w:val="00F82A76"/>
    <w:rsid w:val="00F913A0"/>
    <w:rsid w:val="00FA5740"/>
    <w:rsid w:val="00FA6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1FCFA5-A5F1-414A-8B9D-802DDC29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unhideWhenUsed/>
    <w:qFormat/>
    <w:rsid w:val="003B655E"/>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rsid w:val="003B655E"/>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basedOn w:val="DefaultParagraphFont"/>
    <w:uiPriority w:val="99"/>
    <w:unhideWhenUsed/>
    <w:qFormat/>
    <w:rsid w:val="003B655E"/>
    <w:rPr>
      <w:vertAlign w:val="superscript"/>
    </w:rPr>
  </w:style>
  <w:style w:type="paragraph" w:styleId="Header">
    <w:name w:val="header"/>
    <w:basedOn w:val="Normal"/>
    <w:link w:val="HeaderChar"/>
    <w:uiPriority w:val="99"/>
    <w:unhideWhenUsed/>
    <w:rsid w:val="001238E3"/>
    <w:pPr>
      <w:tabs>
        <w:tab w:val="center" w:pos="4320"/>
        <w:tab w:val="right" w:pos="8640"/>
      </w:tabs>
    </w:pPr>
  </w:style>
  <w:style w:type="character" w:customStyle="1" w:styleId="HeaderChar">
    <w:name w:val="Header Char"/>
    <w:basedOn w:val="DefaultParagraphFont"/>
    <w:link w:val="Header"/>
    <w:uiPriority w:val="99"/>
    <w:rsid w:val="001238E3"/>
  </w:style>
  <w:style w:type="character" w:styleId="PageNumber">
    <w:name w:val="page number"/>
    <w:basedOn w:val="DefaultParagraphFont"/>
    <w:uiPriority w:val="99"/>
    <w:semiHidden/>
    <w:unhideWhenUsed/>
    <w:rsid w:val="001238E3"/>
  </w:style>
  <w:style w:type="paragraph" w:styleId="ListParagraph">
    <w:name w:val="List Paragraph"/>
    <w:basedOn w:val="Normal"/>
    <w:uiPriority w:val="34"/>
    <w:qFormat/>
    <w:rsid w:val="00A81CCF"/>
    <w:pPr>
      <w:ind w:left="720"/>
      <w:contextualSpacing/>
    </w:pPr>
  </w:style>
  <w:style w:type="paragraph" w:styleId="BalloonText">
    <w:name w:val="Balloon Text"/>
    <w:basedOn w:val="Normal"/>
    <w:link w:val="BalloonTextChar"/>
    <w:uiPriority w:val="99"/>
    <w:semiHidden/>
    <w:unhideWhenUsed/>
    <w:rsid w:val="007D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77"/>
    <w:rPr>
      <w:rFonts w:ascii="Segoe UI" w:hAnsi="Segoe UI" w:cs="Segoe UI"/>
      <w:sz w:val="18"/>
      <w:szCs w:val="18"/>
    </w:rPr>
  </w:style>
  <w:style w:type="paragraph" w:styleId="Footer">
    <w:name w:val="footer"/>
    <w:basedOn w:val="Normal"/>
    <w:link w:val="FooterChar"/>
    <w:uiPriority w:val="99"/>
    <w:unhideWhenUsed/>
    <w:rsid w:val="00F34EC0"/>
    <w:pPr>
      <w:tabs>
        <w:tab w:val="center" w:pos="4513"/>
        <w:tab w:val="right" w:pos="9026"/>
      </w:tabs>
    </w:pPr>
  </w:style>
  <w:style w:type="character" w:customStyle="1" w:styleId="FooterChar">
    <w:name w:val="Footer Char"/>
    <w:basedOn w:val="DefaultParagraphFont"/>
    <w:link w:val="Footer"/>
    <w:uiPriority w:val="99"/>
    <w:rsid w:val="00F34EC0"/>
  </w:style>
  <w:style w:type="paragraph" w:styleId="BodyText">
    <w:name w:val="Body Text"/>
    <w:basedOn w:val="Normal"/>
    <w:link w:val="BodyTextChar"/>
    <w:uiPriority w:val="99"/>
    <w:unhideWhenUsed/>
    <w:rsid w:val="003942FF"/>
    <w:pPr>
      <w:spacing w:after="120"/>
    </w:pPr>
  </w:style>
  <w:style w:type="character" w:customStyle="1" w:styleId="BodyTextChar">
    <w:name w:val="Body Text Char"/>
    <w:basedOn w:val="DefaultParagraphFont"/>
    <w:link w:val="BodyText"/>
    <w:uiPriority w:val="99"/>
    <w:rsid w:val="003942FF"/>
  </w:style>
  <w:style w:type="paragraph" w:styleId="Date">
    <w:name w:val="Date"/>
    <w:basedOn w:val="Normal"/>
    <w:next w:val="Normal"/>
    <w:link w:val="DateChar"/>
    <w:uiPriority w:val="99"/>
    <w:semiHidden/>
    <w:unhideWhenUsed/>
    <w:rsid w:val="003942FF"/>
  </w:style>
  <w:style w:type="character" w:customStyle="1" w:styleId="DateChar">
    <w:name w:val="Date Char"/>
    <w:basedOn w:val="DefaultParagraphFont"/>
    <w:link w:val="Date"/>
    <w:uiPriority w:val="99"/>
    <w:semiHidden/>
    <w:rsid w:val="003942FF"/>
  </w:style>
  <w:style w:type="paragraph" w:styleId="Closing">
    <w:name w:val="Closing"/>
    <w:basedOn w:val="Normal"/>
    <w:link w:val="ClosingChar"/>
    <w:uiPriority w:val="99"/>
    <w:semiHidden/>
    <w:unhideWhenUsed/>
    <w:rsid w:val="003942FF"/>
  </w:style>
  <w:style w:type="character" w:customStyle="1" w:styleId="ClosingChar">
    <w:name w:val="Closing Char"/>
    <w:basedOn w:val="DefaultParagraphFont"/>
    <w:link w:val="Closing"/>
    <w:uiPriority w:val="99"/>
    <w:semiHidden/>
    <w:rsid w:val="003942FF"/>
  </w:style>
  <w:style w:type="paragraph" w:styleId="Signature">
    <w:name w:val="Signature"/>
    <w:basedOn w:val="Normal"/>
    <w:link w:val="SignatureChar"/>
    <w:uiPriority w:val="99"/>
    <w:semiHidden/>
    <w:unhideWhenUsed/>
    <w:rsid w:val="003942FF"/>
  </w:style>
  <w:style w:type="character" w:customStyle="1" w:styleId="SignatureChar">
    <w:name w:val="Signature Char"/>
    <w:basedOn w:val="DefaultParagraphFont"/>
    <w:link w:val="Signature"/>
    <w:uiPriority w:val="99"/>
    <w:semiHidden/>
    <w:rsid w:val="003942FF"/>
  </w:style>
  <w:style w:type="paragraph" w:styleId="NormalWeb">
    <w:name w:val="Normal (Web)"/>
    <w:basedOn w:val="Normal"/>
    <w:uiPriority w:val="99"/>
    <w:semiHidden/>
    <w:unhideWhenUsed/>
    <w:rsid w:val="003A1E33"/>
    <w:rPr>
      <w:rFonts w:ascii="Times New Roman" w:hAnsi="Times New Roman" w:cs="Times New Roman"/>
    </w:rPr>
  </w:style>
  <w:style w:type="character" w:styleId="Hyperlink">
    <w:name w:val="Hyperlink"/>
    <w:basedOn w:val="DefaultParagraphFont"/>
    <w:uiPriority w:val="99"/>
    <w:unhideWhenUsed/>
    <w:rsid w:val="003A1E33"/>
    <w:rPr>
      <w:color w:val="0000FF" w:themeColor="hyperlink"/>
      <w:u w:val="single"/>
    </w:rPr>
  </w:style>
  <w:style w:type="character" w:styleId="IntenseEmphasis">
    <w:name w:val="Intense Emphasis"/>
    <w:uiPriority w:val="21"/>
    <w:qFormat/>
    <w:rsid w:val="002B0468"/>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6273">
      <w:bodyDiv w:val="1"/>
      <w:marLeft w:val="0"/>
      <w:marRight w:val="0"/>
      <w:marTop w:val="0"/>
      <w:marBottom w:val="0"/>
      <w:divBdr>
        <w:top w:val="none" w:sz="0" w:space="0" w:color="auto"/>
        <w:left w:val="none" w:sz="0" w:space="0" w:color="auto"/>
        <w:bottom w:val="none" w:sz="0" w:space="0" w:color="auto"/>
        <w:right w:val="none" w:sz="0" w:space="0" w:color="auto"/>
      </w:divBdr>
    </w:div>
    <w:div w:id="18737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kscblog.com/new-judgment-r-on-the-application-of-toraane-and-another-v-secretary-of-state-for-the-home-department-2023-uksc-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2024-05-23T18:30:00+00:00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DF2B-4A05-441B-AC80-136FD5CE4335}"/>
</file>

<file path=customXml/itemProps2.xml><?xml version="1.0" encoding="utf-8"?>
<ds:datastoreItem xmlns:ds="http://schemas.openxmlformats.org/officeDocument/2006/customXml" ds:itemID="{288D145B-09A1-4938-80E1-C27BF8CBD95D}"/>
</file>

<file path=customXml/itemProps3.xml><?xml version="1.0" encoding="utf-8"?>
<ds:datastoreItem xmlns:ds="http://schemas.openxmlformats.org/officeDocument/2006/customXml" ds:itemID="{8CE20572-0E02-4E1D-9F5F-A4363FD39A3C}"/>
</file>

<file path=customXml/itemProps4.xml><?xml version="1.0" encoding="utf-8"?>
<ds:datastoreItem xmlns:ds="http://schemas.openxmlformats.org/officeDocument/2006/customXml" ds:itemID="{C0D12D0F-2C11-4F71-93C3-615DE6D1BEAA}"/>
</file>

<file path=docProps/app.xml><?xml version="1.0" encoding="utf-8"?>
<Properties xmlns="http://schemas.openxmlformats.org/officeDocument/2006/extended-properties" xmlns:vt="http://schemas.openxmlformats.org/officeDocument/2006/docPropsVTypes">
  <Template>Normal</Template>
  <TotalTime>495</TotalTime>
  <Pages>1</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Penderis v De Klerk (HC-MD-CIV-MOT-GEN-2020-00203) [2020] 392 NAHCMD (28 August 2020)</vt:lpstr>
    </vt:vector>
  </TitlesOfParts>
  <Company>High Court of Namibia</Company>
  <LinksUpToDate>false</LinksUpToDate>
  <CharactersWithSpaces>35262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Klerk v The Prosecutor-General (HC-MD-CIV-MOT- POCA-2022-00487) [2024] NAHCMD 247 (24 May 2024)</dc:title>
  <dc:subject/>
  <dc:creator>Thomas Masuku</dc:creator>
  <cp:keywords/>
  <dc:description/>
  <cp:lastModifiedBy>Bregitha Coetzee</cp:lastModifiedBy>
  <cp:revision>12</cp:revision>
  <cp:lastPrinted>2024-05-24T10:37:00Z</cp:lastPrinted>
  <dcterms:created xsi:type="dcterms:W3CDTF">2024-05-22T13:53:00Z</dcterms:created>
  <dcterms:modified xsi:type="dcterms:W3CDTF">2024-05-27T08:43:00Z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