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06" w:rsidRDefault="00025406" w:rsidP="00025406">
      <w:pPr>
        <w:spacing w:after="0" w:line="360" w:lineRule="auto"/>
        <w:ind w:left="2160" w:firstLine="720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AAB7B" wp14:editId="73617A07">
                <wp:simplePos x="0" y="0"/>
                <wp:positionH relativeFrom="column">
                  <wp:posOffset>4552950</wp:posOffset>
                </wp:positionH>
                <wp:positionV relativeFrom="paragraph">
                  <wp:posOffset>-57150</wp:posOffset>
                </wp:positionV>
                <wp:extent cx="1562100" cy="247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06" w:rsidRDefault="00025406" w:rsidP="0002540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AA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5pt;margin-top:-4.5pt;width:123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" strokecolor="white [3212]">
                <v:textbox>
                  <w:txbxContent>
                    <w:p w:rsidR="00025406" w:rsidRDefault="00025406" w:rsidP="00025406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GB"/>
        </w:rPr>
        <w:t xml:space="preserve">   REPUBLIC OF NAMIBIA</w:t>
      </w:r>
    </w:p>
    <w:p w:rsidR="00025406" w:rsidRDefault="00025406" w:rsidP="000254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935168" wp14:editId="17A6EE28">
            <wp:simplePos x="0" y="0"/>
            <wp:positionH relativeFrom="column">
              <wp:posOffset>2001520</wp:posOffset>
            </wp:positionH>
            <wp:positionV relativeFrom="paragraph">
              <wp:posOffset>12700</wp:posOffset>
            </wp:positionV>
            <wp:extent cx="1517650" cy="1328420"/>
            <wp:effectExtent l="0" t="0" r="6350" b="5080"/>
            <wp:wrapSquare wrapText="bothSides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n-GB"/>
        </w:rPr>
        <w:br w:type="textWrapping" w:clear="all"/>
      </w:r>
      <w:r>
        <w:rPr>
          <w:rFonts w:ascii="Arial" w:hAnsi="Arial" w:cs="Arial"/>
          <w:b/>
          <w:sz w:val="24"/>
          <w:szCs w:val="24"/>
          <w:lang w:val="en-GB"/>
        </w:rPr>
        <w:t>HIGH COURT OF NAMIBIA MAIN DIVISION, WINDHOEK</w:t>
      </w:r>
    </w:p>
    <w:p w:rsidR="00025406" w:rsidRDefault="00025406" w:rsidP="000254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LEAVE TO APPEAL </w:t>
      </w:r>
      <w:r w:rsidR="00DC46DA">
        <w:rPr>
          <w:rFonts w:ascii="Arial" w:hAnsi="Arial" w:cs="Arial"/>
          <w:b/>
          <w:sz w:val="24"/>
          <w:szCs w:val="24"/>
          <w:lang w:val="en-GB"/>
        </w:rPr>
        <w:t>JUDGMENT</w:t>
      </w:r>
    </w:p>
    <w:p w:rsidR="00025406" w:rsidRDefault="00025406" w:rsidP="0002540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9770" w:type="dxa"/>
        <w:tblInd w:w="-289" w:type="dxa"/>
        <w:tblLook w:val="04A0" w:firstRow="1" w:lastRow="0" w:firstColumn="1" w:lastColumn="0" w:noHBand="0" w:noVBand="1"/>
      </w:tblPr>
      <w:tblGrid>
        <w:gridCol w:w="14"/>
        <w:gridCol w:w="4770"/>
        <w:gridCol w:w="627"/>
        <w:gridCol w:w="4323"/>
        <w:gridCol w:w="36"/>
      </w:tblGrid>
      <w:tr w:rsidR="00025406" w:rsidRPr="00107392" w:rsidTr="00C328E8">
        <w:trPr>
          <w:gridBefore w:val="1"/>
          <w:gridAfter w:val="1"/>
          <w:wBefore w:w="14" w:type="dxa"/>
          <w:wAfter w:w="36" w:type="dxa"/>
          <w:trHeight w:val="650"/>
        </w:trPr>
        <w:tc>
          <w:tcPr>
            <w:tcW w:w="5397" w:type="dxa"/>
            <w:gridSpan w:val="2"/>
            <w:vMerge w:val="restart"/>
            <w:tcBorders>
              <w:bottom w:val="single" w:sz="4" w:space="0" w:color="auto"/>
            </w:tcBorders>
          </w:tcPr>
          <w:p w:rsidR="00025406" w:rsidRDefault="00025406" w:rsidP="00C328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392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025406" w:rsidRPr="00107392" w:rsidRDefault="00025406" w:rsidP="00C32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025406" w:rsidP="00C32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State           </w:t>
            </w:r>
            <w:r w:rsidRPr="007173A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Applicant</w:t>
            </w:r>
          </w:p>
          <w:p w:rsidR="00025406" w:rsidRPr="007173A0" w:rsidRDefault="00025406" w:rsidP="00C32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14067B" w:rsidP="00C32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025406" w:rsidRPr="007173A0" w:rsidRDefault="00025406" w:rsidP="00C328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025406" w:rsidP="00C328E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Brendon Dreyer                          </w:t>
            </w:r>
            <w:r w:rsidRPr="007173A0">
              <w:rPr>
                <w:rFonts w:ascii="Arial" w:hAnsi="Arial" w:cs="Arial"/>
                <w:sz w:val="24"/>
                <w:szCs w:val="24"/>
              </w:rPr>
              <w:t xml:space="preserve">          Respondent</w:t>
            </w:r>
          </w:p>
          <w:p w:rsidR="00025406" w:rsidRDefault="00025406" w:rsidP="00C328E8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025406" w:rsidP="00C328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25406" w:rsidRPr="00EF325A" w:rsidRDefault="00025406" w:rsidP="00C328E8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025406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Case </w:t>
            </w:r>
            <w:r w:rsidRPr="0010739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      </w:t>
            </w:r>
          </w:p>
          <w:p w:rsidR="00025406" w:rsidRPr="00CD3D0C" w:rsidRDefault="005826A0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HC-MD-CRI-APP-SLA-2022/00067</w:t>
            </w:r>
          </w:p>
        </w:tc>
      </w:tr>
      <w:tr w:rsidR="00025406" w:rsidRPr="00107392" w:rsidTr="00C328E8">
        <w:trPr>
          <w:gridBefore w:val="1"/>
          <w:gridAfter w:val="1"/>
          <w:wBefore w:w="14" w:type="dxa"/>
          <w:wAfter w:w="36" w:type="dxa"/>
          <w:trHeight w:val="750"/>
        </w:trPr>
        <w:tc>
          <w:tcPr>
            <w:tcW w:w="5397" w:type="dxa"/>
            <w:gridSpan w:val="2"/>
            <w:vMerge/>
            <w:tcBorders>
              <w:bottom w:val="single" w:sz="4" w:space="0" w:color="auto"/>
            </w:tcBorders>
          </w:tcPr>
          <w:p w:rsidR="00025406" w:rsidRPr="00107392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025406" w:rsidRDefault="00025406" w:rsidP="00C328E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7392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25406" w:rsidRPr="00107392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392">
              <w:rPr>
                <w:rFonts w:ascii="Arial" w:hAnsi="Arial" w:cs="Arial"/>
                <w:sz w:val="24"/>
                <w:szCs w:val="24"/>
              </w:rPr>
              <w:t>Main Division</w:t>
            </w:r>
          </w:p>
        </w:tc>
      </w:tr>
      <w:tr w:rsidR="00025406" w:rsidRPr="00107392" w:rsidTr="00C328E8">
        <w:trPr>
          <w:gridBefore w:val="1"/>
          <w:gridAfter w:val="1"/>
          <w:wBefore w:w="14" w:type="dxa"/>
          <w:wAfter w:w="36" w:type="dxa"/>
          <w:trHeight w:val="479"/>
        </w:trPr>
        <w:tc>
          <w:tcPr>
            <w:tcW w:w="5397" w:type="dxa"/>
            <w:gridSpan w:val="2"/>
            <w:vMerge/>
            <w:tcBorders>
              <w:bottom w:val="single" w:sz="4" w:space="0" w:color="auto"/>
            </w:tcBorders>
          </w:tcPr>
          <w:p w:rsidR="00025406" w:rsidRPr="00107392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025406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3F3B">
              <w:rPr>
                <w:rFonts w:ascii="Arial" w:hAnsi="Arial" w:cs="Arial"/>
                <w:b/>
                <w:sz w:val="24"/>
                <w:szCs w:val="24"/>
              </w:rPr>
              <w:t>Heard 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25406" w:rsidRPr="004A3F3B" w:rsidRDefault="00A8093D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January 2024</w:t>
            </w:r>
          </w:p>
        </w:tc>
      </w:tr>
      <w:tr w:rsidR="00025406" w:rsidRPr="00107392" w:rsidTr="00C328E8">
        <w:trPr>
          <w:gridBefore w:val="1"/>
          <w:gridAfter w:val="1"/>
          <w:wBefore w:w="14" w:type="dxa"/>
          <w:wAfter w:w="36" w:type="dxa"/>
          <w:trHeight w:val="940"/>
        </w:trPr>
        <w:tc>
          <w:tcPr>
            <w:tcW w:w="5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406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392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025406" w:rsidRPr="00527F73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Justice 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3D78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D7890">
              <w:rPr>
                <w:rFonts w:ascii="Arial" w:hAnsi="Arial" w:cs="Arial"/>
                <w:sz w:val="24"/>
                <w:szCs w:val="24"/>
              </w:rPr>
              <w:t>Shivute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</w:tcPr>
          <w:p w:rsidR="00025406" w:rsidRPr="003D7890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Delivered on:</w:t>
            </w:r>
          </w:p>
          <w:p w:rsidR="00025406" w:rsidRPr="00772174" w:rsidRDefault="00A8093D" w:rsidP="00C328E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February 2024</w:t>
            </w:r>
          </w:p>
        </w:tc>
      </w:tr>
      <w:tr w:rsidR="00025406" w:rsidRPr="00107392" w:rsidTr="00C328E8">
        <w:trPr>
          <w:gridBefore w:val="1"/>
          <w:gridAfter w:val="1"/>
          <w:wBefore w:w="14" w:type="dxa"/>
          <w:wAfter w:w="36" w:type="dxa"/>
          <w:trHeight w:val="720"/>
        </w:trPr>
        <w:tc>
          <w:tcPr>
            <w:tcW w:w="9720" w:type="dxa"/>
            <w:gridSpan w:val="3"/>
          </w:tcPr>
          <w:p w:rsidR="00025406" w:rsidRPr="00795FF6" w:rsidRDefault="00025406" w:rsidP="00316434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07392">
              <w:rPr>
                <w:rFonts w:ascii="Arial" w:hAnsi="Arial" w:cs="Arial"/>
                <w:b/>
                <w:sz w:val="24"/>
                <w:szCs w:val="24"/>
              </w:rPr>
              <w:t>Neutral citation: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93D">
              <w:rPr>
                <w:rFonts w:ascii="Arial" w:hAnsi="Arial" w:cs="Arial"/>
                <w:i/>
                <w:sz w:val="24"/>
                <w:szCs w:val="24"/>
              </w:rPr>
              <w:t>S v Dreyer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8093D">
              <w:rPr>
                <w:rFonts w:ascii="Arial" w:hAnsi="Arial" w:cs="Arial"/>
                <w:sz w:val="24"/>
                <w:szCs w:val="24"/>
              </w:rPr>
              <w:t>(</w:t>
            </w:r>
            <w:r w:rsidR="00DC46DA">
              <w:rPr>
                <w:rFonts w:ascii="Arial" w:hAnsi="Arial" w:cs="Arial"/>
                <w:sz w:val="24"/>
                <w:szCs w:val="24"/>
              </w:rPr>
              <w:t>HC-MD-CRI-APP-SLA-2022/00067</w:t>
            </w:r>
            <w:r w:rsidRPr="008F1BD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6DA">
              <w:rPr>
                <w:rFonts w:ascii="Arial" w:hAnsi="Arial" w:cs="Arial"/>
                <w:sz w:val="24"/>
                <w:szCs w:val="24"/>
              </w:rPr>
              <w:t>[2024</w:t>
            </w:r>
            <w:r w:rsidRPr="008F1BD9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NAHCMD </w:t>
            </w:r>
            <w:r w:rsidR="00316434">
              <w:rPr>
                <w:rFonts w:ascii="Arial" w:hAnsi="Arial" w:cs="Arial"/>
                <w:sz w:val="24"/>
                <w:szCs w:val="24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1BD9">
              <w:rPr>
                <w:rFonts w:ascii="Arial" w:hAnsi="Arial" w:cs="Arial"/>
                <w:sz w:val="24"/>
                <w:szCs w:val="24"/>
              </w:rPr>
              <w:t>(</w:t>
            </w:r>
            <w:r w:rsidR="00DC46DA">
              <w:rPr>
                <w:rFonts w:ascii="Arial" w:hAnsi="Arial" w:cs="Arial"/>
                <w:sz w:val="24"/>
                <w:szCs w:val="24"/>
              </w:rPr>
              <w:t>12 February 2024</w:t>
            </w:r>
            <w:r w:rsidRPr="008F1B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25406" w:rsidRPr="00270772" w:rsidTr="00C328E8">
        <w:trPr>
          <w:gridBefore w:val="1"/>
          <w:gridAfter w:val="1"/>
          <w:wBefore w:w="14" w:type="dxa"/>
          <w:wAfter w:w="36" w:type="dxa"/>
        </w:trPr>
        <w:tc>
          <w:tcPr>
            <w:tcW w:w="9720" w:type="dxa"/>
            <w:gridSpan w:val="3"/>
          </w:tcPr>
          <w:p w:rsidR="00025406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392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025406" w:rsidRPr="00B56134" w:rsidRDefault="00654A2D" w:rsidP="00DD6C12">
            <w:pPr>
              <w:spacing w:after="1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for leave to appeal</w:t>
            </w:r>
            <w:r w:rsidR="00DD6C12">
              <w:rPr>
                <w:rFonts w:ascii="Arial" w:hAnsi="Arial" w:cs="Arial"/>
                <w:sz w:val="24"/>
                <w:szCs w:val="24"/>
              </w:rPr>
              <w:t xml:space="preserve"> by the State</w:t>
            </w:r>
            <w:r>
              <w:rPr>
                <w:rFonts w:ascii="Arial" w:hAnsi="Arial" w:cs="Arial"/>
                <w:sz w:val="24"/>
                <w:szCs w:val="24"/>
              </w:rPr>
              <w:t xml:space="preserve"> against the acquittal of the respondent is granted.</w:t>
            </w:r>
          </w:p>
        </w:tc>
      </w:tr>
      <w:tr w:rsidR="00025406" w:rsidRPr="00107392" w:rsidTr="00C328E8">
        <w:trPr>
          <w:gridBefore w:val="1"/>
          <w:gridAfter w:val="1"/>
          <w:wBefore w:w="14" w:type="dxa"/>
          <w:wAfter w:w="36" w:type="dxa"/>
          <w:trHeight w:val="700"/>
        </w:trPr>
        <w:tc>
          <w:tcPr>
            <w:tcW w:w="9720" w:type="dxa"/>
            <w:gridSpan w:val="3"/>
          </w:tcPr>
          <w:p w:rsidR="00025406" w:rsidRPr="00107392" w:rsidRDefault="00025406" w:rsidP="00C328E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392">
              <w:rPr>
                <w:rFonts w:ascii="Arial" w:hAnsi="Arial" w:cs="Arial"/>
                <w:b/>
                <w:sz w:val="24"/>
                <w:szCs w:val="24"/>
              </w:rPr>
              <w:t>Reasons for order:</w:t>
            </w:r>
          </w:p>
        </w:tc>
      </w:tr>
      <w:tr w:rsidR="00025406" w:rsidRPr="00107392" w:rsidTr="00C328E8">
        <w:trPr>
          <w:gridBefore w:val="1"/>
          <w:gridAfter w:val="1"/>
          <w:wBefore w:w="14" w:type="dxa"/>
          <w:wAfter w:w="36" w:type="dxa"/>
        </w:trPr>
        <w:tc>
          <w:tcPr>
            <w:tcW w:w="9720" w:type="dxa"/>
            <w:gridSpan w:val="3"/>
          </w:tcPr>
          <w:p w:rsidR="00025406" w:rsidRDefault="00025406" w:rsidP="00C328E8">
            <w:pPr>
              <w:tabs>
                <w:tab w:val="left" w:pos="3765"/>
              </w:tabs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SHIVUTE J:</w:t>
            </w:r>
          </w:p>
          <w:p w:rsidR="00025406" w:rsidRPr="00996388" w:rsidRDefault="00025406" w:rsidP="00C328E8">
            <w:pPr>
              <w:tabs>
                <w:tab w:val="left" w:pos="376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6041DE" w:rsidP="00C328E8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[1]     This is an application for leave to appeal</w:t>
            </w:r>
            <w:r w:rsidR="009F09BB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in terms of section 310(1) read with section 310 (2)</w:t>
            </w:r>
            <w:r w:rsidR="00E6559D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</w:t>
            </w:r>
            <w:r w:rsidR="00E6559D" w:rsidRPr="0014067B">
              <w:rPr>
                <w:rFonts w:ascii="Arial" w:eastAsia="Times New Roman" w:hAnsi="Arial" w:cs="Arial"/>
                <w:i/>
                <w:snapToGrid w:val="0"/>
                <w:sz w:val="24"/>
                <w:szCs w:val="24"/>
              </w:rPr>
              <w:t>(a)</w:t>
            </w:r>
            <w:r w:rsidR="00E6559D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of the Criminal</w:t>
            </w:r>
            <w:r w:rsidR="008A1BB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Procedure Act, 51 of 1977 (CPA or t</w:t>
            </w:r>
            <w:r w:rsidR="00E6559D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he Act).</w:t>
            </w:r>
          </w:p>
          <w:p w:rsidR="00E6559D" w:rsidRPr="00996388" w:rsidRDefault="00E6559D" w:rsidP="00C328E8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[2]     </w:t>
            </w:r>
            <w:r w:rsidR="00E6559D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The respondent was charged with robbery</w:t>
            </w:r>
            <w:r w:rsidR="00E82F0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with aggravating circumstances as defined in section 1 of the CPA. After the trial</w:t>
            </w:r>
            <w:r w:rsidR="0014067B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,</w:t>
            </w:r>
            <w:r w:rsidR="00E82F0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he was found</w:t>
            </w:r>
            <w:r w:rsidR="00DD6C1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not guilty and acquitted. </w:t>
            </w:r>
            <w:r w:rsidR="008A1BB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D</w:t>
            </w:r>
            <w:r w:rsidR="00E82F0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issatisfied </w:t>
            </w:r>
            <w:r w:rsidR="00E82F0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lastRenderedPageBreak/>
              <w:t>with the</w:t>
            </w:r>
            <w:r w:rsidR="002E12E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verdict of not guilty</w:t>
            </w:r>
            <w:r w:rsidR="008A1BB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, the State </w:t>
            </w:r>
            <w:r w:rsidR="002E12E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moved an</w:t>
            </w:r>
            <w:r w:rsidR="00E82F02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application</w:t>
            </w:r>
            <w:r w:rsidR="003A1B93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for leave to appeal against the </w:t>
            </w:r>
            <w:r w:rsidR="008A1BB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respondent’s </w:t>
            </w:r>
            <w:r w:rsidR="003A1B93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acquittal</w:t>
            </w:r>
            <w:r w:rsidR="002E12E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by the court a quo.</w:t>
            </w: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[3]     The </w:t>
            </w:r>
            <w:r w:rsidR="003A1B93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facts of the case may be summarised as follows: The respondent was one of a group of five assailants who approached the complainant</w:t>
            </w:r>
            <w:r w:rsidR="00B8032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whi</w:t>
            </w:r>
            <w:r w:rsidR="008A1BB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lst he was on his way home. The assailants</w:t>
            </w:r>
            <w:r w:rsidR="00B8032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demanded money from the complainant and everything that he had. The complainant refused.</w:t>
            </w:r>
          </w:p>
          <w:p w:rsidR="00025406" w:rsidRPr="00526B75" w:rsidRDefault="00025406" w:rsidP="00C328E8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napToGrid w:val="0"/>
              </w:rPr>
            </w:pPr>
          </w:p>
          <w:p w:rsidR="00025406" w:rsidRPr="005E37F0" w:rsidRDefault="00025406" w:rsidP="00C328E8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[4]     </w:t>
            </w:r>
            <w:r w:rsidR="00B8032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After he refused they started to assault him. All of them were armed with knives. One of them assaulted the complainant with a beer bottle on the eye. They took N$700 and a Huawei </w:t>
            </w:r>
            <w:r w:rsidR="0036165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cell phone</w:t>
            </w:r>
            <w:r w:rsidR="008A1BB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, valued</w:t>
            </w:r>
            <w:r w:rsidR="00B8032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</w:t>
            </w:r>
            <w:r w:rsidR="008A1BB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at </w:t>
            </w:r>
            <w:r w:rsidR="00B8032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N$1499</w:t>
            </w:r>
            <w:r w:rsidR="008A1BBA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, from him</w:t>
            </w:r>
            <w:r w:rsidR="00B80326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.</w:t>
            </w: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[5]     </w:t>
            </w:r>
            <w:r w:rsidR="0086226A">
              <w:rPr>
                <w:rFonts w:ascii="Arial" w:hAnsi="Arial" w:cs="Arial"/>
                <w:sz w:val="24"/>
                <w:szCs w:val="24"/>
              </w:rPr>
              <w:t>Although the incident took place around 22h00, at the place where it happened there was a big light post. The complainant recognised the respondent as one of his assailants. According to the complainant</w:t>
            </w:r>
            <w:r w:rsidR="008A1BBA">
              <w:rPr>
                <w:rFonts w:ascii="Arial" w:hAnsi="Arial" w:cs="Arial"/>
                <w:sz w:val="24"/>
                <w:szCs w:val="24"/>
              </w:rPr>
              <w:t>,</w:t>
            </w:r>
            <w:r w:rsidR="0086226A">
              <w:rPr>
                <w:rFonts w:ascii="Arial" w:hAnsi="Arial" w:cs="Arial"/>
                <w:sz w:val="24"/>
                <w:szCs w:val="24"/>
              </w:rPr>
              <w:t xml:space="preserve"> the respondent was standing in front of him and he</w:t>
            </w:r>
            <w:r w:rsidR="00665C06">
              <w:rPr>
                <w:rFonts w:ascii="Arial" w:hAnsi="Arial" w:cs="Arial"/>
                <w:sz w:val="24"/>
                <w:szCs w:val="24"/>
              </w:rPr>
              <w:t xml:space="preserve"> saw him picking up something which he believed to be the </w:t>
            </w:r>
            <w:r w:rsidR="00361658">
              <w:rPr>
                <w:rFonts w:ascii="Arial" w:hAnsi="Arial" w:cs="Arial"/>
                <w:sz w:val="24"/>
                <w:szCs w:val="24"/>
              </w:rPr>
              <w:t>cell phone</w:t>
            </w:r>
            <w:r w:rsidR="00665C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[6]     </w:t>
            </w:r>
            <w:r w:rsidR="00665C06">
              <w:rPr>
                <w:rFonts w:ascii="Arial" w:hAnsi="Arial" w:cs="Arial"/>
                <w:sz w:val="24"/>
                <w:szCs w:val="24"/>
              </w:rPr>
              <w:t xml:space="preserve">The complainant was able to recognise the respondent because there was enough light at </w:t>
            </w:r>
            <w:r w:rsidR="00107F5A">
              <w:rPr>
                <w:rFonts w:ascii="Arial" w:hAnsi="Arial" w:cs="Arial"/>
                <w:sz w:val="24"/>
                <w:szCs w:val="24"/>
              </w:rPr>
              <w:t>the scene</w:t>
            </w:r>
            <w:r w:rsidR="00665C06">
              <w:rPr>
                <w:rFonts w:ascii="Arial" w:hAnsi="Arial" w:cs="Arial"/>
                <w:sz w:val="24"/>
                <w:szCs w:val="24"/>
              </w:rPr>
              <w:t xml:space="preserve"> of crime and he knew the respondent since </w:t>
            </w:r>
            <w:r w:rsidR="008A1BBA">
              <w:rPr>
                <w:rFonts w:ascii="Arial" w:hAnsi="Arial" w:cs="Arial"/>
                <w:sz w:val="24"/>
                <w:szCs w:val="24"/>
              </w:rPr>
              <w:t>t</w:t>
            </w:r>
            <w:r w:rsidR="00665C06">
              <w:rPr>
                <w:rFonts w:ascii="Arial" w:hAnsi="Arial" w:cs="Arial"/>
                <w:sz w:val="24"/>
                <w:szCs w:val="24"/>
              </w:rPr>
              <w:t>he</w:t>
            </w:r>
            <w:r w:rsidR="00107F5A">
              <w:rPr>
                <w:rFonts w:ascii="Arial" w:hAnsi="Arial" w:cs="Arial"/>
                <w:sz w:val="24"/>
                <w:szCs w:val="24"/>
              </w:rPr>
              <w:t xml:space="preserve"> respondent’s</w:t>
            </w:r>
            <w:r w:rsidR="008A1BBA">
              <w:rPr>
                <w:rFonts w:ascii="Arial" w:hAnsi="Arial" w:cs="Arial"/>
                <w:sz w:val="24"/>
                <w:szCs w:val="24"/>
              </w:rPr>
              <w:t xml:space="preserve"> childhood</w:t>
            </w:r>
            <w:r w:rsidR="004F1C41">
              <w:rPr>
                <w:rFonts w:ascii="Arial" w:hAnsi="Arial" w:cs="Arial"/>
                <w:sz w:val="24"/>
                <w:szCs w:val="24"/>
              </w:rPr>
              <w:t>,</w:t>
            </w:r>
            <w:r w:rsidR="008A1BBA">
              <w:rPr>
                <w:rFonts w:ascii="Arial" w:hAnsi="Arial" w:cs="Arial"/>
                <w:sz w:val="24"/>
                <w:szCs w:val="24"/>
              </w:rPr>
              <w:t xml:space="preserve"> as he</w:t>
            </w:r>
            <w:r w:rsidR="00107F5A">
              <w:rPr>
                <w:rFonts w:ascii="Arial" w:hAnsi="Arial" w:cs="Arial"/>
                <w:sz w:val="24"/>
                <w:szCs w:val="24"/>
              </w:rPr>
              <w:t xml:space="preserve"> grew up in front of the complainant. Therefore</w:t>
            </w:r>
            <w:r w:rsidR="0090757C">
              <w:rPr>
                <w:rFonts w:ascii="Arial" w:hAnsi="Arial" w:cs="Arial"/>
                <w:sz w:val="24"/>
                <w:szCs w:val="24"/>
              </w:rPr>
              <w:t>,</w:t>
            </w:r>
            <w:r w:rsidR="00107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757C">
              <w:rPr>
                <w:rFonts w:ascii="Arial" w:hAnsi="Arial" w:cs="Arial"/>
                <w:sz w:val="24"/>
                <w:szCs w:val="24"/>
              </w:rPr>
              <w:t>t</w:t>
            </w:r>
            <w:r w:rsidR="00107F5A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FF34E2">
              <w:rPr>
                <w:rFonts w:ascii="Arial" w:hAnsi="Arial" w:cs="Arial"/>
                <w:sz w:val="24"/>
                <w:szCs w:val="24"/>
              </w:rPr>
              <w:t>complainant</w:t>
            </w:r>
            <w:r w:rsidR="00473832">
              <w:rPr>
                <w:rFonts w:ascii="Arial" w:hAnsi="Arial" w:cs="Arial"/>
                <w:sz w:val="24"/>
                <w:szCs w:val="24"/>
              </w:rPr>
              <w:t xml:space="preserve"> could not have been mistaken</w:t>
            </w:r>
            <w:r w:rsidR="004F1C41">
              <w:rPr>
                <w:rFonts w:ascii="Arial" w:hAnsi="Arial" w:cs="Arial"/>
                <w:sz w:val="24"/>
                <w:szCs w:val="24"/>
              </w:rPr>
              <w:t xml:space="preserve"> about</w:t>
            </w:r>
            <w:r w:rsidR="00473832">
              <w:rPr>
                <w:rFonts w:ascii="Arial" w:hAnsi="Arial" w:cs="Arial"/>
                <w:sz w:val="24"/>
                <w:szCs w:val="24"/>
              </w:rPr>
              <w:t xml:space="preserve"> the respondent’s identity.</w:t>
            </w:r>
          </w:p>
          <w:p w:rsidR="00473832" w:rsidRDefault="00473832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[7]     The </w:t>
            </w:r>
            <w:r w:rsidR="00E45E2D">
              <w:rPr>
                <w:rFonts w:ascii="Arial" w:hAnsi="Arial" w:cs="Arial"/>
                <w:sz w:val="24"/>
                <w:szCs w:val="24"/>
              </w:rPr>
              <w:t>respondent exercised his right to remain silent</w:t>
            </w:r>
            <w:r w:rsidR="008A1BBA">
              <w:rPr>
                <w:rFonts w:ascii="Arial" w:hAnsi="Arial" w:cs="Arial"/>
                <w:sz w:val="24"/>
                <w:szCs w:val="24"/>
              </w:rPr>
              <w:t xml:space="preserve"> as he was entitled to do</w:t>
            </w:r>
            <w:r w:rsidR="00E45E2D">
              <w:rPr>
                <w:rFonts w:ascii="Arial" w:hAnsi="Arial" w:cs="Arial"/>
                <w:sz w:val="24"/>
                <w:szCs w:val="24"/>
              </w:rPr>
              <w:t>. There is no oblig</w:t>
            </w:r>
            <w:r w:rsidR="006F2AEE">
              <w:rPr>
                <w:rFonts w:ascii="Arial" w:hAnsi="Arial" w:cs="Arial"/>
                <w:sz w:val="24"/>
                <w:szCs w:val="24"/>
              </w:rPr>
              <w:t>ation on the accused</w:t>
            </w:r>
            <w:r w:rsidR="008A1BBA">
              <w:rPr>
                <w:rFonts w:ascii="Arial" w:hAnsi="Arial" w:cs="Arial"/>
                <w:sz w:val="24"/>
                <w:szCs w:val="24"/>
              </w:rPr>
              <w:t>,</w:t>
            </w:r>
            <w:r w:rsidR="006F2AEE">
              <w:rPr>
                <w:rFonts w:ascii="Arial" w:hAnsi="Arial" w:cs="Arial"/>
                <w:sz w:val="24"/>
                <w:szCs w:val="24"/>
              </w:rPr>
              <w:t xml:space="preserve"> where the S</w:t>
            </w:r>
            <w:r w:rsidR="00E45E2D">
              <w:rPr>
                <w:rFonts w:ascii="Arial" w:hAnsi="Arial" w:cs="Arial"/>
                <w:sz w:val="24"/>
                <w:szCs w:val="24"/>
              </w:rPr>
              <w:t>tate bears the onus</w:t>
            </w:r>
            <w:r w:rsidR="008A1BBA">
              <w:rPr>
                <w:rFonts w:ascii="Arial" w:hAnsi="Arial" w:cs="Arial"/>
                <w:sz w:val="24"/>
                <w:szCs w:val="24"/>
              </w:rPr>
              <w:t>,</w:t>
            </w:r>
            <w:r w:rsidR="00E45E2D">
              <w:rPr>
                <w:rFonts w:ascii="Arial" w:hAnsi="Arial" w:cs="Arial"/>
                <w:sz w:val="24"/>
                <w:szCs w:val="24"/>
              </w:rPr>
              <w:t xml:space="preserve"> for the accused to prove his innocence</w:t>
            </w:r>
            <w:r w:rsidR="0006394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[8</w:t>
            </w:r>
            <w:r w:rsidR="00063945">
              <w:rPr>
                <w:rFonts w:ascii="Arial" w:hAnsi="Arial" w:cs="Arial"/>
                <w:sz w:val="24"/>
                <w:szCs w:val="24"/>
              </w:rPr>
              <w:t>]     The learned magistrate concluded that the complainant was a credible witness</w:t>
            </w:r>
            <w:r w:rsidR="008A1BBA">
              <w:rPr>
                <w:rFonts w:ascii="Arial" w:hAnsi="Arial" w:cs="Arial"/>
                <w:sz w:val="24"/>
                <w:szCs w:val="24"/>
              </w:rPr>
              <w:t xml:space="preserve"> and that </w:t>
            </w:r>
            <w:r w:rsidR="00063945">
              <w:rPr>
                <w:rFonts w:ascii="Arial" w:hAnsi="Arial" w:cs="Arial"/>
                <w:sz w:val="24"/>
                <w:szCs w:val="24"/>
              </w:rPr>
              <w:t xml:space="preserve">it </w:t>
            </w:r>
            <w:r w:rsidR="008A1BBA">
              <w:rPr>
                <w:rFonts w:ascii="Arial" w:hAnsi="Arial" w:cs="Arial"/>
                <w:sz w:val="24"/>
                <w:szCs w:val="24"/>
              </w:rPr>
              <w:t>wa</w:t>
            </w:r>
            <w:r w:rsidR="00063945">
              <w:rPr>
                <w:rFonts w:ascii="Arial" w:hAnsi="Arial" w:cs="Arial"/>
                <w:sz w:val="24"/>
                <w:szCs w:val="24"/>
              </w:rPr>
              <w:t xml:space="preserve">s common cause that he was robbed. 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The trial court observed that </w:t>
            </w:r>
            <w:r w:rsidR="00063945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204956">
              <w:rPr>
                <w:rFonts w:ascii="Arial" w:hAnsi="Arial" w:cs="Arial"/>
                <w:sz w:val="24"/>
                <w:szCs w:val="24"/>
              </w:rPr>
              <w:t>were</w:t>
            </w:r>
            <w:r w:rsidR="00063945">
              <w:rPr>
                <w:rFonts w:ascii="Arial" w:hAnsi="Arial" w:cs="Arial"/>
                <w:sz w:val="24"/>
                <w:szCs w:val="24"/>
              </w:rPr>
              <w:t xml:space="preserve"> shor</w:t>
            </w:r>
            <w:r w:rsidR="006F2AEE">
              <w:rPr>
                <w:rFonts w:ascii="Arial" w:hAnsi="Arial" w:cs="Arial"/>
                <w:sz w:val="24"/>
                <w:szCs w:val="24"/>
              </w:rPr>
              <w:t>tcoming</w:t>
            </w:r>
            <w:r w:rsidR="00204956">
              <w:rPr>
                <w:rFonts w:ascii="Arial" w:hAnsi="Arial" w:cs="Arial"/>
                <w:sz w:val="24"/>
                <w:szCs w:val="24"/>
              </w:rPr>
              <w:t>s</w:t>
            </w:r>
            <w:r w:rsidR="006F2AEE">
              <w:rPr>
                <w:rFonts w:ascii="Arial" w:hAnsi="Arial" w:cs="Arial"/>
                <w:sz w:val="24"/>
                <w:szCs w:val="24"/>
              </w:rPr>
              <w:t xml:space="preserve"> in the evidence of the S</w:t>
            </w:r>
            <w:r w:rsidR="00063945">
              <w:rPr>
                <w:rFonts w:ascii="Arial" w:hAnsi="Arial" w:cs="Arial"/>
                <w:sz w:val="24"/>
                <w:szCs w:val="24"/>
              </w:rPr>
              <w:t>tate</w:t>
            </w:r>
            <w:r w:rsidR="00204956">
              <w:rPr>
                <w:rFonts w:ascii="Arial" w:hAnsi="Arial" w:cs="Arial"/>
                <w:sz w:val="24"/>
                <w:szCs w:val="24"/>
              </w:rPr>
              <w:t>, including</w:t>
            </w:r>
            <w:r w:rsidR="00063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1D8">
              <w:rPr>
                <w:rFonts w:ascii="Arial" w:hAnsi="Arial" w:cs="Arial"/>
                <w:sz w:val="24"/>
                <w:szCs w:val="24"/>
              </w:rPr>
              <w:t xml:space="preserve">the question </w:t>
            </w:r>
            <w:r w:rsidR="00063945">
              <w:rPr>
                <w:rFonts w:ascii="Arial" w:hAnsi="Arial" w:cs="Arial"/>
                <w:sz w:val="24"/>
                <w:szCs w:val="24"/>
              </w:rPr>
              <w:t xml:space="preserve">whether the respondent indeed exercised any form of force apart from the fact that </w:t>
            </w:r>
            <w:r w:rsidR="00AB21D8">
              <w:rPr>
                <w:rFonts w:ascii="Arial" w:hAnsi="Arial" w:cs="Arial"/>
                <w:sz w:val="24"/>
                <w:szCs w:val="24"/>
              </w:rPr>
              <w:t xml:space="preserve">he was part of the </w:t>
            </w:r>
            <w:r w:rsidR="00063945">
              <w:rPr>
                <w:rFonts w:ascii="Arial" w:hAnsi="Arial" w:cs="Arial"/>
                <w:sz w:val="24"/>
                <w:szCs w:val="24"/>
              </w:rPr>
              <w:t>group of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1D8">
              <w:rPr>
                <w:rFonts w:ascii="Arial" w:hAnsi="Arial" w:cs="Arial"/>
                <w:sz w:val="24"/>
                <w:szCs w:val="24"/>
              </w:rPr>
              <w:t>the assailants</w:t>
            </w:r>
            <w:r w:rsidR="00063945">
              <w:rPr>
                <w:rFonts w:ascii="Arial" w:hAnsi="Arial" w:cs="Arial"/>
                <w:sz w:val="24"/>
                <w:szCs w:val="24"/>
              </w:rPr>
              <w:t>. The court proceeded to say that the compla</w:t>
            </w:r>
            <w:r w:rsidR="00204956">
              <w:rPr>
                <w:rFonts w:ascii="Arial" w:hAnsi="Arial" w:cs="Arial"/>
                <w:sz w:val="24"/>
                <w:szCs w:val="24"/>
              </w:rPr>
              <w:t>inant confirmed that the respondent</w:t>
            </w:r>
            <w:r w:rsidR="00063945">
              <w:rPr>
                <w:rFonts w:ascii="Arial" w:hAnsi="Arial" w:cs="Arial"/>
                <w:sz w:val="24"/>
                <w:szCs w:val="24"/>
              </w:rPr>
              <w:t xml:space="preserve"> was one of the </w:t>
            </w:r>
            <w:r w:rsidR="00204956">
              <w:rPr>
                <w:rFonts w:ascii="Arial" w:hAnsi="Arial" w:cs="Arial"/>
                <w:sz w:val="24"/>
                <w:szCs w:val="24"/>
              </w:rPr>
              <w:t>persons</w:t>
            </w:r>
            <w:r w:rsidR="00926477">
              <w:rPr>
                <w:rFonts w:ascii="Arial" w:hAnsi="Arial" w:cs="Arial"/>
                <w:sz w:val="24"/>
                <w:szCs w:val="24"/>
              </w:rPr>
              <w:t xml:space="preserve"> who assaulted him</w:t>
            </w:r>
            <w:r w:rsidR="007E3483">
              <w:rPr>
                <w:rFonts w:ascii="Arial" w:hAnsi="Arial" w:cs="Arial"/>
                <w:sz w:val="24"/>
                <w:szCs w:val="24"/>
              </w:rPr>
              <w:t>,</w:t>
            </w:r>
            <w:r w:rsidR="00926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which evidence </w:t>
            </w:r>
            <w:r w:rsidR="00926477">
              <w:rPr>
                <w:rFonts w:ascii="Arial" w:hAnsi="Arial" w:cs="Arial"/>
                <w:sz w:val="24"/>
                <w:szCs w:val="24"/>
              </w:rPr>
              <w:t>in essence satisfied the element of violence in relation to robbery. Howeve</w:t>
            </w:r>
            <w:r w:rsidR="004F1C41">
              <w:rPr>
                <w:rFonts w:ascii="Arial" w:hAnsi="Arial" w:cs="Arial"/>
                <w:sz w:val="24"/>
                <w:szCs w:val="24"/>
              </w:rPr>
              <w:t>r, when it comes to the actual</w:t>
            </w:r>
            <w:r w:rsidR="00926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477">
              <w:rPr>
                <w:rFonts w:ascii="Arial" w:hAnsi="Arial" w:cs="Arial"/>
                <w:sz w:val="24"/>
                <w:szCs w:val="24"/>
              </w:rPr>
              <w:lastRenderedPageBreak/>
              <w:t>appropriation of property</w:t>
            </w:r>
            <w:r w:rsidR="004F1C41">
              <w:rPr>
                <w:rFonts w:ascii="Arial" w:hAnsi="Arial" w:cs="Arial"/>
                <w:sz w:val="24"/>
                <w:szCs w:val="24"/>
              </w:rPr>
              <w:t>,</w:t>
            </w:r>
            <w:r w:rsidR="00926477">
              <w:rPr>
                <w:rFonts w:ascii="Arial" w:hAnsi="Arial" w:cs="Arial"/>
                <w:sz w:val="24"/>
                <w:szCs w:val="24"/>
              </w:rPr>
              <w:t xml:space="preserve"> the witness could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 not confirm whether the respondent</w:t>
            </w:r>
            <w:r w:rsidR="00926477">
              <w:rPr>
                <w:rFonts w:ascii="Arial" w:hAnsi="Arial" w:cs="Arial"/>
                <w:sz w:val="24"/>
                <w:szCs w:val="24"/>
              </w:rPr>
              <w:t xml:space="preserve"> took his money and cell phone.</w:t>
            </w: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[9</w:t>
            </w:r>
            <w:r w:rsidR="00BE1C11">
              <w:rPr>
                <w:rFonts w:ascii="Arial" w:hAnsi="Arial" w:cs="Arial"/>
                <w:sz w:val="24"/>
                <w:szCs w:val="24"/>
              </w:rPr>
              <w:t>]     The court further stated that</w:t>
            </w:r>
            <w:r w:rsidR="004F1C41">
              <w:rPr>
                <w:rFonts w:ascii="Arial" w:hAnsi="Arial" w:cs="Arial"/>
                <w:sz w:val="24"/>
                <w:szCs w:val="24"/>
              </w:rPr>
              <w:t>,</w:t>
            </w:r>
            <w:r w:rsidR="00BE1C11">
              <w:rPr>
                <w:rFonts w:ascii="Arial" w:hAnsi="Arial" w:cs="Arial"/>
                <w:sz w:val="24"/>
                <w:szCs w:val="24"/>
              </w:rPr>
              <w:t xml:space="preserve"> although the respondent was part of the </w:t>
            </w:r>
            <w:r w:rsidR="00EB5586">
              <w:rPr>
                <w:rFonts w:ascii="Arial" w:hAnsi="Arial" w:cs="Arial"/>
                <w:sz w:val="24"/>
                <w:szCs w:val="24"/>
              </w:rPr>
              <w:t>assailants</w:t>
            </w:r>
            <w:r w:rsidR="00BE1C11">
              <w:rPr>
                <w:rFonts w:ascii="Arial" w:hAnsi="Arial" w:cs="Arial"/>
                <w:sz w:val="24"/>
                <w:szCs w:val="24"/>
              </w:rPr>
              <w:t xml:space="preserve">, the complainant did not testify that he saw the respondent with the cell phone in his hand. </w:t>
            </w:r>
            <w:r w:rsidR="00EB5586">
              <w:rPr>
                <w:rFonts w:ascii="Arial" w:hAnsi="Arial" w:cs="Arial"/>
                <w:sz w:val="24"/>
                <w:szCs w:val="24"/>
              </w:rPr>
              <w:t>The court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 wondered</w:t>
            </w:r>
            <w:r w:rsidR="00BE1C11">
              <w:rPr>
                <w:rFonts w:ascii="Arial" w:hAnsi="Arial" w:cs="Arial"/>
                <w:sz w:val="24"/>
                <w:szCs w:val="24"/>
              </w:rPr>
              <w:t xml:space="preserve"> whether due to</w:t>
            </w:r>
            <w:r w:rsidR="007478F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BE1C11">
              <w:rPr>
                <w:rFonts w:ascii="Arial" w:hAnsi="Arial" w:cs="Arial"/>
                <w:sz w:val="24"/>
                <w:szCs w:val="24"/>
              </w:rPr>
              <w:t xml:space="preserve"> chaotic 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nature </w:t>
            </w:r>
            <w:r w:rsidR="00BE1C11">
              <w:rPr>
                <w:rFonts w:ascii="Arial" w:hAnsi="Arial" w:cs="Arial"/>
                <w:sz w:val="24"/>
                <w:szCs w:val="24"/>
              </w:rPr>
              <w:t xml:space="preserve">of the events that transpired, the 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respondent could perhaps </w:t>
            </w:r>
            <w:r w:rsidR="00BE1C11">
              <w:rPr>
                <w:rFonts w:ascii="Arial" w:hAnsi="Arial" w:cs="Arial"/>
                <w:sz w:val="24"/>
                <w:szCs w:val="24"/>
              </w:rPr>
              <w:t xml:space="preserve">not have picked up something </w:t>
            </w:r>
            <w:r w:rsidR="00204956">
              <w:rPr>
                <w:rFonts w:ascii="Arial" w:hAnsi="Arial" w:cs="Arial"/>
                <w:sz w:val="24"/>
                <w:szCs w:val="24"/>
              </w:rPr>
              <w:t>other than a cell phone</w:t>
            </w:r>
            <w:r w:rsidR="00BE1C1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04956">
              <w:rPr>
                <w:rFonts w:ascii="Arial" w:hAnsi="Arial" w:cs="Arial"/>
                <w:sz w:val="24"/>
                <w:szCs w:val="24"/>
              </w:rPr>
              <w:t>The trial court reasoned that i</w:t>
            </w:r>
            <w:r w:rsidR="00BE1C11">
              <w:rPr>
                <w:rFonts w:ascii="Arial" w:hAnsi="Arial" w:cs="Arial"/>
                <w:sz w:val="24"/>
                <w:szCs w:val="24"/>
              </w:rPr>
              <w:t xml:space="preserve">t may 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well </w:t>
            </w:r>
            <w:r w:rsidR="00BE1C11">
              <w:rPr>
                <w:rFonts w:ascii="Arial" w:hAnsi="Arial" w:cs="Arial"/>
                <w:sz w:val="24"/>
                <w:szCs w:val="24"/>
              </w:rPr>
              <w:t xml:space="preserve">be that anyone else </w:t>
            </w:r>
            <w:r w:rsidR="00EB5586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respondent’s </w:t>
            </w:r>
            <w:r w:rsidR="00EB5586">
              <w:rPr>
                <w:rFonts w:ascii="Arial" w:hAnsi="Arial" w:cs="Arial"/>
                <w:sz w:val="24"/>
                <w:szCs w:val="24"/>
              </w:rPr>
              <w:t>company might as well</w:t>
            </w:r>
            <w:r w:rsidR="008B21B5">
              <w:rPr>
                <w:rFonts w:ascii="Arial" w:hAnsi="Arial" w:cs="Arial"/>
                <w:sz w:val="24"/>
                <w:szCs w:val="24"/>
              </w:rPr>
              <w:t xml:space="preserve"> have</w:t>
            </w:r>
            <w:r w:rsidR="00EB5586">
              <w:rPr>
                <w:rFonts w:ascii="Arial" w:hAnsi="Arial" w:cs="Arial"/>
                <w:sz w:val="24"/>
                <w:szCs w:val="24"/>
              </w:rPr>
              <w:t xml:space="preserve"> taken the complainant’</w:t>
            </w:r>
            <w:r w:rsidR="008B21B5">
              <w:rPr>
                <w:rFonts w:ascii="Arial" w:hAnsi="Arial" w:cs="Arial"/>
                <w:sz w:val="24"/>
                <w:szCs w:val="24"/>
              </w:rPr>
              <w:t>s property. For the</w:t>
            </w:r>
            <w:r w:rsidR="00EB5586">
              <w:rPr>
                <w:rFonts w:ascii="Arial" w:hAnsi="Arial" w:cs="Arial"/>
                <w:sz w:val="24"/>
                <w:szCs w:val="24"/>
              </w:rPr>
              <w:t xml:space="preserve"> above reasons</w:t>
            </w:r>
            <w:r w:rsidR="008B21B5">
              <w:rPr>
                <w:rFonts w:ascii="Arial" w:hAnsi="Arial" w:cs="Arial"/>
                <w:sz w:val="24"/>
                <w:szCs w:val="24"/>
              </w:rPr>
              <w:t>,</w:t>
            </w:r>
            <w:r w:rsidR="00EB5586">
              <w:rPr>
                <w:rFonts w:ascii="Arial" w:hAnsi="Arial" w:cs="Arial"/>
                <w:sz w:val="24"/>
                <w:szCs w:val="24"/>
              </w:rPr>
              <w:t xml:space="preserve"> the court a quo gave</w:t>
            </w:r>
            <w:r w:rsidR="008B21B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EB5586">
              <w:rPr>
                <w:rFonts w:ascii="Arial" w:hAnsi="Arial" w:cs="Arial"/>
                <w:sz w:val="24"/>
                <w:szCs w:val="24"/>
              </w:rPr>
              <w:t xml:space="preserve"> benefit</w:t>
            </w:r>
            <w:r w:rsidR="00044C88">
              <w:rPr>
                <w:rFonts w:ascii="Arial" w:hAnsi="Arial" w:cs="Arial"/>
                <w:sz w:val="24"/>
                <w:szCs w:val="24"/>
              </w:rPr>
              <w:t xml:space="preserve"> of</w:t>
            </w:r>
            <w:r w:rsidR="002B5739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044C88">
              <w:rPr>
                <w:rFonts w:ascii="Arial" w:hAnsi="Arial" w:cs="Arial"/>
                <w:sz w:val="24"/>
                <w:szCs w:val="24"/>
              </w:rPr>
              <w:t xml:space="preserve"> doubt to the respondent and acquitted him.</w:t>
            </w: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[10]     </w:t>
            </w:r>
            <w:r w:rsidR="00044C8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B5739">
              <w:rPr>
                <w:rFonts w:ascii="Arial" w:hAnsi="Arial" w:cs="Arial"/>
                <w:sz w:val="24"/>
                <w:szCs w:val="24"/>
              </w:rPr>
              <w:t>S</w:t>
            </w:r>
            <w:r w:rsidR="00044C88">
              <w:rPr>
                <w:rFonts w:ascii="Arial" w:hAnsi="Arial" w:cs="Arial"/>
                <w:sz w:val="24"/>
                <w:szCs w:val="24"/>
              </w:rPr>
              <w:t>tate seeks leave to appeal among other things</w:t>
            </w:r>
            <w:r w:rsidR="002B5739">
              <w:rPr>
                <w:rFonts w:ascii="Arial" w:hAnsi="Arial" w:cs="Arial"/>
                <w:sz w:val="24"/>
                <w:szCs w:val="24"/>
              </w:rPr>
              <w:t xml:space="preserve"> on the grounds</w:t>
            </w:r>
            <w:r w:rsidR="00044C88">
              <w:rPr>
                <w:rFonts w:ascii="Arial" w:hAnsi="Arial" w:cs="Arial"/>
                <w:sz w:val="24"/>
                <w:szCs w:val="24"/>
              </w:rPr>
              <w:t xml:space="preserve"> that the court a quo failed to give</w:t>
            </w:r>
            <w:r w:rsidR="00B73D6D">
              <w:rPr>
                <w:rFonts w:ascii="Arial" w:hAnsi="Arial" w:cs="Arial"/>
                <w:sz w:val="24"/>
                <w:szCs w:val="24"/>
              </w:rPr>
              <w:t xml:space="preserve"> due consideration </w:t>
            </w:r>
            <w:r w:rsidR="00204956">
              <w:rPr>
                <w:rFonts w:ascii="Arial" w:hAnsi="Arial" w:cs="Arial"/>
                <w:sz w:val="24"/>
                <w:szCs w:val="24"/>
              </w:rPr>
              <w:t xml:space="preserve">to the fact </w:t>
            </w:r>
            <w:r w:rsidR="00B73D6D">
              <w:rPr>
                <w:rFonts w:ascii="Arial" w:hAnsi="Arial" w:cs="Arial"/>
                <w:sz w:val="24"/>
                <w:szCs w:val="24"/>
              </w:rPr>
              <w:t>that the respondent was part of the assailants who approached the complainant and took away his property after they assaulted him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[11]     </w:t>
            </w:r>
            <w:r w:rsidR="00B73D6D">
              <w:rPr>
                <w:rFonts w:ascii="Arial" w:hAnsi="Arial" w:cs="Arial"/>
                <w:sz w:val="24"/>
                <w:szCs w:val="24"/>
              </w:rPr>
              <w:t xml:space="preserve">The court a quo failed to consider that it was not necessary for </w:t>
            </w:r>
            <w:r w:rsidR="002B5739">
              <w:rPr>
                <w:rFonts w:ascii="Arial" w:hAnsi="Arial" w:cs="Arial"/>
                <w:sz w:val="24"/>
                <w:szCs w:val="24"/>
              </w:rPr>
              <w:t>a finding of common purpose for the State</w:t>
            </w:r>
            <w:r w:rsidR="00B73D6D">
              <w:rPr>
                <w:rFonts w:ascii="Arial" w:hAnsi="Arial" w:cs="Arial"/>
                <w:sz w:val="24"/>
                <w:szCs w:val="24"/>
              </w:rPr>
              <w:t xml:space="preserve"> to prove that the respondent was the one physically</w:t>
            </w:r>
            <w:r w:rsidR="00E801AC">
              <w:rPr>
                <w:rFonts w:ascii="Arial" w:hAnsi="Arial" w:cs="Arial"/>
                <w:sz w:val="24"/>
                <w:szCs w:val="24"/>
              </w:rPr>
              <w:t xml:space="preserve"> removing the complainant’s cell phone and N$700 cash</w:t>
            </w:r>
            <w:r w:rsidR="007478FC">
              <w:rPr>
                <w:rFonts w:ascii="Arial" w:hAnsi="Arial" w:cs="Arial"/>
                <w:sz w:val="24"/>
                <w:szCs w:val="24"/>
              </w:rPr>
              <w:t>,</w:t>
            </w:r>
            <w:r w:rsidR="00E801AC">
              <w:rPr>
                <w:rFonts w:ascii="Arial" w:hAnsi="Arial" w:cs="Arial"/>
                <w:sz w:val="24"/>
                <w:szCs w:val="24"/>
              </w:rPr>
              <w:t xml:space="preserve"> as the applicant had proved that the respondent made common cause and associ</w:t>
            </w:r>
            <w:r w:rsidR="006163D9">
              <w:rPr>
                <w:rFonts w:ascii="Arial" w:hAnsi="Arial" w:cs="Arial"/>
                <w:sz w:val="24"/>
                <w:szCs w:val="24"/>
              </w:rPr>
              <w:t>ated himself with the group of assailants by leading the assault.</w:t>
            </w: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025406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[12]     </w:t>
            </w:r>
            <w:r w:rsidR="002B5739">
              <w:rPr>
                <w:rFonts w:ascii="Arial" w:hAnsi="Arial" w:cs="Arial"/>
                <w:sz w:val="24"/>
                <w:szCs w:val="24"/>
              </w:rPr>
              <w:t>The respondent o</w:t>
            </w:r>
            <w:r w:rsidR="006163D9">
              <w:rPr>
                <w:rFonts w:ascii="Arial" w:hAnsi="Arial" w:cs="Arial"/>
                <w:sz w:val="24"/>
                <w:szCs w:val="24"/>
              </w:rPr>
              <w:t>pposed the application on the grounds that he is innocent as he did not commit the offence. The complainant was unable to identify the real culprits</w:t>
            </w:r>
            <w:r w:rsidR="00176D74">
              <w:rPr>
                <w:rFonts w:ascii="Arial" w:hAnsi="Arial" w:cs="Arial"/>
                <w:sz w:val="24"/>
                <w:szCs w:val="24"/>
              </w:rPr>
              <w:t xml:space="preserve"> and he failed to adduce sufficient evidence to prove the case.</w:t>
            </w:r>
          </w:p>
          <w:p w:rsidR="005E187A" w:rsidRDefault="005E187A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D74" w:rsidRDefault="00176D74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[13]</w:t>
            </w:r>
            <w:r w:rsidR="005E187A">
              <w:rPr>
                <w:rFonts w:ascii="Arial" w:hAnsi="Arial" w:cs="Arial"/>
                <w:sz w:val="24"/>
                <w:szCs w:val="24"/>
              </w:rPr>
              <w:t xml:space="preserve">     The primary consideration for the court to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 decide whether to</w:t>
            </w:r>
            <w:r w:rsidR="005E187A">
              <w:rPr>
                <w:rFonts w:ascii="Arial" w:hAnsi="Arial" w:cs="Arial"/>
                <w:sz w:val="24"/>
                <w:szCs w:val="24"/>
              </w:rPr>
              <w:t xml:space="preserve"> grant </w:t>
            </w:r>
            <w:r w:rsidR="004848BF">
              <w:rPr>
                <w:rFonts w:ascii="Arial" w:hAnsi="Arial" w:cs="Arial"/>
                <w:sz w:val="24"/>
                <w:szCs w:val="24"/>
              </w:rPr>
              <w:t>leave to appeal</w:t>
            </w:r>
            <w:r w:rsidR="005E187A">
              <w:rPr>
                <w:rFonts w:ascii="Arial" w:hAnsi="Arial" w:cs="Arial"/>
                <w:sz w:val="24"/>
                <w:szCs w:val="24"/>
              </w:rPr>
              <w:t xml:space="preserve"> or not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 is whether the applicant has </w:t>
            </w:r>
            <w:r w:rsidR="005E187A">
              <w:rPr>
                <w:rFonts w:ascii="Arial" w:hAnsi="Arial" w:cs="Arial"/>
                <w:sz w:val="24"/>
                <w:szCs w:val="24"/>
              </w:rPr>
              <w:t>prospect</w:t>
            </w:r>
            <w:r w:rsidR="00A4304A">
              <w:rPr>
                <w:rFonts w:ascii="Arial" w:hAnsi="Arial" w:cs="Arial"/>
                <w:sz w:val="24"/>
                <w:szCs w:val="24"/>
              </w:rPr>
              <w:t>s</w:t>
            </w:r>
            <w:r w:rsidR="005E187A">
              <w:rPr>
                <w:rFonts w:ascii="Arial" w:hAnsi="Arial" w:cs="Arial"/>
                <w:sz w:val="24"/>
                <w:szCs w:val="24"/>
              </w:rPr>
              <w:t xml:space="preserve"> of success on appeal and whether another court may arrive at a different conclusion.</w:t>
            </w:r>
          </w:p>
          <w:p w:rsidR="005E187A" w:rsidRDefault="005E187A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D74" w:rsidRDefault="00176D74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[14]</w:t>
            </w:r>
            <w:r w:rsidR="005E187A">
              <w:rPr>
                <w:rFonts w:ascii="Arial" w:hAnsi="Arial" w:cs="Arial"/>
                <w:sz w:val="24"/>
                <w:szCs w:val="24"/>
              </w:rPr>
              <w:t xml:space="preserve">     Looking at the facts of the case</w:t>
            </w:r>
            <w:r w:rsidR="00A4304A">
              <w:rPr>
                <w:rFonts w:ascii="Arial" w:hAnsi="Arial" w:cs="Arial"/>
                <w:sz w:val="24"/>
                <w:szCs w:val="24"/>
              </w:rPr>
              <w:t>,</w:t>
            </w:r>
            <w:r w:rsidR="005E187A">
              <w:rPr>
                <w:rFonts w:ascii="Arial" w:hAnsi="Arial" w:cs="Arial"/>
                <w:sz w:val="24"/>
                <w:szCs w:val="24"/>
              </w:rPr>
              <w:t xml:space="preserve"> it appears the respondent acted in common purpose with others.</w:t>
            </w:r>
          </w:p>
          <w:p w:rsidR="005E187A" w:rsidRDefault="005E187A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D74" w:rsidRDefault="00176D74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[15]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    In </w:t>
            </w:r>
            <w:r w:rsidR="00A4304A" w:rsidRPr="00A4304A">
              <w:rPr>
                <w:rFonts w:ascii="Arial" w:hAnsi="Arial" w:cs="Arial"/>
                <w:i/>
                <w:sz w:val="24"/>
                <w:szCs w:val="24"/>
              </w:rPr>
              <w:t xml:space="preserve">S v Dias &amp; </w:t>
            </w:r>
            <w:r w:rsidR="003D6670">
              <w:rPr>
                <w:rFonts w:ascii="Arial" w:hAnsi="Arial" w:cs="Arial"/>
                <w:i/>
                <w:sz w:val="24"/>
                <w:szCs w:val="24"/>
              </w:rPr>
              <w:t>an</w:t>
            </w:r>
            <w:r w:rsidR="00A4304A" w:rsidRPr="00A4304A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5E187A" w:rsidRPr="00A4304A">
              <w:rPr>
                <w:rFonts w:ascii="Arial" w:hAnsi="Arial" w:cs="Arial"/>
                <w:i/>
                <w:sz w:val="24"/>
                <w:szCs w:val="24"/>
              </w:rPr>
              <w:t>ther</w:t>
            </w:r>
            <w:r w:rsidR="005E18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04A">
              <w:rPr>
                <w:rFonts w:ascii="Arial" w:hAnsi="Arial" w:cs="Arial"/>
                <w:sz w:val="24"/>
                <w:szCs w:val="24"/>
              </w:rPr>
              <w:t>(SA 53</w:t>
            </w:r>
            <w:r w:rsidR="006D0732">
              <w:rPr>
                <w:rFonts w:ascii="Arial" w:hAnsi="Arial" w:cs="Arial"/>
                <w:sz w:val="24"/>
                <w:szCs w:val="24"/>
              </w:rPr>
              <w:t xml:space="preserve"> [2021] NASC 16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670">
              <w:rPr>
                <w:rFonts w:ascii="Arial" w:hAnsi="Arial" w:cs="Arial"/>
                <w:sz w:val="24"/>
                <w:szCs w:val="24"/>
              </w:rPr>
              <w:t>(</w:t>
            </w:r>
            <w:r w:rsidR="00A4304A">
              <w:rPr>
                <w:rFonts w:ascii="Arial" w:hAnsi="Arial" w:cs="Arial"/>
                <w:sz w:val="24"/>
                <w:szCs w:val="24"/>
              </w:rPr>
              <w:t>13 April 2021</w:t>
            </w:r>
            <w:r w:rsidR="003D6670">
              <w:rPr>
                <w:rFonts w:ascii="Arial" w:hAnsi="Arial" w:cs="Arial"/>
                <w:sz w:val="24"/>
                <w:szCs w:val="24"/>
              </w:rPr>
              <w:t>) at para</w:t>
            </w:r>
            <w:r w:rsidR="007478FC">
              <w:rPr>
                <w:rFonts w:ascii="Arial" w:hAnsi="Arial" w:cs="Arial"/>
                <w:sz w:val="24"/>
                <w:szCs w:val="24"/>
              </w:rPr>
              <w:t>s</w:t>
            </w:r>
            <w:r w:rsidR="003D6670">
              <w:rPr>
                <w:rFonts w:ascii="Arial" w:hAnsi="Arial" w:cs="Arial"/>
                <w:sz w:val="24"/>
                <w:szCs w:val="24"/>
              </w:rPr>
              <w:t xml:space="preserve"> [121</w:t>
            </w:r>
            <w:r w:rsidR="00A41D55">
              <w:rPr>
                <w:rFonts w:ascii="Arial" w:hAnsi="Arial" w:cs="Arial"/>
                <w:sz w:val="24"/>
                <w:szCs w:val="24"/>
              </w:rPr>
              <w:t>]</w:t>
            </w:r>
            <w:r w:rsidR="007478F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A41D55">
              <w:rPr>
                <w:rFonts w:ascii="Arial" w:hAnsi="Arial" w:cs="Arial"/>
                <w:sz w:val="24"/>
                <w:szCs w:val="24"/>
              </w:rPr>
              <w:t>[</w:t>
            </w:r>
            <w:r w:rsidR="007478FC">
              <w:rPr>
                <w:rFonts w:ascii="Arial" w:hAnsi="Arial" w:cs="Arial"/>
                <w:sz w:val="24"/>
                <w:szCs w:val="24"/>
              </w:rPr>
              <w:t>122</w:t>
            </w:r>
            <w:r w:rsidR="003D6670">
              <w:rPr>
                <w:rFonts w:ascii="Arial" w:hAnsi="Arial" w:cs="Arial"/>
                <w:sz w:val="24"/>
                <w:szCs w:val="24"/>
              </w:rPr>
              <w:t>]</w:t>
            </w:r>
            <w:r w:rsidR="00A4304A">
              <w:rPr>
                <w:rFonts w:ascii="Arial" w:hAnsi="Arial" w:cs="Arial"/>
                <w:sz w:val="24"/>
                <w:szCs w:val="24"/>
              </w:rPr>
              <w:t>,</w:t>
            </w:r>
            <w:r w:rsidR="006D0732">
              <w:rPr>
                <w:rFonts w:ascii="Arial" w:hAnsi="Arial" w:cs="Arial"/>
                <w:sz w:val="24"/>
                <w:szCs w:val="24"/>
              </w:rPr>
              <w:t xml:space="preserve"> it was held that: </w:t>
            </w:r>
            <w:r w:rsidR="00A4304A">
              <w:rPr>
                <w:rFonts w:ascii="Arial" w:hAnsi="Arial" w:cs="Arial"/>
                <w:sz w:val="24"/>
                <w:szCs w:val="24"/>
              </w:rPr>
              <w:t>‘</w:t>
            </w:r>
            <w:r w:rsidR="006D0732">
              <w:rPr>
                <w:rFonts w:ascii="Arial" w:hAnsi="Arial" w:cs="Arial"/>
                <w:sz w:val="24"/>
                <w:szCs w:val="24"/>
              </w:rPr>
              <w:t xml:space="preserve">Common purpose is present when two or </w:t>
            </w:r>
            <w:r w:rsidR="00FE164E">
              <w:rPr>
                <w:rFonts w:ascii="Arial" w:hAnsi="Arial" w:cs="Arial"/>
                <w:sz w:val="24"/>
                <w:szCs w:val="24"/>
              </w:rPr>
              <w:t>more persons having a common purpose to commit a crime, act together in order to achieve that purpose, the conduct of each of them is imputed to the others.</w:t>
            </w:r>
            <w:r w:rsidR="00A41D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21D8">
              <w:rPr>
                <w:rFonts w:ascii="Arial" w:hAnsi="Arial" w:cs="Arial"/>
                <w:sz w:val="24"/>
                <w:szCs w:val="24"/>
              </w:rPr>
              <w:t>Proof of a c</w:t>
            </w:r>
            <w:r w:rsidR="00FE164E">
              <w:rPr>
                <w:rFonts w:ascii="Arial" w:hAnsi="Arial" w:cs="Arial"/>
                <w:sz w:val="24"/>
                <w:szCs w:val="24"/>
              </w:rPr>
              <w:t xml:space="preserve">ommon </w:t>
            </w:r>
            <w:r w:rsidR="00AB21D8">
              <w:rPr>
                <w:rFonts w:ascii="Arial" w:hAnsi="Arial" w:cs="Arial"/>
                <w:sz w:val="24"/>
                <w:szCs w:val="24"/>
              </w:rPr>
              <w:t>purpose is not dependent upon a</w:t>
            </w:r>
            <w:r w:rsidR="00FE164E">
              <w:rPr>
                <w:rFonts w:ascii="Arial" w:hAnsi="Arial" w:cs="Arial"/>
                <w:sz w:val="24"/>
                <w:szCs w:val="24"/>
              </w:rPr>
              <w:t xml:space="preserve"> prior agreement or conspiracy but may be inferred from the circumstances of the case where the evidence shows active association with the common purpose.</w:t>
            </w:r>
            <w:r w:rsidR="00A4304A">
              <w:rPr>
                <w:rFonts w:ascii="Arial" w:hAnsi="Arial" w:cs="Arial"/>
                <w:sz w:val="24"/>
                <w:szCs w:val="24"/>
              </w:rPr>
              <w:t>’</w:t>
            </w:r>
          </w:p>
          <w:p w:rsidR="00FE164E" w:rsidRDefault="00FE164E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D74" w:rsidRDefault="00176D74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[16]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     H</w:t>
            </w:r>
            <w:r w:rsidR="00FE164E">
              <w:rPr>
                <w:rFonts w:ascii="Arial" w:hAnsi="Arial" w:cs="Arial"/>
                <w:sz w:val="24"/>
                <w:szCs w:val="24"/>
              </w:rPr>
              <w:t xml:space="preserve">aving 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carefully </w:t>
            </w:r>
            <w:r w:rsidR="00FE164E">
              <w:rPr>
                <w:rFonts w:ascii="Arial" w:hAnsi="Arial" w:cs="Arial"/>
                <w:sz w:val="24"/>
                <w:szCs w:val="24"/>
              </w:rPr>
              <w:t>considered the evidence produced before the court a quo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 as well as the principles of the doctrine of common purpose,</w:t>
            </w:r>
            <w:r w:rsidR="00FE16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this court </w:t>
            </w:r>
            <w:r w:rsidR="00FE164E">
              <w:rPr>
                <w:rFonts w:ascii="Arial" w:hAnsi="Arial" w:cs="Arial"/>
                <w:sz w:val="24"/>
                <w:szCs w:val="24"/>
              </w:rPr>
              <w:t>is of the opinion that another court may arrive at a conclusion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 different from that of the court a quo. </w:t>
            </w:r>
            <w:r w:rsidR="00EE3ACE">
              <w:rPr>
                <w:rFonts w:ascii="Arial" w:hAnsi="Arial" w:cs="Arial"/>
                <w:sz w:val="24"/>
                <w:szCs w:val="24"/>
              </w:rPr>
              <w:t xml:space="preserve">The trial court appears to have misapplied the principles of common purpose to the facts of the case. 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41D55">
              <w:rPr>
                <w:rFonts w:ascii="Arial" w:hAnsi="Arial" w:cs="Arial"/>
                <w:sz w:val="24"/>
                <w:szCs w:val="24"/>
              </w:rPr>
              <w:t>applicant</w:t>
            </w:r>
            <w:r w:rsidR="00A4304A">
              <w:rPr>
                <w:rFonts w:ascii="Arial" w:hAnsi="Arial" w:cs="Arial"/>
                <w:sz w:val="24"/>
                <w:szCs w:val="24"/>
              </w:rPr>
              <w:t xml:space="preserve"> has shown that there are prospects of success </w:t>
            </w:r>
            <w:r w:rsidR="00EE3ACE">
              <w:rPr>
                <w:rFonts w:ascii="Arial" w:hAnsi="Arial" w:cs="Arial"/>
                <w:sz w:val="24"/>
                <w:szCs w:val="24"/>
              </w:rPr>
              <w:t>on appeal.</w:t>
            </w:r>
            <w:r w:rsidR="00AB21D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E164E" w:rsidRDefault="00FE164E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76D74" w:rsidRDefault="00176D74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[17]</w:t>
            </w:r>
            <w:r w:rsidR="00FE164E">
              <w:rPr>
                <w:rFonts w:ascii="Arial" w:hAnsi="Arial" w:cs="Arial"/>
                <w:sz w:val="24"/>
                <w:szCs w:val="24"/>
              </w:rPr>
              <w:t xml:space="preserve">     In the result</w:t>
            </w:r>
            <w:r w:rsidR="00EE3ACE">
              <w:rPr>
                <w:rFonts w:ascii="Arial" w:hAnsi="Arial" w:cs="Arial"/>
                <w:sz w:val="24"/>
                <w:szCs w:val="24"/>
              </w:rPr>
              <w:t>,</w:t>
            </w:r>
            <w:r w:rsidR="00FE164E">
              <w:rPr>
                <w:rFonts w:ascii="Arial" w:hAnsi="Arial" w:cs="Arial"/>
                <w:sz w:val="24"/>
                <w:szCs w:val="24"/>
              </w:rPr>
              <w:t xml:space="preserve"> the following order is made:</w:t>
            </w:r>
          </w:p>
          <w:p w:rsidR="009D0723" w:rsidRDefault="009D0723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5406" w:rsidRPr="00065B57" w:rsidRDefault="009D0723" w:rsidP="00C328E8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for leave to appeal</w:t>
            </w:r>
            <w:r w:rsidR="004848BF">
              <w:rPr>
                <w:rFonts w:ascii="Arial" w:hAnsi="Arial" w:cs="Arial"/>
                <w:sz w:val="24"/>
                <w:szCs w:val="24"/>
              </w:rPr>
              <w:t xml:space="preserve"> by the State</w:t>
            </w:r>
            <w:r>
              <w:rPr>
                <w:rFonts w:ascii="Arial" w:hAnsi="Arial" w:cs="Arial"/>
                <w:sz w:val="24"/>
                <w:szCs w:val="24"/>
              </w:rPr>
              <w:t xml:space="preserve"> against the acquittal of the respondent is granted.</w:t>
            </w:r>
          </w:p>
          <w:p w:rsidR="00025406" w:rsidRPr="00176D74" w:rsidRDefault="00025406" w:rsidP="00176D74">
            <w:pPr>
              <w:tabs>
                <w:tab w:val="left" w:pos="85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406" w:rsidRPr="00107392" w:rsidTr="00C328E8">
        <w:trPr>
          <w:gridBefore w:val="1"/>
          <w:gridAfter w:val="1"/>
          <w:wBefore w:w="14" w:type="dxa"/>
          <w:wAfter w:w="36" w:type="dxa"/>
        </w:trPr>
        <w:tc>
          <w:tcPr>
            <w:tcW w:w="4770" w:type="dxa"/>
          </w:tcPr>
          <w:p w:rsidR="00025406" w:rsidRDefault="00025406" w:rsidP="00C328E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25406" w:rsidRDefault="00025406" w:rsidP="00C328E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25406" w:rsidRPr="00107392" w:rsidRDefault="00025406" w:rsidP="00C328E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025406" w:rsidRPr="00107392" w:rsidRDefault="00025406" w:rsidP="00C328E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25406" w:rsidRPr="00107392" w:rsidRDefault="00025406" w:rsidP="00C328E8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25406" w:rsidRPr="00107392" w:rsidTr="00C328E8">
        <w:trPr>
          <w:gridBefore w:val="1"/>
          <w:gridAfter w:val="1"/>
          <w:wBefore w:w="14" w:type="dxa"/>
          <w:wAfter w:w="36" w:type="dxa"/>
          <w:trHeight w:val="854"/>
        </w:trPr>
        <w:tc>
          <w:tcPr>
            <w:tcW w:w="4770" w:type="dxa"/>
          </w:tcPr>
          <w:p w:rsidR="00025406" w:rsidRPr="00167392" w:rsidRDefault="00025406" w:rsidP="00C3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7392">
              <w:rPr>
                <w:rFonts w:ascii="Arial" w:hAnsi="Arial" w:cs="Arial"/>
                <w:b/>
                <w:sz w:val="24"/>
                <w:szCs w:val="24"/>
              </w:rPr>
              <w:t>SHIVUTE</w:t>
            </w:r>
          </w:p>
          <w:p w:rsidR="00025406" w:rsidRDefault="00025406" w:rsidP="00C3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392">
              <w:rPr>
                <w:rFonts w:ascii="Arial" w:hAnsi="Arial" w:cs="Arial"/>
                <w:b/>
                <w:sz w:val="24"/>
                <w:szCs w:val="24"/>
              </w:rPr>
              <w:t>Judge</w:t>
            </w:r>
          </w:p>
          <w:p w:rsidR="00025406" w:rsidRDefault="00025406" w:rsidP="00C328E8">
            <w:pPr>
              <w:spacing w:line="36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025406" w:rsidRPr="00107392" w:rsidRDefault="00025406" w:rsidP="00C328E8">
            <w:pPr>
              <w:spacing w:line="360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025406" w:rsidRPr="00107392" w:rsidRDefault="00025406" w:rsidP="00C328E8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5406" w:rsidRPr="006D39D6" w:rsidTr="00C328E8">
        <w:trPr>
          <w:trHeight w:val="512"/>
        </w:trPr>
        <w:tc>
          <w:tcPr>
            <w:tcW w:w="9770" w:type="dxa"/>
            <w:gridSpan w:val="5"/>
          </w:tcPr>
          <w:p w:rsidR="00025406" w:rsidRDefault="00025406" w:rsidP="00C3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9D6">
              <w:rPr>
                <w:rFonts w:ascii="Arial" w:hAnsi="Arial" w:cs="Arial"/>
                <w:b/>
                <w:sz w:val="24"/>
                <w:szCs w:val="24"/>
              </w:rPr>
              <w:t>Counsel:</w:t>
            </w:r>
          </w:p>
          <w:p w:rsidR="00025406" w:rsidRPr="006D39D6" w:rsidRDefault="00025406" w:rsidP="00C3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5406" w:rsidRPr="006D39D6" w:rsidTr="00C328E8">
        <w:trPr>
          <w:trHeight w:val="414"/>
        </w:trPr>
        <w:tc>
          <w:tcPr>
            <w:tcW w:w="4784" w:type="dxa"/>
            <w:gridSpan w:val="2"/>
          </w:tcPr>
          <w:p w:rsidR="00025406" w:rsidRDefault="00025406" w:rsidP="00C3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5406" w:rsidRDefault="00025406" w:rsidP="00C3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9D6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  <w:p w:rsidR="00025406" w:rsidRPr="006D39D6" w:rsidRDefault="00025406" w:rsidP="00C3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3"/>
          </w:tcPr>
          <w:p w:rsidR="00025406" w:rsidRDefault="00025406" w:rsidP="00C3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5406" w:rsidRPr="006D39D6" w:rsidRDefault="00025406" w:rsidP="00C3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9D6">
              <w:rPr>
                <w:rFonts w:ascii="Arial" w:hAnsi="Arial" w:cs="Arial"/>
                <w:b/>
                <w:sz w:val="24"/>
                <w:szCs w:val="24"/>
              </w:rPr>
              <w:t xml:space="preserve"> Respondent</w:t>
            </w:r>
          </w:p>
        </w:tc>
      </w:tr>
      <w:tr w:rsidR="00025406" w:rsidRPr="006D39D6" w:rsidTr="00C328E8">
        <w:trPr>
          <w:trHeight w:val="1695"/>
        </w:trPr>
        <w:tc>
          <w:tcPr>
            <w:tcW w:w="4784" w:type="dxa"/>
            <w:gridSpan w:val="2"/>
          </w:tcPr>
          <w:p w:rsidR="00025406" w:rsidRDefault="004E6946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  <w:r w:rsidR="009D07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0723">
              <w:rPr>
                <w:rFonts w:ascii="Arial" w:hAnsi="Arial" w:cs="Arial"/>
                <w:sz w:val="24"/>
                <w:szCs w:val="24"/>
              </w:rPr>
              <w:t>Ndlovu</w:t>
            </w:r>
            <w:proofErr w:type="spellEnd"/>
          </w:p>
          <w:p w:rsidR="00494844" w:rsidRDefault="00494844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</w:t>
            </w:r>
          </w:p>
          <w:p w:rsidR="004E7F0A" w:rsidRDefault="004E7F0A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of the Prosecutor General</w:t>
            </w:r>
          </w:p>
          <w:p w:rsidR="00494844" w:rsidRPr="008C0F96" w:rsidRDefault="00494844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Windhoek</w:t>
            </w:r>
          </w:p>
          <w:p w:rsidR="00025406" w:rsidRPr="006D39D6" w:rsidRDefault="00025406" w:rsidP="00C328E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  <w:gridSpan w:val="3"/>
          </w:tcPr>
          <w:p w:rsidR="00025406" w:rsidRDefault="004E6946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D0723">
              <w:rPr>
                <w:rFonts w:ascii="Arial" w:hAnsi="Arial" w:cs="Arial"/>
                <w:sz w:val="24"/>
                <w:szCs w:val="24"/>
              </w:rPr>
              <w:t xml:space="preserve"> Dreyer – In Person</w:t>
            </w:r>
          </w:p>
          <w:p w:rsidR="00494844" w:rsidRDefault="00494844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Respondent</w:t>
            </w:r>
          </w:p>
          <w:p w:rsidR="00494844" w:rsidRDefault="00271803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640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Location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Tse</w:t>
            </w:r>
            <w:r w:rsidR="00494844">
              <w:rPr>
                <w:rFonts w:ascii="Arial" w:hAnsi="Arial" w:cs="Arial"/>
                <w:sz w:val="24"/>
                <w:szCs w:val="24"/>
              </w:rPr>
              <w:t>blaagte</w:t>
            </w:r>
            <w:proofErr w:type="spellEnd"/>
          </w:p>
          <w:p w:rsidR="00494844" w:rsidRDefault="00494844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Keetmanshoop</w:t>
            </w:r>
            <w:proofErr w:type="spellEnd"/>
          </w:p>
          <w:p w:rsidR="00025406" w:rsidRPr="008C0F96" w:rsidRDefault="00025406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406" w:rsidRDefault="00025406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844" w:rsidRPr="006D39D6" w:rsidRDefault="00494844" w:rsidP="00C328E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406" w:rsidRDefault="00025406" w:rsidP="00025406"/>
    <w:sectPr w:rsidR="00025406" w:rsidSect="001F0914">
      <w:head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59" w:rsidRDefault="00432B59">
      <w:pPr>
        <w:spacing w:after="0" w:line="240" w:lineRule="auto"/>
      </w:pPr>
      <w:r>
        <w:separator/>
      </w:r>
    </w:p>
  </w:endnote>
  <w:endnote w:type="continuationSeparator" w:id="0">
    <w:p w:rsidR="00432B59" w:rsidRDefault="0043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59" w:rsidRDefault="00432B59">
      <w:pPr>
        <w:spacing w:after="0" w:line="240" w:lineRule="auto"/>
      </w:pPr>
      <w:r>
        <w:separator/>
      </w:r>
    </w:p>
  </w:footnote>
  <w:footnote w:type="continuationSeparator" w:id="0">
    <w:p w:rsidR="00432B59" w:rsidRDefault="0043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90693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1F0914" w:rsidRPr="00FE1AD0" w:rsidRDefault="00271803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FE1AD0">
          <w:rPr>
            <w:rFonts w:ascii="Arial" w:hAnsi="Arial" w:cs="Arial"/>
            <w:sz w:val="24"/>
            <w:szCs w:val="24"/>
          </w:rPr>
          <w:fldChar w:fldCharType="begin"/>
        </w:r>
        <w:r w:rsidRPr="00FE1AD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E1AD0">
          <w:rPr>
            <w:rFonts w:ascii="Arial" w:hAnsi="Arial" w:cs="Arial"/>
            <w:sz w:val="24"/>
            <w:szCs w:val="24"/>
          </w:rPr>
          <w:fldChar w:fldCharType="separate"/>
        </w:r>
        <w:r w:rsidR="00FF34E2">
          <w:rPr>
            <w:rFonts w:ascii="Arial" w:hAnsi="Arial" w:cs="Arial"/>
            <w:noProof/>
            <w:sz w:val="24"/>
            <w:szCs w:val="24"/>
          </w:rPr>
          <w:t>5</w:t>
        </w:r>
        <w:r w:rsidRPr="00FE1AD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52656" w:rsidRDefault="00432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99D"/>
    <w:multiLevelType w:val="hybridMultilevel"/>
    <w:tmpl w:val="02F82474"/>
    <w:lvl w:ilvl="0" w:tplc="F0AA63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06"/>
    <w:rsid w:val="000134D9"/>
    <w:rsid w:val="00025406"/>
    <w:rsid w:val="00044C88"/>
    <w:rsid w:val="00063945"/>
    <w:rsid w:val="00107F5A"/>
    <w:rsid w:val="0014067B"/>
    <w:rsid w:val="00176D74"/>
    <w:rsid w:val="00204956"/>
    <w:rsid w:val="00271803"/>
    <w:rsid w:val="002B5739"/>
    <w:rsid w:val="002E12E6"/>
    <w:rsid w:val="00316434"/>
    <w:rsid w:val="00361658"/>
    <w:rsid w:val="003A1B93"/>
    <w:rsid w:val="003D6670"/>
    <w:rsid w:val="00432B59"/>
    <w:rsid w:val="00473832"/>
    <w:rsid w:val="004848BF"/>
    <w:rsid w:val="0049097F"/>
    <w:rsid w:val="00494844"/>
    <w:rsid w:val="004E6946"/>
    <w:rsid w:val="004E7F0A"/>
    <w:rsid w:val="004F1C41"/>
    <w:rsid w:val="005826A0"/>
    <w:rsid w:val="005E187A"/>
    <w:rsid w:val="006041DE"/>
    <w:rsid w:val="006163D9"/>
    <w:rsid w:val="00654A2D"/>
    <w:rsid w:val="00665C06"/>
    <w:rsid w:val="006D0732"/>
    <w:rsid w:val="006F2AEE"/>
    <w:rsid w:val="007478FC"/>
    <w:rsid w:val="007E3483"/>
    <w:rsid w:val="0086226A"/>
    <w:rsid w:val="008A1BBA"/>
    <w:rsid w:val="008B21B5"/>
    <w:rsid w:val="008F3384"/>
    <w:rsid w:val="0090757C"/>
    <w:rsid w:val="00926477"/>
    <w:rsid w:val="009D0723"/>
    <w:rsid w:val="009F09BB"/>
    <w:rsid w:val="00A41D55"/>
    <w:rsid w:val="00A4304A"/>
    <w:rsid w:val="00A8093D"/>
    <w:rsid w:val="00AB21D8"/>
    <w:rsid w:val="00B51C42"/>
    <w:rsid w:val="00B561B3"/>
    <w:rsid w:val="00B73D6D"/>
    <w:rsid w:val="00B80326"/>
    <w:rsid w:val="00BE1C11"/>
    <w:rsid w:val="00D23956"/>
    <w:rsid w:val="00D5721B"/>
    <w:rsid w:val="00DC46DA"/>
    <w:rsid w:val="00DD6C12"/>
    <w:rsid w:val="00E45E2D"/>
    <w:rsid w:val="00E6559D"/>
    <w:rsid w:val="00E801AC"/>
    <w:rsid w:val="00E82F02"/>
    <w:rsid w:val="00EB5586"/>
    <w:rsid w:val="00EC1881"/>
    <w:rsid w:val="00EE3ACE"/>
    <w:rsid w:val="00FE164E"/>
    <w:rsid w:val="00FE1AD0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684B3-7824-4D3C-8167-07A3A0F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06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06"/>
  </w:style>
  <w:style w:type="paragraph" w:styleId="BalloonText">
    <w:name w:val="Balloon Text"/>
    <w:basedOn w:val="Normal"/>
    <w:link w:val="BalloonTextChar"/>
    <w:uiPriority w:val="99"/>
    <w:semiHidden/>
    <w:unhideWhenUsed/>
    <w:rsid w:val="00B5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B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2024</Year>
    <Judgment_x0020_Date xmlns="17a0f4bd-1162-49ac-b85f-dfe96a90bc01">2024-02-11T18:30:00+00:00</Judgment_x0020_Date>
  </documentManagement>
</p:properties>
</file>

<file path=customXml/itemProps1.xml><?xml version="1.0" encoding="utf-8"?>
<ds:datastoreItem xmlns:ds="http://schemas.openxmlformats.org/officeDocument/2006/customXml" ds:itemID="{E6A063A3-ADE4-49F8-B4F9-9605E62F85B6}"/>
</file>

<file path=customXml/itemProps2.xml><?xml version="1.0" encoding="utf-8"?>
<ds:datastoreItem xmlns:ds="http://schemas.openxmlformats.org/officeDocument/2006/customXml" ds:itemID="{478D5733-7DCC-43F2-AB1C-38CCAED1397C}"/>
</file>

<file path=customXml/itemProps3.xml><?xml version="1.0" encoding="utf-8"?>
<ds:datastoreItem xmlns:ds="http://schemas.openxmlformats.org/officeDocument/2006/customXml" ds:itemID="{6B298604-DFA8-4F4F-8B70-CDB7B2B28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Dreyer (HC-MD-CRI-APP-SLA-2022-00067) [2024] NAHCMD 43 (12 February 2024)</dc:title>
  <dc:subject/>
  <dc:creator>Victoria Sem</dc:creator>
  <cp:keywords/>
  <dc:description/>
  <cp:lastModifiedBy>Victoria Sem</cp:lastModifiedBy>
  <cp:revision>10</cp:revision>
  <cp:lastPrinted>2024-02-09T14:40:00Z</cp:lastPrinted>
  <dcterms:created xsi:type="dcterms:W3CDTF">2024-02-05T07:31:00Z</dcterms:created>
  <dcterms:modified xsi:type="dcterms:W3CDTF">2024-02-09T14:40:00Z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