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844" w:rsidRPr="006E026B" w:rsidRDefault="00B40844" w:rsidP="004358E2">
      <w:pPr>
        <w:spacing w:after="0" w:line="360" w:lineRule="auto"/>
        <w:jc w:val="center"/>
        <w:rPr>
          <w:rFonts w:ascii="Arial" w:hAnsi="Arial" w:cs="Arial"/>
          <w:b/>
          <w:sz w:val="24"/>
          <w:szCs w:val="24"/>
        </w:rPr>
      </w:pPr>
      <w:r w:rsidRPr="006E026B">
        <w:rPr>
          <w:rFonts w:ascii="Arial" w:hAnsi="Arial" w:cs="Arial"/>
          <w:b/>
          <w:sz w:val="24"/>
          <w:szCs w:val="24"/>
        </w:rPr>
        <w:t>REPUBLIC OF NAMIBIA</w:t>
      </w:r>
    </w:p>
    <w:p w:rsidR="00B40844" w:rsidRPr="00EA2DE2" w:rsidRDefault="00B40844" w:rsidP="00B40844">
      <w:pPr>
        <w:spacing w:after="0" w:line="360" w:lineRule="auto"/>
        <w:jc w:val="both"/>
        <w:rPr>
          <w:rFonts w:ascii="Arial Narrow" w:hAnsi="Arial Narrow"/>
          <w:sz w:val="10"/>
          <w:szCs w:val="10"/>
        </w:rPr>
      </w:pPr>
      <w:r>
        <w:rPr>
          <w:noProof/>
          <w:lang w:eastAsia="en-ZA"/>
        </w:rPr>
        <w:drawing>
          <wp:anchor distT="0" distB="0" distL="114300" distR="114300" simplePos="0" relativeHeight="251659264" behindDoc="0" locked="0" layoutInCell="1" allowOverlap="1" wp14:anchorId="51566B02" wp14:editId="7B53FF91">
            <wp:simplePos x="0" y="0"/>
            <wp:positionH relativeFrom="column">
              <wp:posOffset>2270760</wp:posOffset>
            </wp:positionH>
            <wp:positionV relativeFrom="paragraph">
              <wp:posOffset>54130</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D92">
        <w:rPr>
          <w:rFonts w:ascii="Arial Narrow" w:hAnsi="Arial Narrow"/>
          <w:b/>
          <w:sz w:val="32"/>
          <w:szCs w:val="32"/>
        </w:rPr>
        <w:br w:type="textWrapping" w:clear="all"/>
      </w:r>
    </w:p>
    <w:p w:rsidR="00B40844" w:rsidRPr="006E026B" w:rsidRDefault="00B40844" w:rsidP="00B40844">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206B05" w:rsidRPr="00346B7A" w:rsidRDefault="002E1151" w:rsidP="00206B05">
      <w:pPr>
        <w:spacing w:after="0" w:line="360" w:lineRule="auto"/>
        <w:jc w:val="center"/>
        <w:rPr>
          <w:rFonts w:ascii="Arial" w:hAnsi="Arial" w:cs="Arial"/>
          <w:b/>
          <w:sz w:val="24"/>
          <w:szCs w:val="24"/>
        </w:rPr>
      </w:pPr>
      <w:r>
        <w:rPr>
          <w:rFonts w:ascii="Arial" w:hAnsi="Arial" w:cs="Arial"/>
          <w:b/>
          <w:sz w:val="24"/>
          <w:szCs w:val="24"/>
          <w:lang w:val="en-US"/>
        </w:rPr>
        <w:t xml:space="preserve">RULING </w:t>
      </w:r>
    </w:p>
    <w:p w:rsidR="00705A2C" w:rsidRPr="00705A2C" w:rsidRDefault="002E1151" w:rsidP="00B40844">
      <w:pPr>
        <w:spacing w:after="0" w:line="360" w:lineRule="auto"/>
        <w:jc w:val="center"/>
        <w:rPr>
          <w:rFonts w:ascii="Arial" w:hAnsi="Arial" w:cs="Arial"/>
          <w:sz w:val="24"/>
          <w:szCs w:val="24"/>
        </w:rPr>
      </w:pPr>
      <w:r>
        <w:rPr>
          <w:rFonts w:ascii="Arial" w:hAnsi="Arial" w:cs="Arial"/>
          <w:sz w:val="24"/>
          <w:szCs w:val="24"/>
        </w:rPr>
        <w:t>(</w:t>
      </w:r>
      <w:r w:rsidR="00705A2C" w:rsidRPr="00705A2C">
        <w:rPr>
          <w:rFonts w:ascii="Arial" w:hAnsi="Arial" w:cs="Arial"/>
          <w:sz w:val="24"/>
          <w:szCs w:val="24"/>
        </w:rPr>
        <w:t>PRACTICE DIRECTION 61</w:t>
      </w:r>
      <w:r>
        <w:rPr>
          <w:rFonts w:ascii="Arial" w:hAnsi="Arial" w:cs="Arial"/>
          <w:sz w:val="24"/>
          <w:szCs w:val="24"/>
        </w:rPr>
        <w:t>)</w:t>
      </w:r>
    </w:p>
    <w:p w:rsidR="00B40844" w:rsidRPr="002E1151" w:rsidRDefault="00B40844" w:rsidP="00B40844">
      <w:pPr>
        <w:spacing w:after="0" w:line="360" w:lineRule="auto"/>
        <w:jc w:val="both"/>
        <w:rPr>
          <w:rFonts w:ascii="Arial" w:hAnsi="Arial" w:cs="Arial"/>
          <w:sz w:val="12"/>
          <w:szCs w:val="12"/>
        </w:rPr>
      </w:pPr>
    </w:p>
    <w:tbl>
      <w:tblPr>
        <w:tblStyle w:val="TableGrid"/>
        <w:tblW w:w="10632" w:type="dxa"/>
        <w:tblInd w:w="-714" w:type="dxa"/>
        <w:tblLook w:val="04A0" w:firstRow="1" w:lastRow="0" w:firstColumn="1" w:lastColumn="0" w:noHBand="0" w:noVBand="1"/>
      </w:tblPr>
      <w:tblGrid>
        <w:gridCol w:w="5209"/>
        <w:gridCol w:w="1737"/>
        <w:gridCol w:w="3686"/>
      </w:tblGrid>
      <w:tr w:rsidR="00CA7995" w:rsidRPr="00CA7995" w:rsidTr="00D928A1">
        <w:trPr>
          <w:trHeight w:val="2405"/>
        </w:trPr>
        <w:tc>
          <w:tcPr>
            <w:tcW w:w="6946" w:type="dxa"/>
            <w:gridSpan w:val="2"/>
            <w:vMerge w:val="restart"/>
          </w:tcPr>
          <w:p w:rsidR="00B40844" w:rsidRPr="00015DC1" w:rsidRDefault="00B40844" w:rsidP="00E251FB">
            <w:pPr>
              <w:spacing w:line="360" w:lineRule="auto"/>
              <w:jc w:val="both"/>
              <w:rPr>
                <w:rFonts w:ascii="Arial" w:hAnsi="Arial" w:cs="Arial"/>
                <w:sz w:val="24"/>
                <w:szCs w:val="24"/>
              </w:rPr>
            </w:pPr>
            <w:r w:rsidRPr="00015DC1">
              <w:rPr>
                <w:rFonts w:ascii="Arial" w:hAnsi="Arial" w:cs="Arial"/>
                <w:b/>
                <w:sz w:val="24"/>
                <w:szCs w:val="24"/>
              </w:rPr>
              <w:t>Case Title:</w:t>
            </w:r>
          </w:p>
          <w:p w:rsidR="00206B05" w:rsidRPr="003B0F1E" w:rsidRDefault="00206B05" w:rsidP="00E251FB">
            <w:pPr>
              <w:spacing w:line="360" w:lineRule="auto"/>
              <w:jc w:val="both"/>
              <w:rPr>
                <w:rFonts w:ascii="Arial" w:hAnsi="Arial" w:cs="Arial"/>
                <w:sz w:val="24"/>
                <w:szCs w:val="24"/>
                <w:shd w:val="clear" w:color="auto" w:fill="FFFFFF"/>
              </w:rPr>
            </w:pPr>
          </w:p>
          <w:p w:rsidR="00A363E2" w:rsidRPr="00A363E2" w:rsidRDefault="00A363E2" w:rsidP="00E251FB">
            <w:pPr>
              <w:spacing w:line="360" w:lineRule="auto"/>
              <w:jc w:val="both"/>
              <w:rPr>
                <w:rFonts w:ascii="Arial" w:hAnsi="Arial" w:cs="Arial"/>
                <w:sz w:val="24"/>
                <w:szCs w:val="24"/>
              </w:rPr>
            </w:pPr>
            <w:r w:rsidRPr="00A363E2">
              <w:rPr>
                <w:rFonts w:ascii="Arial" w:hAnsi="Arial" w:cs="Arial"/>
                <w:sz w:val="24"/>
                <w:szCs w:val="24"/>
              </w:rPr>
              <w:t>CHRISTINA ELIZABETH GROENEWALD</w:t>
            </w:r>
            <w:r w:rsidR="00E251FB">
              <w:rPr>
                <w:rFonts w:ascii="Arial" w:hAnsi="Arial" w:cs="Arial"/>
                <w:sz w:val="24"/>
                <w:szCs w:val="24"/>
              </w:rPr>
              <w:tab/>
              <w:t xml:space="preserve"> </w:t>
            </w:r>
            <w:r w:rsidR="00A92458">
              <w:rPr>
                <w:rFonts w:ascii="Arial" w:hAnsi="Arial" w:cs="Arial"/>
                <w:sz w:val="24"/>
                <w:szCs w:val="24"/>
              </w:rPr>
              <w:t xml:space="preserve">    </w:t>
            </w:r>
            <w:r w:rsidRPr="00A363E2">
              <w:rPr>
                <w:rFonts w:ascii="Arial" w:hAnsi="Arial" w:cs="Arial"/>
                <w:sz w:val="24"/>
                <w:szCs w:val="24"/>
              </w:rPr>
              <w:t>APPLICANT</w:t>
            </w:r>
          </w:p>
          <w:p w:rsidR="00E251FB" w:rsidRPr="00787F9E" w:rsidRDefault="00E251FB" w:rsidP="00E251FB">
            <w:pPr>
              <w:spacing w:line="360" w:lineRule="auto"/>
              <w:jc w:val="both"/>
              <w:rPr>
                <w:rFonts w:ascii="Arial" w:hAnsi="Arial" w:cs="Arial"/>
                <w:sz w:val="20"/>
                <w:szCs w:val="20"/>
              </w:rPr>
            </w:pPr>
          </w:p>
          <w:p w:rsidR="00A363E2" w:rsidRDefault="00E251FB" w:rsidP="00E251FB">
            <w:pPr>
              <w:spacing w:line="360" w:lineRule="auto"/>
              <w:jc w:val="both"/>
              <w:rPr>
                <w:rFonts w:ascii="Arial" w:hAnsi="Arial" w:cs="Arial"/>
                <w:sz w:val="24"/>
                <w:szCs w:val="24"/>
              </w:rPr>
            </w:pPr>
            <w:r>
              <w:rPr>
                <w:rFonts w:ascii="Arial" w:hAnsi="Arial" w:cs="Arial"/>
                <w:sz w:val="24"/>
                <w:szCs w:val="24"/>
              </w:rPr>
              <w:t>a</w:t>
            </w:r>
            <w:r w:rsidR="00A363E2" w:rsidRPr="00A363E2">
              <w:rPr>
                <w:rFonts w:ascii="Arial" w:hAnsi="Arial" w:cs="Arial"/>
                <w:sz w:val="24"/>
                <w:szCs w:val="24"/>
              </w:rPr>
              <w:t>nd</w:t>
            </w:r>
          </w:p>
          <w:p w:rsidR="00E251FB" w:rsidRPr="00787F9E" w:rsidRDefault="00E251FB" w:rsidP="00E251FB">
            <w:pPr>
              <w:spacing w:line="360" w:lineRule="auto"/>
              <w:jc w:val="both"/>
              <w:rPr>
                <w:rFonts w:ascii="Arial" w:hAnsi="Arial" w:cs="Arial"/>
                <w:sz w:val="20"/>
                <w:szCs w:val="20"/>
              </w:rPr>
            </w:pPr>
          </w:p>
          <w:p w:rsidR="00A363E2" w:rsidRPr="00A363E2" w:rsidRDefault="00A363E2" w:rsidP="00E251FB">
            <w:pPr>
              <w:spacing w:line="360" w:lineRule="auto"/>
              <w:jc w:val="both"/>
              <w:rPr>
                <w:rFonts w:ascii="Arial" w:hAnsi="Arial" w:cs="Arial"/>
                <w:sz w:val="24"/>
                <w:szCs w:val="24"/>
              </w:rPr>
            </w:pPr>
            <w:r>
              <w:rPr>
                <w:rFonts w:ascii="Arial" w:hAnsi="Arial" w:cs="Arial"/>
                <w:sz w:val="24"/>
                <w:szCs w:val="24"/>
              </w:rPr>
              <w:t>JOHANNES CHRISTIAN KOTZE</w:t>
            </w:r>
            <w:r w:rsidR="00A92458">
              <w:rPr>
                <w:rFonts w:ascii="Arial" w:hAnsi="Arial" w:cs="Arial"/>
                <w:sz w:val="24"/>
                <w:szCs w:val="24"/>
              </w:rPr>
              <w:tab/>
            </w:r>
            <w:r w:rsidR="00E251FB">
              <w:rPr>
                <w:rFonts w:ascii="Arial" w:hAnsi="Arial" w:cs="Arial"/>
                <w:sz w:val="24"/>
                <w:szCs w:val="24"/>
              </w:rPr>
              <w:tab/>
            </w:r>
            <w:r w:rsidR="00A92458">
              <w:rPr>
                <w:rFonts w:ascii="Arial" w:hAnsi="Arial" w:cs="Arial"/>
                <w:sz w:val="24"/>
                <w:szCs w:val="24"/>
              </w:rPr>
              <w:t xml:space="preserve">      </w:t>
            </w:r>
            <w:r>
              <w:rPr>
                <w:rFonts w:ascii="Arial" w:hAnsi="Arial" w:cs="Arial"/>
                <w:sz w:val="24"/>
                <w:szCs w:val="24"/>
              </w:rPr>
              <w:t>1</w:t>
            </w:r>
            <w:r>
              <w:rPr>
                <w:rFonts w:ascii="Arial" w:hAnsi="Arial" w:cs="Arial"/>
                <w:sz w:val="24"/>
                <w:szCs w:val="24"/>
                <w:vertAlign w:val="superscript"/>
              </w:rPr>
              <w:t>st</w:t>
            </w:r>
            <w:r w:rsidRPr="00A363E2">
              <w:rPr>
                <w:rFonts w:ascii="Arial" w:hAnsi="Arial" w:cs="Arial"/>
                <w:sz w:val="24"/>
                <w:szCs w:val="24"/>
              </w:rPr>
              <w:t xml:space="preserve"> RESPONDENT</w:t>
            </w:r>
          </w:p>
          <w:p w:rsidR="00A363E2" w:rsidRPr="00A363E2" w:rsidRDefault="00A363E2" w:rsidP="00E251FB">
            <w:pPr>
              <w:spacing w:line="360" w:lineRule="auto"/>
              <w:jc w:val="both"/>
              <w:rPr>
                <w:rFonts w:ascii="Arial" w:hAnsi="Arial" w:cs="Arial"/>
                <w:sz w:val="24"/>
                <w:szCs w:val="24"/>
              </w:rPr>
            </w:pPr>
            <w:r w:rsidRPr="00A363E2">
              <w:rPr>
                <w:rFonts w:ascii="Arial" w:hAnsi="Arial" w:cs="Arial"/>
                <w:sz w:val="24"/>
                <w:szCs w:val="24"/>
              </w:rPr>
              <w:t>STA</w:t>
            </w:r>
            <w:r>
              <w:rPr>
                <w:rFonts w:ascii="Arial" w:hAnsi="Arial" w:cs="Arial"/>
                <w:sz w:val="24"/>
                <w:szCs w:val="24"/>
              </w:rPr>
              <w:t xml:space="preserve">NDARD BANK OF NAMIBIA LIMITED </w:t>
            </w:r>
            <w:r w:rsidR="00A92458">
              <w:rPr>
                <w:rFonts w:ascii="Arial" w:hAnsi="Arial" w:cs="Arial"/>
                <w:sz w:val="24"/>
                <w:szCs w:val="24"/>
              </w:rPr>
              <w:t xml:space="preserve"> </w:t>
            </w:r>
            <w:r>
              <w:rPr>
                <w:rFonts w:ascii="Arial" w:hAnsi="Arial" w:cs="Arial"/>
                <w:sz w:val="24"/>
                <w:szCs w:val="24"/>
              </w:rPr>
              <w:t>2</w:t>
            </w:r>
            <w:r w:rsidRPr="00A363E2">
              <w:rPr>
                <w:rFonts w:ascii="Arial" w:hAnsi="Arial" w:cs="Arial"/>
                <w:sz w:val="24"/>
                <w:szCs w:val="24"/>
                <w:vertAlign w:val="superscript"/>
              </w:rPr>
              <w:t>nd</w:t>
            </w:r>
            <w:r w:rsidRPr="00A363E2">
              <w:rPr>
                <w:rFonts w:ascii="Arial" w:hAnsi="Arial" w:cs="Arial"/>
                <w:sz w:val="24"/>
                <w:szCs w:val="24"/>
              </w:rPr>
              <w:t xml:space="preserve"> RESPONDENT</w:t>
            </w:r>
          </w:p>
          <w:p w:rsidR="00A363E2" w:rsidRPr="00A363E2" w:rsidRDefault="00A363E2" w:rsidP="00E251FB">
            <w:pPr>
              <w:spacing w:line="360" w:lineRule="auto"/>
              <w:jc w:val="both"/>
              <w:rPr>
                <w:rFonts w:ascii="Arial" w:hAnsi="Arial" w:cs="Arial"/>
                <w:sz w:val="24"/>
                <w:szCs w:val="24"/>
              </w:rPr>
            </w:pPr>
            <w:r>
              <w:rPr>
                <w:rFonts w:ascii="Arial" w:hAnsi="Arial" w:cs="Arial"/>
                <w:sz w:val="24"/>
                <w:szCs w:val="24"/>
              </w:rPr>
              <w:t xml:space="preserve">DEPUTY SHERIFF OUTJO </w:t>
            </w:r>
            <w:r w:rsidR="00A92458">
              <w:rPr>
                <w:rFonts w:ascii="Arial" w:hAnsi="Arial" w:cs="Arial"/>
                <w:sz w:val="24"/>
                <w:szCs w:val="24"/>
              </w:rPr>
              <w:t xml:space="preserve">                         </w:t>
            </w:r>
            <w:r>
              <w:rPr>
                <w:rFonts w:ascii="Arial" w:hAnsi="Arial" w:cs="Arial"/>
                <w:sz w:val="24"/>
                <w:szCs w:val="24"/>
              </w:rPr>
              <w:t>3</w:t>
            </w:r>
            <w:r w:rsidRPr="00A363E2">
              <w:rPr>
                <w:rFonts w:ascii="Arial" w:hAnsi="Arial" w:cs="Arial"/>
                <w:sz w:val="24"/>
                <w:szCs w:val="24"/>
                <w:vertAlign w:val="superscript"/>
              </w:rPr>
              <w:t>rd</w:t>
            </w:r>
            <w:r>
              <w:rPr>
                <w:rFonts w:ascii="Arial" w:hAnsi="Arial" w:cs="Arial"/>
                <w:sz w:val="24"/>
                <w:szCs w:val="24"/>
              </w:rPr>
              <w:t xml:space="preserve"> </w:t>
            </w:r>
            <w:r w:rsidRPr="00A363E2">
              <w:rPr>
                <w:rFonts w:ascii="Arial" w:hAnsi="Arial" w:cs="Arial"/>
                <w:sz w:val="24"/>
                <w:szCs w:val="24"/>
              </w:rPr>
              <w:t>RESPONDENT</w:t>
            </w:r>
          </w:p>
          <w:p w:rsidR="00A363E2" w:rsidRPr="00A363E2" w:rsidRDefault="00A363E2" w:rsidP="00E251FB">
            <w:pPr>
              <w:spacing w:line="360" w:lineRule="auto"/>
              <w:jc w:val="both"/>
              <w:rPr>
                <w:rFonts w:ascii="Arial" w:hAnsi="Arial" w:cs="Arial"/>
                <w:sz w:val="24"/>
                <w:szCs w:val="24"/>
              </w:rPr>
            </w:pPr>
            <w:r w:rsidRPr="00A363E2">
              <w:rPr>
                <w:rFonts w:ascii="Arial" w:hAnsi="Arial" w:cs="Arial"/>
                <w:sz w:val="24"/>
                <w:szCs w:val="24"/>
              </w:rPr>
              <w:t>D</w:t>
            </w:r>
            <w:r>
              <w:rPr>
                <w:rFonts w:ascii="Arial" w:hAnsi="Arial" w:cs="Arial"/>
                <w:sz w:val="24"/>
                <w:szCs w:val="24"/>
              </w:rPr>
              <w:t xml:space="preserve">R WEDER, KAUTA AND HOVEKA INC </w:t>
            </w:r>
            <w:r w:rsidR="00A92458">
              <w:rPr>
                <w:rFonts w:ascii="Arial" w:hAnsi="Arial" w:cs="Arial"/>
                <w:sz w:val="24"/>
                <w:szCs w:val="24"/>
              </w:rPr>
              <w:t xml:space="preserve">    </w:t>
            </w:r>
            <w:r>
              <w:rPr>
                <w:rFonts w:ascii="Arial" w:hAnsi="Arial" w:cs="Arial"/>
                <w:sz w:val="24"/>
                <w:szCs w:val="24"/>
              </w:rPr>
              <w:t>4</w:t>
            </w:r>
            <w:r w:rsidRPr="00A363E2">
              <w:rPr>
                <w:rFonts w:ascii="Arial" w:hAnsi="Arial" w:cs="Arial"/>
                <w:sz w:val="24"/>
                <w:szCs w:val="24"/>
                <w:vertAlign w:val="superscript"/>
              </w:rPr>
              <w:t>th</w:t>
            </w:r>
            <w:r w:rsidRPr="00A363E2">
              <w:rPr>
                <w:rFonts w:ascii="Arial" w:hAnsi="Arial" w:cs="Arial"/>
                <w:sz w:val="24"/>
                <w:szCs w:val="24"/>
              </w:rPr>
              <w:t xml:space="preserve"> RESPONDENT</w:t>
            </w:r>
          </w:p>
          <w:p w:rsidR="00A363E2" w:rsidRPr="00A363E2" w:rsidRDefault="00A363E2" w:rsidP="00E251FB">
            <w:pPr>
              <w:spacing w:line="360" w:lineRule="auto"/>
              <w:jc w:val="both"/>
              <w:rPr>
                <w:rFonts w:ascii="Arial" w:hAnsi="Arial" w:cs="Arial"/>
                <w:sz w:val="24"/>
                <w:szCs w:val="24"/>
              </w:rPr>
            </w:pPr>
            <w:r w:rsidRPr="00A363E2">
              <w:rPr>
                <w:rFonts w:ascii="Arial" w:hAnsi="Arial" w:cs="Arial"/>
                <w:sz w:val="24"/>
                <w:szCs w:val="24"/>
              </w:rPr>
              <w:t>THE MAS</w:t>
            </w:r>
            <w:r>
              <w:rPr>
                <w:rFonts w:ascii="Arial" w:hAnsi="Arial" w:cs="Arial"/>
                <w:sz w:val="24"/>
                <w:szCs w:val="24"/>
              </w:rPr>
              <w:t>TER OF THE HIGH</w:t>
            </w:r>
            <w:r w:rsidR="00E251FB">
              <w:rPr>
                <w:rFonts w:ascii="Arial" w:hAnsi="Arial" w:cs="Arial"/>
                <w:sz w:val="24"/>
                <w:szCs w:val="24"/>
              </w:rPr>
              <w:t xml:space="preserve"> COURT</w:t>
            </w:r>
            <w:r w:rsidR="00A92458">
              <w:rPr>
                <w:rFonts w:ascii="Arial" w:hAnsi="Arial" w:cs="Arial"/>
                <w:sz w:val="24"/>
                <w:szCs w:val="24"/>
              </w:rPr>
              <w:tab/>
            </w:r>
            <w:r w:rsidR="00A92458">
              <w:rPr>
                <w:rFonts w:ascii="Arial" w:hAnsi="Arial" w:cs="Arial"/>
                <w:sz w:val="24"/>
                <w:szCs w:val="24"/>
              </w:rPr>
              <w:tab/>
            </w:r>
            <w:r w:rsidR="00A92458">
              <w:rPr>
                <w:rFonts w:ascii="Arial" w:hAnsi="Arial" w:cs="Arial"/>
                <w:sz w:val="24"/>
                <w:szCs w:val="24"/>
              </w:rPr>
              <w:tab/>
              <w:t xml:space="preserve">   </w:t>
            </w:r>
            <w:r>
              <w:rPr>
                <w:rFonts w:ascii="Arial" w:hAnsi="Arial" w:cs="Arial"/>
                <w:sz w:val="24"/>
                <w:szCs w:val="24"/>
              </w:rPr>
              <w:t>NAMIBIA</w:t>
            </w:r>
            <w:r w:rsidR="00A92458">
              <w:rPr>
                <w:rFonts w:ascii="Arial" w:hAnsi="Arial" w:cs="Arial"/>
                <w:sz w:val="24"/>
                <w:szCs w:val="24"/>
              </w:rPr>
              <w:tab/>
            </w:r>
            <w:r w:rsidR="00A92458">
              <w:rPr>
                <w:rFonts w:ascii="Arial" w:hAnsi="Arial" w:cs="Arial"/>
                <w:sz w:val="24"/>
                <w:szCs w:val="24"/>
              </w:rPr>
              <w:tab/>
            </w:r>
            <w:r w:rsidR="00A92458">
              <w:rPr>
                <w:rFonts w:ascii="Arial" w:hAnsi="Arial" w:cs="Arial"/>
                <w:sz w:val="24"/>
                <w:szCs w:val="24"/>
              </w:rPr>
              <w:tab/>
            </w:r>
            <w:r w:rsidR="00D928A1">
              <w:rPr>
                <w:rFonts w:ascii="Arial" w:hAnsi="Arial" w:cs="Arial"/>
                <w:sz w:val="24"/>
                <w:szCs w:val="24"/>
              </w:rPr>
              <w:tab/>
            </w:r>
            <w:r w:rsidR="00A92458">
              <w:rPr>
                <w:rFonts w:ascii="Arial" w:hAnsi="Arial" w:cs="Arial"/>
                <w:sz w:val="24"/>
                <w:szCs w:val="24"/>
              </w:rPr>
              <w:tab/>
              <w:t xml:space="preserve">    </w:t>
            </w:r>
            <w:r w:rsidR="00E00DA5">
              <w:rPr>
                <w:rFonts w:ascii="Arial" w:hAnsi="Arial" w:cs="Arial"/>
                <w:sz w:val="24"/>
                <w:szCs w:val="24"/>
              </w:rPr>
              <w:t xml:space="preserve"> </w:t>
            </w:r>
            <w:r w:rsidR="00A92458">
              <w:rPr>
                <w:rFonts w:ascii="Arial" w:hAnsi="Arial" w:cs="Arial"/>
                <w:sz w:val="24"/>
                <w:szCs w:val="24"/>
              </w:rPr>
              <w:t xml:space="preserve"> </w:t>
            </w:r>
            <w:r>
              <w:rPr>
                <w:rFonts w:ascii="Arial" w:hAnsi="Arial" w:cs="Arial"/>
                <w:sz w:val="24"/>
                <w:szCs w:val="24"/>
              </w:rPr>
              <w:t>5</w:t>
            </w:r>
            <w:r w:rsidRPr="00A363E2">
              <w:rPr>
                <w:rFonts w:ascii="Arial" w:hAnsi="Arial" w:cs="Arial"/>
                <w:sz w:val="24"/>
                <w:szCs w:val="24"/>
                <w:vertAlign w:val="superscript"/>
              </w:rPr>
              <w:t>th</w:t>
            </w:r>
            <w:r w:rsidR="00E00DA5">
              <w:rPr>
                <w:rFonts w:ascii="Arial" w:hAnsi="Arial" w:cs="Arial"/>
                <w:sz w:val="24"/>
                <w:szCs w:val="24"/>
              </w:rPr>
              <w:t xml:space="preserve"> </w:t>
            </w:r>
            <w:r w:rsidRPr="00A363E2">
              <w:rPr>
                <w:rFonts w:ascii="Arial" w:hAnsi="Arial" w:cs="Arial"/>
                <w:sz w:val="24"/>
                <w:szCs w:val="24"/>
              </w:rPr>
              <w:t>RESPONDENT</w:t>
            </w:r>
          </w:p>
          <w:p w:rsidR="00206B05" w:rsidRPr="00206B05" w:rsidRDefault="00A363E2" w:rsidP="00E251FB">
            <w:pPr>
              <w:spacing w:line="360" w:lineRule="auto"/>
              <w:jc w:val="both"/>
              <w:rPr>
                <w:rFonts w:ascii="Arial" w:hAnsi="Arial" w:cs="Arial"/>
                <w:sz w:val="24"/>
                <w:szCs w:val="24"/>
              </w:rPr>
            </w:pPr>
            <w:r>
              <w:rPr>
                <w:rFonts w:ascii="Arial" w:hAnsi="Arial" w:cs="Arial"/>
                <w:sz w:val="24"/>
                <w:szCs w:val="24"/>
              </w:rPr>
              <w:t>REGISTRAR OF DEEDS</w:t>
            </w:r>
            <w:r>
              <w:rPr>
                <w:rFonts w:ascii="Arial" w:hAnsi="Arial" w:cs="Arial"/>
                <w:sz w:val="24"/>
                <w:szCs w:val="24"/>
              </w:rPr>
              <w:tab/>
            </w:r>
            <w:r>
              <w:rPr>
                <w:rFonts w:ascii="Arial" w:hAnsi="Arial" w:cs="Arial"/>
                <w:sz w:val="24"/>
                <w:szCs w:val="24"/>
              </w:rPr>
              <w:tab/>
            </w:r>
            <w:r>
              <w:rPr>
                <w:rFonts w:ascii="Arial" w:hAnsi="Arial" w:cs="Arial"/>
                <w:sz w:val="24"/>
                <w:szCs w:val="24"/>
              </w:rPr>
              <w:tab/>
            </w:r>
            <w:r w:rsidR="00A92458">
              <w:rPr>
                <w:rFonts w:ascii="Arial" w:hAnsi="Arial" w:cs="Arial"/>
                <w:sz w:val="24"/>
                <w:szCs w:val="24"/>
              </w:rPr>
              <w:t xml:space="preserve">      </w:t>
            </w:r>
            <w:r>
              <w:rPr>
                <w:rFonts w:ascii="Arial" w:hAnsi="Arial" w:cs="Arial"/>
                <w:sz w:val="24"/>
                <w:szCs w:val="24"/>
              </w:rPr>
              <w:t>6</w:t>
            </w:r>
            <w:r w:rsidRPr="00A363E2">
              <w:rPr>
                <w:rFonts w:ascii="Arial" w:hAnsi="Arial" w:cs="Arial"/>
                <w:sz w:val="24"/>
                <w:szCs w:val="24"/>
                <w:vertAlign w:val="superscript"/>
              </w:rPr>
              <w:t>th</w:t>
            </w:r>
            <w:r>
              <w:rPr>
                <w:rFonts w:ascii="Arial" w:hAnsi="Arial" w:cs="Arial"/>
                <w:sz w:val="24"/>
                <w:szCs w:val="24"/>
              </w:rPr>
              <w:t xml:space="preserve"> RESPONDENT</w:t>
            </w:r>
          </w:p>
        </w:tc>
        <w:tc>
          <w:tcPr>
            <w:tcW w:w="3686" w:type="dxa"/>
          </w:tcPr>
          <w:p w:rsidR="00B40844" w:rsidRPr="00015DC1" w:rsidRDefault="00B40844" w:rsidP="00937C89">
            <w:pPr>
              <w:spacing w:line="360" w:lineRule="auto"/>
              <w:jc w:val="both"/>
              <w:rPr>
                <w:rFonts w:ascii="Arial" w:hAnsi="Arial" w:cs="Arial"/>
                <w:b/>
                <w:sz w:val="24"/>
                <w:szCs w:val="24"/>
              </w:rPr>
            </w:pPr>
            <w:r w:rsidRPr="00015DC1">
              <w:rPr>
                <w:rFonts w:ascii="Arial" w:hAnsi="Arial" w:cs="Arial"/>
                <w:b/>
                <w:sz w:val="24"/>
                <w:szCs w:val="24"/>
              </w:rPr>
              <w:t>Case No:</w:t>
            </w:r>
          </w:p>
          <w:p w:rsidR="00B40844" w:rsidRPr="003B0F1E" w:rsidRDefault="003B0F1E" w:rsidP="0084759E">
            <w:pPr>
              <w:spacing w:line="360" w:lineRule="auto"/>
              <w:jc w:val="both"/>
              <w:rPr>
                <w:rFonts w:ascii="Arial" w:hAnsi="Arial" w:cs="Arial"/>
                <w:sz w:val="24"/>
                <w:szCs w:val="24"/>
                <w:shd w:val="clear" w:color="auto" w:fill="FFFFFF"/>
              </w:rPr>
            </w:pPr>
            <w:r w:rsidRPr="003B0F1E">
              <w:rPr>
                <w:rFonts w:ascii="Arial" w:hAnsi="Arial" w:cs="Arial"/>
                <w:sz w:val="24"/>
                <w:szCs w:val="24"/>
              </w:rPr>
              <w:t>HC-MD-CIV-MOT-GEN-</w:t>
            </w:r>
            <w:r w:rsidR="0084759E">
              <w:rPr>
                <w:rFonts w:ascii="Arial" w:hAnsi="Arial" w:cs="Arial"/>
                <w:sz w:val="24"/>
                <w:szCs w:val="24"/>
              </w:rPr>
              <w:t>2023/00170</w:t>
            </w:r>
          </w:p>
        </w:tc>
      </w:tr>
      <w:tr w:rsidR="00CA7995" w:rsidRPr="00CA7995" w:rsidTr="005D0C34">
        <w:trPr>
          <w:trHeight w:val="968"/>
        </w:trPr>
        <w:tc>
          <w:tcPr>
            <w:tcW w:w="6946" w:type="dxa"/>
            <w:gridSpan w:val="2"/>
            <w:vMerge/>
          </w:tcPr>
          <w:p w:rsidR="00B40844" w:rsidRPr="00015DC1" w:rsidRDefault="00B40844" w:rsidP="00937C89">
            <w:pPr>
              <w:spacing w:line="360" w:lineRule="auto"/>
              <w:jc w:val="both"/>
              <w:rPr>
                <w:rFonts w:ascii="Arial" w:hAnsi="Arial" w:cs="Arial"/>
                <w:sz w:val="24"/>
                <w:szCs w:val="24"/>
              </w:rPr>
            </w:pPr>
          </w:p>
        </w:tc>
        <w:tc>
          <w:tcPr>
            <w:tcW w:w="3686" w:type="dxa"/>
          </w:tcPr>
          <w:p w:rsidR="00B40844" w:rsidRPr="00015DC1" w:rsidRDefault="00B40844" w:rsidP="00937C89">
            <w:pPr>
              <w:spacing w:line="360" w:lineRule="auto"/>
              <w:jc w:val="both"/>
              <w:rPr>
                <w:rFonts w:ascii="Arial" w:hAnsi="Arial" w:cs="Arial"/>
                <w:sz w:val="24"/>
                <w:szCs w:val="24"/>
              </w:rPr>
            </w:pPr>
            <w:r w:rsidRPr="00015DC1">
              <w:rPr>
                <w:rFonts w:ascii="Arial" w:hAnsi="Arial" w:cs="Arial"/>
                <w:b/>
                <w:sz w:val="24"/>
                <w:szCs w:val="24"/>
              </w:rPr>
              <w:t>Division of Court:</w:t>
            </w:r>
          </w:p>
          <w:p w:rsidR="00B40844" w:rsidRPr="00015DC1" w:rsidRDefault="00B40844" w:rsidP="00937C89">
            <w:pPr>
              <w:spacing w:line="360" w:lineRule="auto"/>
              <w:jc w:val="both"/>
              <w:rPr>
                <w:rFonts w:ascii="Arial" w:hAnsi="Arial" w:cs="Arial"/>
                <w:sz w:val="24"/>
                <w:szCs w:val="24"/>
              </w:rPr>
            </w:pPr>
            <w:r w:rsidRPr="00015DC1">
              <w:rPr>
                <w:rFonts w:ascii="Arial" w:hAnsi="Arial" w:cs="Arial"/>
                <w:sz w:val="24"/>
                <w:szCs w:val="24"/>
              </w:rPr>
              <w:t>HIGH COURT (MAIN DIVISION)</w:t>
            </w:r>
          </w:p>
        </w:tc>
      </w:tr>
      <w:tr w:rsidR="00CA7995" w:rsidRPr="00CA7995" w:rsidTr="005D0C34">
        <w:trPr>
          <w:trHeight w:val="965"/>
        </w:trPr>
        <w:tc>
          <w:tcPr>
            <w:tcW w:w="6946" w:type="dxa"/>
            <w:gridSpan w:val="2"/>
            <w:vMerge w:val="restart"/>
          </w:tcPr>
          <w:p w:rsidR="00B40844" w:rsidRPr="00015DC1" w:rsidRDefault="00B40844" w:rsidP="00937C89">
            <w:pPr>
              <w:spacing w:line="360" w:lineRule="auto"/>
              <w:jc w:val="both"/>
              <w:rPr>
                <w:rFonts w:ascii="Arial" w:hAnsi="Arial" w:cs="Arial"/>
                <w:b/>
                <w:sz w:val="24"/>
                <w:szCs w:val="24"/>
              </w:rPr>
            </w:pPr>
            <w:r w:rsidRPr="00015DC1">
              <w:rPr>
                <w:rFonts w:ascii="Arial" w:hAnsi="Arial" w:cs="Arial"/>
                <w:b/>
                <w:sz w:val="24"/>
                <w:szCs w:val="24"/>
              </w:rPr>
              <w:t>Heard before:</w:t>
            </w:r>
          </w:p>
          <w:p w:rsidR="00B40844" w:rsidRPr="00015DC1" w:rsidRDefault="00B40844" w:rsidP="00937C89">
            <w:pPr>
              <w:spacing w:line="360" w:lineRule="auto"/>
              <w:jc w:val="both"/>
              <w:rPr>
                <w:rFonts w:ascii="Arial" w:hAnsi="Arial" w:cs="Arial"/>
                <w:sz w:val="24"/>
                <w:szCs w:val="24"/>
              </w:rPr>
            </w:pPr>
            <w:r w:rsidRPr="00015DC1">
              <w:rPr>
                <w:rFonts w:ascii="Arial" w:hAnsi="Arial" w:cs="Arial"/>
                <w:sz w:val="24"/>
                <w:szCs w:val="24"/>
              </w:rPr>
              <w:t>HONOURABLE MR JUSTICE ANGULA, DEPUTY JUDGE-PRESIDENT</w:t>
            </w:r>
          </w:p>
        </w:tc>
        <w:tc>
          <w:tcPr>
            <w:tcW w:w="3686" w:type="dxa"/>
          </w:tcPr>
          <w:p w:rsidR="00B40844" w:rsidRPr="00015DC1" w:rsidRDefault="00B40844" w:rsidP="00937C89">
            <w:pPr>
              <w:spacing w:line="360" w:lineRule="auto"/>
              <w:jc w:val="both"/>
              <w:rPr>
                <w:rFonts w:ascii="Arial" w:hAnsi="Arial" w:cs="Arial"/>
                <w:b/>
                <w:sz w:val="24"/>
                <w:szCs w:val="24"/>
              </w:rPr>
            </w:pPr>
            <w:r w:rsidRPr="00015DC1">
              <w:rPr>
                <w:rFonts w:ascii="Arial" w:hAnsi="Arial" w:cs="Arial"/>
                <w:b/>
                <w:sz w:val="24"/>
                <w:szCs w:val="24"/>
              </w:rPr>
              <w:t>Date of hearing:</w:t>
            </w:r>
          </w:p>
          <w:p w:rsidR="00B40844" w:rsidRPr="00015DC1" w:rsidRDefault="00C877F7" w:rsidP="003B0F1E">
            <w:pPr>
              <w:spacing w:line="360" w:lineRule="auto"/>
              <w:jc w:val="both"/>
              <w:rPr>
                <w:rFonts w:ascii="Arial" w:hAnsi="Arial" w:cs="Arial"/>
                <w:sz w:val="24"/>
                <w:szCs w:val="24"/>
              </w:rPr>
            </w:pPr>
            <w:r>
              <w:rPr>
                <w:rFonts w:ascii="Arial" w:hAnsi="Arial" w:cs="Arial"/>
                <w:sz w:val="24"/>
                <w:szCs w:val="24"/>
              </w:rPr>
              <w:t>23 JANUARY 2024</w:t>
            </w:r>
          </w:p>
        </w:tc>
      </w:tr>
      <w:tr w:rsidR="00CA7995" w:rsidRPr="00CA7995" w:rsidTr="005D0C34">
        <w:trPr>
          <w:trHeight w:val="991"/>
        </w:trPr>
        <w:tc>
          <w:tcPr>
            <w:tcW w:w="6946" w:type="dxa"/>
            <w:gridSpan w:val="2"/>
            <w:vMerge/>
          </w:tcPr>
          <w:p w:rsidR="00B40844" w:rsidRPr="00015DC1" w:rsidRDefault="00B40844" w:rsidP="00937C89">
            <w:pPr>
              <w:spacing w:line="360" w:lineRule="auto"/>
              <w:jc w:val="both"/>
              <w:rPr>
                <w:rFonts w:ascii="Arial" w:hAnsi="Arial" w:cs="Arial"/>
                <w:b/>
                <w:sz w:val="24"/>
                <w:szCs w:val="24"/>
              </w:rPr>
            </w:pPr>
          </w:p>
        </w:tc>
        <w:tc>
          <w:tcPr>
            <w:tcW w:w="3686" w:type="dxa"/>
          </w:tcPr>
          <w:p w:rsidR="00233E3D" w:rsidRDefault="00B40844" w:rsidP="00C877F7">
            <w:pPr>
              <w:spacing w:line="360" w:lineRule="auto"/>
              <w:jc w:val="both"/>
              <w:rPr>
                <w:rFonts w:ascii="Arial" w:hAnsi="Arial" w:cs="Arial"/>
                <w:b/>
                <w:sz w:val="24"/>
                <w:szCs w:val="24"/>
              </w:rPr>
            </w:pPr>
            <w:r w:rsidRPr="00015DC1">
              <w:rPr>
                <w:rFonts w:ascii="Arial" w:hAnsi="Arial" w:cs="Arial"/>
                <w:b/>
                <w:sz w:val="24"/>
                <w:szCs w:val="24"/>
              </w:rPr>
              <w:t>Delivered on:</w:t>
            </w:r>
          </w:p>
          <w:p w:rsidR="00B40844" w:rsidRPr="00015DC1" w:rsidRDefault="00C877F7" w:rsidP="00C877F7">
            <w:pPr>
              <w:spacing w:line="360" w:lineRule="auto"/>
              <w:jc w:val="both"/>
              <w:rPr>
                <w:rFonts w:ascii="Arial" w:hAnsi="Arial" w:cs="Arial"/>
                <w:b/>
                <w:sz w:val="24"/>
                <w:szCs w:val="24"/>
              </w:rPr>
            </w:pPr>
            <w:r>
              <w:rPr>
                <w:rFonts w:ascii="Arial" w:hAnsi="Arial" w:cs="Arial"/>
                <w:sz w:val="24"/>
                <w:szCs w:val="24"/>
              </w:rPr>
              <w:t>12 FEBRUARY 2024</w:t>
            </w:r>
          </w:p>
        </w:tc>
      </w:tr>
      <w:tr w:rsidR="00CA7995" w:rsidRPr="00CA7995" w:rsidTr="003B0F1E">
        <w:trPr>
          <w:trHeight w:val="876"/>
        </w:trPr>
        <w:tc>
          <w:tcPr>
            <w:tcW w:w="10632" w:type="dxa"/>
            <w:gridSpan w:val="3"/>
          </w:tcPr>
          <w:p w:rsidR="00B40844" w:rsidRPr="00CA7995" w:rsidRDefault="00B40844" w:rsidP="00866BC0">
            <w:pPr>
              <w:spacing w:line="360" w:lineRule="auto"/>
              <w:jc w:val="both"/>
              <w:rPr>
                <w:rFonts w:ascii="Arial" w:hAnsi="Arial" w:cs="Arial"/>
                <w:sz w:val="24"/>
                <w:szCs w:val="24"/>
              </w:rPr>
            </w:pPr>
            <w:r w:rsidRPr="00CA7995">
              <w:rPr>
                <w:rFonts w:ascii="Arial" w:hAnsi="Arial" w:cs="Arial"/>
                <w:b/>
                <w:sz w:val="24"/>
                <w:szCs w:val="24"/>
              </w:rPr>
              <w:t>Neutral citation:</w:t>
            </w:r>
            <w:r w:rsidRPr="00CD605F">
              <w:rPr>
                <w:rFonts w:ascii="Arial" w:hAnsi="Arial" w:cs="Arial"/>
                <w:sz w:val="24"/>
                <w:szCs w:val="24"/>
              </w:rPr>
              <w:t xml:space="preserve"> </w:t>
            </w:r>
            <w:r w:rsidR="00CC0C44">
              <w:rPr>
                <w:rFonts w:ascii="Arial" w:hAnsi="Arial" w:cs="Arial"/>
                <w:i/>
                <w:sz w:val="24"/>
                <w:szCs w:val="24"/>
              </w:rPr>
              <w:t xml:space="preserve">Groenewald </w:t>
            </w:r>
            <w:r w:rsidR="00015DC1">
              <w:rPr>
                <w:rFonts w:ascii="Arial" w:hAnsi="Arial" w:cs="Arial"/>
                <w:i/>
                <w:sz w:val="24"/>
                <w:szCs w:val="24"/>
              </w:rPr>
              <w:t xml:space="preserve">v </w:t>
            </w:r>
            <w:proofErr w:type="spellStart"/>
            <w:r w:rsidR="00CC0C44">
              <w:rPr>
                <w:rFonts w:ascii="Arial" w:hAnsi="Arial" w:cs="Arial"/>
                <w:i/>
                <w:sz w:val="24"/>
                <w:szCs w:val="24"/>
              </w:rPr>
              <w:t>Kotze</w:t>
            </w:r>
            <w:proofErr w:type="spellEnd"/>
            <w:r w:rsidR="00346B7A">
              <w:rPr>
                <w:rFonts w:ascii="Arial" w:hAnsi="Arial" w:cs="Arial"/>
                <w:i/>
                <w:sz w:val="24"/>
                <w:szCs w:val="24"/>
              </w:rPr>
              <w:t xml:space="preserve"> </w:t>
            </w:r>
            <w:r w:rsidRPr="00CA7995">
              <w:rPr>
                <w:rFonts w:ascii="Arial" w:hAnsi="Arial" w:cs="Arial"/>
                <w:sz w:val="24"/>
                <w:szCs w:val="24"/>
              </w:rPr>
              <w:t>(</w:t>
            </w:r>
            <w:r w:rsidR="00CD605F" w:rsidRPr="003B0F1E">
              <w:rPr>
                <w:rFonts w:ascii="Arial" w:hAnsi="Arial" w:cs="Arial"/>
                <w:sz w:val="24"/>
                <w:szCs w:val="24"/>
              </w:rPr>
              <w:t>HC-MD-CIV-MOT-GEN-</w:t>
            </w:r>
            <w:r w:rsidR="00CC0C44" w:rsidRPr="00CC0C44">
              <w:rPr>
                <w:rFonts w:ascii="Arial" w:hAnsi="Arial" w:cs="Arial"/>
                <w:sz w:val="24"/>
                <w:szCs w:val="24"/>
              </w:rPr>
              <w:t>2023/00170</w:t>
            </w:r>
            <w:r w:rsidRPr="00CA7995">
              <w:rPr>
                <w:rFonts w:ascii="Arial" w:hAnsi="Arial" w:cs="Arial"/>
                <w:sz w:val="24"/>
                <w:szCs w:val="24"/>
              </w:rPr>
              <w:t>)</w:t>
            </w:r>
            <w:r w:rsidRPr="00CA7995">
              <w:rPr>
                <w:rFonts w:ascii="Arial" w:hAnsi="Arial" w:cs="Arial"/>
                <w:b/>
                <w:sz w:val="24"/>
                <w:szCs w:val="24"/>
              </w:rPr>
              <w:t xml:space="preserve"> </w:t>
            </w:r>
            <w:r w:rsidRPr="00CA7995">
              <w:rPr>
                <w:rFonts w:ascii="Arial" w:hAnsi="Arial" w:cs="Arial"/>
                <w:sz w:val="24"/>
                <w:szCs w:val="24"/>
              </w:rPr>
              <w:t>[202</w:t>
            </w:r>
            <w:r w:rsidR="0026309F">
              <w:rPr>
                <w:rFonts w:ascii="Arial" w:hAnsi="Arial" w:cs="Arial"/>
                <w:sz w:val="24"/>
                <w:szCs w:val="24"/>
              </w:rPr>
              <w:t>4</w:t>
            </w:r>
            <w:r w:rsidRPr="00CA7995">
              <w:rPr>
                <w:rFonts w:ascii="Arial" w:hAnsi="Arial" w:cs="Arial"/>
                <w:sz w:val="24"/>
                <w:szCs w:val="24"/>
              </w:rPr>
              <w:t xml:space="preserve">] NAHCMD </w:t>
            </w:r>
            <w:r w:rsidR="00866BC0">
              <w:rPr>
                <w:rFonts w:ascii="Arial" w:hAnsi="Arial" w:cs="Arial"/>
                <w:sz w:val="24"/>
                <w:szCs w:val="24"/>
              </w:rPr>
              <w:t>44</w:t>
            </w:r>
            <w:r w:rsidRPr="00CA7995">
              <w:rPr>
                <w:rFonts w:ascii="Arial" w:hAnsi="Arial" w:cs="Arial"/>
                <w:sz w:val="24"/>
                <w:szCs w:val="24"/>
              </w:rPr>
              <w:t xml:space="preserve"> (</w:t>
            </w:r>
            <w:r w:rsidR="0026309F">
              <w:rPr>
                <w:rFonts w:ascii="Arial" w:hAnsi="Arial" w:cs="Arial"/>
                <w:sz w:val="24"/>
                <w:szCs w:val="24"/>
              </w:rPr>
              <w:t xml:space="preserve">12 </w:t>
            </w:r>
            <w:r w:rsidR="00D928A1">
              <w:rPr>
                <w:rFonts w:ascii="Arial" w:hAnsi="Arial" w:cs="Arial"/>
                <w:sz w:val="24"/>
                <w:szCs w:val="24"/>
              </w:rPr>
              <w:t>February</w:t>
            </w:r>
            <w:r w:rsidR="0026309F">
              <w:rPr>
                <w:rFonts w:ascii="Arial" w:hAnsi="Arial" w:cs="Arial"/>
                <w:sz w:val="24"/>
                <w:szCs w:val="24"/>
              </w:rPr>
              <w:t xml:space="preserve"> 2024</w:t>
            </w:r>
            <w:r w:rsidRPr="00CA7995">
              <w:rPr>
                <w:rFonts w:ascii="Arial" w:hAnsi="Arial" w:cs="Arial"/>
                <w:sz w:val="24"/>
                <w:szCs w:val="24"/>
              </w:rPr>
              <w:t>)</w:t>
            </w:r>
            <w:bookmarkStart w:id="0" w:name="_GoBack"/>
            <w:bookmarkEnd w:id="0"/>
          </w:p>
        </w:tc>
      </w:tr>
      <w:tr w:rsidR="00CA7995" w:rsidRPr="00CA7995" w:rsidTr="003B0F1E">
        <w:tc>
          <w:tcPr>
            <w:tcW w:w="10632" w:type="dxa"/>
            <w:gridSpan w:val="3"/>
          </w:tcPr>
          <w:p w:rsidR="00B40844" w:rsidRPr="00D928A1" w:rsidRDefault="00B40844" w:rsidP="00CA7995">
            <w:pPr>
              <w:spacing w:line="360" w:lineRule="auto"/>
              <w:jc w:val="both"/>
              <w:rPr>
                <w:rFonts w:ascii="Arial" w:hAnsi="Arial" w:cs="Arial"/>
                <w:sz w:val="18"/>
                <w:szCs w:val="18"/>
              </w:rPr>
            </w:pPr>
          </w:p>
          <w:p w:rsidR="00B40844" w:rsidRPr="00866BC0" w:rsidRDefault="00B40844" w:rsidP="00CA7995">
            <w:pPr>
              <w:spacing w:line="360" w:lineRule="auto"/>
              <w:jc w:val="both"/>
              <w:rPr>
                <w:rFonts w:ascii="Arial" w:hAnsi="Arial" w:cs="Arial"/>
                <w:b/>
                <w:sz w:val="24"/>
                <w:szCs w:val="24"/>
              </w:rPr>
            </w:pPr>
            <w:r w:rsidRPr="00D928A1">
              <w:rPr>
                <w:rFonts w:ascii="Arial" w:hAnsi="Arial" w:cs="Arial"/>
                <w:b/>
                <w:sz w:val="24"/>
                <w:szCs w:val="24"/>
              </w:rPr>
              <w:t xml:space="preserve">IT IS </w:t>
            </w:r>
            <w:r w:rsidRPr="00866BC0">
              <w:rPr>
                <w:rFonts w:ascii="Arial" w:hAnsi="Arial" w:cs="Arial"/>
                <w:b/>
                <w:sz w:val="24"/>
                <w:szCs w:val="24"/>
              </w:rPr>
              <w:t>ORDERED THAT:</w:t>
            </w:r>
          </w:p>
          <w:p w:rsidR="00D928A1" w:rsidRPr="00866BC0" w:rsidRDefault="00D928A1" w:rsidP="00CA7995">
            <w:pPr>
              <w:spacing w:line="360" w:lineRule="auto"/>
              <w:jc w:val="both"/>
              <w:rPr>
                <w:rFonts w:ascii="Arial" w:hAnsi="Arial" w:cs="Arial"/>
                <w:sz w:val="24"/>
                <w:szCs w:val="24"/>
              </w:rPr>
            </w:pPr>
          </w:p>
          <w:p w:rsidR="00866BC0" w:rsidRPr="00866BC0" w:rsidRDefault="00866BC0" w:rsidP="002836DF">
            <w:pPr>
              <w:pStyle w:val="NormalWeb"/>
              <w:numPr>
                <w:ilvl w:val="0"/>
                <w:numId w:val="8"/>
              </w:numPr>
              <w:shd w:val="clear" w:color="auto" w:fill="FFFFFF"/>
              <w:tabs>
                <w:tab w:val="left" w:pos="602"/>
              </w:tabs>
              <w:spacing w:before="0" w:beforeAutospacing="0" w:after="0" w:afterAutospacing="0" w:line="360" w:lineRule="auto"/>
              <w:ind w:left="460" w:hanging="426"/>
              <w:jc w:val="both"/>
              <w:rPr>
                <w:rFonts w:ascii="Arial" w:hAnsi="Arial" w:cs="Arial"/>
                <w:lang w:val="en-US"/>
              </w:rPr>
            </w:pPr>
            <w:r w:rsidRPr="00866BC0">
              <w:rPr>
                <w:rFonts w:ascii="Arial" w:hAnsi="Arial" w:cs="Arial"/>
              </w:rPr>
              <w:t>The application is granted.</w:t>
            </w:r>
          </w:p>
          <w:p w:rsidR="00866BC0" w:rsidRPr="00866BC0" w:rsidRDefault="00866BC0" w:rsidP="00866BC0">
            <w:pPr>
              <w:pStyle w:val="NormalWeb"/>
              <w:shd w:val="clear" w:color="auto" w:fill="FFFFFF"/>
              <w:tabs>
                <w:tab w:val="left" w:pos="602"/>
              </w:tabs>
              <w:spacing w:before="0" w:beforeAutospacing="0" w:after="0" w:afterAutospacing="0" w:line="360" w:lineRule="auto"/>
              <w:ind w:left="34"/>
              <w:jc w:val="both"/>
              <w:rPr>
                <w:rFonts w:ascii="Arial" w:hAnsi="Arial" w:cs="Arial"/>
                <w:lang w:val="en-US"/>
              </w:rPr>
            </w:pPr>
          </w:p>
          <w:p w:rsidR="002E1151" w:rsidRPr="00866BC0" w:rsidRDefault="00D84700" w:rsidP="002836DF">
            <w:pPr>
              <w:pStyle w:val="NormalWeb"/>
              <w:numPr>
                <w:ilvl w:val="0"/>
                <w:numId w:val="8"/>
              </w:numPr>
              <w:shd w:val="clear" w:color="auto" w:fill="FFFFFF"/>
              <w:tabs>
                <w:tab w:val="left" w:pos="602"/>
              </w:tabs>
              <w:spacing w:before="0" w:beforeAutospacing="0" w:after="0" w:afterAutospacing="0" w:line="360" w:lineRule="auto"/>
              <w:ind w:left="460" w:hanging="426"/>
              <w:jc w:val="both"/>
              <w:rPr>
                <w:rFonts w:ascii="Arial" w:hAnsi="Arial" w:cs="Arial"/>
                <w:lang w:val="en-US"/>
              </w:rPr>
            </w:pPr>
            <w:r w:rsidRPr="00866BC0">
              <w:rPr>
                <w:rFonts w:ascii="Arial" w:hAnsi="Arial" w:cs="Arial"/>
              </w:rPr>
              <w:t xml:space="preserve">The </w:t>
            </w:r>
            <w:r w:rsidR="00613516" w:rsidRPr="00866BC0">
              <w:rPr>
                <w:rFonts w:ascii="Arial" w:hAnsi="Arial" w:cs="Arial"/>
              </w:rPr>
              <w:t>applicant</w:t>
            </w:r>
            <w:r w:rsidR="00360DBA" w:rsidRPr="00866BC0">
              <w:rPr>
                <w:rFonts w:ascii="Arial" w:hAnsi="Arial" w:cs="Arial"/>
              </w:rPr>
              <w:t xml:space="preserve"> </w:t>
            </w:r>
            <w:r w:rsidR="00613516" w:rsidRPr="00866BC0">
              <w:rPr>
                <w:rFonts w:ascii="Arial" w:hAnsi="Arial" w:cs="Arial"/>
              </w:rPr>
              <w:t>is</w:t>
            </w:r>
            <w:r w:rsidR="00360DBA" w:rsidRPr="00866BC0">
              <w:rPr>
                <w:rFonts w:ascii="Arial" w:hAnsi="Arial" w:cs="Arial"/>
              </w:rPr>
              <w:t xml:space="preserve"> to pay the second respondent’s costs</w:t>
            </w:r>
            <w:r w:rsidR="00A35CBE" w:rsidRPr="00866BC0">
              <w:rPr>
                <w:rFonts w:ascii="Arial" w:hAnsi="Arial" w:cs="Arial"/>
              </w:rPr>
              <w:t xml:space="preserve"> on a party and party scale</w:t>
            </w:r>
            <w:r w:rsidR="00295EDD" w:rsidRPr="00866BC0">
              <w:rPr>
                <w:rFonts w:ascii="Arial" w:hAnsi="Arial" w:cs="Arial"/>
              </w:rPr>
              <w:t>.</w:t>
            </w:r>
          </w:p>
          <w:p w:rsidR="001A4806" w:rsidRPr="00866BC0" w:rsidRDefault="001A4806" w:rsidP="00D928A1">
            <w:pPr>
              <w:pStyle w:val="NormalWeb"/>
              <w:shd w:val="clear" w:color="auto" w:fill="FFFFFF"/>
              <w:tabs>
                <w:tab w:val="left" w:pos="602"/>
              </w:tabs>
              <w:spacing w:before="0" w:beforeAutospacing="0" w:after="0" w:afterAutospacing="0" w:line="360" w:lineRule="auto"/>
              <w:ind w:left="34"/>
              <w:jc w:val="both"/>
              <w:rPr>
                <w:rFonts w:ascii="Arial" w:hAnsi="Arial" w:cs="Arial"/>
                <w:lang w:val="en-US"/>
              </w:rPr>
            </w:pPr>
          </w:p>
          <w:p w:rsidR="00D034F4" w:rsidRPr="00866BC0" w:rsidRDefault="00D84700" w:rsidP="00D928A1">
            <w:pPr>
              <w:pStyle w:val="NormalWeb"/>
              <w:numPr>
                <w:ilvl w:val="0"/>
                <w:numId w:val="8"/>
              </w:numPr>
              <w:shd w:val="clear" w:color="auto" w:fill="FFFFFF"/>
              <w:tabs>
                <w:tab w:val="left" w:pos="602"/>
              </w:tabs>
              <w:spacing w:before="0" w:beforeAutospacing="0" w:after="0" w:afterAutospacing="0" w:line="360" w:lineRule="auto"/>
              <w:ind w:left="460" w:hanging="426"/>
              <w:jc w:val="both"/>
              <w:rPr>
                <w:rFonts w:ascii="Arial" w:hAnsi="Arial" w:cs="Arial"/>
                <w:lang w:val="en-US"/>
              </w:rPr>
            </w:pPr>
            <w:r w:rsidRPr="00866BC0">
              <w:rPr>
                <w:rFonts w:ascii="Arial" w:hAnsi="Arial" w:cs="Arial"/>
              </w:rPr>
              <w:t>The matter is finalised and removed from the roll</w:t>
            </w:r>
            <w:r w:rsidR="00D034F4" w:rsidRPr="00866BC0">
              <w:rPr>
                <w:rFonts w:ascii="Arial" w:hAnsi="Arial" w:cs="Arial"/>
                <w:lang w:val="en-US"/>
              </w:rPr>
              <w:t>.</w:t>
            </w:r>
          </w:p>
          <w:p w:rsidR="00787F9E" w:rsidRPr="0029105C" w:rsidRDefault="00787F9E" w:rsidP="00787F9E">
            <w:pPr>
              <w:pStyle w:val="NormalWeb"/>
              <w:shd w:val="clear" w:color="auto" w:fill="FFFFFF"/>
              <w:tabs>
                <w:tab w:val="left" w:pos="602"/>
              </w:tabs>
              <w:spacing w:before="0" w:beforeAutospacing="0" w:after="0" w:afterAutospacing="0" w:line="360" w:lineRule="auto"/>
              <w:jc w:val="both"/>
              <w:rPr>
                <w:rFonts w:ascii="Arial" w:hAnsi="Arial" w:cs="Arial"/>
                <w:lang w:val="en-US"/>
              </w:rPr>
            </w:pPr>
          </w:p>
        </w:tc>
      </w:tr>
      <w:tr w:rsidR="00CA7995" w:rsidRPr="00CA7995" w:rsidTr="001A4806">
        <w:trPr>
          <w:trHeight w:val="711"/>
        </w:trPr>
        <w:tc>
          <w:tcPr>
            <w:tcW w:w="10632" w:type="dxa"/>
            <w:gridSpan w:val="3"/>
            <w:vAlign w:val="center"/>
          </w:tcPr>
          <w:p w:rsidR="000C72EF" w:rsidRPr="00CA7995" w:rsidRDefault="00224C1B" w:rsidP="001A4806">
            <w:pPr>
              <w:tabs>
                <w:tab w:val="right" w:pos="9693"/>
              </w:tabs>
              <w:spacing w:line="360" w:lineRule="auto"/>
              <w:rPr>
                <w:rFonts w:ascii="Arial" w:hAnsi="Arial" w:cs="Arial"/>
                <w:b/>
                <w:sz w:val="24"/>
                <w:szCs w:val="24"/>
              </w:rPr>
            </w:pPr>
            <w:r>
              <w:rPr>
                <w:rFonts w:ascii="Arial" w:hAnsi="Arial" w:cs="Arial"/>
                <w:b/>
                <w:sz w:val="24"/>
                <w:szCs w:val="24"/>
              </w:rPr>
              <w:lastRenderedPageBreak/>
              <w:t>Reasons for the order:</w:t>
            </w:r>
          </w:p>
        </w:tc>
      </w:tr>
      <w:tr w:rsidR="00CA7995" w:rsidRPr="00CA7995" w:rsidTr="003B0F1E">
        <w:tc>
          <w:tcPr>
            <w:tcW w:w="10632" w:type="dxa"/>
            <w:gridSpan w:val="3"/>
          </w:tcPr>
          <w:p w:rsidR="00833B9D" w:rsidRDefault="00833B9D" w:rsidP="0029105C">
            <w:pPr>
              <w:spacing w:line="360" w:lineRule="auto"/>
              <w:rPr>
                <w:rFonts w:ascii="Arial" w:hAnsi="Arial" w:cs="Arial"/>
                <w:sz w:val="24"/>
                <w:szCs w:val="24"/>
                <w:u w:val="single"/>
              </w:rPr>
            </w:pPr>
          </w:p>
          <w:p w:rsidR="008A21E1" w:rsidRPr="001B494D" w:rsidRDefault="001B494D" w:rsidP="0029105C">
            <w:pPr>
              <w:spacing w:line="360" w:lineRule="auto"/>
              <w:rPr>
                <w:rFonts w:ascii="Arial" w:hAnsi="Arial" w:cs="Arial"/>
                <w:sz w:val="24"/>
                <w:szCs w:val="24"/>
                <w:u w:val="single"/>
              </w:rPr>
            </w:pPr>
            <w:r w:rsidRPr="001B494D">
              <w:rPr>
                <w:rFonts w:ascii="Arial" w:hAnsi="Arial" w:cs="Arial"/>
                <w:sz w:val="24"/>
                <w:szCs w:val="24"/>
                <w:u w:val="single"/>
              </w:rPr>
              <w:t>Introduction</w:t>
            </w:r>
          </w:p>
          <w:p w:rsidR="001B494D" w:rsidRPr="006979B3" w:rsidRDefault="001B494D" w:rsidP="0029105C">
            <w:pPr>
              <w:tabs>
                <w:tab w:val="left" w:pos="729"/>
              </w:tabs>
              <w:spacing w:line="360" w:lineRule="auto"/>
              <w:rPr>
                <w:rFonts w:ascii="Arial" w:hAnsi="Arial" w:cs="Arial"/>
                <w:sz w:val="24"/>
                <w:szCs w:val="24"/>
              </w:rPr>
            </w:pPr>
          </w:p>
          <w:p w:rsidR="007061BE" w:rsidRDefault="00B40844" w:rsidP="0029105C">
            <w:pPr>
              <w:tabs>
                <w:tab w:val="left" w:pos="729"/>
              </w:tabs>
              <w:spacing w:line="360" w:lineRule="auto"/>
              <w:jc w:val="both"/>
              <w:rPr>
                <w:rFonts w:ascii="Arial" w:hAnsi="Arial"/>
                <w:sz w:val="24"/>
                <w:szCs w:val="24"/>
              </w:rPr>
            </w:pPr>
            <w:r w:rsidRPr="006979B3">
              <w:rPr>
                <w:rFonts w:ascii="Arial" w:hAnsi="Arial" w:cs="Arial"/>
                <w:sz w:val="24"/>
                <w:szCs w:val="24"/>
              </w:rPr>
              <w:t>[1]</w:t>
            </w:r>
            <w:r w:rsidRPr="006979B3">
              <w:rPr>
                <w:rFonts w:ascii="Arial" w:hAnsi="Arial" w:cs="Arial"/>
                <w:sz w:val="24"/>
                <w:szCs w:val="24"/>
              </w:rPr>
              <w:tab/>
            </w:r>
            <w:r w:rsidR="00B3603F">
              <w:rPr>
                <w:rFonts w:ascii="Arial" w:hAnsi="Arial"/>
                <w:sz w:val="24"/>
                <w:szCs w:val="24"/>
              </w:rPr>
              <w:t>This is an application</w:t>
            </w:r>
            <w:r w:rsidR="007C5ADC">
              <w:rPr>
                <w:rFonts w:ascii="Arial" w:hAnsi="Arial"/>
                <w:sz w:val="24"/>
                <w:szCs w:val="24"/>
              </w:rPr>
              <w:t xml:space="preserve"> in terms of r 97(3)</w:t>
            </w:r>
            <w:r w:rsidR="00B3603F">
              <w:rPr>
                <w:rFonts w:ascii="Arial" w:hAnsi="Arial"/>
                <w:sz w:val="24"/>
                <w:szCs w:val="24"/>
              </w:rPr>
              <w:t xml:space="preserve"> in which</w:t>
            </w:r>
            <w:r w:rsidR="00787F9E">
              <w:rPr>
                <w:rFonts w:ascii="Arial" w:hAnsi="Arial"/>
                <w:sz w:val="24"/>
                <w:szCs w:val="24"/>
              </w:rPr>
              <w:t>,</w:t>
            </w:r>
            <w:r w:rsidR="00B3603F">
              <w:rPr>
                <w:rFonts w:ascii="Arial" w:hAnsi="Arial"/>
                <w:sz w:val="24"/>
                <w:szCs w:val="24"/>
              </w:rPr>
              <w:t xml:space="preserve"> the second respondent seeks an order against</w:t>
            </w:r>
            <w:r w:rsidR="00F659E8">
              <w:rPr>
                <w:rFonts w:ascii="Arial" w:hAnsi="Arial"/>
                <w:sz w:val="24"/>
                <w:szCs w:val="24"/>
              </w:rPr>
              <w:t xml:space="preserve"> the applicant</w:t>
            </w:r>
            <w:r w:rsidR="00B3603F">
              <w:rPr>
                <w:rFonts w:ascii="Arial" w:hAnsi="Arial"/>
                <w:sz w:val="24"/>
                <w:szCs w:val="24"/>
              </w:rPr>
              <w:t xml:space="preserve"> to pay its costs following the applicant’s withdrawal of her</w:t>
            </w:r>
            <w:r w:rsidR="006979B3" w:rsidRPr="006979B3">
              <w:rPr>
                <w:rFonts w:ascii="Arial" w:hAnsi="Arial"/>
                <w:sz w:val="24"/>
                <w:szCs w:val="24"/>
              </w:rPr>
              <w:t xml:space="preserve"> application</w:t>
            </w:r>
            <w:r w:rsidR="00B3603F">
              <w:rPr>
                <w:rFonts w:ascii="Arial" w:hAnsi="Arial"/>
                <w:sz w:val="24"/>
                <w:szCs w:val="24"/>
              </w:rPr>
              <w:t xml:space="preserve"> she</w:t>
            </w:r>
            <w:r w:rsidR="006979B3" w:rsidRPr="006979B3">
              <w:rPr>
                <w:rFonts w:ascii="Arial" w:hAnsi="Arial"/>
                <w:sz w:val="24"/>
                <w:szCs w:val="24"/>
              </w:rPr>
              <w:t xml:space="preserve"> </w:t>
            </w:r>
            <w:r w:rsidR="00B3603F" w:rsidRPr="006979B3">
              <w:rPr>
                <w:rFonts w:ascii="Arial" w:hAnsi="Arial"/>
                <w:sz w:val="24"/>
                <w:szCs w:val="24"/>
              </w:rPr>
              <w:t>instituted</w:t>
            </w:r>
            <w:r w:rsidR="00B3603F">
              <w:rPr>
                <w:rFonts w:ascii="Arial" w:hAnsi="Arial"/>
                <w:sz w:val="24"/>
                <w:szCs w:val="24"/>
              </w:rPr>
              <w:t xml:space="preserve"> against the second respondent and </w:t>
            </w:r>
            <w:r w:rsidR="00787F9E">
              <w:rPr>
                <w:rFonts w:ascii="Arial" w:hAnsi="Arial"/>
                <w:sz w:val="24"/>
                <w:szCs w:val="24"/>
              </w:rPr>
              <w:t xml:space="preserve">five </w:t>
            </w:r>
            <w:r w:rsidR="00B3603F">
              <w:rPr>
                <w:rFonts w:ascii="Arial" w:hAnsi="Arial"/>
                <w:sz w:val="24"/>
                <w:szCs w:val="24"/>
              </w:rPr>
              <w:t>other respondents.</w:t>
            </w:r>
            <w:r w:rsidR="007C5ADC">
              <w:rPr>
                <w:rFonts w:ascii="Arial" w:hAnsi="Arial"/>
                <w:sz w:val="24"/>
                <w:szCs w:val="24"/>
              </w:rPr>
              <w:t xml:space="preserve"> When the applicant withdrew her application she</w:t>
            </w:r>
            <w:r w:rsidR="006979B3" w:rsidRPr="006979B3">
              <w:rPr>
                <w:rFonts w:ascii="Arial" w:hAnsi="Arial"/>
                <w:sz w:val="24"/>
                <w:szCs w:val="24"/>
              </w:rPr>
              <w:t xml:space="preserve"> did not tender</w:t>
            </w:r>
            <w:r w:rsidR="00B3603F">
              <w:rPr>
                <w:rFonts w:ascii="Arial" w:hAnsi="Arial"/>
                <w:sz w:val="24"/>
                <w:szCs w:val="24"/>
              </w:rPr>
              <w:t xml:space="preserve"> the second respondent’s</w:t>
            </w:r>
            <w:r w:rsidR="007C5ADC">
              <w:rPr>
                <w:rFonts w:ascii="Arial" w:hAnsi="Arial"/>
                <w:sz w:val="24"/>
                <w:szCs w:val="24"/>
              </w:rPr>
              <w:t xml:space="preserve"> costs as required by</w:t>
            </w:r>
            <w:r w:rsidR="006979B3" w:rsidRPr="006979B3">
              <w:rPr>
                <w:rFonts w:ascii="Arial" w:hAnsi="Arial"/>
                <w:sz w:val="24"/>
                <w:szCs w:val="24"/>
              </w:rPr>
              <w:t xml:space="preserve"> r</w:t>
            </w:r>
            <w:r w:rsidR="00F659E8">
              <w:rPr>
                <w:rFonts w:ascii="Arial" w:hAnsi="Arial"/>
                <w:sz w:val="24"/>
                <w:szCs w:val="24"/>
              </w:rPr>
              <w:t xml:space="preserve"> 97(1) of the High Court Rules.</w:t>
            </w:r>
          </w:p>
          <w:p w:rsidR="007061BE" w:rsidRDefault="007061BE" w:rsidP="0029105C">
            <w:pPr>
              <w:tabs>
                <w:tab w:val="left" w:pos="729"/>
              </w:tabs>
              <w:spacing w:line="360" w:lineRule="auto"/>
              <w:jc w:val="both"/>
              <w:rPr>
                <w:rFonts w:ascii="Arial" w:hAnsi="Arial"/>
                <w:sz w:val="24"/>
                <w:szCs w:val="24"/>
              </w:rPr>
            </w:pPr>
          </w:p>
          <w:p w:rsidR="00613A3A" w:rsidRPr="00613A3A" w:rsidRDefault="007061BE" w:rsidP="0029105C">
            <w:pPr>
              <w:tabs>
                <w:tab w:val="left" w:pos="729"/>
              </w:tabs>
              <w:spacing w:line="360" w:lineRule="auto"/>
              <w:jc w:val="both"/>
              <w:rPr>
                <w:rFonts w:ascii="Arial" w:hAnsi="Arial"/>
                <w:sz w:val="24"/>
                <w:szCs w:val="24"/>
              </w:rPr>
            </w:pPr>
            <w:r>
              <w:rPr>
                <w:rFonts w:ascii="Arial" w:hAnsi="Arial"/>
                <w:sz w:val="24"/>
                <w:szCs w:val="24"/>
              </w:rPr>
              <w:t>[2]</w:t>
            </w:r>
            <w:r>
              <w:rPr>
                <w:rFonts w:ascii="Arial" w:hAnsi="Arial"/>
                <w:sz w:val="24"/>
                <w:szCs w:val="24"/>
              </w:rPr>
              <w:tab/>
            </w:r>
            <w:r w:rsidR="00BC235C">
              <w:rPr>
                <w:rFonts w:ascii="Arial" w:hAnsi="Arial"/>
                <w:sz w:val="24"/>
                <w:szCs w:val="24"/>
              </w:rPr>
              <w:t>The par</w:t>
            </w:r>
            <w:r w:rsidR="00B3603F">
              <w:rPr>
                <w:rFonts w:ascii="Arial" w:hAnsi="Arial"/>
                <w:sz w:val="24"/>
                <w:szCs w:val="24"/>
              </w:rPr>
              <w:t>ties are referred to as</w:t>
            </w:r>
            <w:r w:rsidR="00BC235C">
              <w:rPr>
                <w:rFonts w:ascii="Arial" w:hAnsi="Arial"/>
                <w:sz w:val="24"/>
                <w:szCs w:val="24"/>
              </w:rPr>
              <w:t xml:space="preserve"> in the main application.</w:t>
            </w:r>
          </w:p>
          <w:p w:rsidR="00F659E8" w:rsidRDefault="00F659E8" w:rsidP="0029105C">
            <w:pPr>
              <w:tabs>
                <w:tab w:val="left" w:pos="729"/>
              </w:tabs>
              <w:spacing w:line="360" w:lineRule="auto"/>
              <w:jc w:val="both"/>
              <w:rPr>
                <w:rFonts w:ascii="Arial" w:eastAsia="Times New Roman" w:hAnsi="Arial" w:cs="Arial"/>
                <w:sz w:val="24"/>
                <w:szCs w:val="24"/>
                <w:u w:val="single"/>
                <w:lang w:val="en-US"/>
              </w:rPr>
            </w:pPr>
          </w:p>
          <w:p w:rsidR="006979B3" w:rsidRPr="006979B3" w:rsidRDefault="006979B3" w:rsidP="0029105C">
            <w:pPr>
              <w:tabs>
                <w:tab w:val="left" w:pos="729"/>
              </w:tabs>
              <w:spacing w:line="360" w:lineRule="auto"/>
              <w:jc w:val="both"/>
              <w:rPr>
                <w:rFonts w:ascii="Arial" w:eastAsia="Times New Roman" w:hAnsi="Arial" w:cs="Arial"/>
                <w:sz w:val="24"/>
                <w:szCs w:val="24"/>
                <w:u w:val="single"/>
                <w:lang w:val="en-US"/>
              </w:rPr>
            </w:pPr>
            <w:r w:rsidRPr="006979B3">
              <w:rPr>
                <w:rFonts w:ascii="Arial" w:eastAsia="Times New Roman" w:hAnsi="Arial" w:cs="Arial"/>
                <w:sz w:val="24"/>
                <w:szCs w:val="24"/>
                <w:u w:val="single"/>
                <w:lang w:val="en-US"/>
              </w:rPr>
              <w:t>Background</w:t>
            </w:r>
          </w:p>
          <w:p w:rsidR="006979B3" w:rsidRPr="006979B3" w:rsidRDefault="006979B3" w:rsidP="0029105C">
            <w:pPr>
              <w:tabs>
                <w:tab w:val="left" w:pos="729"/>
              </w:tabs>
              <w:spacing w:line="360" w:lineRule="auto"/>
              <w:jc w:val="both"/>
              <w:rPr>
                <w:rFonts w:ascii="Arial" w:eastAsia="Times New Roman" w:hAnsi="Arial" w:cs="Arial"/>
                <w:sz w:val="24"/>
                <w:szCs w:val="24"/>
                <w:lang w:val="en-US"/>
              </w:rPr>
            </w:pPr>
          </w:p>
          <w:p w:rsidR="00AE3AEA" w:rsidRPr="00AE3AEA" w:rsidRDefault="007061BE" w:rsidP="0029105C">
            <w:pPr>
              <w:spacing w:line="360" w:lineRule="auto"/>
              <w:ind w:left="23" w:hanging="23"/>
              <w:jc w:val="both"/>
              <w:rPr>
                <w:rFonts w:ascii="Arial" w:hAnsi="Arial"/>
                <w:sz w:val="24"/>
                <w:szCs w:val="24"/>
              </w:rPr>
            </w:pPr>
            <w:r>
              <w:rPr>
                <w:rFonts w:ascii="Arial" w:hAnsi="Arial" w:cs="Arial"/>
                <w:sz w:val="24"/>
                <w:szCs w:val="24"/>
              </w:rPr>
              <w:t>[3</w:t>
            </w:r>
            <w:r w:rsidR="00672C76" w:rsidRPr="006979B3">
              <w:rPr>
                <w:rFonts w:ascii="Arial" w:hAnsi="Arial" w:cs="Arial"/>
                <w:sz w:val="24"/>
                <w:szCs w:val="24"/>
              </w:rPr>
              <w:t>]</w:t>
            </w:r>
            <w:r w:rsidR="000A6E7F" w:rsidRPr="006979B3">
              <w:rPr>
                <w:rFonts w:ascii="Arial" w:hAnsi="Arial" w:cs="Arial"/>
                <w:sz w:val="24"/>
                <w:szCs w:val="24"/>
              </w:rPr>
              <w:tab/>
            </w:r>
            <w:r w:rsidR="00235487">
              <w:rPr>
                <w:rFonts w:ascii="Arial" w:hAnsi="Arial" w:cs="Arial"/>
                <w:sz w:val="24"/>
                <w:szCs w:val="24"/>
              </w:rPr>
              <w:t xml:space="preserve">Most of the facts in this application are common cause and do not require a narration. </w:t>
            </w:r>
            <w:r w:rsidR="00080ABA">
              <w:rPr>
                <w:rFonts w:ascii="Arial" w:hAnsi="Arial"/>
                <w:sz w:val="24"/>
                <w:szCs w:val="24"/>
              </w:rPr>
              <w:t>On</w:t>
            </w:r>
            <w:r w:rsidR="0078340E">
              <w:rPr>
                <w:rFonts w:ascii="Arial" w:hAnsi="Arial"/>
                <w:sz w:val="24"/>
                <w:szCs w:val="24"/>
              </w:rPr>
              <w:br/>
            </w:r>
            <w:r w:rsidR="00080ABA">
              <w:rPr>
                <w:rFonts w:ascii="Arial" w:hAnsi="Arial"/>
                <w:sz w:val="24"/>
                <w:szCs w:val="24"/>
              </w:rPr>
              <w:t xml:space="preserve">19 April 2023, the applicant launched an application to set aside the </w:t>
            </w:r>
            <w:r w:rsidR="00E601E0">
              <w:rPr>
                <w:rFonts w:ascii="Arial" w:hAnsi="Arial"/>
                <w:sz w:val="24"/>
                <w:szCs w:val="24"/>
              </w:rPr>
              <w:t>deed of sale, in respect of farming property</w:t>
            </w:r>
            <w:r w:rsidR="00B3603F">
              <w:rPr>
                <w:rFonts w:ascii="Arial" w:hAnsi="Arial"/>
                <w:sz w:val="24"/>
                <w:szCs w:val="24"/>
              </w:rPr>
              <w:t xml:space="preserve"> described as </w:t>
            </w:r>
            <w:r w:rsidR="003D6D08">
              <w:rPr>
                <w:rFonts w:ascii="Arial" w:hAnsi="Arial"/>
                <w:sz w:val="24"/>
                <w:szCs w:val="24"/>
              </w:rPr>
              <w:t xml:space="preserve">Farm </w:t>
            </w:r>
            <w:proofErr w:type="spellStart"/>
            <w:r w:rsidR="003D6D08">
              <w:rPr>
                <w:rFonts w:ascii="Arial" w:hAnsi="Arial"/>
                <w:sz w:val="24"/>
                <w:szCs w:val="24"/>
              </w:rPr>
              <w:t>Ryneveld</w:t>
            </w:r>
            <w:proofErr w:type="spellEnd"/>
            <w:r w:rsidR="003D6D08">
              <w:rPr>
                <w:rFonts w:ascii="Arial" w:hAnsi="Arial"/>
                <w:sz w:val="24"/>
                <w:szCs w:val="24"/>
              </w:rPr>
              <w:t xml:space="preserve"> No. 367 Registration Division A, Kunene Region, measuring 3488.711 hectares</w:t>
            </w:r>
            <w:r w:rsidR="00B3603F">
              <w:rPr>
                <w:rFonts w:ascii="Arial" w:hAnsi="Arial"/>
                <w:sz w:val="24"/>
                <w:szCs w:val="24"/>
              </w:rPr>
              <w:t xml:space="preserve"> (the </w:t>
            </w:r>
            <w:r w:rsidR="0078340E">
              <w:rPr>
                <w:rFonts w:ascii="Arial" w:hAnsi="Arial"/>
                <w:sz w:val="24"/>
                <w:szCs w:val="24"/>
              </w:rPr>
              <w:t>‘</w:t>
            </w:r>
            <w:r w:rsidR="00B3603F">
              <w:rPr>
                <w:rFonts w:ascii="Arial" w:hAnsi="Arial"/>
                <w:sz w:val="24"/>
                <w:szCs w:val="24"/>
              </w:rPr>
              <w:t>property</w:t>
            </w:r>
            <w:r w:rsidR="0078340E">
              <w:rPr>
                <w:rFonts w:ascii="Arial" w:hAnsi="Arial"/>
                <w:sz w:val="24"/>
                <w:szCs w:val="24"/>
              </w:rPr>
              <w:t>’</w:t>
            </w:r>
            <w:r w:rsidR="00B3603F">
              <w:rPr>
                <w:rFonts w:ascii="Arial" w:hAnsi="Arial"/>
                <w:sz w:val="24"/>
                <w:szCs w:val="24"/>
              </w:rPr>
              <w:t>)</w:t>
            </w:r>
            <w:r w:rsidR="00E601E0">
              <w:rPr>
                <w:rFonts w:ascii="Arial" w:hAnsi="Arial"/>
                <w:sz w:val="24"/>
                <w:szCs w:val="24"/>
              </w:rPr>
              <w:t>,</w:t>
            </w:r>
            <w:r w:rsidR="00080ABA">
              <w:rPr>
                <w:rFonts w:ascii="Arial" w:hAnsi="Arial"/>
                <w:sz w:val="24"/>
                <w:szCs w:val="24"/>
              </w:rPr>
              <w:t xml:space="preserve"> concluded between the first respondent and the deputy sheriff. </w:t>
            </w:r>
            <w:r w:rsidR="000D2EFB">
              <w:rPr>
                <w:rFonts w:ascii="Arial" w:hAnsi="Arial"/>
                <w:sz w:val="24"/>
                <w:szCs w:val="24"/>
              </w:rPr>
              <w:t>The appli</w:t>
            </w:r>
            <w:r w:rsidR="007C5ADC">
              <w:rPr>
                <w:rFonts w:ascii="Arial" w:hAnsi="Arial"/>
                <w:sz w:val="24"/>
                <w:szCs w:val="24"/>
              </w:rPr>
              <w:t>cation was premised on the fact</w:t>
            </w:r>
            <w:r w:rsidR="00235487">
              <w:rPr>
                <w:rFonts w:ascii="Arial" w:hAnsi="Arial"/>
                <w:sz w:val="24"/>
                <w:szCs w:val="24"/>
              </w:rPr>
              <w:t xml:space="preserve"> that no</w:t>
            </w:r>
            <w:r w:rsidR="000D2EFB">
              <w:rPr>
                <w:rFonts w:ascii="Arial" w:hAnsi="Arial"/>
                <w:sz w:val="24"/>
                <w:szCs w:val="24"/>
              </w:rPr>
              <w:t xml:space="preserve"> leave was granted</w:t>
            </w:r>
            <w:r w:rsidR="00B3603F">
              <w:rPr>
                <w:rFonts w:ascii="Arial" w:hAnsi="Arial"/>
                <w:sz w:val="24"/>
                <w:szCs w:val="24"/>
              </w:rPr>
              <w:t xml:space="preserve"> by the Master of the High Court</w:t>
            </w:r>
            <w:r w:rsidR="000D2EFB">
              <w:rPr>
                <w:rFonts w:ascii="Arial" w:hAnsi="Arial"/>
                <w:sz w:val="24"/>
                <w:szCs w:val="24"/>
              </w:rPr>
              <w:t xml:space="preserve"> in terms of s 30 of the Administration of Estates Act</w:t>
            </w:r>
            <w:r w:rsidR="00425A3F">
              <w:rPr>
                <w:rFonts w:ascii="Arial" w:hAnsi="Arial"/>
                <w:sz w:val="24"/>
                <w:szCs w:val="24"/>
              </w:rPr>
              <w:t xml:space="preserve"> </w:t>
            </w:r>
            <w:r w:rsidR="00425A3F" w:rsidRPr="00425A3F">
              <w:rPr>
                <w:rFonts w:ascii="Arial" w:hAnsi="Arial"/>
                <w:sz w:val="24"/>
                <w:szCs w:val="24"/>
              </w:rPr>
              <w:t>66 of 1965</w:t>
            </w:r>
            <w:r w:rsidR="0080576C">
              <w:rPr>
                <w:rFonts w:ascii="Arial" w:hAnsi="Arial"/>
                <w:sz w:val="24"/>
                <w:szCs w:val="24"/>
              </w:rPr>
              <w:t>,</w:t>
            </w:r>
            <w:r w:rsidR="00AE3AEA">
              <w:rPr>
                <w:rFonts w:ascii="Arial" w:hAnsi="Arial"/>
                <w:sz w:val="24"/>
                <w:szCs w:val="24"/>
              </w:rPr>
              <w:t xml:space="preserve"> to sell and transfer the property.</w:t>
            </w:r>
          </w:p>
          <w:p w:rsidR="00224808" w:rsidRPr="006979B3" w:rsidRDefault="00224808" w:rsidP="0029105C">
            <w:pPr>
              <w:spacing w:line="360" w:lineRule="auto"/>
              <w:ind w:left="23" w:hanging="23"/>
              <w:jc w:val="both"/>
              <w:rPr>
                <w:rFonts w:ascii="Arial" w:hAnsi="Arial" w:cs="Arial"/>
                <w:sz w:val="24"/>
                <w:szCs w:val="24"/>
              </w:rPr>
            </w:pPr>
          </w:p>
          <w:p w:rsidR="006678D1" w:rsidRPr="006979B3" w:rsidRDefault="00AE3AEA" w:rsidP="0029105C">
            <w:pPr>
              <w:spacing w:line="360" w:lineRule="auto"/>
              <w:ind w:left="23" w:hanging="23"/>
              <w:jc w:val="both"/>
              <w:rPr>
                <w:rFonts w:ascii="Arial" w:hAnsi="Arial" w:cs="Arial"/>
                <w:sz w:val="24"/>
                <w:szCs w:val="24"/>
              </w:rPr>
            </w:pPr>
            <w:r>
              <w:rPr>
                <w:rFonts w:ascii="Arial" w:hAnsi="Arial" w:cs="Arial"/>
                <w:sz w:val="24"/>
                <w:szCs w:val="24"/>
              </w:rPr>
              <w:t>[4</w:t>
            </w:r>
            <w:r w:rsidR="002D20C5" w:rsidRPr="006979B3">
              <w:rPr>
                <w:rFonts w:ascii="Arial" w:hAnsi="Arial" w:cs="Arial"/>
                <w:sz w:val="24"/>
                <w:szCs w:val="24"/>
              </w:rPr>
              <w:t>]</w:t>
            </w:r>
            <w:r w:rsidR="002D20C5" w:rsidRPr="006979B3">
              <w:rPr>
                <w:rFonts w:ascii="Arial" w:hAnsi="Arial" w:cs="Arial"/>
                <w:sz w:val="24"/>
                <w:szCs w:val="24"/>
              </w:rPr>
              <w:tab/>
            </w:r>
            <w:r>
              <w:rPr>
                <w:rFonts w:ascii="Arial" w:hAnsi="Arial"/>
                <w:sz w:val="24"/>
                <w:szCs w:val="24"/>
              </w:rPr>
              <w:t>On 9 May 2023, the first respondent and the deputy sheriff concluded a</w:t>
            </w:r>
            <w:r w:rsidR="00C9102F">
              <w:rPr>
                <w:rFonts w:ascii="Arial" w:hAnsi="Arial"/>
                <w:sz w:val="24"/>
                <w:szCs w:val="24"/>
              </w:rPr>
              <w:t>n</w:t>
            </w:r>
            <w:r>
              <w:rPr>
                <w:rFonts w:ascii="Arial" w:hAnsi="Arial"/>
                <w:sz w:val="24"/>
                <w:szCs w:val="24"/>
              </w:rPr>
              <w:t xml:space="preserve"> agreement, whereby the sale agreement</w:t>
            </w:r>
            <w:r w:rsidR="00C9102F">
              <w:rPr>
                <w:rFonts w:ascii="Arial" w:hAnsi="Arial"/>
                <w:sz w:val="24"/>
                <w:szCs w:val="24"/>
              </w:rPr>
              <w:t xml:space="preserve"> of the property</w:t>
            </w:r>
            <w:r>
              <w:rPr>
                <w:rFonts w:ascii="Arial" w:hAnsi="Arial"/>
                <w:sz w:val="24"/>
                <w:szCs w:val="24"/>
              </w:rPr>
              <w:t xml:space="preserve"> was cancelled and the deputy sheriff undertook to instruct the fourth </w:t>
            </w:r>
            <w:r w:rsidR="00CA6A5A">
              <w:rPr>
                <w:rFonts w:ascii="Arial" w:hAnsi="Arial"/>
                <w:sz w:val="24"/>
                <w:szCs w:val="24"/>
              </w:rPr>
              <w:t>respondent</w:t>
            </w:r>
            <w:r w:rsidR="00276A73">
              <w:rPr>
                <w:rFonts w:ascii="Arial" w:hAnsi="Arial"/>
                <w:sz w:val="24"/>
                <w:szCs w:val="24"/>
              </w:rPr>
              <w:t xml:space="preserve">, being the </w:t>
            </w:r>
            <w:r w:rsidR="00E26421">
              <w:rPr>
                <w:rFonts w:ascii="Arial" w:hAnsi="Arial"/>
                <w:sz w:val="24"/>
                <w:szCs w:val="24"/>
              </w:rPr>
              <w:t>second</w:t>
            </w:r>
            <w:r w:rsidR="00276A73">
              <w:rPr>
                <w:rFonts w:ascii="Arial" w:hAnsi="Arial"/>
                <w:sz w:val="24"/>
                <w:szCs w:val="24"/>
              </w:rPr>
              <w:t xml:space="preserve"> respondent</w:t>
            </w:r>
            <w:r w:rsidR="00DE2F05">
              <w:rPr>
                <w:rFonts w:ascii="Arial" w:hAnsi="Arial"/>
                <w:sz w:val="24"/>
                <w:szCs w:val="24"/>
              </w:rPr>
              <w:t>’</w:t>
            </w:r>
            <w:r w:rsidR="00276A73">
              <w:rPr>
                <w:rFonts w:ascii="Arial" w:hAnsi="Arial"/>
                <w:sz w:val="24"/>
                <w:szCs w:val="24"/>
              </w:rPr>
              <w:t>s legal practitioners,</w:t>
            </w:r>
            <w:r w:rsidR="00CA6A5A">
              <w:rPr>
                <w:rFonts w:ascii="Arial" w:hAnsi="Arial"/>
                <w:sz w:val="24"/>
                <w:szCs w:val="24"/>
              </w:rPr>
              <w:t xml:space="preserve"> to repay the purchase price to </w:t>
            </w:r>
            <w:r w:rsidR="00276A73">
              <w:rPr>
                <w:rFonts w:ascii="Arial" w:hAnsi="Arial"/>
                <w:sz w:val="24"/>
                <w:szCs w:val="24"/>
              </w:rPr>
              <w:t>the first respondent</w:t>
            </w:r>
            <w:r w:rsidR="00CA6A5A">
              <w:rPr>
                <w:rFonts w:ascii="Arial" w:hAnsi="Arial"/>
                <w:sz w:val="24"/>
                <w:szCs w:val="24"/>
              </w:rPr>
              <w:t>.</w:t>
            </w:r>
            <w:r w:rsidR="00587CDB" w:rsidRPr="00587CDB">
              <w:rPr>
                <w:rFonts w:ascii="Arial" w:hAnsi="Arial"/>
                <w:sz w:val="24"/>
                <w:szCs w:val="24"/>
              </w:rPr>
              <w:t xml:space="preserve"> </w:t>
            </w:r>
            <w:r w:rsidR="00587CDB">
              <w:rPr>
                <w:rFonts w:ascii="Arial" w:hAnsi="Arial"/>
                <w:sz w:val="24"/>
                <w:szCs w:val="24"/>
              </w:rPr>
              <w:t>T</w:t>
            </w:r>
            <w:r w:rsidR="00587CDB" w:rsidRPr="00587CDB">
              <w:rPr>
                <w:rFonts w:ascii="Arial" w:hAnsi="Arial"/>
                <w:sz w:val="24"/>
                <w:szCs w:val="24"/>
              </w:rPr>
              <w:t>he applicant alleges</w:t>
            </w:r>
            <w:r w:rsidR="004C0204">
              <w:rPr>
                <w:rFonts w:ascii="Arial" w:hAnsi="Arial"/>
                <w:sz w:val="24"/>
                <w:szCs w:val="24"/>
              </w:rPr>
              <w:t xml:space="preserve"> </w:t>
            </w:r>
            <w:r w:rsidR="00587CDB">
              <w:rPr>
                <w:rFonts w:ascii="Arial" w:hAnsi="Arial"/>
                <w:sz w:val="24"/>
                <w:szCs w:val="24"/>
              </w:rPr>
              <w:t>that by 18 May 2023</w:t>
            </w:r>
            <w:r w:rsidR="00787F9E">
              <w:rPr>
                <w:rFonts w:ascii="Arial" w:hAnsi="Arial"/>
                <w:sz w:val="24"/>
                <w:szCs w:val="24"/>
              </w:rPr>
              <w:t>,</w:t>
            </w:r>
            <w:r w:rsidR="004C0204">
              <w:rPr>
                <w:rFonts w:ascii="Arial" w:hAnsi="Arial"/>
                <w:sz w:val="24"/>
                <w:szCs w:val="24"/>
              </w:rPr>
              <w:t xml:space="preserve"> the fourth respondent knew that the cancellation agreement had been concluded.</w:t>
            </w:r>
            <w:r>
              <w:rPr>
                <w:rFonts w:ascii="Arial" w:hAnsi="Arial"/>
                <w:sz w:val="24"/>
                <w:szCs w:val="24"/>
              </w:rPr>
              <w:t xml:space="preserve"> </w:t>
            </w:r>
            <w:r w:rsidR="00E26421">
              <w:rPr>
                <w:rFonts w:ascii="Arial" w:hAnsi="Arial"/>
                <w:sz w:val="24"/>
                <w:szCs w:val="24"/>
              </w:rPr>
              <w:t xml:space="preserve">The applicant and the first </w:t>
            </w:r>
            <w:r w:rsidR="00596ADD">
              <w:rPr>
                <w:rFonts w:ascii="Arial" w:hAnsi="Arial"/>
                <w:sz w:val="24"/>
                <w:szCs w:val="24"/>
              </w:rPr>
              <w:t>respondent entered into a settlement agreement on 30 May 20</w:t>
            </w:r>
            <w:r w:rsidR="00F8274C">
              <w:rPr>
                <w:rFonts w:ascii="Arial" w:hAnsi="Arial"/>
                <w:sz w:val="24"/>
                <w:szCs w:val="24"/>
              </w:rPr>
              <w:t>23, whereby</w:t>
            </w:r>
            <w:r w:rsidR="00787F9E">
              <w:rPr>
                <w:rFonts w:ascii="Arial" w:hAnsi="Arial"/>
                <w:sz w:val="24"/>
                <w:szCs w:val="24"/>
              </w:rPr>
              <w:t>,</w:t>
            </w:r>
            <w:r w:rsidR="00F8274C">
              <w:rPr>
                <w:rFonts w:ascii="Arial" w:hAnsi="Arial"/>
                <w:sz w:val="24"/>
                <w:szCs w:val="24"/>
              </w:rPr>
              <w:t xml:space="preserve"> the first respondent </w:t>
            </w:r>
            <w:r w:rsidR="00F8274C">
              <w:rPr>
                <w:rFonts w:ascii="Arial" w:hAnsi="Arial"/>
                <w:sz w:val="24"/>
                <w:szCs w:val="24"/>
              </w:rPr>
              <w:lastRenderedPageBreak/>
              <w:t>confirmed the termination of the conditions of sale and the applicant agr</w:t>
            </w:r>
            <w:r w:rsidR="00C9102F">
              <w:rPr>
                <w:rFonts w:ascii="Arial" w:hAnsi="Arial"/>
                <w:sz w:val="24"/>
                <w:szCs w:val="24"/>
              </w:rPr>
              <w:t>eed to withdraw the application</w:t>
            </w:r>
            <w:r w:rsidR="001B093C">
              <w:rPr>
                <w:rFonts w:ascii="Arial" w:hAnsi="Arial"/>
                <w:sz w:val="24"/>
                <w:szCs w:val="24"/>
              </w:rPr>
              <w:t xml:space="preserve"> </w:t>
            </w:r>
            <w:r w:rsidR="00F8274C">
              <w:rPr>
                <w:rFonts w:ascii="Arial" w:hAnsi="Arial"/>
                <w:sz w:val="24"/>
                <w:szCs w:val="24"/>
              </w:rPr>
              <w:t>against the first respondent</w:t>
            </w:r>
            <w:r w:rsidR="00C9102F">
              <w:rPr>
                <w:rFonts w:ascii="Arial" w:hAnsi="Arial"/>
                <w:sz w:val="24"/>
                <w:szCs w:val="24"/>
              </w:rPr>
              <w:t xml:space="preserve"> only</w:t>
            </w:r>
            <w:r w:rsidR="000423FC">
              <w:rPr>
                <w:rFonts w:ascii="Arial" w:hAnsi="Arial"/>
                <w:sz w:val="24"/>
                <w:szCs w:val="24"/>
              </w:rPr>
              <w:t xml:space="preserve"> and filed a status report reporting thereon.</w:t>
            </w:r>
            <w:r w:rsidR="001A4806">
              <w:rPr>
                <w:rFonts w:ascii="Arial" w:hAnsi="Arial"/>
                <w:sz w:val="24"/>
                <w:szCs w:val="24"/>
              </w:rPr>
              <w:t xml:space="preserve"> </w:t>
            </w:r>
            <w:r w:rsidR="00C9102F">
              <w:rPr>
                <w:rFonts w:ascii="Arial" w:hAnsi="Arial"/>
                <w:sz w:val="24"/>
                <w:szCs w:val="24"/>
              </w:rPr>
              <w:t>The applicant stated in the report</w:t>
            </w:r>
            <w:r w:rsidR="001B093C">
              <w:rPr>
                <w:rFonts w:ascii="Arial" w:hAnsi="Arial"/>
                <w:sz w:val="24"/>
                <w:szCs w:val="24"/>
              </w:rPr>
              <w:t xml:space="preserve"> that the application became moot against the first respo</w:t>
            </w:r>
            <w:r w:rsidR="00C9102F">
              <w:rPr>
                <w:rFonts w:ascii="Arial" w:hAnsi="Arial"/>
                <w:sz w:val="24"/>
                <w:szCs w:val="24"/>
              </w:rPr>
              <w:t>ndent and that the reason for the withdrawal was</w:t>
            </w:r>
            <w:r w:rsidR="001B093C">
              <w:rPr>
                <w:rFonts w:ascii="Arial" w:hAnsi="Arial"/>
                <w:sz w:val="24"/>
                <w:szCs w:val="24"/>
              </w:rPr>
              <w:t xml:space="preserve"> for the first respondent not to incur further costs in filing an answering affidavit.</w:t>
            </w:r>
          </w:p>
          <w:p w:rsidR="006678D1" w:rsidRDefault="006678D1" w:rsidP="0029105C">
            <w:pPr>
              <w:spacing w:line="360" w:lineRule="auto"/>
              <w:ind w:left="23" w:hanging="23"/>
              <w:jc w:val="both"/>
              <w:rPr>
                <w:rFonts w:ascii="Arial" w:hAnsi="Arial" w:cs="Arial"/>
                <w:sz w:val="24"/>
                <w:szCs w:val="24"/>
              </w:rPr>
            </w:pPr>
          </w:p>
          <w:p w:rsidR="007A69B7" w:rsidRDefault="000423FC" w:rsidP="0029105C">
            <w:pPr>
              <w:spacing w:line="360" w:lineRule="auto"/>
              <w:ind w:left="23" w:hanging="23"/>
              <w:jc w:val="both"/>
              <w:rPr>
                <w:rFonts w:ascii="Arial" w:hAnsi="Arial"/>
                <w:sz w:val="24"/>
                <w:szCs w:val="24"/>
              </w:rPr>
            </w:pPr>
            <w:r>
              <w:rPr>
                <w:rFonts w:ascii="Arial" w:hAnsi="Arial" w:cs="Arial"/>
                <w:sz w:val="24"/>
                <w:szCs w:val="24"/>
              </w:rPr>
              <w:t>[5</w:t>
            </w:r>
            <w:r w:rsidR="00816D42" w:rsidRPr="000423FC">
              <w:rPr>
                <w:rFonts w:ascii="Arial" w:hAnsi="Arial" w:cs="Arial"/>
                <w:sz w:val="24"/>
                <w:szCs w:val="24"/>
              </w:rPr>
              <w:t>]</w:t>
            </w:r>
            <w:r w:rsidR="00816D42" w:rsidRPr="000423FC">
              <w:rPr>
                <w:rFonts w:ascii="Arial" w:hAnsi="Arial" w:cs="Arial"/>
                <w:sz w:val="24"/>
                <w:szCs w:val="24"/>
              </w:rPr>
              <w:tab/>
            </w:r>
            <w:r>
              <w:rPr>
                <w:rFonts w:ascii="Arial" w:hAnsi="Arial"/>
                <w:sz w:val="24"/>
                <w:szCs w:val="24"/>
              </w:rPr>
              <w:t xml:space="preserve">On 14 June 2023, the second respondent filed </w:t>
            </w:r>
            <w:r w:rsidR="005B2063">
              <w:rPr>
                <w:rFonts w:ascii="Arial" w:hAnsi="Arial"/>
                <w:sz w:val="24"/>
                <w:szCs w:val="24"/>
              </w:rPr>
              <w:t>a condonation application for the late filin</w:t>
            </w:r>
            <w:r w:rsidR="00C9102F">
              <w:rPr>
                <w:rFonts w:ascii="Arial" w:hAnsi="Arial"/>
                <w:sz w:val="24"/>
                <w:szCs w:val="24"/>
              </w:rPr>
              <w:t xml:space="preserve">g </w:t>
            </w:r>
            <w:proofErr w:type="gramStart"/>
            <w:r w:rsidR="00C9102F">
              <w:rPr>
                <w:rFonts w:ascii="Arial" w:hAnsi="Arial"/>
                <w:sz w:val="24"/>
                <w:szCs w:val="24"/>
              </w:rPr>
              <w:t xml:space="preserve">of </w:t>
            </w:r>
            <w:r w:rsidR="005B2063">
              <w:rPr>
                <w:rFonts w:ascii="Arial" w:hAnsi="Arial"/>
                <w:sz w:val="24"/>
                <w:szCs w:val="24"/>
              </w:rPr>
              <w:t xml:space="preserve"> </w:t>
            </w:r>
            <w:r>
              <w:rPr>
                <w:rFonts w:ascii="Arial" w:hAnsi="Arial"/>
                <w:sz w:val="24"/>
                <w:szCs w:val="24"/>
              </w:rPr>
              <w:t>its</w:t>
            </w:r>
            <w:proofErr w:type="gramEnd"/>
            <w:r>
              <w:rPr>
                <w:rFonts w:ascii="Arial" w:hAnsi="Arial"/>
                <w:sz w:val="24"/>
                <w:szCs w:val="24"/>
              </w:rPr>
              <w:t xml:space="preserve"> answering </w:t>
            </w:r>
            <w:r w:rsidR="00C90ED1">
              <w:rPr>
                <w:rFonts w:ascii="Arial" w:hAnsi="Arial"/>
                <w:sz w:val="24"/>
                <w:szCs w:val="24"/>
              </w:rPr>
              <w:t>affidavit, in which it took a point</w:t>
            </w:r>
            <w:r>
              <w:rPr>
                <w:rFonts w:ascii="Arial" w:hAnsi="Arial"/>
                <w:sz w:val="24"/>
                <w:szCs w:val="24"/>
              </w:rPr>
              <w:t xml:space="preserve"> that </w:t>
            </w:r>
            <w:r w:rsidR="003438C1">
              <w:rPr>
                <w:rFonts w:ascii="Arial" w:hAnsi="Arial"/>
                <w:sz w:val="24"/>
                <w:szCs w:val="24"/>
              </w:rPr>
              <w:t xml:space="preserve">the applicant </w:t>
            </w:r>
            <w:r>
              <w:rPr>
                <w:rFonts w:ascii="Arial" w:hAnsi="Arial"/>
                <w:sz w:val="24"/>
                <w:szCs w:val="24"/>
              </w:rPr>
              <w:t>did</w:t>
            </w:r>
            <w:r w:rsidR="003438C1">
              <w:rPr>
                <w:rFonts w:ascii="Arial" w:hAnsi="Arial"/>
                <w:sz w:val="24"/>
                <w:szCs w:val="24"/>
              </w:rPr>
              <w:t xml:space="preserve"> ha</w:t>
            </w:r>
            <w:r w:rsidR="0080576C">
              <w:rPr>
                <w:rFonts w:ascii="Arial" w:hAnsi="Arial"/>
                <w:sz w:val="24"/>
                <w:szCs w:val="24"/>
              </w:rPr>
              <w:t>ve a</w:t>
            </w:r>
            <w:r w:rsidR="003438C1">
              <w:rPr>
                <w:rFonts w:ascii="Arial" w:hAnsi="Arial"/>
                <w:sz w:val="24"/>
                <w:szCs w:val="24"/>
              </w:rPr>
              <w:t xml:space="preserve"> </w:t>
            </w:r>
            <w:r w:rsidR="003438C1" w:rsidRPr="00787F9E">
              <w:rPr>
                <w:rFonts w:ascii="Arial" w:hAnsi="Arial"/>
                <w:i/>
                <w:sz w:val="24"/>
                <w:szCs w:val="24"/>
              </w:rPr>
              <w:t>locus standi</w:t>
            </w:r>
            <w:r w:rsidR="003438C1">
              <w:rPr>
                <w:rFonts w:ascii="Arial" w:hAnsi="Arial"/>
                <w:sz w:val="24"/>
                <w:szCs w:val="24"/>
              </w:rPr>
              <w:t xml:space="preserve"> and did</w:t>
            </w:r>
            <w:r>
              <w:rPr>
                <w:rFonts w:ascii="Arial" w:hAnsi="Arial"/>
                <w:sz w:val="24"/>
                <w:szCs w:val="24"/>
              </w:rPr>
              <w:t xml:space="preserve"> not make out a case and</w:t>
            </w:r>
            <w:r w:rsidR="003438C1">
              <w:rPr>
                <w:rFonts w:ascii="Arial" w:hAnsi="Arial"/>
                <w:sz w:val="24"/>
                <w:szCs w:val="24"/>
              </w:rPr>
              <w:t xml:space="preserve"> further</w:t>
            </w:r>
            <w:r>
              <w:rPr>
                <w:rFonts w:ascii="Arial" w:hAnsi="Arial"/>
                <w:sz w:val="24"/>
                <w:szCs w:val="24"/>
              </w:rPr>
              <w:t xml:space="preserve"> took issue with the settlement agreement.</w:t>
            </w:r>
            <w:r w:rsidR="001B5EF2">
              <w:rPr>
                <w:rFonts w:ascii="Arial" w:hAnsi="Arial"/>
                <w:sz w:val="24"/>
                <w:szCs w:val="24"/>
              </w:rPr>
              <w:t xml:space="preserve"> The applicant then filed a replying affidavit on 4 Jul</w:t>
            </w:r>
            <w:r w:rsidR="008353C1">
              <w:rPr>
                <w:rFonts w:ascii="Arial" w:hAnsi="Arial"/>
                <w:sz w:val="24"/>
                <w:szCs w:val="24"/>
              </w:rPr>
              <w:t>y 2023</w:t>
            </w:r>
            <w:r w:rsidR="00E75414">
              <w:rPr>
                <w:rFonts w:ascii="Arial" w:hAnsi="Arial"/>
                <w:sz w:val="24"/>
                <w:szCs w:val="24"/>
              </w:rPr>
              <w:t>.</w:t>
            </w:r>
          </w:p>
          <w:p w:rsidR="008353C1" w:rsidRPr="006979B3" w:rsidRDefault="008353C1" w:rsidP="0029105C">
            <w:pPr>
              <w:spacing w:line="360" w:lineRule="auto"/>
              <w:ind w:left="23" w:hanging="23"/>
              <w:jc w:val="both"/>
              <w:rPr>
                <w:rFonts w:ascii="Arial" w:hAnsi="Arial" w:cs="Arial"/>
                <w:sz w:val="24"/>
                <w:szCs w:val="24"/>
                <w:lang w:val="en-US"/>
              </w:rPr>
            </w:pPr>
          </w:p>
          <w:p w:rsidR="00491B80" w:rsidRPr="006B6A56" w:rsidRDefault="001B5EF2" w:rsidP="0029105C">
            <w:pPr>
              <w:spacing w:line="360" w:lineRule="auto"/>
              <w:ind w:left="23" w:hanging="23"/>
              <w:jc w:val="both"/>
              <w:rPr>
                <w:rFonts w:ascii="Arial" w:hAnsi="Arial" w:cs="Arial"/>
                <w:sz w:val="24"/>
                <w:szCs w:val="24"/>
              </w:rPr>
            </w:pPr>
            <w:r>
              <w:rPr>
                <w:rFonts w:ascii="Arial" w:hAnsi="Arial" w:cs="Arial"/>
                <w:sz w:val="24"/>
                <w:szCs w:val="24"/>
                <w:lang w:val="en-US"/>
              </w:rPr>
              <w:t>[6</w:t>
            </w:r>
            <w:r w:rsidR="007A69B7" w:rsidRPr="006979B3">
              <w:rPr>
                <w:rFonts w:ascii="Arial" w:hAnsi="Arial" w:cs="Arial"/>
                <w:sz w:val="24"/>
                <w:szCs w:val="24"/>
                <w:lang w:val="en-US"/>
              </w:rPr>
              <w:t>]</w:t>
            </w:r>
            <w:r w:rsidR="007A69B7" w:rsidRPr="006979B3">
              <w:rPr>
                <w:rFonts w:ascii="Arial" w:hAnsi="Arial" w:cs="Arial"/>
                <w:sz w:val="24"/>
                <w:szCs w:val="24"/>
              </w:rPr>
              <w:tab/>
            </w:r>
            <w:r w:rsidR="00927207">
              <w:rPr>
                <w:rFonts w:ascii="Arial" w:hAnsi="Arial" w:cs="Arial"/>
                <w:sz w:val="24"/>
                <w:szCs w:val="24"/>
              </w:rPr>
              <w:t>O</w:t>
            </w:r>
            <w:r w:rsidR="00E33B13">
              <w:rPr>
                <w:rFonts w:ascii="Arial" w:hAnsi="Arial" w:cs="Arial"/>
                <w:sz w:val="24"/>
                <w:szCs w:val="24"/>
              </w:rPr>
              <w:t>n 15</w:t>
            </w:r>
            <w:r w:rsidR="00927207">
              <w:rPr>
                <w:rFonts w:ascii="Arial" w:hAnsi="Arial" w:cs="Arial"/>
                <w:sz w:val="24"/>
                <w:szCs w:val="24"/>
              </w:rPr>
              <w:t xml:space="preserve"> </w:t>
            </w:r>
            <w:r w:rsidR="00E33B13">
              <w:rPr>
                <w:rFonts w:ascii="Arial" w:hAnsi="Arial" w:cs="Arial"/>
                <w:sz w:val="24"/>
                <w:szCs w:val="24"/>
              </w:rPr>
              <w:t>August</w:t>
            </w:r>
            <w:r w:rsidR="00927207">
              <w:rPr>
                <w:rFonts w:ascii="Arial" w:hAnsi="Arial" w:cs="Arial"/>
                <w:sz w:val="24"/>
                <w:szCs w:val="24"/>
              </w:rPr>
              <w:t xml:space="preserve"> 2023, the parties appeared in court for a case management conference hearing and the applicant</w:t>
            </w:r>
            <w:r w:rsidR="0080576C">
              <w:rPr>
                <w:rFonts w:ascii="Arial" w:hAnsi="Arial" w:cs="Arial"/>
                <w:sz w:val="24"/>
                <w:szCs w:val="24"/>
              </w:rPr>
              <w:t>’s legal practitioner</w:t>
            </w:r>
            <w:r w:rsidR="00927207">
              <w:rPr>
                <w:rFonts w:ascii="Arial" w:hAnsi="Arial" w:cs="Arial"/>
                <w:sz w:val="24"/>
                <w:szCs w:val="24"/>
              </w:rPr>
              <w:t xml:space="preserve"> requested for a postponement</w:t>
            </w:r>
            <w:r w:rsidR="00787F9E">
              <w:rPr>
                <w:rFonts w:ascii="Arial" w:hAnsi="Arial" w:cs="Arial"/>
                <w:sz w:val="24"/>
                <w:szCs w:val="24"/>
              </w:rPr>
              <w:t>,</w:t>
            </w:r>
            <w:r w:rsidR="00927207">
              <w:rPr>
                <w:rFonts w:ascii="Arial" w:hAnsi="Arial" w:cs="Arial"/>
                <w:sz w:val="24"/>
                <w:szCs w:val="24"/>
              </w:rPr>
              <w:t xml:space="preserve"> for </w:t>
            </w:r>
            <w:r w:rsidR="00787F9E">
              <w:rPr>
                <w:rFonts w:ascii="Arial" w:hAnsi="Arial" w:cs="Arial"/>
                <w:sz w:val="24"/>
                <w:szCs w:val="24"/>
              </w:rPr>
              <w:t>her</w:t>
            </w:r>
            <w:r w:rsidR="00927207">
              <w:rPr>
                <w:rFonts w:ascii="Arial" w:hAnsi="Arial" w:cs="Arial"/>
                <w:sz w:val="24"/>
                <w:szCs w:val="24"/>
              </w:rPr>
              <w:t xml:space="preserve"> t</w:t>
            </w:r>
            <w:r w:rsidR="00C9102F">
              <w:rPr>
                <w:rFonts w:ascii="Arial" w:hAnsi="Arial" w:cs="Arial"/>
                <w:sz w:val="24"/>
                <w:szCs w:val="24"/>
              </w:rPr>
              <w:t>o obtain further instructions</w:t>
            </w:r>
            <w:r w:rsidR="00927207">
              <w:rPr>
                <w:rFonts w:ascii="Arial" w:hAnsi="Arial" w:cs="Arial"/>
                <w:sz w:val="24"/>
                <w:szCs w:val="24"/>
              </w:rPr>
              <w:t xml:space="preserve">. </w:t>
            </w:r>
            <w:r w:rsidR="00E33B13">
              <w:rPr>
                <w:rFonts w:ascii="Arial" w:hAnsi="Arial" w:cs="Arial"/>
                <w:sz w:val="24"/>
                <w:szCs w:val="24"/>
              </w:rPr>
              <w:t xml:space="preserve">The matter was postponed to 12 September 2023, and on that day the applicant’s legal practitioner was absent. </w:t>
            </w:r>
            <w:r w:rsidR="006979B3" w:rsidRPr="006979B3">
              <w:rPr>
                <w:rFonts w:ascii="Arial" w:hAnsi="Arial"/>
                <w:sz w:val="24"/>
                <w:szCs w:val="24"/>
              </w:rPr>
              <w:t xml:space="preserve">On </w:t>
            </w:r>
            <w:r w:rsidR="00BC4913">
              <w:rPr>
                <w:rFonts w:ascii="Arial" w:hAnsi="Arial"/>
                <w:sz w:val="24"/>
                <w:szCs w:val="24"/>
              </w:rPr>
              <w:t>18 September 2023, the parties filed a joint stat</w:t>
            </w:r>
            <w:r w:rsidR="00235487">
              <w:rPr>
                <w:rFonts w:ascii="Arial" w:hAnsi="Arial"/>
                <w:sz w:val="24"/>
                <w:szCs w:val="24"/>
              </w:rPr>
              <w:t>us report in which it was stated that</w:t>
            </w:r>
            <w:r w:rsidR="00BC4913">
              <w:rPr>
                <w:rFonts w:ascii="Arial" w:hAnsi="Arial"/>
                <w:sz w:val="24"/>
                <w:szCs w:val="24"/>
              </w:rPr>
              <w:t xml:space="preserve"> the application has become moot and </w:t>
            </w:r>
            <w:r w:rsidR="00966132">
              <w:rPr>
                <w:rFonts w:ascii="Arial" w:hAnsi="Arial"/>
                <w:sz w:val="24"/>
                <w:szCs w:val="24"/>
              </w:rPr>
              <w:t xml:space="preserve">the applicant </w:t>
            </w:r>
            <w:r w:rsidR="00BC4913">
              <w:rPr>
                <w:rFonts w:ascii="Arial" w:hAnsi="Arial"/>
                <w:sz w:val="24"/>
                <w:szCs w:val="24"/>
              </w:rPr>
              <w:t>withdrew the application without tendering costs</w:t>
            </w:r>
            <w:r w:rsidR="007A69B7" w:rsidRPr="00307DB3">
              <w:rPr>
                <w:rFonts w:ascii="Arial" w:hAnsi="Arial" w:cs="Arial"/>
                <w:sz w:val="24"/>
                <w:szCs w:val="24"/>
              </w:rPr>
              <w:t>.</w:t>
            </w:r>
            <w:r w:rsidR="00491B80">
              <w:rPr>
                <w:rFonts w:ascii="Arial" w:hAnsi="Arial" w:cs="Arial"/>
                <w:sz w:val="24"/>
                <w:szCs w:val="24"/>
              </w:rPr>
              <w:t xml:space="preserve"> </w:t>
            </w:r>
            <w:r w:rsidR="00C9102F">
              <w:rPr>
                <w:rFonts w:ascii="Arial" w:hAnsi="Arial" w:cs="Arial"/>
                <w:sz w:val="24"/>
                <w:szCs w:val="24"/>
              </w:rPr>
              <w:t>Thereafter</w:t>
            </w:r>
            <w:r w:rsidR="0078340E">
              <w:rPr>
                <w:rFonts w:ascii="Arial" w:hAnsi="Arial" w:cs="Arial"/>
                <w:sz w:val="24"/>
                <w:szCs w:val="24"/>
              </w:rPr>
              <w:t>,</w:t>
            </w:r>
            <w:r w:rsidR="00C9102F">
              <w:rPr>
                <w:rFonts w:ascii="Arial" w:hAnsi="Arial" w:cs="Arial"/>
                <w:sz w:val="24"/>
                <w:szCs w:val="24"/>
              </w:rPr>
              <w:t xml:space="preserve"> </w:t>
            </w:r>
            <w:r w:rsidR="00966132">
              <w:rPr>
                <w:rFonts w:ascii="Arial" w:hAnsi="Arial" w:cs="Arial"/>
                <w:sz w:val="24"/>
                <w:szCs w:val="24"/>
              </w:rPr>
              <w:t>the applicant</w:t>
            </w:r>
            <w:r w:rsidR="00235487">
              <w:rPr>
                <w:rFonts w:ascii="Arial" w:hAnsi="Arial" w:cs="Arial"/>
                <w:sz w:val="24"/>
                <w:szCs w:val="24"/>
              </w:rPr>
              <w:t xml:space="preserve"> filed a formal notice of withdrawal of the application against all </w:t>
            </w:r>
            <w:r w:rsidR="0078340E">
              <w:rPr>
                <w:rFonts w:ascii="Arial" w:hAnsi="Arial" w:cs="Arial"/>
                <w:sz w:val="24"/>
                <w:szCs w:val="24"/>
              </w:rPr>
              <w:t>t</w:t>
            </w:r>
            <w:r w:rsidR="00235487">
              <w:rPr>
                <w:rFonts w:ascii="Arial" w:hAnsi="Arial" w:cs="Arial"/>
                <w:sz w:val="24"/>
                <w:szCs w:val="24"/>
              </w:rPr>
              <w:t>he respondents. The applicant did however</w:t>
            </w:r>
            <w:r w:rsidR="00787F9E">
              <w:rPr>
                <w:rFonts w:ascii="Arial" w:hAnsi="Arial" w:cs="Arial"/>
                <w:sz w:val="24"/>
                <w:szCs w:val="24"/>
              </w:rPr>
              <w:t xml:space="preserve"> not</w:t>
            </w:r>
            <w:r w:rsidR="00235487">
              <w:rPr>
                <w:rFonts w:ascii="Arial" w:hAnsi="Arial" w:cs="Arial"/>
                <w:sz w:val="24"/>
                <w:szCs w:val="24"/>
              </w:rPr>
              <w:t xml:space="preserve"> tender costs</w:t>
            </w:r>
            <w:r w:rsidR="00787F9E">
              <w:rPr>
                <w:rFonts w:ascii="Arial" w:hAnsi="Arial" w:cs="Arial"/>
                <w:sz w:val="24"/>
                <w:szCs w:val="24"/>
              </w:rPr>
              <w:t>,</w:t>
            </w:r>
            <w:r w:rsidR="00235487">
              <w:rPr>
                <w:rFonts w:ascii="Arial" w:hAnsi="Arial" w:cs="Arial"/>
                <w:sz w:val="24"/>
                <w:szCs w:val="24"/>
              </w:rPr>
              <w:t xml:space="preserve"> which prompted the second respondent to file the presen</w:t>
            </w:r>
            <w:r w:rsidR="00AE1644">
              <w:rPr>
                <w:rFonts w:ascii="Arial" w:hAnsi="Arial" w:cs="Arial"/>
                <w:sz w:val="24"/>
                <w:szCs w:val="24"/>
              </w:rPr>
              <w:t>t</w:t>
            </w:r>
            <w:r w:rsidR="00235487">
              <w:rPr>
                <w:rFonts w:ascii="Arial" w:hAnsi="Arial" w:cs="Arial"/>
                <w:sz w:val="24"/>
                <w:szCs w:val="24"/>
              </w:rPr>
              <w:t xml:space="preserve"> application.</w:t>
            </w:r>
          </w:p>
          <w:p w:rsidR="00B05A08" w:rsidRPr="00307DB3" w:rsidRDefault="00B05A08" w:rsidP="0029105C">
            <w:pPr>
              <w:spacing w:line="360" w:lineRule="auto"/>
              <w:ind w:left="23" w:hanging="23"/>
              <w:jc w:val="both"/>
              <w:rPr>
                <w:rFonts w:ascii="Arial" w:hAnsi="Arial" w:cs="Arial"/>
                <w:sz w:val="24"/>
                <w:szCs w:val="24"/>
                <w:lang w:val="en-US"/>
              </w:rPr>
            </w:pPr>
          </w:p>
          <w:p w:rsidR="00EF1728" w:rsidRDefault="00D139A4" w:rsidP="0029105C">
            <w:pPr>
              <w:spacing w:line="360" w:lineRule="auto"/>
              <w:ind w:left="23" w:hanging="23"/>
              <w:jc w:val="both"/>
              <w:rPr>
                <w:rFonts w:ascii="Arial" w:hAnsi="Arial" w:cs="Arial"/>
                <w:sz w:val="24"/>
                <w:szCs w:val="24"/>
              </w:rPr>
            </w:pPr>
            <w:r>
              <w:rPr>
                <w:rFonts w:ascii="Arial" w:hAnsi="Arial" w:cs="Arial"/>
                <w:sz w:val="24"/>
                <w:szCs w:val="24"/>
                <w:lang w:val="en-US"/>
              </w:rPr>
              <w:t>[7</w:t>
            </w:r>
            <w:r w:rsidR="00B16A04" w:rsidRPr="00307DB3">
              <w:rPr>
                <w:rFonts w:ascii="Arial" w:hAnsi="Arial" w:cs="Arial"/>
                <w:sz w:val="24"/>
                <w:szCs w:val="24"/>
                <w:lang w:val="en-US"/>
              </w:rPr>
              <w:t>]</w:t>
            </w:r>
            <w:r w:rsidR="00B16A04" w:rsidRPr="00307DB3">
              <w:rPr>
                <w:rFonts w:ascii="Arial" w:hAnsi="Arial" w:cs="Arial"/>
                <w:sz w:val="24"/>
                <w:szCs w:val="24"/>
              </w:rPr>
              <w:tab/>
            </w:r>
            <w:r w:rsidR="00093CD2">
              <w:rPr>
                <w:rFonts w:ascii="Arial" w:hAnsi="Arial" w:cs="Arial"/>
                <w:sz w:val="24"/>
                <w:szCs w:val="24"/>
              </w:rPr>
              <w:t>It is common cause that</w:t>
            </w:r>
            <w:r w:rsidR="00AE1644">
              <w:rPr>
                <w:rFonts w:ascii="Arial" w:hAnsi="Arial" w:cs="Arial"/>
                <w:sz w:val="24"/>
                <w:szCs w:val="24"/>
              </w:rPr>
              <w:t xml:space="preserve"> after she</w:t>
            </w:r>
            <w:r w:rsidR="00C90ED1">
              <w:rPr>
                <w:rFonts w:ascii="Arial" w:hAnsi="Arial" w:cs="Arial"/>
                <w:sz w:val="24"/>
                <w:szCs w:val="24"/>
              </w:rPr>
              <w:t xml:space="preserve"> withdrew her application, she </w:t>
            </w:r>
            <w:r w:rsidR="00903964">
              <w:rPr>
                <w:rFonts w:ascii="Arial" w:hAnsi="Arial" w:cs="Arial"/>
                <w:sz w:val="24"/>
                <w:szCs w:val="24"/>
              </w:rPr>
              <w:t xml:space="preserve">issued summons against the respondents in the present matter </w:t>
            </w:r>
            <w:r w:rsidR="00C90ED1">
              <w:rPr>
                <w:rFonts w:ascii="Arial" w:hAnsi="Arial" w:cs="Arial"/>
                <w:sz w:val="24"/>
                <w:szCs w:val="24"/>
              </w:rPr>
              <w:t>based on the fact that</w:t>
            </w:r>
            <w:r w:rsidR="00A07861">
              <w:rPr>
                <w:rFonts w:ascii="Arial" w:hAnsi="Arial" w:cs="Arial"/>
                <w:sz w:val="24"/>
                <w:szCs w:val="24"/>
              </w:rPr>
              <w:t xml:space="preserve"> the second respondent</w:t>
            </w:r>
            <w:r w:rsidR="00C90ED1">
              <w:rPr>
                <w:rFonts w:ascii="Arial" w:hAnsi="Arial" w:cs="Arial"/>
                <w:sz w:val="24"/>
                <w:szCs w:val="24"/>
              </w:rPr>
              <w:t xml:space="preserve"> instructed its lawyers, the fourth respondent, to transfer</w:t>
            </w:r>
            <w:r w:rsidR="00A07861">
              <w:rPr>
                <w:rFonts w:ascii="Arial" w:hAnsi="Arial" w:cs="Arial"/>
                <w:sz w:val="24"/>
                <w:szCs w:val="24"/>
              </w:rPr>
              <w:t xml:space="preserve"> the property to the first respondent</w:t>
            </w:r>
            <w:r w:rsidR="00C90ED1">
              <w:rPr>
                <w:rFonts w:ascii="Arial" w:hAnsi="Arial" w:cs="Arial"/>
                <w:sz w:val="24"/>
                <w:szCs w:val="24"/>
              </w:rPr>
              <w:t xml:space="preserve">. </w:t>
            </w:r>
            <w:r w:rsidR="00F16C7A">
              <w:rPr>
                <w:rFonts w:ascii="Arial" w:hAnsi="Arial" w:cs="Arial"/>
                <w:sz w:val="24"/>
                <w:szCs w:val="24"/>
              </w:rPr>
              <w:t>The applicant</w:t>
            </w:r>
            <w:r w:rsidR="00C90ED1">
              <w:rPr>
                <w:rFonts w:ascii="Arial" w:hAnsi="Arial" w:cs="Arial"/>
                <w:sz w:val="24"/>
                <w:szCs w:val="24"/>
              </w:rPr>
              <w:t xml:space="preserve"> ther</w:t>
            </w:r>
            <w:r w:rsidR="00787F9E">
              <w:rPr>
                <w:rFonts w:ascii="Arial" w:hAnsi="Arial" w:cs="Arial"/>
                <w:sz w:val="24"/>
                <w:szCs w:val="24"/>
              </w:rPr>
              <w:t>efore contend</w:t>
            </w:r>
            <w:r w:rsidR="00F16C7A">
              <w:rPr>
                <w:rFonts w:ascii="Arial" w:hAnsi="Arial" w:cs="Arial"/>
                <w:sz w:val="24"/>
                <w:szCs w:val="24"/>
              </w:rPr>
              <w:t>s that it would be convenient</w:t>
            </w:r>
            <w:r w:rsidR="00903964">
              <w:rPr>
                <w:rFonts w:ascii="Arial" w:hAnsi="Arial" w:cs="Arial"/>
                <w:sz w:val="24"/>
                <w:szCs w:val="24"/>
              </w:rPr>
              <w:t xml:space="preserve"> that</w:t>
            </w:r>
            <w:r w:rsidR="00EF1728">
              <w:rPr>
                <w:rFonts w:ascii="Arial" w:hAnsi="Arial" w:cs="Arial"/>
                <w:sz w:val="24"/>
                <w:szCs w:val="24"/>
              </w:rPr>
              <w:t xml:space="preserve"> the</w:t>
            </w:r>
            <w:r w:rsidR="00903964">
              <w:rPr>
                <w:rFonts w:ascii="Arial" w:hAnsi="Arial" w:cs="Arial"/>
                <w:sz w:val="24"/>
                <w:szCs w:val="24"/>
              </w:rPr>
              <w:t xml:space="preserve"> costs</w:t>
            </w:r>
            <w:r w:rsidR="00EF1728">
              <w:rPr>
                <w:rFonts w:ascii="Arial" w:hAnsi="Arial" w:cs="Arial"/>
                <w:sz w:val="24"/>
                <w:szCs w:val="24"/>
              </w:rPr>
              <w:t xml:space="preserve"> in the present matter should stand over pending the finalisation of that action and that the costs of the</w:t>
            </w:r>
            <w:r w:rsidR="0080576C">
              <w:rPr>
                <w:rFonts w:ascii="Arial" w:hAnsi="Arial" w:cs="Arial"/>
                <w:sz w:val="24"/>
                <w:szCs w:val="24"/>
              </w:rPr>
              <w:t xml:space="preserve"> present</w:t>
            </w:r>
            <w:r w:rsidR="00EF1728">
              <w:rPr>
                <w:rFonts w:ascii="Arial" w:hAnsi="Arial" w:cs="Arial"/>
                <w:sz w:val="24"/>
                <w:szCs w:val="24"/>
              </w:rPr>
              <w:t xml:space="preserve"> application stand over for determination by the court whi</w:t>
            </w:r>
            <w:r w:rsidR="00FC1818">
              <w:rPr>
                <w:rFonts w:ascii="Arial" w:hAnsi="Arial" w:cs="Arial"/>
                <w:sz w:val="24"/>
                <w:szCs w:val="24"/>
              </w:rPr>
              <w:t>ch will hear the action matter.</w:t>
            </w:r>
          </w:p>
          <w:p w:rsidR="00EF1728" w:rsidRDefault="00EF1728" w:rsidP="0029105C">
            <w:pPr>
              <w:spacing w:line="360" w:lineRule="auto"/>
              <w:ind w:left="23" w:hanging="23"/>
              <w:jc w:val="both"/>
              <w:rPr>
                <w:rFonts w:ascii="Arial" w:hAnsi="Arial" w:cs="Arial"/>
                <w:sz w:val="24"/>
                <w:szCs w:val="24"/>
              </w:rPr>
            </w:pPr>
          </w:p>
          <w:p w:rsidR="00D37812" w:rsidRDefault="00887C17" w:rsidP="0029105C">
            <w:pPr>
              <w:spacing w:line="360" w:lineRule="auto"/>
              <w:ind w:left="23" w:hanging="23"/>
              <w:jc w:val="both"/>
              <w:rPr>
                <w:rFonts w:ascii="Arial" w:hAnsi="Arial"/>
                <w:sz w:val="24"/>
                <w:szCs w:val="24"/>
              </w:rPr>
            </w:pPr>
            <w:r>
              <w:rPr>
                <w:rFonts w:ascii="Arial" w:hAnsi="Arial"/>
                <w:sz w:val="24"/>
                <w:szCs w:val="24"/>
              </w:rPr>
              <w:t>[8</w:t>
            </w:r>
            <w:r w:rsidR="00903964">
              <w:rPr>
                <w:rFonts w:ascii="Arial" w:hAnsi="Arial"/>
                <w:sz w:val="24"/>
                <w:szCs w:val="24"/>
              </w:rPr>
              <w:t>]</w:t>
            </w:r>
            <w:r w:rsidR="00903964">
              <w:rPr>
                <w:rFonts w:ascii="Arial" w:hAnsi="Arial"/>
                <w:sz w:val="24"/>
                <w:szCs w:val="24"/>
              </w:rPr>
              <w:tab/>
            </w:r>
            <w:r w:rsidR="00F16C7A">
              <w:rPr>
                <w:rFonts w:ascii="Arial" w:hAnsi="Arial"/>
                <w:sz w:val="24"/>
                <w:szCs w:val="24"/>
              </w:rPr>
              <w:t>The applicant</w:t>
            </w:r>
            <w:r>
              <w:rPr>
                <w:rFonts w:ascii="Arial" w:hAnsi="Arial"/>
                <w:sz w:val="24"/>
                <w:szCs w:val="24"/>
              </w:rPr>
              <w:t xml:space="preserve"> </w:t>
            </w:r>
            <w:r w:rsidR="00F16C7A">
              <w:rPr>
                <w:rFonts w:ascii="Arial" w:hAnsi="Arial"/>
                <w:sz w:val="24"/>
                <w:szCs w:val="24"/>
              </w:rPr>
              <w:t>argues</w:t>
            </w:r>
            <w:r w:rsidR="00EF1728">
              <w:rPr>
                <w:rFonts w:ascii="Arial" w:hAnsi="Arial"/>
                <w:sz w:val="24"/>
                <w:szCs w:val="24"/>
              </w:rPr>
              <w:t xml:space="preserve"> that</w:t>
            </w:r>
            <w:r w:rsidR="00F16C7A">
              <w:rPr>
                <w:rFonts w:ascii="Arial" w:hAnsi="Arial"/>
                <w:sz w:val="24"/>
                <w:szCs w:val="24"/>
              </w:rPr>
              <w:t xml:space="preserve"> that the second</w:t>
            </w:r>
            <w:r>
              <w:rPr>
                <w:rFonts w:ascii="Arial" w:hAnsi="Arial"/>
                <w:sz w:val="24"/>
                <w:szCs w:val="24"/>
              </w:rPr>
              <w:t xml:space="preserve"> respondent</w:t>
            </w:r>
            <w:r w:rsidR="00EF1728">
              <w:rPr>
                <w:rFonts w:ascii="Arial" w:hAnsi="Arial"/>
                <w:sz w:val="24"/>
                <w:szCs w:val="24"/>
              </w:rPr>
              <w:t xml:space="preserve"> </w:t>
            </w:r>
            <w:r w:rsidR="00787F9E">
              <w:rPr>
                <w:rFonts w:ascii="Arial" w:hAnsi="Arial"/>
                <w:sz w:val="24"/>
                <w:szCs w:val="24"/>
              </w:rPr>
              <w:t>unnecessarily</w:t>
            </w:r>
            <w:r w:rsidR="00EF1728">
              <w:rPr>
                <w:rFonts w:ascii="Arial" w:hAnsi="Arial"/>
                <w:sz w:val="24"/>
                <w:szCs w:val="24"/>
              </w:rPr>
              <w:t xml:space="preserve"> incurred costs by filing</w:t>
            </w:r>
            <w:r>
              <w:rPr>
                <w:rFonts w:ascii="Arial" w:hAnsi="Arial"/>
                <w:sz w:val="24"/>
                <w:szCs w:val="24"/>
              </w:rPr>
              <w:t xml:space="preserve"> its answering affidavit</w:t>
            </w:r>
            <w:r w:rsidR="00EF1728">
              <w:rPr>
                <w:rFonts w:ascii="Arial" w:hAnsi="Arial"/>
                <w:sz w:val="24"/>
                <w:szCs w:val="24"/>
              </w:rPr>
              <w:t xml:space="preserve"> while it had knowledge that the application had become moot. </w:t>
            </w:r>
            <w:r w:rsidR="00F16C7A">
              <w:rPr>
                <w:rFonts w:ascii="Arial" w:hAnsi="Arial"/>
                <w:sz w:val="24"/>
                <w:szCs w:val="24"/>
              </w:rPr>
              <w:t>Notwithstanding that knowledge</w:t>
            </w:r>
            <w:r w:rsidR="00787F9E">
              <w:rPr>
                <w:rFonts w:ascii="Arial" w:hAnsi="Arial"/>
                <w:sz w:val="24"/>
                <w:szCs w:val="24"/>
              </w:rPr>
              <w:t>,</w:t>
            </w:r>
            <w:r w:rsidR="00F16C7A">
              <w:rPr>
                <w:rFonts w:ascii="Arial" w:hAnsi="Arial"/>
                <w:sz w:val="24"/>
                <w:szCs w:val="24"/>
              </w:rPr>
              <w:t xml:space="preserve"> </w:t>
            </w:r>
            <w:r w:rsidR="0080576C">
              <w:rPr>
                <w:rFonts w:ascii="Arial" w:hAnsi="Arial"/>
                <w:sz w:val="24"/>
                <w:szCs w:val="24"/>
              </w:rPr>
              <w:t xml:space="preserve">so the argument goes to </w:t>
            </w:r>
            <w:r w:rsidR="00F16C7A">
              <w:rPr>
                <w:rFonts w:ascii="Arial" w:hAnsi="Arial"/>
                <w:sz w:val="24"/>
                <w:szCs w:val="24"/>
              </w:rPr>
              <w:t>the second respondent proceeded to file the answering affidavit</w:t>
            </w:r>
            <w:r w:rsidR="00614678">
              <w:rPr>
                <w:rFonts w:ascii="Arial" w:hAnsi="Arial"/>
                <w:sz w:val="24"/>
                <w:szCs w:val="24"/>
              </w:rPr>
              <w:t>, with</w:t>
            </w:r>
            <w:r w:rsidR="00F16C7A">
              <w:rPr>
                <w:rFonts w:ascii="Arial" w:hAnsi="Arial"/>
                <w:sz w:val="24"/>
                <w:szCs w:val="24"/>
              </w:rPr>
              <w:t xml:space="preserve"> an application for condonation, two weeks later</w:t>
            </w:r>
            <w:r w:rsidR="00614678">
              <w:rPr>
                <w:rFonts w:ascii="Arial" w:hAnsi="Arial"/>
                <w:sz w:val="24"/>
                <w:szCs w:val="24"/>
              </w:rPr>
              <w:t>.</w:t>
            </w:r>
            <w:r w:rsidR="00F16C7A">
              <w:rPr>
                <w:rFonts w:ascii="Arial" w:hAnsi="Arial"/>
                <w:sz w:val="24"/>
                <w:szCs w:val="24"/>
              </w:rPr>
              <w:t xml:space="preserve"> </w:t>
            </w:r>
            <w:r w:rsidR="00EF1728">
              <w:rPr>
                <w:rFonts w:ascii="Arial" w:hAnsi="Arial"/>
                <w:sz w:val="24"/>
                <w:szCs w:val="24"/>
              </w:rPr>
              <w:t xml:space="preserve">As I </w:t>
            </w:r>
            <w:r w:rsidR="00D37812">
              <w:rPr>
                <w:rFonts w:ascii="Arial" w:hAnsi="Arial"/>
                <w:sz w:val="24"/>
                <w:szCs w:val="24"/>
              </w:rPr>
              <w:t>understand</w:t>
            </w:r>
            <w:r w:rsidR="00FC1818">
              <w:rPr>
                <w:rFonts w:ascii="Arial" w:hAnsi="Arial"/>
                <w:sz w:val="24"/>
                <w:szCs w:val="24"/>
              </w:rPr>
              <w:t>,</w:t>
            </w:r>
            <w:r w:rsidR="00614678">
              <w:rPr>
                <w:rFonts w:ascii="Arial" w:hAnsi="Arial"/>
                <w:sz w:val="24"/>
                <w:szCs w:val="24"/>
              </w:rPr>
              <w:t xml:space="preserve"> the applicant’s complaint in this regard, she intimates</w:t>
            </w:r>
            <w:r w:rsidR="00EF1728">
              <w:rPr>
                <w:rFonts w:ascii="Arial" w:hAnsi="Arial"/>
                <w:sz w:val="24"/>
                <w:szCs w:val="24"/>
              </w:rPr>
              <w:t xml:space="preserve"> that the second respondent should not be </w:t>
            </w:r>
            <w:r w:rsidR="00D37812">
              <w:rPr>
                <w:rFonts w:ascii="Arial" w:hAnsi="Arial"/>
                <w:sz w:val="24"/>
                <w:szCs w:val="24"/>
              </w:rPr>
              <w:t>awarded costs relating to the</w:t>
            </w:r>
            <w:r>
              <w:rPr>
                <w:rFonts w:ascii="Arial" w:hAnsi="Arial"/>
                <w:sz w:val="24"/>
                <w:szCs w:val="24"/>
              </w:rPr>
              <w:t xml:space="preserve"> late </w:t>
            </w:r>
            <w:r w:rsidR="00D37812">
              <w:rPr>
                <w:rFonts w:ascii="Arial" w:hAnsi="Arial"/>
                <w:sz w:val="24"/>
                <w:szCs w:val="24"/>
              </w:rPr>
              <w:t>filing of its answering affidavit in the event a costs order is granted in its favour.</w:t>
            </w:r>
          </w:p>
          <w:p w:rsidR="00887C17" w:rsidRDefault="00887C17" w:rsidP="0029105C">
            <w:pPr>
              <w:spacing w:line="360" w:lineRule="auto"/>
              <w:ind w:left="23" w:hanging="23"/>
              <w:jc w:val="both"/>
              <w:rPr>
                <w:rFonts w:ascii="Arial" w:hAnsi="Arial"/>
                <w:sz w:val="24"/>
                <w:szCs w:val="24"/>
              </w:rPr>
            </w:pPr>
          </w:p>
          <w:p w:rsidR="00B16A04" w:rsidRPr="00307DB3" w:rsidRDefault="00887C17" w:rsidP="0029105C">
            <w:pPr>
              <w:spacing w:line="360" w:lineRule="auto"/>
              <w:ind w:left="23" w:hanging="23"/>
              <w:jc w:val="both"/>
              <w:rPr>
                <w:rFonts w:ascii="Arial" w:hAnsi="Arial" w:cs="Arial"/>
                <w:sz w:val="24"/>
                <w:szCs w:val="24"/>
                <w:lang w:val="en-US"/>
              </w:rPr>
            </w:pPr>
            <w:r>
              <w:rPr>
                <w:rFonts w:ascii="Arial" w:hAnsi="Arial"/>
                <w:sz w:val="24"/>
                <w:szCs w:val="24"/>
              </w:rPr>
              <w:t>[9]</w:t>
            </w:r>
            <w:r>
              <w:rPr>
                <w:rFonts w:ascii="Arial" w:hAnsi="Arial"/>
                <w:sz w:val="24"/>
                <w:szCs w:val="24"/>
              </w:rPr>
              <w:tab/>
            </w:r>
            <w:r w:rsidR="00D37812">
              <w:rPr>
                <w:rFonts w:ascii="Arial" w:hAnsi="Arial"/>
                <w:sz w:val="24"/>
                <w:szCs w:val="24"/>
              </w:rPr>
              <w:t>Having regard to the foregoing, the crispy issue for determination</w:t>
            </w:r>
            <w:r w:rsidR="00307DB3" w:rsidRPr="00307DB3">
              <w:rPr>
                <w:rFonts w:ascii="Arial" w:hAnsi="Arial"/>
                <w:sz w:val="24"/>
                <w:szCs w:val="24"/>
              </w:rPr>
              <w:t xml:space="preserve"> is whether the</w:t>
            </w:r>
            <w:r w:rsidR="00D37812">
              <w:rPr>
                <w:rFonts w:ascii="Arial" w:hAnsi="Arial"/>
                <w:sz w:val="24"/>
                <w:szCs w:val="24"/>
              </w:rPr>
              <w:t xml:space="preserve"> applicant should be ordered to pay the second</w:t>
            </w:r>
            <w:r w:rsidR="00307DB3" w:rsidRPr="00307DB3">
              <w:rPr>
                <w:rFonts w:ascii="Arial" w:hAnsi="Arial"/>
                <w:sz w:val="24"/>
                <w:szCs w:val="24"/>
              </w:rPr>
              <w:t xml:space="preserve"> respondent</w:t>
            </w:r>
            <w:r w:rsidR="00D37812">
              <w:rPr>
                <w:rFonts w:ascii="Arial" w:hAnsi="Arial"/>
                <w:sz w:val="24"/>
                <w:szCs w:val="24"/>
              </w:rPr>
              <w:t>’s</w:t>
            </w:r>
            <w:r w:rsidR="00307DB3" w:rsidRPr="00307DB3">
              <w:rPr>
                <w:rFonts w:ascii="Arial" w:hAnsi="Arial"/>
                <w:sz w:val="24"/>
                <w:szCs w:val="24"/>
              </w:rPr>
              <w:t xml:space="preserve"> costs</w:t>
            </w:r>
            <w:r w:rsidR="00295EDD">
              <w:rPr>
                <w:rFonts w:ascii="Arial" w:hAnsi="Arial"/>
                <w:sz w:val="24"/>
                <w:szCs w:val="24"/>
              </w:rPr>
              <w:t xml:space="preserve"> at this stage</w:t>
            </w:r>
            <w:r w:rsidR="00D37812">
              <w:rPr>
                <w:rFonts w:ascii="Arial" w:hAnsi="Arial"/>
                <w:sz w:val="24"/>
                <w:szCs w:val="24"/>
              </w:rPr>
              <w:t xml:space="preserve"> or whether the costs should be ordered to stand over for determination by the court </w:t>
            </w:r>
            <w:r w:rsidR="00614678">
              <w:rPr>
                <w:rFonts w:ascii="Arial" w:hAnsi="Arial"/>
                <w:sz w:val="24"/>
                <w:szCs w:val="24"/>
              </w:rPr>
              <w:t xml:space="preserve">that will determine the dispute </w:t>
            </w:r>
            <w:r w:rsidR="00D37812">
              <w:rPr>
                <w:rFonts w:ascii="Arial" w:hAnsi="Arial"/>
                <w:sz w:val="24"/>
                <w:szCs w:val="24"/>
              </w:rPr>
              <w:t>in the action proceedings</w:t>
            </w:r>
            <w:r w:rsidR="009018D4" w:rsidRPr="00307DB3">
              <w:rPr>
                <w:rFonts w:ascii="Arial" w:hAnsi="Arial" w:cs="Arial"/>
                <w:sz w:val="24"/>
                <w:szCs w:val="24"/>
              </w:rPr>
              <w:t>.</w:t>
            </w:r>
          </w:p>
          <w:p w:rsidR="00346B7A" w:rsidRPr="00307DB3" w:rsidRDefault="00346B7A" w:rsidP="0029105C">
            <w:pPr>
              <w:spacing w:line="360" w:lineRule="auto"/>
              <w:ind w:left="23" w:hanging="23"/>
              <w:jc w:val="both"/>
              <w:rPr>
                <w:rFonts w:ascii="Arial" w:hAnsi="Arial" w:cs="Arial"/>
                <w:sz w:val="24"/>
                <w:szCs w:val="24"/>
                <w:lang w:val="en-US"/>
              </w:rPr>
            </w:pPr>
          </w:p>
          <w:p w:rsidR="00307DB3" w:rsidRPr="00307DB3" w:rsidRDefault="00307DB3" w:rsidP="0029105C">
            <w:pPr>
              <w:spacing w:line="360" w:lineRule="auto"/>
              <w:ind w:left="23" w:hanging="23"/>
              <w:jc w:val="both"/>
              <w:rPr>
                <w:rFonts w:ascii="Arial" w:hAnsi="Arial" w:cs="Arial"/>
                <w:sz w:val="24"/>
                <w:szCs w:val="24"/>
                <w:lang w:val="en-US"/>
              </w:rPr>
            </w:pPr>
            <w:r w:rsidRPr="00307DB3">
              <w:rPr>
                <w:rFonts w:ascii="Arial" w:hAnsi="Arial"/>
                <w:sz w:val="24"/>
                <w:szCs w:val="24"/>
                <w:u w:val="single"/>
              </w:rPr>
              <w:t>Applicable law</w:t>
            </w:r>
          </w:p>
          <w:p w:rsidR="00307DB3" w:rsidRPr="00307DB3" w:rsidRDefault="00307DB3" w:rsidP="0029105C">
            <w:pPr>
              <w:spacing w:line="360" w:lineRule="auto"/>
              <w:ind w:left="23" w:hanging="23"/>
              <w:jc w:val="both"/>
              <w:rPr>
                <w:rFonts w:ascii="Arial" w:hAnsi="Arial" w:cs="Arial"/>
                <w:sz w:val="24"/>
                <w:szCs w:val="24"/>
                <w:lang w:val="en-US"/>
              </w:rPr>
            </w:pPr>
          </w:p>
          <w:p w:rsidR="00024F0E" w:rsidRPr="00307DB3" w:rsidRDefault="007A69B7" w:rsidP="0029105C">
            <w:pPr>
              <w:spacing w:line="360" w:lineRule="auto"/>
              <w:ind w:left="23" w:hanging="23"/>
              <w:jc w:val="both"/>
              <w:rPr>
                <w:rFonts w:ascii="Arial" w:hAnsi="Arial" w:cs="Arial"/>
                <w:sz w:val="24"/>
                <w:szCs w:val="24"/>
                <w:lang w:val="en-US"/>
              </w:rPr>
            </w:pPr>
            <w:r w:rsidRPr="00307DB3">
              <w:rPr>
                <w:rFonts w:ascii="Arial" w:hAnsi="Arial" w:cs="Arial"/>
                <w:sz w:val="24"/>
                <w:szCs w:val="24"/>
                <w:lang w:val="en-US"/>
              </w:rPr>
              <w:t>[</w:t>
            </w:r>
            <w:r w:rsidR="002011F7">
              <w:rPr>
                <w:rFonts w:ascii="Arial" w:hAnsi="Arial" w:cs="Arial"/>
                <w:sz w:val="24"/>
                <w:szCs w:val="24"/>
                <w:lang w:val="en-US"/>
              </w:rPr>
              <w:t>10</w:t>
            </w:r>
            <w:r w:rsidR="00812772" w:rsidRPr="00307DB3">
              <w:rPr>
                <w:rFonts w:ascii="Arial" w:hAnsi="Arial" w:cs="Arial"/>
                <w:sz w:val="24"/>
                <w:szCs w:val="24"/>
                <w:lang w:val="en-US"/>
              </w:rPr>
              <w:t>]</w:t>
            </w:r>
            <w:r w:rsidR="002B5BB9" w:rsidRPr="00307DB3">
              <w:rPr>
                <w:rFonts w:ascii="Arial" w:hAnsi="Arial" w:cs="Arial"/>
                <w:sz w:val="24"/>
                <w:szCs w:val="24"/>
              </w:rPr>
              <w:tab/>
            </w:r>
            <w:r w:rsidR="00307DB3" w:rsidRPr="00307DB3">
              <w:rPr>
                <w:rFonts w:ascii="Arial" w:hAnsi="Arial" w:cs="Arial"/>
                <w:sz w:val="24"/>
                <w:szCs w:val="24"/>
              </w:rPr>
              <w:t>Rule 97 of the High Court Rules provides:</w:t>
            </w:r>
          </w:p>
          <w:p w:rsidR="00346B7A" w:rsidRPr="00FC1818" w:rsidRDefault="00346B7A" w:rsidP="0029105C">
            <w:pPr>
              <w:spacing w:line="360" w:lineRule="auto"/>
              <w:ind w:left="23" w:hanging="23"/>
              <w:jc w:val="both"/>
              <w:rPr>
                <w:rFonts w:ascii="Arial" w:hAnsi="Arial" w:cs="Arial"/>
                <w:sz w:val="24"/>
                <w:szCs w:val="24"/>
                <w:lang w:val="en-US"/>
              </w:rPr>
            </w:pPr>
          </w:p>
          <w:p w:rsidR="006A398D" w:rsidRPr="00FC1818" w:rsidRDefault="006A398D" w:rsidP="0029105C">
            <w:pPr>
              <w:pStyle w:val="ListParagraph"/>
              <w:tabs>
                <w:tab w:val="left" w:pos="743"/>
                <w:tab w:val="left" w:pos="1168"/>
                <w:tab w:val="left" w:pos="1594"/>
              </w:tabs>
              <w:spacing w:line="360" w:lineRule="auto"/>
              <w:ind w:left="1168" w:hanging="1168"/>
              <w:jc w:val="both"/>
              <w:rPr>
                <w:rFonts w:ascii="Arial" w:hAnsi="Arial" w:cs="Arial"/>
              </w:rPr>
            </w:pPr>
            <w:r w:rsidRPr="00FC1818">
              <w:rPr>
                <w:rFonts w:ascii="Arial" w:hAnsi="Arial" w:cs="Arial"/>
                <w:sz w:val="24"/>
                <w:szCs w:val="24"/>
              </w:rPr>
              <w:tab/>
            </w:r>
            <w:r w:rsidRPr="00FC1818">
              <w:rPr>
                <w:rFonts w:ascii="Arial" w:hAnsi="Arial" w:cs="Arial"/>
              </w:rPr>
              <w:t>‘97.</w:t>
            </w:r>
            <w:r w:rsidRPr="00FC1818">
              <w:rPr>
                <w:rFonts w:ascii="Arial" w:hAnsi="Arial" w:cs="Arial"/>
                <w:sz w:val="24"/>
                <w:szCs w:val="24"/>
              </w:rPr>
              <w:tab/>
            </w:r>
            <w:r w:rsidRPr="00FC1818">
              <w:rPr>
                <w:rFonts w:ascii="Arial" w:hAnsi="Arial" w:cs="Arial"/>
              </w:rPr>
              <w:t>(1)</w:t>
            </w:r>
            <w:r w:rsidRPr="00FC1818">
              <w:rPr>
                <w:rFonts w:ascii="Arial" w:hAnsi="Arial" w:cs="Arial"/>
                <w:sz w:val="24"/>
                <w:szCs w:val="24"/>
              </w:rPr>
              <w:tab/>
            </w:r>
            <w:r w:rsidRPr="00FC1818">
              <w:rPr>
                <w:rFonts w:ascii="Arial" w:hAnsi="Arial" w:cs="Arial"/>
              </w:rPr>
              <w:t xml:space="preserve">A person instituting proceedings may at any time before the matter has been set down and thereafter by consent of the parties or leave of the court withdraw such proceedings, in any of which events he or she must deliver a notice of withdrawal and may include in that notice a consent to pay costs and the taxing officer must tax such costs on the request of the other party. </w:t>
            </w:r>
          </w:p>
          <w:p w:rsidR="006A398D" w:rsidRPr="00FC1818" w:rsidRDefault="006A398D" w:rsidP="0029105C">
            <w:pPr>
              <w:pStyle w:val="ListParagraph"/>
              <w:spacing w:line="360" w:lineRule="auto"/>
              <w:ind w:left="0"/>
              <w:jc w:val="both"/>
              <w:rPr>
                <w:rFonts w:ascii="Arial" w:hAnsi="Arial" w:cs="Arial"/>
              </w:rPr>
            </w:pPr>
          </w:p>
          <w:p w:rsidR="006A398D" w:rsidRPr="00FC1818" w:rsidRDefault="006A398D" w:rsidP="0029105C">
            <w:pPr>
              <w:pStyle w:val="ListParagraph"/>
              <w:tabs>
                <w:tab w:val="left" w:pos="1594"/>
              </w:tabs>
              <w:spacing w:line="360" w:lineRule="auto"/>
              <w:ind w:left="1168"/>
              <w:jc w:val="both"/>
              <w:rPr>
                <w:rFonts w:ascii="Arial" w:hAnsi="Arial" w:cs="Arial"/>
              </w:rPr>
            </w:pPr>
            <w:r w:rsidRPr="00FC1818">
              <w:rPr>
                <w:rFonts w:ascii="Arial" w:hAnsi="Arial" w:cs="Arial"/>
              </w:rPr>
              <w:t>(2)</w:t>
            </w:r>
            <w:r w:rsidRPr="00FC1818">
              <w:rPr>
                <w:rFonts w:ascii="Arial" w:hAnsi="Arial" w:cs="Arial"/>
                <w:sz w:val="24"/>
                <w:szCs w:val="24"/>
              </w:rPr>
              <w:tab/>
            </w:r>
            <w:r w:rsidRPr="00FC1818">
              <w:rPr>
                <w:rFonts w:ascii="Arial" w:hAnsi="Arial" w:cs="Arial"/>
              </w:rPr>
              <w:t xml:space="preserve">A consent to pay costs referred to in </w:t>
            </w:r>
            <w:proofErr w:type="spellStart"/>
            <w:r w:rsidRPr="00FC1818">
              <w:rPr>
                <w:rFonts w:ascii="Arial" w:hAnsi="Arial" w:cs="Arial"/>
              </w:rPr>
              <w:t>subrule</w:t>
            </w:r>
            <w:proofErr w:type="spellEnd"/>
            <w:r w:rsidRPr="00FC1818">
              <w:rPr>
                <w:rFonts w:ascii="Arial" w:hAnsi="Arial" w:cs="Arial"/>
              </w:rPr>
              <w:t xml:space="preserve"> (1) has the effect of an</w:t>
            </w:r>
            <w:r w:rsidR="00FC1818">
              <w:rPr>
                <w:rFonts w:ascii="Arial" w:hAnsi="Arial" w:cs="Arial"/>
              </w:rPr>
              <w:t xml:space="preserve"> order of court for such costs.</w:t>
            </w:r>
          </w:p>
          <w:p w:rsidR="006A398D" w:rsidRPr="00FC1818" w:rsidRDefault="006A398D" w:rsidP="0029105C">
            <w:pPr>
              <w:pStyle w:val="ListParagraph"/>
              <w:spacing w:line="360" w:lineRule="auto"/>
              <w:ind w:left="1594" w:hanging="426"/>
              <w:jc w:val="both"/>
              <w:rPr>
                <w:rFonts w:ascii="Arial" w:hAnsi="Arial" w:cs="Arial"/>
              </w:rPr>
            </w:pPr>
          </w:p>
          <w:p w:rsidR="00307DB3" w:rsidRPr="00FC1818" w:rsidRDefault="006A398D" w:rsidP="0029105C">
            <w:pPr>
              <w:tabs>
                <w:tab w:val="left" w:pos="1594"/>
              </w:tabs>
              <w:spacing w:line="360" w:lineRule="auto"/>
              <w:ind w:left="1168"/>
              <w:jc w:val="both"/>
              <w:rPr>
                <w:rFonts w:ascii="Arial" w:hAnsi="Arial" w:cs="Arial"/>
                <w:lang w:val="en-US"/>
              </w:rPr>
            </w:pPr>
            <w:r w:rsidRPr="00FC1818">
              <w:rPr>
                <w:rFonts w:ascii="Arial" w:hAnsi="Arial" w:cs="Arial"/>
              </w:rPr>
              <w:t>(3)</w:t>
            </w:r>
            <w:r w:rsidRPr="00FC1818">
              <w:rPr>
                <w:rFonts w:ascii="Arial" w:hAnsi="Arial" w:cs="Arial"/>
                <w:sz w:val="24"/>
                <w:szCs w:val="24"/>
              </w:rPr>
              <w:tab/>
            </w:r>
            <w:r w:rsidRPr="00FC1818">
              <w:rPr>
                <w:rFonts w:ascii="Arial" w:hAnsi="Arial" w:cs="Arial"/>
              </w:rPr>
              <w:t>If no consent to pay costs is included in the notice of withdrawal the other party may apply to court on notice for an order for costs.’</w:t>
            </w:r>
          </w:p>
          <w:p w:rsidR="00307DB3" w:rsidRPr="006A398D" w:rsidRDefault="00307DB3" w:rsidP="0029105C">
            <w:pPr>
              <w:spacing w:line="360" w:lineRule="auto"/>
              <w:ind w:left="23" w:hanging="23"/>
              <w:jc w:val="both"/>
              <w:rPr>
                <w:rFonts w:ascii="Arial" w:hAnsi="Arial" w:cs="Arial"/>
                <w:sz w:val="24"/>
                <w:szCs w:val="24"/>
                <w:lang w:val="en-US"/>
              </w:rPr>
            </w:pPr>
          </w:p>
          <w:p w:rsidR="008D4A1F" w:rsidRPr="008D4A1F" w:rsidRDefault="00812772" w:rsidP="0029105C">
            <w:pPr>
              <w:spacing w:line="360" w:lineRule="auto"/>
              <w:ind w:left="23" w:hanging="23"/>
              <w:jc w:val="both"/>
              <w:rPr>
                <w:rFonts w:ascii="Arial" w:hAnsi="Arial"/>
                <w:sz w:val="24"/>
                <w:szCs w:val="24"/>
              </w:rPr>
            </w:pPr>
            <w:r w:rsidRPr="006A398D">
              <w:rPr>
                <w:rFonts w:ascii="Arial" w:hAnsi="Arial" w:cs="Arial"/>
                <w:sz w:val="24"/>
                <w:szCs w:val="24"/>
                <w:lang w:val="en-US"/>
              </w:rPr>
              <w:t>[</w:t>
            </w:r>
            <w:r w:rsidR="002011F7">
              <w:rPr>
                <w:rFonts w:ascii="Arial" w:hAnsi="Arial" w:cs="Arial"/>
                <w:sz w:val="24"/>
                <w:szCs w:val="24"/>
                <w:lang w:val="en-US"/>
              </w:rPr>
              <w:t>11</w:t>
            </w:r>
            <w:r w:rsidRPr="006A398D">
              <w:rPr>
                <w:rFonts w:ascii="Arial" w:hAnsi="Arial" w:cs="Arial"/>
                <w:sz w:val="24"/>
                <w:szCs w:val="24"/>
                <w:lang w:val="en-US"/>
              </w:rPr>
              <w:t>]</w:t>
            </w:r>
            <w:r w:rsidRPr="006A398D">
              <w:rPr>
                <w:rFonts w:ascii="Arial" w:hAnsi="Arial" w:cs="Arial"/>
                <w:sz w:val="24"/>
                <w:szCs w:val="24"/>
              </w:rPr>
              <w:tab/>
            </w:r>
            <w:r w:rsidR="008D4A1F">
              <w:rPr>
                <w:rFonts w:ascii="Arial" w:hAnsi="Arial" w:cs="Arial"/>
                <w:sz w:val="24"/>
                <w:szCs w:val="24"/>
              </w:rPr>
              <w:t xml:space="preserve">In </w:t>
            </w:r>
            <w:proofErr w:type="spellStart"/>
            <w:r w:rsidR="008D4A1F" w:rsidRPr="00B661B7">
              <w:rPr>
                <w:rFonts w:ascii="Arial" w:hAnsi="Arial" w:cs="Arial"/>
                <w:i/>
                <w:sz w:val="24"/>
                <w:szCs w:val="24"/>
              </w:rPr>
              <w:t>Bertolini</w:t>
            </w:r>
            <w:proofErr w:type="spellEnd"/>
            <w:r w:rsidR="008D4A1F" w:rsidRPr="00B661B7">
              <w:rPr>
                <w:rFonts w:ascii="Arial" w:hAnsi="Arial" w:cs="Arial"/>
                <w:i/>
                <w:sz w:val="24"/>
                <w:szCs w:val="24"/>
              </w:rPr>
              <w:t xml:space="preserve"> v Ehlers and Another</w:t>
            </w:r>
            <w:r w:rsidR="008D4A1F">
              <w:rPr>
                <w:rStyle w:val="FootnoteReference"/>
                <w:rFonts w:ascii="Arial" w:hAnsi="Arial" w:cs="Arial"/>
                <w:sz w:val="24"/>
                <w:szCs w:val="24"/>
              </w:rPr>
              <w:footnoteReference w:id="1"/>
            </w:r>
            <w:r w:rsidR="008D4A1F">
              <w:rPr>
                <w:rFonts w:ascii="Arial" w:hAnsi="Arial" w:cs="Arial"/>
                <w:sz w:val="24"/>
                <w:szCs w:val="24"/>
              </w:rPr>
              <w:t xml:space="preserve"> the court placed reliance on the matter of </w:t>
            </w:r>
            <w:proofErr w:type="spellStart"/>
            <w:r w:rsidR="008D4A1F" w:rsidRPr="008D4A1F">
              <w:rPr>
                <w:rFonts w:ascii="Arial" w:hAnsi="Arial" w:cs="Arial"/>
                <w:i/>
                <w:sz w:val="24"/>
                <w:szCs w:val="24"/>
              </w:rPr>
              <w:t>Germishuys</w:t>
            </w:r>
            <w:proofErr w:type="spellEnd"/>
            <w:r w:rsidR="008D4A1F" w:rsidRPr="008D4A1F">
              <w:rPr>
                <w:rFonts w:ascii="Arial" w:hAnsi="Arial" w:cs="Arial"/>
                <w:i/>
                <w:sz w:val="24"/>
                <w:szCs w:val="24"/>
              </w:rPr>
              <w:t xml:space="preserve"> v Douglas </w:t>
            </w:r>
            <w:proofErr w:type="spellStart"/>
            <w:r w:rsidR="008D4A1F" w:rsidRPr="008D4A1F">
              <w:rPr>
                <w:rFonts w:ascii="Arial" w:hAnsi="Arial" w:cs="Arial"/>
                <w:i/>
                <w:sz w:val="24"/>
                <w:szCs w:val="24"/>
              </w:rPr>
              <w:t>Besproeiingsraad</w:t>
            </w:r>
            <w:proofErr w:type="spellEnd"/>
            <w:r w:rsidR="008D4A1F" w:rsidRPr="008D4A1F">
              <w:rPr>
                <w:rFonts w:ascii="Arial" w:hAnsi="Arial" w:cs="Arial"/>
                <w:i/>
                <w:sz w:val="24"/>
                <w:szCs w:val="24"/>
                <w:vertAlign w:val="superscript"/>
              </w:rPr>
              <w:footnoteReference w:id="2"/>
            </w:r>
            <w:r w:rsidR="008D4A1F" w:rsidRPr="008D4A1F">
              <w:rPr>
                <w:rFonts w:ascii="Arial" w:hAnsi="Arial" w:cs="Arial"/>
                <w:i/>
                <w:sz w:val="24"/>
                <w:szCs w:val="24"/>
              </w:rPr>
              <w:t xml:space="preserve"> </w:t>
            </w:r>
            <w:r w:rsidR="008D4A1F">
              <w:rPr>
                <w:rFonts w:ascii="Arial" w:hAnsi="Arial"/>
                <w:sz w:val="24"/>
                <w:szCs w:val="24"/>
              </w:rPr>
              <w:t xml:space="preserve">for guidance </w:t>
            </w:r>
            <w:r w:rsidR="00D37812">
              <w:rPr>
                <w:rFonts w:ascii="Arial" w:hAnsi="Arial"/>
                <w:sz w:val="24"/>
                <w:szCs w:val="24"/>
              </w:rPr>
              <w:t>i</w:t>
            </w:r>
            <w:r w:rsidR="008D4A1F">
              <w:rPr>
                <w:rFonts w:ascii="Arial" w:hAnsi="Arial"/>
                <w:sz w:val="24"/>
                <w:szCs w:val="24"/>
              </w:rPr>
              <w:t>n</w:t>
            </w:r>
            <w:r w:rsidR="00D37812">
              <w:rPr>
                <w:rFonts w:ascii="Arial" w:hAnsi="Arial"/>
                <w:sz w:val="24"/>
                <w:szCs w:val="24"/>
              </w:rPr>
              <w:t xml:space="preserve"> a</w:t>
            </w:r>
            <w:r w:rsidR="008D4A1F">
              <w:rPr>
                <w:rFonts w:ascii="Arial" w:hAnsi="Arial"/>
                <w:sz w:val="24"/>
                <w:szCs w:val="24"/>
              </w:rPr>
              <w:t xml:space="preserve"> </w:t>
            </w:r>
            <w:r w:rsidR="00D37812">
              <w:rPr>
                <w:rFonts w:ascii="Arial" w:hAnsi="Arial"/>
                <w:sz w:val="24"/>
                <w:szCs w:val="24"/>
              </w:rPr>
              <w:t>matter</w:t>
            </w:r>
            <w:r w:rsidR="008D4A1F">
              <w:rPr>
                <w:rFonts w:ascii="Arial" w:hAnsi="Arial"/>
                <w:sz w:val="24"/>
                <w:szCs w:val="24"/>
              </w:rPr>
              <w:t xml:space="preserve"> where a party</w:t>
            </w:r>
            <w:r w:rsidR="008D4A1F" w:rsidRPr="008D4A1F">
              <w:rPr>
                <w:rFonts w:ascii="Arial" w:hAnsi="Arial"/>
                <w:sz w:val="24"/>
                <w:szCs w:val="24"/>
              </w:rPr>
              <w:t xml:space="preserve"> withdraws an action against the opposing party. In the aforementioned matter</w:t>
            </w:r>
            <w:r w:rsidR="008D4A1F" w:rsidRPr="008D4A1F">
              <w:rPr>
                <w:rFonts w:ascii="Arial" w:hAnsi="Arial"/>
                <w:i/>
                <w:sz w:val="24"/>
                <w:szCs w:val="24"/>
              </w:rPr>
              <w:t xml:space="preserve"> </w:t>
            </w:r>
            <w:r w:rsidR="008D4A1F" w:rsidRPr="008D4A1F">
              <w:rPr>
                <w:rFonts w:ascii="Arial" w:hAnsi="Arial"/>
                <w:sz w:val="24"/>
                <w:szCs w:val="24"/>
              </w:rPr>
              <w:t>the court said:</w:t>
            </w:r>
          </w:p>
          <w:p w:rsidR="008D4A1F" w:rsidRPr="008D4A1F" w:rsidRDefault="008D4A1F" w:rsidP="0029105C">
            <w:pPr>
              <w:spacing w:line="360" w:lineRule="auto"/>
              <w:ind w:left="23" w:hanging="23"/>
              <w:jc w:val="both"/>
              <w:rPr>
                <w:rFonts w:ascii="Arial" w:hAnsi="Arial"/>
                <w:sz w:val="24"/>
                <w:szCs w:val="24"/>
              </w:rPr>
            </w:pPr>
          </w:p>
          <w:p w:rsidR="005721A2" w:rsidRPr="00FC1818" w:rsidRDefault="00FC1818" w:rsidP="00FC1818">
            <w:pPr>
              <w:spacing w:line="360" w:lineRule="auto"/>
              <w:jc w:val="both"/>
              <w:rPr>
                <w:rFonts w:ascii="Arial" w:hAnsi="Arial"/>
              </w:rPr>
            </w:pPr>
            <w:r>
              <w:rPr>
                <w:rFonts w:ascii="Arial" w:hAnsi="Arial"/>
                <w:sz w:val="24"/>
                <w:szCs w:val="24"/>
              </w:rPr>
              <w:tab/>
            </w:r>
            <w:r w:rsidR="008D4A1F" w:rsidRPr="00B661B7">
              <w:rPr>
                <w:rFonts w:ascii="Arial" w:hAnsi="Arial"/>
              </w:rPr>
              <w:t>‘</w:t>
            </w:r>
            <w:r w:rsidR="008D4A1F" w:rsidRPr="00FC1818">
              <w:rPr>
                <w:rFonts w:ascii="Arial" w:hAnsi="Arial"/>
              </w:rPr>
              <w:t>Where a litigant withdraws an action or in effect withdraws it, very sound reasons . . . must exist why a defendant or respondent should not be entitled to his costs.  The plaintiff or applicant who withdraws his action or application is in the same position as an unsuccessful litigant because, after all, his claim or application is futile and the defendant, or respondent, is entitled to all costs associated with the withdrawing plaintiff’s or applicant’s institution of proceedings.</w:t>
            </w:r>
          </w:p>
          <w:p w:rsidR="0080576C" w:rsidRDefault="0080576C" w:rsidP="0029105C">
            <w:pPr>
              <w:spacing w:line="360" w:lineRule="auto"/>
              <w:jc w:val="both"/>
              <w:rPr>
                <w:rFonts w:ascii="Arial" w:hAnsi="Arial" w:cs="Arial"/>
                <w:sz w:val="24"/>
                <w:szCs w:val="24"/>
              </w:rPr>
            </w:pPr>
          </w:p>
          <w:p w:rsidR="009C53D5" w:rsidRPr="009C53D5" w:rsidRDefault="001939AD" w:rsidP="0029105C">
            <w:pPr>
              <w:tabs>
                <w:tab w:val="left" w:pos="864"/>
                <w:tab w:val="left" w:pos="1872"/>
                <w:tab w:val="left" w:pos="2016"/>
                <w:tab w:val="left" w:pos="3168"/>
                <w:tab w:val="left" w:pos="5328"/>
                <w:tab w:val="left" w:pos="7200"/>
                <w:tab w:val="left" w:pos="7920"/>
              </w:tabs>
              <w:spacing w:line="360" w:lineRule="auto"/>
              <w:ind w:right="91"/>
              <w:jc w:val="both"/>
              <w:rPr>
                <w:rFonts w:ascii="Arial" w:eastAsia="Calibri" w:hAnsi="Arial" w:cs="Arial"/>
                <w:sz w:val="24"/>
                <w:szCs w:val="24"/>
                <w:lang w:val="en-GB"/>
              </w:rPr>
            </w:pPr>
            <w:r w:rsidRPr="001939AD">
              <w:rPr>
                <w:rFonts w:ascii="Arial" w:hAnsi="Arial" w:cs="Arial"/>
                <w:sz w:val="24"/>
                <w:szCs w:val="24"/>
              </w:rPr>
              <w:lastRenderedPageBreak/>
              <w:t>[12]</w:t>
            </w:r>
            <w:r>
              <w:rPr>
                <w:rFonts w:ascii="Arial" w:hAnsi="Arial" w:cs="Arial"/>
                <w:sz w:val="24"/>
                <w:szCs w:val="24"/>
              </w:rPr>
              <w:tab/>
            </w:r>
            <w:r w:rsidR="005721A2" w:rsidRPr="005721A2">
              <w:rPr>
                <w:rFonts w:ascii="Arial" w:eastAsia="Calibri" w:hAnsi="Arial" w:cs="Arial"/>
                <w:sz w:val="24"/>
                <w:szCs w:val="24"/>
                <w:lang w:val="en-US"/>
              </w:rPr>
              <w:t>In</w:t>
            </w:r>
            <w:r w:rsidR="009C53D5">
              <w:rPr>
                <w:rFonts w:ascii="Arial" w:eastAsia="Calibri" w:hAnsi="Arial" w:cs="Arial"/>
                <w:sz w:val="24"/>
                <w:szCs w:val="24"/>
                <w:lang w:val="en-US"/>
              </w:rPr>
              <w:t xml:space="preserve"> </w:t>
            </w:r>
            <w:r w:rsidR="005721A2" w:rsidRPr="005721A2">
              <w:rPr>
                <w:rFonts w:ascii="Arial" w:eastAsia="Calibri" w:hAnsi="Arial" w:cs="Arial"/>
                <w:i/>
                <w:sz w:val="24"/>
                <w:szCs w:val="24"/>
                <w:lang w:val="en-US"/>
              </w:rPr>
              <w:t xml:space="preserve">Erf Sixty-Six </w:t>
            </w:r>
            <w:proofErr w:type="spellStart"/>
            <w:r w:rsidR="005721A2" w:rsidRPr="005721A2">
              <w:rPr>
                <w:rFonts w:ascii="Arial" w:eastAsia="Calibri" w:hAnsi="Arial" w:cs="Arial"/>
                <w:i/>
                <w:sz w:val="24"/>
                <w:szCs w:val="24"/>
                <w:lang w:val="en-US"/>
              </w:rPr>
              <w:t>Vogelstrand</w:t>
            </w:r>
            <w:proofErr w:type="spellEnd"/>
            <w:r w:rsidR="005721A2" w:rsidRPr="005721A2">
              <w:rPr>
                <w:rFonts w:ascii="Arial" w:eastAsia="Calibri" w:hAnsi="Arial" w:cs="Arial"/>
                <w:i/>
                <w:sz w:val="24"/>
                <w:szCs w:val="24"/>
                <w:lang w:val="en-US"/>
              </w:rPr>
              <w:t xml:space="preserve"> (Pty) Ltd v Council of the Municipality of </w:t>
            </w:r>
            <w:proofErr w:type="spellStart"/>
            <w:r w:rsidR="005721A2" w:rsidRPr="005721A2">
              <w:rPr>
                <w:rFonts w:ascii="Arial" w:eastAsia="Calibri" w:hAnsi="Arial" w:cs="Arial"/>
                <w:i/>
                <w:sz w:val="24"/>
                <w:szCs w:val="24"/>
                <w:lang w:val="en-US"/>
              </w:rPr>
              <w:t>Swakopmund</w:t>
            </w:r>
            <w:proofErr w:type="spellEnd"/>
            <w:r w:rsidR="005721A2" w:rsidRPr="005721A2">
              <w:rPr>
                <w:rFonts w:ascii="Arial" w:eastAsia="Calibri" w:hAnsi="Arial" w:cs="Arial"/>
                <w:i/>
                <w:sz w:val="24"/>
                <w:szCs w:val="24"/>
                <w:lang w:val="en-US"/>
              </w:rPr>
              <w:t xml:space="preserve"> and Others</w:t>
            </w:r>
            <w:r w:rsidR="009C53D5">
              <w:rPr>
                <w:rStyle w:val="FootnoteReference"/>
                <w:rFonts w:ascii="Arial" w:eastAsia="Calibri" w:hAnsi="Arial" w:cs="Arial"/>
                <w:i/>
                <w:sz w:val="24"/>
                <w:szCs w:val="24"/>
                <w:lang w:val="en-US"/>
              </w:rPr>
              <w:footnoteReference w:id="3"/>
            </w:r>
            <w:r w:rsidR="009C53D5">
              <w:rPr>
                <w:rFonts w:ascii="Arial" w:eastAsia="Calibri" w:hAnsi="Arial" w:cs="Arial"/>
                <w:i/>
                <w:sz w:val="24"/>
                <w:szCs w:val="24"/>
                <w:lang w:val="en-US"/>
              </w:rPr>
              <w:t>,</w:t>
            </w:r>
            <w:r w:rsidR="005721A2" w:rsidRPr="005721A2">
              <w:rPr>
                <w:rFonts w:ascii="Arial" w:eastAsia="Calibri" w:hAnsi="Arial" w:cs="Arial"/>
                <w:sz w:val="24"/>
                <w:szCs w:val="24"/>
                <w:lang w:val="en-US"/>
              </w:rPr>
              <w:t xml:space="preserve"> </w:t>
            </w:r>
            <w:r w:rsidR="009C53D5" w:rsidRPr="009C53D5">
              <w:rPr>
                <w:rFonts w:ascii="Arial" w:eastAsia="Calibri" w:hAnsi="Arial" w:cs="Arial"/>
                <w:sz w:val="24"/>
                <w:szCs w:val="24"/>
                <w:lang w:val="en-US"/>
              </w:rPr>
              <w:t>Damaseb JP</w:t>
            </w:r>
            <w:r w:rsidR="009C53D5" w:rsidRPr="009C53D5">
              <w:rPr>
                <w:rFonts w:ascii="Arial" w:eastAsia="Calibri" w:hAnsi="Arial" w:cs="Arial"/>
                <w:sz w:val="24"/>
                <w:szCs w:val="24"/>
                <w:lang w:val="en-GB"/>
              </w:rPr>
              <w:t xml:space="preserve"> in determining what should be considered when making a cost order</w:t>
            </w:r>
            <w:r w:rsidR="00787F9E">
              <w:rPr>
                <w:rFonts w:ascii="Arial" w:eastAsia="Calibri" w:hAnsi="Arial" w:cs="Arial"/>
                <w:sz w:val="24"/>
                <w:szCs w:val="24"/>
                <w:lang w:val="en-GB"/>
              </w:rPr>
              <w:t>,</w:t>
            </w:r>
            <w:r w:rsidR="009C53D5" w:rsidRPr="009C53D5">
              <w:rPr>
                <w:rFonts w:ascii="Arial" w:eastAsia="Calibri" w:hAnsi="Arial" w:cs="Arial"/>
                <w:sz w:val="24"/>
                <w:szCs w:val="24"/>
                <w:lang w:val="en-US"/>
              </w:rPr>
              <w:t xml:space="preserve"> </w:t>
            </w:r>
            <w:r w:rsidR="009C53D5">
              <w:rPr>
                <w:rFonts w:ascii="Arial" w:eastAsia="Calibri" w:hAnsi="Arial" w:cs="Arial"/>
                <w:sz w:val="24"/>
                <w:szCs w:val="24"/>
                <w:lang w:val="en-US"/>
              </w:rPr>
              <w:t>cited</w:t>
            </w:r>
            <w:r w:rsidR="00FD420A">
              <w:rPr>
                <w:rFonts w:ascii="Arial" w:eastAsia="Calibri" w:hAnsi="Arial" w:cs="Arial"/>
                <w:sz w:val="24"/>
                <w:szCs w:val="24"/>
                <w:lang w:val="en-US"/>
              </w:rPr>
              <w:t xml:space="preserve"> in</w:t>
            </w:r>
            <w:r w:rsidR="009C53D5">
              <w:rPr>
                <w:rFonts w:ascii="Arial" w:eastAsia="Calibri" w:hAnsi="Arial" w:cs="Arial"/>
                <w:sz w:val="24"/>
                <w:szCs w:val="24"/>
                <w:lang w:val="en-US"/>
              </w:rPr>
              <w:t xml:space="preserve"> the matter of </w:t>
            </w:r>
            <w:r w:rsidR="009C53D5" w:rsidRPr="009C53D5">
              <w:rPr>
                <w:rFonts w:ascii="Arial" w:eastAsia="Calibri" w:hAnsi="Arial" w:cs="Arial"/>
                <w:i/>
                <w:iCs/>
                <w:sz w:val="24"/>
                <w:szCs w:val="24"/>
                <w:lang w:val="en-GB"/>
              </w:rPr>
              <w:t>Channel Life Namibia Ltd v Finance in Education (Pty) Ltd</w:t>
            </w:r>
            <w:r w:rsidR="00FC1818">
              <w:rPr>
                <w:rFonts w:ascii="Arial" w:eastAsia="Calibri" w:hAnsi="Arial" w:cs="Arial"/>
                <w:iCs/>
                <w:sz w:val="24"/>
                <w:szCs w:val="24"/>
                <w:lang w:val="en-GB"/>
              </w:rPr>
              <w:t xml:space="preserve"> </w:t>
            </w:r>
            <w:r w:rsidR="009C53D5">
              <w:rPr>
                <w:rFonts w:ascii="Arial" w:eastAsia="Calibri" w:hAnsi="Arial" w:cs="Arial"/>
                <w:sz w:val="24"/>
                <w:szCs w:val="24"/>
                <w:lang w:val="en-GB"/>
              </w:rPr>
              <w:t>2004 NR 125 at</w:t>
            </w:r>
            <w:r w:rsidR="00FD420A">
              <w:rPr>
                <w:rFonts w:ascii="Arial" w:eastAsia="Calibri" w:hAnsi="Arial" w:cs="Arial"/>
                <w:sz w:val="24"/>
                <w:szCs w:val="24"/>
                <w:lang w:val="en-GB"/>
              </w:rPr>
              <w:t xml:space="preserve"> 126F-</w:t>
            </w:r>
            <w:r w:rsidR="00FC1818">
              <w:rPr>
                <w:rFonts w:ascii="Arial" w:eastAsia="Calibri" w:hAnsi="Arial" w:cs="Arial"/>
                <w:sz w:val="24"/>
                <w:szCs w:val="24"/>
                <w:lang w:val="en-GB"/>
              </w:rPr>
              <w:t>G where it was held that:</w:t>
            </w:r>
          </w:p>
          <w:p w:rsidR="009C53D5" w:rsidRPr="009C53D5" w:rsidRDefault="009C53D5" w:rsidP="0029105C">
            <w:pPr>
              <w:tabs>
                <w:tab w:val="left" w:pos="864"/>
                <w:tab w:val="left" w:pos="1872"/>
                <w:tab w:val="left" w:pos="2016"/>
                <w:tab w:val="left" w:pos="3168"/>
                <w:tab w:val="left" w:pos="5328"/>
                <w:tab w:val="left" w:pos="7200"/>
                <w:tab w:val="left" w:pos="7920"/>
              </w:tabs>
              <w:spacing w:line="360" w:lineRule="auto"/>
              <w:ind w:right="91"/>
              <w:jc w:val="both"/>
              <w:rPr>
                <w:rFonts w:ascii="Arial" w:eastAsia="Calibri" w:hAnsi="Arial" w:cs="Arial"/>
                <w:sz w:val="24"/>
                <w:szCs w:val="24"/>
                <w:lang w:val="en-GB"/>
              </w:rPr>
            </w:pPr>
          </w:p>
          <w:p w:rsidR="00DF1C16" w:rsidRPr="00FC1818" w:rsidRDefault="009C53D5" w:rsidP="0029105C">
            <w:pPr>
              <w:tabs>
                <w:tab w:val="left" w:pos="864"/>
                <w:tab w:val="left" w:pos="1872"/>
                <w:tab w:val="left" w:pos="2016"/>
                <w:tab w:val="left" w:pos="3168"/>
                <w:tab w:val="left" w:pos="5328"/>
                <w:tab w:val="left" w:pos="7200"/>
                <w:tab w:val="left" w:pos="7920"/>
              </w:tabs>
              <w:spacing w:line="360" w:lineRule="auto"/>
              <w:ind w:right="91"/>
              <w:jc w:val="both"/>
              <w:rPr>
                <w:rFonts w:ascii="Arial" w:eastAsia="Calibri" w:hAnsi="Arial" w:cs="Arial"/>
                <w:lang w:val="en-GB"/>
              </w:rPr>
            </w:pPr>
            <w:r>
              <w:rPr>
                <w:rFonts w:ascii="Arial" w:eastAsia="Calibri" w:hAnsi="Arial" w:cs="Arial"/>
                <w:sz w:val="24"/>
                <w:szCs w:val="24"/>
                <w:lang w:val="en-GB"/>
              </w:rPr>
              <w:tab/>
            </w:r>
            <w:r w:rsidRPr="00FC1818">
              <w:rPr>
                <w:rFonts w:ascii="Arial" w:eastAsia="Calibri" w:hAnsi="Arial" w:cs="Arial"/>
                <w:lang w:val="en-GB"/>
              </w:rPr>
              <w:t>‘</w:t>
            </w:r>
            <w:r w:rsidRPr="00FC1818">
              <w:rPr>
                <w:rFonts w:ascii="Arial" w:eastAsia="Calibri" w:hAnsi="Arial" w:cs="Arial"/>
                <w:iCs/>
                <w:lang w:val="en-GB"/>
              </w:rPr>
              <w:t>There may very well be cases where the Court will have no other choice but to consider the merits of a matter in order to make an appropriate costs allocation, while there will, doubtless, be others where the Court may make an appropriate costs allocation based on the ‘material’ at its disposal, without regard to the merits of the case. Each case will be treated on its own facts.’</w:t>
            </w:r>
          </w:p>
          <w:p w:rsidR="005721A2" w:rsidRDefault="005721A2" w:rsidP="0029105C">
            <w:pPr>
              <w:spacing w:line="360" w:lineRule="auto"/>
              <w:jc w:val="both"/>
              <w:rPr>
                <w:rFonts w:ascii="Arial" w:hAnsi="Arial" w:cs="Arial"/>
                <w:sz w:val="24"/>
                <w:szCs w:val="24"/>
              </w:rPr>
            </w:pPr>
          </w:p>
          <w:p w:rsidR="005C3A4C" w:rsidRDefault="00E00DA5" w:rsidP="0029105C">
            <w:pPr>
              <w:spacing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5C3A4C">
              <w:rPr>
                <w:rFonts w:ascii="Arial" w:hAnsi="Arial" w:cs="Arial"/>
                <w:sz w:val="24"/>
                <w:szCs w:val="24"/>
              </w:rPr>
              <w:t>The applicant’s stance, as I understand it, is that she does not refuse to pay the second respondents</w:t>
            </w:r>
            <w:r w:rsidR="00FF6E2B">
              <w:rPr>
                <w:rFonts w:ascii="Arial" w:hAnsi="Arial" w:cs="Arial"/>
                <w:sz w:val="24"/>
                <w:szCs w:val="24"/>
              </w:rPr>
              <w:t>’</w:t>
            </w:r>
            <w:r w:rsidR="005C3A4C">
              <w:rPr>
                <w:rFonts w:ascii="Arial" w:hAnsi="Arial" w:cs="Arial"/>
                <w:sz w:val="24"/>
                <w:szCs w:val="24"/>
              </w:rPr>
              <w:t xml:space="preserve"> costs, but merely asking for the deferment thereof for determination in the action proceedings.</w:t>
            </w:r>
          </w:p>
          <w:p w:rsidR="005C3A4C" w:rsidRDefault="005C3A4C" w:rsidP="0029105C">
            <w:pPr>
              <w:spacing w:line="360" w:lineRule="auto"/>
              <w:jc w:val="both"/>
              <w:rPr>
                <w:rFonts w:ascii="Arial" w:hAnsi="Arial" w:cs="Arial"/>
                <w:sz w:val="24"/>
                <w:szCs w:val="24"/>
              </w:rPr>
            </w:pPr>
          </w:p>
          <w:p w:rsidR="00AB7AC1" w:rsidRPr="00AB7AC1" w:rsidRDefault="00E00DA5" w:rsidP="0029105C">
            <w:pPr>
              <w:spacing w:line="360" w:lineRule="auto"/>
              <w:jc w:val="both"/>
              <w:rPr>
                <w:rFonts w:ascii="Arial" w:hAnsi="Arial" w:cs="Arial"/>
                <w:sz w:val="24"/>
                <w:szCs w:val="24"/>
              </w:rPr>
            </w:pPr>
            <w:r>
              <w:rPr>
                <w:rFonts w:ascii="Arial" w:hAnsi="Arial" w:cs="Arial"/>
                <w:sz w:val="24"/>
                <w:szCs w:val="24"/>
                <w:lang w:val="en-GB"/>
              </w:rPr>
              <w:t>[14]</w:t>
            </w:r>
            <w:r>
              <w:rPr>
                <w:rFonts w:ascii="Arial" w:hAnsi="Arial" w:cs="Arial"/>
                <w:sz w:val="24"/>
                <w:szCs w:val="24"/>
                <w:lang w:val="en-GB"/>
              </w:rPr>
              <w:tab/>
            </w:r>
            <w:r w:rsidR="00AB7AC1" w:rsidRPr="00AB7AC1">
              <w:rPr>
                <w:rFonts w:ascii="Arial" w:hAnsi="Arial" w:cs="Arial"/>
                <w:sz w:val="24"/>
                <w:szCs w:val="24"/>
              </w:rPr>
              <w:t>Ms Campb</w:t>
            </w:r>
            <w:r w:rsidR="00AB7AC1">
              <w:rPr>
                <w:rFonts w:ascii="Arial" w:hAnsi="Arial" w:cs="Arial"/>
                <w:sz w:val="24"/>
                <w:szCs w:val="24"/>
              </w:rPr>
              <w:t>ell referred me</w:t>
            </w:r>
            <w:r w:rsidR="00AB7AC1" w:rsidRPr="00AB7AC1">
              <w:rPr>
                <w:rFonts w:ascii="Arial" w:hAnsi="Arial" w:cs="Arial"/>
                <w:sz w:val="24"/>
                <w:szCs w:val="24"/>
              </w:rPr>
              <w:t xml:space="preserve"> to </w:t>
            </w:r>
            <w:r w:rsidR="00AB7AC1" w:rsidRPr="00AB7AC1">
              <w:rPr>
                <w:rFonts w:ascii="Arial" w:hAnsi="Arial" w:cs="Arial"/>
                <w:i/>
                <w:sz w:val="24"/>
                <w:szCs w:val="24"/>
              </w:rPr>
              <w:t xml:space="preserve">DPP </w:t>
            </w:r>
            <w:r w:rsidR="00AB7AC1">
              <w:rPr>
                <w:rFonts w:ascii="Arial" w:hAnsi="Arial" w:cs="Arial"/>
                <w:i/>
                <w:sz w:val="24"/>
                <w:szCs w:val="24"/>
              </w:rPr>
              <w:t>V</w:t>
            </w:r>
            <w:r w:rsidR="00AB7AC1" w:rsidRPr="00AB7AC1">
              <w:rPr>
                <w:rFonts w:ascii="Arial" w:hAnsi="Arial" w:cs="Arial"/>
                <w:i/>
                <w:sz w:val="24"/>
                <w:szCs w:val="24"/>
              </w:rPr>
              <w:t>aluers (Pty) Ltd v Namibia Airports Company Ltd</w:t>
            </w:r>
            <w:r w:rsidR="00AB7AC1">
              <w:rPr>
                <w:rStyle w:val="FootnoteReference"/>
                <w:rFonts w:ascii="Arial" w:hAnsi="Arial" w:cs="Arial"/>
                <w:i/>
                <w:sz w:val="24"/>
                <w:szCs w:val="24"/>
              </w:rPr>
              <w:footnoteReference w:id="4"/>
            </w:r>
            <w:r w:rsidR="00AB7AC1" w:rsidRPr="00AB7AC1">
              <w:rPr>
                <w:rFonts w:ascii="Arial" w:hAnsi="Arial" w:cs="Arial"/>
                <w:sz w:val="24"/>
                <w:szCs w:val="24"/>
              </w:rPr>
              <w:t xml:space="preserve"> matter. In that matter the main application became settled and moot. The applicant lodged an application against the first respondent to claim the costs incurred in the main application as well as the costs of the application for costs. In my view</w:t>
            </w:r>
            <w:r w:rsidR="00030F85">
              <w:rPr>
                <w:rFonts w:ascii="Arial" w:hAnsi="Arial" w:cs="Arial"/>
                <w:sz w:val="24"/>
                <w:szCs w:val="24"/>
              </w:rPr>
              <w:t>,</w:t>
            </w:r>
            <w:r w:rsidR="00AB7AC1" w:rsidRPr="00AB7AC1">
              <w:rPr>
                <w:rFonts w:ascii="Arial" w:hAnsi="Arial" w:cs="Arial"/>
                <w:sz w:val="24"/>
                <w:szCs w:val="24"/>
              </w:rPr>
              <w:t xml:space="preserve"> what happened in the</w:t>
            </w:r>
            <w:r w:rsidR="00774EEA" w:rsidRPr="00774EEA">
              <w:rPr>
                <w:rFonts w:ascii="Arial" w:hAnsi="Arial" w:cs="Arial"/>
                <w:i/>
                <w:sz w:val="24"/>
                <w:szCs w:val="24"/>
              </w:rPr>
              <w:t xml:space="preserve"> DPP V</w:t>
            </w:r>
            <w:r w:rsidR="006A5ADD">
              <w:rPr>
                <w:rFonts w:ascii="Arial" w:hAnsi="Arial" w:cs="Arial"/>
                <w:i/>
                <w:sz w:val="24"/>
                <w:szCs w:val="24"/>
              </w:rPr>
              <w:t>aluers</w:t>
            </w:r>
            <w:r w:rsidR="00AB7AC1" w:rsidRPr="00AB7AC1">
              <w:rPr>
                <w:rFonts w:ascii="Arial" w:hAnsi="Arial" w:cs="Arial"/>
                <w:sz w:val="24"/>
                <w:szCs w:val="24"/>
              </w:rPr>
              <w:t xml:space="preserve"> matter is distinguishable</w:t>
            </w:r>
            <w:r w:rsidR="006A5ADD">
              <w:rPr>
                <w:rFonts w:ascii="Arial" w:hAnsi="Arial" w:cs="Arial"/>
                <w:sz w:val="24"/>
                <w:szCs w:val="24"/>
              </w:rPr>
              <w:t xml:space="preserve"> from what the applicant is asking. This</w:t>
            </w:r>
            <w:r w:rsidR="00AB7AC1" w:rsidRPr="00AB7AC1">
              <w:rPr>
                <w:rFonts w:ascii="Arial" w:hAnsi="Arial" w:cs="Arial"/>
                <w:sz w:val="24"/>
                <w:szCs w:val="24"/>
              </w:rPr>
              <w:t>, because in that case both the main application and the applicat</w:t>
            </w:r>
            <w:r w:rsidR="006A5ADD">
              <w:rPr>
                <w:rFonts w:ascii="Arial" w:hAnsi="Arial" w:cs="Arial"/>
                <w:sz w:val="24"/>
                <w:szCs w:val="24"/>
              </w:rPr>
              <w:t>ion for costs were</w:t>
            </w:r>
            <w:r w:rsidR="00AB7AC1" w:rsidRPr="00AB7AC1">
              <w:rPr>
                <w:rFonts w:ascii="Arial" w:hAnsi="Arial" w:cs="Arial"/>
                <w:sz w:val="24"/>
                <w:szCs w:val="24"/>
              </w:rPr>
              <w:t xml:space="preserve"> determined by the same court. In the present matter the court is asked not to deal with the issue of costs, but to defer it for determination by another court where the action proceedings are to be heard.</w:t>
            </w:r>
            <w:r w:rsidR="006A5ADD">
              <w:rPr>
                <w:rFonts w:ascii="Arial" w:hAnsi="Arial" w:cs="Arial"/>
                <w:sz w:val="24"/>
                <w:szCs w:val="24"/>
              </w:rPr>
              <w:t xml:space="preserve"> In my view</w:t>
            </w:r>
            <w:r w:rsidR="00F867EF">
              <w:rPr>
                <w:rFonts w:ascii="Arial" w:hAnsi="Arial" w:cs="Arial"/>
                <w:sz w:val="24"/>
                <w:szCs w:val="24"/>
              </w:rPr>
              <w:t>,</w:t>
            </w:r>
            <w:r w:rsidR="006A5ADD">
              <w:rPr>
                <w:rFonts w:ascii="Arial" w:hAnsi="Arial" w:cs="Arial"/>
                <w:sz w:val="24"/>
                <w:szCs w:val="24"/>
              </w:rPr>
              <w:t xml:space="preserve"> </w:t>
            </w:r>
            <w:r w:rsidR="006A5ADD" w:rsidRPr="006A5ADD">
              <w:rPr>
                <w:rFonts w:ascii="Arial" w:hAnsi="Arial" w:cs="Arial"/>
                <w:i/>
                <w:sz w:val="24"/>
                <w:szCs w:val="24"/>
              </w:rPr>
              <w:t>DPP V</w:t>
            </w:r>
            <w:r w:rsidR="006A5ADD">
              <w:rPr>
                <w:rFonts w:ascii="Arial" w:hAnsi="Arial" w:cs="Arial"/>
                <w:i/>
                <w:sz w:val="24"/>
                <w:szCs w:val="24"/>
              </w:rPr>
              <w:t>aluers</w:t>
            </w:r>
            <w:r w:rsidR="006A5ADD">
              <w:rPr>
                <w:rFonts w:ascii="Arial" w:hAnsi="Arial" w:cs="Arial"/>
                <w:sz w:val="24"/>
                <w:szCs w:val="24"/>
              </w:rPr>
              <w:t xml:space="preserve"> is not authority in support of the request by the applicant.</w:t>
            </w:r>
          </w:p>
          <w:p w:rsidR="00AB7AC1" w:rsidRDefault="00AB7AC1" w:rsidP="0029105C">
            <w:pPr>
              <w:spacing w:line="360" w:lineRule="auto"/>
              <w:jc w:val="both"/>
              <w:rPr>
                <w:rFonts w:ascii="Arial" w:hAnsi="Arial" w:cs="Arial"/>
                <w:sz w:val="24"/>
                <w:szCs w:val="24"/>
                <w:lang w:val="en-GB"/>
              </w:rPr>
            </w:pPr>
          </w:p>
          <w:p w:rsidR="006A5ADD" w:rsidRDefault="00774EEA" w:rsidP="0029105C">
            <w:pPr>
              <w:spacing w:line="360" w:lineRule="auto"/>
              <w:jc w:val="both"/>
              <w:rPr>
                <w:rFonts w:ascii="Arial" w:hAnsi="Arial" w:cs="Arial"/>
                <w:sz w:val="24"/>
                <w:szCs w:val="24"/>
                <w:lang w:val="en-US"/>
              </w:rPr>
            </w:pPr>
            <w:r>
              <w:rPr>
                <w:rFonts w:ascii="Arial" w:hAnsi="Arial" w:cs="Arial"/>
                <w:sz w:val="24"/>
                <w:szCs w:val="24"/>
                <w:lang w:val="en-GB"/>
              </w:rPr>
              <w:t>[15]</w:t>
            </w:r>
            <w:r>
              <w:rPr>
                <w:rFonts w:ascii="Arial" w:hAnsi="Arial" w:cs="Arial"/>
                <w:sz w:val="24"/>
                <w:szCs w:val="24"/>
                <w:lang w:val="en-GB"/>
              </w:rPr>
              <w:tab/>
            </w:r>
            <w:r w:rsidR="00BB7271">
              <w:rPr>
                <w:rFonts w:ascii="Arial" w:hAnsi="Arial" w:cs="Arial"/>
                <w:sz w:val="24"/>
                <w:szCs w:val="24"/>
                <w:lang w:val="en-GB"/>
              </w:rPr>
              <w:t>In considering the applicants request</w:t>
            </w:r>
            <w:r w:rsidR="00FF6E2B">
              <w:rPr>
                <w:rFonts w:ascii="Arial" w:hAnsi="Arial" w:cs="Arial"/>
                <w:sz w:val="24"/>
                <w:szCs w:val="24"/>
                <w:lang w:val="en-GB"/>
              </w:rPr>
              <w:t>,</w:t>
            </w:r>
            <w:r w:rsidR="00BB7271">
              <w:rPr>
                <w:rFonts w:ascii="Arial" w:hAnsi="Arial" w:cs="Arial"/>
                <w:sz w:val="24"/>
                <w:szCs w:val="24"/>
                <w:lang w:val="en-GB"/>
              </w:rPr>
              <w:t xml:space="preserve"> </w:t>
            </w:r>
            <w:r w:rsidR="00BB7271" w:rsidRPr="00583C12">
              <w:rPr>
                <w:rFonts w:ascii="Arial" w:hAnsi="Arial" w:cs="Arial"/>
                <w:sz w:val="24"/>
                <w:szCs w:val="24"/>
                <w:lang w:val="en-GB"/>
              </w:rPr>
              <w:t>regard should be had</w:t>
            </w:r>
            <w:r w:rsidR="006F7E81" w:rsidRPr="006F7E81">
              <w:rPr>
                <w:rFonts w:ascii="Arial" w:hAnsi="Arial" w:cs="Arial"/>
                <w:sz w:val="24"/>
                <w:szCs w:val="24"/>
                <w:lang w:val="en-GB"/>
              </w:rPr>
              <w:t xml:space="preserve"> to</w:t>
            </w:r>
            <w:r w:rsidR="00AE701A">
              <w:rPr>
                <w:rFonts w:ascii="Arial" w:hAnsi="Arial" w:cs="Arial"/>
                <w:sz w:val="24"/>
                <w:szCs w:val="24"/>
                <w:lang w:val="en-GB"/>
              </w:rPr>
              <w:t xml:space="preserve"> </w:t>
            </w:r>
            <w:r w:rsidR="00E00DA5" w:rsidRPr="00E00DA5">
              <w:rPr>
                <w:rFonts w:ascii="Arial" w:hAnsi="Arial" w:cs="Arial"/>
                <w:i/>
                <w:iCs/>
                <w:sz w:val="24"/>
                <w:szCs w:val="24"/>
              </w:rPr>
              <w:t xml:space="preserve">Rothschild v van </w:t>
            </w:r>
            <w:proofErr w:type="spellStart"/>
            <w:r w:rsidR="00E00DA5" w:rsidRPr="00E00DA5">
              <w:rPr>
                <w:rFonts w:ascii="Arial" w:hAnsi="Arial" w:cs="Arial"/>
                <w:i/>
                <w:iCs/>
                <w:sz w:val="24"/>
                <w:szCs w:val="24"/>
              </w:rPr>
              <w:t>Wyk</w:t>
            </w:r>
            <w:proofErr w:type="spellEnd"/>
            <w:r w:rsidR="006F7E81" w:rsidRPr="006F7E81">
              <w:rPr>
                <w:rFonts w:ascii="Arial" w:hAnsi="Arial" w:cs="Arial"/>
                <w:i/>
                <w:iCs/>
                <w:sz w:val="24"/>
                <w:szCs w:val="24"/>
                <w:vertAlign w:val="superscript"/>
                <w:lang w:val="en-GB"/>
              </w:rPr>
              <w:footnoteReference w:id="5"/>
            </w:r>
            <w:r w:rsidR="00614678">
              <w:rPr>
                <w:rFonts w:ascii="Arial" w:hAnsi="Arial" w:cs="Arial"/>
                <w:sz w:val="24"/>
                <w:szCs w:val="24"/>
                <w:lang w:val="en-GB"/>
              </w:rPr>
              <w:t>.</w:t>
            </w:r>
            <w:r w:rsidR="00614678" w:rsidRPr="006F7E81">
              <w:rPr>
                <w:rFonts w:ascii="Arial" w:hAnsi="Arial" w:cs="Arial"/>
                <w:sz w:val="24"/>
                <w:szCs w:val="24"/>
                <w:lang w:val="en-GB"/>
              </w:rPr>
              <w:t xml:space="preserve"> </w:t>
            </w:r>
            <w:r w:rsidR="00614678">
              <w:rPr>
                <w:rFonts w:ascii="Arial" w:hAnsi="Arial" w:cs="Arial"/>
                <w:sz w:val="24"/>
                <w:szCs w:val="24"/>
                <w:lang w:val="en-GB"/>
              </w:rPr>
              <w:t>In</w:t>
            </w:r>
            <w:r w:rsidR="00BB7271">
              <w:rPr>
                <w:rFonts w:ascii="Arial" w:hAnsi="Arial" w:cs="Arial"/>
                <w:sz w:val="24"/>
                <w:szCs w:val="24"/>
                <w:lang w:val="en-GB"/>
              </w:rPr>
              <w:t xml:space="preserve"> that matter</w:t>
            </w:r>
            <w:r w:rsidR="006F7E81" w:rsidRPr="006F7E81">
              <w:rPr>
                <w:rFonts w:ascii="Arial" w:hAnsi="Arial" w:cs="Arial"/>
                <w:sz w:val="24"/>
                <w:szCs w:val="24"/>
                <w:lang w:val="en-US"/>
              </w:rPr>
              <w:t xml:space="preserve"> the deputy sheriff </w:t>
            </w:r>
            <w:r w:rsidR="00BB7271">
              <w:rPr>
                <w:rFonts w:ascii="Arial" w:hAnsi="Arial" w:cs="Arial"/>
                <w:sz w:val="24"/>
                <w:szCs w:val="24"/>
                <w:lang w:val="en-US"/>
              </w:rPr>
              <w:t xml:space="preserve">had </w:t>
            </w:r>
            <w:r w:rsidR="006F7E81" w:rsidRPr="006F7E81">
              <w:rPr>
                <w:rFonts w:ascii="Arial" w:hAnsi="Arial" w:cs="Arial"/>
                <w:sz w:val="24"/>
                <w:szCs w:val="24"/>
                <w:lang w:val="en-US"/>
              </w:rPr>
              <w:t>attache</w:t>
            </w:r>
            <w:r w:rsidR="00614678">
              <w:rPr>
                <w:rFonts w:ascii="Arial" w:hAnsi="Arial" w:cs="Arial"/>
                <w:sz w:val="24"/>
                <w:szCs w:val="24"/>
                <w:lang w:val="en-US"/>
              </w:rPr>
              <w:t>d the goods of a</w:t>
            </w:r>
            <w:r w:rsidR="00BB7271">
              <w:rPr>
                <w:rFonts w:ascii="Arial" w:hAnsi="Arial" w:cs="Arial"/>
                <w:sz w:val="24"/>
                <w:szCs w:val="24"/>
                <w:lang w:val="en-US"/>
              </w:rPr>
              <w:t xml:space="preserve"> person who was not the</w:t>
            </w:r>
            <w:r w:rsidR="006F7E81" w:rsidRPr="006F7E81">
              <w:rPr>
                <w:rFonts w:ascii="Arial" w:hAnsi="Arial" w:cs="Arial"/>
                <w:sz w:val="24"/>
                <w:szCs w:val="24"/>
                <w:lang w:val="en-US"/>
              </w:rPr>
              <w:t xml:space="preserve"> judgment debtor and that person </w:t>
            </w:r>
            <w:r w:rsidR="00614678">
              <w:rPr>
                <w:rFonts w:ascii="Arial" w:hAnsi="Arial" w:cs="Arial"/>
                <w:sz w:val="24"/>
                <w:szCs w:val="24"/>
                <w:lang w:val="en-US"/>
              </w:rPr>
              <w:t xml:space="preserve">became a claimant in the </w:t>
            </w:r>
            <w:r w:rsidR="00BB7271">
              <w:rPr>
                <w:rFonts w:ascii="Arial" w:hAnsi="Arial" w:cs="Arial"/>
                <w:sz w:val="24"/>
                <w:szCs w:val="24"/>
                <w:lang w:val="en-US"/>
              </w:rPr>
              <w:t>interpleader proceedings</w:t>
            </w:r>
            <w:r w:rsidR="00614678">
              <w:rPr>
                <w:rFonts w:ascii="Arial" w:hAnsi="Arial" w:cs="Arial"/>
                <w:sz w:val="24"/>
                <w:szCs w:val="24"/>
                <w:lang w:val="en-US"/>
              </w:rPr>
              <w:t xml:space="preserve"> issued by the deputy sheriff</w:t>
            </w:r>
            <w:r w:rsidR="00BB7271">
              <w:rPr>
                <w:rFonts w:ascii="Arial" w:hAnsi="Arial" w:cs="Arial"/>
                <w:sz w:val="24"/>
                <w:szCs w:val="24"/>
                <w:lang w:val="en-US"/>
              </w:rPr>
              <w:t>. Thereafter</w:t>
            </w:r>
            <w:r w:rsidR="006F7E81" w:rsidRPr="006F7E81">
              <w:rPr>
                <w:rFonts w:ascii="Arial" w:hAnsi="Arial" w:cs="Arial"/>
                <w:sz w:val="24"/>
                <w:szCs w:val="24"/>
                <w:lang w:val="en-US"/>
              </w:rPr>
              <w:t xml:space="preserve"> the deputy sheriff withdrew the interpleader</w:t>
            </w:r>
            <w:r w:rsidR="00BB7271">
              <w:rPr>
                <w:rFonts w:ascii="Arial" w:hAnsi="Arial" w:cs="Arial"/>
                <w:sz w:val="24"/>
                <w:szCs w:val="24"/>
                <w:lang w:val="en-US"/>
              </w:rPr>
              <w:t xml:space="preserve"> summons and was ordered to pay the claimant’s </w:t>
            </w:r>
            <w:r w:rsidR="006F7E81" w:rsidRPr="006F7E81">
              <w:rPr>
                <w:rFonts w:ascii="Arial" w:hAnsi="Arial" w:cs="Arial"/>
                <w:sz w:val="24"/>
                <w:szCs w:val="24"/>
                <w:lang w:val="en-US"/>
              </w:rPr>
              <w:t>costs on a party</w:t>
            </w:r>
            <w:r w:rsidR="00BB7271">
              <w:rPr>
                <w:rFonts w:ascii="Arial" w:hAnsi="Arial" w:cs="Arial"/>
                <w:sz w:val="24"/>
                <w:szCs w:val="24"/>
                <w:lang w:val="en-US"/>
              </w:rPr>
              <w:t>-</w:t>
            </w:r>
            <w:r w:rsidR="006F7E81" w:rsidRPr="006F7E81">
              <w:rPr>
                <w:rFonts w:ascii="Arial" w:hAnsi="Arial" w:cs="Arial"/>
                <w:sz w:val="24"/>
                <w:szCs w:val="24"/>
                <w:lang w:val="en-US"/>
              </w:rPr>
              <w:t>party scale. The claimant was paid h</w:t>
            </w:r>
            <w:r w:rsidR="00BB7271">
              <w:rPr>
                <w:rFonts w:ascii="Arial" w:hAnsi="Arial" w:cs="Arial"/>
                <w:sz w:val="24"/>
                <w:szCs w:val="24"/>
                <w:lang w:val="en-US"/>
              </w:rPr>
              <w:t>is party-party costs. Subsequent thereto</w:t>
            </w:r>
            <w:r w:rsidR="006F7E81" w:rsidRPr="006F7E81">
              <w:rPr>
                <w:rFonts w:ascii="Arial" w:hAnsi="Arial" w:cs="Arial"/>
                <w:sz w:val="24"/>
                <w:szCs w:val="24"/>
                <w:lang w:val="en-US"/>
              </w:rPr>
              <w:t xml:space="preserve"> the claimant </w:t>
            </w:r>
            <w:r w:rsidR="00BB7271">
              <w:rPr>
                <w:rFonts w:ascii="Arial" w:hAnsi="Arial" w:cs="Arial"/>
                <w:sz w:val="24"/>
                <w:szCs w:val="24"/>
                <w:lang w:val="en-US"/>
              </w:rPr>
              <w:t>instituted</w:t>
            </w:r>
            <w:r w:rsidR="006F7E81" w:rsidRPr="006F7E81">
              <w:rPr>
                <w:rFonts w:ascii="Arial" w:hAnsi="Arial" w:cs="Arial"/>
                <w:sz w:val="24"/>
                <w:szCs w:val="24"/>
                <w:lang w:val="en-US"/>
              </w:rPr>
              <w:t xml:space="preserve"> </w:t>
            </w:r>
            <w:r w:rsidR="0080576C">
              <w:rPr>
                <w:rFonts w:ascii="Arial" w:hAnsi="Arial" w:cs="Arial"/>
                <w:sz w:val="24"/>
                <w:szCs w:val="24"/>
                <w:lang w:val="en-US"/>
              </w:rPr>
              <w:t xml:space="preserve">a </w:t>
            </w:r>
            <w:r w:rsidR="006F7E81" w:rsidRPr="006F7E81">
              <w:rPr>
                <w:rFonts w:ascii="Arial" w:hAnsi="Arial" w:cs="Arial"/>
                <w:sz w:val="24"/>
                <w:szCs w:val="24"/>
                <w:lang w:val="en-US"/>
              </w:rPr>
              <w:t>damages claim</w:t>
            </w:r>
            <w:r w:rsidR="00614678">
              <w:rPr>
                <w:rFonts w:ascii="Arial" w:hAnsi="Arial" w:cs="Arial"/>
                <w:sz w:val="24"/>
                <w:szCs w:val="24"/>
                <w:lang w:val="en-US"/>
              </w:rPr>
              <w:t xml:space="preserve"> in the </w:t>
            </w:r>
            <w:r w:rsidR="006C3AA6">
              <w:rPr>
                <w:rFonts w:ascii="Arial" w:hAnsi="Arial" w:cs="Arial"/>
                <w:sz w:val="24"/>
                <w:szCs w:val="24"/>
                <w:lang w:val="en-US"/>
              </w:rPr>
              <w:t>magistrates’</w:t>
            </w:r>
            <w:r w:rsidR="00614678">
              <w:rPr>
                <w:rFonts w:ascii="Arial" w:hAnsi="Arial" w:cs="Arial"/>
                <w:sz w:val="24"/>
                <w:szCs w:val="24"/>
                <w:lang w:val="en-US"/>
              </w:rPr>
              <w:t xml:space="preserve"> court,</w:t>
            </w:r>
            <w:r w:rsidR="006F7E81" w:rsidRPr="006F7E81">
              <w:rPr>
                <w:rFonts w:ascii="Arial" w:hAnsi="Arial" w:cs="Arial"/>
                <w:sz w:val="24"/>
                <w:szCs w:val="24"/>
                <w:lang w:val="en-US"/>
              </w:rPr>
              <w:t xml:space="preserve"> against the judgment </w:t>
            </w:r>
            <w:r w:rsidR="006F7E81" w:rsidRPr="006F7E81">
              <w:rPr>
                <w:rFonts w:ascii="Arial" w:hAnsi="Arial" w:cs="Arial"/>
                <w:sz w:val="24"/>
                <w:szCs w:val="24"/>
                <w:lang w:val="en-US"/>
              </w:rPr>
              <w:lastRenderedPageBreak/>
              <w:t>creditor. He was awarded damages made up of two items, one for attorney and client bill of costs in the interpleader proceeding and one</w:t>
            </w:r>
            <w:r w:rsidR="00BB7271">
              <w:rPr>
                <w:rFonts w:ascii="Arial" w:hAnsi="Arial" w:cs="Arial"/>
                <w:sz w:val="24"/>
                <w:szCs w:val="24"/>
                <w:lang w:val="en-US"/>
              </w:rPr>
              <w:t xml:space="preserve"> for personal expenses.</w:t>
            </w:r>
            <w:r w:rsidR="00E00DA5">
              <w:rPr>
                <w:rFonts w:ascii="Arial" w:hAnsi="Arial" w:cs="Arial"/>
                <w:sz w:val="24"/>
                <w:szCs w:val="24"/>
                <w:lang w:val="en-US"/>
              </w:rPr>
              <w:t xml:space="preserve"> The judg</w:t>
            </w:r>
            <w:r w:rsidR="00614678">
              <w:rPr>
                <w:rFonts w:ascii="Arial" w:hAnsi="Arial" w:cs="Arial"/>
                <w:sz w:val="24"/>
                <w:szCs w:val="24"/>
                <w:lang w:val="en-US"/>
              </w:rPr>
              <w:t>ment creditor appealed to the High Court.</w:t>
            </w:r>
            <w:r w:rsidR="00BB7271">
              <w:rPr>
                <w:rFonts w:ascii="Arial" w:hAnsi="Arial" w:cs="Arial"/>
                <w:sz w:val="24"/>
                <w:szCs w:val="24"/>
                <w:lang w:val="en-US"/>
              </w:rPr>
              <w:t xml:space="preserve"> The question</w:t>
            </w:r>
            <w:r w:rsidR="00D15A5D">
              <w:rPr>
                <w:rFonts w:ascii="Arial" w:hAnsi="Arial" w:cs="Arial"/>
                <w:sz w:val="24"/>
                <w:szCs w:val="24"/>
                <w:lang w:val="en-US"/>
              </w:rPr>
              <w:t xml:space="preserve"> before the appeal court</w:t>
            </w:r>
            <w:r w:rsidR="006F7E81" w:rsidRPr="006F7E81">
              <w:rPr>
                <w:rFonts w:ascii="Arial" w:hAnsi="Arial" w:cs="Arial"/>
                <w:sz w:val="24"/>
                <w:szCs w:val="24"/>
                <w:lang w:val="en-US"/>
              </w:rPr>
              <w:t xml:space="preserve"> was whether</w:t>
            </w:r>
            <w:r w:rsidR="00D15A5D">
              <w:rPr>
                <w:rFonts w:ascii="Arial" w:hAnsi="Arial" w:cs="Arial"/>
                <w:sz w:val="24"/>
                <w:szCs w:val="24"/>
                <w:lang w:val="en-US"/>
              </w:rPr>
              <w:t xml:space="preserve"> the</w:t>
            </w:r>
            <w:r w:rsidR="006F7E81" w:rsidRPr="006F7E81">
              <w:rPr>
                <w:rFonts w:ascii="Arial" w:hAnsi="Arial" w:cs="Arial"/>
                <w:sz w:val="24"/>
                <w:szCs w:val="24"/>
                <w:lang w:val="en-US"/>
              </w:rPr>
              <w:t xml:space="preserve"> </w:t>
            </w:r>
            <w:r w:rsidR="00BB7271">
              <w:rPr>
                <w:rFonts w:ascii="Arial" w:hAnsi="Arial" w:cs="Arial"/>
                <w:sz w:val="24"/>
                <w:szCs w:val="24"/>
                <w:lang w:val="en-US"/>
              </w:rPr>
              <w:t>claimant would have obtained such</w:t>
            </w:r>
            <w:r w:rsidR="006F7E81" w:rsidRPr="006F7E81">
              <w:rPr>
                <w:rFonts w:ascii="Arial" w:hAnsi="Arial" w:cs="Arial"/>
                <w:sz w:val="24"/>
                <w:szCs w:val="24"/>
                <w:lang w:val="en-US"/>
              </w:rPr>
              <w:t xml:space="preserve"> costs in the interpleader proceeding</w:t>
            </w:r>
            <w:r w:rsidR="00AE701A">
              <w:rPr>
                <w:rFonts w:ascii="Arial" w:hAnsi="Arial" w:cs="Arial"/>
                <w:sz w:val="24"/>
                <w:szCs w:val="24"/>
                <w:lang w:val="en-US"/>
              </w:rPr>
              <w:t>.</w:t>
            </w:r>
          </w:p>
          <w:p w:rsidR="006A5ADD" w:rsidRDefault="006A5ADD" w:rsidP="0029105C">
            <w:pPr>
              <w:spacing w:line="360" w:lineRule="auto"/>
              <w:jc w:val="both"/>
              <w:rPr>
                <w:rFonts w:ascii="Arial" w:hAnsi="Arial" w:cs="Arial"/>
                <w:sz w:val="24"/>
                <w:szCs w:val="24"/>
                <w:lang w:val="en-US"/>
              </w:rPr>
            </w:pPr>
          </w:p>
          <w:p w:rsidR="006F7E81" w:rsidRDefault="006A5ADD" w:rsidP="0029105C">
            <w:pPr>
              <w:spacing w:line="360" w:lineRule="auto"/>
              <w:jc w:val="both"/>
              <w:rPr>
                <w:rFonts w:ascii="Arial" w:hAnsi="Arial" w:cs="Arial"/>
                <w:sz w:val="24"/>
                <w:szCs w:val="24"/>
                <w:lang w:val="en-US"/>
              </w:rPr>
            </w:pPr>
            <w:r>
              <w:rPr>
                <w:rFonts w:ascii="Arial" w:hAnsi="Arial" w:cs="Arial"/>
                <w:sz w:val="24"/>
                <w:szCs w:val="24"/>
                <w:lang w:val="en-US"/>
              </w:rPr>
              <w:t>[16]</w:t>
            </w:r>
            <w:r>
              <w:rPr>
                <w:rFonts w:ascii="Arial" w:hAnsi="Arial" w:cs="Arial"/>
                <w:sz w:val="24"/>
                <w:szCs w:val="24"/>
                <w:lang w:val="en-US"/>
              </w:rPr>
              <w:tab/>
            </w:r>
            <w:r w:rsidR="00D15A5D">
              <w:rPr>
                <w:rFonts w:ascii="Arial" w:hAnsi="Arial" w:cs="Arial"/>
                <w:sz w:val="24"/>
                <w:szCs w:val="24"/>
                <w:lang w:val="en-US"/>
              </w:rPr>
              <w:t>T</w:t>
            </w:r>
            <w:r w:rsidR="006F7E81" w:rsidRPr="006F7E81">
              <w:rPr>
                <w:rFonts w:ascii="Arial" w:hAnsi="Arial" w:cs="Arial"/>
                <w:sz w:val="24"/>
                <w:szCs w:val="24"/>
                <w:lang w:val="en-US"/>
              </w:rPr>
              <w:t>he court held that such costs could not have been obtained in the absence of the allegation and prove of malice. That being th</w:t>
            </w:r>
            <w:r w:rsidR="00D15A5D">
              <w:rPr>
                <w:rFonts w:ascii="Arial" w:hAnsi="Arial" w:cs="Arial"/>
                <w:sz w:val="24"/>
                <w:szCs w:val="24"/>
                <w:lang w:val="en-US"/>
              </w:rPr>
              <w:t>e case he could not obtain it in</w:t>
            </w:r>
            <w:r w:rsidR="006F7E81" w:rsidRPr="006F7E81">
              <w:rPr>
                <w:rFonts w:ascii="Arial" w:hAnsi="Arial" w:cs="Arial"/>
                <w:sz w:val="24"/>
                <w:szCs w:val="24"/>
                <w:lang w:val="en-US"/>
              </w:rPr>
              <w:t xml:space="preserve"> the second action. I</w:t>
            </w:r>
            <w:r w:rsidR="00E00DA5">
              <w:rPr>
                <w:rFonts w:ascii="Arial" w:hAnsi="Arial" w:cs="Arial"/>
                <w:sz w:val="24"/>
                <w:szCs w:val="24"/>
                <w:lang w:val="en-US"/>
              </w:rPr>
              <w:t>n the course of the judgment</w:t>
            </w:r>
            <w:r w:rsidR="006F7E81" w:rsidRPr="006F7E81">
              <w:rPr>
                <w:rFonts w:ascii="Arial" w:hAnsi="Arial" w:cs="Arial"/>
                <w:sz w:val="24"/>
                <w:szCs w:val="24"/>
                <w:lang w:val="en-US"/>
              </w:rPr>
              <w:t xml:space="preserve"> </w:t>
            </w:r>
            <w:r w:rsidR="006F7E81" w:rsidRPr="006F7E81">
              <w:rPr>
                <w:rFonts w:ascii="Arial" w:hAnsi="Arial" w:cs="Arial"/>
                <w:sz w:val="24"/>
                <w:szCs w:val="24"/>
                <w:lang w:val="en-GB"/>
              </w:rPr>
              <w:t>De Villiers, JP</w:t>
            </w:r>
            <w:r w:rsidR="006F7E81" w:rsidRPr="006F7E81">
              <w:rPr>
                <w:rFonts w:ascii="Arial" w:hAnsi="Arial" w:cs="Arial"/>
                <w:sz w:val="24"/>
                <w:szCs w:val="24"/>
                <w:lang w:val="en-US"/>
              </w:rPr>
              <w:t xml:space="preserve"> said the following:</w:t>
            </w:r>
          </w:p>
          <w:p w:rsidR="006F7E81" w:rsidRPr="006F7E81" w:rsidRDefault="006F7E81" w:rsidP="0029105C">
            <w:pPr>
              <w:spacing w:line="360" w:lineRule="auto"/>
              <w:jc w:val="both"/>
              <w:rPr>
                <w:rFonts w:ascii="Arial" w:hAnsi="Arial" w:cs="Arial"/>
                <w:sz w:val="24"/>
                <w:szCs w:val="24"/>
                <w:lang w:val="en-US"/>
              </w:rPr>
            </w:pPr>
          </w:p>
          <w:p w:rsidR="006F7E81" w:rsidRPr="006F7E81" w:rsidRDefault="006F7E81" w:rsidP="0029105C">
            <w:pPr>
              <w:spacing w:line="360" w:lineRule="auto"/>
              <w:jc w:val="both"/>
              <w:rPr>
                <w:rFonts w:ascii="Arial" w:hAnsi="Arial" w:cs="Arial"/>
              </w:rPr>
            </w:pPr>
            <w:r w:rsidRPr="006F7E81">
              <w:rPr>
                <w:rFonts w:ascii="Arial" w:hAnsi="Arial" w:cs="Arial"/>
                <w:sz w:val="24"/>
                <w:szCs w:val="24"/>
                <w:lang w:val="en-US"/>
              </w:rPr>
              <w:tab/>
            </w:r>
            <w:r w:rsidRPr="006F7E81">
              <w:rPr>
                <w:rFonts w:ascii="Arial" w:hAnsi="Arial" w:cs="Arial"/>
                <w:lang w:val="en-US"/>
              </w:rPr>
              <w:t>‘</w:t>
            </w:r>
            <w:r w:rsidRPr="006F7E81">
              <w:rPr>
                <w:rFonts w:ascii="Arial" w:hAnsi="Arial" w:cs="Arial"/>
                <w:iCs/>
                <w:lang w:val="en-GB"/>
              </w:rPr>
              <w:t xml:space="preserve">As a </w:t>
            </w:r>
            <w:r w:rsidRPr="00AE701A">
              <w:rPr>
                <w:rFonts w:ascii="Arial" w:hAnsi="Arial" w:cs="Arial"/>
                <w:iCs/>
                <w:lang w:val="en-GB"/>
              </w:rPr>
              <w:t xml:space="preserve">general principle the right to costs must always be considered as finally settled in the Court where the question is adjudicated to which that </w:t>
            </w:r>
            <w:r w:rsidRPr="006F7E81">
              <w:rPr>
                <w:rFonts w:ascii="Arial" w:hAnsi="Arial" w:cs="Arial"/>
                <w:iCs/>
                <w:lang w:val="en-GB"/>
              </w:rPr>
              <w:t>right is accessory; so that, if any costs are awarded, nothing beyond the sum taxed, according to the Rules of Court, can be recovered as damages; or, if costs were expressly withheld by an adjudication in the particular case, none would be recovered by suit in any other Court.’</w:t>
            </w:r>
            <w:r>
              <w:rPr>
                <w:rStyle w:val="FootnoteReference"/>
                <w:rFonts w:ascii="Arial" w:hAnsi="Arial" w:cs="Arial"/>
                <w:iCs/>
                <w:lang w:val="en-GB"/>
              </w:rPr>
              <w:footnoteReference w:id="6"/>
            </w:r>
          </w:p>
          <w:p w:rsidR="006F7E81" w:rsidRDefault="006F7E81" w:rsidP="0029105C">
            <w:pPr>
              <w:spacing w:line="360" w:lineRule="auto"/>
              <w:jc w:val="both"/>
              <w:rPr>
                <w:rFonts w:ascii="Arial" w:hAnsi="Arial" w:cs="Arial"/>
                <w:sz w:val="24"/>
                <w:szCs w:val="24"/>
                <w:u w:val="single"/>
              </w:rPr>
            </w:pPr>
          </w:p>
          <w:p w:rsidR="006A398D" w:rsidRPr="006A398D" w:rsidRDefault="006A398D" w:rsidP="0029105C">
            <w:pPr>
              <w:spacing w:line="360" w:lineRule="auto"/>
              <w:jc w:val="both"/>
              <w:rPr>
                <w:rFonts w:ascii="Arial" w:hAnsi="Arial" w:cs="Arial"/>
                <w:sz w:val="24"/>
                <w:szCs w:val="24"/>
                <w:u w:val="single"/>
              </w:rPr>
            </w:pPr>
            <w:r w:rsidRPr="006A398D">
              <w:rPr>
                <w:rFonts w:ascii="Arial" w:hAnsi="Arial" w:cs="Arial"/>
                <w:sz w:val="24"/>
                <w:szCs w:val="24"/>
                <w:u w:val="single"/>
              </w:rPr>
              <w:t>Discussion</w:t>
            </w:r>
          </w:p>
          <w:p w:rsidR="006A398D" w:rsidRPr="006A398D" w:rsidRDefault="006A398D" w:rsidP="0029105C">
            <w:pPr>
              <w:spacing w:line="360" w:lineRule="auto"/>
              <w:jc w:val="both"/>
              <w:rPr>
                <w:rFonts w:ascii="Arial" w:hAnsi="Arial" w:cs="Arial"/>
                <w:sz w:val="24"/>
                <w:szCs w:val="24"/>
              </w:rPr>
            </w:pPr>
          </w:p>
          <w:p w:rsidR="00F17B35" w:rsidRDefault="00C06EB4" w:rsidP="0029105C">
            <w:pPr>
              <w:tabs>
                <w:tab w:val="left" w:pos="729"/>
              </w:tabs>
              <w:spacing w:line="360" w:lineRule="auto"/>
              <w:jc w:val="both"/>
              <w:rPr>
                <w:rFonts w:ascii="Arial" w:hAnsi="Arial" w:cs="Arial"/>
                <w:sz w:val="24"/>
                <w:szCs w:val="24"/>
              </w:rPr>
            </w:pPr>
            <w:r w:rsidRPr="006A398D">
              <w:rPr>
                <w:rFonts w:ascii="Arial" w:hAnsi="Arial" w:cs="Arial"/>
                <w:sz w:val="24"/>
                <w:szCs w:val="24"/>
              </w:rPr>
              <w:t>[</w:t>
            </w:r>
            <w:r w:rsidR="00774EEA">
              <w:rPr>
                <w:rFonts w:ascii="Arial" w:hAnsi="Arial" w:cs="Arial"/>
                <w:sz w:val="24"/>
                <w:szCs w:val="24"/>
              </w:rPr>
              <w:t>1</w:t>
            </w:r>
            <w:r w:rsidR="0029105C">
              <w:rPr>
                <w:rFonts w:ascii="Arial" w:hAnsi="Arial" w:cs="Arial"/>
                <w:sz w:val="24"/>
                <w:szCs w:val="24"/>
              </w:rPr>
              <w:t>7</w:t>
            </w:r>
            <w:r w:rsidR="00B40844" w:rsidRPr="006A398D">
              <w:rPr>
                <w:rFonts w:ascii="Arial" w:hAnsi="Arial" w:cs="Arial"/>
                <w:sz w:val="24"/>
                <w:szCs w:val="24"/>
              </w:rPr>
              <w:t>]</w:t>
            </w:r>
            <w:r w:rsidR="00B40844" w:rsidRPr="006A398D">
              <w:rPr>
                <w:rFonts w:ascii="Arial" w:hAnsi="Arial" w:cs="Arial"/>
                <w:sz w:val="24"/>
                <w:szCs w:val="24"/>
              </w:rPr>
              <w:tab/>
            </w:r>
            <w:r w:rsidR="00F17B35">
              <w:rPr>
                <w:rFonts w:ascii="Arial" w:hAnsi="Arial" w:cs="Arial"/>
                <w:sz w:val="24"/>
                <w:szCs w:val="24"/>
              </w:rPr>
              <w:t>Keeping in mind the legal principle</w:t>
            </w:r>
            <w:r w:rsidR="00E17113">
              <w:rPr>
                <w:rFonts w:ascii="Arial" w:hAnsi="Arial" w:cs="Arial"/>
                <w:sz w:val="24"/>
                <w:szCs w:val="24"/>
              </w:rPr>
              <w:t>s</w:t>
            </w:r>
            <w:r w:rsidR="00F17B35">
              <w:rPr>
                <w:rFonts w:ascii="Arial" w:hAnsi="Arial" w:cs="Arial"/>
                <w:sz w:val="24"/>
                <w:szCs w:val="24"/>
              </w:rPr>
              <w:t xml:space="preserve"> outline</w:t>
            </w:r>
            <w:r w:rsidR="00E17113">
              <w:rPr>
                <w:rFonts w:ascii="Arial" w:hAnsi="Arial" w:cs="Arial"/>
                <w:sz w:val="24"/>
                <w:szCs w:val="24"/>
              </w:rPr>
              <w:t>d</w:t>
            </w:r>
            <w:r w:rsidR="00F17B35">
              <w:rPr>
                <w:rFonts w:ascii="Arial" w:hAnsi="Arial" w:cs="Arial"/>
                <w:sz w:val="24"/>
                <w:szCs w:val="24"/>
              </w:rPr>
              <w:t xml:space="preserve"> above, I proceed to consider the applicant</w:t>
            </w:r>
            <w:r w:rsidR="006F71BD">
              <w:rPr>
                <w:rFonts w:ascii="Arial" w:hAnsi="Arial" w:cs="Arial"/>
                <w:sz w:val="24"/>
                <w:szCs w:val="24"/>
              </w:rPr>
              <w:t>’</w:t>
            </w:r>
            <w:r w:rsidR="00F17B35">
              <w:rPr>
                <w:rFonts w:ascii="Arial" w:hAnsi="Arial" w:cs="Arial"/>
                <w:sz w:val="24"/>
                <w:szCs w:val="24"/>
              </w:rPr>
              <w:t>s plea for the deferment of payment of costs.</w:t>
            </w:r>
          </w:p>
          <w:p w:rsidR="00F17B35" w:rsidRDefault="00F17B35" w:rsidP="0029105C">
            <w:pPr>
              <w:tabs>
                <w:tab w:val="left" w:pos="729"/>
              </w:tabs>
              <w:spacing w:line="360" w:lineRule="auto"/>
              <w:jc w:val="both"/>
              <w:rPr>
                <w:rFonts w:ascii="Arial" w:hAnsi="Arial" w:cs="Arial"/>
                <w:sz w:val="24"/>
                <w:szCs w:val="24"/>
              </w:rPr>
            </w:pPr>
          </w:p>
          <w:p w:rsidR="006F71BD" w:rsidRDefault="00774EEA" w:rsidP="0029105C">
            <w:pPr>
              <w:tabs>
                <w:tab w:val="left" w:pos="729"/>
              </w:tabs>
              <w:spacing w:line="360" w:lineRule="auto"/>
              <w:jc w:val="both"/>
              <w:rPr>
                <w:rFonts w:ascii="Arial" w:hAnsi="Arial"/>
                <w:sz w:val="24"/>
                <w:szCs w:val="24"/>
              </w:rPr>
            </w:pPr>
            <w:r>
              <w:rPr>
                <w:rFonts w:ascii="Arial" w:hAnsi="Arial" w:cs="Arial"/>
                <w:sz w:val="24"/>
                <w:szCs w:val="24"/>
              </w:rPr>
              <w:t>[1</w:t>
            </w:r>
            <w:r w:rsidR="0029105C">
              <w:rPr>
                <w:rFonts w:ascii="Arial" w:hAnsi="Arial" w:cs="Arial"/>
                <w:sz w:val="24"/>
                <w:szCs w:val="24"/>
              </w:rPr>
              <w:t>8</w:t>
            </w:r>
            <w:r w:rsidR="00E00DA5">
              <w:rPr>
                <w:rFonts w:ascii="Arial" w:hAnsi="Arial" w:cs="Arial"/>
                <w:sz w:val="24"/>
                <w:szCs w:val="24"/>
              </w:rPr>
              <w:t>]</w:t>
            </w:r>
            <w:r w:rsidR="00E00DA5">
              <w:rPr>
                <w:rFonts w:ascii="Arial" w:hAnsi="Arial" w:cs="Arial"/>
                <w:sz w:val="24"/>
                <w:szCs w:val="24"/>
              </w:rPr>
              <w:tab/>
            </w:r>
            <w:r w:rsidR="00844A69">
              <w:rPr>
                <w:rFonts w:ascii="Arial" w:hAnsi="Arial" w:cs="Arial"/>
                <w:sz w:val="24"/>
                <w:szCs w:val="24"/>
              </w:rPr>
              <w:t>The</w:t>
            </w:r>
            <w:r w:rsidR="00EB0A6C">
              <w:rPr>
                <w:rFonts w:ascii="Arial" w:hAnsi="Arial"/>
                <w:sz w:val="24"/>
                <w:szCs w:val="24"/>
              </w:rPr>
              <w:t xml:space="preserve"> application for</w:t>
            </w:r>
            <w:r w:rsidR="003D6D08">
              <w:rPr>
                <w:rFonts w:ascii="Arial" w:hAnsi="Arial"/>
                <w:sz w:val="24"/>
                <w:szCs w:val="24"/>
              </w:rPr>
              <w:t xml:space="preserve"> the cancellation of a </w:t>
            </w:r>
            <w:r w:rsidR="00EB0A6C">
              <w:rPr>
                <w:rFonts w:ascii="Arial" w:hAnsi="Arial"/>
                <w:sz w:val="24"/>
                <w:szCs w:val="24"/>
              </w:rPr>
              <w:t>dee</w:t>
            </w:r>
            <w:r w:rsidR="00F17B35">
              <w:rPr>
                <w:rFonts w:ascii="Arial" w:hAnsi="Arial"/>
                <w:sz w:val="24"/>
                <w:szCs w:val="24"/>
              </w:rPr>
              <w:t>d of sale was set down before this court</w:t>
            </w:r>
            <w:r w:rsidR="00EB0A6C">
              <w:rPr>
                <w:rFonts w:ascii="Arial" w:hAnsi="Arial"/>
                <w:sz w:val="24"/>
                <w:szCs w:val="24"/>
              </w:rPr>
              <w:t xml:space="preserve"> </w:t>
            </w:r>
            <w:r w:rsidR="00386339">
              <w:rPr>
                <w:rFonts w:ascii="Arial" w:hAnsi="Arial"/>
                <w:sz w:val="24"/>
                <w:szCs w:val="24"/>
              </w:rPr>
              <w:t>and the appl</w:t>
            </w:r>
            <w:r w:rsidR="00F17B35">
              <w:rPr>
                <w:rFonts w:ascii="Arial" w:hAnsi="Arial"/>
                <w:sz w:val="24"/>
                <w:szCs w:val="24"/>
              </w:rPr>
              <w:t>ication was withdrawn against the second respondent in this court</w:t>
            </w:r>
            <w:r w:rsidR="00545CAE">
              <w:rPr>
                <w:rFonts w:ascii="Arial" w:hAnsi="Arial"/>
                <w:sz w:val="24"/>
                <w:szCs w:val="24"/>
              </w:rPr>
              <w:t xml:space="preserve">. </w:t>
            </w:r>
            <w:r w:rsidR="00844A69">
              <w:rPr>
                <w:rFonts w:ascii="Arial" w:hAnsi="Arial"/>
                <w:sz w:val="24"/>
                <w:szCs w:val="24"/>
              </w:rPr>
              <w:t>The</w:t>
            </w:r>
            <w:r w:rsidR="00887C17">
              <w:rPr>
                <w:rFonts w:ascii="Arial" w:hAnsi="Arial"/>
                <w:sz w:val="24"/>
                <w:szCs w:val="24"/>
              </w:rPr>
              <w:t xml:space="preserve"> action</w:t>
            </w:r>
            <w:r w:rsidR="006F71BD">
              <w:rPr>
                <w:rFonts w:ascii="Arial" w:hAnsi="Arial"/>
                <w:sz w:val="24"/>
                <w:szCs w:val="24"/>
              </w:rPr>
              <w:t xml:space="preserve"> the applicant has</w:t>
            </w:r>
            <w:r w:rsidR="00F17B35">
              <w:rPr>
                <w:rFonts w:ascii="Arial" w:hAnsi="Arial"/>
                <w:sz w:val="24"/>
                <w:szCs w:val="24"/>
              </w:rPr>
              <w:t xml:space="preserve"> </w:t>
            </w:r>
            <w:r w:rsidR="006F71BD">
              <w:rPr>
                <w:rFonts w:ascii="Arial" w:hAnsi="Arial"/>
                <w:sz w:val="24"/>
                <w:szCs w:val="24"/>
              </w:rPr>
              <w:t>instituted</w:t>
            </w:r>
            <w:r w:rsidR="006814D1">
              <w:rPr>
                <w:rFonts w:ascii="Arial" w:hAnsi="Arial"/>
                <w:sz w:val="24"/>
                <w:szCs w:val="24"/>
              </w:rPr>
              <w:t xml:space="preserve"> against the second respondent</w:t>
            </w:r>
            <w:r w:rsidR="006F71BD">
              <w:rPr>
                <w:rFonts w:ascii="Arial" w:hAnsi="Arial"/>
                <w:sz w:val="24"/>
                <w:szCs w:val="24"/>
              </w:rPr>
              <w:t xml:space="preserve"> is a separate action</w:t>
            </w:r>
            <w:r w:rsidR="00887C17">
              <w:rPr>
                <w:rFonts w:ascii="Arial" w:hAnsi="Arial"/>
                <w:sz w:val="24"/>
                <w:szCs w:val="24"/>
              </w:rPr>
              <w:t xml:space="preserve"> from the present application</w:t>
            </w:r>
            <w:r w:rsidR="00D15A5D">
              <w:rPr>
                <w:rFonts w:ascii="Arial" w:hAnsi="Arial"/>
                <w:sz w:val="24"/>
                <w:szCs w:val="24"/>
              </w:rPr>
              <w:t>. It</w:t>
            </w:r>
            <w:r w:rsidR="00391616">
              <w:rPr>
                <w:rFonts w:ascii="Arial" w:hAnsi="Arial"/>
                <w:sz w:val="24"/>
                <w:szCs w:val="24"/>
              </w:rPr>
              <w:t xml:space="preserve"> is not </w:t>
            </w:r>
            <w:r w:rsidR="006814D1">
              <w:rPr>
                <w:rFonts w:ascii="Arial" w:hAnsi="Arial"/>
                <w:sz w:val="24"/>
                <w:szCs w:val="24"/>
              </w:rPr>
              <w:t>before this court but serving before another court</w:t>
            </w:r>
            <w:r w:rsidR="00391616">
              <w:rPr>
                <w:rFonts w:ascii="Arial" w:hAnsi="Arial"/>
                <w:sz w:val="24"/>
                <w:szCs w:val="24"/>
              </w:rPr>
              <w:t>.</w:t>
            </w:r>
            <w:r w:rsidR="006814D1">
              <w:rPr>
                <w:rFonts w:ascii="Arial" w:hAnsi="Arial"/>
                <w:sz w:val="24"/>
                <w:szCs w:val="24"/>
              </w:rPr>
              <w:t xml:space="preserve"> As stated in </w:t>
            </w:r>
            <w:r w:rsidR="006814D1" w:rsidRPr="006814D1">
              <w:rPr>
                <w:rFonts w:ascii="Arial" w:hAnsi="Arial"/>
                <w:i/>
                <w:sz w:val="24"/>
                <w:szCs w:val="24"/>
              </w:rPr>
              <w:t>Rothschild</w:t>
            </w:r>
            <w:r w:rsidR="006814D1">
              <w:rPr>
                <w:rFonts w:ascii="Arial" w:hAnsi="Arial"/>
                <w:i/>
                <w:sz w:val="24"/>
                <w:szCs w:val="24"/>
              </w:rPr>
              <w:t>,</w:t>
            </w:r>
            <w:r w:rsidR="00391616">
              <w:rPr>
                <w:rFonts w:ascii="Arial" w:hAnsi="Arial"/>
                <w:sz w:val="24"/>
                <w:szCs w:val="24"/>
              </w:rPr>
              <w:t xml:space="preserve"> </w:t>
            </w:r>
            <w:r w:rsidR="006814D1" w:rsidRPr="00E00DA5">
              <w:rPr>
                <w:rFonts w:ascii="Arial" w:hAnsi="Arial"/>
                <w:sz w:val="24"/>
                <w:szCs w:val="24"/>
              </w:rPr>
              <w:t xml:space="preserve">the </w:t>
            </w:r>
            <w:r w:rsidR="006814D1" w:rsidRPr="00E00DA5">
              <w:rPr>
                <w:rFonts w:ascii="Arial" w:hAnsi="Arial" w:cs="Arial"/>
                <w:iCs/>
                <w:sz w:val="24"/>
                <w:szCs w:val="24"/>
                <w:lang w:val="en-GB"/>
              </w:rPr>
              <w:t>right</w:t>
            </w:r>
            <w:r w:rsidR="006814D1" w:rsidRPr="006F7E81">
              <w:rPr>
                <w:rFonts w:ascii="Arial" w:hAnsi="Arial" w:cs="Arial"/>
                <w:iCs/>
                <w:lang w:val="en-GB"/>
              </w:rPr>
              <w:t xml:space="preserve"> </w:t>
            </w:r>
            <w:r w:rsidR="006814D1" w:rsidRPr="006814D1">
              <w:rPr>
                <w:rFonts w:ascii="Arial" w:hAnsi="Arial" w:cs="Arial"/>
                <w:iCs/>
                <w:sz w:val="24"/>
                <w:szCs w:val="24"/>
                <w:lang w:val="en-GB"/>
              </w:rPr>
              <w:t>to payment of costs must always be consid</w:t>
            </w:r>
            <w:r w:rsidR="00E00DA5">
              <w:rPr>
                <w:rFonts w:ascii="Arial" w:hAnsi="Arial" w:cs="Arial"/>
                <w:iCs/>
                <w:sz w:val="24"/>
                <w:szCs w:val="24"/>
                <w:lang w:val="en-GB"/>
              </w:rPr>
              <w:t>ered as finally settled in the c</w:t>
            </w:r>
            <w:r w:rsidR="006814D1" w:rsidRPr="006814D1">
              <w:rPr>
                <w:rFonts w:ascii="Arial" w:hAnsi="Arial" w:cs="Arial"/>
                <w:iCs/>
                <w:sz w:val="24"/>
                <w:szCs w:val="24"/>
                <w:lang w:val="en-GB"/>
              </w:rPr>
              <w:t>ourt where the question is adjudicated to which that right is accessory</w:t>
            </w:r>
            <w:r w:rsidR="006814D1">
              <w:rPr>
                <w:rFonts w:ascii="Arial" w:hAnsi="Arial"/>
                <w:sz w:val="24"/>
                <w:szCs w:val="24"/>
              </w:rPr>
              <w:t>.</w:t>
            </w:r>
            <w:r w:rsidR="00FA2600">
              <w:rPr>
                <w:rFonts w:ascii="Arial" w:hAnsi="Arial"/>
                <w:sz w:val="24"/>
                <w:szCs w:val="24"/>
              </w:rPr>
              <w:t xml:space="preserve"> I consider this to be a correct statement of the law and will therefore adopt it in the present matter.</w:t>
            </w:r>
          </w:p>
          <w:p w:rsidR="006F71BD" w:rsidRDefault="006F71BD" w:rsidP="0029105C">
            <w:pPr>
              <w:tabs>
                <w:tab w:val="left" w:pos="729"/>
              </w:tabs>
              <w:spacing w:line="360" w:lineRule="auto"/>
              <w:jc w:val="both"/>
              <w:rPr>
                <w:rFonts w:ascii="Arial" w:hAnsi="Arial"/>
                <w:sz w:val="24"/>
                <w:szCs w:val="24"/>
              </w:rPr>
            </w:pPr>
          </w:p>
          <w:p w:rsidR="00AA2962" w:rsidRDefault="00774EEA" w:rsidP="0029105C">
            <w:pPr>
              <w:tabs>
                <w:tab w:val="left" w:pos="729"/>
              </w:tabs>
              <w:spacing w:line="360" w:lineRule="auto"/>
              <w:jc w:val="both"/>
              <w:rPr>
                <w:rFonts w:ascii="Arial" w:hAnsi="Arial"/>
                <w:sz w:val="24"/>
                <w:szCs w:val="24"/>
              </w:rPr>
            </w:pPr>
            <w:r>
              <w:rPr>
                <w:rFonts w:ascii="Arial" w:hAnsi="Arial"/>
                <w:sz w:val="24"/>
                <w:szCs w:val="24"/>
              </w:rPr>
              <w:t>[1</w:t>
            </w:r>
            <w:r w:rsidR="0029105C">
              <w:rPr>
                <w:rFonts w:ascii="Arial" w:hAnsi="Arial"/>
                <w:sz w:val="24"/>
                <w:szCs w:val="24"/>
              </w:rPr>
              <w:t>9</w:t>
            </w:r>
            <w:r w:rsidR="00E00DA5">
              <w:rPr>
                <w:rFonts w:ascii="Arial" w:hAnsi="Arial"/>
                <w:sz w:val="24"/>
                <w:szCs w:val="24"/>
              </w:rPr>
              <w:t>]</w:t>
            </w:r>
            <w:r w:rsidR="00E00DA5">
              <w:rPr>
                <w:rFonts w:ascii="Arial" w:hAnsi="Arial"/>
                <w:sz w:val="24"/>
                <w:szCs w:val="24"/>
              </w:rPr>
              <w:tab/>
            </w:r>
            <w:r w:rsidR="006814D1">
              <w:rPr>
                <w:rFonts w:ascii="Arial" w:hAnsi="Arial"/>
                <w:sz w:val="24"/>
                <w:szCs w:val="24"/>
              </w:rPr>
              <w:t>No cogent reason</w:t>
            </w:r>
            <w:r w:rsidR="00D15A5D">
              <w:rPr>
                <w:rFonts w:ascii="Arial" w:hAnsi="Arial"/>
                <w:sz w:val="24"/>
                <w:szCs w:val="24"/>
              </w:rPr>
              <w:t>, other than</w:t>
            </w:r>
            <w:r w:rsidR="006F71BD">
              <w:rPr>
                <w:rFonts w:ascii="Arial" w:hAnsi="Arial"/>
                <w:sz w:val="24"/>
                <w:szCs w:val="24"/>
              </w:rPr>
              <w:t xml:space="preserve"> convenience,</w:t>
            </w:r>
            <w:r w:rsidR="006814D1">
              <w:rPr>
                <w:rFonts w:ascii="Arial" w:hAnsi="Arial"/>
                <w:sz w:val="24"/>
                <w:szCs w:val="24"/>
              </w:rPr>
              <w:t xml:space="preserve"> have been furnished</w:t>
            </w:r>
            <w:r w:rsidR="006F71BD">
              <w:rPr>
                <w:rFonts w:ascii="Arial" w:hAnsi="Arial"/>
                <w:sz w:val="24"/>
                <w:szCs w:val="24"/>
              </w:rPr>
              <w:t xml:space="preserve"> why </w:t>
            </w:r>
            <w:r w:rsidR="006814D1">
              <w:rPr>
                <w:rFonts w:ascii="Arial" w:hAnsi="Arial"/>
                <w:sz w:val="24"/>
                <w:szCs w:val="24"/>
              </w:rPr>
              <w:t>this court should</w:t>
            </w:r>
            <w:r w:rsidR="006F71BD">
              <w:rPr>
                <w:rFonts w:ascii="Arial" w:hAnsi="Arial"/>
                <w:sz w:val="24"/>
                <w:szCs w:val="24"/>
              </w:rPr>
              <w:t xml:space="preserve"> </w:t>
            </w:r>
            <w:r w:rsidR="00FA2600">
              <w:rPr>
                <w:rFonts w:ascii="Arial" w:hAnsi="Arial"/>
                <w:sz w:val="24"/>
                <w:szCs w:val="24"/>
              </w:rPr>
              <w:t>deviate from that well established principle by</w:t>
            </w:r>
            <w:r w:rsidR="006F71BD">
              <w:rPr>
                <w:rFonts w:ascii="Arial" w:hAnsi="Arial"/>
                <w:sz w:val="24"/>
                <w:szCs w:val="24"/>
              </w:rPr>
              <w:t xml:space="preserve"> order</w:t>
            </w:r>
            <w:r w:rsidR="00FA2600">
              <w:rPr>
                <w:rFonts w:ascii="Arial" w:hAnsi="Arial"/>
                <w:sz w:val="24"/>
                <w:szCs w:val="24"/>
              </w:rPr>
              <w:t>ing</w:t>
            </w:r>
            <w:r w:rsidR="006F71BD">
              <w:rPr>
                <w:rFonts w:ascii="Arial" w:hAnsi="Arial"/>
                <w:sz w:val="24"/>
                <w:szCs w:val="24"/>
              </w:rPr>
              <w:t xml:space="preserve"> the applicant to pay the second respondent’s costs of this application.</w:t>
            </w:r>
            <w:r w:rsidR="006814D1">
              <w:rPr>
                <w:rFonts w:ascii="Arial" w:hAnsi="Arial"/>
                <w:sz w:val="24"/>
                <w:szCs w:val="24"/>
              </w:rPr>
              <w:t xml:space="preserve"> I have not been persuaded why</w:t>
            </w:r>
            <w:r w:rsidR="00E00DA5">
              <w:rPr>
                <w:rFonts w:ascii="Arial" w:hAnsi="Arial"/>
                <w:sz w:val="24"/>
                <w:szCs w:val="24"/>
              </w:rPr>
              <w:t xml:space="preserve"> the</w:t>
            </w:r>
            <w:r w:rsidR="006814D1">
              <w:rPr>
                <w:rFonts w:ascii="Arial" w:hAnsi="Arial"/>
                <w:sz w:val="24"/>
                <w:szCs w:val="24"/>
              </w:rPr>
              <w:t xml:space="preserve"> </w:t>
            </w:r>
            <w:r w:rsidR="00FA2600">
              <w:rPr>
                <w:rFonts w:ascii="Arial" w:hAnsi="Arial"/>
                <w:sz w:val="24"/>
                <w:szCs w:val="24"/>
              </w:rPr>
              <w:t>issue</w:t>
            </w:r>
            <w:r w:rsidR="006814D1">
              <w:rPr>
                <w:rFonts w:ascii="Arial" w:hAnsi="Arial"/>
                <w:sz w:val="24"/>
                <w:szCs w:val="24"/>
              </w:rPr>
              <w:t xml:space="preserve"> </w:t>
            </w:r>
            <w:r w:rsidR="00E00DA5">
              <w:rPr>
                <w:rFonts w:ascii="Arial" w:hAnsi="Arial"/>
                <w:sz w:val="24"/>
                <w:szCs w:val="24"/>
              </w:rPr>
              <w:t xml:space="preserve">of </w:t>
            </w:r>
            <w:r w:rsidR="006814D1">
              <w:rPr>
                <w:rFonts w:ascii="Arial" w:hAnsi="Arial"/>
                <w:sz w:val="24"/>
                <w:szCs w:val="24"/>
              </w:rPr>
              <w:t>costs</w:t>
            </w:r>
            <w:r w:rsidR="00FA2600">
              <w:rPr>
                <w:rFonts w:ascii="Arial" w:hAnsi="Arial"/>
                <w:sz w:val="24"/>
                <w:szCs w:val="24"/>
              </w:rPr>
              <w:t xml:space="preserve"> should be left to another court for determination.</w:t>
            </w:r>
            <w:r w:rsidR="006814D1">
              <w:rPr>
                <w:rFonts w:ascii="Arial" w:hAnsi="Arial"/>
                <w:sz w:val="24"/>
                <w:szCs w:val="24"/>
              </w:rPr>
              <w:t xml:space="preserve"> </w:t>
            </w:r>
            <w:r w:rsidR="00FA2600">
              <w:rPr>
                <w:rFonts w:ascii="Arial" w:hAnsi="Arial"/>
                <w:sz w:val="24"/>
                <w:szCs w:val="24"/>
              </w:rPr>
              <w:t>I have therefore decided to consider and determine the issue of costs</w:t>
            </w:r>
            <w:r w:rsidR="00E00DA5">
              <w:rPr>
                <w:rFonts w:ascii="Arial" w:hAnsi="Arial"/>
                <w:sz w:val="24"/>
                <w:szCs w:val="24"/>
              </w:rPr>
              <w:t>.</w:t>
            </w:r>
          </w:p>
          <w:p w:rsidR="006814D1" w:rsidRDefault="006814D1" w:rsidP="0029105C">
            <w:pPr>
              <w:tabs>
                <w:tab w:val="left" w:pos="729"/>
              </w:tabs>
              <w:spacing w:line="360" w:lineRule="auto"/>
              <w:jc w:val="both"/>
              <w:rPr>
                <w:rFonts w:ascii="Arial" w:hAnsi="Arial"/>
                <w:sz w:val="24"/>
                <w:szCs w:val="24"/>
              </w:rPr>
            </w:pPr>
          </w:p>
          <w:p w:rsidR="00F6263F" w:rsidRDefault="00AA2962" w:rsidP="0029105C">
            <w:pPr>
              <w:tabs>
                <w:tab w:val="left" w:pos="729"/>
              </w:tabs>
              <w:spacing w:line="360" w:lineRule="auto"/>
              <w:jc w:val="both"/>
              <w:rPr>
                <w:rFonts w:ascii="Arial" w:hAnsi="Arial"/>
                <w:sz w:val="24"/>
                <w:szCs w:val="24"/>
              </w:rPr>
            </w:pPr>
            <w:r>
              <w:rPr>
                <w:rFonts w:ascii="Arial" w:hAnsi="Arial"/>
                <w:sz w:val="24"/>
                <w:szCs w:val="24"/>
              </w:rPr>
              <w:lastRenderedPageBreak/>
              <w:t>[</w:t>
            </w:r>
            <w:r w:rsidR="0029105C">
              <w:rPr>
                <w:rFonts w:ascii="Arial" w:hAnsi="Arial"/>
                <w:sz w:val="24"/>
                <w:szCs w:val="24"/>
              </w:rPr>
              <w:t>20</w:t>
            </w:r>
            <w:r>
              <w:rPr>
                <w:rFonts w:ascii="Arial" w:hAnsi="Arial"/>
                <w:sz w:val="24"/>
                <w:szCs w:val="24"/>
              </w:rPr>
              <w:t>]</w:t>
            </w:r>
            <w:r>
              <w:rPr>
                <w:rFonts w:ascii="Arial" w:hAnsi="Arial"/>
                <w:sz w:val="24"/>
                <w:szCs w:val="24"/>
              </w:rPr>
              <w:tab/>
            </w:r>
            <w:r w:rsidR="00220112">
              <w:rPr>
                <w:rFonts w:ascii="Arial" w:hAnsi="Arial"/>
                <w:sz w:val="24"/>
                <w:szCs w:val="24"/>
              </w:rPr>
              <w:t xml:space="preserve">It is </w:t>
            </w:r>
            <w:r w:rsidR="00FF6E2B">
              <w:rPr>
                <w:rFonts w:ascii="Arial" w:hAnsi="Arial"/>
                <w:sz w:val="24"/>
                <w:szCs w:val="24"/>
              </w:rPr>
              <w:t xml:space="preserve">a </w:t>
            </w:r>
            <w:r w:rsidR="00220112">
              <w:rPr>
                <w:rFonts w:ascii="Arial" w:hAnsi="Arial"/>
                <w:sz w:val="24"/>
                <w:szCs w:val="24"/>
              </w:rPr>
              <w:t>common ground that t</w:t>
            </w:r>
            <w:r w:rsidR="00357D57">
              <w:rPr>
                <w:rFonts w:ascii="Arial" w:hAnsi="Arial"/>
                <w:sz w:val="24"/>
                <w:szCs w:val="24"/>
              </w:rPr>
              <w:t xml:space="preserve">he applicant </w:t>
            </w:r>
            <w:r w:rsidR="00FA2600">
              <w:rPr>
                <w:rFonts w:ascii="Arial" w:hAnsi="Arial"/>
                <w:sz w:val="24"/>
                <w:szCs w:val="24"/>
              </w:rPr>
              <w:t>cited the second respondent as party to</w:t>
            </w:r>
            <w:r w:rsidR="00357D57">
              <w:rPr>
                <w:rFonts w:ascii="Arial" w:hAnsi="Arial"/>
                <w:sz w:val="24"/>
                <w:szCs w:val="24"/>
              </w:rPr>
              <w:t xml:space="preserve"> the application</w:t>
            </w:r>
            <w:r w:rsidR="00FA2600">
              <w:rPr>
                <w:rFonts w:ascii="Arial" w:hAnsi="Arial"/>
                <w:sz w:val="24"/>
                <w:szCs w:val="24"/>
              </w:rPr>
              <w:t xml:space="preserve"> proceedings. The second respondent was </w:t>
            </w:r>
            <w:r w:rsidR="00220112">
              <w:rPr>
                <w:rFonts w:ascii="Arial" w:hAnsi="Arial"/>
                <w:sz w:val="24"/>
                <w:szCs w:val="24"/>
              </w:rPr>
              <w:t>obliged</w:t>
            </w:r>
            <w:r w:rsidR="00FA2600">
              <w:rPr>
                <w:rFonts w:ascii="Arial" w:hAnsi="Arial"/>
                <w:sz w:val="24"/>
                <w:szCs w:val="24"/>
              </w:rPr>
              <w:t xml:space="preserve"> </w:t>
            </w:r>
            <w:r w:rsidR="00220112">
              <w:rPr>
                <w:rFonts w:ascii="Arial" w:hAnsi="Arial"/>
                <w:sz w:val="24"/>
                <w:szCs w:val="24"/>
              </w:rPr>
              <w:t>by the rule</w:t>
            </w:r>
            <w:r w:rsidR="00FA2600">
              <w:rPr>
                <w:rFonts w:ascii="Arial" w:hAnsi="Arial"/>
                <w:sz w:val="24"/>
                <w:szCs w:val="24"/>
              </w:rPr>
              <w:t xml:space="preserve"> and by law to file </w:t>
            </w:r>
            <w:r w:rsidR="00220112">
              <w:rPr>
                <w:rFonts w:ascii="Arial" w:hAnsi="Arial"/>
                <w:sz w:val="24"/>
                <w:szCs w:val="24"/>
              </w:rPr>
              <w:t>its opposition, if so advised. It accordingly filed its notice to oppose</w:t>
            </w:r>
            <w:r w:rsidR="00386339">
              <w:rPr>
                <w:rFonts w:ascii="Arial" w:hAnsi="Arial"/>
                <w:sz w:val="24"/>
                <w:szCs w:val="24"/>
              </w:rPr>
              <w:t xml:space="preserve"> on </w:t>
            </w:r>
            <w:r w:rsidR="0038558A">
              <w:rPr>
                <w:rFonts w:ascii="Arial" w:hAnsi="Arial"/>
                <w:sz w:val="24"/>
                <w:szCs w:val="24"/>
              </w:rPr>
              <w:t>24 April 2023</w:t>
            </w:r>
            <w:r w:rsidR="00FC62AC">
              <w:rPr>
                <w:rFonts w:ascii="Arial" w:hAnsi="Arial"/>
                <w:sz w:val="24"/>
                <w:szCs w:val="24"/>
              </w:rPr>
              <w:t>.</w:t>
            </w:r>
            <w:r w:rsidR="0038558A">
              <w:rPr>
                <w:rFonts w:ascii="Arial" w:hAnsi="Arial"/>
                <w:sz w:val="24"/>
                <w:szCs w:val="24"/>
              </w:rPr>
              <w:t xml:space="preserve"> </w:t>
            </w:r>
            <w:r w:rsidR="00FC62AC">
              <w:rPr>
                <w:rFonts w:ascii="Arial" w:hAnsi="Arial"/>
                <w:sz w:val="24"/>
                <w:szCs w:val="24"/>
              </w:rPr>
              <w:t>T</w:t>
            </w:r>
            <w:r w:rsidR="00386339">
              <w:rPr>
                <w:rFonts w:ascii="Arial" w:hAnsi="Arial"/>
                <w:sz w:val="24"/>
                <w:szCs w:val="24"/>
              </w:rPr>
              <w:t>he applicant was aware when it filed the joint status report on 30 May 2023 that the second respondent was al</w:t>
            </w:r>
            <w:r w:rsidR="00FC62AC">
              <w:rPr>
                <w:rFonts w:ascii="Arial" w:hAnsi="Arial"/>
                <w:sz w:val="24"/>
                <w:szCs w:val="24"/>
              </w:rPr>
              <w:t>so a party to</w:t>
            </w:r>
            <w:r w:rsidR="00386339">
              <w:rPr>
                <w:rFonts w:ascii="Arial" w:hAnsi="Arial"/>
                <w:sz w:val="24"/>
                <w:szCs w:val="24"/>
              </w:rPr>
              <w:t xml:space="preserve"> the proceedings</w:t>
            </w:r>
            <w:r w:rsidR="00FC62AC">
              <w:rPr>
                <w:rFonts w:ascii="Arial" w:hAnsi="Arial"/>
                <w:sz w:val="24"/>
                <w:szCs w:val="24"/>
              </w:rPr>
              <w:t>. It is</w:t>
            </w:r>
            <w:r w:rsidR="00FF6E2B">
              <w:rPr>
                <w:rFonts w:ascii="Arial" w:hAnsi="Arial"/>
                <w:sz w:val="24"/>
                <w:szCs w:val="24"/>
              </w:rPr>
              <w:t xml:space="preserve"> a</w:t>
            </w:r>
            <w:r w:rsidR="00FC62AC">
              <w:rPr>
                <w:rFonts w:ascii="Arial" w:hAnsi="Arial"/>
                <w:sz w:val="24"/>
                <w:szCs w:val="24"/>
              </w:rPr>
              <w:t xml:space="preserve"> common ground that the applicant withdrew its application against the first</w:t>
            </w:r>
            <w:r w:rsidR="00EC7DC6">
              <w:rPr>
                <w:rFonts w:ascii="Arial" w:hAnsi="Arial"/>
                <w:sz w:val="24"/>
                <w:szCs w:val="24"/>
              </w:rPr>
              <w:t xml:space="preserve"> respondent only</w:t>
            </w:r>
            <w:r w:rsidR="00FC62AC">
              <w:rPr>
                <w:rFonts w:ascii="Arial" w:hAnsi="Arial"/>
                <w:sz w:val="24"/>
                <w:szCs w:val="24"/>
              </w:rPr>
              <w:t>. Therefore</w:t>
            </w:r>
            <w:r w:rsidR="00EC7DC6">
              <w:rPr>
                <w:rFonts w:ascii="Arial" w:hAnsi="Arial"/>
                <w:sz w:val="24"/>
                <w:szCs w:val="24"/>
              </w:rPr>
              <w:t>,</w:t>
            </w:r>
            <w:r w:rsidR="00FC62AC">
              <w:rPr>
                <w:rFonts w:ascii="Arial" w:hAnsi="Arial"/>
                <w:sz w:val="24"/>
                <w:szCs w:val="24"/>
              </w:rPr>
              <w:t xml:space="preserve"> the application became moot against the first respondent</w:t>
            </w:r>
            <w:r w:rsidR="00D15A5D">
              <w:rPr>
                <w:rFonts w:ascii="Arial" w:hAnsi="Arial"/>
                <w:sz w:val="24"/>
                <w:szCs w:val="24"/>
              </w:rPr>
              <w:t xml:space="preserve"> only</w:t>
            </w:r>
            <w:r w:rsidR="00FC62AC">
              <w:rPr>
                <w:rFonts w:ascii="Arial" w:hAnsi="Arial"/>
                <w:sz w:val="24"/>
                <w:szCs w:val="24"/>
              </w:rPr>
              <w:t xml:space="preserve"> and not in respect of the second respondent</w:t>
            </w:r>
            <w:r w:rsidR="002011F7">
              <w:rPr>
                <w:rFonts w:ascii="Arial" w:hAnsi="Arial"/>
                <w:sz w:val="24"/>
                <w:szCs w:val="24"/>
              </w:rPr>
              <w:t>. T</w:t>
            </w:r>
            <w:r w:rsidR="00386339">
              <w:rPr>
                <w:rFonts w:ascii="Arial" w:hAnsi="Arial"/>
                <w:sz w:val="24"/>
                <w:szCs w:val="24"/>
              </w:rPr>
              <w:t>he applicant could</w:t>
            </w:r>
            <w:r w:rsidR="00357D57">
              <w:rPr>
                <w:rFonts w:ascii="Arial" w:hAnsi="Arial"/>
                <w:sz w:val="24"/>
                <w:szCs w:val="24"/>
              </w:rPr>
              <w:t xml:space="preserve"> have</w:t>
            </w:r>
            <w:r w:rsidR="0098384C">
              <w:rPr>
                <w:rFonts w:ascii="Arial" w:hAnsi="Arial"/>
                <w:sz w:val="24"/>
                <w:szCs w:val="24"/>
              </w:rPr>
              <w:t xml:space="preserve"> at that</w:t>
            </w:r>
            <w:r w:rsidR="00386339">
              <w:rPr>
                <w:rFonts w:ascii="Arial" w:hAnsi="Arial"/>
                <w:sz w:val="24"/>
                <w:szCs w:val="24"/>
              </w:rPr>
              <w:t xml:space="preserve"> stage withdrawn</w:t>
            </w:r>
            <w:r w:rsidR="002011F7">
              <w:rPr>
                <w:rFonts w:ascii="Arial" w:hAnsi="Arial"/>
                <w:sz w:val="24"/>
                <w:szCs w:val="24"/>
              </w:rPr>
              <w:t xml:space="preserve"> the application</w:t>
            </w:r>
            <w:r w:rsidR="00386339">
              <w:rPr>
                <w:rFonts w:ascii="Arial" w:hAnsi="Arial"/>
                <w:sz w:val="24"/>
                <w:szCs w:val="24"/>
              </w:rPr>
              <w:t xml:space="preserve"> against all the respondents and not just the first respondent</w:t>
            </w:r>
            <w:r w:rsidR="00E17113">
              <w:rPr>
                <w:rFonts w:ascii="Arial" w:hAnsi="Arial"/>
                <w:sz w:val="24"/>
                <w:szCs w:val="24"/>
              </w:rPr>
              <w:t xml:space="preserve"> but did not. It follows thus that</w:t>
            </w:r>
            <w:r w:rsidR="0098384C">
              <w:rPr>
                <w:rFonts w:ascii="Arial" w:hAnsi="Arial"/>
                <w:sz w:val="24"/>
                <w:szCs w:val="24"/>
              </w:rPr>
              <w:t xml:space="preserve"> the application was live as against the second respondent</w:t>
            </w:r>
            <w:r w:rsidR="00D15A5D">
              <w:rPr>
                <w:rFonts w:ascii="Arial" w:hAnsi="Arial"/>
                <w:sz w:val="24"/>
                <w:szCs w:val="24"/>
              </w:rPr>
              <w:t xml:space="preserve"> until it was formally withdrawn.</w:t>
            </w:r>
          </w:p>
          <w:p w:rsidR="002011F7" w:rsidRDefault="002011F7" w:rsidP="0029105C">
            <w:pPr>
              <w:tabs>
                <w:tab w:val="left" w:pos="729"/>
              </w:tabs>
              <w:spacing w:line="360" w:lineRule="auto"/>
              <w:jc w:val="both"/>
              <w:rPr>
                <w:rFonts w:ascii="Arial" w:hAnsi="Arial"/>
                <w:sz w:val="24"/>
                <w:szCs w:val="24"/>
              </w:rPr>
            </w:pPr>
          </w:p>
          <w:p w:rsidR="002011F7" w:rsidRDefault="00774EEA" w:rsidP="0029105C">
            <w:pPr>
              <w:tabs>
                <w:tab w:val="left" w:pos="729"/>
              </w:tabs>
              <w:spacing w:line="360" w:lineRule="auto"/>
              <w:jc w:val="both"/>
              <w:rPr>
                <w:rFonts w:ascii="Arial" w:hAnsi="Arial"/>
                <w:sz w:val="24"/>
                <w:szCs w:val="24"/>
              </w:rPr>
            </w:pPr>
            <w:r>
              <w:rPr>
                <w:rFonts w:ascii="Arial" w:hAnsi="Arial"/>
                <w:sz w:val="24"/>
                <w:szCs w:val="24"/>
              </w:rPr>
              <w:t>[2</w:t>
            </w:r>
            <w:r w:rsidR="0029105C">
              <w:rPr>
                <w:rFonts w:ascii="Arial" w:hAnsi="Arial"/>
                <w:sz w:val="24"/>
                <w:szCs w:val="24"/>
              </w:rPr>
              <w:t>1</w:t>
            </w:r>
            <w:r w:rsidR="00F6263F">
              <w:rPr>
                <w:rFonts w:ascii="Arial" w:hAnsi="Arial"/>
                <w:sz w:val="24"/>
                <w:szCs w:val="24"/>
              </w:rPr>
              <w:t>]</w:t>
            </w:r>
            <w:r w:rsidR="00F6263F">
              <w:rPr>
                <w:rFonts w:ascii="Arial" w:hAnsi="Arial"/>
                <w:sz w:val="24"/>
                <w:szCs w:val="24"/>
              </w:rPr>
              <w:tab/>
            </w:r>
            <w:r w:rsidR="002011F7">
              <w:rPr>
                <w:rFonts w:ascii="Arial" w:hAnsi="Arial"/>
                <w:sz w:val="24"/>
                <w:szCs w:val="24"/>
              </w:rPr>
              <w:t>I</w:t>
            </w:r>
            <w:r w:rsidR="0098384C">
              <w:rPr>
                <w:rFonts w:ascii="Arial" w:hAnsi="Arial"/>
                <w:sz w:val="24"/>
                <w:szCs w:val="24"/>
              </w:rPr>
              <w:t>n my judgment</w:t>
            </w:r>
            <w:r w:rsidR="00E17113">
              <w:rPr>
                <w:rFonts w:ascii="Arial" w:hAnsi="Arial"/>
                <w:sz w:val="24"/>
                <w:szCs w:val="24"/>
              </w:rPr>
              <w:t>,</w:t>
            </w:r>
            <w:r w:rsidR="0098384C">
              <w:rPr>
                <w:rFonts w:ascii="Arial" w:hAnsi="Arial"/>
                <w:sz w:val="24"/>
                <w:szCs w:val="24"/>
              </w:rPr>
              <w:t xml:space="preserve"> there is no merit in the applicant’s intimation that the second respondent should not have filed its answering affidavit because it was aware or should have been aware that the a</w:t>
            </w:r>
            <w:r w:rsidR="00E17113">
              <w:rPr>
                <w:rFonts w:ascii="Arial" w:hAnsi="Arial"/>
                <w:sz w:val="24"/>
                <w:szCs w:val="24"/>
              </w:rPr>
              <w:t>pplication has become moot. The reason for holding that view is because</w:t>
            </w:r>
            <w:r w:rsidR="002011F7">
              <w:rPr>
                <w:rFonts w:ascii="Arial" w:hAnsi="Arial"/>
                <w:sz w:val="24"/>
                <w:szCs w:val="24"/>
              </w:rPr>
              <w:t xml:space="preserve"> </w:t>
            </w:r>
            <w:r w:rsidR="0098384C">
              <w:rPr>
                <w:rFonts w:ascii="Arial" w:hAnsi="Arial"/>
                <w:sz w:val="24"/>
                <w:szCs w:val="24"/>
              </w:rPr>
              <w:t>after the second respondent</w:t>
            </w:r>
            <w:r w:rsidR="00E17113">
              <w:rPr>
                <w:rFonts w:ascii="Arial" w:hAnsi="Arial"/>
                <w:sz w:val="24"/>
                <w:szCs w:val="24"/>
              </w:rPr>
              <w:t xml:space="preserve"> had filed</w:t>
            </w:r>
            <w:r w:rsidR="0098384C">
              <w:rPr>
                <w:rFonts w:ascii="Arial" w:hAnsi="Arial"/>
                <w:sz w:val="24"/>
                <w:szCs w:val="24"/>
              </w:rPr>
              <w:t xml:space="preserve"> its</w:t>
            </w:r>
            <w:r w:rsidR="002011F7">
              <w:rPr>
                <w:rFonts w:ascii="Arial" w:hAnsi="Arial"/>
                <w:sz w:val="24"/>
                <w:szCs w:val="24"/>
              </w:rPr>
              <w:t xml:space="preserve"> answeri</w:t>
            </w:r>
            <w:r w:rsidR="0098384C">
              <w:rPr>
                <w:rFonts w:ascii="Arial" w:hAnsi="Arial"/>
                <w:sz w:val="24"/>
                <w:szCs w:val="24"/>
              </w:rPr>
              <w:t>ng affidavit</w:t>
            </w:r>
            <w:r w:rsidR="00E17113">
              <w:rPr>
                <w:rFonts w:ascii="Arial" w:hAnsi="Arial"/>
                <w:sz w:val="24"/>
                <w:szCs w:val="24"/>
              </w:rPr>
              <w:t xml:space="preserve"> plus</w:t>
            </w:r>
            <w:r w:rsidR="0098384C">
              <w:rPr>
                <w:rFonts w:ascii="Arial" w:hAnsi="Arial"/>
                <w:sz w:val="24"/>
                <w:szCs w:val="24"/>
              </w:rPr>
              <w:t xml:space="preserve"> a</w:t>
            </w:r>
            <w:r w:rsidR="002011F7">
              <w:rPr>
                <w:rFonts w:ascii="Arial" w:hAnsi="Arial"/>
                <w:sz w:val="24"/>
                <w:szCs w:val="24"/>
              </w:rPr>
              <w:t xml:space="preserve"> </w:t>
            </w:r>
            <w:r w:rsidR="002011F7" w:rsidRPr="002011F7">
              <w:rPr>
                <w:rFonts w:ascii="Arial" w:hAnsi="Arial"/>
                <w:sz w:val="24"/>
                <w:szCs w:val="24"/>
              </w:rPr>
              <w:t>condonation appli</w:t>
            </w:r>
            <w:r w:rsidR="002011F7">
              <w:rPr>
                <w:rFonts w:ascii="Arial" w:hAnsi="Arial"/>
                <w:sz w:val="24"/>
                <w:szCs w:val="24"/>
              </w:rPr>
              <w:t xml:space="preserve">cation, the applicant did not file an objection to the condonation but rather filed her replying affidavit to the answering affidavit. </w:t>
            </w:r>
            <w:r w:rsidR="0098384C">
              <w:rPr>
                <w:rFonts w:ascii="Arial" w:hAnsi="Arial"/>
                <w:sz w:val="24"/>
                <w:szCs w:val="24"/>
              </w:rPr>
              <w:t>In my view, by</w:t>
            </w:r>
            <w:r w:rsidR="00D004BE">
              <w:rPr>
                <w:rFonts w:ascii="Arial" w:hAnsi="Arial"/>
                <w:sz w:val="24"/>
                <w:szCs w:val="24"/>
              </w:rPr>
              <w:t xml:space="preserve"> do</w:t>
            </w:r>
            <w:r w:rsidR="00E17113">
              <w:rPr>
                <w:rFonts w:ascii="Arial" w:hAnsi="Arial"/>
                <w:sz w:val="24"/>
                <w:szCs w:val="24"/>
              </w:rPr>
              <w:t>ing so, the applicant waived her</w:t>
            </w:r>
            <w:r w:rsidR="00D004BE">
              <w:rPr>
                <w:rFonts w:ascii="Arial" w:hAnsi="Arial"/>
                <w:sz w:val="24"/>
                <w:szCs w:val="24"/>
              </w:rPr>
              <w:t xml:space="preserve"> right to oppose to the condonation</w:t>
            </w:r>
            <w:r w:rsidR="00555DE1">
              <w:rPr>
                <w:rFonts w:ascii="Arial" w:hAnsi="Arial"/>
                <w:sz w:val="24"/>
                <w:szCs w:val="24"/>
              </w:rPr>
              <w:t xml:space="preserve"> application</w:t>
            </w:r>
            <w:r w:rsidR="00D004BE">
              <w:rPr>
                <w:rFonts w:ascii="Arial" w:hAnsi="Arial"/>
                <w:sz w:val="24"/>
                <w:szCs w:val="24"/>
              </w:rPr>
              <w:t>.</w:t>
            </w:r>
          </w:p>
          <w:p w:rsidR="00C124F5" w:rsidRDefault="00C124F5" w:rsidP="0029105C">
            <w:pPr>
              <w:tabs>
                <w:tab w:val="left" w:pos="729"/>
              </w:tabs>
              <w:spacing w:line="360" w:lineRule="auto"/>
              <w:jc w:val="both"/>
              <w:rPr>
                <w:rFonts w:ascii="Arial" w:hAnsi="Arial"/>
                <w:sz w:val="24"/>
                <w:szCs w:val="24"/>
              </w:rPr>
            </w:pPr>
          </w:p>
          <w:p w:rsidR="00C124F5" w:rsidRPr="00C124F5" w:rsidRDefault="00EC7DC6" w:rsidP="0029105C">
            <w:pPr>
              <w:tabs>
                <w:tab w:val="left" w:pos="729"/>
              </w:tabs>
              <w:spacing w:line="360" w:lineRule="auto"/>
              <w:jc w:val="both"/>
              <w:rPr>
                <w:rFonts w:ascii="Arial" w:hAnsi="Arial" w:cs="Arial"/>
                <w:sz w:val="24"/>
                <w:szCs w:val="24"/>
              </w:rPr>
            </w:pPr>
            <w:r>
              <w:rPr>
                <w:rFonts w:ascii="Arial" w:hAnsi="Arial"/>
                <w:sz w:val="24"/>
                <w:szCs w:val="24"/>
              </w:rPr>
              <w:t>[2</w:t>
            </w:r>
            <w:r w:rsidR="0029105C">
              <w:rPr>
                <w:rFonts w:ascii="Arial" w:hAnsi="Arial"/>
                <w:sz w:val="24"/>
                <w:szCs w:val="24"/>
              </w:rPr>
              <w:t>2</w:t>
            </w:r>
            <w:r w:rsidR="00C124F5">
              <w:rPr>
                <w:rFonts w:ascii="Arial" w:hAnsi="Arial"/>
                <w:sz w:val="24"/>
                <w:szCs w:val="24"/>
              </w:rPr>
              <w:t>]</w:t>
            </w:r>
            <w:r w:rsidR="00C124F5">
              <w:rPr>
                <w:rFonts w:ascii="Arial" w:hAnsi="Arial"/>
                <w:sz w:val="24"/>
                <w:szCs w:val="24"/>
              </w:rPr>
              <w:tab/>
            </w:r>
            <w:r w:rsidR="00E17113">
              <w:rPr>
                <w:rFonts w:ascii="Arial" w:hAnsi="Arial"/>
                <w:sz w:val="24"/>
                <w:szCs w:val="24"/>
              </w:rPr>
              <w:t>In the result</w:t>
            </w:r>
            <w:r w:rsidR="00A919F8">
              <w:rPr>
                <w:rFonts w:ascii="Arial" w:hAnsi="Arial"/>
                <w:sz w:val="24"/>
                <w:szCs w:val="24"/>
              </w:rPr>
              <w:t xml:space="preserve"> and taking everything into</w:t>
            </w:r>
            <w:r w:rsidR="00E17113">
              <w:rPr>
                <w:rFonts w:ascii="Arial" w:hAnsi="Arial"/>
                <w:sz w:val="24"/>
                <w:szCs w:val="24"/>
              </w:rPr>
              <w:t xml:space="preserve"> account</w:t>
            </w:r>
            <w:r w:rsidR="00A919F8">
              <w:rPr>
                <w:rFonts w:ascii="Arial" w:hAnsi="Arial"/>
                <w:sz w:val="24"/>
                <w:szCs w:val="24"/>
              </w:rPr>
              <w:t xml:space="preserve"> and</w:t>
            </w:r>
            <w:r w:rsidR="00C238F9">
              <w:rPr>
                <w:rFonts w:ascii="Arial" w:hAnsi="Arial"/>
                <w:sz w:val="24"/>
                <w:szCs w:val="24"/>
              </w:rPr>
              <w:t xml:space="preserve"> exercising my di</w:t>
            </w:r>
            <w:r w:rsidR="00A919F8">
              <w:rPr>
                <w:rFonts w:ascii="Arial" w:hAnsi="Arial"/>
                <w:sz w:val="24"/>
                <w:szCs w:val="24"/>
              </w:rPr>
              <w:t>scretion</w:t>
            </w:r>
            <w:r w:rsidR="00E17113">
              <w:rPr>
                <w:rFonts w:ascii="Arial" w:hAnsi="Arial"/>
                <w:sz w:val="24"/>
                <w:szCs w:val="24"/>
              </w:rPr>
              <w:t>,</w:t>
            </w:r>
            <w:r w:rsidR="00A919F8">
              <w:rPr>
                <w:rFonts w:ascii="Arial" w:hAnsi="Arial"/>
                <w:sz w:val="24"/>
                <w:szCs w:val="24"/>
              </w:rPr>
              <w:t xml:space="preserve"> it is my considered view</w:t>
            </w:r>
            <w:r w:rsidR="00324B66">
              <w:rPr>
                <w:rFonts w:ascii="Arial" w:hAnsi="Arial"/>
                <w:sz w:val="24"/>
                <w:szCs w:val="24"/>
              </w:rPr>
              <w:t xml:space="preserve"> that the second respondent’s application for costs is well found</w:t>
            </w:r>
            <w:r w:rsidR="00C124F5">
              <w:rPr>
                <w:rFonts w:ascii="Arial" w:hAnsi="Arial"/>
                <w:sz w:val="24"/>
                <w:szCs w:val="24"/>
              </w:rPr>
              <w:t>ed</w:t>
            </w:r>
            <w:r w:rsidR="00A919F8">
              <w:rPr>
                <w:rFonts w:ascii="Arial" w:hAnsi="Arial"/>
                <w:sz w:val="24"/>
                <w:szCs w:val="24"/>
              </w:rPr>
              <w:t xml:space="preserve"> in law and is granted</w:t>
            </w:r>
            <w:r w:rsidR="00324B66">
              <w:rPr>
                <w:rFonts w:ascii="Arial" w:hAnsi="Arial"/>
                <w:sz w:val="24"/>
                <w:szCs w:val="24"/>
              </w:rPr>
              <w:t>.</w:t>
            </w:r>
            <w:r w:rsidR="00A35CBE">
              <w:rPr>
                <w:rFonts w:ascii="Arial" w:hAnsi="Arial"/>
                <w:sz w:val="24"/>
                <w:szCs w:val="24"/>
              </w:rPr>
              <w:t xml:space="preserve"> </w:t>
            </w:r>
            <w:r w:rsidR="00A919F8">
              <w:rPr>
                <w:rFonts w:ascii="Arial" w:hAnsi="Arial"/>
                <w:sz w:val="24"/>
                <w:szCs w:val="24"/>
              </w:rPr>
              <w:t>The court has not been persuaded</w:t>
            </w:r>
            <w:r w:rsidR="00A35CBE">
              <w:rPr>
                <w:rFonts w:ascii="Arial" w:hAnsi="Arial"/>
                <w:sz w:val="24"/>
                <w:szCs w:val="24"/>
              </w:rPr>
              <w:t xml:space="preserve"> t</w:t>
            </w:r>
            <w:r>
              <w:rPr>
                <w:rFonts w:ascii="Arial" w:hAnsi="Arial"/>
                <w:sz w:val="24"/>
                <w:szCs w:val="24"/>
              </w:rPr>
              <w:t>hat the second respondent</w:t>
            </w:r>
            <w:r w:rsidR="00A919F8">
              <w:rPr>
                <w:rFonts w:ascii="Arial" w:hAnsi="Arial"/>
                <w:sz w:val="24"/>
                <w:szCs w:val="24"/>
              </w:rPr>
              <w:t xml:space="preserve"> has</w:t>
            </w:r>
            <w:r w:rsidR="00A35CBE">
              <w:rPr>
                <w:rFonts w:ascii="Arial" w:hAnsi="Arial"/>
                <w:sz w:val="24"/>
                <w:szCs w:val="24"/>
              </w:rPr>
              <w:t xml:space="preserve"> made out a case for costs on a punitive scale.</w:t>
            </w:r>
            <w:r w:rsidR="00C124F5">
              <w:rPr>
                <w:rFonts w:ascii="Arial" w:hAnsi="Arial"/>
                <w:sz w:val="24"/>
                <w:szCs w:val="24"/>
              </w:rPr>
              <w:t xml:space="preserve"> </w:t>
            </w:r>
            <w:r w:rsidR="00E85456">
              <w:rPr>
                <w:rFonts w:ascii="Arial" w:hAnsi="Arial" w:cs="Arial"/>
                <w:sz w:val="24"/>
                <w:szCs w:val="24"/>
              </w:rPr>
              <w:t>T</w:t>
            </w:r>
            <w:r w:rsidR="00611F65">
              <w:rPr>
                <w:rFonts w:ascii="Arial" w:hAnsi="Arial" w:cs="Arial"/>
                <w:sz w:val="24"/>
                <w:szCs w:val="24"/>
              </w:rPr>
              <w:t>he applicant shall pay the second respondents costs</w:t>
            </w:r>
            <w:r w:rsidR="00E85456">
              <w:rPr>
                <w:rFonts w:ascii="Arial" w:hAnsi="Arial" w:cs="Arial"/>
                <w:sz w:val="24"/>
                <w:szCs w:val="24"/>
              </w:rPr>
              <w:t xml:space="preserve"> on a party and party scale</w:t>
            </w:r>
            <w:r w:rsidR="00CC5308">
              <w:rPr>
                <w:rFonts w:ascii="Arial" w:hAnsi="Arial" w:cs="Arial"/>
                <w:sz w:val="24"/>
                <w:szCs w:val="24"/>
              </w:rPr>
              <w:t>.</w:t>
            </w:r>
          </w:p>
          <w:p w:rsidR="00DC6D53" w:rsidRDefault="00DC6D53" w:rsidP="0029105C">
            <w:pPr>
              <w:tabs>
                <w:tab w:val="left" w:pos="729"/>
              </w:tabs>
              <w:spacing w:line="360" w:lineRule="auto"/>
              <w:jc w:val="both"/>
              <w:rPr>
                <w:rFonts w:ascii="Arial" w:hAnsi="Arial" w:cs="Arial"/>
                <w:sz w:val="24"/>
                <w:szCs w:val="24"/>
                <w:lang w:val="en-US"/>
              </w:rPr>
            </w:pPr>
          </w:p>
          <w:p w:rsidR="00DC6D53" w:rsidRPr="00DC6D53" w:rsidRDefault="00774EEA" w:rsidP="0029105C">
            <w:pPr>
              <w:tabs>
                <w:tab w:val="left" w:pos="729"/>
              </w:tabs>
              <w:spacing w:line="360" w:lineRule="auto"/>
              <w:jc w:val="both"/>
              <w:rPr>
                <w:rFonts w:ascii="Arial" w:hAnsi="Arial" w:cs="Arial"/>
                <w:sz w:val="24"/>
                <w:szCs w:val="24"/>
              </w:rPr>
            </w:pPr>
            <w:r>
              <w:rPr>
                <w:rFonts w:ascii="Arial" w:hAnsi="Arial" w:cs="Arial"/>
                <w:sz w:val="24"/>
                <w:szCs w:val="24"/>
                <w:lang w:val="en-US"/>
              </w:rPr>
              <w:t>[2</w:t>
            </w:r>
            <w:r w:rsidR="0029105C">
              <w:rPr>
                <w:rFonts w:ascii="Arial" w:hAnsi="Arial" w:cs="Arial"/>
                <w:sz w:val="24"/>
                <w:szCs w:val="24"/>
                <w:lang w:val="en-US"/>
              </w:rPr>
              <w:t>3</w:t>
            </w:r>
            <w:r w:rsidR="00DC6D53">
              <w:rPr>
                <w:rFonts w:ascii="Arial" w:hAnsi="Arial" w:cs="Arial"/>
                <w:sz w:val="24"/>
                <w:szCs w:val="24"/>
                <w:lang w:val="en-US"/>
              </w:rPr>
              <w:t>]</w:t>
            </w:r>
            <w:r w:rsidR="00DC6D53">
              <w:rPr>
                <w:rFonts w:ascii="Arial Narrow" w:hAnsi="Arial Narrow" w:cs="Arial"/>
                <w:sz w:val="24"/>
                <w:szCs w:val="24"/>
                <w:lang w:val="en-US"/>
              </w:rPr>
              <w:tab/>
            </w:r>
            <w:r w:rsidR="00360DBA">
              <w:rPr>
                <w:rFonts w:ascii="Arial" w:hAnsi="Arial" w:cs="Arial"/>
                <w:sz w:val="24"/>
                <w:szCs w:val="24"/>
                <w:lang w:val="en-US"/>
              </w:rPr>
              <w:t>Those are my reasons for the order made above.</w:t>
            </w:r>
          </w:p>
          <w:p w:rsidR="006F7E81" w:rsidRPr="006F7E81" w:rsidRDefault="006F7E81" w:rsidP="0029105C">
            <w:pPr>
              <w:tabs>
                <w:tab w:val="left" w:pos="729"/>
              </w:tabs>
              <w:spacing w:line="360" w:lineRule="auto"/>
              <w:jc w:val="both"/>
              <w:rPr>
                <w:rFonts w:ascii="Arial" w:eastAsia="Times New Roman" w:hAnsi="Arial" w:cs="Arial"/>
                <w:lang w:val="en-US"/>
              </w:rPr>
            </w:pPr>
          </w:p>
        </w:tc>
      </w:tr>
      <w:tr w:rsidR="00CA7995" w:rsidRPr="00CA7995" w:rsidTr="003B0F1E">
        <w:tc>
          <w:tcPr>
            <w:tcW w:w="5209" w:type="dxa"/>
          </w:tcPr>
          <w:p w:rsidR="00B40844" w:rsidRPr="00CA7995" w:rsidRDefault="00B40844" w:rsidP="00ED76B2">
            <w:pPr>
              <w:spacing w:line="360" w:lineRule="auto"/>
              <w:jc w:val="center"/>
              <w:rPr>
                <w:rFonts w:ascii="Arial" w:hAnsi="Arial" w:cs="Arial"/>
                <w:b/>
                <w:sz w:val="24"/>
                <w:szCs w:val="24"/>
              </w:rPr>
            </w:pPr>
            <w:r w:rsidRPr="00CA7995">
              <w:rPr>
                <w:rFonts w:ascii="Arial" w:hAnsi="Arial" w:cs="Arial"/>
                <w:b/>
                <w:sz w:val="24"/>
                <w:szCs w:val="24"/>
              </w:rPr>
              <w:lastRenderedPageBreak/>
              <w:t>Judge’s signature:</w:t>
            </w:r>
          </w:p>
        </w:tc>
        <w:tc>
          <w:tcPr>
            <w:tcW w:w="5423" w:type="dxa"/>
            <w:gridSpan w:val="2"/>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Note to the parties:</w:t>
            </w:r>
          </w:p>
        </w:tc>
      </w:tr>
      <w:tr w:rsidR="00CA7995" w:rsidRPr="00CA7995" w:rsidTr="0080576C">
        <w:trPr>
          <w:trHeight w:val="866"/>
        </w:trPr>
        <w:tc>
          <w:tcPr>
            <w:tcW w:w="5209" w:type="dxa"/>
          </w:tcPr>
          <w:p w:rsidR="00B40844" w:rsidRDefault="00B40844" w:rsidP="00937C89">
            <w:pPr>
              <w:spacing w:line="360" w:lineRule="auto"/>
              <w:jc w:val="both"/>
              <w:rPr>
                <w:rFonts w:ascii="Arial" w:hAnsi="Arial" w:cs="Arial"/>
                <w:sz w:val="24"/>
                <w:szCs w:val="24"/>
              </w:rPr>
            </w:pPr>
          </w:p>
          <w:p w:rsidR="00B40844" w:rsidRPr="00CA7995" w:rsidRDefault="00B40844" w:rsidP="00937C89">
            <w:pPr>
              <w:spacing w:line="360" w:lineRule="auto"/>
              <w:jc w:val="both"/>
              <w:rPr>
                <w:rFonts w:ascii="Arial" w:hAnsi="Arial" w:cs="Arial"/>
                <w:sz w:val="24"/>
                <w:szCs w:val="24"/>
              </w:rPr>
            </w:pPr>
          </w:p>
        </w:tc>
        <w:tc>
          <w:tcPr>
            <w:tcW w:w="5423" w:type="dxa"/>
            <w:gridSpan w:val="2"/>
          </w:tcPr>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Not applicable.</w:t>
            </w:r>
          </w:p>
        </w:tc>
      </w:tr>
      <w:tr w:rsidR="00CA7995" w:rsidRPr="00CA7995" w:rsidTr="003B0F1E">
        <w:tc>
          <w:tcPr>
            <w:tcW w:w="10632" w:type="dxa"/>
            <w:gridSpan w:val="3"/>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Counsel:</w:t>
            </w:r>
          </w:p>
        </w:tc>
      </w:tr>
      <w:tr w:rsidR="00CA7995" w:rsidRPr="00CA7995" w:rsidTr="0058291D">
        <w:trPr>
          <w:trHeight w:val="555"/>
        </w:trPr>
        <w:tc>
          <w:tcPr>
            <w:tcW w:w="5209" w:type="dxa"/>
            <w:vAlign w:val="bottom"/>
          </w:tcPr>
          <w:p w:rsidR="00B40844" w:rsidRPr="00CA7995" w:rsidRDefault="00CD605F" w:rsidP="0058291D">
            <w:pPr>
              <w:spacing w:line="360" w:lineRule="auto"/>
              <w:jc w:val="center"/>
              <w:rPr>
                <w:rFonts w:ascii="Arial" w:hAnsi="Arial" w:cs="Arial"/>
                <w:b/>
                <w:sz w:val="24"/>
                <w:szCs w:val="24"/>
              </w:rPr>
            </w:pPr>
            <w:r>
              <w:rPr>
                <w:rFonts w:ascii="Arial" w:hAnsi="Arial" w:cs="Arial"/>
                <w:b/>
                <w:sz w:val="24"/>
                <w:szCs w:val="24"/>
              </w:rPr>
              <w:t>APPLICANT</w:t>
            </w:r>
          </w:p>
        </w:tc>
        <w:tc>
          <w:tcPr>
            <w:tcW w:w="5423" w:type="dxa"/>
            <w:gridSpan w:val="2"/>
            <w:vAlign w:val="bottom"/>
          </w:tcPr>
          <w:p w:rsidR="00B40844" w:rsidRPr="00CA7995" w:rsidRDefault="0029105C" w:rsidP="0058291D">
            <w:pPr>
              <w:spacing w:line="360" w:lineRule="auto"/>
              <w:jc w:val="center"/>
              <w:rPr>
                <w:rFonts w:ascii="Arial" w:hAnsi="Arial" w:cs="Arial"/>
                <w:b/>
                <w:sz w:val="24"/>
                <w:szCs w:val="24"/>
              </w:rPr>
            </w:pPr>
            <w:r>
              <w:rPr>
                <w:rFonts w:ascii="Arial" w:hAnsi="Arial" w:cs="Arial"/>
                <w:b/>
                <w:sz w:val="24"/>
                <w:szCs w:val="24"/>
              </w:rPr>
              <w:t>2</w:t>
            </w:r>
            <w:r w:rsidRPr="0029105C">
              <w:rPr>
                <w:rFonts w:ascii="Arial" w:hAnsi="Arial" w:cs="Arial"/>
                <w:b/>
                <w:sz w:val="24"/>
                <w:szCs w:val="24"/>
                <w:vertAlign w:val="superscript"/>
              </w:rPr>
              <w:t>ND</w:t>
            </w:r>
            <w:r>
              <w:rPr>
                <w:rFonts w:ascii="Arial" w:hAnsi="Arial" w:cs="Arial"/>
                <w:b/>
                <w:sz w:val="24"/>
                <w:szCs w:val="24"/>
              </w:rPr>
              <w:t xml:space="preserve"> AND 4</w:t>
            </w:r>
            <w:r w:rsidRPr="0029105C">
              <w:rPr>
                <w:rFonts w:ascii="Arial" w:hAnsi="Arial" w:cs="Arial"/>
                <w:b/>
                <w:sz w:val="24"/>
                <w:szCs w:val="24"/>
                <w:vertAlign w:val="superscript"/>
              </w:rPr>
              <w:t>TH</w:t>
            </w:r>
            <w:r>
              <w:rPr>
                <w:rFonts w:ascii="Arial" w:hAnsi="Arial" w:cs="Arial"/>
                <w:b/>
                <w:sz w:val="24"/>
                <w:szCs w:val="24"/>
              </w:rPr>
              <w:t xml:space="preserve"> </w:t>
            </w:r>
            <w:r w:rsidR="00CD605F">
              <w:rPr>
                <w:rFonts w:ascii="Arial" w:hAnsi="Arial" w:cs="Arial"/>
                <w:b/>
                <w:sz w:val="24"/>
                <w:szCs w:val="24"/>
              </w:rPr>
              <w:t>RESPONDENT</w:t>
            </w:r>
            <w:r>
              <w:rPr>
                <w:rFonts w:ascii="Arial" w:hAnsi="Arial" w:cs="Arial"/>
                <w:b/>
                <w:sz w:val="24"/>
                <w:szCs w:val="24"/>
              </w:rPr>
              <w:t>S</w:t>
            </w:r>
          </w:p>
        </w:tc>
      </w:tr>
      <w:tr w:rsidR="00CA7995" w:rsidRPr="00CA7995" w:rsidTr="003B0F1E">
        <w:tc>
          <w:tcPr>
            <w:tcW w:w="5209" w:type="dxa"/>
          </w:tcPr>
          <w:p w:rsidR="00F639A4" w:rsidRDefault="009C4EEB" w:rsidP="000E5171">
            <w:pPr>
              <w:spacing w:line="360" w:lineRule="auto"/>
              <w:jc w:val="center"/>
              <w:rPr>
                <w:rFonts w:ascii="Arial" w:hAnsi="Arial" w:cs="Arial"/>
                <w:sz w:val="24"/>
                <w:szCs w:val="24"/>
              </w:rPr>
            </w:pPr>
            <w:r>
              <w:rPr>
                <w:rFonts w:ascii="Arial" w:hAnsi="Arial" w:cs="Arial"/>
                <w:sz w:val="24"/>
                <w:szCs w:val="24"/>
              </w:rPr>
              <w:t>Y CAMPBELL</w:t>
            </w:r>
          </w:p>
          <w:p w:rsidR="00206B05" w:rsidRPr="000E5171" w:rsidRDefault="00965A5C" w:rsidP="00206B05">
            <w:pPr>
              <w:spacing w:line="360" w:lineRule="auto"/>
              <w:jc w:val="center"/>
              <w:rPr>
                <w:rFonts w:ascii="Arial" w:hAnsi="Arial" w:cs="Arial"/>
                <w:i/>
                <w:sz w:val="24"/>
                <w:szCs w:val="24"/>
              </w:rPr>
            </w:pPr>
            <w:r>
              <w:rPr>
                <w:rFonts w:ascii="Arial" w:hAnsi="Arial" w:cs="Arial"/>
                <w:i/>
                <w:sz w:val="24"/>
                <w:szCs w:val="24"/>
              </w:rPr>
              <w:t>Instructed by</w:t>
            </w:r>
          </w:p>
          <w:p w:rsidR="00F639A4" w:rsidRPr="00D034F4" w:rsidRDefault="0029105C" w:rsidP="0080576C">
            <w:pPr>
              <w:spacing w:line="360" w:lineRule="auto"/>
              <w:jc w:val="center"/>
              <w:rPr>
                <w:rFonts w:ascii="Arial" w:hAnsi="Arial" w:cs="Arial"/>
                <w:sz w:val="24"/>
                <w:szCs w:val="24"/>
              </w:rPr>
            </w:pPr>
            <w:r w:rsidRPr="0029105C">
              <w:rPr>
                <w:rFonts w:ascii="Arial" w:hAnsi="Arial" w:cs="Arial"/>
                <w:sz w:val="24"/>
                <w:szCs w:val="24"/>
              </w:rPr>
              <w:t>Krüger, Van Vuuren &amp; Co</w:t>
            </w:r>
            <w:r w:rsidR="009C4EEB" w:rsidRPr="0029105C">
              <w:rPr>
                <w:rFonts w:ascii="Arial" w:hAnsi="Arial" w:cs="Arial"/>
                <w:sz w:val="24"/>
                <w:szCs w:val="24"/>
              </w:rPr>
              <w:t>., Windhoek</w:t>
            </w:r>
          </w:p>
        </w:tc>
        <w:tc>
          <w:tcPr>
            <w:tcW w:w="5423" w:type="dxa"/>
            <w:gridSpan w:val="2"/>
          </w:tcPr>
          <w:p w:rsidR="00CD605F" w:rsidRDefault="009C4EEB" w:rsidP="00346B7A">
            <w:pPr>
              <w:spacing w:line="360" w:lineRule="auto"/>
              <w:jc w:val="center"/>
              <w:rPr>
                <w:rFonts w:ascii="Arial" w:hAnsi="Arial" w:cs="Arial"/>
                <w:sz w:val="24"/>
                <w:szCs w:val="24"/>
              </w:rPr>
            </w:pPr>
            <w:r>
              <w:rPr>
                <w:rFonts w:ascii="Arial" w:hAnsi="Arial" w:cs="Arial"/>
                <w:sz w:val="24"/>
                <w:szCs w:val="24"/>
              </w:rPr>
              <w:t>M U KUZEEKO</w:t>
            </w:r>
          </w:p>
          <w:p w:rsidR="00CD605F" w:rsidRPr="00CD605F" w:rsidRDefault="00CD605F" w:rsidP="0029105C">
            <w:pPr>
              <w:tabs>
                <w:tab w:val="center" w:pos="2603"/>
                <w:tab w:val="left" w:pos="4476"/>
              </w:tabs>
              <w:spacing w:line="360" w:lineRule="auto"/>
              <w:jc w:val="center"/>
              <w:rPr>
                <w:rFonts w:ascii="Arial" w:hAnsi="Arial" w:cs="Arial"/>
                <w:i/>
                <w:sz w:val="24"/>
                <w:szCs w:val="24"/>
              </w:rPr>
            </w:pPr>
            <w:r w:rsidRPr="00CD605F">
              <w:rPr>
                <w:rFonts w:ascii="Arial" w:hAnsi="Arial" w:cs="Arial"/>
                <w:i/>
                <w:sz w:val="24"/>
                <w:szCs w:val="24"/>
              </w:rPr>
              <w:t>of</w:t>
            </w:r>
          </w:p>
          <w:p w:rsidR="000E5171" w:rsidRPr="00206B05" w:rsidRDefault="00CD605F" w:rsidP="00CD605F">
            <w:pPr>
              <w:spacing w:line="360" w:lineRule="auto"/>
              <w:jc w:val="center"/>
              <w:rPr>
                <w:rFonts w:ascii="Arial" w:hAnsi="Arial" w:cs="Arial"/>
                <w:sz w:val="24"/>
                <w:szCs w:val="24"/>
              </w:rPr>
            </w:pPr>
            <w:r w:rsidRPr="00CD605F">
              <w:rPr>
                <w:rFonts w:ascii="Arial" w:hAnsi="Arial" w:cs="Arial"/>
                <w:sz w:val="24"/>
                <w:szCs w:val="24"/>
              </w:rPr>
              <w:t xml:space="preserve">Dr </w:t>
            </w:r>
            <w:proofErr w:type="spellStart"/>
            <w:r w:rsidRPr="00CD605F">
              <w:rPr>
                <w:rFonts w:ascii="Arial" w:hAnsi="Arial" w:cs="Arial"/>
                <w:sz w:val="24"/>
                <w:szCs w:val="24"/>
              </w:rPr>
              <w:t>Weder</w:t>
            </w:r>
            <w:proofErr w:type="spellEnd"/>
            <w:r w:rsidRPr="00CD605F">
              <w:rPr>
                <w:rFonts w:ascii="Arial" w:hAnsi="Arial" w:cs="Arial"/>
                <w:sz w:val="24"/>
                <w:szCs w:val="24"/>
              </w:rPr>
              <w:t xml:space="preserve">, Kauta &amp; </w:t>
            </w:r>
            <w:proofErr w:type="spellStart"/>
            <w:r w:rsidRPr="00CD605F">
              <w:rPr>
                <w:rFonts w:ascii="Arial" w:hAnsi="Arial" w:cs="Arial"/>
                <w:sz w:val="24"/>
                <w:szCs w:val="24"/>
              </w:rPr>
              <w:t>Hoveka</w:t>
            </w:r>
            <w:proofErr w:type="spellEnd"/>
            <w:r w:rsidRPr="00CD605F">
              <w:rPr>
                <w:rFonts w:ascii="Arial" w:hAnsi="Arial" w:cs="Arial"/>
                <w:sz w:val="24"/>
                <w:szCs w:val="24"/>
              </w:rPr>
              <w:t xml:space="preserve"> Inc.</w:t>
            </w:r>
            <w:r w:rsidR="009C4EEB">
              <w:rPr>
                <w:rFonts w:ascii="Arial" w:hAnsi="Arial" w:cs="Arial"/>
                <w:sz w:val="24"/>
                <w:szCs w:val="24"/>
              </w:rPr>
              <w:t>, Windhoek</w:t>
            </w:r>
          </w:p>
        </w:tc>
      </w:tr>
    </w:tbl>
    <w:p w:rsidR="0099289E" w:rsidRPr="0080576C" w:rsidRDefault="0099289E" w:rsidP="0080576C">
      <w:pPr>
        <w:jc w:val="both"/>
        <w:rPr>
          <w:rFonts w:ascii="Arial" w:hAnsi="Arial" w:cs="Arial"/>
          <w:sz w:val="4"/>
          <w:szCs w:val="4"/>
        </w:rPr>
      </w:pPr>
    </w:p>
    <w:sectPr w:rsidR="0099289E" w:rsidRPr="0080576C" w:rsidSect="0058291D">
      <w:headerReference w:type="default" r:id="rId9"/>
      <w:footerReference w:type="default" r:id="rId10"/>
      <w:pgSz w:w="11906" w:h="16838"/>
      <w:pgMar w:top="1440" w:right="1440" w:bottom="1276" w:left="144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1A2" w:rsidRDefault="002D41A2" w:rsidP="00B40844">
      <w:pPr>
        <w:spacing w:after="0" w:line="240" w:lineRule="auto"/>
      </w:pPr>
      <w:r>
        <w:separator/>
      </w:r>
    </w:p>
  </w:endnote>
  <w:endnote w:type="continuationSeparator" w:id="0">
    <w:p w:rsidR="002D41A2" w:rsidRDefault="002D41A2" w:rsidP="00B4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C89" w:rsidRPr="00F674F4" w:rsidRDefault="00937C89">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1A2" w:rsidRDefault="002D41A2" w:rsidP="00B40844">
      <w:pPr>
        <w:spacing w:after="0" w:line="240" w:lineRule="auto"/>
      </w:pPr>
      <w:r>
        <w:separator/>
      </w:r>
    </w:p>
  </w:footnote>
  <w:footnote w:type="continuationSeparator" w:id="0">
    <w:p w:rsidR="002D41A2" w:rsidRDefault="002D41A2" w:rsidP="00B40844">
      <w:pPr>
        <w:spacing w:after="0" w:line="240" w:lineRule="auto"/>
      </w:pPr>
      <w:r>
        <w:continuationSeparator/>
      </w:r>
    </w:p>
  </w:footnote>
  <w:footnote w:id="1">
    <w:p w:rsidR="008D4A1F" w:rsidRPr="00FD420A" w:rsidRDefault="008D4A1F">
      <w:pPr>
        <w:pStyle w:val="FootnoteText"/>
        <w:rPr>
          <w:rFonts w:ascii="Arial" w:hAnsi="Arial" w:cs="Arial"/>
          <w:lang w:val="en-US"/>
        </w:rPr>
      </w:pPr>
      <w:r w:rsidRPr="00FD420A">
        <w:rPr>
          <w:rStyle w:val="FootnoteReference"/>
          <w:rFonts w:ascii="Arial" w:hAnsi="Arial" w:cs="Arial"/>
        </w:rPr>
        <w:footnoteRef/>
      </w:r>
      <w:r w:rsidRPr="00FD420A">
        <w:rPr>
          <w:rFonts w:ascii="Arial" w:hAnsi="Arial" w:cs="Arial"/>
        </w:rPr>
        <w:t xml:space="preserve"> </w:t>
      </w:r>
      <w:proofErr w:type="spellStart"/>
      <w:r w:rsidRPr="00FD420A">
        <w:rPr>
          <w:rFonts w:ascii="Arial" w:hAnsi="Arial" w:cs="Arial"/>
          <w:i/>
          <w:lang w:val="en-US"/>
        </w:rPr>
        <w:t>Bertolini</w:t>
      </w:r>
      <w:proofErr w:type="spellEnd"/>
      <w:r w:rsidRPr="00FD420A">
        <w:rPr>
          <w:rFonts w:ascii="Arial" w:hAnsi="Arial" w:cs="Arial"/>
          <w:i/>
          <w:lang w:val="en-US"/>
        </w:rPr>
        <w:t xml:space="preserve"> v Ehlers and </w:t>
      </w:r>
      <w:proofErr w:type="gramStart"/>
      <w:r w:rsidRPr="00FD420A">
        <w:rPr>
          <w:rFonts w:ascii="Arial" w:hAnsi="Arial" w:cs="Arial"/>
          <w:i/>
          <w:lang w:val="en-US"/>
        </w:rPr>
        <w:t>Another</w:t>
      </w:r>
      <w:proofErr w:type="gramEnd"/>
      <w:r w:rsidRPr="00FD420A">
        <w:rPr>
          <w:rFonts w:ascii="Arial" w:hAnsi="Arial" w:cs="Arial"/>
          <w:lang w:val="en-US"/>
        </w:rPr>
        <w:t xml:space="preserve"> (320 of 2016) [2017] NAHCMD 289 (6 October 2017)</w:t>
      </w:r>
      <w:r w:rsidR="00E751F3" w:rsidRPr="00FD420A">
        <w:rPr>
          <w:rFonts w:ascii="Arial" w:hAnsi="Arial" w:cs="Arial"/>
          <w:lang w:val="en-US"/>
        </w:rPr>
        <w:t>.</w:t>
      </w:r>
    </w:p>
  </w:footnote>
  <w:footnote w:id="2">
    <w:p w:rsidR="008D4A1F" w:rsidRPr="00FD420A" w:rsidRDefault="008D4A1F" w:rsidP="008D4A1F">
      <w:pPr>
        <w:pStyle w:val="FootnoteText"/>
        <w:jc w:val="both"/>
        <w:rPr>
          <w:rFonts w:ascii="Arial" w:hAnsi="Arial" w:cs="Arial"/>
        </w:rPr>
      </w:pPr>
      <w:r w:rsidRPr="00FD420A">
        <w:rPr>
          <w:rStyle w:val="FootnoteReference"/>
          <w:rFonts w:ascii="Arial" w:hAnsi="Arial" w:cs="Arial"/>
        </w:rPr>
        <w:footnoteRef/>
      </w:r>
      <w:r w:rsidRPr="00FD420A">
        <w:rPr>
          <w:rFonts w:ascii="Arial" w:hAnsi="Arial" w:cs="Arial"/>
        </w:rPr>
        <w:t xml:space="preserve"> </w:t>
      </w:r>
      <w:proofErr w:type="spellStart"/>
      <w:r w:rsidR="005B5040" w:rsidRPr="00FD420A">
        <w:rPr>
          <w:rFonts w:ascii="Arial" w:hAnsi="Arial" w:cs="Arial"/>
          <w:i/>
        </w:rPr>
        <w:t>Germishuys</w:t>
      </w:r>
      <w:proofErr w:type="spellEnd"/>
      <w:r w:rsidR="005B5040" w:rsidRPr="00FD420A">
        <w:rPr>
          <w:rFonts w:ascii="Arial" w:hAnsi="Arial" w:cs="Arial"/>
          <w:i/>
        </w:rPr>
        <w:t xml:space="preserve"> v Douglas </w:t>
      </w:r>
      <w:proofErr w:type="spellStart"/>
      <w:r w:rsidR="005B5040" w:rsidRPr="00FD420A">
        <w:rPr>
          <w:rFonts w:ascii="Arial" w:hAnsi="Arial" w:cs="Arial"/>
          <w:i/>
        </w:rPr>
        <w:t>Besproei</w:t>
      </w:r>
      <w:r w:rsidRPr="00FD420A">
        <w:rPr>
          <w:rFonts w:ascii="Arial" w:hAnsi="Arial" w:cs="Arial"/>
          <w:i/>
        </w:rPr>
        <w:t>ngsraad</w:t>
      </w:r>
      <w:proofErr w:type="spellEnd"/>
      <w:r w:rsidRPr="00FD420A">
        <w:rPr>
          <w:rFonts w:ascii="Arial" w:hAnsi="Arial" w:cs="Arial"/>
        </w:rPr>
        <w:t xml:space="preserve"> 1973 (3) SA 299 (NC) at 300E.</w:t>
      </w:r>
    </w:p>
  </w:footnote>
  <w:footnote w:id="3">
    <w:p w:rsidR="009C53D5" w:rsidRPr="00FD420A" w:rsidRDefault="009C53D5" w:rsidP="00FC1818">
      <w:pPr>
        <w:pStyle w:val="FootnoteText"/>
        <w:jc w:val="both"/>
        <w:rPr>
          <w:lang w:val="en-US"/>
        </w:rPr>
      </w:pPr>
      <w:r w:rsidRPr="00FD420A">
        <w:rPr>
          <w:rStyle w:val="FootnoteReference"/>
          <w:rFonts w:ascii="Arial" w:hAnsi="Arial" w:cs="Arial"/>
        </w:rPr>
        <w:footnoteRef/>
      </w:r>
      <w:r w:rsidRPr="00FD420A">
        <w:rPr>
          <w:rFonts w:ascii="Arial" w:hAnsi="Arial" w:cs="Arial"/>
        </w:rPr>
        <w:t xml:space="preserve"> </w:t>
      </w:r>
      <w:r w:rsidRPr="00FD420A">
        <w:rPr>
          <w:rFonts w:ascii="Arial" w:hAnsi="Arial" w:cs="Arial"/>
          <w:i/>
          <w:lang w:val="en-US"/>
        </w:rPr>
        <w:t xml:space="preserve">Erf Sixty-Six </w:t>
      </w:r>
      <w:proofErr w:type="spellStart"/>
      <w:r w:rsidRPr="00FD420A">
        <w:rPr>
          <w:rFonts w:ascii="Arial" w:hAnsi="Arial" w:cs="Arial"/>
          <w:i/>
          <w:lang w:val="en-US"/>
        </w:rPr>
        <w:t>Vogelstrand</w:t>
      </w:r>
      <w:proofErr w:type="spellEnd"/>
      <w:r w:rsidRPr="00FD420A">
        <w:rPr>
          <w:rFonts w:ascii="Arial" w:hAnsi="Arial" w:cs="Arial"/>
          <w:i/>
          <w:lang w:val="en-US"/>
        </w:rPr>
        <w:t xml:space="preserve"> (Pty) Ltd v Council of the Municipality of </w:t>
      </w:r>
      <w:proofErr w:type="spellStart"/>
      <w:r w:rsidRPr="00FD420A">
        <w:rPr>
          <w:rFonts w:ascii="Arial" w:hAnsi="Arial" w:cs="Arial"/>
          <w:i/>
          <w:lang w:val="en-US"/>
        </w:rPr>
        <w:t>Swakopmund</w:t>
      </w:r>
      <w:proofErr w:type="spellEnd"/>
      <w:r w:rsidRPr="00FD420A">
        <w:rPr>
          <w:rFonts w:ascii="Arial" w:hAnsi="Arial" w:cs="Arial"/>
          <w:i/>
          <w:lang w:val="en-US"/>
        </w:rPr>
        <w:t xml:space="preserve"> and Others</w:t>
      </w:r>
      <w:r w:rsidRPr="00FD420A">
        <w:rPr>
          <w:rFonts w:ascii="Arial" w:hAnsi="Arial" w:cs="Arial"/>
          <w:lang w:val="en-US"/>
        </w:rPr>
        <w:t xml:space="preserve"> (260 of 2007) [2012] NAHC 62 (13 March 2012).</w:t>
      </w:r>
    </w:p>
  </w:footnote>
  <w:footnote w:id="4">
    <w:p w:rsidR="00AB7AC1" w:rsidRPr="00583C12" w:rsidRDefault="00AB7AC1" w:rsidP="00AE701A">
      <w:pPr>
        <w:pStyle w:val="FootnoteText"/>
        <w:jc w:val="both"/>
        <w:rPr>
          <w:rFonts w:ascii="Arial" w:hAnsi="Arial" w:cs="Arial"/>
          <w:lang w:val="en-US"/>
        </w:rPr>
      </w:pPr>
      <w:r w:rsidRPr="00583C12">
        <w:rPr>
          <w:rStyle w:val="FootnoteReference"/>
          <w:rFonts w:ascii="Arial" w:hAnsi="Arial" w:cs="Arial"/>
        </w:rPr>
        <w:footnoteRef/>
      </w:r>
      <w:r w:rsidRPr="00583C12">
        <w:rPr>
          <w:rFonts w:ascii="Arial" w:hAnsi="Arial" w:cs="Arial"/>
        </w:rPr>
        <w:t xml:space="preserve"> </w:t>
      </w:r>
      <w:r w:rsidRPr="00583C12">
        <w:rPr>
          <w:rFonts w:ascii="Arial" w:hAnsi="Arial" w:cs="Arial"/>
          <w:i/>
        </w:rPr>
        <w:t xml:space="preserve">DPP Valuers (Pty) Ltd v Namibia Airports Company Ltd </w:t>
      </w:r>
      <w:r w:rsidRPr="00583C12">
        <w:rPr>
          <w:rFonts w:ascii="Arial" w:hAnsi="Arial" w:cs="Arial"/>
        </w:rPr>
        <w:t>(HC-MD-CIV-MOT-GEN-2023/00279) [2023] NAHCMD 798 (6 December 2023).</w:t>
      </w:r>
    </w:p>
  </w:footnote>
  <w:footnote w:id="5">
    <w:p w:rsidR="006F7E81" w:rsidRPr="00583C12" w:rsidRDefault="006F7E81" w:rsidP="00AE701A">
      <w:pPr>
        <w:pStyle w:val="FootnoteText"/>
        <w:jc w:val="both"/>
        <w:rPr>
          <w:rFonts w:ascii="Arial" w:hAnsi="Arial" w:cs="Arial"/>
          <w:lang w:val="en-US"/>
        </w:rPr>
      </w:pPr>
      <w:r w:rsidRPr="00583C12">
        <w:rPr>
          <w:rStyle w:val="FootnoteReference"/>
          <w:rFonts w:ascii="Arial" w:hAnsi="Arial" w:cs="Arial"/>
        </w:rPr>
        <w:footnoteRef/>
      </w:r>
      <w:r w:rsidRPr="00583C12">
        <w:rPr>
          <w:rFonts w:ascii="Arial" w:hAnsi="Arial" w:cs="Arial"/>
          <w:i/>
        </w:rPr>
        <w:t xml:space="preserve">Rothschild v van </w:t>
      </w:r>
      <w:proofErr w:type="spellStart"/>
      <w:r w:rsidRPr="00583C12">
        <w:rPr>
          <w:rFonts w:ascii="Arial" w:hAnsi="Arial" w:cs="Arial"/>
          <w:i/>
        </w:rPr>
        <w:t>Wyk</w:t>
      </w:r>
      <w:proofErr w:type="spellEnd"/>
      <w:r w:rsidRPr="00583C12">
        <w:rPr>
          <w:rFonts w:ascii="Arial" w:hAnsi="Arial" w:cs="Arial"/>
        </w:rPr>
        <w:t xml:space="preserve"> 1916 T.P.D. 270.</w:t>
      </w:r>
    </w:p>
  </w:footnote>
  <w:footnote w:id="6">
    <w:p w:rsidR="006F7E81" w:rsidRPr="00AB7AC1" w:rsidRDefault="006F7E81">
      <w:pPr>
        <w:pStyle w:val="FootnoteText"/>
        <w:rPr>
          <w:rFonts w:ascii="Arial" w:hAnsi="Arial" w:cs="Arial"/>
          <w:lang w:val="en-US"/>
        </w:rPr>
      </w:pPr>
      <w:r w:rsidRPr="00AB7AC1">
        <w:rPr>
          <w:rStyle w:val="FootnoteReference"/>
          <w:rFonts w:ascii="Arial" w:hAnsi="Arial" w:cs="Arial"/>
        </w:rPr>
        <w:footnoteRef/>
      </w:r>
      <w:r w:rsidRPr="00AB7AC1">
        <w:rPr>
          <w:rFonts w:ascii="Arial" w:hAnsi="Arial" w:cs="Arial"/>
        </w:rPr>
        <w:t xml:space="preserve"> </w:t>
      </w:r>
      <w:r w:rsidRPr="00AB7AC1">
        <w:rPr>
          <w:rFonts w:ascii="Arial" w:hAnsi="Arial" w:cs="Arial"/>
          <w:lang w:val="en-US"/>
        </w:rPr>
        <w:t>Ibid p 271.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335653061"/>
      <w:docPartObj>
        <w:docPartGallery w:val="Page Numbers (Top of Page)"/>
        <w:docPartUnique/>
      </w:docPartObj>
    </w:sdtPr>
    <w:sdtEndPr>
      <w:rPr>
        <w:noProof/>
      </w:rPr>
    </w:sdtEndPr>
    <w:sdtContent>
      <w:p w:rsidR="000302C5" w:rsidRPr="00D84700" w:rsidRDefault="000302C5">
        <w:pPr>
          <w:pStyle w:val="Header"/>
          <w:jc w:val="right"/>
          <w:rPr>
            <w:rFonts w:ascii="Arial" w:hAnsi="Arial" w:cs="Arial"/>
            <w:sz w:val="24"/>
            <w:szCs w:val="24"/>
          </w:rPr>
        </w:pPr>
        <w:r w:rsidRPr="00D84700">
          <w:rPr>
            <w:rFonts w:ascii="Arial" w:hAnsi="Arial" w:cs="Arial"/>
            <w:sz w:val="24"/>
            <w:szCs w:val="24"/>
          </w:rPr>
          <w:fldChar w:fldCharType="begin"/>
        </w:r>
        <w:r w:rsidRPr="00D84700">
          <w:rPr>
            <w:rFonts w:ascii="Arial" w:hAnsi="Arial" w:cs="Arial"/>
            <w:sz w:val="24"/>
            <w:szCs w:val="24"/>
          </w:rPr>
          <w:instrText xml:space="preserve"> PAGE   \* MERGEFORMAT </w:instrText>
        </w:r>
        <w:r w:rsidRPr="00D84700">
          <w:rPr>
            <w:rFonts w:ascii="Arial" w:hAnsi="Arial" w:cs="Arial"/>
            <w:sz w:val="24"/>
            <w:szCs w:val="24"/>
          </w:rPr>
          <w:fldChar w:fldCharType="separate"/>
        </w:r>
        <w:r w:rsidR="00D16E00">
          <w:rPr>
            <w:rFonts w:ascii="Arial" w:hAnsi="Arial" w:cs="Arial"/>
            <w:noProof/>
            <w:sz w:val="24"/>
            <w:szCs w:val="24"/>
          </w:rPr>
          <w:t>7</w:t>
        </w:r>
        <w:r w:rsidRPr="00D84700">
          <w:rPr>
            <w:rFonts w:ascii="Arial" w:hAnsi="Arial" w:cs="Arial"/>
            <w:noProof/>
            <w:sz w:val="24"/>
            <w:szCs w:val="24"/>
          </w:rPr>
          <w:fldChar w:fldCharType="end"/>
        </w:r>
      </w:p>
    </w:sdtContent>
  </w:sdt>
  <w:p w:rsidR="000302C5" w:rsidRDefault="000302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15:restartNumberingAfterBreak="0">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 w15:restartNumberingAfterBreak="0">
    <w:nsid w:val="2216604D"/>
    <w:multiLevelType w:val="hybridMultilevel"/>
    <w:tmpl w:val="FB84B9F6"/>
    <w:lvl w:ilvl="0" w:tplc="8752B99A">
      <w:start w:val="1"/>
      <w:numFmt w:val="decimal"/>
      <w:lvlText w:val="%1."/>
      <w:lvlJc w:val="left"/>
      <w:pPr>
        <w:ind w:left="5845" w:hanging="600"/>
      </w:pPr>
      <w:rPr>
        <w:rFonts w:hint="default"/>
      </w:rPr>
    </w:lvl>
    <w:lvl w:ilvl="1" w:tplc="1C090019" w:tentative="1">
      <w:start w:val="1"/>
      <w:numFmt w:val="lowerLetter"/>
      <w:lvlText w:val="%2."/>
      <w:lvlJc w:val="left"/>
      <w:pPr>
        <w:ind w:left="6325" w:hanging="360"/>
      </w:pPr>
    </w:lvl>
    <w:lvl w:ilvl="2" w:tplc="1C09001B" w:tentative="1">
      <w:start w:val="1"/>
      <w:numFmt w:val="lowerRoman"/>
      <w:lvlText w:val="%3."/>
      <w:lvlJc w:val="right"/>
      <w:pPr>
        <w:ind w:left="7045" w:hanging="180"/>
      </w:pPr>
    </w:lvl>
    <w:lvl w:ilvl="3" w:tplc="1C09000F" w:tentative="1">
      <w:start w:val="1"/>
      <w:numFmt w:val="decimal"/>
      <w:lvlText w:val="%4."/>
      <w:lvlJc w:val="left"/>
      <w:pPr>
        <w:ind w:left="7765" w:hanging="360"/>
      </w:pPr>
    </w:lvl>
    <w:lvl w:ilvl="4" w:tplc="1C090019" w:tentative="1">
      <w:start w:val="1"/>
      <w:numFmt w:val="lowerLetter"/>
      <w:lvlText w:val="%5."/>
      <w:lvlJc w:val="left"/>
      <w:pPr>
        <w:ind w:left="8485" w:hanging="360"/>
      </w:pPr>
    </w:lvl>
    <w:lvl w:ilvl="5" w:tplc="1C09001B" w:tentative="1">
      <w:start w:val="1"/>
      <w:numFmt w:val="lowerRoman"/>
      <w:lvlText w:val="%6."/>
      <w:lvlJc w:val="right"/>
      <w:pPr>
        <w:ind w:left="9205" w:hanging="180"/>
      </w:pPr>
    </w:lvl>
    <w:lvl w:ilvl="6" w:tplc="1C09000F" w:tentative="1">
      <w:start w:val="1"/>
      <w:numFmt w:val="decimal"/>
      <w:lvlText w:val="%7."/>
      <w:lvlJc w:val="left"/>
      <w:pPr>
        <w:ind w:left="9925" w:hanging="360"/>
      </w:pPr>
    </w:lvl>
    <w:lvl w:ilvl="7" w:tplc="1C090019" w:tentative="1">
      <w:start w:val="1"/>
      <w:numFmt w:val="lowerLetter"/>
      <w:lvlText w:val="%8."/>
      <w:lvlJc w:val="left"/>
      <w:pPr>
        <w:ind w:left="10645" w:hanging="360"/>
      </w:pPr>
    </w:lvl>
    <w:lvl w:ilvl="8" w:tplc="1C09001B" w:tentative="1">
      <w:start w:val="1"/>
      <w:numFmt w:val="lowerRoman"/>
      <w:lvlText w:val="%9."/>
      <w:lvlJc w:val="right"/>
      <w:pPr>
        <w:ind w:left="11365" w:hanging="180"/>
      </w:pPr>
    </w:lvl>
  </w:abstractNum>
  <w:abstractNum w:abstractNumId="4" w15:restartNumberingAfterBreak="0">
    <w:nsid w:val="25655903"/>
    <w:multiLevelType w:val="hybridMultilevel"/>
    <w:tmpl w:val="2B408DD0"/>
    <w:lvl w:ilvl="0" w:tplc="6756A4F8">
      <w:start w:val="1"/>
      <w:numFmt w:val="decimal"/>
      <w:lvlText w:val="[%1]"/>
      <w:lvlJc w:val="left"/>
      <w:pPr>
        <w:ind w:left="1636" w:hanging="360"/>
      </w:pPr>
      <w:rPr>
        <w:rFonts w:hint="default"/>
        <w:i w:val="0"/>
      </w:r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8" w15:restartNumberingAfterBreak="0">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2"/>
  </w:num>
  <w:num w:numId="5">
    <w:abstractNumId w:val="1"/>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142CE"/>
    <w:rsid w:val="00015808"/>
    <w:rsid w:val="00015DC1"/>
    <w:rsid w:val="00024F0E"/>
    <w:rsid w:val="000302C5"/>
    <w:rsid w:val="000307BF"/>
    <w:rsid w:val="00030A66"/>
    <w:rsid w:val="00030F85"/>
    <w:rsid w:val="00037DF6"/>
    <w:rsid w:val="000423FC"/>
    <w:rsid w:val="00052806"/>
    <w:rsid w:val="00053646"/>
    <w:rsid w:val="00063F7B"/>
    <w:rsid w:val="00072DED"/>
    <w:rsid w:val="00080ABA"/>
    <w:rsid w:val="000929C5"/>
    <w:rsid w:val="00093CD2"/>
    <w:rsid w:val="000A5883"/>
    <w:rsid w:val="000A66B9"/>
    <w:rsid w:val="000A6E7F"/>
    <w:rsid w:val="000B4DE3"/>
    <w:rsid w:val="000B631E"/>
    <w:rsid w:val="000C65B1"/>
    <w:rsid w:val="000C72EF"/>
    <w:rsid w:val="000D2EFB"/>
    <w:rsid w:val="000E5171"/>
    <w:rsid w:val="000F39A3"/>
    <w:rsid w:val="000F681E"/>
    <w:rsid w:val="00115ABC"/>
    <w:rsid w:val="00116AFB"/>
    <w:rsid w:val="0011768F"/>
    <w:rsid w:val="001223B7"/>
    <w:rsid w:val="0012272A"/>
    <w:rsid w:val="00124C63"/>
    <w:rsid w:val="0012642A"/>
    <w:rsid w:val="00127391"/>
    <w:rsid w:val="001450C0"/>
    <w:rsid w:val="00152FEA"/>
    <w:rsid w:val="00153C0E"/>
    <w:rsid w:val="00173806"/>
    <w:rsid w:val="00175DB1"/>
    <w:rsid w:val="0018718C"/>
    <w:rsid w:val="001939AD"/>
    <w:rsid w:val="00194D09"/>
    <w:rsid w:val="001A4504"/>
    <w:rsid w:val="001A4806"/>
    <w:rsid w:val="001B093C"/>
    <w:rsid w:val="001B3825"/>
    <w:rsid w:val="001B494D"/>
    <w:rsid w:val="001B5EF2"/>
    <w:rsid w:val="001C27EE"/>
    <w:rsid w:val="001D6E3B"/>
    <w:rsid w:val="001E097B"/>
    <w:rsid w:val="00200E53"/>
    <w:rsid w:val="002011F7"/>
    <w:rsid w:val="00206B05"/>
    <w:rsid w:val="002124D3"/>
    <w:rsid w:val="0021762B"/>
    <w:rsid w:val="00217744"/>
    <w:rsid w:val="00220112"/>
    <w:rsid w:val="00222072"/>
    <w:rsid w:val="00224808"/>
    <w:rsid w:val="00224C1B"/>
    <w:rsid w:val="00225C54"/>
    <w:rsid w:val="00227247"/>
    <w:rsid w:val="002317B0"/>
    <w:rsid w:val="002338D0"/>
    <w:rsid w:val="00233E3D"/>
    <w:rsid w:val="00235487"/>
    <w:rsid w:val="0023549A"/>
    <w:rsid w:val="00236F6F"/>
    <w:rsid w:val="00241115"/>
    <w:rsid w:val="002411C1"/>
    <w:rsid w:val="002536EA"/>
    <w:rsid w:val="002547AC"/>
    <w:rsid w:val="0026309F"/>
    <w:rsid w:val="002666B5"/>
    <w:rsid w:val="00276736"/>
    <w:rsid w:val="00276A73"/>
    <w:rsid w:val="0028256E"/>
    <w:rsid w:val="002836DF"/>
    <w:rsid w:val="002865F4"/>
    <w:rsid w:val="0029105C"/>
    <w:rsid w:val="00295EDD"/>
    <w:rsid w:val="00297D25"/>
    <w:rsid w:val="002A4AA3"/>
    <w:rsid w:val="002A51BE"/>
    <w:rsid w:val="002B38E0"/>
    <w:rsid w:val="002B397D"/>
    <w:rsid w:val="002B5BB9"/>
    <w:rsid w:val="002C1EF6"/>
    <w:rsid w:val="002D0359"/>
    <w:rsid w:val="002D20C5"/>
    <w:rsid w:val="002D41A2"/>
    <w:rsid w:val="002E1151"/>
    <w:rsid w:val="002E123F"/>
    <w:rsid w:val="002E35EE"/>
    <w:rsid w:val="002E738E"/>
    <w:rsid w:val="002F0692"/>
    <w:rsid w:val="00307DB3"/>
    <w:rsid w:val="00312E51"/>
    <w:rsid w:val="0031490B"/>
    <w:rsid w:val="0031523D"/>
    <w:rsid w:val="00322F39"/>
    <w:rsid w:val="00323AAF"/>
    <w:rsid w:val="00323E22"/>
    <w:rsid w:val="00324B66"/>
    <w:rsid w:val="003376E8"/>
    <w:rsid w:val="00340EA6"/>
    <w:rsid w:val="003438C1"/>
    <w:rsid w:val="00346B7A"/>
    <w:rsid w:val="00357D57"/>
    <w:rsid w:val="00360DBA"/>
    <w:rsid w:val="00371B8F"/>
    <w:rsid w:val="003750B1"/>
    <w:rsid w:val="003832B4"/>
    <w:rsid w:val="0038382D"/>
    <w:rsid w:val="0038558A"/>
    <w:rsid w:val="00386207"/>
    <w:rsid w:val="00386339"/>
    <w:rsid w:val="00387B29"/>
    <w:rsid w:val="00391616"/>
    <w:rsid w:val="003917AF"/>
    <w:rsid w:val="00393FFB"/>
    <w:rsid w:val="003955A1"/>
    <w:rsid w:val="003A06B6"/>
    <w:rsid w:val="003A18AD"/>
    <w:rsid w:val="003B09B0"/>
    <w:rsid w:val="003B0F1E"/>
    <w:rsid w:val="003B1E9E"/>
    <w:rsid w:val="003B1F8C"/>
    <w:rsid w:val="003C076D"/>
    <w:rsid w:val="003C2574"/>
    <w:rsid w:val="003D165C"/>
    <w:rsid w:val="003D3059"/>
    <w:rsid w:val="003D6D08"/>
    <w:rsid w:val="003E0C00"/>
    <w:rsid w:val="004011B6"/>
    <w:rsid w:val="00404B70"/>
    <w:rsid w:val="00404D95"/>
    <w:rsid w:val="00412278"/>
    <w:rsid w:val="004163B1"/>
    <w:rsid w:val="0041723B"/>
    <w:rsid w:val="00421B60"/>
    <w:rsid w:val="00425A3F"/>
    <w:rsid w:val="00426C60"/>
    <w:rsid w:val="00431A65"/>
    <w:rsid w:val="004352E5"/>
    <w:rsid w:val="004358E2"/>
    <w:rsid w:val="00436C2B"/>
    <w:rsid w:val="00440F37"/>
    <w:rsid w:val="00445A52"/>
    <w:rsid w:val="00463486"/>
    <w:rsid w:val="004665B1"/>
    <w:rsid w:val="00466B36"/>
    <w:rsid w:val="00474C2A"/>
    <w:rsid w:val="00475B7A"/>
    <w:rsid w:val="00481A0D"/>
    <w:rsid w:val="004907E4"/>
    <w:rsid w:val="00491B80"/>
    <w:rsid w:val="004936A7"/>
    <w:rsid w:val="004A2D48"/>
    <w:rsid w:val="004B6C36"/>
    <w:rsid w:val="004C0204"/>
    <w:rsid w:val="004C59BB"/>
    <w:rsid w:val="004C646F"/>
    <w:rsid w:val="004E3589"/>
    <w:rsid w:val="004F4867"/>
    <w:rsid w:val="00503F36"/>
    <w:rsid w:val="00522611"/>
    <w:rsid w:val="005234D3"/>
    <w:rsid w:val="005358C5"/>
    <w:rsid w:val="00535F29"/>
    <w:rsid w:val="00536EFF"/>
    <w:rsid w:val="005408B2"/>
    <w:rsid w:val="00545CAE"/>
    <w:rsid w:val="00555DE1"/>
    <w:rsid w:val="005629DA"/>
    <w:rsid w:val="005721A2"/>
    <w:rsid w:val="0058291D"/>
    <w:rsid w:val="00583C12"/>
    <w:rsid w:val="00587CDB"/>
    <w:rsid w:val="00590622"/>
    <w:rsid w:val="00591098"/>
    <w:rsid w:val="00594F6C"/>
    <w:rsid w:val="00596ADD"/>
    <w:rsid w:val="005A49D3"/>
    <w:rsid w:val="005A4D90"/>
    <w:rsid w:val="005B2063"/>
    <w:rsid w:val="005B5040"/>
    <w:rsid w:val="005B62A0"/>
    <w:rsid w:val="005C0E24"/>
    <w:rsid w:val="005C0EA6"/>
    <w:rsid w:val="005C21D7"/>
    <w:rsid w:val="005C3354"/>
    <w:rsid w:val="005C3A4C"/>
    <w:rsid w:val="005D0C34"/>
    <w:rsid w:val="005D543C"/>
    <w:rsid w:val="005E066D"/>
    <w:rsid w:val="005F325C"/>
    <w:rsid w:val="005F32EB"/>
    <w:rsid w:val="0060278E"/>
    <w:rsid w:val="00610BF1"/>
    <w:rsid w:val="006115E2"/>
    <w:rsid w:val="00611F65"/>
    <w:rsid w:val="00613516"/>
    <w:rsid w:val="00613A3A"/>
    <w:rsid w:val="00614678"/>
    <w:rsid w:val="00622B72"/>
    <w:rsid w:val="00641331"/>
    <w:rsid w:val="00646C86"/>
    <w:rsid w:val="006678D1"/>
    <w:rsid w:val="00670F42"/>
    <w:rsid w:val="00672C76"/>
    <w:rsid w:val="006814D1"/>
    <w:rsid w:val="00695745"/>
    <w:rsid w:val="006976D9"/>
    <w:rsid w:val="006979B3"/>
    <w:rsid w:val="006A0BA4"/>
    <w:rsid w:val="006A398D"/>
    <w:rsid w:val="006A3F29"/>
    <w:rsid w:val="006A5ADD"/>
    <w:rsid w:val="006B5E01"/>
    <w:rsid w:val="006B6A56"/>
    <w:rsid w:val="006B7521"/>
    <w:rsid w:val="006C335D"/>
    <w:rsid w:val="006C3AA6"/>
    <w:rsid w:val="006D07C3"/>
    <w:rsid w:val="006D0991"/>
    <w:rsid w:val="006D264B"/>
    <w:rsid w:val="006D7450"/>
    <w:rsid w:val="006E0FD4"/>
    <w:rsid w:val="006E380D"/>
    <w:rsid w:val="006E51D9"/>
    <w:rsid w:val="006F71BD"/>
    <w:rsid w:val="006F7E81"/>
    <w:rsid w:val="00702C62"/>
    <w:rsid w:val="00703171"/>
    <w:rsid w:val="00704B78"/>
    <w:rsid w:val="00705A2C"/>
    <w:rsid w:val="007061BE"/>
    <w:rsid w:val="00712026"/>
    <w:rsid w:val="00713CFF"/>
    <w:rsid w:val="00716E66"/>
    <w:rsid w:val="0073631A"/>
    <w:rsid w:val="00736DA4"/>
    <w:rsid w:val="007406C0"/>
    <w:rsid w:val="00745FD4"/>
    <w:rsid w:val="00746C0C"/>
    <w:rsid w:val="00766C68"/>
    <w:rsid w:val="00774EEA"/>
    <w:rsid w:val="0078274D"/>
    <w:rsid w:val="0078340E"/>
    <w:rsid w:val="00783481"/>
    <w:rsid w:val="007853D8"/>
    <w:rsid w:val="00786525"/>
    <w:rsid w:val="00787F9E"/>
    <w:rsid w:val="007947F2"/>
    <w:rsid w:val="007950C8"/>
    <w:rsid w:val="007A69B7"/>
    <w:rsid w:val="007B707F"/>
    <w:rsid w:val="007C5ADC"/>
    <w:rsid w:val="007D0765"/>
    <w:rsid w:val="007D0792"/>
    <w:rsid w:val="007D6C74"/>
    <w:rsid w:val="007D7388"/>
    <w:rsid w:val="007E0387"/>
    <w:rsid w:val="007F68C4"/>
    <w:rsid w:val="007F7962"/>
    <w:rsid w:val="008006A3"/>
    <w:rsid w:val="00800856"/>
    <w:rsid w:val="0080541A"/>
    <w:rsid w:val="0080576C"/>
    <w:rsid w:val="00812409"/>
    <w:rsid w:val="00812772"/>
    <w:rsid w:val="00813E24"/>
    <w:rsid w:val="00814948"/>
    <w:rsid w:val="00816D42"/>
    <w:rsid w:val="00816D5D"/>
    <w:rsid w:val="00821A0C"/>
    <w:rsid w:val="008275AC"/>
    <w:rsid w:val="00833B9D"/>
    <w:rsid w:val="00835300"/>
    <w:rsid w:val="008353C1"/>
    <w:rsid w:val="00844A69"/>
    <w:rsid w:val="0084697C"/>
    <w:rsid w:val="0084724D"/>
    <w:rsid w:val="0084759E"/>
    <w:rsid w:val="0085609C"/>
    <w:rsid w:val="00866BC0"/>
    <w:rsid w:val="00881FF2"/>
    <w:rsid w:val="0088224F"/>
    <w:rsid w:val="00882F73"/>
    <w:rsid w:val="00883004"/>
    <w:rsid w:val="00884F81"/>
    <w:rsid w:val="00887C17"/>
    <w:rsid w:val="00890A20"/>
    <w:rsid w:val="00892D9A"/>
    <w:rsid w:val="00895C5D"/>
    <w:rsid w:val="0089693D"/>
    <w:rsid w:val="008A1447"/>
    <w:rsid w:val="008A21E1"/>
    <w:rsid w:val="008B4C24"/>
    <w:rsid w:val="008B4F50"/>
    <w:rsid w:val="008B5600"/>
    <w:rsid w:val="008C1DFB"/>
    <w:rsid w:val="008C2200"/>
    <w:rsid w:val="008D1AE7"/>
    <w:rsid w:val="008D4A1F"/>
    <w:rsid w:val="008E0730"/>
    <w:rsid w:val="008E6175"/>
    <w:rsid w:val="008F59A0"/>
    <w:rsid w:val="009018D4"/>
    <w:rsid w:val="00903964"/>
    <w:rsid w:val="00905359"/>
    <w:rsid w:val="00927207"/>
    <w:rsid w:val="009279BE"/>
    <w:rsid w:val="00936066"/>
    <w:rsid w:val="009364F6"/>
    <w:rsid w:val="00937C89"/>
    <w:rsid w:val="009464D6"/>
    <w:rsid w:val="00956B2A"/>
    <w:rsid w:val="00962DCF"/>
    <w:rsid w:val="00965A5C"/>
    <w:rsid w:val="00966132"/>
    <w:rsid w:val="00966AA9"/>
    <w:rsid w:val="009719BD"/>
    <w:rsid w:val="009733A9"/>
    <w:rsid w:val="00981A3C"/>
    <w:rsid w:val="0098384C"/>
    <w:rsid w:val="00990BD9"/>
    <w:rsid w:val="009919F6"/>
    <w:rsid w:val="0099289E"/>
    <w:rsid w:val="00992E0B"/>
    <w:rsid w:val="00997C11"/>
    <w:rsid w:val="009A2476"/>
    <w:rsid w:val="009A7A59"/>
    <w:rsid w:val="009B4DC5"/>
    <w:rsid w:val="009C1846"/>
    <w:rsid w:val="009C2537"/>
    <w:rsid w:val="009C35C9"/>
    <w:rsid w:val="009C4EEB"/>
    <w:rsid w:val="009C53D5"/>
    <w:rsid w:val="009C6F3F"/>
    <w:rsid w:val="009D1768"/>
    <w:rsid w:val="009D27E8"/>
    <w:rsid w:val="009D73D7"/>
    <w:rsid w:val="009F0A60"/>
    <w:rsid w:val="009F1C92"/>
    <w:rsid w:val="009F6A33"/>
    <w:rsid w:val="009F773F"/>
    <w:rsid w:val="00A07861"/>
    <w:rsid w:val="00A10E40"/>
    <w:rsid w:val="00A13B88"/>
    <w:rsid w:val="00A15CD1"/>
    <w:rsid w:val="00A22E0F"/>
    <w:rsid w:val="00A23CF6"/>
    <w:rsid w:val="00A26B7B"/>
    <w:rsid w:val="00A3327E"/>
    <w:rsid w:val="00A35CBE"/>
    <w:rsid w:val="00A363E2"/>
    <w:rsid w:val="00A50F13"/>
    <w:rsid w:val="00A51D45"/>
    <w:rsid w:val="00A5520F"/>
    <w:rsid w:val="00A66511"/>
    <w:rsid w:val="00A75ED6"/>
    <w:rsid w:val="00A766E5"/>
    <w:rsid w:val="00A81112"/>
    <w:rsid w:val="00A919F8"/>
    <w:rsid w:val="00A92458"/>
    <w:rsid w:val="00AA2962"/>
    <w:rsid w:val="00AA3ECB"/>
    <w:rsid w:val="00AA6017"/>
    <w:rsid w:val="00AB08C4"/>
    <w:rsid w:val="00AB7AC1"/>
    <w:rsid w:val="00AD0B66"/>
    <w:rsid w:val="00AD1CEC"/>
    <w:rsid w:val="00AD6E6A"/>
    <w:rsid w:val="00AD72DD"/>
    <w:rsid w:val="00AE0F2B"/>
    <w:rsid w:val="00AE1644"/>
    <w:rsid w:val="00AE3AEA"/>
    <w:rsid w:val="00AE701A"/>
    <w:rsid w:val="00B01B6C"/>
    <w:rsid w:val="00B05A08"/>
    <w:rsid w:val="00B121EA"/>
    <w:rsid w:val="00B16601"/>
    <w:rsid w:val="00B16A04"/>
    <w:rsid w:val="00B3603F"/>
    <w:rsid w:val="00B40844"/>
    <w:rsid w:val="00B433BD"/>
    <w:rsid w:val="00B46BB5"/>
    <w:rsid w:val="00B47800"/>
    <w:rsid w:val="00B5067C"/>
    <w:rsid w:val="00B50C99"/>
    <w:rsid w:val="00B56457"/>
    <w:rsid w:val="00B56E34"/>
    <w:rsid w:val="00B5737E"/>
    <w:rsid w:val="00B61AC7"/>
    <w:rsid w:val="00B661B7"/>
    <w:rsid w:val="00B74BBB"/>
    <w:rsid w:val="00B75ACC"/>
    <w:rsid w:val="00B76C1F"/>
    <w:rsid w:val="00B808CB"/>
    <w:rsid w:val="00B815AF"/>
    <w:rsid w:val="00B845CF"/>
    <w:rsid w:val="00B90DA5"/>
    <w:rsid w:val="00B92DE7"/>
    <w:rsid w:val="00B9407E"/>
    <w:rsid w:val="00BB13F4"/>
    <w:rsid w:val="00BB2B54"/>
    <w:rsid w:val="00BB3273"/>
    <w:rsid w:val="00BB7271"/>
    <w:rsid w:val="00BC235C"/>
    <w:rsid w:val="00BC4913"/>
    <w:rsid w:val="00BC5931"/>
    <w:rsid w:val="00BE31AD"/>
    <w:rsid w:val="00C02E2D"/>
    <w:rsid w:val="00C033C2"/>
    <w:rsid w:val="00C04F28"/>
    <w:rsid w:val="00C066B6"/>
    <w:rsid w:val="00C06EB4"/>
    <w:rsid w:val="00C124F5"/>
    <w:rsid w:val="00C21F7B"/>
    <w:rsid w:val="00C22B56"/>
    <w:rsid w:val="00C238F9"/>
    <w:rsid w:val="00C2633E"/>
    <w:rsid w:val="00C302CA"/>
    <w:rsid w:val="00C327A6"/>
    <w:rsid w:val="00C4587F"/>
    <w:rsid w:val="00C54752"/>
    <w:rsid w:val="00C66063"/>
    <w:rsid w:val="00C73D5D"/>
    <w:rsid w:val="00C82B7B"/>
    <w:rsid w:val="00C877F7"/>
    <w:rsid w:val="00C90ED1"/>
    <w:rsid w:val="00C9102F"/>
    <w:rsid w:val="00CA10F5"/>
    <w:rsid w:val="00CA6A5A"/>
    <w:rsid w:val="00CA7995"/>
    <w:rsid w:val="00CB72A6"/>
    <w:rsid w:val="00CC0C44"/>
    <w:rsid w:val="00CC3220"/>
    <w:rsid w:val="00CC5308"/>
    <w:rsid w:val="00CC57E3"/>
    <w:rsid w:val="00CC7431"/>
    <w:rsid w:val="00CD4D3E"/>
    <w:rsid w:val="00CD5C76"/>
    <w:rsid w:val="00CD605F"/>
    <w:rsid w:val="00CD62C0"/>
    <w:rsid w:val="00CE6B2D"/>
    <w:rsid w:val="00D004BE"/>
    <w:rsid w:val="00D034F4"/>
    <w:rsid w:val="00D113DD"/>
    <w:rsid w:val="00D139A4"/>
    <w:rsid w:val="00D15A5D"/>
    <w:rsid w:val="00D15FF5"/>
    <w:rsid w:val="00D16E00"/>
    <w:rsid w:val="00D24453"/>
    <w:rsid w:val="00D25285"/>
    <w:rsid w:val="00D30D4D"/>
    <w:rsid w:val="00D37812"/>
    <w:rsid w:val="00D37DAA"/>
    <w:rsid w:val="00D5070E"/>
    <w:rsid w:val="00D52F48"/>
    <w:rsid w:val="00D547B6"/>
    <w:rsid w:val="00D562F3"/>
    <w:rsid w:val="00D6224D"/>
    <w:rsid w:val="00D70B13"/>
    <w:rsid w:val="00D803A8"/>
    <w:rsid w:val="00D80947"/>
    <w:rsid w:val="00D84700"/>
    <w:rsid w:val="00D928A1"/>
    <w:rsid w:val="00D95D76"/>
    <w:rsid w:val="00D960EA"/>
    <w:rsid w:val="00DB3B82"/>
    <w:rsid w:val="00DB5AA2"/>
    <w:rsid w:val="00DC12E7"/>
    <w:rsid w:val="00DC6D53"/>
    <w:rsid w:val="00DD2A57"/>
    <w:rsid w:val="00DD76E7"/>
    <w:rsid w:val="00DE2167"/>
    <w:rsid w:val="00DE2F05"/>
    <w:rsid w:val="00DE6BDE"/>
    <w:rsid w:val="00DE6D49"/>
    <w:rsid w:val="00DF1C16"/>
    <w:rsid w:val="00DF393C"/>
    <w:rsid w:val="00DF7C91"/>
    <w:rsid w:val="00E00DA5"/>
    <w:rsid w:val="00E0573A"/>
    <w:rsid w:val="00E17113"/>
    <w:rsid w:val="00E221FD"/>
    <w:rsid w:val="00E251FB"/>
    <w:rsid w:val="00E26421"/>
    <w:rsid w:val="00E33B13"/>
    <w:rsid w:val="00E41BE5"/>
    <w:rsid w:val="00E533BE"/>
    <w:rsid w:val="00E601E0"/>
    <w:rsid w:val="00E62DB3"/>
    <w:rsid w:val="00E71E94"/>
    <w:rsid w:val="00E7426D"/>
    <w:rsid w:val="00E751F3"/>
    <w:rsid w:val="00E75414"/>
    <w:rsid w:val="00E8184C"/>
    <w:rsid w:val="00E8438C"/>
    <w:rsid w:val="00E85456"/>
    <w:rsid w:val="00E85DF8"/>
    <w:rsid w:val="00E96F9E"/>
    <w:rsid w:val="00EA2DE2"/>
    <w:rsid w:val="00EB0A6C"/>
    <w:rsid w:val="00EB1AE0"/>
    <w:rsid w:val="00EC1EB3"/>
    <w:rsid w:val="00EC796F"/>
    <w:rsid w:val="00EC7DC6"/>
    <w:rsid w:val="00EC7DF4"/>
    <w:rsid w:val="00ED5B76"/>
    <w:rsid w:val="00ED7008"/>
    <w:rsid w:val="00ED76B2"/>
    <w:rsid w:val="00EE2D11"/>
    <w:rsid w:val="00EF1728"/>
    <w:rsid w:val="00EF184A"/>
    <w:rsid w:val="00EF2FFD"/>
    <w:rsid w:val="00F0235A"/>
    <w:rsid w:val="00F05272"/>
    <w:rsid w:val="00F05CAB"/>
    <w:rsid w:val="00F0783D"/>
    <w:rsid w:val="00F1221A"/>
    <w:rsid w:val="00F16C7A"/>
    <w:rsid w:val="00F17B35"/>
    <w:rsid w:val="00F17C62"/>
    <w:rsid w:val="00F31BD5"/>
    <w:rsid w:val="00F6263F"/>
    <w:rsid w:val="00F6380D"/>
    <w:rsid w:val="00F639A4"/>
    <w:rsid w:val="00F65529"/>
    <w:rsid w:val="00F65903"/>
    <w:rsid w:val="00F659E8"/>
    <w:rsid w:val="00F72231"/>
    <w:rsid w:val="00F7691A"/>
    <w:rsid w:val="00F8274C"/>
    <w:rsid w:val="00F82EDF"/>
    <w:rsid w:val="00F867EF"/>
    <w:rsid w:val="00F92D04"/>
    <w:rsid w:val="00F9321A"/>
    <w:rsid w:val="00F938EC"/>
    <w:rsid w:val="00FA2278"/>
    <w:rsid w:val="00FA2600"/>
    <w:rsid w:val="00FB2295"/>
    <w:rsid w:val="00FB2E30"/>
    <w:rsid w:val="00FB2E9E"/>
    <w:rsid w:val="00FB5286"/>
    <w:rsid w:val="00FB5F14"/>
    <w:rsid w:val="00FC0D5F"/>
    <w:rsid w:val="00FC1818"/>
    <w:rsid w:val="00FC2237"/>
    <w:rsid w:val="00FC62AC"/>
    <w:rsid w:val="00FC6F2E"/>
    <w:rsid w:val="00FD3309"/>
    <w:rsid w:val="00FD420A"/>
    <w:rsid w:val="00FD68B7"/>
    <w:rsid w:val="00FF6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BFDA3-0F1F-46D3-90C9-5D095530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4"/>
    <w:rPr>
      <w:lang w:val="en-ZA"/>
    </w:rPr>
  </w:style>
  <w:style w:type="paragraph" w:styleId="Heading1">
    <w:name w:val="heading 1"/>
    <w:basedOn w:val="Normal"/>
    <w:next w:val="Normal"/>
    <w:link w:val="Heading1Char"/>
    <w:uiPriority w:val="9"/>
    <w:qFormat/>
    <w:rsid w:val="008D4A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aliases w:val="HCR: - Footnote text,Footnote Text Char1,Footnote Text Char Char,Footnote Text Char1 Char Char,Footnote Text Char Char Char Char,Footnote Text Char1 Char Char Char Char,Footnote Text Char Char Char Char Char Char,Car,fn"/>
    <w:basedOn w:val="Normal"/>
    <w:link w:val="FootnoteTextChar"/>
    <w:uiPriority w:val="99"/>
    <w:unhideWhenUsed/>
    <w:qFormat/>
    <w:rsid w:val="00B40844"/>
    <w:pPr>
      <w:spacing w:after="0" w:line="240" w:lineRule="auto"/>
    </w:pPr>
    <w:rPr>
      <w:sz w:val="20"/>
      <w:szCs w:val="20"/>
    </w:rPr>
  </w:style>
  <w:style w:type="character" w:customStyle="1" w:styleId="FootnoteTextChar">
    <w:name w:val="Footnote Text Char"/>
    <w:aliases w:val="HCR: - Footnote text Char,Footnote Text Char1 Char,Footnote Text Char Char Char,Footnote Text Char1 Char Char Char,Footnote Text Char Char Char Char Char,Footnote Text Char1 Char Char Char Char Char,Car Char,fn Char"/>
    <w:basedOn w:val="DefaultParagraphFont"/>
    <w:link w:val="FootnoteText"/>
    <w:uiPriority w:val="99"/>
    <w:rsid w:val="00B40844"/>
    <w:rPr>
      <w:sz w:val="20"/>
      <w:szCs w:val="20"/>
      <w:lang w:val="en-ZA"/>
    </w:rPr>
  </w:style>
  <w:style w:type="character" w:styleId="FootnoteReference">
    <w:name w:val="footnote reference"/>
    <w:aliases w:val="Footnote Reference + Superscript,Footnotes refss,Appel note de bas de page,Ref,de nota al pie,註腳內容,(NECG) Footnote Reference,fr,Footnote symbol,Style 12,Footnote"/>
    <w:basedOn w:val="DefaultParagraphFont"/>
    <w:uiPriority w:val="99"/>
    <w:unhideWhenUsed/>
    <w:qFormat/>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character" w:styleId="Hyperlink">
    <w:name w:val="Hyperlink"/>
    <w:basedOn w:val="DefaultParagraphFont"/>
    <w:uiPriority w:val="99"/>
    <w:unhideWhenUsed/>
    <w:rsid w:val="008E6175"/>
    <w:rPr>
      <w:color w:val="0563C1" w:themeColor="hyperlink"/>
      <w:u w:val="single"/>
    </w:rPr>
  </w:style>
  <w:style w:type="character" w:styleId="CommentReference">
    <w:name w:val="annotation reference"/>
    <w:basedOn w:val="DefaultParagraphFont"/>
    <w:uiPriority w:val="99"/>
    <w:semiHidden/>
    <w:unhideWhenUsed/>
    <w:rsid w:val="001A4504"/>
    <w:rPr>
      <w:sz w:val="16"/>
      <w:szCs w:val="16"/>
    </w:rPr>
  </w:style>
  <w:style w:type="paragraph" w:styleId="CommentText">
    <w:name w:val="annotation text"/>
    <w:basedOn w:val="Normal"/>
    <w:link w:val="CommentTextChar"/>
    <w:uiPriority w:val="99"/>
    <w:semiHidden/>
    <w:unhideWhenUsed/>
    <w:rsid w:val="001A4504"/>
    <w:pPr>
      <w:spacing w:line="240" w:lineRule="auto"/>
    </w:pPr>
    <w:rPr>
      <w:sz w:val="20"/>
      <w:szCs w:val="20"/>
    </w:rPr>
  </w:style>
  <w:style w:type="character" w:customStyle="1" w:styleId="CommentTextChar">
    <w:name w:val="Comment Text Char"/>
    <w:basedOn w:val="DefaultParagraphFont"/>
    <w:link w:val="CommentText"/>
    <w:uiPriority w:val="99"/>
    <w:semiHidden/>
    <w:rsid w:val="001A4504"/>
    <w:rPr>
      <w:sz w:val="20"/>
      <w:szCs w:val="20"/>
      <w:lang w:val="en-ZA"/>
    </w:rPr>
  </w:style>
  <w:style w:type="paragraph" w:styleId="CommentSubject">
    <w:name w:val="annotation subject"/>
    <w:basedOn w:val="CommentText"/>
    <w:next w:val="CommentText"/>
    <w:link w:val="CommentSubjectChar"/>
    <w:uiPriority w:val="99"/>
    <w:semiHidden/>
    <w:unhideWhenUsed/>
    <w:rsid w:val="001A4504"/>
    <w:rPr>
      <w:b/>
      <w:bCs/>
    </w:rPr>
  </w:style>
  <w:style w:type="character" w:customStyle="1" w:styleId="CommentSubjectChar">
    <w:name w:val="Comment Subject Char"/>
    <w:basedOn w:val="CommentTextChar"/>
    <w:link w:val="CommentSubject"/>
    <w:uiPriority w:val="99"/>
    <w:semiHidden/>
    <w:rsid w:val="001A4504"/>
    <w:rPr>
      <w:b/>
      <w:bCs/>
      <w:sz w:val="20"/>
      <w:szCs w:val="20"/>
      <w:lang w:val="en-ZA"/>
    </w:rPr>
  </w:style>
  <w:style w:type="paragraph" w:styleId="Header">
    <w:name w:val="header"/>
    <w:basedOn w:val="Normal"/>
    <w:link w:val="HeaderChar"/>
    <w:uiPriority w:val="99"/>
    <w:unhideWhenUsed/>
    <w:rsid w:val="000302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2C5"/>
    <w:rPr>
      <w:lang w:val="en-ZA"/>
    </w:rPr>
  </w:style>
  <w:style w:type="character" w:customStyle="1" w:styleId="Heading1Char">
    <w:name w:val="Heading 1 Char"/>
    <w:basedOn w:val="DefaultParagraphFont"/>
    <w:link w:val="Heading1"/>
    <w:uiPriority w:val="9"/>
    <w:rsid w:val="008D4A1F"/>
    <w:rPr>
      <w:rFonts w:asciiTheme="majorHAnsi" w:eastAsiaTheme="majorEastAsia" w:hAnsiTheme="majorHAnsi" w:cstheme="majorBidi"/>
      <w:color w:val="2E74B5" w:themeColor="accent1" w:themeShade="BF"/>
      <w:sz w:val="32"/>
      <w:szCs w:val="3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6694">
      <w:bodyDiv w:val="1"/>
      <w:marLeft w:val="0"/>
      <w:marRight w:val="0"/>
      <w:marTop w:val="0"/>
      <w:marBottom w:val="0"/>
      <w:divBdr>
        <w:top w:val="none" w:sz="0" w:space="0" w:color="auto"/>
        <w:left w:val="none" w:sz="0" w:space="0" w:color="auto"/>
        <w:bottom w:val="none" w:sz="0" w:space="0" w:color="auto"/>
        <w:right w:val="none" w:sz="0" w:space="0" w:color="auto"/>
      </w:divBdr>
    </w:div>
    <w:div w:id="772240625">
      <w:bodyDiv w:val="1"/>
      <w:marLeft w:val="0"/>
      <w:marRight w:val="0"/>
      <w:marTop w:val="0"/>
      <w:marBottom w:val="0"/>
      <w:divBdr>
        <w:top w:val="none" w:sz="0" w:space="0" w:color="auto"/>
        <w:left w:val="none" w:sz="0" w:space="0" w:color="auto"/>
        <w:bottom w:val="none" w:sz="0" w:space="0" w:color="auto"/>
        <w:right w:val="none" w:sz="0" w:space="0" w:color="auto"/>
      </w:divBdr>
    </w:div>
    <w:div w:id="1547838646">
      <w:bodyDiv w:val="1"/>
      <w:marLeft w:val="0"/>
      <w:marRight w:val="0"/>
      <w:marTop w:val="0"/>
      <w:marBottom w:val="0"/>
      <w:divBdr>
        <w:top w:val="none" w:sz="0" w:space="0" w:color="auto"/>
        <w:left w:val="none" w:sz="0" w:space="0" w:color="auto"/>
        <w:bottom w:val="none" w:sz="0" w:space="0" w:color="auto"/>
        <w:right w:val="none" w:sz="0" w:space="0" w:color="auto"/>
      </w:divBdr>
    </w:div>
    <w:div w:id="205462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2024-02-11T18:30:00+00:00</Judgment_x0020_Date>
    <Year xmlns="c1afb1bd-f2fb-40fd-9abb-aea55b4d7662">2024</Year>
  </documentManagement>
</p:properties>
</file>

<file path=customXml/itemProps1.xml><?xml version="1.0" encoding="utf-8"?>
<ds:datastoreItem xmlns:ds="http://schemas.openxmlformats.org/officeDocument/2006/customXml" ds:itemID="{55BEE63F-8C00-47D6-8EE3-7DAF4E120F28}"/>
</file>

<file path=customXml/itemProps2.xml><?xml version="1.0" encoding="utf-8"?>
<ds:datastoreItem xmlns:ds="http://schemas.openxmlformats.org/officeDocument/2006/customXml" ds:itemID="{38868858-D4D3-4CC4-8277-2C70D99F5EAD}"/>
</file>

<file path=customXml/itemProps3.xml><?xml version="1.0" encoding="utf-8"?>
<ds:datastoreItem xmlns:ds="http://schemas.openxmlformats.org/officeDocument/2006/customXml" ds:itemID="{CB844858-39A2-4A98-BBEA-840C47B36803}"/>
</file>

<file path=customXml/itemProps4.xml><?xml version="1.0" encoding="utf-8"?>
<ds:datastoreItem xmlns:ds="http://schemas.openxmlformats.org/officeDocument/2006/customXml" ds:itemID="{79F8CA8D-B1CA-45DB-B65C-F158EB8F198E}"/>
</file>

<file path=docProps/app.xml><?xml version="1.0" encoding="utf-8"?>
<Properties xmlns="http://schemas.openxmlformats.org/officeDocument/2006/extended-properties" xmlns:vt="http://schemas.openxmlformats.org/officeDocument/2006/docPropsVTypes">
  <Template>Normal</Template>
  <TotalTime>2</TotalTime>
  <Pages>7</Pages>
  <Words>2039</Words>
  <Characters>11624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Groenewald v Kotze (HC-MD-CIV-MOT-GEN-2023-00170) [2024] NAHCMD 44 (12 February 2024)</dc:title>
  <dc:subject/>
  <dc:creator>shomany keister</dc:creator>
  <cp:keywords/>
  <dc:description/>
  <cp:lastModifiedBy>Eklien P Kharases</cp:lastModifiedBy>
  <cp:revision>2</cp:revision>
  <cp:lastPrinted>2024-02-12T06:28:00Z</cp:lastPrinted>
  <dcterms:created xsi:type="dcterms:W3CDTF">2024-02-12T06:44:00Z</dcterms:created>
  <dcterms:modified xsi:type="dcterms:W3CDTF">2024-02-12T06:44:00Z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