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586CA" w14:textId="77777777" w:rsidR="00B40844" w:rsidRPr="00460670" w:rsidRDefault="00B40844" w:rsidP="004358E2">
      <w:pPr>
        <w:spacing w:after="0" w:line="360" w:lineRule="auto"/>
        <w:jc w:val="center"/>
        <w:rPr>
          <w:rFonts w:ascii="Arial" w:hAnsi="Arial" w:cs="Arial"/>
          <w:b/>
          <w:sz w:val="24"/>
          <w:szCs w:val="24"/>
        </w:rPr>
      </w:pPr>
      <w:r w:rsidRPr="00460670">
        <w:rPr>
          <w:rFonts w:ascii="Arial" w:hAnsi="Arial" w:cs="Arial"/>
          <w:b/>
          <w:sz w:val="24"/>
          <w:szCs w:val="24"/>
        </w:rPr>
        <w:t>REPUBLIC OF NAMIBIA</w:t>
      </w:r>
    </w:p>
    <w:p w14:paraId="77E0E4BF" w14:textId="77777777" w:rsidR="00B40844" w:rsidRPr="00460670" w:rsidRDefault="00B40844" w:rsidP="00B40844">
      <w:pPr>
        <w:spacing w:after="0" w:line="360" w:lineRule="auto"/>
        <w:jc w:val="both"/>
        <w:rPr>
          <w:rFonts w:ascii="Arial Narrow" w:hAnsi="Arial Narrow"/>
          <w:sz w:val="10"/>
          <w:szCs w:val="10"/>
        </w:rPr>
      </w:pPr>
      <w:r w:rsidRPr="00460670">
        <w:rPr>
          <w:noProof/>
          <w:lang w:val="en-ZA" w:eastAsia="en-ZA"/>
        </w:rPr>
        <w:drawing>
          <wp:anchor distT="0" distB="0" distL="114300" distR="114300" simplePos="0" relativeHeight="251659264" behindDoc="0" locked="0" layoutInCell="1" allowOverlap="1" wp14:anchorId="7662C4DF" wp14:editId="06EAD38D">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670">
        <w:rPr>
          <w:rFonts w:ascii="Arial Narrow" w:hAnsi="Arial Narrow"/>
          <w:b/>
          <w:sz w:val="32"/>
          <w:szCs w:val="32"/>
        </w:rPr>
        <w:br w:type="textWrapping" w:clear="all"/>
      </w:r>
    </w:p>
    <w:p w14:paraId="09B46CD9" w14:textId="55218AC0" w:rsidR="00B40844" w:rsidRPr="00460670" w:rsidRDefault="00887A63" w:rsidP="00B40844">
      <w:pPr>
        <w:spacing w:after="0" w:line="360" w:lineRule="auto"/>
        <w:jc w:val="center"/>
        <w:rPr>
          <w:rFonts w:ascii="Arial" w:hAnsi="Arial" w:cs="Arial"/>
          <w:bCs/>
          <w:sz w:val="24"/>
          <w:szCs w:val="24"/>
        </w:rPr>
      </w:pPr>
      <w:r>
        <w:rPr>
          <w:rFonts w:ascii="Arial" w:hAnsi="Arial" w:cs="Arial"/>
          <w:b/>
          <w:sz w:val="24"/>
          <w:szCs w:val="24"/>
        </w:rPr>
        <w:t>HIGH</w:t>
      </w:r>
      <w:r w:rsidR="00B40844" w:rsidRPr="00460670">
        <w:rPr>
          <w:rFonts w:ascii="Arial" w:hAnsi="Arial" w:cs="Arial"/>
          <w:b/>
          <w:sz w:val="24"/>
          <w:szCs w:val="24"/>
        </w:rPr>
        <w:t xml:space="preserve"> COURT OF NAMIBIA MAIN DIVISION, WINDHOEK</w:t>
      </w:r>
    </w:p>
    <w:p w14:paraId="321BC1AB" w14:textId="77777777" w:rsidR="00222067" w:rsidRPr="00460670" w:rsidRDefault="00222067" w:rsidP="00460670">
      <w:pPr>
        <w:spacing w:after="0" w:line="360" w:lineRule="auto"/>
        <w:rPr>
          <w:rFonts w:ascii="Arial" w:hAnsi="Arial" w:cs="Arial"/>
          <w:b/>
          <w:sz w:val="24"/>
          <w:szCs w:val="24"/>
        </w:rPr>
      </w:pPr>
    </w:p>
    <w:p w14:paraId="1FE8AD31" w14:textId="0160B8F1" w:rsidR="00D965B8" w:rsidRPr="00460670" w:rsidRDefault="00D965B8" w:rsidP="00B40844">
      <w:pPr>
        <w:spacing w:after="0" w:line="360" w:lineRule="auto"/>
        <w:jc w:val="center"/>
        <w:rPr>
          <w:rFonts w:ascii="Arial" w:hAnsi="Arial" w:cs="Arial"/>
          <w:b/>
          <w:sz w:val="24"/>
          <w:szCs w:val="24"/>
        </w:rPr>
      </w:pPr>
      <w:r w:rsidRPr="00460670">
        <w:rPr>
          <w:rFonts w:ascii="Arial" w:hAnsi="Arial" w:cs="Arial"/>
          <w:b/>
          <w:sz w:val="24"/>
          <w:szCs w:val="24"/>
        </w:rPr>
        <w:t>PRACTICE DIRECTI</w:t>
      </w:r>
      <w:r w:rsidR="00222067" w:rsidRPr="00460670">
        <w:rPr>
          <w:rFonts w:ascii="Arial" w:hAnsi="Arial" w:cs="Arial"/>
          <w:b/>
          <w:sz w:val="24"/>
          <w:szCs w:val="24"/>
        </w:rPr>
        <w:t>ON</w:t>
      </w:r>
      <w:r w:rsidRPr="00460670">
        <w:rPr>
          <w:rFonts w:ascii="Arial" w:hAnsi="Arial" w:cs="Arial"/>
          <w:b/>
          <w:sz w:val="24"/>
          <w:szCs w:val="24"/>
        </w:rPr>
        <w:t xml:space="preserve"> 61</w:t>
      </w:r>
    </w:p>
    <w:tbl>
      <w:tblPr>
        <w:tblStyle w:val="TableGrid"/>
        <w:tblW w:w="10206" w:type="dxa"/>
        <w:tblInd w:w="-572" w:type="dxa"/>
        <w:tblLook w:val="04A0" w:firstRow="1" w:lastRow="0" w:firstColumn="1" w:lastColumn="0" w:noHBand="0" w:noVBand="1"/>
      </w:tblPr>
      <w:tblGrid>
        <w:gridCol w:w="4770"/>
        <w:gridCol w:w="2601"/>
        <w:gridCol w:w="2835"/>
      </w:tblGrid>
      <w:tr w:rsidR="00460670" w:rsidRPr="00460670" w14:paraId="54B0706B" w14:textId="77777777" w:rsidTr="00887A63">
        <w:trPr>
          <w:trHeight w:val="997"/>
        </w:trPr>
        <w:tc>
          <w:tcPr>
            <w:tcW w:w="7371" w:type="dxa"/>
            <w:gridSpan w:val="2"/>
            <w:vMerge w:val="restart"/>
          </w:tcPr>
          <w:p w14:paraId="2EA5DAAC" w14:textId="77777777" w:rsidR="00E63E86" w:rsidRDefault="00B40844" w:rsidP="00E63E86">
            <w:pPr>
              <w:spacing w:line="360" w:lineRule="auto"/>
              <w:jc w:val="both"/>
              <w:rPr>
                <w:rFonts w:ascii="Arial" w:hAnsi="Arial" w:cs="Arial"/>
                <w:b/>
                <w:sz w:val="24"/>
                <w:szCs w:val="24"/>
              </w:rPr>
            </w:pPr>
            <w:r w:rsidRPr="00460670">
              <w:rPr>
                <w:rFonts w:ascii="Arial" w:hAnsi="Arial" w:cs="Arial"/>
                <w:b/>
                <w:sz w:val="24"/>
                <w:szCs w:val="24"/>
              </w:rPr>
              <w:t>Case Title:</w:t>
            </w:r>
          </w:p>
          <w:p w14:paraId="42608A8F" w14:textId="77777777" w:rsidR="00E63E86" w:rsidRDefault="00460670" w:rsidP="00E63E86">
            <w:pPr>
              <w:spacing w:line="360" w:lineRule="auto"/>
              <w:jc w:val="both"/>
              <w:rPr>
                <w:rFonts w:ascii="Arial" w:eastAsia="Times New Roman" w:hAnsi="Arial" w:cs="Arial"/>
                <w:sz w:val="24"/>
                <w:szCs w:val="24"/>
              </w:rPr>
            </w:pPr>
            <w:r w:rsidRPr="00460670">
              <w:rPr>
                <w:rFonts w:ascii="Arial" w:eastAsia="Times New Roman" w:hAnsi="Arial" w:cs="Arial"/>
                <w:sz w:val="24"/>
                <w:szCs w:val="24"/>
              </w:rPr>
              <w:t xml:space="preserve">Cornelius Ganuseb                                             </w:t>
            </w:r>
            <w:r>
              <w:rPr>
                <w:rFonts w:ascii="Arial" w:eastAsia="Times New Roman" w:hAnsi="Arial" w:cs="Arial"/>
                <w:sz w:val="24"/>
                <w:szCs w:val="24"/>
              </w:rPr>
              <w:t xml:space="preserve">                </w:t>
            </w:r>
            <w:r w:rsidRPr="00460670">
              <w:rPr>
                <w:rFonts w:ascii="Arial" w:eastAsia="Times New Roman" w:hAnsi="Arial" w:cs="Arial"/>
                <w:sz w:val="24"/>
                <w:szCs w:val="24"/>
              </w:rPr>
              <w:t xml:space="preserve">    Plaintiff </w:t>
            </w:r>
          </w:p>
          <w:p w14:paraId="63D1FED7" w14:textId="77777777" w:rsidR="00E63E86" w:rsidRDefault="00E63E86" w:rsidP="00E63E86">
            <w:pPr>
              <w:spacing w:line="360" w:lineRule="auto"/>
              <w:jc w:val="both"/>
              <w:rPr>
                <w:rFonts w:ascii="Arial" w:eastAsia="Times New Roman" w:hAnsi="Arial" w:cs="Arial"/>
                <w:sz w:val="24"/>
                <w:szCs w:val="24"/>
              </w:rPr>
            </w:pPr>
          </w:p>
          <w:p w14:paraId="5CC15794" w14:textId="0CB055A3" w:rsidR="00460670" w:rsidRPr="00E63E86" w:rsidRDefault="00460670" w:rsidP="00E63E86">
            <w:pPr>
              <w:spacing w:line="360" w:lineRule="auto"/>
              <w:jc w:val="both"/>
              <w:rPr>
                <w:rFonts w:ascii="Arial" w:hAnsi="Arial" w:cs="Arial"/>
                <w:b/>
                <w:sz w:val="24"/>
                <w:szCs w:val="24"/>
              </w:rPr>
            </w:pPr>
            <w:r>
              <w:rPr>
                <w:rFonts w:ascii="Arial" w:eastAsia="Times New Roman" w:hAnsi="Arial" w:cs="Arial"/>
                <w:sz w:val="24"/>
                <w:szCs w:val="24"/>
              </w:rPr>
              <w:t>a</w:t>
            </w:r>
            <w:r w:rsidRPr="00460670">
              <w:rPr>
                <w:rFonts w:ascii="Arial" w:eastAsia="Times New Roman" w:hAnsi="Arial" w:cs="Arial"/>
                <w:sz w:val="24"/>
                <w:szCs w:val="24"/>
              </w:rPr>
              <w:t>nd</w:t>
            </w:r>
          </w:p>
          <w:p w14:paraId="0A2A79E4" w14:textId="77777777" w:rsidR="00E63E86" w:rsidRDefault="00E63E86" w:rsidP="00E63E86">
            <w:pPr>
              <w:pStyle w:val="Body"/>
              <w:keepNext/>
              <w:tabs>
                <w:tab w:val="right" w:pos="9000"/>
              </w:tabs>
              <w:spacing w:line="360" w:lineRule="auto"/>
              <w:jc w:val="both"/>
              <w:outlineLvl w:val="3"/>
              <w:rPr>
                <w:rFonts w:ascii="Arial" w:eastAsia="Times New Roman" w:hAnsi="Arial" w:cs="Arial"/>
                <w:color w:val="auto"/>
                <w:sz w:val="24"/>
                <w:szCs w:val="24"/>
                <w:lang w:val="en-GB"/>
              </w:rPr>
            </w:pPr>
          </w:p>
          <w:p w14:paraId="5E619D8F" w14:textId="2D9DCD1C" w:rsidR="00460670" w:rsidRPr="00460670" w:rsidRDefault="00460670" w:rsidP="00E63E86">
            <w:pPr>
              <w:pStyle w:val="Body"/>
              <w:keepNext/>
              <w:tabs>
                <w:tab w:val="right" w:pos="9000"/>
              </w:tabs>
              <w:spacing w:line="360" w:lineRule="auto"/>
              <w:jc w:val="both"/>
              <w:outlineLvl w:val="3"/>
              <w:rPr>
                <w:rFonts w:ascii="Arial" w:eastAsia="Times New Roman" w:hAnsi="Arial" w:cs="Arial"/>
                <w:color w:val="auto"/>
                <w:sz w:val="24"/>
                <w:szCs w:val="24"/>
                <w:lang w:val="en-GB"/>
              </w:rPr>
            </w:pPr>
            <w:r>
              <w:rPr>
                <w:rFonts w:ascii="Arial" w:eastAsia="Times New Roman" w:hAnsi="Arial" w:cs="Arial"/>
                <w:color w:val="auto"/>
                <w:sz w:val="24"/>
                <w:szCs w:val="24"/>
                <w:lang w:val="en-GB"/>
              </w:rPr>
              <w:t>Minister o</w:t>
            </w:r>
            <w:r w:rsidRPr="00460670">
              <w:rPr>
                <w:rFonts w:ascii="Arial" w:eastAsia="Times New Roman" w:hAnsi="Arial" w:cs="Arial"/>
                <w:color w:val="auto"/>
                <w:sz w:val="24"/>
                <w:szCs w:val="24"/>
                <w:lang w:val="en-GB"/>
              </w:rPr>
              <w:t xml:space="preserve">f Justice : Frans Kapofi   </w:t>
            </w:r>
            <w:r>
              <w:rPr>
                <w:rFonts w:ascii="Arial" w:eastAsia="Times New Roman" w:hAnsi="Arial" w:cs="Arial"/>
                <w:color w:val="auto"/>
                <w:sz w:val="24"/>
                <w:szCs w:val="24"/>
                <w:lang w:val="en-GB"/>
              </w:rPr>
              <w:t xml:space="preserve">                              </w:t>
            </w:r>
            <w:r w:rsidRPr="00460670">
              <w:rPr>
                <w:rFonts w:ascii="Arial" w:eastAsia="Times New Roman" w:hAnsi="Arial" w:cs="Arial"/>
                <w:color w:val="auto"/>
                <w:sz w:val="24"/>
                <w:szCs w:val="24"/>
                <w:lang w:val="en-GB"/>
              </w:rPr>
              <w:t>First Defendant</w:t>
            </w:r>
          </w:p>
          <w:p w14:paraId="515583E3" w14:textId="77777777" w:rsidR="00E63E86" w:rsidRDefault="00460670" w:rsidP="00460670">
            <w:pPr>
              <w:pStyle w:val="Body"/>
              <w:keepNext/>
              <w:tabs>
                <w:tab w:val="right" w:pos="9000"/>
              </w:tabs>
              <w:spacing w:line="360" w:lineRule="auto"/>
              <w:ind w:left="2118" w:hanging="2118"/>
              <w:jc w:val="both"/>
              <w:outlineLvl w:val="3"/>
              <w:rPr>
                <w:rFonts w:ascii="Arial" w:eastAsia="Times New Roman" w:hAnsi="Arial" w:cs="Arial"/>
                <w:color w:val="auto"/>
                <w:sz w:val="24"/>
                <w:szCs w:val="24"/>
                <w:lang w:val="en-GB"/>
              </w:rPr>
            </w:pPr>
            <w:r>
              <w:rPr>
                <w:rFonts w:ascii="Arial" w:eastAsia="Times New Roman" w:hAnsi="Arial" w:cs="Arial"/>
                <w:color w:val="auto"/>
                <w:sz w:val="24"/>
                <w:szCs w:val="24"/>
                <w:lang w:val="en-GB"/>
              </w:rPr>
              <w:t xml:space="preserve">Minister of Safety and Security: </w:t>
            </w:r>
            <w:r w:rsidR="00E63E86">
              <w:rPr>
                <w:rFonts w:ascii="Arial" w:eastAsia="Times New Roman" w:hAnsi="Arial" w:cs="Arial"/>
                <w:color w:val="auto"/>
                <w:sz w:val="24"/>
                <w:szCs w:val="24"/>
                <w:lang w:val="en-GB"/>
              </w:rPr>
              <w:t xml:space="preserve">Charles </w:t>
            </w:r>
          </w:p>
          <w:p w14:paraId="3CFA2808" w14:textId="2D66668F" w:rsidR="00460670" w:rsidRDefault="00E63E86" w:rsidP="00460670">
            <w:pPr>
              <w:pStyle w:val="Body"/>
              <w:keepNext/>
              <w:tabs>
                <w:tab w:val="right" w:pos="9000"/>
              </w:tabs>
              <w:spacing w:line="360" w:lineRule="auto"/>
              <w:ind w:left="2118" w:hanging="2118"/>
              <w:jc w:val="both"/>
              <w:outlineLvl w:val="3"/>
              <w:rPr>
                <w:rFonts w:ascii="Arial" w:eastAsia="Times New Roman" w:hAnsi="Arial" w:cs="Arial"/>
                <w:color w:val="auto"/>
                <w:sz w:val="24"/>
                <w:szCs w:val="24"/>
                <w:lang w:val="en-GB"/>
              </w:rPr>
            </w:pPr>
            <w:r>
              <w:rPr>
                <w:rFonts w:ascii="Arial" w:eastAsia="Times New Roman" w:hAnsi="Arial" w:cs="Arial"/>
                <w:color w:val="auto"/>
                <w:sz w:val="24"/>
                <w:szCs w:val="24"/>
                <w:lang w:val="en-GB"/>
              </w:rPr>
              <w:t xml:space="preserve">Namoloh                                                                     </w:t>
            </w:r>
            <w:r w:rsidR="00460670">
              <w:rPr>
                <w:rFonts w:ascii="Arial" w:eastAsia="Times New Roman" w:hAnsi="Arial" w:cs="Arial"/>
                <w:color w:val="auto"/>
                <w:sz w:val="24"/>
                <w:szCs w:val="24"/>
                <w:lang w:val="en-GB"/>
              </w:rPr>
              <w:t>Second</w:t>
            </w:r>
            <w:r w:rsidR="00460670" w:rsidRPr="00460670">
              <w:rPr>
                <w:rFonts w:ascii="Arial" w:eastAsia="Times New Roman" w:hAnsi="Arial" w:cs="Arial"/>
                <w:color w:val="auto"/>
                <w:sz w:val="24"/>
                <w:szCs w:val="24"/>
                <w:lang w:val="en-GB"/>
              </w:rPr>
              <w:t xml:space="preserve"> Defendant</w:t>
            </w:r>
          </w:p>
          <w:p w14:paraId="593DFE33" w14:textId="362B143D" w:rsidR="00460670" w:rsidRDefault="00460670" w:rsidP="00460670">
            <w:pPr>
              <w:pStyle w:val="Body"/>
              <w:keepNext/>
              <w:tabs>
                <w:tab w:val="right" w:pos="9000"/>
              </w:tabs>
              <w:spacing w:line="360" w:lineRule="auto"/>
              <w:ind w:left="2118" w:hanging="2118"/>
              <w:jc w:val="both"/>
              <w:outlineLvl w:val="3"/>
              <w:rPr>
                <w:rFonts w:ascii="Arial" w:eastAsia="Times New Roman" w:hAnsi="Arial" w:cs="Arial"/>
                <w:color w:val="auto"/>
                <w:sz w:val="24"/>
                <w:szCs w:val="24"/>
                <w:lang w:val="en-GB"/>
              </w:rPr>
            </w:pPr>
            <w:r w:rsidRPr="00460670">
              <w:rPr>
                <w:rFonts w:ascii="Arial" w:eastAsia="Times New Roman" w:hAnsi="Arial" w:cs="Arial"/>
                <w:color w:val="auto"/>
                <w:sz w:val="24"/>
                <w:szCs w:val="24"/>
                <w:lang w:val="en-GB"/>
              </w:rPr>
              <w:t xml:space="preserve"> Chief Justice: Peter Shivute </w:t>
            </w:r>
            <w:r>
              <w:rPr>
                <w:rFonts w:ascii="Arial" w:eastAsia="Times New Roman" w:hAnsi="Arial" w:cs="Arial"/>
                <w:color w:val="auto"/>
                <w:sz w:val="24"/>
                <w:szCs w:val="24"/>
                <w:lang w:val="en-GB"/>
              </w:rPr>
              <w:t xml:space="preserve">          </w:t>
            </w:r>
            <w:r w:rsidR="00E63E86">
              <w:rPr>
                <w:rFonts w:ascii="Arial" w:eastAsia="Times New Roman" w:hAnsi="Arial" w:cs="Arial"/>
                <w:color w:val="auto"/>
                <w:sz w:val="24"/>
                <w:szCs w:val="24"/>
                <w:lang w:val="en-GB"/>
              </w:rPr>
              <w:t xml:space="preserve">                               </w:t>
            </w:r>
            <w:r>
              <w:rPr>
                <w:rFonts w:ascii="Arial" w:eastAsia="Times New Roman" w:hAnsi="Arial" w:cs="Arial"/>
                <w:color w:val="auto"/>
                <w:sz w:val="24"/>
                <w:szCs w:val="24"/>
                <w:lang w:val="en-GB"/>
              </w:rPr>
              <w:t>Third</w:t>
            </w:r>
            <w:r w:rsidRPr="00460670">
              <w:rPr>
                <w:rFonts w:ascii="Arial" w:eastAsia="Times New Roman" w:hAnsi="Arial" w:cs="Arial"/>
                <w:color w:val="auto"/>
                <w:sz w:val="24"/>
                <w:szCs w:val="24"/>
                <w:lang w:val="en-GB"/>
              </w:rPr>
              <w:t xml:space="preserve"> Defendant </w:t>
            </w:r>
          </w:p>
          <w:p w14:paraId="6391D3CF" w14:textId="70A69EE6" w:rsidR="00460670" w:rsidRDefault="00460670" w:rsidP="00460670">
            <w:pPr>
              <w:pStyle w:val="Body"/>
              <w:keepNext/>
              <w:tabs>
                <w:tab w:val="right" w:pos="9000"/>
              </w:tabs>
              <w:spacing w:line="360" w:lineRule="auto"/>
              <w:ind w:left="2118" w:hanging="2118"/>
              <w:jc w:val="both"/>
              <w:outlineLvl w:val="3"/>
              <w:rPr>
                <w:rFonts w:ascii="Arial" w:eastAsia="Times New Roman" w:hAnsi="Arial" w:cs="Arial"/>
                <w:color w:val="auto"/>
                <w:sz w:val="24"/>
                <w:szCs w:val="24"/>
                <w:lang w:val="en-GB"/>
              </w:rPr>
            </w:pPr>
            <w:r w:rsidRPr="00460670">
              <w:rPr>
                <w:rFonts w:ascii="Arial" w:eastAsia="Times New Roman" w:hAnsi="Arial" w:cs="Arial"/>
                <w:color w:val="auto"/>
                <w:sz w:val="24"/>
                <w:szCs w:val="24"/>
                <w:lang w:val="en-GB"/>
              </w:rPr>
              <w:t xml:space="preserve">Judge President : Petrus Damaseb </w:t>
            </w:r>
            <w:r w:rsidR="00E63E86">
              <w:rPr>
                <w:rFonts w:ascii="Arial" w:eastAsia="Times New Roman" w:hAnsi="Arial" w:cs="Arial"/>
                <w:color w:val="auto"/>
                <w:sz w:val="24"/>
                <w:szCs w:val="24"/>
                <w:lang w:val="en-GB"/>
              </w:rPr>
              <w:t xml:space="preserve">                           </w:t>
            </w:r>
            <w:r>
              <w:rPr>
                <w:rFonts w:ascii="Arial" w:eastAsia="Times New Roman" w:hAnsi="Arial" w:cs="Arial"/>
                <w:color w:val="auto"/>
                <w:sz w:val="24"/>
                <w:szCs w:val="24"/>
                <w:lang w:val="en-GB"/>
              </w:rPr>
              <w:t xml:space="preserve"> Fourth</w:t>
            </w:r>
            <w:r w:rsidRPr="00460670">
              <w:rPr>
                <w:rFonts w:ascii="Arial" w:eastAsia="Times New Roman" w:hAnsi="Arial" w:cs="Arial"/>
                <w:color w:val="auto"/>
                <w:sz w:val="24"/>
                <w:szCs w:val="24"/>
                <w:lang w:val="en-GB"/>
              </w:rPr>
              <w:t xml:space="preserve"> Defendant </w:t>
            </w:r>
          </w:p>
          <w:p w14:paraId="2F8607D6" w14:textId="77777777" w:rsidR="00460670" w:rsidRDefault="00460670" w:rsidP="00460670">
            <w:pPr>
              <w:pStyle w:val="Body"/>
              <w:keepNext/>
              <w:tabs>
                <w:tab w:val="right" w:pos="9000"/>
              </w:tabs>
              <w:spacing w:line="360" w:lineRule="auto"/>
              <w:ind w:left="2118" w:hanging="2118"/>
              <w:jc w:val="both"/>
              <w:outlineLvl w:val="3"/>
              <w:rPr>
                <w:rFonts w:ascii="Arial" w:eastAsia="Times New Roman" w:hAnsi="Arial" w:cs="Arial"/>
                <w:color w:val="auto"/>
                <w:sz w:val="24"/>
                <w:szCs w:val="24"/>
                <w:lang w:val="en-GB"/>
              </w:rPr>
            </w:pPr>
            <w:r w:rsidRPr="00460670">
              <w:rPr>
                <w:rFonts w:ascii="Arial" w:eastAsia="Times New Roman" w:hAnsi="Arial" w:cs="Arial"/>
                <w:color w:val="auto"/>
                <w:sz w:val="24"/>
                <w:szCs w:val="24"/>
                <w:lang w:val="en-GB"/>
              </w:rPr>
              <w:t xml:space="preserve">Registrar Of The High Court Of Namibia: </w:t>
            </w:r>
          </w:p>
          <w:p w14:paraId="21752709" w14:textId="5B9ECED9" w:rsidR="00460670" w:rsidRDefault="00460670" w:rsidP="00460670">
            <w:pPr>
              <w:pStyle w:val="Body"/>
              <w:keepNext/>
              <w:tabs>
                <w:tab w:val="right" w:pos="9000"/>
              </w:tabs>
              <w:spacing w:line="360" w:lineRule="auto"/>
              <w:ind w:left="2118" w:hanging="2118"/>
              <w:jc w:val="both"/>
              <w:outlineLvl w:val="3"/>
              <w:rPr>
                <w:rFonts w:ascii="Arial" w:eastAsia="Times New Roman" w:hAnsi="Arial" w:cs="Arial"/>
                <w:color w:val="auto"/>
                <w:sz w:val="24"/>
                <w:szCs w:val="24"/>
                <w:lang w:val="en-GB"/>
              </w:rPr>
            </w:pPr>
            <w:r w:rsidRPr="00460670">
              <w:rPr>
                <w:rFonts w:ascii="Arial" w:eastAsia="Times New Roman" w:hAnsi="Arial" w:cs="Arial"/>
                <w:color w:val="auto"/>
                <w:sz w:val="24"/>
                <w:szCs w:val="24"/>
                <w:lang w:val="en-GB"/>
              </w:rPr>
              <w:t>Rita Ikuambi</w:t>
            </w:r>
            <w:r>
              <w:rPr>
                <w:rFonts w:ascii="Arial" w:eastAsia="Times New Roman" w:hAnsi="Arial" w:cs="Arial"/>
                <w:color w:val="auto"/>
                <w:sz w:val="24"/>
                <w:szCs w:val="24"/>
                <w:lang w:val="en-GB"/>
              </w:rPr>
              <w:t xml:space="preserve">  </w:t>
            </w:r>
            <w:r w:rsidRPr="00460670">
              <w:rPr>
                <w:rFonts w:ascii="Arial" w:eastAsia="Times New Roman" w:hAnsi="Arial" w:cs="Arial"/>
                <w:color w:val="auto"/>
                <w:sz w:val="24"/>
                <w:szCs w:val="24"/>
                <w:lang w:val="en-GB"/>
              </w:rPr>
              <w:t xml:space="preserve"> </w:t>
            </w:r>
            <w:r>
              <w:rPr>
                <w:rFonts w:ascii="Arial" w:eastAsia="Times New Roman" w:hAnsi="Arial" w:cs="Arial"/>
                <w:color w:val="auto"/>
                <w:sz w:val="24"/>
                <w:szCs w:val="24"/>
                <w:lang w:val="en-GB"/>
              </w:rPr>
              <w:t xml:space="preserve">                                    </w:t>
            </w:r>
            <w:r w:rsidR="00E63E86">
              <w:rPr>
                <w:rFonts w:ascii="Arial" w:eastAsia="Times New Roman" w:hAnsi="Arial" w:cs="Arial"/>
                <w:color w:val="auto"/>
                <w:sz w:val="24"/>
                <w:szCs w:val="24"/>
                <w:lang w:val="en-GB"/>
              </w:rPr>
              <w:t xml:space="preserve">                            </w:t>
            </w:r>
            <w:r>
              <w:rPr>
                <w:rFonts w:ascii="Arial" w:eastAsia="Times New Roman" w:hAnsi="Arial" w:cs="Arial"/>
                <w:color w:val="auto"/>
                <w:sz w:val="24"/>
                <w:szCs w:val="24"/>
                <w:lang w:val="en-GB"/>
              </w:rPr>
              <w:t xml:space="preserve"> Fifth</w:t>
            </w:r>
            <w:r w:rsidRPr="00460670">
              <w:rPr>
                <w:rFonts w:ascii="Arial" w:eastAsia="Times New Roman" w:hAnsi="Arial" w:cs="Arial"/>
                <w:color w:val="auto"/>
                <w:sz w:val="24"/>
                <w:szCs w:val="24"/>
                <w:lang w:val="en-GB"/>
              </w:rPr>
              <w:t xml:space="preserve"> Defendant </w:t>
            </w:r>
          </w:p>
          <w:p w14:paraId="0D7E684C" w14:textId="16EE1590" w:rsidR="00460670" w:rsidRDefault="00460670" w:rsidP="00460670">
            <w:pPr>
              <w:pStyle w:val="Body"/>
              <w:keepNext/>
              <w:tabs>
                <w:tab w:val="right" w:pos="9000"/>
              </w:tabs>
              <w:spacing w:line="360" w:lineRule="auto"/>
              <w:ind w:left="2118" w:hanging="2118"/>
              <w:jc w:val="both"/>
              <w:outlineLvl w:val="3"/>
              <w:rPr>
                <w:rFonts w:ascii="Arial" w:eastAsia="Times New Roman" w:hAnsi="Arial" w:cs="Arial"/>
                <w:color w:val="auto"/>
                <w:sz w:val="24"/>
                <w:szCs w:val="24"/>
                <w:lang w:val="en-GB"/>
              </w:rPr>
            </w:pPr>
            <w:r w:rsidRPr="00460670">
              <w:rPr>
                <w:rFonts w:ascii="Arial" w:eastAsia="Times New Roman" w:hAnsi="Arial" w:cs="Arial"/>
                <w:color w:val="auto"/>
                <w:sz w:val="24"/>
                <w:szCs w:val="24"/>
                <w:lang w:val="en-GB"/>
              </w:rPr>
              <w:t xml:space="preserve">Chief Inspector: Jantjies </w:t>
            </w:r>
            <w:r>
              <w:rPr>
                <w:rFonts w:ascii="Arial" w:eastAsia="Times New Roman" w:hAnsi="Arial" w:cs="Arial"/>
                <w:color w:val="auto"/>
                <w:sz w:val="24"/>
                <w:szCs w:val="24"/>
                <w:lang w:val="en-GB"/>
              </w:rPr>
              <w:t xml:space="preserve">                   </w:t>
            </w:r>
            <w:r w:rsidR="00E63E86">
              <w:rPr>
                <w:rFonts w:ascii="Arial" w:eastAsia="Times New Roman" w:hAnsi="Arial" w:cs="Arial"/>
                <w:color w:val="auto"/>
                <w:sz w:val="24"/>
                <w:szCs w:val="24"/>
                <w:lang w:val="en-GB"/>
              </w:rPr>
              <w:t xml:space="preserve">                             </w:t>
            </w:r>
            <w:r>
              <w:rPr>
                <w:rFonts w:ascii="Arial" w:eastAsia="Times New Roman" w:hAnsi="Arial" w:cs="Arial"/>
                <w:color w:val="auto"/>
                <w:sz w:val="24"/>
                <w:szCs w:val="24"/>
                <w:lang w:val="en-GB"/>
              </w:rPr>
              <w:t>Sixth Defendant</w:t>
            </w:r>
          </w:p>
          <w:p w14:paraId="75B12374" w14:textId="1293D4D5" w:rsidR="00460670" w:rsidRDefault="00460670" w:rsidP="00460670">
            <w:pPr>
              <w:pStyle w:val="Body"/>
              <w:keepNext/>
              <w:tabs>
                <w:tab w:val="right" w:pos="9000"/>
              </w:tabs>
              <w:spacing w:line="360" w:lineRule="auto"/>
              <w:ind w:left="2118" w:hanging="2118"/>
              <w:jc w:val="both"/>
              <w:outlineLvl w:val="3"/>
              <w:rPr>
                <w:rFonts w:ascii="Arial" w:eastAsia="Times New Roman" w:hAnsi="Arial" w:cs="Arial"/>
                <w:color w:val="auto"/>
                <w:sz w:val="24"/>
                <w:szCs w:val="24"/>
                <w:lang w:val="en-GB"/>
              </w:rPr>
            </w:pPr>
            <w:r w:rsidRPr="00460670">
              <w:rPr>
                <w:rFonts w:ascii="Arial" w:eastAsia="Times New Roman" w:hAnsi="Arial" w:cs="Arial"/>
                <w:color w:val="auto"/>
                <w:sz w:val="24"/>
                <w:szCs w:val="24"/>
                <w:lang w:val="en-GB"/>
              </w:rPr>
              <w:t xml:space="preserve">Warrant Officer : Jantjies </w:t>
            </w:r>
            <w:r>
              <w:rPr>
                <w:rFonts w:ascii="Arial" w:eastAsia="Times New Roman" w:hAnsi="Arial" w:cs="Arial"/>
                <w:color w:val="auto"/>
                <w:sz w:val="24"/>
                <w:szCs w:val="24"/>
                <w:lang w:val="en-GB"/>
              </w:rPr>
              <w:t xml:space="preserve">                  </w:t>
            </w:r>
            <w:r w:rsidR="00E63E86">
              <w:rPr>
                <w:rFonts w:ascii="Arial" w:eastAsia="Times New Roman" w:hAnsi="Arial" w:cs="Arial"/>
                <w:color w:val="auto"/>
                <w:sz w:val="24"/>
                <w:szCs w:val="24"/>
                <w:lang w:val="en-GB"/>
              </w:rPr>
              <w:t xml:space="preserve">                       </w:t>
            </w:r>
            <w:r>
              <w:rPr>
                <w:rFonts w:ascii="Arial" w:eastAsia="Times New Roman" w:hAnsi="Arial" w:cs="Arial"/>
                <w:color w:val="auto"/>
                <w:sz w:val="24"/>
                <w:szCs w:val="24"/>
                <w:lang w:val="en-GB"/>
              </w:rPr>
              <w:t>Seventh</w:t>
            </w:r>
            <w:r w:rsidRPr="00460670">
              <w:rPr>
                <w:rFonts w:ascii="Arial" w:eastAsia="Times New Roman" w:hAnsi="Arial" w:cs="Arial"/>
                <w:color w:val="auto"/>
                <w:sz w:val="24"/>
                <w:szCs w:val="24"/>
                <w:lang w:val="en-GB"/>
              </w:rPr>
              <w:t xml:space="preserve"> Defendant </w:t>
            </w:r>
          </w:p>
          <w:p w14:paraId="3F738691" w14:textId="6FCE85AF" w:rsidR="00460670" w:rsidRDefault="00460670" w:rsidP="00460670">
            <w:pPr>
              <w:pStyle w:val="Body"/>
              <w:keepNext/>
              <w:tabs>
                <w:tab w:val="right" w:pos="9000"/>
              </w:tabs>
              <w:spacing w:line="360" w:lineRule="auto"/>
              <w:ind w:left="2118" w:hanging="2118"/>
              <w:jc w:val="both"/>
              <w:outlineLvl w:val="3"/>
              <w:rPr>
                <w:rFonts w:ascii="Arial" w:eastAsia="Times New Roman" w:hAnsi="Arial" w:cs="Arial"/>
                <w:color w:val="auto"/>
                <w:sz w:val="24"/>
                <w:szCs w:val="24"/>
                <w:lang w:val="en-GB"/>
              </w:rPr>
            </w:pPr>
            <w:r w:rsidRPr="00460670">
              <w:rPr>
                <w:rFonts w:ascii="Arial" w:eastAsia="Times New Roman" w:hAnsi="Arial" w:cs="Arial"/>
                <w:color w:val="auto"/>
                <w:sz w:val="24"/>
                <w:szCs w:val="24"/>
                <w:lang w:val="en-GB"/>
              </w:rPr>
              <w:t xml:space="preserve">Constable: Platt </w:t>
            </w:r>
            <w:r>
              <w:rPr>
                <w:rFonts w:ascii="Arial" w:eastAsia="Times New Roman" w:hAnsi="Arial" w:cs="Arial"/>
                <w:color w:val="auto"/>
                <w:sz w:val="24"/>
                <w:szCs w:val="24"/>
                <w:lang w:val="en-GB"/>
              </w:rPr>
              <w:t xml:space="preserve">                               </w:t>
            </w:r>
            <w:r w:rsidR="00E63E86">
              <w:rPr>
                <w:rFonts w:ascii="Arial" w:eastAsia="Times New Roman" w:hAnsi="Arial" w:cs="Arial"/>
                <w:color w:val="auto"/>
                <w:sz w:val="24"/>
                <w:szCs w:val="24"/>
                <w:lang w:val="en-GB"/>
              </w:rPr>
              <w:t xml:space="preserve">                            </w:t>
            </w:r>
            <w:r>
              <w:rPr>
                <w:rFonts w:ascii="Arial" w:eastAsia="Times New Roman" w:hAnsi="Arial" w:cs="Arial"/>
                <w:color w:val="auto"/>
                <w:sz w:val="24"/>
                <w:szCs w:val="24"/>
                <w:lang w:val="en-GB"/>
              </w:rPr>
              <w:t>Eighth</w:t>
            </w:r>
            <w:r w:rsidRPr="00460670">
              <w:rPr>
                <w:rFonts w:ascii="Arial" w:eastAsia="Times New Roman" w:hAnsi="Arial" w:cs="Arial"/>
                <w:color w:val="auto"/>
                <w:sz w:val="24"/>
                <w:szCs w:val="24"/>
                <w:lang w:val="en-GB"/>
              </w:rPr>
              <w:t xml:space="preserve"> Defendant </w:t>
            </w:r>
          </w:p>
          <w:p w14:paraId="2DCEF930" w14:textId="44CAED83" w:rsidR="00460670" w:rsidRDefault="00460670" w:rsidP="00460670">
            <w:pPr>
              <w:pStyle w:val="Body"/>
              <w:keepNext/>
              <w:tabs>
                <w:tab w:val="right" w:pos="9000"/>
              </w:tabs>
              <w:spacing w:line="360" w:lineRule="auto"/>
              <w:ind w:left="2118" w:hanging="2118"/>
              <w:jc w:val="both"/>
              <w:outlineLvl w:val="3"/>
              <w:rPr>
                <w:rFonts w:ascii="Arial" w:eastAsia="Times New Roman" w:hAnsi="Arial" w:cs="Arial"/>
                <w:color w:val="auto"/>
                <w:sz w:val="24"/>
                <w:szCs w:val="24"/>
                <w:lang w:val="en-GB"/>
              </w:rPr>
            </w:pPr>
            <w:r w:rsidRPr="00460670">
              <w:rPr>
                <w:rFonts w:ascii="Arial" w:eastAsia="Times New Roman" w:hAnsi="Arial" w:cs="Arial"/>
                <w:color w:val="auto"/>
                <w:sz w:val="24"/>
                <w:szCs w:val="24"/>
                <w:lang w:val="en-GB"/>
              </w:rPr>
              <w:t xml:space="preserve">Sergeant: Kuahee </w:t>
            </w:r>
            <w:r>
              <w:rPr>
                <w:rFonts w:ascii="Arial" w:eastAsia="Times New Roman" w:hAnsi="Arial" w:cs="Arial"/>
                <w:color w:val="auto"/>
                <w:sz w:val="24"/>
                <w:szCs w:val="24"/>
                <w:lang w:val="en-GB"/>
              </w:rPr>
              <w:t xml:space="preserve">                                                       </w:t>
            </w:r>
            <w:r w:rsidR="00E63E86">
              <w:rPr>
                <w:rFonts w:ascii="Arial" w:eastAsia="Times New Roman" w:hAnsi="Arial" w:cs="Arial"/>
                <w:color w:val="auto"/>
                <w:sz w:val="24"/>
                <w:szCs w:val="24"/>
                <w:lang w:val="en-GB"/>
              </w:rPr>
              <w:t xml:space="preserve"> </w:t>
            </w:r>
            <w:r>
              <w:rPr>
                <w:rFonts w:ascii="Arial" w:eastAsia="Times New Roman" w:hAnsi="Arial" w:cs="Arial"/>
                <w:color w:val="auto"/>
                <w:sz w:val="24"/>
                <w:szCs w:val="24"/>
                <w:lang w:val="en-GB"/>
              </w:rPr>
              <w:t xml:space="preserve"> Ninth</w:t>
            </w:r>
            <w:r w:rsidRPr="00460670">
              <w:rPr>
                <w:rFonts w:ascii="Arial" w:eastAsia="Times New Roman" w:hAnsi="Arial" w:cs="Arial"/>
                <w:color w:val="auto"/>
                <w:sz w:val="24"/>
                <w:szCs w:val="24"/>
                <w:lang w:val="en-GB"/>
              </w:rPr>
              <w:t xml:space="preserve"> Defendant </w:t>
            </w:r>
          </w:p>
          <w:p w14:paraId="20EAB700" w14:textId="7175DABD" w:rsidR="00B40844" w:rsidRPr="00460670" w:rsidRDefault="00460670" w:rsidP="00887A63">
            <w:pPr>
              <w:pStyle w:val="Body"/>
              <w:keepNext/>
              <w:tabs>
                <w:tab w:val="right" w:pos="9000"/>
              </w:tabs>
              <w:spacing w:line="360" w:lineRule="auto"/>
              <w:ind w:left="2118" w:hanging="2118"/>
              <w:jc w:val="both"/>
              <w:outlineLvl w:val="3"/>
              <w:rPr>
                <w:rFonts w:ascii="Arial" w:eastAsia="Times New Roman" w:hAnsi="Arial" w:cs="Arial"/>
                <w:color w:val="auto"/>
                <w:sz w:val="24"/>
                <w:szCs w:val="24"/>
                <w:lang w:val="en-GB"/>
              </w:rPr>
            </w:pPr>
            <w:r w:rsidRPr="00460670">
              <w:rPr>
                <w:rFonts w:ascii="Arial" w:eastAsia="Times New Roman" w:hAnsi="Arial" w:cs="Arial"/>
                <w:color w:val="auto"/>
                <w:sz w:val="24"/>
                <w:szCs w:val="24"/>
                <w:lang w:val="en-GB"/>
              </w:rPr>
              <w:t xml:space="preserve">Inspector : T Gariseb </w:t>
            </w:r>
            <w:r w:rsidR="00887A63">
              <w:rPr>
                <w:rFonts w:ascii="Arial" w:eastAsia="Times New Roman" w:hAnsi="Arial" w:cs="Arial"/>
                <w:color w:val="auto"/>
                <w:sz w:val="24"/>
                <w:szCs w:val="24"/>
                <w:lang w:val="en-GB"/>
              </w:rPr>
              <w:t xml:space="preserve">                       </w:t>
            </w:r>
            <w:r w:rsidR="00E63E86">
              <w:rPr>
                <w:rFonts w:ascii="Arial" w:eastAsia="Times New Roman" w:hAnsi="Arial" w:cs="Arial"/>
                <w:color w:val="auto"/>
                <w:sz w:val="24"/>
                <w:szCs w:val="24"/>
                <w:lang w:val="en-GB"/>
              </w:rPr>
              <w:t xml:space="preserve">                            </w:t>
            </w:r>
            <w:r w:rsidR="00887A63">
              <w:rPr>
                <w:rFonts w:ascii="Arial" w:eastAsia="Times New Roman" w:hAnsi="Arial" w:cs="Arial"/>
                <w:color w:val="auto"/>
                <w:sz w:val="24"/>
                <w:szCs w:val="24"/>
                <w:lang w:val="en-GB"/>
              </w:rPr>
              <w:t>Tenth</w:t>
            </w:r>
            <w:r w:rsidRPr="00460670">
              <w:rPr>
                <w:rFonts w:ascii="Arial" w:eastAsia="Times New Roman" w:hAnsi="Arial" w:cs="Arial"/>
                <w:color w:val="auto"/>
                <w:sz w:val="24"/>
                <w:szCs w:val="24"/>
                <w:lang w:val="en-GB"/>
              </w:rPr>
              <w:t xml:space="preserve"> Defendant</w:t>
            </w:r>
          </w:p>
        </w:tc>
        <w:tc>
          <w:tcPr>
            <w:tcW w:w="2835" w:type="dxa"/>
          </w:tcPr>
          <w:p w14:paraId="677B36DE" w14:textId="77777777" w:rsidR="00B40844" w:rsidRPr="00460670" w:rsidRDefault="00B40844" w:rsidP="00937C89">
            <w:pPr>
              <w:spacing w:line="360" w:lineRule="auto"/>
              <w:jc w:val="both"/>
              <w:rPr>
                <w:rFonts w:ascii="Arial" w:hAnsi="Arial" w:cs="Arial"/>
                <w:b/>
                <w:sz w:val="24"/>
                <w:szCs w:val="24"/>
              </w:rPr>
            </w:pPr>
            <w:r w:rsidRPr="00460670">
              <w:rPr>
                <w:rFonts w:ascii="Arial" w:hAnsi="Arial" w:cs="Arial"/>
                <w:b/>
                <w:sz w:val="24"/>
                <w:szCs w:val="24"/>
              </w:rPr>
              <w:t>Case No:</w:t>
            </w:r>
          </w:p>
          <w:p w14:paraId="7CF4C181" w14:textId="705CCB11" w:rsidR="00865F37" w:rsidRPr="00460670" w:rsidRDefault="00887A63" w:rsidP="00893A60">
            <w:pPr>
              <w:spacing w:line="360" w:lineRule="auto"/>
              <w:jc w:val="both"/>
              <w:rPr>
                <w:rFonts w:ascii="Arial" w:hAnsi="Arial" w:cs="Arial"/>
                <w:sz w:val="24"/>
                <w:szCs w:val="24"/>
              </w:rPr>
            </w:pPr>
            <w:r w:rsidRPr="00887A63">
              <w:rPr>
                <w:rFonts w:ascii="Arial" w:eastAsia="Arial" w:hAnsi="Arial" w:cs="Arial"/>
                <w:sz w:val="24"/>
                <w:szCs w:val="24"/>
              </w:rPr>
              <w:t>HC-MD-CIV-ACT-OTH-2020/00165</w:t>
            </w:r>
          </w:p>
        </w:tc>
      </w:tr>
      <w:tr w:rsidR="00460670" w:rsidRPr="00460670" w14:paraId="166013AA" w14:textId="77777777" w:rsidTr="00887A63">
        <w:trPr>
          <w:trHeight w:val="1436"/>
        </w:trPr>
        <w:tc>
          <w:tcPr>
            <w:tcW w:w="7371" w:type="dxa"/>
            <w:gridSpan w:val="2"/>
            <w:vMerge/>
          </w:tcPr>
          <w:p w14:paraId="0FD58AC5" w14:textId="77777777" w:rsidR="00B40844" w:rsidRPr="00460670" w:rsidRDefault="00B40844" w:rsidP="00937C89">
            <w:pPr>
              <w:spacing w:line="360" w:lineRule="auto"/>
              <w:jc w:val="both"/>
              <w:rPr>
                <w:rFonts w:ascii="Arial" w:hAnsi="Arial" w:cs="Arial"/>
                <w:sz w:val="24"/>
                <w:szCs w:val="24"/>
              </w:rPr>
            </w:pPr>
          </w:p>
        </w:tc>
        <w:tc>
          <w:tcPr>
            <w:tcW w:w="2835" w:type="dxa"/>
          </w:tcPr>
          <w:p w14:paraId="0E396F80" w14:textId="5D924D5F" w:rsidR="00B40844" w:rsidRPr="00460670" w:rsidRDefault="00F403CC" w:rsidP="00937C89">
            <w:pPr>
              <w:spacing w:line="360" w:lineRule="auto"/>
              <w:jc w:val="both"/>
              <w:rPr>
                <w:rFonts w:ascii="Arial" w:hAnsi="Arial" w:cs="Arial"/>
                <w:sz w:val="24"/>
                <w:szCs w:val="24"/>
              </w:rPr>
            </w:pPr>
            <w:r w:rsidRPr="00460670">
              <w:rPr>
                <w:rFonts w:ascii="Arial" w:hAnsi="Arial" w:cs="Arial"/>
                <w:b/>
                <w:sz w:val="24"/>
                <w:szCs w:val="24"/>
              </w:rPr>
              <w:t>Division of Court</w:t>
            </w:r>
          </w:p>
          <w:p w14:paraId="4C77435D" w14:textId="77777777" w:rsidR="00B40844" w:rsidRPr="00460670" w:rsidRDefault="00B40844" w:rsidP="00937C89">
            <w:pPr>
              <w:spacing w:line="360" w:lineRule="auto"/>
              <w:jc w:val="both"/>
              <w:rPr>
                <w:rFonts w:ascii="Arial" w:hAnsi="Arial" w:cs="Arial"/>
                <w:sz w:val="24"/>
                <w:szCs w:val="24"/>
              </w:rPr>
            </w:pPr>
            <w:r w:rsidRPr="00460670">
              <w:rPr>
                <w:rFonts w:ascii="Arial" w:hAnsi="Arial" w:cs="Arial"/>
                <w:sz w:val="24"/>
                <w:szCs w:val="24"/>
              </w:rPr>
              <w:t>HIGH COURT (MAIN DIVISION)</w:t>
            </w:r>
          </w:p>
        </w:tc>
      </w:tr>
      <w:tr w:rsidR="00460670" w:rsidRPr="00460670" w14:paraId="0BF47252" w14:textId="77777777" w:rsidTr="00887A63">
        <w:trPr>
          <w:trHeight w:val="965"/>
        </w:trPr>
        <w:tc>
          <w:tcPr>
            <w:tcW w:w="7371" w:type="dxa"/>
            <w:gridSpan w:val="2"/>
            <w:vMerge w:val="restart"/>
          </w:tcPr>
          <w:p w14:paraId="7EDF222B" w14:textId="77777777" w:rsidR="00B40844" w:rsidRPr="00460670" w:rsidRDefault="00B40844" w:rsidP="00937C89">
            <w:pPr>
              <w:spacing w:line="360" w:lineRule="auto"/>
              <w:jc w:val="both"/>
              <w:rPr>
                <w:rFonts w:ascii="Arial" w:hAnsi="Arial" w:cs="Arial"/>
                <w:b/>
                <w:sz w:val="24"/>
                <w:szCs w:val="24"/>
              </w:rPr>
            </w:pPr>
            <w:r w:rsidRPr="00460670">
              <w:rPr>
                <w:rFonts w:ascii="Arial" w:hAnsi="Arial" w:cs="Arial"/>
                <w:b/>
                <w:sz w:val="24"/>
                <w:szCs w:val="24"/>
              </w:rPr>
              <w:t>Heard before:</w:t>
            </w:r>
          </w:p>
          <w:p w14:paraId="512EBB6A" w14:textId="0FDC4F28" w:rsidR="00B40844" w:rsidRPr="00460670" w:rsidRDefault="00F403CC" w:rsidP="00E60E31">
            <w:pPr>
              <w:spacing w:line="360" w:lineRule="auto"/>
              <w:jc w:val="both"/>
              <w:rPr>
                <w:rFonts w:ascii="Arial" w:hAnsi="Arial" w:cs="Arial"/>
                <w:sz w:val="24"/>
                <w:szCs w:val="24"/>
              </w:rPr>
            </w:pPr>
            <w:r w:rsidRPr="00460670">
              <w:rPr>
                <w:rFonts w:ascii="Arial" w:hAnsi="Arial" w:cs="Arial"/>
                <w:sz w:val="24"/>
                <w:szCs w:val="24"/>
              </w:rPr>
              <w:t>CLAASEN</w:t>
            </w:r>
            <w:r w:rsidR="00B40844" w:rsidRPr="00460670">
              <w:rPr>
                <w:rFonts w:ascii="Arial" w:hAnsi="Arial" w:cs="Arial"/>
                <w:sz w:val="24"/>
                <w:szCs w:val="24"/>
              </w:rPr>
              <w:t xml:space="preserve">, </w:t>
            </w:r>
            <w:r w:rsidR="00E60E31" w:rsidRPr="00460670">
              <w:rPr>
                <w:rFonts w:ascii="Arial" w:hAnsi="Arial" w:cs="Arial"/>
                <w:sz w:val="24"/>
                <w:szCs w:val="24"/>
              </w:rPr>
              <w:t>J</w:t>
            </w:r>
          </w:p>
        </w:tc>
        <w:tc>
          <w:tcPr>
            <w:tcW w:w="2835" w:type="dxa"/>
          </w:tcPr>
          <w:p w14:paraId="3C2E1048" w14:textId="1DC46A9D" w:rsidR="00B40844" w:rsidRPr="00460670" w:rsidRDefault="004A4A01" w:rsidP="00893A60">
            <w:pPr>
              <w:spacing w:line="360" w:lineRule="auto"/>
              <w:jc w:val="both"/>
              <w:rPr>
                <w:rFonts w:ascii="Arial" w:hAnsi="Arial" w:cs="Arial"/>
                <w:b/>
                <w:sz w:val="24"/>
                <w:szCs w:val="24"/>
              </w:rPr>
            </w:pPr>
            <w:r>
              <w:rPr>
                <w:rFonts w:ascii="Arial" w:hAnsi="Arial" w:cs="Arial"/>
                <w:b/>
                <w:sz w:val="24"/>
                <w:szCs w:val="24"/>
              </w:rPr>
              <w:t xml:space="preserve">Heard </w:t>
            </w:r>
            <w:r w:rsidR="0080318F" w:rsidRPr="00460670">
              <w:rPr>
                <w:rFonts w:ascii="Arial" w:hAnsi="Arial" w:cs="Arial"/>
                <w:b/>
                <w:sz w:val="24"/>
                <w:szCs w:val="24"/>
              </w:rPr>
              <w:t>on</w:t>
            </w:r>
            <w:r w:rsidR="00B40844" w:rsidRPr="00460670">
              <w:rPr>
                <w:rFonts w:ascii="Arial" w:hAnsi="Arial" w:cs="Arial"/>
                <w:b/>
                <w:sz w:val="24"/>
                <w:szCs w:val="24"/>
              </w:rPr>
              <w:t>:</w:t>
            </w:r>
          </w:p>
          <w:p w14:paraId="7B3DC67C" w14:textId="4E337E7C" w:rsidR="00893A60" w:rsidRPr="00460670" w:rsidRDefault="00893A60" w:rsidP="00893A60">
            <w:pPr>
              <w:spacing w:line="360" w:lineRule="auto"/>
              <w:jc w:val="both"/>
              <w:rPr>
                <w:rFonts w:ascii="Arial" w:hAnsi="Arial" w:cs="Arial"/>
                <w:sz w:val="24"/>
                <w:szCs w:val="24"/>
              </w:rPr>
            </w:pPr>
            <w:r w:rsidRPr="00460670">
              <w:rPr>
                <w:rFonts w:ascii="Arial" w:hAnsi="Arial" w:cs="Arial"/>
                <w:sz w:val="24"/>
                <w:szCs w:val="24"/>
              </w:rPr>
              <w:t>25 September 2023 and 28 September 2023</w:t>
            </w:r>
          </w:p>
        </w:tc>
      </w:tr>
      <w:tr w:rsidR="00460670" w:rsidRPr="00460670" w14:paraId="751064C1" w14:textId="77777777" w:rsidTr="00887A63">
        <w:trPr>
          <w:trHeight w:val="991"/>
        </w:trPr>
        <w:tc>
          <w:tcPr>
            <w:tcW w:w="7371" w:type="dxa"/>
            <w:gridSpan w:val="2"/>
            <w:vMerge/>
          </w:tcPr>
          <w:p w14:paraId="3BD25D3A" w14:textId="77777777" w:rsidR="00B40844" w:rsidRPr="00460670" w:rsidRDefault="00B40844" w:rsidP="00937C89">
            <w:pPr>
              <w:spacing w:line="360" w:lineRule="auto"/>
              <w:jc w:val="both"/>
              <w:rPr>
                <w:rFonts w:ascii="Arial" w:hAnsi="Arial" w:cs="Arial"/>
                <w:b/>
                <w:sz w:val="24"/>
                <w:szCs w:val="24"/>
              </w:rPr>
            </w:pPr>
          </w:p>
        </w:tc>
        <w:tc>
          <w:tcPr>
            <w:tcW w:w="2835" w:type="dxa"/>
          </w:tcPr>
          <w:p w14:paraId="104F3EB5" w14:textId="77777777" w:rsidR="00B40844" w:rsidRPr="00460670" w:rsidRDefault="00B40844" w:rsidP="00937C89">
            <w:pPr>
              <w:spacing w:line="360" w:lineRule="auto"/>
              <w:jc w:val="both"/>
              <w:rPr>
                <w:rFonts w:ascii="Arial" w:hAnsi="Arial" w:cs="Arial"/>
                <w:b/>
                <w:sz w:val="24"/>
                <w:szCs w:val="24"/>
              </w:rPr>
            </w:pPr>
            <w:r w:rsidRPr="00460670">
              <w:rPr>
                <w:rFonts w:ascii="Arial" w:hAnsi="Arial" w:cs="Arial"/>
                <w:b/>
                <w:sz w:val="24"/>
                <w:szCs w:val="24"/>
              </w:rPr>
              <w:t>Delivered on:</w:t>
            </w:r>
          </w:p>
          <w:p w14:paraId="4B2567EA" w14:textId="3357628B" w:rsidR="00B40844" w:rsidRPr="00460670" w:rsidRDefault="00893A60" w:rsidP="0053496C">
            <w:pPr>
              <w:spacing w:line="360" w:lineRule="auto"/>
              <w:jc w:val="both"/>
              <w:rPr>
                <w:rFonts w:ascii="Arial" w:hAnsi="Arial" w:cs="Arial"/>
                <w:sz w:val="24"/>
                <w:szCs w:val="24"/>
              </w:rPr>
            </w:pPr>
            <w:r w:rsidRPr="00460670">
              <w:rPr>
                <w:rFonts w:ascii="Arial" w:hAnsi="Arial" w:cs="Arial"/>
                <w:sz w:val="24"/>
                <w:szCs w:val="24"/>
              </w:rPr>
              <w:t>13 February 2024</w:t>
            </w:r>
          </w:p>
        </w:tc>
      </w:tr>
      <w:tr w:rsidR="00460670" w:rsidRPr="00460670" w14:paraId="51AC7992" w14:textId="77777777" w:rsidTr="00887A63">
        <w:trPr>
          <w:trHeight w:val="998"/>
        </w:trPr>
        <w:tc>
          <w:tcPr>
            <w:tcW w:w="10206" w:type="dxa"/>
            <w:gridSpan w:val="3"/>
          </w:tcPr>
          <w:p w14:paraId="10F63DC5" w14:textId="622862BB" w:rsidR="00B40844" w:rsidRPr="00460670" w:rsidRDefault="00B40844" w:rsidP="00E63E86">
            <w:pPr>
              <w:pStyle w:val="Body"/>
              <w:keepNext/>
              <w:tabs>
                <w:tab w:val="right" w:pos="9000"/>
              </w:tabs>
              <w:spacing w:line="360" w:lineRule="auto"/>
              <w:ind w:left="2118" w:hanging="2118"/>
              <w:jc w:val="both"/>
              <w:outlineLvl w:val="3"/>
              <w:rPr>
                <w:rFonts w:ascii="Arial" w:hAnsi="Arial" w:cs="Arial"/>
                <w:color w:val="auto"/>
                <w:sz w:val="24"/>
                <w:szCs w:val="24"/>
              </w:rPr>
            </w:pPr>
            <w:r w:rsidRPr="00460670">
              <w:rPr>
                <w:rFonts w:ascii="Arial" w:hAnsi="Arial" w:cs="Arial"/>
                <w:b/>
                <w:color w:val="auto"/>
                <w:sz w:val="24"/>
                <w:szCs w:val="24"/>
              </w:rPr>
              <w:lastRenderedPageBreak/>
              <w:t>Neutral citation</w:t>
            </w:r>
            <w:r w:rsidR="00F403CC" w:rsidRPr="00460670">
              <w:rPr>
                <w:rFonts w:ascii="Arial" w:hAnsi="Arial" w:cs="Arial"/>
                <w:color w:val="auto"/>
                <w:sz w:val="24"/>
                <w:szCs w:val="24"/>
              </w:rPr>
              <w:t xml:space="preserve">   </w:t>
            </w:r>
            <w:bookmarkStart w:id="0" w:name="_GoBack"/>
            <w:r w:rsidR="00893A60" w:rsidRPr="00460670">
              <w:rPr>
                <w:rFonts w:ascii="Arial" w:eastAsia="Times New Roman" w:hAnsi="Arial" w:cs="Arial"/>
                <w:i/>
                <w:color w:val="auto"/>
                <w:sz w:val="24"/>
                <w:szCs w:val="24"/>
              </w:rPr>
              <w:t xml:space="preserve">Ganuseb v The Minister of Justice </w:t>
            </w:r>
            <w:r w:rsidR="00893A60" w:rsidRPr="00460670">
              <w:rPr>
                <w:rFonts w:ascii="Arial" w:eastAsia="Times New Roman" w:hAnsi="Arial" w:cs="Arial"/>
                <w:color w:val="auto"/>
                <w:sz w:val="24"/>
                <w:szCs w:val="24"/>
              </w:rPr>
              <w:t>(</w:t>
            </w:r>
            <w:r w:rsidR="00887A63" w:rsidRPr="00887A63">
              <w:rPr>
                <w:rFonts w:ascii="Arial" w:eastAsia="Times New Roman" w:hAnsi="Arial" w:cs="Arial"/>
                <w:color w:val="auto"/>
                <w:sz w:val="24"/>
                <w:szCs w:val="24"/>
                <w:lang w:val="en-GB"/>
              </w:rPr>
              <w:t>HC-MD-CIV-ACT-OTH-2020/00165</w:t>
            </w:r>
            <w:r w:rsidR="00887A63">
              <w:rPr>
                <w:rFonts w:ascii="Arial" w:eastAsia="Times New Roman" w:hAnsi="Arial" w:cs="Arial"/>
                <w:color w:val="auto"/>
                <w:sz w:val="24"/>
                <w:szCs w:val="24"/>
                <w:lang w:val="en-GB"/>
              </w:rPr>
              <w:t>)</w:t>
            </w:r>
            <w:r w:rsidR="00887A63" w:rsidRPr="00887A63">
              <w:rPr>
                <w:rFonts w:ascii="Arial" w:eastAsia="Times New Roman" w:hAnsi="Arial" w:cs="Arial"/>
                <w:color w:val="auto"/>
                <w:sz w:val="24"/>
                <w:szCs w:val="24"/>
                <w:lang w:val="en-GB"/>
              </w:rPr>
              <w:t xml:space="preserve"> </w:t>
            </w:r>
            <w:r w:rsidR="00893A60" w:rsidRPr="00460670">
              <w:rPr>
                <w:rFonts w:ascii="Arial" w:eastAsia="Times New Roman" w:hAnsi="Arial" w:cs="Arial"/>
                <w:color w:val="auto"/>
                <w:sz w:val="24"/>
                <w:szCs w:val="24"/>
              </w:rPr>
              <w:t xml:space="preserve">[2024] NAHCMD </w:t>
            </w:r>
            <w:r w:rsidR="00E63E86">
              <w:rPr>
                <w:rFonts w:ascii="Arial" w:eastAsia="Times New Roman" w:hAnsi="Arial" w:cs="Arial"/>
                <w:color w:val="auto"/>
                <w:sz w:val="24"/>
                <w:szCs w:val="24"/>
              </w:rPr>
              <w:t>50</w:t>
            </w:r>
            <w:r w:rsidR="00893A60" w:rsidRPr="00460670">
              <w:rPr>
                <w:rFonts w:ascii="Arial" w:eastAsia="Times New Roman" w:hAnsi="Arial" w:cs="Arial"/>
                <w:color w:val="auto"/>
                <w:sz w:val="24"/>
                <w:szCs w:val="24"/>
              </w:rPr>
              <w:t xml:space="preserve"> (13 F</w:t>
            </w:r>
            <w:r w:rsidR="00460670" w:rsidRPr="00460670">
              <w:rPr>
                <w:rFonts w:ascii="Arial" w:eastAsia="Times New Roman" w:hAnsi="Arial" w:cs="Arial"/>
                <w:color w:val="auto"/>
                <w:sz w:val="24"/>
                <w:szCs w:val="24"/>
              </w:rPr>
              <w:t>ebruary</w:t>
            </w:r>
            <w:r w:rsidR="00893A60" w:rsidRPr="00460670">
              <w:rPr>
                <w:rFonts w:ascii="Arial" w:eastAsia="Times New Roman" w:hAnsi="Arial" w:cs="Arial"/>
                <w:color w:val="auto"/>
                <w:sz w:val="24"/>
                <w:szCs w:val="24"/>
              </w:rPr>
              <w:t xml:space="preserve"> 2024)</w:t>
            </w:r>
            <w:bookmarkEnd w:id="0"/>
          </w:p>
        </w:tc>
      </w:tr>
      <w:tr w:rsidR="00460670" w:rsidRPr="00460670" w14:paraId="11188504" w14:textId="77777777" w:rsidTr="00887A63">
        <w:trPr>
          <w:trHeight w:val="542"/>
        </w:trPr>
        <w:tc>
          <w:tcPr>
            <w:tcW w:w="10206" w:type="dxa"/>
            <w:gridSpan w:val="3"/>
          </w:tcPr>
          <w:p w14:paraId="6CE7BBB2" w14:textId="6BCCA21D" w:rsidR="00222067" w:rsidRPr="00460670" w:rsidRDefault="00222067" w:rsidP="00222067">
            <w:pPr>
              <w:spacing w:line="360" w:lineRule="auto"/>
              <w:jc w:val="both"/>
              <w:rPr>
                <w:rFonts w:ascii="Arial" w:hAnsi="Arial" w:cs="Arial"/>
                <w:b/>
                <w:sz w:val="24"/>
                <w:szCs w:val="24"/>
              </w:rPr>
            </w:pPr>
            <w:r w:rsidRPr="00460670">
              <w:rPr>
                <w:rFonts w:ascii="Arial" w:hAnsi="Arial" w:cs="Arial"/>
                <w:b/>
                <w:sz w:val="24"/>
                <w:szCs w:val="24"/>
              </w:rPr>
              <w:t>Order:</w:t>
            </w:r>
          </w:p>
        </w:tc>
      </w:tr>
      <w:tr w:rsidR="00460670" w:rsidRPr="00460670" w14:paraId="6E51612E" w14:textId="77777777" w:rsidTr="00887A63">
        <w:tc>
          <w:tcPr>
            <w:tcW w:w="10206" w:type="dxa"/>
            <w:gridSpan w:val="3"/>
          </w:tcPr>
          <w:p w14:paraId="1BA68F9E" w14:textId="3C3A2887" w:rsidR="00893A60" w:rsidRPr="00460670" w:rsidRDefault="00893A60" w:rsidP="00893A60">
            <w:pPr>
              <w:pStyle w:val="ListParagraph"/>
              <w:numPr>
                <w:ilvl w:val="0"/>
                <w:numId w:val="33"/>
              </w:numPr>
              <w:spacing w:line="360" w:lineRule="auto"/>
              <w:jc w:val="both"/>
              <w:rPr>
                <w:rFonts w:ascii="Arial" w:hAnsi="Arial" w:cs="Arial"/>
                <w:sz w:val="24"/>
                <w:szCs w:val="24"/>
              </w:rPr>
            </w:pPr>
            <w:r w:rsidRPr="00460670">
              <w:rPr>
                <w:rFonts w:ascii="Arial" w:hAnsi="Arial" w:cs="Arial"/>
                <w:sz w:val="24"/>
                <w:szCs w:val="24"/>
              </w:rPr>
              <w:t>The application for absolution from the instance is granted.</w:t>
            </w:r>
          </w:p>
          <w:p w14:paraId="49DCF1EF" w14:textId="77777777" w:rsidR="00893A60" w:rsidRPr="00460670" w:rsidRDefault="00893A60" w:rsidP="00893A60">
            <w:pPr>
              <w:pStyle w:val="ListParagraph"/>
              <w:spacing w:line="360" w:lineRule="auto"/>
              <w:ind w:left="1080"/>
              <w:jc w:val="both"/>
              <w:rPr>
                <w:rFonts w:ascii="Arial" w:hAnsi="Arial" w:cs="Arial"/>
                <w:sz w:val="24"/>
                <w:szCs w:val="24"/>
              </w:rPr>
            </w:pPr>
          </w:p>
          <w:p w14:paraId="5FE070CB" w14:textId="7AF19832" w:rsidR="00893A60" w:rsidRPr="00460670" w:rsidRDefault="00893A60" w:rsidP="00893A60">
            <w:pPr>
              <w:pStyle w:val="ListParagraph"/>
              <w:numPr>
                <w:ilvl w:val="0"/>
                <w:numId w:val="33"/>
              </w:numPr>
              <w:spacing w:line="360" w:lineRule="auto"/>
              <w:jc w:val="both"/>
              <w:rPr>
                <w:rFonts w:ascii="Arial" w:hAnsi="Arial" w:cs="Arial"/>
                <w:sz w:val="24"/>
                <w:szCs w:val="24"/>
              </w:rPr>
            </w:pPr>
            <w:r w:rsidRPr="00460670">
              <w:rPr>
                <w:rFonts w:ascii="Arial" w:hAnsi="Arial" w:cs="Arial"/>
                <w:sz w:val="24"/>
                <w:szCs w:val="24"/>
              </w:rPr>
              <w:t>There is no order as to costs.</w:t>
            </w:r>
          </w:p>
          <w:p w14:paraId="501161D4" w14:textId="77777777" w:rsidR="00893A60" w:rsidRPr="00460670" w:rsidRDefault="00893A60" w:rsidP="00893A60">
            <w:pPr>
              <w:pStyle w:val="ListParagraph"/>
              <w:rPr>
                <w:rFonts w:ascii="Arial" w:hAnsi="Arial" w:cs="Arial"/>
                <w:sz w:val="24"/>
                <w:szCs w:val="24"/>
              </w:rPr>
            </w:pPr>
          </w:p>
          <w:p w14:paraId="1D7360B2" w14:textId="37D426DD" w:rsidR="008C2200" w:rsidRPr="00460670" w:rsidRDefault="00893A60" w:rsidP="00893A60">
            <w:pPr>
              <w:spacing w:line="360" w:lineRule="auto"/>
              <w:ind w:left="1452" w:hanging="743"/>
              <w:jc w:val="both"/>
              <w:rPr>
                <w:rFonts w:ascii="Arial" w:hAnsi="Arial" w:cs="Arial"/>
              </w:rPr>
            </w:pPr>
            <w:r w:rsidRPr="00460670">
              <w:rPr>
                <w:rFonts w:ascii="Arial" w:hAnsi="Arial" w:cs="Arial"/>
                <w:sz w:val="24"/>
                <w:szCs w:val="24"/>
              </w:rPr>
              <w:t xml:space="preserve">3. The matter is removed from </w:t>
            </w:r>
            <w:r w:rsidR="00887A63">
              <w:rPr>
                <w:rFonts w:ascii="Arial" w:hAnsi="Arial" w:cs="Arial"/>
                <w:sz w:val="24"/>
                <w:szCs w:val="24"/>
              </w:rPr>
              <w:t>the roll and regarded as finalis</w:t>
            </w:r>
            <w:r w:rsidRPr="00460670">
              <w:rPr>
                <w:rFonts w:ascii="Arial" w:hAnsi="Arial" w:cs="Arial"/>
                <w:sz w:val="24"/>
                <w:szCs w:val="24"/>
              </w:rPr>
              <w:t>ed.</w:t>
            </w:r>
          </w:p>
        </w:tc>
      </w:tr>
      <w:tr w:rsidR="00460670" w:rsidRPr="00460670" w14:paraId="7622E6FE" w14:textId="77777777" w:rsidTr="00887A63">
        <w:trPr>
          <w:trHeight w:val="548"/>
        </w:trPr>
        <w:tc>
          <w:tcPr>
            <w:tcW w:w="10206" w:type="dxa"/>
            <w:gridSpan w:val="3"/>
          </w:tcPr>
          <w:p w14:paraId="430A1DB8" w14:textId="3AD9C933" w:rsidR="00B40844" w:rsidRPr="00460670" w:rsidRDefault="003B03B0" w:rsidP="00937C89">
            <w:pPr>
              <w:tabs>
                <w:tab w:val="right" w:pos="9693"/>
              </w:tabs>
              <w:spacing w:line="360" w:lineRule="auto"/>
              <w:jc w:val="both"/>
              <w:rPr>
                <w:rFonts w:ascii="Arial" w:hAnsi="Arial" w:cs="Arial"/>
                <w:b/>
                <w:sz w:val="24"/>
                <w:szCs w:val="24"/>
              </w:rPr>
            </w:pPr>
            <w:r w:rsidRPr="00460670">
              <w:rPr>
                <w:rFonts w:ascii="Arial" w:hAnsi="Arial" w:cs="Arial"/>
                <w:b/>
                <w:sz w:val="24"/>
                <w:szCs w:val="24"/>
              </w:rPr>
              <w:t>R</w:t>
            </w:r>
            <w:r w:rsidR="00222067" w:rsidRPr="00460670">
              <w:rPr>
                <w:rFonts w:ascii="Arial" w:hAnsi="Arial" w:cs="Arial"/>
                <w:b/>
                <w:sz w:val="24"/>
                <w:szCs w:val="24"/>
              </w:rPr>
              <w:t>easons</w:t>
            </w:r>
            <w:r w:rsidR="00702A59" w:rsidRPr="00460670">
              <w:rPr>
                <w:rFonts w:ascii="Arial" w:hAnsi="Arial" w:cs="Arial"/>
                <w:b/>
                <w:sz w:val="24"/>
                <w:szCs w:val="24"/>
              </w:rPr>
              <w:t xml:space="preserve"> for </w:t>
            </w:r>
            <w:r w:rsidR="004A4A01">
              <w:rPr>
                <w:rFonts w:ascii="Arial" w:hAnsi="Arial" w:cs="Arial"/>
                <w:b/>
                <w:sz w:val="24"/>
                <w:szCs w:val="24"/>
              </w:rPr>
              <w:t xml:space="preserve">the </w:t>
            </w:r>
            <w:r w:rsidR="00702A59" w:rsidRPr="00460670">
              <w:rPr>
                <w:rFonts w:ascii="Arial" w:hAnsi="Arial" w:cs="Arial"/>
                <w:b/>
                <w:sz w:val="24"/>
                <w:szCs w:val="24"/>
              </w:rPr>
              <w:t>order</w:t>
            </w:r>
            <w:r w:rsidR="00B40844" w:rsidRPr="00460670">
              <w:rPr>
                <w:rFonts w:ascii="Arial" w:hAnsi="Arial" w:cs="Arial"/>
                <w:b/>
                <w:sz w:val="24"/>
                <w:szCs w:val="24"/>
              </w:rPr>
              <w:t>:</w:t>
            </w:r>
          </w:p>
        </w:tc>
      </w:tr>
      <w:tr w:rsidR="00460670" w:rsidRPr="00460670" w14:paraId="5E5C7ACE" w14:textId="77777777" w:rsidTr="00887A63">
        <w:tc>
          <w:tcPr>
            <w:tcW w:w="10206" w:type="dxa"/>
            <w:gridSpan w:val="3"/>
          </w:tcPr>
          <w:p w14:paraId="43BE1CC6" w14:textId="77777777" w:rsidR="00893A60" w:rsidRPr="00460670" w:rsidRDefault="00893A60" w:rsidP="00893A60">
            <w:pPr>
              <w:spacing w:line="360" w:lineRule="auto"/>
              <w:jc w:val="both"/>
              <w:rPr>
                <w:rFonts w:ascii="Arial" w:hAnsi="Arial" w:cs="Arial"/>
                <w:sz w:val="24"/>
                <w:szCs w:val="24"/>
              </w:rPr>
            </w:pPr>
            <w:r w:rsidRPr="00460670">
              <w:rPr>
                <w:rFonts w:ascii="Arial" w:hAnsi="Arial" w:cs="Arial"/>
                <w:sz w:val="24"/>
                <w:szCs w:val="24"/>
                <w:u w:val="single"/>
              </w:rPr>
              <w:t>Introduction</w:t>
            </w:r>
          </w:p>
          <w:p w14:paraId="6F62B630" w14:textId="77777777" w:rsidR="00893A60" w:rsidRPr="00460670" w:rsidRDefault="00893A60" w:rsidP="00893A60">
            <w:pPr>
              <w:spacing w:line="360" w:lineRule="auto"/>
              <w:jc w:val="both"/>
              <w:rPr>
                <w:rFonts w:ascii="Arial" w:hAnsi="Arial" w:cs="Arial"/>
                <w:sz w:val="24"/>
                <w:szCs w:val="24"/>
              </w:rPr>
            </w:pPr>
          </w:p>
          <w:p w14:paraId="38F43C9C" w14:textId="77777777" w:rsidR="00893A60" w:rsidRPr="00460670" w:rsidRDefault="00893A60" w:rsidP="00893A60">
            <w:pPr>
              <w:spacing w:line="360" w:lineRule="auto"/>
              <w:jc w:val="both"/>
              <w:rPr>
                <w:rFonts w:ascii="Arial" w:hAnsi="Arial" w:cs="Arial"/>
                <w:sz w:val="24"/>
                <w:szCs w:val="24"/>
              </w:rPr>
            </w:pPr>
            <w:r w:rsidRPr="00460670">
              <w:rPr>
                <w:rFonts w:ascii="Arial" w:hAnsi="Arial" w:cs="Arial"/>
                <w:sz w:val="24"/>
                <w:szCs w:val="24"/>
              </w:rPr>
              <w:t>[1]</w:t>
            </w:r>
            <w:r w:rsidRPr="00460670">
              <w:rPr>
                <w:rFonts w:ascii="Arial" w:hAnsi="Arial" w:cs="Arial"/>
                <w:sz w:val="24"/>
                <w:szCs w:val="24"/>
              </w:rPr>
              <w:tab/>
              <w:t>This is an application for absolution from the instance, at the close of the plaintiff’s case.</w:t>
            </w:r>
          </w:p>
          <w:p w14:paraId="0CC5F92D" w14:textId="77777777" w:rsidR="00893A60" w:rsidRPr="00460670" w:rsidRDefault="00893A60" w:rsidP="00893A60">
            <w:pPr>
              <w:spacing w:line="360" w:lineRule="auto"/>
              <w:jc w:val="both"/>
              <w:rPr>
                <w:rFonts w:ascii="Arial" w:hAnsi="Arial" w:cs="Arial"/>
                <w:sz w:val="24"/>
                <w:szCs w:val="24"/>
              </w:rPr>
            </w:pPr>
          </w:p>
          <w:p w14:paraId="21F4F849" w14:textId="77777777" w:rsidR="00893A60" w:rsidRPr="00460670" w:rsidRDefault="00893A60" w:rsidP="00893A60">
            <w:pPr>
              <w:spacing w:line="360" w:lineRule="auto"/>
              <w:jc w:val="both"/>
              <w:rPr>
                <w:rFonts w:ascii="Arial" w:hAnsi="Arial" w:cs="Arial"/>
                <w:sz w:val="24"/>
                <w:szCs w:val="24"/>
              </w:rPr>
            </w:pPr>
            <w:r w:rsidRPr="00460670">
              <w:rPr>
                <w:rFonts w:ascii="Arial" w:hAnsi="Arial" w:cs="Arial"/>
                <w:sz w:val="24"/>
                <w:szCs w:val="24"/>
              </w:rPr>
              <w:t>[2]</w:t>
            </w:r>
            <w:r w:rsidRPr="00460670">
              <w:rPr>
                <w:rFonts w:ascii="Arial" w:hAnsi="Arial" w:cs="Arial"/>
                <w:sz w:val="24"/>
                <w:szCs w:val="24"/>
              </w:rPr>
              <w:tab/>
              <w:t>The plaintiff instituted action against the defendants claiming damages of N$2 800 000. Mr Ganuseb asserts that he is entitled to that in terms of Article 25(2), (3) and (4) of the Namibian Constitution.</w:t>
            </w:r>
          </w:p>
          <w:p w14:paraId="4DE5C031" w14:textId="77777777" w:rsidR="00893A60" w:rsidRPr="00460670" w:rsidRDefault="00893A60" w:rsidP="00893A60">
            <w:pPr>
              <w:spacing w:line="360" w:lineRule="auto"/>
              <w:jc w:val="both"/>
              <w:rPr>
                <w:rFonts w:ascii="Arial" w:hAnsi="Arial" w:cs="Arial"/>
                <w:sz w:val="24"/>
                <w:szCs w:val="24"/>
              </w:rPr>
            </w:pPr>
          </w:p>
          <w:p w14:paraId="020AF012" w14:textId="77777777" w:rsidR="00893A60" w:rsidRPr="00460670" w:rsidRDefault="00893A60" w:rsidP="00893A60">
            <w:pPr>
              <w:spacing w:line="360" w:lineRule="auto"/>
              <w:jc w:val="both"/>
              <w:rPr>
                <w:rFonts w:ascii="Arial" w:hAnsi="Arial" w:cs="Arial"/>
                <w:sz w:val="24"/>
                <w:szCs w:val="24"/>
              </w:rPr>
            </w:pPr>
            <w:r w:rsidRPr="00460670">
              <w:rPr>
                <w:rFonts w:ascii="Arial" w:hAnsi="Arial" w:cs="Arial"/>
                <w:sz w:val="24"/>
                <w:szCs w:val="24"/>
              </w:rPr>
              <w:t>[3]</w:t>
            </w:r>
            <w:r w:rsidRPr="00460670">
              <w:rPr>
                <w:rFonts w:ascii="Arial" w:hAnsi="Arial" w:cs="Arial"/>
                <w:sz w:val="24"/>
                <w:szCs w:val="24"/>
              </w:rPr>
              <w:tab/>
              <w:t>After the defendants opposed the matter, the plaintiff withdrew the suit against the majority of the defendants. The trial proceeded against the first and fifth defendant only, claiming payment jointly and severally, the one paying the other to be absolved.</w:t>
            </w:r>
          </w:p>
          <w:p w14:paraId="78A894F6" w14:textId="77777777" w:rsidR="00893A60" w:rsidRPr="00460670" w:rsidRDefault="00893A60" w:rsidP="00893A60">
            <w:pPr>
              <w:spacing w:line="360" w:lineRule="auto"/>
              <w:jc w:val="both"/>
              <w:rPr>
                <w:rFonts w:ascii="Arial" w:hAnsi="Arial" w:cs="Arial"/>
                <w:sz w:val="24"/>
                <w:szCs w:val="24"/>
              </w:rPr>
            </w:pPr>
          </w:p>
          <w:p w14:paraId="7667AAEF" w14:textId="77777777" w:rsidR="00893A60" w:rsidRPr="00460670" w:rsidRDefault="00893A60" w:rsidP="00893A60">
            <w:pPr>
              <w:spacing w:line="360" w:lineRule="auto"/>
              <w:jc w:val="both"/>
              <w:rPr>
                <w:rFonts w:ascii="Arial" w:hAnsi="Arial" w:cs="Arial"/>
                <w:sz w:val="24"/>
                <w:szCs w:val="24"/>
                <w:u w:val="single"/>
              </w:rPr>
            </w:pPr>
            <w:r w:rsidRPr="00460670">
              <w:rPr>
                <w:rFonts w:ascii="Arial" w:hAnsi="Arial" w:cs="Arial"/>
                <w:sz w:val="24"/>
                <w:szCs w:val="24"/>
                <w:u w:val="single"/>
              </w:rPr>
              <w:t>The plaintiff’s action</w:t>
            </w:r>
          </w:p>
          <w:p w14:paraId="021596A1" w14:textId="77777777" w:rsidR="00893A60" w:rsidRPr="00460670" w:rsidRDefault="00893A60" w:rsidP="00893A60">
            <w:pPr>
              <w:spacing w:line="360" w:lineRule="auto"/>
              <w:jc w:val="both"/>
              <w:rPr>
                <w:rFonts w:ascii="Arial" w:hAnsi="Arial" w:cs="Arial"/>
                <w:sz w:val="24"/>
                <w:szCs w:val="24"/>
              </w:rPr>
            </w:pPr>
          </w:p>
          <w:p w14:paraId="11403F16" w14:textId="4AA4FBAD" w:rsidR="00893A60" w:rsidRPr="00460670" w:rsidRDefault="005E0C96" w:rsidP="00893A60">
            <w:pPr>
              <w:spacing w:line="360" w:lineRule="auto"/>
              <w:jc w:val="both"/>
              <w:rPr>
                <w:rFonts w:ascii="Arial" w:hAnsi="Arial" w:cs="Arial"/>
                <w:sz w:val="24"/>
                <w:szCs w:val="24"/>
              </w:rPr>
            </w:pPr>
            <w:r>
              <w:rPr>
                <w:rFonts w:ascii="Arial" w:hAnsi="Arial" w:cs="Arial"/>
                <w:sz w:val="24"/>
                <w:szCs w:val="24"/>
              </w:rPr>
              <w:t>[4</w:t>
            </w:r>
            <w:r w:rsidR="00893A60" w:rsidRPr="00460670">
              <w:rPr>
                <w:rFonts w:ascii="Arial" w:hAnsi="Arial" w:cs="Arial"/>
                <w:sz w:val="24"/>
                <w:szCs w:val="24"/>
              </w:rPr>
              <w:t>]</w:t>
            </w:r>
            <w:r w:rsidR="00893A60" w:rsidRPr="00460670">
              <w:rPr>
                <w:rFonts w:ascii="Arial" w:hAnsi="Arial" w:cs="Arial"/>
                <w:sz w:val="24"/>
                <w:szCs w:val="24"/>
              </w:rPr>
              <w:tab/>
              <w:t>The plaintiff alleges that on or about 31 May 2013</w:t>
            </w:r>
            <w:r w:rsidR="00887A63">
              <w:rPr>
                <w:rFonts w:ascii="Arial" w:hAnsi="Arial" w:cs="Arial"/>
                <w:sz w:val="24"/>
                <w:szCs w:val="24"/>
              </w:rPr>
              <w:t>,</w:t>
            </w:r>
            <w:r w:rsidR="00893A60" w:rsidRPr="00460670">
              <w:rPr>
                <w:rFonts w:ascii="Arial" w:hAnsi="Arial" w:cs="Arial"/>
                <w:sz w:val="24"/>
                <w:szCs w:val="24"/>
              </w:rPr>
              <w:t xml:space="preserve"> he filed a notice of appeal against his conviction and sentence with the fifth respondent who was acting within the scope of her employment. The fifth respondent never provided a notice of set down to the plaintiff for that. As a result of the conduct of the </w:t>
            </w:r>
            <w:r w:rsidR="00887A63">
              <w:rPr>
                <w:rFonts w:ascii="Arial" w:hAnsi="Arial" w:cs="Arial"/>
                <w:sz w:val="24"/>
                <w:szCs w:val="24"/>
              </w:rPr>
              <w:t>fifth</w:t>
            </w:r>
            <w:r w:rsidR="00893A60" w:rsidRPr="00460670">
              <w:rPr>
                <w:rFonts w:ascii="Arial" w:hAnsi="Arial" w:cs="Arial"/>
                <w:sz w:val="24"/>
                <w:szCs w:val="24"/>
              </w:rPr>
              <w:t xml:space="preserve"> defendant, his appeal was never set down and he had had to apply for leave to appeal during 2018</w:t>
            </w:r>
            <w:r w:rsidR="00887A63">
              <w:rPr>
                <w:rFonts w:ascii="Arial" w:hAnsi="Arial" w:cs="Arial"/>
                <w:sz w:val="24"/>
                <w:szCs w:val="24"/>
              </w:rPr>
              <w:t>,</w:t>
            </w:r>
            <w:r w:rsidR="00893A60" w:rsidRPr="00460670">
              <w:rPr>
                <w:rFonts w:ascii="Arial" w:hAnsi="Arial" w:cs="Arial"/>
                <w:sz w:val="24"/>
                <w:szCs w:val="24"/>
              </w:rPr>
              <w:t xml:space="preserve"> when the appeal was set down. </w:t>
            </w:r>
          </w:p>
          <w:p w14:paraId="68C0E2FE" w14:textId="77777777" w:rsidR="00893A60" w:rsidRPr="00460670" w:rsidRDefault="00893A60" w:rsidP="00893A60">
            <w:pPr>
              <w:spacing w:line="360" w:lineRule="auto"/>
              <w:jc w:val="both"/>
              <w:rPr>
                <w:rFonts w:ascii="Arial" w:hAnsi="Arial" w:cs="Arial"/>
                <w:sz w:val="24"/>
                <w:szCs w:val="24"/>
              </w:rPr>
            </w:pPr>
          </w:p>
          <w:p w14:paraId="4AD11D5D" w14:textId="67DDCE15" w:rsidR="00893A60" w:rsidRPr="00460670" w:rsidRDefault="005E0C96" w:rsidP="00893A60">
            <w:pPr>
              <w:spacing w:line="360" w:lineRule="auto"/>
              <w:jc w:val="both"/>
              <w:rPr>
                <w:rFonts w:ascii="Arial" w:hAnsi="Arial" w:cs="Arial"/>
                <w:sz w:val="24"/>
                <w:szCs w:val="24"/>
              </w:rPr>
            </w:pPr>
            <w:r>
              <w:rPr>
                <w:rFonts w:ascii="Arial" w:hAnsi="Arial" w:cs="Arial"/>
                <w:sz w:val="24"/>
                <w:szCs w:val="24"/>
              </w:rPr>
              <w:t>[5</w:t>
            </w:r>
            <w:r w:rsidR="00893A60" w:rsidRPr="00460670">
              <w:rPr>
                <w:rFonts w:ascii="Arial" w:hAnsi="Arial" w:cs="Arial"/>
                <w:sz w:val="24"/>
                <w:szCs w:val="24"/>
              </w:rPr>
              <w:t>]</w:t>
            </w:r>
            <w:r w:rsidR="00893A60" w:rsidRPr="00460670">
              <w:rPr>
                <w:rFonts w:ascii="Arial" w:hAnsi="Arial" w:cs="Arial"/>
                <w:sz w:val="24"/>
                <w:szCs w:val="24"/>
              </w:rPr>
              <w:tab/>
              <w:t>The plaintiff asserts that the fifth defendant failed to discharge her duties. That</w:t>
            </w:r>
            <w:r w:rsidR="00887A63">
              <w:rPr>
                <w:rFonts w:ascii="Arial" w:hAnsi="Arial" w:cs="Arial"/>
                <w:sz w:val="24"/>
                <w:szCs w:val="24"/>
              </w:rPr>
              <w:t>,</w:t>
            </w:r>
            <w:r w:rsidR="00893A60" w:rsidRPr="00460670">
              <w:rPr>
                <w:rFonts w:ascii="Arial" w:hAnsi="Arial" w:cs="Arial"/>
                <w:sz w:val="24"/>
                <w:szCs w:val="24"/>
              </w:rPr>
              <w:t xml:space="preserve"> in turn</w:t>
            </w:r>
            <w:r w:rsidR="00887A63">
              <w:rPr>
                <w:rFonts w:ascii="Arial" w:hAnsi="Arial" w:cs="Arial"/>
                <w:sz w:val="24"/>
                <w:szCs w:val="24"/>
              </w:rPr>
              <w:t>,</w:t>
            </w:r>
            <w:r w:rsidR="00893A60" w:rsidRPr="00460670">
              <w:rPr>
                <w:rFonts w:ascii="Arial" w:hAnsi="Arial" w:cs="Arial"/>
                <w:sz w:val="24"/>
                <w:szCs w:val="24"/>
              </w:rPr>
              <w:t xml:space="preserve"> violated his right to a fair trial under Article 12(1)(</w:t>
            </w:r>
            <w:r w:rsidR="00893A60" w:rsidRPr="00887A63">
              <w:rPr>
                <w:rFonts w:ascii="Arial" w:hAnsi="Arial" w:cs="Arial"/>
                <w:i/>
                <w:sz w:val="24"/>
                <w:szCs w:val="24"/>
              </w:rPr>
              <w:t>a</w:t>
            </w:r>
            <w:r w:rsidR="00893A60" w:rsidRPr="00460670">
              <w:rPr>
                <w:rFonts w:ascii="Arial" w:hAnsi="Arial" w:cs="Arial"/>
                <w:sz w:val="24"/>
                <w:szCs w:val="24"/>
              </w:rPr>
              <w:t xml:space="preserve">) of the Constitution which provides that in the determination of their civil rights and obligations or any criminal charges against them, all </w:t>
            </w:r>
            <w:r w:rsidR="00893A60" w:rsidRPr="00460670">
              <w:rPr>
                <w:rFonts w:ascii="Arial" w:hAnsi="Arial" w:cs="Arial"/>
                <w:sz w:val="24"/>
                <w:szCs w:val="24"/>
              </w:rPr>
              <w:lastRenderedPageBreak/>
              <w:t xml:space="preserve">persons shall be entitled to </w:t>
            </w:r>
            <w:r w:rsidR="00887A63">
              <w:rPr>
                <w:rFonts w:ascii="Arial" w:hAnsi="Arial" w:cs="Arial"/>
                <w:sz w:val="24"/>
                <w:szCs w:val="24"/>
              </w:rPr>
              <w:t>a fair public hearing by an</w:t>
            </w:r>
            <w:r w:rsidR="00893A60" w:rsidRPr="00460670">
              <w:rPr>
                <w:rFonts w:ascii="Arial" w:hAnsi="Arial" w:cs="Arial"/>
                <w:sz w:val="24"/>
                <w:szCs w:val="24"/>
              </w:rPr>
              <w:t xml:space="preserve"> independent, impartial and competent court or Tribunal established by law.</w:t>
            </w:r>
          </w:p>
          <w:p w14:paraId="536052A0" w14:textId="77777777" w:rsidR="00893A60" w:rsidRPr="00460670" w:rsidRDefault="00893A60" w:rsidP="00893A60">
            <w:pPr>
              <w:spacing w:line="360" w:lineRule="auto"/>
              <w:jc w:val="both"/>
              <w:rPr>
                <w:rFonts w:ascii="Arial" w:hAnsi="Arial" w:cs="Arial"/>
                <w:sz w:val="24"/>
                <w:szCs w:val="24"/>
              </w:rPr>
            </w:pPr>
          </w:p>
          <w:p w14:paraId="314E95CC" w14:textId="51557F22" w:rsidR="00893A60" w:rsidRPr="00460670" w:rsidRDefault="00893A60" w:rsidP="00893A60">
            <w:pPr>
              <w:spacing w:line="360" w:lineRule="auto"/>
              <w:jc w:val="both"/>
              <w:rPr>
                <w:rFonts w:ascii="Arial" w:hAnsi="Arial" w:cs="Arial"/>
                <w:sz w:val="24"/>
                <w:szCs w:val="24"/>
              </w:rPr>
            </w:pPr>
            <w:r w:rsidRPr="00460670">
              <w:rPr>
                <w:rFonts w:ascii="Arial" w:hAnsi="Arial" w:cs="Arial"/>
                <w:sz w:val="24"/>
                <w:szCs w:val="24"/>
              </w:rPr>
              <w:t>[</w:t>
            </w:r>
            <w:r w:rsidR="005E0C96">
              <w:rPr>
                <w:rFonts w:ascii="Arial" w:hAnsi="Arial" w:cs="Arial"/>
                <w:sz w:val="24"/>
                <w:szCs w:val="24"/>
              </w:rPr>
              <w:t>6</w:t>
            </w:r>
            <w:r w:rsidRPr="00460670">
              <w:rPr>
                <w:rFonts w:ascii="Arial" w:hAnsi="Arial" w:cs="Arial"/>
                <w:sz w:val="24"/>
                <w:szCs w:val="24"/>
              </w:rPr>
              <w:t>]</w:t>
            </w:r>
            <w:r w:rsidRPr="00460670">
              <w:rPr>
                <w:rFonts w:ascii="Arial" w:hAnsi="Arial" w:cs="Arial"/>
                <w:sz w:val="24"/>
                <w:szCs w:val="24"/>
              </w:rPr>
              <w:tab/>
              <w:t xml:space="preserve">The defendants, in </w:t>
            </w:r>
            <w:r w:rsidR="00887A63">
              <w:rPr>
                <w:rFonts w:ascii="Arial" w:hAnsi="Arial" w:cs="Arial"/>
                <w:sz w:val="24"/>
                <w:szCs w:val="24"/>
              </w:rPr>
              <w:t>their</w:t>
            </w:r>
            <w:r w:rsidRPr="00460670">
              <w:rPr>
                <w:rFonts w:ascii="Arial" w:hAnsi="Arial" w:cs="Arial"/>
                <w:sz w:val="24"/>
                <w:szCs w:val="24"/>
              </w:rPr>
              <w:t xml:space="preserve"> plea, deny the allegations and put the plaintiff to the proof thereof. </w:t>
            </w:r>
          </w:p>
          <w:p w14:paraId="2ED58C80" w14:textId="77777777" w:rsidR="00893A60" w:rsidRPr="00460670" w:rsidRDefault="00893A60" w:rsidP="00893A60">
            <w:pPr>
              <w:spacing w:line="360" w:lineRule="auto"/>
              <w:jc w:val="both"/>
              <w:rPr>
                <w:rFonts w:ascii="Arial" w:hAnsi="Arial" w:cs="Arial"/>
                <w:sz w:val="24"/>
                <w:szCs w:val="24"/>
              </w:rPr>
            </w:pPr>
          </w:p>
          <w:p w14:paraId="007D19E0" w14:textId="58D2CEAB" w:rsidR="00893A60" w:rsidRPr="00460670" w:rsidRDefault="005E0C96" w:rsidP="00C959CA">
            <w:pPr>
              <w:spacing w:line="360" w:lineRule="auto"/>
              <w:jc w:val="both"/>
              <w:rPr>
                <w:rFonts w:ascii="Arial" w:hAnsi="Arial" w:cs="Arial"/>
                <w:sz w:val="24"/>
                <w:szCs w:val="24"/>
              </w:rPr>
            </w:pPr>
            <w:r>
              <w:rPr>
                <w:rFonts w:ascii="Arial" w:hAnsi="Arial" w:cs="Arial"/>
                <w:sz w:val="24"/>
                <w:szCs w:val="24"/>
              </w:rPr>
              <w:t>[7</w:t>
            </w:r>
            <w:r w:rsidR="00893A60" w:rsidRPr="00460670">
              <w:rPr>
                <w:rFonts w:ascii="Arial" w:hAnsi="Arial" w:cs="Arial"/>
                <w:sz w:val="24"/>
                <w:szCs w:val="24"/>
              </w:rPr>
              <w:t>]</w:t>
            </w:r>
            <w:r w:rsidR="00893A60" w:rsidRPr="00460670">
              <w:rPr>
                <w:rFonts w:ascii="Arial" w:hAnsi="Arial" w:cs="Arial"/>
                <w:sz w:val="24"/>
                <w:szCs w:val="24"/>
              </w:rPr>
              <w:tab/>
              <w:t xml:space="preserve">In terms of the joint pre-trial report, the parties agreed that </w:t>
            </w:r>
            <w:r w:rsidR="00C100B7">
              <w:rPr>
                <w:rFonts w:ascii="Arial" w:hAnsi="Arial" w:cs="Arial"/>
                <w:sz w:val="24"/>
                <w:szCs w:val="24"/>
              </w:rPr>
              <w:t>it was not in dispute that t</w:t>
            </w:r>
            <w:r w:rsidR="00C959CA">
              <w:rPr>
                <w:rFonts w:ascii="Arial" w:hAnsi="Arial" w:cs="Arial"/>
                <w:sz w:val="24"/>
                <w:szCs w:val="24"/>
              </w:rPr>
              <w:t xml:space="preserve">he </w:t>
            </w:r>
            <w:r w:rsidR="00893A60" w:rsidRPr="00460670">
              <w:rPr>
                <w:rFonts w:ascii="Arial" w:hAnsi="Arial" w:cs="Arial"/>
                <w:sz w:val="24"/>
                <w:szCs w:val="24"/>
              </w:rPr>
              <w:t xml:space="preserve"> plaintiff is currently serving a 20-</w:t>
            </w:r>
            <w:r w:rsidR="00C959CA">
              <w:rPr>
                <w:rFonts w:ascii="Arial" w:hAnsi="Arial" w:cs="Arial"/>
                <w:sz w:val="24"/>
                <w:szCs w:val="24"/>
              </w:rPr>
              <w:t>year prison sent</w:t>
            </w:r>
            <w:r w:rsidR="00C100B7">
              <w:rPr>
                <w:rFonts w:ascii="Arial" w:hAnsi="Arial" w:cs="Arial"/>
                <w:sz w:val="24"/>
                <w:szCs w:val="24"/>
              </w:rPr>
              <w:t>ence for murder and that a not</w:t>
            </w:r>
            <w:r w:rsidR="00C959CA">
              <w:rPr>
                <w:rFonts w:ascii="Arial" w:hAnsi="Arial" w:cs="Arial"/>
                <w:sz w:val="24"/>
                <w:szCs w:val="24"/>
              </w:rPr>
              <w:t>ice of set down was issued on 1 July 2020 which appeal was p</w:t>
            </w:r>
            <w:r w:rsidR="00893A60" w:rsidRPr="00460670">
              <w:rPr>
                <w:rFonts w:ascii="Arial" w:hAnsi="Arial" w:cs="Arial"/>
                <w:sz w:val="24"/>
                <w:szCs w:val="24"/>
              </w:rPr>
              <w:t xml:space="preserve">ostponed to 01 September 2020 for the plaintiff to secure legal representation. </w:t>
            </w:r>
          </w:p>
          <w:p w14:paraId="5A565488" w14:textId="77777777" w:rsidR="00893A60" w:rsidRPr="00460670" w:rsidRDefault="00893A60" w:rsidP="00893A60">
            <w:pPr>
              <w:spacing w:line="360" w:lineRule="auto"/>
              <w:jc w:val="both"/>
              <w:rPr>
                <w:rFonts w:ascii="Arial" w:hAnsi="Arial" w:cs="Arial"/>
                <w:sz w:val="24"/>
                <w:szCs w:val="24"/>
              </w:rPr>
            </w:pPr>
          </w:p>
          <w:p w14:paraId="3CF5BB0D" w14:textId="77777777" w:rsidR="00893A60" w:rsidRPr="00460670" w:rsidRDefault="00893A60" w:rsidP="00893A60">
            <w:pPr>
              <w:spacing w:line="360" w:lineRule="auto"/>
              <w:jc w:val="both"/>
              <w:rPr>
                <w:rFonts w:ascii="Arial" w:hAnsi="Arial" w:cs="Arial"/>
                <w:sz w:val="24"/>
                <w:szCs w:val="24"/>
                <w:u w:val="single"/>
              </w:rPr>
            </w:pPr>
            <w:r w:rsidRPr="00460670">
              <w:rPr>
                <w:rFonts w:ascii="Arial" w:hAnsi="Arial" w:cs="Arial"/>
                <w:sz w:val="24"/>
                <w:szCs w:val="24"/>
                <w:u w:val="single"/>
              </w:rPr>
              <w:t>The evidence</w:t>
            </w:r>
          </w:p>
          <w:p w14:paraId="3A15B844" w14:textId="77777777" w:rsidR="00893A60" w:rsidRPr="00460670" w:rsidRDefault="00893A60" w:rsidP="00893A60">
            <w:pPr>
              <w:spacing w:line="360" w:lineRule="auto"/>
              <w:jc w:val="both"/>
              <w:rPr>
                <w:rFonts w:ascii="Arial" w:hAnsi="Arial" w:cs="Arial"/>
                <w:sz w:val="24"/>
                <w:szCs w:val="24"/>
              </w:rPr>
            </w:pPr>
          </w:p>
          <w:p w14:paraId="6E4ADAAC" w14:textId="3F1D4927" w:rsidR="00893A60" w:rsidRPr="00460670" w:rsidRDefault="005E0C96" w:rsidP="00893A60">
            <w:pPr>
              <w:spacing w:line="360" w:lineRule="auto"/>
              <w:jc w:val="both"/>
              <w:rPr>
                <w:rFonts w:ascii="Arial" w:hAnsi="Arial" w:cs="Arial"/>
                <w:sz w:val="24"/>
                <w:szCs w:val="24"/>
              </w:rPr>
            </w:pPr>
            <w:r>
              <w:rPr>
                <w:rFonts w:ascii="Arial" w:hAnsi="Arial" w:cs="Arial"/>
                <w:sz w:val="24"/>
                <w:szCs w:val="24"/>
              </w:rPr>
              <w:t>[8</w:t>
            </w:r>
            <w:r w:rsidR="00893A60" w:rsidRPr="00460670">
              <w:rPr>
                <w:rFonts w:ascii="Arial" w:hAnsi="Arial" w:cs="Arial"/>
                <w:sz w:val="24"/>
                <w:szCs w:val="24"/>
              </w:rPr>
              <w:t>]</w:t>
            </w:r>
            <w:r w:rsidR="00893A60" w:rsidRPr="00460670">
              <w:rPr>
                <w:rFonts w:ascii="Arial" w:hAnsi="Arial" w:cs="Arial"/>
                <w:sz w:val="24"/>
                <w:szCs w:val="24"/>
              </w:rPr>
              <w:tab/>
              <w:t>The plaintiff testified in support of his claim and called no other witnesses. I will summarise the salient parts of his evidence. He testified that on 17 May 2013</w:t>
            </w:r>
            <w:r w:rsidR="00887A63">
              <w:rPr>
                <w:rFonts w:ascii="Arial" w:hAnsi="Arial" w:cs="Arial"/>
                <w:sz w:val="24"/>
                <w:szCs w:val="24"/>
              </w:rPr>
              <w:t>,</w:t>
            </w:r>
            <w:r w:rsidR="00893A60" w:rsidRPr="00460670">
              <w:rPr>
                <w:rFonts w:ascii="Arial" w:hAnsi="Arial" w:cs="Arial"/>
                <w:sz w:val="24"/>
                <w:szCs w:val="24"/>
              </w:rPr>
              <w:t xml:space="preserve"> he was sentenced to 20 years imprisonment on a murder conviction</w:t>
            </w:r>
            <w:r w:rsidR="00C100B7">
              <w:rPr>
                <w:rFonts w:ascii="Arial" w:hAnsi="Arial" w:cs="Arial"/>
                <w:sz w:val="24"/>
                <w:szCs w:val="24"/>
              </w:rPr>
              <w:t xml:space="preserve"> by a Judge of the High Court.</w:t>
            </w:r>
            <w:r w:rsidR="00893A60" w:rsidRPr="00460670">
              <w:rPr>
                <w:rFonts w:ascii="Arial" w:hAnsi="Arial" w:cs="Arial"/>
                <w:sz w:val="24"/>
                <w:szCs w:val="24"/>
              </w:rPr>
              <w:t xml:space="preserve"> He deposed that he filed a notice to appeal against the conviction and sentence on 31 May 2013 at the High Court of Namibia. </w:t>
            </w:r>
          </w:p>
          <w:p w14:paraId="48B3EDBF" w14:textId="77777777" w:rsidR="00893A60" w:rsidRPr="00460670" w:rsidRDefault="00893A60" w:rsidP="00893A60">
            <w:pPr>
              <w:spacing w:line="360" w:lineRule="auto"/>
              <w:jc w:val="both"/>
              <w:rPr>
                <w:rFonts w:ascii="Arial" w:hAnsi="Arial" w:cs="Arial"/>
              </w:rPr>
            </w:pPr>
          </w:p>
          <w:p w14:paraId="39B49C91" w14:textId="5A8EC040" w:rsidR="00893A60" w:rsidRPr="00460670" w:rsidRDefault="005E0C96" w:rsidP="00893A60">
            <w:pPr>
              <w:spacing w:line="360" w:lineRule="auto"/>
              <w:jc w:val="both"/>
              <w:rPr>
                <w:rFonts w:ascii="Arial" w:hAnsi="Arial" w:cs="Arial"/>
                <w:sz w:val="24"/>
                <w:szCs w:val="24"/>
              </w:rPr>
            </w:pPr>
            <w:r>
              <w:rPr>
                <w:rFonts w:ascii="Arial" w:hAnsi="Arial" w:cs="Arial"/>
                <w:sz w:val="24"/>
                <w:szCs w:val="24"/>
              </w:rPr>
              <w:t>[9</w:t>
            </w:r>
            <w:r w:rsidR="00893A60" w:rsidRPr="00460670">
              <w:rPr>
                <w:rFonts w:ascii="Arial" w:hAnsi="Arial" w:cs="Arial"/>
                <w:sz w:val="24"/>
                <w:szCs w:val="24"/>
              </w:rPr>
              <w:t>]</w:t>
            </w:r>
            <w:r w:rsidR="00893A60" w:rsidRPr="00460670">
              <w:rPr>
                <w:rFonts w:ascii="Arial" w:hAnsi="Arial" w:cs="Arial"/>
                <w:sz w:val="24"/>
                <w:szCs w:val="24"/>
              </w:rPr>
              <w:tab/>
              <w:t xml:space="preserve">He testified that the </w:t>
            </w:r>
            <w:r w:rsidR="00887A63">
              <w:rPr>
                <w:rFonts w:ascii="Arial" w:hAnsi="Arial" w:cs="Arial"/>
                <w:sz w:val="24"/>
                <w:szCs w:val="24"/>
              </w:rPr>
              <w:t>fifth</w:t>
            </w:r>
            <w:r w:rsidR="00893A60" w:rsidRPr="00460670">
              <w:rPr>
                <w:rFonts w:ascii="Arial" w:hAnsi="Arial" w:cs="Arial"/>
                <w:sz w:val="24"/>
                <w:szCs w:val="24"/>
              </w:rPr>
              <w:t xml:space="preserve"> defendant was acting within the scope of her employment and that since he filed the notice he was not provided with a notice of set down. That was despite him following up on it, physically and in a written format, which letters he wrote during January 2014. He wrote again in 2017, but received no response. </w:t>
            </w:r>
          </w:p>
          <w:p w14:paraId="60E73AE5" w14:textId="77777777" w:rsidR="00893A60" w:rsidRPr="00460670" w:rsidRDefault="00893A60" w:rsidP="00893A60">
            <w:pPr>
              <w:spacing w:line="360" w:lineRule="auto"/>
              <w:jc w:val="both"/>
              <w:rPr>
                <w:rFonts w:ascii="Arial" w:hAnsi="Arial" w:cs="Arial"/>
                <w:sz w:val="24"/>
                <w:szCs w:val="24"/>
              </w:rPr>
            </w:pPr>
          </w:p>
          <w:p w14:paraId="21CB4354" w14:textId="08BD43E5" w:rsidR="00893A60" w:rsidRPr="00460670" w:rsidRDefault="00887A63" w:rsidP="00893A60">
            <w:pPr>
              <w:spacing w:line="360" w:lineRule="auto"/>
              <w:jc w:val="both"/>
              <w:rPr>
                <w:rFonts w:ascii="Arial" w:hAnsi="Arial" w:cs="Arial"/>
                <w:sz w:val="24"/>
                <w:szCs w:val="24"/>
              </w:rPr>
            </w:pPr>
            <w:r>
              <w:rPr>
                <w:rFonts w:ascii="Arial" w:hAnsi="Arial" w:cs="Arial"/>
                <w:sz w:val="24"/>
                <w:szCs w:val="24"/>
              </w:rPr>
              <w:t>[1</w:t>
            </w:r>
            <w:r w:rsidR="005E0C96">
              <w:rPr>
                <w:rFonts w:ascii="Arial" w:hAnsi="Arial" w:cs="Arial"/>
                <w:sz w:val="24"/>
                <w:szCs w:val="24"/>
              </w:rPr>
              <w:t>0</w:t>
            </w:r>
            <w:r>
              <w:rPr>
                <w:rFonts w:ascii="Arial" w:hAnsi="Arial" w:cs="Arial"/>
                <w:sz w:val="24"/>
                <w:szCs w:val="24"/>
              </w:rPr>
              <w:t>]</w:t>
            </w:r>
            <w:r>
              <w:rPr>
                <w:rFonts w:ascii="Arial" w:hAnsi="Arial" w:cs="Arial"/>
                <w:sz w:val="24"/>
                <w:szCs w:val="24"/>
              </w:rPr>
              <w:tab/>
              <w:t>He requested the o</w:t>
            </w:r>
            <w:r w:rsidR="00893A60" w:rsidRPr="00460670">
              <w:rPr>
                <w:rFonts w:ascii="Arial" w:hAnsi="Arial" w:cs="Arial"/>
                <w:sz w:val="24"/>
                <w:szCs w:val="24"/>
              </w:rPr>
              <w:t>ffice of the Ombudsman to follow up on his behalf. According to him they informed him that they could not trace his papers on the court file. He maintains that on the advice of the Om</w:t>
            </w:r>
            <w:r>
              <w:rPr>
                <w:rFonts w:ascii="Arial" w:hAnsi="Arial" w:cs="Arial"/>
                <w:sz w:val="24"/>
                <w:szCs w:val="24"/>
              </w:rPr>
              <w:t>b</w:t>
            </w:r>
            <w:r w:rsidR="00893A60" w:rsidRPr="00460670">
              <w:rPr>
                <w:rFonts w:ascii="Arial" w:hAnsi="Arial" w:cs="Arial"/>
                <w:sz w:val="24"/>
                <w:szCs w:val="24"/>
              </w:rPr>
              <w:t xml:space="preserve">udsman he had to apply for leave to appeal during 2018. He was never advised of the status of his application until it was eventually set down during March 2021. </w:t>
            </w:r>
          </w:p>
          <w:p w14:paraId="0DE2A2B8" w14:textId="77777777" w:rsidR="00893A60" w:rsidRPr="00460670" w:rsidRDefault="00893A60" w:rsidP="00893A60">
            <w:pPr>
              <w:spacing w:line="360" w:lineRule="auto"/>
              <w:jc w:val="both"/>
              <w:rPr>
                <w:rFonts w:ascii="Arial" w:hAnsi="Arial" w:cs="Arial"/>
                <w:sz w:val="24"/>
                <w:szCs w:val="24"/>
              </w:rPr>
            </w:pPr>
          </w:p>
          <w:p w14:paraId="4A891EF8" w14:textId="0CC07FD1" w:rsidR="00893A60" w:rsidRPr="00460670" w:rsidRDefault="00893A60" w:rsidP="00893A60">
            <w:pPr>
              <w:spacing w:line="360" w:lineRule="auto"/>
              <w:jc w:val="both"/>
              <w:rPr>
                <w:rFonts w:ascii="Arial" w:hAnsi="Arial" w:cs="Arial"/>
                <w:strike/>
                <w:sz w:val="24"/>
                <w:szCs w:val="24"/>
              </w:rPr>
            </w:pPr>
            <w:r w:rsidRPr="00460670">
              <w:rPr>
                <w:rFonts w:ascii="Arial" w:hAnsi="Arial" w:cs="Arial"/>
                <w:sz w:val="24"/>
                <w:szCs w:val="24"/>
              </w:rPr>
              <w:t>[1</w:t>
            </w:r>
            <w:r w:rsidR="005E0C96">
              <w:rPr>
                <w:rFonts w:ascii="Arial" w:hAnsi="Arial" w:cs="Arial"/>
                <w:sz w:val="24"/>
                <w:szCs w:val="24"/>
              </w:rPr>
              <w:t>1</w:t>
            </w:r>
            <w:r w:rsidRPr="00460670">
              <w:rPr>
                <w:rFonts w:ascii="Arial" w:hAnsi="Arial" w:cs="Arial"/>
                <w:sz w:val="24"/>
                <w:szCs w:val="24"/>
              </w:rPr>
              <w:t>]</w:t>
            </w:r>
            <w:r w:rsidRPr="00460670">
              <w:rPr>
                <w:rFonts w:ascii="Arial" w:hAnsi="Arial" w:cs="Arial"/>
                <w:sz w:val="24"/>
                <w:szCs w:val="24"/>
              </w:rPr>
              <w:tab/>
              <w:t>The plaintiff further testified that the fifth defendant failed to set down his appeal which resulted in an undue and unreasonable delay in him pursing his right to appeal</w:t>
            </w:r>
            <w:r w:rsidR="00C959CA">
              <w:rPr>
                <w:rFonts w:ascii="Arial" w:hAnsi="Arial" w:cs="Arial"/>
                <w:sz w:val="24"/>
                <w:szCs w:val="24"/>
              </w:rPr>
              <w:t>.</w:t>
            </w:r>
            <w:r w:rsidRPr="00460670">
              <w:rPr>
                <w:rFonts w:ascii="Arial" w:hAnsi="Arial" w:cs="Arial"/>
                <w:sz w:val="24"/>
                <w:szCs w:val="24"/>
              </w:rPr>
              <w:t xml:space="preserve">That conduct violated his right to a fair trial under Article 12 of the Namibian Constitution. On that premises he suffered damages and is entitled to an award in the amount as prayed for.  </w:t>
            </w:r>
          </w:p>
          <w:p w14:paraId="0E96053A" w14:textId="682B81A5" w:rsidR="00893A60" w:rsidRPr="00460670" w:rsidRDefault="00893A60" w:rsidP="00893A60">
            <w:pPr>
              <w:spacing w:line="360" w:lineRule="auto"/>
              <w:jc w:val="both"/>
              <w:rPr>
                <w:rFonts w:ascii="Arial" w:hAnsi="Arial" w:cs="Arial"/>
                <w:sz w:val="24"/>
                <w:szCs w:val="24"/>
              </w:rPr>
            </w:pPr>
            <w:r w:rsidRPr="00460670">
              <w:rPr>
                <w:rFonts w:ascii="Arial" w:hAnsi="Arial" w:cs="Arial"/>
                <w:sz w:val="24"/>
                <w:szCs w:val="24"/>
              </w:rPr>
              <w:lastRenderedPageBreak/>
              <w:t>[1</w:t>
            </w:r>
            <w:r w:rsidR="005E0C96">
              <w:rPr>
                <w:rFonts w:ascii="Arial" w:hAnsi="Arial" w:cs="Arial"/>
                <w:sz w:val="24"/>
                <w:szCs w:val="24"/>
              </w:rPr>
              <w:t>2</w:t>
            </w:r>
            <w:r w:rsidRPr="00460670">
              <w:rPr>
                <w:rFonts w:ascii="Arial" w:hAnsi="Arial" w:cs="Arial"/>
                <w:sz w:val="24"/>
                <w:szCs w:val="24"/>
              </w:rPr>
              <w:t>]</w:t>
            </w:r>
            <w:r w:rsidRPr="00460670">
              <w:rPr>
                <w:rFonts w:ascii="Arial" w:hAnsi="Arial" w:cs="Arial"/>
                <w:sz w:val="24"/>
                <w:szCs w:val="24"/>
              </w:rPr>
              <w:tab/>
              <w:t xml:space="preserve">Cross-examination ventured into court process relating to proper filing of court documents. Counsel postulated that when a criminal appeal is filed, a date stamp will be affixed by the court official who receive it and that the purported document by the plaintiff has no such stamp. The plaintiff conceded that his first appeal document has no stamp and that he did not take the document to the High Court on the said date. It was pointed out to him that he has not tendered evidence by the persons who </w:t>
            </w:r>
            <w:r w:rsidR="00F73F22">
              <w:rPr>
                <w:rFonts w:ascii="Arial" w:hAnsi="Arial" w:cs="Arial"/>
                <w:sz w:val="24"/>
                <w:szCs w:val="24"/>
              </w:rPr>
              <w:t xml:space="preserve">ostensibly </w:t>
            </w:r>
            <w:r w:rsidRPr="00460670">
              <w:rPr>
                <w:rFonts w:ascii="Arial" w:hAnsi="Arial" w:cs="Arial"/>
                <w:sz w:val="24"/>
                <w:szCs w:val="24"/>
              </w:rPr>
              <w:t xml:space="preserve">brought the document </w:t>
            </w:r>
            <w:r w:rsidR="00F73F22">
              <w:rPr>
                <w:rFonts w:ascii="Arial" w:hAnsi="Arial" w:cs="Arial"/>
                <w:sz w:val="24"/>
                <w:szCs w:val="24"/>
              </w:rPr>
              <w:t xml:space="preserve">to court to substantiate his claim that he filed an appeal. He </w:t>
            </w:r>
            <w:r w:rsidRPr="00460670">
              <w:rPr>
                <w:rFonts w:ascii="Arial" w:hAnsi="Arial" w:cs="Arial"/>
                <w:sz w:val="24"/>
                <w:szCs w:val="24"/>
              </w:rPr>
              <w:t xml:space="preserve">reasoned that he could not bring the Officers to his case. </w:t>
            </w:r>
          </w:p>
          <w:p w14:paraId="2C53498E" w14:textId="77777777" w:rsidR="00893A60" w:rsidRPr="00460670" w:rsidRDefault="00893A60" w:rsidP="00893A60">
            <w:pPr>
              <w:spacing w:line="360" w:lineRule="auto"/>
              <w:jc w:val="both"/>
              <w:rPr>
                <w:rFonts w:ascii="Arial" w:hAnsi="Arial" w:cs="Arial"/>
                <w:sz w:val="24"/>
                <w:szCs w:val="24"/>
              </w:rPr>
            </w:pPr>
          </w:p>
          <w:p w14:paraId="12398B01" w14:textId="34530B75" w:rsidR="00893A60" w:rsidRPr="00460670" w:rsidRDefault="005E0C96" w:rsidP="00893A60">
            <w:pPr>
              <w:spacing w:line="360" w:lineRule="auto"/>
              <w:jc w:val="both"/>
              <w:rPr>
                <w:rFonts w:ascii="Arial" w:hAnsi="Arial" w:cs="Arial"/>
                <w:sz w:val="24"/>
                <w:szCs w:val="24"/>
              </w:rPr>
            </w:pPr>
            <w:r>
              <w:rPr>
                <w:rFonts w:ascii="Arial" w:hAnsi="Arial" w:cs="Arial"/>
                <w:sz w:val="24"/>
                <w:szCs w:val="24"/>
              </w:rPr>
              <w:t>[13</w:t>
            </w:r>
            <w:r w:rsidR="00893A60" w:rsidRPr="00460670">
              <w:rPr>
                <w:rFonts w:ascii="Arial" w:hAnsi="Arial" w:cs="Arial"/>
                <w:sz w:val="24"/>
                <w:szCs w:val="24"/>
              </w:rPr>
              <w:t>]</w:t>
            </w:r>
            <w:r w:rsidR="00893A60" w:rsidRPr="00460670">
              <w:rPr>
                <w:rFonts w:ascii="Arial" w:hAnsi="Arial" w:cs="Arial"/>
                <w:sz w:val="24"/>
                <w:szCs w:val="24"/>
              </w:rPr>
              <w:tab/>
              <w:t xml:space="preserve">Cross-examination also revealed another purported notice of appeal, authored by him, which bears a date stamp of 28 February 2018. The plaintiff conceded that the stamp on it shows it to be that of the Windhoek Correctional Facility. He was also confronted that the heading was formulated as a Leave to Appeal in terms of s 309(1) of the Criminal Procedure Act 51 of 1922, which counsel postulated deals with appeals against proceedings in the Lower Court. The plaintiff accepted that he now understand that it was improper to want to use that provision for an appeal against a case finalised in the High Court. </w:t>
            </w:r>
          </w:p>
          <w:p w14:paraId="4496649A" w14:textId="77777777" w:rsidR="00893A60" w:rsidRPr="00460670" w:rsidRDefault="00893A60" w:rsidP="00893A60">
            <w:pPr>
              <w:spacing w:line="360" w:lineRule="auto"/>
              <w:jc w:val="both"/>
              <w:rPr>
                <w:rFonts w:ascii="Arial" w:hAnsi="Arial" w:cs="Arial"/>
                <w:sz w:val="24"/>
                <w:szCs w:val="24"/>
              </w:rPr>
            </w:pPr>
          </w:p>
          <w:p w14:paraId="589E4D79" w14:textId="0EE8B6D4" w:rsidR="00893A60" w:rsidRPr="00460670" w:rsidRDefault="005E0C96" w:rsidP="00893A60">
            <w:pPr>
              <w:spacing w:line="360" w:lineRule="auto"/>
              <w:jc w:val="both"/>
              <w:rPr>
                <w:rFonts w:ascii="Arial" w:hAnsi="Arial" w:cs="Arial"/>
                <w:sz w:val="24"/>
                <w:szCs w:val="24"/>
              </w:rPr>
            </w:pPr>
            <w:r>
              <w:rPr>
                <w:rFonts w:ascii="Arial" w:hAnsi="Arial" w:cs="Arial"/>
                <w:sz w:val="24"/>
                <w:szCs w:val="24"/>
              </w:rPr>
              <w:t>[14</w:t>
            </w:r>
            <w:r w:rsidR="00893A60" w:rsidRPr="00460670">
              <w:rPr>
                <w:rFonts w:ascii="Arial" w:hAnsi="Arial" w:cs="Arial"/>
                <w:sz w:val="24"/>
                <w:szCs w:val="24"/>
              </w:rPr>
              <w:t>]</w:t>
            </w:r>
            <w:r w:rsidR="00893A60" w:rsidRPr="00460670">
              <w:rPr>
                <w:rFonts w:ascii="Arial" w:hAnsi="Arial" w:cs="Arial"/>
                <w:sz w:val="24"/>
                <w:szCs w:val="24"/>
              </w:rPr>
              <w:tab/>
              <w:t>It was put to him that in view of that</w:t>
            </w:r>
            <w:r w:rsidR="00887A63">
              <w:rPr>
                <w:rFonts w:ascii="Arial" w:hAnsi="Arial" w:cs="Arial"/>
                <w:sz w:val="24"/>
                <w:szCs w:val="24"/>
              </w:rPr>
              <w:t>,</w:t>
            </w:r>
            <w:r w:rsidR="00893A60" w:rsidRPr="00460670">
              <w:rPr>
                <w:rFonts w:ascii="Arial" w:hAnsi="Arial" w:cs="Arial"/>
                <w:sz w:val="24"/>
                <w:szCs w:val="24"/>
              </w:rPr>
              <w:t xml:space="preserve"> the fifth respondent did nothing wrong between the period of 2013 until 2018 as alleged in his particulars of claim. He answered that if the fifth respondent has responded on his papers she would not have violated his rights. </w:t>
            </w:r>
          </w:p>
          <w:p w14:paraId="4C0EF984" w14:textId="77777777" w:rsidR="00893A60" w:rsidRPr="00460670" w:rsidRDefault="00893A60" w:rsidP="00893A60">
            <w:pPr>
              <w:spacing w:line="360" w:lineRule="auto"/>
              <w:jc w:val="both"/>
              <w:rPr>
                <w:rFonts w:ascii="Arial" w:hAnsi="Arial" w:cs="Arial"/>
                <w:sz w:val="24"/>
                <w:szCs w:val="24"/>
              </w:rPr>
            </w:pPr>
          </w:p>
          <w:p w14:paraId="75871FA1" w14:textId="77777777" w:rsidR="00893A60" w:rsidRPr="00460670" w:rsidRDefault="00893A60" w:rsidP="00893A60">
            <w:pPr>
              <w:spacing w:line="360" w:lineRule="auto"/>
              <w:jc w:val="both"/>
              <w:rPr>
                <w:rFonts w:ascii="Arial" w:hAnsi="Arial" w:cs="Arial"/>
                <w:sz w:val="24"/>
                <w:szCs w:val="24"/>
                <w:u w:val="single"/>
              </w:rPr>
            </w:pPr>
            <w:r w:rsidRPr="00460670">
              <w:rPr>
                <w:rFonts w:ascii="Arial" w:hAnsi="Arial" w:cs="Arial"/>
                <w:sz w:val="24"/>
                <w:szCs w:val="24"/>
                <w:u w:val="single"/>
              </w:rPr>
              <w:t>Application for absolution from the instance</w:t>
            </w:r>
          </w:p>
          <w:p w14:paraId="5BD56C28" w14:textId="77777777" w:rsidR="00893A60" w:rsidRPr="00460670" w:rsidRDefault="00893A60" w:rsidP="00893A60">
            <w:pPr>
              <w:spacing w:line="360" w:lineRule="auto"/>
              <w:jc w:val="both"/>
              <w:rPr>
                <w:rFonts w:ascii="Arial" w:hAnsi="Arial" w:cs="Arial"/>
                <w:sz w:val="24"/>
                <w:szCs w:val="24"/>
              </w:rPr>
            </w:pPr>
          </w:p>
          <w:p w14:paraId="25A3205C" w14:textId="619F2C45" w:rsidR="00893A60" w:rsidRPr="00460670" w:rsidRDefault="00893A60" w:rsidP="00893A60">
            <w:pPr>
              <w:spacing w:line="360" w:lineRule="auto"/>
              <w:jc w:val="both"/>
              <w:rPr>
                <w:rFonts w:ascii="Arial" w:hAnsi="Arial" w:cs="Arial"/>
                <w:sz w:val="24"/>
                <w:szCs w:val="24"/>
              </w:rPr>
            </w:pPr>
            <w:r w:rsidRPr="00460670">
              <w:rPr>
                <w:rFonts w:ascii="Arial" w:hAnsi="Arial" w:cs="Arial"/>
                <w:sz w:val="24"/>
                <w:szCs w:val="24"/>
              </w:rPr>
              <w:t>[1</w:t>
            </w:r>
            <w:r w:rsidR="005E0C96">
              <w:rPr>
                <w:rFonts w:ascii="Arial" w:hAnsi="Arial" w:cs="Arial"/>
                <w:sz w:val="24"/>
                <w:szCs w:val="24"/>
              </w:rPr>
              <w:t>5</w:t>
            </w:r>
            <w:r w:rsidRPr="00460670">
              <w:rPr>
                <w:rFonts w:ascii="Arial" w:hAnsi="Arial" w:cs="Arial"/>
                <w:sz w:val="24"/>
                <w:szCs w:val="24"/>
              </w:rPr>
              <w:t>]</w:t>
            </w:r>
            <w:r w:rsidRPr="00460670">
              <w:rPr>
                <w:rFonts w:ascii="Arial" w:hAnsi="Arial" w:cs="Arial"/>
                <w:sz w:val="24"/>
                <w:szCs w:val="24"/>
              </w:rPr>
              <w:tab/>
              <w:t xml:space="preserve">The essence of the application for absolution rested on the premise that there was no evidence that the plaintiff indeed filed an appeal on 31 May 2013, or that the fifth defendant infringed any rights of the plaintiff which would entitle him to damages. Thus plaintiff has </w:t>
            </w:r>
            <w:r w:rsidR="00F73F22">
              <w:rPr>
                <w:rFonts w:ascii="Arial" w:hAnsi="Arial" w:cs="Arial"/>
                <w:sz w:val="24"/>
                <w:szCs w:val="24"/>
              </w:rPr>
              <w:t>not discharged the onus on him, so Counsel for the defendants argued.</w:t>
            </w:r>
          </w:p>
          <w:p w14:paraId="7E1D3D7D" w14:textId="77777777" w:rsidR="00893A60" w:rsidRPr="00460670" w:rsidRDefault="00893A60" w:rsidP="00893A60">
            <w:pPr>
              <w:spacing w:line="360" w:lineRule="auto"/>
              <w:jc w:val="both"/>
              <w:rPr>
                <w:rFonts w:ascii="Arial" w:hAnsi="Arial" w:cs="Arial"/>
                <w:sz w:val="24"/>
                <w:szCs w:val="24"/>
              </w:rPr>
            </w:pPr>
          </w:p>
          <w:p w14:paraId="42CCDCF8" w14:textId="652B242B" w:rsidR="00893A60" w:rsidRPr="00460670" w:rsidRDefault="00893A60" w:rsidP="00893A60">
            <w:pPr>
              <w:spacing w:line="360" w:lineRule="auto"/>
              <w:jc w:val="both"/>
              <w:rPr>
                <w:rFonts w:ascii="Arial" w:hAnsi="Arial" w:cs="Arial"/>
                <w:sz w:val="24"/>
                <w:szCs w:val="24"/>
              </w:rPr>
            </w:pPr>
            <w:r w:rsidRPr="00460670">
              <w:rPr>
                <w:rFonts w:ascii="Arial" w:hAnsi="Arial" w:cs="Arial"/>
                <w:sz w:val="24"/>
                <w:szCs w:val="24"/>
              </w:rPr>
              <w:t>[1</w:t>
            </w:r>
            <w:r w:rsidR="005E0C96">
              <w:rPr>
                <w:rFonts w:ascii="Arial" w:hAnsi="Arial" w:cs="Arial"/>
                <w:sz w:val="24"/>
                <w:szCs w:val="24"/>
              </w:rPr>
              <w:t>6</w:t>
            </w:r>
            <w:r w:rsidRPr="00460670">
              <w:rPr>
                <w:rFonts w:ascii="Arial" w:hAnsi="Arial" w:cs="Arial"/>
                <w:sz w:val="24"/>
                <w:szCs w:val="24"/>
              </w:rPr>
              <w:t>]</w:t>
            </w:r>
            <w:r w:rsidRPr="00460670">
              <w:rPr>
                <w:rFonts w:ascii="Arial" w:hAnsi="Arial" w:cs="Arial"/>
                <w:sz w:val="24"/>
                <w:szCs w:val="24"/>
              </w:rPr>
              <w:tab/>
              <w:t>The application was opposed. It was contended that the plaintiff has presented enough evidence for a court to find in his favour. The argument proffered was not denied</w:t>
            </w:r>
            <w:r w:rsidR="00887A63">
              <w:rPr>
                <w:rFonts w:ascii="Arial" w:hAnsi="Arial" w:cs="Arial"/>
                <w:sz w:val="24"/>
                <w:szCs w:val="24"/>
              </w:rPr>
              <w:t>,</w:t>
            </w:r>
            <w:r w:rsidRPr="00460670">
              <w:rPr>
                <w:rFonts w:ascii="Arial" w:hAnsi="Arial" w:cs="Arial"/>
                <w:sz w:val="24"/>
                <w:szCs w:val="24"/>
              </w:rPr>
              <w:t xml:space="preserve"> that the plaintiff filed a notice of appeal in 2013 as it was merely put to the plaintiff that he has no proof (in the form of a stamped copy) that he filed the said notice. Thus</w:t>
            </w:r>
            <w:r w:rsidR="00CB1BB0">
              <w:rPr>
                <w:rFonts w:ascii="Arial" w:hAnsi="Arial" w:cs="Arial"/>
                <w:sz w:val="24"/>
                <w:szCs w:val="24"/>
              </w:rPr>
              <w:t>,</w:t>
            </w:r>
            <w:r w:rsidRPr="00460670">
              <w:rPr>
                <w:rFonts w:ascii="Arial" w:hAnsi="Arial" w:cs="Arial"/>
                <w:sz w:val="24"/>
                <w:szCs w:val="24"/>
              </w:rPr>
              <w:t xml:space="preserve"> the plaintiff must have filed an appeal prior to 2014 as he was following up on it. Furthermore</w:t>
            </w:r>
            <w:r w:rsidR="00CB1BB0">
              <w:rPr>
                <w:rFonts w:ascii="Arial" w:hAnsi="Arial" w:cs="Arial"/>
                <w:sz w:val="24"/>
                <w:szCs w:val="24"/>
              </w:rPr>
              <w:t>,</w:t>
            </w:r>
            <w:r w:rsidRPr="00460670">
              <w:rPr>
                <w:rFonts w:ascii="Arial" w:hAnsi="Arial" w:cs="Arial"/>
                <w:sz w:val="24"/>
                <w:szCs w:val="24"/>
              </w:rPr>
              <w:t xml:space="preserve"> that the defense that emanated from cross-examination that the ‘2018 Notice Of Appeal’ was defective and would </w:t>
            </w:r>
            <w:r w:rsidRPr="00460670">
              <w:rPr>
                <w:rFonts w:ascii="Arial" w:hAnsi="Arial" w:cs="Arial"/>
                <w:sz w:val="24"/>
                <w:szCs w:val="24"/>
              </w:rPr>
              <w:lastRenderedPageBreak/>
              <w:t xml:space="preserve">have been struck from the roll, was not pleaded, and thus </w:t>
            </w:r>
            <w:r w:rsidR="00CB1BB0">
              <w:rPr>
                <w:rFonts w:ascii="Arial" w:hAnsi="Arial" w:cs="Arial"/>
                <w:sz w:val="24"/>
                <w:szCs w:val="24"/>
              </w:rPr>
              <w:t>such argument is</w:t>
            </w:r>
            <w:r w:rsidRPr="00460670">
              <w:rPr>
                <w:rFonts w:ascii="Arial" w:hAnsi="Arial" w:cs="Arial"/>
                <w:sz w:val="24"/>
                <w:szCs w:val="24"/>
              </w:rPr>
              <w:t xml:space="preserve"> not available to the parties. </w:t>
            </w:r>
          </w:p>
          <w:p w14:paraId="4845F9F9" w14:textId="77777777" w:rsidR="00893A60" w:rsidRPr="00460670" w:rsidRDefault="00893A60" w:rsidP="00893A60">
            <w:pPr>
              <w:spacing w:line="360" w:lineRule="auto"/>
              <w:jc w:val="both"/>
              <w:rPr>
                <w:rFonts w:ascii="Arial" w:hAnsi="Arial" w:cs="Arial"/>
                <w:sz w:val="24"/>
                <w:szCs w:val="24"/>
              </w:rPr>
            </w:pPr>
          </w:p>
          <w:p w14:paraId="3F93A42B" w14:textId="77777777" w:rsidR="00893A60" w:rsidRPr="00460670" w:rsidRDefault="00893A60" w:rsidP="00893A60">
            <w:pPr>
              <w:spacing w:line="360" w:lineRule="auto"/>
              <w:jc w:val="both"/>
              <w:rPr>
                <w:rFonts w:ascii="Arial" w:hAnsi="Arial" w:cs="Arial"/>
                <w:sz w:val="24"/>
                <w:szCs w:val="24"/>
                <w:u w:val="single"/>
              </w:rPr>
            </w:pPr>
            <w:r w:rsidRPr="00460670">
              <w:rPr>
                <w:rFonts w:ascii="Arial" w:hAnsi="Arial" w:cs="Arial"/>
                <w:sz w:val="24"/>
                <w:szCs w:val="24"/>
                <w:u w:val="single"/>
              </w:rPr>
              <w:t>Legal principles</w:t>
            </w:r>
          </w:p>
          <w:p w14:paraId="1E0DCFE1" w14:textId="77777777" w:rsidR="00893A60" w:rsidRPr="00460670" w:rsidRDefault="00893A60" w:rsidP="00893A60">
            <w:pPr>
              <w:spacing w:line="360" w:lineRule="auto"/>
              <w:jc w:val="both"/>
              <w:rPr>
                <w:rFonts w:ascii="Arial" w:hAnsi="Arial" w:cs="Arial"/>
                <w:sz w:val="24"/>
                <w:szCs w:val="24"/>
              </w:rPr>
            </w:pPr>
          </w:p>
          <w:p w14:paraId="12EC9E71" w14:textId="3B0620BB" w:rsidR="00893A60" w:rsidRPr="00460670" w:rsidRDefault="005E0C96" w:rsidP="00893A60">
            <w:pPr>
              <w:spacing w:line="360" w:lineRule="auto"/>
              <w:jc w:val="both"/>
              <w:rPr>
                <w:rFonts w:ascii="Arial" w:hAnsi="Arial" w:cs="Arial"/>
              </w:rPr>
            </w:pPr>
            <w:r>
              <w:rPr>
                <w:rFonts w:ascii="Arial" w:hAnsi="Arial" w:cs="Arial"/>
                <w:sz w:val="24"/>
                <w:szCs w:val="24"/>
              </w:rPr>
              <w:t>[17</w:t>
            </w:r>
            <w:r w:rsidR="00893A60" w:rsidRPr="00460670">
              <w:rPr>
                <w:rFonts w:ascii="Arial" w:hAnsi="Arial" w:cs="Arial"/>
                <w:sz w:val="24"/>
                <w:szCs w:val="24"/>
              </w:rPr>
              <w:t>]</w:t>
            </w:r>
            <w:r w:rsidR="00893A60" w:rsidRPr="00460670">
              <w:rPr>
                <w:rFonts w:ascii="Arial" w:hAnsi="Arial" w:cs="Arial"/>
                <w:sz w:val="24"/>
                <w:szCs w:val="24"/>
              </w:rPr>
              <w:tab/>
              <w:t>The legal principles for applications of this nature are well established. The test is whether, at the end of the plaintiff’s case, there is evidence upon which a court, applying its mind reasonably to such evidence, could or might find for the plaintiff.</w:t>
            </w:r>
            <w:r w:rsidR="00893A60" w:rsidRPr="00460670">
              <w:rPr>
                <w:rStyle w:val="FootnoteReference"/>
                <w:rFonts w:ascii="Arial" w:hAnsi="Arial" w:cs="Arial"/>
                <w:sz w:val="24"/>
                <w:szCs w:val="24"/>
              </w:rPr>
              <w:footnoteReference w:id="1"/>
            </w:r>
            <w:r w:rsidR="00893A60" w:rsidRPr="00460670">
              <w:rPr>
                <w:rFonts w:ascii="Arial" w:hAnsi="Arial" w:cs="Arial"/>
                <w:sz w:val="24"/>
                <w:szCs w:val="24"/>
              </w:rPr>
              <w:t xml:space="preserve"> This implies that a plaintiff has to make out a </w:t>
            </w:r>
            <w:r w:rsidR="00893A60" w:rsidRPr="00CB1BB0">
              <w:rPr>
                <w:rFonts w:ascii="Arial" w:hAnsi="Arial" w:cs="Arial"/>
                <w:i/>
                <w:sz w:val="24"/>
                <w:szCs w:val="24"/>
              </w:rPr>
              <w:t>prima facie</w:t>
            </w:r>
            <w:r w:rsidR="00893A60" w:rsidRPr="00460670">
              <w:rPr>
                <w:rFonts w:ascii="Arial" w:hAnsi="Arial" w:cs="Arial"/>
                <w:sz w:val="24"/>
                <w:szCs w:val="24"/>
              </w:rPr>
              <w:t xml:space="preserve"> case, in the sense that there is evidence relating to all elements of the claim, to survive absolution, because without such evidence, no court could find for the plaintiff.</w:t>
            </w:r>
            <w:r w:rsidR="00893A60" w:rsidRPr="00460670">
              <w:rPr>
                <w:rStyle w:val="FootnoteReference"/>
                <w:rFonts w:ascii="Arial" w:hAnsi="Arial" w:cs="Arial"/>
                <w:sz w:val="24"/>
                <w:szCs w:val="24"/>
              </w:rPr>
              <w:footnoteReference w:id="2"/>
            </w:r>
            <w:r w:rsidR="00893A60" w:rsidRPr="00460670">
              <w:rPr>
                <w:rFonts w:ascii="Arial" w:hAnsi="Arial" w:cs="Arial"/>
                <w:sz w:val="24"/>
                <w:szCs w:val="24"/>
              </w:rPr>
              <w:t xml:space="preserve"> The underlying reason is that, it is ordinarily in the interests of justice to bring the litigation to an end in such circumstances.</w:t>
            </w:r>
            <w:r w:rsidR="00893A60" w:rsidRPr="00460670">
              <w:rPr>
                <w:rStyle w:val="FootnoteReference"/>
                <w:rFonts w:ascii="Arial" w:hAnsi="Arial" w:cs="Arial"/>
                <w:sz w:val="24"/>
                <w:szCs w:val="24"/>
              </w:rPr>
              <w:footnoteReference w:id="3"/>
            </w:r>
            <w:r w:rsidR="00CB1BB0">
              <w:rPr>
                <w:rFonts w:ascii="Arial" w:hAnsi="Arial" w:cs="Arial"/>
                <w:sz w:val="24"/>
                <w:szCs w:val="24"/>
              </w:rPr>
              <w:t xml:space="preserve">  </w:t>
            </w:r>
            <w:r w:rsidR="00893A60" w:rsidRPr="00460670">
              <w:rPr>
                <w:rFonts w:ascii="Arial" w:hAnsi="Arial" w:cs="Arial"/>
                <w:sz w:val="24"/>
                <w:szCs w:val="24"/>
              </w:rPr>
              <w:t xml:space="preserve">In dealing with such applications, the court does not normally evaluate the evidence adduced on behalf of the plaintiff by making credibility findings at this stage. The court assumes that the evidence adduced by the plaintiff is true and deals with the matter on that basis. If the evidence adduced by the plaintiff is, however, hopelessly poor, vacillating or of so romancing a character, the court may, in those circumstances, grant the application. </w:t>
            </w:r>
            <w:r w:rsidR="00893A60" w:rsidRPr="00460670">
              <w:rPr>
                <w:rStyle w:val="FootnoteReference"/>
                <w:rFonts w:ascii="Arial" w:hAnsi="Arial" w:cs="Arial"/>
                <w:sz w:val="24"/>
                <w:szCs w:val="24"/>
              </w:rPr>
              <w:footnoteReference w:id="4"/>
            </w:r>
          </w:p>
          <w:p w14:paraId="1A871544" w14:textId="77777777" w:rsidR="00893A60" w:rsidRPr="00460670" w:rsidRDefault="00893A60" w:rsidP="00893A60">
            <w:pPr>
              <w:spacing w:line="360" w:lineRule="auto"/>
              <w:jc w:val="both"/>
              <w:rPr>
                <w:rFonts w:ascii="Arial" w:hAnsi="Arial" w:cs="Arial"/>
              </w:rPr>
            </w:pPr>
          </w:p>
          <w:p w14:paraId="4B479EBB" w14:textId="44B28173" w:rsidR="00893A60" w:rsidRDefault="005E0C96" w:rsidP="00893A60">
            <w:pPr>
              <w:spacing w:line="360" w:lineRule="auto"/>
              <w:jc w:val="both"/>
              <w:rPr>
                <w:rFonts w:ascii="Arial" w:eastAsia="Times New Roman" w:hAnsi="Arial" w:cs="Arial"/>
                <w:sz w:val="24"/>
                <w:szCs w:val="24"/>
                <w:lang w:eastAsia="en-GB"/>
              </w:rPr>
            </w:pPr>
            <w:r>
              <w:rPr>
                <w:rFonts w:ascii="Arial" w:hAnsi="Arial" w:cs="Arial"/>
                <w:sz w:val="24"/>
                <w:szCs w:val="24"/>
              </w:rPr>
              <w:t>[18</w:t>
            </w:r>
            <w:r w:rsidR="00893A60" w:rsidRPr="00460670">
              <w:rPr>
                <w:rFonts w:ascii="Arial" w:hAnsi="Arial" w:cs="Arial"/>
                <w:sz w:val="24"/>
                <w:szCs w:val="24"/>
              </w:rPr>
              <w:t>]</w:t>
            </w:r>
            <w:r w:rsidR="00893A60" w:rsidRPr="00460670">
              <w:rPr>
                <w:rFonts w:ascii="Arial" w:hAnsi="Arial" w:cs="Arial"/>
                <w:sz w:val="24"/>
                <w:szCs w:val="24"/>
              </w:rPr>
              <w:tab/>
            </w:r>
            <w:r w:rsidR="00893A60" w:rsidRPr="00460670">
              <w:rPr>
                <w:rFonts w:ascii="Arial" w:eastAsia="Times New Roman" w:hAnsi="Arial" w:cs="Arial"/>
                <w:i/>
                <w:sz w:val="24"/>
                <w:szCs w:val="24"/>
                <w:lang w:eastAsia="en-GB"/>
              </w:rPr>
              <w:t>In Teek v The Minister of Safety and Security &amp; 7 Others</w:t>
            </w:r>
            <w:r w:rsidR="00893A60" w:rsidRPr="00460670">
              <w:rPr>
                <w:rStyle w:val="FootnoteReference"/>
                <w:rFonts w:ascii="Arial" w:eastAsia="Times New Roman" w:hAnsi="Arial" w:cs="Arial"/>
                <w:i/>
                <w:sz w:val="24"/>
                <w:szCs w:val="24"/>
                <w:lang w:eastAsia="en-GB"/>
              </w:rPr>
              <w:footnoteReference w:id="5"/>
            </w:r>
            <w:r w:rsidR="00893A60" w:rsidRPr="00460670">
              <w:rPr>
                <w:rFonts w:ascii="Arial" w:eastAsia="Times New Roman" w:hAnsi="Arial" w:cs="Arial"/>
                <w:i/>
                <w:sz w:val="24"/>
                <w:szCs w:val="24"/>
                <w:lang w:eastAsia="en-GB"/>
              </w:rPr>
              <w:t>,</w:t>
            </w:r>
            <w:r w:rsidR="00CB1BB0">
              <w:rPr>
                <w:rFonts w:ascii="Arial" w:eastAsia="Times New Roman" w:hAnsi="Arial" w:cs="Arial"/>
                <w:i/>
                <w:sz w:val="24"/>
                <w:szCs w:val="24"/>
                <w:lang w:eastAsia="en-GB"/>
              </w:rPr>
              <w:t xml:space="preserve"> </w:t>
            </w:r>
            <w:r w:rsidR="008C40AD">
              <w:rPr>
                <w:rFonts w:ascii="Arial" w:eastAsia="Times New Roman" w:hAnsi="Arial" w:cs="Arial"/>
                <w:sz w:val="24"/>
                <w:szCs w:val="24"/>
                <w:lang w:eastAsia="en-GB"/>
              </w:rPr>
              <w:t>Usiku J</w:t>
            </w:r>
            <w:r w:rsidR="00893A60" w:rsidRPr="00CB1BB0">
              <w:rPr>
                <w:rFonts w:ascii="Arial" w:eastAsia="Times New Roman" w:hAnsi="Arial" w:cs="Arial"/>
                <w:sz w:val="24"/>
                <w:szCs w:val="24"/>
                <w:lang w:eastAsia="en-GB"/>
              </w:rPr>
              <w:t xml:space="preserve"> reiterated</w:t>
            </w:r>
            <w:r w:rsidR="00893A60" w:rsidRPr="00460670">
              <w:rPr>
                <w:rFonts w:ascii="Arial" w:eastAsia="Times New Roman" w:hAnsi="Arial" w:cs="Arial"/>
                <w:sz w:val="24"/>
                <w:szCs w:val="24"/>
                <w:lang w:eastAsia="en-GB"/>
              </w:rPr>
              <w:t xml:space="preserve"> basic requirements as follows at para 31:  </w:t>
            </w:r>
          </w:p>
          <w:p w14:paraId="15A13B49" w14:textId="637E5A2C" w:rsidR="00893A60" w:rsidRPr="00460670" w:rsidRDefault="00CB1BB0" w:rsidP="00CB1BB0">
            <w:pPr>
              <w:spacing w:line="360" w:lineRule="auto"/>
              <w:jc w:val="both"/>
              <w:rPr>
                <w:rFonts w:ascii="Arial" w:hAnsi="Arial" w:cs="Arial"/>
              </w:rPr>
            </w:pPr>
            <w:r>
              <w:rPr>
                <w:rFonts w:ascii="Arial" w:eastAsia="Times New Roman" w:hAnsi="Arial" w:cs="Arial"/>
                <w:lang w:eastAsia="en-GB"/>
              </w:rPr>
              <w:t xml:space="preserve">   </w:t>
            </w:r>
            <w:r w:rsidR="00893A60" w:rsidRPr="00460670">
              <w:rPr>
                <w:rFonts w:ascii="Arial" w:eastAsia="Times New Roman" w:hAnsi="Arial" w:cs="Arial"/>
                <w:lang w:eastAsia="en-GB"/>
              </w:rPr>
              <w:t xml:space="preserve">‘ </w:t>
            </w:r>
            <w:r w:rsidR="00893A60" w:rsidRPr="00460670">
              <w:rPr>
                <w:rFonts w:ascii="Arial" w:hAnsi="Arial" w:cs="Arial"/>
              </w:rPr>
              <w:t>In action proceedings, a plaintiff is required to:</w:t>
            </w:r>
          </w:p>
          <w:p w14:paraId="656C20B5" w14:textId="1EC07605" w:rsidR="00893A60" w:rsidRPr="00460670" w:rsidRDefault="00CB1BB0" w:rsidP="00893A60">
            <w:pPr>
              <w:spacing w:line="360" w:lineRule="auto"/>
              <w:ind w:left="567"/>
              <w:jc w:val="both"/>
              <w:rPr>
                <w:rFonts w:ascii="Arial" w:hAnsi="Arial" w:cs="Arial"/>
              </w:rPr>
            </w:pPr>
            <w:r>
              <w:rPr>
                <w:rFonts w:ascii="Arial" w:hAnsi="Arial" w:cs="Arial"/>
              </w:rPr>
              <w:t xml:space="preserve">(a)   </w:t>
            </w:r>
            <w:r w:rsidR="00893A60" w:rsidRPr="00460670">
              <w:rPr>
                <w:rFonts w:ascii="Arial" w:hAnsi="Arial" w:cs="Arial"/>
              </w:rPr>
              <w:t>allege in the pleadings certain wrongful or unlawful actionable acts attributable to the defendant, which have caused plaintiff to suffer some damages, and</w:t>
            </w:r>
          </w:p>
          <w:p w14:paraId="002F9AA5" w14:textId="60B23E00" w:rsidR="00893A60" w:rsidRPr="00460670" w:rsidRDefault="00CB1BB0" w:rsidP="00893A60">
            <w:pPr>
              <w:spacing w:line="360" w:lineRule="auto"/>
              <w:ind w:left="567"/>
              <w:jc w:val="both"/>
              <w:rPr>
                <w:rFonts w:ascii="Arial" w:hAnsi="Arial" w:cs="Arial"/>
              </w:rPr>
            </w:pPr>
            <w:r>
              <w:rPr>
                <w:rFonts w:ascii="Arial" w:hAnsi="Arial" w:cs="Arial"/>
              </w:rPr>
              <w:t xml:space="preserve">(b)     </w:t>
            </w:r>
            <w:r w:rsidR="00893A60" w:rsidRPr="00460670">
              <w:rPr>
                <w:rFonts w:ascii="Arial" w:hAnsi="Arial" w:cs="Arial"/>
              </w:rPr>
              <w:t>prove, at trial, that which the plaintiff has alleged in the pleadings.</w:t>
            </w:r>
            <w:r w:rsidR="00893A60" w:rsidRPr="00460670">
              <w:rPr>
                <w:rStyle w:val="FootnoteReference"/>
                <w:rFonts w:ascii="Arial" w:hAnsi="Arial" w:cs="Arial"/>
              </w:rPr>
              <w:footnoteReference w:id="6"/>
            </w:r>
            <w:r w:rsidR="00893A60" w:rsidRPr="00460670">
              <w:rPr>
                <w:rFonts w:ascii="Arial" w:hAnsi="Arial" w:cs="Arial"/>
              </w:rPr>
              <w:t>’</w:t>
            </w:r>
          </w:p>
          <w:p w14:paraId="3D4C6C15" w14:textId="77777777" w:rsidR="00893A60" w:rsidRPr="00460670" w:rsidRDefault="00893A60" w:rsidP="00893A60">
            <w:pPr>
              <w:spacing w:line="360" w:lineRule="auto"/>
              <w:jc w:val="both"/>
              <w:rPr>
                <w:rFonts w:ascii="Arial" w:hAnsi="Arial" w:cs="Arial"/>
                <w:sz w:val="24"/>
                <w:szCs w:val="24"/>
              </w:rPr>
            </w:pPr>
          </w:p>
          <w:p w14:paraId="37DB27B0" w14:textId="6626D6F6" w:rsidR="00893A60" w:rsidRPr="00460670" w:rsidRDefault="005E0C96" w:rsidP="00893A60">
            <w:pPr>
              <w:spacing w:line="360" w:lineRule="auto"/>
              <w:jc w:val="both"/>
              <w:rPr>
                <w:rFonts w:ascii="Arial" w:hAnsi="Arial" w:cs="Arial"/>
              </w:rPr>
            </w:pPr>
            <w:r>
              <w:rPr>
                <w:rFonts w:ascii="Arial" w:hAnsi="Arial" w:cs="Arial"/>
                <w:sz w:val="24"/>
                <w:szCs w:val="24"/>
              </w:rPr>
              <w:t>[19</w:t>
            </w:r>
            <w:r w:rsidR="00F17C83">
              <w:rPr>
                <w:rFonts w:ascii="Arial" w:hAnsi="Arial" w:cs="Arial"/>
                <w:sz w:val="24"/>
                <w:szCs w:val="24"/>
              </w:rPr>
              <w:t>]</w:t>
            </w:r>
            <w:r w:rsidR="00893A60" w:rsidRPr="00460670">
              <w:rPr>
                <w:rFonts w:ascii="Arial" w:hAnsi="Arial" w:cs="Arial"/>
                <w:sz w:val="24"/>
                <w:szCs w:val="24"/>
              </w:rPr>
              <w:tab/>
              <w:t xml:space="preserve">Furthermore, it appears that an award of damages is not automatic where there was a violation of a constitutional right and that a party must first have recourse to other available legal </w:t>
            </w:r>
            <w:r w:rsidR="00893A60" w:rsidRPr="00460670">
              <w:rPr>
                <w:rFonts w:ascii="Arial" w:hAnsi="Arial" w:cs="Arial"/>
                <w:sz w:val="24"/>
                <w:szCs w:val="24"/>
              </w:rPr>
              <w:lastRenderedPageBreak/>
              <w:t xml:space="preserve">remedies in common law before embarking on a constitutional motion. In </w:t>
            </w:r>
            <w:r w:rsidR="00893A60" w:rsidRPr="00460670">
              <w:rPr>
                <w:rFonts w:ascii="Arial" w:hAnsi="Arial" w:cs="Arial"/>
                <w:i/>
                <w:sz w:val="24"/>
                <w:szCs w:val="24"/>
              </w:rPr>
              <w:t>Visagie v State</w:t>
            </w:r>
            <w:r w:rsidR="00CB1BB0" w:rsidRPr="00CB1BB0">
              <w:rPr>
                <w:rFonts w:ascii="Arial" w:hAnsi="Arial" w:cs="Arial"/>
                <w:sz w:val="24"/>
                <w:szCs w:val="24"/>
              </w:rPr>
              <w:t>,</w:t>
            </w:r>
            <w:r w:rsidR="00893A60" w:rsidRPr="00CB1BB0">
              <w:rPr>
                <w:rStyle w:val="FootnoteReference"/>
                <w:rFonts w:ascii="Arial" w:hAnsi="Arial" w:cs="Arial"/>
                <w:sz w:val="24"/>
                <w:szCs w:val="24"/>
              </w:rPr>
              <w:footnoteReference w:id="7"/>
            </w:r>
            <w:r w:rsidR="00893A60" w:rsidRPr="00460670">
              <w:rPr>
                <w:rFonts w:ascii="Arial" w:hAnsi="Arial" w:cs="Arial"/>
                <w:sz w:val="24"/>
                <w:szCs w:val="24"/>
              </w:rPr>
              <w:t xml:space="preserve"> Rakow J referred to the requirements for a constitutional damages claim as elucidated in</w:t>
            </w:r>
            <w:r w:rsidR="00893A60" w:rsidRPr="00460670">
              <w:rPr>
                <w:rFonts w:ascii="Arial" w:hAnsi="Arial" w:cs="Arial"/>
              </w:rPr>
              <w:t xml:space="preserve"> </w:t>
            </w:r>
            <w:r w:rsidR="00893A60" w:rsidRPr="00460670">
              <w:rPr>
                <w:rFonts w:ascii="Arial" w:hAnsi="Arial" w:cs="Arial"/>
                <w:i/>
                <w:sz w:val="24"/>
                <w:szCs w:val="24"/>
              </w:rPr>
              <w:t>Residents of Industry House, 5 Davies Street and Others v Minister of Police and Others</w:t>
            </w:r>
            <w:r w:rsidR="00893A60" w:rsidRPr="00460670">
              <w:rPr>
                <w:rStyle w:val="FootnoteReference"/>
                <w:rFonts w:ascii="Arial" w:hAnsi="Arial" w:cs="Arial"/>
                <w:i/>
                <w:sz w:val="24"/>
                <w:szCs w:val="24"/>
              </w:rPr>
              <w:footnoteReference w:id="8"/>
            </w:r>
            <w:r w:rsidR="00893A60" w:rsidRPr="00460670">
              <w:rPr>
                <w:rFonts w:ascii="Arial" w:hAnsi="Arial" w:cs="Arial"/>
                <w:i/>
                <w:sz w:val="24"/>
                <w:szCs w:val="24"/>
              </w:rPr>
              <w:t xml:space="preserve"> </w:t>
            </w:r>
            <w:r w:rsidR="00893A60" w:rsidRPr="00CB1BB0">
              <w:rPr>
                <w:rFonts w:ascii="Arial" w:hAnsi="Arial" w:cs="Arial"/>
                <w:sz w:val="24"/>
                <w:szCs w:val="24"/>
              </w:rPr>
              <w:t xml:space="preserve">where </w:t>
            </w:r>
            <w:r w:rsidR="00893A60" w:rsidRPr="00460670">
              <w:rPr>
                <w:rFonts w:ascii="Arial" w:hAnsi="Arial" w:cs="Arial"/>
                <w:sz w:val="24"/>
                <w:szCs w:val="24"/>
              </w:rPr>
              <w:t>the court said the following:</w:t>
            </w:r>
          </w:p>
          <w:p w14:paraId="6D8E6CCB" w14:textId="77777777" w:rsidR="00893A60" w:rsidRPr="00460670" w:rsidRDefault="00893A60" w:rsidP="00893A60">
            <w:pPr>
              <w:spacing w:line="360" w:lineRule="auto"/>
              <w:jc w:val="both"/>
              <w:rPr>
                <w:rFonts w:ascii="Arial" w:hAnsi="Arial" w:cs="Arial"/>
              </w:rPr>
            </w:pPr>
          </w:p>
          <w:p w14:paraId="0BF08A21" w14:textId="77777777" w:rsidR="00893A60" w:rsidRPr="00460670" w:rsidRDefault="00893A60" w:rsidP="00893A60">
            <w:pPr>
              <w:spacing w:line="360" w:lineRule="auto"/>
              <w:jc w:val="both"/>
              <w:rPr>
                <w:rFonts w:ascii="Arial" w:hAnsi="Arial" w:cs="Arial"/>
              </w:rPr>
            </w:pPr>
            <w:r w:rsidRPr="00460670">
              <w:rPr>
                <w:rFonts w:ascii="Arial" w:hAnsi="Arial" w:cs="Arial"/>
              </w:rPr>
              <w:tab/>
              <w:t>‘[152]  A careful reading of the various decisions reveals that our courts do not grant constitutional damages in every case where there has been a violation of the rights in the Bill of Rights.  In some cases, those damages were awarded where they were the only effective relief.  In others they were granted on the basis that there were special circumstances which rendered such damages the most appropriate relief.  And in respect of each instance, the computation of those damages was based on a clear and objective formula.</w:t>
            </w:r>
          </w:p>
          <w:p w14:paraId="25EFDA7F" w14:textId="77777777" w:rsidR="00893A60" w:rsidRPr="00460670" w:rsidRDefault="00893A60" w:rsidP="00893A60">
            <w:pPr>
              <w:spacing w:line="360" w:lineRule="auto"/>
              <w:jc w:val="both"/>
              <w:rPr>
                <w:rFonts w:ascii="Arial" w:hAnsi="Arial" w:cs="Arial"/>
              </w:rPr>
            </w:pPr>
            <w:r w:rsidRPr="00460670">
              <w:rPr>
                <w:rFonts w:ascii="Arial" w:hAnsi="Arial" w:cs="Arial"/>
              </w:rPr>
              <w:t>....</w:t>
            </w:r>
          </w:p>
          <w:p w14:paraId="7D9E110D" w14:textId="77777777" w:rsidR="00893A60" w:rsidRDefault="00893A60" w:rsidP="00893A60">
            <w:pPr>
              <w:spacing w:line="360" w:lineRule="auto"/>
              <w:jc w:val="both"/>
              <w:rPr>
                <w:rFonts w:ascii="Arial" w:hAnsi="Arial" w:cs="Arial"/>
              </w:rPr>
            </w:pPr>
            <w:r w:rsidRPr="00460670">
              <w:rPr>
                <w:rFonts w:ascii="Arial" w:hAnsi="Arial" w:cs="Arial"/>
              </w:rPr>
              <w:t>….</w:t>
            </w:r>
          </w:p>
          <w:p w14:paraId="34011489" w14:textId="3C6BE3F7" w:rsidR="00893A60" w:rsidRPr="00460670" w:rsidRDefault="00893A60" w:rsidP="00893A60">
            <w:pPr>
              <w:spacing w:line="360" w:lineRule="auto"/>
              <w:jc w:val="both"/>
              <w:rPr>
                <w:rFonts w:ascii="Arial" w:hAnsi="Arial" w:cs="Arial"/>
              </w:rPr>
            </w:pPr>
            <w:r w:rsidRPr="00460670">
              <w:rPr>
                <w:rFonts w:ascii="Arial" w:hAnsi="Arial" w:cs="Arial"/>
              </w:rPr>
              <w:t>[155]  But even if we were not to follow the principle that constitutional damages should be allowed where there are no alternative effective remedies, we would still not grant such damages for a number of reasons.  For a claim of that nature to succeed, it is not enough for the claimants to show that there was a breach of a guaranteed right.  In addition to this, they should establish the nature of the harm or loss suffered and the causal link between the loss and the wrongful conduct that resulted in a breach.</w:t>
            </w:r>
            <w:r w:rsidR="00C959CA">
              <w:rPr>
                <w:rFonts w:ascii="Arial" w:hAnsi="Arial" w:cs="Arial"/>
              </w:rPr>
              <w:t>’</w:t>
            </w:r>
          </w:p>
          <w:p w14:paraId="287DAC81" w14:textId="77777777" w:rsidR="00893A60" w:rsidRPr="00460670" w:rsidRDefault="00893A60" w:rsidP="00893A60">
            <w:pPr>
              <w:spacing w:line="360" w:lineRule="auto"/>
              <w:jc w:val="both"/>
              <w:rPr>
                <w:rFonts w:ascii="Arial" w:hAnsi="Arial" w:cs="Arial"/>
              </w:rPr>
            </w:pPr>
          </w:p>
          <w:p w14:paraId="49042A60" w14:textId="77777777" w:rsidR="00893A60" w:rsidRPr="00460670" w:rsidRDefault="00893A60" w:rsidP="00893A60">
            <w:pPr>
              <w:spacing w:line="360" w:lineRule="auto"/>
              <w:jc w:val="both"/>
              <w:rPr>
                <w:rFonts w:ascii="Arial" w:hAnsi="Arial" w:cs="Arial"/>
                <w:sz w:val="24"/>
                <w:szCs w:val="24"/>
                <w:u w:val="single"/>
              </w:rPr>
            </w:pPr>
            <w:r w:rsidRPr="00460670">
              <w:rPr>
                <w:rFonts w:ascii="Arial" w:hAnsi="Arial" w:cs="Arial"/>
                <w:sz w:val="24"/>
                <w:szCs w:val="24"/>
                <w:u w:val="single"/>
              </w:rPr>
              <w:t>Analysis</w:t>
            </w:r>
          </w:p>
          <w:p w14:paraId="3FDA8CE0" w14:textId="77777777" w:rsidR="00893A60" w:rsidRPr="00460670" w:rsidRDefault="00893A60" w:rsidP="00893A60">
            <w:pPr>
              <w:spacing w:line="360" w:lineRule="auto"/>
              <w:jc w:val="both"/>
              <w:rPr>
                <w:rFonts w:ascii="Arial" w:hAnsi="Arial" w:cs="Arial"/>
                <w:sz w:val="24"/>
                <w:szCs w:val="24"/>
              </w:rPr>
            </w:pPr>
          </w:p>
          <w:p w14:paraId="3E5B4BB6" w14:textId="6D3F4512" w:rsidR="00893A60" w:rsidRPr="00460670" w:rsidRDefault="00893A60" w:rsidP="00893A60">
            <w:pPr>
              <w:spacing w:line="360" w:lineRule="auto"/>
              <w:jc w:val="both"/>
              <w:rPr>
                <w:rFonts w:ascii="Arial" w:hAnsi="Arial" w:cs="Arial"/>
                <w:sz w:val="24"/>
                <w:szCs w:val="24"/>
              </w:rPr>
            </w:pPr>
            <w:r w:rsidRPr="00460670">
              <w:rPr>
                <w:rFonts w:ascii="Arial" w:hAnsi="Arial" w:cs="Arial"/>
                <w:sz w:val="24"/>
                <w:szCs w:val="24"/>
              </w:rPr>
              <w:t>[2</w:t>
            </w:r>
            <w:r w:rsidR="005E0C96">
              <w:rPr>
                <w:rFonts w:ascii="Arial" w:hAnsi="Arial" w:cs="Arial"/>
                <w:sz w:val="24"/>
                <w:szCs w:val="24"/>
              </w:rPr>
              <w:t>0</w:t>
            </w:r>
            <w:r w:rsidRPr="00460670">
              <w:rPr>
                <w:rFonts w:ascii="Arial" w:hAnsi="Arial" w:cs="Arial"/>
                <w:sz w:val="24"/>
                <w:szCs w:val="24"/>
              </w:rPr>
              <w:t>]</w:t>
            </w:r>
            <w:r w:rsidRPr="00460670">
              <w:rPr>
                <w:rFonts w:ascii="Arial" w:hAnsi="Arial" w:cs="Arial"/>
                <w:sz w:val="24"/>
                <w:szCs w:val="24"/>
              </w:rPr>
              <w:tab/>
              <w:t xml:space="preserve">I proceed to the question as to whether the plaintiff has presented </w:t>
            </w:r>
            <w:r w:rsidRPr="00460670">
              <w:rPr>
                <w:rFonts w:ascii="Arial" w:hAnsi="Arial" w:cs="Arial"/>
                <w:i/>
                <w:sz w:val="24"/>
                <w:szCs w:val="24"/>
              </w:rPr>
              <w:t>prima facie</w:t>
            </w:r>
            <w:r w:rsidRPr="00460670">
              <w:rPr>
                <w:rFonts w:ascii="Arial" w:hAnsi="Arial" w:cs="Arial"/>
                <w:sz w:val="24"/>
                <w:szCs w:val="24"/>
              </w:rPr>
              <w:t xml:space="preserve"> evidence of the allegations in his particulars of claim. The starting point o</w:t>
            </w:r>
            <w:r w:rsidR="00F73F22">
              <w:rPr>
                <w:rFonts w:ascii="Arial" w:hAnsi="Arial" w:cs="Arial"/>
                <w:sz w:val="24"/>
                <w:szCs w:val="24"/>
              </w:rPr>
              <w:t>f his claim is that he filed a</w:t>
            </w:r>
            <w:r w:rsidR="00F17C83">
              <w:rPr>
                <w:rFonts w:ascii="Arial" w:hAnsi="Arial" w:cs="Arial"/>
                <w:sz w:val="24"/>
                <w:szCs w:val="24"/>
              </w:rPr>
              <w:t>n</w:t>
            </w:r>
            <w:r w:rsidR="00F73F22">
              <w:rPr>
                <w:rFonts w:ascii="Arial" w:hAnsi="Arial" w:cs="Arial"/>
                <w:sz w:val="24"/>
                <w:szCs w:val="24"/>
              </w:rPr>
              <w:t xml:space="preserve"> </w:t>
            </w:r>
            <w:r w:rsidR="00F17C83">
              <w:rPr>
                <w:rFonts w:ascii="Arial" w:hAnsi="Arial" w:cs="Arial"/>
                <w:sz w:val="24"/>
                <w:szCs w:val="24"/>
              </w:rPr>
              <w:t xml:space="preserve">appeal </w:t>
            </w:r>
            <w:r w:rsidRPr="00460670">
              <w:rPr>
                <w:rFonts w:ascii="Arial" w:hAnsi="Arial" w:cs="Arial"/>
                <w:sz w:val="24"/>
                <w:szCs w:val="24"/>
              </w:rPr>
              <w:t>on 31 May 2013</w:t>
            </w:r>
            <w:r w:rsidR="00643060" w:rsidRPr="00460670">
              <w:rPr>
                <w:rFonts w:ascii="Arial" w:hAnsi="Arial" w:cs="Arial"/>
                <w:sz w:val="24"/>
                <w:szCs w:val="24"/>
              </w:rPr>
              <w:t xml:space="preserve"> which was not set down for hearing</w:t>
            </w:r>
            <w:r w:rsidRPr="00460670">
              <w:rPr>
                <w:rFonts w:ascii="Arial" w:hAnsi="Arial" w:cs="Arial"/>
                <w:sz w:val="24"/>
                <w:szCs w:val="24"/>
              </w:rPr>
              <w:t>. In this regard</w:t>
            </w:r>
            <w:r w:rsidR="00CB1BB0">
              <w:rPr>
                <w:rFonts w:ascii="Arial" w:hAnsi="Arial" w:cs="Arial"/>
                <w:sz w:val="24"/>
                <w:szCs w:val="24"/>
              </w:rPr>
              <w:t>,</w:t>
            </w:r>
            <w:r w:rsidRPr="00460670">
              <w:rPr>
                <w:rFonts w:ascii="Arial" w:hAnsi="Arial" w:cs="Arial"/>
                <w:sz w:val="24"/>
                <w:szCs w:val="24"/>
              </w:rPr>
              <w:t xml:space="preserve"> counsel for the plaintiff argued that it was not denied in cross-examination that the plaintiff filed </w:t>
            </w:r>
            <w:r w:rsidR="00F17C83">
              <w:rPr>
                <w:rFonts w:ascii="Arial" w:hAnsi="Arial" w:cs="Arial"/>
                <w:sz w:val="24"/>
                <w:szCs w:val="24"/>
              </w:rPr>
              <w:t>it and it can be deduced that he filed it.</w:t>
            </w:r>
            <w:r w:rsidR="00F73F22">
              <w:rPr>
                <w:rFonts w:ascii="Arial" w:hAnsi="Arial" w:cs="Arial"/>
                <w:sz w:val="24"/>
                <w:szCs w:val="24"/>
              </w:rPr>
              <w:t xml:space="preserve"> </w:t>
            </w:r>
            <w:r w:rsidRPr="00460670">
              <w:rPr>
                <w:rFonts w:ascii="Arial" w:hAnsi="Arial" w:cs="Arial"/>
                <w:sz w:val="24"/>
                <w:szCs w:val="24"/>
              </w:rPr>
              <w:t xml:space="preserve">There is no merit in that, because that allegation was tested on multiple fronts. The plaintiff was confronted about not having any proof that he indeed ‘filed’ </w:t>
            </w:r>
            <w:r w:rsidR="00F73F22">
              <w:rPr>
                <w:rFonts w:ascii="Arial" w:hAnsi="Arial" w:cs="Arial"/>
                <w:sz w:val="24"/>
                <w:szCs w:val="24"/>
              </w:rPr>
              <w:t>it in the form of a Notice of A</w:t>
            </w:r>
            <w:r w:rsidR="00A85BB5">
              <w:rPr>
                <w:rFonts w:ascii="Arial" w:hAnsi="Arial" w:cs="Arial"/>
                <w:sz w:val="24"/>
                <w:szCs w:val="24"/>
              </w:rPr>
              <w:t>ppeal that bears a</w:t>
            </w:r>
            <w:r w:rsidRPr="00460670">
              <w:rPr>
                <w:rFonts w:ascii="Arial" w:hAnsi="Arial" w:cs="Arial"/>
                <w:sz w:val="24"/>
                <w:szCs w:val="24"/>
              </w:rPr>
              <w:t xml:space="preserve"> date stamp of the Registrar’s Office</w:t>
            </w:r>
            <w:r w:rsidR="00A85BB5">
              <w:rPr>
                <w:rFonts w:ascii="Arial" w:hAnsi="Arial" w:cs="Arial"/>
                <w:sz w:val="24"/>
                <w:szCs w:val="24"/>
              </w:rPr>
              <w:t xml:space="preserve"> at all. </w:t>
            </w:r>
            <w:r w:rsidRPr="00460670">
              <w:rPr>
                <w:rFonts w:ascii="Arial" w:hAnsi="Arial" w:cs="Arial"/>
                <w:sz w:val="24"/>
                <w:szCs w:val="24"/>
              </w:rPr>
              <w:t>The plaintiff conceded that there is none.</w:t>
            </w:r>
          </w:p>
          <w:p w14:paraId="4F7452E4" w14:textId="77777777" w:rsidR="00893A60" w:rsidRPr="00460670" w:rsidRDefault="00893A60" w:rsidP="00893A60">
            <w:pPr>
              <w:spacing w:line="360" w:lineRule="auto"/>
              <w:jc w:val="both"/>
              <w:rPr>
                <w:rFonts w:ascii="Arial" w:hAnsi="Arial" w:cs="Arial"/>
                <w:sz w:val="24"/>
                <w:szCs w:val="24"/>
              </w:rPr>
            </w:pPr>
          </w:p>
          <w:p w14:paraId="3C9CE37F" w14:textId="3AA53041" w:rsidR="00893A60" w:rsidRPr="00460670" w:rsidRDefault="00893A60" w:rsidP="00893A60">
            <w:pPr>
              <w:spacing w:line="360" w:lineRule="auto"/>
              <w:jc w:val="both"/>
              <w:rPr>
                <w:rFonts w:ascii="Arial" w:hAnsi="Arial" w:cs="Arial"/>
                <w:sz w:val="24"/>
                <w:szCs w:val="24"/>
              </w:rPr>
            </w:pPr>
            <w:r w:rsidRPr="00460670">
              <w:rPr>
                <w:rFonts w:ascii="Arial" w:hAnsi="Arial" w:cs="Arial"/>
                <w:sz w:val="24"/>
                <w:szCs w:val="24"/>
              </w:rPr>
              <w:t>[2</w:t>
            </w:r>
            <w:r w:rsidR="005E0C96">
              <w:rPr>
                <w:rFonts w:ascii="Arial" w:hAnsi="Arial" w:cs="Arial"/>
                <w:sz w:val="24"/>
                <w:szCs w:val="24"/>
              </w:rPr>
              <w:t>1</w:t>
            </w:r>
            <w:r w:rsidRPr="00460670">
              <w:rPr>
                <w:rFonts w:ascii="Arial" w:hAnsi="Arial" w:cs="Arial"/>
                <w:sz w:val="24"/>
                <w:szCs w:val="24"/>
              </w:rPr>
              <w:t>]</w:t>
            </w:r>
            <w:r w:rsidRPr="00460670">
              <w:rPr>
                <w:rFonts w:ascii="Arial" w:hAnsi="Arial" w:cs="Arial"/>
                <w:sz w:val="24"/>
                <w:szCs w:val="24"/>
              </w:rPr>
              <w:tab/>
              <w:t xml:space="preserve">That point was followed </w:t>
            </w:r>
            <w:r w:rsidR="00643060" w:rsidRPr="00460670">
              <w:rPr>
                <w:rFonts w:ascii="Arial" w:hAnsi="Arial" w:cs="Arial"/>
                <w:sz w:val="24"/>
                <w:szCs w:val="24"/>
              </w:rPr>
              <w:t xml:space="preserve">up </w:t>
            </w:r>
            <w:r w:rsidRPr="00460670">
              <w:rPr>
                <w:rFonts w:ascii="Arial" w:hAnsi="Arial" w:cs="Arial"/>
                <w:sz w:val="24"/>
                <w:szCs w:val="24"/>
              </w:rPr>
              <w:t xml:space="preserve">by exploring how the purported Notice of Appeal was filed. The </w:t>
            </w:r>
            <w:r w:rsidR="00643060" w:rsidRPr="00460670">
              <w:rPr>
                <w:rFonts w:ascii="Arial" w:hAnsi="Arial" w:cs="Arial"/>
                <w:sz w:val="24"/>
                <w:szCs w:val="24"/>
              </w:rPr>
              <w:t>plaintiff’s unequivocal response</w:t>
            </w:r>
            <w:r w:rsidRPr="00460670">
              <w:rPr>
                <w:rFonts w:ascii="Arial" w:hAnsi="Arial" w:cs="Arial"/>
                <w:sz w:val="24"/>
                <w:szCs w:val="24"/>
              </w:rPr>
              <w:t xml:space="preserve"> was that he did not bring or tender the document to the </w:t>
            </w:r>
            <w:r w:rsidRPr="00460670">
              <w:rPr>
                <w:rFonts w:ascii="Arial" w:hAnsi="Arial" w:cs="Arial"/>
                <w:sz w:val="24"/>
                <w:szCs w:val="24"/>
              </w:rPr>
              <w:lastRenderedPageBreak/>
              <w:t>Registrar’s Office</w:t>
            </w:r>
            <w:r w:rsidR="00643060" w:rsidRPr="00460670">
              <w:rPr>
                <w:rFonts w:ascii="Arial" w:hAnsi="Arial" w:cs="Arial"/>
                <w:sz w:val="24"/>
                <w:szCs w:val="24"/>
              </w:rPr>
              <w:t xml:space="preserve">. </w:t>
            </w:r>
            <w:r w:rsidRPr="00460670">
              <w:rPr>
                <w:rFonts w:ascii="Arial" w:hAnsi="Arial" w:cs="Arial"/>
                <w:sz w:val="24"/>
                <w:szCs w:val="24"/>
              </w:rPr>
              <w:t xml:space="preserve">He gave the document to prison officials to bring to the High Court. That was the high water mark of the evidence regarding the </w:t>
            </w:r>
            <w:r w:rsidR="00643060" w:rsidRPr="00460670">
              <w:rPr>
                <w:rFonts w:ascii="Arial" w:hAnsi="Arial" w:cs="Arial"/>
                <w:sz w:val="24"/>
                <w:szCs w:val="24"/>
              </w:rPr>
              <w:t>‘</w:t>
            </w:r>
            <w:r w:rsidRPr="00460670">
              <w:rPr>
                <w:rFonts w:ascii="Arial" w:hAnsi="Arial" w:cs="Arial"/>
                <w:sz w:val="24"/>
                <w:szCs w:val="24"/>
              </w:rPr>
              <w:t>filing</w:t>
            </w:r>
            <w:r w:rsidR="00643060" w:rsidRPr="00460670">
              <w:rPr>
                <w:rFonts w:ascii="Arial" w:hAnsi="Arial" w:cs="Arial"/>
                <w:sz w:val="24"/>
                <w:szCs w:val="24"/>
              </w:rPr>
              <w:t>’</w:t>
            </w:r>
            <w:r w:rsidRPr="00460670">
              <w:rPr>
                <w:rFonts w:ascii="Arial" w:hAnsi="Arial" w:cs="Arial"/>
                <w:sz w:val="24"/>
                <w:szCs w:val="24"/>
              </w:rPr>
              <w:t xml:space="preserve"> of the document. </w:t>
            </w:r>
          </w:p>
          <w:p w14:paraId="69D063D7" w14:textId="77777777" w:rsidR="00893A60" w:rsidRPr="00460670" w:rsidRDefault="00893A60" w:rsidP="00893A60">
            <w:pPr>
              <w:spacing w:line="360" w:lineRule="auto"/>
              <w:jc w:val="both"/>
              <w:rPr>
                <w:rFonts w:ascii="Arial" w:hAnsi="Arial" w:cs="Arial"/>
                <w:sz w:val="24"/>
                <w:szCs w:val="24"/>
              </w:rPr>
            </w:pPr>
          </w:p>
          <w:p w14:paraId="606C3FBE" w14:textId="1E07D17F" w:rsidR="00F17C83" w:rsidRPr="00EE4E81" w:rsidRDefault="00F17C83" w:rsidP="00F17C83">
            <w:pPr>
              <w:pStyle w:val="ListParagraph"/>
              <w:tabs>
                <w:tab w:val="left" w:pos="699"/>
                <w:tab w:val="right" w:pos="8306"/>
              </w:tabs>
              <w:spacing w:after="160" w:line="360" w:lineRule="auto"/>
              <w:ind w:left="0"/>
              <w:jc w:val="both"/>
              <w:rPr>
                <w:rFonts w:ascii="Arial" w:hAnsi="Arial" w:cs="Arial"/>
                <w:sz w:val="24"/>
                <w:szCs w:val="24"/>
              </w:rPr>
            </w:pPr>
            <w:r>
              <w:rPr>
                <w:rFonts w:ascii="Arial" w:hAnsi="Arial" w:cs="Arial"/>
                <w:sz w:val="24"/>
                <w:szCs w:val="24"/>
              </w:rPr>
              <w:t>[2</w:t>
            </w:r>
            <w:r w:rsidR="005E0C96">
              <w:rPr>
                <w:rFonts w:ascii="Arial" w:hAnsi="Arial" w:cs="Arial"/>
                <w:sz w:val="24"/>
                <w:szCs w:val="24"/>
              </w:rPr>
              <w:t>2</w:t>
            </w:r>
            <w:r>
              <w:rPr>
                <w:rFonts w:ascii="Arial" w:hAnsi="Arial" w:cs="Arial"/>
                <w:sz w:val="24"/>
                <w:szCs w:val="24"/>
              </w:rPr>
              <w:t>]</w:t>
            </w:r>
            <w:r>
              <w:rPr>
                <w:rFonts w:ascii="Arial" w:hAnsi="Arial" w:cs="Arial"/>
                <w:sz w:val="24"/>
                <w:szCs w:val="24"/>
              </w:rPr>
              <w:tab/>
            </w:r>
            <w:r>
              <w:rPr>
                <w:rFonts w:ascii="Arial" w:hAnsi="Arial" w:cs="Arial"/>
                <w:sz w:val="24"/>
                <w:szCs w:val="24"/>
              </w:rPr>
              <w:tab/>
            </w:r>
            <w:r w:rsidR="009261C1">
              <w:rPr>
                <w:rFonts w:ascii="Arial" w:hAnsi="Arial" w:cs="Arial"/>
                <w:sz w:val="24"/>
                <w:szCs w:val="24"/>
              </w:rPr>
              <w:t>According to the plaintiff he was convicted and</w:t>
            </w:r>
            <w:r w:rsidR="00C100B7">
              <w:rPr>
                <w:rFonts w:ascii="Arial" w:hAnsi="Arial" w:cs="Arial"/>
                <w:sz w:val="24"/>
                <w:szCs w:val="24"/>
              </w:rPr>
              <w:t xml:space="preserve"> sentenced for a criminal case i</w:t>
            </w:r>
            <w:r w:rsidR="009261C1">
              <w:rPr>
                <w:rFonts w:ascii="Arial" w:hAnsi="Arial" w:cs="Arial"/>
                <w:sz w:val="24"/>
                <w:szCs w:val="24"/>
              </w:rPr>
              <w:t xml:space="preserve">n the High Court and </w:t>
            </w:r>
            <w:r w:rsidR="00A85BB5">
              <w:rPr>
                <w:rFonts w:ascii="Arial" w:hAnsi="Arial" w:cs="Arial"/>
                <w:sz w:val="24"/>
                <w:szCs w:val="24"/>
              </w:rPr>
              <w:t xml:space="preserve">appealed against that. In </w:t>
            </w:r>
            <w:r w:rsidR="00A85BB5" w:rsidRPr="00A85BB5">
              <w:rPr>
                <w:rFonts w:ascii="Arial" w:hAnsi="Arial" w:cs="Arial"/>
                <w:i/>
                <w:sz w:val="24"/>
                <w:szCs w:val="24"/>
              </w:rPr>
              <w:t>Pienaar v S</w:t>
            </w:r>
            <w:r>
              <w:rPr>
                <w:rStyle w:val="FootnoteReference"/>
                <w:rFonts w:ascii="Arial" w:hAnsi="Arial" w:cs="Arial"/>
                <w:i/>
                <w:sz w:val="24"/>
                <w:szCs w:val="24"/>
              </w:rPr>
              <w:footnoteReference w:id="9"/>
            </w:r>
            <w:r w:rsidR="00A85BB5">
              <w:rPr>
                <w:rFonts w:ascii="Arial" w:hAnsi="Arial" w:cs="Arial"/>
                <w:sz w:val="24"/>
                <w:szCs w:val="24"/>
              </w:rPr>
              <w:t xml:space="preserve"> it was reiterated that a person who intends to appeal to the Supreme Court against a judgment of the High Court cannot appeal as of right and is first required to apply for leave to appeal</w:t>
            </w:r>
            <w:r w:rsidR="00C959CA">
              <w:rPr>
                <w:rFonts w:ascii="Arial" w:hAnsi="Arial" w:cs="Arial"/>
                <w:sz w:val="24"/>
                <w:szCs w:val="24"/>
              </w:rPr>
              <w:t xml:space="preserve">. </w:t>
            </w:r>
            <w:r w:rsidR="00A85BB5">
              <w:rPr>
                <w:rFonts w:ascii="Arial" w:hAnsi="Arial" w:cs="Arial"/>
                <w:sz w:val="24"/>
                <w:szCs w:val="24"/>
              </w:rPr>
              <w:t>Section 316(1) and (2)</w:t>
            </w:r>
            <w:r>
              <w:rPr>
                <w:rFonts w:ascii="Arial" w:hAnsi="Arial" w:cs="Arial"/>
                <w:sz w:val="24"/>
                <w:szCs w:val="24"/>
              </w:rPr>
              <w:t xml:space="preserve"> </w:t>
            </w:r>
            <w:r w:rsidR="00A85BB5">
              <w:rPr>
                <w:rFonts w:ascii="Arial" w:hAnsi="Arial" w:cs="Arial"/>
                <w:sz w:val="24"/>
                <w:szCs w:val="24"/>
              </w:rPr>
              <w:t>of the Criminal Procedure Act 51 of 1977 regulates that procedure</w:t>
            </w:r>
            <w:r>
              <w:rPr>
                <w:rFonts w:ascii="Arial" w:hAnsi="Arial" w:cs="Arial"/>
                <w:sz w:val="24"/>
                <w:szCs w:val="24"/>
              </w:rPr>
              <w:t xml:space="preserve"> and it p</w:t>
            </w:r>
            <w:r w:rsidRPr="00EE4E81">
              <w:rPr>
                <w:rFonts w:ascii="Arial" w:hAnsi="Arial" w:cs="Arial"/>
                <w:sz w:val="24"/>
                <w:szCs w:val="24"/>
              </w:rPr>
              <w:t>rovides that:</w:t>
            </w:r>
          </w:p>
          <w:p w14:paraId="33D64513" w14:textId="77777777" w:rsidR="00F17C83" w:rsidRPr="00EE4E81" w:rsidRDefault="00F17C83" w:rsidP="00F17C83">
            <w:pPr>
              <w:pStyle w:val="ListParagraph"/>
              <w:rPr>
                <w:rFonts w:ascii="Arial" w:hAnsi="Arial" w:cs="Arial"/>
                <w:sz w:val="24"/>
                <w:szCs w:val="24"/>
              </w:rPr>
            </w:pPr>
          </w:p>
          <w:p w14:paraId="3E24B6B4" w14:textId="77777777" w:rsidR="00F17C83" w:rsidRDefault="00F17C83" w:rsidP="00F17C83">
            <w:pPr>
              <w:pStyle w:val="ListParagraph"/>
              <w:spacing w:line="360" w:lineRule="auto"/>
              <w:ind w:left="0" w:firstLine="720"/>
              <w:jc w:val="both"/>
              <w:rPr>
                <w:rFonts w:ascii="Arial" w:hAnsi="Arial" w:cs="Arial"/>
              </w:rPr>
            </w:pPr>
            <w:r w:rsidRPr="00EE4E81">
              <w:rPr>
                <w:rFonts w:ascii="Arial" w:hAnsi="Arial" w:cs="Arial"/>
              </w:rPr>
              <w:t xml:space="preserve">‘316(1) </w:t>
            </w:r>
            <w:r w:rsidRPr="00EE4E81">
              <w:rPr>
                <w:rFonts w:ascii="Arial" w:hAnsi="Arial" w:cs="Arial"/>
              </w:rPr>
              <w:tab/>
              <w:t xml:space="preserve">An accused convicted of an offence before the High Court of Namibia may, </w:t>
            </w:r>
            <w:r>
              <w:rPr>
                <w:rFonts w:ascii="Arial" w:hAnsi="Arial" w:cs="Arial"/>
              </w:rPr>
              <w:t>within a period</w:t>
            </w:r>
            <w:r w:rsidRPr="005F2C9D">
              <w:rPr>
                <w:rFonts w:ascii="Arial" w:hAnsi="Arial" w:cs="Arial"/>
              </w:rPr>
              <w:t xml:space="preserve"> of fourteen days of</w:t>
            </w:r>
            <w:r w:rsidRPr="00EE4E81">
              <w:rPr>
                <w:rFonts w:ascii="Arial" w:hAnsi="Arial" w:cs="Arial"/>
              </w:rPr>
              <w:t xml:space="preserve"> the passing of any sentence as a result of such conviction or within such extended period as may on application (in this section referred to as an application for condonation) on good cause be allowed, apply to the judge who presided at the trial or, if that judge is not available, to any other judge of that court for leave to appeal against his or her conviction or against any sentence or order following thereon (in this section referred to as an application for leave to appeal), and an accused convicted of any offence before any such court on a plea of guilty may, within the same period, apply for leave to appeal against any sentence or any order following thereon. </w:t>
            </w:r>
          </w:p>
          <w:p w14:paraId="2181F833" w14:textId="77777777" w:rsidR="00F17C83" w:rsidRPr="005F2C9D" w:rsidRDefault="00F17C83" w:rsidP="00F17C83">
            <w:pPr>
              <w:pStyle w:val="ListParagraph"/>
              <w:spacing w:line="360" w:lineRule="auto"/>
              <w:ind w:left="0" w:firstLine="720"/>
              <w:jc w:val="both"/>
              <w:rPr>
                <w:rFonts w:ascii="Arial" w:hAnsi="Arial" w:cs="Arial"/>
              </w:rPr>
            </w:pPr>
          </w:p>
          <w:p w14:paraId="354341D9" w14:textId="77777777" w:rsidR="00F17C83" w:rsidRDefault="00F17C83" w:rsidP="00F17C83">
            <w:pPr>
              <w:spacing w:line="360" w:lineRule="auto"/>
              <w:jc w:val="both"/>
              <w:rPr>
                <w:rFonts w:ascii="Arial" w:hAnsi="Arial" w:cs="Arial"/>
              </w:rPr>
            </w:pPr>
            <w:r w:rsidRPr="005F2C9D">
              <w:rPr>
                <w:rFonts w:ascii="Arial" w:hAnsi="Arial" w:cs="Arial"/>
              </w:rPr>
              <w:t xml:space="preserve">(2) Every application for leave to appeal shall set forth clearly and specifically the grounds upon which the accused desires to appeal: Provided that if the accused applies verbally for such leave immediately after the passing of the sentence, he </w:t>
            </w:r>
            <w:r>
              <w:rPr>
                <w:rFonts w:ascii="Arial" w:hAnsi="Arial" w:cs="Arial"/>
              </w:rPr>
              <w:t>shall state such grounds and they shall be taken down in writing and form part of the record.’</w:t>
            </w:r>
          </w:p>
          <w:p w14:paraId="28BABEE7" w14:textId="7041E9FC" w:rsidR="00F17C83" w:rsidRDefault="00A85BB5" w:rsidP="00F17C83">
            <w:pPr>
              <w:spacing w:line="360" w:lineRule="auto"/>
              <w:jc w:val="both"/>
              <w:rPr>
                <w:rFonts w:ascii="Arial" w:hAnsi="Arial" w:cs="Arial"/>
                <w:sz w:val="24"/>
                <w:szCs w:val="24"/>
              </w:rPr>
            </w:pPr>
            <w:r>
              <w:rPr>
                <w:rFonts w:ascii="Arial" w:hAnsi="Arial" w:cs="Arial"/>
                <w:sz w:val="24"/>
                <w:szCs w:val="24"/>
              </w:rPr>
              <w:t xml:space="preserve"> </w:t>
            </w:r>
          </w:p>
          <w:p w14:paraId="272BB5D4" w14:textId="51F1D71F" w:rsidR="00A85BB5" w:rsidRPr="00460670" w:rsidRDefault="00F17C83" w:rsidP="00F17C83">
            <w:pPr>
              <w:spacing w:line="360" w:lineRule="auto"/>
              <w:jc w:val="both"/>
              <w:rPr>
                <w:rFonts w:ascii="Arial" w:hAnsi="Arial" w:cs="Arial"/>
                <w:sz w:val="24"/>
                <w:szCs w:val="24"/>
              </w:rPr>
            </w:pPr>
            <w:r>
              <w:rPr>
                <w:rFonts w:ascii="Arial" w:hAnsi="Arial" w:cs="Arial"/>
                <w:sz w:val="24"/>
                <w:szCs w:val="24"/>
              </w:rPr>
              <w:t>[2</w:t>
            </w:r>
            <w:r w:rsidR="005E0C96">
              <w:rPr>
                <w:rFonts w:ascii="Arial" w:hAnsi="Arial" w:cs="Arial"/>
                <w:sz w:val="24"/>
                <w:szCs w:val="24"/>
              </w:rPr>
              <w:t>3</w:t>
            </w:r>
            <w:r>
              <w:rPr>
                <w:rFonts w:ascii="Arial" w:hAnsi="Arial" w:cs="Arial"/>
                <w:sz w:val="24"/>
                <w:szCs w:val="24"/>
              </w:rPr>
              <w:t>]</w:t>
            </w:r>
            <w:r>
              <w:rPr>
                <w:rFonts w:ascii="Arial" w:hAnsi="Arial" w:cs="Arial"/>
                <w:sz w:val="24"/>
                <w:szCs w:val="24"/>
              </w:rPr>
              <w:tab/>
            </w:r>
            <w:r w:rsidR="00A85BB5">
              <w:rPr>
                <w:rFonts w:ascii="Arial" w:hAnsi="Arial" w:cs="Arial"/>
                <w:sz w:val="24"/>
                <w:szCs w:val="24"/>
              </w:rPr>
              <w:t>Presumably</w:t>
            </w:r>
            <w:r w:rsidR="00AA6DC6">
              <w:rPr>
                <w:rFonts w:ascii="Arial" w:hAnsi="Arial" w:cs="Arial"/>
                <w:sz w:val="24"/>
                <w:szCs w:val="24"/>
              </w:rPr>
              <w:t>,</w:t>
            </w:r>
            <w:r w:rsidR="00A85BB5">
              <w:rPr>
                <w:rFonts w:ascii="Arial" w:hAnsi="Arial" w:cs="Arial"/>
                <w:sz w:val="24"/>
                <w:szCs w:val="24"/>
              </w:rPr>
              <w:t xml:space="preserve"> </w:t>
            </w:r>
            <w:r w:rsidR="00C959CA">
              <w:rPr>
                <w:rFonts w:ascii="Arial" w:hAnsi="Arial" w:cs="Arial"/>
                <w:sz w:val="24"/>
                <w:szCs w:val="24"/>
              </w:rPr>
              <w:t>t</w:t>
            </w:r>
            <w:r w:rsidR="00A85BB5">
              <w:rPr>
                <w:rFonts w:ascii="Arial" w:hAnsi="Arial" w:cs="Arial"/>
                <w:sz w:val="24"/>
                <w:szCs w:val="24"/>
              </w:rPr>
              <w:t xml:space="preserve">he </w:t>
            </w:r>
            <w:r w:rsidR="00C959CA">
              <w:rPr>
                <w:rFonts w:ascii="Arial" w:hAnsi="Arial" w:cs="Arial"/>
                <w:sz w:val="24"/>
                <w:szCs w:val="24"/>
              </w:rPr>
              <w:t xml:space="preserve">plaintiff </w:t>
            </w:r>
            <w:r w:rsidR="00A85BB5">
              <w:rPr>
                <w:rFonts w:ascii="Arial" w:hAnsi="Arial" w:cs="Arial"/>
                <w:sz w:val="24"/>
                <w:szCs w:val="24"/>
              </w:rPr>
              <w:t>did not ap</w:t>
            </w:r>
            <w:r w:rsidR="00971E44">
              <w:rPr>
                <w:rFonts w:ascii="Arial" w:hAnsi="Arial" w:cs="Arial"/>
                <w:sz w:val="24"/>
                <w:szCs w:val="24"/>
              </w:rPr>
              <w:t>ply immediately after he was sentenced</w:t>
            </w:r>
            <w:r>
              <w:rPr>
                <w:rFonts w:ascii="Arial" w:hAnsi="Arial" w:cs="Arial"/>
                <w:sz w:val="24"/>
                <w:szCs w:val="24"/>
              </w:rPr>
              <w:t xml:space="preserve"> as he gave his</w:t>
            </w:r>
            <w:r w:rsidR="00A85BB5">
              <w:rPr>
                <w:rFonts w:ascii="Arial" w:hAnsi="Arial" w:cs="Arial"/>
                <w:sz w:val="24"/>
                <w:szCs w:val="24"/>
              </w:rPr>
              <w:t xml:space="preserve"> document to prison officials. </w:t>
            </w:r>
            <w:r w:rsidR="00A85BB5" w:rsidRPr="00460670">
              <w:rPr>
                <w:rFonts w:ascii="Arial" w:hAnsi="Arial" w:cs="Arial"/>
                <w:sz w:val="24"/>
                <w:szCs w:val="24"/>
              </w:rPr>
              <w:t>It goes without saying that</w:t>
            </w:r>
            <w:r w:rsidR="00A85BB5">
              <w:rPr>
                <w:rFonts w:ascii="Arial" w:hAnsi="Arial" w:cs="Arial"/>
                <w:sz w:val="24"/>
                <w:szCs w:val="24"/>
              </w:rPr>
              <w:t>,</w:t>
            </w:r>
            <w:r w:rsidR="00A85BB5" w:rsidRPr="00460670">
              <w:rPr>
                <w:rFonts w:ascii="Arial" w:hAnsi="Arial" w:cs="Arial"/>
                <w:sz w:val="24"/>
                <w:szCs w:val="24"/>
              </w:rPr>
              <w:t xml:space="preserve"> to give a </w:t>
            </w:r>
            <w:r w:rsidR="00F77AD6">
              <w:rPr>
                <w:rFonts w:ascii="Arial" w:hAnsi="Arial" w:cs="Arial"/>
                <w:sz w:val="24"/>
                <w:szCs w:val="24"/>
              </w:rPr>
              <w:t xml:space="preserve">document </w:t>
            </w:r>
            <w:r w:rsidR="00A85BB5" w:rsidRPr="00460670">
              <w:rPr>
                <w:rFonts w:ascii="Arial" w:hAnsi="Arial" w:cs="Arial"/>
                <w:sz w:val="24"/>
                <w:szCs w:val="24"/>
              </w:rPr>
              <w:t>to an official employed at th</w:t>
            </w:r>
            <w:r w:rsidR="00A85BB5">
              <w:rPr>
                <w:rFonts w:ascii="Arial" w:hAnsi="Arial" w:cs="Arial"/>
                <w:sz w:val="24"/>
                <w:szCs w:val="24"/>
              </w:rPr>
              <w:t>e Correctional Facilities does not</w:t>
            </w:r>
            <w:r w:rsidR="00A85BB5" w:rsidRPr="00460670">
              <w:rPr>
                <w:rFonts w:ascii="Arial" w:hAnsi="Arial" w:cs="Arial"/>
                <w:sz w:val="24"/>
                <w:szCs w:val="24"/>
              </w:rPr>
              <w:t xml:space="preserve"> constitute</w:t>
            </w:r>
            <w:r w:rsidR="00C959CA">
              <w:rPr>
                <w:rFonts w:ascii="Arial" w:hAnsi="Arial" w:cs="Arial"/>
                <w:sz w:val="24"/>
                <w:szCs w:val="24"/>
              </w:rPr>
              <w:t xml:space="preserve"> proper</w:t>
            </w:r>
            <w:r w:rsidR="00AA6DC6">
              <w:rPr>
                <w:rFonts w:ascii="Arial" w:hAnsi="Arial" w:cs="Arial"/>
                <w:sz w:val="24"/>
                <w:szCs w:val="24"/>
              </w:rPr>
              <w:t xml:space="preserve"> ‘filing’ of an application for leave to </w:t>
            </w:r>
            <w:r w:rsidR="00A85BB5" w:rsidRPr="00460670">
              <w:rPr>
                <w:rFonts w:ascii="Arial" w:hAnsi="Arial" w:cs="Arial"/>
                <w:sz w:val="24"/>
                <w:szCs w:val="24"/>
              </w:rPr>
              <w:t xml:space="preserve">appeal. There is no qualm that the simplest </w:t>
            </w:r>
            <w:r w:rsidR="00A85BB5">
              <w:rPr>
                <w:rFonts w:ascii="Arial" w:hAnsi="Arial" w:cs="Arial"/>
                <w:sz w:val="24"/>
                <w:szCs w:val="24"/>
              </w:rPr>
              <w:t xml:space="preserve">and most certain </w:t>
            </w:r>
            <w:r w:rsidR="00A85BB5" w:rsidRPr="00460670">
              <w:rPr>
                <w:rFonts w:ascii="Arial" w:hAnsi="Arial" w:cs="Arial"/>
                <w:sz w:val="24"/>
                <w:szCs w:val="24"/>
              </w:rPr>
              <w:t xml:space="preserve">way </w:t>
            </w:r>
            <w:r w:rsidR="00AA6DC6">
              <w:rPr>
                <w:rFonts w:ascii="Arial" w:hAnsi="Arial" w:cs="Arial"/>
                <w:sz w:val="24"/>
                <w:szCs w:val="24"/>
              </w:rPr>
              <w:t xml:space="preserve">herein </w:t>
            </w:r>
            <w:r w:rsidR="00A85BB5" w:rsidRPr="00460670">
              <w:rPr>
                <w:rFonts w:ascii="Arial" w:hAnsi="Arial" w:cs="Arial"/>
                <w:sz w:val="24"/>
                <w:szCs w:val="24"/>
              </w:rPr>
              <w:t xml:space="preserve">to prove that </w:t>
            </w:r>
            <w:r w:rsidR="00AA6DC6">
              <w:rPr>
                <w:rFonts w:ascii="Arial" w:hAnsi="Arial" w:cs="Arial"/>
                <w:sz w:val="24"/>
                <w:szCs w:val="24"/>
              </w:rPr>
              <w:t xml:space="preserve">he </w:t>
            </w:r>
            <w:r w:rsidR="00A85BB5" w:rsidRPr="00460670">
              <w:rPr>
                <w:rFonts w:ascii="Arial" w:hAnsi="Arial" w:cs="Arial"/>
                <w:sz w:val="24"/>
                <w:szCs w:val="24"/>
              </w:rPr>
              <w:t>inde</w:t>
            </w:r>
            <w:r w:rsidR="00A85BB5">
              <w:rPr>
                <w:rFonts w:ascii="Arial" w:hAnsi="Arial" w:cs="Arial"/>
                <w:sz w:val="24"/>
                <w:szCs w:val="24"/>
              </w:rPr>
              <w:t>ed</w:t>
            </w:r>
            <w:r w:rsidR="00A85BB5" w:rsidRPr="00460670">
              <w:rPr>
                <w:rFonts w:ascii="Arial" w:hAnsi="Arial" w:cs="Arial"/>
                <w:sz w:val="24"/>
                <w:szCs w:val="24"/>
              </w:rPr>
              <w:t xml:space="preserve"> filed an appeal </w:t>
            </w:r>
            <w:r w:rsidR="00AA6DC6">
              <w:rPr>
                <w:rFonts w:ascii="Arial" w:hAnsi="Arial" w:cs="Arial"/>
                <w:sz w:val="24"/>
                <w:szCs w:val="24"/>
              </w:rPr>
              <w:t>wa</w:t>
            </w:r>
            <w:r w:rsidR="00A85BB5" w:rsidRPr="00460670">
              <w:rPr>
                <w:rFonts w:ascii="Arial" w:hAnsi="Arial" w:cs="Arial"/>
                <w:sz w:val="24"/>
                <w:szCs w:val="24"/>
              </w:rPr>
              <w:t xml:space="preserve">s to produce the </w:t>
            </w:r>
            <w:r w:rsidR="00AA6DC6">
              <w:rPr>
                <w:rFonts w:ascii="Arial" w:hAnsi="Arial" w:cs="Arial"/>
                <w:sz w:val="24"/>
                <w:szCs w:val="24"/>
              </w:rPr>
              <w:t>relevant document</w:t>
            </w:r>
            <w:r w:rsidR="00F77AD6">
              <w:rPr>
                <w:rFonts w:ascii="Arial" w:hAnsi="Arial" w:cs="Arial"/>
                <w:sz w:val="24"/>
                <w:szCs w:val="24"/>
              </w:rPr>
              <w:t>,</w:t>
            </w:r>
            <w:r w:rsidR="00AA6DC6">
              <w:rPr>
                <w:rFonts w:ascii="Arial" w:hAnsi="Arial" w:cs="Arial"/>
                <w:sz w:val="24"/>
                <w:szCs w:val="24"/>
              </w:rPr>
              <w:t xml:space="preserve"> </w:t>
            </w:r>
            <w:r w:rsidR="00A85BB5" w:rsidRPr="00460670">
              <w:rPr>
                <w:rFonts w:ascii="Arial" w:hAnsi="Arial" w:cs="Arial"/>
                <w:sz w:val="24"/>
                <w:szCs w:val="24"/>
              </w:rPr>
              <w:t>bearing a</w:t>
            </w:r>
            <w:r w:rsidR="00A85BB5">
              <w:rPr>
                <w:rFonts w:ascii="Arial" w:hAnsi="Arial" w:cs="Arial"/>
                <w:sz w:val="24"/>
                <w:szCs w:val="24"/>
              </w:rPr>
              <w:t xml:space="preserve"> date stamp of the Registrar’s O</w:t>
            </w:r>
            <w:r w:rsidR="00A85BB5" w:rsidRPr="00460670">
              <w:rPr>
                <w:rFonts w:ascii="Arial" w:hAnsi="Arial" w:cs="Arial"/>
                <w:sz w:val="24"/>
                <w:szCs w:val="24"/>
              </w:rPr>
              <w:t>ffice</w:t>
            </w:r>
            <w:r w:rsidR="00F77AD6">
              <w:rPr>
                <w:rFonts w:ascii="Arial" w:hAnsi="Arial" w:cs="Arial"/>
                <w:sz w:val="24"/>
                <w:szCs w:val="24"/>
              </w:rPr>
              <w:t>,</w:t>
            </w:r>
            <w:r w:rsidR="00A85BB5" w:rsidRPr="00460670">
              <w:rPr>
                <w:rFonts w:ascii="Arial" w:hAnsi="Arial" w:cs="Arial"/>
                <w:sz w:val="24"/>
                <w:szCs w:val="24"/>
              </w:rPr>
              <w:t xml:space="preserve"> wherein the document was received.</w:t>
            </w:r>
            <w:r w:rsidR="00A85BB5">
              <w:rPr>
                <w:rFonts w:ascii="Arial" w:hAnsi="Arial" w:cs="Arial"/>
                <w:sz w:val="24"/>
                <w:szCs w:val="24"/>
              </w:rPr>
              <w:t xml:space="preserve"> </w:t>
            </w:r>
            <w:r w:rsidR="00F77AD6">
              <w:rPr>
                <w:rFonts w:ascii="Arial" w:hAnsi="Arial" w:cs="Arial"/>
                <w:sz w:val="24"/>
                <w:szCs w:val="24"/>
              </w:rPr>
              <w:t xml:space="preserve">That </w:t>
            </w:r>
            <w:r w:rsidR="00AA6DC6">
              <w:rPr>
                <w:rFonts w:ascii="Arial" w:hAnsi="Arial" w:cs="Arial"/>
                <w:sz w:val="24"/>
                <w:szCs w:val="24"/>
              </w:rPr>
              <w:t xml:space="preserve">has not </w:t>
            </w:r>
            <w:r w:rsidR="00F77AD6">
              <w:rPr>
                <w:rFonts w:ascii="Arial" w:hAnsi="Arial" w:cs="Arial"/>
                <w:sz w:val="24"/>
                <w:szCs w:val="24"/>
              </w:rPr>
              <w:t xml:space="preserve">surfaced </w:t>
            </w:r>
            <w:r w:rsidR="00AA6DC6">
              <w:rPr>
                <w:rFonts w:ascii="Arial" w:hAnsi="Arial" w:cs="Arial"/>
                <w:sz w:val="24"/>
                <w:szCs w:val="24"/>
              </w:rPr>
              <w:t>in the plaintiff’s evidence.</w:t>
            </w:r>
            <w:r w:rsidR="00F77AD6">
              <w:rPr>
                <w:rFonts w:ascii="Arial" w:hAnsi="Arial" w:cs="Arial"/>
                <w:sz w:val="24"/>
                <w:szCs w:val="24"/>
              </w:rPr>
              <w:t xml:space="preserve"> A</w:t>
            </w:r>
            <w:r w:rsidR="00AA6DC6">
              <w:rPr>
                <w:rFonts w:ascii="Arial" w:hAnsi="Arial" w:cs="Arial"/>
                <w:sz w:val="24"/>
                <w:szCs w:val="24"/>
              </w:rPr>
              <w:t xml:space="preserve">t </w:t>
            </w:r>
            <w:r w:rsidR="00A85BB5">
              <w:rPr>
                <w:rFonts w:ascii="Arial" w:hAnsi="Arial" w:cs="Arial"/>
                <w:sz w:val="24"/>
                <w:szCs w:val="24"/>
              </w:rPr>
              <w:t>the</w:t>
            </w:r>
            <w:r w:rsidR="00A85BB5" w:rsidRPr="00460670">
              <w:rPr>
                <w:rFonts w:ascii="Arial" w:hAnsi="Arial" w:cs="Arial"/>
                <w:sz w:val="24"/>
                <w:szCs w:val="24"/>
              </w:rPr>
              <w:t xml:space="preserve"> bare minimum, </w:t>
            </w:r>
            <w:r w:rsidR="00A85BB5">
              <w:rPr>
                <w:rFonts w:ascii="Arial" w:hAnsi="Arial" w:cs="Arial"/>
                <w:sz w:val="24"/>
                <w:szCs w:val="24"/>
              </w:rPr>
              <w:t xml:space="preserve">he could have tendered </w:t>
            </w:r>
            <w:r w:rsidR="00A85BB5" w:rsidRPr="00460670">
              <w:rPr>
                <w:rFonts w:ascii="Arial" w:hAnsi="Arial" w:cs="Arial"/>
                <w:sz w:val="24"/>
                <w:szCs w:val="24"/>
              </w:rPr>
              <w:t xml:space="preserve">evidence </w:t>
            </w:r>
            <w:r w:rsidR="00A85BB5">
              <w:rPr>
                <w:rFonts w:ascii="Arial" w:hAnsi="Arial" w:cs="Arial"/>
                <w:sz w:val="24"/>
                <w:szCs w:val="24"/>
              </w:rPr>
              <w:t xml:space="preserve">by </w:t>
            </w:r>
            <w:r w:rsidR="00A85BB5" w:rsidRPr="00460670">
              <w:rPr>
                <w:rFonts w:ascii="Arial" w:hAnsi="Arial" w:cs="Arial"/>
                <w:sz w:val="24"/>
                <w:szCs w:val="24"/>
              </w:rPr>
              <w:t xml:space="preserve">any of the officials to whom he </w:t>
            </w:r>
            <w:r w:rsidR="00A85BB5">
              <w:rPr>
                <w:rFonts w:ascii="Arial" w:hAnsi="Arial" w:cs="Arial"/>
                <w:sz w:val="24"/>
                <w:szCs w:val="24"/>
              </w:rPr>
              <w:t xml:space="preserve">delivered his application to substantiate that it was indeed delivered to the </w:t>
            </w:r>
            <w:r w:rsidR="00A85BB5" w:rsidRPr="00460670">
              <w:rPr>
                <w:rFonts w:ascii="Arial" w:hAnsi="Arial" w:cs="Arial"/>
                <w:sz w:val="24"/>
                <w:szCs w:val="24"/>
              </w:rPr>
              <w:t>fifth defendant at the Registrar’s Office</w:t>
            </w:r>
            <w:r w:rsidR="00A85BB5">
              <w:rPr>
                <w:rFonts w:ascii="Arial" w:hAnsi="Arial" w:cs="Arial"/>
                <w:sz w:val="24"/>
                <w:szCs w:val="24"/>
              </w:rPr>
              <w:t xml:space="preserve">. </w:t>
            </w:r>
            <w:r w:rsidR="00F77AD6">
              <w:rPr>
                <w:rFonts w:ascii="Arial" w:hAnsi="Arial" w:cs="Arial"/>
                <w:sz w:val="24"/>
                <w:szCs w:val="24"/>
              </w:rPr>
              <w:t xml:space="preserve">Again that was not done. </w:t>
            </w:r>
            <w:r w:rsidR="00A85BB5">
              <w:rPr>
                <w:rFonts w:ascii="Arial" w:hAnsi="Arial" w:cs="Arial"/>
                <w:sz w:val="24"/>
                <w:szCs w:val="24"/>
              </w:rPr>
              <w:t>I</w:t>
            </w:r>
            <w:r w:rsidR="00C959CA">
              <w:rPr>
                <w:rFonts w:ascii="Arial" w:hAnsi="Arial" w:cs="Arial"/>
                <w:sz w:val="24"/>
                <w:szCs w:val="24"/>
              </w:rPr>
              <w:t>ncidentally</w:t>
            </w:r>
            <w:r w:rsidR="00C100B7">
              <w:rPr>
                <w:rFonts w:ascii="Arial" w:hAnsi="Arial" w:cs="Arial"/>
                <w:sz w:val="24"/>
                <w:szCs w:val="24"/>
              </w:rPr>
              <w:t>,</w:t>
            </w:r>
            <w:r w:rsidR="00C959CA">
              <w:rPr>
                <w:rFonts w:ascii="Arial" w:hAnsi="Arial" w:cs="Arial"/>
                <w:sz w:val="24"/>
                <w:szCs w:val="24"/>
              </w:rPr>
              <w:t xml:space="preserve"> his case </w:t>
            </w:r>
            <w:r w:rsidR="00A85BB5">
              <w:rPr>
                <w:rFonts w:ascii="Arial" w:hAnsi="Arial" w:cs="Arial"/>
                <w:sz w:val="24"/>
                <w:szCs w:val="24"/>
              </w:rPr>
              <w:t>is</w:t>
            </w:r>
            <w:r w:rsidR="00C959CA">
              <w:rPr>
                <w:rFonts w:ascii="Arial" w:hAnsi="Arial" w:cs="Arial"/>
                <w:sz w:val="24"/>
                <w:szCs w:val="24"/>
              </w:rPr>
              <w:t xml:space="preserve"> also</w:t>
            </w:r>
            <w:r w:rsidR="00A85BB5">
              <w:rPr>
                <w:rFonts w:ascii="Arial" w:hAnsi="Arial" w:cs="Arial"/>
                <w:sz w:val="24"/>
                <w:szCs w:val="24"/>
              </w:rPr>
              <w:t xml:space="preserve"> silent as to service on the other side.</w:t>
            </w:r>
          </w:p>
          <w:p w14:paraId="1909B609" w14:textId="72EA4709" w:rsidR="00893A60" w:rsidRPr="00460670" w:rsidRDefault="005E0C96" w:rsidP="00893A60">
            <w:pPr>
              <w:spacing w:line="360" w:lineRule="auto"/>
              <w:jc w:val="both"/>
              <w:rPr>
                <w:rFonts w:ascii="Arial" w:hAnsi="Arial" w:cs="Arial"/>
                <w:sz w:val="24"/>
                <w:szCs w:val="24"/>
              </w:rPr>
            </w:pPr>
            <w:r>
              <w:rPr>
                <w:rFonts w:ascii="Arial" w:hAnsi="Arial" w:cs="Arial"/>
                <w:sz w:val="24"/>
                <w:szCs w:val="24"/>
              </w:rPr>
              <w:lastRenderedPageBreak/>
              <w:t>[24</w:t>
            </w:r>
            <w:r w:rsidR="00893A60" w:rsidRPr="00460670">
              <w:rPr>
                <w:rFonts w:ascii="Arial" w:hAnsi="Arial" w:cs="Arial"/>
                <w:sz w:val="24"/>
                <w:szCs w:val="24"/>
              </w:rPr>
              <w:t>]</w:t>
            </w:r>
            <w:r w:rsidR="00893A60" w:rsidRPr="00460670">
              <w:rPr>
                <w:rFonts w:ascii="Arial" w:hAnsi="Arial" w:cs="Arial"/>
                <w:sz w:val="24"/>
                <w:szCs w:val="24"/>
              </w:rPr>
              <w:tab/>
              <w:t xml:space="preserve">The plaintiff bears the burden </w:t>
            </w:r>
            <w:r w:rsidR="00C100B7">
              <w:rPr>
                <w:rFonts w:ascii="Arial" w:hAnsi="Arial" w:cs="Arial"/>
                <w:sz w:val="24"/>
                <w:szCs w:val="24"/>
              </w:rPr>
              <w:t>to prove his allegations, in particular that he duly filed an appeal. In this</w:t>
            </w:r>
            <w:r w:rsidR="00893A60" w:rsidRPr="00460670">
              <w:rPr>
                <w:rFonts w:ascii="Arial" w:hAnsi="Arial" w:cs="Arial"/>
                <w:sz w:val="24"/>
                <w:szCs w:val="24"/>
              </w:rPr>
              <w:t xml:space="preserve"> matter</w:t>
            </w:r>
            <w:r w:rsidR="00E63E86">
              <w:rPr>
                <w:rFonts w:ascii="Arial" w:hAnsi="Arial" w:cs="Arial"/>
                <w:sz w:val="24"/>
                <w:szCs w:val="24"/>
              </w:rPr>
              <w:t>,</w:t>
            </w:r>
            <w:r w:rsidR="00893A60" w:rsidRPr="00460670">
              <w:rPr>
                <w:rFonts w:ascii="Arial" w:hAnsi="Arial" w:cs="Arial"/>
                <w:sz w:val="24"/>
                <w:szCs w:val="24"/>
              </w:rPr>
              <w:t xml:space="preserve"> he has not discharged </w:t>
            </w:r>
            <w:r w:rsidR="00E63E86">
              <w:rPr>
                <w:rFonts w:ascii="Arial" w:hAnsi="Arial" w:cs="Arial"/>
                <w:sz w:val="24"/>
                <w:szCs w:val="24"/>
              </w:rPr>
              <w:t>the</w:t>
            </w:r>
            <w:r w:rsidR="00893A60" w:rsidRPr="00460670">
              <w:rPr>
                <w:rFonts w:ascii="Arial" w:hAnsi="Arial" w:cs="Arial"/>
                <w:sz w:val="24"/>
                <w:szCs w:val="24"/>
              </w:rPr>
              <w:t xml:space="preserve"> onus to prove th</w:t>
            </w:r>
            <w:r w:rsidR="00C100B7">
              <w:rPr>
                <w:rFonts w:ascii="Arial" w:hAnsi="Arial" w:cs="Arial"/>
                <w:sz w:val="24"/>
                <w:szCs w:val="24"/>
              </w:rPr>
              <w:t xml:space="preserve">at </w:t>
            </w:r>
            <w:r w:rsidR="00893A60" w:rsidRPr="00460670">
              <w:rPr>
                <w:rFonts w:ascii="Arial" w:hAnsi="Arial" w:cs="Arial"/>
                <w:sz w:val="24"/>
                <w:szCs w:val="24"/>
              </w:rPr>
              <w:t xml:space="preserve">first material allegation, not even on a </w:t>
            </w:r>
            <w:r w:rsidR="00893A60" w:rsidRPr="00460670">
              <w:rPr>
                <w:rFonts w:ascii="Arial" w:hAnsi="Arial" w:cs="Arial"/>
                <w:i/>
                <w:sz w:val="24"/>
                <w:szCs w:val="24"/>
              </w:rPr>
              <w:t xml:space="preserve">prima facie </w:t>
            </w:r>
            <w:r w:rsidR="00893A60" w:rsidRPr="00460670">
              <w:rPr>
                <w:rFonts w:ascii="Arial" w:hAnsi="Arial" w:cs="Arial"/>
                <w:sz w:val="24"/>
                <w:szCs w:val="24"/>
              </w:rPr>
              <w:t xml:space="preserve">level. It will serve no purpose for this court to delve into the rest of his claim. It amounts to the situation referred to by Parker J in </w:t>
            </w:r>
            <w:r w:rsidR="00893A60" w:rsidRPr="00460670">
              <w:rPr>
                <w:rFonts w:ascii="Arial" w:hAnsi="Arial" w:cs="Arial"/>
                <w:i/>
                <w:sz w:val="24"/>
                <w:szCs w:val="24"/>
              </w:rPr>
              <w:t>Chombo v Minister of Safety and Security</w:t>
            </w:r>
            <w:r w:rsidR="00893A60" w:rsidRPr="00460670">
              <w:rPr>
                <w:rStyle w:val="FootnoteReference"/>
                <w:rFonts w:ascii="Arial" w:hAnsi="Arial" w:cs="Arial"/>
                <w:sz w:val="24"/>
                <w:szCs w:val="24"/>
              </w:rPr>
              <w:footnoteReference w:id="10"/>
            </w:r>
            <w:r w:rsidR="00893A60" w:rsidRPr="00460670">
              <w:rPr>
                <w:rFonts w:ascii="Arial" w:hAnsi="Arial" w:cs="Arial"/>
                <w:sz w:val="24"/>
                <w:szCs w:val="24"/>
              </w:rPr>
              <w:t xml:space="preserve"> that when a plaintiff merely make</w:t>
            </w:r>
            <w:r w:rsidR="00E63E86">
              <w:rPr>
                <w:rFonts w:ascii="Arial" w:hAnsi="Arial" w:cs="Arial"/>
                <w:sz w:val="24"/>
                <w:szCs w:val="24"/>
              </w:rPr>
              <w:t>s</w:t>
            </w:r>
            <w:r w:rsidR="00893A60" w:rsidRPr="00460670">
              <w:rPr>
                <w:rFonts w:ascii="Arial" w:hAnsi="Arial" w:cs="Arial"/>
                <w:sz w:val="24"/>
                <w:szCs w:val="24"/>
              </w:rPr>
              <w:t xml:space="preserve"> allegations and do</w:t>
            </w:r>
            <w:r w:rsidR="00E63E86">
              <w:rPr>
                <w:rFonts w:ascii="Arial" w:hAnsi="Arial" w:cs="Arial"/>
                <w:sz w:val="24"/>
                <w:szCs w:val="24"/>
              </w:rPr>
              <w:t>es</w:t>
            </w:r>
            <w:r w:rsidR="00893A60" w:rsidRPr="00460670">
              <w:rPr>
                <w:rFonts w:ascii="Arial" w:hAnsi="Arial" w:cs="Arial"/>
                <w:sz w:val="24"/>
                <w:szCs w:val="24"/>
              </w:rPr>
              <w:t xml:space="preserve"> not pro</w:t>
            </w:r>
            <w:r w:rsidR="00E63E86">
              <w:rPr>
                <w:rFonts w:ascii="Arial" w:hAnsi="Arial" w:cs="Arial"/>
                <w:sz w:val="24"/>
                <w:szCs w:val="24"/>
              </w:rPr>
              <w:t>ve that in trial …’</w:t>
            </w:r>
            <w:r w:rsidR="00893A60" w:rsidRPr="00460670">
              <w:rPr>
                <w:rFonts w:ascii="Arial" w:hAnsi="Arial" w:cs="Arial"/>
                <w:sz w:val="24"/>
                <w:szCs w:val="24"/>
              </w:rPr>
              <w:t>no court will find for the plaintiff; for, what is alleged and not proven remains a mere irrelevance. (</w:t>
            </w:r>
            <w:r w:rsidR="00893A60" w:rsidRPr="00460670">
              <w:rPr>
                <w:rFonts w:ascii="Arial" w:hAnsi="Arial" w:cs="Arial"/>
                <w:i/>
                <w:sz w:val="24"/>
                <w:szCs w:val="24"/>
              </w:rPr>
              <w:t>Klein v Caramed Pharmaceuticals (Pty) Ltd</w:t>
            </w:r>
            <w:r w:rsidR="00E63E86">
              <w:rPr>
                <w:rFonts w:ascii="Arial" w:hAnsi="Arial" w:cs="Arial"/>
                <w:sz w:val="24"/>
                <w:szCs w:val="24"/>
              </w:rPr>
              <w:t xml:space="preserve"> 2015 (4) NR 1016 (HC)’.</w:t>
            </w:r>
            <w:r w:rsidR="00C100B7">
              <w:rPr>
                <w:rFonts w:ascii="Arial" w:hAnsi="Arial" w:cs="Arial"/>
                <w:sz w:val="24"/>
                <w:szCs w:val="24"/>
              </w:rPr>
              <w:t xml:space="preserve"> </w:t>
            </w:r>
          </w:p>
          <w:p w14:paraId="2499451F" w14:textId="77777777" w:rsidR="00893A60" w:rsidRPr="00460670" w:rsidRDefault="00893A60" w:rsidP="00893A60">
            <w:pPr>
              <w:spacing w:line="360" w:lineRule="auto"/>
              <w:jc w:val="both"/>
              <w:rPr>
                <w:rFonts w:ascii="Arial" w:hAnsi="Arial" w:cs="Arial"/>
                <w:sz w:val="24"/>
                <w:szCs w:val="24"/>
              </w:rPr>
            </w:pPr>
          </w:p>
          <w:p w14:paraId="26FD858A" w14:textId="35E5D5F3" w:rsidR="00893A60" w:rsidRPr="00460670" w:rsidRDefault="005E0C96" w:rsidP="00893A60">
            <w:pPr>
              <w:spacing w:line="360" w:lineRule="auto"/>
              <w:jc w:val="both"/>
              <w:rPr>
                <w:rFonts w:ascii="Arial" w:hAnsi="Arial" w:cs="Arial"/>
                <w:sz w:val="24"/>
                <w:szCs w:val="24"/>
              </w:rPr>
            </w:pPr>
            <w:r>
              <w:rPr>
                <w:rFonts w:ascii="Arial" w:hAnsi="Arial" w:cs="Arial"/>
                <w:sz w:val="24"/>
                <w:szCs w:val="24"/>
              </w:rPr>
              <w:t>[25</w:t>
            </w:r>
            <w:r w:rsidR="00893A60" w:rsidRPr="00460670">
              <w:rPr>
                <w:rFonts w:ascii="Arial" w:hAnsi="Arial" w:cs="Arial"/>
                <w:sz w:val="24"/>
                <w:szCs w:val="24"/>
              </w:rPr>
              <w:t>]</w:t>
            </w:r>
            <w:r w:rsidR="00893A60" w:rsidRPr="00460670">
              <w:rPr>
                <w:rFonts w:ascii="Arial" w:hAnsi="Arial" w:cs="Arial"/>
                <w:sz w:val="24"/>
                <w:szCs w:val="24"/>
              </w:rPr>
              <w:tab/>
              <w:t>I deviate for a moment to</w:t>
            </w:r>
            <w:r w:rsidR="00C959CA">
              <w:rPr>
                <w:rFonts w:ascii="Arial" w:hAnsi="Arial" w:cs="Arial"/>
                <w:sz w:val="24"/>
                <w:szCs w:val="24"/>
              </w:rPr>
              <w:t xml:space="preserve"> comment on clarity in pleadings</w:t>
            </w:r>
            <w:r w:rsidR="00F73F22">
              <w:rPr>
                <w:rFonts w:ascii="Arial" w:hAnsi="Arial" w:cs="Arial"/>
                <w:sz w:val="24"/>
                <w:szCs w:val="24"/>
              </w:rPr>
              <w:t xml:space="preserve">. </w:t>
            </w:r>
            <w:r w:rsidR="00893A60" w:rsidRPr="00460670">
              <w:rPr>
                <w:rFonts w:ascii="Arial" w:hAnsi="Arial" w:cs="Arial"/>
                <w:sz w:val="24"/>
                <w:szCs w:val="24"/>
              </w:rPr>
              <w:t>In scrutinizing the particulars of claim it is unambiguously clear that the plaintiff’s claim is predicated on his purported ‘Notice of Appeal’</w:t>
            </w:r>
            <w:r w:rsidR="00E63E86">
              <w:rPr>
                <w:rFonts w:ascii="Arial" w:hAnsi="Arial" w:cs="Arial"/>
                <w:sz w:val="24"/>
                <w:szCs w:val="24"/>
              </w:rPr>
              <w:t>,</w:t>
            </w:r>
            <w:r w:rsidR="00893A60" w:rsidRPr="00460670">
              <w:rPr>
                <w:rFonts w:ascii="Arial" w:hAnsi="Arial" w:cs="Arial"/>
                <w:sz w:val="24"/>
                <w:szCs w:val="24"/>
              </w:rPr>
              <w:t xml:space="preserve"> purportedly filed </w:t>
            </w:r>
            <w:r w:rsidR="00F73F22">
              <w:rPr>
                <w:rFonts w:ascii="Arial" w:hAnsi="Arial" w:cs="Arial"/>
                <w:sz w:val="24"/>
                <w:szCs w:val="24"/>
              </w:rPr>
              <w:t xml:space="preserve">on 31 May 2013, which was not </w:t>
            </w:r>
            <w:r w:rsidR="00893A60" w:rsidRPr="00460670">
              <w:rPr>
                <w:rFonts w:ascii="Arial" w:hAnsi="Arial" w:cs="Arial"/>
                <w:sz w:val="24"/>
                <w:szCs w:val="24"/>
              </w:rPr>
              <w:t>set down for hearing by the fifth respondent.</w:t>
            </w:r>
            <w:r w:rsidR="00893A60" w:rsidRPr="00460670">
              <w:rPr>
                <w:rStyle w:val="FootnoteReference"/>
                <w:rFonts w:ascii="Arial" w:hAnsi="Arial" w:cs="Arial"/>
                <w:sz w:val="24"/>
                <w:szCs w:val="24"/>
              </w:rPr>
              <w:footnoteReference w:id="11"/>
            </w:r>
            <w:r w:rsidR="00893A60" w:rsidRPr="00460670">
              <w:rPr>
                <w:rFonts w:ascii="Arial" w:hAnsi="Arial" w:cs="Arial"/>
                <w:sz w:val="24"/>
                <w:szCs w:val="24"/>
              </w:rPr>
              <w:t xml:space="preserve"> It was not in respect of an appeal filed in ‘2018 to 2020’</w:t>
            </w:r>
            <w:r w:rsidR="00E63E86">
              <w:rPr>
                <w:rFonts w:ascii="Arial" w:hAnsi="Arial" w:cs="Arial"/>
                <w:sz w:val="24"/>
                <w:szCs w:val="24"/>
              </w:rPr>
              <w:t>,</w:t>
            </w:r>
            <w:r w:rsidR="00893A60" w:rsidRPr="00460670">
              <w:rPr>
                <w:rFonts w:ascii="Arial" w:hAnsi="Arial" w:cs="Arial"/>
                <w:sz w:val="24"/>
                <w:szCs w:val="24"/>
              </w:rPr>
              <w:t xml:space="preserve"> which period was also slipped into written argument by counsel for the plaintiff. That much is clear from the particulars wherein the plaintiff pleads that he had to apply for ‘leave to appeal during the year 2018 which application has now been set down.’(sic). That speaks to an application that he brought in 2018, which was indeed set down. The plaintiff cannot plead one thi</w:t>
            </w:r>
            <w:r w:rsidR="00F73F22">
              <w:rPr>
                <w:rFonts w:ascii="Arial" w:hAnsi="Arial" w:cs="Arial"/>
                <w:sz w:val="24"/>
                <w:szCs w:val="24"/>
              </w:rPr>
              <w:t>ng and then loosely amplify his case in argument</w:t>
            </w:r>
            <w:r w:rsidR="00045DF8" w:rsidRPr="00460670">
              <w:rPr>
                <w:rFonts w:ascii="Arial" w:hAnsi="Arial" w:cs="Arial"/>
                <w:sz w:val="24"/>
                <w:szCs w:val="24"/>
              </w:rPr>
              <w:t>,</w:t>
            </w:r>
            <w:r w:rsidR="00893A60" w:rsidRPr="00460670">
              <w:rPr>
                <w:rFonts w:ascii="Arial" w:hAnsi="Arial" w:cs="Arial"/>
                <w:sz w:val="24"/>
                <w:szCs w:val="24"/>
              </w:rPr>
              <w:t xml:space="preserve"> seemingly</w:t>
            </w:r>
            <w:r w:rsidR="00E63E86">
              <w:rPr>
                <w:rFonts w:ascii="Arial" w:hAnsi="Arial" w:cs="Arial"/>
                <w:sz w:val="24"/>
                <w:szCs w:val="24"/>
              </w:rPr>
              <w:t>,</w:t>
            </w:r>
            <w:r w:rsidR="00893A60" w:rsidRPr="00460670">
              <w:rPr>
                <w:rFonts w:ascii="Arial" w:hAnsi="Arial" w:cs="Arial"/>
                <w:sz w:val="24"/>
                <w:szCs w:val="24"/>
              </w:rPr>
              <w:t xml:space="preserve"> </w:t>
            </w:r>
            <w:r w:rsidR="00E63E86">
              <w:rPr>
                <w:rFonts w:ascii="Arial" w:hAnsi="Arial" w:cs="Arial"/>
                <w:sz w:val="24"/>
                <w:szCs w:val="24"/>
              </w:rPr>
              <w:t>in an effort</w:t>
            </w:r>
            <w:r w:rsidR="00045DF8" w:rsidRPr="00460670">
              <w:rPr>
                <w:rFonts w:ascii="Arial" w:hAnsi="Arial" w:cs="Arial"/>
                <w:sz w:val="24"/>
                <w:szCs w:val="24"/>
              </w:rPr>
              <w:t xml:space="preserve"> </w:t>
            </w:r>
            <w:r w:rsidR="00893A60" w:rsidRPr="00460670">
              <w:rPr>
                <w:rFonts w:ascii="Arial" w:hAnsi="Arial" w:cs="Arial"/>
                <w:sz w:val="24"/>
                <w:szCs w:val="24"/>
              </w:rPr>
              <w:t xml:space="preserve">to extend the claim to something that the defendant was not called upon to answer. </w:t>
            </w:r>
          </w:p>
          <w:p w14:paraId="66F8B95A" w14:textId="77777777" w:rsidR="00893A60" w:rsidRPr="00460670" w:rsidRDefault="00893A60" w:rsidP="00893A60">
            <w:pPr>
              <w:spacing w:line="360" w:lineRule="auto"/>
              <w:jc w:val="both"/>
              <w:rPr>
                <w:rFonts w:ascii="Arial" w:hAnsi="Arial" w:cs="Arial"/>
                <w:strike/>
                <w:sz w:val="24"/>
                <w:szCs w:val="24"/>
              </w:rPr>
            </w:pPr>
          </w:p>
          <w:p w14:paraId="6EEB90B4" w14:textId="350C755C" w:rsidR="00893A60" w:rsidRDefault="005E0C96" w:rsidP="00893A60">
            <w:pPr>
              <w:spacing w:line="360" w:lineRule="auto"/>
              <w:jc w:val="both"/>
              <w:rPr>
                <w:rFonts w:ascii="Arial" w:hAnsi="Arial" w:cs="Arial"/>
                <w:sz w:val="24"/>
                <w:szCs w:val="24"/>
              </w:rPr>
            </w:pPr>
            <w:r>
              <w:rPr>
                <w:rFonts w:ascii="Arial" w:hAnsi="Arial" w:cs="Arial"/>
                <w:sz w:val="24"/>
                <w:szCs w:val="24"/>
              </w:rPr>
              <w:t>[26</w:t>
            </w:r>
            <w:r w:rsidR="00893A60" w:rsidRPr="00460670">
              <w:rPr>
                <w:rFonts w:ascii="Arial" w:hAnsi="Arial" w:cs="Arial"/>
                <w:sz w:val="24"/>
                <w:szCs w:val="24"/>
              </w:rPr>
              <w:t>]</w:t>
            </w:r>
            <w:r w:rsidR="00893A60" w:rsidRPr="00460670">
              <w:rPr>
                <w:rFonts w:ascii="Arial" w:hAnsi="Arial" w:cs="Arial"/>
                <w:sz w:val="24"/>
                <w:szCs w:val="24"/>
              </w:rPr>
              <w:tab/>
              <w:t xml:space="preserve">For these reasons I have come to the conclusion that there is no evidence on which a court, applying its mind reasonably to such evidence, could or might find for this plaintiff. </w:t>
            </w:r>
          </w:p>
          <w:p w14:paraId="4B3AC2C2" w14:textId="77777777" w:rsidR="00CB1BB0" w:rsidRPr="00460670" w:rsidRDefault="00CB1BB0" w:rsidP="00893A60">
            <w:pPr>
              <w:spacing w:line="360" w:lineRule="auto"/>
              <w:jc w:val="both"/>
              <w:rPr>
                <w:rFonts w:ascii="Arial" w:hAnsi="Arial" w:cs="Arial"/>
                <w:sz w:val="24"/>
                <w:szCs w:val="24"/>
              </w:rPr>
            </w:pPr>
          </w:p>
          <w:p w14:paraId="5E1B2F84" w14:textId="55148BA9" w:rsidR="00893A60" w:rsidRDefault="00893A60" w:rsidP="00E63E86">
            <w:pPr>
              <w:pStyle w:val="ListParagraph"/>
              <w:numPr>
                <w:ilvl w:val="0"/>
                <w:numId w:val="34"/>
              </w:numPr>
              <w:spacing w:line="360" w:lineRule="auto"/>
              <w:jc w:val="both"/>
              <w:rPr>
                <w:rFonts w:ascii="Arial" w:hAnsi="Arial" w:cs="Arial"/>
                <w:sz w:val="24"/>
                <w:szCs w:val="24"/>
              </w:rPr>
            </w:pPr>
            <w:r w:rsidRPr="00E63E86">
              <w:rPr>
                <w:rFonts w:ascii="Arial" w:hAnsi="Arial" w:cs="Arial"/>
                <w:sz w:val="24"/>
                <w:szCs w:val="24"/>
              </w:rPr>
              <w:t>The application for absolution from the instance is granted.</w:t>
            </w:r>
          </w:p>
          <w:p w14:paraId="7A76A1D1" w14:textId="77777777" w:rsidR="00E63E86" w:rsidRPr="00E63E86" w:rsidRDefault="00E63E86" w:rsidP="00E63E86">
            <w:pPr>
              <w:pStyle w:val="ListParagraph"/>
              <w:spacing w:line="360" w:lineRule="auto"/>
              <w:ind w:left="1440"/>
              <w:jc w:val="both"/>
              <w:rPr>
                <w:rFonts w:ascii="Arial" w:hAnsi="Arial" w:cs="Arial"/>
                <w:sz w:val="24"/>
                <w:szCs w:val="24"/>
              </w:rPr>
            </w:pPr>
          </w:p>
          <w:p w14:paraId="53FACAF8" w14:textId="494DD66D" w:rsidR="00893A60" w:rsidRPr="00E63E86" w:rsidRDefault="00893A60" w:rsidP="00E63E86">
            <w:pPr>
              <w:pStyle w:val="ListParagraph"/>
              <w:numPr>
                <w:ilvl w:val="0"/>
                <w:numId w:val="34"/>
              </w:numPr>
              <w:spacing w:line="360" w:lineRule="auto"/>
              <w:jc w:val="both"/>
              <w:rPr>
                <w:rFonts w:ascii="Arial" w:hAnsi="Arial" w:cs="Arial"/>
                <w:sz w:val="24"/>
                <w:szCs w:val="24"/>
              </w:rPr>
            </w:pPr>
            <w:r w:rsidRPr="00E63E86">
              <w:rPr>
                <w:rFonts w:ascii="Arial" w:hAnsi="Arial" w:cs="Arial"/>
                <w:sz w:val="24"/>
                <w:szCs w:val="24"/>
              </w:rPr>
              <w:t>There is no order as to costs.</w:t>
            </w:r>
          </w:p>
          <w:p w14:paraId="5E2EED2E" w14:textId="77777777" w:rsidR="00E63E86" w:rsidRPr="00E63E86" w:rsidRDefault="00E63E86" w:rsidP="00E63E86">
            <w:pPr>
              <w:spacing w:line="360" w:lineRule="auto"/>
              <w:jc w:val="both"/>
              <w:rPr>
                <w:rFonts w:ascii="Arial" w:hAnsi="Arial" w:cs="Arial"/>
                <w:sz w:val="24"/>
                <w:szCs w:val="24"/>
              </w:rPr>
            </w:pPr>
          </w:p>
          <w:p w14:paraId="173CBD94" w14:textId="1041A6DE" w:rsidR="00347A14" w:rsidRPr="005B3725" w:rsidRDefault="00893A60" w:rsidP="005B3725">
            <w:pPr>
              <w:pStyle w:val="ListParagraph"/>
              <w:numPr>
                <w:ilvl w:val="0"/>
                <w:numId w:val="34"/>
              </w:numPr>
              <w:spacing w:line="360" w:lineRule="auto"/>
              <w:jc w:val="both"/>
              <w:rPr>
                <w:rFonts w:ascii="Arial" w:hAnsi="Arial" w:cs="Arial"/>
                <w:sz w:val="24"/>
                <w:szCs w:val="24"/>
              </w:rPr>
            </w:pPr>
            <w:r w:rsidRPr="005B3725">
              <w:rPr>
                <w:rFonts w:ascii="Arial" w:hAnsi="Arial" w:cs="Arial"/>
                <w:sz w:val="24"/>
                <w:szCs w:val="24"/>
              </w:rPr>
              <w:t xml:space="preserve">The matter is removed from </w:t>
            </w:r>
            <w:r w:rsidR="00E63E86" w:rsidRPr="005B3725">
              <w:rPr>
                <w:rFonts w:ascii="Arial" w:hAnsi="Arial" w:cs="Arial"/>
                <w:sz w:val="24"/>
                <w:szCs w:val="24"/>
              </w:rPr>
              <w:t>the roll and regarded as finalis</w:t>
            </w:r>
            <w:r w:rsidRPr="005B3725">
              <w:rPr>
                <w:rFonts w:ascii="Arial" w:hAnsi="Arial" w:cs="Arial"/>
                <w:sz w:val="24"/>
                <w:szCs w:val="24"/>
              </w:rPr>
              <w:t>ed.</w:t>
            </w:r>
          </w:p>
          <w:p w14:paraId="71D39DDF" w14:textId="3F1B5947" w:rsidR="005B3725" w:rsidRPr="005B3725" w:rsidRDefault="005B3725" w:rsidP="005B3725">
            <w:pPr>
              <w:pStyle w:val="ListParagraph"/>
              <w:spacing w:line="360" w:lineRule="auto"/>
              <w:ind w:left="1440"/>
              <w:jc w:val="both"/>
              <w:rPr>
                <w:rFonts w:ascii="Arial" w:hAnsi="Arial" w:cs="Arial"/>
                <w:sz w:val="24"/>
                <w:szCs w:val="24"/>
              </w:rPr>
            </w:pPr>
          </w:p>
        </w:tc>
      </w:tr>
      <w:tr w:rsidR="00460670" w:rsidRPr="00460670" w14:paraId="569D7468" w14:textId="77777777" w:rsidTr="00887A63">
        <w:tc>
          <w:tcPr>
            <w:tcW w:w="4770" w:type="dxa"/>
          </w:tcPr>
          <w:p w14:paraId="1CE02859" w14:textId="605E015D" w:rsidR="00B40844" w:rsidRPr="00460670" w:rsidRDefault="00B90DF1" w:rsidP="00ED76B2">
            <w:pPr>
              <w:spacing w:line="360" w:lineRule="auto"/>
              <w:jc w:val="center"/>
              <w:rPr>
                <w:rFonts w:ascii="Arial" w:hAnsi="Arial" w:cs="Arial"/>
                <w:b/>
                <w:sz w:val="24"/>
                <w:szCs w:val="24"/>
              </w:rPr>
            </w:pPr>
            <w:r>
              <w:rPr>
                <w:rFonts w:ascii="Arial" w:hAnsi="Arial" w:cs="Arial"/>
                <w:b/>
                <w:sz w:val="24"/>
                <w:szCs w:val="24"/>
              </w:rPr>
              <w:lastRenderedPageBreak/>
              <w:t>Judge’s signature</w:t>
            </w:r>
            <w:r w:rsidR="00CB1BB0">
              <w:rPr>
                <w:rFonts w:ascii="Arial" w:hAnsi="Arial" w:cs="Arial"/>
                <w:b/>
                <w:sz w:val="24"/>
                <w:szCs w:val="24"/>
              </w:rPr>
              <w:t xml:space="preserve"> </w:t>
            </w:r>
          </w:p>
        </w:tc>
        <w:tc>
          <w:tcPr>
            <w:tcW w:w="5436" w:type="dxa"/>
            <w:gridSpan w:val="2"/>
          </w:tcPr>
          <w:p w14:paraId="5E78AD4E" w14:textId="77777777" w:rsidR="00B40844" w:rsidRPr="00460670" w:rsidRDefault="00B40844" w:rsidP="00937C89">
            <w:pPr>
              <w:spacing w:line="360" w:lineRule="auto"/>
              <w:jc w:val="center"/>
              <w:rPr>
                <w:rFonts w:ascii="Arial" w:hAnsi="Arial" w:cs="Arial"/>
                <w:b/>
                <w:sz w:val="24"/>
                <w:szCs w:val="24"/>
              </w:rPr>
            </w:pPr>
            <w:r w:rsidRPr="00460670">
              <w:rPr>
                <w:rFonts w:ascii="Arial" w:hAnsi="Arial" w:cs="Arial"/>
                <w:b/>
                <w:sz w:val="24"/>
                <w:szCs w:val="24"/>
              </w:rPr>
              <w:t>Note to the parties:</w:t>
            </w:r>
          </w:p>
        </w:tc>
      </w:tr>
      <w:tr w:rsidR="00460670" w:rsidRPr="00460670" w14:paraId="71A537E8" w14:textId="77777777" w:rsidTr="00887A63">
        <w:trPr>
          <w:trHeight w:val="608"/>
        </w:trPr>
        <w:tc>
          <w:tcPr>
            <w:tcW w:w="4770" w:type="dxa"/>
          </w:tcPr>
          <w:p w14:paraId="7187A946" w14:textId="77777777" w:rsidR="00B40844" w:rsidRPr="00460670" w:rsidRDefault="00B40844" w:rsidP="00937C89">
            <w:pPr>
              <w:spacing w:line="360" w:lineRule="auto"/>
              <w:jc w:val="both"/>
              <w:rPr>
                <w:rFonts w:ascii="Arial" w:hAnsi="Arial" w:cs="Arial"/>
                <w:sz w:val="24"/>
                <w:szCs w:val="24"/>
              </w:rPr>
            </w:pPr>
          </w:p>
          <w:p w14:paraId="4D626231" w14:textId="77777777" w:rsidR="007008BE" w:rsidRPr="00460670" w:rsidRDefault="007008BE" w:rsidP="003F053B">
            <w:pPr>
              <w:spacing w:line="360" w:lineRule="auto"/>
              <w:jc w:val="both"/>
              <w:rPr>
                <w:rFonts w:ascii="Arial" w:hAnsi="Arial" w:cs="Arial"/>
                <w:sz w:val="24"/>
                <w:szCs w:val="24"/>
              </w:rPr>
            </w:pPr>
          </w:p>
        </w:tc>
        <w:tc>
          <w:tcPr>
            <w:tcW w:w="5436" w:type="dxa"/>
            <w:gridSpan w:val="2"/>
          </w:tcPr>
          <w:p w14:paraId="525DC040" w14:textId="77777777" w:rsidR="00B40844" w:rsidRPr="00460670" w:rsidRDefault="00B40844" w:rsidP="00937C89">
            <w:pPr>
              <w:spacing w:line="360" w:lineRule="auto"/>
              <w:jc w:val="both"/>
              <w:rPr>
                <w:rFonts w:ascii="Arial" w:hAnsi="Arial" w:cs="Arial"/>
                <w:sz w:val="24"/>
                <w:szCs w:val="24"/>
              </w:rPr>
            </w:pPr>
            <w:r w:rsidRPr="00460670">
              <w:rPr>
                <w:rFonts w:ascii="Arial" w:hAnsi="Arial" w:cs="Arial"/>
                <w:sz w:val="24"/>
                <w:szCs w:val="24"/>
              </w:rPr>
              <w:t>Not applicable.</w:t>
            </w:r>
          </w:p>
        </w:tc>
      </w:tr>
      <w:tr w:rsidR="00460670" w:rsidRPr="00460670" w14:paraId="4BF6B70F" w14:textId="77777777" w:rsidTr="00887A63">
        <w:tc>
          <w:tcPr>
            <w:tcW w:w="10206" w:type="dxa"/>
            <w:gridSpan w:val="3"/>
          </w:tcPr>
          <w:p w14:paraId="6A5EA542" w14:textId="77777777" w:rsidR="00B40844" w:rsidRPr="00460670" w:rsidRDefault="00B40844" w:rsidP="00937C89">
            <w:pPr>
              <w:spacing w:line="360" w:lineRule="auto"/>
              <w:jc w:val="center"/>
              <w:rPr>
                <w:rFonts w:ascii="Arial" w:hAnsi="Arial" w:cs="Arial"/>
                <w:b/>
                <w:sz w:val="24"/>
                <w:szCs w:val="24"/>
              </w:rPr>
            </w:pPr>
            <w:r w:rsidRPr="00460670">
              <w:rPr>
                <w:rFonts w:ascii="Arial" w:hAnsi="Arial" w:cs="Arial"/>
                <w:b/>
                <w:sz w:val="24"/>
                <w:szCs w:val="24"/>
              </w:rPr>
              <w:lastRenderedPageBreak/>
              <w:t>Counsel:</w:t>
            </w:r>
          </w:p>
        </w:tc>
      </w:tr>
      <w:tr w:rsidR="00460670" w:rsidRPr="00460670" w14:paraId="579F63FC" w14:textId="77777777" w:rsidTr="00887A63">
        <w:tc>
          <w:tcPr>
            <w:tcW w:w="4770" w:type="dxa"/>
          </w:tcPr>
          <w:p w14:paraId="52D98B5F" w14:textId="52C9ABDE" w:rsidR="00B40844" w:rsidRPr="00460670" w:rsidRDefault="00C834FA" w:rsidP="00937C89">
            <w:pPr>
              <w:spacing w:line="360" w:lineRule="auto"/>
              <w:jc w:val="center"/>
              <w:rPr>
                <w:rFonts w:ascii="Arial" w:hAnsi="Arial" w:cs="Arial"/>
                <w:b/>
                <w:sz w:val="24"/>
                <w:szCs w:val="24"/>
              </w:rPr>
            </w:pPr>
            <w:r w:rsidRPr="00460670">
              <w:rPr>
                <w:rFonts w:ascii="Arial" w:hAnsi="Arial" w:cs="Arial"/>
                <w:b/>
                <w:sz w:val="24"/>
                <w:szCs w:val="24"/>
              </w:rPr>
              <w:t>Applicant</w:t>
            </w:r>
          </w:p>
        </w:tc>
        <w:tc>
          <w:tcPr>
            <w:tcW w:w="5436" w:type="dxa"/>
            <w:gridSpan w:val="2"/>
          </w:tcPr>
          <w:p w14:paraId="7EC49BF1" w14:textId="7DE51B85" w:rsidR="00B40844" w:rsidRPr="00460670" w:rsidRDefault="00C834FA" w:rsidP="00C834FA">
            <w:pPr>
              <w:spacing w:line="360" w:lineRule="auto"/>
              <w:jc w:val="center"/>
              <w:rPr>
                <w:rFonts w:ascii="Arial" w:hAnsi="Arial" w:cs="Arial"/>
                <w:b/>
                <w:sz w:val="24"/>
                <w:szCs w:val="24"/>
              </w:rPr>
            </w:pPr>
            <w:r w:rsidRPr="00460670">
              <w:rPr>
                <w:rFonts w:ascii="Arial" w:hAnsi="Arial" w:cs="Arial"/>
                <w:b/>
                <w:sz w:val="24"/>
                <w:szCs w:val="24"/>
              </w:rPr>
              <w:t>First Respondent</w:t>
            </w:r>
          </w:p>
        </w:tc>
      </w:tr>
      <w:tr w:rsidR="00460670" w:rsidRPr="00460670" w14:paraId="7F6632AA" w14:textId="77777777" w:rsidTr="00887A63">
        <w:tc>
          <w:tcPr>
            <w:tcW w:w="4770" w:type="dxa"/>
          </w:tcPr>
          <w:p w14:paraId="501345E3" w14:textId="171DCC2E" w:rsidR="00935FE9" w:rsidRPr="00460670" w:rsidRDefault="00CB1BB0" w:rsidP="00935FE9">
            <w:pPr>
              <w:pStyle w:val="Body"/>
              <w:spacing w:line="360" w:lineRule="auto"/>
              <w:jc w:val="center"/>
              <w:rPr>
                <w:rFonts w:ascii="Arial" w:hAnsi="Arial" w:cs="Arial"/>
                <w:color w:val="auto"/>
                <w:sz w:val="24"/>
                <w:szCs w:val="24"/>
              </w:rPr>
            </w:pPr>
            <w:r>
              <w:rPr>
                <w:rFonts w:ascii="Arial" w:hAnsi="Arial" w:cs="Arial"/>
                <w:color w:val="auto"/>
                <w:sz w:val="24"/>
                <w:szCs w:val="24"/>
              </w:rPr>
              <w:t>H Ntel</w:t>
            </w:r>
            <w:r w:rsidR="00893A60" w:rsidRPr="00460670">
              <w:rPr>
                <w:rFonts w:ascii="Arial" w:hAnsi="Arial" w:cs="Arial"/>
                <w:color w:val="auto"/>
                <w:sz w:val="24"/>
                <w:szCs w:val="24"/>
              </w:rPr>
              <w:t xml:space="preserve">amo-Matswetu </w:t>
            </w:r>
          </w:p>
          <w:p w14:paraId="5DF3F17F" w14:textId="18B74E12" w:rsidR="00B40844" w:rsidRPr="00460670" w:rsidRDefault="00935FE9" w:rsidP="00CB1BB0">
            <w:pPr>
              <w:pStyle w:val="Body"/>
              <w:spacing w:line="360" w:lineRule="auto"/>
              <w:jc w:val="center"/>
              <w:rPr>
                <w:rFonts w:ascii="Arial" w:hAnsi="Arial" w:cs="Arial"/>
                <w:color w:val="auto"/>
                <w:sz w:val="24"/>
                <w:szCs w:val="24"/>
              </w:rPr>
            </w:pPr>
            <w:r w:rsidRPr="00460670">
              <w:rPr>
                <w:rFonts w:ascii="Arial" w:hAnsi="Arial" w:cs="Arial"/>
                <w:color w:val="auto"/>
                <w:sz w:val="24"/>
                <w:szCs w:val="24"/>
              </w:rPr>
              <w:t xml:space="preserve">Instructed by </w:t>
            </w:r>
            <w:r w:rsidR="00893A60" w:rsidRPr="00460670">
              <w:rPr>
                <w:rFonts w:ascii="Arial" w:hAnsi="Arial" w:cs="Arial"/>
                <w:color w:val="auto"/>
                <w:sz w:val="24"/>
                <w:szCs w:val="24"/>
              </w:rPr>
              <w:t xml:space="preserve">Directorate for Legal Aid, Windhoek </w:t>
            </w:r>
          </w:p>
        </w:tc>
        <w:tc>
          <w:tcPr>
            <w:tcW w:w="5436" w:type="dxa"/>
            <w:gridSpan w:val="2"/>
          </w:tcPr>
          <w:p w14:paraId="4ED33BF5" w14:textId="3486DE51" w:rsidR="00935FE9" w:rsidRPr="00460670" w:rsidRDefault="00CB1BB0" w:rsidP="00E22825">
            <w:pPr>
              <w:spacing w:line="360" w:lineRule="auto"/>
              <w:jc w:val="center"/>
              <w:rPr>
                <w:rFonts w:ascii="Arial" w:hAnsi="Arial" w:cs="Arial"/>
                <w:sz w:val="24"/>
                <w:szCs w:val="24"/>
                <w:lang w:val="en-ZA"/>
              </w:rPr>
            </w:pPr>
            <w:r>
              <w:rPr>
                <w:rFonts w:ascii="Arial" w:hAnsi="Arial" w:cs="Arial"/>
                <w:sz w:val="24"/>
                <w:szCs w:val="24"/>
                <w:lang w:val="en-ZA"/>
              </w:rPr>
              <w:t>L K  Tibi</w:t>
            </w:r>
            <w:r w:rsidR="00893A60" w:rsidRPr="00460670">
              <w:rPr>
                <w:rFonts w:ascii="Arial" w:hAnsi="Arial" w:cs="Arial"/>
                <w:sz w:val="24"/>
                <w:szCs w:val="24"/>
                <w:lang w:val="en-ZA"/>
              </w:rPr>
              <w:t xml:space="preserve">nyane </w:t>
            </w:r>
          </w:p>
          <w:p w14:paraId="18B014E7" w14:textId="08FCE2E0" w:rsidR="00935FE9" w:rsidRPr="00460670" w:rsidRDefault="00893A60" w:rsidP="00935FE9">
            <w:pPr>
              <w:spacing w:line="360" w:lineRule="auto"/>
              <w:jc w:val="center"/>
              <w:rPr>
                <w:rFonts w:ascii="Arial" w:hAnsi="Arial" w:cs="Arial"/>
                <w:sz w:val="24"/>
                <w:szCs w:val="24"/>
                <w:lang w:val="en-ZA"/>
              </w:rPr>
            </w:pPr>
            <w:r w:rsidRPr="00460670">
              <w:rPr>
                <w:rFonts w:ascii="Arial" w:hAnsi="Arial" w:cs="Arial"/>
                <w:sz w:val="24"/>
                <w:szCs w:val="24"/>
                <w:lang w:val="en-ZA"/>
              </w:rPr>
              <w:t>Government Attorney</w:t>
            </w:r>
          </w:p>
          <w:p w14:paraId="2EDA150C" w14:textId="43FAA875" w:rsidR="00B62F2B" w:rsidRPr="00460670" w:rsidRDefault="00935FE9" w:rsidP="00E22825">
            <w:pPr>
              <w:spacing w:line="360" w:lineRule="auto"/>
              <w:jc w:val="center"/>
              <w:rPr>
                <w:rFonts w:ascii="Arial" w:hAnsi="Arial" w:cs="Arial"/>
                <w:sz w:val="24"/>
                <w:szCs w:val="24"/>
                <w:lang w:val="en-ZA"/>
              </w:rPr>
            </w:pPr>
            <w:r w:rsidRPr="00460670">
              <w:rPr>
                <w:rFonts w:ascii="Arial" w:hAnsi="Arial" w:cs="Arial"/>
                <w:sz w:val="24"/>
                <w:szCs w:val="24"/>
                <w:lang w:val="en-ZA"/>
              </w:rPr>
              <w:t>Windhoek</w:t>
            </w:r>
          </w:p>
        </w:tc>
      </w:tr>
    </w:tbl>
    <w:p w14:paraId="50B5640E" w14:textId="77777777" w:rsidR="0094041F" w:rsidRPr="00460670" w:rsidRDefault="0094041F" w:rsidP="005145D9"/>
    <w:sectPr w:rsidR="0094041F" w:rsidRPr="00460670" w:rsidSect="00887A63">
      <w:headerReference w:type="default" r:id="rId12"/>
      <w:footerReference w:type="default" r:id="rId13"/>
      <w:pgSz w:w="11906" w:h="16838"/>
      <w:pgMar w:top="1440" w:right="1440" w:bottom="1440"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8ED6C" w14:textId="77777777" w:rsidR="00915242" w:rsidRPr="004A5618" w:rsidRDefault="00915242" w:rsidP="00B40844">
      <w:pPr>
        <w:spacing w:after="0" w:line="240" w:lineRule="auto"/>
      </w:pPr>
      <w:r w:rsidRPr="004A5618">
        <w:separator/>
      </w:r>
    </w:p>
  </w:endnote>
  <w:endnote w:type="continuationSeparator" w:id="0">
    <w:p w14:paraId="479A9AEE" w14:textId="77777777" w:rsidR="00915242" w:rsidRPr="004A5618" w:rsidRDefault="00915242" w:rsidP="00B40844">
      <w:pPr>
        <w:spacing w:after="0" w:line="240" w:lineRule="auto"/>
      </w:pPr>
      <w:r w:rsidRPr="004A561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715E" w14:textId="77777777" w:rsidR="00937C89" w:rsidRPr="004A5618"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F9862" w14:textId="77777777" w:rsidR="00915242" w:rsidRPr="004A5618" w:rsidRDefault="00915242" w:rsidP="00B40844">
      <w:pPr>
        <w:spacing w:after="0" w:line="240" w:lineRule="auto"/>
      </w:pPr>
      <w:r w:rsidRPr="004A5618">
        <w:separator/>
      </w:r>
    </w:p>
  </w:footnote>
  <w:footnote w:type="continuationSeparator" w:id="0">
    <w:p w14:paraId="4189477B" w14:textId="77777777" w:rsidR="00915242" w:rsidRPr="004A5618" w:rsidRDefault="00915242" w:rsidP="00B40844">
      <w:pPr>
        <w:spacing w:after="0" w:line="240" w:lineRule="auto"/>
      </w:pPr>
      <w:r w:rsidRPr="004A5618">
        <w:continuationSeparator/>
      </w:r>
    </w:p>
  </w:footnote>
  <w:footnote w:id="1">
    <w:p w14:paraId="0A2B5B9B" w14:textId="77777777" w:rsidR="00893A60" w:rsidRPr="00CB1BB0" w:rsidRDefault="00893A60" w:rsidP="00893A60">
      <w:pPr>
        <w:pStyle w:val="FootnoteText"/>
        <w:rPr>
          <w:rFonts w:ascii="Arial" w:hAnsi="Arial" w:cs="Arial"/>
          <w:lang w:val="en-ZA"/>
        </w:rPr>
      </w:pPr>
      <w:r w:rsidRPr="00CB1BB0">
        <w:rPr>
          <w:rStyle w:val="FootnoteReference"/>
          <w:rFonts w:ascii="Arial" w:hAnsi="Arial" w:cs="Arial"/>
        </w:rPr>
        <w:footnoteRef/>
      </w:r>
      <w:r w:rsidRPr="00CB1BB0">
        <w:rPr>
          <w:rFonts w:ascii="Arial" w:hAnsi="Arial" w:cs="Arial"/>
        </w:rPr>
        <w:t xml:space="preserve"> </w:t>
      </w:r>
      <w:r w:rsidRPr="00CB1BB0">
        <w:rPr>
          <w:rFonts w:ascii="Arial" w:hAnsi="Arial" w:cs="Arial"/>
          <w:i/>
          <w:lang w:val="en-ZA"/>
        </w:rPr>
        <w:t>Claude Neon Lights (SA) Ltd v Daniel</w:t>
      </w:r>
      <w:r w:rsidRPr="00CB1BB0">
        <w:rPr>
          <w:rFonts w:ascii="Arial" w:hAnsi="Arial" w:cs="Arial"/>
          <w:lang w:val="en-ZA"/>
        </w:rPr>
        <w:t xml:space="preserve"> 1976 (4) SA 403 (A) at 409G-H.</w:t>
      </w:r>
    </w:p>
  </w:footnote>
  <w:footnote w:id="2">
    <w:p w14:paraId="3C6600AE" w14:textId="77777777" w:rsidR="00893A60" w:rsidRPr="00CB1BB0" w:rsidRDefault="00893A60" w:rsidP="00893A60">
      <w:pPr>
        <w:pStyle w:val="FootnoteText"/>
        <w:rPr>
          <w:rFonts w:ascii="Arial" w:hAnsi="Arial" w:cs="Arial"/>
          <w:lang w:val="en-ZA"/>
        </w:rPr>
      </w:pPr>
      <w:r w:rsidRPr="00CB1BB0">
        <w:rPr>
          <w:rStyle w:val="FootnoteReference"/>
          <w:rFonts w:ascii="Arial" w:hAnsi="Arial" w:cs="Arial"/>
        </w:rPr>
        <w:footnoteRef/>
      </w:r>
      <w:r w:rsidRPr="00CB1BB0">
        <w:rPr>
          <w:rFonts w:ascii="Arial" w:hAnsi="Arial" w:cs="Arial"/>
        </w:rPr>
        <w:t xml:space="preserve"> </w:t>
      </w:r>
      <w:r w:rsidRPr="00CB1BB0">
        <w:rPr>
          <w:rFonts w:ascii="Arial" w:hAnsi="Arial" w:cs="Arial"/>
          <w:i/>
          <w:lang w:val="en-ZA"/>
        </w:rPr>
        <w:t>Marine and Trade Insurance Co Ltd v Van der Schyff</w:t>
      </w:r>
      <w:r w:rsidRPr="00CB1BB0">
        <w:rPr>
          <w:rFonts w:ascii="Arial" w:hAnsi="Arial" w:cs="Arial"/>
          <w:lang w:val="en-ZA"/>
        </w:rPr>
        <w:t xml:space="preserve"> 1972 (1) SA 26 at 379-38A.</w:t>
      </w:r>
    </w:p>
  </w:footnote>
  <w:footnote w:id="3">
    <w:p w14:paraId="3034F5F8" w14:textId="77777777" w:rsidR="00893A60" w:rsidRPr="00CB1BB0" w:rsidRDefault="00893A60" w:rsidP="00893A60">
      <w:pPr>
        <w:pStyle w:val="FootnoteText"/>
        <w:rPr>
          <w:rFonts w:ascii="Arial" w:hAnsi="Arial" w:cs="Arial"/>
          <w:lang w:val="en-ZA"/>
        </w:rPr>
      </w:pPr>
      <w:r w:rsidRPr="00CB1BB0">
        <w:rPr>
          <w:rStyle w:val="FootnoteReference"/>
          <w:rFonts w:ascii="Arial" w:hAnsi="Arial" w:cs="Arial"/>
        </w:rPr>
        <w:footnoteRef/>
      </w:r>
      <w:r w:rsidRPr="00CB1BB0">
        <w:rPr>
          <w:rFonts w:ascii="Arial" w:hAnsi="Arial" w:cs="Arial"/>
        </w:rPr>
        <w:t xml:space="preserve"> </w:t>
      </w:r>
      <w:r w:rsidRPr="00CB1BB0">
        <w:rPr>
          <w:rFonts w:ascii="Arial" w:hAnsi="Arial" w:cs="Arial"/>
          <w:i/>
          <w:lang w:val="en-ZA"/>
        </w:rPr>
        <w:t>Carmichele v Minister of Safety and Security</w:t>
      </w:r>
      <w:r w:rsidRPr="00CB1BB0">
        <w:rPr>
          <w:rFonts w:ascii="Arial" w:hAnsi="Arial" w:cs="Arial"/>
          <w:lang w:val="en-ZA"/>
        </w:rPr>
        <w:t xml:space="preserve"> 2001 (4) SA 938 at 970A.</w:t>
      </w:r>
    </w:p>
  </w:footnote>
  <w:footnote w:id="4">
    <w:p w14:paraId="7ACCEE00" w14:textId="77777777" w:rsidR="00893A60" w:rsidRPr="00CB1BB0" w:rsidRDefault="00893A60" w:rsidP="00893A60">
      <w:pPr>
        <w:pStyle w:val="FootnoteText"/>
        <w:rPr>
          <w:rFonts w:ascii="Arial" w:hAnsi="Arial" w:cs="Arial"/>
        </w:rPr>
      </w:pPr>
      <w:r w:rsidRPr="00CB1BB0">
        <w:rPr>
          <w:rStyle w:val="FootnoteReference"/>
          <w:rFonts w:ascii="Arial" w:hAnsi="Arial" w:cs="Arial"/>
        </w:rPr>
        <w:footnoteRef/>
      </w:r>
      <w:r w:rsidRPr="00CB1BB0">
        <w:rPr>
          <w:rFonts w:ascii="Arial" w:hAnsi="Arial" w:cs="Arial"/>
        </w:rPr>
        <w:t xml:space="preserve"> </w:t>
      </w:r>
      <w:r w:rsidRPr="00CB1BB0">
        <w:rPr>
          <w:rFonts w:ascii="Arial" w:hAnsi="Arial" w:cs="Arial"/>
          <w:i/>
        </w:rPr>
        <w:t>General Francois Olengav Erwin Spranger</w:t>
      </w:r>
      <w:r w:rsidRPr="00CB1BB0">
        <w:rPr>
          <w:rFonts w:ascii="Arial" w:hAnsi="Arial" w:cs="Arial"/>
        </w:rPr>
        <w:t xml:space="preserve"> (I3826/2011)[2016] NAHCMD 330 (28 October 2016).</w:t>
      </w:r>
    </w:p>
  </w:footnote>
  <w:footnote w:id="5">
    <w:p w14:paraId="22D37E12" w14:textId="77777777" w:rsidR="00893A60" w:rsidRPr="00CB1BB0" w:rsidRDefault="00893A60" w:rsidP="00893A60">
      <w:pPr>
        <w:pStyle w:val="FootnoteText"/>
        <w:rPr>
          <w:rFonts w:ascii="Arial" w:hAnsi="Arial" w:cs="Arial"/>
        </w:rPr>
      </w:pPr>
      <w:r w:rsidRPr="00CB1BB0">
        <w:rPr>
          <w:rStyle w:val="FootnoteReference"/>
          <w:rFonts w:ascii="Arial" w:hAnsi="Arial" w:cs="Arial"/>
        </w:rPr>
        <w:footnoteRef/>
      </w:r>
      <w:r w:rsidRPr="00CB1BB0">
        <w:rPr>
          <w:rFonts w:ascii="Arial" w:hAnsi="Arial" w:cs="Arial"/>
        </w:rPr>
        <w:t xml:space="preserve"> </w:t>
      </w:r>
      <w:r w:rsidRPr="00CB1BB0">
        <w:rPr>
          <w:rFonts w:ascii="Arial" w:eastAsia="Times New Roman" w:hAnsi="Arial" w:cs="Arial"/>
          <w:i/>
          <w:lang w:eastAsia="en-GB"/>
        </w:rPr>
        <w:t xml:space="preserve">Teek v The Minister of Safety and Security &amp; 7 Others </w:t>
      </w:r>
      <w:r w:rsidRPr="00CB1BB0">
        <w:rPr>
          <w:rFonts w:ascii="Arial" w:eastAsia="Times New Roman" w:hAnsi="Arial" w:cs="Arial"/>
          <w:lang w:eastAsia="en-GB"/>
        </w:rPr>
        <w:t>(HC-MD-CIV-ACT-DEL-2019/01427) [2021] NAHCMD 348 (30 July 2021).</w:t>
      </w:r>
    </w:p>
  </w:footnote>
  <w:footnote w:id="6">
    <w:p w14:paraId="26984CFC" w14:textId="77777777" w:rsidR="00893A60" w:rsidRPr="00CB1BB0" w:rsidRDefault="00893A60" w:rsidP="00893A60">
      <w:pPr>
        <w:pStyle w:val="FootnoteText"/>
        <w:rPr>
          <w:rFonts w:ascii="Arial" w:hAnsi="Arial" w:cs="Arial"/>
          <w:lang w:val="en-ZA"/>
        </w:rPr>
      </w:pPr>
      <w:r w:rsidRPr="00CB1BB0">
        <w:rPr>
          <w:rStyle w:val="FootnoteReference"/>
          <w:rFonts w:ascii="Arial" w:hAnsi="Arial" w:cs="Arial"/>
        </w:rPr>
        <w:footnoteRef/>
      </w:r>
      <w:r w:rsidRPr="00CB1BB0">
        <w:rPr>
          <w:rFonts w:ascii="Arial" w:hAnsi="Arial" w:cs="Arial"/>
        </w:rPr>
        <w:t xml:space="preserve"> </w:t>
      </w:r>
      <w:r w:rsidRPr="00CB1BB0">
        <w:rPr>
          <w:rFonts w:ascii="Arial" w:hAnsi="Arial" w:cs="Arial"/>
          <w:i/>
          <w:lang w:val="en-ZA"/>
        </w:rPr>
        <w:t>Chombo v Minister of Safety and Security</w:t>
      </w:r>
      <w:r w:rsidRPr="00CB1BB0">
        <w:rPr>
          <w:rFonts w:ascii="Arial" w:hAnsi="Arial" w:cs="Arial"/>
          <w:lang w:val="en-ZA"/>
        </w:rPr>
        <w:t xml:space="preserve"> (I 3883/2013) [2018] </w:t>
      </w:r>
      <w:r w:rsidRPr="00CB1BB0">
        <w:rPr>
          <w:rFonts w:ascii="Arial" w:hAnsi="Arial" w:cs="Arial"/>
        </w:rPr>
        <w:t>NAHCMD</w:t>
      </w:r>
      <w:r w:rsidRPr="00CB1BB0">
        <w:rPr>
          <w:rFonts w:ascii="Arial" w:hAnsi="Arial" w:cs="Arial"/>
          <w:lang w:val="en-ZA"/>
        </w:rPr>
        <w:t xml:space="preserve"> 37 (20 February 2018) para 4.</w:t>
      </w:r>
    </w:p>
  </w:footnote>
  <w:footnote w:id="7">
    <w:p w14:paraId="3BCE2E39" w14:textId="77777777" w:rsidR="00893A60" w:rsidRPr="00CB1BB0" w:rsidRDefault="00893A60" w:rsidP="00893A60">
      <w:pPr>
        <w:pStyle w:val="FootnoteText"/>
        <w:rPr>
          <w:rFonts w:ascii="Arial" w:hAnsi="Arial" w:cs="Arial"/>
        </w:rPr>
      </w:pPr>
      <w:r w:rsidRPr="00CB1BB0">
        <w:rPr>
          <w:rStyle w:val="FootnoteReference"/>
          <w:rFonts w:ascii="Arial" w:hAnsi="Arial" w:cs="Arial"/>
        </w:rPr>
        <w:footnoteRef/>
      </w:r>
      <w:r w:rsidRPr="00CB1BB0">
        <w:rPr>
          <w:rFonts w:ascii="Arial" w:hAnsi="Arial" w:cs="Arial"/>
        </w:rPr>
        <w:t xml:space="preserve"> </w:t>
      </w:r>
      <w:r w:rsidRPr="00CB1BB0">
        <w:rPr>
          <w:rFonts w:ascii="Arial" w:hAnsi="Arial" w:cs="Arial"/>
          <w:i/>
        </w:rPr>
        <w:t>Visagie v The Government of the Republic of Namibia</w:t>
      </w:r>
      <w:r w:rsidRPr="00CB1BB0">
        <w:rPr>
          <w:rFonts w:ascii="Arial" w:hAnsi="Arial" w:cs="Arial"/>
        </w:rPr>
        <w:t xml:space="preserve"> (I2677/2005) [2022] NAHCMD 1 (1 March 2022).</w:t>
      </w:r>
    </w:p>
  </w:footnote>
  <w:footnote w:id="8">
    <w:p w14:paraId="6FD00FE7" w14:textId="77777777" w:rsidR="00893A60" w:rsidRPr="00CB1BB0" w:rsidRDefault="00893A60" w:rsidP="00893A60">
      <w:pPr>
        <w:pStyle w:val="FootnoteText"/>
        <w:rPr>
          <w:rFonts w:ascii="Arial" w:hAnsi="Arial" w:cs="Arial"/>
        </w:rPr>
      </w:pPr>
      <w:r w:rsidRPr="00CB1BB0">
        <w:rPr>
          <w:rStyle w:val="FootnoteReference"/>
          <w:rFonts w:ascii="Arial" w:hAnsi="Arial" w:cs="Arial"/>
        </w:rPr>
        <w:footnoteRef/>
      </w:r>
      <w:r w:rsidRPr="00CB1BB0">
        <w:rPr>
          <w:rFonts w:ascii="Arial" w:hAnsi="Arial" w:cs="Arial"/>
        </w:rPr>
        <w:t xml:space="preserve"> (CCT 136 of 2020) [2021] ZACC 37 (22 October 2021).</w:t>
      </w:r>
    </w:p>
  </w:footnote>
  <w:footnote w:id="9">
    <w:p w14:paraId="6C0542A9" w14:textId="10A629BD" w:rsidR="00F17C83" w:rsidRPr="00F17C83" w:rsidRDefault="00F17C83">
      <w:pPr>
        <w:pStyle w:val="FootnoteText"/>
        <w:rPr>
          <w:lang w:val="en-US"/>
        </w:rPr>
      </w:pPr>
      <w:r>
        <w:rPr>
          <w:rStyle w:val="FootnoteReference"/>
        </w:rPr>
        <w:footnoteRef/>
      </w:r>
      <w:r>
        <w:t xml:space="preserve"> </w:t>
      </w:r>
      <w:r>
        <w:rPr>
          <w:rFonts w:ascii="Arial" w:hAnsi="Arial" w:cs="Arial"/>
          <w:i/>
          <w:lang w:val="en-ZA"/>
        </w:rPr>
        <w:t xml:space="preserve">Pienaar v S </w:t>
      </w:r>
      <w:r w:rsidRPr="00B3535E">
        <w:rPr>
          <w:rFonts w:ascii="Arial" w:hAnsi="Arial" w:cs="Arial"/>
          <w:lang w:val="en-ZA"/>
        </w:rPr>
        <w:t>(HC-MD-CRI-APP-CAL-2019/00065)</w:t>
      </w:r>
      <w:r>
        <w:rPr>
          <w:rFonts w:ascii="Arial" w:hAnsi="Arial" w:cs="Arial"/>
          <w:i/>
          <w:lang w:val="en-ZA"/>
        </w:rPr>
        <w:t xml:space="preserve"> </w:t>
      </w:r>
      <w:r>
        <w:rPr>
          <w:rFonts w:ascii="Arial" w:hAnsi="Arial" w:cs="Arial"/>
          <w:lang w:val="en-ZA"/>
        </w:rPr>
        <w:t>[2020] NAHCMD 527 (18 November 2020) para 3</w:t>
      </w:r>
    </w:p>
  </w:footnote>
  <w:footnote w:id="10">
    <w:p w14:paraId="23380453" w14:textId="77777777" w:rsidR="00893A60" w:rsidRPr="00CB1BB0" w:rsidRDefault="00893A60" w:rsidP="00893A60">
      <w:pPr>
        <w:pStyle w:val="FootnoteText"/>
        <w:rPr>
          <w:rFonts w:ascii="Arial" w:hAnsi="Arial" w:cs="Arial"/>
        </w:rPr>
      </w:pPr>
      <w:r w:rsidRPr="00CB1BB0">
        <w:rPr>
          <w:rStyle w:val="FootnoteReference"/>
          <w:rFonts w:ascii="Arial" w:hAnsi="Arial" w:cs="Arial"/>
        </w:rPr>
        <w:footnoteRef/>
      </w:r>
      <w:r w:rsidRPr="00CB1BB0">
        <w:rPr>
          <w:rFonts w:ascii="Arial" w:hAnsi="Arial" w:cs="Arial"/>
        </w:rPr>
        <w:t xml:space="preserve"> </w:t>
      </w:r>
      <w:r w:rsidRPr="00CB1BB0">
        <w:rPr>
          <w:rFonts w:ascii="Arial" w:hAnsi="Arial" w:cs="Arial"/>
          <w:i/>
          <w:lang w:val="en-ZA"/>
        </w:rPr>
        <w:t>Chombo v Minister of Safety and Security</w:t>
      </w:r>
      <w:r w:rsidRPr="00CB1BB0">
        <w:rPr>
          <w:rFonts w:ascii="Arial" w:hAnsi="Arial" w:cs="Arial"/>
          <w:lang w:val="en-ZA"/>
        </w:rPr>
        <w:t xml:space="preserve"> (I 3883/2013) [2018] </w:t>
      </w:r>
      <w:r w:rsidRPr="00CB1BB0">
        <w:rPr>
          <w:rFonts w:ascii="Arial" w:hAnsi="Arial" w:cs="Arial"/>
        </w:rPr>
        <w:t>NAHCMD</w:t>
      </w:r>
      <w:r w:rsidRPr="00CB1BB0">
        <w:rPr>
          <w:rFonts w:ascii="Arial" w:hAnsi="Arial" w:cs="Arial"/>
          <w:lang w:val="en-ZA"/>
        </w:rPr>
        <w:t xml:space="preserve"> 37 (20 February 2018) para 5.</w:t>
      </w:r>
    </w:p>
  </w:footnote>
  <w:footnote w:id="11">
    <w:p w14:paraId="370AA38B" w14:textId="77777777" w:rsidR="00893A60" w:rsidRPr="00CB1BB0" w:rsidRDefault="00893A60" w:rsidP="00893A60">
      <w:pPr>
        <w:pStyle w:val="FootnoteText"/>
        <w:rPr>
          <w:rFonts w:ascii="Arial" w:hAnsi="Arial" w:cs="Arial"/>
        </w:rPr>
      </w:pPr>
      <w:r w:rsidRPr="00CB1BB0">
        <w:rPr>
          <w:rStyle w:val="FootnoteReference"/>
          <w:rFonts w:ascii="Arial" w:hAnsi="Arial" w:cs="Arial"/>
        </w:rPr>
        <w:footnoteRef/>
      </w:r>
      <w:r w:rsidRPr="00CB1BB0">
        <w:rPr>
          <w:rFonts w:ascii="Arial" w:hAnsi="Arial" w:cs="Arial"/>
        </w:rPr>
        <w:t xml:space="preserve"> Paragraph 11 of particulars of Claim.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575618"/>
      <w:docPartObj>
        <w:docPartGallery w:val="Page Numbers (Top of Page)"/>
        <w:docPartUnique/>
      </w:docPartObj>
    </w:sdtPr>
    <w:sdtEndPr/>
    <w:sdtContent>
      <w:p w14:paraId="34337E68" w14:textId="77777777" w:rsidR="00157447" w:rsidRPr="004A5618" w:rsidRDefault="00157447">
        <w:pPr>
          <w:pStyle w:val="Header"/>
          <w:jc w:val="right"/>
        </w:pPr>
        <w:r w:rsidRPr="004A5618">
          <w:rPr>
            <w:rFonts w:ascii="Arial" w:hAnsi="Arial" w:cs="Arial"/>
            <w:sz w:val="24"/>
            <w:szCs w:val="24"/>
          </w:rPr>
          <w:fldChar w:fldCharType="begin"/>
        </w:r>
        <w:r w:rsidRPr="004A5618">
          <w:rPr>
            <w:rFonts w:ascii="Arial" w:hAnsi="Arial" w:cs="Arial"/>
            <w:sz w:val="24"/>
            <w:szCs w:val="24"/>
          </w:rPr>
          <w:instrText xml:space="preserve"> PAGE   \* MERGEFORMAT </w:instrText>
        </w:r>
        <w:r w:rsidRPr="004A5618">
          <w:rPr>
            <w:rFonts w:ascii="Arial" w:hAnsi="Arial" w:cs="Arial"/>
            <w:sz w:val="24"/>
            <w:szCs w:val="24"/>
          </w:rPr>
          <w:fldChar w:fldCharType="separate"/>
        </w:r>
        <w:r w:rsidR="00697BE6">
          <w:rPr>
            <w:rFonts w:ascii="Arial" w:hAnsi="Arial" w:cs="Arial"/>
            <w:noProof/>
            <w:sz w:val="24"/>
            <w:szCs w:val="24"/>
          </w:rPr>
          <w:t>2</w:t>
        </w:r>
        <w:r w:rsidRPr="004A5618">
          <w:rPr>
            <w:rFonts w:ascii="Arial" w:hAnsi="Arial" w:cs="Arial"/>
            <w:sz w:val="24"/>
            <w:szCs w:val="24"/>
          </w:rPr>
          <w:fldChar w:fldCharType="end"/>
        </w:r>
      </w:p>
    </w:sdtContent>
  </w:sdt>
  <w:p w14:paraId="36851913" w14:textId="77777777" w:rsidR="00157447" w:rsidRPr="004A5618" w:rsidRDefault="00157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nsid w:val="0646573E"/>
    <w:multiLevelType w:val="hybridMultilevel"/>
    <w:tmpl w:val="99A4C3D4"/>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92D2169"/>
    <w:multiLevelType w:val="hybridMultilevel"/>
    <w:tmpl w:val="92DEF4C6"/>
    <w:lvl w:ilvl="0" w:tplc="B24A7226">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5">
    <w:nsid w:val="103E5238"/>
    <w:multiLevelType w:val="hybridMultilevel"/>
    <w:tmpl w:val="3920DD74"/>
    <w:lvl w:ilvl="0" w:tplc="DA7E8F6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4AD5361"/>
    <w:multiLevelType w:val="hybridMultilevel"/>
    <w:tmpl w:val="D944A550"/>
    <w:lvl w:ilvl="0" w:tplc="63FAEF5A">
      <w:start w:val="1"/>
      <w:numFmt w:val="lowerLetter"/>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7">
    <w:nsid w:val="19034F07"/>
    <w:multiLevelType w:val="hybridMultilevel"/>
    <w:tmpl w:val="4318823E"/>
    <w:lvl w:ilvl="0" w:tplc="492A46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D4816F9"/>
    <w:multiLevelType w:val="hybridMultilevel"/>
    <w:tmpl w:val="1E228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3170E8"/>
    <w:multiLevelType w:val="hybridMultilevel"/>
    <w:tmpl w:val="3A3C635A"/>
    <w:lvl w:ilvl="0" w:tplc="7E04F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986A2B"/>
    <w:multiLevelType w:val="hybridMultilevel"/>
    <w:tmpl w:val="4A6EB146"/>
    <w:lvl w:ilvl="0" w:tplc="65A0487A">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BCA31AD"/>
    <w:multiLevelType w:val="hybridMultilevel"/>
    <w:tmpl w:val="57E8C07C"/>
    <w:lvl w:ilvl="0" w:tplc="082E31EA">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1E61473"/>
    <w:multiLevelType w:val="hybridMultilevel"/>
    <w:tmpl w:val="04A80FD0"/>
    <w:lvl w:ilvl="0" w:tplc="65A0487A">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2D02432"/>
    <w:multiLevelType w:val="hybridMultilevel"/>
    <w:tmpl w:val="823802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65D503C"/>
    <w:multiLevelType w:val="hybridMultilevel"/>
    <w:tmpl w:val="ED6CEC12"/>
    <w:lvl w:ilvl="0" w:tplc="70DE72B0">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37947409"/>
    <w:multiLevelType w:val="hybridMultilevel"/>
    <w:tmpl w:val="9E5827D0"/>
    <w:lvl w:ilvl="0" w:tplc="075CC504">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16">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E992AEB"/>
    <w:multiLevelType w:val="hybridMultilevel"/>
    <w:tmpl w:val="48845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F51BCE"/>
    <w:multiLevelType w:val="hybridMultilevel"/>
    <w:tmpl w:val="651410BA"/>
    <w:lvl w:ilvl="0" w:tplc="7624CE2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1">
    <w:nsid w:val="51271D44"/>
    <w:multiLevelType w:val="hybridMultilevel"/>
    <w:tmpl w:val="C9820F42"/>
    <w:lvl w:ilvl="0" w:tplc="C92658F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13C34B2"/>
    <w:multiLevelType w:val="hybridMultilevel"/>
    <w:tmpl w:val="EFF8908E"/>
    <w:lvl w:ilvl="0" w:tplc="9382741C">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23">
    <w:nsid w:val="534255FC"/>
    <w:multiLevelType w:val="hybridMultilevel"/>
    <w:tmpl w:val="9F12DE0E"/>
    <w:lvl w:ilvl="0" w:tplc="5A2A9780">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24">
    <w:nsid w:val="57046B77"/>
    <w:multiLevelType w:val="hybridMultilevel"/>
    <w:tmpl w:val="6094AB24"/>
    <w:lvl w:ilvl="0" w:tplc="383E0F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AA7B9E"/>
    <w:multiLevelType w:val="hybridMultilevel"/>
    <w:tmpl w:val="AB206022"/>
    <w:lvl w:ilvl="0" w:tplc="757467A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0B056F"/>
    <w:multiLevelType w:val="hybridMultilevel"/>
    <w:tmpl w:val="6A0005DE"/>
    <w:lvl w:ilvl="0" w:tplc="EB5019F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0024C75"/>
    <w:multiLevelType w:val="hybridMultilevel"/>
    <w:tmpl w:val="6094AB24"/>
    <w:lvl w:ilvl="0" w:tplc="383E0F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19C48EE"/>
    <w:multiLevelType w:val="hybridMultilevel"/>
    <w:tmpl w:val="AC7A7672"/>
    <w:lvl w:ilvl="0" w:tplc="FED8668E">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30">
    <w:nsid w:val="7A1302A3"/>
    <w:multiLevelType w:val="hybridMultilevel"/>
    <w:tmpl w:val="6EB2FC96"/>
    <w:lvl w:ilvl="0" w:tplc="A394D874">
      <w:start w:val="1"/>
      <w:numFmt w:val="lowerLetter"/>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31">
    <w:nsid w:val="7D0E6647"/>
    <w:multiLevelType w:val="hybridMultilevel"/>
    <w:tmpl w:val="401CDFC6"/>
    <w:lvl w:ilvl="0" w:tplc="5CF6D17C">
      <w:start w:val="1"/>
      <w:numFmt w:val="lowerLetter"/>
      <w:lvlText w:val="(%1)"/>
      <w:lvlJc w:val="left"/>
      <w:pPr>
        <w:ind w:left="720" w:hanging="360"/>
      </w:pPr>
      <w:rPr>
        <w:rFonts w:ascii="Arial" w:eastAsia="Times New Roman" w:hAnsi="Arial" w:cs="Arial"/>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D8A7B9E"/>
    <w:multiLevelType w:val="hybridMultilevel"/>
    <w:tmpl w:val="D11E27FA"/>
    <w:lvl w:ilvl="0" w:tplc="57745AA4">
      <w:start w:val="1"/>
      <w:numFmt w:val="decimal"/>
      <w:lvlText w:val="%1."/>
      <w:lvlJc w:val="left"/>
      <w:pPr>
        <w:ind w:left="1103" w:hanging="360"/>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33">
    <w:nsid w:val="7DB30925"/>
    <w:multiLevelType w:val="hybridMultilevel"/>
    <w:tmpl w:val="4B80FB1A"/>
    <w:lvl w:ilvl="0" w:tplc="D0E688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5"/>
  </w:num>
  <w:num w:numId="3">
    <w:abstractNumId w:val="20"/>
  </w:num>
  <w:num w:numId="4">
    <w:abstractNumId w:val="2"/>
  </w:num>
  <w:num w:numId="5">
    <w:abstractNumId w:val="1"/>
  </w:num>
  <w:num w:numId="6">
    <w:abstractNumId w:val="17"/>
  </w:num>
  <w:num w:numId="7">
    <w:abstractNumId w:val="16"/>
  </w:num>
  <w:num w:numId="8">
    <w:abstractNumId w:val="32"/>
  </w:num>
  <w:num w:numId="9">
    <w:abstractNumId w:val="11"/>
  </w:num>
  <w:num w:numId="10">
    <w:abstractNumId w:val="4"/>
  </w:num>
  <w:num w:numId="11">
    <w:abstractNumId w:val="2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7"/>
  </w:num>
  <w:num w:numId="15">
    <w:abstractNumId w:val="15"/>
  </w:num>
  <w:num w:numId="16">
    <w:abstractNumId w:val="30"/>
  </w:num>
  <w:num w:numId="17">
    <w:abstractNumId w:val="6"/>
  </w:num>
  <w:num w:numId="18">
    <w:abstractNumId w:val="28"/>
  </w:num>
  <w:num w:numId="19">
    <w:abstractNumId w:val="33"/>
  </w:num>
  <w:num w:numId="20">
    <w:abstractNumId w:val="22"/>
  </w:num>
  <w:num w:numId="21">
    <w:abstractNumId w:val="21"/>
  </w:num>
  <w:num w:numId="22">
    <w:abstractNumId w:val="23"/>
  </w:num>
  <w:num w:numId="23">
    <w:abstractNumId w:val="3"/>
  </w:num>
  <w:num w:numId="24">
    <w:abstractNumId w:val="13"/>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9"/>
  </w:num>
  <w:num w:numId="28">
    <w:abstractNumId w:val="10"/>
  </w:num>
  <w:num w:numId="29">
    <w:abstractNumId w:val="29"/>
  </w:num>
  <w:num w:numId="30">
    <w:abstractNumId w:val="18"/>
  </w:num>
  <w:num w:numId="31">
    <w:abstractNumId w:val="12"/>
  </w:num>
  <w:num w:numId="32">
    <w:abstractNumId w:val="8"/>
  </w:num>
  <w:num w:numId="33">
    <w:abstractNumId w:val="9"/>
  </w:num>
  <w:num w:numId="34">
    <w:abstractNumId w:val="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1CE5"/>
    <w:rsid w:val="00002760"/>
    <w:rsid w:val="00007F1F"/>
    <w:rsid w:val="000142CE"/>
    <w:rsid w:val="00015808"/>
    <w:rsid w:val="000200BD"/>
    <w:rsid w:val="00022A4B"/>
    <w:rsid w:val="00030A66"/>
    <w:rsid w:val="00031642"/>
    <w:rsid w:val="00037236"/>
    <w:rsid w:val="00042EFE"/>
    <w:rsid w:val="00043914"/>
    <w:rsid w:val="00045DF8"/>
    <w:rsid w:val="00047BBE"/>
    <w:rsid w:val="0005029C"/>
    <w:rsid w:val="00052806"/>
    <w:rsid w:val="00053646"/>
    <w:rsid w:val="0006006E"/>
    <w:rsid w:val="000650A0"/>
    <w:rsid w:val="00070995"/>
    <w:rsid w:val="00071E6A"/>
    <w:rsid w:val="00076184"/>
    <w:rsid w:val="00083F88"/>
    <w:rsid w:val="0009263E"/>
    <w:rsid w:val="000929C5"/>
    <w:rsid w:val="0009303D"/>
    <w:rsid w:val="000A5503"/>
    <w:rsid w:val="000A6E7F"/>
    <w:rsid w:val="000B297E"/>
    <w:rsid w:val="000B6044"/>
    <w:rsid w:val="000B6579"/>
    <w:rsid w:val="000D1E23"/>
    <w:rsid w:val="000E0485"/>
    <w:rsid w:val="000E7C99"/>
    <w:rsid w:val="000F1438"/>
    <w:rsid w:val="000F2FD9"/>
    <w:rsid w:val="000F39A3"/>
    <w:rsid w:val="000F681E"/>
    <w:rsid w:val="00100870"/>
    <w:rsid w:val="001011B6"/>
    <w:rsid w:val="001032AE"/>
    <w:rsid w:val="00106AE7"/>
    <w:rsid w:val="00111C0D"/>
    <w:rsid w:val="00116AFB"/>
    <w:rsid w:val="00117280"/>
    <w:rsid w:val="00122070"/>
    <w:rsid w:val="001223B7"/>
    <w:rsid w:val="00124C63"/>
    <w:rsid w:val="00125676"/>
    <w:rsid w:val="00130339"/>
    <w:rsid w:val="0013117E"/>
    <w:rsid w:val="00131545"/>
    <w:rsid w:val="00134E9F"/>
    <w:rsid w:val="00136505"/>
    <w:rsid w:val="00144967"/>
    <w:rsid w:val="001470CE"/>
    <w:rsid w:val="00150B08"/>
    <w:rsid w:val="00152A6D"/>
    <w:rsid w:val="00152FEA"/>
    <w:rsid w:val="00153ED0"/>
    <w:rsid w:val="00157447"/>
    <w:rsid w:val="00162CE7"/>
    <w:rsid w:val="00163FB4"/>
    <w:rsid w:val="001721EB"/>
    <w:rsid w:val="00174049"/>
    <w:rsid w:val="0017433C"/>
    <w:rsid w:val="00181972"/>
    <w:rsid w:val="001822C1"/>
    <w:rsid w:val="0018718C"/>
    <w:rsid w:val="00190265"/>
    <w:rsid w:val="00191A61"/>
    <w:rsid w:val="001A13C3"/>
    <w:rsid w:val="001A2A21"/>
    <w:rsid w:val="001A5DE4"/>
    <w:rsid w:val="001B2CA3"/>
    <w:rsid w:val="001B3825"/>
    <w:rsid w:val="001B5BE5"/>
    <w:rsid w:val="001C1570"/>
    <w:rsid w:val="001C33C5"/>
    <w:rsid w:val="001C44E2"/>
    <w:rsid w:val="001D619B"/>
    <w:rsid w:val="001D7162"/>
    <w:rsid w:val="001D795C"/>
    <w:rsid w:val="001E097B"/>
    <w:rsid w:val="001E113F"/>
    <w:rsid w:val="001E192B"/>
    <w:rsid w:val="001E2A2D"/>
    <w:rsid w:val="001E47FA"/>
    <w:rsid w:val="002000BA"/>
    <w:rsid w:val="00202CBF"/>
    <w:rsid w:val="00204A1F"/>
    <w:rsid w:val="00204E8A"/>
    <w:rsid w:val="00210CE5"/>
    <w:rsid w:val="00217744"/>
    <w:rsid w:val="00222067"/>
    <w:rsid w:val="00224808"/>
    <w:rsid w:val="00225792"/>
    <w:rsid w:val="0022676A"/>
    <w:rsid w:val="002317B0"/>
    <w:rsid w:val="0023549A"/>
    <w:rsid w:val="00241D98"/>
    <w:rsid w:val="0024267D"/>
    <w:rsid w:val="00244BAC"/>
    <w:rsid w:val="00244C17"/>
    <w:rsid w:val="00244F7C"/>
    <w:rsid w:val="00247485"/>
    <w:rsid w:val="0025219B"/>
    <w:rsid w:val="002536EA"/>
    <w:rsid w:val="00276736"/>
    <w:rsid w:val="0028119C"/>
    <w:rsid w:val="002850A3"/>
    <w:rsid w:val="002863C2"/>
    <w:rsid w:val="00287097"/>
    <w:rsid w:val="002873A9"/>
    <w:rsid w:val="002974FD"/>
    <w:rsid w:val="002A3C64"/>
    <w:rsid w:val="002A4AA3"/>
    <w:rsid w:val="002A7BF4"/>
    <w:rsid w:val="002B14DA"/>
    <w:rsid w:val="002B38E0"/>
    <w:rsid w:val="002B44E0"/>
    <w:rsid w:val="002B58A7"/>
    <w:rsid w:val="002B6C33"/>
    <w:rsid w:val="002C1EF6"/>
    <w:rsid w:val="002C7DA2"/>
    <w:rsid w:val="002C7EC7"/>
    <w:rsid w:val="002D20C5"/>
    <w:rsid w:val="002D2A66"/>
    <w:rsid w:val="002D407B"/>
    <w:rsid w:val="002D633E"/>
    <w:rsid w:val="002E738E"/>
    <w:rsid w:val="002E769F"/>
    <w:rsid w:val="002E7EA5"/>
    <w:rsid w:val="002F06E3"/>
    <w:rsid w:val="002F0BA9"/>
    <w:rsid w:val="002F35AC"/>
    <w:rsid w:val="00301CC7"/>
    <w:rsid w:val="00301DD0"/>
    <w:rsid w:val="00302F62"/>
    <w:rsid w:val="0030757C"/>
    <w:rsid w:val="00311DE0"/>
    <w:rsid w:val="0031523D"/>
    <w:rsid w:val="00315F4E"/>
    <w:rsid w:val="00316E0A"/>
    <w:rsid w:val="003206F3"/>
    <w:rsid w:val="00322F39"/>
    <w:rsid w:val="00323AAF"/>
    <w:rsid w:val="00323E22"/>
    <w:rsid w:val="00326AAF"/>
    <w:rsid w:val="00326D6C"/>
    <w:rsid w:val="00333796"/>
    <w:rsid w:val="00337423"/>
    <w:rsid w:val="00340EA6"/>
    <w:rsid w:val="003414A7"/>
    <w:rsid w:val="00344B76"/>
    <w:rsid w:val="00347A14"/>
    <w:rsid w:val="00350AE4"/>
    <w:rsid w:val="0035409D"/>
    <w:rsid w:val="00354AF8"/>
    <w:rsid w:val="0036327E"/>
    <w:rsid w:val="00371A8B"/>
    <w:rsid w:val="00371B8F"/>
    <w:rsid w:val="003759B3"/>
    <w:rsid w:val="00382B98"/>
    <w:rsid w:val="0038382D"/>
    <w:rsid w:val="00384F39"/>
    <w:rsid w:val="00390712"/>
    <w:rsid w:val="00390CB3"/>
    <w:rsid w:val="00391459"/>
    <w:rsid w:val="0039392B"/>
    <w:rsid w:val="00394797"/>
    <w:rsid w:val="00396707"/>
    <w:rsid w:val="003A1463"/>
    <w:rsid w:val="003A18AD"/>
    <w:rsid w:val="003A3390"/>
    <w:rsid w:val="003A43B2"/>
    <w:rsid w:val="003A624B"/>
    <w:rsid w:val="003B03B0"/>
    <w:rsid w:val="003C0EA4"/>
    <w:rsid w:val="003C1FA6"/>
    <w:rsid w:val="003C2574"/>
    <w:rsid w:val="003C6803"/>
    <w:rsid w:val="003D165C"/>
    <w:rsid w:val="003D3059"/>
    <w:rsid w:val="003D442D"/>
    <w:rsid w:val="003D4ED4"/>
    <w:rsid w:val="003E29B3"/>
    <w:rsid w:val="003E6398"/>
    <w:rsid w:val="003E6669"/>
    <w:rsid w:val="003F053B"/>
    <w:rsid w:val="003F5F1E"/>
    <w:rsid w:val="00404B70"/>
    <w:rsid w:val="00412278"/>
    <w:rsid w:val="00414B69"/>
    <w:rsid w:val="00415F4F"/>
    <w:rsid w:val="004232DF"/>
    <w:rsid w:val="00426C60"/>
    <w:rsid w:val="00431A65"/>
    <w:rsid w:val="0043451D"/>
    <w:rsid w:val="004352E5"/>
    <w:rsid w:val="004358E2"/>
    <w:rsid w:val="00436B1E"/>
    <w:rsid w:val="00436C2B"/>
    <w:rsid w:val="00437666"/>
    <w:rsid w:val="004416D0"/>
    <w:rsid w:val="00443B14"/>
    <w:rsid w:val="00450650"/>
    <w:rsid w:val="00457D5C"/>
    <w:rsid w:val="00460670"/>
    <w:rsid w:val="00461F35"/>
    <w:rsid w:val="00463486"/>
    <w:rsid w:val="004665B1"/>
    <w:rsid w:val="00466B36"/>
    <w:rsid w:val="00472769"/>
    <w:rsid w:val="00474C2A"/>
    <w:rsid w:val="00475B7A"/>
    <w:rsid w:val="00475D2C"/>
    <w:rsid w:val="00476D64"/>
    <w:rsid w:val="00476F7B"/>
    <w:rsid w:val="004807E1"/>
    <w:rsid w:val="0048380F"/>
    <w:rsid w:val="0048485D"/>
    <w:rsid w:val="00487C9E"/>
    <w:rsid w:val="00490505"/>
    <w:rsid w:val="004907E4"/>
    <w:rsid w:val="004936A7"/>
    <w:rsid w:val="004A0AE3"/>
    <w:rsid w:val="004A2855"/>
    <w:rsid w:val="004A2D48"/>
    <w:rsid w:val="004A325C"/>
    <w:rsid w:val="004A34A8"/>
    <w:rsid w:val="004A4A01"/>
    <w:rsid w:val="004A5618"/>
    <w:rsid w:val="004B337B"/>
    <w:rsid w:val="004B6FA1"/>
    <w:rsid w:val="004C5788"/>
    <w:rsid w:val="004C646F"/>
    <w:rsid w:val="004D4C39"/>
    <w:rsid w:val="004D7D3B"/>
    <w:rsid w:val="004E02A0"/>
    <w:rsid w:val="004E3BFB"/>
    <w:rsid w:val="004E6D2F"/>
    <w:rsid w:val="004F5C19"/>
    <w:rsid w:val="004F738D"/>
    <w:rsid w:val="0050357C"/>
    <w:rsid w:val="00503F36"/>
    <w:rsid w:val="00505A25"/>
    <w:rsid w:val="005111BA"/>
    <w:rsid w:val="00512AB9"/>
    <w:rsid w:val="005145D9"/>
    <w:rsid w:val="00522621"/>
    <w:rsid w:val="005233E6"/>
    <w:rsid w:val="00523D75"/>
    <w:rsid w:val="005327E0"/>
    <w:rsid w:val="005334B7"/>
    <w:rsid w:val="0053496C"/>
    <w:rsid w:val="00535F29"/>
    <w:rsid w:val="00536EFF"/>
    <w:rsid w:val="00546677"/>
    <w:rsid w:val="0056038A"/>
    <w:rsid w:val="005629DA"/>
    <w:rsid w:val="0057484E"/>
    <w:rsid w:val="00576470"/>
    <w:rsid w:val="00580728"/>
    <w:rsid w:val="00586B27"/>
    <w:rsid w:val="0059211E"/>
    <w:rsid w:val="0059331E"/>
    <w:rsid w:val="00594F6C"/>
    <w:rsid w:val="005952CE"/>
    <w:rsid w:val="005A0EBD"/>
    <w:rsid w:val="005A4D90"/>
    <w:rsid w:val="005B3725"/>
    <w:rsid w:val="005B490B"/>
    <w:rsid w:val="005B62A0"/>
    <w:rsid w:val="005B62C7"/>
    <w:rsid w:val="005B7449"/>
    <w:rsid w:val="005C0E24"/>
    <w:rsid w:val="005C21D7"/>
    <w:rsid w:val="005C3354"/>
    <w:rsid w:val="005C4157"/>
    <w:rsid w:val="005C715D"/>
    <w:rsid w:val="005C7D31"/>
    <w:rsid w:val="005D0D19"/>
    <w:rsid w:val="005D100A"/>
    <w:rsid w:val="005D1FA8"/>
    <w:rsid w:val="005D4C34"/>
    <w:rsid w:val="005D6452"/>
    <w:rsid w:val="005E0C96"/>
    <w:rsid w:val="005E2DC4"/>
    <w:rsid w:val="005F325C"/>
    <w:rsid w:val="005F32EB"/>
    <w:rsid w:val="005F39EA"/>
    <w:rsid w:val="00602C25"/>
    <w:rsid w:val="00605348"/>
    <w:rsid w:val="00610BF1"/>
    <w:rsid w:val="006115E2"/>
    <w:rsid w:val="00614106"/>
    <w:rsid w:val="006144A8"/>
    <w:rsid w:val="0061537D"/>
    <w:rsid w:val="0062003A"/>
    <w:rsid w:val="00625A57"/>
    <w:rsid w:val="00631F48"/>
    <w:rsid w:val="00643060"/>
    <w:rsid w:val="00653784"/>
    <w:rsid w:val="00663770"/>
    <w:rsid w:val="00663C80"/>
    <w:rsid w:val="00667BF0"/>
    <w:rsid w:val="00672C76"/>
    <w:rsid w:val="006734C7"/>
    <w:rsid w:val="00674800"/>
    <w:rsid w:val="00676755"/>
    <w:rsid w:val="0069311C"/>
    <w:rsid w:val="00693260"/>
    <w:rsid w:val="00695745"/>
    <w:rsid w:val="006976D9"/>
    <w:rsid w:val="00697BE6"/>
    <w:rsid w:val="006A0BA4"/>
    <w:rsid w:val="006A1E08"/>
    <w:rsid w:val="006A3CBE"/>
    <w:rsid w:val="006B5854"/>
    <w:rsid w:val="006B7521"/>
    <w:rsid w:val="006C2FB6"/>
    <w:rsid w:val="006D0991"/>
    <w:rsid w:val="006D0E84"/>
    <w:rsid w:val="006D3438"/>
    <w:rsid w:val="006D3A0B"/>
    <w:rsid w:val="006D5AB1"/>
    <w:rsid w:val="006D6828"/>
    <w:rsid w:val="006D69E7"/>
    <w:rsid w:val="006D7450"/>
    <w:rsid w:val="006E014E"/>
    <w:rsid w:val="006E0FD4"/>
    <w:rsid w:val="006E13E5"/>
    <w:rsid w:val="006F07B3"/>
    <w:rsid w:val="006F1CCC"/>
    <w:rsid w:val="006F5B42"/>
    <w:rsid w:val="006F6DE3"/>
    <w:rsid w:val="007008BE"/>
    <w:rsid w:val="00700B1F"/>
    <w:rsid w:val="00702A59"/>
    <w:rsid w:val="00702C62"/>
    <w:rsid w:val="00703171"/>
    <w:rsid w:val="00703917"/>
    <w:rsid w:val="00706F94"/>
    <w:rsid w:val="00710E0D"/>
    <w:rsid w:val="007204DC"/>
    <w:rsid w:val="00721F98"/>
    <w:rsid w:val="00734802"/>
    <w:rsid w:val="00735C39"/>
    <w:rsid w:val="00736DA4"/>
    <w:rsid w:val="007448FE"/>
    <w:rsid w:val="00746C0C"/>
    <w:rsid w:val="0075019C"/>
    <w:rsid w:val="00750F55"/>
    <w:rsid w:val="00752FAA"/>
    <w:rsid w:val="0075454D"/>
    <w:rsid w:val="007600DB"/>
    <w:rsid w:val="00764CF8"/>
    <w:rsid w:val="00765AE4"/>
    <w:rsid w:val="00766C68"/>
    <w:rsid w:val="00772D17"/>
    <w:rsid w:val="0077463E"/>
    <w:rsid w:val="00776163"/>
    <w:rsid w:val="0078274D"/>
    <w:rsid w:val="007853D8"/>
    <w:rsid w:val="00785735"/>
    <w:rsid w:val="00787EE4"/>
    <w:rsid w:val="00793A61"/>
    <w:rsid w:val="0079505A"/>
    <w:rsid w:val="007950C8"/>
    <w:rsid w:val="007979CA"/>
    <w:rsid w:val="007A3C0A"/>
    <w:rsid w:val="007B131C"/>
    <w:rsid w:val="007B2BC4"/>
    <w:rsid w:val="007C2B88"/>
    <w:rsid w:val="007C2BC3"/>
    <w:rsid w:val="007D0792"/>
    <w:rsid w:val="007D6A0F"/>
    <w:rsid w:val="007D6C74"/>
    <w:rsid w:val="007E19C1"/>
    <w:rsid w:val="007E2F91"/>
    <w:rsid w:val="007E43B6"/>
    <w:rsid w:val="007E594A"/>
    <w:rsid w:val="007E600D"/>
    <w:rsid w:val="007F4E11"/>
    <w:rsid w:val="007F564C"/>
    <w:rsid w:val="007F68C4"/>
    <w:rsid w:val="008006A3"/>
    <w:rsid w:val="00802096"/>
    <w:rsid w:val="0080277A"/>
    <w:rsid w:val="0080318F"/>
    <w:rsid w:val="0080447A"/>
    <w:rsid w:val="00804583"/>
    <w:rsid w:val="00812409"/>
    <w:rsid w:val="00812E19"/>
    <w:rsid w:val="008134AF"/>
    <w:rsid w:val="00814ECC"/>
    <w:rsid w:val="00816D5D"/>
    <w:rsid w:val="00821A0C"/>
    <w:rsid w:val="00822BEF"/>
    <w:rsid w:val="00824F3D"/>
    <w:rsid w:val="008275AC"/>
    <w:rsid w:val="00827F39"/>
    <w:rsid w:val="008320D8"/>
    <w:rsid w:val="00835300"/>
    <w:rsid w:val="00836773"/>
    <w:rsid w:val="00840C06"/>
    <w:rsid w:val="0084277C"/>
    <w:rsid w:val="00843040"/>
    <w:rsid w:val="00847C4B"/>
    <w:rsid w:val="00853833"/>
    <w:rsid w:val="00860DEC"/>
    <w:rsid w:val="008653EA"/>
    <w:rsid w:val="00865F37"/>
    <w:rsid w:val="008733EF"/>
    <w:rsid w:val="0087368D"/>
    <w:rsid w:val="00882F73"/>
    <w:rsid w:val="00883D7C"/>
    <w:rsid w:val="00886625"/>
    <w:rsid w:val="00887A63"/>
    <w:rsid w:val="00890A20"/>
    <w:rsid w:val="00892219"/>
    <w:rsid w:val="00892D9A"/>
    <w:rsid w:val="00893A60"/>
    <w:rsid w:val="008A1447"/>
    <w:rsid w:val="008A5AC1"/>
    <w:rsid w:val="008B5D68"/>
    <w:rsid w:val="008B6223"/>
    <w:rsid w:val="008C2200"/>
    <w:rsid w:val="008C39E9"/>
    <w:rsid w:val="008C40AD"/>
    <w:rsid w:val="008D54B2"/>
    <w:rsid w:val="008E0730"/>
    <w:rsid w:val="008E5E3D"/>
    <w:rsid w:val="008E74B0"/>
    <w:rsid w:val="008F31B5"/>
    <w:rsid w:val="008F59A0"/>
    <w:rsid w:val="009007E8"/>
    <w:rsid w:val="00903F86"/>
    <w:rsid w:val="0090480D"/>
    <w:rsid w:val="00906AF6"/>
    <w:rsid w:val="009119B5"/>
    <w:rsid w:val="00912F74"/>
    <w:rsid w:val="00915242"/>
    <w:rsid w:val="009172DD"/>
    <w:rsid w:val="009222E7"/>
    <w:rsid w:val="00923430"/>
    <w:rsid w:val="009261C1"/>
    <w:rsid w:val="009279BE"/>
    <w:rsid w:val="00930F17"/>
    <w:rsid w:val="009327F0"/>
    <w:rsid w:val="00932F19"/>
    <w:rsid w:val="00933AC3"/>
    <w:rsid w:val="0093567D"/>
    <w:rsid w:val="00935FE9"/>
    <w:rsid w:val="00937C89"/>
    <w:rsid w:val="009402AE"/>
    <w:rsid w:val="0094041F"/>
    <w:rsid w:val="00940E2D"/>
    <w:rsid w:val="00944CCD"/>
    <w:rsid w:val="0094588F"/>
    <w:rsid w:val="00946D90"/>
    <w:rsid w:val="009470F3"/>
    <w:rsid w:val="0095505F"/>
    <w:rsid w:val="00955095"/>
    <w:rsid w:val="00955521"/>
    <w:rsid w:val="0096420A"/>
    <w:rsid w:val="0096585C"/>
    <w:rsid w:val="009661E4"/>
    <w:rsid w:val="00971E44"/>
    <w:rsid w:val="009733A9"/>
    <w:rsid w:val="009856AB"/>
    <w:rsid w:val="009919F6"/>
    <w:rsid w:val="00992A2F"/>
    <w:rsid w:val="00993F7F"/>
    <w:rsid w:val="00996760"/>
    <w:rsid w:val="00997C11"/>
    <w:rsid w:val="009A5AD1"/>
    <w:rsid w:val="009A7A59"/>
    <w:rsid w:val="009A7F13"/>
    <w:rsid w:val="009B41E2"/>
    <w:rsid w:val="009B4A62"/>
    <w:rsid w:val="009B600F"/>
    <w:rsid w:val="009C3275"/>
    <w:rsid w:val="009C35C9"/>
    <w:rsid w:val="009C507C"/>
    <w:rsid w:val="009C62AE"/>
    <w:rsid w:val="009C6F3F"/>
    <w:rsid w:val="009D24DC"/>
    <w:rsid w:val="009D27E8"/>
    <w:rsid w:val="009D5376"/>
    <w:rsid w:val="009E730A"/>
    <w:rsid w:val="009F1FA2"/>
    <w:rsid w:val="009F2ADD"/>
    <w:rsid w:val="00A030DA"/>
    <w:rsid w:val="00A05FE8"/>
    <w:rsid w:val="00A10E40"/>
    <w:rsid w:val="00A13C7B"/>
    <w:rsid w:val="00A15CD1"/>
    <w:rsid w:val="00A168A5"/>
    <w:rsid w:val="00A22E0F"/>
    <w:rsid w:val="00A2391E"/>
    <w:rsid w:val="00A25A01"/>
    <w:rsid w:val="00A26B7B"/>
    <w:rsid w:val="00A31424"/>
    <w:rsid w:val="00A3327E"/>
    <w:rsid w:val="00A42469"/>
    <w:rsid w:val="00A45560"/>
    <w:rsid w:val="00A50F13"/>
    <w:rsid w:val="00A52F09"/>
    <w:rsid w:val="00A60965"/>
    <w:rsid w:val="00A66511"/>
    <w:rsid w:val="00A73064"/>
    <w:rsid w:val="00A74C55"/>
    <w:rsid w:val="00A75ED6"/>
    <w:rsid w:val="00A7774E"/>
    <w:rsid w:val="00A80306"/>
    <w:rsid w:val="00A80BFC"/>
    <w:rsid w:val="00A82D44"/>
    <w:rsid w:val="00A85792"/>
    <w:rsid w:val="00A85BB5"/>
    <w:rsid w:val="00A90F3E"/>
    <w:rsid w:val="00A91240"/>
    <w:rsid w:val="00A9498C"/>
    <w:rsid w:val="00AA2EFA"/>
    <w:rsid w:val="00AA3ECB"/>
    <w:rsid w:val="00AA6DC6"/>
    <w:rsid w:val="00AC4E79"/>
    <w:rsid w:val="00AD72DD"/>
    <w:rsid w:val="00AE0185"/>
    <w:rsid w:val="00AE08F0"/>
    <w:rsid w:val="00AE16BF"/>
    <w:rsid w:val="00AE2293"/>
    <w:rsid w:val="00AE4328"/>
    <w:rsid w:val="00AE49CB"/>
    <w:rsid w:val="00AF4EDE"/>
    <w:rsid w:val="00B0095B"/>
    <w:rsid w:val="00B01B6C"/>
    <w:rsid w:val="00B050E7"/>
    <w:rsid w:val="00B119D6"/>
    <w:rsid w:val="00B121EA"/>
    <w:rsid w:val="00B220E6"/>
    <w:rsid w:val="00B2391C"/>
    <w:rsid w:val="00B30526"/>
    <w:rsid w:val="00B32493"/>
    <w:rsid w:val="00B40844"/>
    <w:rsid w:val="00B40E58"/>
    <w:rsid w:val="00B421C1"/>
    <w:rsid w:val="00B42F3B"/>
    <w:rsid w:val="00B45E7F"/>
    <w:rsid w:val="00B45F83"/>
    <w:rsid w:val="00B47800"/>
    <w:rsid w:val="00B50C99"/>
    <w:rsid w:val="00B52418"/>
    <w:rsid w:val="00B56E34"/>
    <w:rsid w:val="00B5737E"/>
    <w:rsid w:val="00B573A6"/>
    <w:rsid w:val="00B60287"/>
    <w:rsid w:val="00B61AC7"/>
    <w:rsid w:val="00B62F2B"/>
    <w:rsid w:val="00B655B4"/>
    <w:rsid w:val="00B72DF0"/>
    <w:rsid w:val="00B772F4"/>
    <w:rsid w:val="00B77777"/>
    <w:rsid w:val="00B808CB"/>
    <w:rsid w:val="00B845CF"/>
    <w:rsid w:val="00B84680"/>
    <w:rsid w:val="00B90DF1"/>
    <w:rsid w:val="00B912B2"/>
    <w:rsid w:val="00B92DE7"/>
    <w:rsid w:val="00B93677"/>
    <w:rsid w:val="00B9407E"/>
    <w:rsid w:val="00B94288"/>
    <w:rsid w:val="00BA1C86"/>
    <w:rsid w:val="00BA2C89"/>
    <w:rsid w:val="00BA4C8B"/>
    <w:rsid w:val="00BB13F4"/>
    <w:rsid w:val="00BB3273"/>
    <w:rsid w:val="00BB3C0C"/>
    <w:rsid w:val="00BC055D"/>
    <w:rsid w:val="00BC2C75"/>
    <w:rsid w:val="00BC5931"/>
    <w:rsid w:val="00BD61A4"/>
    <w:rsid w:val="00BD7103"/>
    <w:rsid w:val="00BD79DA"/>
    <w:rsid w:val="00BE31AD"/>
    <w:rsid w:val="00BE3978"/>
    <w:rsid w:val="00BE4F57"/>
    <w:rsid w:val="00BF1AB4"/>
    <w:rsid w:val="00BF44EC"/>
    <w:rsid w:val="00BF7B15"/>
    <w:rsid w:val="00C02EE4"/>
    <w:rsid w:val="00C04F28"/>
    <w:rsid w:val="00C06EB4"/>
    <w:rsid w:val="00C100B7"/>
    <w:rsid w:val="00C10CAA"/>
    <w:rsid w:val="00C10F80"/>
    <w:rsid w:val="00C1368A"/>
    <w:rsid w:val="00C14AB5"/>
    <w:rsid w:val="00C2633E"/>
    <w:rsid w:val="00C26BCD"/>
    <w:rsid w:val="00C278BE"/>
    <w:rsid w:val="00C3225B"/>
    <w:rsid w:val="00C360E9"/>
    <w:rsid w:val="00C37D7A"/>
    <w:rsid w:val="00C43E50"/>
    <w:rsid w:val="00C45D36"/>
    <w:rsid w:val="00C47E3A"/>
    <w:rsid w:val="00C5200F"/>
    <w:rsid w:val="00C617C6"/>
    <w:rsid w:val="00C649D5"/>
    <w:rsid w:val="00C67D0C"/>
    <w:rsid w:val="00C72463"/>
    <w:rsid w:val="00C73D5D"/>
    <w:rsid w:val="00C7517F"/>
    <w:rsid w:val="00C834FA"/>
    <w:rsid w:val="00C94E52"/>
    <w:rsid w:val="00C959CA"/>
    <w:rsid w:val="00CA7995"/>
    <w:rsid w:val="00CB1183"/>
    <w:rsid w:val="00CB1BB0"/>
    <w:rsid w:val="00CB5862"/>
    <w:rsid w:val="00CC128D"/>
    <w:rsid w:val="00CC29CE"/>
    <w:rsid w:val="00CC4529"/>
    <w:rsid w:val="00CC7431"/>
    <w:rsid w:val="00CD5AE8"/>
    <w:rsid w:val="00CD62C0"/>
    <w:rsid w:val="00CD6977"/>
    <w:rsid w:val="00CE4631"/>
    <w:rsid w:val="00CF5288"/>
    <w:rsid w:val="00CF6440"/>
    <w:rsid w:val="00D03B96"/>
    <w:rsid w:val="00D04B6F"/>
    <w:rsid w:val="00D0732E"/>
    <w:rsid w:val="00D113DD"/>
    <w:rsid w:val="00D1307C"/>
    <w:rsid w:val="00D24453"/>
    <w:rsid w:val="00D25285"/>
    <w:rsid w:val="00D269B1"/>
    <w:rsid w:val="00D30D4D"/>
    <w:rsid w:val="00D32F8E"/>
    <w:rsid w:val="00D37DAA"/>
    <w:rsid w:val="00D5070E"/>
    <w:rsid w:val="00D547B6"/>
    <w:rsid w:val="00D61648"/>
    <w:rsid w:val="00D6224D"/>
    <w:rsid w:val="00D6655A"/>
    <w:rsid w:val="00D74C69"/>
    <w:rsid w:val="00D752D7"/>
    <w:rsid w:val="00D80947"/>
    <w:rsid w:val="00D82E99"/>
    <w:rsid w:val="00D869D2"/>
    <w:rsid w:val="00D86F11"/>
    <w:rsid w:val="00D87914"/>
    <w:rsid w:val="00D9282E"/>
    <w:rsid w:val="00D939E4"/>
    <w:rsid w:val="00D960EA"/>
    <w:rsid w:val="00D965B8"/>
    <w:rsid w:val="00D9720B"/>
    <w:rsid w:val="00D976B2"/>
    <w:rsid w:val="00DA1708"/>
    <w:rsid w:val="00DA2283"/>
    <w:rsid w:val="00DA5689"/>
    <w:rsid w:val="00DA58B4"/>
    <w:rsid w:val="00DA6C57"/>
    <w:rsid w:val="00DB1C18"/>
    <w:rsid w:val="00DB5AA2"/>
    <w:rsid w:val="00DB7A73"/>
    <w:rsid w:val="00DC3FD1"/>
    <w:rsid w:val="00DC5666"/>
    <w:rsid w:val="00DC6B2A"/>
    <w:rsid w:val="00DD0521"/>
    <w:rsid w:val="00DD5288"/>
    <w:rsid w:val="00DD614B"/>
    <w:rsid w:val="00DD7306"/>
    <w:rsid w:val="00DD76E7"/>
    <w:rsid w:val="00DE1990"/>
    <w:rsid w:val="00DE220E"/>
    <w:rsid w:val="00DF0F46"/>
    <w:rsid w:val="00DF1D2A"/>
    <w:rsid w:val="00DF5C98"/>
    <w:rsid w:val="00E03967"/>
    <w:rsid w:val="00E04664"/>
    <w:rsid w:val="00E0573A"/>
    <w:rsid w:val="00E07A3E"/>
    <w:rsid w:val="00E16A68"/>
    <w:rsid w:val="00E20030"/>
    <w:rsid w:val="00E2006F"/>
    <w:rsid w:val="00E221FD"/>
    <w:rsid w:val="00E22825"/>
    <w:rsid w:val="00E2743C"/>
    <w:rsid w:val="00E41369"/>
    <w:rsid w:val="00E41BE5"/>
    <w:rsid w:val="00E42A4B"/>
    <w:rsid w:val="00E4469F"/>
    <w:rsid w:val="00E452F4"/>
    <w:rsid w:val="00E46B58"/>
    <w:rsid w:val="00E5089F"/>
    <w:rsid w:val="00E533BE"/>
    <w:rsid w:val="00E5361F"/>
    <w:rsid w:val="00E53C47"/>
    <w:rsid w:val="00E5507F"/>
    <w:rsid w:val="00E55FBE"/>
    <w:rsid w:val="00E60E31"/>
    <w:rsid w:val="00E62DB3"/>
    <w:rsid w:val="00E62E6B"/>
    <w:rsid w:val="00E63E86"/>
    <w:rsid w:val="00E67680"/>
    <w:rsid w:val="00E73C41"/>
    <w:rsid w:val="00E74662"/>
    <w:rsid w:val="00E77313"/>
    <w:rsid w:val="00E778B9"/>
    <w:rsid w:val="00E847D9"/>
    <w:rsid w:val="00E86EB5"/>
    <w:rsid w:val="00E911FB"/>
    <w:rsid w:val="00E96F9E"/>
    <w:rsid w:val="00E97512"/>
    <w:rsid w:val="00E97B9E"/>
    <w:rsid w:val="00EA2DE2"/>
    <w:rsid w:val="00EB1AE0"/>
    <w:rsid w:val="00EC1776"/>
    <w:rsid w:val="00EC7E83"/>
    <w:rsid w:val="00ED27EE"/>
    <w:rsid w:val="00ED2C7B"/>
    <w:rsid w:val="00ED5B76"/>
    <w:rsid w:val="00ED5E52"/>
    <w:rsid w:val="00ED7008"/>
    <w:rsid w:val="00ED735C"/>
    <w:rsid w:val="00ED76B2"/>
    <w:rsid w:val="00EE122C"/>
    <w:rsid w:val="00EE3808"/>
    <w:rsid w:val="00EE4268"/>
    <w:rsid w:val="00EE4364"/>
    <w:rsid w:val="00EE5473"/>
    <w:rsid w:val="00EF184A"/>
    <w:rsid w:val="00EF249A"/>
    <w:rsid w:val="00EF2FFD"/>
    <w:rsid w:val="00EF7A64"/>
    <w:rsid w:val="00F01B97"/>
    <w:rsid w:val="00F0235A"/>
    <w:rsid w:val="00F05B1C"/>
    <w:rsid w:val="00F05CAB"/>
    <w:rsid w:val="00F0783D"/>
    <w:rsid w:val="00F13D78"/>
    <w:rsid w:val="00F146F6"/>
    <w:rsid w:val="00F17C83"/>
    <w:rsid w:val="00F17E2E"/>
    <w:rsid w:val="00F21EDB"/>
    <w:rsid w:val="00F3779B"/>
    <w:rsid w:val="00F403CC"/>
    <w:rsid w:val="00F4176A"/>
    <w:rsid w:val="00F46AB5"/>
    <w:rsid w:val="00F4726A"/>
    <w:rsid w:val="00F47A1E"/>
    <w:rsid w:val="00F50A5B"/>
    <w:rsid w:val="00F57D85"/>
    <w:rsid w:val="00F606E9"/>
    <w:rsid w:val="00F62189"/>
    <w:rsid w:val="00F65529"/>
    <w:rsid w:val="00F65903"/>
    <w:rsid w:val="00F66F79"/>
    <w:rsid w:val="00F71765"/>
    <w:rsid w:val="00F72231"/>
    <w:rsid w:val="00F72FCD"/>
    <w:rsid w:val="00F73F22"/>
    <w:rsid w:val="00F7691A"/>
    <w:rsid w:val="00F77AD6"/>
    <w:rsid w:val="00F82EDF"/>
    <w:rsid w:val="00F84868"/>
    <w:rsid w:val="00F92650"/>
    <w:rsid w:val="00F92D04"/>
    <w:rsid w:val="00F9481A"/>
    <w:rsid w:val="00F9509A"/>
    <w:rsid w:val="00FA2F85"/>
    <w:rsid w:val="00FB27BC"/>
    <w:rsid w:val="00FB2E9E"/>
    <w:rsid w:val="00FB5CB2"/>
    <w:rsid w:val="00FB5F14"/>
    <w:rsid w:val="00FC1CFF"/>
    <w:rsid w:val="00FC2237"/>
    <w:rsid w:val="00FC6F2E"/>
    <w:rsid w:val="00FD30E6"/>
    <w:rsid w:val="00FD66D6"/>
    <w:rsid w:val="00FD68B7"/>
    <w:rsid w:val="00FE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5425"/>
  <w15:chartTrackingRefBased/>
  <w15:docId w15:val="{187A3814-3AE5-4CDB-929C-7986B743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unhideWhenUsed/>
    <w:qFormat/>
    <w:rsid w:val="00B40844"/>
    <w:pPr>
      <w:spacing w:after="0" w:line="240" w:lineRule="auto"/>
    </w:pPr>
    <w:rPr>
      <w:sz w:val="20"/>
      <w:szCs w:val="20"/>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B40844"/>
    <w:rPr>
      <w:sz w:val="20"/>
      <w:szCs w:val="20"/>
      <w:lang w:val="en-ZA"/>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Header">
    <w:name w:val="header"/>
    <w:basedOn w:val="Normal"/>
    <w:link w:val="HeaderChar"/>
    <w:uiPriority w:val="99"/>
    <w:unhideWhenUsed/>
    <w:rsid w:val="00157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447"/>
    <w:rPr>
      <w:lang w:val="en-ZA"/>
    </w:rPr>
  </w:style>
  <w:style w:type="character" w:customStyle="1" w:styleId="ListParagraphChar">
    <w:name w:val="List Paragraph Char"/>
    <w:link w:val="ListParagraph"/>
    <w:uiPriority w:val="34"/>
    <w:locked/>
    <w:rsid w:val="00824F3D"/>
    <w:rPr>
      <w:lang w:val="en-GB"/>
    </w:rPr>
  </w:style>
  <w:style w:type="paragraph" w:styleId="BodyText">
    <w:name w:val="Body Text"/>
    <w:basedOn w:val="Normal"/>
    <w:link w:val="BodyTextChar"/>
    <w:rsid w:val="00F403CC"/>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403CC"/>
    <w:rPr>
      <w:rFonts w:ascii="Times New Roman" w:eastAsia="Times New Roman" w:hAnsi="Times New Roman" w:cs="Times New Roman"/>
      <w:sz w:val="24"/>
      <w:szCs w:val="24"/>
      <w:lang w:val="en-GB"/>
    </w:rPr>
  </w:style>
  <w:style w:type="paragraph" w:customStyle="1" w:styleId="Body">
    <w:name w:val="Body"/>
    <w:rsid w:val="00F403CC"/>
    <w:pPr>
      <w:pBdr>
        <w:top w:val="nil"/>
        <w:left w:val="nil"/>
        <w:bottom w:val="nil"/>
        <w:right w:val="nil"/>
        <w:between w:val="nil"/>
        <w:bar w:val="nil"/>
      </w:pBdr>
    </w:pPr>
    <w:rPr>
      <w:rFonts w:ascii="Calibri" w:eastAsia="Arial Unicode MS" w:hAnsi="Calibri" w:cs="Arial Unicode MS"/>
      <w:color w:val="000000"/>
      <w:u w:color="000000"/>
      <w:bdr w:val="nil"/>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4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2024-02-12T18:30:00+00:00</Judgment_x0020_Date>
    <Year xmlns="c1afb1bd-f2fb-40fd-9abb-aea55b4d7662">2024</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CD3CE-C80A-40DC-89EE-58F4878BD943}"/>
</file>

<file path=customXml/itemProps2.xml><?xml version="1.0" encoding="utf-8"?>
<ds:datastoreItem xmlns:ds="http://schemas.openxmlformats.org/officeDocument/2006/customXml" ds:itemID="{159838E0-A284-4314-A03A-2367E9ED068B}"/>
</file>

<file path=customXml/itemProps3.xml><?xml version="1.0" encoding="utf-8"?>
<ds:datastoreItem xmlns:ds="http://schemas.openxmlformats.org/officeDocument/2006/customXml" ds:itemID="{CABD2BF5-69E9-46A3-B343-48919469AD1E}"/>
</file>

<file path=customXml/itemProps4.xml><?xml version="1.0" encoding="utf-8"?>
<ds:datastoreItem xmlns:ds="http://schemas.openxmlformats.org/officeDocument/2006/customXml" ds:itemID="{19074290-05D6-4AB2-92CA-B3D4C246FFE3}"/>
</file>

<file path=docProps/app.xml><?xml version="1.0" encoding="utf-8"?>
<Properties xmlns="http://schemas.openxmlformats.org/officeDocument/2006/extended-properties" xmlns:vt="http://schemas.openxmlformats.org/officeDocument/2006/docPropsVTypes">
  <Template>Normal</Template>
  <TotalTime>1</TotalTime>
  <Pages>9</Pages>
  <Words>2458</Words>
  <Characters>14012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FP du Toit Transport (Pty) Ltd v Van Wyk (HC-MD-LAB-MOT-GEN-2023-00179) [2023] NALCMD 55 (22 November 2023)</vt:lpstr>
    </vt:vector>
  </TitlesOfParts>
  <Company/>
  <LinksUpToDate>false</LinksUpToDate>
  <CharactersWithSpaces>16438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Ganuseb v The Minister of Justice (HC-MD-CIV-ACT-OTH-2020-00165) [2024] NAHCMD 50 (13 February 2024)</dc:title>
  <dc:subject/>
  <dc:creator>shomany keister</dc:creator>
  <cp:keywords/>
  <dc:description/>
  <cp:lastModifiedBy>Liana Cloete</cp:lastModifiedBy>
  <cp:revision>2</cp:revision>
  <cp:lastPrinted>2024-02-13T10:18:00Z</cp:lastPrinted>
  <dcterms:created xsi:type="dcterms:W3CDTF">2024-02-16T06:29:00Z</dcterms:created>
  <dcterms:modified xsi:type="dcterms:W3CDTF">2024-02-16T06:29:00Z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