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C25F" w14:textId="77777777"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14:paraId="4CEEAA6D" w14:textId="77777777"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0735523A" wp14:editId="6987386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14:paraId="7B0CF16F" w14:textId="77777777"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3A97275C" w14:textId="6D8461F6" w:rsidR="00206B05" w:rsidRPr="00346B7A" w:rsidRDefault="004A1FCF" w:rsidP="00206B05">
      <w:pPr>
        <w:spacing w:after="0" w:line="360" w:lineRule="auto"/>
        <w:jc w:val="center"/>
        <w:rPr>
          <w:rFonts w:ascii="Arial" w:hAnsi="Arial" w:cs="Arial"/>
          <w:b/>
          <w:sz w:val="24"/>
          <w:szCs w:val="24"/>
        </w:rPr>
      </w:pPr>
      <w:r>
        <w:rPr>
          <w:rFonts w:ascii="Arial" w:hAnsi="Arial" w:cs="Arial"/>
          <w:b/>
          <w:sz w:val="24"/>
          <w:szCs w:val="24"/>
          <w:lang w:val="en-US"/>
        </w:rPr>
        <w:t>JUDGMENT</w:t>
      </w:r>
      <w:r w:rsidR="002E1151">
        <w:rPr>
          <w:rFonts w:ascii="Arial" w:hAnsi="Arial" w:cs="Arial"/>
          <w:b/>
          <w:sz w:val="24"/>
          <w:szCs w:val="24"/>
          <w:lang w:val="en-US"/>
        </w:rPr>
        <w:t xml:space="preserve"> </w:t>
      </w:r>
    </w:p>
    <w:p w14:paraId="53CDCDF6" w14:textId="77777777"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14:paraId="19633288" w14:textId="77777777"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737"/>
        <w:gridCol w:w="3686"/>
      </w:tblGrid>
      <w:tr w:rsidR="00CA7995" w:rsidRPr="00CA7995" w14:paraId="6F8B1822" w14:textId="77777777" w:rsidTr="003F3D99">
        <w:trPr>
          <w:trHeight w:val="2135"/>
        </w:trPr>
        <w:tc>
          <w:tcPr>
            <w:tcW w:w="6946" w:type="dxa"/>
            <w:gridSpan w:val="2"/>
            <w:vMerge w:val="restart"/>
          </w:tcPr>
          <w:p w14:paraId="0D964EEC"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14:paraId="5A5E5A19" w14:textId="77777777" w:rsidR="00206B05" w:rsidRPr="003B0F1E" w:rsidRDefault="00206B05" w:rsidP="00206B05">
            <w:pPr>
              <w:jc w:val="both"/>
              <w:rPr>
                <w:rFonts w:ascii="Arial" w:hAnsi="Arial" w:cs="Arial"/>
                <w:sz w:val="24"/>
                <w:szCs w:val="24"/>
                <w:shd w:val="clear" w:color="auto" w:fill="FFFFFF"/>
              </w:rPr>
            </w:pPr>
          </w:p>
          <w:p w14:paraId="70B34AEB" w14:textId="77777777" w:rsidR="003B0F1E" w:rsidRPr="003B0F1E" w:rsidRDefault="003F3D99" w:rsidP="003B0F1E">
            <w:pPr>
              <w:spacing w:line="360" w:lineRule="auto"/>
              <w:jc w:val="both"/>
              <w:rPr>
                <w:rFonts w:ascii="Arial" w:hAnsi="Arial" w:cs="Arial"/>
                <w:sz w:val="24"/>
                <w:szCs w:val="24"/>
                <w:shd w:val="clear" w:color="auto" w:fill="FFFFFF"/>
              </w:rPr>
            </w:pPr>
            <w:r w:rsidRPr="003F3D99">
              <w:rPr>
                <w:rFonts w:ascii="Arial" w:hAnsi="Arial" w:cs="Arial"/>
                <w:sz w:val="24"/>
                <w:szCs w:val="24"/>
              </w:rPr>
              <w:t>NAMIBIA WILDLIFE RESORTS LIMITED</w:t>
            </w:r>
            <w:r w:rsidR="003B0F1E" w:rsidRPr="003B0F1E">
              <w:rPr>
                <w:rFonts w:ascii="Arial" w:hAnsi="Arial" w:cs="Arial"/>
                <w:sz w:val="24"/>
                <w:szCs w:val="24"/>
              </w:rPr>
              <w:tab/>
            </w:r>
            <w:r>
              <w:rPr>
                <w:rFonts w:ascii="Arial" w:hAnsi="Arial" w:cs="Arial"/>
                <w:sz w:val="24"/>
                <w:szCs w:val="24"/>
              </w:rPr>
              <w:t xml:space="preserve">     </w:t>
            </w:r>
            <w:r w:rsidR="003B0F1E" w:rsidRPr="003B0F1E">
              <w:rPr>
                <w:rFonts w:ascii="Arial" w:hAnsi="Arial" w:cs="Arial"/>
                <w:sz w:val="24"/>
                <w:szCs w:val="24"/>
              </w:rPr>
              <w:t>APPLICANT</w:t>
            </w:r>
          </w:p>
          <w:p w14:paraId="294E1168" w14:textId="77777777" w:rsidR="00206B05" w:rsidRPr="003B0F1E" w:rsidRDefault="00206B05" w:rsidP="003B0F1E">
            <w:pPr>
              <w:spacing w:line="360" w:lineRule="auto"/>
              <w:jc w:val="both"/>
              <w:rPr>
                <w:rFonts w:ascii="Arial" w:hAnsi="Arial" w:cs="Arial"/>
                <w:sz w:val="24"/>
                <w:szCs w:val="24"/>
                <w:shd w:val="clear" w:color="auto" w:fill="FFFFFF"/>
              </w:rPr>
            </w:pPr>
          </w:p>
          <w:p w14:paraId="32FE9C52" w14:textId="77777777" w:rsidR="00206B05" w:rsidRPr="003B0F1E" w:rsidRDefault="00206B05" w:rsidP="003B0F1E">
            <w:pPr>
              <w:spacing w:line="360" w:lineRule="auto"/>
              <w:jc w:val="both"/>
              <w:rPr>
                <w:rFonts w:ascii="Arial" w:hAnsi="Arial" w:cs="Arial"/>
                <w:sz w:val="24"/>
                <w:szCs w:val="24"/>
                <w:shd w:val="clear" w:color="auto" w:fill="FFFFFF"/>
              </w:rPr>
            </w:pPr>
            <w:r w:rsidRPr="003B0F1E">
              <w:rPr>
                <w:rFonts w:ascii="Arial" w:hAnsi="Arial" w:cs="Arial"/>
                <w:sz w:val="24"/>
                <w:szCs w:val="24"/>
                <w:shd w:val="clear" w:color="auto" w:fill="FFFFFF"/>
              </w:rPr>
              <w:t>and</w:t>
            </w:r>
          </w:p>
          <w:p w14:paraId="6CBFD1F3" w14:textId="77777777" w:rsidR="00206B05" w:rsidRPr="003B0F1E" w:rsidRDefault="00206B05" w:rsidP="003B0F1E">
            <w:pPr>
              <w:spacing w:line="360" w:lineRule="auto"/>
              <w:jc w:val="both"/>
              <w:rPr>
                <w:rFonts w:ascii="Arial" w:hAnsi="Arial" w:cs="Arial"/>
                <w:sz w:val="24"/>
                <w:szCs w:val="24"/>
                <w:shd w:val="clear" w:color="auto" w:fill="FFFFFF"/>
              </w:rPr>
            </w:pPr>
          </w:p>
          <w:p w14:paraId="15E64127" w14:textId="77777777" w:rsidR="003B0F1E" w:rsidRPr="003B0F1E" w:rsidRDefault="003F3D99" w:rsidP="003B0F1E">
            <w:pPr>
              <w:spacing w:line="360" w:lineRule="auto"/>
              <w:jc w:val="both"/>
              <w:rPr>
                <w:rFonts w:ascii="Arial" w:hAnsi="Arial" w:cs="Arial"/>
                <w:sz w:val="24"/>
                <w:szCs w:val="24"/>
                <w:shd w:val="clear" w:color="auto" w:fill="FFFFFF"/>
              </w:rPr>
            </w:pPr>
            <w:r w:rsidRPr="003F3D99">
              <w:rPr>
                <w:rFonts w:ascii="Arial" w:hAnsi="Arial" w:cs="Arial"/>
                <w:sz w:val="24"/>
                <w:szCs w:val="24"/>
              </w:rPr>
              <w:t>DEBBIE KALEINASHO MAXUILILI-ANKAMA</w:t>
            </w:r>
            <w:r>
              <w:rPr>
                <w:rFonts w:ascii="Arial" w:hAnsi="Arial" w:cs="Arial"/>
                <w:sz w:val="24"/>
                <w:szCs w:val="24"/>
              </w:rPr>
              <w:t xml:space="preserve">    </w:t>
            </w:r>
            <w:r w:rsidR="003B0F1E" w:rsidRPr="003B0F1E">
              <w:rPr>
                <w:rFonts w:ascii="Arial" w:hAnsi="Arial" w:cs="Arial"/>
                <w:sz w:val="24"/>
                <w:szCs w:val="24"/>
              </w:rPr>
              <w:t>RESPONDENT</w:t>
            </w:r>
          </w:p>
          <w:p w14:paraId="3D5E41F8" w14:textId="77777777" w:rsidR="00206B05" w:rsidRPr="00206B05" w:rsidRDefault="00206B05" w:rsidP="00206B05">
            <w:pPr>
              <w:jc w:val="both"/>
              <w:rPr>
                <w:rFonts w:ascii="Arial" w:hAnsi="Arial" w:cs="Arial"/>
                <w:sz w:val="24"/>
                <w:szCs w:val="24"/>
              </w:rPr>
            </w:pPr>
          </w:p>
        </w:tc>
        <w:tc>
          <w:tcPr>
            <w:tcW w:w="3686" w:type="dxa"/>
          </w:tcPr>
          <w:p w14:paraId="6415A7E6"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Case No:</w:t>
            </w:r>
          </w:p>
          <w:p w14:paraId="2DD71678" w14:textId="77777777" w:rsidR="00B40844" w:rsidRDefault="003F3D99" w:rsidP="00937C89">
            <w:pPr>
              <w:spacing w:line="360" w:lineRule="auto"/>
              <w:jc w:val="both"/>
              <w:rPr>
                <w:rFonts w:ascii="Arial" w:hAnsi="Arial" w:cs="Arial"/>
                <w:sz w:val="24"/>
                <w:szCs w:val="24"/>
              </w:rPr>
            </w:pPr>
            <w:r w:rsidRPr="00BF667B">
              <w:rPr>
                <w:rFonts w:ascii="Arial" w:hAnsi="Arial" w:cs="Arial"/>
                <w:sz w:val="24"/>
                <w:szCs w:val="24"/>
              </w:rPr>
              <w:t>INT-HC-DECIMMPRO-2023/00328</w:t>
            </w:r>
          </w:p>
          <w:p w14:paraId="2F85D35C" w14:textId="77777777" w:rsidR="003F3D99" w:rsidRPr="003F3D99" w:rsidRDefault="003F3D99" w:rsidP="003F3D99">
            <w:pPr>
              <w:tabs>
                <w:tab w:val="right" w:pos="9000"/>
              </w:tabs>
              <w:spacing w:line="360" w:lineRule="auto"/>
              <w:jc w:val="both"/>
              <w:rPr>
                <w:rFonts w:ascii="Arial" w:hAnsi="Arial" w:cs="Arial"/>
                <w:b/>
                <w:sz w:val="24"/>
                <w:szCs w:val="24"/>
              </w:rPr>
            </w:pPr>
            <w:r>
              <w:rPr>
                <w:rFonts w:ascii="Arial" w:hAnsi="Arial" w:cs="Arial"/>
                <w:b/>
                <w:sz w:val="24"/>
                <w:szCs w:val="24"/>
              </w:rPr>
              <w:t>Main Case N</w:t>
            </w:r>
            <w:r w:rsidRPr="003F3D99">
              <w:rPr>
                <w:rFonts w:ascii="Arial" w:hAnsi="Arial" w:cs="Arial"/>
                <w:b/>
                <w:sz w:val="24"/>
                <w:szCs w:val="24"/>
              </w:rPr>
              <w:t>o:</w:t>
            </w:r>
          </w:p>
          <w:p w14:paraId="3C0A3B20" w14:textId="77777777" w:rsidR="003F3D99" w:rsidRPr="003F3D99" w:rsidRDefault="003F3D99" w:rsidP="003F3D99">
            <w:pPr>
              <w:tabs>
                <w:tab w:val="right" w:pos="9000"/>
              </w:tabs>
              <w:spacing w:line="360" w:lineRule="auto"/>
              <w:jc w:val="both"/>
              <w:rPr>
                <w:rFonts w:ascii="Arial" w:hAnsi="Arial" w:cs="Arial"/>
                <w:sz w:val="24"/>
                <w:szCs w:val="24"/>
              </w:rPr>
            </w:pPr>
            <w:r>
              <w:rPr>
                <w:rFonts w:ascii="Arial" w:hAnsi="Arial" w:cs="Arial"/>
                <w:sz w:val="24"/>
                <w:szCs w:val="24"/>
              </w:rPr>
              <w:t>HC-MD-CIV-ACT-OTH-2022/04660</w:t>
            </w:r>
          </w:p>
        </w:tc>
      </w:tr>
      <w:tr w:rsidR="00CA7995" w:rsidRPr="00CA7995" w14:paraId="4B8B87D2" w14:textId="77777777" w:rsidTr="003F3D99">
        <w:trPr>
          <w:trHeight w:val="968"/>
        </w:trPr>
        <w:tc>
          <w:tcPr>
            <w:tcW w:w="6946" w:type="dxa"/>
            <w:gridSpan w:val="2"/>
            <w:vMerge/>
          </w:tcPr>
          <w:p w14:paraId="4629C491" w14:textId="77777777" w:rsidR="00B40844" w:rsidRPr="00015DC1" w:rsidRDefault="00B40844" w:rsidP="00937C89">
            <w:pPr>
              <w:spacing w:line="360" w:lineRule="auto"/>
              <w:jc w:val="both"/>
              <w:rPr>
                <w:rFonts w:ascii="Arial" w:hAnsi="Arial" w:cs="Arial"/>
                <w:sz w:val="24"/>
                <w:szCs w:val="24"/>
              </w:rPr>
            </w:pPr>
          </w:p>
        </w:tc>
        <w:tc>
          <w:tcPr>
            <w:tcW w:w="3686" w:type="dxa"/>
          </w:tcPr>
          <w:p w14:paraId="4B66BE06"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14:paraId="3F94D3BB"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14:paraId="1AACCB01" w14:textId="77777777" w:rsidTr="003F3D99">
        <w:trPr>
          <w:trHeight w:val="768"/>
        </w:trPr>
        <w:tc>
          <w:tcPr>
            <w:tcW w:w="6946" w:type="dxa"/>
            <w:gridSpan w:val="2"/>
            <w:vMerge w:val="restart"/>
          </w:tcPr>
          <w:p w14:paraId="42E669CB"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14:paraId="1C7556CE" w14:textId="77777777"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686" w:type="dxa"/>
          </w:tcPr>
          <w:p w14:paraId="5C8FF04E"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14:paraId="1902C784" w14:textId="77777777" w:rsidR="00B40844" w:rsidRPr="00015DC1" w:rsidRDefault="003F3D99" w:rsidP="003B0F1E">
            <w:pPr>
              <w:spacing w:line="360" w:lineRule="auto"/>
              <w:jc w:val="both"/>
              <w:rPr>
                <w:rFonts w:ascii="Arial" w:hAnsi="Arial" w:cs="Arial"/>
                <w:sz w:val="24"/>
                <w:szCs w:val="24"/>
              </w:rPr>
            </w:pPr>
            <w:r>
              <w:rPr>
                <w:rFonts w:ascii="Arial" w:hAnsi="Arial" w:cs="Arial"/>
                <w:sz w:val="24"/>
                <w:szCs w:val="24"/>
              </w:rPr>
              <w:t>7</w:t>
            </w:r>
            <w:r w:rsidR="00C066B6">
              <w:rPr>
                <w:rFonts w:ascii="Arial" w:hAnsi="Arial" w:cs="Arial"/>
                <w:sz w:val="24"/>
                <w:szCs w:val="24"/>
              </w:rPr>
              <w:t xml:space="preserve"> </w:t>
            </w:r>
            <w:r w:rsidR="003B0F1E">
              <w:rPr>
                <w:rFonts w:ascii="Arial" w:hAnsi="Arial" w:cs="Arial"/>
                <w:sz w:val="24"/>
                <w:szCs w:val="24"/>
              </w:rPr>
              <w:t>DECEMBER</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14:paraId="5451A1C0" w14:textId="77777777" w:rsidTr="006A6910">
        <w:trPr>
          <w:trHeight w:val="652"/>
        </w:trPr>
        <w:tc>
          <w:tcPr>
            <w:tcW w:w="6946" w:type="dxa"/>
            <w:gridSpan w:val="2"/>
            <w:vMerge/>
          </w:tcPr>
          <w:p w14:paraId="71F493BE" w14:textId="77777777" w:rsidR="00B40844" w:rsidRPr="00015DC1" w:rsidRDefault="00B40844" w:rsidP="00937C89">
            <w:pPr>
              <w:spacing w:line="360" w:lineRule="auto"/>
              <w:jc w:val="both"/>
              <w:rPr>
                <w:rFonts w:ascii="Arial" w:hAnsi="Arial" w:cs="Arial"/>
                <w:b/>
                <w:sz w:val="24"/>
                <w:szCs w:val="24"/>
              </w:rPr>
            </w:pPr>
          </w:p>
        </w:tc>
        <w:tc>
          <w:tcPr>
            <w:tcW w:w="3686" w:type="dxa"/>
          </w:tcPr>
          <w:p w14:paraId="4ED4CA92"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14:paraId="546C2844" w14:textId="77777777" w:rsidR="00B40844" w:rsidRPr="00015DC1" w:rsidRDefault="003F3D99" w:rsidP="003B0F1E">
            <w:pPr>
              <w:spacing w:line="360" w:lineRule="auto"/>
              <w:jc w:val="both"/>
              <w:rPr>
                <w:rFonts w:ascii="Arial" w:hAnsi="Arial" w:cs="Arial"/>
                <w:b/>
                <w:sz w:val="24"/>
                <w:szCs w:val="24"/>
              </w:rPr>
            </w:pPr>
            <w:r>
              <w:rPr>
                <w:rFonts w:ascii="Arial" w:hAnsi="Arial" w:cs="Arial"/>
                <w:sz w:val="24"/>
                <w:szCs w:val="24"/>
              </w:rPr>
              <w:t>24 JANUARY 2024</w:t>
            </w:r>
          </w:p>
        </w:tc>
      </w:tr>
      <w:tr w:rsidR="00CA7995" w:rsidRPr="00CA7995" w14:paraId="419C32D1" w14:textId="77777777" w:rsidTr="003B0F1E">
        <w:trPr>
          <w:trHeight w:val="876"/>
        </w:trPr>
        <w:tc>
          <w:tcPr>
            <w:tcW w:w="10632" w:type="dxa"/>
            <w:gridSpan w:val="3"/>
          </w:tcPr>
          <w:p w14:paraId="5AB735EA" w14:textId="3ACA5758" w:rsidR="00B40844" w:rsidRPr="00CA7995" w:rsidRDefault="00B40844" w:rsidP="00E11E29">
            <w:pPr>
              <w:spacing w:line="360" w:lineRule="auto"/>
              <w:jc w:val="both"/>
              <w:rPr>
                <w:rFonts w:ascii="Arial" w:hAnsi="Arial" w:cs="Arial"/>
                <w:sz w:val="24"/>
                <w:szCs w:val="24"/>
              </w:rPr>
            </w:pPr>
            <w:r w:rsidRPr="00CA7995">
              <w:rPr>
                <w:rFonts w:ascii="Arial" w:hAnsi="Arial" w:cs="Arial"/>
                <w:b/>
                <w:sz w:val="24"/>
                <w:szCs w:val="24"/>
              </w:rPr>
              <w:t>Neutral citation:</w:t>
            </w:r>
            <w:r w:rsidRPr="00CD605F">
              <w:rPr>
                <w:rFonts w:ascii="Arial" w:hAnsi="Arial" w:cs="Arial"/>
                <w:sz w:val="24"/>
                <w:szCs w:val="24"/>
              </w:rPr>
              <w:t xml:space="preserve"> </w:t>
            </w:r>
            <w:r w:rsidR="003F3D99" w:rsidRPr="00BF667B">
              <w:rPr>
                <w:rFonts w:ascii="Arial" w:hAnsi="Arial" w:cs="Arial"/>
                <w:i/>
                <w:sz w:val="24"/>
                <w:szCs w:val="24"/>
              </w:rPr>
              <w:t xml:space="preserve">Namibia Wildlife Resorts Limited v </w:t>
            </w:r>
            <w:proofErr w:type="spellStart"/>
            <w:r w:rsidR="003F3D99" w:rsidRPr="004F5731">
              <w:rPr>
                <w:rFonts w:ascii="Arial" w:hAnsi="Arial" w:cs="Arial"/>
                <w:i/>
                <w:sz w:val="24"/>
                <w:szCs w:val="24"/>
              </w:rPr>
              <w:t>Maxuilili-Ankama</w:t>
            </w:r>
            <w:proofErr w:type="spellEnd"/>
            <w:r w:rsidR="003F3D99" w:rsidRPr="00BF667B">
              <w:rPr>
                <w:rFonts w:ascii="Arial" w:hAnsi="Arial" w:cs="Arial"/>
                <w:sz w:val="24"/>
                <w:szCs w:val="24"/>
              </w:rPr>
              <w:t xml:space="preserve"> (HC-MD-CIV-ACT-OTH-2022/04660)</w:t>
            </w:r>
            <w:r w:rsidR="003F3D99" w:rsidRPr="007D3B53">
              <w:rPr>
                <w:rFonts w:ascii="Arial" w:hAnsi="Arial" w:cs="Arial"/>
                <w:sz w:val="24"/>
                <w:szCs w:val="24"/>
              </w:rPr>
              <w:t xml:space="preserve"> [202</w:t>
            </w:r>
            <w:r w:rsidR="003F3D99">
              <w:rPr>
                <w:rFonts w:ascii="Arial" w:hAnsi="Arial" w:cs="Arial"/>
                <w:sz w:val="24"/>
                <w:szCs w:val="24"/>
              </w:rPr>
              <w:t>4</w:t>
            </w:r>
            <w:r w:rsidR="003F3D99" w:rsidRPr="007D3B53">
              <w:rPr>
                <w:rFonts w:ascii="Arial" w:hAnsi="Arial" w:cs="Arial"/>
                <w:sz w:val="24"/>
                <w:szCs w:val="24"/>
              </w:rPr>
              <w:t xml:space="preserve">] NAHCMD </w:t>
            </w:r>
            <w:r w:rsidR="009105AD">
              <w:rPr>
                <w:rFonts w:ascii="Arial" w:hAnsi="Arial" w:cs="Arial"/>
                <w:sz w:val="24"/>
                <w:szCs w:val="24"/>
              </w:rPr>
              <w:t>6</w:t>
            </w:r>
            <w:r w:rsidR="003F3D99" w:rsidRPr="007D3B53">
              <w:rPr>
                <w:rFonts w:ascii="Arial" w:hAnsi="Arial" w:cs="Arial"/>
                <w:sz w:val="24"/>
                <w:szCs w:val="24"/>
              </w:rPr>
              <w:t xml:space="preserve"> (</w:t>
            </w:r>
            <w:r w:rsidR="003F3D99">
              <w:rPr>
                <w:rFonts w:ascii="Arial" w:hAnsi="Arial" w:cs="Arial"/>
                <w:sz w:val="24"/>
                <w:szCs w:val="24"/>
              </w:rPr>
              <w:t>24 January 2024</w:t>
            </w:r>
            <w:r w:rsidR="003F3D99" w:rsidRPr="007D3B53">
              <w:rPr>
                <w:rFonts w:ascii="Arial" w:hAnsi="Arial" w:cs="Arial"/>
                <w:sz w:val="24"/>
                <w:szCs w:val="24"/>
              </w:rPr>
              <w:t>)</w:t>
            </w:r>
          </w:p>
        </w:tc>
      </w:tr>
      <w:tr w:rsidR="00CA7995" w:rsidRPr="00CA7995" w14:paraId="4BFEB620" w14:textId="77777777" w:rsidTr="003B0F1E">
        <w:tc>
          <w:tcPr>
            <w:tcW w:w="10632" w:type="dxa"/>
            <w:gridSpan w:val="3"/>
          </w:tcPr>
          <w:p w14:paraId="2056497B" w14:textId="77777777" w:rsidR="00B40844" w:rsidRPr="000F238E" w:rsidRDefault="00B40844" w:rsidP="000F238E">
            <w:pPr>
              <w:spacing w:line="360" w:lineRule="auto"/>
              <w:jc w:val="both"/>
              <w:rPr>
                <w:rFonts w:ascii="Arial" w:hAnsi="Arial" w:cs="Arial"/>
                <w:b/>
                <w:sz w:val="24"/>
                <w:szCs w:val="24"/>
              </w:rPr>
            </w:pPr>
            <w:r w:rsidRPr="000F238E">
              <w:rPr>
                <w:rFonts w:ascii="Arial" w:hAnsi="Arial" w:cs="Arial"/>
                <w:b/>
                <w:sz w:val="24"/>
                <w:szCs w:val="24"/>
              </w:rPr>
              <w:t>IT IS ORDERED THAT:</w:t>
            </w:r>
          </w:p>
          <w:p w14:paraId="294DA716" w14:textId="77777777" w:rsidR="007C34C0" w:rsidRPr="00A36C02" w:rsidRDefault="007C34C0" w:rsidP="000F238E">
            <w:pPr>
              <w:spacing w:line="360" w:lineRule="auto"/>
              <w:jc w:val="both"/>
              <w:rPr>
                <w:rFonts w:ascii="Arial" w:hAnsi="Arial" w:cs="Arial"/>
                <w:b/>
              </w:rPr>
            </w:pPr>
          </w:p>
          <w:p w14:paraId="230FC1B3" w14:textId="77777777" w:rsidR="002E1151" w:rsidRPr="000F238E" w:rsidRDefault="000F238E" w:rsidP="000F238E">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rPr>
              <w:t>The following immovable property is hereby declared specially executable:</w:t>
            </w:r>
          </w:p>
          <w:p w14:paraId="2E86A72D" w14:textId="77777777" w:rsidR="007C34C0" w:rsidRDefault="007C34C0" w:rsidP="000F238E">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p>
          <w:p w14:paraId="7EC83732" w14:textId="77777777" w:rsidR="000F238E" w:rsidRDefault="000F238E" w:rsidP="000F238E">
            <w:pPr>
              <w:pStyle w:val="NormalWeb"/>
              <w:shd w:val="clear" w:color="auto" w:fill="FFFFFF"/>
              <w:tabs>
                <w:tab w:val="left" w:pos="602"/>
                <w:tab w:val="left" w:pos="2444"/>
              </w:tabs>
              <w:spacing w:before="0" w:beforeAutospacing="0" w:after="0" w:afterAutospacing="0" w:line="360" w:lineRule="auto"/>
              <w:ind w:left="459"/>
              <w:jc w:val="both"/>
              <w:rPr>
                <w:rFonts w:ascii="Arial" w:hAnsi="Arial" w:cs="Arial"/>
                <w:lang w:val="en-US"/>
              </w:rPr>
            </w:pPr>
            <w:r>
              <w:rPr>
                <w:rFonts w:ascii="Arial" w:hAnsi="Arial" w:cs="Arial"/>
                <w:lang w:val="en-US"/>
              </w:rPr>
              <w:t>CERTAIN:</w:t>
            </w:r>
            <w:r w:rsidRPr="006979B3">
              <w:rPr>
                <w:rFonts w:ascii="Arial" w:hAnsi="Arial" w:cs="Arial"/>
              </w:rPr>
              <w:tab/>
            </w:r>
            <w:r>
              <w:rPr>
                <w:rFonts w:ascii="Arial" w:hAnsi="Arial" w:cs="Arial"/>
                <w:lang w:val="en-US"/>
              </w:rPr>
              <w:t>Erf 4950 (a portion of Erf 2781)</w:t>
            </w:r>
          </w:p>
          <w:p w14:paraId="61FA6ECD" w14:textId="77777777" w:rsidR="000F238E" w:rsidRDefault="000F238E" w:rsidP="000F238E">
            <w:pPr>
              <w:pStyle w:val="NormalWeb"/>
              <w:shd w:val="clear" w:color="auto" w:fill="FFFFFF"/>
              <w:tabs>
                <w:tab w:val="left" w:pos="602"/>
              </w:tabs>
              <w:spacing w:before="0" w:beforeAutospacing="0" w:after="0" w:afterAutospacing="0" w:line="360" w:lineRule="auto"/>
              <w:ind w:left="459"/>
              <w:jc w:val="both"/>
              <w:rPr>
                <w:rFonts w:ascii="Arial" w:hAnsi="Arial" w:cs="Arial"/>
                <w:lang w:val="en-US"/>
              </w:rPr>
            </w:pPr>
          </w:p>
          <w:p w14:paraId="5F798F34" w14:textId="77777777" w:rsidR="000F238E" w:rsidRDefault="000F238E" w:rsidP="000F238E">
            <w:pPr>
              <w:pStyle w:val="NormalWeb"/>
              <w:shd w:val="clear" w:color="auto" w:fill="FFFFFF"/>
              <w:tabs>
                <w:tab w:val="left" w:pos="602"/>
                <w:tab w:val="left" w:pos="2444"/>
              </w:tabs>
              <w:spacing w:before="0" w:beforeAutospacing="0" w:after="0" w:afterAutospacing="0" w:line="360" w:lineRule="auto"/>
              <w:ind w:left="459"/>
              <w:jc w:val="both"/>
              <w:rPr>
                <w:rFonts w:ascii="Arial" w:hAnsi="Arial" w:cs="Arial"/>
                <w:lang w:val="en-US"/>
              </w:rPr>
            </w:pPr>
            <w:r>
              <w:rPr>
                <w:rFonts w:ascii="Arial" w:hAnsi="Arial" w:cs="Arial"/>
                <w:lang w:val="en-US"/>
              </w:rPr>
              <w:t>SITUATED:</w:t>
            </w:r>
            <w:r w:rsidRPr="006979B3">
              <w:rPr>
                <w:rFonts w:ascii="Arial" w:hAnsi="Arial" w:cs="Arial"/>
              </w:rPr>
              <w:tab/>
            </w:r>
            <w:r>
              <w:rPr>
                <w:rFonts w:ascii="Arial" w:hAnsi="Arial" w:cs="Arial"/>
                <w:lang w:val="en-US"/>
              </w:rPr>
              <w:t>In the Municipality of Windhoek</w:t>
            </w:r>
          </w:p>
          <w:p w14:paraId="5577AAD6" w14:textId="77777777" w:rsidR="000F238E" w:rsidRDefault="000F238E" w:rsidP="000F238E">
            <w:pPr>
              <w:pStyle w:val="NormalWeb"/>
              <w:shd w:val="clear" w:color="auto" w:fill="FFFFFF"/>
              <w:tabs>
                <w:tab w:val="left" w:pos="602"/>
              </w:tabs>
              <w:spacing w:before="0" w:beforeAutospacing="0" w:after="0" w:afterAutospacing="0" w:line="360" w:lineRule="auto"/>
              <w:ind w:left="459" w:firstLine="1985"/>
              <w:jc w:val="both"/>
              <w:rPr>
                <w:rFonts w:ascii="Arial" w:hAnsi="Arial" w:cs="Arial"/>
                <w:lang w:val="en-US"/>
              </w:rPr>
            </w:pPr>
            <w:r>
              <w:rPr>
                <w:rFonts w:ascii="Arial" w:hAnsi="Arial" w:cs="Arial"/>
                <w:lang w:val="en-US"/>
              </w:rPr>
              <w:t>Registration Division “K”</w:t>
            </w:r>
          </w:p>
          <w:p w14:paraId="6AE1B1A0" w14:textId="77777777" w:rsidR="000F238E" w:rsidRDefault="000F238E" w:rsidP="000F238E">
            <w:pPr>
              <w:pStyle w:val="NormalWeb"/>
              <w:shd w:val="clear" w:color="auto" w:fill="FFFFFF"/>
              <w:tabs>
                <w:tab w:val="left" w:pos="602"/>
              </w:tabs>
              <w:spacing w:before="0" w:beforeAutospacing="0" w:after="0" w:afterAutospacing="0" w:line="360" w:lineRule="auto"/>
              <w:ind w:left="459" w:firstLine="1985"/>
              <w:jc w:val="both"/>
              <w:rPr>
                <w:rFonts w:ascii="Arial" w:hAnsi="Arial" w:cs="Arial"/>
                <w:lang w:val="en-US"/>
              </w:rPr>
            </w:pPr>
            <w:proofErr w:type="spellStart"/>
            <w:r>
              <w:rPr>
                <w:rFonts w:ascii="Arial" w:hAnsi="Arial" w:cs="Arial"/>
                <w:lang w:val="en-US"/>
              </w:rPr>
              <w:t>Khomas</w:t>
            </w:r>
            <w:proofErr w:type="spellEnd"/>
            <w:r>
              <w:rPr>
                <w:rFonts w:ascii="Arial" w:hAnsi="Arial" w:cs="Arial"/>
                <w:lang w:val="en-US"/>
              </w:rPr>
              <w:t xml:space="preserve"> Region</w:t>
            </w:r>
          </w:p>
          <w:p w14:paraId="6F6837D1" w14:textId="77777777" w:rsidR="000F238E" w:rsidRDefault="000F238E" w:rsidP="000F238E">
            <w:pPr>
              <w:pStyle w:val="NormalWeb"/>
              <w:shd w:val="clear" w:color="auto" w:fill="FFFFFF"/>
              <w:tabs>
                <w:tab w:val="left" w:pos="602"/>
              </w:tabs>
              <w:spacing w:before="0" w:beforeAutospacing="0" w:after="0" w:afterAutospacing="0" w:line="360" w:lineRule="auto"/>
              <w:ind w:left="459"/>
              <w:jc w:val="both"/>
              <w:rPr>
                <w:rFonts w:ascii="Arial" w:hAnsi="Arial" w:cs="Arial"/>
                <w:lang w:val="en-US"/>
              </w:rPr>
            </w:pPr>
          </w:p>
          <w:p w14:paraId="0C322DF6" w14:textId="77777777" w:rsidR="000F238E" w:rsidRDefault="000F238E" w:rsidP="000F238E">
            <w:pPr>
              <w:pStyle w:val="NormalWeb"/>
              <w:shd w:val="clear" w:color="auto" w:fill="FFFFFF"/>
              <w:tabs>
                <w:tab w:val="left" w:pos="602"/>
              </w:tabs>
              <w:spacing w:before="0" w:beforeAutospacing="0" w:after="0" w:afterAutospacing="0" w:line="360" w:lineRule="auto"/>
              <w:ind w:left="459"/>
              <w:jc w:val="both"/>
              <w:rPr>
                <w:rFonts w:ascii="Arial" w:hAnsi="Arial" w:cs="Arial"/>
                <w:lang w:val="en-US"/>
              </w:rPr>
            </w:pPr>
          </w:p>
          <w:p w14:paraId="7C19F288" w14:textId="77777777" w:rsidR="000F238E" w:rsidRDefault="000F238E" w:rsidP="000F238E">
            <w:pPr>
              <w:pStyle w:val="NormalWeb"/>
              <w:shd w:val="clear" w:color="auto" w:fill="FFFFFF"/>
              <w:tabs>
                <w:tab w:val="left" w:pos="602"/>
                <w:tab w:val="left" w:pos="2444"/>
              </w:tabs>
              <w:spacing w:before="0" w:beforeAutospacing="0" w:after="0" w:afterAutospacing="0" w:line="360" w:lineRule="auto"/>
              <w:ind w:left="459"/>
              <w:jc w:val="both"/>
              <w:rPr>
                <w:rFonts w:ascii="Arial" w:hAnsi="Arial" w:cs="Arial"/>
                <w:lang w:val="en-US"/>
              </w:rPr>
            </w:pPr>
            <w:r>
              <w:rPr>
                <w:rFonts w:ascii="Arial" w:hAnsi="Arial" w:cs="Arial"/>
                <w:lang w:val="en-US"/>
              </w:rPr>
              <w:lastRenderedPageBreak/>
              <w:t>MEASURING:</w:t>
            </w:r>
            <w:r w:rsidRPr="006979B3">
              <w:rPr>
                <w:rFonts w:ascii="Arial" w:hAnsi="Arial" w:cs="Arial"/>
              </w:rPr>
              <w:tab/>
            </w:r>
            <w:r>
              <w:rPr>
                <w:rFonts w:ascii="Arial" w:hAnsi="Arial" w:cs="Arial"/>
                <w:lang w:val="en-US"/>
              </w:rPr>
              <w:t>606 (Six Nil Six) square meters</w:t>
            </w:r>
          </w:p>
          <w:p w14:paraId="0A7A4624" w14:textId="77777777" w:rsidR="000F238E" w:rsidRDefault="000F238E" w:rsidP="000F238E">
            <w:pPr>
              <w:pStyle w:val="NormalWeb"/>
              <w:shd w:val="clear" w:color="auto" w:fill="FFFFFF"/>
              <w:tabs>
                <w:tab w:val="left" w:pos="602"/>
              </w:tabs>
              <w:spacing w:before="0" w:beforeAutospacing="0" w:after="0" w:afterAutospacing="0" w:line="360" w:lineRule="auto"/>
              <w:ind w:left="459"/>
              <w:jc w:val="both"/>
              <w:rPr>
                <w:rFonts w:ascii="Arial" w:hAnsi="Arial" w:cs="Arial"/>
                <w:lang w:val="en-US"/>
              </w:rPr>
            </w:pPr>
          </w:p>
          <w:p w14:paraId="0FE19AF0" w14:textId="77777777" w:rsidR="000F238E" w:rsidRDefault="000F238E" w:rsidP="000F238E">
            <w:pPr>
              <w:pStyle w:val="NormalWeb"/>
              <w:shd w:val="clear" w:color="auto" w:fill="FFFFFF"/>
              <w:tabs>
                <w:tab w:val="left" w:pos="602"/>
                <w:tab w:val="left" w:pos="2444"/>
              </w:tabs>
              <w:spacing w:before="0" w:beforeAutospacing="0" w:after="0" w:afterAutospacing="0" w:line="360" w:lineRule="auto"/>
              <w:ind w:left="459"/>
              <w:jc w:val="both"/>
              <w:rPr>
                <w:rFonts w:ascii="Arial" w:hAnsi="Arial" w:cs="Arial"/>
                <w:lang w:val="en-US"/>
              </w:rPr>
            </w:pPr>
            <w:r>
              <w:rPr>
                <w:rFonts w:ascii="Arial" w:hAnsi="Arial" w:cs="Arial"/>
                <w:lang w:val="en-US"/>
              </w:rPr>
              <w:t>HELD:</w:t>
            </w:r>
            <w:r w:rsidRPr="006979B3">
              <w:rPr>
                <w:rFonts w:ascii="Arial" w:hAnsi="Arial" w:cs="Arial"/>
              </w:rPr>
              <w:tab/>
            </w:r>
            <w:r>
              <w:rPr>
                <w:rFonts w:ascii="Arial" w:hAnsi="Arial" w:cs="Arial"/>
                <w:lang w:val="en-US"/>
              </w:rPr>
              <w:t>Deed of Transfer No. T 1288/1994</w:t>
            </w:r>
          </w:p>
          <w:p w14:paraId="5D01A414" w14:textId="77777777" w:rsidR="000F238E" w:rsidRPr="000F238E" w:rsidRDefault="000F238E" w:rsidP="000F238E">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p>
          <w:p w14:paraId="23008AA1" w14:textId="77777777" w:rsidR="00D034F4" w:rsidRPr="000F238E" w:rsidRDefault="000F238E" w:rsidP="000F238E">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cs="Arial"/>
                <w:lang w:val="en-US"/>
              </w:rPr>
              <w:t>There is no order as to costs</w:t>
            </w:r>
            <w:r w:rsidR="00D034F4" w:rsidRPr="000F238E">
              <w:rPr>
                <w:rFonts w:ascii="Arial" w:hAnsi="Arial" w:cs="Arial"/>
                <w:lang w:val="en-US"/>
              </w:rPr>
              <w:t>.</w:t>
            </w:r>
          </w:p>
          <w:p w14:paraId="66D30386" w14:textId="77777777" w:rsidR="000F238E" w:rsidRPr="000F238E" w:rsidRDefault="000F238E" w:rsidP="000F238E">
            <w:pPr>
              <w:spacing w:line="360" w:lineRule="auto"/>
              <w:rPr>
                <w:rFonts w:ascii="Arial" w:hAnsi="Arial" w:cs="Arial"/>
                <w:sz w:val="24"/>
                <w:szCs w:val="24"/>
                <w:lang w:val="en-US"/>
              </w:rPr>
            </w:pPr>
          </w:p>
          <w:p w14:paraId="483B1EFF" w14:textId="77777777" w:rsidR="000F238E" w:rsidRDefault="000F238E" w:rsidP="000F238E">
            <w:pPr>
              <w:pStyle w:val="NormalWeb"/>
              <w:shd w:val="clear" w:color="auto" w:fill="FFFFFF"/>
              <w:tabs>
                <w:tab w:val="left" w:pos="459"/>
              </w:tabs>
              <w:spacing w:before="0" w:beforeAutospacing="0" w:after="0" w:afterAutospacing="0" w:line="360" w:lineRule="auto"/>
              <w:jc w:val="both"/>
              <w:rPr>
                <w:rFonts w:ascii="Arial" w:hAnsi="Arial" w:cs="Arial"/>
                <w:lang w:val="en-US"/>
              </w:rPr>
            </w:pPr>
            <w:r>
              <w:rPr>
                <w:rFonts w:ascii="Arial" w:hAnsi="Arial" w:cs="Arial"/>
                <w:lang w:val="en-US"/>
              </w:rPr>
              <w:t>3.</w:t>
            </w:r>
            <w:r w:rsidRPr="006979B3">
              <w:rPr>
                <w:rFonts w:ascii="Arial" w:hAnsi="Arial" w:cs="Arial"/>
              </w:rPr>
              <w:tab/>
            </w:r>
            <w:r>
              <w:rPr>
                <w:rFonts w:ascii="Arial" w:hAnsi="Arial" w:cs="Arial"/>
              </w:rPr>
              <w:t>The matter is finalised and removed from the roll.</w:t>
            </w:r>
          </w:p>
          <w:p w14:paraId="1F20E505" w14:textId="77777777" w:rsidR="000F238E" w:rsidRPr="000F238E" w:rsidRDefault="000F238E" w:rsidP="000F238E">
            <w:pPr>
              <w:pStyle w:val="NormalWeb"/>
              <w:shd w:val="clear" w:color="auto" w:fill="FFFFFF"/>
              <w:tabs>
                <w:tab w:val="left" w:pos="602"/>
              </w:tabs>
              <w:spacing w:before="0" w:beforeAutospacing="0" w:after="0" w:afterAutospacing="0" w:line="360" w:lineRule="auto"/>
              <w:jc w:val="both"/>
              <w:rPr>
                <w:rFonts w:ascii="Arial" w:hAnsi="Arial" w:cs="Arial"/>
                <w:lang w:val="en-US"/>
              </w:rPr>
            </w:pPr>
          </w:p>
        </w:tc>
      </w:tr>
      <w:tr w:rsidR="00CA7995" w:rsidRPr="00CA7995" w14:paraId="107A5CBE" w14:textId="77777777" w:rsidTr="003B0F1E">
        <w:trPr>
          <w:trHeight w:val="558"/>
        </w:trPr>
        <w:tc>
          <w:tcPr>
            <w:tcW w:w="10632" w:type="dxa"/>
            <w:gridSpan w:val="3"/>
          </w:tcPr>
          <w:p w14:paraId="059DC424" w14:textId="77777777" w:rsidR="00705A2C" w:rsidRPr="00CA7995" w:rsidRDefault="00B40844" w:rsidP="00937C89">
            <w:pPr>
              <w:tabs>
                <w:tab w:val="right" w:pos="9693"/>
              </w:tabs>
              <w:spacing w:line="360" w:lineRule="auto"/>
              <w:jc w:val="both"/>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14:paraId="1F2167B2" w14:textId="77777777" w:rsidTr="00CB16F5">
        <w:trPr>
          <w:trHeight w:val="3698"/>
        </w:trPr>
        <w:tc>
          <w:tcPr>
            <w:tcW w:w="10632" w:type="dxa"/>
            <w:gridSpan w:val="3"/>
          </w:tcPr>
          <w:p w14:paraId="41449953" w14:textId="77777777" w:rsidR="001B494D" w:rsidRPr="006979B3" w:rsidRDefault="001B494D" w:rsidP="001B494D">
            <w:pPr>
              <w:tabs>
                <w:tab w:val="left" w:pos="729"/>
              </w:tabs>
              <w:spacing w:line="360" w:lineRule="auto"/>
              <w:rPr>
                <w:rFonts w:ascii="Arial" w:hAnsi="Arial" w:cs="Arial"/>
                <w:sz w:val="24"/>
                <w:szCs w:val="24"/>
              </w:rPr>
            </w:pPr>
          </w:p>
          <w:p w14:paraId="7FBAD6BF" w14:textId="395A0639" w:rsidR="00B40844" w:rsidRPr="006979B3" w:rsidRDefault="00B40844" w:rsidP="00ED76B2">
            <w:pPr>
              <w:tabs>
                <w:tab w:val="left" w:pos="729"/>
              </w:tabs>
              <w:spacing w:line="360" w:lineRule="auto"/>
              <w:jc w:val="both"/>
              <w:rPr>
                <w:rFonts w:ascii="Arial" w:eastAsia="Times New Roman" w:hAnsi="Arial" w:cs="Arial"/>
                <w:sz w:val="24"/>
                <w:szCs w:val="24"/>
                <w:lang w:val="en-US"/>
              </w:rPr>
            </w:pPr>
            <w:r w:rsidRPr="006979B3">
              <w:rPr>
                <w:rFonts w:ascii="Arial" w:hAnsi="Arial" w:cs="Arial"/>
                <w:sz w:val="24"/>
                <w:szCs w:val="24"/>
              </w:rPr>
              <w:t>[1]</w:t>
            </w:r>
            <w:r w:rsidRPr="006979B3">
              <w:rPr>
                <w:rFonts w:ascii="Arial" w:hAnsi="Arial" w:cs="Arial"/>
                <w:sz w:val="24"/>
                <w:szCs w:val="24"/>
              </w:rPr>
              <w:tab/>
            </w:r>
            <w:r w:rsidR="007A30F6">
              <w:rPr>
                <w:rFonts w:ascii="Arial" w:hAnsi="Arial" w:cs="Arial"/>
                <w:sz w:val="24"/>
                <w:szCs w:val="24"/>
              </w:rPr>
              <w:t xml:space="preserve">Once more we are seized with an application concerning rule 108 of the rules of court. </w:t>
            </w:r>
            <w:r w:rsidR="00472B5D">
              <w:rPr>
                <w:rFonts w:ascii="Arial" w:hAnsi="Arial" w:cs="Arial"/>
                <w:sz w:val="24"/>
                <w:szCs w:val="24"/>
              </w:rPr>
              <w:t xml:space="preserve">Mr </w:t>
            </w:r>
            <w:proofErr w:type="spellStart"/>
            <w:r w:rsidR="00472B5D">
              <w:rPr>
                <w:rFonts w:ascii="Arial" w:hAnsi="Arial" w:cs="Arial"/>
                <w:sz w:val="24"/>
                <w:szCs w:val="24"/>
              </w:rPr>
              <w:t>Boltman</w:t>
            </w:r>
            <w:proofErr w:type="spellEnd"/>
            <w:r w:rsidR="007A30F6">
              <w:rPr>
                <w:rFonts w:ascii="Arial" w:hAnsi="Arial" w:cs="Arial"/>
                <w:sz w:val="24"/>
                <w:szCs w:val="24"/>
              </w:rPr>
              <w:t xml:space="preserve"> represents the applicant</w:t>
            </w:r>
            <w:r w:rsidR="005E7FB4">
              <w:rPr>
                <w:rFonts w:ascii="Arial" w:hAnsi="Arial" w:cs="Arial"/>
                <w:sz w:val="24"/>
                <w:szCs w:val="24"/>
              </w:rPr>
              <w:t xml:space="preserve"> and Mr Lombard represents the respondent and the interested party, whatever that means</w:t>
            </w:r>
            <w:r w:rsidR="00346B7A" w:rsidRPr="006979B3">
              <w:rPr>
                <w:rFonts w:ascii="Arial" w:hAnsi="Arial" w:cs="Arial"/>
                <w:sz w:val="24"/>
                <w:szCs w:val="24"/>
                <w:lang w:val="en-US"/>
              </w:rPr>
              <w:t>.</w:t>
            </w:r>
          </w:p>
          <w:p w14:paraId="3DCD562C" w14:textId="77777777" w:rsidR="006979B3" w:rsidRPr="006979B3" w:rsidRDefault="006979B3" w:rsidP="00ED76B2">
            <w:pPr>
              <w:tabs>
                <w:tab w:val="left" w:pos="729"/>
              </w:tabs>
              <w:spacing w:line="360" w:lineRule="auto"/>
              <w:jc w:val="both"/>
              <w:rPr>
                <w:rFonts w:ascii="Arial" w:eastAsia="Times New Roman" w:hAnsi="Arial" w:cs="Arial"/>
                <w:sz w:val="24"/>
                <w:szCs w:val="24"/>
                <w:lang w:val="en-US"/>
              </w:rPr>
            </w:pPr>
          </w:p>
          <w:p w14:paraId="096FA856" w14:textId="114B1480" w:rsidR="00FC2237" w:rsidRPr="006979B3" w:rsidRDefault="00672C76" w:rsidP="009F773F">
            <w:pPr>
              <w:spacing w:line="360" w:lineRule="auto"/>
              <w:ind w:left="23" w:hanging="23"/>
              <w:jc w:val="both"/>
              <w:rPr>
                <w:rFonts w:ascii="Arial" w:hAnsi="Arial" w:cs="Arial"/>
                <w:sz w:val="24"/>
                <w:szCs w:val="24"/>
              </w:rPr>
            </w:pPr>
            <w:r w:rsidRPr="006979B3">
              <w:rPr>
                <w:rFonts w:ascii="Arial" w:hAnsi="Arial" w:cs="Arial"/>
                <w:sz w:val="24"/>
                <w:szCs w:val="24"/>
              </w:rPr>
              <w:t>[2]</w:t>
            </w:r>
            <w:r w:rsidR="000A6E7F" w:rsidRPr="006979B3">
              <w:rPr>
                <w:rFonts w:ascii="Arial" w:hAnsi="Arial" w:cs="Arial"/>
                <w:sz w:val="24"/>
                <w:szCs w:val="24"/>
              </w:rPr>
              <w:tab/>
            </w:r>
            <w:r w:rsidR="005E7FB4">
              <w:rPr>
                <w:rFonts w:ascii="Arial" w:hAnsi="Arial" w:cs="Arial"/>
                <w:sz w:val="24"/>
                <w:szCs w:val="24"/>
              </w:rPr>
              <w:t xml:space="preserve">I shall say the following but in </w:t>
            </w:r>
            <w:r w:rsidR="00CD3454">
              <w:rPr>
                <w:rFonts w:ascii="Arial" w:hAnsi="Arial" w:cs="Arial"/>
                <w:sz w:val="24"/>
                <w:szCs w:val="24"/>
              </w:rPr>
              <w:t>parentheses because</w:t>
            </w:r>
            <w:r w:rsidR="005E7FB4">
              <w:rPr>
                <w:rFonts w:ascii="Arial" w:hAnsi="Arial" w:cs="Arial"/>
                <w:sz w:val="24"/>
                <w:szCs w:val="24"/>
              </w:rPr>
              <w:t xml:space="preserve"> it is not relevant in the instant motion proceedings: The respondent’s allegation that she is ‘seeking appropriate relief from the Office of the Labour Commissioner’ matters tuppence in the instant motion proceedings, which concern the lawful execution of a summary judgment order of the High Court</w:t>
            </w:r>
            <w:r w:rsidR="00472B5D">
              <w:rPr>
                <w:rFonts w:ascii="Arial" w:hAnsi="Arial" w:cs="Arial"/>
                <w:sz w:val="24"/>
                <w:szCs w:val="24"/>
              </w:rPr>
              <w:t xml:space="preserve"> only</w:t>
            </w:r>
            <w:r w:rsidR="00F1221A" w:rsidRPr="006979B3">
              <w:rPr>
                <w:rFonts w:ascii="Arial" w:hAnsi="Arial" w:cs="Arial"/>
                <w:sz w:val="24"/>
                <w:szCs w:val="24"/>
                <w:lang w:val="en-US"/>
              </w:rPr>
              <w:t>.</w:t>
            </w:r>
          </w:p>
          <w:p w14:paraId="1B999042" w14:textId="77777777" w:rsidR="00224808" w:rsidRPr="006979B3" w:rsidRDefault="00224808" w:rsidP="009F773F">
            <w:pPr>
              <w:spacing w:line="360" w:lineRule="auto"/>
              <w:ind w:left="23" w:hanging="23"/>
              <w:jc w:val="both"/>
              <w:rPr>
                <w:rFonts w:ascii="Arial" w:hAnsi="Arial" w:cs="Arial"/>
                <w:sz w:val="24"/>
                <w:szCs w:val="24"/>
              </w:rPr>
            </w:pPr>
          </w:p>
          <w:p w14:paraId="6D400379" w14:textId="1E952E63" w:rsidR="006678D1" w:rsidRPr="006979B3" w:rsidRDefault="002D20C5" w:rsidP="009F773F">
            <w:pPr>
              <w:spacing w:line="360" w:lineRule="auto"/>
              <w:ind w:left="23" w:hanging="23"/>
              <w:jc w:val="both"/>
              <w:rPr>
                <w:rFonts w:ascii="Arial" w:hAnsi="Arial" w:cs="Arial"/>
                <w:sz w:val="24"/>
                <w:szCs w:val="24"/>
              </w:rPr>
            </w:pPr>
            <w:r w:rsidRPr="006979B3">
              <w:rPr>
                <w:rFonts w:ascii="Arial" w:hAnsi="Arial" w:cs="Arial"/>
                <w:sz w:val="24"/>
                <w:szCs w:val="24"/>
              </w:rPr>
              <w:t>[3]</w:t>
            </w:r>
            <w:r w:rsidRPr="006979B3">
              <w:rPr>
                <w:rFonts w:ascii="Arial" w:hAnsi="Arial" w:cs="Arial"/>
                <w:sz w:val="24"/>
                <w:szCs w:val="24"/>
              </w:rPr>
              <w:tab/>
            </w:r>
            <w:r w:rsidR="0097039F">
              <w:rPr>
                <w:rFonts w:ascii="Arial" w:hAnsi="Arial" w:cs="Arial"/>
                <w:sz w:val="24"/>
                <w:szCs w:val="24"/>
              </w:rPr>
              <w:t>I do not intend to garnish this judgment with bushes of unnecessary background antecedents. The factual antecedents to the instant application are laid out in the judgment of the court, granting summary judgment in favour of the applicant against the respondent, dated 7 March 2023 (‘the 7 March 2023 order</w:t>
            </w:r>
            <w:r w:rsidR="009D0A90">
              <w:rPr>
                <w:rFonts w:ascii="Arial" w:hAnsi="Arial" w:cs="Arial"/>
                <w:sz w:val="24"/>
                <w:szCs w:val="24"/>
              </w:rPr>
              <w:t>’</w:t>
            </w:r>
            <w:r w:rsidR="0097039F">
              <w:rPr>
                <w:rFonts w:ascii="Arial" w:hAnsi="Arial" w:cs="Arial"/>
                <w:sz w:val="24"/>
                <w:szCs w:val="24"/>
              </w:rPr>
              <w:t>)</w:t>
            </w:r>
            <w:r w:rsidR="009464D6" w:rsidRPr="006979B3">
              <w:rPr>
                <w:rFonts w:ascii="Arial" w:hAnsi="Arial" w:cs="Arial"/>
                <w:sz w:val="24"/>
                <w:szCs w:val="24"/>
                <w:lang w:val="en-US"/>
              </w:rPr>
              <w:t>.</w:t>
            </w:r>
          </w:p>
          <w:p w14:paraId="4BD22E72" w14:textId="77777777" w:rsidR="006678D1" w:rsidRPr="006979B3" w:rsidRDefault="006678D1" w:rsidP="009F773F">
            <w:pPr>
              <w:spacing w:line="360" w:lineRule="auto"/>
              <w:ind w:left="23" w:hanging="23"/>
              <w:jc w:val="both"/>
              <w:rPr>
                <w:rFonts w:ascii="Arial" w:hAnsi="Arial" w:cs="Arial"/>
                <w:sz w:val="24"/>
                <w:szCs w:val="24"/>
              </w:rPr>
            </w:pPr>
          </w:p>
          <w:p w14:paraId="594C9E0F" w14:textId="77716737" w:rsidR="00224808" w:rsidRPr="006979B3" w:rsidRDefault="00816D42" w:rsidP="009F773F">
            <w:pPr>
              <w:spacing w:line="360" w:lineRule="auto"/>
              <w:ind w:left="23" w:hanging="23"/>
              <w:jc w:val="both"/>
              <w:rPr>
                <w:rFonts w:ascii="Arial" w:hAnsi="Arial" w:cs="Arial"/>
                <w:sz w:val="24"/>
                <w:szCs w:val="24"/>
                <w:lang w:val="en-US"/>
              </w:rPr>
            </w:pPr>
            <w:r w:rsidRPr="006979B3">
              <w:rPr>
                <w:rFonts w:ascii="Arial" w:hAnsi="Arial" w:cs="Arial"/>
                <w:sz w:val="24"/>
                <w:szCs w:val="24"/>
              </w:rPr>
              <w:t>[4]</w:t>
            </w:r>
            <w:r w:rsidRPr="006979B3">
              <w:rPr>
                <w:rFonts w:ascii="Arial" w:hAnsi="Arial" w:cs="Arial"/>
                <w:sz w:val="24"/>
                <w:szCs w:val="24"/>
              </w:rPr>
              <w:tab/>
            </w:r>
            <w:r w:rsidR="0097039F">
              <w:rPr>
                <w:rFonts w:ascii="Arial" w:hAnsi="Arial" w:cs="Arial"/>
                <w:sz w:val="24"/>
                <w:szCs w:val="24"/>
              </w:rPr>
              <w:t>I</w:t>
            </w:r>
            <w:r w:rsidR="004A1FCF">
              <w:rPr>
                <w:rFonts w:ascii="Arial" w:hAnsi="Arial" w:cs="Arial"/>
                <w:sz w:val="24"/>
                <w:szCs w:val="24"/>
              </w:rPr>
              <w:t>t is important to note that</w:t>
            </w:r>
            <w:r w:rsidR="0097039F">
              <w:rPr>
                <w:rFonts w:ascii="Arial" w:hAnsi="Arial" w:cs="Arial"/>
                <w:sz w:val="24"/>
                <w:szCs w:val="24"/>
              </w:rPr>
              <w:t xml:space="preserve"> the 7 March 2023 order has not been set aside by a competent court</w:t>
            </w:r>
            <w:r w:rsidR="00ED49EE">
              <w:rPr>
                <w:rFonts w:ascii="Arial" w:hAnsi="Arial" w:cs="Arial"/>
                <w:sz w:val="24"/>
                <w:szCs w:val="24"/>
              </w:rPr>
              <w:t xml:space="preserve"> and the rule of law demands that court orders must be implemented. It follows irrefragably that the 7 March 2023 order must be implemented.</w:t>
            </w:r>
          </w:p>
          <w:p w14:paraId="6B588CB3" w14:textId="77777777" w:rsidR="007A69B7" w:rsidRPr="006979B3" w:rsidRDefault="007A69B7" w:rsidP="009F773F">
            <w:pPr>
              <w:spacing w:line="360" w:lineRule="auto"/>
              <w:ind w:left="23" w:hanging="23"/>
              <w:jc w:val="both"/>
              <w:rPr>
                <w:rFonts w:ascii="Arial" w:hAnsi="Arial" w:cs="Arial"/>
                <w:sz w:val="24"/>
                <w:szCs w:val="24"/>
                <w:lang w:val="en-US"/>
              </w:rPr>
            </w:pPr>
          </w:p>
          <w:p w14:paraId="3F1A9468" w14:textId="09030534" w:rsidR="007A69B7" w:rsidRPr="00307DB3" w:rsidRDefault="007A69B7" w:rsidP="009F773F">
            <w:pPr>
              <w:spacing w:line="360" w:lineRule="auto"/>
              <w:ind w:left="23" w:hanging="23"/>
              <w:jc w:val="both"/>
              <w:rPr>
                <w:rFonts w:ascii="Arial" w:hAnsi="Arial" w:cs="Arial"/>
                <w:sz w:val="24"/>
                <w:szCs w:val="24"/>
                <w:lang w:val="en-US"/>
              </w:rPr>
            </w:pPr>
            <w:r w:rsidRPr="006979B3">
              <w:rPr>
                <w:rFonts w:ascii="Arial" w:hAnsi="Arial" w:cs="Arial"/>
                <w:sz w:val="24"/>
                <w:szCs w:val="24"/>
                <w:lang w:val="en-US"/>
              </w:rPr>
              <w:t>[5]</w:t>
            </w:r>
            <w:r w:rsidRPr="006979B3">
              <w:rPr>
                <w:rFonts w:ascii="Arial" w:hAnsi="Arial" w:cs="Arial"/>
                <w:sz w:val="24"/>
                <w:szCs w:val="24"/>
              </w:rPr>
              <w:tab/>
            </w:r>
            <w:r w:rsidR="00F77081">
              <w:rPr>
                <w:rFonts w:ascii="Arial" w:hAnsi="Arial" w:cs="Arial"/>
                <w:sz w:val="24"/>
                <w:szCs w:val="24"/>
              </w:rPr>
              <w:t>It is not part of our law for a defendant or respondent against whom an order has been made to tell the court when the court order should be executed and how. In the instant matter, the applicant, the beneficiary of the order, has approached the seat of judgment of the court to execute specially against the immovable property of the respondent mentioned in the notice of motion</w:t>
            </w:r>
            <w:r w:rsidR="00472B5D">
              <w:rPr>
                <w:rFonts w:ascii="Arial" w:hAnsi="Arial" w:cs="Arial"/>
                <w:sz w:val="24"/>
                <w:szCs w:val="24"/>
              </w:rPr>
              <w:t>. In that regard</w:t>
            </w:r>
            <w:r w:rsidR="00F77081">
              <w:rPr>
                <w:rFonts w:ascii="Arial" w:hAnsi="Arial" w:cs="Arial"/>
                <w:sz w:val="24"/>
                <w:szCs w:val="24"/>
              </w:rPr>
              <w:t>, the mechanism of judicial oversight that rule 108 of the rules of court has provided becomes operational.</w:t>
            </w:r>
          </w:p>
          <w:p w14:paraId="79BC2A7A" w14:textId="77777777" w:rsidR="00980C82" w:rsidRPr="00307DB3" w:rsidRDefault="00980C82" w:rsidP="00980C82">
            <w:pPr>
              <w:spacing w:line="360" w:lineRule="auto"/>
              <w:jc w:val="both"/>
              <w:rPr>
                <w:rFonts w:ascii="Arial" w:hAnsi="Arial" w:cs="Arial"/>
                <w:sz w:val="24"/>
                <w:szCs w:val="24"/>
                <w:lang w:val="en-US"/>
              </w:rPr>
            </w:pPr>
          </w:p>
          <w:p w14:paraId="42B67C36" w14:textId="4E1FDBBE" w:rsidR="007A69B7" w:rsidRPr="00307DB3" w:rsidRDefault="007A69B7" w:rsidP="00DD5122">
            <w:pPr>
              <w:spacing w:line="360" w:lineRule="auto"/>
              <w:ind w:left="23" w:firstLine="11"/>
              <w:jc w:val="both"/>
              <w:rPr>
                <w:rFonts w:ascii="Arial" w:hAnsi="Arial" w:cs="Arial"/>
                <w:sz w:val="24"/>
                <w:szCs w:val="24"/>
              </w:rPr>
            </w:pPr>
            <w:r w:rsidRPr="00307DB3">
              <w:rPr>
                <w:rFonts w:ascii="Arial" w:hAnsi="Arial" w:cs="Arial"/>
                <w:sz w:val="24"/>
                <w:szCs w:val="24"/>
                <w:lang w:val="en-US"/>
              </w:rPr>
              <w:t>[6]</w:t>
            </w:r>
            <w:r w:rsidRPr="00307DB3">
              <w:rPr>
                <w:rFonts w:ascii="Arial" w:hAnsi="Arial" w:cs="Arial"/>
                <w:sz w:val="24"/>
                <w:szCs w:val="24"/>
              </w:rPr>
              <w:tab/>
            </w:r>
            <w:r w:rsidR="00472B5D">
              <w:rPr>
                <w:rFonts w:ascii="Arial" w:hAnsi="Arial" w:cs="Arial"/>
                <w:sz w:val="24"/>
                <w:szCs w:val="24"/>
              </w:rPr>
              <w:t xml:space="preserve">Therefore, </w:t>
            </w:r>
            <w:r w:rsidR="00FD1B5F">
              <w:rPr>
                <w:rFonts w:ascii="Arial" w:hAnsi="Arial" w:cs="Arial"/>
                <w:sz w:val="24"/>
                <w:szCs w:val="24"/>
              </w:rPr>
              <w:t xml:space="preserve">the first crucial point to make at the threshold is this. It must be noted by legal practitioners and litigants that the age-long and time-tested principle of </w:t>
            </w:r>
            <w:r w:rsidR="00FD1B5F" w:rsidRPr="00F01B97">
              <w:rPr>
                <w:rFonts w:ascii="Arial" w:hAnsi="Arial" w:cs="Arial"/>
                <w:i/>
                <w:sz w:val="24"/>
                <w:szCs w:val="24"/>
              </w:rPr>
              <w:t xml:space="preserve">pacta sunt </w:t>
            </w:r>
            <w:proofErr w:type="spellStart"/>
            <w:r w:rsidR="00FD1B5F" w:rsidRPr="00F01B97">
              <w:rPr>
                <w:rFonts w:ascii="Arial" w:hAnsi="Arial" w:cs="Arial"/>
                <w:i/>
                <w:sz w:val="24"/>
                <w:szCs w:val="24"/>
              </w:rPr>
              <w:t>servanda</w:t>
            </w:r>
            <w:proofErr w:type="spellEnd"/>
            <w:r w:rsidR="00FD1B5F">
              <w:rPr>
                <w:rFonts w:ascii="Arial" w:hAnsi="Arial" w:cs="Arial"/>
                <w:sz w:val="24"/>
                <w:szCs w:val="24"/>
              </w:rPr>
              <w:t xml:space="preserve"> is still part of our law.</w:t>
            </w:r>
            <w:r w:rsidR="00FD1B5F">
              <w:rPr>
                <w:rStyle w:val="FootnoteReference"/>
                <w:rFonts w:ascii="Arial" w:hAnsi="Arial" w:cs="Arial"/>
                <w:sz w:val="24"/>
                <w:szCs w:val="24"/>
              </w:rPr>
              <w:footnoteReference w:id="1"/>
            </w:r>
            <w:r w:rsidR="00FD1B5F">
              <w:rPr>
                <w:rFonts w:ascii="Arial" w:hAnsi="Arial" w:cs="Arial"/>
                <w:sz w:val="24"/>
                <w:szCs w:val="24"/>
              </w:rPr>
              <w:t xml:space="preserve"> Rule 108 of the rules of court has not set at nought and vaporized the principle. As I understand it, the object of rule 108 is, based on equitable considerations, to blunt the sharp point of executing specially claims against hypothecated immovable property </w:t>
            </w:r>
            <w:r w:rsidR="00CD3454">
              <w:rPr>
                <w:rFonts w:ascii="Arial" w:hAnsi="Arial" w:cs="Arial"/>
                <w:sz w:val="24"/>
                <w:szCs w:val="24"/>
              </w:rPr>
              <w:t>to</w:t>
            </w:r>
            <w:r w:rsidR="00FD1B5F">
              <w:rPr>
                <w:rFonts w:ascii="Arial" w:hAnsi="Arial" w:cs="Arial"/>
                <w:sz w:val="24"/>
                <w:szCs w:val="24"/>
              </w:rPr>
              <w:t xml:space="preserve"> satisfy the claim.  I do not read </w:t>
            </w:r>
            <w:proofErr w:type="spellStart"/>
            <w:r w:rsidR="00FD1B5F" w:rsidRPr="006144A8">
              <w:rPr>
                <w:rFonts w:ascii="Arial" w:hAnsi="Arial" w:cs="Arial"/>
                <w:i/>
                <w:sz w:val="24"/>
                <w:szCs w:val="24"/>
              </w:rPr>
              <w:t>Kisilip</w:t>
            </w:r>
            <w:r w:rsidR="00FD1B5F">
              <w:rPr>
                <w:rFonts w:ascii="Arial" w:hAnsi="Arial" w:cs="Arial"/>
                <w:i/>
                <w:sz w:val="24"/>
                <w:szCs w:val="24"/>
              </w:rPr>
              <w:t>il</w:t>
            </w:r>
            <w:r w:rsidR="00FD1B5F" w:rsidRPr="006144A8">
              <w:rPr>
                <w:rFonts w:ascii="Arial" w:hAnsi="Arial" w:cs="Arial"/>
                <w:i/>
                <w:sz w:val="24"/>
                <w:szCs w:val="24"/>
              </w:rPr>
              <w:t>e</w:t>
            </w:r>
            <w:proofErr w:type="spellEnd"/>
            <w:r w:rsidR="00FD1B5F" w:rsidRPr="006144A8">
              <w:rPr>
                <w:rFonts w:ascii="Arial" w:hAnsi="Arial" w:cs="Arial"/>
                <w:i/>
                <w:sz w:val="24"/>
                <w:szCs w:val="24"/>
              </w:rPr>
              <w:t xml:space="preserve"> Niklaas and Lydia </w:t>
            </w:r>
            <w:proofErr w:type="spellStart"/>
            <w:r w:rsidR="00FD1B5F" w:rsidRPr="006144A8">
              <w:rPr>
                <w:rFonts w:ascii="Arial" w:hAnsi="Arial" w:cs="Arial"/>
                <w:i/>
                <w:sz w:val="24"/>
                <w:szCs w:val="24"/>
              </w:rPr>
              <w:t>Vaanda</w:t>
            </w:r>
            <w:proofErr w:type="spellEnd"/>
            <w:r w:rsidR="00FD1B5F" w:rsidRPr="006144A8">
              <w:rPr>
                <w:rFonts w:ascii="Arial" w:hAnsi="Arial" w:cs="Arial"/>
                <w:i/>
                <w:sz w:val="24"/>
                <w:szCs w:val="24"/>
              </w:rPr>
              <w:t xml:space="preserve"> </w:t>
            </w:r>
            <w:proofErr w:type="spellStart"/>
            <w:r w:rsidR="00FD1B5F" w:rsidRPr="006144A8">
              <w:rPr>
                <w:rFonts w:ascii="Arial" w:hAnsi="Arial" w:cs="Arial"/>
                <w:i/>
                <w:sz w:val="24"/>
                <w:szCs w:val="24"/>
              </w:rPr>
              <w:t>Katjiuongua</w:t>
            </w:r>
            <w:proofErr w:type="spellEnd"/>
            <w:r w:rsidR="00FD1B5F" w:rsidRPr="006144A8">
              <w:rPr>
                <w:rFonts w:ascii="Arial" w:hAnsi="Arial" w:cs="Arial"/>
                <w:i/>
                <w:sz w:val="24"/>
                <w:szCs w:val="24"/>
              </w:rPr>
              <w:t xml:space="preserve"> v First National Bank of Namibia Limited</w:t>
            </w:r>
            <w:r w:rsidR="00FD1B5F">
              <w:rPr>
                <w:rStyle w:val="FootnoteReference"/>
                <w:rFonts w:ascii="Arial" w:hAnsi="Arial" w:cs="Arial"/>
                <w:sz w:val="24"/>
                <w:szCs w:val="24"/>
              </w:rPr>
              <w:footnoteReference w:id="2"/>
            </w:r>
            <w:r w:rsidR="00FD1B5F">
              <w:rPr>
                <w:rFonts w:ascii="Arial" w:hAnsi="Arial" w:cs="Arial"/>
                <w:sz w:val="24"/>
                <w:szCs w:val="24"/>
              </w:rPr>
              <w:t xml:space="preserve"> as having set at naught the </w:t>
            </w:r>
            <w:r w:rsidR="00CD3454">
              <w:rPr>
                <w:rFonts w:ascii="Arial" w:hAnsi="Arial" w:cs="Arial"/>
                <w:sz w:val="24"/>
                <w:szCs w:val="24"/>
              </w:rPr>
              <w:t>aforesaid principle</w:t>
            </w:r>
            <w:r w:rsidR="00FD1B5F">
              <w:rPr>
                <w:rFonts w:ascii="Arial" w:hAnsi="Arial" w:cs="Arial"/>
                <w:sz w:val="24"/>
                <w:szCs w:val="24"/>
              </w:rPr>
              <w:t xml:space="preserve">. Indeed, in that case, </w:t>
            </w:r>
            <w:proofErr w:type="spellStart"/>
            <w:r w:rsidR="00FD1B5F">
              <w:rPr>
                <w:rFonts w:ascii="Arial" w:hAnsi="Arial" w:cs="Arial"/>
                <w:sz w:val="24"/>
                <w:szCs w:val="24"/>
              </w:rPr>
              <w:t>Damaseb</w:t>
            </w:r>
            <w:proofErr w:type="spellEnd"/>
            <w:r w:rsidR="00FD1B5F">
              <w:rPr>
                <w:rFonts w:ascii="Arial" w:hAnsi="Arial" w:cs="Arial"/>
                <w:sz w:val="24"/>
                <w:szCs w:val="24"/>
              </w:rPr>
              <w:t xml:space="preserve"> DCJ (writing the unanimous judgment of the court) stated:</w:t>
            </w:r>
          </w:p>
          <w:p w14:paraId="2CDD3CF8" w14:textId="77777777" w:rsidR="00FD1B5F" w:rsidRDefault="00FD1B5F" w:rsidP="009F773F">
            <w:pPr>
              <w:spacing w:line="360" w:lineRule="auto"/>
              <w:ind w:left="23" w:hanging="23"/>
              <w:jc w:val="both"/>
              <w:rPr>
                <w:rFonts w:ascii="Arial" w:hAnsi="Arial" w:cs="Arial"/>
                <w:sz w:val="24"/>
                <w:szCs w:val="24"/>
              </w:rPr>
            </w:pPr>
          </w:p>
          <w:p w14:paraId="3E78C9A4" w14:textId="77777777" w:rsidR="00FD1B5F" w:rsidRDefault="00FD1B5F" w:rsidP="00DD5122">
            <w:pPr>
              <w:spacing w:line="360" w:lineRule="auto"/>
              <w:ind w:firstLine="743"/>
              <w:jc w:val="both"/>
              <w:rPr>
                <w:rFonts w:ascii="Arial" w:hAnsi="Arial" w:cs="Arial"/>
                <w:sz w:val="24"/>
                <w:szCs w:val="24"/>
              </w:rPr>
            </w:pPr>
            <w:r w:rsidRPr="00663770">
              <w:rPr>
                <w:rFonts w:ascii="Arial" w:hAnsi="Arial" w:cs="Arial"/>
              </w:rPr>
              <w:t>‘[19]</w:t>
            </w:r>
            <w:r w:rsidRPr="00663770">
              <w:rPr>
                <w:rFonts w:ascii="Arial" w:hAnsi="Arial" w:cs="Arial"/>
              </w:rPr>
              <w:tab/>
              <w:t>The debtor must be invited to present alternatives that the court should consider to avoid a sale in execution but bearing in mind that the credit giver has a right to satisfaction of the bargain. The alternatives must be viable in that it must not amount to defeating the commercial interest of the creditor by in effect amounting to non-payment and stringing the creditor along until someday the debtor has the means to pay the debt. Should the circumstances justify, the court must stand the matter down or postpone to a date suitable to itself and the parties to conduct the inquiry. A failure to conduct the inquiry is reversible misdirection. If the debtor is legally unrepresented at the summary judgment proceedings, it behoves counsel for the creditor to draw the court’s attention to the need for the inquiry in terms of rule 108.’</w:t>
            </w:r>
          </w:p>
          <w:p w14:paraId="3ADC605C" w14:textId="77777777" w:rsidR="00FD1B5F" w:rsidRPr="00307DB3" w:rsidRDefault="00FD1B5F" w:rsidP="009F773F">
            <w:pPr>
              <w:spacing w:line="360" w:lineRule="auto"/>
              <w:ind w:left="23" w:hanging="23"/>
              <w:jc w:val="both"/>
              <w:rPr>
                <w:rFonts w:ascii="Arial" w:hAnsi="Arial" w:cs="Arial"/>
                <w:sz w:val="24"/>
                <w:szCs w:val="24"/>
              </w:rPr>
            </w:pPr>
          </w:p>
          <w:p w14:paraId="336983B6" w14:textId="77777777" w:rsidR="009C1846" w:rsidRPr="00307DB3" w:rsidRDefault="009C1846" w:rsidP="009F773F">
            <w:pPr>
              <w:spacing w:line="360" w:lineRule="auto"/>
              <w:ind w:left="23" w:hanging="23"/>
              <w:jc w:val="both"/>
              <w:rPr>
                <w:rFonts w:ascii="Arial" w:hAnsi="Arial" w:cs="Arial"/>
                <w:sz w:val="24"/>
                <w:szCs w:val="24"/>
                <w:lang w:val="en-US"/>
              </w:rPr>
            </w:pPr>
            <w:r w:rsidRPr="00307DB3">
              <w:rPr>
                <w:rFonts w:ascii="Arial" w:hAnsi="Arial" w:cs="Arial"/>
                <w:sz w:val="24"/>
                <w:szCs w:val="24"/>
              </w:rPr>
              <w:t>[7]</w:t>
            </w:r>
            <w:r w:rsidRPr="00307DB3">
              <w:rPr>
                <w:rFonts w:ascii="Arial" w:hAnsi="Arial" w:cs="Arial"/>
                <w:sz w:val="24"/>
                <w:szCs w:val="24"/>
              </w:rPr>
              <w:tab/>
            </w:r>
            <w:r w:rsidR="00FD1B5F">
              <w:rPr>
                <w:rFonts w:ascii="Arial" w:hAnsi="Arial" w:cs="Arial"/>
                <w:sz w:val="24"/>
                <w:szCs w:val="24"/>
              </w:rPr>
              <w:t xml:space="preserve">I shall call the aforesaid requirements in </w:t>
            </w:r>
            <w:proofErr w:type="spellStart"/>
            <w:r w:rsidR="00FD1B5F" w:rsidRPr="006144A8">
              <w:rPr>
                <w:rFonts w:ascii="Arial" w:hAnsi="Arial" w:cs="Arial"/>
                <w:i/>
                <w:sz w:val="24"/>
                <w:szCs w:val="24"/>
              </w:rPr>
              <w:t>Kisilip</w:t>
            </w:r>
            <w:r w:rsidR="00FD1B5F">
              <w:rPr>
                <w:rFonts w:ascii="Arial" w:hAnsi="Arial" w:cs="Arial"/>
                <w:i/>
                <w:sz w:val="24"/>
                <w:szCs w:val="24"/>
              </w:rPr>
              <w:t>il</w:t>
            </w:r>
            <w:r w:rsidR="00FD1B5F" w:rsidRPr="006144A8">
              <w:rPr>
                <w:rFonts w:ascii="Arial" w:hAnsi="Arial" w:cs="Arial"/>
                <w:i/>
                <w:sz w:val="24"/>
                <w:szCs w:val="24"/>
              </w:rPr>
              <w:t>e</w:t>
            </w:r>
            <w:proofErr w:type="spellEnd"/>
            <w:r w:rsidR="00FD1B5F" w:rsidRPr="00AE2293">
              <w:rPr>
                <w:rFonts w:ascii="Arial" w:hAnsi="Arial" w:cs="Arial"/>
                <w:i/>
                <w:sz w:val="24"/>
                <w:szCs w:val="24"/>
              </w:rPr>
              <w:t xml:space="preserve"> Niklaas and Lydia </w:t>
            </w:r>
            <w:proofErr w:type="spellStart"/>
            <w:r w:rsidR="00FD1B5F" w:rsidRPr="00AE2293">
              <w:rPr>
                <w:rFonts w:ascii="Arial" w:hAnsi="Arial" w:cs="Arial"/>
                <w:i/>
                <w:sz w:val="24"/>
                <w:szCs w:val="24"/>
              </w:rPr>
              <w:t>Vaanda</w:t>
            </w:r>
            <w:proofErr w:type="spellEnd"/>
            <w:r w:rsidR="00FD1B5F" w:rsidRPr="00AE2293">
              <w:rPr>
                <w:rFonts w:ascii="Arial" w:hAnsi="Arial" w:cs="Arial"/>
                <w:i/>
                <w:sz w:val="24"/>
                <w:szCs w:val="24"/>
              </w:rPr>
              <w:t xml:space="preserve"> </w:t>
            </w:r>
            <w:proofErr w:type="spellStart"/>
            <w:r w:rsidR="00FD1B5F" w:rsidRPr="00AE2293">
              <w:rPr>
                <w:rFonts w:ascii="Arial" w:hAnsi="Arial" w:cs="Arial"/>
                <w:i/>
                <w:sz w:val="24"/>
                <w:szCs w:val="24"/>
              </w:rPr>
              <w:t>Katjiuongua</w:t>
            </w:r>
            <w:proofErr w:type="spellEnd"/>
            <w:r w:rsidR="00FD1B5F">
              <w:rPr>
                <w:rFonts w:ascii="Arial" w:hAnsi="Arial" w:cs="Arial"/>
                <w:sz w:val="24"/>
                <w:szCs w:val="24"/>
              </w:rPr>
              <w:t xml:space="preserve"> the </w:t>
            </w:r>
            <w:proofErr w:type="spellStart"/>
            <w:r w:rsidR="00FD1B5F" w:rsidRPr="006144A8">
              <w:rPr>
                <w:rFonts w:ascii="Arial" w:hAnsi="Arial" w:cs="Arial"/>
                <w:i/>
                <w:sz w:val="24"/>
                <w:szCs w:val="24"/>
              </w:rPr>
              <w:t>Kisilip</w:t>
            </w:r>
            <w:r w:rsidR="00FD1B5F">
              <w:rPr>
                <w:rFonts w:ascii="Arial" w:hAnsi="Arial" w:cs="Arial"/>
                <w:i/>
                <w:sz w:val="24"/>
                <w:szCs w:val="24"/>
              </w:rPr>
              <w:t>il</w:t>
            </w:r>
            <w:r w:rsidR="00FD1B5F" w:rsidRPr="006144A8">
              <w:rPr>
                <w:rFonts w:ascii="Arial" w:hAnsi="Arial" w:cs="Arial"/>
                <w:i/>
                <w:sz w:val="24"/>
                <w:szCs w:val="24"/>
              </w:rPr>
              <w:t>e</w:t>
            </w:r>
            <w:proofErr w:type="spellEnd"/>
            <w:r w:rsidR="00FD1B5F">
              <w:rPr>
                <w:rFonts w:ascii="Arial" w:hAnsi="Arial" w:cs="Arial"/>
                <w:sz w:val="24"/>
                <w:szCs w:val="24"/>
              </w:rPr>
              <w:t xml:space="preserve"> requirements</w:t>
            </w:r>
            <w:r w:rsidR="00307DB3" w:rsidRPr="00307DB3">
              <w:rPr>
                <w:rFonts w:ascii="Arial" w:hAnsi="Arial"/>
                <w:sz w:val="24"/>
                <w:szCs w:val="24"/>
              </w:rPr>
              <w:t>.</w:t>
            </w:r>
          </w:p>
          <w:p w14:paraId="71EEB23C" w14:textId="77777777" w:rsidR="00B05A08" w:rsidRPr="00307DB3" w:rsidRDefault="00B05A08" w:rsidP="009F773F">
            <w:pPr>
              <w:spacing w:line="360" w:lineRule="auto"/>
              <w:ind w:left="23" w:hanging="23"/>
              <w:jc w:val="both"/>
              <w:rPr>
                <w:rFonts w:ascii="Arial" w:hAnsi="Arial" w:cs="Arial"/>
                <w:sz w:val="24"/>
                <w:szCs w:val="24"/>
                <w:lang w:val="en-US"/>
              </w:rPr>
            </w:pPr>
          </w:p>
          <w:p w14:paraId="6D388ED2" w14:textId="64380D5B" w:rsidR="00B16A04" w:rsidRPr="00307DB3" w:rsidRDefault="00B16A04" w:rsidP="009F773F">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t>[8]</w:t>
            </w:r>
            <w:r w:rsidRPr="00307DB3">
              <w:rPr>
                <w:rFonts w:ascii="Arial" w:hAnsi="Arial" w:cs="Arial"/>
                <w:sz w:val="24"/>
                <w:szCs w:val="24"/>
              </w:rPr>
              <w:tab/>
            </w:r>
            <w:r w:rsidR="00FD1B5F">
              <w:rPr>
                <w:rFonts w:ascii="Arial" w:hAnsi="Arial" w:cs="Arial"/>
                <w:sz w:val="24"/>
                <w:szCs w:val="24"/>
              </w:rPr>
              <w:t xml:space="preserve">The centrepiece of the </w:t>
            </w:r>
            <w:proofErr w:type="spellStart"/>
            <w:r w:rsidR="00FD1B5F" w:rsidRPr="006144A8">
              <w:rPr>
                <w:rFonts w:ascii="Arial" w:hAnsi="Arial" w:cs="Arial"/>
                <w:i/>
                <w:sz w:val="24"/>
                <w:szCs w:val="24"/>
              </w:rPr>
              <w:t>Kisilip</w:t>
            </w:r>
            <w:r w:rsidR="00FD1B5F">
              <w:rPr>
                <w:rFonts w:ascii="Arial" w:hAnsi="Arial" w:cs="Arial"/>
                <w:i/>
                <w:sz w:val="24"/>
                <w:szCs w:val="24"/>
              </w:rPr>
              <w:t>il</w:t>
            </w:r>
            <w:r w:rsidR="00FD1B5F" w:rsidRPr="006144A8">
              <w:rPr>
                <w:rFonts w:ascii="Arial" w:hAnsi="Arial" w:cs="Arial"/>
                <w:i/>
                <w:sz w:val="24"/>
                <w:szCs w:val="24"/>
              </w:rPr>
              <w:t>e</w:t>
            </w:r>
            <w:proofErr w:type="spellEnd"/>
            <w:r w:rsidR="00FD1B5F">
              <w:rPr>
                <w:rFonts w:ascii="Arial" w:hAnsi="Arial" w:cs="Arial"/>
                <w:sz w:val="24"/>
                <w:szCs w:val="24"/>
              </w:rPr>
              <w:t xml:space="preserve"> requirements is that judicial oversight under rule 108 of the rules of court exists to ensure that debtors are not made homeless unnecessarily and that the sale in execution of a primary home should be the last resort. It follows that the court, in considering an application to declare a property </w:t>
            </w:r>
            <w:proofErr w:type="gramStart"/>
            <w:r w:rsidR="00FD1B5F">
              <w:rPr>
                <w:rFonts w:ascii="Arial" w:hAnsi="Arial" w:cs="Arial"/>
                <w:sz w:val="24"/>
                <w:szCs w:val="24"/>
              </w:rPr>
              <w:t>specially</w:t>
            </w:r>
            <w:proofErr w:type="gramEnd"/>
            <w:r w:rsidR="00FD1B5F">
              <w:rPr>
                <w:rFonts w:ascii="Arial" w:hAnsi="Arial" w:cs="Arial"/>
                <w:sz w:val="24"/>
                <w:szCs w:val="24"/>
              </w:rPr>
              <w:t xml:space="preserve"> executable, ought to </w:t>
            </w:r>
            <w:r w:rsidR="00163B46">
              <w:rPr>
                <w:rFonts w:ascii="Arial" w:hAnsi="Arial" w:cs="Arial"/>
                <w:sz w:val="24"/>
                <w:szCs w:val="24"/>
              </w:rPr>
              <w:t>consider</w:t>
            </w:r>
            <w:r w:rsidR="00FD1B5F">
              <w:rPr>
                <w:rFonts w:ascii="Arial" w:hAnsi="Arial" w:cs="Arial"/>
                <w:sz w:val="24"/>
                <w:szCs w:val="24"/>
              </w:rPr>
              <w:t xml:space="preserve"> whether, for instance, there exists good prospects of a debtor </w:t>
            </w:r>
            <w:r w:rsidR="00CD3454">
              <w:rPr>
                <w:rFonts w:ascii="Arial" w:hAnsi="Arial" w:cs="Arial"/>
                <w:sz w:val="24"/>
                <w:szCs w:val="24"/>
              </w:rPr>
              <w:t>planning</w:t>
            </w:r>
            <w:r w:rsidR="00FD1B5F">
              <w:rPr>
                <w:rFonts w:ascii="Arial" w:hAnsi="Arial" w:cs="Arial"/>
                <w:sz w:val="24"/>
                <w:szCs w:val="24"/>
              </w:rPr>
              <w:t xml:space="preserve"> to dispose of another asset within a reasonable time to liquidate the outstanding balance. Thus, the court should be seen to have enquired into whether there existed ‘available, viable and less drastic alternatives to declaring the property </w:t>
            </w:r>
            <w:proofErr w:type="gramStart"/>
            <w:r w:rsidR="00FD1B5F">
              <w:rPr>
                <w:rFonts w:ascii="Arial" w:hAnsi="Arial" w:cs="Arial"/>
                <w:sz w:val="24"/>
                <w:szCs w:val="24"/>
              </w:rPr>
              <w:t>specially</w:t>
            </w:r>
            <w:proofErr w:type="gramEnd"/>
            <w:r w:rsidR="00FD1B5F">
              <w:rPr>
                <w:rFonts w:ascii="Arial" w:hAnsi="Arial" w:cs="Arial"/>
                <w:sz w:val="24"/>
                <w:szCs w:val="24"/>
              </w:rPr>
              <w:t xml:space="preserve"> executable’.</w:t>
            </w:r>
            <w:r w:rsidR="00FD1B5F">
              <w:rPr>
                <w:rStyle w:val="FootnoteReference"/>
                <w:rFonts w:ascii="Arial" w:hAnsi="Arial" w:cs="Arial"/>
                <w:sz w:val="24"/>
                <w:szCs w:val="24"/>
              </w:rPr>
              <w:footnoteReference w:id="3"/>
            </w:r>
          </w:p>
          <w:p w14:paraId="2DCC0534" w14:textId="77777777" w:rsidR="00307DB3" w:rsidRPr="00307DB3" w:rsidRDefault="00307DB3" w:rsidP="009F773F">
            <w:pPr>
              <w:spacing w:line="360" w:lineRule="auto"/>
              <w:ind w:left="23" w:hanging="23"/>
              <w:jc w:val="both"/>
              <w:rPr>
                <w:rFonts w:ascii="Arial" w:hAnsi="Arial" w:cs="Arial"/>
                <w:sz w:val="24"/>
                <w:szCs w:val="24"/>
                <w:lang w:val="en-US"/>
              </w:rPr>
            </w:pPr>
          </w:p>
          <w:p w14:paraId="06F0598F" w14:textId="1F4A93BE" w:rsidR="00024F0E" w:rsidRPr="00307DB3" w:rsidRDefault="007A69B7" w:rsidP="009F773F">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lastRenderedPageBreak/>
              <w:t>[</w:t>
            </w:r>
            <w:r w:rsidR="00B16A04" w:rsidRPr="00307DB3">
              <w:rPr>
                <w:rFonts w:ascii="Arial" w:hAnsi="Arial" w:cs="Arial"/>
                <w:sz w:val="24"/>
                <w:szCs w:val="24"/>
                <w:lang w:val="en-US"/>
              </w:rPr>
              <w:t>9</w:t>
            </w:r>
            <w:r w:rsidR="00812772" w:rsidRPr="00307DB3">
              <w:rPr>
                <w:rFonts w:ascii="Arial" w:hAnsi="Arial" w:cs="Arial"/>
                <w:sz w:val="24"/>
                <w:szCs w:val="24"/>
                <w:lang w:val="en-US"/>
              </w:rPr>
              <w:t>]</w:t>
            </w:r>
            <w:r w:rsidR="002B5BB9" w:rsidRPr="00307DB3">
              <w:rPr>
                <w:rFonts w:ascii="Arial" w:hAnsi="Arial" w:cs="Arial"/>
                <w:sz w:val="24"/>
                <w:szCs w:val="24"/>
              </w:rPr>
              <w:tab/>
            </w:r>
            <w:r w:rsidR="00FD1B5F">
              <w:rPr>
                <w:rFonts w:ascii="Arial" w:hAnsi="Arial" w:cs="Arial"/>
                <w:sz w:val="24"/>
                <w:szCs w:val="24"/>
              </w:rPr>
              <w:t xml:space="preserve">The following superlatively crucial point is stated in </w:t>
            </w:r>
            <w:proofErr w:type="spellStart"/>
            <w:r w:rsidR="00FD1B5F">
              <w:rPr>
                <w:rFonts w:ascii="Arial" w:hAnsi="Arial" w:cs="Arial"/>
                <w:sz w:val="24"/>
                <w:szCs w:val="24"/>
              </w:rPr>
              <w:t>capitalities</w:t>
            </w:r>
            <w:proofErr w:type="spellEnd"/>
            <w:r w:rsidR="00FD1B5F">
              <w:rPr>
                <w:rFonts w:ascii="Arial" w:hAnsi="Arial" w:cs="Arial"/>
                <w:sz w:val="24"/>
                <w:szCs w:val="24"/>
              </w:rPr>
              <w:t xml:space="preserve">: The </w:t>
            </w:r>
            <w:proofErr w:type="spellStart"/>
            <w:r w:rsidR="009C516F" w:rsidRPr="006144A8">
              <w:rPr>
                <w:rFonts w:ascii="Arial" w:hAnsi="Arial" w:cs="Arial"/>
                <w:i/>
                <w:sz w:val="24"/>
                <w:szCs w:val="24"/>
              </w:rPr>
              <w:t>Kisilip</w:t>
            </w:r>
            <w:r w:rsidR="009C516F">
              <w:rPr>
                <w:rFonts w:ascii="Arial" w:hAnsi="Arial" w:cs="Arial"/>
                <w:i/>
                <w:sz w:val="24"/>
                <w:szCs w:val="24"/>
              </w:rPr>
              <w:t>il</w:t>
            </w:r>
            <w:r w:rsidR="009C516F" w:rsidRPr="006144A8">
              <w:rPr>
                <w:rFonts w:ascii="Arial" w:hAnsi="Arial" w:cs="Arial"/>
                <w:i/>
                <w:sz w:val="24"/>
                <w:szCs w:val="24"/>
              </w:rPr>
              <w:t>e</w:t>
            </w:r>
            <w:proofErr w:type="spellEnd"/>
            <w:r w:rsidR="009C516F">
              <w:rPr>
                <w:rFonts w:ascii="Arial" w:hAnsi="Arial" w:cs="Arial"/>
                <w:sz w:val="24"/>
                <w:szCs w:val="24"/>
              </w:rPr>
              <w:t xml:space="preserve"> </w:t>
            </w:r>
            <w:r w:rsidR="00FD1B5F">
              <w:rPr>
                <w:rFonts w:ascii="Arial" w:hAnsi="Arial" w:cs="Arial"/>
                <w:sz w:val="24"/>
                <w:szCs w:val="24"/>
              </w:rPr>
              <w:t>requirements apply only where the immovable property sought to be attached is the primary home of the execution debtor or is leased to a third party a</w:t>
            </w:r>
            <w:r w:rsidR="00472B5D">
              <w:rPr>
                <w:rFonts w:ascii="Arial" w:hAnsi="Arial" w:cs="Arial"/>
                <w:sz w:val="24"/>
                <w:szCs w:val="24"/>
              </w:rPr>
              <w:t>nd the leased property is that third party’</w:t>
            </w:r>
            <w:r w:rsidR="00FD1B5F">
              <w:rPr>
                <w:rFonts w:ascii="Arial" w:hAnsi="Arial" w:cs="Arial"/>
                <w:sz w:val="24"/>
                <w:szCs w:val="24"/>
              </w:rPr>
              <w:t>s</w:t>
            </w:r>
            <w:r w:rsidR="004A1FCF">
              <w:rPr>
                <w:rFonts w:ascii="Arial" w:hAnsi="Arial" w:cs="Arial"/>
                <w:sz w:val="24"/>
                <w:szCs w:val="24"/>
              </w:rPr>
              <w:t xml:space="preserve"> primary home</w:t>
            </w:r>
            <w:r w:rsidR="00FD1B5F">
              <w:rPr>
                <w:rFonts w:ascii="Arial" w:hAnsi="Arial" w:cs="Arial"/>
                <w:sz w:val="24"/>
                <w:szCs w:val="24"/>
              </w:rPr>
              <w:t>, within the meaning of rule 108(2).</w:t>
            </w:r>
          </w:p>
          <w:p w14:paraId="4DA8893B" w14:textId="77777777" w:rsidR="00307DB3" w:rsidRPr="006A398D" w:rsidRDefault="00307DB3" w:rsidP="00346B7A">
            <w:pPr>
              <w:spacing w:line="360" w:lineRule="auto"/>
              <w:ind w:left="23" w:hanging="23"/>
              <w:jc w:val="both"/>
              <w:rPr>
                <w:rFonts w:ascii="Arial" w:hAnsi="Arial" w:cs="Arial"/>
                <w:sz w:val="24"/>
                <w:szCs w:val="24"/>
                <w:lang w:val="en-US"/>
              </w:rPr>
            </w:pPr>
          </w:p>
          <w:p w14:paraId="55A584CF" w14:textId="7FD54341" w:rsidR="008D4A1F" w:rsidRPr="009C516F" w:rsidRDefault="00812772" w:rsidP="008D4A1F">
            <w:pPr>
              <w:spacing w:line="360" w:lineRule="auto"/>
              <w:ind w:left="23" w:hanging="23"/>
              <w:jc w:val="both"/>
              <w:rPr>
                <w:rFonts w:ascii="Arial" w:hAnsi="Arial"/>
                <w:sz w:val="24"/>
                <w:szCs w:val="24"/>
              </w:rPr>
            </w:pPr>
            <w:r w:rsidRPr="006A398D">
              <w:rPr>
                <w:rFonts w:ascii="Arial" w:hAnsi="Arial" w:cs="Arial"/>
                <w:sz w:val="24"/>
                <w:szCs w:val="24"/>
                <w:lang w:val="en-US"/>
              </w:rPr>
              <w:t>[</w:t>
            </w:r>
            <w:r w:rsidR="009719BD" w:rsidRPr="006A398D">
              <w:rPr>
                <w:rFonts w:ascii="Arial" w:hAnsi="Arial" w:cs="Arial"/>
                <w:sz w:val="24"/>
                <w:szCs w:val="24"/>
                <w:lang w:val="en-US"/>
              </w:rPr>
              <w:t>10</w:t>
            </w:r>
            <w:r w:rsidRPr="006A398D">
              <w:rPr>
                <w:rFonts w:ascii="Arial" w:hAnsi="Arial" w:cs="Arial"/>
                <w:sz w:val="24"/>
                <w:szCs w:val="24"/>
                <w:lang w:val="en-US"/>
              </w:rPr>
              <w:t>]</w:t>
            </w:r>
            <w:r w:rsidRPr="006A398D">
              <w:rPr>
                <w:rFonts w:ascii="Arial" w:hAnsi="Arial" w:cs="Arial"/>
                <w:sz w:val="24"/>
                <w:szCs w:val="24"/>
              </w:rPr>
              <w:tab/>
            </w:r>
            <w:r w:rsidR="009C516F">
              <w:rPr>
                <w:rFonts w:ascii="Arial" w:hAnsi="Arial" w:cs="Arial"/>
                <w:sz w:val="24"/>
                <w:szCs w:val="24"/>
              </w:rPr>
              <w:t xml:space="preserve">I note – and both counsel seem to agree, though not in so many words – that, although the </w:t>
            </w:r>
            <w:proofErr w:type="spellStart"/>
            <w:r w:rsidR="009C516F" w:rsidRPr="006144A8">
              <w:rPr>
                <w:rFonts w:ascii="Arial" w:hAnsi="Arial" w:cs="Arial"/>
                <w:i/>
                <w:sz w:val="24"/>
                <w:szCs w:val="24"/>
              </w:rPr>
              <w:t>Kisilip</w:t>
            </w:r>
            <w:r w:rsidR="009C516F">
              <w:rPr>
                <w:rFonts w:ascii="Arial" w:hAnsi="Arial" w:cs="Arial"/>
                <w:i/>
                <w:sz w:val="24"/>
                <w:szCs w:val="24"/>
              </w:rPr>
              <w:t>il</w:t>
            </w:r>
            <w:r w:rsidR="009C516F" w:rsidRPr="006144A8">
              <w:rPr>
                <w:rFonts w:ascii="Arial" w:hAnsi="Arial" w:cs="Arial"/>
                <w:i/>
                <w:sz w:val="24"/>
                <w:szCs w:val="24"/>
              </w:rPr>
              <w:t>e</w:t>
            </w:r>
            <w:proofErr w:type="spellEnd"/>
            <w:r w:rsidR="009C516F">
              <w:rPr>
                <w:rFonts w:ascii="Arial" w:hAnsi="Arial" w:cs="Arial"/>
                <w:sz w:val="24"/>
                <w:szCs w:val="24"/>
              </w:rPr>
              <w:t xml:space="preserve"> requirements </w:t>
            </w:r>
            <w:r w:rsidR="00CD54C6">
              <w:rPr>
                <w:rFonts w:ascii="Arial" w:hAnsi="Arial" w:cs="Arial"/>
                <w:sz w:val="24"/>
                <w:szCs w:val="24"/>
              </w:rPr>
              <w:t xml:space="preserve">were propounded in a matter that </w:t>
            </w:r>
            <w:r w:rsidR="009C516F">
              <w:rPr>
                <w:rFonts w:ascii="Arial" w:hAnsi="Arial" w:cs="Arial"/>
                <w:sz w:val="24"/>
                <w:szCs w:val="24"/>
              </w:rPr>
              <w:t>concern</w:t>
            </w:r>
            <w:r w:rsidR="00CD54C6">
              <w:rPr>
                <w:rFonts w:ascii="Arial" w:hAnsi="Arial" w:cs="Arial"/>
                <w:sz w:val="24"/>
                <w:szCs w:val="24"/>
              </w:rPr>
              <w:t>ed</w:t>
            </w:r>
            <w:r w:rsidR="009C516F">
              <w:rPr>
                <w:rFonts w:ascii="Arial" w:hAnsi="Arial" w:cs="Arial"/>
                <w:sz w:val="24"/>
                <w:szCs w:val="24"/>
              </w:rPr>
              <w:t xml:space="preserve"> </w:t>
            </w:r>
            <w:r w:rsidR="00CD54C6">
              <w:rPr>
                <w:rFonts w:ascii="Arial" w:hAnsi="Arial" w:cs="Arial"/>
                <w:sz w:val="24"/>
                <w:szCs w:val="24"/>
              </w:rPr>
              <w:t>a claim</w:t>
            </w:r>
            <w:r w:rsidR="009C516F">
              <w:rPr>
                <w:rFonts w:ascii="Arial" w:hAnsi="Arial" w:cs="Arial"/>
                <w:sz w:val="24"/>
                <w:szCs w:val="24"/>
              </w:rPr>
              <w:t xml:space="preserve"> against hypothecated immovable property, I see no good reason why they should not apply with equal force to claims not arising from mortgage</w:t>
            </w:r>
            <w:r w:rsidR="00CD54C6">
              <w:rPr>
                <w:rFonts w:ascii="Arial" w:hAnsi="Arial" w:cs="Arial"/>
                <w:sz w:val="24"/>
                <w:szCs w:val="24"/>
              </w:rPr>
              <w:t xml:space="preserve"> bonds</w:t>
            </w:r>
            <w:r w:rsidR="009C516F">
              <w:rPr>
                <w:rFonts w:ascii="Arial" w:hAnsi="Arial" w:cs="Arial"/>
                <w:sz w:val="24"/>
                <w:szCs w:val="24"/>
              </w:rPr>
              <w:t>.</w:t>
            </w:r>
          </w:p>
          <w:p w14:paraId="49E4D403" w14:textId="77777777" w:rsidR="003F3D99" w:rsidRPr="003F3D99" w:rsidRDefault="003F3D99" w:rsidP="00F639A4">
            <w:pPr>
              <w:spacing w:line="360" w:lineRule="auto"/>
              <w:jc w:val="both"/>
              <w:rPr>
                <w:rFonts w:ascii="Arial" w:hAnsi="Arial" w:cs="Arial"/>
                <w:sz w:val="24"/>
                <w:szCs w:val="24"/>
              </w:rPr>
            </w:pPr>
          </w:p>
          <w:p w14:paraId="6AA6569F" w14:textId="4A341CD1" w:rsidR="00175DB1" w:rsidRPr="00A34ECF" w:rsidRDefault="00C06EB4" w:rsidP="00F639A4">
            <w:pPr>
              <w:tabs>
                <w:tab w:val="left" w:pos="729"/>
              </w:tabs>
              <w:spacing w:line="360" w:lineRule="auto"/>
              <w:jc w:val="both"/>
              <w:rPr>
                <w:rFonts w:ascii="Arial" w:hAnsi="Arial" w:cs="Arial"/>
                <w:sz w:val="24"/>
                <w:szCs w:val="24"/>
              </w:rPr>
            </w:pPr>
            <w:r w:rsidRPr="006A398D">
              <w:rPr>
                <w:rFonts w:ascii="Arial" w:hAnsi="Arial" w:cs="Arial"/>
                <w:sz w:val="24"/>
                <w:szCs w:val="24"/>
              </w:rPr>
              <w:t>[</w:t>
            </w:r>
            <w:r w:rsidR="000E5171" w:rsidRPr="006A398D">
              <w:rPr>
                <w:rFonts w:ascii="Arial" w:hAnsi="Arial" w:cs="Arial"/>
                <w:sz w:val="24"/>
                <w:szCs w:val="24"/>
              </w:rPr>
              <w:t>11</w:t>
            </w:r>
            <w:r w:rsidR="00B40844" w:rsidRPr="006A398D">
              <w:rPr>
                <w:rFonts w:ascii="Arial" w:hAnsi="Arial" w:cs="Arial"/>
                <w:sz w:val="24"/>
                <w:szCs w:val="24"/>
              </w:rPr>
              <w:t>]</w:t>
            </w:r>
            <w:r w:rsidR="00B40844" w:rsidRPr="006A398D">
              <w:rPr>
                <w:rFonts w:ascii="Arial" w:hAnsi="Arial" w:cs="Arial"/>
                <w:sz w:val="24"/>
                <w:szCs w:val="24"/>
              </w:rPr>
              <w:tab/>
            </w:r>
            <w:r w:rsidR="00472B5D">
              <w:rPr>
                <w:rFonts w:ascii="Arial" w:hAnsi="Arial" w:cs="Arial"/>
                <w:sz w:val="24"/>
                <w:szCs w:val="24"/>
              </w:rPr>
              <w:t xml:space="preserve">Mr </w:t>
            </w:r>
            <w:proofErr w:type="spellStart"/>
            <w:r w:rsidR="00472B5D">
              <w:rPr>
                <w:rFonts w:ascii="Arial" w:hAnsi="Arial" w:cs="Arial"/>
                <w:sz w:val="24"/>
                <w:szCs w:val="24"/>
              </w:rPr>
              <w:t>Boltman</w:t>
            </w:r>
            <w:proofErr w:type="spellEnd"/>
            <w:r w:rsidR="00A34ECF">
              <w:rPr>
                <w:rFonts w:ascii="Arial" w:hAnsi="Arial" w:cs="Arial"/>
                <w:sz w:val="24"/>
                <w:szCs w:val="24"/>
              </w:rPr>
              <w:t xml:space="preserve"> submitted that all the procedural steps prescribed by rule 108 ha</w:t>
            </w:r>
            <w:r w:rsidR="00CD54C6">
              <w:rPr>
                <w:rFonts w:ascii="Arial" w:hAnsi="Arial" w:cs="Arial"/>
                <w:sz w:val="24"/>
                <w:szCs w:val="24"/>
              </w:rPr>
              <w:t>d</w:t>
            </w:r>
            <w:r w:rsidR="00A34ECF">
              <w:rPr>
                <w:rFonts w:ascii="Arial" w:hAnsi="Arial" w:cs="Arial"/>
                <w:sz w:val="24"/>
                <w:szCs w:val="24"/>
              </w:rPr>
              <w:t xml:space="preserve"> been followed. I did not hear Mr Lombard to contradict </w:t>
            </w:r>
            <w:r w:rsidR="00472B5D">
              <w:rPr>
                <w:rFonts w:ascii="Arial" w:hAnsi="Arial" w:cs="Arial"/>
                <w:sz w:val="24"/>
                <w:szCs w:val="24"/>
              </w:rPr>
              <w:t xml:space="preserve">Mr </w:t>
            </w:r>
            <w:proofErr w:type="spellStart"/>
            <w:r w:rsidR="00472B5D">
              <w:rPr>
                <w:rFonts w:ascii="Arial" w:hAnsi="Arial" w:cs="Arial"/>
                <w:sz w:val="24"/>
                <w:szCs w:val="24"/>
              </w:rPr>
              <w:t>Boltman</w:t>
            </w:r>
            <w:proofErr w:type="spellEnd"/>
            <w:r w:rsidR="00A34ECF">
              <w:rPr>
                <w:rFonts w:ascii="Arial" w:hAnsi="Arial" w:cs="Arial"/>
                <w:sz w:val="24"/>
                <w:szCs w:val="24"/>
              </w:rPr>
              <w:t xml:space="preserve">. Accordingly, the next level of the enquiry is to consider the </w:t>
            </w:r>
            <w:proofErr w:type="spellStart"/>
            <w:r w:rsidR="00A34ECF" w:rsidRPr="006144A8">
              <w:rPr>
                <w:rFonts w:ascii="Arial" w:hAnsi="Arial" w:cs="Arial"/>
                <w:i/>
                <w:sz w:val="24"/>
                <w:szCs w:val="24"/>
              </w:rPr>
              <w:t>Kisilip</w:t>
            </w:r>
            <w:r w:rsidR="00A34ECF">
              <w:rPr>
                <w:rFonts w:ascii="Arial" w:hAnsi="Arial" w:cs="Arial"/>
                <w:i/>
                <w:sz w:val="24"/>
                <w:szCs w:val="24"/>
              </w:rPr>
              <w:t>il</w:t>
            </w:r>
            <w:r w:rsidR="00A34ECF" w:rsidRPr="006144A8">
              <w:rPr>
                <w:rFonts w:ascii="Arial" w:hAnsi="Arial" w:cs="Arial"/>
                <w:i/>
                <w:sz w:val="24"/>
                <w:szCs w:val="24"/>
              </w:rPr>
              <w:t>e</w:t>
            </w:r>
            <w:proofErr w:type="spellEnd"/>
            <w:r w:rsidR="00A34ECF">
              <w:rPr>
                <w:rFonts w:ascii="Arial" w:hAnsi="Arial" w:cs="Arial"/>
                <w:sz w:val="24"/>
                <w:szCs w:val="24"/>
              </w:rPr>
              <w:t xml:space="preserve"> requirements.</w:t>
            </w:r>
          </w:p>
          <w:p w14:paraId="0A56024F" w14:textId="77777777" w:rsidR="003F3D99" w:rsidRDefault="003F3D99" w:rsidP="00F639A4">
            <w:pPr>
              <w:tabs>
                <w:tab w:val="left" w:pos="729"/>
              </w:tabs>
              <w:spacing w:line="360" w:lineRule="auto"/>
              <w:jc w:val="both"/>
              <w:rPr>
                <w:rFonts w:ascii="Arial" w:hAnsi="Arial" w:cs="Arial"/>
                <w:sz w:val="24"/>
                <w:szCs w:val="24"/>
              </w:rPr>
            </w:pPr>
          </w:p>
          <w:p w14:paraId="20A33D6F" w14:textId="35FC0C31" w:rsidR="00CC5308" w:rsidRPr="007F1CA7" w:rsidRDefault="00CC5308" w:rsidP="00CC5308">
            <w:pPr>
              <w:tabs>
                <w:tab w:val="left" w:pos="729"/>
              </w:tabs>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34ECF">
              <w:rPr>
                <w:rFonts w:ascii="Arial" w:hAnsi="Arial" w:cs="Arial"/>
                <w:sz w:val="24"/>
                <w:szCs w:val="24"/>
              </w:rPr>
              <w:t xml:space="preserve">Upon the </w:t>
            </w:r>
            <w:proofErr w:type="spellStart"/>
            <w:r w:rsidR="00A34ECF" w:rsidRPr="006144A8">
              <w:rPr>
                <w:rFonts w:ascii="Arial" w:hAnsi="Arial" w:cs="Arial"/>
                <w:i/>
                <w:sz w:val="24"/>
                <w:szCs w:val="24"/>
              </w:rPr>
              <w:t>Kisilip</w:t>
            </w:r>
            <w:r w:rsidR="00A34ECF">
              <w:rPr>
                <w:rFonts w:ascii="Arial" w:hAnsi="Arial" w:cs="Arial"/>
                <w:i/>
                <w:sz w:val="24"/>
                <w:szCs w:val="24"/>
              </w:rPr>
              <w:t>il</w:t>
            </w:r>
            <w:r w:rsidR="00A34ECF" w:rsidRPr="006144A8">
              <w:rPr>
                <w:rFonts w:ascii="Arial" w:hAnsi="Arial" w:cs="Arial"/>
                <w:i/>
                <w:sz w:val="24"/>
                <w:szCs w:val="24"/>
              </w:rPr>
              <w:t>e</w:t>
            </w:r>
            <w:proofErr w:type="spellEnd"/>
            <w:r w:rsidR="00A34ECF">
              <w:rPr>
                <w:rFonts w:ascii="Arial" w:hAnsi="Arial" w:cs="Arial"/>
                <w:sz w:val="24"/>
                <w:szCs w:val="24"/>
              </w:rPr>
              <w:t xml:space="preserve"> requirements, I state the following crucial element</w:t>
            </w:r>
            <w:r w:rsidR="00985C8E">
              <w:rPr>
                <w:rFonts w:ascii="Arial" w:hAnsi="Arial" w:cs="Arial"/>
                <w:sz w:val="24"/>
                <w:szCs w:val="24"/>
              </w:rPr>
              <w:t>:</w:t>
            </w:r>
            <w:r w:rsidR="00A34ECF">
              <w:rPr>
                <w:rFonts w:ascii="Arial" w:hAnsi="Arial" w:cs="Arial"/>
                <w:sz w:val="24"/>
                <w:szCs w:val="24"/>
              </w:rPr>
              <w:t xml:space="preserve"> The respondent (</w:t>
            </w:r>
            <w:proofErr w:type="spellStart"/>
            <w:r w:rsidR="00A34ECF">
              <w:rPr>
                <w:rFonts w:ascii="Arial" w:hAnsi="Arial" w:cs="Arial"/>
                <w:sz w:val="24"/>
                <w:szCs w:val="24"/>
              </w:rPr>
              <w:t>ie</w:t>
            </w:r>
            <w:proofErr w:type="spellEnd"/>
            <w:r w:rsidR="00A34ECF">
              <w:rPr>
                <w:rFonts w:ascii="Arial" w:hAnsi="Arial" w:cs="Arial"/>
                <w:sz w:val="24"/>
                <w:szCs w:val="24"/>
              </w:rPr>
              <w:t xml:space="preserve"> the execution debtor) alone bears the onus of satisfying the court all at once that </w:t>
            </w:r>
            <w:r w:rsidR="00493F46">
              <w:rPr>
                <w:rFonts w:ascii="Arial" w:hAnsi="Arial" w:cs="Arial"/>
                <w:sz w:val="24"/>
                <w:szCs w:val="24"/>
              </w:rPr>
              <w:t xml:space="preserve">(a) the immoveable property sought to be attached is his or </w:t>
            </w:r>
            <w:r w:rsidR="000350D7">
              <w:rPr>
                <w:rFonts w:ascii="Arial" w:hAnsi="Arial" w:cs="Arial"/>
                <w:sz w:val="24"/>
                <w:szCs w:val="24"/>
              </w:rPr>
              <w:t xml:space="preserve">her </w:t>
            </w:r>
            <w:r w:rsidR="00493F46">
              <w:rPr>
                <w:rFonts w:ascii="Arial" w:hAnsi="Arial" w:cs="Arial"/>
                <w:sz w:val="24"/>
                <w:szCs w:val="24"/>
              </w:rPr>
              <w:t>primary home or is leased to a third party a</w:t>
            </w:r>
            <w:r w:rsidR="000350D7">
              <w:rPr>
                <w:rFonts w:ascii="Arial" w:hAnsi="Arial" w:cs="Arial"/>
                <w:sz w:val="24"/>
                <w:szCs w:val="24"/>
              </w:rPr>
              <w:t>nd it i</w:t>
            </w:r>
            <w:r w:rsidR="00493F46">
              <w:rPr>
                <w:rFonts w:ascii="Arial" w:hAnsi="Arial" w:cs="Arial"/>
                <w:sz w:val="24"/>
                <w:szCs w:val="24"/>
              </w:rPr>
              <w:t xml:space="preserve">s that </w:t>
            </w:r>
            <w:r w:rsidR="000350D7">
              <w:rPr>
                <w:rFonts w:ascii="Arial" w:hAnsi="Arial" w:cs="Arial"/>
                <w:sz w:val="24"/>
                <w:szCs w:val="24"/>
              </w:rPr>
              <w:t xml:space="preserve">third </w:t>
            </w:r>
            <w:r w:rsidR="00493F46">
              <w:rPr>
                <w:rFonts w:ascii="Arial" w:hAnsi="Arial" w:cs="Arial"/>
                <w:sz w:val="24"/>
                <w:szCs w:val="24"/>
              </w:rPr>
              <w:t xml:space="preserve">party’s primary home; </w:t>
            </w:r>
            <w:r w:rsidR="000350D7">
              <w:rPr>
                <w:rFonts w:ascii="Arial" w:hAnsi="Arial" w:cs="Arial"/>
                <w:sz w:val="24"/>
                <w:szCs w:val="24"/>
              </w:rPr>
              <w:t xml:space="preserve">and </w:t>
            </w:r>
            <w:r w:rsidR="00493F46">
              <w:rPr>
                <w:rFonts w:ascii="Arial" w:hAnsi="Arial" w:cs="Arial"/>
                <w:sz w:val="24"/>
                <w:szCs w:val="24"/>
              </w:rPr>
              <w:t>(b) there are in existence available, viable and less drastic alternatives to declaring the property specially executable</w:t>
            </w:r>
            <w:r w:rsidR="000350D7">
              <w:rPr>
                <w:rFonts w:ascii="Arial" w:hAnsi="Arial" w:cs="Arial"/>
                <w:sz w:val="24"/>
                <w:szCs w:val="24"/>
              </w:rPr>
              <w:t xml:space="preserve">. </w:t>
            </w:r>
            <w:r w:rsidR="000350D7" w:rsidRPr="000350D7">
              <w:rPr>
                <w:rFonts w:ascii="Arial" w:hAnsi="Arial" w:cs="Arial"/>
                <w:i/>
                <w:sz w:val="24"/>
                <w:szCs w:val="24"/>
              </w:rPr>
              <w:t>A</w:t>
            </w:r>
            <w:r w:rsidR="00493F46" w:rsidRPr="000350D7">
              <w:rPr>
                <w:rFonts w:ascii="Arial" w:hAnsi="Arial" w:cs="Arial"/>
                <w:i/>
                <w:sz w:val="24"/>
                <w:szCs w:val="24"/>
              </w:rPr>
              <w:t xml:space="preserve"> </w:t>
            </w:r>
            <w:r w:rsidR="00493F46" w:rsidRPr="00493F46">
              <w:rPr>
                <w:rFonts w:ascii="Arial" w:hAnsi="Arial" w:cs="Arial"/>
                <w:i/>
                <w:sz w:val="24"/>
                <w:szCs w:val="24"/>
              </w:rPr>
              <w:t>fortiori</w:t>
            </w:r>
            <w:r w:rsidR="00493F46">
              <w:rPr>
                <w:rFonts w:ascii="Arial" w:hAnsi="Arial" w:cs="Arial"/>
                <w:sz w:val="24"/>
                <w:szCs w:val="24"/>
              </w:rPr>
              <w:t xml:space="preserve">, the facts relied on to satisfy the </w:t>
            </w:r>
            <w:r w:rsidR="00493F46" w:rsidRPr="007F1CA7">
              <w:rPr>
                <w:rFonts w:ascii="Arial" w:hAnsi="Arial" w:cs="Arial"/>
                <w:sz w:val="24"/>
                <w:szCs w:val="24"/>
              </w:rPr>
              <w:t>court</w:t>
            </w:r>
            <w:r w:rsidR="00D27B0E">
              <w:rPr>
                <w:rFonts w:ascii="Arial" w:hAnsi="Arial" w:cs="Arial"/>
                <w:sz w:val="24"/>
                <w:szCs w:val="24"/>
              </w:rPr>
              <w:t xml:space="preserve"> with regard to</w:t>
            </w:r>
            <w:r w:rsidR="00493F46" w:rsidRPr="007F1CA7">
              <w:rPr>
                <w:rFonts w:ascii="Arial" w:hAnsi="Arial" w:cs="Arial"/>
                <w:sz w:val="24"/>
                <w:szCs w:val="24"/>
              </w:rPr>
              <w:t xml:space="preserve"> </w:t>
            </w:r>
            <w:r w:rsidR="000350D7">
              <w:rPr>
                <w:rFonts w:ascii="Arial" w:hAnsi="Arial" w:cs="Arial"/>
                <w:sz w:val="24"/>
                <w:szCs w:val="24"/>
              </w:rPr>
              <w:t xml:space="preserve">the </w:t>
            </w:r>
            <w:r w:rsidR="00D27B0E">
              <w:rPr>
                <w:rFonts w:ascii="Arial" w:hAnsi="Arial" w:cs="Arial"/>
                <w:sz w:val="24"/>
                <w:szCs w:val="24"/>
              </w:rPr>
              <w:t>elements</w:t>
            </w:r>
            <w:r w:rsidR="000350D7">
              <w:rPr>
                <w:rFonts w:ascii="Arial" w:hAnsi="Arial" w:cs="Arial"/>
                <w:sz w:val="24"/>
                <w:szCs w:val="24"/>
              </w:rPr>
              <w:t xml:space="preserve"> in</w:t>
            </w:r>
            <w:r w:rsidR="00493F46" w:rsidRPr="007F1CA7">
              <w:rPr>
                <w:rFonts w:ascii="Arial" w:hAnsi="Arial" w:cs="Arial"/>
                <w:sz w:val="24"/>
                <w:szCs w:val="24"/>
              </w:rPr>
              <w:t xml:space="preserve"> (a) and (b) should be set out in the execution debtor’s answering affidavit. A sanitized version thereanent in his or her counsel’s written or oral submission does not count.</w:t>
            </w:r>
          </w:p>
          <w:p w14:paraId="31788FA9" w14:textId="77777777" w:rsidR="00DC6D53" w:rsidRPr="007F1CA7" w:rsidRDefault="00DC6D53" w:rsidP="00F639A4">
            <w:pPr>
              <w:tabs>
                <w:tab w:val="left" w:pos="729"/>
              </w:tabs>
              <w:spacing w:line="360" w:lineRule="auto"/>
              <w:jc w:val="both"/>
              <w:rPr>
                <w:rFonts w:ascii="Arial" w:hAnsi="Arial" w:cs="Arial"/>
                <w:sz w:val="24"/>
                <w:szCs w:val="24"/>
                <w:lang w:val="en-US"/>
              </w:rPr>
            </w:pPr>
          </w:p>
          <w:p w14:paraId="792C130B" w14:textId="615CB7C0" w:rsidR="00DC6D53" w:rsidRPr="007F1CA7" w:rsidRDefault="00DC6D53" w:rsidP="00DC6D53">
            <w:pPr>
              <w:tabs>
                <w:tab w:val="left" w:pos="729"/>
              </w:tabs>
              <w:spacing w:line="360" w:lineRule="auto"/>
              <w:jc w:val="both"/>
              <w:rPr>
                <w:rFonts w:ascii="Arial" w:hAnsi="Arial" w:cs="Arial"/>
                <w:sz w:val="24"/>
                <w:szCs w:val="24"/>
                <w:lang w:val="en-US"/>
              </w:rPr>
            </w:pPr>
            <w:r w:rsidRPr="007F1CA7">
              <w:rPr>
                <w:rFonts w:ascii="Arial" w:hAnsi="Arial" w:cs="Arial"/>
                <w:sz w:val="24"/>
                <w:szCs w:val="24"/>
                <w:lang w:val="en-US"/>
              </w:rPr>
              <w:t>[1</w:t>
            </w:r>
            <w:r w:rsidR="00360DBA" w:rsidRPr="007F1CA7">
              <w:rPr>
                <w:rFonts w:ascii="Arial" w:hAnsi="Arial" w:cs="Arial"/>
                <w:sz w:val="24"/>
                <w:szCs w:val="24"/>
                <w:lang w:val="en-US"/>
              </w:rPr>
              <w:t>3</w:t>
            </w:r>
            <w:r w:rsidRPr="007F1CA7">
              <w:rPr>
                <w:rFonts w:ascii="Arial" w:hAnsi="Arial" w:cs="Arial"/>
                <w:sz w:val="24"/>
                <w:szCs w:val="24"/>
                <w:lang w:val="en-US"/>
              </w:rPr>
              <w:t>]</w:t>
            </w:r>
            <w:r w:rsidRPr="007F1CA7">
              <w:rPr>
                <w:rFonts w:ascii="Arial" w:hAnsi="Arial" w:cs="Arial"/>
                <w:sz w:val="24"/>
                <w:szCs w:val="24"/>
                <w:lang w:val="en-US"/>
              </w:rPr>
              <w:tab/>
            </w:r>
            <w:r w:rsidR="007F1CA7" w:rsidRPr="007F1CA7">
              <w:rPr>
                <w:rFonts w:ascii="Arial" w:hAnsi="Arial" w:cs="Arial"/>
                <w:sz w:val="24"/>
                <w:szCs w:val="24"/>
                <w:lang w:val="en-US"/>
              </w:rPr>
              <w:t xml:space="preserve">As to element </w:t>
            </w:r>
            <w:r w:rsidR="007F1CA7">
              <w:rPr>
                <w:rFonts w:ascii="Arial" w:hAnsi="Arial" w:cs="Arial"/>
                <w:sz w:val="24"/>
                <w:szCs w:val="24"/>
                <w:lang w:val="en-US"/>
              </w:rPr>
              <w:t xml:space="preserve">(a) </w:t>
            </w:r>
            <w:r w:rsidR="00134D21">
              <w:rPr>
                <w:rFonts w:ascii="Arial" w:hAnsi="Arial" w:cs="Arial"/>
                <w:sz w:val="24"/>
                <w:szCs w:val="24"/>
                <w:lang w:val="en-US"/>
              </w:rPr>
              <w:t>of</w:t>
            </w:r>
            <w:r w:rsidR="007F1CA7">
              <w:rPr>
                <w:rFonts w:ascii="Arial" w:hAnsi="Arial" w:cs="Arial"/>
                <w:sz w:val="24"/>
                <w:szCs w:val="24"/>
                <w:lang w:val="en-US"/>
              </w:rPr>
              <w:t xml:space="preserve"> para 12 above, the respondent has stated that the property in question is her primary home, and the applicant has not taken issue with it</w:t>
            </w:r>
            <w:r w:rsidR="00360DBA" w:rsidRPr="007F1CA7">
              <w:rPr>
                <w:rFonts w:ascii="Arial" w:hAnsi="Arial" w:cs="Arial"/>
                <w:sz w:val="24"/>
                <w:szCs w:val="24"/>
                <w:lang w:val="en-US"/>
              </w:rPr>
              <w:t>.</w:t>
            </w:r>
          </w:p>
          <w:p w14:paraId="2AE3863B" w14:textId="77777777" w:rsidR="00FD14A0" w:rsidRPr="007F1CA7" w:rsidRDefault="00FD14A0" w:rsidP="00DC6D53">
            <w:pPr>
              <w:tabs>
                <w:tab w:val="left" w:pos="729"/>
              </w:tabs>
              <w:spacing w:line="360" w:lineRule="auto"/>
              <w:jc w:val="both"/>
              <w:rPr>
                <w:rFonts w:ascii="Arial" w:hAnsi="Arial" w:cs="Arial"/>
                <w:sz w:val="24"/>
                <w:szCs w:val="24"/>
                <w:lang w:val="en-US"/>
              </w:rPr>
            </w:pPr>
          </w:p>
          <w:p w14:paraId="75A15B60" w14:textId="216C73CB" w:rsidR="00FD14A0" w:rsidRPr="007F1CA7" w:rsidRDefault="00FD14A0" w:rsidP="00DC6D53">
            <w:pPr>
              <w:tabs>
                <w:tab w:val="left" w:pos="729"/>
              </w:tabs>
              <w:spacing w:line="360" w:lineRule="auto"/>
              <w:jc w:val="both"/>
              <w:rPr>
                <w:rFonts w:ascii="Arial" w:hAnsi="Arial" w:cs="Arial"/>
                <w:sz w:val="24"/>
                <w:szCs w:val="24"/>
              </w:rPr>
            </w:pPr>
            <w:r w:rsidRPr="007F1CA7">
              <w:rPr>
                <w:rFonts w:ascii="Arial" w:hAnsi="Arial" w:cs="Arial"/>
                <w:sz w:val="24"/>
                <w:szCs w:val="24"/>
                <w:lang w:val="en-US"/>
              </w:rPr>
              <w:t>[14]</w:t>
            </w:r>
            <w:r w:rsidRPr="007F1CA7">
              <w:rPr>
                <w:rFonts w:ascii="Arial" w:hAnsi="Arial" w:cs="Arial"/>
                <w:sz w:val="24"/>
                <w:szCs w:val="24"/>
              </w:rPr>
              <w:tab/>
            </w:r>
            <w:r w:rsidR="000251A0">
              <w:rPr>
                <w:rFonts w:ascii="Arial" w:hAnsi="Arial" w:cs="Arial"/>
                <w:sz w:val="24"/>
                <w:szCs w:val="24"/>
              </w:rPr>
              <w:t xml:space="preserve">As to element (b) </w:t>
            </w:r>
            <w:r w:rsidR="00134D21">
              <w:rPr>
                <w:rFonts w:ascii="Arial" w:hAnsi="Arial" w:cs="Arial"/>
                <w:sz w:val="24"/>
                <w:szCs w:val="24"/>
              </w:rPr>
              <w:t>of</w:t>
            </w:r>
            <w:r w:rsidR="000251A0">
              <w:rPr>
                <w:rFonts w:ascii="Arial" w:hAnsi="Arial" w:cs="Arial"/>
                <w:sz w:val="24"/>
                <w:szCs w:val="24"/>
              </w:rPr>
              <w:t xml:space="preserve"> para 12 above, </w:t>
            </w:r>
            <w:r w:rsidR="00134D21">
              <w:rPr>
                <w:rFonts w:ascii="Arial" w:hAnsi="Arial" w:cs="Arial"/>
                <w:sz w:val="24"/>
                <w:szCs w:val="24"/>
              </w:rPr>
              <w:t xml:space="preserve">the question that arises is </w:t>
            </w:r>
            <w:r w:rsidR="000251A0">
              <w:rPr>
                <w:rFonts w:ascii="Arial" w:hAnsi="Arial" w:cs="Arial"/>
                <w:sz w:val="24"/>
                <w:szCs w:val="24"/>
              </w:rPr>
              <w:t xml:space="preserve">what available, viable and less drastic alternatives to declaring the property </w:t>
            </w:r>
            <w:r w:rsidR="00134D21">
              <w:rPr>
                <w:rFonts w:ascii="Arial" w:hAnsi="Arial" w:cs="Arial"/>
                <w:sz w:val="24"/>
                <w:szCs w:val="24"/>
              </w:rPr>
              <w:t>executable has</w:t>
            </w:r>
            <w:r w:rsidR="000251A0">
              <w:rPr>
                <w:rFonts w:ascii="Arial" w:hAnsi="Arial" w:cs="Arial"/>
                <w:sz w:val="24"/>
                <w:szCs w:val="24"/>
              </w:rPr>
              <w:t xml:space="preserve"> the execution debtor placed before the court?</w:t>
            </w:r>
          </w:p>
          <w:p w14:paraId="4A3B58D4" w14:textId="77777777" w:rsidR="00FD14A0" w:rsidRPr="007F1CA7" w:rsidRDefault="00FD14A0" w:rsidP="00DC6D53">
            <w:pPr>
              <w:tabs>
                <w:tab w:val="left" w:pos="729"/>
              </w:tabs>
              <w:spacing w:line="360" w:lineRule="auto"/>
              <w:jc w:val="both"/>
              <w:rPr>
                <w:rFonts w:ascii="Arial" w:hAnsi="Arial" w:cs="Arial"/>
                <w:sz w:val="24"/>
                <w:szCs w:val="24"/>
              </w:rPr>
            </w:pPr>
          </w:p>
          <w:p w14:paraId="61CB86AB" w14:textId="346B47FC" w:rsidR="00FD14A0" w:rsidRPr="007F1CA7" w:rsidRDefault="00FD14A0" w:rsidP="00DC6D53">
            <w:pPr>
              <w:tabs>
                <w:tab w:val="left" w:pos="729"/>
              </w:tabs>
              <w:spacing w:line="360" w:lineRule="auto"/>
              <w:jc w:val="both"/>
              <w:rPr>
                <w:rFonts w:ascii="Arial" w:hAnsi="Arial" w:cs="Arial"/>
                <w:sz w:val="24"/>
                <w:szCs w:val="24"/>
              </w:rPr>
            </w:pPr>
            <w:r w:rsidRPr="007F1CA7">
              <w:rPr>
                <w:rFonts w:ascii="Arial" w:hAnsi="Arial" w:cs="Arial"/>
                <w:sz w:val="24"/>
                <w:szCs w:val="24"/>
              </w:rPr>
              <w:t>[15]</w:t>
            </w:r>
            <w:r w:rsidRPr="007F1CA7">
              <w:rPr>
                <w:rFonts w:ascii="Arial" w:hAnsi="Arial" w:cs="Arial"/>
                <w:sz w:val="24"/>
                <w:szCs w:val="24"/>
              </w:rPr>
              <w:tab/>
            </w:r>
            <w:r w:rsidR="000251A0">
              <w:rPr>
                <w:rFonts w:ascii="Arial" w:hAnsi="Arial" w:cs="Arial"/>
                <w:sz w:val="24"/>
                <w:szCs w:val="24"/>
              </w:rPr>
              <w:t xml:space="preserve">I have pored over the respondent’s answering affidavit and I see the following passage as the respondent’s attempt to satisfy element (b) </w:t>
            </w:r>
            <w:r w:rsidR="00134D21">
              <w:rPr>
                <w:rFonts w:ascii="Arial" w:hAnsi="Arial" w:cs="Arial"/>
                <w:sz w:val="24"/>
                <w:szCs w:val="24"/>
              </w:rPr>
              <w:t>of</w:t>
            </w:r>
            <w:r w:rsidR="000251A0">
              <w:rPr>
                <w:rFonts w:ascii="Arial" w:hAnsi="Arial" w:cs="Arial"/>
                <w:sz w:val="24"/>
                <w:szCs w:val="24"/>
              </w:rPr>
              <w:t xml:space="preserve"> para 12 above:</w:t>
            </w:r>
          </w:p>
          <w:p w14:paraId="57FA3D2A" w14:textId="77777777" w:rsidR="00FD14A0" w:rsidRDefault="00FD14A0" w:rsidP="00DC6D53">
            <w:pPr>
              <w:tabs>
                <w:tab w:val="left" w:pos="729"/>
              </w:tabs>
              <w:spacing w:line="360" w:lineRule="auto"/>
              <w:jc w:val="both"/>
              <w:rPr>
                <w:rFonts w:ascii="Arial" w:hAnsi="Arial" w:cs="Arial"/>
                <w:sz w:val="24"/>
                <w:szCs w:val="24"/>
              </w:rPr>
            </w:pPr>
          </w:p>
          <w:p w14:paraId="36095571" w14:textId="7CE4152F" w:rsidR="000251A0" w:rsidRPr="001E1B4A" w:rsidRDefault="00134D21" w:rsidP="00AE0F24">
            <w:pPr>
              <w:spacing w:line="360" w:lineRule="auto"/>
              <w:ind w:firstLine="743"/>
              <w:jc w:val="both"/>
              <w:rPr>
                <w:rFonts w:ascii="Arial" w:hAnsi="Arial" w:cs="Arial"/>
              </w:rPr>
            </w:pPr>
            <w:r>
              <w:rPr>
                <w:rFonts w:ascii="Arial" w:hAnsi="Arial" w:cs="Arial"/>
              </w:rPr>
              <w:lastRenderedPageBreak/>
              <w:t>‘</w:t>
            </w:r>
            <w:r w:rsidR="001E1B4A" w:rsidRPr="001E1B4A">
              <w:rPr>
                <w:rFonts w:ascii="Arial" w:hAnsi="Arial" w:cs="Arial"/>
              </w:rPr>
              <w:t>21.</w:t>
            </w:r>
            <w:r w:rsidR="001E1B4A" w:rsidRPr="007F1CA7">
              <w:rPr>
                <w:rFonts w:ascii="Arial" w:hAnsi="Arial" w:cs="Arial"/>
                <w:sz w:val="24"/>
                <w:szCs w:val="24"/>
              </w:rPr>
              <w:tab/>
            </w:r>
            <w:r w:rsidR="001E1B4A" w:rsidRPr="001E1B4A">
              <w:rPr>
                <w:rFonts w:ascii="Arial" w:hAnsi="Arial" w:cs="Arial"/>
              </w:rPr>
              <w:t>I therefore propose that I pay the amount of N$120 000.00 (One Hundred and Twenty Thousand Namibian Dollar), through my legal practitioners to the Applicant, and I pay an amount of N$2 000.00 (Two Thousand Namibian Dollars) to the Applicant until the amount as owed is settled in full.</w:t>
            </w:r>
            <w:r w:rsidR="000251A0" w:rsidRPr="001E1B4A">
              <w:rPr>
                <w:rFonts w:ascii="Arial" w:hAnsi="Arial" w:cs="Arial"/>
              </w:rPr>
              <w:t>’</w:t>
            </w:r>
          </w:p>
          <w:p w14:paraId="1F1F9A15" w14:textId="77777777" w:rsidR="000251A0" w:rsidRPr="00164065" w:rsidRDefault="000251A0" w:rsidP="00DC6D53">
            <w:pPr>
              <w:tabs>
                <w:tab w:val="left" w:pos="729"/>
              </w:tabs>
              <w:spacing w:line="360" w:lineRule="auto"/>
              <w:jc w:val="both"/>
              <w:rPr>
                <w:rFonts w:ascii="Arial" w:hAnsi="Arial" w:cs="Arial"/>
              </w:rPr>
            </w:pPr>
          </w:p>
          <w:p w14:paraId="52113C5D" w14:textId="7ED465BD" w:rsidR="00134D21" w:rsidRDefault="00FD14A0" w:rsidP="00DC6D53">
            <w:pPr>
              <w:tabs>
                <w:tab w:val="left" w:pos="729"/>
              </w:tabs>
              <w:spacing w:line="360" w:lineRule="auto"/>
              <w:jc w:val="both"/>
              <w:rPr>
                <w:rFonts w:ascii="Arial" w:hAnsi="Arial" w:cs="Arial"/>
                <w:sz w:val="24"/>
                <w:szCs w:val="24"/>
              </w:rPr>
            </w:pPr>
            <w:r w:rsidRPr="007F1CA7">
              <w:rPr>
                <w:rFonts w:ascii="Arial" w:hAnsi="Arial" w:cs="Arial"/>
                <w:sz w:val="24"/>
                <w:szCs w:val="24"/>
              </w:rPr>
              <w:t>[16]</w:t>
            </w:r>
            <w:r w:rsidRPr="007F1CA7">
              <w:rPr>
                <w:rFonts w:ascii="Arial" w:hAnsi="Arial" w:cs="Arial"/>
                <w:sz w:val="24"/>
                <w:szCs w:val="24"/>
              </w:rPr>
              <w:tab/>
            </w:r>
            <w:r w:rsidR="003E01ED">
              <w:rPr>
                <w:rFonts w:ascii="Arial" w:hAnsi="Arial" w:cs="Arial"/>
                <w:sz w:val="24"/>
                <w:szCs w:val="24"/>
              </w:rPr>
              <w:t xml:space="preserve">As submitted by </w:t>
            </w:r>
            <w:r w:rsidR="00472B5D">
              <w:rPr>
                <w:rFonts w:ascii="Arial" w:hAnsi="Arial" w:cs="Arial"/>
                <w:sz w:val="24"/>
                <w:szCs w:val="24"/>
              </w:rPr>
              <w:t xml:space="preserve">Mr </w:t>
            </w:r>
            <w:proofErr w:type="spellStart"/>
            <w:r w:rsidR="00472B5D">
              <w:rPr>
                <w:rFonts w:ascii="Arial" w:hAnsi="Arial" w:cs="Arial"/>
                <w:sz w:val="24"/>
                <w:szCs w:val="24"/>
              </w:rPr>
              <w:t>Boltman</w:t>
            </w:r>
            <w:proofErr w:type="spellEnd"/>
            <w:r w:rsidR="003E01ED">
              <w:rPr>
                <w:rFonts w:ascii="Arial" w:hAnsi="Arial" w:cs="Arial"/>
                <w:sz w:val="24"/>
                <w:szCs w:val="24"/>
              </w:rPr>
              <w:t>, as on 23 October 2023 the total amount (including interest) that the judgment debtor is lia</w:t>
            </w:r>
            <w:r w:rsidR="00AE0F24">
              <w:rPr>
                <w:rFonts w:ascii="Arial" w:hAnsi="Arial" w:cs="Arial"/>
                <w:sz w:val="24"/>
                <w:szCs w:val="24"/>
              </w:rPr>
              <w:t>ble to pay stood at N$1 620 105,</w:t>
            </w:r>
            <w:r w:rsidR="003E01ED">
              <w:rPr>
                <w:rFonts w:ascii="Arial" w:hAnsi="Arial" w:cs="Arial"/>
                <w:sz w:val="24"/>
                <w:szCs w:val="24"/>
              </w:rPr>
              <w:t xml:space="preserve">77. </w:t>
            </w:r>
            <w:r w:rsidR="00AE0F24">
              <w:rPr>
                <w:rFonts w:ascii="Arial" w:hAnsi="Arial" w:cs="Arial"/>
                <w:sz w:val="24"/>
                <w:szCs w:val="24"/>
              </w:rPr>
              <w:t xml:space="preserve"> </w:t>
            </w:r>
            <w:r w:rsidR="00D27B0E">
              <w:rPr>
                <w:rFonts w:ascii="Arial" w:hAnsi="Arial" w:cs="Arial"/>
                <w:sz w:val="24"/>
                <w:szCs w:val="24"/>
              </w:rPr>
              <w:t>Thus, i</w:t>
            </w:r>
            <w:r w:rsidR="003E01ED">
              <w:rPr>
                <w:rFonts w:ascii="Arial" w:hAnsi="Arial" w:cs="Arial"/>
                <w:sz w:val="24"/>
                <w:szCs w:val="24"/>
              </w:rPr>
              <w:t xml:space="preserve">n terms of the alternative placed before the court, it would take </w:t>
            </w:r>
            <w:r w:rsidR="00D27B0E">
              <w:rPr>
                <w:rFonts w:ascii="Arial" w:hAnsi="Arial" w:cs="Arial"/>
                <w:sz w:val="24"/>
                <w:szCs w:val="24"/>
              </w:rPr>
              <w:t xml:space="preserve">the execution debtor </w:t>
            </w:r>
            <w:r w:rsidR="003E01ED">
              <w:rPr>
                <w:rFonts w:ascii="Arial" w:hAnsi="Arial" w:cs="Arial"/>
                <w:sz w:val="24"/>
                <w:szCs w:val="24"/>
              </w:rPr>
              <w:t xml:space="preserve">some 60 years to repay the debt. I find </w:t>
            </w:r>
            <w:r w:rsidR="00D27B0E">
              <w:rPr>
                <w:rFonts w:ascii="Arial" w:hAnsi="Arial" w:cs="Arial"/>
                <w:sz w:val="24"/>
                <w:szCs w:val="24"/>
              </w:rPr>
              <w:t xml:space="preserve">and hold </w:t>
            </w:r>
            <w:r w:rsidR="003E01ED">
              <w:rPr>
                <w:rFonts w:ascii="Arial" w:hAnsi="Arial" w:cs="Arial"/>
                <w:sz w:val="24"/>
                <w:szCs w:val="24"/>
              </w:rPr>
              <w:t xml:space="preserve">that the alternative to avoid a sale in execution of the property placed before the court is not viable, and it defeats the commercial interest of the applicant, bearing in mind that applicant is a State-Owned Enterprise, as </w:t>
            </w:r>
            <w:r w:rsidR="00472B5D">
              <w:rPr>
                <w:rFonts w:ascii="Arial" w:hAnsi="Arial" w:cs="Arial"/>
                <w:sz w:val="24"/>
                <w:szCs w:val="24"/>
              </w:rPr>
              <w:t xml:space="preserve">Mr </w:t>
            </w:r>
            <w:proofErr w:type="spellStart"/>
            <w:r w:rsidR="00472B5D">
              <w:rPr>
                <w:rFonts w:ascii="Arial" w:hAnsi="Arial" w:cs="Arial"/>
                <w:sz w:val="24"/>
                <w:szCs w:val="24"/>
              </w:rPr>
              <w:t>Boltman</w:t>
            </w:r>
            <w:proofErr w:type="spellEnd"/>
            <w:r w:rsidR="003E01ED">
              <w:rPr>
                <w:rFonts w:ascii="Arial" w:hAnsi="Arial" w:cs="Arial"/>
                <w:sz w:val="24"/>
                <w:szCs w:val="24"/>
              </w:rPr>
              <w:t xml:space="preserve"> reminded the court</w:t>
            </w:r>
            <w:r w:rsidR="00134D21">
              <w:rPr>
                <w:rFonts w:ascii="Arial" w:hAnsi="Arial" w:cs="Arial"/>
                <w:sz w:val="24"/>
                <w:szCs w:val="24"/>
              </w:rPr>
              <w:t>. And it should be remembered</w:t>
            </w:r>
            <w:r w:rsidR="003E01ED">
              <w:rPr>
                <w:rFonts w:ascii="Arial" w:hAnsi="Arial" w:cs="Arial"/>
                <w:sz w:val="24"/>
                <w:szCs w:val="24"/>
              </w:rPr>
              <w:t>, the amount which the respondent has refused to return to the applicant form</w:t>
            </w:r>
            <w:r w:rsidR="00134D21">
              <w:rPr>
                <w:rFonts w:ascii="Arial" w:hAnsi="Arial" w:cs="Arial"/>
                <w:sz w:val="24"/>
                <w:szCs w:val="24"/>
              </w:rPr>
              <w:t>s</w:t>
            </w:r>
            <w:r w:rsidR="003E01ED">
              <w:rPr>
                <w:rFonts w:ascii="Arial" w:hAnsi="Arial" w:cs="Arial"/>
                <w:sz w:val="24"/>
                <w:szCs w:val="24"/>
              </w:rPr>
              <w:t xml:space="preserve"> part of State funds. What is more, the respondent has failed and refused to tell the court </w:t>
            </w:r>
            <w:r w:rsidR="00FB0422">
              <w:rPr>
                <w:rFonts w:ascii="Arial" w:hAnsi="Arial" w:cs="Arial"/>
                <w:sz w:val="24"/>
                <w:szCs w:val="24"/>
              </w:rPr>
              <w:t xml:space="preserve">what she has done with the </w:t>
            </w:r>
            <w:r w:rsidR="003E01ED">
              <w:rPr>
                <w:rFonts w:ascii="Arial" w:hAnsi="Arial" w:cs="Arial"/>
                <w:sz w:val="24"/>
                <w:szCs w:val="24"/>
              </w:rPr>
              <w:t>amount</w:t>
            </w:r>
            <w:r w:rsidR="00134D21">
              <w:rPr>
                <w:rFonts w:ascii="Arial" w:hAnsi="Arial" w:cs="Arial"/>
                <w:sz w:val="24"/>
                <w:szCs w:val="24"/>
              </w:rPr>
              <w:t xml:space="preserve"> that was paid to her by the applicant, referred to in the judgment of the court, granting summary judgment in favour of the applicant against the respondent, dated 7 March </w:t>
            </w:r>
            <w:r w:rsidR="00FB0422">
              <w:rPr>
                <w:rFonts w:ascii="Arial" w:hAnsi="Arial" w:cs="Arial"/>
                <w:sz w:val="24"/>
                <w:szCs w:val="24"/>
              </w:rPr>
              <w:t>2023.</w:t>
            </w:r>
          </w:p>
          <w:p w14:paraId="5DA0693B" w14:textId="77777777" w:rsidR="00134D21" w:rsidRPr="00164065" w:rsidRDefault="00134D21" w:rsidP="00DC6D53">
            <w:pPr>
              <w:tabs>
                <w:tab w:val="left" w:pos="729"/>
              </w:tabs>
              <w:spacing w:line="360" w:lineRule="auto"/>
              <w:jc w:val="both"/>
              <w:rPr>
                <w:rFonts w:ascii="Arial" w:hAnsi="Arial" w:cs="Arial"/>
              </w:rPr>
            </w:pPr>
          </w:p>
          <w:p w14:paraId="1A66DCCA" w14:textId="5E8A3AFB" w:rsidR="00FD14A0" w:rsidRPr="007F1CA7" w:rsidRDefault="00134D21" w:rsidP="00DC6D53">
            <w:pPr>
              <w:tabs>
                <w:tab w:val="left" w:pos="729"/>
              </w:tabs>
              <w:spacing w:line="360" w:lineRule="auto"/>
              <w:jc w:val="both"/>
              <w:rPr>
                <w:rFonts w:ascii="Arial" w:hAnsi="Arial" w:cs="Arial"/>
                <w:sz w:val="24"/>
                <w:szCs w:val="24"/>
              </w:rPr>
            </w:pPr>
            <w:r>
              <w:rPr>
                <w:rFonts w:ascii="Arial" w:hAnsi="Arial" w:cs="Arial"/>
                <w:sz w:val="24"/>
                <w:szCs w:val="24"/>
              </w:rPr>
              <w:t>[17]    Without beating about the bush, I should say that the respondent wants to eat her cake and have it. Such conduct is unjust and unreasonable</w:t>
            </w:r>
            <w:r w:rsidR="00BA64BC">
              <w:rPr>
                <w:rFonts w:ascii="Arial" w:hAnsi="Arial" w:cs="Arial"/>
                <w:sz w:val="24"/>
                <w:szCs w:val="24"/>
              </w:rPr>
              <w:t xml:space="preserve"> in the extreme on any pan of </w:t>
            </w:r>
            <w:r w:rsidR="00D27B0E">
              <w:rPr>
                <w:rFonts w:ascii="Arial" w:hAnsi="Arial" w:cs="Arial"/>
                <w:sz w:val="24"/>
                <w:szCs w:val="24"/>
              </w:rPr>
              <w:t xml:space="preserve">legal and equitable </w:t>
            </w:r>
            <w:r w:rsidR="00BA64BC">
              <w:rPr>
                <w:rFonts w:ascii="Arial" w:hAnsi="Arial" w:cs="Arial"/>
                <w:sz w:val="24"/>
                <w:szCs w:val="24"/>
              </w:rPr>
              <w:t>scales</w:t>
            </w:r>
            <w:r>
              <w:rPr>
                <w:rFonts w:ascii="Arial" w:hAnsi="Arial" w:cs="Arial"/>
                <w:sz w:val="24"/>
                <w:szCs w:val="24"/>
              </w:rPr>
              <w:t xml:space="preserve">, and so the court should not </w:t>
            </w:r>
            <w:r w:rsidR="00FB0422">
              <w:rPr>
                <w:rFonts w:ascii="Arial" w:hAnsi="Arial" w:cs="Arial"/>
                <w:sz w:val="24"/>
                <w:szCs w:val="24"/>
              </w:rPr>
              <w:t>come to the aid of the respondent.</w:t>
            </w:r>
          </w:p>
          <w:p w14:paraId="7730FDF5" w14:textId="77777777" w:rsidR="00FD14A0" w:rsidRPr="00164065" w:rsidRDefault="00FD14A0" w:rsidP="00DC6D53">
            <w:pPr>
              <w:tabs>
                <w:tab w:val="left" w:pos="729"/>
              </w:tabs>
              <w:spacing w:line="360" w:lineRule="auto"/>
              <w:jc w:val="both"/>
              <w:rPr>
                <w:rFonts w:ascii="Arial" w:hAnsi="Arial" w:cs="Arial"/>
              </w:rPr>
            </w:pPr>
          </w:p>
          <w:p w14:paraId="2D8B9245" w14:textId="2DBFC889" w:rsidR="00FD14A0" w:rsidRDefault="00FD14A0" w:rsidP="00DC6D53">
            <w:pPr>
              <w:tabs>
                <w:tab w:val="left" w:pos="729"/>
              </w:tabs>
              <w:spacing w:line="360" w:lineRule="auto"/>
              <w:jc w:val="both"/>
              <w:rPr>
                <w:rFonts w:ascii="Arial" w:hAnsi="Arial" w:cs="Arial"/>
                <w:sz w:val="24"/>
                <w:szCs w:val="24"/>
              </w:rPr>
            </w:pPr>
            <w:r>
              <w:rPr>
                <w:rFonts w:ascii="Arial" w:hAnsi="Arial" w:cs="Arial"/>
                <w:sz w:val="24"/>
                <w:szCs w:val="24"/>
              </w:rPr>
              <w:t>[1</w:t>
            </w:r>
            <w:r w:rsidR="00BA64BC">
              <w:rPr>
                <w:rFonts w:ascii="Arial" w:hAnsi="Arial" w:cs="Arial"/>
                <w:sz w:val="24"/>
                <w:szCs w:val="24"/>
              </w:rPr>
              <w:t>8</w:t>
            </w:r>
            <w:r>
              <w:rPr>
                <w:rFonts w:ascii="Arial" w:hAnsi="Arial" w:cs="Arial"/>
                <w:sz w:val="24"/>
                <w:szCs w:val="24"/>
              </w:rPr>
              <w:t>]</w:t>
            </w:r>
            <w:r>
              <w:rPr>
                <w:rFonts w:ascii="Arial" w:hAnsi="Arial" w:cs="Arial"/>
                <w:sz w:val="24"/>
                <w:szCs w:val="24"/>
              </w:rPr>
              <w:tab/>
            </w:r>
            <w:r w:rsidR="00B50D73">
              <w:rPr>
                <w:rFonts w:ascii="Arial" w:hAnsi="Arial" w:cs="Arial"/>
                <w:sz w:val="24"/>
                <w:szCs w:val="24"/>
              </w:rPr>
              <w:t xml:space="preserve">Based on these reasons, I hold that the applicant has made out a case for the relief sought. The respondent has failed to resist an order declaring the property in question </w:t>
            </w:r>
            <w:proofErr w:type="gramStart"/>
            <w:r w:rsidR="00B50D73">
              <w:rPr>
                <w:rFonts w:ascii="Arial" w:hAnsi="Arial" w:cs="Arial"/>
                <w:sz w:val="24"/>
                <w:szCs w:val="24"/>
              </w:rPr>
              <w:t>specially</w:t>
            </w:r>
            <w:proofErr w:type="gramEnd"/>
            <w:r w:rsidR="00B50D73">
              <w:rPr>
                <w:rFonts w:ascii="Arial" w:hAnsi="Arial" w:cs="Arial"/>
                <w:sz w:val="24"/>
                <w:szCs w:val="24"/>
              </w:rPr>
              <w:t xml:space="preserve"> executable. As to costs, in virtue of Mr Lombard’s submission that he was instructed to represent the respondent by the Legal Aid Directorate of the Ministry of Justice, I shall make no order as to costs.</w:t>
            </w:r>
            <w:r w:rsidR="004A7470">
              <w:rPr>
                <w:rStyle w:val="FootnoteReference"/>
                <w:rFonts w:ascii="Arial" w:hAnsi="Arial" w:cs="Arial"/>
                <w:sz w:val="24"/>
                <w:szCs w:val="24"/>
              </w:rPr>
              <w:footnoteReference w:id="4"/>
            </w:r>
          </w:p>
          <w:p w14:paraId="5E773B0E" w14:textId="77777777" w:rsidR="000E5171" w:rsidRPr="00F639A4" w:rsidRDefault="000E5171" w:rsidP="00164065">
            <w:pPr>
              <w:pStyle w:val="NormalWeb"/>
              <w:shd w:val="clear" w:color="auto" w:fill="FFFFFF"/>
              <w:spacing w:before="0" w:beforeAutospacing="0" w:after="0" w:afterAutospacing="0" w:line="360" w:lineRule="auto"/>
              <w:ind w:left="743" w:hanging="743"/>
              <w:jc w:val="both"/>
              <w:rPr>
                <w:rFonts w:ascii="Arial" w:hAnsi="Arial" w:cs="Arial"/>
                <w:lang w:val="en-US"/>
              </w:rPr>
            </w:pPr>
          </w:p>
        </w:tc>
      </w:tr>
      <w:tr w:rsidR="00CA7995" w:rsidRPr="00CA7995" w14:paraId="56A06CD7" w14:textId="77777777" w:rsidTr="003B0F1E">
        <w:tc>
          <w:tcPr>
            <w:tcW w:w="5209" w:type="dxa"/>
          </w:tcPr>
          <w:p w14:paraId="5F93E8CF" w14:textId="77777777"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14:paraId="48574289"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14:paraId="689B5E01" w14:textId="77777777" w:rsidTr="009103D8">
        <w:trPr>
          <w:trHeight w:val="938"/>
        </w:trPr>
        <w:tc>
          <w:tcPr>
            <w:tcW w:w="5209" w:type="dxa"/>
          </w:tcPr>
          <w:p w14:paraId="637C6399" w14:textId="77777777" w:rsidR="00B40844" w:rsidRDefault="00B40844" w:rsidP="00937C89">
            <w:pPr>
              <w:spacing w:line="360" w:lineRule="auto"/>
              <w:jc w:val="both"/>
              <w:rPr>
                <w:rFonts w:ascii="Arial" w:hAnsi="Arial" w:cs="Arial"/>
                <w:sz w:val="24"/>
                <w:szCs w:val="24"/>
              </w:rPr>
            </w:pPr>
          </w:p>
          <w:p w14:paraId="6AA49DC0" w14:textId="77777777" w:rsidR="00CB16F5" w:rsidRDefault="00CB16F5" w:rsidP="00937C89">
            <w:pPr>
              <w:spacing w:line="360" w:lineRule="auto"/>
              <w:jc w:val="both"/>
              <w:rPr>
                <w:rFonts w:ascii="Arial" w:hAnsi="Arial" w:cs="Arial"/>
                <w:sz w:val="24"/>
                <w:szCs w:val="24"/>
              </w:rPr>
            </w:pPr>
          </w:p>
          <w:p w14:paraId="341C5BED" w14:textId="77777777" w:rsidR="009103D8" w:rsidRPr="00CA7995" w:rsidRDefault="009103D8" w:rsidP="00937C89">
            <w:pPr>
              <w:spacing w:line="360" w:lineRule="auto"/>
              <w:jc w:val="both"/>
              <w:rPr>
                <w:rFonts w:ascii="Arial" w:hAnsi="Arial" w:cs="Arial"/>
                <w:sz w:val="24"/>
                <w:szCs w:val="24"/>
              </w:rPr>
            </w:pPr>
          </w:p>
        </w:tc>
        <w:tc>
          <w:tcPr>
            <w:tcW w:w="5423" w:type="dxa"/>
            <w:gridSpan w:val="2"/>
          </w:tcPr>
          <w:p w14:paraId="3EFF70E9"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14:paraId="56E27708" w14:textId="77777777" w:rsidTr="007054D2">
        <w:trPr>
          <w:trHeight w:val="499"/>
        </w:trPr>
        <w:tc>
          <w:tcPr>
            <w:tcW w:w="10632" w:type="dxa"/>
            <w:gridSpan w:val="3"/>
          </w:tcPr>
          <w:p w14:paraId="2B723185"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14:paraId="49C0FA04" w14:textId="77777777" w:rsidTr="003B0F1E">
        <w:tc>
          <w:tcPr>
            <w:tcW w:w="5209" w:type="dxa"/>
          </w:tcPr>
          <w:p w14:paraId="48FD6531" w14:textId="77777777" w:rsidR="00B40844" w:rsidRPr="00CA7995" w:rsidRDefault="00CD605F" w:rsidP="003F3D99">
            <w:pPr>
              <w:spacing w:line="360" w:lineRule="auto"/>
              <w:jc w:val="center"/>
              <w:rPr>
                <w:rFonts w:ascii="Arial" w:hAnsi="Arial" w:cs="Arial"/>
                <w:b/>
                <w:sz w:val="24"/>
                <w:szCs w:val="24"/>
              </w:rPr>
            </w:pPr>
            <w:r>
              <w:rPr>
                <w:rFonts w:ascii="Arial" w:hAnsi="Arial" w:cs="Arial"/>
                <w:b/>
                <w:sz w:val="24"/>
                <w:szCs w:val="24"/>
              </w:rPr>
              <w:t>APPLICANT</w:t>
            </w:r>
          </w:p>
        </w:tc>
        <w:tc>
          <w:tcPr>
            <w:tcW w:w="5423" w:type="dxa"/>
            <w:gridSpan w:val="2"/>
          </w:tcPr>
          <w:p w14:paraId="2F4373DF" w14:textId="2872F616" w:rsidR="00B40844" w:rsidRPr="00CA7995" w:rsidRDefault="00CD605F" w:rsidP="00164065">
            <w:pPr>
              <w:spacing w:line="360" w:lineRule="auto"/>
              <w:jc w:val="center"/>
              <w:rPr>
                <w:rFonts w:ascii="Arial" w:hAnsi="Arial" w:cs="Arial"/>
                <w:b/>
                <w:sz w:val="24"/>
                <w:szCs w:val="24"/>
              </w:rPr>
            </w:pPr>
            <w:r>
              <w:rPr>
                <w:rFonts w:ascii="Arial" w:hAnsi="Arial" w:cs="Arial"/>
                <w:b/>
                <w:sz w:val="24"/>
                <w:szCs w:val="24"/>
              </w:rPr>
              <w:t>RESPONDENT</w:t>
            </w:r>
            <w:r w:rsidR="009103D8">
              <w:rPr>
                <w:rFonts w:ascii="Arial" w:hAnsi="Arial" w:cs="Arial"/>
                <w:b/>
                <w:sz w:val="24"/>
                <w:szCs w:val="24"/>
              </w:rPr>
              <w:t xml:space="preserve"> </w:t>
            </w:r>
            <w:r w:rsidR="007054D2" w:rsidRPr="008A186F">
              <w:rPr>
                <w:rFonts w:ascii="Arial" w:hAnsi="Arial" w:cs="Arial"/>
                <w:sz w:val="24"/>
                <w:szCs w:val="24"/>
              </w:rPr>
              <w:t>(and Interested Party)</w:t>
            </w:r>
          </w:p>
        </w:tc>
      </w:tr>
      <w:tr w:rsidR="00CA7995" w:rsidRPr="00CA7995" w14:paraId="10DF9BA6" w14:textId="77777777" w:rsidTr="003B0F1E">
        <w:tc>
          <w:tcPr>
            <w:tcW w:w="5209" w:type="dxa"/>
          </w:tcPr>
          <w:p w14:paraId="0B445AA6" w14:textId="765AAC35" w:rsidR="00F639A4" w:rsidRPr="007A30F6" w:rsidRDefault="007A30F6" w:rsidP="000E5171">
            <w:pPr>
              <w:spacing w:line="360" w:lineRule="auto"/>
              <w:jc w:val="center"/>
              <w:rPr>
                <w:rFonts w:ascii="Arial" w:hAnsi="Arial" w:cs="Arial"/>
                <w:sz w:val="24"/>
                <w:szCs w:val="24"/>
              </w:rPr>
            </w:pPr>
            <w:r w:rsidRPr="007A30F6">
              <w:rPr>
                <w:rFonts w:ascii="Arial" w:hAnsi="Arial" w:cs="Arial"/>
                <w:sz w:val="24"/>
                <w:szCs w:val="24"/>
              </w:rPr>
              <w:t xml:space="preserve">J </w:t>
            </w:r>
            <w:r w:rsidR="00D27B0E">
              <w:rPr>
                <w:rFonts w:ascii="Arial" w:hAnsi="Arial" w:cs="Arial"/>
                <w:sz w:val="24"/>
                <w:szCs w:val="24"/>
              </w:rPr>
              <w:t>BOLTMAN</w:t>
            </w:r>
          </w:p>
          <w:p w14:paraId="58565B0F" w14:textId="77777777" w:rsidR="00206B05" w:rsidRPr="003F3D99" w:rsidRDefault="00206B05" w:rsidP="00206B05">
            <w:pPr>
              <w:spacing w:line="360" w:lineRule="auto"/>
              <w:jc w:val="center"/>
              <w:rPr>
                <w:rFonts w:ascii="Arial" w:hAnsi="Arial" w:cs="Arial"/>
                <w:i/>
                <w:sz w:val="24"/>
                <w:szCs w:val="24"/>
              </w:rPr>
            </w:pPr>
            <w:r w:rsidRPr="003F3D99">
              <w:rPr>
                <w:rFonts w:ascii="Arial" w:hAnsi="Arial" w:cs="Arial"/>
                <w:i/>
                <w:sz w:val="24"/>
                <w:szCs w:val="24"/>
              </w:rPr>
              <w:t>of</w:t>
            </w:r>
          </w:p>
          <w:p w14:paraId="316B77DB" w14:textId="20ECF468" w:rsidR="00F639A4" w:rsidRPr="003F3D99" w:rsidRDefault="003F3D99" w:rsidP="009103D8">
            <w:pPr>
              <w:spacing w:line="360" w:lineRule="auto"/>
              <w:jc w:val="center"/>
              <w:rPr>
                <w:rFonts w:ascii="Arial" w:hAnsi="Arial" w:cs="Arial"/>
                <w:sz w:val="24"/>
                <w:szCs w:val="24"/>
              </w:rPr>
            </w:pPr>
            <w:r w:rsidRPr="008A186F">
              <w:rPr>
                <w:rFonts w:ascii="Arial" w:hAnsi="Arial" w:cs="Arial"/>
                <w:sz w:val="24"/>
                <w:szCs w:val="24"/>
              </w:rPr>
              <w:t xml:space="preserve">Köpplinger </w:t>
            </w:r>
            <w:proofErr w:type="spellStart"/>
            <w:r w:rsidRPr="008A186F">
              <w:rPr>
                <w:rFonts w:ascii="Arial" w:hAnsi="Arial" w:cs="Arial"/>
                <w:sz w:val="24"/>
                <w:szCs w:val="24"/>
              </w:rPr>
              <w:t>Boltman</w:t>
            </w:r>
            <w:proofErr w:type="spellEnd"/>
            <w:r w:rsidRPr="008A186F">
              <w:rPr>
                <w:rFonts w:ascii="Arial" w:hAnsi="Arial" w:cs="Arial"/>
                <w:sz w:val="24"/>
                <w:szCs w:val="24"/>
              </w:rPr>
              <w:t>, Windhoek</w:t>
            </w:r>
          </w:p>
        </w:tc>
        <w:tc>
          <w:tcPr>
            <w:tcW w:w="5423" w:type="dxa"/>
            <w:gridSpan w:val="2"/>
          </w:tcPr>
          <w:p w14:paraId="02E1D219" w14:textId="77777777" w:rsidR="003F3D99" w:rsidRPr="00FD14A0" w:rsidRDefault="003F3D99" w:rsidP="007C34C0">
            <w:pPr>
              <w:tabs>
                <w:tab w:val="center" w:pos="2603"/>
                <w:tab w:val="left" w:pos="4476"/>
              </w:tabs>
              <w:spacing w:line="360" w:lineRule="auto"/>
              <w:jc w:val="center"/>
              <w:rPr>
                <w:rFonts w:ascii="Arial" w:hAnsi="Arial" w:cs="Arial"/>
                <w:sz w:val="24"/>
                <w:szCs w:val="24"/>
              </w:rPr>
            </w:pPr>
            <w:r w:rsidRPr="008A186F">
              <w:rPr>
                <w:rFonts w:ascii="Arial" w:hAnsi="Arial" w:cs="Arial"/>
                <w:sz w:val="24"/>
                <w:szCs w:val="24"/>
              </w:rPr>
              <w:t>J LOMBARD</w:t>
            </w:r>
          </w:p>
          <w:p w14:paraId="2C45ABC6" w14:textId="77777777" w:rsidR="00CD605F" w:rsidRPr="003F3D99" w:rsidRDefault="00CD605F" w:rsidP="007C34C0">
            <w:pPr>
              <w:tabs>
                <w:tab w:val="center" w:pos="2603"/>
                <w:tab w:val="left" w:pos="4476"/>
              </w:tabs>
              <w:spacing w:line="360" w:lineRule="auto"/>
              <w:jc w:val="center"/>
              <w:rPr>
                <w:rFonts w:ascii="Arial" w:hAnsi="Arial" w:cs="Arial"/>
                <w:i/>
                <w:sz w:val="24"/>
                <w:szCs w:val="24"/>
              </w:rPr>
            </w:pPr>
            <w:r w:rsidRPr="003F3D99">
              <w:rPr>
                <w:rFonts w:ascii="Arial" w:hAnsi="Arial" w:cs="Arial"/>
                <w:i/>
                <w:sz w:val="24"/>
                <w:szCs w:val="24"/>
              </w:rPr>
              <w:t>of</w:t>
            </w:r>
          </w:p>
          <w:p w14:paraId="07DBA899" w14:textId="77777777" w:rsidR="000E5171" w:rsidRPr="003F3D99" w:rsidRDefault="00FD14A0" w:rsidP="00CD605F">
            <w:pPr>
              <w:spacing w:line="360" w:lineRule="auto"/>
              <w:jc w:val="center"/>
              <w:rPr>
                <w:rFonts w:ascii="Arial" w:hAnsi="Arial" w:cs="Arial"/>
                <w:sz w:val="24"/>
                <w:szCs w:val="24"/>
              </w:rPr>
            </w:pPr>
            <w:r w:rsidRPr="008A186F">
              <w:rPr>
                <w:rFonts w:ascii="Arial" w:hAnsi="Arial" w:cs="Arial"/>
                <w:sz w:val="24"/>
                <w:szCs w:val="24"/>
              </w:rPr>
              <w:t>PD Theron &amp; Associates, Windhoek</w:t>
            </w:r>
          </w:p>
        </w:tc>
      </w:tr>
    </w:tbl>
    <w:p w14:paraId="6D62ED45" w14:textId="77777777" w:rsidR="00B845CF" w:rsidRPr="00883004" w:rsidRDefault="00B845CF" w:rsidP="00883004">
      <w:pPr>
        <w:jc w:val="both"/>
        <w:rPr>
          <w:rFonts w:ascii="Arial" w:hAnsi="Arial" w:cs="Arial"/>
          <w:sz w:val="24"/>
          <w:szCs w:val="24"/>
        </w:rPr>
      </w:pPr>
    </w:p>
    <w:sectPr w:rsidR="00B845CF" w:rsidRPr="00883004" w:rsidSect="00FA4FCF">
      <w:headerReference w:type="default" r:id="rId12"/>
      <w:footerReference w:type="default" r:id="rId13"/>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7AFC" w14:textId="77777777" w:rsidR="00FA4FCF" w:rsidRDefault="00FA4FCF" w:rsidP="00B40844">
      <w:pPr>
        <w:spacing w:after="0" w:line="240" w:lineRule="auto"/>
      </w:pPr>
      <w:r>
        <w:separator/>
      </w:r>
    </w:p>
  </w:endnote>
  <w:endnote w:type="continuationSeparator" w:id="0">
    <w:p w14:paraId="1E075A82" w14:textId="77777777" w:rsidR="00FA4FCF" w:rsidRDefault="00FA4FCF"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AA66" w14:textId="77777777"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D688" w14:textId="77777777" w:rsidR="00FA4FCF" w:rsidRDefault="00FA4FCF" w:rsidP="00B40844">
      <w:pPr>
        <w:spacing w:after="0" w:line="240" w:lineRule="auto"/>
      </w:pPr>
      <w:r>
        <w:separator/>
      </w:r>
    </w:p>
  </w:footnote>
  <w:footnote w:type="continuationSeparator" w:id="0">
    <w:p w14:paraId="36AD8F49" w14:textId="77777777" w:rsidR="00FA4FCF" w:rsidRDefault="00FA4FCF" w:rsidP="00B40844">
      <w:pPr>
        <w:spacing w:after="0" w:line="240" w:lineRule="auto"/>
      </w:pPr>
      <w:r>
        <w:continuationSeparator/>
      </w:r>
    </w:p>
  </w:footnote>
  <w:footnote w:id="1">
    <w:p w14:paraId="2A9F8A17" w14:textId="3098EF89" w:rsidR="00FD1B5F" w:rsidRPr="00F01B97" w:rsidRDefault="00FD1B5F" w:rsidP="00FD1B5F">
      <w:pPr>
        <w:pStyle w:val="FootnoteText"/>
        <w:jc w:val="both"/>
        <w:rPr>
          <w:rFonts w:ascii="Arial" w:hAnsi="Arial" w:cs="Arial"/>
        </w:rPr>
      </w:pPr>
      <w:r w:rsidRPr="00F01B97">
        <w:rPr>
          <w:rStyle w:val="FootnoteReference"/>
          <w:rFonts w:ascii="Arial" w:hAnsi="Arial" w:cs="Arial"/>
        </w:rPr>
        <w:footnoteRef/>
      </w:r>
      <w:r w:rsidRPr="00F01B97">
        <w:rPr>
          <w:rFonts w:ascii="Arial" w:hAnsi="Arial" w:cs="Arial"/>
        </w:rPr>
        <w:t xml:space="preserve"> </w:t>
      </w:r>
      <w:proofErr w:type="spellStart"/>
      <w:r w:rsidRPr="00F01B97">
        <w:rPr>
          <w:rFonts w:ascii="Arial" w:hAnsi="Arial" w:cs="Arial"/>
          <w:i/>
        </w:rPr>
        <w:t>Erongo</w:t>
      </w:r>
      <w:proofErr w:type="spellEnd"/>
      <w:r w:rsidRPr="00F01B97">
        <w:rPr>
          <w:rFonts w:ascii="Arial" w:hAnsi="Arial" w:cs="Arial"/>
          <w:i/>
        </w:rPr>
        <w:t xml:space="preserve"> Regional Council and Others v </w:t>
      </w:r>
      <w:proofErr w:type="spellStart"/>
      <w:r w:rsidRPr="00F01B97">
        <w:rPr>
          <w:rFonts w:ascii="Arial" w:hAnsi="Arial" w:cs="Arial"/>
          <w:i/>
        </w:rPr>
        <w:t>Wlotzkasbaken</w:t>
      </w:r>
      <w:proofErr w:type="spellEnd"/>
      <w:r w:rsidRPr="00F01B97">
        <w:rPr>
          <w:rFonts w:ascii="Arial" w:hAnsi="Arial" w:cs="Arial"/>
          <w:i/>
        </w:rPr>
        <w:t xml:space="preserve"> </w:t>
      </w:r>
      <w:r w:rsidR="001F6FD2" w:rsidRPr="00F01B97">
        <w:rPr>
          <w:rFonts w:ascii="Arial" w:hAnsi="Arial" w:cs="Arial"/>
          <w:i/>
        </w:rPr>
        <w:t>Homeowners</w:t>
      </w:r>
      <w:r w:rsidRPr="00F01B97">
        <w:rPr>
          <w:rFonts w:ascii="Arial" w:hAnsi="Arial" w:cs="Arial"/>
          <w:i/>
        </w:rPr>
        <w:t xml:space="preserve"> Association and Another</w:t>
      </w:r>
      <w:r w:rsidRPr="00F01B97">
        <w:rPr>
          <w:rFonts w:ascii="Arial" w:hAnsi="Arial" w:cs="Arial"/>
        </w:rPr>
        <w:t xml:space="preserve"> 2009 (1) NR 252 (SC).</w:t>
      </w:r>
    </w:p>
  </w:footnote>
  <w:footnote w:id="2">
    <w:p w14:paraId="45816281" w14:textId="1D65DBCC" w:rsidR="00FD1B5F" w:rsidRPr="00F01B97" w:rsidRDefault="00FD1B5F" w:rsidP="00FD1B5F">
      <w:pPr>
        <w:pStyle w:val="FootnoteText"/>
        <w:jc w:val="both"/>
        <w:rPr>
          <w:rFonts w:ascii="Arial" w:hAnsi="Arial" w:cs="Arial"/>
        </w:rPr>
      </w:pPr>
      <w:r w:rsidRPr="00F01B97">
        <w:rPr>
          <w:rStyle w:val="FootnoteReference"/>
          <w:rFonts w:ascii="Arial" w:hAnsi="Arial" w:cs="Arial"/>
        </w:rPr>
        <w:footnoteRef/>
      </w:r>
      <w:r w:rsidRPr="00F01B97">
        <w:rPr>
          <w:rFonts w:ascii="Arial" w:hAnsi="Arial" w:cs="Arial"/>
        </w:rPr>
        <w:t xml:space="preserve"> </w:t>
      </w:r>
      <w:proofErr w:type="spellStart"/>
      <w:r w:rsidR="00DD5122" w:rsidRPr="009A49BF">
        <w:rPr>
          <w:rFonts w:ascii="Arial" w:hAnsi="Arial" w:cs="Arial"/>
          <w:i/>
        </w:rPr>
        <w:t>Kisilipile</w:t>
      </w:r>
      <w:proofErr w:type="spellEnd"/>
      <w:r w:rsidR="00DD5122">
        <w:rPr>
          <w:rFonts w:ascii="Arial" w:hAnsi="Arial" w:cs="Arial"/>
          <w:i/>
        </w:rPr>
        <w:t xml:space="preserve"> v First National Bank of Namibia Limited (SA 65/2019) [2021] NASC 52 (25 August 2021).</w:t>
      </w:r>
    </w:p>
  </w:footnote>
  <w:footnote w:id="3">
    <w:p w14:paraId="0FACDA04" w14:textId="078722F9" w:rsidR="00FD1B5F" w:rsidRPr="00FD1B5F" w:rsidRDefault="00FD1B5F" w:rsidP="00FD1B5F">
      <w:pPr>
        <w:pStyle w:val="FootnoteText"/>
        <w:jc w:val="both"/>
        <w:rPr>
          <w:rFonts w:ascii="Arial" w:hAnsi="Arial" w:cs="Arial"/>
        </w:rPr>
      </w:pPr>
      <w:r w:rsidRPr="00FD1B5F">
        <w:rPr>
          <w:rStyle w:val="FootnoteReference"/>
          <w:rFonts w:ascii="Arial" w:hAnsi="Arial" w:cs="Arial"/>
        </w:rPr>
        <w:footnoteRef/>
      </w:r>
      <w:r w:rsidRPr="00FD1B5F">
        <w:rPr>
          <w:rFonts w:ascii="Arial" w:hAnsi="Arial" w:cs="Arial"/>
        </w:rPr>
        <w:t xml:space="preserve"> </w:t>
      </w:r>
      <w:proofErr w:type="spellStart"/>
      <w:r w:rsidR="00AE0F24" w:rsidRPr="009A49BF">
        <w:rPr>
          <w:rFonts w:ascii="Arial" w:hAnsi="Arial" w:cs="Arial"/>
          <w:i/>
        </w:rPr>
        <w:t>Kisilipile</w:t>
      </w:r>
      <w:proofErr w:type="spellEnd"/>
      <w:r w:rsidR="00AE0F24">
        <w:rPr>
          <w:rFonts w:ascii="Arial" w:hAnsi="Arial" w:cs="Arial"/>
          <w:i/>
        </w:rPr>
        <w:t xml:space="preserve"> v First National Bank of Namibia Limited </w:t>
      </w:r>
      <w:r w:rsidR="004F5731">
        <w:rPr>
          <w:rFonts w:ascii="Arial" w:hAnsi="Arial" w:cs="Arial"/>
        </w:rPr>
        <w:t>footnote 2</w:t>
      </w:r>
      <w:r w:rsidR="00AE0F24">
        <w:rPr>
          <w:rFonts w:ascii="Arial" w:hAnsi="Arial" w:cs="Arial"/>
          <w:i/>
        </w:rPr>
        <w:t>.</w:t>
      </w:r>
    </w:p>
  </w:footnote>
  <w:footnote w:id="4">
    <w:p w14:paraId="317CF3BB" w14:textId="6E24DB85" w:rsidR="004A7470" w:rsidRPr="00C775BA" w:rsidRDefault="004A7470" w:rsidP="00C775BA">
      <w:pPr>
        <w:pStyle w:val="FootnoteText"/>
        <w:jc w:val="both"/>
        <w:rPr>
          <w:rFonts w:ascii="Arial" w:hAnsi="Arial" w:cs="Arial"/>
          <w:lang w:val="en-US"/>
        </w:rPr>
      </w:pPr>
      <w:r w:rsidRPr="00C775BA">
        <w:rPr>
          <w:rStyle w:val="FootnoteReference"/>
          <w:rFonts w:ascii="Arial" w:hAnsi="Arial" w:cs="Arial"/>
        </w:rPr>
        <w:footnoteRef/>
      </w:r>
      <w:r w:rsidRPr="00C775BA">
        <w:rPr>
          <w:rFonts w:ascii="Arial" w:hAnsi="Arial" w:cs="Arial"/>
        </w:rPr>
        <w:t xml:space="preserve"> </w:t>
      </w:r>
      <w:proofErr w:type="spellStart"/>
      <w:r w:rsidR="00AE0F24" w:rsidRPr="00C775BA">
        <w:rPr>
          <w:rFonts w:ascii="Arial" w:hAnsi="Arial" w:cs="Arial"/>
          <w:i/>
          <w:iCs/>
          <w:lang w:val="en-US"/>
        </w:rPr>
        <w:t>Mantoor</w:t>
      </w:r>
      <w:proofErr w:type="spellEnd"/>
      <w:r w:rsidR="00AE0F24" w:rsidRPr="00C775BA">
        <w:rPr>
          <w:rFonts w:ascii="Arial" w:hAnsi="Arial" w:cs="Arial"/>
          <w:i/>
          <w:iCs/>
          <w:lang w:val="en-US"/>
        </w:rPr>
        <w:t xml:space="preserve"> v </w:t>
      </w:r>
      <w:proofErr w:type="spellStart"/>
      <w:r w:rsidR="00AE0F24" w:rsidRPr="00C775BA">
        <w:rPr>
          <w:rFonts w:ascii="Arial" w:hAnsi="Arial" w:cs="Arial"/>
          <w:i/>
          <w:iCs/>
          <w:lang w:val="en-US"/>
        </w:rPr>
        <w:t>Usebiu</w:t>
      </w:r>
      <w:proofErr w:type="spellEnd"/>
      <w:r w:rsidR="00AE0F24" w:rsidRPr="00C775BA">
        <w:rPr>
          <w:rFonts w:ascii="Arial" w:hAnsi="Arial" w:cs="Arial"/>
          <w:i/>
          <w:iCs/>
          <w:lang w:val="en-US"/>
        </w:rPr>
        <w:t xml:space="preserve"> (SA 24/2015</w:t>
      </w:r>
      <w:r w:rsidR="00C775BA">
        <w:rPr>
          <w:rFonts w:ascii="Arial" w:hAnsi="Arial" w:cs="Arial"/>
          <w:i/>
          <w:iCs/>
          <w:lang w:val="en-US"/>
        </w:rPr>
        <w:t>)</w:t>
      </w:r>
      <w:r w:rsidR="00AE0F24" w:rsidRPr="00C775BA">
        <w:rPr>
          <w:rFonts w:ascii="Arial" w:hAnsi="Arial" w:cs="Arial"/>
          <w:i/>
          <w:iCs/>
          <w:lang w:val="en-US"/>
        </w:rPr>
        <w:t xml:space="preserve"> [2017] NASC 12 (19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72449738"/>
      <w:docPartObj>
        <w:docPartGallery w:val="Page Numbers (Top of Page)"/>
        <w:docPartUnique/>
      </w:docPartObj>
    </w:sdtPr>
    <w:sdtEndPr>
      <w:rPr>
        <w:noProof/>
      </w:rPr>
    </w:sdtEndPr>
    <w:sdtContent>
      <w:p w14:paraId="118CBA54" w14:textId="77777777"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E11E29">
          <w:rPr>
            <w:rFonts w:ascii="Arial" w:hAnsi="Arial" w:cs="Arial"/>
            <w:noProof/>
            <w:sz w:val="24"/>
            <w:szCs w:val="24"/>
          </w:rPr>
          <w:t>5</w:t>
        </w:r>
        <w:r w:rsidRPr="00D84700">
          <w:rPr>
            <w:rFonts w:ascii="Arial" w:hAnsi="Arial" w:cs="Arial"/>
            <w:noProof/>
            <w:sz w:val="24"/>
            <w:szCs w:val="24"/>
          </w:rPr>
          <w:fldChar w:fldCharType="end"/>
        </w:r>
      </w:p>
    </w:sdtContent>
  </w:sdt>
  <w:p w14:paraId="5ED4DB3E" w14:textId="77777777" w:rsidR="000302C5" w:rsidRDefault="0003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15:restartNumberingAfterBreak="0">
    <w:nsid w:val="23541618"/>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5"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711341">
    <w:abstractNumId w:val="0"/>
  </w:num>
  <w:num w:numId="2" w16cid:durableId="1756631414">
    <w:abstractNumId w:val="9"/>
  </w:num>
  <w:num w:numId="3" w16cid:durableId="1835952804">
    <w:abstractNumId w:val="8"/>
  </w:num>
  <w:num w:numId="4" w16cid:durableId="340856813">
    <w:abstractNumId w:val="2"/>
  </w:num>
  <w:num w:numId="5" w16cid:durableId="1974216995">
    <w:abstractNumId w:val="1"/>
  </w:num>
  <w:num w:numId="6" w16cid:durableId="859783179">
    <w:abstractNumId w:val="7"/>
  </w:num>
  <w:num w:numId="7" w16cid:durableId="2001958881">
    <w:abstractNumId w:val="6"/>
  </w:num>
  <w:num w:numId="8" w16cid:durableId="1452943793">
    <w:abstractNumId w:val="3"/>
  </w:num>
  <w:num w:numId="9" w16cid:durableId="226691346">
    <w:abstractNumId w:val="5"/>
  </w:num>
  <w:num w:numId="10" w16cid:durableId="1786804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44"/>
    <w:rsid w:val="000142CE"/>
    <w:rsid w:val="00015808"/>
    <w:rsid w:val="00015DC1"/>
    <w:rsid w:val="00024F0E"/>
    <w:rsid w:val="000251A0"/>
    <w:rsid w:val="000302C5"/>
    <w:rsid w:val="000307BF"/>
    <w:rsid w:val="00030A66"/>
    <w:rsid w:val="000350D7"/>
    <w:rsid w:val="00037DF6"/>
    <w:rsid w:val="00052806"/>
    <w:rsid w:val="00053646"/>
    <w:rsid w:val="00054121"/>
    <w:rsid w:val="00054476"/>
    <w:rsid w:val="00072DED"/>
    <w:rsid w:val="000929C5"/>
    <w:rsid w:val="000A5883"/>
    <w:rsid w:val="000A66B9"/>
    <w:rsid w:val="000A6E7F"/>
    <w:rsid w:val="000B631E"/>
    <w:rsid w:val="000C65B1"/>
    <w:rsid w:val="000E5171"/>
    <w:rsid w:val="000F238E"/>
    <w:rsid w:val="000F39A3"/>
    <w:rsid w:val="000F681E"/>
    <w:rsid w:val="00115ABC"/>
    <w:rsid w:val="00116AFB"/>
    <w:rsid w:val="0011768F"/>
    <w:rsid w:val="001223B7"/>
    <w:rsid w:val="00124C63"/>
    <w:rsid w:val="0012642A"/>
    <w:rsid w:val="00127391"/>
    <w:rsid w:val="00134D21"/>
    <w:rsid w:val="00152FEA"/>
    <w:rsid w:val="00153C0E"/>
    <w:rsid w:val="00163B46"/>
    <w:rsid w:val="00164065"/>
    <w:rsid w:val="00175DB1"/>
    <w:rsid w:val="0018718C"/>
    <w:rsid w:val="00194D09"/>
    <w:rsid w:val="001A4504"/>
    <w:rsid w:val="001B3825"/>
    <w:rsid w:val="001B494D"/>
    <w:rsid w:val="001D6E3B"/>
    <w:rsid w:val="001E097B"/>
    <w:rsid w:val="001E1B4A"/>
    <w:rsid w:val="001F6FD2"/>
    <w:rsid w:val="00200E53"/>
    <w:rsid w:val="00206B05"/>
    <w:rsid w:val="002124D3"/>
    <w:rsid w:val="0021762B"/>
    <w:rsid w:val="00217744"/>
    <w:rsid w:val="00224808"/>
    <w:rsid w:val="00225C54"/>
    <w:rsid w:val="00227247"/>
    <w:rsid w:val="002317B0"/>
    <w:rsid w:val="00231ABE"/>
    <w:rsid w:val="002338D0"/>
    <w:rsid w:val="0023549A"/>
    <w:rsid w:val="00236F6F"/>
    <w:rsid w:val="00241115"/>
    <w:rsid w:val="002411C1"/>
    <w:rsid w:val="002536EA"/>
    <w:rsid w:val="002547AC"/>
    <w:rsid w:val="00276736"/>
    <w:rsid w:val="002836DF"/>
    <w:rsid w:val="002865F4"/>
    <w:rsid w:val="002A4AA3"/>
    <w:rsid w:val="002B38E0"/>
    <w:rsid w:val="002B397D"/>
    <w:rsid w:val="002B5BB9"/>
    <w:rsid w:val="002C1EF6"/>
    <w:rsid w:val="002D0359"/>
    <w:rsid w:val="002D20C5"/>
    <w:rsid w:val="002D6167"/>
    <w:rsid w:val="002E1151"/>
    <w:rsid w:val="002E123F"/>
    <w:rsid w:val="002E738E"/>
    <w:rsid w:val="002F0692"/>
    <w:rsid w:val="00307DB3"/>
    <w:rsid w:val="00312E51"/>
    <w:rsid w:val="0031523D"/>
    <w:rsid w:val="00322F39"/>
    <w:rsid w:val="00323AAF"/>
    <w:rsid w:val="00323E22"/>
    <w:rsid w:val="00340EA6"/>
    <w:rsid w:val="00346B7A"/>
    <w:rsid w:val="00360DBA"/>
    <w:rsid w:val="00371B8F"/>
    <w:rsid w:val="003750B1"/>
    <w:rsid w:val="0038382D"/>
    <w:rsid w:val="00386207"/>
    <w:rsid w:val="00387B29"/>
    <w:rsid w:val="003917AF"/>
    <w:rsid w:val="003A06B6"/>
    <w:rsid w:val="003A18AD"/>
    <w:rsid w:val="003B09B0"/>
    <w:rsid w:val="003B0F1E"/>
    <w:rsid w:val="003C2574"/>
    <w:rsid w:val="003D165C"/>
    <w:rsid w:val="003D3059"/>
    <w:rsid w:val="003E01ED"/>
    <w:rsid w:val="003F3D99"/>
    <w:rsid w:val="00404B70"/>
    <w:rsid w:val="00412278"/>
    <w:rsid w:val="004163B1"/>
    <w:rsid w:val="0041723B"/>
    <w:rsid w:val="00421B60"/>
    <w:rsid w:val="00426C60"/>
    <w:rsid w:val="00426F4B"/>
    <w:rsid w:val="00431A65"/>
    <w:rsid w:val="004352E5"/>
    <w:rsid w:val="004358E2"/>
    <w:rsid w:val="00436C2B"/>
    <w:rsid w:val="00440F37"/>
    <w:rsid w:val="00463486"/>
    <w:rsid w:val="004665B1"/>
    <w:rsid w:val="00466B36"/>
    <w:rsid w:val="00472B5D"/>
    <w:rsid w:val="00474C2A"/>
    <w:rsid w:val="00475B7A"/>
    <w:rsid w:val="00481A0D"/>
    <w:rsid w:val="0048441F"/>
    <w:rsid w:val="004907E4"/>
    <w:rsid w:val="004936A7"/>
    <w:rsid w:val="00493F46"/>
    <w:rsid w:val="004A1FCF"/>
    <w:rsid w:val="004A2D48"/>
    <w:rsid w:val="004A7470"/>
    <w:rsid w:val="004B6C36"/>
    <w:rsid w:val="004C59BB"/>
    <w:rsid w:val="004C646F"/>
    <w:rsid w:val="004C659B"/>
    <w:rsid w:val="004E5347"/>
    <w:rsid w:val="004F27A8"/>
    <w:rsid w:val="004F4867"/>
    <w:rsid w:val="004F5731"/>
    <w:rsid w:val="00501F59"/>
    <w:rsid w:val="00503F36"/>
    <w:rsid w:val="00505256"/>
    <w:rsid w:val="005234D3"/>
    <w:rsid w:val="00535F29"/>
    <w:rsid w:val="00536EFF"/>
    <w:rsid w:val="005408B2"/>
    <w:rsid w:val="005629DA"/>
    <w:rsid w:val="00594F6C"/>
    <w:rsid w:val="005A456A"/>
    <w:rsid w:val="005A49D3"/>
    <w:rsid w:val="005A4D90"/>
    <w:rsid w:val="005B62A0"/>
    <w:rsid w:val="005C0E24"/>
    <w:rsid w:val="005C21D7"/>
    <w:rsid w:val="005C3354"/>
    <w:rsid w:val="005D0C1B"/>
    <w:rsid w:val="005D0C34"/>
    <w:rsid w:val="005D543C"/>
    <w:rsid w:val="005E066D"/>
    <w:rsid w:val="005E7FB4"/>
    <w:rsid w:val="005F325C"/>
    <w:rsid w:val="005F32EB"/>
    <w:rsid w:val="0060278E"/>
    <w:rsid w:val="00610BF1"/>
    <w:rsid w:val="006115E2"/>
    <w:rsid w:val="00622B72"/>
    <w:rsid w:val="00641331"/>
    <w:rsid w:val="00646C86"/>
    <w:rsid w:val="00663789"/>
    <w:rsid w:val="006678D1"/>
    <w:rsid w:val="00672C76"/>
    <w:rsid w:val="00690939"/>
    <w:rsid w:val="00695745"/>
    <w:rsid w:val="006976D9"/>
    <w:rsid w:val="006979B3"/>
    <w:rsid w:val="006A0BA4"/>
    <w:rsid w:val="006A398D"/>
    <w:rsid w:val="006A3F29"/>
    <w:rsid w:val="006A6910"/>
    <w:rsid w:val="006B5E01"/>
    <w:rsid w:val="006B7521"/>
    <w:rsid w:val="006D0991"/>
    <w:rsid w:val="006D264B"/>
    <w:rsid w:val="006D7450"/>
    <w:rsid w:val="006E0FD4"/>
    <w:rsid w:val="00702C62"/>
    <w:rsid w:val="00703171"/>
    <w:rsid w:val="00704B78"/>
    <w:rsid w:val="007054D2"/>
    <w:rsid w:val="00705A2C"/>
    <w:rsid w:val="007123A3"/>
    <w:rsid w:val="00713CFF"/>
    <w:rsid w:val="00716E66"/>
    <w:rsid w:val="00736DA4"/>
    <w:rsid w:val="00746C0C"/>
    <w:rsid w:val="00766C68"/>
    <w:rsid w:val="0078274D"/>
    <w:rsid w:val="007853D8"/>
    <w:rsid w:val="00786525"/>
    <w:rsid w:val="007947F2"/>
    <w:rsid w:val="007950C8"/>
    <w:rsid w:val="007A30F6"/>
    <w:rsid w:val="007A69B7"/>
    <w:rsid w:val="007C34C0"/>
    <w:rsid w:val="007C7526"/>
    <w:rsid w:val="007D0765"/>
    <w:rsid w:val="007D0792"/>
    <w:rsid w:val="007D6C74"/>
    <w:rsid w:val="007D7388"/>
    <w:rsid w:val="007E0387"/>
    <w:rsid w:val="007E5F04"/>
    <w:rsid w:val="007F1CA7"/>
    <w:rsid w:val="007F68C4"/>
    <w:rsid w:val="008006A3"/>
    <w:rsid w:val="00800856"/>
    <w:rsid w:val="0080541A"/>
    <w:rsid w:val="00812409"/>
    <w:rsid w:val="00812772"/>
    <w:rsid w:val="00813E24"/>
    <w:rsid w:val="00816D42"/>
    <w:rsid w:val="00816D5D"/>
    <w:rsid w:val="00821A0C"/>
    <w:rsid w:val="008275AC"/>
    <w:rsid w:val="00833B9D"/>
    <w:rsid w:val="00835300"/>
    <w:rsid w:val="0084724D"/>
    <w:rsid w:val="00881BC9"/>
    <w:rsid w:val="00881FF2"/>
    <w:rsid w:val="00882F73"/>
    <w:rsid w:val="00883004"/>
    <w:rsid w:val="00890A20"/>
    <w:rsid w:val="00892D9A"/>
    <w:rsid w:val="00895C5D"/>
    <w:rsid w:val="008A1447"/>
    <w:rsid w:val="008A21E1"/>
    <w:rsid w:val="008B4C24"/>
    <w:rsid w:val="008B4F50"/>
    <w:rsid w:val="008B5600"/>
    <w:rsid w:val="008C2200"/>
    <w:rsid w:val="008D4A1F"/>
    <w:rsid w:val="008E0730"/>
    <w:rsid w:val="008E6175"/>
    <w:rsid w:val="008F59A0"/>
    <w:rsid w:val="009018D4"/>
    <w:rsid w:val="00905359"/>
    <w:rsid w:val="009103D8"/>
    <w:rsid w:val="009105AD"/>
    <w:rsid w:val="009279BE"/>
    <w:rsid w:val="00937C89"/>
    <w:rsid w:val="00945E92"/>
    <w:rsid w:val="009464D6"/>
    <w:rsid w:val="00956B2A"/>
    <w:rsid w:val="0097039F"/>
    <w:rsid w:val="009719BD"/>
    <w:rsid w:val="009733A9"/>
    <w:rsid w:val="00977D36"/>
    <w:rsid w:val="00980C82"/>
    <w:rsid w:val="00985C8E"/>
    <w:rsid w:val="009919F6"/>
    <w:rsid w:val="00992E0B"/>
    <w:rsid w:val="00997C11"/>
    <w:rsid w:val="009A7A59"/>
    <w:rsid w:val="009C1846"/>
    <w:rsid w:val="009C35C9"/>
    <w:rsid w:val="009C516F"/>
    <w:rsid w:val="009C6F3F"/>
    <w:rsid w:val="009D0A90"/>
    <w:rsid w:val="009D1768"/>
    <w:rsid w:val="009D27E8"/>
    <w:rsid w:val="009D73D7"/>
    <w:rsid w:val="009F1C92"/>
    <w:rsid w:val="009F773F"/>
    <w:rsid w:val="00A10E40"/>
    <w:rsid w:val="00A13B88"/>
    <w:rsid w:val="00A15CD1"/>
    <w:rsid w:val="00A22E0F"/>
    <w:rsid w:val="00A253A2"/>
    <w:rsid w:val="00A26B7B"/>
    <w:rsid w:val="00A3327E"/>
    <w:rsid w:val="00A34ECF"/>
    <w:rsid w:val="00A36C02"/>
    <w:rsid w:val="00A50F13"/>
    <w:rsid w:val="00A51D45"/>
    <w:rsid w:val="00A5520F"/>
    <w:rsid w:val="00A66511"/>
    <w:rsid w:val="00A75ED6"/>
    <w:rsid w:val="00A81112"/>
    <w:rsid w:val="00A94D75"/>
    <w:rsid w:val="00AA3ECB"/>
    <w:rsid w:val="00AA6017"/>
    <w:rsid w:val="00AB08C4"/>
    <w:rsid w:val="00AD0B66"/>
    <w:rsid w:val="00AD1CEC"/>
    <w:rsid w:val="00AD5314"/>
    <w:rsid w:val="00AD6E6A"/>
    <w:rsid w:val="00AD72DD"/>
    <w:rsid w:val="00AE0F24"/>
    <w:rsid w:val="00AE0F2B"/>
    <w:rsid w:val="00AE6A3B"/>
    <w:rsid w:val="00B01B6C"/>
    <w:rsid w:val="00B05A08"/>
    <w:rsid w:val="00B121EA"/>
    <w:rsid w:val="00B16601"/>
    <w:rsid w:val="00B16A04"/>
    <w:rsid w:val="00B40844"/>
    <w:rsid w:val="00B433BD"/>
    <w:rsid w:val="00B46BB5"/>
    <w:rsid w:val="00B47800"/>
    <w:rsid w:val="00B5067C"/>
    <w:rsid w:val="00B50C99"/>
    <w:rsid w:val="00B50D73"/>
    <w:rsid w:val="00B56457"/>
    <w:rsid w:val="00B56E34"/>
    <w:rsid w:val="00B5737E"/>
    <w:rsid w:val="00B61AC7"/>
    <w:rsid w:val="00B661B7"/>
    <w:rsid w:val="00B74BBB"/>
    <w:rsid w:val="00B75ACC"/>
    <w:rsid w:val="00B76C1F"/>
    <w:rsid w:val="00B808CB"/>
    <w:rsid w:val="00B845CF"/>
    <w:rsid w:val="00B90DA5"/>
    <w:rsid w:val="00B92DE7"/>
    <w:rsid w:val="00B9407E"/>
    <w:rsid w:val="00BA62AC"/>
    <w:rsid w:val="00BA64BC"/>
    <w:rsid w:val="00BB13F4"/>
    <w:rsid w:val="00BB2B54"/>
    <w:rsid w:val="00BB3273"/>
    <w:rsid w:val="00BC5931"/>
    <w:rsid w:val="00BE31AD"/>
    <w:rsid w:val="00C02E2D"/>
    <w:rsid w:val="00C033C2"/>
    <w:rsid w:val="00C04F28"/>
    <w:rsid w:val="00C066B6"/>
    <w:rsid w:val="00C06EB4"/>
    <w:rsid w:val="00C2633E"/>
    <w:rsid w:val="00C327A6"/>
    <w:rsid w:val="00C4587F"/>
    <w:rsid w:val="00C54752"/>
    <w:rsid w:val="00C71AFE"/>
    <w:rsid w:val="00C73D5D"/>
    <w:rsid w:val="00C775BA"/>
    <w:rsid w:val="00C82B7B"/>
    <w:rsid w:val="00CA7995"/>
    <w:rsid w:val="00CA7AA0"/>
    <w:rsid w:val="00CB16F5"/>
    <w:rsid w:val="00CB72A6"/>
    <w:rsid w:val="00CC3220"/>
    <w:rsid w:val="00CC5308"/>
    <w:rsid w:val="00CC57E3"/>
    <w:rsid w:val="00CC7431"/>
    <w:rsid w:val="00CD3454"/>
    <w:rsid w:val="00CD54C6"/>
    <w:rsid w:val="00CD605F"/>
    <w:rsid w:val="00CD62C0"/>
    <w:rsid w:val="00CE6B2D"/>
    <w:rsid w:val="00D034F4"/>
    <w:rsid w:val="00D113DD"/>
    <w:rsid w:val="00D15FF5"/>
    <w:rsid w:val="00D24453"/>
    <w:rsid w:val="00D25285"/>
    <w:rsid w:val="00D27B0E"/>
    <w:rsid w:val="00D30D4D"/>
    <w:rsid w:val="00D37DAA"/>
    <w:rsid w:val="00D5070E"/>
    <w:rsid w:val="00D52F48"/>
    <w:rsid w:val="00D547B6"/>
    <w:rsid w:val="00D562F3"/>
    <w:rsid w:val="00D6224D"/>
    <w:rsid w:val="00D70B13"/>
    <w:rsid w:val="00D803A8"/>
    <w:rsid w:val="00D80947"/>
    <w:rsid w:val="00D84700"/>
    <w:rsid w:val="00D95D76"/>
    <w:rsid w:val="00D960EA"/>
    <w:rsid w:val="00DB3B82"/>
    <w:rsid w:val="00DB5AA2"/>
    <w:rsid w:val="00DC12E7"/>
    <w:rsid w:val="00DC6D53"/>
    <w:rsid w:val="00DD2A57"/>
    <w:rsid w:val="00DD5122"/>
    <w:rsid w:val="00DD76E7"/>
    <w:rsid w:val="00DE2167"/>
    <w:rsid w:val="00DE6BDE"/>
    <w:rsid w:val="00DE6D49"/>
    <w:rsid w:val="00DF36B8"/>
    <w:rsid w:val="00DF7C91"/>
    <w:rsid w:val="00E01FD9"/>
    <w:rsid w:val="00E0573A"/>
    <w:rsid w:val="00E11E29"/>
    <w:rsid w:val="00E221FD"/>
    <w:rsid w:val="00E41BE5"/>
    <w:rsid w:val="00E42E88"/>
    <w:rsid w:val="00E533BE"/>
    <w:rsid w:val="00E62DB3"/>
    <w:rsid w:val="00E71E94"/>
    <w:rsid w:val="00E7426D"/>
    <w:rsid w:val="00E8184C"/>
    <w:rsid w:val="00E8438C"/>
    <w:rsid w:val="00E85DF8"/>
    <w:rsid w:val="00E96F9E"/>
    <w:rsid w:val="00EA2DE2"/>
    <w:rsid w:val="00EB1AE0"/>
    <w:rsid w:val="00EC796F"/>
    <w:rsid w:val="00ED49EE"/>
    <w:rsid w:val="00ED5B76"/>
    <w:rsid w:val="00ED7008"/>
    <w:rsid w:val="00ED76B2"/>
    <w:rsid w:val="00EE2D11"/>
    <w:rsid w:val="00EF184A"/>
    <w:rsid w:val="00EF2FFD"/>
    <w:rsid w:val="00F0235A"/>
    <w:rsid w:val="00F05272"/>
    <w:rsid w:val="00F05CAB"/>
    <w:rsid w:val="00F0783D"/>
    <w:rsid w:val="00F1221A"/>
    <w:rsid w:val="00F17C62"/>
    <w:rsid w:val="00F31BD5"/>
    <w:rsid w:val="00F6380D"/>
    <w:rsid w:val="00F639A4"/>
    <w:rsid w:val="00F65529"/>
    <w:rsid w:val="00F65903"/>
    <w:rsid w:val="00F72231"/>
    <w:rsid w:val="00F7691A"/>
    <w:rsid w:val="00F77081"/>
    <w:rsid w:val="00F82EDF"/>
    <w:rsid w:val="00F87F98"/>
    <w:rsid w:val="00F92D04"/>
    <w:rsid w:val="00F9321A"/>
    <w:rsid w:val="00F938EC"/>
    <w:rsid w:val="00FA2278"/>
    <w:rsid w:val="00FA3ACA"/>
    <w:rsid w:val="00FA4FCF"/>
    <w:rsid w:val="00FB0422"/>
    <w:rsid w:val="00FB2295"/>
    <w:rsid w:val="00FB2E9E"/>
    <w:rsid w:val="00FB5F14"/>
    <w:rsid w:val="00FC0D5F"/>
    <w:rsid w:val="00FC1D74"/>
    <w:rsid w:val="00FC2237"/>
    <w:rsid w:val="00FC6F2E"/>
    <w:rsid w:val="00FD14A0"/>
    <w:rsid w:val="00FD1B5F"/>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25F4"/>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2024-01-23T18:30:00+00:00</Judgment_x0020_Date>
    <Year xmlns="c1afb1bd-f2fb-40fd-9abb-aea55b4d7662">2024</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282EE-C8F3-4EAD-91D3-7943F62FF9A4}">
  <ds:schemaRefs>
    <ds:schemaRef ds:uri="http://schemas.openxmlformats.org/officeDocument/2006/bibliography"/>
  </ds:schemaRefs>
</ds:datastoreItem>
</file>

<file path=customXml/itemProps2.xml><?xml version="1.0" encoding="utf-8"?>
<ds:datastoreItem xmlns:ds="http://schemas.openxmlformats.org/officeDocument/2006/customXml" ds:itemID="{038732FF-70BA-435D-8268-D65BF9DDD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0CC68-3BDE-49D8-9FD9-80067359BE9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3FBBC15D-89F3-4ACF-90F1-1BD3D67B0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 Wildlife Resorts Ltd v Maxuilili-Ankama (HC-MD-CIV-ACT-OTH-2022-04660) [2024] NAHCMD 6 (24 Jan 2024)</dc:title>
  <dc:subject/>
  <dc:creator>shomany keister</dc:creator>
  <cp:keywords/>
  <dc:description/>
  <cp:lastModifiedBy>Chris Angelov</cp:lastModifiedBy>
  <cp:revision>16</cp:revision>
  <cp:lastPrinted>2024-01-23T14:26:00Z</cp:lastPrinted>
  <dcterms:created xsi:type="dcterms:W3CDTF">2024-01-22T08:47:00Z</dcterms:created>
  <dcterms:modified xsi:type="dcterms:W3CDTF">2024-02-06T08:15:00Z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